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22DB5" w14:textId="77777777" w:rsidR="004F622E" w:rsidRDefault="004F622E" w:rsidP="0071345C">
      <w:pPr>
        <w:pStyle w:val="TOAHeading"/>
      </w:pPr>
    </w:p>
    <w:p w14:paraId="6FF56BFA" w14:textId="77777777" w:rsidR="004F622E" w:rsidRPr="004F622E" w:rsidRDefault="004F622E" w:rsidP="004F622E">
      <w:pPr>
        <w:spacing w:line="360" w:lineRule="exact"/>
        <w:jc w:val="center"/>
        <w:rPr>
          <w:rFonts w:ascii="Arial" w:hAnsi="Arial" w:cs="Arial"/>
          <w:b/>
          <w:sz w:val="24"/>
          <w:lang w:val="en-US"/>
        </w:rPr>
      </w:pPr>
      <w:r>
        <w:rPr>
          <w:lang w:val="en-GB"/>
        </w:rPr>
        <w:tab/>
      </w:r>
      <w:r w:rsidRPr="004F622E">
        <w:rPr>
          <w:rFonts w:ascii="Arial" w:hAnsi="Arial" w:cs="Arial"/>
          <w:b/>
          <w:sz w:val="24"/>
          <w:lang w:val="en-US"/>
        </w:rPr>
        <w:t xml:space="preserve">Changes in the Semantics between the </w:t>
      </w:r>
      <w:r w:rsidRPr="004F622E">
        <w:rPr>
          <w:rFonts w:ascii="Arial" w:hAnsi="Arial" w:cs="Arial"/>
          <w:b/>
          <w:i/>
          <w:sz w:val="24"/>
          <w:lang w:val="en-US"/>
        </w:rPr>
        <w:t xml:space="preserve">R̥gveda Saṃhitā </w:t>
      </w:r>
      <w:r w:rsidRPr="004F622E">
        <w:rPr>
          <w:rFonts w:ascii="Arial" w:hAnsi="Arial" w:cs="Arial"/>
          <w:b/>
          <w:sz w:val="24"/>
          <w:lang w:val="en-US"/>
        </w:rPr>
        <w:t>and the Brāhamaṇas</w:t>
      </w:r>
    </w:p>
    <w:p w14:paraId="353C45C4" w14:textId="77777777" w:rsidR="004F622E" w:rsidRPr="004F622E" w:rsidRDefault="004F622E" w:rsidP="004F622E">
      <w:pPr>
        <w:spacing w:line="360" w:lineRule="exact"/>
        <w:jc w:val="center"/>
        <w:rPr>
          <w:rFonts w:ascii="Arial" w:hAnsi="Arial" w:cs="Arial"/>
          <w:b/>
          <w:sz w:val="24"/>
          <w:lang w:val="en-US"/>
        </w:rPr>
      </w:pPr>
    </w:p>
    <w:p w14:paraId="4DF4157E" w14:textId="77777777" w:rsidR="004F622E" w:rsidRPr="001D5C4C" w:rsidRDefault="004F622E" w:rsidP="004F622E">
      <w:pPr>
        <w:spacing w:line="360" w:lineRule="exact"/>
        <w:jc w:val="center"/>
        <w:rPr>
          <w:rFonts w:ascii="Arial" w:hAnsi="Arial" w:cs="Arial"/>
          <w:b/>
          <w:sz w:val="24"/>
        </w:rPr>
      </w:pPr>
      <w:r>
        <w:rPr>
          <w:rFonts w:ascii="Arial" w:hAnsi="Arial" w:cs="Arial"/>
          <w:b/>
          <w:sz w:val="24"/>
        </w:rPr>
        <w:t>Elena</w:t>
      </w:r>
      <w:r w:rsidRPr="001D5C4C">
        <w:rPr>
          <w:rFonts w:ascii="Arial" w:hAnsi="Arial" w:cs="Arial"/>
          <w:b/>
          <w:sz w:val="24"/>
        </w:rPr>
        <w:t xml:space="preserve"> </w:t>
      </w:r>
      <w:r>
        <w:rPr>
          <w:rFonts w:ascii="Arial" w:hAnsi="Arial" w:cs="Arial"/>
          <w:b/>
          <w:sz w:val="24"/>
        </w:rPr>
        <w:t>Mucciarelli</w:t>
      </w:r>
    </w:p>
    <w:p w14:paraId="64D81520" w14:textId="644D3210" w:rsidR="004F622E" w:rsidRPr="004F622E" w:rsidRDefault="004F622E" w:rsidP="004F622E">
      <w:pPr>
        <w:tabs>
          <w:tab w:val="left" w:pos="1733"/>
        </w:tabs>
        <w:rPr>
          <w:lang w:val="en-GB"/>
        </w:rPr>
      </w:pPr>
    </w:p>
    <w:p w14:paraId="6BA50FF1" w14:textId="4B004807" w:rsidR="0071345C" w:rsidRPr="00BE0F20" w:rsidRDefault="0071345C" w:rsidP="0071345C">
      <w:pPr>
        <w:pStyle w:val="TOAHeading"/>
        <w:rPr>
          <w:lang w:val="en-US"/>
        </w:rPr>
      </w:pPr>
      <w:r w:rsidRPr="004F622E">
        <w:br w:type="page"/>
      </w:r>
      <w:r w:rsidRPr="00BE0F20">
        <w:rPr>
          <w:lang w:val="en-US"/>
        </w:rPr>
        <w:lastRenderedPageBreak/>
        <w:t>Table of Contents</w:t>
      </w:r>
    </w:p>
    <w:p w14:paraId="36618092" w14:textId="77777777" w:rsidR="0071345C" w:rsidRDefault="0071345C" w:rsidP="0071345C">
      <w:pPr>
        <w:pStyle w:val="TOC1"/>
        <w:tabs>
          <w:tab w:val="clear" w:pos="8786"/>
          <w:tab w:val="right" w:leader="dot" w:pos="8788"/>
        </w:tabs>
      </w:pPr>
      <w:r>
        <w:t>Acknowledgments</w:t>
      </w:r>
      <w:r>
        <w:tab/>
        <w:t>1</w:t>
      </w:r>
    </w:p>
    <w:p w14:paraId="558E29CB" w14:textId="77777777" w:rsidR="0071345C" w:rsidRDefault="0071345C" w:rsidP="0071345C">
      <w:pPr>
        <w:pStyle w:val="TOC1"/>
        <w:tabs>
          <w:tab w:val="clear" w:pos="8786"/>
          <w:tab w:val="right" w:leader="dot" w:pos="8788"/>
        </w:tabs>
      </w:pPr>
      <w:r>
        <w:t>List of Abbreviations</w:t>
      </w:r>
      <w:r>
        <w:tab/>
        <w:t>1</w:t>
      </w:r>
    </w:p>
    <w:p w14:paraId="49E638E5" w14:textId="77777777" w:rsidR="0071345C" w:rsidRPr="00BE0F20" w:rsidRDefault="0071345C" w:rsidP="0071345C">
      <w:pPr>
        <w:pStyle w:val="TOC1"/>
        <w:tabs>
          <w:tab w:val="clear" w:pos="8786"/>
          <w:tab w:val="right" w:leader="dot" w:pos="8788"/>
        </w:tabs>
        <w:rPr>
          <w:highlight w:val="yellow"/>
        </w:rPr>
      </w:pPr>
      <w:r w:rsidRPr="00BE0F20">
        <w:rPr>
          <w:highlight w:val="yellow"/>
        </w:rPr>
        <w:t>Introduction.</w:t>
      </w:r>
      <w:r w:rsidRPr="00BE0F20">
        <w:rPr>
          <w:highlight w:val="yellow"/>
        </w:rPr>
        <w:tab/>
        <w:t>2</w:t>
      </w:r>
    </w:p>
    <w:p w14:paraId="20219577" w14:textId="77777777" w:rsidR="0071345C" w:rsidRPr="00BE0F20" w:rsidRDefault="0071345C" w:rsidP="0071345C">
      <w:pPr>
        <w:pStyle w:val="TOC2"/>
        <w:tabs>
          <w:tab w:val="clear" w:pos="8786"/>
          <w:tab w:val="right" w:leader="dot" w:pos="8788"/>
        </w:tabs>
        <w:rPr>
          <w:highlight w:val="yellow"/>
        </w:rPr>
      </w:pPr>
      <w:r w:rsidRPr="00BE0F20">
        <w:rPr>
          <w:highlight w:val="yellow"/>
        </w:rPr>
        <w:t>Criteria of the work and selection of the texts.</w:t>
      </w:r>
      <w:r w:rsidRPr="00BE0F20">
        <w:rPr>
          <w:highlight w:val="yellow"/>
        </w:rPr>
        <w:tab/>
        <w:t>3</w:t>
      </w:r>
    </w:p>
    <w:p w14:paraId="436FBBC4" w14:textId="77777777" w:rsidR="0071345C" w:rsidRPr="00BE0F20" w:rsidRDefault="0071345C" w:rsidP="0071345C">
      <w:pPr>
        <w:pStyle w:val="TOC1"/>
        <w:tabs>
          <w:tab w:val="clear" w:pos="8786"/>
          <w:tab w:val="right" w:leader="dot" w:pos="8788"/>
        </w:tabs>
        <w:rPr>
          <w:highlight w:val="yellow"/>
        </w:rPr>
      </w:pPr>
      <w:r w:rsidRPr="00BE0F20">
        <w:rPr>
          <w:highlight w:val="yellow"/>
        </w:rPr>
        <w:t>I Presentation of the problem: Two meanings and two roots?</w:t>
      </w:r>
      <w:r w:rsidRPr="00BE0F20">
        <w:rPr>
          <w:highlight w:val="yellow"/>
        </w:rPr>
        <w:tab/>
        <w:t>6</w:t>
      </w:r>
    </w:p>
    <w:p w14:paraId="30831742" w14:textId="77777777" w:rsidR="0071345C" w:rsidRPr="00BE0F20" w:rsidRDefault="0071345C" w:rsidP="0071345C">
      <w:pPr>
        <w:pStyle w:val="TOC2"/>
        <w:tabs>
          <w:tab w:val="clear" w:pos="8786"/>
          <w:tab w:val="right" w:leader="dot" w:pos="8788"/>
        </w:tabs>
        <w:rPr>
          <w:highlight w:val="yellow"/>
        </w:rPr>
      </w:pPr>
      <w:r w:rsidRPr="00BE0F20">
        <w:rPr>
          <w:highlight w:val="yellow"/>
        </w:rPr>
        <w:t>I.1 The Indo-European linguistic situation</w:t>
      </w:r>
      <w:r w:rsidRPr="00BE0F20">
        <w:rPr>
          <w:highlight w:val="yellow"/>
        </w:rPr>
        <w:tab/>
        <w:t>6</w:t>
      </w:r>
    </w:p>
    <w:p w14:paraId="30201CA3" w14:textId="77777777" w:rsidR="0071345C" w:rsidRDefault="0071345C" w:rsidP="0071345C">
      <w:pPr>
        <w:pStyle w:val="TOC2"/>
        <w:tabs>
          <w:tab w:val="clear" w:pos="8786"/>
          <w:tab w:val="right" w:leader="dot" w:pos="8788"/>
        </w:tabs>
      </w:pPr>
      <w:r w:rsidRPr="00BE0F20">
        <w:rPr>
          <w:highlight w:val="yellow"/>
        </w:rPr>
        <w:t xml:space="preserve">I.2 R̥gvedic evidences – </w:t>
      </w:r>
      <w:r w:rsidRPr="00BE0F20">
        <w:rPr>
          <w:i/>
          <w:iCs/>
          <w:highlight w:val="yellow"/>
        </w:rPr>
        <w:t>van</w:t>
      </w:r>
      <w:r w:rsidRPr="00BE0F20">
        <w:rPr>
          <w:i/>
          <w:iCs/>
          <w:highlight w:val="yellow"/>
          <w:vertAlign w:val="subscript"/>
        </w:rPr>
        <w:t>3</w:t>
      </w:r>
      <w:r w:rsidRPr="00BE0F20">
        <w:rPr>
          <w:highlight w:val="yellow"/>
        </w:rPr>
        <w:t>: Hypothesis of a nuclear meaning.</w:t>
      </w:r>
      <w:r>
        <w:tab/>
        <w:t>7</w:t>
      </w:r>
    </w:p>
    <w:p w14:paraId="5AF77500" w14:textId="77777777" w:rsidR="0071345C" w:rsidRDefault="0071345C" w:rsidP="0071345C">
      <w:pPr>
        <w:pStyle w:val="TOC1"/>
        <w:tabs>
          <w:tab w:val="clear" w:pos="8786"/>
          <w:tab w:val="right" w:leader="dot" w:pos="8788"/>
        </w:tabs>
      </w:pPr>
      <w:r>
        <w:t>II The R̥gvedic scenario.</w:t>
      </w:r>
      <w:r>
        <w:tab/>
        <w:t>13</w:t>
      </w:r>
    </w:p>
    <w:p w14:paraId="62506E65" w14:textId="77777777" w:rsidR="0071345C" w:rsidRDefault="0071345C" w:rsidP="0071345C">
      <w:pPr>
        <w:pStyle w:val="TOC2"/>
        <w:tabs>
          <w:tab w:val="clear" w:pos="8786"/>
          <w:tab w:val="right" w:leader="dot" w:pos="8788"/>
        </w:tabs>
      </w:pPr>
      <w:r>
        <w:t>II.1 Functional analysis of the occurrences.</w:t>
      </w:r>
      <w:r>
        <w:tab/>
        <w:t>13</w:t>
      </w:r>
    </w:p>
    <w:p w14:paraId="42A7FA06" w14:textId="77777777" w:rsidR="0071345C" w:rsidRDefault="0071345C" w:rsidP="0071345C">
      <w:pPr>
        <w:pStyle w:val="TOC3"/>
        <w:tabs>
          <w:tab w:val="clear" w:pos="8786"/>
          <w:tab w:val="right" w:leader="dot" w:pos="8788"/>
        </w:tabs>
      </w:pPr>
      <w:r>
        <w:t>a- Variant meaning “to possess”</w:t>
      </w:r>
      <w:r>
        <w:tab/>
        <w:t>13</w:t>
      </w:r>
    </w:p>
    <w:p w14:paraId="412F9025" w14:textId="77777777" w:rsidR="0071345C" w:rsidRDefault="0071345C" w:rsidP="0071345C">
      <w:pPr>
        <w:pStyle w:val="TOC3"/>
        <w:tabs>
          <w:tab w:val="clear" w:pos="8786"/>
          <w:tab w:val="right" w:leader="dot" w:pos="8788"/>
        </w:tabs>
      </w:pPr>
      <w:r>
        <w:t xml:space="preserve">b- Variant meaning “to conquer” </w:t>
      </w:r>
      <w:r>
        <w:tab/>
        <w:t>15</w:t>
      </w:r>
    </w:p>
    <w:p w14:paraId="58B9BEB8" w14:textId="77777777" w:rsidR="0071345C" w:rsidRDefault="0071345C" w:rsidP="0071345C">
      <w:pPr>
        <w:pStyle w:val="TOC3"/>
        <w:tabs>
          <w:tab w:val="clear" w:pos="8786"/>
          <w:tab w:val="right" w:leader="dot" w:pos="8788"/>
        </w:tabs>
      </w:pPr>
      <w:r>
        <w:t>c- Absolute use of the present participle</w:t>
      </w:r>
      <w:r>
        <w:tab/>
        <w:t>17</w:t>
      </w:r>
    </w:p>
    <w:p w14:paraId="68D68C88" w14:textId="77777777" w:rsidR="0071345C" w:rsidRPr="00BE0F20" w:rsidRDefault="0071345C" w:rsidP="0071345C">
      <w:pPr>
        <w:pStyle w:val="TOC3"/>
        <w:tabs>
          <w:tab w:val="clear" w:pos="8786"/>
          <w:tab w:val="right" w:leader="dot" w:pos="8788"/>
        </w:tabs>
        <w:rPr>
          <w:highlight w:val="yellow"/>
        </w:rPr>
      </w:pPr>
      <w:r w:rsidRPr="00BE0F20">
        <w:rPr>
          <w:highlight w:val="yellow"/>
        </w:rPr>
        <w:t>d- Nuclear meaning “to appropriate”</w:t>
      </w:r>
      <w:r w:rsidRPr="00BE0F20">
        <w:rPr>
          <w:highlight w:val="yellow"/>
        </w:rPr>
        <w:tab/>
        <w:t>18</w:t>
      </w:r>
    </w:p>
    <w:p w14:paraId="09DA28A2" w14:textId="77777777" w:rsidR="0071345C" w:rsidRDefault="0071345C" w:rsidP="0071345C">
      <w:pPr>
        <w:pStyle w:val="TOC3"/>
        <w:tabs>
          <w:tab w:val="clear" w:pos="8786"/>
          <w:tab w:val="right" w:leader="dot" w:pos="8788"/>
        </w:tabs>
      </w:pPr>
      <w:r w:rsidRPr="00BE0F20">
        <w:rPr>
          <w:highlight w:val="yellow"/>
        </w:rPr>
        <w:t>e- Ritual meaning “to make s.o. enter the circle of sacrifice”</w:t>
      </w:r>
      <w:r>
        <w:tab/>
        <w:t>23</w:t>
      </w:r>
    </w:p>
    <w:p w14:paraId="11557F8F" w14:textId="77777777" w:rsidR="0071345C" w:rsidRDefault="0071345C" w:rsidP="0071345C">
      <w:pPr>
        <w:pStyle w:val="TOC2"/>
        <w:tabs>
          <w:tab w:val="clear" w:pos="8786"/>
          <w:tab w:val="right" w:leader="dot" w:pos="8788"/>
        </w:tabs>
      </w:pPr>
      <w:r>
        <w:t>II.2 Avestan comparison.</w:t>
      </w:r>
      <w:r>
        <w:tab/>
        <w:t>31</w:t>
      </w:r>
    </w:p>
    <w:p w14:paraId="180B46FA" w14:textId="77777777" w:rsidR="0071345C" w:rsidRPr="00BE0F20" w:rsidRDefault="0071345C" w:rsidP="0071345C">
      <w:pPr>
        <w:pStyle w:val="TOC2"/>
        <w:tabs>
          <w:tab w:val="clear" w:pos="8786"/>
          <w:tab w:val="right" w:leader="dot" w:pos="8788"/>
        </w:tabs>
        <w:rPr>
          <w:highlight w:val="yellow"/>
        </w:rPr>
      </w:pPr>
      <w:r w:rsidRPr="00BE0F20">
        <w:rPr>
          <w:highlight w:val="yellow"/>
        </w:rPr>
        <w:t>II.3 Nuclear meaning, ritual meaning and the absence of “desire”.</w:t>
      </w:r>
      <w:r w:rsidRPr="00BE0F20">
        <w:rPr>
          <w:highlight w:val="yellow"/>
        </w:rPr>
        <w:tab/>
        <w:t>32</w:t>
      </w:r>
    </w:p>
    <w:p w14:paraId="03AE96E0" w14:textId="77777777" w:rsidR="0071345C" w:rsidRPr="00BE0F20" w:rsidRDefault="0071345C" w:rsidP="0071345C">
      <w:pPr>
        <w:pStyle w:val="TOC1"/>
        <w:tabs>
          <w:tab w:val="clear" w:pos="8786"/>
          <w:tab w:val="right" w:leader="dot" w:pos="8788"/>
        </w:tabs>
        <w:rPr>
          <w:highlight w:val="yellow"/>
        </w:rPr>
      </w:pPr>
      <w:r w:rsidRPr="00BE0F20">
        <w:rPr>
          <w:highlight w:val="yellow"/>
        </w:rPr>
        <w:t>III Post-R̥gvedic developments: a diachronic analysis.</w:t>
      </w:r>
      <w:r w:rsidRPr="00BE0F20">
        <w:rPr>
          <w:highlight w:val="yellow"/>
        </w:rPr>
        <w:tab/>
        <w:t>36</w:t>
      </w:r>
    </w:p>
    <w:p w14:paraId="5BDECFBD" w14:textId="77777777" w:rsidR="0071345C" w:rsidRPr="00BE0F20" w:rsidRDefault="0071345C" w:rsidP="0071345C">
      <w:pPr>
        <w:pStyle w:val="TOC2"/>
        <w:tabs>
          <w:tab w:val="clear" w:pos="8786"/>
          <w:tab w:val="right" w:leader="dot" w:pos="8788"/>
        </w:tabs>
        <w:rPr>
          <w:highlight w:val="yellow"/>
        </w:rPr>
      </w:pPr>
      <w:r w:rsidRPr="00BE0F20">
        <w:rPr>
          <w:highlight w:val="yellow"/>
        </w:rPr>
        <w:t>III.1 The context.</w:t>
      </w:r>
      <w:r w:rsidRPr="00BE0F20">
        <w:rPr>
          <w:highlight w:val="yellow"/>
        </w:rPr>
        <w:tab/>
        <w:t>36</w:t>
      </w:r>
    </w:p>
    <w:p w14:paraId="0DD460A0" w14:textId="77777777" w:rsidR="0071345C" w:rsidRPr="00BE0F20" w:rsidRDefault="0071345C" w:rsidP="0071345C">
      <w:pPr>
        <w:pStyle w:val="TOC3"/>
        <w:tabs>
          <w:tab w:val="clear" w:pos="8786"/>
          <w:tab w:val="right" w:leader="dot" w:pos="8788"/>
        </w:tabs>
        <w:rPr>
          <w:highlight w:val="yellow"/>
        </w:rPr>
      </w:pPr>
      <w:r w:rsidRPr="00BE0F20">
        <w:rPr>
          <w:highlight w:val="yellow"/>
        </w:rPr>
        <w:t>III.1.1 Relative chronology of  the Post-R̥gvedic sources</w:t>
      </w:r>
      <w:r w:rsidRPr="00BE0F20">
        <w:rPr>
          <w:highlight w:val="yellow"/>
        </w:rPr>
        <w:tab/>
        <w:t>36</w:t>
      </w:r>
    </w:p>
    <w:p w14:paraId="278BA13C" w14:textId="77777777" w:rsidR="0071345C" w:rsidRPr="00BE0F20" w:rsidRDefault="0071345C" w:rsidP="0071345C">
      <w:pPr>
        <w:pStyle w:val="TOC3"/>
        <w:tabs>
          <w:tab w:val="clear" w:pos="8786"/>
          <w:tab w:val="right" w:leader="dot" w:pos="8788"/>
        </w:tabs>
        <w:rPr>
          <w:highlight w:val="yellow"/>
        </w:rPr>
      </w:pPr>
      <w:r w:rsidRPr="00BE0F20">
        <w:rPr>
          <w:highlight w:val="yellow"/>
        </w:rPr>
        <w:t>III.1.2 The Ritual context</w:t>
      </w:r>
      <w:r w:rsidRPr="00BE0F20">
        <w:rPr>
          <w:highlight w:val="yellow"/>
        </w:rPr>
        <w:tab/>
        <w:t>38</w:t>
      </w:r>
    </w:p>
    <w:p w14:paraId="32B53CBC" w14:textId="77777777" w:rsidR="0071345C" w:rsidRDefault="0071345C" w:rsidP="0071345C">
      <w:pPr>
        <w:pStyle w:val="TOC3"/>
        <w:tabs>
          <w:tab w:val="clear" w:pos="8786"/>
          <w:tab w:val="right" w:leader="dot" w:pos="8788"/>
        </w:tabs>
      </w:pPr>
      <w:r w:rsidRPr="00BE0F20">
        <w:rPr>
          <w:highlight w:val="yellow"/>
        </w:rPr>
        <w:t>III.1.3 The Vedic web</w:t>
      </w:r>
      <w:r>
        <w:tab/>
        <w:t>39</w:t>
      </w:r>
    </w:p>
    <w:p w14:paraId="6DE7CC24" w14:textId="77777777" w:rsidR="0071345C" w:rsidRDefault="0071345C" w:rsidP="0071345C">
      <w:pPr>
        <w:pStyle w:val="TOC2"/>
        <w:tabs>
          <w:tab w:val="clear" w:pos="8786"/>
          <w:tab w:val="right" w:leader="dot" w:pos="8788"/>
        </w:tabs>
      </w:pPr>
      <w:r>
        <w:t xml:space="preserve">III.2 Occurrences: R̥gvedic </w:t>
      </w:r>
      <w:r>
        <w:rPr>
          <w:i/>
          <w:iCs/>
        </w:rPr>
        <w:t>mantra</w:t>
      </w:r>
      <w:r>
        <w:t xml:space="preserve">s, non-R̥gvedic </w:t>
      </w:r>
      <w:r>
        <w:rPr>
          <w:i/>
          <w:iCs/>
        </w:rPr>
        <w:t>mantra</w:t>
      </w:r>
      <w:r>
        <w:t xml:space="preserve">s and </w:t>
      </w:r>
      <w:r>
        <w:rPr>
          <w:i/>
          <w:iCs/>
        </w:rPr>
        <w:t>brāhmaṇa</w:t>
      </w:r>
      <w:r>
        <w:t>-portions.</w:t>
      </w:r>
      <w:r>
        <w:tab/>
        <w:t>44</w:t>
      </w:r>
    </w:p>
    <w:p w14:paraId="708F64BB" w14:textId="77777777" w:rsidR="0071345C" w:rsidRDefault="0071345C" w:rsidP="0071345C">
      <w:pPr>
        <w:pStyle w:val="TOC3"/>
        <w:tabs>
          <w:tab w:val="clear" w:pos="8786"/>
          <w:tab w:val="right" w:leader="dot" w:pos="8788"/>
        </w:tabs>
      </w:pPr>
      <w:r>
        <w:t>III.2.1 Saṃhitā occurrences.</w:t>
      </w:r>
      <w:r>
        <w:tab/>
        <w:t>45</w:t>
      </w:r>
    </w:p>
    <w:p w14:paraId="48184A40" w14:textId="77777777" w:rsidR="0071345C" w:rsidRDefault="0071345C" w:rsidP="0071345C">
      <w:pPr>
        <w:pStyle w:val="TOC4"/>
        <w:tabs>
          <w:tab w:val="clear" w:pos="8786"/>
          <w:tab w:val="right" w:leader="dot" w:pos="8788"/>
        </w:tabs>
      </w:pPr>
      <w:r>
        <w:t xml:space="preserve">R̥V </w:t>
      </w:r>
      <w:r>
        <w:rPr>
          <w:i/>
          <w:iCs/>
        </w:rPr>
        <w:t>mantra</w:t>
      </w:r>
      <w:r>
        <w:t>s</w:t>
      </w:r>
      <w:r>
        <w:tab/>
        <w:t>45</w:t>
      </w:r>
    </w:p>
    <w:p w14:paraId="66E55DE0" w14:textId="77777777" w:rsidR="0071345C" w:rsidRDefault="0071345C" w:rsidP="0071345C">
      <w:pPr>
        <w:pStyle w:val="TOC4"/>
        <w:tabs>
          <w:tab w:val="clear" w:pos="8786"/>
          <w:tab w:val="right" w:leader="dot" w:pos="8788"/>
        </w:tabs>
      </w:pPr>
      <w:r>
        <w:t xml:space="preserve">Non-R̥V </w:t>
      </w:r>
      <w:r>
        <w:rPr>
          <w:i/>
          <w:iCs/>
        </w:rPr>
        <w:t>mantra</w:t>
      </w:r>
      <w:r>
        <w:t>s – Yajurveda prose.</w:t>
      </w:r>
      <w:r>
        <w:tab/>
        <w:t>61</w:t>
      </w:r>
    </w:p>
    <w:p w14:paraId="084F5868" w14:textId="77777777" w:rsidR="0071345C" w:rsidRDefault="0071345C" w:rsidP="0071345C">
      <w:pPr>
        <w:pStyle w:val="TOC3"/>
        <w:tabs>
          <w:tab w:val="clear" w:pos="8786"/>
          <w:tab w:val="right" w:leader="dot" w:pos="8788"/>
        </w:tabs>
      </w:pPr>
      <w:r>
        <w:t>III.2.2 Brāhmaṇa occurrences</w:t>
      </w:r>
      <w:r>
        <w:tab/>
        <w:t>74</w:t>
      </w:r>
    </w:p>
    <w:p w14:paraId="66FF5530" w14:textId="77777777" w:rsidR="0071345C" w:rsidRPr="00BE0F20" w:rsidRDefault="0071345C" w:rsidP="0071345C">
      <w:pPr>
        <w:pStyle w:val="TOC4"/>
        <w:tabs>
          <w:tab w:val="clear" w:pos="8786"/>
          <w:tab w:val="right" w:leader="dot" w:pos="8788"/>
        </w:tabs>
        <w:rPr>
          <w:lang w:val="it-IT"/>
        </w:rPr>
      </w:pPr>
      <w:r w:rsidRPr="00BE0F20">
        <w:rPr>
          <w:lang w:val="it-IT"/>
        </w:rPr>
        <w:t xml:space="preserve">R̥V </w:t>
      </w:r>
      <w:r w:rsidRPr="00BE0F20">
        <w:rPr>
          <w:i/>
          <w:iCs/>
          <w:lang w:val="it-IT"/>
        </w:rPr>
        <w:t>mantra</w:t>
      </w:r>
      <w:r w:rsidRPr="00BE0F20">
        <w:rPr>
          <w:lang w:val="it-IT"/>
        </w:rPr>
        <w:t>s</w:t>
      </w:r>
      <w:r w:rsidRPr="00BE0F20">
        <w:rPr>
          <w:lang w:val="it-IT"/>
        </w:rPr>
        <w:tab/>
        <w:t>74</w:t>
      </w:r>
    </w:p>
    <w:p w14:paraId="6C73F03F" w14:textId="77777777" w:rsidR="0071345C" w:rsidRDefault="0071345C" w:rsidP="0071345C">
      <w:pPr>
        <w:pStyle w:val="TOC4"/>
        <w:tabs>
          <w:tab w:val="clear" w:pos="8786"/>
          <w:tab w:val="right" w:leader="dot" w:pos="8788"/>
        </w:tabs>
      </w:pPr>
      <w:r w:rsidRPr="00BE0F20">
        <w:rPr>
          <w:lang w:val="it-IT"/>
        </w:rPr>
        <w:t xml:space="preserve">Non-R̥V </w:t>
      </w:r>
      <w:r w:rsidRPr="00BE0F20">
        <w:rPr>
          <w:i/>
          <w:iCs/>
          <w:lang w:val="it-IT"/>
        </w:rPr>
        <w:t>mantra</w:t>
      </w:r>
      <w:r w:rsidRPr="00BE0F20">
        <w:rPr>
          <w:lang w:val="it-IT"/>
        </w:rPr>
        <w:t>s – Brāhmaṇa prose.</w:t>
      </w:r>
      <w:r w:rsidRPr="00BE0F20">
        <w:rPr>
          <w:lang w:val="it-IT"/>
        </w:rPr>
        <w:tab/>
      </w:r>
      <w:r>
        <w:t>86</w:t>
      </w:r>
    </w:p>
    <w:p w14:paraId="36D48A9D" w14:textId="77777777" w:rsidR="0071345C" w:rsidRPr="00BE0F20" w:rsidRDefault="0071345C" w:rsidP="0071345C">
      <w:pPr>
        <w:pStyle w:val="TOC2"/>
        <w:tabs>
          <w:tab w:val="clear" w:pos="8786"/>
          <w:tab w:val="right" w:leader="dot" w:pos="8788"/>
        </w:tabs>
        <w:rPr>
          <w:highlight w:val="yellow"/>
        </w:rPr>
      </w:pPr>
      <w:r w:rsidRPr="00BE0F20">
        <w:rPr>
          <w:highlight w:val="yellow"/>
        </w:rPr>
        <w:t>III.3 Analysis of the occurrences.</w:t>
      </w:r>
      <w:r w:rsidRPr="00BE0F20">
        <w:rPr>
          <w:highlight w:val="yellow"/>
        </w:rPr>
        <w:tab/>
        <w:t>90</w:t>
      </w:r>
    </w:p>
    <w:p w14:paraId="12D667E7" w14:textId="77777777" w:rsidR="0071345C" w:rsidRPr="00BE0F20" w:rsidRDefault="0071345C" w:rsidP="0071345C">
      <w:pPr>
        <w:pStyle w:val="TOC3"/>
        <w:tabs>
          <w:tab w:val="clear" w:pos="8786"/>
          <w:tab w:val="right" w:leader="dot" w:pos="8788"/>
        </w:tabs>
        <w:rPr>
          <w:highlight w:val="yellow"/>
        </w:rPr>
      </w:pPr>
      <w:r w:rsidRPr="00BE0F20">
        <w:rPr>
          <w:highlight w:val="yellow"/>
        </w:rPr>
        <w:t>III.3.1 The development of the nuclear and ritual meaning.</w:t>
      </w:r>
      <w:r w:rsidRPr="00BE0F20">
        <w:rPr>
          <w:highlight w:val="yellow"/>
        </w:rPr>
        <w:tab/>
        <w:t>90</w:t>
      </w:r>
    </w:p>
    <w:p w14:paraId="465CCB9B" w14:textId="77777777" w:rsidR="0071345C" w:rsidRDefault="0071345C" w:rsidP="0071345C">
      <w:pPr>
        <w:pStyle w:val="TOC3"/>
        <w:tabs>
          <w:tab w:val="clear" w:pos="8786"/>
          <w:tab w:val="right" w:leader="dot" w:pos="8788"/>
        </w:tabs>
      </w:pPr>
      <w:r w:rsidRPr="00BE0F20">
        <w:rPr>
          <w:highlight w:val="yellow"/>
        </w:rPr>
        <w:t xml:space="preserve">III.3.2 </w:t>
      </w:r>
      <w:r w:rsidRPr="00BE0F20">
        <w:rPr>
          <w:i/>
          <w:iCs/>
          <w:highlight w:val="yellow"/>
        </w:rPr>
        <w:t>van- / van</w:t>
      </w:r>
      <w:r w:rsidRPr="00BE0F20">
        <w:rPr>
          <w:i/>
          <w:iCs/>
          <w:highlight w:val="yellow"/>
          <w:vertAlign w:val="superscript"/>
        </w:rPr>
        <w:t>i</w:t>
      </w:r>
      <w:r w:rsidRPr="00BE0F20">
        <w:rPr>
          <w:i/>
          <w:iCs/>
          <w:highlight w:val="yellow"/>
        </w:rPr>
        <w:t>-</w:t>
      </w:r>
      <w:r w:rsidRPr="00BE0F20">
        <w:rPr>
          <w:highlight w:val="yellow"/>
        </w:rPr>
        <w:t xml:space="preserve"> in the non-R̥gvedic Passages: a Chronological Perspective.</w:t>
      </w:r>
      <w:r>
        <w:tab/>
        <w:t>96</w:t>
      </w:r>
    </w:p>
    <w:p w14:paraId="70FBC61C" w14:textId="77777777" w:rsidR="0071345C" w:rsidRDefault="0071345C" w:rsidP="0071345C">
      <w:pPr>
        <w:pStyle w:val="TOC1"/>
        <w:tabs>
          <w:tab w:val="clear" w:pos="8786"/>
          <w:tab w:val="right" w:leader="dot" w:pos="8788"/>
        </w:tabs>
      </w:pPr>
      <w:r>
        <w:t>IV “To desire”: a synchronic analysis</w:t>
      </w:r>
      <w:r>
        <w:tab/>
        <w:t>103</w:t>
      </w:r>
    </w:p>
    <w:p w14:paraId="05EC00FC" w14:textId="77777777" w:rsidR="0071345C" w:rsidRDefault="0071345C" w:rsidP="0071345C">
      <w:pPr>
        <w:pStyle w:val="TOC2"/>
        <w:tabs>
          <w:tab w:val="clear" w:pos="8786"/>
          <w:tab w:val="right" w:leader="dot" w:pos="8788"/>
        </w:tabs>
      </w:pPr>
      <w:r>
        <w:t>IV.1 Nominal derivatives</w:t>
      </w:r>
      <w:r>
        <w:tab/>
        <w:t>103</w:t>
      </w:r>
    </w:p>
    <w:p w14:paraId="49EE6ABC" w14:textId="77777777" w:rsidR="0071345C" w:rsidRDefault="0071345C" w:rsidP="0071345C">
      <w:pPr>
        <w:pStyle w:val="TOC3"/>
        <w:tabs>
          <w:tab w:val="clear" w:pos="8786"/>
          <w:tab w:val="right" w:leader="dot" w:pos="8788"/>
        </w:tabs>
      </w:pPr>
      <w:r>
        <w:t>IV.1.1 R̥gvedic occurrences.</w:t>
      </w:r>
      <w:r>
        <w:tab/>
        <w:t>103</w:t>
      </w:r>
    </w:p>
    <w:p w14:paraId="5A81880F" w14:textId="77777777" w:rsidR="0071345C" w:rsidRDefault="0071345C" w:rsidP="0071345C">
      <w:pPr>
        <w:pStyle w:val="TOC4"/>
        <w:tabs>
          <w:tab w:val="clear" w:pos="8786"/>
          <w:tab w:val="right" w:leader="dot" w:pos="8788"/>
        </w:tabs>
      </w:pPr>
      <w:r>
        <w:t xml:space="preserve">1- </w:t>
      </w:r>
      <w:r>
        <w:rPr>
          <w:i/>
          <w:iCs/>
        </w:rPr>
        <w:t>vanús-</w:t>
      </w:r>
      <w:r>
        <w:t xml:space="preserve"> </w:t>
      </w:r>
      <w:r>
        <w:rPr>
          <w:i/>
          <w:iCs/>
        </w:rPr>
        <w:t>vanuṣya</w:t>
      </w:r>
      <w:r>
        <w:t>-</w:t>
      </w:r>
      <w:r>
        <w:tab/>
        <w:t>103</w:t>
      </w:r>
    </w:p>
    <w:p w14:paraId="364D9884" w14:textId="77777777" w:rsidR="0071345C" w:rsidRDefault="0071345C" w:rsidP="0071345C">
      <w:pPr>
        <w:pStyle w:val="TOC4"/>
        <w:tabs>
          <w:tab w:val="clear" w:pos="8786"/>
          <w:tab w:val="right" w:leader="dot" w:pos="8788"/>
        </w:tabs>
      </w:pPr>
      <w:r>
        <w:t xml:space="preserve">2- </w:t>
      </w:r>
      <w:r>
        <w:rPr>
          <w:i/>
          <w:iCs/>
        </w:rPr>
        <w:t>vanú</w:t>
      </w:r>
      <w:r>
        <w:t>-</w:t>
      </w:r>
      <w:r>
        <w:tab/>
        <w:t>114</w:t>
      </w:r>
    </w:p>
    <w:p w14:paraId="59E0DD76" w14:textId="77777777" w:rsidR="0071345C" w:rsidRDefault="0071345C" w:rsidP="0071345C">
      <w:pPr>
        <w:pStyle w:val="TOC4"/>
        <w:tabs>
          <w:tab w:val="clear" w:pos="8786"/>
          <w:tab w:val="right" w:leader="dot" w:pos="8788"/>
        </w:tabs>
      </w:pPr>
      <w:r>
        <w:t xml:space="preserve">3- Verbal adjectives </w:t>
      </w:r>
      <w:r>
        <w:tab/>
        <w:t>115</w:t>
      </w:r>
    </w:p>
    <w:p w14:paraId="229CEC15" w14:textId="77777777" w:rsidR="0071345C" w:rsidRDefault="0071345C" w:rsidP="0071345C">
      <w:pPr>
        <w:pStyle w:val="TOC4"/>
        <w:tabs>
          <w:tab w:val="clear" w:pos="8786"/>
          <w:tab w:val="right" w:leader="dot" w:pos="8788"/>
        </w:tabs>
      </w:pPr>
      <w:r>
        <w:t xml:space="preserve">4- </w:t>
      </w:r>
      <w:r>
        <w:rPr>
          <w:i/>
          <w:iCs/>
        </w:rPr>
        <w:t>vanín</w:t>
      </w:r>
      <w:r>
        <w:t>-</w:t>
      </w:r>
      <w:r>
        <w:tab/>
        <w:t>117</w:t>
      </w:r>
    </w:p>
    <w:p w14:paraId="7919B0E6" w14:textId="77777777" w:rsidR="0071345C" w:rsidRDefault="0071345C" w:rsidP="0071345C">
      <w:pPr>
        <w:pStyle w:val="TOC4"/>
        <w:tabs>
          <w:tab w:val="clear" w:pos="8786"/>
          <w:tab w:val="right" w:leader="dot" w:pos="8788"/>
        </w:tabs>
      </w:pPr>
      <w:r>
        <w:t>5- Derivatives of problematic definition.</w:t>
      </w:r>
      <w:r>
        <w:tab/>
        <w:t>121</w:t>
      </w:r>
    </w:p>
    <w:p w14:paraId="69A46E80" w14:textId="77777777" w:rsidR="0071345C" w:rsidRDefault="0071345C" w:rsidP="0071345C">
      <w:pPr>
        <w:pStyle w:val="TOC4"/>
        <w:tabs>
          <w:tab w:val="clear" w:pos="8786"/>
          <w:tab w:val="right" w:leader="dot" w:pos="8788"/>
        </w:tabs>
      </w:pPr>
      <w:r>
        <w:t xml:space="preserve">a) </w:t>
      </w:r>
      <w:r>
        <w:rPr>
          <w:i/>
          <w:iCs/>
        </w:rPr>
        <w:t>vánas</w:t>
      </w:r>
      <w:r>
        <w:t>-</w:t>
      </w:r>
      <w:r>
        <w:tab/>
        <w:t>121</w:t>
      </w:r>
    </w:p>
    <w:p w14:paraId="64300395" w14:textId="77777777" w:rsidR="0071345C" w:rsidRDefault="0071345C" w:rsidP="0071345C">
      <w:pPr>
        <w:pStyle w:val="TOC4"/>
        <w:tabs>
          <w:tab w:val="clear" w:pos="8786"/>
          <w:tab w:val="right" w:leader="dot" w:pos="8788"/>
        </w:tabs>
      </w:pPr>
      <w:r>
        <w:t xml:space="preserve">b) </w:t>
      </w:r>
      <w:r>
        <w:rPr>
          <w:i/>
          <w:iCs/>
        </w:rPr>
        <w:t>vanánā</w:t>
      </w:r>
      <w:r>
        <w:t>-</w:t>
      </w:r>
      <w:r>
        <w:tab/>
        <w:t>122</w:t>
      </w:r>
    </w:p>
    <w:p w14:paraId="2106583A" w14:textId="77777777" w:rsidR="0071345C" w:rsidRDefault="0071345C" w:rsidP="0071345C">
      <w:pPr>
        <w:pStyle w:val="TOC4"/>
        <w:tabs>
          <w:tab w:val="clear" w:pos="8786"/>
          <w:tab w:val="right" w:leader="dot" w:pos="8788"/>
        </w:tabs>
      </w:pPr>
      <w:r>
        <w:t xml:space="preserve">c) </w:t>
      </w:r>
      <w:r>
        <w:rPr>
          <w:i/>
          <w:iCs/>
        </w:rPr>
        <w:t>vánīvan</w:t>
      </w:r>
      <w:r>
        <w:t>-</w:t>
      </w:r>
      <w:r>
        <w:tab/>
        <w:t>122</w:t>
      </w:r>
    </w:p>
    <w:p w14:paraId="0B736E88" w14:textId="77777777" w:rsidR="0071345C" w:rsidRDefault="0071345C" w:rsidP="0071345C">
      <w:pPr>
        <w:pStyle w:val="TOC4"/>
        <w:tabs>
          <w:tab w:val="clear" w:pos="8786"/>
          <w:tab w:val="right" w:leader="dot" w:pos="8788"/>
        </w:tabs>
      </w:pPr>
      <w:r>
        <w:t xml:space="preserve">d) </w:t>
      </w:r>
      <w:r>
        <w:rPr>
          <w:i/>
          <w:iCs/>
        </w:rPr>
        <w:t>vánanvat</w:t>
      </w:r>
      <w:r>
        <w:t>-</w:t>
      </w:r>
      <w:r>
        <w:tab/>
        <w:t>123</w:t>
      </w:r>
    </w:p>
    <w:p w14:paraId="6664197E" w14:textId="77777777" w:rsidR="0071345C" w:rsidRDefault="0071345C" w:rsidP="0071345C">
      <w:pPr>
        <w:pStyle w:val="TOC3"/>
        <w:tabs>
          <w:tab w:val="clear" w:pos="8786"/>
          <w:tab w:val="right" w:leader="dot" w:pos="8788"/>
        </w:tabs>
      </w:pPr>
      <w:r>
        <w:t>IV.1.2 Post-R̥gvedic occurrences</w:t>
      </w:r>
      <w:r>
        <w:tab/>
        <w:t>127</w:t>
      </w:r>
    </w:p>
    <w:p w14:paraId="2932D88E" w14:textId="77777777" w:rsidR="0071345C" w:rsidRDefault="0071345C" w:rsidP="0071345C">
      <w:pPr>
        <w:pStyle w:val="TOC4"/>
        <w:tabs>
          <w:tab w:val="clear" w:pos="8786"/>
          <w:tab w:val="right" w:leader="dot" w:pos="8788"/>
        </w:tabs>
      </w:pPr>
      <w:r>
        <w:t>IV.1.2.1 Derivatives that occur only as R̥V quotations</w:t>
      </w:r>
      <w:r>
        <w:tab/>
        <w:t>127</w:t>
      </w:r>
    </w:p>
    <w:p w14:paraId="1EAA9B00" w14:textId="77777777" w:rsidR="0071345C" w:rsidRDefault="0071345C" w:rsidP="0071345C">
      <w:pPr>
        <w:pStyle w:val="TOC4"/>
        <w:tabs>
          <w:tab w:val="clear" w:pos="8786"/>
          <w:tab w:val="right" w:leader="dot" w:pos="8788"/>
        </w:tabs>
      </w:pPr>
      <w:r>
        <w:t xml:space="preserve">a) </w:t>
      </w:r>
      <w:r>
        <w:rPr>
          <w:i/>
          <w:iCs/>
        </w:rPr>
        <w:t>vánas</w:t>
      </w:r>
      <w:r>
        <w:t>-</w:t>
      </w:r>
      <w:r>
        <w:tab/>
        <w:t>127</w:t>
      </w:r>
    </w:p>
    <w:p w14:paraId="1209198F" w14:textId="77777777" w:rsidR="0071345C" w:rsidRDefault="0071345C" w:rsidP="0071345C">
      <w:pPr>
        <w:pStyle w:val="TOC4"/>
        <w:tabs>
          <w:tab w:val="clear" w:pos="8786"/>
          <w:tab w:val="right" w:leader="dot" w:pos="8788"/>
        </w:tabs>
      </w:pPr>
      <w:r>
        <w:t xml:space="preserve">b) </w:t>
      </w:r>
      <w:r>
        <w:rPr>
          <w:i/>
          <w:iCs/>
        </w:rPr>
        <w:t>vanīvan</w:t>
      </w:r>
      <w:r>
        <w:t>-</w:t>
      </w:r>
      <w:r>
        <w:tab/>
        <w:t>128</w:t>
      </w:r>
    </w:p>
    <w:p w14:paraId="02262C2A" w14:textId="77777777" w:rsidR="0071345C" w:rsidRDefault="0071345C" w:rsidP="0071345C">
      <w:pPr>
        <w:pStyle w:val="TOC4"/>
        <w:tabs>
          <w:tab w:val="clear" w:pos="8786"/>
          <w:tab w:val="right" w:leader="dot" w:pos="8788"/>
        </w:tabs>
      </w:pPr>
      <w:r>
        <w:t xml:space="preserve">c) </w:t>
      </w:r>
      <w:r>
        <w:rPr>
          <w:i/>
          <w:iCs/>
        </w:rPr>
        <w:t>vantr̥</w:t>
      </w:r>
      <w:r>
        <w:t>-</w:t>
      </w:r>
      <w:r>
        <w:tab/>
        <w:t>128</w:t>
      </w:r>
    </w:p>
    <w:p w14:paraId="0D78F6FE" w14:textId="77777777" w:rsidR="0071345C" w:rsidRDefault="0071345C" w:rsidP="0071345C">
      <w:pPr>
        <w:pStyle w:val="TOC4"/>
        <w:tabs>
          <w:tab w:val="clear" w:pos="8786"/>
          <w:tab w:val="right" w:leader="dot" w:pos="8788"/>
        </w:tabs>
      </w:pPr>
      <w:r>
        <w:lastRenderedPageBreak/>
        <w:t xml:space="preserve">d) </w:t>
      </w:r>
      <w:r>
        <w:rPr>
          <w:i/>
          <w:iCs/>
        </w:rPr>
        <w:t>vanús</w:t>
      </w:r>
      <w:r>
        <w:t xml:space="preserve">- </w:t>
      </w:r>
      <w:r>
        <w:tab/>
        <w:t>128</w:t>
      </w:r>
    </w:p>
    <w:p w14:paraId="74A8166F" w14:textId="77777777" w:rsidR="0071345C" w:rsidRDefault="0071345C" w:rsidP="0071345C">
      <w:pPr>
        <w:pStyle w:val="TOC4"/>
        <w:tabs>
          <w:tab w:val="clear" w:pos="8786"/>
          <w:tab w:val="right" w:leader="dot" w:pos="8788"/>
        </w:tabs>
      </w:pPr>
      <w:r>
        <w:t>IV.1.2.2 Derivatives that occur both as R̥V quotations and not.</w:t>
      </w:r>
      <w:r>
        <w:tab/>
        <w:t>129</w:t>
      </w:r>
    </w:p>
    <w:p w14:paraId="6F719EF3" w14:textId="77777777" w:rsidR="0071345C" w:rsidRPr="00BE0F20" w:rsidRDefault="0071345C" w:rsidP="0071345C">
      <w:pPr>
        <w:pStyle w:val="TOC4"/>
        <w:tabs>
          <w:tab w:val="clear" w:pos="8786"/>
          <w:tab w:val="right" w:leader="dot" w:pos="8788"/>
        </w:tabs>
        <w:rPr>
          <w:lang w:val="it-IT"/>
        </w:rPr>
      </w:pPr>
      <w:r w:rsidRPr="00BE0F20">
        <w:rPr>
          <w:lang w:val="it-IT"/>
        </w:rPr>
        <w:t xml:space="preserve">a) </w:t>
      </w:r>
      <w:r w:rsidRPr="00BE0F20">
        <w:rPr>
          <w:i/>
          <w:iCs/>
          <w:lang w:val="it-IT"/>
        </w:rPr>
        <w:t>vanuṣya</w:t>
      </w:r>
      <w:r w:rsidRPr="00BE0F20">
        <w:rPr>
          <w:lang w:val="it-IT"/>
        </w:rPr>
        <w:t>-</w:t>
      </w:r>
      <w:r w:rsidRPr="00BE0F20">
        <w:rPr>
          <w:lang w:val="it-IT"/>
        </w:rPr>
        <w:tab/>
        <w:t>129</w:t>
      </w:r>
    </w:p>
    <w:p w14:paraId="74EBCF94" w14:textId="77777777" w:rsidR="0071345C" w:rsidRPr="00BE0F20" w:rsidRDefault="0071345C" w:rsidP="0071345C">
      <w:pPr>
        <w:pStyle w:val="TOC4"/>
        <w:tabs>
          <w:tab w:val="clear" w:pos="8786"/>
          <w:tab w:val="right" w:leader="dot" w:pos="8788"/>
        </w:tabs>
        <w:rPr>
          <w:lang w:val="it-IT"/>
        </w:rPr>
      </w:pPr>
      <w:r w:rsidRPr="00BE0F20">
        <w:rPr>
          <w:lang w:val="it-IT"/>
        </w:rPr>
        <w:t xml:space="preserve">R̥V </w:t>
      </w:r>
      <w:r w:rsidRPr="00BE0F20">
        <w:rPr>
          <w:i/>
          <w:iCs/>
          <w:lang w:val="it-IT"/>
        </w:rPr>
        <w:t>mantra</w:t>
      </w:r>
      <w:r w:rsidRPr="00BE0F20">
        <w:rPr>
          <w:lang w:val="it-IT"/>
        </w:rPr>
        <w:t>s</w:t>
      </w:r>
      <w:r w:rsidRPr="00BE0F20">
        <w:rPr>
          <w:lang w:val="it-IT"/>
        </w:rPr>
        <w:tab/>
        <w:t>129</w:t>
      </w:r>
    </w:p>
    <w:p w14:paraId="158751FC" w14:textId="77777777" w:rsidR="0071345C" w:rsidRPr="00BE0F20" w:rsidRDefault="0071345C" w:rsidP="0071345C">
      <w:pPr>
        <w:pStyle w:val="TOC4"/>
        <w:tabs>
          <w:tab w:val="clear" w:pos="8786"/>
          <w:tab w:val="right" w:leader="dot" w:pos="8788"/>
        </w:tabs>
        <w:rPr>
          <w:lang w:val="it-IT"/>
        </w:rPr>
      </w:pPr>
      <w:r w:rsidRPr="00BE0F20">
        <w:rPr>
          <w:lang w:val="it-IT"/>
        </w:rPr>
        <w:t xml:space="preserve">non-R̥V </w:t>
      </w:r>
      <w:r w:rsidRPr="00BE0F20">
        <w:rPr>
          <w:i/>
          <w:iCs/>
          <w:lang w:val="it-IT"/>
        </w:rPr>
        <w:t>mantra</w:t>
      </w:r>
      <w:r w:rsidRPr="00BE0F20">
        <w:rPr>
          <w:lang w:val="it-IT"/>
        </w:rPr>
        <w:t>s</w:t>
      </w:r>
      <w:r w:rsidRPr="00BE0F20">
        <w:rPr>
          <w:lang w:val="it-IT"/>
        </w:rPr>
        <w:tab/>
        <w:t>132</w:t>
      </w:r>
    </w:p>
    <w:p w14:paraId="0360F5B6" w14:textId="77777777" w:rsidR="0071345C" w:rsidRPr="00BE0F20" w:rsidRDefault="0071345C" w:rsidP="0071345C">
      <w:pPr>
        <w:pStyle w:val="TOC4"/>
        <w:tabs>
          <w:tab w:val="clear" w:pos="8786"/>
          <w:tab w:val="right" w:leader="dot" w:pos="8788"/>
        </w:tabs>
        <w:rPr>
          <w:lang w:val="it-IT"/>
        </w:rPr>
      </w:pPr>
      <w:r w:rsidRPr="00BE0F20">
        <w:rPr>
          <w:lang w:val="it-IT"/>
        </w:rPr>
        <w:t xml:space="preserve">b) </w:t>
      </w:r>
      <w:r w:rsidRPr="00BE0F20">
        <w:rPr>
          <w:i/>
          <w:iCs/>
          <w:lang w:val="it-IT"/>
        </w:rPr>
        <w:t>vánīyas</w:t>
      </w:r>
      <w:r w:rsidRPr="00BE0F20">
        <w:rPr>
          <w:lang w:val="it-IT"/>
        </w:rPr>
        <w:t>-</w:t>
      </w:r>
      <w:r w:rsidRPr="00BE0F20">
        <w:rPr>
          <w:lang w:val="it-IT"/>
        </w:rPr>
        <w:tab/>
        <w:t>133</w:t>
      </w:r>
    </w:p>
    <w:p w14:paraId="39BEED55" w14:textId="77777777" w:rsidR="0071345C" w:rsidRPr="00BE0F20" w:rsidRDefault="0071345C" w:rsidP="0071345C">
      <w:pPr>
        <w:pStyle w:val="TOC4"/>
        <w:tabs>
          <w:tab w:val="clear" w:pos="8786"/>
          <w:tab w:val="right" w:leader="dot" w:pos="8788"/>
        </w:tabs>
        <w:rPr>
          <w:lang w:val="it-IT"/>
        </w:rPr>
      </w:pPr>
      <w:r w:rsidRPr="00BE0F20">
        <w:rPr>
          <w:lang w:val="it-IT"/>
        </w:rPr>
        <w:t xml:space="preserve">R̥V </w:t>
      </w:r>
      <w:r w:rsidRPr="00BE0F20">
        <w:rPr>
          <w:i/>
          <w:iCs/>
          <w:lang w:val="it-IT"/>
        </w:rPr>
        <w:t>mantra</w:t>
      </w:r>
      <w:r w:rsidRPr="00BE0F20">
        <w:rPr>
          <w:lang w:val="it-IT"/>
        </w:rPr>
        <w:t>s</w:t>
      </w:r>
      <w:r w:rsidRPr="00BE0F20">
        <w:rPr>
          <w:lang w:val="it-IT"/>
        </w:rPr>
        <w:tab/>
        <w:t>133</w:t>
      </w:r>
    </w:p>
    <w:p w14:paraId="6CA3A1C7" w14:textId="77777777" w:rsidR="0071345C" w:rsidRPr="00BE0F20" w:rsidRDefault="0071345C" w:rsidP="0071345C">
      <w:pPr>
        <w:pStyle w:val="TOC4"/>
        <w:tabs>
          <w:tab w:val="clear" w:pos="8786"/>
          <w:tab w:val="right" w:leader="dot" w:pos="8788"/>
        </w:tabs>
        <w:rPr>
          <w:lang w:val="it-IT"/>
        </w:rPr>
      </w:pPr>
      <w:r w:rsidRPr="00BE0F20">
        <w:rPr>
          <w:lang w:val="it-IT"/>
        </w:rPr>
        <w:t xml:space="preserve">non-R̥V </w:t>
      </w:r>
      <w:r w:rsidRPr="00BE0F20">
        <w:rPr>
          <w:i/>
          <w:iCs/>
          <w:lang w:val="it-IT"/>
        </w:rPr>
        <w:t>mantra</w:t>
      </w:r>
      <w:r w:rsidRPr="00BE0F20">
        <w:rPr>
          <w:lang w:val="it-IT"/>
        </w:rPr>
        <w:t>s</w:t>
      </w:r>
      <w:r w:rsidRPr="00BE0F20">
        <w:rPr>
          <w:lang w:val="it-IT"/>
        </w:rPr>
        <w:tab/>
        <w:t>134</w:t>
      </w:r>
    </w:p>
    <w:p w14:paraId="5C824F92" w14:textId="77777777" w:rsidR="0071345C" w:rsidRDefault="0071345C" w:rsidP="0071345C">
      <w:pPr>
        <w:pStyle w:val="TOC4"/>
        <w:tabs>
          <w:tab w:val="clear" w:pos="8786"/>
          <w:tab w:val="right" w:leader="dot" w:pos="8788"/>
        </w:tabs>
      </w:pPr>
      <w:r>
        <w:t>IV.1.2.3. Derivatives that occur only in the Post-R̥gvedic Saṃhitās and Brāhmaṇas.</w:t>
      </w:r>
      <w:r>
        <w:tab/>
        <w:t>135</w:t>
      </w:r>
    </w:p>
    <w:p w14:paraId="0E336CAF" w14:textId="77777777" w:rsidR="0071345C" w:rsidRDefault="0071345C" w:rsidP="0071345C">
      <w:pPr>
        <w:pStyle w:val="TOC4"/>
        <w:tabs>
          <w:tab w:val="clear" w:pos="8786"/>
          <w:tab w:val="right" w:leader="dot" w:pos="8788"/>
        </w:tabs>
      </w:pPr>
      <w:r>
        <w:t xml:space="preserve">a) </w:t>
      </w:r>
      <w:r>
        <w:rPr>
          <w:i/>
          <w:iCs/>
        </w:rPr>
        <w:t>vanuṣvat-</w:t>
      </w:r>
      <w:r>
        <w:tab/>
        <w:t>135</w:t>
      </w:r>
    </w:p>
    <w:p w14:paraId="65DD247A" w14:textId="77777777" w:rsidR="0071345C" w:rsidRDefault="0071345C" w:rsidP="0071345C">
      <w:pPr>
        <w:pStyle w:val="TOC4"/>
        <w:tabs>
          <w:tab w:val="clear" w:pos="8786"/>
          <w:tab w:val="right" w:leader="dot" w:pos="8788"/>
        </w:tabs>
      </w:pPr>
      <w:r>
        <w:t xml:space="preserve">b) </w:t>
      </w:r>
      <w:r>
        <w:rPr>
          <w:i/>
          <w:iCs/>
        </w:rPr>
        <w:t>vaní</w:t>
      </w:r>
      <w:r>
        <w:t>-</w:t>
      </w:r>
      <w:r>
        <w:tab/>
        <w:t>135</w:t>
      </w:r>
    </w:p>
    <w:p w14:paraId="6FCD5148" w14:textId="77777777" w:rsidR="0071345C" w:rsidRDefault="0071345C" w:rsidP="0071345C">
      <w:pPr>
        <w:pStyle w:val="TOC4"/>
        <w:tabs>
          <w:tab w:val="clear" w:pos="8786"/>
          <w:tab w:val="right" w:leader="dot" w:pos="8788"/>
        </w:tabs>
      </w:pPr>
      <w:r>
        <w:t xml:space="preserve">c) </w:t>
      </w:r>
      <w:r>
        <w:rPr>
          <w:i/>
          <w:iCs/>
        </w:rPr>
        <w:t>ványa</w:t>
      </w:r>
      <w:r>
        <w:t>-</w:t>
      </w:r>
      <w:r>
        <w:tab/>
        <w:t>138</w:t>
      </w:r>
    </w:p>
    <w:p w14:paraId="32B425C0" w14:textId="77777777" w:rsidR="0071345C" w:rsidRDefault="0071345C" w:rsidP="0071345C">
      <w:pPr>
        <w:pStyle w:val="TOC4"/>
        <w:tabs>
          <w:tab w:val="clear" w:pos="8786"/>
          <w:tab w:val="right" w:leader="dot" w:pos="8788"/>
        </w:tabs>
      </w:pPr>
      <w:r>
        <w:t xml:space="preserve">d) </w:t>
      </w:r>
      <w:r>
        <w:rPr>
          <w:i/>
          <w:iCs/>
        </w:rPr>
        <w:t>vantu</w:t>
      </w:r>
      <w:r>
        <w:t>-</w:t>
      </w:r>
      <w:r>
        <w:tab/>
        <w:t>142</w:t>
      </w:r>
    </w:p>
    <w:p w14:paraId="4419147C" w14:textId="77777777" w:rsidR="0071345C" w:rsidRDefault="0071345C" w:rsidP="0071345C">
      <w:pPr>
        <w:pStyle w:val="TOC3"/>
        <w:tabs>
          <w:tab w:val="clear" w:pos="8786"/>
          <w:tab w:val="right" w:leader="dot" w:pos="8788"/>
        </w:tabs>
      </w:pPr>
      <w:r w:rsidRPr="00BE0F20">
        <w:rPr>
          <w:highlight w:val="yellow"/>
        </w:rPr>
        <w:t>IV.1.3  Analysis of the nominal derivatives.</w:t>
      </w:r>
      <w:r>
        <w:tab/>
        <w:t>143</w:t>
      </w:r>
    </w:p>
    <w:p w14:paraId="1133BBCE" w14:textId="77777777" w:rsidR="0071345C" w:rsidRDefault="0071345C" w:rsidP="0071345C">
      <w:pPr>
        <w:pStyle w:val="TOC2"/>
        <w:tabs>
          <w:tab w:val="clear" w:pos="8786"/>
          <w:tab w:val="right" w:leader="dot" w:pos="8788"/>
        </w:tabs>
      </w:pPr>
      <w:r>
        <w:t xml:space="preserve">IV.2 The Atharvaveda: diastratic evidences on </w:t>
      </w:r>
      <w:r>
        <w:rPr>
          <w:i/>
          <w:iCs/>
        </w:rPr>
        <w:t>van- / van</w:t>
      </w:r>
      <w:r>
        <w:rPr>
          <w:i/>
          <w:iCs/>
          <w:vertAlign w:val="superscript"/>
        </w:rPr>
        <w:t>i</w:t>
      </w:r>
      <w:r>
        <w:t>- .</w:t>
      </w:r>
      <w:r>
        <w:tab/>
        <w:t>144</w:t>
      </w:r>
    </w:p>
    <w:p w14:paraId="08B890C0" w14:textId="77777777" w:rsidR="0071345C" w:rsidRDefault="0071345C" w:rsidP="0071345C">
      <w:pPr>
        <w:pStyle w:val="TOC3"/>
        <w:tabs>
          <w:tab w:val="clear" w:pos="8786"/>
          <w:tab w:val="right" w:leader="dot" w:pos="8788"/>
        </w:tabs>
      </w:pPr>
      <w:r>
        <w:t>IV.2.1 Atharvaveda occurrences</w:t>
      </w:r>
      <w:r>
        <w:tab/>
        <w:t>144</w:t>
      </w:r>
    </w:p>
    <w:p w14:paraId="2B95D118" w14:textId="77777777" w:rsidR="0071345C" w:rsidRDefault="0071345C" w:rsidP="0071345C">
      <w:pPr>
        <w:pStyle w:val="TOC4"/>
        <w:tabs>
          <w:tab w:val="clear" w:pos="8786"/>
          <w:tab w:val="right" w:leader="dot" w:pos="8788"/>
        </w:tabs>
      </w:pPr>
      <w:r>
        <w:t xml:space="preserve">R̥V </w:t>
      </w:r>
      <w:r>
        <w:rPr>
          <w:i/>
          <w:iCs/>
        </w:rPr>
        <w:t>mantra</w:t>
      </w:r>
      <w:r>
        <w:t>s</w:t>
      </w:r>
      <w:r>
        <w:tab/>
        <w:t>144</w:t>
      </w:r>
    </w:p>
    <w:p w14:paraId="2D835A2A" w14:textId="77777777" w:rsidR="0071345C" w:rsidRDefault="0071345C" w:rsidP="0071345C">
      <w:pPr>
        <w:pStyle w:val="TOC4"/>
        <w:tabs>
          <w:tab w:val="clear" w:pos="8786"/>
          <w:tab w:val="right" w:leader="dot" w:pos="8788"/>
        </w:tabs>
      </w:pPr>
      <w:r>
        <w:t>Non-R̥V</w:t>
      </w:r>
      <w:r>
        <w:rPr>
          <w:i/>
          <w:iCs/>
        </w:rPr>
        <w:t xml:space="preserve"> mantra</w:t>
      </w:r>
      <w:r>
        <w:t>s</w:t>
      </w:r>
      <w:r>
        <w:tab/>
        <w:t>149</w:t>
      </w:r>
    </w:p>
    <w:p w14:paraId="2326CBEF" w14:textId="77777777" w:rsidR="0071345C" w:rsidRPr="00BE0F20" w:rsidRDefault="0071345C" w:rsidP="0071345C">
      <w:pPr>
        <w:pStyle w:val="TOC3"/>
        <w:tabs>
          <w:tab w:val="clear" w:pos="8786"/>
          <w:tab w:val="right" w:leader="dot" w:pos="8788"/>
        </w:tabs>
        <w:rPr>
          <w:highlight w:val="yellow"/>
        </w:rPr>
      </w:pPr>
      <w:r w:rsidRPr="00BE0F20">
        <w:rPr>
          <w:highlight w:val="yellow"/>
        </w:rPr>
        <w:t>IV.2.2 Analysis of the Atharvaveda occurrences</w:t>
      </w:r>
      <w:r w:rsidRPr="00BE0F20">
        <w:rPr>
          <w:highlight w:val="yellow"/>
        </w:rPr>
        <w:tab/>
        <w:t>162</w:t>
      </w:r>
    </w:p>
    <w:p w14:paraId="226A5F07" w14:textId="77777777" w:rsidR="0071345C" w:rsidRPr="00BE0F20" w:rsidRDefault="0071345C" w:rsidP="0071345C">
      <w:pPr>
        <w:pStyle w:val="TOC1"/>
        <w:tabs>
          <w:tab w:val="clear" w:pos="8786"/>
          <w:tab w:val="right" w:leader="dot" w:pos="8788"/>
        </w:tabs>
        <w:rPr>
          <w:highlight w:val="yellow"/>
        </w:rPr>
      </w:pPr>
      <w:r w:rsidRPr="00BE0F20">
        <w:rPr>
          <w:highlight w:val="yellow"/>
        </w:rPr>
        <w:t>V Conclusions.</w:t>
      </w:r>
      <w:r w:rsidRPr="00BE0F20">
        <w:rPr>
          <w:highlight w:val="yellow"/>
        </w:rPr>
        <w:tab/>
        <w:t>166</w:t>
      </w:r>
    </w:p>
    <w:p w14:paraId="65CC42CB" w14:textId="77777777" w:rsidR="0071345C" w:rsidRPr="00BE0F20" w:rsidRDefault="0071345C" w:rsidP="0071345C">
      <w:pPr>
        <w:pStyle w:val="TOC2"/>
        <w:tabs>
          <w:tab w:val="clear" w:pos="8786"/>
          <w:tab w:val="right" w:leader="dot" w:pos="8788"/>
        </w:tabs>
        <w:rPr>
          <w:highlight w:val="yellow"/>
        </w:rPr>
      </w:pPr>
      <w:r w:rsidRPr="00BE0F20">
        <w:rPr>
          <w:highlight w:val="yellow"/>
        </w:rPr>
        <w:t>V.1 Diachronic analysis: A ritual development.</w:t>
      </w:r>
      <w:r w:rsidRPr="00BE0F20">
        <w:rPr>
          <w:highlight w:val="yellow"/>
        </w:rPr>
        <w:tab/>
        <w:t>166</w:t>
      </w:r>
    </w:p>
    <w:p w14:paraId="682B48E0" w14:textId="77777777" w:rsidR="0071345C" w:rsidRDefault="0071345C" w:rsidP="0071345C">
      <w:pPr>
        <w:pStyle w:val="TOC2"/>
        <w:tabs>
          <w:tab w:val="clear" w:pos="8786"/>
          <w:tab w:val="right" w:leader="dot" w:pos="8788"/>
        </w:tabs>
      </w:pPr>
      <w:r w:rsidRPr="00BE0F20">
        <w:rPr>
          <w:highlight w:val="yellow"/>
        </w:rPr>
        <w:t>V.2 Diastratic analysis: A social counterpart?</w:t>
      </w:r>
      <w:r>
        <w:tab/>
        <w:t>167</w:t>
      </w:r>
    </w:p>
    <w:p w14:paraId="5F979F20" w14:textId="77777777" w:rsidR="0071345C" w:rsidRDefault="0071345C" w:rsidP="0071345C">
      <w:pPr>
        <w:pStyle w:val="TOC1"/>
        <w:tabs>
          <w:tab w:val="clear" w:pos="8786"/>
          <w:tab w:val="right" w:leader="dot" w:pos="8788"/>
        </w:tabs>
      </w:pPr>
      <w:r>
        <w:t>VI Appendix</w:t>
      </w:r>
      <w:r>
        <w:tab/>
        <w:t>170</w:t>
      </w:r>
    </w:p>
    <w:p w14:paraId="56C08217" w14:textId="77777777" w:rsidR="0071345C" w:rsidRDefault="0071345C" w:rsidP="0071345C">
      <w:pPr>
        <w:pStyle w:val="TOC2"/>
        <w:tabs>
          <w:tab w:val="clear" w:pos="8786"/>
          <w:tab w:val="right" w:leader="dot" w:pos="8788"/>
        </w:tabs>
      </w:pPr>
      <w:r>
        <w:t>VI.1 Tables.</w:t>
      </w:r>
      <w:r>
        <w:tab/>
        <w:t>170</w:t>
      </w:r>
    </w:p>
    <w:p w14:paraId="324B82AD" w14:textId="77777777" w:rsidR="0071345C" w:rsidRDefault="0071345C" w:rsidP="0071345C">
      <w:pPr>
        <w:pStyle w:val="TOC3"/>
        <w:tabs>
          <w:tab w:val="clear" w:pos="8786"/>
          <w:tab w:val="right" w:leader="dot" w:pos="8788"/>
        </w:tabs>
      </w:pPr>
      <w:r>
        <w:t xml:space="preserve">VI.1.1 Laryngeal and non-laryngeal attestations of the verb in the </w:t>
      </w:r>
      <w:r>
        <w:rPr>
          <w:i/>
          <w:iCs/>
        </w:rPr>
        <w:t>R̥gveda Saṃhitā</w:t>
      </w:r>
      <w:r>
        <w:t>.</w:t>
      </w:r>
      <w:r>
        <w:tab/>
        <w:t>170</w:t>
      </w:r>
    </w:p>
    <w:p w14:paraId="15E0E3EB" w14:textId="77777777" w:rsidR="0071345C" w:rsidRDefault="0071345C" w:rsidP="0071345C">
      <w:pPr>
        <w:pStyle w:val="TOC3"/>
        <w:tabs>
          <w:tab w:val="clear" w:pos="8786"/>
          <w:tab w:val="right" w:leader="dot" w:pos="8788"/>
        </w:tabs>
      </w:pPr>
      <w:r>
        <w:t>VI.1.2 Laryngeal and non-laryngeal attestations of the verb in the Post-R̥gvedic Saṃhitās,  Brāhmaṇas and in the Atharvaveda (barring R̥V-quotations).</w:t>
      </w:r>
      <w:r>
        <w:tab/>
        <w:t>179</w:t>
      </w:r>
    </w:p>
    <w:p w14:paraId="6F946345" w14:textId="77777777" w:rsidR="0071345C" w:rsidRDefault="0071345C" w:rsidP="0071345C">
      <w:pPr>
        <w:pStyle w:val="TOC2"/>
        <w:tabs>
          <w:tab w:val="clear" w:pos="8786"/>
          <w:tab w:val="right" w:leader="dot" w:pos="8788"/>
        </w:tabs>
      </w:pPr>
      <w:r>
        <w:t>VI.2 Data-base</w:t>
      </w:r>
      <w:r>
        <w:tab/>
        <w:t>184</w:t>
      </w:r>
    </w:p>
    <w:p w14:paraId="2AB1310C" w14:textId="77777777" w:rsidR="0071345C" w:rsidRDefault="0071345C" w:rsidP="0071345C">
      <w:pPr>
        <w:pStyle w:val="TOC3"/>
        <w:tabs>
          <w:tab w:val="clear" w:pos="8786"/>
          <w:tab w:val="right" w:leader="dot" w:pos="8788"/>
        </w:tabs>
      </w:pPr>
      <w:r>
        <w:t xml:space="preserve">VI.2.1 Objects of </w:t>
      </w:r>
      <w:r>
        <w:rPr>
          <w:i/>
          <w:iCs/>
        </w:rPr>
        <w:t>van- / van</w:t>
      </w:r>
      <w:r>
        <w:rPr>
          <w:i/>
          <w:iCs/>
          <w:vertAlign w:val="superscript"/>
        </w:rPr>
        <w:t>i</w:t>
      </w:r>
      <w:r>
        <w:t xml:space="preserve">- in the </w:t>
      </w:r>
      <w:r>
        <w:rPr>
          <w:i/>
          <w:iCs/>
        </w:rPr>
        <w:t>R̥gveda Saṃhitā</w:t>
      </w:r>
      <w:r>
        <w:tab/>
        <w:t>184</w:t>
      </w:r>
    </w:p>
    <w:p w14:paraId="6AB3713F" w14:textId="77777777" w:rsidR="0071345C" w:rsidRDefault="0071345C" w:rsidP="0071345C">
      <w:pPr>
        <w:pStyle w:val="TOC3"/>
        <w:tabs>
          <w:tab w:val="clear" w:pos="8786"/>
          <w:tab w:val="right" w:leader="dot" w:pos="8788"/>
        </w:tabs>
      </w:pPr>
      <w:r>
        <w:t xml:space="preserve">VI.2.2 Objects of </w:t>
      </w:r>
      <w:r>
        <w:rPr>
          <w:i/>
          <w:iCs/>
        </w:rPr>
        <w:t>van-/ van</w:t>
      </w:r>
      <w:r>
        <w:rPr>
          <w:i/>
          <w:iCs/>
          <w:vertAlign w:val="superscript"/>
        </w:rPr>
        <w:t>i</w:t>
      </w:r>
      <w:r>
        <w:t>- in the post-R̥gvedic literature</w:t>
      </w:r>
      <w:r>
        <w:tab/>
        <w:t>189</w:t>
      </w:r>
    </w:p>
    <w:p w14:paraId="010C8091" w14:textId="77777777" w:rsidR="0071345C" w:rsidRDefault="0071345C" w:rsidP="0071345C">
      <w:pPr>
        <w:pStyle w:val="TOC1"/>
        <w:tabs>
          <w:tab w:val="clear" w:pos="8786"/>
          <w:tab w:val="right" w:leader="dot" w:pos="8788"/>
        </w:tabs>
      </w:pPr>
      <w:r>
        <w:t>Bibliography</w:t>
      </w:r>
      <w:r>
        <w:tab/>
        <w:t>193</w:t>
      </w:r>
    </w:p>
    <w:p w14:paraId="57ACE5C2" w14:textId="77777777" w:rsidR="0071345C" w:rsidRDefault="0071345C" w:rsidP="0071345C">
      <w:pPr>
        <w:pStyle w:val="TOC2"/>
        <w:tabs>
          <w:tab w:val="clear" w:pos="8786"/>
          <w:tab w:val="right" w:leader="dot" w:pos="8788"/>
        </w:tabs>
      </w:pPr>
      <w:r>
        <w:t>Primary texts and translations</w:t>
      </w:r>
      <w:r>
        <w:tab/>
        <w:t>193</w:t>
      </w:r>
    </w:p>
    <w:p w14:paraId="1EF72E54" w14:textId="77777777" w:rsidR="0071345C" w:rsidRDefault="0071345C" w:rsidP="0071345C">
      <w:pPr>
        <w:pStyle w:val="TOC2"/>
        <w:tabs>
          <w:tab w:val="clear" w:pos="8786"/>
          <w:tab w:val="right" w:leader="dot" w:pos="8788"/>
        </w:tabs>
      </w:pPr>
      <w:r>
        <w:t>Secondary Literature</w:t>
      </w:r>
      <w:r>
        <w:tab/>
        <w:t>196</w:t>
      </w:r>
    </w:p>
    <w:p w14:paraId="0BB90C35" w14:textId="77777777" w:rsidR="0071345C" w:rsidRDefault="0071345C" w:rsidP="0071345C">
      <w:pPr>
        <w:pStyle w:val="TOC1"/>
        <w:tabs>
          <w:tab w:val="clear" w:pos="8786"/>
          <w:tab w:val="right" w:leader="dot" w:pos="8788"/>
        </w:tabs>
      </w:pPr>
      <w:r>
        <w:t>Index Locorum</w:t>
      </w:r>
      <w:r>
        <w:tab/>
        <w:t>207</w:t>
      </w:r>
    </w:p>
    <w:p w14:paraId="20AF8E64" w14:textId="77777777" w:rsidR="0071345C" w:rsidRDefault="0071345C" w:rsidP="0071345C">
      <w:pPr>
        <w:pStyle w:val="Heading1"/>
        <w:numPr>
          <w:ilvl w:val="0"/>
          <w:numId w:val="14"/>
        </w:numPr>
        <w:tabs>
          <w:tab w:val="clear" w:pos="432"/>
          <w:tab w:val="num" w:pos="0"/>
        </w:tabs>
        <w:ind w:left="0" w:firstLine="0"/>
        <w:sectPr w:rsidR="0071345C" w:rsidSect="0071345C">
          <w:headerReference w:type="even" r:id="rId7"/>
          <w:footerReference w:type="even" r:id="rId8"/>
          <w:footerReference w:type="default" r:id="rId9"/>
          <w:footerReference w:type="first" r:id="rId10"/>
          <w:pgSz w:w="11906" w:h="16838"/>
          <w:pgMar w:top="1917" w:right="1418" w:bottom="2235" w:left="1700" w:header="1418" w:footer="1700" w:gutter="0"/>
          <w:pgNumType w:start="1"/>
          <w:cols w:space="720"/>
          <w:formProt w:val="0"/>
          <w:docGrid w:linePitch="600" w:charSpace="38911"/>
        </w:sectPr>
      </w:pPr>
    </w:p>
    <w:p w14:paraId="5CA4C8FA" w14:textId="77777777" w:rsidR="00E53EB6" w:rsidRDefault="00E53EB6" w:rsidP="0071345C">
      <w:pPr>
        <w:pStyle w:val="Heading1"/>
        <w:numPr>
          <w:ilvl w:val="0"/>
          <w:numId w:val="0"/>
        </w:numPr>
      </w:pPr>
    </w:p>
    <w:p w14:paraId="3921C9F2" w14:textId="77777777" w:rsidR="00E53EB6" w:rsidRDefault="006500F5">
      <w:pPr>
        <w:pStyle w:val="Hauptext"/>
        <w:jc w:val="center"/>
      </w:pPr>
      <w:r>
        <w:rPr>
          <w:sz w:val="28"/>
          <w:szCs w:val="28"/>
        </w:rPr>
        <w:t>A</w:t>
      </w:r>
      <w:r>
        <w:rPr>
          <w:sz w:val="28"/>
          <w:szCs w:val="28"/>
        </w:rPr>
        <w:t>cknowledgments</w:t>
      </w:r>
      <w:r>
        <w:t xml:space="preserve"> </w:t>
      </w:r>
    </w:p>
    <w:p w14:paraId="604D15CA" w14:textId="77777777" w:rsidR="00E53EB6" w:rsidRDefault="00E53EB6">
      <w:pPr>
        <w:pStyle w:val="HaupttextohneEinzug"/>
        <w:jc w:val="center"/>
      </w:pPr>
    </w:p>
    <w:p w14:paraId="0849CE2A" w14:textId="4D5A14B3" w:rsidR="00E53EB6" w:rsidRDefault="006500F5">
      <w:pPr>
        <w:pStyle w:val="Hauptext"/>
      </w:pPr>
      <w:r>
        <w:t>As in many other books resuming a research, first thing to</w:t>
      </w:r>
      <w:r>
        <w:t xml:space="preserve"> be said is that the road has been longer than expected and during the travel many people helped me in the most variegated ways to avoid Poseidon in his anger. My parents </w:t>
      </w:r>
      <w:r>
        <w:t>pushed me forward, my colleagues adjusted the route, especially Dr. Frank Koehler who prevented me from taking the easy way out. When the end seemed to vanish away Dr. Werner Knobl reminded me of the wonder of languages, and Dr. Cristina Bignami of that of</w:t>
      </w:r>
      <w:r>
        <w:t xml:space="preserve"> time. I am especially grateful to Prof. Butzenberger for “extracting” from me a road-map and the willing to work it out.</w:t>
      </w:r>
    </w:p>
    <w:p w14:paraId="1276C454" w14:textId="77777777" w:rsidR="00E53EB6" w:rsidRDefault="006500F5">
      <w:pPr>
        <w:pStyle w:val="HaupttextohneEinzug"/>
      </w:pPr>
      <w:r>
        <w:t xml:space="preserve">   Needless to say, all the flaws are mine as I am also responsible for any incompleteness. This is a first step into the study of the</w:t>
      </w:r>
      <w:r>
        <w:t xml:space="preserve"> semantic development of the Vedic language(s) along with the change in its social mosaic. The work could be brought forward thank to the support of the two Universities that sustained the program “co-tutelle de thèse”, the Eberhard Karls Universität of Tü</w:t>
      </w:r>
      <w:r>
        <w:t>bingen and the Università degli Studi of Turin. Moreover, the University of Milan granted me a two years fellowship to study abroad, supporting my first years of research. In Milan I started studying Linguistics under the wise guidance of Prof. Giacomelli,</w:t>
      </w:r>
      <w:r>
        <w:t xml:space="preserve"> and there I was introduced to Sanskrit by the indefatigable care of Prof. Boccali.  Many friends and persons I love were involved in the process, willingly and unwillingly, and I hope that the result will give them back at least part of what they gave me.</w:t>
      </w:r>
      <w:r>
        <w:t xml:space="preserve"> I also wish some stranger will cross upon this book and find some sense it. </w:t>
      </w:r>
    </w:p>
    <w:p w14:paraId="71567E4A" w14:textId="77777777" w:rsidR="00E53EB6" w:rsidRDefault="006500F5">
      <w:pPr>
        <w:pStyle w:val="HaupttextohneEinzug"/>
      </w:pPr>
      <w:r>
        <w:t xml:space="preserve">We all depend on the kindness of strangers. </w:t>
      </w:r>
    </w:p>
    <w:p w14:paraId="1E37CA6E" w14:textId="77777777" w:rsidR="00E53EB6" w:rsidRDefault="00E53EB6">
      <w:pPr>
        <w:pStyle w:val="HaupttextohneEinzug"/>
      </w:pPr>
    </w:p>
    <w:p w14:paraId="5D5DA704" w14:textId="77777777" w:rsidR="00E53EB6" w:rsidRDefault="00E53EB6">
      <w:pPr>
        <w:pStyle w:val="HaupttextohneEinzug"/>
      </w:pPr>
    </w:p>
    <w:p w14:paraId="6CDD221C" w14:textId="77777777" w:rsidR="00E53EB6" w:rsidRDefault="00E53EB6">
      <w:pPr>
        <w:pStyle w:val="HaupttextohneEinzug"/>
      </w:pPr>
    </w:p>
    <w:p w14:paraId="7A728E52" w14:textId="77777777" w:rsidR="00E53EB6" w:rsidRDefault="00E53EB6">
      <w:pPr>
        <w:pStyle w:val="HaupttextohneEinzug"/>
      </w:pPr>
    </w:p>
    <w:p w14:paraId="17CACD43" w14:textId="77777777" w:rsidR="00E53EB6" w:rsidRDefault="006500F5">
      <w:pPr>
        <w:pStyle w:val="Hauptext"/>
        <w:jc w:val="center"/>
        <w:rPr>
          <w:sz w:val="28"/>
          <w:szCs w:val="28"/>
        </w:rPr>
      </w:pPr>
      <w:r>
        <w:rPr>
          <w:sz w:val="28"/>
          <w:szCs w:val="28"/>
        </w:rPr>
        <w:t>List of Abbreviations</w:t>
      </w:r>
    </w:p>
    <w:p w14:paraId="5A31455A" w14:textId="77777777" w:rsidR="00E53EB6" w:rsidRDefault="00E53EB6">
      <w:pPr>
        <w:pStyle w:val="HaupttextohneEinzug"/>
        <w:jc w:val="center"/>
      </w:pPr>
    </w:p>
    <w:p w14:paraId="2F3E6882" w14:textId="77777777" w:rsidR="00E53EB6" w:rsidRDefault="006500F5">
      <w:pPr>
        <w:pStyle w:val="HaupttextohneEinzug"/>
      </w:pPr>
      <w:r>
        <w:t xml:space="preserve">AB: </w:t>
      </w:r>
      <w:r>
        <w:rPr>
          <w:i/>
          <w:iCs/>
        </w:rPr>
        <w:t>Aitareya Brāhma</w:t>
      </w:r>
      <w:r>
        <w:rPr>
          <w:i/>
          <w:iCs/>
        </w:rPr>
        <w:t>ṇ</w:t>
      </w:r>
      <w:r>
        <w:rPr>
          <w:i/>
          <w:iCs/>
        </w:rPr>
        <w:t xml:space="preserve">a  </w:t>
      </w:r>
    </w:p>
    <w:p w14:paraId="083C22C4" w14:textId="77777777" w:rsidR="00E53EB6" w:rsidRDefault="006500F5">
      <w:pPr>
        <w:pStyle w:val="HaupttextohneEinzug"/>
      </w:pPr>
      <w:r>
        <w:t>ahd.: althochdeutsch</w:t>
      </w:r>
    </w:p>
    <w:p w14:paraId="060E5D06" w14:textId="77777777" w:rsidR="00E53EB6" w:rsidRDefault="006500F5">
      <w:pPr>
        <w:pStyle w:val="HaupttextohneEinzug"/>
      </w:pPr>
      <w:r>
        <w:t>ai.: altindisch</w:t>
      </w:r>
    </w:p>
    <w:p w14:paraId="70135BE9" w14:textId="77777777" w:rsidR="00E53EB6" w:rsidRDefault="006500F5">
      <w:pPr>
        <w:pStyle w:val="HaupttextohneEinzug"/>
      </w:pPr>
      <w:r>
        <w:t xml:space="preserve">AVP: </w:t>
      </w:r>
      <w:r>
        <w:rPr>
          <w:i/>
          <w:iCs/>
        </w:rPr>
        <w:t>Atharvaveda Paippalāda Sa</w:t>
      </w:r>
      <w:r>
        <w:rPr>
          <w:i/>
          <w:iCs/>
        </w:rPr>
        <w:t>ṃ</w:t>
      </w:r>
      <w:r>
        <w:rPr>
          <w:i/>
          <w:iCs/>
        </w:rPr>
        <w:t xml:space="preserve">hitā  </w:t>
      </w:r>
    </w:p>
    <w:p w14:paraId="31B9E458" w14:textId="77777777" w:rsidR="00E53EB6" w:rsidRDefault="006500F5">
      <w:pPr>
        <w:pStyle w:val="HaupttextohneEinzug"/>
      </w:pPr>
      <w:r>
        <w:t xml:space="preserve">AVŚ: </w:t>
      </w:r>
      <w:r>
        <w:rPr>
          <w:i/>
          <w:iCs/>
        </w:rPr>
        <w:t>At</w:t>
      </w:r>
      <w:r>
        <w:rPr>
          <w:i/>
          <w:iCs/>
        </w:rPr>
        <w:t>harvaveda Śaunakya Sa</w:t>
      </w:r>
      <w:r>
        <w:rPr>
          <w:i/>
          <w:iCs/>
        </w:rPr>
        <w:t>ṃ</w:t>
      </w:r>
      <w:r>
        <w:rPr>
          <w:i/>
          <w:iCs/>
        </w:rPr>
        <w:t>hitā</w:t>
      </w:r>
    </w:p>
    <w:p w14:paraId="4379D09F" w14:textId="77777777" w:rsidR="00E53EB6" w:rsidRDefault="006500F5">
      <w:pPr>
        <w:pStyle w:val="HaupttextohneEinzug"/>
      </w:pPr>
      <w:r>
        <w:t xml:space="preserve">ĀŚS: </w:t>
      </w:r>
      <w:r>
        <w:rPr>
          <w:i/>
          <w:iCs/>
        </w:rPr>
        <w:t>Āśvalāyana  Śrauta Sūtra</w:t>
      </w:r>
    </w:p>
    <w:p w14:paraId="334536A2" w14:textId="77777777" w:rsidR="00E53EB6" w:rsidRDefault="006500F5">
      <w:pPr>
        <w:pStyle w:val="HaupttextohneEinzug"/>
      </w:pPr>
      <w:r>
        <w:t xml:space="preserve">KpS: </w:t>
      </w:r>
      <w:r>
        <w:rPr>
          <w:i/>
          <w:iCs/>
        </w:rPr>
        <w:t>Kapi</w:t>
      </w:r>
      <w:r>
        <w:rPr>
          <w:i/>
          <w:iCs/>
        </w:rPr>
        <w:t>ṣṭ</w:t>
      </w:r>
      <w:r>
        <w:rPr>
          <w:i/>
          <w:iCs/>
        </w:rPr>
        <w:t>hala Sa</w:t>
      </w:r>
      <w:r>
        <w:rPr>
          <w:i/>
          <w:iCs/>
        </w:rPr>
        <w:t>ṃ</w:t>
      </w:r>
      <w:r>
        <w:rPr>
          <w:i/>
          <w:iCs/>
        </w:rPr>
        <w:t>hitā</w:t>
      </w:r>
      <w:r>
        <w:t xml:space="preserve"> </w:t>
      </w:r>
    </w:p>
    <w:p w14:paraId="014DBAA6" w14:textId="77777777" w:rsidR="00E53EB6" w:rsidRDefault="006500F5">
      <w:pPr>
        <w:pStyle w:val="HaupttextohneEinzug"/>
      </w:pPr>
      <w:r>
        <w:t xml:space="preserve">KS: </w:t>
      </w:r>
      <w:r>
        <w:rPr>
          <w:i/>
          <w:iCs/>
        </w:rPr>
        <w:t>Kā</w:t>
      </w:r>
      <w:r>
        <w:rPr>
          <w:i/>
          <w:iCs/>
        </w:rPr>
        <w:t>ṭ</w:t>
      </w:r>
      <w:r>
        <w:rPr>
          <w:i/>
          <w:iCs/>
        </w:rPr>
        <w:t>ha Sa</w:t>
      </w:r>
      <w:r>
        <w:rPr>
          <w:i/>
          <w:iCs/>
        </w:rPr>
        <w:t>ṃ</w:t>
      </w:r>
      <w:r>
        <w:rPr>
          <w:i/>
          <w:iCs/>
        </w:rPr>
        <w:t>hitā</w:t>
      </w:r>
      <w:r>
        <w:t xml:space="preserve">  </w:t>
      </w:r>
    </w:p>
    <w:p w14:paraId="1DFE24F5" w14:textId="77777777" w:rsidR="00E53EB6" w:rsidRDefault="006500F5">
      <w:pPr>
        <w:pStyle w:val="HaupttextohneEinzug"/>
      </w:pPr>
      <w:r>
        <w:t xml:space="preserve">KauS: </w:t>
      </w:r>
      <w:r>
        <w:rPr>
          <w:i/>
          <w:iCs/>
        </w:rPr>
        <w:t>Kauthuma Sa</w:t>
      </w:r>
      <w:r>
        <w:rPr>
          <w:i/>
          <w:iCs/>
        </w:rPr>
        <w:t>ṃ</w:t>
      </w:r>
      <w:r>
        <w:rPr>
          <w:i/>
          <w:iCs/>
        </w:rPr>
        <w:t xml:space="preserve">hitā  </w:t>
      </w:r>
    </w:p>
    <w:p w14:paraId="39DC9CC1" w14:textId="77777777" w:rsidR="00E53EB6" w:rsidRDefault="006500F5">
      <w:pPr>
        <w:pStyle w:val="HaupttextohneEinzug"/>
      </w:pPr>
      <w:r>
        <w:t xml:space="preserve">KauB: </w:t>
      </w:r>
      <w:r>
        <w:rPr>
          <w:i/>
          <w:iCs/>
        </w:rPr>
        <w:t>Kau</w:t>
      </w:r>
      <w:r>
        <w:rPr>
          <w:i/>
          <w:iCs/>
        </w:rPr>
        <w:t>ṣ</w:t>
      </w:r>
      <w:r>
        <w:rPr>
          <w:i/>
          <w:iCs/>
        </w:rPr>
        <w:t>ītaki Brāhma</w:t>
      </w:r>
      <w:r>
        <w:rPr>
          <w:i/>
          <w:iCs/>
        </w:rPr>
        <w:t>ṇ</w:t>
      </w:r>
      <w:r>
        <w:rPr>
          <w:i/>
          <w:iCs/>
        </w:rPr>
        <w:t>a</w:t>
      </w:r>
    </w:p>
    <w:p w14:paraId="5F765D9C" w14:textId="77777777" w:rsidR="00E53EB6" w:rsidRDefault="006500F5">
      <w:pPr>
        <w:pStyle w:val="HaupttextohneEinzug"/>
      </w:pPr>
      <w:r>
        <w:rPr>
          <w:i/>
          <w:iCs/>
        </w:rPr>
        <w:t>JAOS: Journal of American Oriental Society</w:t>
      </w:r>
      <w:r>
        <w:t xml:space="preserve">  </w:t>
      </w:r>
    </w:p>
    <w:p w14:paraId="5AF20263" w14:textId="77777777" w:rsidR="00E53EB6" w:rsidRDefault="006500F5">
      <w:pPr>
        <w:pStyle w:val="HaupttextohneEinzug"/>
      </w:pPr>
      <w:r>
        <w:t xml:space="preserve">JS: </w:t>
      </w:r>
      <w:r>
        <w:rPr>
          <w:i/>
          <w:iCs/>
        </w:rPr>
        <w:t>Jaiminīya Sa</w:t>
      </w:r>
      <w:r>
        <w:rPr>
          <w:i/>
          <w:iCs/>
        </w:rPr>
        <w:t>ṃ</w:t>
      </w:r>
      <w:r>
        <w:rPr>
          <w:i/>
          <w:iCs/>
        </w:rPr>
        <w:t xml:space="preserve">hitā </w:t>
      </w:r>
      <w:r>
        <w:t xml:space="preserve"> </w:t>
      </w:r>
    </w:p>
    <w:p w14:paraId="11526C34" w14:textId="77777777" w:rsidR="00E53EB6" w:rsidRDefault="006500F5">
      <w:pPr>
        <w:pStyle w:val="HaupttextohneEinzug"/>
      </w:pPr>
      <w:r>
        <w:t xml:space="preserve">MhB: </w:t>
      </w:r>
      <w:r>
        <w:rPr>
          <w:i/>
          <w:iCs/>
        </w:rPr>
        <w:t>Mahābhārata</w:t>
      </w:r>
    </w:p>
    <w:p w14:paraId="220DD15F" w14:textId="77777777" w:rsidR="00E53EB6" w:rsidRDefault="006500F5">
      <w:pPr>
        <w:pStyle w:val="HaupttextohneEinzug"/>
      </w:pPr>
      <w:r>
        <w:t xml:space="preserve">MS: </w:t>
      </w:r>
      <w:r>
        <w:rPr>
          <w:i/>
          <w:iCs/>
        </w:rPr>
        <w:t>Maitrayā</w:t>
      </w:r>
      <w:r>
        <w:rPr>
          <w:i/>
          <w:iCs/>
        </w:rPr>
        <w:t>ṇ</w:t>
      </w:r>
      <w:r>
        <w:rPr>
          <w:i/>
          <w:iCs/>
        </w:rPr>
        <w:t>ī Sā</w:t>
      </w:r>
      <w:r>
        <w:rPr>
          <w:i/>
          <w:iCs/>
        </w:rPr>
        <w:t>ṃ</w:t>
      </w:r>
      <w:r>
        <w:rPr>
          <w:i/>
          <w:iCs/>
        </w:rPr>
        <w:t>hitā</w:t>
      </w:r>
      <w:r>
        <w:t xml:space="preserve">  </w:t>
      </w:r>
    </w:p>
    <w:p w14:paraId="0725F21F" w14:textId="77777777" w:rsidR="00E53EB6" w:rsidRDefault="006500F5">
      <w:pPr>
        <w:pStyle w:val="HaupttextohneEinzug"/>
      </w:pPr>
      <w:r>
        <w:t xml:space="preserve">R̥V: </w:t>
      </w:r>
      <w:r>
        <w:rPr>
          <w:i/>
          <w:iCs/>
        </w:rPr>
        <w:t>R̥gveda Sa</w:t>
      </w:r>
      <w:r>
        <w:rPr>
          <w:i/>
          <w:iCs/>
        </w:rPr>
        <w:t>ṃ</w:t>
      </w:r>
      <w:r>
        <w:rPr>
          <w:i/>
          <w:iCs/>
        </w:rPr>
        <w:t>hitā</w:t>
      </w:r>
      <w:r>
        <w:t xml:space="preserve">   </w:t>
      </w:r>
    </w:p>
    <w:p w14:paraId="55C6431C" w14:textId="77777777" w:rsidR="00E53EB6" w:rsidRDefault="006500F5">
      <w:pPr>
        <w:pStyle w:val="HaupttextohneEinzug"/>
      </w:pPr>
      <w:r>
        <w:t xml:space="preserve">TB: </w:t>
      </w:r>
      <w:r>
        <w:rPr>
          <w:i/>
          <w:iCs/>
        </w:rPr>
        <w:t>Taittirīya Brāhma</w:t>
      </w:r>
      <w:r>
        <w:rPr>
          <w:i/>
          <w:iCs/>
        </w:rPr>
        <w:t>ṇ</w:t>
      </w:r>
      <w:r>
        <w:rPr>
          <w:i/>
          <w:iCs/>
        </w:rPr>
        <w:t>a</w:t>
      </w:r>
      <w:r>
        <w:t xml:space="preserve">  </w:t>
      </w:r>
    </w:p>
    <w:p w14:paraId="32097DB0" w14:textId="77777777" w:rsidR="00E53EB6" w:rsidRDefault="006500F5">
      <w:pPr>
        <w:pStyle w:val="HaupttextohneEinzug"/>
      </w:pPr>
      <w:r>
        <w:t xml:space="preserve">TS: </w:t>
      </w:r>
      <w:r>
        <w:rPr>
          <w:i/>
          <w:iCs/>
        </w:rPr>
        <w:t>Taittirīya Sa</w:t>
      </w:r>
      <w:r>
        <w:rPr>
          <w:i/>
          <w:iCs/>
        </w:rPr>
        <w:t>ṃ</w:t>
      </w:r>
      <w:r>
        <w:rPr>
          <w:i/>
          <w:iCs/>
        </w:rPr>
        <w:t>hitā</w:t>
      </w:r>
      <w:r>
        <w:t xml:space="preserve"> </w:t>
      </w:r>
    </w:p>
    <w:p w14:paraId="31278DB9" w14:textId="77777777" w:rsidR="00E53EB6" w:rsidRDefault="006500F5">
      <w:pPr>
        <w:pStyle w:val="HaupttextohneEinzug"/>
      </w:pPr>
      <w:r>
        <w:t xml:space="preserve">ŚB: </w:t>
      </w:r>
      <w:r>
        <w:rPr>
          <w:i/>
          <w:iCs/>
        </w:rPr>
        <w:t>Śatapatha Brāhma</w:t>
      </w:r>
      <w:r>
        <w:rPr>
          <w:i/>
          <w:iCs/>
        </w:rPr>
        <w:t>ṇ</w:t>
      </w:r>
      <w:r>
        <w:rPr>
          <w:i/>
          <w:iCs/>
        </w:rPr>
        <w:t>a,</w:t>
      </w:r>
      <w:r>
        <w:t xml:space="preserve"> Mādhya</w:t>
      </w:r>
      <w:r>
        <w:t>ṃ</w:t>
      </w:r>
      <w:r>
        <w:t xml:space="preserve">dina recension </w:t>
      </w:r>
    </w:p>
    <w:p w14:paraId="5574C24E" w14:textId="77777777" w:rsidR="00E53EB6" w:rsidRDefault="006500F5">
      <w:pPr>
        <w:pStyle w:val="HaupttextohneEinzug"/>
        <w:sectPr w:rsidR="00E53EB6" w:rsidSect="0071345C">
          <w:pgSz w:w="11906" w:h="16838"/>
          <w:pgMar w:top="1917" w:right="1418" w:bottom="2235" w:left="1700" w:header="1418" w:footer="1700" w:gutter="0"/>
          <w:pgNumType w:start="1"/>
          <w:cols w:space="720"/>
          <w:formProt w:val="0"/>
          <w:docGrid w:linePitch="600" w:charSpace="38911"/>
        </w:sectPr>
      </w:pPr>
      <w:r>
        <w:t xml:space="preserve">VS: </w:t>
      </w:r>
      <w:r>
        <w:rPr>
          <w:i/>
          <w:iCs/>
        </w:rPr>
        <w:t>Vājasaneyi Sa</w:t>
      </w:r>
      <w:r>
        <w:rPr>
          <w:i/>
          <w:iCs/>
        </w:rPr>
        <w:t>ṃ</w:t>
      </w:r>
      <w:r>
        <w:rPr>
          <w:i/>
          <w:iCs/>
        </w:rPr>
        <w:t>hitā</w:t>
      </w:r>
      <w:r>
        <w:t>, Mādhya</w:t>
      </w:r>
      <w:r>
        <w:t>ṃ</w:t>
      </w:r>
      <w:r>
        <w:t xml:space="preserve">dina recension </w:t>
      </w:r>
    </w:p>
    <w:p w14:paraId="7B4F0AD7" w14:textId="77777777" w:rsidR="00E53EB6" w:rsidRDefault="006500F5">
      <w:pPr>
        <w:pStyle w:val="Heading1"/>
        <w:tabs>
          <w:tab w:val="left" w:pos="0"/>
        </w:tabs>
      </w:pPr>
      <w:r>
        <w:lastRenderedPageBreak/>
        <w:t>Introduction</w:t>
      </w:r>
    </w:p>
    <w:p w14:paraId="225FD883" w14:textId="77777777" w:rsidR="00E53EB6" w:rsidRDefault="006500F5">
      <w:pPr>
        <w:pStyle w:val="Hauptext"/>
      </w:pPr>
      <w:r>
        <w:t xml:space="preserve">The present research was conceived within the scope of an investigation on the Vedic verbal root </w:t>
      </w:r>
      <w:r>
        <w:rPr>
          <w:i/>
          <w:iCs/>
        </w:rPr>
        <w:t>v</w:t>
      </w:r>
      <w:r>
        <w:rPr>
          <w:rFonts w:eastAsia="SabonUnicode" w:cs="SabonUnicode"/>
          <w:i/>
          <w:iCs/>
          <w:szCs w:val="21"/>
        </w:rPr>
        <w:t>an- / van</w:t>
      </w:r>
      <w:r>
        <w:rPr>
          <w:rFonts w:eastAsia="SabonUnicode" w:cs="SabonUnicode"/>
          <w:i/>
          <w:iCs/>
          <w:szCs w:val="21"/>
          <w:vertAlign w:val="superscript"/>
        </w:rPr>
        <w:t>i</w:t>
      </w:r>
      <w:r>
        <w:rPr>
          <w:rFonts w:eastAsia="SabonUnicode" w:cs="SabonUnicode"/>
          <w:szCs w:val="21"/>
        </w:rPr>
        <w:t>- and its semantic development along</w:t>
      </w:r>
      <w:r>
        <w:t xml:space="preserve"> the timespan between the ea</w:t>
      </w:r>
      <w:r>
        <w:t>rliest Vedic literary production and the texts that we have as immediate subsequent attestations. As is well known, this is a period of recasting and mutation involving the whole Vedic culture</w:t>
      </w:r>
      <w:r>
        <w:rPr>
          <w:rStyle w:val="FootnoteAnchor"/>
        </w:rPr>
        <w:footnoteReference w:id="1"/>
      </w:r>
      <w:r>
        <w:t xml:space="preserve">; therefore the textual sources shall be addressed within the </w:t>
      </w:r>
      <w:r>
        <w:t>wider context of the cultural and social mutations, and yet t</w:t>
      </w:r>
      <w:r>
        <w:rPr>
          <w:rFonts w:eastAsia="SabonUnicode" w:cs="SabonUnicode"/>
          <w:szCs w:val="21"/>
        </w:rPr>
        <w:t>here are two reasons for concentrating on a single verbal root.</w:t>
      </w:r>
    </w:p>
    <w:p w14:paraId="5201DD8D" w14:textId="77777777" w:rsidR="00E53EB6" w:rsidRDefault="006500F5">
      <w:pPr>
        <w:pStyle w:val="Hauptext"/>
      </w:pPr>
      <w:r>
        <w:rPr>
          <w:rFonts w:eastAsia="SabonUnicode" w:cs="SabonUnicode"/>
          <w:szCs w:val="21"/>
        </w:rPr>
        <w:t>On one hand, the idea that a single root could be a good means to go through such different linguistic strata, playing – as it were – the role of a trill. In this way there is the opportunity to approach the question of the development and semantic changes</w:t>
      </w:r>
      <w:r>
        <w:rPr>
          <w:rFonts w:eastAsia="SabonUnicode" w:cs="SabonUnicode"/>
          <w:szCs w:val="21"/>
        </w:rPr>
        <w:t xml:space="preserve"> of the Vedic language deploying as tiny and delimited a tool as a single verbal root, so as to attempt an analysis and outline of the strata where the different meanings occur and consider the relation between them. It is patent that this research does no</w:t>
      </w:r>
      <w:r>
        <w:rPr>
          <w:rFonts w:eastAsia="SabonUnicode" w:cs="SabonUnicode"/>
          <w:szCs w:val="21"/>
        </w:rPr>
        <w:t xml:space="preserve">t aim to offer a thorough panorama of the changes involving the Vedic language, but rather derives from the intention to furnish more data as to the actual development within the lexicon along the timespan between the </w:t>
      </w:r>
      <w:r>
        <w:rPr>
          <w:rFonts w:eastAsia="SabonUnicode" w:cs="SabonUnicode"/>
          <w:i/>
          <w:iCs/>
          <w:szCs w:val="21"/>
        </w:rPr>
        <w:t>R̥gveda Sa</w:t>
      </w:r>
      <w:r>
        <w:rPr>
          <w:rFonts w:eastAsia="SabonUnicode" w:cs="SabonUnicode"/>
          <w:i/>
          <w:iCs/>
          <w:szCs w:val="21"/>
        </w:rPr>
        <w:t>ṃ</w:t>
      </w:r>
      <w:r>
        <w:rPr>
          <w:rFonts w:eastAsia="SabonUnicode" w:cs="SabonUnicode"/>
          <w:i/>
          <w:iCs/>
          <w:szCs w:val="21"/>
        </w:rPr>
        <w:t xml:space="preserve">hitā </w:t>
      </w:r>
      <w:r>
        <w:rPr>
          <w:rFonts w:eastAsia="SabonUnicode" w:cs="SabonUnicode"/>
          <w:szCs w:val="21"/>
        </w:rPr>
        <w:t>and the Brāhma</w:t>
      </w:r>
      <w:r>
        <w:rPr>
          <w:rFonts w:eastAsia="SabonUnicode" w:cs="SabonUnicode"/>
          <w:szCs w:val="21"/>
        </w:rPr>
        <w:t>ṇ</w:t>
      </w:r>
      <w:r>
        <w:rPr>
          <w:rFonts w:eastAsia="SabonUnicode" w:cs="SabonUnicode"/>
          <w:szCs w:val="21"/>
        </w:rPr>
        <w:t xml:space="preserve">as. </w:t>
      </w:r>
    </w:p>
    <w:p w14:paraId="2C9D3A66" w14:textId="77777777" w:rsidR="00E53EB6" w:rsidRDefault="006500F5">
      <w:pPr>
        <w:pStyle w:val="Hauptext"/>
      </w:pPr>
      <w:r>
        <w:rPr>
          <w:rFonts w:eastAsia="SabonUnicode" w:cs="SabonUnicode"/>
          <w:szCs w:val="21"/>
        </w:rPr>
        <w:t>On</w:t>
      </w:r>
      <w:r>
        <w:rPr>
          <w:rFonts w:eastAsia="SabonUnicode" w:cs="SabonUnicode"/>
          <w:szCs w:val="21"/>
        </w:rPr>
        <w:t xml:space="preserve"> the other hand, this verbal root entails a semantic and morphological duplicity: at the Indo-European level it already seems possible to outline two forms (</w:t>
      </w:r>
      <w:r>
        <w:rPr>
          <w:rFonts w:eastAsia="SabonUnicode" w:cs="SabonUnicode"/>
          <w:i/>
          <w:iCs/>
          <w:szCs w:val="21"/>
        </w:rPr>
        <w:t>*u̯en / *u̯en-H</w:t>
      </w:r>
      <w:r>
        <w:rPr>
          <w:rFonts w:eastAsia="SabonUnicode" w:cs="SabonUnicode"/>
          <w:szCs w:val="21"/>
        </w:rPr>
        <w:t>)</w:t>
      </w:r>
      <w:r>
        <w:rPr>
          <w:rFonts w:eastAsia="SabonUnicode" w:cs="SabonUnicode"/>
          <w:i/>
          <w:iCs/>
          <w:szCs w:val="21"/>
        </w:rPr>
        <w:t xml:space="preserve"> </w:t>
      </w:r>
      <w:r>
        <w:rPr>
          <w:rFonts w:eastAsia="SabonUnicode" w:cs="SabonUnicode"/>
          <w:szCs w:val="21"/>
        </w:rPr>
        <w:t>and to conjecture two different meanings “to win” and “to desire”. While in all th</w:t>
      </w:r>
      <w:r>
        <w:rPr>
          <w:rFonts w:eastAsia="SabonUnicode" w:cs="SabonUnicode"/>
          <w:szCs w:val="21"/>
        </w:rPr>
        <w:t>e other groups of the Indo-European family the semantic alternation is not to be found in a single language -bar for minor residuum, in the Vedic literature, instead, both forms occur and seem to convey different meanings through the different strata of th</w:t>
      </w:r>
      <w:r>
        <w:rPr>
          <w:rFonts w:eastAsia="SabonUnicode" w:cs="SabonUnicode"/>
          <w:szCs w:val="21"/>
        </w:rPr>
        <w:t xml:space="preserve">e </w:t>
      </w:r>
      <w:r>
        <w:rPr>
          <w:rFonts w:eastAsia="SabonUnicode" w:cs="SabonUnicode"/>
          <w:i/>
          <w:iCs/>
          <w:szCs w:val="21"/>
        </w:rPr>
        <w:t>corpus.</w:t>
      </w:r>
      <w:r>
        <w:rPr>
          <w:rFonts w:eastAsia="SabonUnicode" w:cs="SabonUnicode"/>
          <w:szCs w:val="21"/>
        </w:rPr>
        <w:t xml:space="preserve"> </w:t>
      </w:r>
    </w:p>
    <w:p w14:paraId="26D61C2B" w14:textId="77777777" w:rsidR="00E53EB6" w:rsidRDefault="006500F5">
      <w:pPr>
        <w:pStyle w:val="Hauptext"/>
      </w:pPr>
      <w:r>
        <w:rPr>
          <w:rFonts w:eastAsia="SabonUnicode" w:cs="SabonUnicode"/>
          <w:szCs w:val="21"/>
        </w:rPr>
        <w:t xml:space="preserve">In the first chapter of the book we will take into consideration the linguistic issue with regard to the two Indo-European roots that can be reconstructed: a simple form and one with laryngeal suffix, </w:t>
      </w:r>
      <w:r>
        <w:rPr>
          <w:rFonts w:eastAsia="SabonUnicode" w:cs="SabonUnicode"/>
          <w:i/>
          <w:iCs/>
          <w:szCs w:val="21"/>
        </w:rPr>
        <w:t>*u̯en / *u̯en-H</w:t>
      </w:r>
      <w:r>
        <w:rPr>
          <w:rFonts w:eastAsia="SabonUnicode" w:cs="SabonUnicode"/>
          <w:szCs w:val="21"/>
        </w:rPr>
        <w:t>. We will have first to addre</w:t>
      </w:r>
      <w:r>
        <w:rPr>
          <w:rFonts w:eastAsia="SabonUnicode" w:cs="SabonUnicode"/>
          <w:szCs w:val="21"/>
        </w:rPr>
        <w:t xml:space="preserve">ss the question whether there is a symmetry between the two linguistic forms and the two possible meanings that are reckoned at the Indo-European level. </w:t>
      </w:r>
      <w:r>
        <w:t>There are two main positions: to acknowledge this symmetry and try to trace it in the historical attest</w:t>
      </w:r>
      <w:r>
        <w:t>ation of the roots, or to speculate that the two meanings cannot be apportioned to the two roots. Scholars sustaining this second position mainly cull one of the two meanings as the “primary” one, anyway postulating a continuum between the Indo-European le</w:t>
      </w:r>
      <w:r>
        <w:t xml:space="preserve">vel and the historical occurrences. Although we will sustain a position which is slightly different from both, we still have to recognise that the problem is far from being settled.  </w:t>
      </w:r>
    </w:p>
    <w:p w14:paraId="7F03718A" w14:textId="77777777" w:rsidR="00E53EB6" w:rsidRDefault="006500F5">
      <w:pPr>
        <w:pStyle w:val="Hauptext"/>
      </w:pPr>
      <w:r>
        <w:rPr>
          <w:rFonts w:eastAsia="SabonUnicode" w:cs="SabonUnicode"/>
          <w:szCs w:val="21"/>
        </w:rPr>
        <w:t>The working hypothesis is that none of the two meanings given at t</w:t>
      </w:r>
      <w:r>
        <w:rPr>
          <w:rFonts w:eastAsia="SabonUnicode" w:cs="SabonUnicode"/>
          <w:szCs w:val="21"/>
        </w:rPr>
        <w:t xml:space="preserve">he Indo-European level can be considered as the main meaning in the Vedic period where the distinction between the two roots blurs into a single </w:t>
      </w:r>
      <w:r>
        <w:rPr>
          <w:rFonts w:eastAsia="SabonUnicode" w:cs="SabonUnicode"/>
          <w:color w:val="000000"/>
          <w:szCs w:val="21"/>
        </w:rPr>
        <w:t>paradigm</w:t>
      </w:r>
      <w:r>
        <w:rPr>
          <w:rFonts w:eastAsia="SabonUnicode" w:cs="SabonUnicode"/>
          <w:szCs w:val="21"/>
        </w:rPr>
        <w:t>. Thus, I speculate a coalescence of the reconstructed verbal roots. It is worth underlying that this p</w:t>
      </w:r>
      <w:r>
        <w:rPr>
          <w:rFonts w:eastAsia="SabonUnicode" w:cs="SabonUnicode"/>
          <w:szCs w:val="21"/>
        </w:rPr>
        <w:t xml:space="preserve">rocess has left no traces and that we must assume a hiatus between the two Indo-European forms (that we may name </w:t>
      </w:r>
      <w:r>
        <w:rPr>
          <w:rFonts w:eastAsia="SabonUnicode" w:cs="SabonUnicode"/>
          <w:i/>
          <w:iCs/>
          <w:szCs w:val="21"/>
        </w:rPr>
        <w:t>van</w:t>
      </w:r>
      <w:r>
        <w:rPr>
          <w:rFonts w:eastAsia="SabonUnicode" w:cs="SabonUnicode"/>
          <w:i/>
          <w:iCs/>
          <w:szCs w:val="21"/>
          <w:vertAlign w:val="subscript"/>
        </w:rPr>
        <w:t>1</w:t>
      </w:r>
      <w:r>
        <w:rPr>
          <w:rFonts w:eastAsia="SabonUnicode" w:cs="SabonUnicode"/>
          <w:i/>
          <w:iCs/>
          <w:szCs w:val="21"/>
        </w:rPr>
        <w:t xml:space="preserve"> </w:t>
      </w:r>
      <w:r>
        <w:rPr>
          <w:rFonts w:eastAsia="SabonUnicode" w:cs="SabonUnicode"/>
          <w:szCs w:val="21"/>
        </w:rPr>
        <w:t xml:space="preserve">and </w:t>
      </w:r>
      <w:r>
        <w:rPr>
          <w:rFonts w:eastAsia="SabonUnicode" w:cs="SabonUnicode"/>
          <w:i/>
          <w:iCs/>
          <w:szCs w:val="21"/>
        </w:rPr>
        <w:t>van</w:t>
      </w:r>
      <w:r>
        <w:rPr>
          <w:rFonts w:eastAsia="SabonUnicode" w:cs="SabonUnicode"/>
          <w:i/>
          <w:iCs/>
          <w:szCs w:val="21"/>
          <w:vertAlign w:val="subscript"/>
        </w:rPr>
        <w:t>2</w:t>
      </w:r>
      <w:r>
        <w:rPr>
          <w:rFonts w:eastAsia="SabonUnicode" w:cs="SabonUnicode"/>
          <w:szCs w:val="21"/>
        </w:rPr>
        <w:t xml:space="preserve">) and the Vedic outcome (that we would than name </w:t>
      </w:r>
      <w:r>
        <w:rPr>
          <w:rFonts w:eastAsia="SabonUnicode" w:cs="SabonUnicode"/>
          <w:i/>
          <w:iCs/>
          <w:szCs w:val="21"/>
        </w:rPr>
        <w:t>van</w:t>
      </w:r>
      <w:r>
        <w:rPr>
          <w:rFonts w:eastAsia="SabonUnicode" w:cs="SabonUnicode"/>
          <w:i/>
          <w:iCs/>
          <w:szCs w:val="21"/>
          <w:vertAlign w:val="subscript"/>
        </w:rPr>
        <w:t>3</w:t>
      </w:r>
      <w:r>
        <w:rPr>
          <w:rFonts w:eastAsia="SabonUnicode" w:cs="SabonUnicode"/>
          <w:szCs w:val="21"/>
        </w:rPr>
        <w:t>), in which the two Indo-European forms have merged.</w:t>
      </w:r>
    </w:p>
    <w:p w14:paraId="4227A5C2" w14:textId="77777777" w:rsidR="00E53EB6" w:rsidRDefault="006500F5">
      <w:pPr>
        <w:pStyle w:val="Hauptext"/>
      </w:pPr>
      <w:r>
        <w:t xml:space="preserve"> Bearing in mind this hi</w:t>
      </w:r>
      <w:r>
        <w:t xml:space="preserve">atus, we are not allowed to trace any duplicity of the verb we may find in the later data, that is in the Vedic texts, back to the Indo-European level. </w:t>
      </w:r>
      <w:r>
        <w:rPr>
          <w:rFonts w:eastAsia="SabonUnicode" w:cs="SabonUnicode"/>
          <w:szCs w:val="21"/>
        </w:rPr>
        <w:t>This means that whenever we are taking into consideration the Vedic material, we are dealing with the ou</w:t>
      </w:r>
      <w:r>
        <w:rPr>
          <w:rFonts w:eastAsia="SabonUnicode" w:cs="SabonUnicode"/>
          <w:szCs w:val="21"/>
        </w:rPr>
        <w:t xml:space="preserve">tcome that we called </w:t>
      </w:r>
      <w:r>
        <w:rPr>
          <w:rFonts w:eastAsia="SabonUnicode" w:cs="SabonUnicode"/>
          <w:i/>
          <w:iCs/>
          <w:szCs w:val="21"/>
        </w:rPr>
        <w:t>van</w:t>
      </w:r>
      <w:r>
        <w:rPr>
          <w:rFonts w:eastAsia="SabonUnicode" w:cs="SabonUnicode"/>
          <w:i/>
          <w:iCs/>
          <w:szCs w:val="21"/>
          <w:vertAlign w:val="subscript"/>
        </w:rPr>
        <w:t>3</w:t>
      </w:r>
      <w:r>
        <w:rPr>
          <w:rFonts w:eastAsia="SabonUnicode" w:cs="SabonUnicode"/>
          <w:i/>
          <w:iCs/>
          <w:szCs w:val="21"/>
        </w:rPr>
        <w:t>.</w:t>
      </w:r>
    </w:p>
    <w:p w14:paraId="060EC93D" w14:textId="77777777" w:rsidR="00E53EB6" w:rsidRDefault="006500F5">
      <w:pPr>
        <w:pStyle w:val="Hauptext"/>
      </w:pPr>
      <w:r>
        <w:rPr>
          <w:rFonts w:ascii="SabonUnicode" w:eastAsia="SabonUnicode" w:hAnsi="SabonUnicode" w:cs="SabonUnicode"/>
          <w:szCs w:val="21"/>
        </w:rPr>
        <w:t>The core of the work will focus on the semantics of the Vedic outcome; in the second chapter we will first pick over the R̥gvedic occurrences of the verbal root -</w:t>
      </w:r>
      <w:r>
        <w:rPr>
          <w:rFonts w:ascii="SabonUnicode" w:eastAsia="SabonUnicode" w:hAnsi="SabonUnicode" w:cs="SabonUnicode"/>
          <w:i/>
          <w:iCs/>
          <w:szCs w:val="21"/>
        </w:rPr>
        <w:t>van</w:t>
      </w:r>
      <w:r>
        <w:rPr>
          <w:rFonts w:ascii="SabonUnicode" w:eastAsia="SabonUnicode" w:hAnsi="SabonUnicode" w:cs="SabonUnicode"/>
          <w:i/>
          <w:iCs/>
          <w:szCs w:val="21"/>
          <w:vertAlign w:val="subscript"/>
        </w:rPr>
        <w:t>3</w:t>
      </w:r>
      <w:r>
        <w:rPr>
          <w:rFonts w:ascii="SabonUnicode" w:eastAsia="SabonUnicode" w:hAnsi="SabonUnicode" w:cs="SabonUnicode"/>
          <w:i/>
          <w:iCs/>
          <w:szCs w:val="21"/>
        </w:rPr>
        <w:t>,</w:t>
      </w:r>
      <w:r>
        <w:rPr>
          <w:rFonts w:ascii="SabonUnicode" w:eastAsia="SabonUnicode" w:hAnsi="SabonUnicode" w:cs="SabonUnicode"/>
          <w:szCs w:val="21"/>
        </w:rPr>
        <w:t xml:space="preserve"> henceforth also referred to as</w:t>
      </w:r>
      <w:r>
        <w:rPr>
          <w:rFonts w:ascii="SabonUnicode" w:eastAsia="SabonUnicode" w:hAnsi="SabonUnicode" w:cs="SabonUnicode"/>
          <w:i/>
          <w:iCs/>
          <w:szCs w:val="21"/>
        </w:rPr>
        <w:t xml:space="preserve"> </w:t>
      </w:r>
      <w:r>
        <w:rPr>
          <w:rFonts w:eastAsia="SabonUnicode" w:cs="SabonUnicode"/>
          <w:i/>
          <w:iCs/>
          <w:szCs w:val="21"/>
        </w:rPr>
        <w:t xml:space="preserve">van- / </w:t>
      </w:r>
      <w:r>
        <w:rPr>
          <w:rFonts w:eastAsia="SabonUnicode" w:cs="SabonUnicode"/>
          <w:i/>
          <w:iCs/>
          <w:szCs w:val="21"/>
        </w:rPr>
        <w:lastRenderedPageBreak/>
        <w:t>van</w:t>
      </w:r>
      <w:r>
        <w:rPr>
          <w:rFonts w:eastAsia="SabonUnicode" w:cs="SabonUnicode"/>
          <w:i/>
          <w:iCs/>
          <w:szCs w:val="21"/>
          <w:vertAlign w:val="superscript"/>
        </w:rPr>
        <w:t>i</w:t>
      </w:r>
      <w:r>
        <w:rPr>
          <w:rFonts w:eastAsia="SabonUnicode" w:cs="SabonUnicode"/>
          <w:szCs w:val="21"/>
        </w:rPr>
        <w:t>-</w:t>
      </w:r>
      <w:r>
        <w:rPr>
          <w:rFonts w:ascii="SabonUnicode" w:eastAsia="SabonUnicode" w:hAnsi="SabonUnicode" w:cs="SabonUnicode"/>
          <w:szCs w:val="21"/>
        </w:rPr>
        <w:t xml:space="preserve">. The functional analysis let us pinpoint two type of readings: a nuclear meaning that is deployed in most of the occurrences of the </w:t>
      </w:r>
      <w:r>
        <w:rPr>
          <w:rFonts w:ascii="SabonUnicode" w:eastAsia="SabonUnicode" w:hAnsi="SabonUnicode" w:cs="SabonUnicode"/>
          <w:i/>
          <w:iCs/>
          <w:szCs w:val="21"/>
        </w:rPr>
        <w:t>R̥gveda Sa</w:t>
      </w:r>
      <w:r>
        <w:rPr>
          <w:rFonts w:ascii="SabonUnicode" w:eastAsia="SabonUnicode" w:hAnsi="SabonUnicode" w:cs="SabonUnicode"/>
          <w:i/>
          <w:iCs/>
          <w:szCs w:val="21"/>
        </w:rPr>
        <w:t>ṃ</w:t>
      </w:r>
      <w:r>
        <w:rPr>
          <w:rFonts w:ascii="SabonUnicode" w:eastAsia="SabonUnicode" w:hAnsi="SabonUnicode" w:cs="SabonUnicode"/>
          <w:i/>
          <w:iCs/>
          <w:szCs w:val="21"/>
        </w:rPr>
        <w:t>hitā</w:t>
      </w:r>
      <w:r>
        <w:rPr>
          <w:rFonts w:ascii="SabonUnicode" w:eastAsia="SabonUnicode" w:hAnsi="SabonUnicode" w:cs="SabonUnicode"/>
          <w:szCs w:val="21"/>
        </w:rPr>
        <w:t xml:space="preserve"> and a ritual one which is bound to an actual moment of the sacrifice.</w:t>
      </w:r>
    </w:p>
    <w:p w14:paraId="004AE0C3" w14:textId="77777777" w:rsidR="00E53EB6" w:rsidRDefault="006500F5">
      <w:pPr>
        <w:autoSpaceDE w:val="0"/>
        <w:spacing w:line="260" w:lineRule="exact"/>
        <w:jc w:val="both"/>
        <w:rPr>
          <w:lang w:val="en-GB"/>
        </w:rPr>
      </w:pPr>
      <w:r>
        <w:rPr>
          <w:rFonts w:ascii="SabonUnicode" w:eastAsia="SabonUnicode" w:hAnsi="SabonUnicode" w:cs="SabonUnicode"/>
          <w:szCs w:val="21"/>
          <w:lang w:val="en-GB"/>
        </w:rPr>
        <w:t xml:space="preserve"> In the third chapter we will step in</w:t>
      </w:r>
      <w:r>
        <w:rPr>
          <w:rFonts w:ascii="SabonUnicode" w:eastAsia="SabonUnicode" w:hAnsi="SabonUnicode" w:cs="SabonUnicode"/>
          <w:szCs w:val="21"/>
          <w:lang w:val="en-GB"/>
        </w:rPr>
        <w:t xml:space="preserve">to a third chronological level, and try to follow the development of these two uses of the verbal root along the chronological strata of the post-R̥gvedic texts, analysing all its occurrences. This means to consider the uses of </w:t>
      </w:r>
      <w:r>
        <w:rPr>
          <w:rFonts w:ascii="SabonUnicode" w:eastAsia="SabonUnicode" w:hAnsi="SabonUnicode" w:cs="SabonUnicode"/>
          <w:i/>
          <w:iCs/>
          <w:szCs w:val="21"/>
          <w:lang w:val="en-GB"/>
        </w:rPr>
        <w:t>van- / van</w:t>
      </w:r>
      <w:r>
        <w:rPr>
          <w:rFonts w:ascii="SabonUnicode" w:eastAsia="SabonUnicode" w:hAnsi="SabonUnicode" w:cs="SabonUnicode"/>
          <w:i/>
          <w:iCs/>
          <w:szCs w:val="21"/>
          <w:vertAlign w:val="superscript"/>
          <w:lang w:val="en-GB"/>
        </w:rPr>
        <w:t>i</w:t>
      </w:r>
      <w:r>
        <w:rPr>
          <w:rFonts w:ascii="SabonUnicode" w:eastAsia="SabonUnicode" w:hAnsi="SabonUnicode" w:cs="SabonUnicode"/>
          <w:i/>
          <w:iCs/>
          <w:szCs w:val="21"/>
          <w:lang w:val="en-GB"/>
        </w:rPr>
        <w:t>-</w:t>
      </w:r>
      <w:r>
        <w:rPr>
          <w:rFonts w:ascii="SabonUnicode" w:eastAsia="SabonUnicode" w:hAnsi="SabonUnicode" w:cs="SabonUnicode"/>
          <w:szCs w:val="21"/>
          <w:lang w:val="en-GB"/>
        </w:rPr>
        <w:t xml:space="preserve"> (</w:t>
      </w:r>
      <w:r>
        <w:rPr>
          <w:rFonts w:ascii="SabonUnicode" w:eastAsia="SabonUnicode" w:hAnsi="SabonUnicode" w:cs="SabonUnicode"/>
          <w:i/>
          <w:iCs/>
          <w:szCs w:val="21"/>
          <w:lang w:val="en-GB"/>
        </w:rPr>
        <w:t>van</w:t>
      </w:r>
      <w:r>
        <w:rPr>
          <w:rFonts w:ascii="SabonUnicode" w:eastAsia="SabonUnicode" w:hAnsi="SabonUnicode" w:cs="SabonUnicode"/>
          <w:i/>
          <w:iCs/>
          <w:szCs w:val="21"/>
          <w:vertAlign w:val="subscript"/>
          <w:lang w:val="en-GB"/>
        </w:rPr>
        <w:t>3</w:t>
      </w:r>
      <w:r>
        <w:rPr>
          <w:rFonts w:ascii="SabonUnicode" w:eastAsia="SabonUnicode" w:hAnsi="SabonUnicode" w:cs="SabonUnicode"/>
          <w:szCs w:val="21"/>
          <w:lang w:val="en-GB"/>
        </w:rPr>
        <w:t>)</w:t>
      </w:r>
      <w:r>
        <w:rPr>
          <w:rFonts w:ascii="SabonUnicode" w:eastAsia="SabonUnicode" w:hAnsi="SabonUnicode" w:cs="SabonUnicode"/>
          <w:i/>
          <w:iCs/>
          <w:szCs w:val="21"/>
          <w:lang w:val="en-GB"/>
        </w:rPr>
        <w:t xml:space="preserve"> </w:t>
      </w:r>
      <w:r>
        <w:rPr>
          <w:rFonts w:ascii="SabonUnicode" w:eastAsia="SabonUnicode" w:hAnsi="SabonUnicode" w:cs="SabonUnicode"/>
          <w:szCs w:val="21"/>
          <w:lang w:val="en-GB"/>
        </w:rPr>
        <w:t>under two points of view: one is the question as to semantic continuity (§III.3.1) and the other is to investigate if the verb is deployed differently within the earlier and later parts from which those texts are composed (§III.3.2). The survey will show h</w:t>
      </w:r>
      <w:r>
        <w:rPr>
          <w:rFonts w:ascii="SabonUnicode" w:eastAsia="SabonUnicode" w:hAnsi="SabonUnicode" w:cs="SabonUnicode"/>
          <w:szCs w:val="21"/>
          <w:lang w:val="en-GB"/>
        </w:rPr>
        <w:t>ow the ritual meaning is gradually disappearing; moreover the few passages where the verb is used with its ritual sense point to a loss of functionality: this process seems to belong to a larger recasting of the language that overshadows a change in the pe</w:t>
      </w:r>
      <w:r>
        <w:rPr>
          <w:rFonts w:ascii="SabonUnicode" w:eastAsia="SabonUnicode" w:hAnsi="SabonUnicode" w:cs="SabonUnicode"/>
          <w:szCs w:val="21"/>
          <w:lang w:val="en-GB"/>
        </w:rPr>
        <w:t>rception of the cult. On the other side,  the nuclear meaning is still used in the post-R̥gvedic literature whereas it undergoes some slightly modification too.</w:t>
      </w:r>
    </w:p>
    <w:p w14:paraId="539D43C6" w14:textId="77777777" w:rsidR="00E53EB6" w:rsidRDefault="006500F5">
      <w:pPr>
        <w:autoSpaceDE w:val="0"/>
        <w:spacing w:line="260" w:lineRule="exact"/>
        <w:jc w:val="both"/>
        <w:rPr>
          <w:lang w:val="en-GB"/>
        </w:rPr>
      </w:pPr>
      <w:r>
        <w:rPr>
          <w:rFonts w:ascii="SabonUnicode" w:eastAsia="SabonUnicode" w:hAnsi="SabonUnicode" w:cs="SabonUnicode"/>
          <w:szCs w:val="21"/>
          <w:lang w:val="en-GB"/>
        </w:rPr>
        <w:t xml:space="preserve">Finally, in the fourth chapter, we will concentrate on another issue: the meaning “to desire”, </w:t>
      </w:r>
      <w:r>
        <w:rPr>
          <w:rFonts w:ascii="SabonUnicode" w:eastAsia="SabonUnicode" w:hAnsi="SabonUnicode" w:cs="SabonUnicode"/>
          <w:szCs w:val="21"/>
          <w:lang w:val="en-GB"/>
        </w:rPr>
        <w:t xml:space="preserve">which is speculated as a reading of one of the two verbal roots at the Indo-European level, is absent in the </w:t>
      </w:r>
      <w:r>
        <w:rPr>
          <w:rFonts w:ascii="SabonUnicode" w:eastAsia="SabonUnicode" w:hAnsi="SabonUnicode" w:cs="SabonUnicode"/>
          <w:i/>
          <w:iCs/>
          <w:szCs w:val="21"/>
          <w:lang w:val="en-GB"/>
        </w:rPr>
        <w:t>R̥gveda Sa</w:t>
      </w:r>
      <w:r>
        <w:rPr>
          <w:rFonts w:ascii="SabonUnicode" w:eastAsia="SabonUnicode" w:hAnsi="SabonUnicode" w:cs="SabonUnicode"/>
          <w:i/>
          <w:iCs/>
          <w:szCs w:val="21"/>
          <w:lang w:val="en-GB"/>
        </w:rPr>
        <w:t>ṃ</w:t>
      </w:r>
      <w:r>
        <w:rPr>
          <w:rFonts w:ascii="SabonUnicode" w:eastAsia="SabonUnicode" w:hAnsi="SabonUnicode" w:cs="SabonUnicode"/>
          <w:i/>
          <w:iCs/>
          <w:szCs w:val="21"/>
          <w:lang w:val="en-GB"/>
        </w:rPr>
        <w:t>hitā</w:t>
      </w:r>
      <w:r>
        <w:rPr>
          <w:rFonts w:ascii="SabonUnicode" w:eastAsia="SabonUnicode" w:hAnsi="SabonUnicode" w:cs="SabonUnicode"/>
          <w:szCs w:val="21"/>
          <w:lang w:val="en-GB"/>
        </w:rPr>
        <w:t xml:space="preserve"> in the Sa</w:t>
      </w:r>
      <w:r>
        <w:rPr>
          <w:rFonts w:ascii="SabonUnicode" w:eastAsia="SabonUnicode" w:hAnsi="SabonUnicode" w:cs="SabonUnicode"/>
          <w:szCs w:val="21"/>
          <w:lang w:val="en-GB"/>
        </w:rPr>
        <w:t>ṃ</w:t>
      </w:r>
      <w:r>
        <w:rPr>
          <w:rFonts w:ascii="SabonUnicode" w:eastAsia="SabonUnicode" w:hAnsi="SabonUnicode" w:cs="SabonUnicode"/>
          <w:szCs w:val="21"/>
          <w:lang w:val="en-GB"/>
        </w:rPr>
        <w:t>hitās of the Yajurveda and Samaveda as well as in the Brāhma</w:t>
      </w:r>
      <w:r>
        <w:rPr>
          <w:rFonts w:ascii="SabonUnicode" w:eastAsia="SabonUnicode" w:hAnsi="SabonUnicode" w:cs="SabonUnicode"/>
          <w:szCs w:val="21"/>
          <w:lang w:val="en-GB"/>
        </w:rPr>
        <w:t>ṇ</w:t>
      </w:r>
      <w:r>
        <w:rPr>
          <w:rFonts w:ascii="SabonUnicode" w:eastAsia="SabonUnicode" w:hAnsi="SabonUnicode" w:cs="SabonUnicode"/>
          <w:szCs w:val="21"/>
          <w:lang w:val="en-GB"/>
        </w:rPr>
        <w:t xml:space="preserve">as. This meaning is often to be found in the occurrences of </w:t>
      </w:r>
      <w:r>
        <w:rPr>
          <w:rFonts w:ascii="SabonUnicode" w:eastAsia="SabonUnicode" w:hAnsi="SabonUnicode" w:cs="SabonUnicode"/>
          <w:szCs w:val="21"/>
          <w:lang w:val="en-GB"/>
        </w:rPr>
        <w:t>the verbal root within the Sa</w:t>
      </w:r>
      <w:r>
        <w:rPr>
          <w:rFonts w:ascii="SabonUnicode" w:eastAsia="SabonUnicode" w:hAnsi="SabonUnicode" w:cs="SabonUnicode"/>
          <w:szCs w:val="21"/>
          <w:lang w:val="en-GB"/>
        </w:rPr>
        <w:t>ṃ</w:t>
      </w:r>
      <w:r>
        <w:rPr>
          <w:rFonts w:ascii="SabonUnicode" w:eastAsia="SabonUnicode" w:hAnsi="SabonUnicode" w:cs="SabonUnicode"/>
          <w:szCs w:val="21"/>
          <w:lang w:val="en-GB"/>
        </w:rPr>
        <w:t xml:space="preserve">hitās of the Atharvaveda and in some derivatives of the root. This peculiarity will offer the possibility to speculate a different development of the semantic field “to desire”. </w:t>
      </w:r>
    </w:p>
    <w:p w14:paraId="533DDFD7" w14:textId="77777777" w:rsidR="00E53EB6" w:rsidRDefault="006500F5">
      <w:pPr>
        <w:autoSpaceDE w:val="0"/>
        <w:spacing w:line="260" w:lineRule="exact"/>
        <w:ind w:firstLine="260"/>
        <w:jc w:val="both"/>
        <w:rPr>
          <w:lang w:val="en-GB"/>
        </w:rPr>
      </w:pPr>
      <w:r>
        <w:rPr>
          <w:rFonts w:ascii="SabonUnicode" w:eastAsia="SabonUnicode" w:hAnsi="SabonUnicode" w:cs="SabonUnicode"/>
          <w:szCs w:val="21"/>
          <w:lang w:val="en-GB"/>
        </w:rPr>
        <w:t>To sum up, this research takes advantage of the</w:t>
      </w:r>
      <w:r>
        <w:rPr>
          <w:rFonts w:ascii="SabonUnicode" w:eastAsia="SabonUnicode" w:hAnsi="SabonUnicode" w:cs="SabonUnicode"/>
          <w:szCs w:val="21"/>
          <w:lang w:val="en-GB"/>
        </w:rPr>
        <w:t xml:space="preserve"> R̥gvedic evidences to shed a light on the duplicity of the Indo-European root </w:t>
      </w:r>
      <w:r>
        <w:rPr>
          <w:rFonts w:ascii="SabonUnicode" w:eastAsia="SabonUnicode" w:hAnsi="SabonUnicode" w:cs="SabonUnicode"/>
          <w:i/>
          <w:iCs/>
          <w:szCs w:val="21"/>
          <w:lang w:val="en-GB"/>
        </w:rPr>
        <w:t xml:space="preserve">*u̯en-/*u̯en-H; </w:t>
      </w:r>
      <w:r>
        <w:rPr>
          <w:rFonts w:ascii="SabonUnicode" w:eastAsia="SabonUnicode" w:hAnsi="SabonUnicode" w:cs="SabonUnicode"/>
          <w:szCs w:val="21"/>
          <w:lang w:val="en-GB"/>
        </w:rPr>
        <w:t xml:space="preserve">moreover, it deals with the development of  </w:t>
      </w:r>
      <w:r>
        <w:rPr>
          <w:rFonts w:ascii="SabonUnicode" w:eastAsia="SabonUnicode" w:hAnsi="SabonUnicode" w:cs="SabonUnicode"/>
          <w:i/>
          <w:iCs/>
          <w:szCs w:val="21"/>
          <w:lang w:val="en-GB"/>
        </w:rPr>
        <w:t>van- / van</w:t>
      </w:r>
      <w:r>
        <w:rPr>
          <w:rFonts w:ascii="SabonUnicode" w:eastAsia="SabonUnicode" w:hAnsi="SabonUnicode" w:cs="SabonUnicode"/>
          <w:i/>
          <w:iCs/>
          <w:szCs w:val="21"/>
          <w:vertAlign w:val="superscript"/>
          <w:lang w:val="en-GB"/>
        </w:rPr>
        <w:t>i</w:t>
      </w:r>
      <w:r>
        <w:rPr>
          <w:rFonts w:ascii="SabonUnicode" w:eastAsia="SabonUnicode" w:hAnsi="SabonUnicode" w:cs="SabonUnicode"/>
          <w:szCs w:val="21"/>
          <w:lang w:val="en-GB"/>
        </w:rPr>
        <w:t>-</w:t>
      </w:r>
      <w:r>
        <w:rPr>
          <w:rFonts w:ascii="SabonUnicode" w:eastAsia="SabonUnicode" w:hAnsi="SabonUnicode" w:cs="SabonUnicode"/>
          <w:i/>
          <w:iCs/>
          <w:position w:val="7"/>
          <w:szCs w:val="21"/>
          <w:lang w:val="en-GB"/>
        </w:rPr>
        <w:t xml:space="preserve"> </w:t>
      </w:r>
      <w:r>
        <w:rPr>
          <w:rFonts w:ascii="SabonUnicode" w:eastAsia="SabonUnicode" w:hAnsi="SabonUnicode" w:cs="SabonUnicode"/>
          <w:szCs w:val="21"/>
          <w:lang w:val="en-GB"/>
        </w:rPr>
        <w:t>along the R̥gvedic and post-R̥gvedic texts, charting the change in the use of the verb. Finally, it is c</w:t>
      </w:r>
      <w:r>
        <w:rPr>
          <w:rFonts w:ascii="SabonUnicode" w:eastAsia="SabonUnicode" w:hAnsi="SabonUnicode" w:cs="SabonUnicode"/>
          <w:szCs w:val="21"/>
          <w:lang w:val="en-GB"/>
        </w:rPr>
        <w:t>oncerned with a third aspect, namely the diastratic</w:t>
      </w:r>
      <w:r>
        <w:rPr>
          <w:rStyle w:val="FootnoteAnchor"/>
          <w:rFonts w:ascii="SabonUnicode" w:eastAsia="SabonUnicode" w:hAnsi="SabonUnicode" w:cs="SabonUnicode"/>
          <w:szCs w:val="21"/>
          <w:vertAlign w:val="baseline"/>
          <w:lang w:val="en-GB"/>
        </w:rPr>
        <w:footnoteReference w:id="2"/>
      </w:r>
      <w:r>
        <w:rPr>
          <w:rFonts w:ascii="SabonUnicode" w:eastAsia="SabonUnicode" w:hAnsi="SabonUnicode" w:cs="SabonUnicode"/>
          <w:szCs w:val="21"/>
          <w:lang w:val="en-GB"/>
        </w:rPr>
        <w:t xml:space="preserve"> distribution of the meaning “to desire”.</w:t>
      </w:r>
    </w:p>
    <w:p w14:paraId="07C12C53" w14:textId="77777777" w:rsidR="00E53EB6" w:rsidRDefault="00E53EB6">
      <w:pPr>
        <w:pStyle w:val="HaupttextohneEinzug"/>
      </w:pPr>
    </w:p>
    <w:p w14:paraId="18CE313D" w14:textId="77777777" w:rsidR="00E53EB6" w:rsidRDefault="00E53EB6">
      <w:pPr>
        <w:pStyle w:val="HaupttextohneEinzug"/>
        <w:rPr>
          <w:shd w:val="clear" w:color="auto" w:fill="FFFF00"/>
        </w:rPr>
      </w:pPr>
    </w:p>
    <w:p w14:paraId="3943B6C5" w14:textId="77777777" w:rsidR="00E53EB6" w:rsidRDefault="006500F5">
      <w:pPr>
        <w:pStyle w:val="Heading2"/>
        <w:tabs>
          <w:tab w:val="left" w:pos="0"/>
        </w:tabs>
      </w:pPr>
      <w:r>
        <w:t>Criteria of the work and selection of the texts</w:t>
      </w:r>
    </w:p>
    <w:p w14:paraId="75C77396" w14:textId="77777777" w:rsidR="00E53EB6" w:rsidRDefault="006500F5">
      <w:pPr>
        <w:pStyle w:val="Hauptext"/>
      </w:pPr>
      <w:r>
        <w:t xml:space="preserve">As pointed out above, linguistics and especially semantics represent the guiding lines of this </w:t>
      </w:r>
      <w:r>
        <w:t>research. Nonetheless, dealing with texts conceived for ritual actions also entails the use of other branches as anthropology and ethnology; moreover, interpretation of a linguistic datum, and especially of a semantic development, cannot be performed out i</w:t>
      </w:r>
      <w:r>
        <w:t>n the space: this means that often we will see how, for example, historical investigations into the Vedic period will form the basis and support of the work, furnishing it with a way to proceed. In my opinion, it is not just a need that forces a linguist t</w:t>
      </w:r>
      <w:r>
        <w:t>o address other branches in order to place the object of research in a broader context. It is, indeed, inherent to the real meaning of one’s work to be part of a wider process and potentially contribute one’s data within the broad picture.</w:t>
      </w:r>
    </w:p>
    <w:p w14:paraId="7FAA4164" w14:textId="77777777" w:rsidR="00E53EB6" w:rsidRDefault="006500F5">
      <w:pPr>
        <w:pStyle w:val="HaupttextohneEinzug"/>
      </w:pPr>
      <w:r>
        <w:t>Returning to som</w:t>
      </w:r>
      <w:r>
        <w:t>e key-concepts, I would like point them out here and provide the relevant references. The idea of semantic field</w:t>
      </w:r>
      <w:r>
        <w:rPr>
          <w:rStyle w:val="FootnoteAnchor"/>
        </w:rPr>
        <w:footnoteReference w:id="3"/>
      </w:r>
      <w:r>
        <w:t xml:space="preserve"> as a lexical field applied to some content domain, insofar as the meaning of a word is regarded as a cluster of semantic components</w:t>
      </w:r>
      <w:r>
        <w:rPr>
          <w:rStyle w:val="FootnoteAnchor"/>
        </w:rPr>
        <w:footnoteReference w:id="4"/>
      </w:r>
      <w:r>
        <w:t>, has re</w:t>
      </w:r>
      <w:r>
        <w:t xml:space="preserve">cently been </w:t>
      </w:r>
      <w:r>
        <w:lastRenderedPageBreak/>
        <w:t xml:space="preserve">employed in Vedic studies in particular by </w:t>
      </w:r>
      <w:r>
        <w:rPr>
          <w:rStyle w:val="biblio-authorGEN"/>
        </w:rPr>
        <w:t>Roesler</w:t>
      </w:r>
      <w:r>
        <w:t xml:space="preserve"> 2004.</w:t>
      </w:r>
    </w:p>
    <w:p w14:paraId="419B9BEE" w14:textId="77777777" w:rsidR="00E53EB6" w:rsidRDefault="006500F5">
      <w:pPr>
        <w:pStyle w:val="HaupttextohneEinzug"/>
      </w:pPr>
      <w:r>
        <w:t>With regard to the notion of functional analysis, i.e. taking into account the syntagmatic level and the syntagmatic relations of the lexemes, as well as many other conceptual instruments</w:t>
      </w:r>
      <w:r>
        <w:t xml:space="preserve"> developed in linguistics and in particular in semantics, which will be of great use throughout this case-study, see </w:t>
      </w:r>
      <w:r>
        <w:rPr>
          <w:rStyle w:val="biblio-authorGEN"/>
        </w:rPr>
        <w:t>Berruto</w:t>
      </w:r>
      <w:r>
        <w:t xml:space="preserve"> </w:t>
      </w:r>
      <w:r>
        <w:t xml:space="preserve">1976, </w:t>
      </w:r>
      <w:r>
        <w:rPr>
          <w:rStyle w:val="biblio-authorGEN"/>
        </w:rPr>
        <w:t xml:space="preserve">Ullmann </w:t>
      </w:r>
      <w:r>
        <w:t xml:space="preserve">1977, </w:t>
      </w:r>
      <w:r>
        <w:rPr>
          <w:rStyle w:val="biblio-authorGEN"/>
        </w:rPr>
        <w:t xml:space="preserve">Karoly </w:t>
      </w:r>
      <w:r>
        <w:t xml:space="preserve">1980, </w:t>
      </w:r>
      <w:r>
        <w:rPr>
          <w:rStyle w:val="biblio-authorGEN"/>
        </w:rPr>
        <w:t>Chierchia</w:t>
      </w:r>
      <w:r>
        <w:t xml:space="preserve"> </w:t>
      </w:r>
      <w:r>
        <w:t xml:space="preserve">1997; for further bibliographical references see </w:t>
      </w:r>
      <w:r>
        <w:rPr>
          <w:rStyle w:val="biblio-authorGEN"/>
        </w:rPr>
        <w:t>Gambarara</w:t>
      </w:r>
      <w:r>
        <w:t xml:space="preserve"> </w:t>
      </w:r>
      <w:r>
        <w:t>1999.</w:t>
      </w:r>
    </w:p>
    <w:p w14:paraId="09B9C405" w14:textId="77777777" w:rsidR="00E53EB6" w:rsidRDefault="006500F5">
      <w:pPr>
        <w:pStyle w:val="Hauptext"/>
      </w:pPr>
      <w:r>
        <w:t>The first step of the a</w:t>
      </w:r>
      <w:r>
        <w:t xml:space="preserve">nalysis has to be taken in synchrony, in order to see how the verbal root operates and </w:t>
      </w:r>
      <w:r>
        <w:t>not to take a diachronic development for a portion of synchronic meaning.</w:t>
      </w:r>
      <w:r>
        <w:t xml:space="preserve"> </w:t>
      </w:r>
      <w:r>
        <w:t xml:space="preserve">Therefore we started to analyse the </w:t>
      </w:r>
      <w:r>
        <w:rPr>
          <w:i/>
          <w:iCs/>
        </w:rPr>
        <w:t>R̥gveda Sa</w:t>
      </w:r>
      <w:r>
        <w:rPr>
          <w:i/>
          <w:iCs/>
        </w:rPr>
        <w:t>ṃ</w:t>
      </w:r>
      <w:r>
        <w:rPr>
          <w:i/>
          <w:iCs/>
        </w:rPr>
        <w:t xml:space="preserve">hitā </w:t>
      </w:r>
      <w:r>
        <w:t xml:space="preserve">alone as it appears to be a good source of </w:t>
      </w:r>
      <w:r>
        <w:t xml:space="preserve">information standing at the beginning of the Indo-Aryan historical tradition. We shall consider the text underspecifying some of its internal differences: it is generally acknowledged that the </w:t>
      </w:r>
      <w:r>
        <w:rPr>
          <w:i/>
          <w:iCs/>
        </w:rPr>
        <w:t>R̥gveda Sa</w:t>
      </w:r>
      <w:r>
        <w:rPr>
          <w:i/>
          <w:iCs/>
        </w:rPr>
        <w:t>ṃ</w:t>
      </w:r>
      <w:r>
        <w:rPr>
          <w:i/>
          <w:iCs/>
        </w:rPr>
        <w:t xml:space="preserve">hitā </w:t>
      </w:r>
      <w:r>
        <w:t xml:space="preserve"> is composed of material from different chronol</w:t>
      </w:r>
      <w:r>
        <w:t>ogical periods, namely five l</w:t>
      </w:r>
      <w:r>
        <w:rPr>
          <w:szCs w:val="21"/>
        </w:rPr>
        <w:t>ayers, when it comes to relative chronology,</w:t>
      </w:r>
      <w:r>
        <w:rPr>
          <w:szCs w:val="21"/>
        </w:rPr>
        <w:t xml:space="preserve"> </w:t>
      </w:r>
      <w:r>
        <w:t>nonetheless its language shall be treated as one synchronic linguistic stage in this work with some exceptions for hymns or stanzas which have an evidently later character in order t</w:t>
      </w:r>
      <w:r>
        <w:t xml:space="preserve">o make a specific diachronic point. </w:t>
      </w:r>
      <w:r>
        <w:t>The criteria or patterns should be build upon this text with no reference to the later Sa</w:t>
      </w:r>
      <w:r>
        <w:t>ṃ</w:t>
      </w:r>
      <w:r>
        <w:t>hitās or Brāhma</w:t>
      </w:r>
      <w:r>
        <w:t>ṇ</w:t>
      </w:r>
      <w:r>
        <w:t xml:space="preserve">as. We will then take into account the liturgical texts, namely those regarding the classical ritual, the </w:t>
      </w:r>
      <w:r>
        <w:rPr>
          <w:i/>
        </w:rPr>
        <w:t>śrauta</w:t>
      </w:r>
      <w:r>
        <w:t xml:space="preserve"> r</w:t>
      </w:r>
      <w:r>
        <w:t>itual, to which all these texts referred; this is a step out of synchrony into a diachronic perspective.</w:t>
      </w:r>
    </w:p>
    <w:p w14:paraId="36A19D07" w14:textId="77777777" w:rsidR="00E53EB6" w:rsidRDefault="006500F5">
      <w:pPr>
        <w:pStyle w:val="Hauptext"/>
      </w:pPr>
      <w:r>
        <w:t>The only texts that have to have a different position and that will be again treated within a specific synchronic prospective are those of the Atharvav</w:t>
      </w:r>
      <w:r>
        <w:t xml:space="preserve">eda school: the fourth Veda, as it is called within the tradition, does not belong to </w:t>
      </w:r>
      <w:r>
        <w:t>t</w:t>
      </w:r>
      <w:r>
        <w:t xml:space="preserve">he classical liturgy, and the position of these texts is different from that of the Yajurveda and Sāmaveda schools. Though collected and partially composed later as the </w:t>
      </w:r>
      <w:r>
        <w:rPr>
          <w:i/>
        </w:rPr>
        <w:t>R̥gveda Sa</w:t>
      </w:r>
      <w:r>
        <w:rPr>
          <w:i/>
        </w:rPr>
        <w:t>ṃ</w:t>
      </w:r>
      <w:r>
        <w:rPr>
          <w:i/>
        </w:rPr>
        <w:t>hitā</w:t>
      </w:r>
      <w:r>
        <w:t>, at least in the extant form, they contain material from different temporal levels; indeed, some hymns of the Sa</w:t>
      </w:r>
      <w:r>
        <w:t>ṃ</w:t>
      </w:r>
      <w:r>
        <w:t>hitās of this school can be traced back to a period earlier than the composition of the Yajurveda and Sāmaveda schools, and man</w:t>
      </w:r>
      <w:r>
        <w:t xml:space="preserve">y of the small Atharvavedic sorcery rites may even be earlier than the </w:t>
      </w:r>
      <w:r>
        <w:rPr>
          <w:i/>
        </w:rPr>
        <w:t>R̥gveda Sa</w:t>
      </w:r>
      <w:r>
        <w:rPr>
          <w:i/>
        </w:rPr>
        <w:t>ṃ</w:t>
      </w:r>
      <w:r>
        <w:rPr>
          <w:i/>
        </w:rPr>
        <w:t>hitā</w:t>
      </w:r>
      <w:r>
        <w:t xml:space="preserve">, even if the language in which they are preserved is later than that of the tenth R̥gvedic </w:t>
      </w:r>
      <w:r>
        <w:rPr>
          <w:i/>
        </w:rPr>
        <w:t>ma</w:t>
      </w:r>
      <w:r>
        <w:rPr>
          <w:i/>
        </w:rPr>
        <w:t>ṇḍ</w:t>
      </w:r>
      <w:r>
        <w:rPr>
          <w:i/>
        </w:rPr>
        <w:t>ala</w:t>
      </w:r>
      <w:r>
        <w:t>. Moreover, its focus is on small non-</w:t>
      </w:r>
      <w:r>
        <w:rPr>
          <w:i/>
        </w:rPr>
        <w:t>śrauta</w:t>
      </w:r>
      <w:r>
        <w:t xml:space="preserve"> rituals and, interestingly</w:t>
      </w:r>
      <w:r>
        <w:t xml:space="preserve"> enough, its composition involved many elements from social strata that are positively other than that of the groups responsible for the production of the classical liturgy. Therefore, those texts also imply a diastratic approach, and we will not consider </w:t>
      </w:r>
      <w:r>
        <w:t>their data along a post-R̥gvedic development, but rather beside it.</w:t>
      </w:r>
    </w:p>
    <w:p w14:paraId="7111EBA2" w14:textId="77777777" w:rsidR="00E53EB6" w:rsidRDefault="006500F5">
      <w:pPr>
        <w:pStyle w:val="Hauptext"/>
      </w:pPr>
      <w:r>
        <w:t xml:space="preserve">For the transliteration of the </w:t>
      </w:r>
      <w:r>
        <w:rPr>
          <w:i/>
          <w:iCs/>
        </w:rPr>
        <w:t>R̥gveda Sa</w:t>
      </w:r>
      <w:r>
        <w:rPr>
          <w:i/>
          <w:iCs/>
        </w:rPr>
        <w:t>ṃ</w:t>
      </w:r>
      <w:r>
        <w:rPr>
          <w:i/>
          <w:iCs/>
        </w:rPr>
        <w:t>hitā</w:t>
      </w:r>
      <w:r>
        <w:t xml:space="preserve"> I</w:t>
      </w:r>
      <w:r>
        <w:t xml:space="preserve"> used the editions by F. M. Müller and by van Nooten-G. B.Holland, including the metrical correction (</w:t>
      </w:r>
      <w:r>
        <w:rPr>
          <w:i/>
          <w:iCs/>
        </w:rPr>
        <w:t>orthoepic diaskeuasis</w:t>
      </w:r>
      <w:r>
        <w:t xml:space="preserve">). </w:t>
      </w:r>
      <w:r>
        <w:t xml:space="preserve">For the other </w:t>
      </w:r>
      <w:r>
        <w:t xml:space="preserve">texts, the transliteration, when not indicated, is my responsibility. </w:t>
      </w:r>
      <w:r>
        <w:t xml:space="preserve">References to the translations of the </w:t>
      </w:r>
      <w:r>
        <w:rPr>
          <w:i/>
        </w:rPr>
        <w:t>R̥gveda Sa</w:t>
      </w:r>
      <w:r>
        <w:rPr>
          <w:i/>
        </w:rPr>
        <w:t>ṃ</w:t>
      </w:r>
      <w:r>
        <w:rPr>
          <w:i/>
        </w:rPr>
        <w:t>hitā</w:t>
      </w:r>
      <w:r>
        <w:t xml:space="preserve"> made by K.F. Geldner, L. Renou and to the most recent translation of the first five </w:t>
      </w:r>
      <w:r>
        <w:rPr>
          <w:i/>
        </w:rPr>
        <w:t>ma</w:t>
      </w:r>
      <w:r>
        <w:rPr>
          <w:i/>
        </w:rPr>
        <w:t>ṇḍ</w:t>
      </w:r>
      <w:r>
        <w:rPr>
          <w:i/>
        </w:rPr>
        <w:t>ala</w:t>
      </w:r>
      <w:r>
        <w:t>s</w:t>
      </w:r>
      <w:r>
        <w:rPr>
          <w:rStyle w:val="FootnoteAnchor"/>
        </w:rPr>
        <w:footnoteReference w:id="5"/>
      </w:r>
      <w:r>
        <w:t xml:space="preserve"> by M. Witzel and T. Gōto (</w:t>
      </w:r>
      <w:r>
        <w:rPr>
          <w:i/>
        </w:rPr>
        <w:t>et alii</w:t>
      </w:r>
      <w:r>
        <w:t>) ar</w:t>
      </w:r>
      <w:r>
        <w:t>e made systematically. To avoid overloading the text, the first two works will be cited giving the author’s surname followed by volume and page indication without repeating the year of publication in all the references. The beautiful and enlightening trans</w:t>
      </w:r>
      <w:r>
        <w:t>lation of Jamison and Brereton (</w:t>
      </w:r>
      <w:r>
        <w:rPr>
          <w:rStyle w:val="biblio-authorGEN"/>
        </w:rPr>
        <w:t>Jamison-Brereton</w:t>
      </w:r>
      <w:r>
        <w:t xml:space="preserve"> 2014) could not be taken in account systematically, as it came out in 2014. </w:t>
      </w:r>
      <w:r>
        <w:t>As to the editions and translations of the other Sa</w:t>
      </w:r>
      <w:r>
        <w:t>ṃ</w:t>
      </w:r>
      <w:r>
        <w:t>hitās and Brāhma</w:t>
      </w:r>
      <w:r>
        <w:t>ṇ</w:t>
      </w:r>
      <w:r>
        <w:t>as, they are listed among the primary texts of the Bibliograph</w:t>
      </w:r>
      <w:r>
        <w:t>y and also</w:t>
      </w:r>
      <w:r>
        <w:t xml:space="preserve"> cited in the lists of post-R̥gvedic occurrences at the beginning of every school (cf. §III.2.1;.2 and §IV</w:t>
      </w:r>
      <w:r>
        <w:t>.2.1</w:t>
      </w:r>
      <w:r>
        <w:t>).</w:t>
      </w:r>
    </w:p>
    <w:p w14:paraId="57899ABD" w14:textId="77777777" w:rsidR="00E53EB6" w:rsidRDefault="006500F5">
      <w:pPr>
        <w:pStyle w:val="Hauptext"/>
      </w:pPr>
      <w:r>
        <w:t xml:space="preserve">All the occurrences of </w:t>
      </w:r>
      <w:r>
        <w:rPr>
          <w:i/>
          <w:iCs/>
        </w:rPr>
        <w:t>van- / van</w:t>
      </w:r>
      <w:r>
        <w:rPr>
          <w:i/>
          <w:iCs/>
          <w:vertAlign w:val="superscript"/>
        </w:rPr>
        <w:t>i</w:t>
      </w:r>
      <w:r>
        <w:rPr>
          <w:i/>
          <w:iCs/>
        </w:rPr>
        <w:t xml:space="preserve">- </w:t>
      </w:r>
      <w:r>
        <w:t>in</w:t>
      </w:r>
      <w:r>
        <w:t xml:space="preserve"> the </w:t>
      </w:r>
      <w:r>
        <w:rPr>
          <w:i/>
          <w:iCs/>
        </w:rPr>
        <w:t>R̥gveda Sa</w:t>
      </w:r>
      <w:r>
        <w:rPr>
          <w:i/>
          <w:iCs/>
        </w:rPr>
        <w:t>ṃ</w:t>
      </w:r>
      <w:r>
        <w:rPr>
          <w:i/>
          <w:iCs/>
        </w:rPr>
        <w:t>hitā</w:t>
      </w:r>
      <w:r>
        <w:t xml:space="preserve"> have been analysed and systematically </w:t>
      </w:r>
      <w:r>
        <w:lastRenderedPageBreak/>
        <w:t>listed  in the Appendix, only some o</w:t>
      </w:r>
      <w:r>
        <w:t xml:space="preserve">f them have been quoted in chapters I and II especially within the functional analysis of the </w:t>
      </w:r>
      <w:r>
        <w:rPr>
          <w:i/>
          <w:iCs/>
        </w:rPr>
        <w:t>R̥gvedic Scenario</w:t>
      </w:r>
      <w:r>
        <w:t xml:space="preserve">. In contrast, the post R̥gvedic occurrences of the verbal root will be translated and commented upon all together in paragraph III.2 since many </w:t>
      </w:r>
      <w:r>
        <w:t>of the textual sources are still wanting for a further study. Additionally, in the chapter IV two paragraphs will be dedicated to the attestations of the derivatives (§IV.1.1;.2) and one to the occurrences of the verbal root in the Atharvaveda schools (§IV</w:t>
      </w:r>
      <w:r>
        <w:t>.2.1), in both cases all the occurrences are also presented and commented upon. Each and every section presenting the occurrences is followed by a paragraph with the relevant analysis of the passages. The intention of such a structure is, on one side, to f</w:t>
      </w:r>
      <w:r>
        <w:t xml:space="preserve">ollow the line of the reasoning and, on the other side, to give all the passages referring to every step of the work in one and the same paragraph. In this way there is the possibility to have a complete overview of the post-R̥V and AV occurrences as well </w:t>
      </w:r>
      <w:r>
        <w:t xml:space="preserve">as of the derivatives apart from the analysis of the semantics in the following paragraphs. The order has been made using the following criteria: </w:t>
      </w:r>
    </w:p>
    <w:p w14:paraId="55022C49" w14:textId="77777777" w:rsidR="00E53EB6" w:rsidRDefault="006500F5">
      <w:pPr>
        <w:pStyle w:val="Hauptext"/>
        <w:numPr>
          <w:ilvl w:val="0"/>
          <w:numId w:val="6"/>
        </w:numPr>
      </w:pPr>
      <w:r>
        <w:t>as to the post-R̥gvedic occurrences, the first division is between Sa</w:t>
      </w:r>
      <w:r>
        <w:t>ṃ</w:t>
      </w:r>
      <w:r>
        <w:t>hitās and Brāhma</w:t>
      </w:r>
      <w:r>
        <w:t>ṇ</w:t>
      </w:r>
      <w:r>
        <w:t>as.</w:t>
      </w:r>
    </w:p>
    <w:p w14:paraId="4F69CE60" w14:textId="77777777" w:rsidR="00E53EB6" w:rsidRDefault="006500F5">
      <w:pPr>
        <w:pStyle w:val="Hauptext"/>
        <w:numPr>
          <w:ilvl w:val="0"/>
          <w:numId w:val="6"/>
        </w:numPr>
      </w:pPr>
      <w:r>
        <w:t>Within every group</w:t>
      </w:r>
      <w:r>
        <w:t>, first are presented the occurrences that are R̥V-</w:t>
      </w:r>
      <w:r>
        <w:rPr>
          <w:i/>
          <w:iCs/>
        </w:rPr>
        <w:t>mantra</w:t>
      </w:r>
      <w:r>
        <w:t xml:space="preserve">s and after the passages that present </w:t>
      </w:r>
      <w:r>
        <w:t>non R̥V-</w:t>
      </w:r>
      <w:r>
        <w:rPr>
          <w:i/>
          <w:iCs/>
        </w:rPr>
        <w:t>mantra</w:t>
      </w:r>
      <w:r>
        <w:t>s as well as prose passages.</w:t>
      </w:r>
      <w:r>
        <w:t xml:space="preserve"> This criterion mirrors the linguistic strata representing different chronological levels. </w:t>
      </w:r>
    </w:p>
    <w:p w14:paraId="291F1B42" w14:textId="77777777" w:rsidR="00E53EB6" w:rsidRDefault="006500F5">
      <w:pPr>
        <w:pStyle w:val="Hauptext"/>
        <w:numPr>
          <w:ilvl w:val="0"/>
          <w:numId w:val="6"/>
        </w:numPr>
      </w:pPr>
      <w:r>
        <w:t xml:space="preserve">Every passage is supplied with a list of cross-references to the other texts of the Vedic </w:t>
      </w:r>
      <w:r>
        <w:rPr>
          <w:i/>
          <w:iCs/>
        </w:rPr>
        <w:t>corpus</w:t>
      </w:r>
      <w:r>
        <w:rPr>
          <w:rStyle w:val="FootnoteAnchor"/>
          <w:i/>
          <w:iCs/>
        </w:rPr>
        <w:footnoteReference w:id="6"/>
      </w:r>
      <w:r>
        <w:rPr>
          <w:i/>
          <w:iCs/>
        </w:rPr>
        <w:t>,</w:t>
      </w:r>
      <w:r>
        <w:t xml:space="preserve"> that is labelled as “Vedic Web”, and with a note (labelled as “Rite”) about the the ritual context in which the passage should be used, when this has been p</w:t>
      </w:r>
      <w:r>
        <w:t>ossible.</w:t>
      </w:r>
    </w:p>
    <w:p w14:paraId="29657969" w14:textId="77777777" w:rsidR="00E53EB6" w:rsidRDefault="006500F5">
      <w:pPr>
        <w:pStyle w:val="Hauptext"/>
        <w:numPr>
          <w:ilvl w:val="0"/>
          <w:numId w:val="6"/>
        </w:numPr>
      </w:pPr>
      <w:r>
        <w:t>Within the functional analysis of the R̥gvedic occurrences  (§II.1) I choose to use the object of the action expressed by the verb as a key to distinguish different groups that are labelled along an alphanumeric order, the same order is deployed i</w:t>
      </w:r>
      <w:r>
        <w:t>n the analysis of the post-R̥gvedic occurrences (§III.3) and again in the Data-Base (§VI.2) at the end of the work.</w:t>
      </w:r>
    </w:p>
    <w:p w14:paraId="34EF8118" w14:textId="77777777" w:rsidR="00E53EB6" w:rsidRDefault="006500F5">
      <w:pPr>
        <w:pStyle w:val="HaupttextohneEinzug"/>
      </w:pPr>
      <w:r>
        <w:t>Finally, the translation of the Vedic texts is not conceived in stylistic terms, first of all because of the difficulty of translating a language that is often poetic into another that is not my mother-tongue. This combines with the fact that in order to a</w:t>
      </w:r>
      <w:r>
        <w:t xml:space="preserve">ccomplish such an ambitious goal other elements would be sacrificed, some playing an important role in the analysis and speculations we will go through. </w:t>
      </w:r>
    </w:p>
    <w:p w14:paraId="6338484A" w14:textId="77777777" w:rsidR="00E53EB6" w:rsidRDefault="00E53EB6">
      <w:pPr>
        <w:pStyle w:val="HaupttextohneEinzug"/>
      </w:pPr>
    </w:p>
    <w:p w14:paraId="013A1F2B" w14:textId="77777777" w:rsidR="00E53EB6" w:rsidRDefault="00E53EB6">
      <w:pPr>
        <w:pStyle w:val="Hauptext"/>
        <w:sectPr w:rsidR="00E53EB6" w:rsidSect="0071345C">
          <w:headerReference w:type="even" r:id="rId11"/>
          <w:headerReference w:type="default" r:id="rId12"/>
          <w:footerReference w:type="even" r:id="rId13"/>
          <w:footerReference w:type="default" r:id="rId14"/>
          <w:pgSz w:w="11906" w:h="16838"/>
          <w:pgMar w:top="1917" w:right="1418" w:bottom="2235" w:left="1700" w:header="1418" w:footer="1700" w:gutter="0"/>
          <w:cols w:space="720"/>
          <w:formProt w:val="0"/>
          <w:docGrid w:linePitch="600" w:charSpace="38911"/>
        </w:sectPr>
      </w:pPr>
    </w:p>
    <w:p w14:paraId="2DCA77C2" w14:textId="77777777" w:rsidR="00E53EB6" w:rsidRDefault="006500F5">
      <w:pPr>
        <w:pStyle w:val="Heading1"/>
        <w:tabs>
          <w:tab w:val="left" w:pos="0"/>
        </w:tabs>
      </w:pPr>
      <w:r>
        <w:lastRenderedPageBreak/>
        <w:t>I. Presentation of the Problem: Two Meanings and Two Roots?</w:t>
      </w:r>
    </w:p>
    <w:p w14:paraId="4B611DBA" w14:textId="77777777" w:rsidR="00E53EB6" w:rsidRDefault="006500F5">
      <w:pPr>
        <w:pStyle w:val="Heading2"/>
        <w:tabs>
          <w:tab w:val="left" w:pos="0"/>
        </w:tabs>
      </w:pPr>
      <w:r>
        <w:t xml:space="preserve">I.1 The Indo-European Linguistic Situation. </w:t>
      </w:r>
    </w:p>
    <w:p w14:paraId="67BE3C27" w14:textId="77777777" w:rsidR="00E53EB6" w:rsidRDefault="006500F5">
      <w:pPr>
        <w:pStyle w:val="Hauptext"/>
      </w:pPr>
      <w:r>
        <w:t xml:space="preserve">The Indo-European root </w:t>
      </w:r>
      <w:r>
        <w:rPr>
          <w:i/>
        </w:rPr>
        <w:t>*u̯en / *u̯en-H</w:t>
      </w:r>
      <w:r>
        <w:t>, generally listed among those also indicating ‘desire’, seems to have taken on two</w:t>
      </w:r>
      <w:r>
        <w:t xml:space="preserve"> different values which can be traced in various Indo-European languages: ‘to desire’ and ‘win/conquer’</w:t>
      </w:r>
      <w:bookmarkStart w:id="0" w:name="sdfootnote1anc"/>
      <w:bookmarkEnd w:id="0"/>
      <w:r>
        <w:rPr>
          <w:rStyle w:val="FootnoteAnchor"/>
        </w:rPr>
        <w:footnoteReference w:id="7"/>
      </w:r>
      <w:r>
        <w:t>. This semantic alternation is apparently reflected in the morphological alternation: on the basis of comparison of the historical evidence in the vari</w:t>
      </w:r>
      <w:r>
        <w:t>ous Indo-European languages known to us, two forms are to be reconstructed at the proto-language level: according to the laryngeal theory</w:t>
      </w:r>
      <w:bookmarkStart w:id="1" w:name="sdfootnote2anc"/>
      <w:bookmarkEnd w:id="1"/>
      <w:r>
        <w:rPr>
          <w:rStyle w:val="FootnoteAnchor"/>
        </w:rPr>
        <w:footnoteReference w:id="8"/>
      </w:r>
      <w:r>
        <w:t>, we may hypothesise for this verbal root a form with an undefined laryngeal element, thus indicated with –H. This el</w:t>
      </w:r>
      <w:r>
        <w:t xml:space="preserve">ement comes in a final position, preceded by a nasal sonant, and gives rise to the alternation </w:t>
      </w:r>
      <w:r>
        <w:rPr>
          <w:i/>
        </w:rPr>
        <w:t>*u̯en / *u̯en-H</w:t>
      </w:r>
      <w:r>
        <w:t xml:space="preserve">, as attested by the historical forms (ahd.) </w:t>
      </w:r>
      <w:r>
        <w:rPr>
          <w:i/>
        </w:rPr>
        <w:t xml:space="preserve">gi-winnan, wunsc(h) </w:t>
      </w:r>
      <w:r>
        <w:t xml:space="preserve">o (ai.) </w:t>
      </w:r>
      <w:r>
        <w:rPr>
          <w:i/>
        </w:rPr>
        <w:t>vantŕ̥, váni-tr̥-</w:t>
      </w:r>
      <w:r>
        <w:t xml:space="preserve"> where in fact we find the resulting vowel of the laryn</w:t>
      </w:r>
      <w:r>
        <w:t xml:space="preserve">geal (H° &gt; °), what once was called </w:t>
      </w:r>
      <w:r>
        <w:rPr>
          <w:i/>
        </w:rPr>
        <w:t>schwa indogermanium</w:t>
      </w:r>
      <w:r>
        <w:t xml:space="preserve">, which is represented in the Indo-Iranian branch by the vowel |i| - , which is why the Indian grammarians created the two terms </w:t>
      </w:r>
      <w:r>
        <w:rPr>
          <w:i/>
        </w:rPr>
        <w:t>se</w:t>
      </w:r>
      <w:r>
        <w:rPr>
          <w:i/>
        </w:rPr>
        <w:t>ṭ</w:t>
      </w:r>
      <w:r>
        <w:t xml:space="preserve"> (</w:t>
      </w:r>
      <w:r>
        <w:rPr>
          <w:i/>
          <w:iCs/>
        </w:rPr>
        <w:t>sa</w:t>
      </w:r>
      <w:r>
        <w:t xml:space="preserve"> – </w:t>
      </w:r>
      <w:r>
        <w:rPr>
          <w:i/>
          <w:iCs/>
        </w:rPr>
        <w:t>i</w:t>
      </w:r>
      <w:r>
        <w:rPr>
          <w:i/>
          <w:iCs/>
        </w:rPr>
        <w:t>ṭ</w:t>
      </w:r>
      <w:r>
        <w:t xml:space="preserve">, i.e. with –i-) and </w:t>
      </w:r>
      <w:r>
        <w:rPr>
          <w:i/>
        </w:rPr>
        <w:t>ani</w:t>
      </w:r>
      <w:r>
        <w:rPr>
          <w:i/>
        </w:rPr>
        <w:t>ṭ</w:t>
      </w:r>
      <w:r>
        <w:t xml:space="preserve"> (</w:t>
      </w:r>
      <w:r>
        <w:rPr>
          <w:i/>
          <w:iCs/>
        </w:rPr>
        <w:t>an</w:t>
      </w:r>
      <w:r>
        <w:t xml:space="preserve"> – </w:t>
      </w:r>
      <w:r>
        <w:rPr>
          <w:i/>
          <w:iCs/>
        </w:rPr>
        <w:t>i</w:t>
      </w:r>
      <w:r>
        <w:rPr>
          <w:i/>
          <w:iCs/>
        </w:rPr>
        <w:t>ṭ</w:t>
      </w:r>
      <w:r>
        <w:t>, without –i-) to indicate</w:t>
      </w:r>
      <w:r>
        <w:t xml:space="preserve">, in fact, the verbs that show this vowel in certain forms. </w:t>
      </w:r>
    </w:p>
    <w:p w14:paraId="08168295" w14:textId="77777777" w:rsidR="00E53EB6" w:rsidRDefault="006500F5">
      <w:pPr>
        <w:pStyle w:val="Hauptext"/>
      </w:pPr>
      <w:r>
        <w:t>Turning, now, to the most important Indo-European etymological dictionaries and lexicons we find an – at least partial – tendency to favour a symmetry, as noted above, between morphology and sema</w:t>
      </w:r>
      <w:r>
        <w:t xml:space="preserve">ntics: for the former </w:t>
      </w:r>
      <w:r>
        <w:rPr>
          <w:i/>
        </w:rPr>
        <w:t>ani</w:t>
      </w:r>
      <w:r>
        <w:rPr>
          <w:i/>
        </w:rPr>
        <w:t>ṭ</w:t>
      </w:r>
      <w:r>
        <w:rPr>
          <w:i/>
        </w:rPr>
        <w:t xml:space="preserve"> *u̯en</w:t>
      </w:r>
      <w:r>
        <w:t xml:space="preserve">, in fact, the meaning “to win”, “to conquer” is given, keeping it separate from the form </w:t>
      </w:r>
      <w:r>
        <w:rPr>
          <w:i/>
        </w:rPr>
        <w:t>se</w:t>
      </w:r>
      <w:r>
        <w:rPr>
          <w:i/>
        </w:rPr>
        <w:t>ṭ</w:t>
      </w:r>
      <w:r>
        <w:rPr>
          <w:i/>
        </w:rPr>
        <w:t xml:space="preserve"> *u̯en-H</w:t>
      </w:r>
      <w:r>
        <w:t>, which is, by contrast, attributed with the meaning of “to desire”, “to love”. This position is to be found both in LIV (6</w:t>
      </w:r>
      <w:r>
        <w:t>80-683) and in the Etymologisches Wörterbuch des Altindoarischen</w:t>
      </w:r>
      <w:bookmarkStart w:id="2" w:name="sdfootnote3anc"/>
      <w:bookmarkEnd w:id="2"/>
      <w:r>
        <w:rPr>
          <w:rStyle w:val="FootnoteAnchor"/>
        </w:rPr>
        <w:footnoteReference w:id="9"/>
      </w:r>
      <w:r>
        <w:t xml:space="preserve">, henceforth EWAia, (II 499-501), the fundamental work of the great scholar Manfred Mayrhofer, who also comes down in favour of this analysis of the verbal form in 2005: 20.1.205. </w:t>
      </w:r>
      <w:r>
        <w:rPr>
          <w:szCs w:val="21"/>
        </w:rPr>
        <w:t>On the bas</w:t>
      </w:r>
      <w:r>
        <w:rPr>
          <w:szCs w:val="21"/>
        </w:rPr>
        <w:t>is of the listings supplied by various etymological dictionaries, we might be tempted to suggest that we are probably dealing with two different morphological outcomes and two different semantic values. If, however, we turn to the extensive though older wo</w:t>
      </w:r>
      <w:r>
        <w:rPr>
          <w:szCs w:val="21"/>
        </w:rPr>
        <w:t xml:space="preserve">rks by </w:t>
      </w:r>
      <w:r>
        <w:rPr>
          <w:rStyle w:val="biblio-authorGEN"/>
          <w:szCs w:val="21"/>
        </w:rPr>
        <w:t>Walde</w:t>
      </w:r>
      <w:bookmarkStart w:id="3" w:name="sdfootnote4anc"/>
      <w:bookmarkEnd w:id="3"/>
      <w:r>
        <w:rPr>
          <w:rStyle w:val="FootnoteAnchor"/>
          <w:szCs w:val="21"/>
        </w:rPr>
        <w:footnoteReference w:id="10"/>
      </w:r>
      <w:r>
        <w:rPr>
          <w:szCs w:val="21"/>
        </w:rPr>
        <w:t xml:space="preserve"> and </w:t>
      </w:r>
      <w:r>
        <w:rPr>
          <w:rStyle w:val="biblio-authorGEN"/>
          <w:szCs w:val="21"/>
        </w:rPr>
        <w:t>Pokorny</w:t>
      </w:r>
      <w:bookmarkStart w:id="4" w:name="sdfootnote5anc"/>
      <w:bookmarkEnd w:id="4"/>
      <w:r>
        <w:rPr>
          <w:rStyle w:val="FootnoteAnchor"/>
          <w:szCs w:val="21"/>
        </w:rPr>
        <w:footnoteReference w:id="11"/>
      </w:r>
      <w:r>
        <w:rPr>
          <w:szCs w:val="21"/>
        </w:rPr>
        <w:t xml:space="preserve">, we find the separation between the forms somewhat less distinctly defined, to the extent indeed of conveying the impression that the biunique relationship between the two planes is by no means certain, leaving room for </w:t>
      </w:r>
      <w:r>
        <w:rPr>
          <w:szCs w:val="21"/>
        </w:rPr>
        <w:t>very different hypotheses: “An eine Trennung der Wzn. ist nicht zu denken” (</w:t>
      </w:r>
      <w:r>
        <w:rPr>
          <w:rStyle w:val="biblio-authorGEN"/>
          <w:szCs w:val="21"/>
        </w:rPr>
        <w:t>Walde</w:t>
      </w:r>
      <w:r>
        <w:rPr>
          <w:szCs w:val="21"/>
        </w:rPr>
        <w:t xml:space="preserve"> 1927-1932: 258), and in fact the scholar proposes: “Als Grundbedeutung dieser Wz. wird “streben, erstreben” auszusehen sein, woraus sich einerseits die Bedeutung “wünschen, l</w:t>
      </w:r>
      <w:r>
        <w:rPr>
          <w:szCs w:val="21"/>
        </w:rPr>
        <w:t xml:space="preserve">ieben” […] andrerseits “arbeiten” […] und perfektiv “erreichen, gewinnen, siegen” ergeben kann.” (Walde </w:t>
      </w:r>
      <w:r>
        <w:rPr>
          <w:i/>
          <w:szCs w:val="21"/>
        </w:rPr>
        <w:t>ibid</w:t>
      </w:r>
      <w:r>
        <w:rPr>
          <w:szCs w:val="21"/>
        </w:rPr>
        <w:t>.).</w:t>
      </w:r>
    </w:p>
    <w:p w14:paraId="629C3C82" w14:textId="77777777" w:rsidR="00E53EB6" w:rsidRDefault="006500F5">
      <w:pPr>
        <w:pStyle w:val="Hauptext"/>
      </w:pPr>
      <w:r>
        <w:rPr>
          <w:szCs w:val="21"/>
        </w:rPr>
        <w:t>Moreover, the very same etymological dictionaries and lexicons mentioned above make it clear that we cannot, on the basis of the historical deve</w:t>
      </w:r>
      <w:r>
        <w:rPr>
          <w:szCs w:val="21"/>
        </w:rPr>
        <w:t xml:space="preserve">lopments postulated, claim biunique correspondence at the semantic level with any certainty. In fact, while we have the Germanic </w:t>
      </w:r>
      <w:r>
        <w:rPr>
          <w:i/>
          <w:szCs w:val="21"/>
        </w:rPr>
        <w:t>giwinnan</w:t>
      </w:r>
      <w:r>
        <w:rPr>
          <w:szCs w:val="21"/>
        </w:rPr>
        <w:t xml:space="preserve"> </w:t>
      </w:r>
      <w:r>
        <w:rPr>
          <w:szCs w:val="21"/>
        </w:rPr>
        <w:t xml:space="preserve">to contrast with </w:t>
      </w:r>
      <w:r>
        <w:rPr>
          <w:i/>
          <w:szCs w:val="21"/>
        </w:rPr>
        <w:t>wunsc</w:t>
      </w:r>
      <w:r>
        <w:rPr>
          <w:szCs w:val="21"/>
        </w:rPr>
        <w:t>(</w:t>
      </w:r>
      <w:r>
        <w:rPr>
          <w:i/>
          <w:szCs w:val="21"/>
        </w:rPr>
        <w:t>h</w:t>
      </w:r>
      <w:r>
        <w:rPr>
          <w:szCs w:val="21"/>
        </w:rPr>
        <w:t xml:space="preserve">) </w:t>
      </w:r>
      <w:r>
        <w:rPr>
          <w:szCs w:val="21"/>
        </w:rPr>
        <w:t xml:space="preserve">and the Latin </w:t>
      </w:r>
      <w:r>
        <w:rPr>
          <w:i/>
          <w:szCs w:val="21"/>
        </w:rPr>
        <w:t>venus</w:t>
      </w:r>
      <w:r>
        <w:rPr>
          <w:szCs w:val="21"/>
        </w:rPr>
        <w:t>- which may possibly be associated</w:t>
      </w:r>
      <w:r>
        <w:t xml:space="preserve"> </w:t>
      </w:r>
      <w:r>
        <w:rPr>
          <w:szCs w:val="21"/>
        </w:rPr>
        <w:t xml:space="preserve">with the old Indian </w:t>
      </w:r>
      <w:r>
        <w:rPr>
          <w:i/>
          <w:szCs w:val="21"/>
        </w:rPr>
        <w:t>vanas</w:t>
      </w:r>
      <w:r>
        <w:rPr>
          <w:szCs w:val="21"/>
        </w:rPr>
        <w:t>- or the Toch</w:t>
      </w:r>
      <w:r>
        <w:rPr>
          <w:szCs w:val="21"/>
        </w:rPr>
        <w:t xml:space="preserve">arian A </w:t>
      </w:r>
      <w:r>
        <w:rPr>
          <w:i/>
          <w:szCs w:val="21"/>
        </w:rPr>
        <w:t>wañi</w:t>
      </w:r>
      <w:r>
        <w:rPr>
          <w:szCs w:val="21"/>
        </w:rPr>
        <w:t xml:space="preserve">, we have, however, on the one hand, many forms in which the laryngeal has left no trace – no evidence to assert or deny its existence – and on the </w:t>
      </w:r>
      <w:r>
        <w:rPr>
          <w:szCs w:val="21"/>
        </w:rPr>
        <w:lastRenderedPageBreak/>
        <w:t>other hand no attestations outside the Indo-Iranian branch. Or rather, to be more precise, outsi</w:t>
      </w:r>
      <w:r>
        <w:rPr>
          <w:szCs w:val="21"/>
        </w:rPr>
        <w:t>de it we rarely find attestations of both roots and both meanings in a single language.</w:t>
      </w:r>
    </w:p>
    <w:p w14:paraId="1ECA31C7" w14:textId="77777777" w:rsidR="00E53EB6" w:rsidRDefault="006500F5">
      <w:pPr>
        <w:pStyle w:val="Hauptext"/>
      </w:pPr>
      <w:r>
        <w:rPr>
          <w:szCs w:val="21"/>
        </w:rPr>
        <w:t>It is precisely with respect to this semantic ambivalence</w:t>
      </w:r>
      <w:bookmarkStart w:id="5" w:name="sdfootnote6anc"/>
      <w:bookmarkEnd w:id="5"/>
      <w:r>
        <w:rPr>
          <w:rStyle w:val="FootnoteAnchor"/>
          <w:szCs w:val="21"/>
        </w:rPr>
        <w:footnoteReference w:id="12"/>
      </w:r>
      <w:r>
        <w:rPr>
          <w:szCs w:val="21"/>
        </w:rPr>
        <w:t xml:space="preserve"> and the phonetic alternation shown by the root that two interrelated types of problem arise, one linguistic </w:t>
      </w:r>
      <w:r>
        <w:rPr>
          <w:szCs w:val="21"/>
        </w:rPr>
        <w:t xml:space="preserve">and one semantic: on the one hand, we may have two possible roots or two forms of the same root while, on the other hand, it may be a matter of two different types of meaning, the relationship between these two planes remaining, however, unclear. </w:t>
      </w:r>
    </w:p>
    <w:p w14:paraId="4DE45E02" w14:textId="77777777" w:rsidR="00E53EB6" w:rsidRDefault="00E53EB6">
      <w:pPr>
        <w:pStyle w:val="HaupttextohneEinzug"/>
      </w:pPr>
    </w:p>
    <w:p w14:paraId="4CF74DD7" w14:textId="77777777" w:rsidR="00E53EB6" w:rsidRDefault="006500F5">
      <w:pPr>
        <w:pStyle w:val="Heading2"/>
        <w:tabs>
          <w:tab w:val="left" w:pos="0"/>
        </w:tabs>
      </w:pPr>
      <w:r>
        <w:t xml:space="preserve">I.2 R̥gvedic Evidences – </w:t>
      </w:r>
      <w:r>
        <w:rPr>
          <w:i/>
          <w:iCs/>
        </w:rPr>
        <w:t>van</w:t>
      </w:r>
      <w:r>
        <w:rPr>
          <w:i/>
          <w:iCs/>
          <w:vertAlign w:val="subscript"/>
        </w:rPr>
        <w:t>3</w:t>
      </w:r>
      <w:r>
        <w:t>: Hypothesis of a Nuclear Meaning.</w:t>
      </w:r>
    </w:p>
    <w:p w14:paraId="46720626" w14:textId="77777777" w:rsidR="00E53EB6" w:rsidRPr="00B80C6B" w:rsidRDefault="006500F5">
      <w:pPr>
        <w:pStyle w:val="Hauptext"/>
        <w:rPr>
          <w:lang w:val="de-DE"/>
        </w:rPr>
      </w:pPr>
      <w:r>
        <w:t xml:space="preserve">With regard to the Sanskrit outcome of the Indo-European root, we find an alternation of the two root forms </w:t>
      </w:r>
      <w:r>
        <w:rPr>
          <w:i/>
        </w:rPr>
        <w:t>van- / van</w:t>
      </w:r>
      <w:r>
        <w:rPr>
          <w:i/>
          <w:vertAlign w:val="superscript"/>
        </w:rPr>
        <w:t>i</w:t>
      </w:r>
      <w:r>
        <w:rPr>
          <w:i/>
        </w:rPr>
        <w:t>-</w:t>
      </w:r>
      <w:r>
        <w:t xml:space="preserve"> which can be traced back to the reconstructed Indo-European forms: </w:t>
      </w:r>
      <w:r>
        <w:rPr>
          <w:i/>
        </w:rPr>
        <w:t>van-</w:t>
      </w:r>
      <w:r>
        <w:rPr>
          <w:i/>
        </w:rPr>
        <w:t xml:space="preserve"> &lt; *u̯en</w:t>
      </w:r>
      <w:r>
        <w:t xml:space="preserve"> and </w:t>
      </w:r>
      <w:r>
        <w:rPr>
          <w:i/>
        </w:rPr>
        <w:t>van</w:t>
      </w:r>
      <w:r>
        <w:rPr>
          <w:i/>
          <w:vertAlign w:val="superscript"/>
        </w:rPr>
        <w:t>i</w:t>
      </w:r>
      <w:r>
        <w:rPr>
          <w:i/>
        </w:rPr>
        <w:t>- &lt; *u̯en-H</w:t>
      </w:r>
      <w:r>
        <w:t xml:space="preserve">. </w:t>
      </w:r>
      <w:r w:rsidRPr="00B80C6B">
        <w:rPr>
          <w:lang w:val="de-DE"/>
        </w:rPr>
        <w:t xml:space="preserve">These outcomes converge in Sanskrit into a single verbal lemma </w:t>
      </w:r>
      <w:r w:rsidRPr="00B80C6B">
        <w:rPr>
          <w:i/>
          <w:lang w:val="de-DE"/>
        </w:rPr>
        <w:t>van</w:t>
      </w:r>
      <w:r w:rsidRPr="00B80C6B">
        <w:rPr>
          <w:lang w:val="de-DE"/>
        </w:rPr>
        <w:t xml:space="preserve">- (catalogued respectively as I and VIII class), whose meanings, as listed by </w:t>
      </w:r>
      <w:r w:rsidRPr="00B80C6B">
        <w:rPr>
          <w:rStyle w:val="biblio-authorGEN"/>
          <w:lang w:val="de-DE"/>
        </w:rPr>
        <w:t>Böthlingk-Roth</w:t>
      </w:r>
      <w:r w:rsidRPr="00B80C6B">
        <w:rPr>
          <w:lang w:val="de-DE"/>
        </w:rPr>
        <w:t xml:space="preserve"> (1855-1875), are: 1) gern haben, lieben; wünschen, verlangen – 2) e</w:t>
      </w:r>
      <w:r w:rsidRPr="00B80C6B">
        <w:rPr>
          <w:lang w:val="de-DE"/>
        </w:rPr>
        <w:t>rlangen, verschaffen für; sich verschaffen – 3) bemeistern, bezwingen; siegen, gewinnen – 4) verfügen über, innehaben. – 5) bereit machen, sich anschicken zu [...] das Absehen haben auf, petere [...] angreifend.</w:t>
      </w:r>
    </w:p>
    <w:p w14:paraId="1F62BFDD" w14:textId="77777777" w:rsidR="00E53EB6" w:rsidRDefault="006500F5">
      <w:pPr>
        <w:pStyle w:val="HaupttextohneEinzug"/>
        <w:rPr>
          <w:szCs w:val="21"/>
        </w:rPr>
      </w:pPr>
      <w:r>
        <w:rPr>
          <w:szCs w:val="21"/>
        </w:rPr>
        <w:t xml:space="preserve">Here, too, besides the </w:t>
      </w:r>
      <w:r>
        <w:rPr>
          <w:szCs w:val="21"/>
        </w:rPr>
        <w:t>morphological alternation, we again find those two semantic fields considered above for the Indo-European root. Thus the question remains open: can these two fields of possible meanings be traced back to the two forms of the Sanskrit root (</w:t>
      </w:r>
      <w:r>
        <w:rPr>
          <w:i/>
          <w:iCs/>
          <w:szCs w:val="21"/>
        </w:rPr>
        <w:t>van- / van</w:t>
      </w:r>
      <w:r>
        <w:rPr>
          <w:i/>
          <w:iCs/>
          <w:szCs w:val="21"/>
          <w:vertAlign w:val="superscript"/>
        </w:rPr>
        <w:t>i</w:t>
      </w:r>
      <w:r>
        <w:rPr>
          <w:szCs w:val="21"/>
        </w:rPr>
        <w:t>-)? I</w:t>
      </w:r>
      <w:r>
        <w:rPr>
          <w:szCs w:val="21"/>
        </w:rPr>
        <w:t xml:space="preserve">s there, then, a morphological element which in this case turns out to be a bearer of semantic value, or, on the other hand, is there one single meaning to which this alternation can be traced back, and if so what is it? With regard to the Sanskrit verbal </w:t>
      </w:r>
      <w:r>
        <w:rPr>
          <w:szCs w:val="21"/>
        </w:rPr>
        <w:t>root, two main positions have been taken by the various scholars: we may take Saul Migron and Toshifumi Gotō as representative of these two opposite interpretations.</w:t>
      </w:r>
    </w:p>
    <w:p w14:paraId="2A6755E1" w14:textId="77777777" w:rsidR="00E53EB6" w:rsidRDefault="006500F5">
      <w:pPr>
        <w:pStyle w:val="Hauptext"/>
      </w:pPr>
      <w:r>
        <w:t xml:space="preserve">The path followed by Saul </w:t>
      </w:r>
      <w:r>
        <w:rPr>
          <w:rStyle w:val="biblio-authorGEN"/>
        </w:rPr>
        <w:t>Migron</w:t>
      </w:r>
      <w:r>
        <w:rPr>
          <w:rStyle w:val="FootnoteAnchor"/>
        </w:rPr>
        <w:footnoteReference w:id="13"/>
      </w:r>
      <w:r>
        <w:t xml:space="preserve"> takes as its starting point the difficulty of a semanti</w:t>
      </w:r>
      <w:r>
        <w:t xml:space="preserve">c division between the two verbal forms – a division upon which Gotō bases his proposed solution – due to a morphological situation that leaves little scope for differentiation, as had already been pointed out by </w:t>
      </w:r>
      <w:r>
        <w:rPr>
          <w:rStyle w:val="biblio-authorGEN"/>
        </w:rPr>
        <w:t>Grassmann</w:t>
      </w:r>
      <w:bookmarkStart w:id="6" w:name="sdfootnote8anc"/>
      <w:bookmarkEnd w:id="6"/>
      <w:r>
        <w:rPr>
          <w:rStyle w:val="FootnoteAnchor"/>
        </w:rPr>
        <w:footnoteReference w:id="14"/>
      </w:r>
      <w:r>
        <w:rPr>
          <w:rStyle w:val="biblio-authorGEN"/>
        </w:rPr>
        <w:t xml:space="preserve">. </w:t>
      </w:r>
      <w:r>
        <w:rPr>
          <w:szCs w:val="21"/>
        </w:rPr>
        <w:t>If one takes up the idea advan</w:t>
      </w:r>
      <w:r>
        <w:rPr>
          <w:szCs w:val="21"/>
        </w:rPr>
        <w:t xml:space="preserve">ced by </w:t>
      </w:r>
      <w:r>
        <w:rPr>
          <w:rStyle w:val="biblio-authorGEN"/>
          <w:szCs w:val="21"/>
        </w:rPr>
        <w:t>Meringer</w:t>
      </w:r>
      <w:bookmarkStart w:id="7" w:name="sdfootnote9anc"/>
      <w:bookmarkEnd w:id="7"/>
      <w:r>
        <w:rPr>
          <w:rStyle w:val="FootnoteAnchor"/>
          <w:szCs w:val="21"/>
        </w:rPr>
        <w:footnoteReference w:id="15"/>
      </w:r>
      <w:r>
        <w:rPr>
          <w:szCs w:val="21"/>
        </w:rPr>
        <w:t xml:space="preserve"> that this verb must have denoted “a thing” and not a nebulous concept, then the approach taken to the problem differs from the one considered above, coming closer to what is defined as internal semantic reconstruction. </w:t>
      </w:r>
      <w:r>
        <w:rPr>
          <w:szCs w:val="21"/>
        </w:rPr>
        <w:t>Migron, in fact, fo</w:t>
      </w:r>
      <w:r>
        <w:rPr>
          <w:szCs w:val="21"/>
        </w:rPr>
        <w:t xml:space="preserve">cuses directly on the text, and specifically on the data supplied by the </w:t>
      </w:r>
      <w:r>
        <w:rPr>
          <w:i/>
          <w:szCs w:val="21"/>
        </w:rPr>
        <w:t>R̥gveda Sa</w:t>
      </w:r>
      <w:r>
        <w:rPr>
          <w:i/>
          <w:szCs w:val="21"/>
        </w:rPr>
        <w:t>ṃ</w:t>
      </w:r>
      <w:r>
        <w:rPr>
          <w:i/>
          <w:szCs w:val="21"/>
        </w:rPr>
        <w:t>hitā</w:t>
      </w:r>
      <w:r>
        <w:rPr>
          <w:szCs w:val="21"/>
        </w:rPr>
        <w:t>, seeking to deduce a single semantic field from the various contexts in which the verb in question is used. The starting point – and the point of arrival – lies in dem</w:t>
      </w:r>
      <w:r>
        <w:rPr>
          <w:szCs w:val="21"/>
        </w:rPr>
        <w:t xml:space="preserve">onstrating that this is possible. </w:t>
      </w:r>
    </w:p>
    <w:p w14:paraId="59567559" w14:textId="77777777" w:rsidR="00E53EB6" w:rsidRDefault="006500F5">
      <w:pPr>
        <w:pStyle w:val="HaupttextohneEinzug"/>
        <w:rPr>
          <w:szCs w:val="21"/>
        </w:rPr>
      </w:pPr>
      <w:r>
        <w:rPr>
          <w:szCs w:val="21"/>
        </w:rPr>
        <w:tab/>
        <w:t>More specifically, the author tries out the hypothesis that there may be in a living language a semantic field able to account for all the senses of the Sanskrit verb. This field is supplied by the English verb “to get”.</w:t>
      </w:r>
      <w:r>
        <w:rPr>
          <w:szCs w:val="21"/>
        </w:rPr>
        <w:t xml:space="preserve"> Thus the investigation is pursued through the various typologies of meaning that the Sanskrit </w:t>
      </w:r>
      <w:r>
        <w:rPr>
          <w:i/>
          <w:iCs/>
          <w:szCs w:val="21"/>
        </w:rPr>
        <w:t>van- / van</w:t>
      </w:r>
      <w:r>
        <w:rPr>
          <w:i/>
          <w:iCs/>
          <w:szCs w:val="21"/>
          <w:vertAlign w:val="superscript"/>
        </w:rPr>
        <w:t>i</w:t>
      </w:r>
      <w:r>
        <w:rPr>
          <w:szCs w:val="21"/>
        </w:rPr>
        <w:t>-</w:t>
      </w:r>
      <w:r>
        <w:rPr>
          <w:szCs w:val="21"/>
        </w:rPr>
        <w:t xml:space="preserve"> appears to take on, verifying in each case whether the English verb can show a valid corresponding meaning, and eventually arriving at the conclusio</w:t>
      </w:r>
      <w:r>
        <w:rPr>
          <w:szCs w:val="21"/>
        </w:rPr>
        <w:t xml:space="preserve">n that even as from the earliest attestations – looking back to the </w:t>
      </w:r>
      <w:r>
        <w:rPr>
          <w:i/>
          <w:iCs/>
          <w:szCs w:val="21"/>
        </w:rPr>
        <w:t>R̥gveda Sa</w:t>
      </w:r>
      <w:r>
        <w:rPr>
          <w:i/>
          <w:iCs/>
          <w:szCs w:val="21"/>
        </w:rPr>
        <w:t>ṃ</w:t>
      </w:r>
      <w:r>
        <w:rPr>
          <w:i/>
          <w:iCs/>
          <w:szCs w:val="21"/>
        </w:rPr>
        <w:t>hitā</w:t>
      </w:r>
      <w:r>
        <w:rPr>
          <w:szCs w:val="21"/>
        </w:rPr>
        <w:t xml:space="preserve">, that is – the semantics of </w:t>
      </w:r>
      <w:r>
        <w:rPr>
          <w:i/>
          <w:iCs/>
          <w:szCs w:val="21"/>
        </w:rPr>
        <w:t>van</w:t>
      </w:r>
      <w:r>
        <w:rPr>
          <w:szCs w:val="21"/>
        </w:rPr>
        <w:t xml:space="preserve">- </w:t>
      </w:r>
      <w:r>
        <w:rPr>
          <w:szCs w:val="21"/>
        </w:rPr>
        <w:lastRenderedPageBreak/>
        <w:t xml:space="preserve">/ </w:t>
      </w:r>
      <w:r>
        <w:rPr>
          <w:i/>
          <w:iCs/>
          <w:szCs w:val="21"/>
        </w:rPr>
        <w:t>van</w:t>
      </w:r>
      <w:r>
        <w:rPr>
          <w:i/>
          <w:iCs/>
          <w:szCs w:val="21"/>
          <w:vertAlign w:val="superscript"/>
        </w:rPr>
        <w:t>i</w:t>
      </w:r>
      <w:r>
        <w:rPr>
          <w:i/>
          <w:iCs/>
          <w:szCs w:val="21"/>
        </w:rPr>
        <w:t>-</w:t>
      </w:r>
      <w:r>
        <w:rPr>
          <w:szCs w:val="21"/>
        </w:rPr>
        <w:t xml:space="preserve"> matches that of the English “to get”. </w:t>
      </w:r>
      <w:r>
        <w:rPr>
          <w:szCs w:val="21"/>
        </w:rPr>
        <w:t xml:space="preserve">Like </w:t>
      </w:r>
      <w:r>
        <w:rPr>
          <w:rStyle w:val="biblio-authorGEN"/>
          <w:szCs w:val="21"/>
        </w:rPr>
        <w:t>Meillet</w:t>
      </w:r>
      <w:bookmarkStart w:id="8" w:name="sdfootnote10anc"/>
      <w:bookmarkEnd w:id="8"/>
      <w:r>
        <w:rPr>
          <w:rStyle w:val="FootnoteAnchor"/>
          <w:szCs w:val="21"/>
        </w:rPr>
        <w:footnoteReference w:id="16"/>
      </w:r>
      <w:r>
        <w:rPr>
          <w:szCs w:val="21"/>
        </w:rPr>
        <w:t>, Migron detects here are a term originally associated with hunting and, taking</w:t>
      </w:r>
      <w:r>
        <w:rPr>
          <w:szCs w:val="21"/>
        </w:rPr>
        <w:t xml:space="preserve"> here a different line from the French scholar, suggests a path developing from hunting towards desire. To corroborate this interpretation is the fact that the use of a venatorial (!) terminology with erotic senses is a widespread phenomenon marking the de</w:t>
      </w:r>
      <w:r>
        <w:rPr>
          <w:szCs w:val="21"/>
        </w:rPr>
        <w:t xml:space="preserve">velopment of this root within many in the Indo-European languages (see, as a case in point, the Latin </w:t>
      </w:r>
      <w:r>
        <w:rPr>
          <w:i/>
          <w:iCs/>
          <w:szCs w:val="21"/>
        </w:rPr>
        <w:t>vēnārī</w:t>
      </w:r>
      <w:r>
        <w:rPr>
          <w:szCs w:val="21"/>
        </w:rPr>
        <w:t xml:space="preserve">). Thus, from an initial “to capture” (possibly an animal) the way led to a more general meaning, “to attract”, eventually arriving at the familiar concept of “to please” incarnated by the Latin </w:t>
      </w:r>
      <w:r>
        <w:rPr>
          <w:i/>
          <w:iCs/>
          <w:szCs w:val="21"/>
        </w:rPr>
        <w:t>Venus</w:t>
      </w:r>
      <w:r>
        <w:rPr>
          <w:szCs w:val="21"/>
        </w:rPr>
        <w:t xml:space="preserve"> or the Germanic </w:t>
      </w:r>
      <w:r>
        <w:rPr>
          <w:i/>
          <w:iCs/>
          <w:szCs w:val="21"/>
        </w:rPr>
        <w:t>Wonne</w:t>
      </w:r>
      <w:r>
        <w:rPr>
          <w:szCs w:val="21"/>
        </w:rPr>
        <w:t>, showing a progression that boils</w:t>
      </w:r>
      <w:r>
        <w:rPr>
          <w:szCs w:val="21"/>
        </w:rPr>
        <w:t xml:space="preserve"> down to something like chase &gt; desire. Concluding his article, however, Migron leaves another possibility open, associated with stanzas like R̥V 6.16.26b </w:t>
      </w:r>
      <w:r>
        <w:rPr>
          <w:i/>
          <w:szCs w:val="21"/>
        </w:rPr>
        <w:t>adyá tvā vanván surék</w:t>
      </w:r>
      <w:r>
        <w:rPr>
          <w:i/>
          <w:szCs w:val="21"/>
        </w:rPr>
        <w:t>ṇ</w:t>
      </w:r>
      <w:r>
        <w:rPr>
          <w:i/>
          <w:szCs w:val="21"/>
        </w:rPr>
        <w:t>ā</w:t>
      </w:r>
      <w:r>
        <w:rPr>
          <w:i/>
          <w:szCs w:val="21"/>
        </w:rPr>
        <w:t>ḥ</w:t>
      </w:r>
      <w:r>
        <w:rPr>
          <w:szCs w:val="21"/>
        </w:rPr>
        <w:t xml:space="preserve"> or R̥V 5.41.17b </w:t>
      </w:r>
      <w:r>
        <w:rPr>
          <w:i/>
          <w:szCs w:val="21"/>
        </w:rPr>
        <w:t>dévāso vánate mártiyo va</w:t>
      </w:r>
      <w:r>
        <w:rPr>
          <w:szCs w:val="21"/>
        </w:rPr>
        <w:t>, which may also be worth considerin</w:t>
      </w:r>
      <w:r>
        <w:rPr>
          <w:szCs w:val="21"/>
        </w:rPr>
        <w:t>g: “Another avenue has its starting-point in ‘make (a thing or person) one’s own’”</w:t>
      </w:r>
      <w:bookmarkStart w:id="9" w:name="sdfootnote11anc"/>
      <w:bookmarkEnd w:id="9"/>
      <w:r>
        <w:rPr>
          <w:rStyle w:val="FootnoteAnchor"/>
          <w:szCs w:val="21"/>
        </w:rPr>
        <w:footnoteReference w:id="17"/>
      </w:r>
      <w:r>
        <w:rPr>
          <w:szCs w:val="21"/>
        </w:rPr>
        <w:t xml:space="preserve">. Among those who supported the hypothesis of what Walde (cf. </w:t>
      </w:r>
      <w:r>
        <w:rPr>
          <w:i/>
          <w:szCs w:val="21"/>
        </w:rPr>
        <w:t>supra</w:t>
      </w:r>
      <w:r>
        <w:rPr>
          <w:szCs w:val="21"/>
        </w:rPr>
        <w:t>) had already called “Grundbedeutung”, i.e. of a meaning lying behind both roots and of the various meani</w:t>
      </w:r>
      <w:r>
        <w:rPr>
          <w:szCs w:val="21"/>
        </w:rPr>
        <w:t xml:space="preserve">ngs which the verb takes on, there is also </w:t>
      </w:r>
      <w:r>
        <w:rPr>
          <w:rStyle w:val="biblio-authorGEN"/>
          <w:szCs w:val="21"/>
        </w:rPr>
        <w:t>Kümmel</w:t>
      </w:r>
      <w:bookmarkStart w:id="10" w:name="sdfootnote12anc"/>
      <w:bookmarkEnd w:id="10"/>
      <w:r>
        <w:rPr>
          <w:rStyle w:val="FootnoteAnchor"/>
          <w:szCs w:val="21"/>
        </w:rPr>
        <w:footnoteReference w:id="18"/>
      </w:r>
      <w:r>
        <w:rPr>
          <w:szCs w:val="21"/>
        </w:rPr>
        <w:t xml:space="preserve">, who, however, studied the forms of the perfect to go on to hypothesise for </w:t>
      </w:r>
      <w:r>
        <w:rPr>
          <w:i/>
          <w:szCs w:val="21"/>
        </w:rPr>
        <w:t>van- / van</w:t>
      </w:r>
      <w:r>
        <w:rPr>
          <w:i/>
          <w:szCs w:val="21"/>
          <w:vertAlign w:val="superscript"/>
        </w:rPr>
        <w:t>i</w:t>
      </w:r>
      <w:r>
        <w:rPr>
          <w:i/>
          <w:szCs w:val="21"/>
        </w:rPr>
        <w:t>-</w:t>
      </w:r>
      <w:r>
        <w:rPr>
          <w:szCs w:val="21"/>
        </w:rPr>
        <w:t xml:space="preserve"> the base meaning “liebgewinnen” (‘grew fond of’), much as </w:t>
      </w:r>
      <w:r>
        <w:rPr>
          <w:rStyle w:val="biblio-authorGEN"/>
          <w:szCs w:val="21"/>
        </w:rPr>
        <w:t>Trier</w:t>
      </w:r>
      <w:bookmarkStart w:id="11" w:name="sdfootnote13anc"/>
      <w:bookmarkEnd w:id="11"/>
      <w:r>
        <w:rPr>
          <w:rStyle w:val="FootnoteAnchor"/>
          <w:szCs w:val="21"/>
        </w:rPr>
        <w:footnoteReference w:id="19"/>
      </w:r>
      <w:r>
        <w:rPr>
          <w:szCs w:val="21"/>
        </w:rPr>
        <w:t xml:space="preserve"> had read into it “gewinnen”. </w:t>
      </w:r>
    </w:p>
    <w:p w14:paraId="64E0C4A7" w14:textId="77777777" w:rsidR="00E53EB6" w:rsidRDefault="006500F5">
      <w:pPr>
        <w:pStyle w:val="HaupttextohneEinzug"/>
        <w:rPr>
          <w:szCs w:val="21"/>
        </w:rPr>
      </w:pPr>
      <w:r>
        <w:rPr>
          <w:szCs w:val="21"/>
        </w:rPr>
        <w:tab/>
        <w:t>On the other hand,</w:t>
      </w:r>
      <w:r>
        <w:rPr>
          <w:szCs w:val="21"/>
        </w:rPr>
        <w:t xml:space="preserve"> a contrasting hypothesis was advanced by Toshifumi </w:t>
      </w:r>
      <w:r>
        <w:rPr>
          <w:rStyle w:val="biblio-authorGEN"/>
          <w:szCs w:val="21"/>
        </w:rPr>
        <w:t>Gotō</w:t>
      </w:r>
      <w:r>
        <w:rPr>
          <w:szCs w:val="21"/>
        </w:rPr>
        <w:t xml:space="preserve"> who, in his study on the first class of the Vedic present system</w:t>
      </w:r>
      <w:r>
        <w:rPr>
          <w:rStyle w:val="FootnoteAnchor"/>
          <w:szCs w:val="21"/>
        </w:rPr>
        <w:footnoteReference w:id="20"/>
      </w:r>
      <w:bookmarkStart w:id="12" w:name="sdfootnote14anc"/>
      <w:bookmarkEnd w:id="12"/>
      <w:r>
        <w:rPr>
          <w:szCs w:val="21"/>
        </w:rPr>
        <w:t xml:space="preserve">, starts with an analysis of the two root forms. Of the two forms, the </w:t>
      </w:r>
      <w:r>
        <w:rPr>
          <w:i/>
          <w:szCs w:val="21"/>
        </w:rPr>
        <w:t>se</w:t>
      </w:r>
      <w:r>
        <w:rPr>
          <w:i/>
          <w:szCs w:val="21"/>
        </w:rPr>
        <w:t>ṭ</w:t>
      </w:r>
      <w:r>
        <w:rPr>
          <w:i/>
          <w:szCs w:val="21"/>
        </w:rPr>
        <w:t xml:space="preserve"> </w:t>
      </w:r>
      <w:r>
        <w:rPr>
          <w:szCs w:val="21"/>
        </w:rPr>
        <w:t>one</w:t>
      </w:r>
      <w:r>
        <w:rPr>
          <w:szCs w:val="21"/>
        </w:rPr>
        <w:t xml:space="preserve"> shows the more complicated situation, while the presen</w:t>
      </w:r>
      <w:r>
        <w:rPr>
          <w:szCs w:val="21"/>
        </w:rPr>
        <w:t xml:space="preserve">t stem derived from the </w:t>
      </w:r>
      <w:r>
        <w:rPr>
          <w:i/>
          <w:iCs/>
          <w:szCs w:val="21"/>
        </w:rPr>
        <w:t>ani</w:t>
      </w:r>
      <w:r>
        <w:rPr>
          <w:i/>
          <w:iCs/>
          <w:szCs w:val="21"/>
        </w:rPr>
        <w:t>ṭ</w:t>
      </w:r>
      <w:r>
        <w:rPr>
          <w:szCs w:val="21"/>
        </w:rPr>
        <w:t xml:space="preserve"> root (</w:t>
      </w:r>
      <w:r>
        <w:rPr>
          <w:i/>
          <w:szCs w:val="21"/>
        </w:rPr>
        <w:t>van</w:t>
      </w:r>
      <w:r>
        <w:rPr>
          <w:szCs w:val="21"/>
        </w:rPr>
        <w:t xml:space="preserve">-), </w:t>
      </w:r>
      <w:r>
        <w:rPr>
          <w:i/>
          <w:szCs w:val="21"/>
        </w:rPr>
        <w:t>vanó / vanu-΄</w:t>
      </w:r>
      <w:r>
        <w:rPr>
          <w:szCs w:val="21"/>
        </w:rPr>
        <w:t xml:space="preserve"> shows a certain uniformity of a values: in most cases the meaning “überwältigen” is beyond all doubt, and even in those passages where the meaning is not unambiguously deducible, the sense of the verb</w:t>
      </w:r>
      <w:r>
        <w:rPr>
          <w:szCs w:val="21"/>
        </w:rPr>
        <w:t xml:space="preserve"> can certainly be rendered, following in the footsteps of Geldner, with “gewinnen” or, again, with “überwältigen”. </w:t>
      </w:r>
      <w:r>
        <w:rPr>
          <w:szCs w:val="21"/>
        </w:rPr>
        <w:t xml:space="preserve">As for the </w:t>
      </w:r>
      <w:r>
        <w:rPr>
          <w:i/>
          <w:iCs/>
          <w:szCs w:val="21"/>
        </w:rPr>
        <w:t>se</w:t>
      </w:r>
      <w:r>
        <w:rPr>
          <w:i/>
          <w:iCs/>
          <w:szCs w:val="21"/>
        </w:rPr>
        <w:t>ṭ</w:t>
      </w:r>
      <w:r>
        <w:rPr>
          <w:i/>
          <w:iCs/>
          <w:szCs w:val="21"/>
        </w:rPr>
        <w:t xml:space="preserve"> </w:t>
      </w:r>
      <w:r>
        <w:rPr>
          <w:szCs w:val="21"/>
        </w:rPr>
        <w:t>form</w:t>
      </w:r>
      <w:r>
        <w:rPr>
          <w:i/>
          <w:iCs/>
          <w:szCs w:val="21"/>
        </w:rPr>
        <w:t>,</w:t>
      </w:r>
      <w:r>
        <w:rPr>
          <w:szCs w:val="21"/>
        </w:rPr>
        <w:t xml:space="preserve"> Gotō traces out the following path: starting from certain secondary derivatives, </w:t>
      </w:r>
      <w:r>
        <w:rPr>
          <w:i/>
          <w:szCs w:val="21"/>
        </w:rPr>
        <w:t>vāmá</w:t>
      </w:r>
      <w:r>
        <w:rPr>
          <w:szCs w:val="21"/>
        </w:rPr>
        <w:t>- “wert, lieb” -</w:t>
      </w:r>
      <w:r>
        <w:rPr>
          <w:i/>
          <w:szCs w:val="21"/>
        </w:rPr>
        <w:t>vāta</w:t>
      </w:r>
      <w:r>
        <w:rPr>
          <w:szCs w:val="21"/>
        </w:rPr>
        <w:t xml:space="preserve">- “geliebt” </w:t>
      </w:r>
      <w:r>
        <w:rPr>
          <w:i/>
          <w:szCs w:val="21"/>
        </w:rPr>
        <w:t>vā́ñcha-</w:t>
      </w:r>
      <w:r>
        <w:rPr>
          <w:i/>
          <w:position w:val="7"/>
          <w:szCs w:val="21"/>
        </w:rPr>
        <w:t>ti</w:t>
      </w:r>
      <w:r>
        <w:rPr>
          <w:szCs w:val="21"/>
        </w:rPr>
        <w:t xml:space="preserve"> “begehren, wünschen”, he finds his way back to the original verbal form, the meaning of which would be expected to be something like “to love”, “desire”.</w:t>
      </w:r>
    </w:p>
    <w:p w14:paraId="1DE51509" w14:textId="77777777" w:rsidR="00E53EB6" w:rsidRDefault="006500F5">
      <w:pPr>
        <w:pStyle w:val="Hauptext"/>
      </w:pPr>
      <w:r>
        <w:t xml:space="preserve">At this point, according to the author, the need is to demonstrate whether the stem </w:t>
      </w:r>
      <w:r>
        <w:rPr>
          <w:i/>
        </w:rPr>
        <w:t>va(΄)na</w:t>
      </w:r>
      <w:r>
        <w:rPr>
          <w:i/>
        </w:rPr>
        <w:t>-</w:t>
      </w:r>
      <w:r>
        <w:t xml:space="preserve"> gave rise to present forms and to verify the possibility of attributing to these forms the meaning “to love”, much as was done in the case of the stem of the present </w:t>
      </w:r>
      <w:r>
        <w:rPr>
          <w:i/>
        </w:rPr>
        <w:t>vanó- / vanu-΄</w:t>
      </w:r>
      <w:r>
        <w:t xml:space="preserve">: in the passages quoted by Gotō the verb </w:t>
      </w:r>
      <w:r>
        <w:rPr>
          <w:i/>
        </w:rPr>
        <w:t>van</w:t>
      </w:r>
      <w:r>
        <w:rPr>
          <w:i/>
          <w:vertAlign w:val="superscript"/>
        </w:rPr>
        <w:t>i</w:t>
      </w:r>
      <w:r>
        <w:t>- can certainly be translate</w:t>
      </w:r>
      <w:r>
        <w:t xml:space="preserve">d with “to love” or such like, with regard both to the attestations of the present and the forms of the thematic aorist, supplied by the stem </w:t>
      </w:r>
      <w:r>
        <w:rPr>
          <w:i/>
        </w:rPr>
        <w:t>vaná</w:t>
      </w:r>
      <w:r>
        <w:t>- (</w:t>
      </w:r>
      <w:r>
        <w:rPr>
          <w:i/>
        </w:rPr>
        <w:t>*u̯n̥h-é-</w:t>
      </w:r>
      <w:r>
        <w:t>). A problem arising with this interpretative approach—the solution to which needs to be argued ou</w:t>
      </w:r>
      <w:r>
        <w:t xml:space="preserve">t at length—concerns </w:t>
      </w:r>
      <w:r>
        <w:rPr>
          <w:i/>
        </w:rPr>
        <w:t>vanema,</w:t>
      </w:r>
      <w:r>
        <w:t xml:space="preserve"> the optative present 1</w:t>
      </w:r>
      <w:r>
        <w:rPr>
          <w:vertAlign w:val="superscript"/>
        </w:rPr>
        <w:t>st</w:t>
      </w:r>
      <w:r>
        <w:t xml:space="preserve"> </w:t>
      </w:r>
      <w:r>
        <w:t xml:space="preserve">pers. pl. Deriving from the stem </w:t>
      </w:r>
      <w:r>
        <w:rPr>
          <w:i/>
        </w:rPr>
        <w:t>vana</w:t>
      </w:r>
      <w:r>
        <w:t>- (1</w:t>
      </w:r>
      <w:r>
        <w:rPr>
          <w:vertAlign w:val="superscript"/>
        </w:rPr>
        <w:t>st</w:t>
      </w:r>
      <w:r>
        <w:rPr>
          <w:position w:val="7"/>
          <w:sz w:val="17"/>
        </w:rPr>
        <w:t xml:space="preserve"> </w:t>
      </w:r>
      <w:r>
        <w:t xml:space="preserve">class), </w:t>
      </w:r>
      <w:r>
        <w:rPr>
          <w:i/>
          <w:iCs/>
        </w:rPr>
        <w:t>vanema</w:t>
      </w:r>
      <w:r>
        <w:t xml:space="preserve"> should therefore be associated with the form </w:t>
      </w:r>
      <w:r>
        <w:rPr>
          <w:i/>
        </w:rPr>
        <w:t>se</w:t>
      </w:r>
      <w:r>
        <w:rPr>
          <w:i/>
        </w:rPr>
        <w:t>ṭ</w:t>
      </w:r>
      <w:r>
        <w:t>, but, on the other hand, in many passages it hardly seems appropriate to translate it as “to l</w:t>
      </w:r>
      <w:r>
        <w:t xml:space="preserve">ove” (of the many examples we may cite R̥V 1.70.1 </w:t>
      </w:r>
      <w:r>
        <w:rPr>
          <w:i/>
        </w:rPr>
        <w:t>vanéma pūrvī́r aryó manī</w:t>
      </w:r>
      <w:r>
        <w:rPr>
          <w:i/>
        </w:rPr>
        <w:t>ṣ</w:t>
      </w:r>
      <w:r>
        <w:rPr>
          <w:i/>
        </w:rPr>
        <w:t>ā́</w:t>
      </w:r>
      <w:r>
        <w:t xml:space="preserve"> ). According to Gotō, who refers readers to the literature on the question</w:t>
      </w:r>
      <w:bookmarkStart w:id="13" w:name="sdfootnote15anc"/>
      <w:bookmarkEnd w:id="13"/>
      <w:r>
        <w:rPr>
          <w:rStyle w:val="FootnoteAnchor"/>
        </w:rPr>
        <w:footnoteReference w:id="21"/>
      </w:r>
      <w:r>
        <w:t xml:space="preserve">, the form </w:t>
      </w:r>
      <w:r>
        <w:rPr>
          <w:i/>
          <w:iCs/>
        </w:rPr>
        <w:t>vanema</w:t>
      </w:r>
      <w:r>
        <w:t xml:space="preserve"> can, however, be read as a thematic optative (a + i &gt; e) constructed on the athemati</w:t>
      </w:r>
      <w:r>
        <w:t xml:space="preserve">c root aorist, the existence of which is borne out by the subjunctive, and which finds a place among the forms of </w:t>
      </w:r>
      <w:r>
        <w:rPr>
          <w:i/>
          <w:iCs/>
        </w:rPr>
        <w:t>van-</w:t>
      </w:r>
      <w:r>
        <w:t xml:space="preserve"> “gewinnen”. </w:t>
      </w:r>
      <w:r>
        <w:t xml:space="preserve">Thus the scholar concludes that it is possible to contemplate two different original roots: 1) </w:t>
      </w:r>
      <w:r>
        <w:rPr>
          <w:i/>
        </w:rPr>
        <w:t>van-</w:t>
      </w:r>
      <w:r>
        <w:t xml:space="preserve"> “gewinnen, überwältigen” </w:t>
      </w:r>
      <w:r>
        <w:t xml:space="preserve">mainly in the form of the present </w:t>
      </w:r>
      <w:r>
        <w:rPr>
          <w:i/>
        </w:rPr>
        <w:t>vanóti</w:t>
      </w:r>
      <w:r>
        <w:t xml:space="preserve">, etc., of the root and sigmatic aorist; 2) </w:t>
      </w:r>
      <w:r>
        <w:rPr>
          <w:i/>
        </w:rPr>
        <w:t>van</w:t>
      </w:r>
      <w:r>
        <w:rPr>
          <w:i/>
          <w:vertAlign w:val="superscript"/>
        </w:rPr>
        <w:t>i</w:t>
      </w:r>
      <w:r>
        <w:rPr>
          <w:i/>
        </w:rPr>
        <w:t>-</w:t>
      </w:r>
      <w:r>
        <w:t xml:space="preserve"> “lieben” in the present stem </w:t>
      </w:r>
      <w:r>
        <w:rPr>
          <w:i/>
        </w:rPr>
        <w:t>van</w:t>
      </w:r>
      <w:r>
        <w:rPr>
          <w:i/>
          <w:vertAlign w:val="superscript"/>
        </w:rPr>
        <w:t>i</w:t>
      </w:r>
      <w:r>
        <w:rPr>
          <w:i/>
        </w:rPr>
        <w:t>-a-</w:t>
      </w:r>
      <w:r>
        <w:rPr>
          <w:i/>
          <w:vertAlign w:val="superscript"/>
        </w:rPr>
        <w:t>ti/te</w:t>
      </w:r>
      <w:r>
        <w:t xml:space="preserve"> and in the stem of the thematic aorist </w:t>
      </w:r>
      <w:r>
        <w:rPr>
          <w:i/>
        </w:rPr>
        <w:t>vaná</w:t>
      </w:r>
      <w:r>
        <w:t>-.</w:t>
      </w:r>
    </w:p>
    <w:p w14:paraId="7864AFFD" w14:textId="77777777" w:rsidR="00E53EB6" w:rsidRDefault="006500F5">
      <w:pPr>
        <w:pStyle w:val="Hauptext"/>
      </w:pPr>
      <w:r>
        <w:lastRenderedPageBreak/>
        <w:t xml:space="preserve">Also following this interpretative line is </w:t>
      </w:r>
      <w:r>
        <w:rPr>
          <w:rStyle w:val="biblio-authorGEN"/>
        </w:rPr>
        <w:t>Werba</w:t>
      </w:r>
      <w:bookmarkStart w:id="14" w:name="sdfootnote16anc"/>
      <w:bookmarkEnd w:id="14"/>
      <w:r>
        <w:rPr>
          <w:rStyle w:val="FootnoteAnchor"/>
        </w:rPr>
        <w:footnoteReference w:id="22"/>
      </w:r>
      <w:r>
        <w:t>, in his study on Indo-Iranian roots, as do the etymological dictionaries and lexicons mentioned above, which in fact refer readers to Gotō’s study.</w:t>
      </w:r>
    </w:p>
    <w:p w14:paraId="49C0862E" w14:textId="77777777" w:rsidR="00E53EB6" w:rsidRDefault="006500F5">
      <w:pPr>
        <w:pStyle w:val="Hauptext"/>
      </w:pPr>
      <w:r>
        <w:rPr>
          <w:szCs w:val="21"/>
        </w:rPr>
        <w:t>The quantity of studies following one upon another over t</w:t>
      </w:r>
      <w:r>
        <w:rPr>
          <w:szCs w:val="21"/>
        </w:rPr>
        <w:t>ime regarding the root we are concerned with here is such that it has been expedient to supply only the two principal positions and their more recent and significant representatives; for the full picture of all the critical studies and the various exegeses</w:t>
      </w:r>
      <w:r>
        <w:rPr>
          <w:szCs w:val="21"/>
        </w:rPr>
        <w:t>, see EWAia: II 499-501, and more recently the analysis</w:t>
      </w:r>
      <w:r>
        <w:rPr>
          <w:i/>
          <w:iCs/>
          <w:szCs w:val="21"/>
        </w:rPr>
        <w:t xml:space="preserve"> </w:t>
      </w:r>
      <w:r>
        <w:rPr>
          <w:szCs w:val="21"/>
        </w:rPr>
        <w:t xml:space="preserve">by </w:t>
      </w:r>
      <w:r>
        <w:rPr>
          <w:rStyle w:val="biblio-authorGEN"/>
          <w:szCs w:val="21"/>
        </w:rPr>
        <w:t>Hettrich</w:t>
      </w:r>
      <w:r>
        <w:rPr>
          <w:szCs w:val="21"/>
        </w:rPr>
        <w:t xml:space="preserve"> (2007); the scholar investigates the meanings of </w:t>
      </w:r>
      <w:r>
        <w:rPr>
          <w:i/>
          <w:iCs/>
          <w:szCs w:val="21"/>
        </w:rPr>
        <w:t>van- / van</w:t>
      </w:r>
      <w:r>
        <w:rPr>
          <w:i/>
          <w:iCs/>
          <w:szCs w:val="21"/>
          <w:vertAlign w:val="superscript"/>
        </w:rPr>
        <w:t>i</w:t>
      </w:r>
      <w:r>
        <w:rPr>
          <w:szCs w:val="21"/>
        </w:rPr>
        <w:t xml:space="preserve"> especially in the </w:t>
      </w:r>
      <w:r>
        <w:rPr>
          <w:i/>
          <w:iCs/>
          <w:szCs w:val="21"/>
        </w:rPr>
        <w:t xml:space="preserve">R̥gvedasaṃhitā </w:t>
      </w:r>
      <w:r>
        <w:rPr>
          <w:szCs w:val="21"/>
        </w:rPr>
        <w:t>and, maintaining the division between the two roots and the two meanings,</w:t>
      </w:r>
      <w:r>
        <w:rPr>
          <w:i/>
          <w:iCs/>
          <w:szCs w:val="21"/>
        </w:rPr>
        <w:t xml:space="preserve"> </w:t>
      </w:r>
      <w:r>
        <w:rPr>
          <w:szCs w:val="21"/>
        </w:rPr>
        <w:t xml:space="preserve">proposes for </w:t>
      </w:r>
      <w:r>
        <w:rPr>
          <w:i/>
          <w:iCs/>
          <w:szCs w:val="21"/>
        </w:rPr>
        <w:t xml:space="preserve">van- </w:t>
      </w:r>
      <w:r>
        <w:rPr>
          <w:szCs w:val="21"/>
        </w:rPr>
        <w:t>a schema</w:t>
      </w:r>
      <w:r>
        <w:rPr>
          <w:i/>
          <w:iCs/>
          <w:szCs w:val="21"/>
        </w:rPr>
        <w:t xml:space="preserve"> </w:t>
      </w:r>
      <w:r>
        <w:rPr>
          <w:szCs w:val="21"/>
        </w:rPr>
        <w:t xml:space="preserve">that is based on the three german verbs </w:t>
      </w:r>
      <w:r>
        <w:rPr>
          <w:i/>
          <w:iCs/>
          <w:szCs w:val="21"/>
        </w:rPr>
        <w:t xml:space="preserve">siegreich sein/ überwältigen/ erringen-gewinnen. </w:t>
      </w:r>
      <w:r>
        <w:rPr>
          <w:szCs w:val="21"/>
        </w:rPr>
        <w:t>In the conclusion, noti</w:t>
      </w:r>
      <w:r>
        <w:rPr>
          <w:szCs w:val="21"/>
        </w:rPr>
        <w:t xml:space="preserve">cing that the two meanings of the two roots are clearly observable and still very near, he states that “Das Verhältins zwischen beiden </w:t>
      </w:r>
      <w:r>
        <w:rPr>
          <w:szCs w:val="21"/>
        </w:rPr>
        <w:t>könnte man als ‘pragmatische Implikation’ bezeichnen</w:t>
      </w:r>
      <w:r>
        <w:rPr>
          <w:rStyle w:val="FootnoteAnchor"/>
          <w:szCs w:val="21"/>
        </w:rPr>
        <w:footnoteReference w:id="23"/>
      </w:r>
      <w:r>
        <w:rPr>
          <w:szCs w:val="21"/>
        </w:rPr>
        <w:t xml:space="preserve">”. </w:t>
      </w:r>
      <w:r>
        <w:rPr>
          <w:szCs w:val="21"/>
        </w:rPr>
        <w:t>With regard to the possibility of attributing one single value to the verbal root or considering it the vehicle of both meanings, it is also worth looking into the interpretations proposed by Karl Fr</w:t>
      </w:r>
      <w:r>
        <w:rPr>
          <w:szCs w:val="21"/>
        </w:rPr>
        <w:t xml:space="preserve">iedrich </w:t>
      </w:r>
      <w:r>
        <w:rPr>
          <w:rStyle w:val="biblio-authorGEN"/>
          <w:szCs w:val="21"/>
        </w:rPr>
        <w:t>Geldner</w:t>
      </w:r>
      <w:r>
        <w:rPr>
          <w:szCs w:val="21"/>
        </w:rPr>
        <w:t xml:space="preserve"> (1951) and Louis </w:t>
      </w:r>
      <w:r>
        <w:rPr>
          <w:rStyle w:val="biblio-authorGEN"/>
          <w:szCs w:val="21"/>
        </w:rPr>
        <w:t>Renou</w:t>
      </w:r>
      <w:r>
        <w:rPr>
          <w:szCs w:val="21"/>
        </w:rPr>
        <w:t xml:space="preserve"> (1955-1969) in their works translating the </w:t>
      </w:r>
      <w:r>
        <w:rPr>
          <w:i/>
          <w:szCs w:val="21"/>
        </w:rPr>
        <w:t>R</w:t>
      </w:r>
      <w:bookmarkStart w:id="15" w:name="sdfootnote17anc"/>
      <w:bookmarkEnd w:id="15"/>
      <w:r>
        <w:rPr>
          <w:i/>
          <w:szCs w:val="21"/>
        </w:rPr>
        <w:t>̥gveda Sa</w:t>
      </w:r>
      <w:r>
        <w:rPr>
          <w:i/>
          <w:szCs w:val="21"/>
        </w:rPr>
        <w:t>ṃ</w:t>
      </w:r>
      <w:r>
        <w:rPr>
          <w:i/>
          <w:szCs w:val="21"/>
        </w:rPr>
        <w:t>hitā</w:t>
      </w:r>
      <w:r>
        <w:rPr>
          <w:szCs w:val="21"/>
        </w:rPr>
        <w:t xml:space="preserve">. To some extent, their hypotheses anticipate the two illustrated above. Geldner makes use of both the meanings proposed for the verbal root </w:t>
      </w:r>
      <w:r>
        <w:rPr>
          <w:i/>
          <w:szCs w:val="21"/>
        </w:rPr>
        <w:t>van- / van</w:t>
      </w:r>
      <w:r>
        <w:rPr>
          <w:i/>
          <w:position w:val="7"/>
          <w:szCs w:val="21"/>
        </w:rPr>
        <w:t>i</w:t>
      </w:r>
      <w:r>
        <w:rPr>
          <w:i/>
          <w:szCs w:val="21"/>
        </w:rPr>
        <w:t>-</w:t>
      </w:r>
      <w:r>
        <w:rPr>
          <w:szCs w:val="21"/>
        </w:rPr>
        <w:t>, and yet there emerges a position that, on the one hand, seems to fit in with the hypothesis argued by Gotō, but on the other hand shows a basic and radical departure from these very hypotheses: Gotō holds that a biunique relationship can be established b</w:t>
      </w:r>
      <w:r>
        <w:rPr>
          <w:szCs w:val="21"/>
        </w:rPr>
        <w:t xml:space="preserve">etween the two root forms and the two semantic values but, if we take into account a sufficiently large number of passages, we find that the German scholar does not base his argument on the separation between the two forms deriving from the root </w:t>
      </w:r>
      <w:r>
        <w:rPr>
          <w:i/>
          <w:szCs w:val="21"/>
        </w:rPr>
        <w:t>se</w:t>
      </w:r>
      <w:r>
        <w:rPr>
          <w:i/>
          <w:szCs w:val="21"/>
        </w:rPr>
        <w:t>ṭ</w:t>
      </w:r>
      <w:r>
        <w:rPr>
          <w:i/>
          <w:szCs w:val="21"/>
        </w:rPr>
        <w:t xml:space="preserve"> </w:t>
      </w:r>
      <w:r>
        <w:rPr>
          <w:szCs w:val="21"/>
        </w:rPr>
        <w:t>and th</w:t>
      </w:r>
      <w:r>
        <w:rPr>
          <w:szCs w:val="21"/>
        </w:rPr>
        <w:t xml:space="preserve">ose deriving from the root </w:t>
      </w:r>
      <w:r>
        <w:rPr>
          <w:i/>
          <w:szCs w:val="21"/>
        </w:rPr>
        <w:t>ani</w:t>
      </w:r>
      <w:r>
        <w:rPr>
          <w:i/>
          <w:szCs w:val="21"/>
        </w:rPr>
        <w:t>ṭ</w:t>
      </w:r>
      <w:r>
        <w:rPr>
          <w:szCs w:val="21"/>
        </w:rPr>
        <w:t xml:space="preserve">, but the choice between the two areas of meaning is made in relation to the context. A good example is stanza R̥V 1.31.13: </w:t>
      </w:r>
    </w:p>
    <w:p w14:paraId="79E8638E" w14:textId="77777777" w:rsidR="00E53EB6" w:rsidRDefault="006500F5">
      <w:pPr>
        <w:pStyle w:val="Zitat"/>
      </w:pPr>
      <w:r>
        <w:t xml:space="preserve">1.31.13 </w:t>
      </w:r>
      <w:r>
        <w:rPr>
          <w:i/>
        </w:rPr>
        <w:t>t</w:t>
      </w:r>
      <w:r>
        <w:rPr>
          <w:i/>
          <w:vertAlign w:val="subscript"/>
        </w:rPr>
        <w:t>u</w:t>
      </w:r>
      <w:r>
        <w:rPr>
          <w:i/>
        </w:rPr>
        <w:t>vám agne yájyave pāyúr ántaro</w:t>
      </w:r>
    </w:p>
    <w:p w14:paraId="63403E69" w14:textId="77777777" w:rsidR="00E53EB6" w:rsidRDefault="006500F5">
      <w:pPr>
        <w:pStyle w:val="ZitatnachZitat"/>
        <w:rPr>
          <w:i/>
          <w:iCs/>
        </w:rPr>
      </w:pPr>
      <w:r>
        <w:rPr>
          <w:i/>
          <w:iCs/>
        </w:rPr>
        <w:t>ani</w:t>
      </w:r>
      <w:r>
        <w:rPr>
          <w:i/>
          <w:iCs/>
        </w:rPr>
        <w:t>ṣ</w:t>
      </w:r>
      <w:r>
        <w:rPr>
          <w:i/>
          <w:iCs/>
        </w:rPr>
        <w:t>a</w:t>
      </w:r>
      <w:r>
        <w:rPr>
          <w:i/>
          <w:iCs/>
        </w:rPr>
        <w:t>ṅ</w:t>
      </w:r>
      <w:r>
        <w:rPr>
          <w:i/>
          <w:iCs/>
        </w:rPr>
        <w:t>gā́ya caturak</w:t>
      </w:r>
      <w:r>
        <w:rPr>
          <w:i/>
          <w:iCs/>
        </w:rPr>
        <w:t>ṣ</w:t>
      </w:r>
      <w:r>
        <w:rPr>
          <w:i/>
          <w:iCs/>
        </w:rPr>
        <w:t>á idhyase</w:t>
      </w:r>
    </w:p>
    <w:p w14:paraId="32A73DDA" w14:textId="77777777" w:rsidR="00E53EB6" w:rsidRDefault="006500F5">
      <w:pPr>
        <w:pStyle w:val="ZitatnachZitat"/>
        <w:rPr>
          <w:i/>
          <w:iCs/>
        </w:rPr>
      </w:pPr>
      <w:r>
        <w:rPr>
          <w:i/>
          <w:iCs/>
        </w:rPr>
        <w:t>yó rātáhavyo avr̥kā́ya dhā́yas</w:t>
      </w:r>
      <w:r>
        <w:rPr>
          <w:i/>
          <w:iCs/>
        </w:rPr>
        <w:t>e</w:t>
      </w:r>
    </w:p>
    <w:p w14:paraId="54FCA9C3" w14:textId="77777777" w:rsidR="00E53EB6" w:rsidRDefault="006500F5">
      <w:pPr>
        <w:pStyle w:val="ZitatnachZitat"/>
        <w:rPr>
          <w:i/>
          <w:iCs/>
        </w:rPr>
      </w:pPr>
      <w:r>
        <w:rPr>
          <w:i/>
          <w:iCs/>
        </w:rPr>
        <w:t>kīréś cin mántram mánasā vanó</w:t>
      </w:r>
      <w:r>
        <w:rPr>
          <w:i/>
          <w:iCs/>
        </w:rPr>
        <w:t>ṣ</w:t>
      </w:r>
      <w:r>
        <w:rPr>
          <w:i/>
          <w:iCs/>
        </w:rPr>
        <w:t>i tám</w:t>
      </w:r>
    </w:p>
    <w:p w14:paraId="7C09884F" w14:textId="77777777" w:rsidR="00E53EB6" w:rsidRDefault="006500F5">
      <w:pPr>
        <w:pStyle w:val="Zitat"/>
      </w:pPr>
      <w:r>
        <w:t>You, o Agni, are kindled for the defenceless sacrificer, close protector, with four eyes; of him</w:t>
      </w:r>
      <w:bookmarkStart w:id="16" w:name="sdfootnote18anc"/>
      <w:bookmarkEnd w:id="16"/>
      <w:r>
        <w:rPr>
          <w:rStyle w:val="FootnoteAnchor"/>
        </w:rPr>
        <w:footnoteReference w:id="24"/>
      </w:r>
      <w:r>
        <w:t xml:space="preserve"> who has offered the libations for nourishment free of danger, albeit weak</w:t>
      </w:r>
      <w:bookmarkStart w:id="17" w:name="sdfootnote19anc"/>
      <w:bookmarkEnd w:id="17"/>
      <w:r>
        <w:rPr>
          <w:rStyle w:val="FootnoteAnchor"/>
        </w:rPr>
        <w:footnoteReference w:id="25"/>
      </w:r>
      <w:r>
        <w:t xml:space="preserve">, </w:t>
      </w:r>
      <w:r>
        <w:rPr>
          <w:i/>
          <w:u w:val="single"/>
        </w:rPr>
        <w:t>van-</w:t>
      </w:r>
      <w:r>
        <w:rPr>
          <w:i/>
        </w:rPr>
        <w:t xml:space="preserve"> </w:t>
      </w:r>
      <w:r>
        <w:t>the verse with the mind.</w:t>
      </w:r>
    </w:p>
    <w:p w14:paraId="14BF432D" w14:textId="77777777" w:rsidR="00E53EB6" w:rsidRDefault="00E53EB6">
      <w:pPr>
        <w:pStyle w:val="HaupttextohneEinzug"/>
      </w:pPr>
    </w:p>
    <w:p w14:paraId="0880CE39" w14:textId="77777777" w:rsidR="00E53EB6" w:rsidRDefault="006500F5">
      <w:pPr>
        <w:pStyle w:val="HaupttextohneEinzug"/>
      </w:pPr>
      <w:r>
        <w:t xml:space="preserve">With regard to the grammatical construction of the second two </w:t>
      </w:r>
      <w:r>
        <w:rPr>
          <w:i/>
        </w:rPr>
        <w:t>pāda</w:t>
      </w:r>
      <w:r>
        <w:t xml:space="preserve"> (cf. footnote</w:t>
      </w:r>
      <w:r>
        <w:t xml:space="preserve"> just above</w:t>
      </w:r>
      <w:r>
        <w:t xml:space="preserve">), scholars interpret this passage in very different ways, although almost all of them agree in attributing to </w:t>
      </w:r>
      <w:r>
        <w:rPr>
          <w:i/>
        </w:rPr>
        <w:t>vanó</w:t>
      </w:r>
      <w:r>
        <w:rPr>
          <w:i/>
        </w:rPr>
        <w:t>ṣ</w:t>
      </w:r>
      <w:r>
        <w:rPr>
          <w:i/>
        </w:rPr>
        <w:t>i</w:t>
      </w:r>
      <w:r>
        <w:t xml:space="preserve"> meanings that come within the sphere of the Eng</w:t>
      </w:r>
      <w:r>
        <w:t xml:space="preserve">lish verb “to love”, on account of a form of the stem of the present </w:t>
      </w:r>
      <w:r>
        <w:rPr>
          <w:i/>
        </w:rPr>
        <w:t>vanó / vanu-΄</w:t>
      </w:r>
      <w:r>
        <w:t xml:space="preserve"> which clearly derives from the </w:t>
      </w:r>
      <w:r>
        <w:rPr>
          <w:i/>
        </w:rPr>
        <w:t>ani</w:t>
      </w:r>
      <w:r>
        <w:rPr>
          <w:i/>
        </w:rPr>
        <w:t>ṭ</w:t>
      </w:r>
      <w:r>
        <w:rPr>
          <w:i/>
        </w:rPr>
        <w:t xml:space="preserve">  </w:t>
      </w:r>
      <w:r>
        <w:t xml:space="preserve">root. In particular, while </w:t>
      </w:r>
      <w:r>
        <w:rPr>
          <w:rStyle w:val="biblio-authorGEN"/>
        </w:rPr>
        <w:t>Geldner</w:t>
      </w:r>
      <w:r>
        <w:t xml:space="preserve"> (I 35) and </w:t>
      </w:r>
      <w:r>
        <w:rPr>
          <w:rStyle w:val="biblio-authorGEN"/>
        </w:rPr>
        <w:t>Witzel-Gotō (</w:t>
      </w:r>
      <w:r>
        <w:t>2007: 59) translate as “</w:t>
      </w:r>
      <w:r w:rsidRPr="00B80C6B">
        <w:rPr>
          <w:lang w:val="en-US"/>
        </w:rPr>
        <w:t>begehrst</w:t>
      </w:r>
      <w:r>
        <w:t>”</w:t>
      </w:r>
      <w:r>
        <w:t xml:space="preserve">  and </w:t>
      </w:r>
      <w:r>
        <w:rPr>
          <w:rStyle w:val="biblio-authorGEN"/>
        </w:rPr>
        <w:t>Renou</w:t>
      </w:r>
      <w:r>
        <w:t xml:space="preserve"> (XII 6) resorts to paraphrase, “</w:t>
      </w:r>
      <w:r>
        <w:t>gagne en ton cœur”</w:t>
      </w:r>
      <w:r>
        <w:t>, in the attempt to retain “</w:t>
      </w:r>
      <w:r>
        <w:t>gagne</w:t>
      </w:r>
      <w:r>
        <w:t xml:space="preserve">” for the Sanskrit verb </w:t>
      </w:r>
      <w:r>
        <w:rPr>
          <w:i/>
        </w:rPr>
        <w:t>van-</w:t>
      </w:r>
      <w:r>
        <w:t xml:space="preserve">, both taking the object of the action to be man. </w:t>
      </w:r>
      <w:r>
        <w:rPr>
          <w:rStyle w:val="biblio-authorGEN"/>
        </w:rPr>
        <w:t>Elizarenkova</w:t>
      </w:r>
      <w:r>
        <w:t xml:space="preserve"> (1995</w:t>
      </w:r>
      <w:r>
        <w:rPr>
          <w:vertAlign w:val="superscript"/>
        </w:rPr>
        <w:t>a</w:t>
      </w:r>
      <w:r>
        <w:t xml:space="preserve">: 62-3), unlike these two scholars takes the object of the verb to be </w:t>
      </w:r>
      <w:r>
        <w:rPr>
          <w:i/>
        </w:rPr>
        <w:t>mántr</w:t>
      </w:r>
      <w:r>
        <w:rPr>
          <w:i/>
        </w:rPr>
        <w:t>am</w:t>
      </w:r>
      <w:r>
        <w:t xml:space="preserve"> (the verse) and translates </w:t>
      </w:r>
      <w:r>
        <w:rPr>
          <w:i/>
        </w:rPr>
        <w:lastRenderedPageBreak/>
        <w:t>vanó</w:t>
      </w:r>
      <w:r>
        <w:rPr>
          <w:i/>
        </w:rPr>
        <w:t>ṣ</w:t>
      </w:r>
      <w:r>
        <w:rPr>
          <w:i/>
        </w:rPr>
        <w:t>i</w:t>
      </w:r>
      <w:r>
        <w:t xml:space="preserve"> with the English </w:t>
      </w:r>
      <w:r>
        <w:t>“love”</w:t>
      </w:r>
      <w:r>
        <w:t xml:space="preserve">. Finally, it is worth recalling the two primary meanings that Elizarenkova supplies for </w:t>
      </w:r>
      <w:r>
        <w:rPr>
          <w:i/>
        </w:rPr>
        <w:t>van-</w:t>
      </w:r>
      <w:r>
        <w:t xml:space="preserve"> in her study on the terms characterised by </w:t>
      </w:r>
      <w:r>
        <w:rPr>
          <w:i/>
        </w:rPr>
        <w:t>conversive meaning</w:t>
      </w:r>
      <w:r>
        <w:t xml:space="preserve">: </w:t>
      </w:r>
      <w:r>
        <w:t>“to like, to prefer” and “to obtain,” “</w:t>
      </w:r>
      <w:r>
        <w:t>to win”(</w:t>
      </w:r>
      <w:r>
        <w:t xml:space="preserve">cf. </w:t>
      </w:r>
      <w:r>
        <w:rPr>
          <w:rStyle w:val="biblio-authorGEN"/>
        </w:rPr>
        <w:t>Elizarenkova</w:t>
      </w:r>
      <w:r>
        <w:t xml:space="preserve"> 1995</w:t>
      </w:r>
      <w:r>
        <w:rPr>
          <w:vertAlign w:val="superscript"/>
        </w:rPr>
        <w:t>a</w:t>
      </w:r>
      <w:r>
        <w:t xml:space="preserve">: 47). Unlike Geldner, the French scholar holds that in the </w:t>
      </w:r>
      <w:r>
        <w:rPr>
          <w:i/>
          <w:iCs/>
        </w:rPr>
        <w:t>R̥gveda Sa</w:t>
      </w:r>
      <w:r>
        <w:rPr>
          <w:i/>
          <w:iCs/>
        </w:rPr>
        <w:t>ṃ</w:t>
      </w:r>
      <w:r>
        <w:rPr>
          <w:i/>
          <w:iCs/>
        </w:rPr>
        <w:t>hitā</w:t>
      </w:r>
      <w:r>
        <w:t xml:space="preserve"> the value of “to desire” is not to be found in the use of </w:t>
      </w:r>
      <w:r>
        <w:rPr>
          <w:i/>
        </w:rPr>
        <w:t>van- / van</w:t>
      </w:r>
      <w:r>
        <w:rPr>
          <w:i/>
          <w:vertAlign w:val="superscript"/>
        </w:rPr>
        <w:t>i</w:t>
      </w:r>
      <w:r>
        <w:rPr>
          <w:i/>
        </w:rPr>
        <w:t>-</w:t>
      </w:r>
      <w:r>
        <w:t xml:space="preserve"> (cf. </w:t>
      </w:r>
      <w:r>
        <w:rPr>
          <w:rStyle w:val="biblio-authorGEN"/>
        </w:rPr>
        <w:t>Renou</w:t>
      </w:r>
      <w:r>
        <w:t xml:space="preserve"> XII 77-78 n.13); he adopts the French verb </w:t>
      </w:r>
      <w:r>
        <w:rPr>
          <w:i/>
        </w:rPr>
        <w:t>gagne</w:t>
      </w:r>
      <w:r>
        <w:t xml:space="preserve"> in all its senses (</w:t>
      </w:r>
      <w:r>
        <w:t>cf. “</w:t>
      </w:r>
      <w:r>
        <w:t>ont gagné à eux”</w:t>
      </w:r>
      <w:r>
        <w:rPr>
          <w:i/>
        </w:rPr>
        <w:t xml:space="preserve"> </w:t>
      </w:r>
      <w:r>
        <w:t xml:space="preserve">in 1 51.2) and sticks to this translation with great constancy, occasionally resorting to the more specific </w:t>
      </w:r>
      <w:r>
        <w:rPr>
          <w:i/>
        </w:rPr>
        <w:t>vaincre</w:t>
      </w:r>
      <w:r>
        <w:t xml:space="preserve"> (above all for the form of the participle, cf. 6.16.27; 9.61.24; 2 21.1; 7.83.4; 6.16.20). However, there are some pas</w:t>
      </w:r>
      <w:r>
        <w:t>sages in which, while continuing in any case to underline the dominant value of “</w:t>
      </w:r>
      <w:r>
        <w:t>gagne”</w:t>
      </w:r>
      <w:r>
        <w:t>, seems to have no option but to abandon the initial choice and resort to “</w:t>
      </w:r>
      <w:r>
        <w:t>aimer”</w:t>
      </w:r>
      <w:r>
        <w:t xml:space="preserve"> or “</w:t>
      </w:r>
      <w:r>
        <w:t>agréer”</w:t>
      </w:r>
      <w:r>
        <w:t xml:space="preserve">. This position has a certain affinity with that taken by Migron who, as we </w:t>
      </w:r>
      <w:r>
        <w:t>have seen, suggests the possibility of considering the various attestations of this verbal root as different developments of a single ancient term of hunting, which the scholar compares with the English “</w:t>
      </w:r>
      <w:r>
        <w:t>to get”</w:t>
      </w:r>
      <w:r>
        <w:t xml:space="preserve">: with a verb of this kind, which is applied </w:t>
      </w:r>
      <w:r>
        <w:t xml:space="preserve">over a very wide range of meanings and also lends itself to phrasal uses, Migron succeeds in handling the passages most suggestive of the presence of the meaning close to “desire”, as, for example, in the case of R̥V 8.45.23 </w:t>
      </w:r>
      <w:r>
        <w:rPr>
          <w:i/>
          <w:iCs/>
        </w:rPr>
        <w:t>mā́ tvā mūrā́ avi</w:t>
      </w:r>
      <w:r>
        <w:rPr>
          <w:i/>
          <w:iCs/>
        </w:rPr>
        <w:t>ṣ</w:t>
      </w:r>
      <w:r>
        <w:rPr>
          <w:i/>
          <w:iCs/>
        </w:rPr>
        <w:t>yávo mópahásv</w:t>
      </w:r>
      <w:r>
        <w:rPr>
          <w:i/>
          <w:iCs/>
        </w:rPr>
        <w:t>āna ā́ dabhan mā́kīm brahmadví</w:t>
      </w:r>
      <w:r>
        <w:rPr>
          <w:i/>
          <w:iCs/>
        </w:rPr>
        <w:t>ṣ</w:t>
      </w:r>
      <w:r>
        <w:rPr>
          <w:i/>
          <w:iCs/>
        </w:rPr>
        <w:t>o vana</w:t>
      </w:r>
      <w:r>
        <w:rPr>
          <w:i/>
          <w:iCs/>
        </w:rPr>
        <w:t>ḥ</w:t>
      </w:r>
      <w:r>
        <w:t xml:space="preserve"> – a stanza difficult to translate using the two meanings met with so far, and that will be throughout analysed at the end  of </w:t>
      </w:r>
      <w:r>
        <w:t xml:space="preserve">this </w:t>
      </w:r>
      <w:r>
        <w:rPr>
          <w:szCs w:val="21"/>
        </w:rPr>
        <w:t>chapter, representing a keystone of the semantic speculation we are bringing forth</w:t>
      </w:r>
      <w:r>
        <w:rPr>
          <w:szCs w:val="21"/>
        </w:rPr>
        <w:t>.</w:t>
      </w:r>
    </w:p>
    <w:p w14:paraId="50740F03" w14:textId="77777777" w:rsidR="00E53EB6" w:rsidRDefault="006500F5">
      <w:pPr>
        <w:pStyle w:val="Hauptext"/>
      </w:pPr>
      <w:r>
        <w:rPr>
          <w:szCs w:val="21"/>
        </w:rPr>
        <w:t>De</w:t>
      </w:r>
      <w:r>
        <w:rPr>
          <w:szCs w:val="21"/>
        </w:rPr>
        <w:t xml:space="preserve">spite their differences, both positions seem to some extent equally possible. What, then, is the background that offers scope for this possibility? </w:t>
      </w:r>
      <w:r>
        <w:rPr>
          <w:rStyle w:val="biblio-authorGEN"/>
          <w:szCs w:val="21"/>
        </w:rPr>
        <w:t>Grassmann</w:t>
      </w:r>
      <w:bookmarkStart w:id="18" w:name="sdfootnote20anc"/>
      <w:bookmarkEnd w:id="18"/>
      <w:r>
        <w:rPr>
          <w:rStyle w:val="FootnoteAnchor"/>
          <w:szCs w:val="21"/>
        </w:rPr>
        <w:footnoteReference w:id="26"/>
      </w:r>
      <w:r>
        <w:rPr>
          <w:szCs w:val="21"/>
        </w:rPr>
        <w:t xml:space="preserve">, in his </w:t>
      </w:r>
      <w:r>
        <w:rPr>
          <w:i/>
          <w:szCs w:val="21"/>
        </w:rPr>
        <w:t>Wörterbuch des Rigveda</w:t>
      </w:r>
      <w:r>
        <w:rPr>
          <w:szCs w:val="21"/>
        </w:rPr>
        <w:t xml:space="preserve">, takes the </w:t>
      </w:r>
      <w:r>
        <w:rPr>
          <w:i/>
          <w:szCs w:val="21"/>
        </w:rPr>
        <w:t>se</w:t>
      </w:r>
      <w:r>
        <w:rPr>
          <w:i/>
          <w:szCs w:val="21"/>
        </w:rPr>
        <w:t>ṭ</w:t>
      </w:r>
      <w:r>
        <w:rPr>
          <w:szCs w:val="21"/>
        </w:rPr>
        <w:t xml:space="preserve"> and </w:t>
      </w:r>
      <w:r>
        <w:rPr>
          <w:i/>
          <w:szCs w:val="21"/>
        </w:rPr>
        <w:t>ani</w:t>
      </w:r>
      <w:r>
        <w:rPr>
          <w:i/>
          <w:szCs w:val="21"/>
        </w:rPr>
        <w:t>ṭ</w:t>
      </w:r>
      <w:r>
        <w:rPr>
          <w:szCs w:val="21"/>
        </w:rPr>
        <w:t xml:space="preserve"> forms of the verb </w:t>
      </w:r>
      <w:r>
        <w:rPr>
          <w:i/>
          <w:szCs w:val="21"/>
        </w:rPr>
        <w:t>van- / van</w:t>
      </w:r>
      <w:r>
        <w:rPr>
          <w:i/>
          <w:szCs w:val="21"/>
          <w:vertAlign w:val="superscript"/>
        </w:rPr>
        <w:t>i</w:t>
      </w:r>
      <w:r>
        <w:rPr>
          <w:i/>
          <w:szCs w:val="21"/>
        </w:rPr>
        <w:t>-</w:t>
      </w:r>
      <w:r>
        <w:rPr>
          <w:szCs w:val="21"/>
        </w:rPr>
        <w:t xml:space="preserve"> as different stems of one and the same root, suggesting for them a common, underlying and broader meaning: the various meanings of </w:t>
      </w:r>
      <w:r>
        <w:rPr>
          <w:i/>
          <w:szCs w:val="21"/>
        </w:rPr>
        <w:t>van- / van</w:t>
      </w:r>
      <w:r>
        <w:rPr>
          <w:i/>
          <w:szCs w:val="21"/>
          <w:vertAlign w:val="superscript"/>
        </w:rPr>
        <w:t>i</w:t>
      </w:r>
      <w:r>
        <w:rPr>
          <w:i/>
          <w:szCs w:val="21"/>
        </w:rPr>
        <w:t xml:space="preserve">- </w:t>
      </w:r>
      <w:r>
        <w:rPr>
          <w:szCs w:val="21"/>
        </w:rPr>
        <w:t xml:space="preserve">can, according to Grassmann, be grouped under the concept of </w:t>
      </w:r>
      <w:r>
        <w:rPr>
          <w:i/>
          <w:szCs w:val="21"/>
        </w:rPr>
        <w:t>auf etwas hinzielen, sich hinrichten</w:t>
      </w:r>
      <w:r>
        <w:rPr>
          <w:szCs w:val="21"/>
        </w:rPr>
        <w:t>. Similarly, a</w:t>
      </w:r>
      <w:r>
        <w:rPr>
          <w:szCs w:val="21"/>
        </w:rPr>
        <w:t>ccording to Pischel (</w:t>
      </w:r>
      <w:r>
        <w:rPr>
          <w:rStyle w:val="biblio-authorGEN"/>
          <w:szCs w:val="21"/>
        </w:rPr>
        <w:t xml:space="preserve">Pischel-Geldner </w:t>
      </w:r>
      <w:r>
        <w:rPr>
          <w:szCs w:val="21"/>
        </w:rPr>
        <w:t xml:space="preserve">1889-1901: III §22, 198-204) </w:t>
      </w:r>
      <w:r>
        <w:rPr>
          <w:i/>
          <w:szCs w:val="21"/>
        </w:rPr>
        <w:t>Grundbedeutung</w:t>
      </w:r>
      <w:r>
        <w:rPr>
          <w:szCs w:val="21"/>
        </w:rPr>
        <w:t xml:space="preserve"> of the verb is “</w:t>
      </w:r>
      <w:r>
        <w:rPr>
          <w:szCs w:val="21"/>
        </w:rPr>
        <w:t>auf etwas losgehen”</w:t>
      </w:r>
      <w:r>
        <w:rPr>
          <w:szCs w:val="21"/>
        </w:rPr>
        <w:t xml:space="preserve">. </w:t>
      </w:r>
    </w:p>
    <w:p w14:paraId="0F70C9AC" w14:textId="77777777" w:rsidR="00E53EB6" w:rsidRDefault="006500F5">
      <w:pPr>
        <w:pStyle w:val="Hauptext"/>
      </w:pPr>
      <w:r>
        <w:rPr>
          <w:szCs w:val="21"/>
        </w:rPr>
        <w:t>May we, then, take the possibility of different interpretations to have to do with a meaning – a semantic situation – as deline</w:t>
      </w:r>
      <w:r>
        <w:t>ated by Pi</w:t>
      </w:r>
      <w:r>
        <w:t xml:space="preserve">schel and Grassmann? </w:t>
      </w:r>
      <w:r w:rsidRPr="00B80C6B">
        <w:rPr>
          <w:lang w:val="de-DE"/>
        </w:rPr>
        <w:t xml:space="preserve">The latter states with regard to the verb </w:t>
      </w:r>
      <w:r w:rsidRPr="00B80C6B">
        <w:rPr>
          <w:i/>
          <w:lang w:val="de-DE"/>
        </w:rPr>
        <w:t xml:space="preserve">van- / </w:t>
      </w:r>
      <w:r w:rsidRPr="00B80C6B">
        <w:rPr>
          <w:i/>
          <w:szCs w:val="21"/>
          <w:lang w:val="de-DE"/>
        </w:rPr>
        <w:t>van</w:t>
      </w:r>
      <w:r w:rsidRPr="00B80C6B">
        <w:rPr>
          <w:i/>
          <w:szCs w:val="21"/>
          <w:vertAlign w:val="superscript"/>
          <w:lang w:val="de-DE"/>
        </w:rPr>
        <w:t>i</w:t>
      </w:r>
      <w:r w:rsidRPr="00B80C6B">
        <w:rPr>
          <w:i/>
          <w:szCs w:val="21"/>
          <w:lang w:val="de-DE"/>
        </w:rPr>
        <w:t>-</w:t>
      </w:r>
      <w:r w:rsidRPr="00B80C6B">
        <w:rPr>
          <w:lang w:val="de-DE"/>
        </w:rPr>
        <w:t>: “Die verschiedenen, zum Theil sich scheinbar wiederstreitenden Begriffe, welche diese Wurzel im Indiscen, im Zend und im Germanischen vor Augen stellt, darf uns nicht verleiten, d</w:t>
      </w:r>
      <w:r w:rsidRPr="00B80C6B">
        <w:rPr>
          <w:lang w:val="de-DE"/>
        </w:rPr>
        <w:t xml:space="preserve">ieselbe in zwei ursprünglich gesonderte Wurzeln zu zerlegen” and more “Die volkommene Uebereinstimmung der Form in allen ihren Entwickelungen […] und die mannichfachen Begriffübergänge lassen keinen Zweifel an der ursprünglichen Einheit der Wurzel zu”. </w:t>
      </w:r>
      <w:r>
        <w:t>Eve</w:t>
      </w:r>
      <w:r>
        <w:t xml:space="preserve">n if we don’t take this last statement for sure, considering the “original” unity of the I.E. root, we would propose to concentrate on what we called </w:t>
      </w:r>
      <w:r>
        <w:rPr>
          <w:i/>
          <w:iCs/>
        </w:rPr>
        <w:t>van</w:t>
      </w:r>
      <w:r>
        <w:rPr>
          <w:i/>
          <w:iCs/>
          <w:vertAlign w:val="subscript"/>
        </w:rPr>
        <w:t xml:space="preserve">3, </w:t>
      </w:r>
      <w:r>
        <w:t>that is to address the Vedic outcome as the result of a coalescence between the two hypothetical I.E</w:t>
      </w:r>
      <w:r>
        <w:t>. roots.</w:t>
      </w:r>
    </w:p>
    <w:p w14:paraId="74F58E51" w14:textId="77777777" w:rsidR="00E53EB6" w:rsidRDefault="006500F5">
      <w:pPr>
        <w:pStyle w:val="Hauptext"/>
      </w:pPr>
      <w:r>
        <w:rPr>
          <w:rFonts w:ascii="SabonUnicode" w:eastAsia="SabonUnicode" w:hAnsi="SabonUnicode" w:cs="SabonUnicode"/>
          <w:szCs w:val="21"/>
        </w:rPr>
        <w:t>Having, then, framed our question in the terms set out above, I made a functional analysis</w:t>
      </w:r>
      <w:r>
        <w:rPr>
          <w:rStyle w:val="FootnoteAnchor"/>
          <w:rFonts w:ascii="SabonUnicode" w:eastAsia="SabonUnicode" w:hAnsi="SabonUnicode" w:cs="SabonUnicode"/>
          <w:szCs w:val="21"/>
        </w:rPr>
        <w:footnoteReference w:id="27"/>
      </w:r>
      <w:r>
        <w:rPr>
          <w:rFonts w:ascii="SabonUnicode" w:eastAsia="SabonUnicode" w:hAnsi="SabonUnicode" w:cs="SabonUnicode"/>
          <w:szCs w:val="21"/>
        </w:rPr>
        <w:t xml:space="preserve"> of the attestations of </w:t>
      </w:r>
      <w:r>
        <w:rPr>
          <w:rFonts w:ascii="SabonUnicode" w:eastAsia="SabonUnicode" w:hAnsi="SabonUnicode" w:cs="SabonUnicode"/>
          <w:i/>
          <w:iCs/>
          <w:szCs w:val="21"/>
        </w:rPr>
        <w:t>van- / van</w:t>
      </w:r>
      <w:r>
        <w:rPr>
          <w:rFonts w:ascii="SabonUnicode" w:eastAsia="SabonUnicode" w:hAnsi="SabonUnicode" w:cs="SabonUnicode"/>
          <w:i/>
          <w:iCs/>
          <w:szCs w:val="21"/>
          <w:vertAlign w:val="superscript"/>
        </w:rPr>
        <w:t>i</w:t>
      </w:r>
      <w:r>
        <w:rPr>
          <w:rFonts w:ascii="SabonUnicode" w:eastAsia="SabonUnicode" w:hAnsi="SabonUnicode" w:cs="SabonUnicode"/>
          <w:i/>
          <w:iCs/>
          <w:szCs w:val="21"/>
        </w:rPr>
        <w:t xml:space="preserve">- </w:t>
      </w:r>
      <w:r>
        <w:rPr>
          <w:rFonts w:ascii="SabonUnicode" w:eastAsia="SabonUnicode" w:hAnsi="SabonUnicode" w:cs="SabonUnicode"/>
          <w:szCs w:val="21"/>
        </w:rPr>
        <w:t>in the</w:t>
      </w:r>
      <w:r>
        <w:rPr>
          <w:rFonts w:ascii="SabonUnicode" w:eastAsia="SabonUnicode" w:hAnsi="SabonUnicode" w:cs="SabonUnicode"/>
          <w:i/>
          <w:iCs/>
          <w:szCs w:val="21"/>
        </w:rPr>
        <w:t xml:space="preserve"> R̥gvedasa</w:t>
      </w:r>
      <w:r>
        <w:rPr>
          <w:rFonts w:ascii="SabonUnicode" w:eastAsia="SabonUnicode" w:hAnsi="SabonUnicode" w:cs="SabonUnicode"/>
          <w:i/>
          <w:iCs/>
          <w:szCs w:val="21"/>
        </w:rPr>
        <w:t>ṃ</w:t>
      </w:r>
      <w:r>
        <w:rPr>
          <w:rFonts w:ascii="SabonUnicode" w:eastAsia="SabonUnicode" w:hAnsi="SabonUnicode" w:cs="SabonUnicode"/>
          <w:i/>
          <w:iCs/>
          <w:szCs w:val="21"/>
        </w:rPr>
        <w:t xml:space="preserve">hitā </w:t>
      </w:r>
      <w:r>
        <w:rPr>
          <w:rFonts w:ascii="SabonUnicode" w:eastAsia="SabonUnicode" w:hAnsi="SabonUnicode" w:cs="SabonUnicode"/>
          <w:szCs w:val="21"/>
        </w:rPr>
        <w:t>in order to identify and delineate the specific contexts, and, comparing the differences in use, eventually establish its values and discern their connections. The result of such analysis, that is fully presented in the next chapter, is that the R̥gvedic o</w:t>
      </w:r>
      <w:r>
        <w:rPr>
          <w:rFonts w:ascii="SabonUnicode" w:eastAsia="SabonUnicode" w:hAnsi="SabonUnicode" w:cs="SabonUnicode"/>
          <w:szCs w:val="21"/>
        </w:rPr>
        <w:t xml:space="preserve">ccurrences can be divided into five groups presenting different context-bound uses of the verb. </w:t>
      </w:r>
    </w:p>
    <w:p w14:paraId="0B61BA88" w14:textId="77777777" w:rsidR="00E53EB6" w:rsidRDefault="006500F5">
      <w:pPr>
        <w:pStyle w:val="HaupttextohneEinzug"/>
      </w:pPr>
      <w:r>
        <w:rPr>
          <w:rFonts w:ascii="SabonUnicode" w:eastAsia="SabonUnicode" w:hAnsi="SabonUnicode" w:cs="SabonUnicode"/>
          <w:szCs w:val="21"/>
        </w:rPr>
        <w:tab/>
      </w:r>
      <w:r>
        <w:rPr>
          <w:rFonts w:ascii="SabonUnicode" w:eastAsia="SabonUnicode" w:hAnsi="SabonUnicode" w:cs="SabonUnicode"/>
          <w:i/>
          <w:iCs/>
          <w:szCs w:val="21"/>
        </w:rPr>
        <w:t>van</w:t>
      </w:r>
      <w:r>
        <w:rPr>
          <w:rFonts w:ascii="SabonUnicode" w:eastAsia="SabonUnicode" w:hAnsi="SabonUnicode" w:cs="SabonUnicode"/>
          <w:i/>
          <w:iCs/>
          <w:szCs w:val="21"/>
          <w:vertAlign w:val="subscript"/>
        </w:rPr>
        <w:t>3</w:t>
      </w:r>
      <w:r>
        <w:rPr>
          <w:rFonts w:ascii="SabonUnicode" w:eastAsia="SabonUnicode" w:hAnsi="SabonUnicode" w:cs="SabonUnicode"/>
          <w:szCs w:val="21"/>
        </w:rPr>
        <w:t xml:space="preserve">:  </w:t>
      </w:r>
      <w:r>
        <w:rPr>
          <w:rFonts w:ascii="SabonUnicode" w:eastAsia="SabonUnicode" w:hAnsi="SabonUnicode" w:cs="SabonUnicode"/>
          <w:szCs w:val="21"/>
        </w:rPr>
        <w:tab/>
        <w:t>a) to possess</w:t>
      </w:r>
    </w:p>
    <w:p w14:paraId="3F3DA5AF" w14:textId="77777777" w:rsidR="00E53EB6" w:rsidRDefault="006500F5">
      <w:pPr>
        <w:pStyle w:val="HaupttextohneEinzug"/>
        <w:rPr>
          <w:rFonts w:ascii="SabonUnicode" w:eastAsia="SabonUnicode" w:hAnsi="SabonUnicode" w:cs="SabonUnicode"/>
          <w:szCs w:val="21"/>
        </w:rPr>
      </w:pPr>
      <w:r>
        <w:rPr>
          <w:rFonts w:ascii="SabonUnicode" w:eastAsia="SabonUnicode" w:hAnsi="SabonUnicode" w:cs="SabonUnicode"/>
          <w:szCs w:val="21"/>
        </w:rPr>
        <w:tab/>
      </w:r>
      <w:r>
        <w:rPr>
          <w:rFonts w:ascii="SabonUnicode" w:eastAsia="SabonUnicode" w:hAnsi="SabonUnicode" w:cs="SabonUnicode"/>
          <w:szCs w:val="21"/>
        </w:rPr>
        <w:tab/>
        <w:t>b) to win / conquer</w:t>
      </w:r>
    </w:p>
    <w:p w14:paraId="3B09FFD8" w14:textId="77777777" w:rsidR="00E53EB6" w:rsidRDefault="006500F5">
      <w:pPr>
        <w:pStyle w:val="HaupttextohneEinzug"/>
        <w:rPr>
          <w:rFonts w:ascii="SabonUnicode" w:eastAsia="SabonUnicode" w:hAnsi="SabonUnicode" w:cs="SabonUnicode"/>
          <w:szCs w:val="21"/>
        </w:rPr>
      </w:pPr>
      <w:r>
        <w:rPr>
          <w:rFonts w:ascii="SabonUnicode" w:eastAsia="SabonUnicode" w:hAnsi="SabonUnicode" w:cs="SabonUnicode"/>
          <w:szCs w:val="21"/>
        </w:rPr>
        <w:tab/>
      </w:r>
      <w:r>
        <w:rPr>
          <w:rFonts w:ascii="SabonUnicode" w:eastAsia="SabonUnicode" w:hAnsi="SabonUnicode" w:cs="SabonUnicode"/>
          <w:szCs w:val="21"/>
        </w:rPr>
        <w:tab/>
        <w:t>c) absolute use</w:t>
      </w:r>
    </w:p>
    <w:p w14:paraId="09A8D012" w14:textId="77777777" w:rsidR="00E53EB6" w:rsidRDefault="006500F5">
      <w:pPr>
        <w:pStyle w:val="HaupttextohneEinzug"/>
        <w:rPr>
          <w:rFonts w:ascii="SabonUnicode" w:eastAsia="SabonUnicode" w:hAnsi="SabonUnicode" w:cs="SabonUnicode"/>
          <w:szCs w:val="21"/>
        </w:rPr>
      </w:pPr>
      <w:r>
        <w:rPr>
          <w:rFonts w:ascii="SabonUnicode" w:eastAsia="SabonUnicode" w:hAnsi="SabonUnicode" w:cs="SabonUnicode"/>
          <w:szCs w:val="21"/>
        </w:rPr>
        <w:tab/>
      </w:r>
      <w:r>
        <w:rPr>
          <w:rFonts w:ascii="SabonUnicode" w:eastAsia="SabonUnicode" w:hAnsi="SabonUnicode" w:cs="SabonUnicode"/>
          <w:szCs w:val="21"/>
        </w:rPr>
        <w:tab/>
        <w:t>d) to appropriate</w:t>
      </w:r>
    </w:p>
    <w:p w14:paraId="2C430AC5" w14:textId="77777777" w:rsidR="00E53EB6" w:rsidRDefault="006500F5">
      <w:pPr>
        <w:pStyle w:val="HaupttextohneEinzug"/>
        <w:rPr>
          <w:rFonts w:ascii="SabonUnicode" w:eastAsia="SabonUnicode" w:hAnsi="SabonUnicode" w:cs="SabonUnicode"/>
          <w:szCs w:val="21"/>
        </w:rPr>
      </w:pPr>
      <w:r>
        <w:rPr>
          <w:rFonts w:ascii="SabonUnicode" w:eastAsia="SabonUnicode" w:hAnsi="SabonUnicode" w:cs="SabonUnicode"/>
          <w:szCs w:val="21"/>
        </w:rPr>
        <w:lastRenderedPageBreak/>
        <w:tab/>
      </w:r>
      <w:r>
        <w:rPr>
          <w:rFonts w:ascii="SabonUnicode" w:eastAsia="SabonUnicode" w:hAnsi="SabonUnicode" w:cs="SabonUnicode"/>
          <w:szCs w:val="21"/>
        </w:rPr>
        <w:tab/>
        <w:t>e) ritual meaning</w:t>
      </w:r>
    </w:p>
    <w:p w14:paraId="2301054E" w14:textId="77777777" w:rsidR="00E53EB6" w:rsidRDefault="00E53EB6">
      <w:pPr>
        <w:pStyle w:val="HaupttextohneEinzug"/>
        <w:rPr>
          <w:rFonts w:ascii="SabonUnicode" w:eastAsia="SabonUnicode" w:hAnsi="SabonUnicode" w:cs="SabonUnicode"/>
          <w:szCs w:val="21"/>
        </w:rPr>
      </w:pPr>
    </w:p>
    <w:p w14:paraId="79353DBA" w14:textId="77777777" w:rsidR="00E53EB6" w:rsidRDefault="006500F5">
      <w:pPr>
        <w:pStyle w:val="Hauptext"/>
      </w:pPr>
      <w:r>
        <w:rPr>
          <w:rFonts w:ascii="SabonUnicode" w:eastAsia="SabonUnicode" w:hAnsi="SabonUnicode" w:cs="SabonUnicode"/>
          <w:szCs w:val="21"/>
        </w:rPr>
        <w:t xml:space="preserve">The first of the most frequent uses of </w:t>
      </w:r>
      <w:r>
        <w:rPr>
          <w:rFonts w:ascii="SabonUnicode" w:eastAsia="SabonUnicode" w:hAnsi="SabonUnicode" w:cs="SabonUnicode"/>
          <w:i/>
          <w:iCs/>
          <w:szCs w:val="21"/>
        </w:rPr>
        <w:t>van- / van</w:t>
      </w:r>
      <w:r>
        <w:rPr>
          <w:rFonts w:ascii="SabonUnicode" w:eastAsia="SabonUnicode" w:hAnsi="SabonUnicode" w:cs="SabonUnicode"/>
          <w:i/>
          <w:iCs/>
          <w:szCs w:val="21"/>
          <w:vertAlign w:val="superscript"/>
        </w:rPr>
        <w:t>i</w:t>
      </w:r>
      <w:r>
        <w:rPr>
          <w:rFonts w:ascii="SabonUnicode" w:eastAsia="SabonUnicode" w:hAnsi="SabonUnicode" w:cs="SabonUnicode"/>
          <w:i/>
          <w:iCs/>
          <w:szCs w:val="21"/>
        </w:rPr>
        <w:t>-</w:t>
      </w:r>
      <w:r>
        <w:rPr>
          <w:rFonts w:ascii="SabonUnicode" w:eastAsia="SabonUnicode" w:hAnsi="SabonUnicode" w:cs="SabonUnicode"/>
          <w:szCs w:val="21"/>
        </w:rPr>
        <w:t xml:space="preserve"> is clearly represented by the passages in which the verb takes on the value of “to possess” / “to come into possession”.  </w:t>
      </w:r>
      <w:r>
        <w:rPr>
          <w:rFonts w:ascii="SabonUnicode" w:eastAsia="SabonUnicode" w:hAnsi="SabonUnicode" w:cs="SabonUnicode"/>
          <w:color w:val="191919"/>
          <w:szCs w:val="21"/>
        </w:rPr>
        <w:t xml:space="preserve"> </w:t>
      </w:r>
      <w:r>
        <w:rPr>
          <w:rFonts w:ascii="SabonUnicode" w:eastAsia="SabonUnicode" w:hAnsi="SabonUnicode" w:cs="SabonUnicode"/>
          <w:szCs w:val="21"/>
        </w:rPr>
        <w:t>A second meaning can be discerned which is very common and in a way related to th</w:t>
      </w:r>
      <w:r>
        <w:rPr>
          <w:rFonts w:ascii="SabonUnicode" w:eastAsia="SabonUnicode" w:hAnsi="SabonUnicode" w:cs="SabonUnicode"/>
          <w:szCs w:val="21"/>
        </w:rPr>
        <w:t xml:space="preserve">e previous one: “to win” “to conquer”. The third group is represented by the absolute use of the present participle </w:t>
      </w:r>
      <w:r>
        <w:rPr>
          <w:rFonts w:ascii="SabonUnicode" w:eastAsia="SabonUnicode" w:hAnsi="SabonUnicode" w:cs="SabonUnicode"/>
          <w:i/>
          <w:iCs/>
          <w:szCs w:val="21"/>
        </w:rPr>
        <w:t xml:space="preserve">vanvan-, </w:t>
      </w:r>
      <w:r>
        <w:rPr>
          <w:rFonts w:ascii="SabonUnicode" w:eastAsia="SabonUnicode" w:hAnsi="SabonUnicode" w:cs="SabonUnicode"/>
          <w:szCs w:val="21"/>
        </w:rPr>
        <w:t xml:space="preserve">conveying both the idea of possession and dominion. </w:t>
      </w:r>
    </w:p>
    <w:p w14:paraId="0A8DF1D9" w14:textId="77777777" w:rsidR="00E53EB6" w:rsidRDefault="006500F5">
      <w:pPr>
        <w:pStyle w:val="Hauptext"/>
      </w:pPr>
      <w:r>
        <w:rPr>
          <w:rFonts w:ascii="SabonUnicode" w:eastAsia="SabonUnicode" w:hAnsi="SabonUnicode" w:cs="SabonUnicode"/>
          <w:szCs w:val="21"/>
        </w:rPr>
        <w:t xml:space="preserve">In the fourth group, the action indicated by the verb </w:t>
      </w:r>
      <w:r>
        <w:rPr>
          <w:rFonts w:ascii="SabonUnicode" w:eastAsia="SabonUnicode" w:hAnsi="SabonUnicode" w:cs="SabonUnicode"/>
          <w:i/>
          <w:iCs/>
          <w:szCs w:val="21"/>
        </w:rPr>
        <w:t>van- / van</w:t>
      </w:r>
      <w:r>
        <w:rPr>
          <w:rFonts w:ascii="SabonUnicode" w:eastAsia="SabonUnicode" w:hAnsi="SabonUnicode" w:cs="SabonUnicode"/>
          <w:i/>
          <w:iCs/>
          <w:szCs w:val="21"/>
          <w:vertAlign w:val="superscript"/>
        </w:rPr>
        <w:t>i</w:t>
      </w:r>
      <w:r>
        <w:rPr>
          <w:rFonts w:ascii="SabonUnicode" w:eastAsia="SabonUnicode" w:hAnsi="SabonUnicode" w:cs="SabonUnicode"/>
          <w:i/>
          <w:iCs/>
          <w:szCs w:val="21"/>
        </w:rPr>
        <w:t>-</w:t>
      </w:r>
      <w:r>
        <w:rPr>
          <w:rFonts w:ascii="SabonUnicode" w:eastAsia="SabonUnicode" w:hAnsi="SabonUnicode" w:cs="SabonUnicode"/>
          <w:szCs w:val="21"/>
        </w:rPr>
        <w:t xml:space="preserve"> cannot be u</w:t>
      </w:r>
      <w:r>
        <w:rPr>
          <w:rFonts w:ascii="SabonUnicode" w:eastAsia="SabonUnicode" w:hAnsi="SabonUnicode" w:cs="SabonUnicode"/>
          <w:szCs w:val="21"/>
        </w:rPr>
        <w:t>nderstood in the sense of ‘to possess’: the request addressed to the god is that he ‘</w:t>
      </w:r>
      <w:r>
        <w:rPr>
          <w:rFonts w:ascii="SabonUnicode" w:eastAsia="SabonUnicode" w:hAnsi="SabonUnicode" w:cs="SabonUnicode"/>
          <w:i/>
          <w:iCs/>
          <w:szCs w:val="21"/>
        </w:rPr>
        <w:t>van-</w:t>
      </w:r>
      <w:r>
        <w:rPr>
          <w:rFonts w:ascii="SabonUnicode" w:eastAsia="SabonUnicode" w:hAnsi="SabonUnicode" w:cs="SabonUnicode"/>
          <w:szCs w:val="21"/>
        </w:rPr>
        <w:t xml:space="preserve"> something for man’, rather than possessing, that he ‘appropriate’ something in the name of, on behalf of man.  In particular, we shall see that neither man nor the go</w:t>
      </w:r>
      <w:r>
        <w:rPr>
          <w:rFonts w:ascii="SabonUnicode" w:eastAsia="SabonUnicode" w:hAnsi="SabonUnicode" w:cs="SabonUnicode"/>
          <w:szCs w:val="21"/>
        </w:rPr>
        <w:t>d take command or obtain possession of something, but rather ‘make it their own’, they bring it into their own sphere of influence. In the stanza 2.11.2, for instance, the god appropriates the chants, thereby endowing them with potency, i.e. making of them</w:t>
      </w:r>
      <w:r>
        <w:rPr>
          <w:rFonts w:ascii="SabonUnicode" w:eastAsia="SabonUnicode" w:hAnsi="SabonUnicode" w:cs="SabonUnicode"/>
          <w:szCs w:val="21"/>
        </w:rPr>
        <w:t xml:space="preserve"> what they are: </w:t>
      </w:r>
      <w:r>
        <w:rPr>
          <w:rFonts w:ascii="SabonUnicode" w:eastAsia="SabonUnicode" w:hAnsi="SabonUnicode" w:cs="SabonUnicode"/>
          <w:i/>
          <w:iCs/>
          <w:szCs w:val="21"/>
        </w:rPr>
        <w:t>r̥c-</w:t>
      </w:r>
      <w:r>
        <w:rPr>
          <w:rFonts w:ascii="SabonUnicode" w:eastAsia="SabonUnicode" w:hAnsi="SabonUnicode" w:cs="SabonUnicode"/>
          <w:szCs w:val="21"/>
        </w:rPr>
        <w:t>, chants that man has not created but receives, and in turn appropriates, in accordance with a circular mechanism</w:t>
      </w:r>
      <w:r>
        <w:rPr>
          <w:rStyle w:val="FootnoteAnchor"/>
          <w:rFonts w:ascii="SabonUnicode" w:eastAsia="SabonUnicode" w:hAnsi="SabonUnicode" w:cs="SabonUnicode"/>
          <w:szCs w:val="21"/>
          <w:vertAlign w:val="baseline"/>
        </w:rPr>
        <w:footnoteReference w:id="28"/>
      </w:r>
      <w:r>
        <w:rPr>
          <w:rFonts w:ascii="SabonUnicode" w:eastAsia="SabonUnicode" w:hAnsi="SabonUnicode" w:cs="SabonUnicode"/>
          <w:szCs w:val="21"/>
        </w:rPr>
        <w:t xml:space="preserve"> frequent in the </w:t>
      </w:r>
      <w:r>
        <w:rPr>
          <w:rFonts w:ascii="SabonUnicode" w:eastAsia="SabonUnicode" w:hAnsi="SabonUnicode" w:cs="SabonUnicode"/>
          <w:i/>
          <w:iCs/>
          <w:szCs w:val="21"/>
        </w:rPr>
        <w:t>R̥gveda Sa</w:t>
      </w:r>
      <w:r>
        <w:rPr>
          <w:rFonts w:ascii="SabonUnicode" w:eastAsia="SabonUnicode" w:hAnsi="SabonUnicode" w:cs="SabonUnicode"/>
          <w:i/>
          <w:iCs/>
          <w:szCs w:val="21"/>
        </w:rPr>
        <w:t>ṃ</w:t>
      </w:r>
      <w:r>
        <w:rPr>
          <w:rFonts w:ascii="SabonUnicode" w:eastAsia="SabonUnicode" w:hAnsi="SabonUnicode" w:cs="SabonUnicode"/>
          <w:i/>
          <w:iCs/>
          <w:szCs w:val="21"/>
        </w:rPr>
        <w:t>hitā</w:t>
      </w:r>
      <w:r>
        <w:rPr>
          <w:rFonts w:ascii="SabonUnicode" w:eastAsia="SabonUnicode" w:hAnsi="SabonUnicode" w:cs="SabonUnicode"/>
          <w:szCs w:val="21"/>
        </w:rPr>
        <w:t xml:space="preserve"> and typical of Vedic thought: </w:t>
      </w:r>
    </w:p>
    <w:p w14:paraId="0283CD41" w14:textId="77777777" w:rsidR="00E53EB6" w:rsidRDefault="006500F5">
      <w:pPr>
        <w:pStyle w:val="Zitat"/>
      </w:pPr>
      <w:r>
        <w:rPr>
          <w:rFonts w:ascii="SabonUnicode" w:eastAsia="SabonUnicode" w:hAnsi="SabonUnicode" w:cs="SabonUnicode"/>
        </w:rPr>
        <w:t xml:space="preserve">2.11.12 </w:t>
      </w:r>
      <w:r>
        <w:rPr>
          <w:rFonts w:ascii="SabonUnicode" w:eastAsia="SabonUnicode" w:hAnsi="SabonUnicode" w:cs="SabonUnicode"/>
          <w:i/>
          <w:iCs/>
        </w:rPr>
        <w:t>t</w:t>
      </w:r>
      <w:r>
        <w:rPr>
          <w:rFonts w:ascii="SabonUnicode" w:eastAsia="SabonUnicode" w:hAnsi="SabonUnicode" w:cs="SabonUnicode"/>
          <w:i/>
          <w:iCs/>
          <w:vertAlign w:val="subscript"/>
        </w:rPr>
        <w:t>u</w:t>
      </w:r>
      <w:r>
        <w:rPr>
          <w:rFonts w:ascii="SabonUnicode" w:eastAsia="SabonUnicode" w:hAnsi="SabonUnicode" w:cs="SabonUnicode"/>
          <w:i/>
          <w:iCs/>
        </w:rPr>
        <w:t>vé indra ápi abhūma víprā</w:t>
      </w:r>
    </w:p>
    <w:p w14:paraId="1565EBAA" w14:textId="77777777" w:rsidR="00E53EB6" w:rsidRDefault="006500F5">
      <w:pPr>
        <w:pStyle w:val="ZitatnachZitat"/>
        <w:rPr>
          <w:i/>
          <w:iCs/>
        </w:rPr>
      </w:pPr>
      <w:r>
        <w:rPr>
          <w:i/>
          <w:iCs/>
        </w:rPr>
        <w:t>dhíya</w:t>
      </w:r>
      <w:r>
        <w:rPr>
          <w:i/>
          <w:iCs/>
        </w:rPr>
        <w:t>ṃ</w:t>
      </w:r>
      <w:r>
        <w:rPr>
          <w:i/>
          <w:iCs/>
        </w:rPr>
        <w:t xml:space="preserve"> vanema </w:t>
      </w:r>
      <w:r>
        <w:rPr>
          <w:i/>
          <w:iCs/>
        </w:rPr>
        <w:t>r̥tayā́ sápanta</w:t>
      </w:r>
      <w:r>
        <w:rPr>
          <w:i/>
          <w:iCs/>
        </w:rPr>
        <w:t>ḥ</w:t>
      </w:r>
    </w:p>
    <w:p w14:paraId="020EA351" w14:textId="77777777" w:rsidR="00E53EB6" w:rsidRDefault="006500F5">
      <w:pPr>
        <w:pStyle w:val="ZitatnachZitat"/>
        <w:rPr>
          <w:i/>
          <w:iCs/>
        </w:rPr>
      </w:pPr>
      <w:r>
        <w:rPr>
          <w:i/>
          <w:iCs/>
        </w:rPr>
        <w:t>avasyávo dhīmahi práśasti</w:t>
      </w:r>
      <w:r>
        <w:rPr>
          <w:i/>
          <w:iCs/>
        </w:rPr>
        <w:t>ṃ</w:t>
      </w:r>
    </w:p>
    <w:p w14:paraId="069C1AA5" w14:textId="77777777" w:rsidR="00E53EB6" w:rsidRDefault="006500F5">
      <w:pPr>
        <w:pStyle w:val="ZitatnachZitat"/>
        <w:rPr>
          <w:i/>
          <w:iCs/>
        </w:rPr>
      </w:pPr>
      <w:r>
        <w:rPr>
          <w:rFonts w:eastAsia="SabonUnicode" w:cs="SabonUnicode"/>
          <w:i/>
          <w:iCs/>
          <w:szCs w:val="18"/>
        </w:rPr>
        <w:t>sadyás te rāyó dāváne s</w:t>
      </w:r>
      <w:r>
        <w:rPr>
          <w:rFonts w:eastAsia="SabonUnicode" w:cs="SabonUnicode"/>
          <w:i/>
          <w:iCs/>
          <w:szCs w:val="18"/>
          <w:vertAlign w:val="subscript"/>
        </w:rPr>
        <w:t>i</w:t>
      </w:r>
      <w:r>
        <w:rPr>
          <w:rFonts w:eastAsia="SabonUnicode" w:cs="SabonUnicode"/>
          <w:i/>
          <w:iCs/>
          <w:szCs w:val="18"/>
        </w:rPr>
        <w:t>yāma</w:t>
      </w:r>
    </w:p>
    <w:p w14:paraId="2DB6D29C" w14:textId="77777777" w:rsidR="00E53EB6" w:rsidRDefault="006500F5">
      <w:pPr>
        <w:pStyle w:val="Zitat"/>
      </w:pPr>
      <w:r>
        <w:rPr>
          <w:rFonts w:ascii="SabonUnicode" w:eastAsia="SabonUnicode" w:hAnsi="SabonUnicode" w:cs="SabonUnicode"/>
        </w:rPr>
        <w:t xml:space="preserve">In you we have gathered, o Indra, vibrant, </w:t>
      </w:r>
      <w:r>
        <w:rPr>
          <w:rFonts w:ascii="SabonUnicode" w:eastAsia="SabonUnicode" w:hAnsi="SabonUnicode" w:cs="SabonUnicode"/>
          <w:u w:val="single"/>
        </w:rPr>
        <w:t>may</w:t>
      </w:r>
      <w:r>
        <w:rPr>
          <w:rFonts w:ascii="SabonUnicode" w:eastAsia="SabonUnicode" w:hAnsi="SabonUnicode" w:cs="SabonUnicode"/>
        </w:rPr>
        <w:t xml:space="preserve"> we</w:t>
      </w:r>
      <w:r>
        <w:rPr>
          <w:rFonts w:ascii="SabonUnicode" w:eastAsia="SabonUnicode" w:hAnsi="SabonUnicode" w:cs="SabonUnicode"/>
          <w:u w:val="single"/>
        </w:rPr>
        <w:t xml:space="preserve"> make ours</w:t>
      </w:r>
      <w:r>
        <w:rPr>
          <w:rFonts w:ascii="SabonUnicode" w:eastAsia="SabonUnicode" w:hAnsi="SabonUnicode" w:cs="SabonUnicode"/>
        </w:rPr>
        <w:t xml:space="preserve"> the poetic vision to honour you with a just vision,</w:t>
      </w:r>
      <w:r>
        <w:rPr>
          <w:rStyle w:val="FootnoteAnchor"/>
          <w:rFonts w:ascii="SabonUnicode" w:eastAsia="SabonUnicode" w:hAnsi="SabonUnicode" w:cs="SabonUnicode"/>
          <w:vertAlign w:val="baseline"/>
        </w:rPr>
        <w:footnoteReference w:id="29"/>
      </w:r>
      <w:r>
        <w:rPr>
          <w:rFonts w:ascii="SabonUnicode" w:eastAsia="SabonUnicode" w:hAnsi="SabonUnicode" w:cs="SabonUnicode"/>
        </w:rPr>
        <w:t xml:space="preserve"> let it be granted to us, desirous of protection, to obtain a eulogy,</w:t>
      </w:r>
      <w:r>
        <w:rPr>
          <w:rStyle w:val="FootnoteAnchor"/>
          <w:rFonts w:ascii="SabonUnicode" w:eastAsia="SabonUnicode" w:hAnsi="SabonUnicode" w:cs="SabonUnicode"/>
          <w:vertAlign w:val="baseline"/>
        </w:rPr>
        <w:footnoteReference w:id="30"/>
      </w:r>
      <w:r>
        <w:rPr>
          <w:rFonts w:ascii="SabonUnicode" w:eastAsia="SabonUnicode" w:hAnsi="SabonUnicode" w:cs="SabonUnicode"/>
        </w:rPr>
        <w:t xml:space="preserve"> in this moment to be those on whom you bestow riches.</w:t>
      </w:r>
    </w:p>
    <w:p w14:paraId="59BA6AA6" w14:textId="77777777" w:rsidR="00E53EB6" w:rsidRPr="00B80C6B" w:rsidRDefault="006500F5">
      <w:pPr>
        <w:pStyle w:val="Zitat"/>
        <w:rPr>
          <w:lang w:val="it-IT"/>
        </w:rPr>
      </w:pPr>
      <w:r w:rsidRPr="00B80C6B">
        <w:rPr>
          <w:rFonts w:ascii="SabonUnicode" w:eastAsia="SabonUnicode" w:hAnsi="SabonUnicode" w:cs="SabonUnicode"/>
          <w:i/>
          <w:iCs/>
          <w:lang w:val="it-IT"/>
        </w:rPr>
        <w:t xml:space="preserve">vanema: </w:t>
      </w:r>
      <w:r w:rsidRPr="00B80C6B">
        <w:rPr>
          <w:rFonts w:ascii="SabonUnicode" w:eastAsia="SabonUnicode" w:hAnsi="SabonUnicode" w:cs="SabonUnicode"/>
          <w:lang w:val="it-IT"/>
        </w:rPr>
        <w:t>opt. pres. 1</w:t>
      </w:r>
      <w:r w:rsidRPr="00B80C6B">
        <w:rPr>
          <w:rFonts w:ascii="SabonUnicode" w:eastAsia="SabonUnicode" w:hAnsi="SabonUnicode" w:cs="SabonUnicode"/>
          <w:vertAlign w:val="superscript"/>
          <w:lang w:val="it-IT"/>
        </w:rPr>
        <w:t>st</w:t>
      </w:r>
      <w:r w:rsidRPr="00B80C6B">
        <w:rPr>
          <w:rFonts w:ascii="SabonUnicode" w:eastAsia="SabonUnicode" w:hAnsi="SabonUnicode" w:cs="SabonUnicode"/>
          <w:lang w:val="it-IT"/>
        </w:rPr>
        <w:t>pl. I-VI cl.</w:t>
      </w:r>
    </w:p>
    <w:p w14:paraId="5F9A57E7" w14:textId="77777777" w:rsidR="00E53EB6" w:rsidRPr="00B80C6B" w:rsidRDefault="006500F5">
      <w:pPr>
        <w:pStyle w:val="ZitatnachZitat"/>
        <w:rPr>
          <w:lang w:val="de-DE"/>
        </w:rPr>
      </w:pPr>
      <w:r w:rsidRPr="00B80C6B">
        <w:rPr>
          <w:lang w:val="de-DE"/>
        </w:rPr>
        <w:t>Geldner: I 288 “wollen Gewinn haben”</w:t>
      </w:r>
    </w:p>
    <w:p w14:paraId="3F2B2929" w14:textId="77777777" w:rsidR="00E53EB6" w:rsidRPr="00B80C6B" w:rsidRDefault="006500F5">
      <w:pPr>
        <w:pStyle w:val="ZitatnachZitat"/>
        <w:rPr>
          <w:lang w:val="de-DE"/>
        </w:rPr>
      </w:pPr>
      <w:r w:rsidRPr="00B80C6B">
        <w:rPr>
          <w:lang w:val="de-DE"/>
        </w:rPr>
        <w:t>Renou: XVII  55 “gagner”</w:t>
      </w:r>
    </w:p>
    <w:p w14:paraId="75D6E77A" w14:textId="77777777" w:rsidR="00E53EB6" w:rsidRPr="00B80C6B" w:rsidRDefault="006500F5">
      <w:pPr>
        <w:pStyle w:val="ZitatnachZitat"/>
        <w:rPr>
          <w:lang w:val="de-DE"/>
        </w:rPr>
      </w:pPr>
      <w:r w:rsidRPr="00B80C6B">
        <w:rPr>
          <w:lang w:val="de-DE"/>
        </w:rPr>
        <w:t>Witzel-Gotō  2007: 366 “wollen er</w:t>
      </w:r>
      <w:r w:rsidRPr="00B80C6B">
        <w:rPr>
          <w:lang w:val="de-DE"/>
        </w:rPr>
        <w:t>reichen”</w:t>
      </w:r>
    </w:p>
    <w:p w14:paraId="507B2E80" w14:textId="77777777" w:rsidR="00E53EB6" w:rsidRDefault="006500F5">
      <w:pPr>
        <w:pStyle w:val="HaupttextnachZitat"/>
      </w:pPr>
      <w:r>
        <w:rPr>
          <w:rFonts w:ascii="SabonUnicode" w:eastAsia="SabonUnicode" w:hAnsi="SabonUnicode" w:cs="SabonUnicode"/>
          <w:szCs w:val="21"/>
        </w:rPr>
        <w:t xml:space="preserve">In the light of this functional division, it seems reasonable to hypothesise the existence of an underlying and broader meaning for the verb </w:t>
      </w:r>
      <w:r>
        <w:rPr>
          <w:rFonts w:ascii="SabonUnicode" w:eastAsia="SabonUnicode" w:hAnsi="SabonUnicode" w:cs="SabonUnicode"/>
          <w:i/>
          <w:iCs/>
          <w:szCs w:val="21"/>
        </w:rPr>
        <w:t>van- / van</w:t>
      </w:r>
      <w:r>
        <w:rPr>
          <w:rFonts w:ascii="SabonUnicode" w:eastAsia="SabonUnicode" w:hAnsi="SabonUnicode" w:cs="SabonUnicode"/>
          <w:i/>
          <w:iCs/>
          <w:szCs w:val="21"/>
          <w:vertAlign w:val="superscript"/>
        </w:rPr>
        <w:t>i</w:t>
      </w:r>
      <w:r>
        <w:rPr>
          <w:rFonts w:ascii="SabonUnicode" w:eastAsia="SabonUnicode" w:hAnsi="SabonUnicode" w:cs="SabonUnicode"/>
          <w:i/>
          <w:iCs/>
          <w:szCs w:val="21"/>
        </w:rPr>
        <w:t>-</w:t>
      </w:r>
      <w:r>
        <w:rPr>
          <w:rFonts w:ascii="SabonUnicode" w:eastAsia="SabonUnicode" w:hAnsi="SabonUnicode" w:cs="SabonUnicode"/>
          <w:szCs w:val="21"/>
        </w:rPr>
        <w:t xml:space="preserve">: in fact, we may subsume the first three uses of the verb under the common </w:t>
      </w:r>
      <w:r>
        <w:rPr>
          <w:rFonts w:ascii="SabonUnicode" w:eastAsia="SabonUnicode" w:hAnsi="SabonUnicode" w:cs="SabonUnicode"/>
          <w:szCs w:val="21"/>
        </w:rPr>
        <w:t>nuclear-meaning “to appropriate” or “to make s.o., s.t. one’s own” as Migron suggested considering it an alternative avenue. ‘To appropriate’ can indicate an act of transference,</w:t>
      </w:r>
      <w:r>
        <w:rPr>
          <w:rFonts w:ascii="SabonUnicode" w:eastAsia="SabonUnicode" w:hAnsi="SabonUnicode" w:cs="SabonUnicode"/>
          <w:b/>
          <w:bCs/>
          <w:szCs w:val="21"/>
        </w:rPr>
        <w:t xml:space="preserve"> </w:t>
      </w:r>
      <w:r>
        <w:rPr>
          <w:rFonts w:ascii="SabonUnicode" w:eastAsia="SabonUnicode" w:hAnsi="SabonUnicode" w:cs="SabonUnicode"/>
          <w:szCs w:val="21"/>
        </w:rPr>
        <w:t>but it can also take on in different contexts a sense very close to what we h</w:t>
      </w:r>
      <w:r>
        <w:rPr>
          <w:rFonts w:ascii="SabonUnicode" w:eastAsia="SabonUnicode" w:hAnsi="SabonUnicode" w:cs="SabonUnicode"/>
          <w:szCs w:val="21"/>
        </w:rPr>
        <w:t>ave rendered with ‘to possess’ and ‘to dominate’, or in other words to the other two senses we have found for this a verb: one can, in fact, appropriate riches, or an enemy, just like a verse. It is not that we are suggesting here to use ‘to appropriate’ a</w:t>
      </w:r>
      <w:r>
        <w:rPr>
          <w:rFonts w:ascii="SabonUnicode" w:eastAsia="SabonUnicode" w:hAnsi="SabonUnicode" w:cs="SabonUnicode"/>
          <w:szCs w:val="21"/>
        </w:rPr>
        <w:t xml:space="preserve">s an alternative to ‘to get’ as proposed by Migron; that is, as the term to be used in all circumstances to translate the verb </w:t>
      </w:r>
      <w:r>
        <w:rPr>
          <w:rFonts w:ascii="SabonUnicode" w:eastAsia="SabonUnicode" w:hAnsi="SabonUnicode" w:cs="SabonUnicode"/>
          <w:i/>
          <w:iCs/>
          <w:szCs w:val="21"/>
        </w:rPr>
        <w:t>van- / van</w:t>
      </w:r>
      <w:r>
        <w:rPr>
          <w:rFonts w:ascii="SabonUnicode" w:eastAsia="SabonUnicode" w:hAnsi="SabonUnicode" w:cs="SabonUnicode"/>
          <w:i/>
          <w:iCs/>
          <w:szCs w:val="21"/>
          <w:vertAlign w:val="superscript"/>
        </w:rPr>
        <w:t>i</w:t>
      </w:r>
      <w:r>
        <w:rPr>
          <w:rFonts w:ascii="SabonUnicode" w:eastAsia="SabonUnicode" w:hAnsi="SabonUnicode" w:cs="SabonUnicode"/>
          <w:i/>
          <w:iCs/>
          <w:szCs w:val="21"/>
        </w:rPr>
        <w:t>-</w:t>
      </w:r>
      <w:r>
        <w:rPr>
          <w:rFonts w:ascii="SabonUnicode" w:eastAsia="SabonUnicode" w:hAnsi="SabonUnicode" w:cs="SabonUnicode"/>
          <w:szCs w:val="21"/>
        </w:rPr>
        <w:t xml:space="preserve">. </w:t>
      </w:r>
    </w:p>
    <w:p w14:paraId="20B3D605" w14:textId="77777777" w:rsidR="00E53EB6" w:rsidRDefault="006500F5">
      <w:pPr>
        <w:pStyle w:val="Hauptext"/>
      </w:pPr>
      <w:r>
        <w:rPr>
          <w:rFonts w:ascii="SabonUnicode" w:eastAsia="SabonUnicode" w:hAnsi="SabonUnicode" w:cs="SabonUnicode"/>
          <w:szCs w:val="21"/>
        </w:rPr>
        <w:t xml:space="preserve">The hypothesis is that the coalescence of the two Indo-european forms, </w:t>
      </w:r>
      <w:r>
        <w:rPr>
          <w:rFonts w:ascii="SabonUnicode" w:eastAsia="SabonUnicode" w:hAnsi="SabonUnicode" w:cs="SabonUnicode"/>
          <w:i/>
          <w:iCs/>
          <w:szCs w:val="21"/>
        </w:rPr>
        <w:t>van</w:t>
      </w:r>
      <w:r>
        <w:rPr>
          <w:rFonts w:ascii="SabonUnicode" w:eastAsia="SabonUnicode" w:hAnsi="SabonUnicode" w:cs="SabonUnicode"/>
          <w:i/>
          <w:iCs/>
          <w:szCs w:val="21"/>
          <w:vertAlign w:val="subscript"/>
        </w:rPr>
        <w:t>3</w:t>
      </w:r>
      <w:r>
        <w:rPr>
          <w:rFonts w:ascii="SabonUnicode" w:eastAsia="SabonUnicode" w:hAnsi="SabonUnicode" w:cs="SabonUnicode"/>
          <w:szCs w:val="21"/>
        </w:rPr>
        <w:t>, conveys basically a core meaning. The</w:t>
      </w:r>
      <w:r>
        <w:rPr>
          <w:rFonts w:ascii="SabonUnicode" w:eastAsia="SabonUnicode" w:hAnsi="SabonUnicode" w:cs="SabonUnicode"/>
          <w:szCs w:val="21"/>
        </w:rPr>
        <w:t xml:space="preserve"> different uses of the verb, the different meanings we have seen insofar, can be read as conversive meanings: “all the “separate meanings” are really context-bound variants of a single syncretic </w:t>
      </w:r>
      <w:r>
        <w:rPr>
          <w:rFonts w:ascii="SabonUnicode" w:eastAsia="SabonUnicode" w:hAnsi="SabonUnicode" w:cs="SabonUnicode"/>
          <w:szCs w:val="21"/>
        </w:rPr>
        <w:lastRenderedPageBreak/>
        <w:t>invariant meaning” (Elizarenkova  1995</w:t>
      </w:r>
      <w:r>
        <w:rPr>
          <w:rFonts w:ascii="SabonUnicode" w:eastAsia="SabonUnicode" w:hAnsi="SabonUnicode" w:cs="SabonUnicode"/>
          <w:szCs w:val="21"/>
          <w:vertAlign w:val="superscript"/>
        </w:rPr>
        <w:t>a</w:t>
      </w:r>
      <w:r>
        <w:rPr>
          <w:rFonts w:ascii="SabonUnicode" w:eastAsia="SabonUnicode" w:hAnsi="SabonUnicode" w:cs="SabonUnicode"/>
          <w:szCs w:val="21"/>
        </w:rPr>
        <w:t>: 30).</w:t>
      </w:r>
    </w:p>
    <w:p w14:paraId="2E263869" w14:textId="77777777" w:rsidR="00E53EB6" w:rsidRDefault="006500F5">
      <w:pPr>
        <w:pStyle w:val="Hauptext"/>
      </w:pPr>
      <w:r>
        <w:t>I choose ‘to ap</w:t>
      </w:r>
      <w:r>
        <w:t>propriate’ because it retains the idea of a possessing, but also to make something one’s own in a broader sense, being one of the definitions of this verb as it is given in the Oxford English Dictionary “To take possession for one’s own, to take to oneself</w:t>
      </w:r>
      <w:r>
        <w:t>”. I</w:t>
      </w:r>
      <w:r>
        <w:rPr>
          <w:rFonts w:ascii="SabonUnicode" w:eastAsia="SabonUnicode" w:hAnsi="SabonUnicode" w:cs="SabonUnicode"/>
          <w:szCs w:val="21"/>
        </w:rPr>
        <w:t xml:space="preserve"> am thus not arguing ‘to appropriate’ being always the proper translation for </w:t>
      </w:r>
      <w:r>
        <w:rPr>
          <w:rFonts w:ascii="SabonUnicode" w:eastAsia="SabonUnicode" w:hAnsi="SabonUnicode" w:cs="SabonUnicode"/>
          <w:i/>
          <w:iCs/>
          <w:szCs w:val="21"/>
        </w:rPr>
        <w:t>van- / van</w:t>
      </w:r>
      <w:r>
        <w:rPr>
          <w:rFonts w:ascii="SabonUnicode" w:eastAsia="SabonUnicode" w:hAnsi="SabonUnicode" w:cs="SabonUnicode"/>
          <w:i/>
          <w:iCs/>
          <w:szCs w:val="21"/>
          <w:vertAlign w:val="superscript"/>
        </w:rPr>
        <w:t>i</w:t>
      </w:r>
      <w:r>
        <w:rPr>
          <w:rFonts w:ascii="SabonUnicode" w:eastAsia="SabonUnicode" w:hAnsi="SabonUnicode" w:cs="SabonUnicode"/>
          <w:i/>
          <w:iCs/>
          <w:szCs w:val="21"/>
        </w:rPr>
        <w:t xml:space="preserve">-. </w:t>
      </w:r>
      <w:r>
        <w:rPr>
          <w:rFonts w:ascii="SabonUnicode" w:eastAsia="SabonUnicode" w:hAnsi="SabonUnicode" w:cs="SabonUnicode"/>
          <w:szCs w:val="21"/>
        </w:rPr>
        <w:t>I will use this verb just to point out the possibility of a narrow semantic field from which the different context-bound meanings could be derived.</w:t>
      </w:r>
    </w:p>
    <w:p w14:paraId="0B4EEFA3" w14:textId="77777777" w:rsidR="00E53EB6" w:rsidRDefault="006500F5">
      <w:pPr>
        <w:pStyle w:val="Hauptext"/>
      </w:pPr>
      <w:r>
        <w:t xml:space="preserve">Finally, in </w:t>
      </w:r>
      <w:r>
        <w:t>the fifth group I put together stanzas where the verb is still connected with the idea of making something one’s own, or to let something enter in one’s own sphere of control, but it takes a rather concrete and specific nuance within the context of a ritua</w:t>
      </w:r>
      <w:r>
        <w:t>l performance. Moreover, in all the occurrences the verb has either the god as object or it has none.</w:t>
      </w:r>
    </w:p>
    <w:p w14:paraId="6E4BEB5F" w14:textId="77777777" w:rsidR="00E53EB6" w:rsidRDefault="006500F5">
      <w:pPr>
        <w:pStyle w:val="Hauptext"/>
        <w:ind w:firstLine="0"/>
      </w:pPr>
      <w:r>
        <w:rPr>
          <w:rFonts w:ascii="SabonUnicode" w:eastAsia="SabonUnicode" w:hAnsi="SabonUnicode" w:cs="SabonUnicode"/>
          <w:szCs w:val="21"/>
        </w:rPr>
        <w:t>What we are dealing with is a ritual action – an action that is concrete or formed by concrete gestures which, at least for the time being, are unknown to</w:t>
      </w:r>
      <w:r>
        <w:rPr>
          <w:rFonts w:ascii="SabonUnicode" w:eastAsia="SabonUnicode" w:hAnsi="SabonUnicode" w:cs="SabonUnicode"/>
          <w:szCs w:val="21"/>
        </w:rPr>
        <w:t xml:space="preserve"> us (not an unusual circumstances at this stage of the language, a good example being the verb </w:t>
      </w:r>
      <w:r>
        <w:rPr>
          <w:rFonts w:ascii="SabonUnicode" w:eastAsia="SabonUnicode" w:hAnsi="SabonUnicode" w:cs="SabonUnicode"/>
          <w:i/>
          <w:iCs/>
          <w:szCs w:val="21"/>
        </w:rPr>
        <w:t>hvī</w:t>
      </w:r>
      <w:r>
        <w:rPr>
          <w:rFonts w:ascii="SabonUnicode" w:eastAsia="SabonUnicode" w:hAnsi="SabonUnicode" w:cs="SabonUnicode"/>
          <w:szCs w:val="21"/>
        </w:rPr>
        <w:t>- “to invoke”, behind which we can only imagine a series of concrete undertakings which combined to form the act of invocation). If it is a movement that lead</w:t>
      </w:r>
      <w:r>
        <w:rPr>
          <w:rFonts w:ascii="SabonUnicode" w:eastAsia="SabonUnicode" w:hAnsi="SabonUnicode" w:cs="SabonUnicode"/>
          <w:szCs w:val="21"/>
        </w:rPr>
        <w:t xml:space="preserve">s from the outside inwards, it is in fact also, in the context of sacrifice, an action “to have arrive in the place where the rite is being performed”, or, better, “to have enter the circle of sacrifice”. In this case, therefore, we are confronted with an </w:t>
      </w:r>
      <w:r>
        <w:rPr>
          <w:rFonts w:ascii="SabonUnicode" w:eastAsia="SabonUnicode" w:hAnsi="SabonUnicode" w:cs="SabonUnicode"/>
          <w:szCs w:val="21"/>
        </w:rPr>
        <w:t xml:space="preserve">action that has its origins in the ritual procedure.  </w:t>
      </w:r>
    </w:p>
    <w:p w14:paraId="71918D53" w14:textId="77777777" w:rsidR="00E53EB6" w:rsidRDefault="006500F5">
      <w:pPr>
        <w:pStyle w:val="HaupttextohneEinzug"/>
        <w:rPr>
          <w:rFonts w:ascii="SabonUnicode" w:eastAsia="SabonUnicode" w:hAnsi="SabonUnicode" w:cs="SabonUnicode"/>
          <w:szCs w:val="21"/>
        </w:rPr>
      </w:pPr>
      <w:r>
        <w:rPr>
          <w:rFonts w:ascii="SabonUnicode" w:eastAsia="SabonUnicode" w:hAnsi="SabonUnicode" w:cs="SabonUnicode"/>
          <w:szCs w:val="21"/>
        </w:rPr>
        <w:t xml:space="preserve">To sum up, we may read  the different uses of the verb as follow, </w:t>
      </w:r>
    </w:p>
    <w:p w14:paraId="77E7A60E" w14:textId="77777777" w:rsidR="00E53EB6" w:rsidRDefault="00E53EB6">
      <w:pPr>
        <w:pStyle w:val="HaupttextohneEinzug"/>
        <w:jc w:val="center"/>
        <w:rPr>
          <w:rFonts w:ascii="SabonUnicode" w:eastAsia="SabonUnicode" w:hAnsi="SabonUnicode" w:cs="SabonUnicode"/>
          <w:szCs w:val="21"/>
        </w:rPr>
      </w:pPr>
    </w:p>
    <w:p w14:paraId="0CDA5F80" w14:textId="77777777" w:rsidR="00E53EB6" w:rsidRDefault="006500F5">
      <w:pPr>
        <w:pStyle w:val="HaupttextohneEinzug"/>
        <w:jc w:val="left"/>
      </w:pPr>
      <w:r>
        <w:rPr>
          <w:rFonts w:ascii="SabonUnicode" w:eastAsia="SabonUnicode" w:hAnsi="SabonUnicode" w:cs="SabonUnicode"/>
          <w:i/>
          <w:iCs/>
          <w:szCs w:val="21"/>
        </w:rPr>
        <w:t>van</w:t>
      </w:r>
      <w:r>
        <w:rPr>
          <w:rFonts w:ascii="SabonUnicode" w:eastAsia="SabonUnicode" w:hAnsi="SabonUnicode" w:cs="SabonUnicode"/>
          <w:i/>
          <w:iCs/>
          <w:szCs w:val="21"/>
          <w:vertAlign w:val="subscript"/>
        </w:rPr>
        <w:t>3</w:t>
      </w:r>
      <w:r>
        <w:rPr>
          <w:rFonts w:ascii="SabonUnicode" w:eastAsia="SabonUnicode" w:hAnsi="SabonUnicode" w:cs="SabonUnicode"/>
          <w:szCs w:val="21"/>
        </w:rPr>
        <w:t xml:space="preserve"> “to appropriate”(d): context bound -variant meaning/uses: a) “to possess”</w:t>
      </w:r>
    </w:p>
    <w:p w14:paraId="308E6115" w14:textId="77777777" w:rsidR="00E53EB6" w:rsidRDefault="006500F5">
      <w:pPr>
        <w:pStyle w:val="HaupttextohneEinzug"/>
        <w:jc w:val="left"/>
        <w:rPr>
          <w:rFonts w:ascii="SabonUnicode" w:eastAsia="SabonUnicode" w:hAnsi="SabonUnicode" w:cs="SabonUnicode"/>
          <w:szCs w:val="21"/>
        </w:rPr>
      </w:pPr>
      <w:r>
        <w:rPr>
          <w:rFonts w:ascii="SabonUnicode" w:eastAsia="SabonUnicode" w:hAnsi="SabonUnicode" w:cs="SabonUnicode"/>
          <w:szCs w:val="21"/>
        </w:rPr>
        <w:tab/>
      </w:r>
      <w:r>
        <w:rPr>
          <w:rFonts w:ascii="SabonUnicode" w:eastAsia="SabonUnicode" w:hAnsi="SabonUnicode" w:cs="SabonUnicode"/>
          <w:szCs w:val="21"/>
        </w:rPr>
        <w:tab/>
      </w:r>
      <w:r>
        <w:rPr>
          <w:rFonts w:ascii="SabonUnicode" w:eastAsia="SabonUnicode" w:hAnsi="SabonUnicode" w:cs="SabonUnicode"/>
          <w:szCs w:val="21"/>
        </w:rPr>
        <w:tab/>
      </w:r>
      <w:r>
        <w:rPr>
          <w:rFonts w:ascii="SabonUnicode" w:eastAsia="SabonUnicode" w:hAnsi="SabonUnicode" w:cs="SabonUnicode"/>
          <w:szCs w:val="21"/>
        </w:rPr>
        <w:tab/>
      </w:r>
      <w:r>
        <w:rPr>
          <w:rFonts w:ascii="SabonUnicode" w:eastAsia="SabonUnicode" w:hAnsi="SabonUnicode" w:cs="SabonUnicode"/>
          <w:szCs w:val="21"/>
        </w:rPr>
        <w:tab/>
      </w:r>
      <w:r>
        <w:rPr>
          <w:rFonts w:ascii="SabonUnicode" w:eastAsia="SabonUnicode" w:hAnsi="SabonUnicode" w:cs="SabonUnicode"/>
          <w:szCs w:val="21"/>
        </w:rPr>
        <w:tab/>
      </w:r>
      <w:r>
        <w:rPr>
          <w:rFonts w:ascii="SabonUnicode" w:eastAsia="SabonUnicode" w:hAnsi="SabonUnicode" w:cs="SabonUnicode"/>
          <w:szCs w:val="21"/>
        </w:rPr>
        <w:tab/>
      </w:r>
      <w:r>
        <w:rPr>
          <w:rFonts w:ascii="SabonUnicode" w:eastAsia="SabonUnicode" w:hAnsi="SabonUnicode" w:cs="SabonUnicode"/>
          <w:szCs w:val="21"/>
        </w:rPr>
        <w:tab/>
        <w:t xml:space="preserve"> b) “to win / conquer”</w:t>
      </w:r>
    </w:p>
    <w:p w14:paraId="612F2337" w14:textId="77777777" w:rsidR="00E53EB6" w:rsidRDefault="006500F5">
      <w:pPr>
        <w:pStyle w:val="HaupttextohneEinzug"/>
        <w:jc w:val="left"/>
        <w:rPr>
          <w:rFonts w:ascii="SabonUnicode" w:eastAsia="SabonUnicode" w:hAnsi="SabonUnicode" w:cs="SabonUnicode"/>
          <w:szCs w:val="21"/>
        </w:rPr>
      </w:pPr>
      <w:r>
        <w:rPr>
          <w:rFonts w:ascii="SabonUnicode" w:eastAsia="SabonUnicode" w:hAnsi="SabonUnicode" w:cs="SabonUnicode"/>
          <w:szCs w:val="21"/>
        </w:rPr>
        <w:tab/>
      </w:r>
      <w:r>
        <w:rPr>
          <w:rFonts w:ascii="SabonUnicode" w:eastAsia="SabonUnicode" w:hAnsi="SabonUnicode" w:cs="SabonUnicode"/>
          <w:szCs w:val="21"/>
        </w:rPr>
        <w:tab/>
      </w:r>
      <w:r>
        <w:rPr>
          <w:rFonts w:ascii="SabonUnicode" w:eastAsia="SabonUnicode" w:hAnsi="SabonUnicode" w:cs="SabonUnicode"/>
          <w:szCs w:val="21"/>
        </w:rPr>
        <w:tab/>
      </w:r>
      <w:r>
        <w:rPr>
          <w:rFonts w:ascii="SabonUnicode" w:eastAsia="SabonUnicode" w:hAnsi="SabonUnicode" w:cs="SabonUnicode"/>
          <w:szCs w:val="21"/>
        </w:rPr>
        <w:tab/>
      </w:r>
      <w:r>
        <w:rPr>
          <w:rFonts w:ascii="SabonUnicode" w:eastAsia="SabonUnicode" w:hAnsi="SabonUnicode" w:cs="SabonUnicode"/>
          <w:szCs w:val="21"/>
        </w:rPr>
        <w:tab/>
      </w:r>
      <w:r>
        <w:rPr>
          <w:rFonts w:ascii="SabonUnicode" w:eastAsia="SabonUnicode" w:hAnsi="SabonUnicode" w:cs="SabonUnicode"/>
          <w:szCs w:val="21"/>
        </w:rPr>
        <w:tab/>
      </w:r>
      <w:r>
        <w:rPr>
          <w:rFonts w:ascii="SabonUnicode" w:eastAsia="SabonUnicode" w:hAnsi="SabonUnicode" w:cs="SabonUnicode"/>
          <w:szCs w:val="21"/>
        </w:rPr>
        <w:tab/>
      </w:r>
      <w:r>
        <w:rPr>
          <w:rFonts w:ascii="SabonUnicode" w:eastAsia="SabonUnicode" w:hAnsi="SabonUnicode" w:cs="SabonUnicode"/>
          <w:szCs w:val="21"/>
        </w:rPr>
        <w:tab/>
        <w:t xml:space="preserve"> c) absolute</w:t>
      </w:r>
    </w:p>
    <w:p w14:paraId="6866E4D9" w14:textId="77777777" w:rsidR="00E53EB6" w:rsidRDefault="00E53EB6">
      <w:pPr>
        <w:pStyle w:val="HaupttextohneEinzug"/>
        <w:rPr>
          <w:rFonts w:ascii="SabonUnicode" w:eastAsia="SabonUnicode" w:hAnsi="SabonUnicode" w:cs="SabonUnicode"/>
          <w:szCs w:val="21"/>
        </w:rPr>
      </w:pPr>
    </w:p>
    <w:p w14:paraId="4E6639F0" w14:textId="77777777" w:rsidR="00E53EB6" w:rsidRPr="00B80C6B" w:rsidRDefault="006500F5">
      <w:pPr>
        <w:autoSpaceDE w:val="0"/>
        <w:spacing w:line="260" w:lineRule="exact"/>
        <w:jc w:val="both"/>
        <w:rPr>
          <w:rFonts w:ascii="SabonUnicode" w:eastAsia="SabonUnicode" w:hAnsi="SabonUnicode" w:cs="SabonUnicode"/>
          <w:szCs w:val="21"/>
          <w:lang w:val="en-US"/>
        </w:rPr>
      </w:pPr>
      <w:r w:rsidRPr="00B80C6B">
        <w:rPr>
          <w:rFonts w:ascii="SabonUnicode" w:eastAsia="SabonUnicode" w:hAnsi="SabonUnicode" w:cs="SabonUnicode"/>
          <w:szCs w:val="21"/>
          <w:lang w:val="en-US"/>
        </w:rPr>
        <w:tab/>
      </w:r>
      <w:r w:rsidRPr="00B80C6B">
        <w:rPr>
          <w:rFonts w:ascii="SabonUnicode" w:eastAsia="SabonUnicode" w:hAnsi="SabonUnicode" w:cs="SabonUnicode"/>
          <w:szCs w:val="21"/>
          <w:lang w:val="en-US"/>
        </w:rPr>
        <w:tab/>
      </w:r>
      <w:r w:rsidRPr="00B80C6B">
        <w:rPr>
          <w:rFonts w:ascii="SabonUnicode" w:eastAsia="SabonUnicode" w:hAnsi="SabonUnicode" w:cs="SabonUnicode"/>
          <w:szCs w:val="21"/>
          <w:lang w:val="en-US"/>
        </w:rPr>
        <w:tab/>
      </w:r>
      <w:r w:rsidRPr="00B80C6B">
        <w:rPr>
          <w:rFonts w:ascii="SabonUnicode" w:eastAsia="SabonUnicode" w:hAnsi="SabonUnicode" w:cs="SabonUnicode"/>
          <w:szCs w:val="21"/>
          <w:lang w:val="en-US"/>
        </w:rPr>
        <w:tab/>
      </w:r>
      <w:r w:rsidRPr="00B80C6B">
        <w:rPr>
          <w:rFonts w:ascii="SabonUnicode" w:eastAsia="SabonUnicode" w:hAnsi="SabonUnicode" w:cs="SabonUnicode"/>
          <w:szCs w:val="21"/>
          <w:lang w:val="en-US"/>
        </w:rPr>
        <w:tab/>
      </w:r>
      <w:r w:rsidRPr="00B80C6B">
        <w:rPr>
          <w:rFonts w:ascii="SabonUnicode" w:eastAsia="SabonUnicode" w:hAnsi="SabonUnicode" w:cs="SabonUnicode"/>
          <w:szCs w:val="21"/>
          <w:lang w:val="en-US"/>
        </w:rPr>
        <w:tab/>
      </w:r>
      <w:r w:rsidRPr="00B80C6B">
        <w:rPr>
          <w:rFonts w:ascii="SabonUnicode" w:eastAsia="SabonUnicode" w:hAnsi="SabonUnicode" w:cs="SabonUnicode"/>
          <w:szCs w:val="21"/>
          <w:lang w:val="en-US"/>
        </w:rPr>
        <w:tab/>
      </w:r>
      <w:r w:rsidRPr="00B80C6B">
        <w:rPr>
          <w:rFonts w:ascii="SabonUnicode" w:eastAsia="SabonUnicode" w:hAnsi="SabonUnicode" w:cs="SabonUnicode"/>
          <w:szCs w:val="21"/>
          <w:lang w:val="en-US"/>
        </w:rPr>
        <w:tab/>
        <w:t xml:space="preserve"> </w:t>
      </w:r>
      <w:r>
        <w:rPr>
          <w:rFonts w:ascii="SabonUnicode" w:eastAsia="SabonUnicode" w:hAnsi="SabonUnicode" w:cs="SabonUnicode"/>
          <w:szCs w:val="21"/>
          <w:lang w:val="en-GB"/>
        </w:rPr>
        <w:t xml:space="preserve">e) ritual meaning </w:t>
      </w:r>
    </w:p>
    <w:p w14:paraId="42C9959D" w14:textId="77777777" w:rsidR="00E53EB6" w:rsidRDefault="006500F5">
      <w:pPr>
        <w:pStyle w:val="HaupttextnachZitat"/>
      </w:pPr>
      <w:r>
        <w:rPr>
          <w:rFonts w:ascii="SabonUnicode" w:eastAsia="SabonUnicode" w:hAnsi="SabonUnicode" w:cs="SabonUnicode"/>
          <w:szCs w:val="21"/>
        </w:rPr>
        <w:t xml:space="preserve">Thus, for </w:t>
      </w:r>
      <w:r>
        <w:rPr>
          <w:rFonts w:ascii="SabonUnicode" w:eastAsia="SabonUnicode" w:hAnsi="SabonUnicode" w:cs="SabonUnicode"/>
          <w:i/>
          <w:iCs/>
          <w:szCs w:val="21"/>
        </w:rPr>
        <w:t>van</w:t>
      </w:r>
      <w:r>
        <w:rPr>
          <w:rFonts w:ascii="SabonUnicode" w:eastAsia="SabonUnicode" w:hAnsi="SabonUnicode" w:cs="SabonUnicode"/>
          <w:i/>
          <w:iCs/>
          <w:szCs w:val="21"/>
          <w:vertAlign w:val="subscript"/>
        </w:rPr>
        <w:t>3</w:t>
      </w:r>
      <w:r>
        <w:rPr>
          <w:rFonts w:ascii="SabonUnicode" w:eastAsia="SabonUnicode" w:hAnsi="SabonUnicode" w:cs="SabonUnicode"/>
          <w:szCs w:val="21"/>
        </w:rPr>
        <w:t xml:space="preserve"> we have an action implying an outward movement which, when visible in a ritualistic p</w:t>
      </w:r>
      <w:r>
        <w:rPr>
          <w:rFonts w:ascii="SabonUnicode" w:eastAsia="SabonUnicode" w:hAnsi="SabonUnicode" w:cs="SabonUnicode"/>
          <w:szCs w:val="21"/>
        </w:rPr>
        <w:t xml:space="preserve">erformance-context, is almost always in the direction of the gods. It is also a movement that, if brought to completion, leads to an “appropriation ”, and the perfective-resultative value of </w:t>
      </w:r>
      <w:r>
        <w:rPr>
          <w:rFonts w:ascii="SabonUnicode" w:eastAsia="SabonUnicode" w:hAnsi="SabonUnicode" w:cs="SabonUnicode"/>
          <w:i/>
          <w:iCs/>
          <w:szCs w:val="21"/>
        </w:rPr>
        <w:t>van- / van</w:t>
      </w:r>
      <w:r>
        <w:rPr>
          <w:rFonts w:ascii="SabonUnicode" w:eastAsia="SabonUnicode" w:hAnsi="SabonUnicode" w:cs="SabonUnicode"/>
          <w:i/>
          <w:iCs/>
          <w:szCs w:val="21"/>
          <w:vertAlign w:val="superscript"/>
        </w:rPr>
        <w:t>i</w:t>
      </w:r>
      <w:r>
        <w:rPr>
          <w:rFonts w:ascii="SabonUnicode" w:eastAsia="SabonUnicode" w:hAnsi="SabonUnicode" w:cs="SabonUnicode"/>
          <w:i/>
          <w:iCs/>
          <w:szCs w:val="21"/>
        </w:rPr>
        <w:t>-</w:t>
      </w:r>
      <w:r>
        <w:rPr>
          <w:rFonts w:ascii="SabonUnicode" w:eastAsia="SabonUnicode" w:hAnsi="SabonUnicode" w:cs="SabonUnicode"/>
          <w:szCs w:val="21"/>
        </w:rPr>
        <w:t xml:space="preserve"> in contrast with the desiderative</w:t>
      </w:r>
      <w:r>
        <w:rPr>
          <w:rStyle w:val="FootnoteAnchor"/>
          <w:rFonts w:ascii="SabonUnicode" w:eastAsia="SabonUnicode" w:hAnsi="SabonUnicode" w:cs="SabonUnicode"/>
          <w:szCs w:val="21"/>
          <w:vertAlign w:val="baseline"/>
        </w:rPr>
        <w:footnoteReference w:id="31"/>
      </w:r>
      <w:r>
        <w:rPr>
          <w:rFonts w:ascii="SabonUnicode" w:eastAsia="SabonUnicode" w:hAnsi="SabonUnicode" w:cs="SabonUnicode"/>
          <w:szCs w:val="21"/>
        </w:rPr>
        <w:t xml:space="preserve"> form that conveys the non-perfective meaning “to summon”, “to invoke” seems to underpin the hypothesis of a movement towards the outside as underlying rationale. This reconstruction shall be underpinned the functional analysis of the R̥gvedic occurrences </w:t>
      </w:r>
      <w:r>
        <w:rPr>
          <w:rFonts w:ascii="SabonUnicode" w:eastAsia="SabonUnicode" w:hAnsi="SabonUnicode" w:cs="SabonUnicode"/>
          <w:szCs w:val="21"/>
        </w:rPr>
        <w:t>in the next chapter.</w:t>
      </w:r>
    </w:p>
    <w:p w14:paraId="4A7D7151" w14:textId="77777777" w:rsidR="00E53EB6" w:rsidRDefault="00E53EB6">
      <w:pPr>
        <w:pStyle w:val="Hauptext"/>
        <w:sectPr w:rsidR="00E53EB6">
          <w:headerReference w:type="even" r:id="rId15"/>
          <w:headerReference w:type="default" r:id="rId16"/>
          <w:footerReference w:type="even" r:id="rId17"/>
          <w:footerReference w:type="default" r:id="rId18"/>
          <w:pgSz w:w="11906" w:h="16838"/>
          <w:pgMar w:top="1917" w:right="1418" w:bottom="2235" w:left="1700" w:header="1418" w:footer="1700" w:gutter="0"/>
          <w:cols w:space="720"/>
          <w:formProt w:val="0"/>
          <w:docGrid w:linePitch="600" w:charSpace="38911"/>
        </w:sectPr>
      </w:pPr>
    </w:p>
    <w:p w14:paraId="4970FCA1" w14:textId="77777777" w:rsidR="00E53EB6" w:rsidRDefault="006500F5">
      <w:pPr>
        <w:pStyle w:val="Heading1"/>
        <w:tabs>
          <w:tab w:val="left" w:pos="0"/>
        </w:tabs>
      </w:pPr>
      <w:r>
        <w:lastRenderedPageBreak/>
        <w:t>II The R̥gvedic Scenario</w:t>
      </w:r>
    </w:p>
    <w:p w14:paraId="0E987BEA" w14:textId="77777777" w:rsidR="00E53EB6" w:rsidRDefault="006500F5">
      <w:pPr>
        <w:pStyle w:val="Heading2"/>
        <w:tabs>
          <w:tab w:val="left" w:pos="0"/>
        </w:tabs>
      </w:pPr>
      <w:r>
        <w:t>II.1 Functional Analysis of the Occurrences</w:t>
      </w:r>
    </w:p>
    <w:p w14:paraId="0AD6882B" w14:textId="77777777" w:rsidR="00E53EB6" w:rsidRDefault="006500F5">
      <w:pPr>
        <w:pStyle w:val="HaupttextohneEinzug"/>
      </w:pPr>
      <w:r>
        <w:rPr>
          <w:rFonts w:ascii="SabonUnicode" w:eastAsia="SabonUnicode" w:hAnsi="SabonUnicode" w:cs="SabonUnicode"/>
          <w:szCs w:val="21"/>
        </w:rPr>
        <w:t xml:space="preserve">To make our analysis clearer, the various readings are divided into the following principal groups, along an alphanumeric order: </w:t>
      </w:r>
      <w:r>
        <w:rPr>
          <w:rFonts w:ascii="SabonUnicode" w:eastAsia="SabonUnicode" w:hAnsi="SabonUnicode" w:cs="SabonUnicode"/>
          <w:i/>
          <w:iCs/>
          <w:szCs w:val="21"/>
        </w:rPr>
        <w:t>a-</w:t>
      </w:r>
      <w:r>
        <w:rPr>
          <w:rFonts w:ascii="SabonUnicode" w:eastAsia="SabonUnicode" w:hAnsi="SabonUnicode" w:cs="SabonUnicode"/>
          <w:szCs w:val="21"/>
        </w:rPr>
        <w:t xml:space="preserve"> “to possess”, </w:t>
      </w:r>
      <w:r>
        <w:rPr>
          <w:rFonts w:ascii="SabonUnicode" w:eastAsia="SabonUnicode" w:hAnsi="SabonUnicode" w:cs="SabonUnicode"/>
          <w:i/>
          <w:iCs/>
          <w:szCs w:val="21"/>
        </w:rPr>
        <w:t xml:space="preserve">b- </w:t>
      </w:r>
      <w:r>
        <w:rPr>
          <w:rFonts w:ascii="SabonUnicode" w:eastAsia="SabonUnicode" w:hAnsi="SabonUnicode" w:cs="SabonUnicode"/>
          <w:szCs w:val="21"/>
        </w:rPr>
        <w:t xml:space="preserve">“to conquer, to dominate” </w:t>
      </w:r>
      <w:r>
        <w:rPr>
          <w:rFonts w:ascii="SabonUnicode" w:eastAsia="SabonUnicode" w:hAnsi="SabonUnicode" w:cs="SabonUnicode"/>
          <w:i/>
          <w:iCs/>
          <w:szCs w:val="21"/>
        </w:rPr>
        <w:t xml:space="preserve">c- </w:t>
      </w:r>
      <w:r>
        <w:rPr>
          <w:rFonts w:ascii="SabonUnicode" w:eastAsia="SabonUnicode" w:hAnsi="SabonUnicode" w:cs="SabonUnicode"/>
          <w:szCs w:val="21"/>
        </w:rPr>
        <w:t xml:space="preserve">absolute use of the present participle, </w:t>
      </w:r>
      <w:r>
        <w:rPr>
          <w:rFonts w:ascii="SabonUnicode" w:eastAsia="SabonUnicode" w:hAnsi="SabonUnicode" w:cs="SabonUnicode"/>
          <w:i/>
          <w:iCs/>
          <w:szCs w:val="21"/>
        </w:rPr>
        <w:t>d-</w:t>
      </w:r>
      <w:r>
        <w:rPr>
          <w:rFonts w:ascii="SabonUnicode" w:eastAsia="SabonUnicode" w:hAnsi="SabonUnicode" w:cs="SabonUnicode"/>
          <w:szCs w:val="21"/>
        </w:rPr>
        <w:t xml:space="preserve"> “to appropriate”, as a passage of p</w:t>
      </w:r>
      <w:r>
        <w:rPr>
          <w:rFonts w:ascii="SabonUnicode" w:eastAsia="SabonUnicode" w:hAnsi="SabonUnicode" w:cs="SabonUnicode"/>
          <w:szCs w:val="21"/>
        </w:rPr>
        <w:t xml:space="preserve">ossessing, </w:t>
      </w:r>
      <w:r>
        <w:rPr>
          <w:rFonts w:ascii="SabonUnicode" w:eastAsia="SabonUnicode" w:hAnsi="SabonUnicode" w:cs="SabonUnicode"/>
          <w:i/>
          <w:iCs/>
          <w:szCs w:val="21"/>
        </w:rPr>
        <w:t>e-</w:t>
      </w:r>
      <w:r>
        <w:rPr>
          <w:rFonts w:ascii="SabonUnicode" w:eastAsia="SabonUnicode" w:hAnsi="SabonUnicode" w:cs="SabonUnicode"/>
          <w:szCs w:val="21"/>
        </w:rPr>
        <w:t xml:space="preserve"> “to make s.o. enter the circle of sacrifice”, as a ritual use of the idea of possessing. A thorough data-base of those groups, including all R̥V occurrences, is also to be found in the Appendix.</w:t>
      </w:r>
    </w:p>
    <w:p w14:paraId="63328A06" w14:textId="77777777" w:rsidR="00E53EB6" w:rsidRDefault="00E53EB6">
      <w:pPr>
        <w:pStyle w:val="HaupttextohneEinzug"/>
        <w:rPr>
          <w:rFonts w:ascii="SabonUnicode" w:eastAsia="SabonUnicode" w:hAnsi="SabonUnicode" w:cs="SabonUnicode"/>
          <w:szCs w:val="21"/>
        </w:rPr>
      </w:pPr>
    </w:p>
    <w:p w14:paraId="24E5EF0F" w14:textId="77777777" w:rsidR="00E53EB6" w:rsidRDefault="006500F5">
      <w:pPr>
        <w:pStyle w:val="Heading3"/>
        <w:tabs>
          <w:tab w:val="left" w:pos="0"/>
        </w:tabs>
        <w:rPr>
          <w:i/>
          <w:iCs/>
          <w:sz w:val="22"/>
          <w:szCs w:val="22"/>
        </w:rPr>
      </w:pPr>
      <w:r>
        <w:rPr>
          <w:i/>
          <w:iCs/>
          <w:sz w:val="22"/>
          <w:szCs w:val="22"/>
        </w:rPr>
        <w:t>a- Variant meaning “to possess”</w:t>
      </w:r>
    </w:p>
    <w:p w14:paraId="2410D4FD" w14:textId="77777777" w:rsidR="00E53EB6" w:rsidRDefault="006500F5">
      <w:pPr>
        <w:pStyle w:val="HaupttextohneEinzug"/>
        <w:rPr>
          <w:szCs w:val="21"/>
        </w:rPr>
      </w:pPr>
      <w:r>
        <w:rPr>
          <w:szCs w:val="21"/>
        </w:rPr>
        <w:t xml:space="preserve">The first </w:t>
      </w:r>
      <w:r>
        <w:rPr>
          <w:szCs w:val="21"/>
        </w:rPr>
        <w:t>group represents the most common use of the verb. In some cases the subject of the action is the god who “</w:t>
      </w:r>
      <w:r>
        <w:rPr>
          <w:i/>
          <w:szCs w:val="21"/>
        </w:rPr>
        <w:t>van-</w:t>
      </w:r>
      <w:r>
        <w:rPr>
          <w:szCs w:val="21"/>
        </w:rPr>
        <w:t xml:space="preserve"> something for himself” – for example nourishment, as in 10.61.4 or in 10.107.7 in which is the subject of the action is the </w:t>
      </w:r>
      <w:r>
        <w:rPr>
          <w:i/>
          <w:szCs w:val="21"/>
        </w:rPr>
        <w:t>Dak</w:t>
      </w:r>
      <w:r>
        <w:rPr>
          <w:i/>
          <w:szCs w:val="21"/>
        </w:rPr>
        <w:t>ṣ</w:t>
      </w:r>
      <w:r>
        <w:rPr>
          <w:i/>
          <w:szCs w:val="21"/>
        </w:rPr>
        <w:t>i</w:t>
      </w:r>
      <w:r>
        <w:rPr>
          <w:i/>
          <w:szCs w:val="21"/>
        </w:rPr>
        <w:t>ṇ</w:t>
      </w:r>
      <w:r>
        <w:rPr>
          <w:i/>
          <w:szCs w:val="21"/>
        </w:rPr>
        <w:t>ā</w:t>
      </w:r>
      <w:bookmarkStart w:id="19" w:name="sdfootnote22anc"/>
      <w:bookmarkEnd w:id="19"/>
      <w:r>
        <w:rPr>
          <w:rStyle w:val="FootnoteAnchor"/>
          <w:i/>
          <w:szCs w:val="21"/>
        </w:rPr>
        <w:footnoteReference w:id="32"/>
      </w:r>
      <w:r>
        <w:rPr>
          <w:szCs w:val="21"/>
        </w:rPr>
        <w:t>, while in 4</w:t>
      </w:r>
      <w:r>
        <w:rPr>
          <w:szCs w:val="21"/>
        </w:rPr>
        <w:t xml:space="preserve">.44.2 it is the Aśvin, divinities of light and daytime, that in fact gain luminous beauty. In the stanzas dedicated to Indra, the object of the action is almost always </w:t>
      </w:r>
      <w:r>
        <w:rPr>
          <w:i/>
          <w:iCs/>
          <w:szCs w:val="21"/>
        </w:rPr>
        <w:t>soma</w:t>
      </w:r>
      <w:r>
        <w:rPr>
          <w:szCs w:val="21"/>
        </w:rPr>
        <w:t>, the drink the god is so fond of as to be recognised among the gods as the “</w:t>
      </w:r>
      <w:r>
        <w:rPr>
          <w:i/>
          <w:iCs/>
          <w:szCs w:val="21"/>
        </w:rPr>
        <w:t>soma</w:t>
      </w:r>
      <w:r>
        <w:rPr>
          <w:szCs w:val="21"/>
        </w:rPr>
        <w:t xml:space="preserve"> dr</w:t>
      </w:r>
      <w:r>
        <w:rPr>
          <w:szCs w:val="21"/>
        </w:rPr>
        <w:t xml:space="preserve">inker” par excellence (cf. 1.61.15; 6.23.5; 10 105.5); while in 10.27.9 it is not </w:t>
      </w:r>
      <w:r>
        <w:rPr>
          <w:i/>
          <w:iCs/>
          <w:szCs w:val="21"/>
        </w:rPr>
        <w:t>soma</w:t>
      </w:r>
      <w:r>
        <w:rPr>
          <w:szCs w:val="21"/>
        </w:rPr>
        <w:t>, but the horse – the animal associated with this warrior god – that Indra “possesses”, or rather tames.</w:t>
      </w:r>
    </w:p>
    <w:p w14:paraId="34C7ACC7" w14:textId="77777777" w:rsidR="00E53EB6" w:rsidRDefault="006500F5">
      <w:pPr>
        <w:pStyle w:val="HaupttextohneEinzug"/>
        <w:rPr>
          <w:szCs w:val="21"/>
        </w:rPr>
      </w:pPr>
      <w:r>
        <w:rPr>
          <w:szCs w:val="21"/>
        </w:rPr>
        <w:t>In other cases it is man who “</w:t>
      </w:r>
      <w:r>
        <w:rPr>
          <w:i/>
          <w:szCs w:val="21"/>
        </w:rPr>
        <w:t>van-</w:t>
      </w:r>
      <w:r>
        <w:rPr>
          <w:szCs w:val="21"/>
        </w:rPr>
        <w:t xml:space="preserve"> something for himself”, and th</w:t>
      </w:r>
      <w:r>
        <w:rPr>
          <w:szCs w:val="21"/>
        </w:rPr>
        <w:t xml:space="preserve">at which man “possesses” or often asks to “possess” concerns to a large extent the sphere of material goods, which hold great importance in the life and thought of Vedic man; what is asked for, then, is </w:t>
      </w:r>
      <w:r>
        <w:rPr>
          <w:i/>
          <w:szCs w:val="21"/>
        </w:rPr>
        <w:t>riches</w:t>
      </w:r>
      <w:r>
        <w:rPr>
          <w:szCs w:val="21"/>
        </w:rPr>
        <w:t>, also mentioned in 6.68.5; 9 72.8 and in 9.101</w:t>
      </w:r>
      <w:r>
        <w:rPr>
          <w:szCs w:val="21"/>
        </w:rPr>
        <w:t>.9, and of which 1.129.7 is an example:</w:t>
      </w:r>
    </w:p>
    <w:p w14:paraId="6B3C10FA" w14:textId="77777777" w:rsidR="00E53EB6" w:rsidRDefault="006500F5">
      <w:pPr>
        <w:pStyle w:val="Zitat"/>
      </w:pPr>
      <w:r>
        <w:t xml:space="preserve">1.129.7 </w:t>
      </w:r>
      <w:r>
        <w:rPr>
          <w:i/>
        </w:rPr>
        <w:t>vanéma tád dhótarayā citánt</w:t>
      </w:r>
      <w:r>
        <w:rPr>
          <w:i/>
          <w:vertAlign w:val="subscript"/>
        </w:rPr>
        <w:t>i</w:t>
      </w:r>
      <w:r>
        <w:rPr>
          <w:i/>
        </w:rPr>
        <w:t>yā</w:t>
      </w:r>
    </w:p>
    <w:p w14:paraId="7A6439FB" w14:textId="77777777" w:rsidR="00E53EB6" w:rsidRDefault="006500F5">
      <w:pPr>
        <w:pStyle w:val="ZitatnachZitat"/>
        <w:rPr>
          <w:i/>
          <w:iCs/>
        </w:rPr>
      </w:pPr>
      <w:r>
        <w:rPr>
          <w:i/>
          <w:iCs/>
        </w:rPr>
        <w:t>vanéma rayí</w:t>
      </w:r>
      <w:r>
        <w:rPr>
          <w:i/>
          <w:iCs/>
        </w:rPr>
        <w:t>ṃ</w:t>
      </w:r>
      <w:r>
        <w:rPr>
          <w:i/>
          <w:iCs/>
        </w:rPr>
        <w:t xml:space="preserve"> rayiva</w:t>
      </w:r>
      <w:r>
        <w:rPr>
          <w:i/>
          <w:iCs/>
        </w:rPr>
        <w:t>ḥ</w:t>
      </w:r>
      <w:r>
        <w:rPr>
          <w:i/>
          <w:iCs/>
        </w:rPr>
        <w:t xml:space="preserve"> suvī́r</w:t>
      </w:r>
      <w:r>
        <w:rPr>
          <w:i/>
          <w:iCs/>
          <w:vertAlign w:val="subscript"/>
        </w:rPr>
        <w:t>i</w:t>
      </w:r>
      <w:r>
        <w:rPr>
          <w:i/>
          <w:iCs/>
        </w:rPr>
        <w:t>ya</w:t>
      </w:r>
      <w:r>
        <w:rPr>
          <w:i/>
          <w:iCs/>
        </w:rPr>
        <w:t>ṃ</w:t>
      </w:r>
    </w:p>
    <w:p w14:paraId="7211596D" w14:textId="77777777" w:rsidR="00E53EB6" w:rsidRDefault="006500F5">
      <w:pPr>
        <w:pStyle w:val="ZitatnachZitat"/>
        <w:rPr>
          <w:i/>
          <w:iCs/>
          <w:szCs w:val="18"/>
        </w:rPr>
      </w:pPr>
      <w:r>
        <w:rPr>
          <w:i/>
          <w:iCs/>
          <w:szCs w:val="18"/>
        </w:rPr>
        <w:t>ra</w:t>
      </w:r>
      <w:r>
        <w:rPr>
          <w:i/>
          <w:iCs/>
          <w:szCs w:val="18"/>
        </w:rPr>
        <w:t>ṇ</w:t>
      </w:r>
      <w:r>
        <w:rPr>
          <w:i/>
          <w:iCs/>
          <w:szCs w:val="18"/>
        </w:rPr>
        <w:t>vá</w:t>
      </w:r>
      <w:r>
        <w:rPr>
          <w:i/>
          <w:iCs/>
          <w:szCs w:val="18"/>
        </w:rPr>
        <w:t>ṃ</w:t>
      </w:r>
      <w:r>
        <w:rPr>
          <w:i/>
          <w:iCs/>
          <w:szCs w:val="18"/>
        </w:rPr>
        <w:t xml:space="preserve"> sánta</w:t>
      </w:r>
      <w:r>
        <w:rPr>
          <w:i/>
          <w:iCs/>
          <w:szCs w:val="18"/>
        </w:rPr>
        <w:t>ṃ</w:t>
      </w:r>
      <w:r>
        <w:rPr>
          <w:i/>
          <w:iCs/>
          <w:szCs w:val="18"/>
        </w:rPr>
        <w:t xml:space="preserve"> suvī́r</w:t>
      </w:r>
      <w:r>
        <w:rPr>
          <w:i/>
          <w:iCs/>
          <w:szCs w:val="18"/>
          <w:vertAlign w:val="subscript"/>
        </w:rPr>
        <w:t>i</w:t>
      </w:r>
      <w:r>
        <w:rPr>
          <w:i/>
          <w:iCs/>
          <w:szCs w:val="18"/>
        </w:rPr>
        <w:t>yam</w:t>
      </w:r>
    </w:p>
    <w:p w14:paraId="1EA0A58F" w14:textId="77777777" w:rsidR="00E53EB6" w:rsidRDefault="006500F5">
      <w:pPr>
        <w:pStyle w:val="ZitatnachZitat"/>
        <w:rPr>
          <w:i/>
          <w:iCs/>
          <w:szCs w:val="18"/>
        </w:rPr>
      </w:pPr>
      <w:r>
        <w:rPr>
          <w:i/>
          <w:iCs/>
          <w:szCs w:val="18"/>
        </w:rPr>
        <w:t>durmánmāna</w:t>
      </w:r>
      <w:r>
        <w:rPr>
          <w:i/>
          <w:iCs/>
          <w:szCs w:val="18"/>
        </w:rPr>
        <w:t>ṃ</w:t>
      </w:r>
      <w:r>
        <w:rPr>
          <w:i/>
          <w:iCs/>
          <w:szCs w:val="18"/>
        </w:rPr>
        <w:t xml:space="preserve"> sumántubhir</w:t>
      </w:r>
    </w:p>
    <w:p w14:paraId="13FC1546" w14:textId="77777777" w:rsidR="00E53EB6" w:rsidRDefault="006500F5">
      <w:pPr>
        <w:pStyle w:val="ZitatnachZitat"/>
        <w:rPr>
          <w:i/>
          <w:iCs/>
          <w:szCs w:val="18"/>
        </w:rPr>
      </w:pPr>
      <w:r>
        <w:rPr>
          <w:i/>
          <w:iCs/>
          <w:szCs w:val="18"/>
        </w:rPr>
        <w:t>ā́ īm i</w:t>
      </w:r>
      <w:r>
        <w:rPr>
          <w:i/>
          <w:iCs/>
          <w:szCs w:val="18"/>
        </w:rPr>
        <w:t>ṣ</w:t>
      </w:r>
      <w:r>
        <w:rPr>
          <w:i/>
          <w:iCs/>
          <w:szCs w:val="18"/>
        </w:rPr>
        <w:t>ā́ pr̥cīmahi</w:t>
      </w:r>
    </w:p>
    <w:p w14:paraId="48C8EC5B" w14:textId="77777777" w:rsidR="00E53EB6" w:rsidRDefault="006500F5">
      <w:pPr>
        <w:pStyle w:val="ZitatnachZitat"/>
        <w:rPr>
          <w:i/>
          <w:iCs/>
          <w:szCs w:val="18"/>
        </w:rPr>
      </w:pPr>
      <w:r>
        <w:rPr>
          <w:i/>
          <w:iCs/>
          <w:szCs w:val="18"/>
        </w:rPr>
        <w:t>ā́ satyā́bhir índara</w:t>
      </w:r>
      <w:r>
        <w:rPr>
          <w:i/>
          <w:iCs/>
          <w:szCs w:val="18"/>
        </w:rPr>
        <w:t>ṃ</w:t>
      </w:r>
      <w:r>
        <w:rPr>
          <w:i/>
          <w:iCs/>
          <w:szCs w:val="18"/>
        </w:rPr>
        <w:t xml:space="preserve"> dyumnáhūtibhir</w:t>
      </w:r>
    </w:p>
    <w:p w14:paraId="5F20354D" w14:textId="77777777" w:rsidR="00E53EB6" w:rsidRDefault="006500F5">
      <w:pPr>
        <w:pStyle w:val="ZitatnachZitat"/>
        <w:rPr>
          <w:i/>
          <w:iCs/>
          <w:szCs w:val="18"/>
        </w:rPr>
      </w:pPr>
      <w:r>
        <w:rPr>
          <w:i/>
          <w:iCs/>
          <w:szCs w:val="18"/>
        </w:rPr>
        <w:t>yájatra</w:t>
      </w:r>
      <w:r>
        <w:rPr>
          <w:i/>
          <w:iCs/>
          <w:szCs w:val="18"/>
        </w:rPr>
        <w:t>ṃ</w:t>
      </w:r>
      <w:r>
        <w:rPr>
          <w:i/>
          <w:iCs/>
          <w:szCs w:val="18"/>
        </w:rPr>
        <w:t xml:space="preserve"> dyumnáhūtibhi</w:t>
      </w:r>
      <w:r>
        <w:rPr>
          <w:i/>
          <w:iCs/>
          <w:szCs w:val="18"/>
        </w:rPr>
        <w:t>ḥ</w:t>
      </w:r>
    </w:p>
    <w:p w14:paraId="71A9A76E" w14:textId="77777777" w:rsidR="00E53EB6" w:rsidRDefault="006500F5">
      <w:pPr>
        <w:pStyle w:val="Zitat"/>
      </w:pPr>
      <w:r>
        <w:t xml:space="preserve">Let us </w:t>
      </w:r>
      <w:r>
        <w:rPr>
          <w:u w:val="single"/>
        </w:rPr>
        <w:t>possess</w:t>
      </w:r>
      <w:r>
        <w:t xml:space="preserve"> this thanks to an excellent sacrificial offering: let us </w:t>
      </w:r>
      <w:r>
        <w:rPr>
          <w:u w:val="single"/>
        </w:rPr>
        <w:t>possess</w:t>
      </w:r>
      <w:r>
        <w:t xml:space="preserve"> riches, o lord of riches, let us </w:t>
      </w:r>
      <w:r>
        <w:rPr>
          <w:u w:val="single"/>
        </w:rPr>
        <w:t>possess</w:t>
      </w:r>
      <w:r>
        <w:t xml:space="preserve"> the issue of heroes, which is that which gives joy, the issue of heroes; we can satisfy the evil evoked</w:t>
      </w:r>
      <w:bookmarkStart w:id="20" w:name="sdfootnote23anc"/>
      <w:bookmarkEnd w:id="20"/>
      <w:r>
        <w:rPr>
          <w:rStyle w:val="FootnoteAnchor"/>
        </w:rPr>
        <w:footnoteReference w:id="33"/>
      </w:r>
      <w:r>
        <w:t xml:space="preserve"> with benevolent words as nourishment</w:t>
      </w:r>
      <w:r>
        <w:t>, satisfy Indra with luminous, true invocations, he who is worthy of sacrifice with luminous invocations.</w:t>
      </w:r>
    </w:p>
    <w:p w14:paraId="14892CB6" w14:textId="77777777" w:rsidR="00E53EB6" w:rsidRPr="00B80C6B" w:rsidRDefault="006500F5">
      <w:pPr>
        <w:pStyle w:val="Zitat"/>
        <w:rPr>
          <w:lang w:val="de-DE"/>
        </w:rPr>
      </w:pPr>
      <w:r>
        <w:t>2x</w:t>
      </w:r>
      <w:r>
        <w:rPr>
          <w:i/>
        </w:rPr>
        <w:t xml:space="preserve"> vanéma: </w:t>
      </w:r>
      <w:r>
        <w:t>opt. pres. 1</w:t>
      </w:r>
      <w:r>
        <w:rPr>
          <w:vertAlign w:val="superscript"/>
        </w:rPr>
        <w:t>st</w:t>
      </w:r>
      <w:r>
        <w:t xml:space="preserve"> pl. </w:t>
      </w:r>
      <w:r w:rsidRPr="00B80C6B">
        <w:rPr>
          <w:lang w:val="de-DE"/>
        </w:rPr>
        <w:t>I-VI cl.</w:t>
      </w:r>
    </w:p>
    <w:p w14:paraId="6D84FE6F" w14:textId="77777777" w:rsidR="00E53EB6" w:rsidRPr="00B80C6B" w:rsidRDefault="006500F5">
      <w:pPr>
        <w:pStyle w:val="ZitatmitEinzug"/>
        <w:rPr>
          <w:szCs w:val="18"/>
          <w:lang w:val="de-DE"/>
        </w:rPr>
      </w:pPr>
      <w:r w:rsidRPr="00B80C6B">
        <w:rPr>
          <w:rStyle w:val="biblio-authorGEN"/>
          <w:sz w:val="18"/>
          <w:szCs w:val="15"/>
          <w:lang w:val="de-DE"/>
        </w:rPr>
        <w:t>Geldner</w:t>
      </w:r>
      <w:r w:rsidRPr="00B80C6B">
        <w:rPr>
          <w:szCs w:val="18"/>
          <w:lang w:val="de-DE"/>
        </w:rPr>
        <w:t>:  I 181 “möchten gewinnen”</w:t>
      </w:r>
    </w:p>
    <w:p w14:paraId="2221CAA2" w14:textId="77777777" w:rsidR="00E53EB6" w:rsidRPr="00B80C6B" w:rsidRDefault="006500F5">
      <w:pPr>
        <w:pStyle w:val="ZitatmitEinzug"/>
        <w:rPr>
          <w:szCs w:val="18"/>
          <w:lang w:val="de-DE"/>
        </w:rPr>
      </w:pPr>
      <w:r w:rsidRPr="00B80C6B">
        <w:rPr>
          <w:rStyle w:val="biblio-authorGEN"/>
          <w:sz w:val="18"/>
          <w:szCs w:val="15"/>
          <w:lang w:val="de-DE"/>
        </w:rPr>
        <w:t>Renou</w:t>
      </w:r>
      <w:r w:rsidRPr="00B80C6B">
        <w:rPr>
          <w:szCs w:val="18"/>
          <w:lang w:val="de-DE"/>
        </w:rPr>
        <w:t>: XVII 43 “gagner”</w:t>
      </w:r>
    </w:p>
    <w:p w14:paraId="05676852" w14:textId="77777777" w:rsidR="00E53EB6" w:rsidRPr="00B80C6B" w:rsidRDefault="006500F5">
      <w:pPr>
        <w:pStyle w:val="ZitatmitEinzug"/>
        <w:rPr>
          <w:szCs w:val="18"/>
          <w:lang w:val="de-DE"/>
        </w:rPr>
      </w:pPr>
      <w:r w:rsidRPr="00B80C6B">
        <w:rPr>
          <w:rStyle w:val="biblio-authorGEN"/>
          <w:sz w:val="18"/>
          <w:szCs w:val="15"/>
          <w:lang w:val="de-DE"/>
        </w:rPr>
        <w:lastRenderedPageBreak/>
        <w:t xml:space="preserve">Witzel-Gotō </w:t>
      </w:r>
      <w:r w:rsidRPr="00B80C6B">
        <w:rPr>
          <w:szCs w:val="18"/>
          <w:lang w:val="de-DE"/>
        </w:rPr>
        <w:t>2007: 241 “gewinnen möchten”</w:t>
      </w:r>
    </w:p>
    <w:p w14:paraId="6B19BF7E" w14:textId="77777777" w:rsidR="00E53EB6" w:rsidRDefault="006500F5">
      <w:pPr>
        <w:pStyle w:val="HaupttextnachZitat"/>
        <w:rPr>
          <w:szCs w:val="21"/>
        </w:rPr>
      </w:pPr>
      <w:r>
        <w:rPr>
          <w:szCs w:val="21"/>
        </w:rPr>
        <w:t>Thus in sta</w:t>
      </w:r>
      <w:r>
        <w:rPr>
          <w:szCs w:val="21"/>
        </w:rPr>
        <w:t xml:space="preserve">nzas 3.30.18 and 7.8.3 we see adopted with the same function the </w:t>
      </w:r>
      <w:r>
        <w:rPr>
          <w:i/>
          <w:szCs w:val="21"/>
        </w:rPr>
        <w:t>nomen agentis</w:t>
      </w:r>
      <w:r>
        <w:rPr>
          <w:szCs w:val="21"/>
        </w:rPr>
        <w:t xml:space="preserve"> formed from the verbal root </w:t>
      </w:r>
      <w:r>
        <w:rPr>
          <w:i/>
          <w:szCs w:val="21"/>
        </w:rPr>
        <w:t>van- / van</w:t>
      </w:r>
      <w:r>
        <w:rPr>
          <w:i/>
          <w:szCs w:val="21"/>
          <w:vertAlign w:val="superscript"/>
        </w:rPr>
        <w:t>i</w:t>
      </w:r>
      <w:r>
        <w:rPr>
          <w:i/>
          <w:szCs w:val="21"/>
        </w:rPr>
        <w:t>-</w:t>
      </w:r>
      <w:r>
        <w:rPr>
          <w:szCs w:val="21"/>
        </w:rPr>
        <w:t xml:space="preserve">, in both cases associated, in fact, with the substantive </w:t>
      </w:r>
      <w:r>
        <w:rPr>
          <w:i/>
          <w:szCs w:val="21"/>
        </w:rPr>
        <w:t>rai-</w:t>
      </w:r>
      <w:r>
        <w:rPr>
          <w:szCs w:val="21"/>
        </w:rPr>
        <w:t xml:space="preserve"> ‘riches’. Elsewhere the god is invoked to grant </w:t>
      </w:r>
      <w:r>
        <w:rPr>
          <w:i/>
          <w:szCs w:val="21"/>
        </w:rPr>
        <w:t>victory</w:t>
      </w:r>
      <w:r>
        <w:rPr>
          <w:szCs w:val="21"/>
        </w:rPr>
        <w:t xml:space="preserve"> (10.53.11), </w:t>
      </w:r>
      <w:r>
        <w:rPr>
          <w:i/>
          <w:szCs w:val="21"/>
        </w:rPr>
        <w:t>rain</w:t>
      </w:r>
      <w:r>
        <w:rPr>
          <w:szCs w:val="21"/>
        </w:rPr>
        <w:t xml:space="preserve"> (10.98.3), </w:t>
      </w:r>
      <w:r>
        <w:rPr>
          <w:i/>
          <w:szCs w:val="21"/>
        </w:rPr>
        <w:t>drunkenness</w:t>
      </w:r>
      <w:r>
        <w:rPr>
          <w:szCs w:val="21"/>
        </w:rPr>
        <w:t xml:space="preserve"> (10.96.1), </w:t>
      </w:r>
      <w:r>
        <w:rPr>
          <w:i/>
          <w:szCs w:val="21"/>
        </w:rPr>
        <w:t>offerings</w:t>
      </w:r>
      <w:r>
        <w:rPr>
          <w:szCs w:val="21"/>
        </w:rPr>
        <w:t xml:space="preserve"> (1.127.7), </w:t>
      </w:r>
      <w:r>
        <w:rPr>
          <w:i/>
          <w:szCs w:val="21"/>
        </w:rPr>
        <w:t>libation</w:t>
      </w:r>
      <w:r>
        <w:rPr>
          <w:szCs w:val="21"/>
        </w:rPr>
        <w:t xml:space="preserve"> (7.47.1), or, more generically, </w:t>
      </w:r>
      <w:r>
        <w:rPr>
          <w:i/>
          <w:szCs w:val="21"/>
        </w:rPr>
        <w:t>goods</w:t>
      </w:r>
      <w:r>
        <w:rPr>
          <w:szCs w:val="21"/>
        </w:rPr>
        <w:t xml:space="preserve"> (1.15.8; 1.133.7; 7.94.9).</w:t>
      </w:r>
      <w:r>
        <w:rPr>
          <w:szCs w:val="21"/>
        </w:rPr>
        <w:t xml:space="preserve"> </w:t>
      </w:r>
      <w:r>
        <w:rPr>
          <w:szCs w:val="21"/>
        </w:rPr>
        <w:t>A considerably smaller role is played by the cases in</w:t>
      </w:r>
      <w:r>
        <w:rPr>
          <w:szCs w:val="21"/>
        </w:rPr>
        <w:t xml:space="preserve"> which the man wishes “to possess” </w:t>
      </w:r>
      <w:r>
        <w:rPr>
          <w:i/>
          <w:szCs w:val="21"/>
        </w:rPr>
        <w:t>benevolence</w:t>
      </w:r>
      <w:r>
        <w:rPr>
          <w:szCs w:val="21"/>
        </w:rPr>
        <w:t xml:space="preserve"> (5.70.1) or the </w:t>
      </w:r>
      <w:r>
        <w:rPr>
          <w:i/>
          <w:szCs w:val="21"/>
        </w:rPr>
        <w:t>protection of the gods</w:t>
      </w:r>
      <w:r>
        <w:rPr>
          <w:szCs w:val="21"/>
        </w:rPr>
        <w:t xml:space="preserve"> (7.88.7 and 8.92.31) rather than their </w:t>
      </w:r>
      <w:r>
        <w:rPr>
          <w:i/>
          <w:szCs w:val="21"/>
        </w:rPr>
        <w:t>greatness</w:t>
      </w:r>
      <w:r>
        <w:rPr>
          <w:szCs w:val="21"/>
        </w:rPr>
        <w:t xml:space="preserve"> (10.26.2), requests that differ from the previous ones since, although these, too, are goods and in a sense concretely fa</w:t>
      </w:r>
      <w:r>
        <w:rPr>
          <w:szCs w:val="21"/>
        </w:rPr>
        <w:t>r closer to Vedic man than to his modern-day counterpart, they nevertheless imply more abstract and general values:</w:t>
      </w:r>
    </w:p>
    <w:p w14:paraId="55D43D55" w14:textId="77777777" w:rsidR="00E53EB6" w:rsidRDefault="006500F5">
      <w:pPr>
        <w:pStyle w:val="Zitat"/>
      </w:pPr>
      <w:r>
        <w:t xml:space="preserve">5.70.1 </w:t>
      </w:r>
      <w:r>
        <w:rPr>
          <w:i/>
        </w:rPr>
        <w:t>purūrú</w:t>
      </w:r>
      <w:r>
        <w:rPr>
          <w:i/>
        </w:rPr>
        <w:t>ṇ</w:t>
      </w:r>
      <w:r>
        <w:rPr>
          <w:i/>
        </w:rPr>
        <w:t>ā cid dhí ásti</w:t>
      </w:r>
    </w:p>
    <w:p w14:paraId="4A41C9C2" w14:textId="77777777" w:rsidR="00E53EB6" w:rsidRDefault="006500F5">
      <w:pPr>
        <w:pStyle w:val="ZitatnachZitat"/>
        <w:rPr>
          <w:i/>
          <w:iCs/>
        </w:rPr>
      </w:pPr>
      <w:r>
        <w:rPr>
          <w:i/>
          <w:iCs/>
        </w:rPr>
        <w:t>ávo nūná</w:t>
      </w:r>
      <w:r>
        <w:rPr>
          <w:i/>
          <w:iCs/>
        </w:rPr>
        <w:t>ṃ</w:t>
      </w:r>
      <w:r>
        <w:rPr>
          <w:i/>
          <w:iCs/>
        </w:rPr>
        <w:t xml:space="preserve"> vā</w:t>
      </w:r>
      <w:r>
        <w:rPr>
          <w:i/>
          <w:iCs/>
        </w:rPr>
        <w:t>ṃ</w:t>
      </w:r>
      <w:r>
        <w:rPr>
          <w:i/>
          <w:iCs/>
        </w:rPr>
        <w:t xml:space="preserve"> varu</w:t>
      </w:r>
      <w:r>
        <w:rPr>
          <w:i/>
          <w:iCs/>
        </w:rPr>
        <w:t>ṇ</w:t>
      </w:r>
      <w:r>
        <w:rPr>
          <w:i/>
          <w:iCs/>
        </w:rPr>
        <w:t>a</w:t>
      </w:r>
    </w:p>
    <w:p w14:paraId="58E5F62F" w14:textId="77777777" w:rsidR="00E53EB6" w:rsidRDefault="006500F5">
      <w:pPr>
        <w:pStyle w:val="ZitatnachZitat"/>
        <w:rPr>
          <w:i/>
          <w:iCs/>
        </w:rPr>
      </w:pPr>
      <w:r>
        <w:rPr>
          <w:i/>
          <w:iCs/>
        </w:rPr>
        <w:t>mítra vá</w:t>
      </w:r>
      <w:r>
        <w:rPr>
          <w:i/>
          <w:iCs/>
        </w:rPr>
        <w:t>ṃ</w:t>
      </w:r>
      <w:r>
        <w:rPr>
          <w:i/>
          <w:iCs/>
        </w:rPr>
        <w:t>si vā</w:t>
      </w:r>
      <w:r>
        <w:rPr>
          <w:i/>
          <w:iCs/>
        </w:rPr>
        <w:t>ṃ</w:t>
      </w:r>
      <w:r>
        <w:rPr>
          <w:i/>
          <w:iCs/>
        </w:rPr>
        <w:t xml:space="preserve"> sumatím</w:t>
      </w:r>
    </w:p>
    <w:p w14:paraId="092259B2" w14:textId="77777777" w:rsidR="00E53EB6" w:rsidRDefault="006500F5">
      <w:pPr>
        <w:pStyle w:val="Zitat"/>
      </w:pPr>
      <w:r>
        <w:t>Abundant now is your protection which manifests itself thanks to t</w:t>
      </w:r>
      <w:r>
        <w:t>he ample space</w:t>
      </w:r>
      <w:bookmarkStart w:id="21" w:name="sdfootnote24anc"/>
      <w:bookmarkEnd w:id="21"/>
      <w:r>
        <w:rPr>
          <w:rStyle w:val="FootnoteAnchor"/>
        </w:rPr>
        <w:footnoteReference w:id="34"/>
      </w:r>
      <w:r>
        <w:t>, o Varu</w:t>
      </w:r>
      <w:r>
        <w:t>ṇ</w:t>
      </w:r>
      <w:r>
        <w:t xml:space="preserve">a, o Mitra, let me </w:t>
      </w:r>
      <w:r>
        <w:rPr>
          <w:u w:val="single"/>
        </w:rPr>
        <w:t>possess</w:t>
      </w:r>
      <w:r>
        <w:t xml:space="preserve"> your benevolence.</w:t>
      </w:r>
    </w:p>
    <w:p w14:paraId="05D7B55E" w14:textId="77777777" w:rsidR="00E53EB6" w:rsidRDefault="006500F5">
      <w:pPr>
        <w:pStyle w:val="Zitat"/>
      </w:pPr>
      <w:r>
        <w:rPr>
          <w:i/>
        </w:rPr>
        <w:t>vá</w:t>
      </w:r>
      <w:r>
        <w:rPr>
          <w:i/>
        </w:rPr>
        <w:t>ṃ</w:t>
      </w:r>
      <w:r>
        <w:rPr>
          <w:i/>
        </w:rPr>
        <w:t xml:space="preserve">si: </w:t>
      </w:r>
      <w:r>
        <w:t>inj. aor. 1</w:t>
      </w:r>
      <w:r>
        <w:rPr>
          <w:vertAlign w:val="superscript"/>
        </w:rPr>
        <w:t>st</w:t>
      </w:r>
      <w:r>
        <w:t xml:space="preserve"> sing. sigmatic aorist</w:t>
      </w:r>
    </w:p>
    <w:p w14:paraId="3F55975D" w14:textId="77777777" w:rsidR="00E53EB6" w:rsidRPr="00B80C6B" w:rsidRDefault="006500F5">
      <w:pPr>
        <w:pStyle w:val="ZitatmitEinzug"/>
        <w:rPr>
          <w:lang w:val="de-DE"/>
        </w:rPr>
      </w:pPr>
      <w:r w:rsidRPr="00B80C6B">
        <w:rPr>
          <w:rStyle w:val="biblio-authorGEN"/>
          <w:sz w:val="18"/>
          <w:szCs w:val="15"/>
          <w:lang w:val="de-DE"/>
        </w:rPr>
        <w:t>Geldner</w:t>
      </w:r>
      <w:r w:rsidRPr="00B80C6B">
        <w:rPr>
          <w:lang w:val="de-DE"/>
        </w:rPr>
        <w:t>: II 76 “</w:t>
      </w:r>
      <w:r w:rsidRPr="00B80C6B">
        <w:rPr>
          <w:lang w:val="de-DE"/>
        </w:rPr>
        <w:t>möchte gewinnen”</w:t>
      </w:r>
    </w:p>
    <w:p w14:paraId="519C97D0" w14:textId="77777777" w:rsidR="00E53EB6" w:rsidRPr="00B80C6B" w:rsidRDefault="006500F5">
      <w:pPr>
        <w:pStyle w:val="ZitatmitEinzug"/>
        <w:rPr>
          <w:lang w:val="de-DE"/>
        </w:rPr>
      </w:pPr>
      <w:r w:rsidRPr="00B80C6B">
        <w:rPr>
          <w:rStyle w:val="biblio-authorGEN"/>
          <w:sz w:val="18"/>
          <w:szCs w:val="15"/>
          <w:lang w:val="de-DE"/>
        </w:rPr>
        <w:t>Renou</w:t>
      </w:r>
      <w:r w:rsidRPr="00B80C6B">
        <w:rPr>
          <w:lang w:val="de-DE"/>
        </w:rPr>
        <w:t xml:space="preserve">: V 82 </w:t>
      </w:r>
      <w:r w:rsidRPr="00B80C6B">
        <w:rPr>
          <w:lang w:val="de-DE"/>
        </w:rPr>
        <w:t>“je veux gagner”</w:t>
      </w:r>
    </w:p>
    <w:p w14:paraId="7F78D5E8" w14:textId="77777777" w:rsidR="00E53EB6" w:rsidRDefault="006500F5">
      <w:pPr>
        <w:pStyle w:val="HaupttextnachZitat"/>
      </w:pPr>
      <w:r>
        <w:t>There are also requests (</w:t>
      </w:r>
      <w:r>
        <w:rPr>
          <w:i/>
        </w:rPr>
        <w:t>van- / van</w:t>
      </w:r>
      <w:r>
        <w:rPr>
          <w:i/>
          <w:vertAlign w:val="superscript"/>
        </w:rPr>
        <w:t>i</w:t>
      </w:r>
      <w:r>
        <w:rPr>
          <w:i/>
        </w:rPr>
        <w:t>-</w:t>
      </w:r>
      <w:r>
        <w:t xml:space="preserve"> in these cases is always adopted in the optative) to “possess” the </w:t>
      </w:r>
      <w:r>
        <w:rPr>
          <w:i/>
        </w:rPr>
        <w:t>inspirations</w:t>
      </w:r>
      <w:r>
        <w:t xml:space="preserve"> of the enemy (1.70.1), or “</w:t>
      </w:r>
      <w:r>
        <w:rPr>
          <w:i/>
        </w:rPr>
        <w:t>the poetic vision”</w:t>
      </w:r>
      <w:r>
        <w:t xml:space="preserve"> (2.11.2): the latter type of attestation, although far rarer, nevertheless plays an important part in our analysis of the meaning</w:t>
      </w:r>
      <w:r>
        <w:t xml:space="preserve"> of </w:t>
      </w:r>
      <w:r>
        <w:rPr>
          <w:i/>
        </w:rPr>
        <w:t>van- / van</w:t>
      </w:r>
      <w:r>
        <w:rPr>
          <w:i/>
          <w:vertAlign w:val="superscript"/>
        </w:rPr>
        <w:t>i</w:t>
      </w:r>
      <w:r>
        <w:rPr>
          <w:i/>
        </w:rPr>
        <w:t>-</w:t>
      </w:r>
      <w:r>
        <w:t>:</w:t>
      </w:r>
    </w:p>
    <w:p w14:paraId="59B33332" w14:textId="77777777" w:rsidR="00E53EB6" w:rsidRDefault="006500F5">
      <w:pPr>
        <w:pStyle w:val="Zitat"/>
      </w:pPr>
      <w:r>
        <w:t xml:space="preserve">1.70.1-2 </w:t>
      </w:r>
      <w:r>
        <w:rPr>
          <w:i/>
        </w:rPr>
        <w:t>vanéma pūrvī́r aryó manī</w:t>
      </w:r>
      <w:r>
        <w:rPr>
          <w:i/>
        </w:rPr>
        <w:t>ṣ</w:t>
      </w:r>
      <w:r>
        <w:rPr>
          <w:i/>
        </w:rPr>
        <w:t>ā́</w:t>
      </w:r>
    </w:p>
    <w:p w14:paraId="4ABFE034" w14:textId="77777777" w:rsidR="00E53EB6" w:rsidRDefault="006500F5">
      <w:pPr>
        <w:pStyle w:val="ZitatnachZitat"/>
        <w:rPr>
          <w:i/>
          <w:iCs/>
        </w:rPr>
      </w:pPr>
      <w:r>
        <w:rPr>
          <w:i/>
          <w:iCs/>
        </w:rPr>
        <w:t>agní</w:t>
      </w:r>
      <w:r>
        <w:rPr>
          <w:i/>
          <w:iCs/>
        </w:rPr>
        <w:t>ḥ</w:t>
      </w:r>
      <w:r>
        <w:rPr>
          <w:i/>
          <w:iCs/>
        </w:rPr>
        <w:t xml:space="preserve"> suśóko víśvāni aśyā</w:t>
      </w:r>
      <w:r>
        <w:rPr>
          <w:i/>
          <w:iCs/>
        </w:rPr>
        <w:t>ḥ</w:t>
      </w:r>
    </w:p>
    <w:p w14:paraId="3E08F8F7" w14:textId="77777777" w:rsidR="00E53EB6" w:rsidRDefault="006500F5">
      <w:pPr>
        <w:pStyle w:val="ZitatnachZitat"/>
        <w:rPr>
          <w:i/>
          <w:iCs/>
        </w:rPr>
      </w:pPr>
      <w:r>
        <w:rPr>
          <w:i/>
          <w:iCs/>
        </w:rPr>
        <w:t>ā́ daív</w:t>
      </w:r>
      <w:r>
        <w:rPr>
          <w:i/>
          <w:iCs/>
          <w:vertAlign w:val="subscript"/>
        </w:rPr>
        <w:t>i</w:t>
      </w:r>
      <w:r>
        <w:rPr>
          <w:i/>
          <w:iCs/>
        </w:rPr>
        <w:t>yāni vratā́ cikitvā́n</w:t>
      </w:r>
    </w:p>
    <w:p w14:paraId="7943FFE8" w14:textId="77777777" w:rsidR="00E53EB6" w:rsidRDefault="006500F5">
      <w:pPr>
        <w:pStyle w:val="ZitatnachZitat"/>
        <w:rPr>
          <w:i/>
          <w:iCs/>
        </w:rPr>
      </w:pPr>
      <w:r>
        <w:rPr>
          <w:i/>
          <w:iCs/>
        </w:rPr>
        <w:t>ā́ mā́nu</w:t>
      </w:r>
      <w:r>
        <w:rPr>
          <w:i/>
          <w:iCs/>
        </w:rPr>
        <w:t>ṣ</w:t>
      </w:r>
      <w:r>
        <w:rPr>
          <w:i/>
          <w:iCs/>
        </w:rPr>
        <w:t>asya jánasya jánma</w:t>
      </w:r>
    </w:p>
    <w:p w14:paraId="40BD61DD" w14:textId="77777777" w:rsidR="00E53EB6" w:rsidRDefault="006500F5">
      <w:pPr>
        <w:pStyle w:val="Zitat"/>
      </w:pPr>
      <w:r>
        <w:t xml:space="preserve">Let us </w:t>
      </w:r>
      <w:r>
        <w:rPr>
          <w:u w:val="single"/>
        </w:rPr>
        <w:t>possess</w:t>
      </w:r>
      <w:r>
        <w:t xml:space="preserve"> the many poetic inspirations</w:t>
      </w:r>
      <w:bookmarkStart w:id="22" w:name="sdfootnote25anc"/>
      <w:bookmarkEnd w:id="22"/>
      <w:r>
        <w:rPr>
          <w:rStyle w:val="FootnoteAnchor"/>
        </w:rPr>
        <w:footnoteReference w:id="35"/>
      </w:r>
      <w:r>
        <w:t xml:space="preserve"> of the stranger</w:t>
      </w:r>
      <w:bookmarkStart w:id="23" w:name="sdfootnote26anc"/>
      <w:bookmarkEnd w:id="23"/>
      <w:r>
        <w:rPr>
          <w:rStyle w:val="FootnoteAnchor"/>
        </w:rPr>
        <w:footnoteReference w:id="36"/>
      </w:r>
      <w:r>
        <w:t>, Agni, who burns well, let him obtain everything, he</w:t>
      </w:r>
      <w:r>
        <w:t xml:space="preserve"> who has knowledge</w:t>
      </w:r>
      <w:bookmarkStart w:id="24" w:name="sdfootnote27anc"/>
      <w:bookmarkEnd w:id="24"/>
      <w:r>
        <w:rPr>
          <w:rStyle w:val="FootnoteAnchor"/>
        </w:rPr>
        <w:footnoteReference w:id="37"/>
      </w:r>
      <w:r>
        <w:t xml:space="preserve"> of the divine orders and the descent of the human race.</w:t>
      </w:r>
    </w:p>
    <w:p w14:paraId="3C603B6B" w14:textId="77777777" w:rsidR="00E53EB6" w:rsidRPr="00B80C6B" w:rsidRDefault="006500F5">
      <w:pPr>
        <w:pStyle w:val="Zitat"/>
        <w:rPr>
          <w:lang w:val="de-DE"/>
        </w:rPr>
      </w:pPr>
      <w:r>
        <w:rPr>
          <w:i/>
        </w:rPr>
        <w:t xml:space="preserve">vanéma: </w:t>
      </w:r>
      <w:r>
        <w:t>opt. pres. 1</w:t>
      </w:r>
      <w:r>
        <w:rPr>
          <w:vertAlign w:val="superscript"/>
        </w:rPr>
        <w:t>st</w:t>
      </w:r>
      <w:r>
        <w:t xml:space="preserve"> pl. </w:t>
      </w:r>
      <w:r w:rsidRPr="00B80C6B">
        <w:rPr>
          <w:lang w:val="de-DE"/>
        </w:rPr>
        <w:t>I-VI cl.</w:t>
      </w:r>
    </w:p>
    <w:p w14:paraId="52D4536F" w14:textId="77777777" w:rsidR="00E53EB6" w:rsidRPr="00B80C6B" w:rsidRDefault="006500F5">
      <w:pPr>
        <w:pStyle w:val="ZitatnachZitat"/>
        <w:rPr>
          <w:lang w:val="de-DE"/>
        </w:rPr>
      </w:pPr>
      <w:r w:rsidRPr="00B80C6B">
        <w:rPr>
          <w:rStyle w:val="biblio-authorGEN"/>
          <w:sz w:val="18"/>
          <w:szCs w:val="15"/>
          <w:lang w:val="de-DE"/>
        </w:rPr>
        <w:t>Geldner</w:t>
      </w:r>
      <w:r w:rsidRPr="00B80C6B">
        <w:rPr>
          <w:lang w:val="de-DE"/>
        </w:rPr>
        <w:t xml:space="preserve">: I 91 </w:t>
      </w:r>
      <w:r w:rsidRPr="00B80C6B">
        <w:rPr>
          <w:lang w:val="de-DE"/>
        </w:rPr>
        <w:t>“wollen überbieten”</w:t>
      </w:r>
    </w:p>
    <w:p w14:paraId="3691A1D1" w14:textId="77777777" w:rsidR="00E53EB6" w:rsidRPr="00B80C6B" w:rsidRDefault="006500F5">
      <w:pPr>
        <w:pStyle w:val="ZitatnachZitat"/>
        <w:rPr>
          <w:lang w:val="de-DE"/>
        </w:rPr>
      </w:pPr>
      <w:r w:rsidRPr="00B80C6B">
        <w:rPr>
          <w:rStyle w:val="biblio-authorGEN"/>
          <w:sz w:val="18"/>
          <w:szCs w:val="15"/>
          <w:lang w:val="de-DE"/>
        </w:rPr>
        <w:t>Renou</w:t>
      </w:r>
      <w:r w:rsidRPr="00B80C6B">
        <w:rPr>
          <w:lang w:val="de-DE"/>
        </w:rPr>
        <w:t xml:space="preserve">: XII 16 </w:t>
      </w:r>
      <w:r w:rsidRPr="00B80C6B">
        <w:rPr>
          <w:lang w:val="de-DE"/>
        </w:rPr>
        <w:t xml:space="preserve">“(souhaitons) emporter” </w:t>
      </w:r>
    </w:p>
    <w:p w14:paraId="0BF99643" w14:textId="77777777" w:rsidR="00E53EB6" w:rsidRPr="00B80C6B" w:rsidRDefault="006500F5">
      <w:pPr>
        <w:pStyle w:val="ZitatnachZitat"/>
        <w:rPr>
          <w:lang w:val="de-DE"/>
        </w:rPr>
      </w:pPr>
      <w:r w:rsidRPr="00B80C6B">
        <w:rPr>
          <w:rStyle w:val="biblio-authorGEN"/>
          <w:sz w:val="18"/>
          <w:szCs w:val="15"/>
          <w:lang w:val="de-DE"/>
        </w:rPr>
        <w:t xml:space="preserve">Witzel-Gotō </w:t>
      </w:r>
      <w:r w:rsidRPr="00B80C6B">
        <w:rPr>
          <w:lang w:val="de-DE"/>
        </w:rPr>
        <w:t>2007: 128 “möchten überbieten”</w:t>
      </w:r>
    </w:p>
    <w:p w14:paraId="010638D3" w14:textId="77777777" w:rsidR="00E53EB6" w:rsidRDefault="006500F5">
      <w:pPr>
        <w:pStyle w:val="HaupttextnachZitat"/>
      </w:pPr>
      <w:r>
        <w:lastRenderedPageBreak/>
        <w:t xml:space="preserve">So far, then, we have presented our first group of verses showing a characteristic in common: </w:t>
      </w:r>
      <w:r>
        <w:rPr>
          <w:i/>
        </w:rPr>
        <w:t>van- / van</w:t>
      </w:r>
      <w:r>
        <w:rPr>
          <w:i/>
          <w:vertAlign w:val="superscript"/>
        </w:rPr>
        <w:t>i</w:t>
      </w:r>
      <w:r>
        <w:rPr>
          <w:i/>
        </w:rPr>
        <w:t>-</w:t>
      </w:r>
      <w:r>
        <w:t xml:space="preserve">, albeit in different contexts, means ‘to possess’, whether </w:t>
      </w:r>
      <w:r>
        <w:rPr>
          <w:i/>
          <w:iCs/>
        </w:rPr>
        <w:t>soma</w:t>
      </w:r>
      <w:r>
        <w:t xml:space="preserve"> or beauty, in the case of a divinity, or riches, abundant oxen, but also, as in the l</w:t>
      </w:r>
      <w:r>
        <w:t>ast of the passages, the protection of the god or the poetic inspirations of the enemy when the subject of the action is man. There are two points to make about this group of stanzas: the frequency, already noted, of this sense of the verb and the quantita</w:t>
      </w:r>
      <w:r>
        <w:t xml:space="preserve">tive disparity between the cases in which the subject of the action is man and those where the subject is the god. While here the former case is far more frequent, as we will see, the situation is completely reversed for the fourth group of stanzas. These </w:t>
      </w:r>
      <w:r>
        <w:t xml:space="preserve">disparities call to mind the possibility of an equally interesting functional analysis of what </w:t>
      </w:r>
      <w:r>
        <w:rPr>
          <w:rStyle w:val="biblio-authorGEN"/>
        </w:rPr>
        <w:t>Elizarenkova</w:t>
      </w:r>
      <w:r>
        <w:t xml:space="preserve"> (1995</w:t>
      </w:r>
      <w:r>
        <w:rPr>
          <w:vertAlign w:val="superscript"/>
        </w:rPr>
        <w:t>a</w:t>
      </w:r>
      <w:r>
        <w:t xml:space="preserve">: 41 ff.) calls </w:t>
      </w:r>
      <w:r>
        <w:rPr>
          <w:i/>
        </w:rPr>
        <w:t>conversive meaning</w:t>
      </w:r>
      <w:r>
        <w:t xml:space="preserve"> – semantic reflection of the Vedic model of the universe: “The idea of an exchange between the deity and th</w:t>
      </w:r>
      <w:r>
        <w:t>e worshipper is lexically expressed by a “conversive” meaning […]” (</w:t>
      </w:r>
      <w:r>
        <w:rPr>
          <w:i/>
        </w:rPr>
        <w:t>ibid.</w:t>
      </w:r>
      <w:r>
        <w:t xml:space="preserve"> 41). </w:t>
      </w:r>
    </w:p>
    <w:p w14:paraId="66BE97C5" w14:textId="77777777" w:rsidR="00E53EB6" w:rsidRDefault="00E53EB6">
      <w:pPr>
        <w:pStyle w:val="Hauptext"/>
      </w:pPr>
    </w:p>
    <w:p w14:paraId="38D14559" w14:textId="77777777" w:rsidR="00E53EB6" w:rsidRDefault="006500F5">
      <w:pPr>
        <w:pStyle w:val="Heading3"/>
        <w:tabs>
          <w:tab w:val="left" w:pos="0"/>
        </w:tabs>
      </w:pPr>
      <w:r>
        <w:rPr>
          <w:i/>
          <w:iCs/>
        </w:rPr>
        <w:t>b- Variant meaning “to conquer”</w:t>
      </w:r>
      <w:r>
        <w:t xml:space="preserve"> </w:t>
      </w:r>
    </w:p>
    <w:p w14:paraId="4F5E3209" w14:textId="77777777" w:rsidR="00E53EB6" w:rsidRDefault="006500F5">
      <w:pPr>
        <w:pStyle w:val="Hauptext"/>
        <w:rPr>
          <w:szCs w:val="21"/>
        </w:rPr>
      </w:pPr>
      <w:r>
        <w:rPr>
          <w:szCs w:val="21"/>
        </w:rPr>
        <w:t>The following group consists of stanzas in which a second sense can be discerned which is very common and in a way related to the sense identi</w:t>
      </w:r>
      <w:r>
        <w:rPr>
          <w:szCs w:val="21"/>
        </w:rPr>
        <w:t>fied in the first group. So far</w:t>
      </w:r>
      <w:r>
        <w:rPr>
          <w:szCs w:val="21"/>
        </w:rPr>
        <w:t xml:space="preserve"> </w:t>
      </w:r>
      <w:r>
        <w:rPr>
          <w:i/>
          <w:szCs w:val="21"/>
        </w:rPr>
        <w:t>van- / van</w:t>
      </w:r>
      <w:r>
        <w:rPr>
          <w:i/>
          <w:szCs w:val="21"/>
          <w:vertAlign w:val="superscript"/>
        </w:rPr>
        <w:t>i</w:t>
      </w:r>
      <w:r>
        <w:rPr>
          <w:i/>
          <w:szCs w:val="21"/>
        </w:rPr>
        <w:t>-</w:t>
      </w:r>
      <w:r>
        <w:rPr>
          <w:szCs w:val="21"/>
        </w:rPr>
        <w:t xml:space="preserve"> has been used to indicate the action, performed by the god or by man, to take possession of some asset. In the following passages, on the other hand, the poet applies this verb to indicate an action which the go</w:t>
      </w:r>
      <w:r>
        <w:rPr>
          <w:szCs w:val="21"/>
        </w:rPr>
        <w:t xml:space="preserve">d or man perform against the enemy, “the other”. The meaning conveyed here seems to be “to win” </w:t>
      </w:r>
      <w:r>
        <w:rPr>
          <w:szCs w:val="21"/>
        </w:rPr>
        <w:t xml:space="preserve">“to conquer” </w:t>
      </w:r>
      <w:r>
        <w:rPr>
          <w:szCs w:val="21"/>
        </w:rPr>
        <w:t>, borne out by the fact that in this type of context the preponderant presence of Indra is perfectly evident. The warrior god is invoked in nine of</w:t>
      </w:r>
      <w:r>
        <w:rPr>
          <w:szCs w:val="21"/>
        </w:rPr>
        <w:t xml:space="preserve"> the eleven passages having to do with the gods: both directly (1.121.9; 5.29.9; 6.18.3; 6.20.9; 10.74.6) and through his horses (10.32.2) or the state of drunkenness which is characteristic of him, and thanks to which he performs heroic feats (6.33.1):</w:t>
      </w:r>
    </w:p>
    <w:p w14:paraId="6BB260C7" w14:textId="77777777" w:rsidR="00E53EB6" w:rsidRDefault="006500F5">
      <w:pPr>
        <w:pStyle w:val="Zitat"/>
      </w:pPr>
      <w:r>
        <w:t>1.</w:t>
      </w:r>
      <w:r>
        <w:t xml:space="preserve">121.9 </w:t>
      </w:r>
      <w:r>
        <w:rPr>
          <w:i/>
        </w:rPr>
        <w:t>t</w:t>
      </w:r>
      <w:r>
        <w:rPr>
          <w:i/>
          <w:vertAlign w:val="subscript"/>
        </w:rPr>
        <w:t>u</w:t>
      </w:r>
      <w:r>
        <w:rPr>
          <w:i/>
        </w:rPr>
        <w:t>vám āyasám práti vartayo gór</w:t>
      </w:r>
    </w:p>
    <w:p w14:paraId="3537A682" w14:textId="77777777" w:rsidR="00E53EB6" w:rsidRDefault="006500F5">
      <w:pPr>
        <w:pStyle w:val="ZitatnachZitat"/>
        <w:rPr>
          <w:i/>
          <w:iCs/>
        </w:rPr>
      </w:pPr>
      <w:r>
        <w:rPr>
          <w:i/>
          <w:iCs/>
        </w:rPr>
        <w:t>divó áśmānam úpanītam ŕ̥bhvā</w:t>
      </w:r>
    </w:p>
    <w:p w14:paraId="32FB9894" w14:textId="77777777" w:rsidR="00E53EB6" w:rsidRDefault="006500F5">
      <w:pPr>
        <w:pStyle w:val="ZitatnachZitat"/>
        <w:rPr>
          <w:i/>
          <w:iCs/>
        </w:rPr>
      </w:pPr>
      <w:r>
        <w:rPr>
          <w:i/>
          <w:iCs/>
        </w:rPr>
        <w:t>kútsāya yátra puruhūta vanváñ</w:t>
      </w:r>
    </w:p>
    <w:p w14:paraId="791926F3" w14:textId="77777777" w:rsidR="00E53EB6" w:rsidRDefault="006500F5">
      <w:pPr>
        <w:pStyle w:val="ZitatnachZitat"/>
        <w:rPr>
          <w:i/>
          <w:iCs/>
        </w:rPr>
      </w:pPr>
      <w:r>
        <w:rPr>
          <w:i/>
          <w:iCs/>
        </w:rPr>
        <w:t>chú</w:t>
      </w:r>
      <w:r>
        <w:rPr>
          <w:i/>
          <w:iCs/>
        </w:rPr>
        <w:t>ṣṇ</w:t>
      </w:r>
      <w:r>
        <w:rPr>
          <w:i/>
          <w:iCs/>
        </w:rPr>
        <w:t>am anantaí</w:t>
      </w:r>
      <w:r>
        <w:rPr>
          <w:i/>
          <w:iCs/>
        </w:rPr>
        <w:t>ḥ</w:t>
      </w:r>
      <w:r>
        <w:rPr>
          <w:i/>
          <w:iCs/>
        </w:rPr>
        <w:t xml:space="preserve"> pariyā́si vadhaí</w:t>
      </w:r>
      <w:r>
        <w:rPr>
          <w:i/>
          <w:iCs/>
        </w:rPr>
        <w:t>ḥ</w:t>
      </w:r>
    </w:p>
    <w:p w14:paraId="54F83987" w14:textId="77777777" w:rsidR="00E53EB6" w:rsidRDefault="006500F5">
      <w:pPr>
        <w:pStyle w:val="Zitat"/>
      </w:pPr>
      <w:r>
        <w:t>You have rolled the iron-bearing stone away from the celest</w:t>
      </w:r>
      <w:bookmarkStart w:id="25" w:name="sdfootnote28anc"/>
      <w:bookmarkEnd w:id="25"/>
      <w:r>
        <w:t>ial cow</w:t>
      </w:r>
      <w:r>
        <w:rPr>
          <w:rStyle w:val="FootnoteAnchor"/>
        </w:rPr>
        <w:footnoteReference w:id="38"/>
      </w:r>
      <w:r>
        <w:t>, the stone put down by the able one;</w:t>
      </w:r>
    </w:p>
    <w:p w14:paraId="51C3D69E" w14:textId="77777777" w:rsidR="00E53EB6" w:rsidRDefault="006500F5">
      <w:pPr>
        <w:pStyle w:val="ZitatnachZitat"/>
      </w:pPr>
      <w:r>
        <w:t xml:space="preserve">When for the </w:t>
      </w:r>
      <w:r>
        <w:t>sake of Kutsa</w:t>
      </w:r>
      <w:bookmarkStart w:id="26" w:name="sdfootnote29anc"/>
      <w:bookmarkEnd w:id="26"/>
      <w:r>
        <w:rPr>
          <w:rStyle w:val="FootnoteAnchor"/>
        </w:rPr>
        <w:footnoteReference w:id="39"/>
      </w:r>
      <w:r>
        <w:t xml:space="preserve"> you, much invoked, Śu</w:t>
      </w:r>
      <w:r>
        <w:t>ṣ</w:t>
      </w:r>
      <w:r>
        <w:t xml:space="preserve">na with countless bows surrounded </w:t>
      </w:r>
      <w:r>
        <w:rPr>
          <w:u w:val="single"/>
        </w:rPr>
        <w:t xml:space="preserve">conquering </w:t>
      </w:r>
      <w:r>
        <w:t>him.</w:t>
      </w:r>
    </w:p>
    <w:p w14:paraId="610D5EC9" w14:textId="77777777" w:rsidR="00E53EB6" w:rsidRPr="00B80C6B" w:rsidRDefault="006500F5">
      <w:pPr>
        <w:pStyle w:val="Zitat"/>
        <w:rPr>
          <w:i/>
          <w:lang w:val="de-DE"/>
        </w:rPr>
      </w:pPr>
      <w:r>
        <w:rPr>
          <w:i/>
        </w:rPr>
        <w:t xml:space="preserve">vanván: </w:t>
      </w:r>
      <w:r>
        <w:t xml:space="preserve">part. pres. nom. m. sing. </w:t>
      </w:r>
      <w:r w:rsidRPr="00B80C6B">
        <w:rPr>
          <w:lang w:val="de-DE"/>
        </w:rPr>
        <w:t>VIII cl.</w:t>
      </w:r>
    </w:p>
    <w:p w14:paraId="58FA3ABB" w14:textId="77777777" w:rsidR="00E53EB6" w:rsidRPr="00B80C6B" w:rsidRDefault="006500F5">
      <w:pPr>
        <w:pStyle w:val="ZitatmitEinzug"/>
        <w:rPr>
          <w:lang w:val="de-DE"/>
        </w:rPr>
      </w:pPr>
      <w:r w:rsidRPr="00B80C6B">
        <w:rPr>
          <w:rStyle w:val="biblio-authorGEN"/>
          <w:sz w:val="18"/>
          <w:szCs w:val="15"/>
          <w:lang w:val="de-DE"/>
        </w:rPr>
        <w:t>Geldner:</w:t>
      </w:r>
      <w:r w:rsidRPr="00B80C6B">
        <w:rPr>
          <w:lang w:val="de-DE"/>
        </w:rPr>
        <w:t xml:space="preserve"> I 166 </w:t>
      </w:r>
      <w:r w:rsidRPr="00B80C6B">
        <w:rPr>
          <w:lang w:val="de-DE"/>
        </w:rPr>
        <w:t>“Partei nehmend”</w:t>
      </w:r>
    </w:p>
    <w:p w14:paraId="12ABFF7D" w14:textId="77777777" w:rsidR="00E53EB6" w:rsidRPr="00B80C6B" w:rsidRDefault="006500F5">
      <w:pPr>
        <w:pStyle w:val="ZitatmitEinzug"/>
        <w:rPr>
          <w:lang w:val="it-IT"/>
        </w:rPr>
      </w:pPr>
      <w:r w:rsidRPr="00B80C6B">
        <w:rPr>
          <w:rStyle w:val="biblio-authorGEN"/>
          <w:sz w:val="18"/>
          <w:szCs w:val="15"/>
          <w:lang w:val="it-IT"/>
        </w:rPr>
        <w:t>Renou</w:t>
      </w:r>
      <w:r w:rsidRPr="00B80C6B">
        <w:rPr>
          <w:lang w:val="it-IT"/>
        </w:rPr>
        <w:t xml:space="preserve">: XVII 41 </w:t>
      </w:r>
      <w:r w:rsidRPr="00B80C6B">
        <w:rPr>
          <w:lang w:val="it-IT"/>
        </w:rPr>
        <w:t>“gagnant (la battaille pour K.)”</w:t>
      </w:r>
    </w:p>
    <w:p w14:paraId="6B7512EF" w14:textId="77777777" w:rsidR="00E53EB6" w:rsidRDefault="006500F5">
      <w:pPr>
        <w:pStyle w:val="ZitatmitEinzug"/>
      </w:pPr>
      <w:r>
        <w:rPr>
          <w:rStyle w:val="biblio-authorGEN"/>
          <w:sz w:val="18"/>
          <w:szCs w:val="15"/>
        </w:rPr>
        <w:t xml:space="preserve">Witzel-Gotō </w:t>
      </w:r>
      <w:r>
        <w:t xml:space="preserve">2007: 222 </w:t>
      </w:r>
      <w:r>
        <w:t>“überwältigend”</w:t>
      </w:r>
    </w:p>
    <w:p w14:paraId="05644154" w14:textId="77777777" w:rsidR="00E53EB6" w:rsidRDefault="006500F5">
      <w:pPr>
        <w:pStyle w:val="HaupttextnachZitat"/>
      </w:pPr>
      <w:r>
        <w:t>In stanzas 2.30.6 and 7.83.4, on the other hand, the god is invoked together with other divinities. In particular, in 7.83.4 the protection and attention of Indra and Varu</w:t>
      </w:r>
      <w:r>
        <w:t>ṇ</w:t>
      </w:r>
      <w:r>
        <w:t>a are called for, while in 2.30.6 Soma is also involved, showing two</w:t>
      </w:r>
      <w:r>
        <w:t xml:space="preserve"> aspects so diametrically opposed as that of ‘protector’ </w:t>
      </w:r>
      <w:r>
        <w:lastRenderedPageBreak/>
        <w:t>on the one hand, and ‘annihilator’ on the other:</w:t>
      </w:r>
    </w:p>
    <w:p w14:paraId="722AF992" w14:textId="77777777" w:rsidR="00E53EB6" w:rsidRDefault="006500F5">
      <w:pPr>
        <w:pStyle w:val="Zitat"/>
      </w:pPr>
      <w:r>
        <w:t xml:space="preserve">2.30.6 </w:t>
      </w:r>
      <w:r>
        <w:rPr>
          <w:i/>
        </w:rPr>
        <w:t>prá hí krátu</w:t>
      </w:r>
      <w:r>
        <w:rPr>
          <w:i/>
        </w:rPr>
        <w:t>ṃ</w:t>
      </w:r>
      <w:r>
        <w:rPr>
          <w:i/>
        </w:rPr>
        <w:t xml:space="preserve"> vr̥hátho yá</w:t>
      </w:r>
      <w:r>
        <w:rPr>
          <w:i/>
        </w:rPr>
        <w:t>ṃ</w:t>
      </w:r>
      <w:r>
        <w:rPr>
          <w:i/>
        </w:rPr>
        <w:t xml:space="preserve"> vanuthó</w:t>
      </w:r>
    </w:p>
    <w:p w14:paraId="75B54FDF" w14:textId="77777777" w:rsidR="00E53EB6" w:rsidRDefault="006500F5">
      <w:pPr>
        <w:pStyle w:val="ZitatnachZitat"/>
        <w:rPr>
          <w:i/>
          <w:iCs/>
        </w:rPr>
      </w:pPr>
      <w:r>
        <w:rPr>
          <w:i/>
          <w:iCs/>
        </w:rPr>
        <w:t>radhrásya stho yájamānasya codaú</w:t>
      </w:r>
    </w:p>
    <w:p w14:paraId="47C60556" w14:textId="77777777" w:rsidR="00E53EB6" w:rsidRDefault="006500F5">
      <w:pPr>
        <w:pStyle w:val="ZitatnachZitat"/>
        <w:rPr>
          <w:i/>
          <w:iCs/>
        </w:rPr>
      </w:pPr>
      <w:r>
        <w:rPr>
          <w:i/>
          <w:iCs/>
        </w:rPr>
        <w:t>índrāsomā yuvám asmā́m̐ avi</w:t>
      </w:r>
      <w:r>
        <w:rPr>
          <w:i/>
          <w:iCs/>
        </w:rPr>
        <w:t>ṣṭ</w:t>
      </w:r>
      <w:r>
        <w:rPr>
          <w:i/>
          <w:iCs/>
        </w:rPr>
        <w:t>am</w:t>
      </w:r>
    </w:p>
    <w:p w14:paraId="12C7A0AB" w14:textId="77777777" w:rsidR="00E53EB6" w:rsidRDefault="006500F5">
      <w:pPr>
        <w:pStyle w:val="ZitatnachZitat"/>
        <w:rPr>
          <w:i/>
          <w:iCs/>
        </w:rPr>
      </w:pPr>
      <w:r>
        <w:rPr>
          <w:i/>
          <w:iCs/>
        </w:rPr>
        <w:t>asmín bhayásthe kr̥</w:t>
      </w:r>
      <w:r>
        <w:rPr>
          <w:i/>
          <w:iCs/>
        </w:rPr>
        <w:t>ṇ</w:t>
      </w:r>
      <w:r>
        <w:rPr>
          <w:i/>
          <w:iCs/>
        </w:rPr>
        <w:t>utam u lokám</w:t>
      </w:r>
    </w:p>
    <w:p w14:paraId="0F6B6D3B" w14:textId="77777777" w:rsidR="00E53EB6" w:rsidRDefault="006500F5">
      <w:pPr>
        <w:pStyle w:val="Zitat"/>
      </w:pPr>
      <w:r>
        <w:t>“</w:t>
      </w:r>
      <w:r>
        <w:t>You two s</w:t>
      </w:r>
      <w:r>
        <w:t>urely draw out the ability of the one</w:t>
      </w:r>
      <w:bookmarkStart w:id="27" w:name="sdfootnote30anc"/>
      <w:bookmarkEnd w:id="27"/>
      <w:r>
        <w:rPr>
          <w:rStyle w:val="FootnoteAnchor"/>
        </w:rPr>
        <w:footnoteReference w:id="40"/>
      </w:r>
      <w:r>
        <w:t xml:space="preserve"> whom</w:t>
      </w:r>
      <w:r>
        <w:t xml:space="preserve"> you </w:t>
      </w:r>
      <w:r>
        <w:rPr>
          <w:u w:val="single"/>
        </w:rPr>
        <w:t>conquer</w:t>
      </w:r>
      <w:r>
        <w:t>; of the promoter of the sacrifice, obedient, you are guides; o Indra and Soma, you two, protect us, procure for us in this dangerous situation a safe place</w:t>
      </w:r>
      <w:bookmarkStart w:id="28" w:name="sdfootnote31anc"/>
      <w:bookmarkEnd w:id="28"/>
      <w:r>
        <w:rPr>
          <w:rStyle w:val="FootnoteAnchor"/>
        </w:rPr>
        <w:footnoteReference w:id="41"/>
      </w:r>
      <w:r>
        <w:t>.</w:t>
      </w:r>
      <w:r>
        <w:t>”</w:t>
      </w:r>
    </w:p>
    <w:p w14:paraId="274A3140" w14:textId="77777777" w:rsidR="00E53EB6" w:rsidRPr="00B80C6B" w:rsidRDefault="006500F5">
      <w:pPr>
        <w:pStyle w:val="Zitat"/>
        <w:rPr>
          <w:i/>
          <w:lang w:val="de-DE"/>
        </w:rPr>
      </w:pPr>
      <w:r w:rsidRPr="00B80C6B">
        <w:rPr>
          <w:i/>
          <w:lang w:val="de-DE"/>
        </w:rPr>
        <w:t>vanuthá</w:t>
      </w:r>
      <w:r w:rsidRPr="00B80C6B">
        <w:rPr>
          <w:i/>
          <w:lang w:val="de-DE"/>
        </w:rPr>
        <w:t>ḥ</w:t>
      </w:r>
      <w:r w:rsidRPr="00B80C6B">
        <w:rPr>
          <w:i/>
          <w:lang w:val="de-DE"/>
        </w:rPr>
        <w:t xml:space="preserve">: </w:t>
      </w:r>
      <w:r w:rsidRPr="00B80C6B">
        <w:rPr>
          <w:lang w:val="de-DE"/>
        </w:rPr>
        <w:t>ind. pres. 2</w:t>
      </w:r>
      <w:r w:rsidRPr="00B80C6B">
        <w:rPr>
          <w:vertAlign w:val="superscript"/>
          <w:lang w:val="de-DE"/>
        </w:rPr>
        <w:t>nd</w:t>
      </w:r>
      <w:r w:rsidRPr="00B80C6B">
        <w:rPr>
          <w:lang w:val="de-DE"/>
        </w:rPr>
        <w:t xml:space="preserve"> du. VIII cl.</w:t>
      </w:r>
    </w:p>
    <w:p w14:paraId="64501C4B" w14:textId="77777777" w:rsidR="00E53EB6" w:rsidRDefault="006500F5">
      <w:pPr>
        <w:pStyle w:val="ZitatmitEinzug"/>
      </w:pPr>
      <w:r w:rsidRPr="00B80C6B">
        <w:rPr>
          <w:rStyle w:val="biblio-authorGEN"/>
          <w:sz w:val="18"/>
          <w:szCs w:val="15"/>
          <w:lang w:val="de-DE"/>
        </w:rPr>
        <w:t>Geldner:</w:t>
      </w:r>
      <w:r w:rsidRPr="00B80C6B">
        <w:rPr>
          <w:lang w:val="de-DE"/>
        </w:rPr>
        <w:t xml:space="preserve"> I 314 </w:t>
      </w:r>
      <w:r w:rsidRPr="00B80C6B">
        <w:rPr>
          <w:lang w:val="de-DE"/>
        </w:rPr>
        <w:t xml:space="preserve">“abgesehen habt auf”. </w:t>
      </w:r>
      <w:r>
        <w:t>The scholar</w:t>
      </w:r>
      <w:r>
        <w:t xml:space="preserve"> refers to the </w:t>
      </w:r>
      <w:r>
        <w:rPr>
          <w:i/>
        </w:rPr>
        <w:t>topos</w:t>
      </w:r>
      <w:r>
        <w:t xml:space="preserve"> which has it that the gods deprive of reason those they mean to bring low, but (n. 6a) “</w:t>
      </w:r>
      <w:r>
        <w:rPr>
          <w:i/>
        </w:rPr>
        <w:t>van-</w:t>
      </w:r>
      <w:r>
        <w:t xml:space="preserve"> ist allerdings eine vox media”.</w:t>
      </w:r>
    </w:p>
    <w:p w14:paraId="705A645A" w14:textId="77777777" w:rsidR="00E53EB6" w:rsidRDefault="006500F5">
      <w:pPr>
        <w:pStyle w:val="ZitatmitEinzug"/>
      </w:pPr>
      <w:r>
        <w:rPr>
          <w:rStyle w:val="biblio-authorGEN"/>
          <w:sz w:val="18"/>
          <w:szCs w:val="15"/>
        </w:rPr>
        <w:t xml:space="preserve">Witzel-Gotō </w:t>
      </w:r>
      <w:r>
        <w:t>2007: 401 “überwältigt”</w:t>
      </w:r>
    </w:p>
    <w:p w14:paraId="56C8BB3E" w14:textId="77777777" w:rsidR="00E53EB6" w:rsidRDefault="006500F5">
      <w:pPr>
        <w:pStyle w:val="HaupttextnachZitat"/>
        <w:rPr>
          <w:szCs w:val="21"/>
        </w:rPr>
      </w:pPr>
      <w:r>
        <w:rPr>
          <w:szCs w:val="21"/>
        </w:rPr>
        <w:t>There are only two cases i</w:t>
      </w:r>
      <w:r>
        <w:rPr>
          <w:szCs w:val="21"/>
        </w:rPr>
        <w:t>n which other divinities our invoked. The first is 7.48.3, a hymn dedicated to the R̥bhu, in some cases named as companions of Indra for whom they forged the weapons, a divine group from which help may justly be expected at the time of battle. In the secon</w:t>
      </w:r>
      <w:r>
        <w:rPr>
          <w:szCs w:val="21"/>
        </w:rPr>
        <w:t>d case it is Agni, the messenger god, who has the role of aggressor: this passage may possibly constitute an account of the initial stage of the fire cult, of which Vadhryaśva</w:t>
      </w:r>
      <w:bookmarkStart w:id="29" w:name="sdfootnote32anc"/>
      <w:bookmarkEnd w:id="29"/>
      <w:r>
        <w:rPr>
          <w:rStyle w:val="FootnoteAnchor"/>
          <w:szCs w:val="21"/>
        </w:rPr>
        <w:footnoteReference w:id="42"/>
      </w:r>
      <w:r>
        <w:rPr>
          <w:szCs w:val="21"/>
        </w:rPr>
        <w:t xml:space="preserve"> </w:t>
      </w:r>
      <w:r>
        <w:rPr>
          <w:szCs w:val="21"/>
        </w:rPr>
        <w:t>was the promoter; thus we may imagine these elders, or those who had been befo</w:t>
      </w:r>
      <w:r>
        <w:rPr>
          <w:szCs w:val="21"/>
        </w:rPr>
        <w:t>re (</w:t>
      </w:r>
      <w:r>
        <w:rPr>
          <w:i/>
          <w:szCs w:val="21"/>
        </w:rPr>
        <w:t>pū́rvām̐</w:t>
      </w:r>
      <w:r>
        <w:rPr>
          <w:szCs w:val="21"/>
        </w:rPr>
        <w:t>), as persons or divinities far from this nascent cult (</w:t>
      </w:r>
      <w:r>
        <w:rPr>
          <w:i/>
          <w:szCs w:val="21"/>
        </w:rPr>
        <w:t>yavi</w:t>
      </w:r>
      <w:r>
        <w:rPr>
          <w:i/>
          <w:szCs w:val="21"/>
        </w:rPr>
        <w:t>ṣṭ</w:t>
      </w:r>
      <w:r>
        <w:rPr>
          <w:i/>
          <w:szCs w:val="21"/>
        </w:rPr>
        <w:t>ha</w:t>
      </w:r>
      <w:r>
        <w:rPr>
          <w:szCs w:val="21"/>
        </w:rPr>
        <w:t>), and therefore arrogant:</w:t>
      </w:r>
    </w:p>
    <w:p w14:paraId="6DC41EC0" w14:textId="77777777" w:rsidR="00E53EB6" w:rsidRDefault="006500F5">
      <w:pPr>
        <w:pStyle w:val="Zitat"/>
      </w:pPr>
      <w:r>
        <w:t xml:space="preserve">10.69.10 </w:t>
      </w:r>
      <w:r>
        <w:rPr>
          <w:i/>
        </w:rPr>
        <w:t>pitéva putrám abibhar upásthe</w:t>
      </w:r>
    </w:p>
    <w:p w14:paraId="17DC94CD" w14:textId="77777777" w:rsidR="00E53EB6" w:rsidRDefault="006500F5">
      <w:pPr>
        <w:pStyle w:val="ZitatnachZitat"/>
        <w:rPr>
          <w:i/>
          <w:iCs/>
        </w:rPr>
      </w:pPr>
      <w:r>
        <w:rPr>
          <w:i/>
          <w:iCs/>
        </w:rPr>
        <w:t>t</w:t>
      </w:r>
      <w:r>
        <w:rPr>
          <w:i/>
          <w:iCs/>
          <w:vertAlign w:val="subscript"/>
        </w:rPr>
        <w:t>u</w:t>
      </w:r>
      <w:r>
        <w:rPr>
          <w:i/>
          <w:iCs/>
        </w:rPr>
        <w:t>vā́m agne vadhr</w:t>
      </w:r>
      <w:r>
        <w:rPr>
          <w:i/>
          <w:iCs/>
          <w:vertAlign w:val="subscript"/>
        </w:rPr>
        <w:t>i</w:t>
      </w:r>
      <w:r>
        <w:rPr>
          <w:i/>
          <w:iCs/>
        </w:rPr>
        <w:t>aśvá</w:t>
      </w:r>
      <w:r>
        <w:rPr>
          <w:i/>
          <w:iCs/>
        </w:rPr>
        <w:t>ḥ</w:t>
      </w:r>
      <w:r>
        <w:rPr>
          <w:i/>
          <w:iCs/>
        </w:rPr>
        <w:t xml:space="preserve"> saparyán</w:t>
      </w:r>
    </w:p>
    <w:p w14:paraId="0445496E" w14:textId="77777777" w:rsidR="00E53EB6" w:rsidRDefault="006500F5">
      <w:pPr>
        <w:pStyle w:val="ZitatnachZitat"/>
        <w:rPr>
          <w:i/>
          <w:iCs/>
        </w:rPr>
      </w:pPr>
      <w:r>
        <w:rPr>
          <w:i/>
          <w:iCs/>
        </w:rPr>
        <w:t>ju</w:t>
      </w:r>
      <w:r>
        <w:rPr>
          <w:i/>
          <w:iCs/>
        </w:rPr>
        <w:t>ṣ</w:t>
      </w:r>
      <w:r>
        <w:rPr>
          <w:i/>
          <w:iCs/>
        </w:rPr>
        <w:t>ā</w:t>
      </w:r>
      <w:r>
        <w:rPr>
          <w:i/>
          <w:iCs/>
        </w:rPr>
        <w:t>ṇ</w:t>
      </w:r>
      <w:r>
        <w:rPr>
          <w:i/>
          <w:iCs/>
        </w:rPr>
        <w:t>ó asya samídha</w:t>
      </w:r>
      <w:r>
        <w:rPr>
          <w:i/>
          <w:iCs/>
        </w:rPr>
        <w:t>ṃ</w:t>
      </w:r>
      <w:r>
        <w:rPr>
          <w:i/>
          <w:iCs/>
        </w:rPr>
        <w:t xml:space="preserve"> yavi</w:t>
      </w:r>
      <w:r>
        <w:rPr>
          <w:i/>
          <w:iCs/>
        </w:rPr>
        <w:t>ṣṭ</w:t>
      </w:r>
      <w:r>
        <w:rPr>
          <w:i/>
          <w:iCs/>
        </w:rPr>
        <w:t>ha</w:t>
      </w:r>
    </w:p>
    <w:p w14:paraId="711EA2FA" w14:textId="77777777" w:rsidR="00E53EB6" w:rsidRDefault="006500F5">
      <w:pPr>
        <w:pStyle w:val="ZitatnachZitat"/>
        <w:rPr>
          <w:i/>
          <w:iCs/>
        </w:rPr>
      </w:pPr>
      <w:r>
        <w:rPr>
          <w:i/>
          <w:iCs/>
        </w:rPr>
        <w:t>utá pū́rvām̐ avanor vrā́dhataś cit</w:t>
      </w:r>
    </w:p>
    <w:p w14:paraId="3F5F3C7E" w14:textId="77777777" w:rsidR="00E53EB6" w:rsidRDefault="006500F5">
      <w:pPr>
        <w:pStyle w:val="Zitat"/>
      </w:pPr>
      <w:r>
        <w:t>Like a father hi</w:t>
      </w:r>
      <w:r>
        <w:t xml:space="preserve">s son, so did Vadhryaśva bear you in his womb, o Agni, honouring you; you, satisfied with his  wood to burn and newly born, </w:t>
      </w:r>
      <w:r>
        <w:rPr>
          <w:u w:val="single"/>
        </w:rPr>
        <w:t>conquered</w:t>
      </w:r>
      <w:r>
        <w:t xml:space="preserve"> the elder ones, who were arrogant</w:t>
      </w:r>
      <w:bookmarkStart w:id="30" w:name="sdfootnote33anc"/>
      <w:bookmarkEnd w:id="30"/>
      <w:r>
        <w:rPr>
          <w:rStyle w:val="FootnoteAnchor"/>
        </w:rPr>
        <w:footnoteReference w:id="43"/>
      </w:r>
      <w:r>
        <w:t>.</w:t>
      </w:r>
    </w:p>
    <w:p w14:paraId="43A0885D" w14:textId="77777777" w:rsidR="00E53EB6" w:rsidRPr="00B80C6B" w:rsidRDefault="006500F5">
      <w:pPr>
        <w:pStyle w:val="Zitat"/>
        <w:rPr>
          <w:i/>
          <w:lang w:val="de-DE"/>
        </w:rPr>
      </w:pPr>
      <w:r>
        <w:rPr>
          <w:i/>
        </w:rPr>
        <w:t>avano</w:t>
      </w:r>
      <w:r>
        <w:rPr>
          <w:i/>
        </w:rPr>
        <w:t>ḥ</w:t>
      </w:r>
      <w:r>
        <w:rPr>
          <w:i/>
        </w:rPr>
        <w:t>:</w:t>
      </w:r>
      <w:r>
        <w:t xml:space="preserve"> ind. impf. 2</w:t>
      </w:r>
      <w:r>
        <w:rPr>
          <w:vertAlign w:val="superscript"/>
        </w:rPr>
        <w:t>nd</w:t>
      </w:r>
      <w:r>
        <w:t xml:space="preserve"> sing. </w:t>
      </w:r>
      <w:r w:rsidRPr="00B80C6B">
        <w:rPr>
          <w:lang w:val="de-DE"/>
        </w:rPr>
        <w:t>Ā VIII cl.</w:t>
      </w:r>
    </w:p>
    <w:p w14:paraId="009C226B" w14:textId="77777777" w:rsidR="00E53EB6" w:rsidRPr="00B80C6B" w:rsidRDefault="006500F5">
      <w:pPr>
        <w:pStyle w:val="ZitatmitEinzug"/>
        <w:rPr>
          <w:lang w:val="de-DE"/>
        </w:rPr>
      </w:pPr>
      <w:r w:rsidRPr="00B80C6B">
        <w:rPr>
          <w:rStyle w:val="biblio-authorGEN"/>
          <w:sz w:val="18"/>
          <w:szCs w:val="18"/>
          <w:lang w:val="de-DE"/>
        </w:rPr>
        <w:t>Geldner:</w:t>
      </w:r>
      <w:r w:rsidRPr="00B80C6B">
        <w:rPr>
          <w:lang w:val="de-DE"/>
        </w:rPr>
        <w:t xml:space="preserve"> III 247 “</w:t>
      </w:r>
      <w:r w:rsidRPr="00B80C6B">
        <w:rPr>
          <w:lang w:val="de-DE"/>
        </w:rPr>
        <w:t>hast überwunden”</w:t>
      </w:r>
    </w:p>
    <w:p w14:paraId="00E1130E" w14:textId="77777777" w:rsidR="00E53EB6" w:rsidRDefault="006500F5">
      <w:pPr>
        <w:pStyle w:val="ZitatmitEinzug"/>
      </w:pPr>
      <w:r>
        <w:rPr>
          <w:rStyle w:val="biblio-authorGEN"/>
          <w:sz w:val="18"/>
          <w:szCs w:val="18"/>
        </w:rPr>
        <w:t>Renou:</w:t>
      </w:r>
      <w:r>
        <w:t xml:space="preserve"> XIV 18 “</w:t>
      </w:r>
      <w:r>
        <w:rPr>
          <w:lang w:val="fr-FR"/>
        </w:rPr>
        <w:t>as gagné à toi</w:t>
      </w:r>
      <w:r>
        <w:t>”</w:t>
      </w:r>
    </w:p>
    <w:p w14:paraId="55A4ABB2" w14:textId="77777777" w:rsidR="00E53EB6" w:rsidRDefault="006500F5">
      <w:pPr>
        <w:pStyle w:val="HaupttextnachZitat"/>
        <w:rPr>
          <w:szCs w:val="21"/>
        </w:rPr>
      </w:pPr>
      <w:r>
        <w:rPr>
          <w:szCs w:val="21"/>
        </w:rPr>
        <w:t>In all these passages, as in the passages where the subject of the action is no longer the divinity but man, there seems to be no doubt about the fact that the sense in which the verb is used is “to dominate”, a way to “posse</w:t>
      </w:r>
      <w:r>
        <w:rPr>
          <w:szCs w:val="21"/>
        </w:rPr>
        <w:t xml:space="preserve">ss” which is also to “conquer” – to conquer the enemy, in fact (as in 1.73.9; 8.19.20; 8.31.3; 9.61.24), or to defeat the mortal, as in 5.3.5-6: in this hymn dedicated to Agni we find </w:t>
      </w:r>
      <w:r>
        <w:rPr>
          <w:i/>
          <w:szCs w:val="21"/>
        </w:rPr>
        <w:t>van- / van</w:t>
      </w:r>
      <w:r>
        <w:rPr>
          <w:i/>
          <w:szCs w:val="21"/>
          <w:vertAlign w:val="superscript"/>
        </w:rPr>
        <w:t>i</w:t>
      </w:r>
      <w:r>
        <w:rPr>
          <w:i/>
          <w:szCs w:val="21"/>
        </w:rPr>
        <w:t>-</w:t>
      </w:r>
      <w:r>
        <w:rPr>
          <w:szCs w:val="21"/>
        </w:rPr>
        <w:t xml:space="preserve"> reiterated in two successive stanzas within the same reques</w:t>
      </w:r>
      <w:r>
        <w:rPr>
          <w:szCs w:val="21"/>
        </w:rPr>
        <w:t>t. This is a characteristic tendency in the Vedic world, where repetition is seen as a means of reinforcement. In the case of man, it is to be noted that the foreigner</w:t>
      </w:r>
      <w:r>
        <w:rPr>
          <w:szCs w:val="21"/>
        </w:rPr>
        <w:t xml:space="preserve"> </w:t>
      </w:r>
      <w:r>
        <w:rPr>
          <w:szCs w:val="21"/>
        </w:rPr>
        <w:t>(</w:t>
      </w:r>
      <w:r>
        <w:rPr>
          <w:i/>
          <w:szCs w:val="21"/>
        </w:rPr>
        <w:t>arí-</w:t>
      </w:r>
      <w:r>
        <w:rPr>
          <w:szCs w:val="21"/>
        </w:rPr>
        <w:t>) represents the most frequent object of this domination (cf. 6.16.27; 8.60.12; 9.6</w:t>
      </w:r>
      <w:r>
        <w:rPr>
          <w:szCs w:val="21"/>
        </w:rPr>
        <w:t>1.11; 10.38.3). In stanza 8.19.20 the action of Agni and the action of men are symmetrically associated: the former acts at the level of the macrocosm, the latter at the level of the microcosm: both perform the same action, and it is this connection betwee</w:t>
      </w:r>
      <w:r>
        <w:rPr>
          <w:szCs w:val="21"/>
        </w:rPr>
        <w:t xml:space="preserve">n macro and microcosm that Vedic man creates and follows, the structure through which he </w:t>
      </w:r>
      <w:r>
        <w:rPr>
          <w:szCs w:val="21"/>
        </w:rPr>
        <w:lastRenderedPageBreak/>
        <w:t>interprets the realities around him:</w:t>
      </w:r>
    </w:p>
    <w:p w14:paraId="295BA610" w14:textId="77777777" w:rsidR="00E53EB6" w:rsidRDefault="006500F5">
      <w:pPr>
        <w:pStyle w:val="Zitat"/>
      </w:pPr>
      <w:r>
        <w:t xml:space="preserve">8.19.20 </w:t>
      </w:r>
      <w:r>
        <w:rPr>
          <w:i/>
        </w:rPr>
        <w:t>bhadrám mána</w:t>
      </w:r>
      <w:r>
        <w:rPr>
          <w:i/>
        </w:rPr>
        <w:t>ḥ</w:t>
      </w:r>
      <w:r>
        <w:rPr>
          <w:i/>
        </w:rPr>
        <w:t xml:space="preserve"> kr̥</w:t>
      </w:r>
      <w:r>
        <w:rPr>
          <w:i/>
        </w:rPr>
        <w:t>ṇ</w:t>
      </w:r>
      <w:r>
        <w:rPr>
          <w:i/>
        </w:rPr>
        <w:t>u</w:t>
      </w:r>
      <w:r>
        <w:rPr>
          <w:i/>
        </w:rPr>
        <w:t>ṣ</w:t>
      </w:r>
      <w:r>
        <w:rPr>
          <w:i/>
        </w:rPr>
        <w:t>va vr̥tratū́r</w:t>
      </w:r>
      <w:r>
        <w:rPr>
          <w:i/>
          <w:vertAlign w:val="subscript"/>
        </w:rPr>
        <w:t>i</w:t>
      </w:r>
      <w:r>
        <w:rPr>
          <w:i/>
        </w:rPr>
        <w:t>ye</w:t>
      </w:r>
    </w:p>
    <w:p w14:paraId="3BFE8F9A" w14:textId="77777777" w:rsidR="00E53EB6" w:rsidRDefault="006500F5">
      <w:pPr>
        <w:pStyle w:val="ZitatnachZitat"/>
        <w:rPr>
          <w:i/>
          <w:iCs/>
        </w:rPr>
      </w:pPr>
      <w:r>
        <w:rPr>
          <w:i/>
          <w:iCs/>
        </w:rPr>
        <w:t>yénā samátsu sāsáha</w:t>
      </w:r>
      <w:r>
        <w:rPr>
          <w:i/>
          <w:iCs/>
        </w:rPr>
        <w:t>ḥ</w:t>
      </w:r>
    </w:p>
    <w:p w14:paraId="2FD7CDFB" w14:textId="77777777" w:rsidR="00E53EB6" w:rsidRDefault="006500F5">
      <w:pPr>
        <w:pStyle w:val="ZitatnachZitat"/>
        <w:rPr>
          <w:i/>
          <w:iCs/>
        </w:rPr>
      </w:pPr>
      <w:r>
        <w:rPr>
          <w:i/>
          <w:iCs/>
        </w:rPr>
        <w:t>áva sthirā́ tanuhi bhū́ri śárdhatā</w:t>
      </w:r>
      <w:r>
        <w:rPr>
          <w:i/>
          <w:iCs/>
        </w:rPr>
        <w:t>ṃ</w:t>
      </w:r>
    </w:p>
    <w:p w14:paraId="0505D128" w14:textId="77777777" w:rsidR="00E53EB6" w:rsidRDefault="006500F5">
      <w:pPr>
        <w:pStyle w:val="ZitatnachZitat"/>
        <w:rPr>
          <w:i/>
          <w:iCs/>
        </w:rPr>
      </w:pPr>
      <w:r>
        <w:rPr>
          <w:i/>
          <w:iCs/>
        </w:rPr>
        <w:t xml:space="preserve">vanémā te </w:t>
      </w:r>
      <w:r>
        <w:rPr>
          <w:i/>
          <w:iCs/>
        </w:rPr>
        <w:t>abhí</w:t>
      </w:r>
      <w:r>
        <w:rPr>
          <w:i/>
          <w:iCs/>
        </w:rPr>
        <w:t>ṣṭ</w:t>
      </w:r>
      <w:r>
        <w:rPr>
          <w:i/>
          <w:iCs/>
        </w:rPr>
        <w:t>ibhi</w:t>
      </w:r>
      <w:r>
        <w:rPr>
          <w:i/>
          <w:iCs/>
        </w:rPr>
        <w:t>ḥ</w:t>
      </w:r>
    </w:p>
    <w:p w14:paraId="4B359D22" w14:textId="77777777" w:rsidR="00E53EB6" w:rsidRDefault="006500F5">
      <w:pPr>
        <w:pStyle w:val="Zitat"/>
      </w:pPr>
      <w:bookmarkStart w:id="31" w:name="sdfootnote34anc"/>
      <w:bookmarkEnd w:id="31"/>
      <w:r>
        <w:t>Along the victory over enemies make your spirit</w:t>
      </w:r>
      <w:r>
        <w:rPr>
          <w:rStyle w:val="FootnoteAnchor"/>
        </w:rPr>
        <w:footnoteReference w:id="44"/>
      </w:r>
      <w:r>
        <w:t xml:space="preserve"> well-wishing, thanks to which you can get the better in battles. Slacken the steadfast forces</w:t>
      </w:r>
      <w:bookmarkStart w:id="32" w:name="sdfootnote35anc"/>
      <w:bookmarkEnd w:id="32"/>
      <w:r>
        <w:rPr>
          <w:rStyle w:val="FootnoteAnchor"/>
        </w:rPr>
        <w:footnoteReference w:id="45"/>
      </w:r>
      <w:r>
        <w:t xml:space="preserve">, we </w:t>
      </w:r>
      <w:r>
        <w:t xml:space="preserve">will </w:t>
      </w:r>
      <w:r>
        <w:rPr>
          <w:u w:val="single"/>
        </w:rPr>
        <w:t>overcome</w:t>
      </w:r>
      <w:r>
        <w:t xml:space="preserve"> the many</w:t>
      </w:r>
      <w:r>
        <w:rPr>
          <w:rStyle w:val="FootnoteAnchor"/>
        </w:rPr>
        <w:footnoteReference w:id="46"/>
      </w:r>
      <w:bookmarkStart w:id="33" w:name="sdfootnote36anc"/>
      <w:bookmarkEnd w:id="33"/>
      <w:r>
        <w:t xml:space="preserve"> </w:t>
      </w:r>
      <w:r>
        <w:t>of all those who resist you with your</w:t>
      </w:r>
      <w:r>
        <w:t xml:space="preserve"> </w:t>
      </w:r>
      <w:r>
        <w:t>protection</w:t>
      </w:r>
      <w:bookmarkStart w:id="34" w:name="sdfootnote37anc"/>
      <w:bookmarkEnd w:id="34"/>
      <w:r>
        <w:rPr>
          <w:rStyle w:val="FootnoteAnchor"/>
        </w:rPr>
        <w:footnoteReference w:id="47"/>
      </w:r>
      <w:r>
        <w:t>.</w:t>
      </w:r>
    </w:p>
    <w:p w14:paraId="62DA04A1" w14:textId="77777777" w:rsidR="00E53EB6" w:rsidRPr="00B80C6B" w:rsidRDefault="006500F5">
      <w:pPr>
        <w:pStyle w:val="Zitat"/>
        <w:rPr>
          <w:lang w:val="de-DE"/>
        </w:rPr>
      </w:pPr>
      <w:r>
        <w:rPr>
          <w:i/>
        </w:rPr>
        <w:t xml:space="preserve">vanéma: </w:t>
      </w:r>
      <w:r>
        <w:t xml:space="preserve">opt. </w:t>
      </w:r>
      <w:r>
        <w:t>pres. 1</w:t>
      </w:r>
      <w:r>
        <w:rPr>
          <w:vertAlign w:val="superscript"/>
        </w:rPr>
        <w:t>st</w:t>
      </w:r>
      <w:r>
        <w:t xml:space="preserve"> pl. </w:t>
      </w:r>
      <w:r w:rsidRPr="00B80C6B">
        <w:rPr>
          <w:lang w:val="de-DE"/>
        </w:rPr>
        <w:t>I-VI cl.</w:t>
      </w:r>
    </w:p>
    <w:p w14:paraId="60F0882D" w14:textId="77777777" w:rsidR="00E53EB6" w:rsidRPr="00B80C6B" w:rsidRDefault="006500F5">
      <w:pPr>
        <w:pStyle w:val="ZitatmitEinzug"/>
        <w:rPr>
          <w:lang w:val="de-DE"/>
        </w:rPr>
      </w:pPr>
      <w:r w:rsidRPr="00B80C6B">
        <w:rPr>
          <w:lang w:val="de-DE"/>
        </w:rPr>
        <w:t xml:space="preserve">Geldner: II 321 </w:t>
      </w:r>
      <w:r w:rsidRPr="00B80C6B">
        <w:rPr>
          <w:i/>
          <w:lang w:val="de-DE"/>
        </w:rPr>
        <w:t>möchten gewinnen</w:t>
      </w:r>
    </w:p>
    <w:p w14:paraId="06A51193" w14:textId="77777777" w:rsidR="00E53EB6" w:rsidRDefault="006500F5">
      <w:pPr>
        <w:pStyle w:val="ZitatmitEinzug"/>
      </w:pPr>
      <w:r>
        <w:t xml:space="preserve">Renou: XIII 66 </w:t>
      </w:r>
      <w:r>
        <w:rPr>
          <w:i/>
        </w:rPr>
        <w:t xml:space="preserve">gagner </w:t>
      </w:r>
      <w:r>
        <w:t>(absolute)</w:t>
      </w:r>
    </w:p>
    <w:p w14:paraId="059FE51C" w14:textId="77777777" w:rsidR="00E53EB6" w:rsidRDefault="00E53EB6">
      <w:pPr>
        <w:pStyle w:val="Hauptext"/>
      </w:pPr>
    </w:p>
    <w:p w14:paraId="62251932" w14:textId="77777777" w:rsidR="00E53EB6" w:rsidRDefault="006500F5">
      <w:pPr>
        <w:pStyle w:val="Heading3"/>
        <w:tabs>
          <w:tab w:val="left" w:pos="0"/>
        </w:tabs>
        <w:rPr>
          <w:sz w:val="22"/>
          <w:szCs w:val="22"/>
        </w:rPr>
      </w:pPr>
      <w:r>
        <w:rPr>
          <w:i/>
          <w:iCs/>
          <w:sz w:val="22"/>
          <w:szCs w:val="22"/>
        </w:rPr>
        <w:t xml:space="preserve">c- Absolute use of the present participle </w:t>
      </w:r>
      <w:r>
        <w:rPr>
          <w:sz w:val="22"/>
          <w:szCs w:val="22"/>
        </w:rPr>
        <w:t xml:space="preserve"> </w:t>
      </w:r>
    </w:p>
    <w:p w14:paraId="44446B94" w14:textId="77777777" w:rsidR="00E53EB6" w:rsidRDefault="006500F5">
      <w:pPr>
        <w:pStyle w:val="Hauptext"/>
      </w:pPr>
      <w:r>
        <w:t xml:space="preserve">The third group of attestations occupies a position that might be seen as rather particular as compared to the first two. </w:t>
      </w:r>
      <w:r>
        <w:rPr>
          <w:szCs w:val="21"/>
        </w:rPr>
        <w:t xml:space="preserve">It is to the broader semantic sphere indicated by “to possess”-“to dominate”, in fact, that we should ascribe the absolute use of the present participle </w:t>
      </w:r>
      <w:r>
        <w:rPr>
          <w:i/>
          <w:szCs w:val="21"/>
        </w:rPr>
        <w:t>vanvan-</w:t>
      </w:r>
      <w:r>
        <w:rPr>
          <w:szCs w:val="21"/>
        </w:rPr>
        <w:t>, which in these cases take on some function of divine attribute. The stanza 6.12.4 offers an ex</w:t>
      </w:r>
      <w:r>
        <w:rPr>
          <w:szCs w:val="21"/>
        </w:rPr>
        <w:t>ample of this:</w:t>
      </w:r>
    </w:p>
    <w:p w14:paraId="0FDFF37F" w14:textId="77777777" w:rsidR="00E53EB6" w:rsidRDefault="006500F5">
      <w:pPr>
        <w:pStyle w:val="Zitat"/>
      </w:pPr>
      <w:r>
        <w:t xml:space="preserve">6.12.4 </w:t>
      </w:r>
      <w:r>
        <w:rPr>
          <w:i/>
        </w:rPr>
        <w:t>sá asmā́kebhir etárī ná śū</w:t>
      </w:r>
      <w:r>
        <w:rPr>
          <w:i/>
        </w:rPr>
        <w:t>ṣ</w:t>
      </w:r>
      <w:r>
        <w:rPr>
          <w:i/>
        </w:rPr>
        <w:t>aír</w:t>
      </w:r>
    </w:p>
    <w:p w14:paraId="1D8D03BD" w14:textId="77777777" w:rsidR="00E53EB6" w:rsidRDefault="006500F5">
      <w:pPr>
        <w:pStyle w:val="ZitatnachZitat"/>
        <w:rPr>
          <w:i/>
          <w:iCs/>
        </w:rPr>
      </w:pPr>
      <w:r>
        <w:rPr>
          <w:i/>
          <w:iCs/>
        </w:rPr>
        <w:t xml:space="preserve">agní </w:t>
      </w:r>
      <w:r>
        <w:rPr>
          <w:i/>
          <w:iCs/>
        </w:rPr>
        <w:t>ṣṭ</w:t>
      </w:r>
      <w:r>
        <w:rPr>
          <w:i/>
          <w:iCs/>
        </w:rPr>
        <w:t>ave dáma ā́ jātávedā</w:t>
      </w:r>
      <w:r>
        <w:rPr>
          <w:i/>
          <w:iCs/>
        </w:rPr>
        <w:t>ḥ</w:t>
      </w:r>
    </w:p>
    <w:p w14:paraId="45D530C4" w14:textId="77777777" w:rsidR="00E53EB6" w:rsidRDefault="006500F5">
      <w:pPr>
        <w:pStyle w:val="ZitatnachZitat"/>
        <w:rPr>
          <w:i/>
          <w:iCs/>
        </w:rPr>
      </w:pPr>
      <w:r>
        <w:rPr>
          <w:i/>
          <w:iCs/>
        </w:rPr>
        <w:t>drúanno vanván krát</w:t>
      </w:r>
      <w:r>
        <w:rPr>
          <w:i/>
          <w:iCs/>
          <w:vertAlign w:val="subscript"/>
        </w:rPr>
        <w:t>u</w:t>
      </w:r>
      <w:r>
        <w:rPr>
          <w:i/>
          <w:iCs/>
        </w:rPr>
        <w:t>vā ná árvā</w:t>
      </w:r>
    </w:p>
    <w:p w14:paraId="1EBCB781" w14:textId="77777777" w:rsidR="00E53EB6" w:rsidRDefault="006500F5">
      <w:pPr>
        <w:pStyle w:val="ZitatnachZitat"/>
        <w:rPr>
          <w:i/>
          <w:iCs/>
        </w:rPr>
      </w:pPr>
      <w:r>
        <w:rPr>
          <w:i/>
          <w:iCs/>
        </w:rPr>
        <w:t>usrá</w:t>
      </w:r>
      <w:r>
        <w:rPr>
          <w:i/>
          <w:iCs/>
        </w:rPr>
        <w:t>ḥ</w:t>
      </w:r>
      <w:r>
        <w:rPr>
          <w:i/>
          <w:iCs/>
        </w:rPr>
        <w:t xml:space="preserve"> pitéva jārayā́yi yajñaí</w:t>
      </w:r>
      <w:r>
        <w:rPr>
          <w:i/>
          <w:iCs/>
        </w:rPr>
        <w:t>ḥ</w:t>
      </w:r>
    </w:p>
    <w:p w14:paraId="48D8A3B5" w14:textId="77777777" w:rsidR="00E53EB6" w:rsidRDefault="006500F5">
      <w:pPr>
        <w:pStyle w:val="Zitat"/>
      </w:pPr>
      <w:r>
        <w:t>This Agni and Jatavedas, like the one who crosses</w:t>
      </w:r>
      <w:bookmarkStart w:id="35" w:name="sdfootnote38anc"/>
      <w:bookmarkEnd w:id="35"/>
      <w:r>
        <w:rPr>
          <w:rStyle w:val="FootnoteAnchor"/>
        </w:rPr>
        <w:footnoteReference w:id="48"/>
      </w:r>
      <w:r>
        <w:t>, raises</w:t>
      </w:r>
      <w:bookmarkStart w:id="36" w:name="sdfootnote39anc"/>
      <w:bookmarkEnd w:id="36"/>
      <w:r>
        <w:rPr>
          <w:rStyle w:val="FootnoteAnchor"/>
        </w:rPr>
        <w:footnoteReference w:id="49"/>
      </w:r>
      <w:r>
        <w:t xml:space="preserve"> </w:t>
      </w:r>
      <w:r>
        <w:t xml:space="preserve">hymns through our chants resounding in the </w:t>
      </w:r>
      <w:r>
        <w:t>house; he who feeds on wood,</w:t>
      </w:r>
      <w:r>
        <w:t xml:space="preserve"> he who </w:t>
      </w:r>
      <w:r>
        <w:rPr>
          <w:u w:val="single"/>
        </w:rPr>
        <w:t>appropriates</w:t>
      </w:r>
      <w:r>
        <w:t xml:space="preserve"> with skill, like a courser, like the father of dawn, he is kept alive</w:t>
      </w:r>
      <w:bookmarkStart w:id="37" w:name="sdfootnote40anc"/>
      <w:bookmarkEnd w:id="37"/>
      <w:r>
        <w:rPr>
          <w:rStyle w:val="FootnoteAnchor"/>
        </w:rPr>
        <w:footnoteReference w:id="50"/>
      </w:r>
      <w:r>
        <w:t xml:space="preserve"> </w:t>
      </w:r>
      <w:r>
        <w:t>with sacrifices.</w:t>
      </w:r>
    </w:p>
    <w:p w14:paraId="3A0D3A69" w14:textId="77777777" w:rsidR="00E53EB6" w:rsidRPr="00B80C6B" w:rsidRDefault="006500F5">
      <w:pPr>
        <w:pStyle w:val="Zitat"/>
        <w:rPr>
          <w:lang w:val="de-DE"/>
        </w:rPr>
      </w:pPr>
      <w:r>
        <w:rPr>
          <w:i/>
        </w:rPr>
        <w:t xml:space="preserve">vanván: </w:t>
      </w:r>
      <w:r>
        <w:t xml:space="preserve">part. pres. nom. m. sing. </w:t>
      </w:r>
      <w:r w:rsidRPr="00B80C6B">
        <w:rPr>
          <w:lang w:val="de-DE"/>
        </w:rPr>
        <w:t>VIII cl.</w:t>
      </w:r>
    </w:p>
    <w:p w14:paraId="288697F3" w14:textId="77777777" w:rsidR="00E53EB6" w:rsidRPr="00B80C6B" w:rsidRDefault="006500F5">
      <w:pPr>
        <w:pStyle w:val="ZitatmitEinzug"/>
        <w:rPr>
          <w:lang w:val="de-DE"/>
        </w:rPr>
      </w:pPr>
      <w:r w:rsidRPr="00B80C6B">
        <w:rPr>
          <w:rStyle w:val="biblio-authorGEN"/>
          <w:sz w:val="18"/>
          <w:szCs w:val="15"/>
          <w:lang w:val="de-DE"/>
        </w:rPr>
        <w:t>Geldner:</w:t>
      </w:r>
      <w:r w:rsidRPr="00B80C6B">
        <w:rPr>
          <w:lang w:val="de-DE"/>
        </w:rPr>
        <w:t xml:space="preserve"> II 104 </w:t>
      </w:r>
      <w:r w:rsidRPr="00B80C6B">
        <w:rPr>
          <w:lang w:val="de-DE"/>
        </w:rPr>
        <w:t>“der gewinnt”</w:t>
      </w:r>
    </w:p>
    <w:p w14:paraId="4E801BE5" w14:textId="77777777" w:rsidR="00E53EB6" w:rsidRDefault="006500F5">
      <w:pPr>
        <w:pStyle w:val="ZitatmitEinzug"/>
      </w:pPr>
      <w:r>
        <w:rPr>
          <w:rStyle w:val="biblio-authorGEN"/>
          <w:sz w:val="18"/>
          <w:szCs w:val="15"/>
        </w:rPr>
        <w:t>Renou:</w:t>
      </w:r>
      <w:r>
        <w:t xml:space="preserve"> XIII 45 </w:t>
      </w:r>
      <w:r>
        <w:t>“gagnant”</w:t>
      </w:r>
    </w:p>
    <w:p w14:paraId="23BAF922" w14:textId="77777777" w:rsidR="00E53EB6" w:rsidRDefault="006500F5">
      <w:pPr>
        <w:pStyle w:val="HaupttextnachZitat"/>
      </w:pPr>
      <w:r>
        <w:rPr>
          <w:szCs w:val="21"/>
        </w:rPr>
        <w:t xml:space="preserve">When used with this </w:t>
      </w:r>
      <w:r>
        <w:rPr>
          <w:szCs w:val="21"/>
        </w:rPr>
        <w:t xml:space="preserve">value </w:t>
      </w:r>
      <w:r>
        <w:rPr>
          <w:i/>
          <w:szCs w:val="21"/>
        </w:rPr>
        <w:t xml:space="preserve">vanvan- </w:t>
      </w:r>
      <w:r>
        <w:rPr>
          <w:szCs w:val="21"/>
        </w:rPr>
        <w:t xml:space="preserve">it is almost always (exceptions are to be seen only in stanzas 6.12.4 and 2.21.2) brought into contrast with the adjective </w:t>
      </w:r>
      <w:r>
        <w:rPr>
          <w:i/>
          <w:szCs w:val="21"/>
        </w:rPr>
        <w:t>avāta-</w:t>
      </w:r>
      <w:r>
        <w:rPr>
          <w:szCs w:val="21"/>
        </w:rPr>
        <w:t xml:space="preserve"> (6.16.20; 6.18.1; 9.89.7; 9.96.8; 9.96.11). This term (</w:t>
      </w:r>
      <w:r>
        <w:rPr>
          <w:i/>
          <w:szCs w:val="21"/>
        </w:rPr>
        <w:t>a-</w:t>
      </w:r>
      <w:r>
        <w:rPr>
          <w:szCs w:val="21"/>
        </w:rPr>
        <w:t xml:space="preserve">subtractive + </w:t>
      </w:r>
      <w:r>
        <w:rPr>
          <w:i/>
          <w:szCs w:val="21"/>
        </w:rPr>
        <w:t>vāta-</w:t>
      </w:r>
      <w:r>
        <w:rPr>
          <w:szCs w:val="21"/>
        </w:rPr>
        <w:t xml:space="preserve">) can clearly be traced back to the </w:t>
      </w:r>
      <w:r>
        <w:rPr>
          <w:szCs w:val="21"/>
        </w:rPr>
        <w:t xml:space="preserve">reconstructed form </w:t>
      </w:r>
      <w:r>
        <w:rPr>
          <w:i/>
          <w:szCs w:val="21"/>
        </w:rPr>
        <w:t>*vāta</w:t>
      </w:r>
      <w:r>
        <w:rPr>
          <w:i/>
          <w:szCs w:val="21"/>
        </w:rPr>
        <w:t>ḥ</w:t>
      </w:r>
      <w:r>
        <w:rPr>
          <w:i/>
          <w:szCs w:val="21"/>
        </w:rPr>
        <w:t>,</w:t>
      </w:r>
      <w:r>
        <w:rPr>
          <w:szCs w:val="21"/>
        </w:rPr>
        <w:t xml:space="preserve"> passive past participle of the verbal root </w:t>
      </w:r>
      <w:r>
        <w:rPr>
          <w:i/>
          <w:szCs w:val="21"/>
        </w:rPr>
        <w:t>van- / van</w:t>
      </w:r>
      <w:r>
        <w:rPr>
          <w:i/>
          <w:szCs w:val="21"/>
          <w:vertAlign w:val="superscript"/>
        </w:rPr>
        <w:t>i</w:t>
      </w:r>
      <w:r>
        <w:rPr>
          <w:i/>
          <w:szCs w:val="21"/>
        </w:rPr>
        <w:t>-</w:t>
      </w:r>
      <w:r>
        <w:rPr>
          <w:szCs w:val="21"/>
        </w:rPr>
        <w:t xml:space="preserve">, to which are to be ascribed the </w:t>
      </w:r>
      <w:r>
        <w:rPr>
          <w:szCs w:val="21"/>
        </w:rPr>
        <w:lastRenderedPageBreak/>
        <w:t xml:space="preserve">compounds in </w:t>
      </w:r>
      <w:r>
        <w:rPr>
          <w:i/>
          <w:szCs w:val="21"/>
        </w:rPr>
        <w:t>°vāta-</w:t>
      </w:r>
      <w:bookmarkStart w:id="38" w:name="sdfootnote41anc"/>
      <w:bookmarkEnd w:id="38"/>
      <w:r>
        <w:rPr>
          <w:rStyle w:val="FootnoteAnchor"/>
          <w:i/>
          <w:szCs w:val="21"/>
        </w:rPr>
        <w:footnoteReference w:id="51"/>
      </w:r>
      <w:r>
        <w:rPr>
          <w:szCs w:val="21"/>
        </w:rPr>
        <w:t xml:space="preserve"> (cf. </w:t>
      </w:r>
      <w:r>
        <w:rPr>
          <w:i/>
          <w:szCs w:val="21"/>
        </w:rPr>
        <w:t>devávāta</w:t>
      </w:r>
      <w:r>
        <w:rPr>
          <w:i/>
          <w:szCs w:val="21"/>
        </w:rPr>
        <w:t>ḥ</w:t>
      </w:r>
      <w:r>
        <w:rPr>
          <w:szCs w:val="21"/>
        </w:rPr>
        <w:t xml:space="preserve">), above all in developments of verbal root outside the </w:t>
      </w:r>
      <w:r>
        <w:rPr>
          <w:i/>
          <w:szCs w:val="21"/>
        </w:rPr>
        <w:t>R</w:t>
      </w:r>
      <w:bookmarkStart w:id="39" w:name="sdfootnote42anc"/>
      <w:bookmarkEnd w:id="39"/>
      <w:r>
        <w:rPr>
          <w:i/>
          <w:szCs w:val="21"/>
        </w:rPr>
        <w:t>̥gveda Sa</w:t>
      </w:r>
      <w:r>
        <w:rPr>
          <w:i/>
          <w:szCs w:val="21"/>
        </w:rPr>
        <w:t>ṃ</w:t>
      </w:r>
      <w:r>
        <w:rPr>
          <w:i/>
          <w:szCs w:val="21"/>
        </w:rPr>
        <w:t>hitā</w:t>
      </w:r>
      <w:r>
        <w:rPr>
          <w:rStyle w:val="FootnoteAnchor"/>
          <w:i/>
          <w:szCs w:val="21"/>
        </w:rPr>
        <w:footnoteReference w:id="52"/>
      </w:r>
      <w:r>
        <w:rPr>
          <w:szCs w:val="21"/>
        </w:rPr>
        <w:t>.</w:t>
      </w:r>
      <w:r>
        <w:rPr>
          <w:sz w:val="20"/>
        </w:rPr>
        <w:t xml:space="preserve"> </w:t>
      </w:r>
    </w:p>
    <w:p w14:paraId="56F45821" w14:textId="77777777" w:rsidR="00E53EB6" w:rsidRDefault="00E53EB6">
      <w:pPr>
        <w:pStyle w:val="Hauptext"/>
      </w:pPr>
    </w:p>
    <w:p w14:paraId="76E5CE77" w14:textId="77777777" w:rsidR="00E53EB6" w:rsidRDefault="00E53EB6">
      <w:pPr>
        <w:pStyle w:val="HaupttextohneEinzug"/>
      </w:pPr>
    </w:p>
    <w:p w14:paraId="692E9B52" w14:textId="77777777" w:rsidR="00E53EB6" w:rsidRDefault="006500F5">
      <w:pPr>
        <w:pStyle w:val="Heading3"/>
        <w:tabs>
          <w:tab w:val="left" w:pos="0"/>
        </w:tabs>
        <w:rPr>
          <w:i/>
          <w:iCs/>
        </w:rPr>
      </w:pPr>
      <w:r>
        <w:rPr>
          <w:i/>
          <w:iCs/>
        </w:rPr>
        <w:t>d- Nuclear meaning “to appropriate”</w:t>
      </w:r>
    </w:p>
    <w:p w14:paraId="3C098ECD" w14:textId="77777777" w:rsidR="00E53EB6" w:rsidRDefault="006500F5">
      <w:pPr>
        <w:pStyle w:val="Hauptext"/>
        <w:rPr>
          <w:szCs w:val="21"/>
        </w:rPr>
      </w:pPr>
      <w:r>
        <w:rPr>
          <w:szCs w:val="21"/>
        </w:rPr>
        <w:t xml:space="preserve">From the passages so far analysed we can draw an initial indication: the verbal root </w:t>
      </w:r>
      <w:r>
        <w:rPr>
          <w:i/>
          <w:szCs w:val="21"/>
        </w:rPr>
        <w:t>van- / van</w:t>
      </w:r>
      <w:r>
        <w:rPr>
          <w:i/>
          <w:szCs w:val="21"/>
          <w:vertAlign w:val="superscript"/>
        </w:rPr>
        <w:t>i</w:t>
      </w:r>
      <w:r>
        <w:rPr>
          <w:i/>
          <w:szCs w:val="21"/>
        </w:rPr>
        <w:t>-</w:t>
      </w:r>
      <w:r>
        <w:rPr>
          <w:szCs w:val="21"/>
        </w:rPr>
        <w:t xml:space="preserve"> appears to convey the idea of a “possession” which can also take on the characteristic of “domination”. However, not infrequently we come across the verb </w:t>
      </w:r>
      <w:r>
        <w:rPr>
          <w:i/>
          <w:szCs w:val="21"/>
        </w:rPr>
        <w:t>van-</w:t>
      </w:r>
      <w:r>
        <w:rPr>
          <w:szCs w:val="21"/>
        </w:rPr>
        <w:t xml:space="preserve"> adopted in contexts showing a very different use, suggesting a very particular sense of “to possess”.</w:t>
      </w:r>
    </w:p>
    <w:p w14:paraId="55B82B88" w14:textId="77777777" w:rsidR="00E53EB6" w:rsidRDefault="006500F5">
      <w:pPr>
        <w:pStyle w:val="Hauptext"/>
        <w:rPr>
          <w:szCs w:val="21"/>
        </w:rPr>
      </w:pPr>
      <w:r>
        <w:rPr>
          <w:i/>
          <w:iCs/>
          <w:szCs w:val="21"/>
        </w:rPr>
        <w:t>d1-</w:t>
      </w:r>
      <w:r>
        <w:rPr>
          <w:b/>
          <w:szCs w:val="21"/>
        </w:rPr>
        <w:t xml:space="preserve"> </w:t>
      </w:r>
      <w:r>
        <w:rPr>
          <w:szCs w:val="21"/>
        </w:rPr>
        <w:t>A first type</w:t>
      </w:r>
      <w:r>
        <w:rPr>
          <w:szCs w:val="21"/>
        </w:rPr>
        <w:t xml:space="preserve"> of this different news is well represented by stanzas like 7.2.7: here Agni is evoked in his role as intermediary between man and the go</w:t>
      </w:r>
      <w:r>
        <w:rPr>
          <w:szCs w:val="21"/>
        </w:rPr>
        <w:t>ds, a fundamental function within the Vedic world:</w:t>
      </w:r>
    </w:p>
    <w:p w14:paraId="156AF12D" w14:textId="77777777" w:rsidR="00E53EB6" w:rsidRDefault="006500F5">
      <w:pPr>
        <w:pStyle w:val="Zitat"/>
      </w:pPr>
      <w:r>
        <w:t xml:space="preserve">7.2.7 </w:t>
      </w:r>
      <w:r>
        <w:rPr>
          <w:i/>
        </w:rPr>
        <w:t>víprā yajñé</w:t>
      </w:r>
      <w:r>
        <w:rPr>
          <w:i/>
        </w:rPr>
        <w:t>ṣ</w:t>
      </w:r>
      <w:r>
        <w:rPr>
          <w:i/>
        </w:rPr>
        <w:t>u mā́nu</w:t>
      </w:r>
      <w:r>
        <w:rPr>
          <w:i/>
        </w:rPr>
        <w:t>ṣ</w:t>
      </w:r>
      <w:r>
        <w:rPr>
          <w:i/>
        </w:rPr>
        <w:t>e</w:t>
      </w:r>
      <w:r>
        <w:rPr>
          <w:i/>
        </w:rPr>
        <w:t>ṣ</w:t>
      </w:r>
      <w:r>
        <w:rPr>
          <w:i/>
        </w:rPr>
        <w:t>u kārū́</w:t>
      </w:r>
    </w:p>
    <w:p w14:paraId="42B30CFC" w14:textId="77777777" w:rsidR="00E53EB6" w:rsidRDefault="006500F5">
      <w:pPr>
        <w:pStyle w:val="ZitatnachZitat"/>
        <w:rPr>
          <w:i/>
          <w:iCs/>
        </w:rPr>
      </w:pPr>
      <w:r>
        <w:rPr>
          <w:i/>
          <w:iCs/>
        </w:rPr>
        <w:t>mánye vā</w:t>
      </w:r>
      <w:r>
        <w:rPr>
          <w:i/>
          <w:iCs/>
        </w:rPr>
        <w:t>ṃ</w:t>
      </w:r>
      <w:r>
        <w:rPr>
          <w:i/>
          <w:iCs/>
        </w:rPr>
        <w:t xml:space="preserve"> jātávedasā yájadhyai</w:t>
      </w:r>
    </w:p>
    <w:p w14:paraId="6A05FDE1" w14:textId="77777777" w:rsidR="00E53EB6" w:rsidRDefault="006500F5">
      <w:pPr>
        <w:pStyle w:val="ZitatnachZitat"/>
        <w:rPr>
          <w:i/>
          <w:iCs/>
        </w:rPr>
      </w:pPr>
      <w:r>
        <w:rPr>
          <w:i/>
          <w:iCs/>
        </w:rPr>
        <w:t>ūrdhvá</w:t>
      </w:r>
      <w:r>
        <w:rPr>
          <w:i/>
          <w:iCs/>
        </w:rPr>
        <w:t>ṃ</w:t>
      </w:r>
      <w:r>
        <w:rPr>
          <w:i/>
          <w:iCs/>
        </w:rPr>
        <w:t xml:space="preserve"> no adhvará</w:t>
      </w:r>
      <w:r>
        <w:rPr>
          <w:i/>
          <w:iCs/>
        </w:rPr>
        <w:t>ṃ</w:t>
      </w:r>
      <w:r>
        <w:rPr>
          <w:i/>
          <w:iCs/>
        </w:rPr>
        <w:t xml:space="preserve"> kr̥ta</w:t>
      </w:r>
      <w:r>
        <w:rPr>
          <w:i/>
          <w:iCs/>
        </w:rPr>
        <w:t>ṃ</w:t>
      </w:r>
      <w:r>
        <w:rPr>
          <w:i/>
          <w:iCs/>
        </w:rPr>
        <w:t xml:space="preserve"> háve</w:t>
      </w:r>
      <w:r>
        <w:rPr>
          <w:i/>
          <w:iCs/>
        </w:rPr>
        <w:t>ṣ</w:t>
      </w:r>
      <w:r>
        <w:rPr>
          <w:i/>
          <w:iCs/>
        </w:rPr>
        <w:t>u</w:t>
      </w:r>
    </w:p>
    <w:p w14:paraId="02E994E2" w14:textId="77777777" w:rsidR="00E53EB6" w:rsidRDefault="006500F5">
      <w:pPr>
        <w:pStyle w:val="ZitatnachZitat"/>
        <w:rPr>
          <w:i/>
          <w:iCs/>
        </w:rPr>
      </w:pPr>
      <w:r>
        <w:rPr>
          <w:i/>
          <w:iCs/>
        </w:rPr>
        <w:t>tā́ devé</w:t>
      </w:r>
      <w:r>
        <w:rPr>
          <w:i/>
          <w:iCs/>
        </w:rPr>
        <w:t>ṣ</w:t>
      </w:r>
      <w:r>
        <w:rPr>
          <w:i/>
          <w:iCs/>
        </w:rPr>
        <w:t>u vanatho vā́r</w:t>
      </w:r>
      <w:r>
        <w:rPr>
          <w:i/>
          <w:iCs/>
          <w:vertAlign w:val="subscript"/>
        </w:rPr>
        <w:t>i</w:t>
      </w:r>
      <w:r>
        <w:rPr>
          <w:i/>
          <w:iCs/>
        </w:rPr>
        <w:t>yā</w:t>
      </w:r>
      <w:r>
        <w:rPr>
          <w:i/>
          <w:iCs/>
        </w:rPr>
        <w:t>ṇ</w:t>
      </w:r>
      <w:r>
        <w:rPr>
          <w:i/>
          <w:iCs/>
        </w:rPr>
        <w:t>i</w:t>
      </w:r>
    </w:p>
    <w:p w14:paraId="5601440B" w14:textId="77777777" w:rsidR="00E53EB6" w:rsidRDefault="006500F5">
      <w:pPr>
        <w:pStyle w:val="Zitat"/>
      </w:pPr>
      <w:r>
        <w:t>O wise inspired ones</w:t>
      </w:r>
      <w:bookmarkStart w:id="40" w:name="sdfootnote43anc"/>
      <w:bookmarkEnd w:id="40"/>
      <w:r>
        <w:rPr>
          <w:rStyle w:val="FootnoteAnchor"/>
        </w:rPr>
        <w:footnoteReference w:id="53"/>
      </w:r>
      <w:r>
        <w:t>, during the sacrifices of men, I invoke you, you, th</w:t>
      </w:r>
      <w:r>
        <w:t>e poet-priest and the Jatavedas</w:t>
      </w:r>
      <w:bookmarkStart w:id="41" w:name="sdfootnote44anc"/>
      <w:bookmarkEnd w:id="41"/>
      <w:r>
        <w:rPr>
          <w:rStyle w:val="FootnoteAnchor"/>
        </w:rPr>
        <w:footnoteReference w:id="54"/>
      </w:r>
      <w:r>
        <w:t>, let it be sacrificed for you</w:t>
      </w:r>
      <w:bookmarkStart w:id="42" w:name="sdfootnote45anc"/>
      <w:bookmarkEnd w:id="42"/>
      <w:r>
        <w:rPr>
          <w:rStyle w:val="FootnoteAnchor"/>
        </w:rPr>
        <w:footnoteReference w:id="55"/>
      </w:r>
      <w:r>
        <w:t xml:space="preserve">! Raise up our offering during the invocations, amongst the gods you two </w:t>
      </w:r>
      <w:r>
        <w:rPr>
          <w:u w:val="single"/>
        </w:rPr>
        <w:t>appropriate</w:t>
      </w:r>
      <w:r>
        <w:t xml:space="preserve"> these choice goods.</w:t>
      </w:r>
    </w:p>
    <w:p w14:paraId="099C3EB5" w14:textId="77777777" w:rsidR="00E53EB6" w:rsidRDefault="006500F5">
      <w:pPr>
        <w:pStyle w:val="Zitat"/>
        <w:rPr>
          <w:i/>
        </w:rPr>
      </w:pPr>
      <w:r w:rsidRPr="00B80C6B">
        <w:rPr>
          <w:i/>
          <w:lang w:val="de-DE"/>
        </w:rPr>
        <w:t>vanatha</w:t>
      </w:r>
      <w:r w:rsidRPr="00B80C6B">
        <w:rPr>
          <w:i/>
          <w:lang w:val="de-DE"/>
        </w:rPr>
        <w:t>ḥ</w:t>
      </w:r>
      <w:r w:rsidRPr="00B80C6B">
        <w:rPr>
          <w:i/>
          <w:lang w:val="de-DE"/>
        </w:rPr>
        <w:t xml:space="preserve">: </w:t>
      </w:r>
      <w:r w:rsidRPr="00B80C6B">
        <w:rPr>
          <w:lang w:val="de-DE"/>
        </w:rPr>
        <w:t>ind. pres. 2</w:t>
      </w:r>
      <w:r w:rsidRPr="00B80C6B">
        <w:rPr>
          <w:vertAlign w:val="superscript"/>
          <w:lang w:val="de-DE"/>
        </w:rPr>
        <w:t>nd</w:t>
      </w:r>
      <w:r w:rsidRPr="00B80C6B">
        <w:rPr>
          <w:lang w:val="de-DE"/>
        </w:rPr>
        <w:t xml:space="preserve"> du. </w:t>
      </w:r>
      <w:r>
        <w:t>I-VI cl.</w:t>
      </w:r>
    </w:p>
    <w:p w14:paraId="4A1E4EAA" w14:textId="77777777" w:rsidR="00E53EB6" w:rsidRDefault="006500F5">
      <w:pPr>
        <w:pStyle w:val="ZitatmitEinzug"/>
      </w:pPr>
      <w:r>
        <w:rPr>
          <w:rStyle w:val="biblio-authorGEN"/>
          <w:sz w:val="18"/>
          <w:szCs w:val="15"/>
        </w:rPr>
        <w:t>Geldner</w:t>
      </w:r>
      <w:r>
        <w:t xml:space="preserve">: II 182 </w:t>
      </w:r>
      <w:r>
        <w:t>“gewinnt”</w:t>
      </w:r>
    </w:p>
    <w:p w14:paraId="07BCB058" w14:textId="77777777" w:rsidR="00E53EB6" w:rsidRDefault="006500F5">
      <w:pPr>
        <w:pStyle w:val="ZitatmitEinzug"/>
      </w:pPr>
      <w:r>
        <w:rPr>
          <w:rStyle w:val="biblio-authorGEN"/>
          <w:sz w:val="18"/>
          <w:szCs w:val="15"/>
        </w:rPr>
        <w:t>Renou</w:t>
      </w:r>
      <w:r>
        <w:t xml:space="preserve">: XIV 46 </w:t>
      </w:r>
      <w:r>
        <w:t>“gagnez”</w:t>
      </w:r>
    </w:p>
    <w:p w14:paraId="6CC5D89D" w14:textId="77777777" w:rsidR="00E53EB6" w:rsidRDefault="006500F5">
      <w:pPr>
        <w:pStyle w:val="HaupttextnachZitat"/>
      </w:pPr>
      <w:r>
        <w:t>An identical invocation structure is also to be found in 1.31.14; 1.36.17; 3.19.1; 5.3.10; 5.4.3; 6.16.28; 7.17.5; 8.23.27; 8.60.14 and 8.103.9. The presence of Agni is dominant: only three stanzas of this type make reference to other div</w:t>
      </w:r>
      <w:r>
        <w:t xml:space="preserve">inities. In the first case it is Sūrya, invoked as </w:t>
      </w:r>
      <w:r>
        <w:lastRenderedPageBreak/>
        <w:t>intermediary, who is asked to “appropriate” a refuge:</w:t>
      </w:r>
    </w:p>
    <w:p w14:paraId="7D13E529" w14:textId="77777777" w:rsidR="00E53EB6" w:rsidRDefault="006500F5">
      <w:pPr>
        <w:pStyle w:val="Zitat"/>
      </w:pPr>
      <w:r>
        <w:t xml:space="preserve">5.44.7 </w:t>
      </w:r>
      <w:r>
        <w:rPr>
          <w:i/>
          <w:iCs/>
        </w:rPr>
        <w:t>véti ágrur jánivān vā́ áti spŕ̥dha</w:t>
      </w:r>
      <w:r>
        <w:rPr>
          <w:i/>
          <w:iCs/>
        </w:rPr>
        <w:t>ḥ</w:t>
      </w:r>
    </w:p>
    <w:p w14:paraId="7F4B45E9" w14:textId="77777777" w:rsidR="00E53EB6" w:rsidRDefault="006500F5">
      <w:pPr>
        <w:pStyle w:val="ZitatnachZitat"/>
        <w:rPr>
          <w:i/>
          <w:iCs/>
        </w:rPr>
      </w:pPr>
      <w:r>
        <w:rPr>
          <w:i/>
          <w:iCs/>
        </w:rPr>
        <w:t>samaryatā́ mánasā sū́r</w:t>
      </w:r>
      <w:r>
        <w:rPr>
          <w:i/>
          <w:iCs/>
          <w:vertAlign w:val="subscript"/>
        </w:rPr>
        <w:t>i</w:t>
      </w:r>
      <w:r>
        <w:rPr>
          <w:i/>
          <w:iCs/>
        </w:rPr>
        <w:t>ya</w:t>
      </w:r>
      <w:r>
        <w:rPr>
          <w:i/>
          <w:iCs/>
        </w:rPr>
        <w:t>ḥ</w:t>
      </w:r>
      <w:r>
        <w:rPr>
          <w:i/>
          <w:iCs/>
        </w:rPr>
        <w:t xml:space="preserve"> kaví</w:t>
      </w:r>
      <w:r>
        <w:rPr>
          <w:i/>
          <w:iCs/>
        </w:rPr>
        <w:t>ḥ</w:t>
      </w:r>
    </w:p>
    <w:p w14:paraId="05C5EAC4" w14:textId="77777777" w:rsidR="00E53EB6" w:rsidRDefault="006500F5">
      <w:pPr>
        <w:pStyle w:val="ZitatnachZitat"/>
        <w:rPr>
          <w:i/>
          <w:iCs/>
        </w:rPr>
      </w:pPr>
      <w:r>
        <w:rPr>
          <w:i/>
          <w:iCs/>
        </w:rPr>
        <w:t>ghra</w:t>
      </w:r>
      <w:r>
        <w:rPr>
          <w:i/>
          <w:iCs/>
        </w:rPr>
        <w:t>ṃ</w:t>
      </w:r>
      <w:r>
        <w:rPr>
          <w:i/>
          <w:iCs/>
        </w:rPr>
        <w:t>sá</w:t>
      </w:r>
      <w:r>
        <w:rPr>
          <w:i/>
          <w:iCs/>
        </w:rPr>
        <w:t>ṃ</w:t>
      </w:r>
      <w:r>
        <w:rPr>
          <w:i/>
          <w:iCs/>
        </w:rPr>
        <w:t xml:space="preserve"> rák</w:t>
      </w:r>
      <w:r>
        <w:rPr>
          <w:i/>
          <w:iCs/>
        </w:rPr>
        <w:t>ṣ</w:t>
      </w:r>
      <w:r>
        <w:rPr>
          <w:i/>
          <w:iCs/>
        </w:rPr>
        <w:t>antam pári viśváto gáyam</w:t>
      </w:r>
    </w:p>
    <w:p w14:paraId="14CC2311" w14:textId="77777777" w:rsidR="00E53EB6" w:rsidRDefault="006500F5">
      <w:pPr>
        <w:pStyle w:val="ZitatnachZitat"/>
        <w:rPr>
          <w:i/>
          <w:iCs/>
        </w:rPr>
      </w:pPr>
      <w:r>
        <w:rPr>
          <w:i/>
          <w:iCs/>
        </w:rPr>
        <w:t>asmā́ka</w:t>
      </w:r>
      <w:r>
        <w:rPr>
          <w:i/>
          <w:iCs/>
        </w:rPr>
        <w:t>ṃ</w:t>
      </w:r>
      <w:r>
        <w:rPr>
          <w:i/>
          <w:iCs/>
        </w:rPr>
        <w:t xml:space="preserve"> śárma vanavat suā́vasu</w:t>
      </w:r>
      <w:r>
        <w:rPr>
          <w:i/>
          <w:iCs/>
        </w:rPr>
        <w:t>ḥ</w:t>
      </w:r>
    </w:p>
    <w:p w14:paraId="766A100D" w14:textId="77777777" w:rsidR="00E53EB6" w:rsidRDefault="006500F5">
      <w:pPr>
        <w:pStyle w:val="Zitat"/>
      </w:pPr>
      <w:r>
        <w:t xml:space="preserve">He </w:t>
      </w:r>
      <w:r>
        <w:t xml:space="preserve">outruns, unmarried and yet surrounded by women, the rivals through a mind inspired for competition, Sūrya, inspired sage, </w:t>
      </w:r>
      <w:r>
        <w:t>may</w:t>
      </w:r>
      <w:r>
        <w:t xml:space="preserve"> he </w:t>
      </w:r>
      <w:r>
        <w:rPr>
          <w:u w:val="single"/>
        </w:rPr>
        <w:t xml:space="preserve">appropriate </w:t>
      </w:r>
      <w:r>
        <w:t>the home that protects the heat all around, a shelter for us, he possessing any good.</w:t>
      </w:r>
    </w:p>
    <w:p w14:paraId="5DF6AA7F" w14:textId="77777777" w:rsidR="00E53EB6" w:rsidRDefault="006500F5">
      <w:pPr>
        <w:pStyle w:val="Zitat"/>
      </w:pPr>
      <w:r>
        <w:rPr>
          <w:i/>
          <w:iCs/>
        </w:rPr>
        <w:t>vanavat</w:t>
      </w:r>
      <w:r>
        <w:t>: subj. pres. 3</w:t>
      </w:r>
      <w:r>
        <w:rPr>
          <w:vertAlign w:val="superscript"/>
        </w:rPr>
        <w:t>rd</w:t>
      </w:r>
      <w:r>
        <w:t xml:space="preserve"> sing</w:t>
      </w:r>
      <w:r>
        <w:t>. VIII cl.</w:t>
      </w:r>
    </w:p>
    <w:p w14:paraId="5AF7BA01" w14:textId="77777777" w:rsidR="00E53EB6" w:rsidRPr="00B80C6B" w:rsidRDefault="006500F5">
      <w:pPr>
        <w:pStyle w:val="ZitatmitEinzug"/>
        <w:rPr>
          <w:lang w:val="de-DE"/>
        </w:rPr>
      </w:pPr>
      <w:r w:rsidRPr="00B80C6B">
        <w:rPr>
          <w:rStyle w:val="biblio-authorGEN"/>
          <w:sz w:val="18"/>
          <w:szCs w:val="15"/>
          <w:lang w:val="de-DE"/>
        </w:rPr>
        <w:t>Geldner</w:t>
      </w:r>
      <w:r w:rsidRPr="00B80C6B">
        <w:rPr>
          <w:lang w:val="de-DE"/>
        </w:rPr>
        <w:t>: II 48 “möge zuwenden”</w:t>
      </w:r>
    </w:p>
    <w:p w14:paraId="6CA79978" w14:textId="77777777" w:rsidR="00E53EB6" w:rsidRPr="00B80C6B" w:rsidRDefault="006500F5">
      <w:pPr>
        <w:pStyle w:val="ZitatmitEinzug"/>
        <w:rPr>
          <w:lang w:val="de-DE"/>
        </w:rPr>
      </w:pPr>
      <w:r w:rsidRPr="00B80C6B">
        <w:rPr>
          <w:rStyle w:val="biblio-authorGEN"/>
          <w:sz w:val="18"/>
          <w:szCs w:val="15"/>
          <w:lang w:val="de-DE"/>
        </w:rPr>
        <w:t>Renou</w:t>
      </w:r>
      <w:r w:rsidRPr="00B80C6B">
        <w:rPr>
          <w:lang w:val="de-DE"/>
        </w:rPr>
        <w:t>: V 26 “assure nous”</w:t>
      </w:r>
    </w:p>
    <w:p w14:paraId="74B77A04" w14:textId="77777777" w:rsidR="00E53EB6" w:rsidRDefault="006500F5">
      <w:pPr>
        <w:pStyle w:val="HaupttextnachZitat"/>
      </w:pPr>
      <w:r>
        <w:t>While in the other two cases – quoted below – the divinities invoked are Indra in 1.169.1 and the couple Mitra-Varu</w:t>
      </w:r>
      <w:r>
        <w:t>ṇ</w:t>
      </w:r>
      <w:r>
        <w:t xml:space="preserve">a in 5.65.4, where, however, the stanza of interest to us </w:t>
      </w:r>
      <w:r>
        <w:t>addresses in particular Mitra, whose benevolence succours the sacrifice and is manifested in its ample path, as previously in 5.70.1 (</w:t>
      </w:r>
      <w:r>
        <w:rPr>
          <w:i/>
          <w:iCs/>
        </w:rPr>
        <w:t>purūrú</w:t>
      </w:r>
      <w:r>
        <w:rPr>
          <w:i/>
          <w:iCs/>
        </w:rPr>
        <w:t>ṇ</w:t>
      </w:r>
      <w:r>
        <w:rPr>
          <w:i/>
          <w:iCs/>
        </w:rPr>
        <w:t>ā cid dhí ásti / ávo nūná</w:t>
      </w:r>
      <w:r>
        <w:rPr>
          <w:i/>
          <w:iCs/>
        </w:rPr>
        <w:t>ṃ</w:t>
      </w:r>
      <w:r>
        <w:rPr>
          <w:i/>
          <w:iCs/>
        </w:rPr>
        <w:t xml:space="preserve"> vā</w:t>
      </w:r>
      <w:r>
        <w:rPr>
          <w:i/>
          <w:iCs/>
        </w:rPr>
        <w:t>ṃ</w:t>
      </w:r>
      <w:r>
        <w:rPr>
          <w:i/>
          <w:iCs/>
        </w:rPr>
        <w:t xml:space="preserve"> varu</w:t>
      </w:r>
      <w:r>
        <w:rPr>
          <w:i/>
          <w:iCs/>
        </w:rPr>
        <w:t>ṇ</w:t>
      </w:r>
      <w:r>
        <w:rPr>
          <w:i/>
          <w:iCs/>
        </w:rPr>
        <w:t>a / mítra vá</w:t>
      </w:r>
      <w:r>
        <w:rPr>
          <w:i/>
          <w:iCs/>
        </w:rPr>
        <w:t>ṃ</w:t>
      </w:r>
      <w:r>
        <w:rPr>
          <w:i/>
          <w:iCs/>
        </w:rPr>
        <w:t>si vā</w:t>
      </w:r>
      <w:r>
        <w:rPr>
          <w:i/>
        </w:rPr>
        <w:t>ṃ</w:t>
      </w:r>
      <w:r>
        <w:rPr>
          <w:i/>
        </w:rPr>
        <w:t xml:space="preserve"> sumatím</w:t>
      </w:r>
      <w:r>
        <w:t>) “abundant now is your protection which manifests i</w:t>
      </w:r>
      <w:r>
        <w:t>tself thanks to the ample space, o Varu</w:t>
      </w:r>
      <w:r>
        <w:t>ṇ</w:t>
      </w:r>
      <w:r>
        <w:t>a, o Mitra, let me possess your benevolence”:</w:t>
      </w:r>
    </w:p>
    <w:p w14:paraId="3DD0DB2C" w14:textId="77777777" w:rsidR="00E53EB6" w:rsidRDefault="006500F5">
      <w:pPr>
        <w:pStyle w:val="Zitat"/>
      </w:pPr>
      <w:r>
        <w:t xml:space="preserve">1.169.1 </w:t>
      </w:r>
      <w:r>
        <w:rPr>
          <w:i/>
        </w:rPr>
        <w:t>maháś cit tvám indara yatá etā́n</w:t>
      </w:r>
    </w:p>
    <w:p w14:paraId="1074FA3C" w14:textId="77777777" w:rsidR="00E53EB6" w:rsidRDefault="006500F5">
      <w:pPr>
        <w:pStyle w:val="ZitatnachZitat"/>
        <w:rPr>
          <w:i/>
          <w:iCs/>
        </w:rPr>
      </w:pPr>
      <w:r>
        <w:rPr>
          <w:i/>
          <w:iCs/>
        </w:rPr>
        <w:t>maháś cid asi tyájaso varūtā́</w:t>
      </w:r>
    </w:p>
    <w:p w14:paraId="72B07BB4" w14:textId="77777777" w:rsidR="00E53EB6" w:rsidRDefault="006500F5">
      <w:pPr>
        <w:pStyle w:val="ZitatnachZitat"/>
        <w:rPr>
          <w:i/>
          <w:iCs/>
        </w:rPr>
      </w:pPr>
      <w:r>
        <w:rPr>
          <w:i/>
          <w:iCs/>
        </w:rPr>
        <w:t>sá no vedho marútā</w:t>
      </w:r>
      <w:r>
        <w:rPr>
          <w:i/>
          <w:iCs/>
        </w:rPr>
        <w:t>ṃ</w:t>
      </w:r>
      <w:r>
        <w:rPr>
          <w:i/>
          <w:iCs/>
        </w:rPr>
        <w:t xml:space="preserve"> cikitvā́n</w:t>
      </w:r>
    </w:p>
    <w:p w14:paraId="77869329" w14:textId="77777777" w:rsidR="00E53EB6" w:rsidRDefault="006500F5">
      <w:pPr>
        <w:pStyle w:val="ZitatnachZitat"/>
        <w:rPr>
          <w:i/>
          <w:iCs/>
        </w:rPr>
      </w:pPr>
      <w:r>
        <w:rPr>
          <w:i/>
          <w:iCs/>
        </w:rPr>
        <w:t>sumnā́ vanu</w:t>
      </w:r>
      <w:r>
        <w:rPr>
          <w:i/>
          <w:iCs/>
        </w:rPr>
        <w:t>ṣ</w:t>
      </w:r>
      <w:r>
        <w:rPr>
          <w:i/>
          <w:iCs/>
        </w:rPr>
        <w:t>va táva h</w:t>
      </w:r>
      <w:r>
        <w:rPr>
          <w:i/>
          <w:iCs/>
        </w:rPr>
        <w:t>í  pré</w:t>
      </w:r>
      <w:r>
        <w:rPr>
          <w:i/>
          <w:iCs/>
        </w:rPr>
        <w:t>ṣṭ</w:t>
      </w:r>
      <w:r>
        <w:rPr>
          <w:i/>
          <w:iCs/>
        </w:rPr>
        <w:t>hā</w:t>
      </w:r>
    </w:p>
    <w:p w14:paraId="00C885F5" w14:textId="77777777" w:rsidR="00E53EB6" w:rsidRDefault="006500F5">
      <w:pPr>
        <w:pStyle w:val="Zitat"/>
      </w:pPr>
      <w:r>
        <w:t xml:space="preserve">You, great, o Indra, have held these </w:t>
      </w:r>
      <w:r>
        <w:t>back, truly you are, great, he who protects from isolation</w:t>
      </w:r>
      <w:bookmarkStart w:id="43" w:name="sdfootnote46anc"/>
      <w:bookmarkEnd w:id="43"/>
      <w:r>
        <w:rPr>
          <w:rStyle w:val="FootnoteAnchor"/>
        </w:rPr>
        <w:footnoteReference w:id="56"/>
      </w:r>
      <w:r>
        <w:t>; you who perform the distribution</w:t>
      </w:r>
      <w:bookmarkStart w:id="44" w:name="sdfootnote47anc"/>
      <w:bookmarkEnd w:id="44"/>
      <w:r>
        <w:rPr>
          <w:rStyle w:val="FootnoteAnchor"/>
        </w:rPr>
        <w:footnoteReference w:id="57"/>
      </w:r>
      <w:r>
        <w:t xml:space="preserve"> for us, having understood, through the vision, the favours of the Marut </w:t>
      </w:r>
      <w:r>
        <w:rPr>
          <w:u w:val="single"/>
        </w:rPr>
        <w:t>appropriate</w:t>
      </w:r>
      <w:bookmarkStart w:id="45" w:name="sdfootnote48anc"/>
      <w:bookmarkEnd w:id="45"/>
      <w:r>
        <w:rPr>
          <w:rStyle w:val="FootnoteAnchor"/>
          <w:u w:val="single"/>
        </w:rPr>
        <w:footnoteReference w:id="58"/>
      </w:r>
      <w:r>
        <w:t xml:space="preserve">, your dearest. </w:t>
      </w:r>
    </w:p>
    <w:p w14:paraId="27C7B76F" w14:textId="77777777" w:rsidR="00E53EB6" w:rsidRDefault="006500F5">
      <w:pPr>
        <w:pStyle w:val="Zitat"/>
      </w:pPr>
      <w:r>
        <w:rPr>
          <w:i/>
        </w:rPr>
        <w:t>vanu</w:t>
      </w:r>
      <w:r>
        <w:rPr>
          <w:i/>
        </w:rPr>
        <w:t>ṣ</w:t>
      </w:r>
      <w:r>
        <w:rPr>
          <w:i/>
        </w:rPr>
        <w:t>va:</w:t>
      </w:r>
      <w:r>
        <w:t xml:space="preserve"> impv. pres. 2</w:t>
      </w:r>
      <w:r>
        <w:rPr>
          <w:vertAlign w:val="superscript"/>
        </w:rPr>
        <w:t>nd</w:t>
      </w:r>
      <w:r>
        <w:t xml:space="preserve"> sing. Ā VIII cl.</w:t>
      </w:r>
    </w:p>
    <w:p w14:paraId="33D4F657" w14:textId="77777777" w:rsidR="00E53EB6" w:rsidRPr="00B80C6B" w:rsidRDefault="006500F5">
      <w:pPr>
        <w:pStyle w:val="ZitatmitEinzug"/>
        <w:rPr>
          <w:lang w:val="de-DE"/>
        </w:rPr>
      </w:pPr>
      <w:r w:rsidRPr="00B80C6B">
        <w:rPr>
          <w:rStyle w:val="biblio-authorGEN"/>
          <w:sz w:val="18"/>
          <w:szCs w:val="15"/>
          <w:lang w:val="de-DE"/>
        </w:rPr>
        <w:t>Geldner</w:t>
      </w:r>
      <w:r w:rsidRPr="00B80C6B">
        <w:rPr>
          <w:lang w:val="de-DE"/>
        </w:rPr>
        <w:t>: I 246</w:t>
      </w:r>
      <w:r w:rsidRPr="00B80C6B">
        <w:rPr>
          <w:lang w:val="de-DE"/>
        </w:rPr>
        <w:t xml:space="preserve"> </w:t>
      </w:r>
      <w:r w:rsidRPr="00B80C6B">
        <w:rPr>
          <w:lang w:val="de-DE"/>
        </w:rPr>
        <w:t>“gewinn”</w:t>
      </w:r>
    </w:p>
    <w:p w14:paraId="0BFB44DB" w14:textId="77777777" w:rsidR="00E53EB6" w:rsidRPr="00B80C6B" w:rsidRDefault="006500F5">
      <w:pPr>
        <w:pStyle w:val="ZitatmitEinzug"/>
        <w:rPr>
          <w:lang w:val="de-DE"/>
        </w:rPr>
      </w:pPr>
      <w:r w:rsidRPr="00B80C6B">
        <w:rPr>
          <w:rStyle w:val="biblio-authorGEN"/>
          <w:sz w:val="18"/>
          <w:szCs w:val="15"/>
          <w:lang w:val="de-DE"/>
        </w:rPr>
        <w:t>Renou</w:t>
      </w:r>
      <w:r w:rsidRPr="00B80C6B">
        <w:rPr>
          <w:lang w:val="de-DE"/>
        </w:rPr>
        <w:t xml:space="preserve">: XVII 48 </w:t>
      </w:r>
      <w:r w:rsidRPr="00B80C6B">
        <w:rPr>
          <w:lang w:val="de-DE"/>
        </w:rPr>
        <w:t>“gagne”</w:t>
      </w:r>
    </w:p>
    <w:p w14:paraId="418D4E34" w14:textId="77777777" w:rsidR="00E53EB6" w:rsidRPr="00B80C6B" w:rsidRDefault="006500F5">
      <w:pPr>
        <w:pStyle w:val="ZitatmitEinzug"/>
        <w:rPr>
          <w:lang w:val="de-DE"/>
        </w:rPr>
      </w:pPr>
      <w:r w:rsidRPr="00B80C6B">
        <w:rPr>
          <w:rStyle w:val="biblio-authorGEN"/>
          <w:sz w:val="18"/>
          <w:szCs w:val="15"/>
          <w:lang w:val="de-DE"/>
        </w:rPr>
        <w:t xml:space="preserve">Witzel-Gotō </w:t>
      </w:r>
      <w:r w:rsidRPr="00B80C6B">
        <w:rPr>
          <w:lang w:val="de-DE"/>
        </w:rPr>
        <w:t>2007: 314“gewinn”</w:t>
      </w:r>
    </w:p>
    <w:p w14:paraId="64FDEB68" w14:textId="77777777" w:rsidR="00E53EB6" w:rsidRPr="00B80C6B" w:rsidRDefault="00E53EB6">
      <w:pPr>
        <w:pStyle w:val="HaupttextnachZitat"/>
        <w:rPr>
          <w:lang w:val="de-DE"/>
        </w:rPr>
      </w:pPr>
    </w:p>
    <w:p w14:paraId="7C3CD416" w14:textId="77777777" w:rsidR="00E53EB6" w:rsidRPr="00B80C6B" w:rsidRDefault="006500F5">
      <w:pPr>
        <w:pStyle w:val="Zitat"/>
        <w:rPr>
          <w:lang w:val="de-DE"/>
        </w:rPr>
      </w:pPr>
      <w:r w:rsidRPr="00B80C6B">
        <w:rPr>
          <w:lang w:val="de-DE"/>
        </w:rPr>
        <w:t xml:space="preserve">5.65.4 </w:t>
      </w:r>
      <w:r w:rsidRPr="00B80C6B">
        <w:rPr>
          <w:i/>
          <w:lang w:val="de-DE"/>
        </w:rPr>
        <w:t>mitró a</w:t>
      </w:r>
      <w:r w:rsidRPr="00B80C6B">
        <w:rPr>
          <w:i/>
          <w:lang w:val="de-DE"/>
        </w:rPr>
        <w:t>ṃ</w:t>
      </w:r>
      <w:r w:rsidRPr="00B80C6B">
        <w:rPr>
          <w:i/>
          <w:lang w:val="de-DE"/>
        </w:rPr>
        <w:t>hóś cid ā́d urú</w:t>
      </w:r>
    </w:p>
    <w:p w14:paraId="44A151FE" w14:textId="77777777" w:rsidR="00E53EB6" w:rsidRPr="00B80C6B" w:rsidRDefault="006500F5">
      <w:pPr>
        <w:pStyle w:val="ZitatnachZitat"/>
        <w:rPr>
          <w:i/>
          <w:iCs/>
          <w:lang w:val="de-DE"/>
        </w:rPr>
      </w:pPr>
      <w:r w:rsidRPr="00B80C6B">
        <w:rPr>
          <w:i/>
          <w:iCs/>
          <w:lang w:val="de-DE"/>
        </w:rPr>
        <w:t>k</w:t>
      </w:r>
      <w:r w:rsidRPr="00B80C6B">
        <w:rPr>
          <w:i/>
          <w:iCs/>
          <w:lang w:val="de-DE"/>
        </w:rPr>
        <w:t>ṣ</w:t>
      </w:r>
      <w:r w:rsidRPr="00B80C6B">
        <w:rPr>
          <w:i/>
          <w:iCs/>
          <w:lang w:val="de-DE"/>
        </w:rPr>
        <w:t>áyāya gātú</w:t>
      </w:r>
      <w:r w:rsidRPr="00B80C6B">
        <w:rPr>
          <w:i/>
          <w:iCs/>
          <w:lang w:val="de-DE"/>
        </w:rPr>
        <w:t>ṃ</w:t>
      </w:r>
      <w:r w:rsidRPr="00B80C6B">
        <w:rPr>
          <w:i/>
          <w:iCs/>
          <w:lang w:val="de-DE"/>
        </w:rPr>
        <w:t xml:space="preserve"> vanate</w:t>
      </w:r>
    </w:p>
    <w:p w14:paraId="7BD35CCE" w14:textId="77777777" w:rsidR="00E53EB6" w:rsidRPr="00B80C6B" w:rsidRDefault="006500F5">
      <w:pPr>
        <w:pStyle w:val="ZitatnachZitat"/>
        <w:rPr>
          <w:i/>
          <w:iCs/>
          <w:lang w:val="de-DE"/>
        </w:rPr>
      </w:pPr>
      <w:r w:rsidRPr="00B80C6B">
        <w:rPr>
          <w:i/>
          <w:iCs/>
          <w:lang w:val="de-DE"/>
        </w:rPr>
        <w:t>mitrásya hí pratū́rvata</w:t>
      </w:r>
      <w:r w:rsidRPr="00B80C6B">
        <w:rPr>
          <w:i/>
          <w:iCs/>
          <w:lang w:val="de-DE"/>
        </w:rPr>
        <w:t>ḥ</w:t>
      </w:r>
    </w:p>
    <w:p w14:paraId="769C3B60" w14:textId="77777777" w:rsidR="00E53EB6" w:rsidRDefault="006500F5">
      <w:pPr>
        <w:pStyle w:val="ZitatnachZitat"/>
        <w:rPr>
          <w:i/>
          <w:iCs/>
        </w:rPr>
      </w:pPr>
      <w:r>
        <w:rPr>
          <w:i/>
          <w:iCs/>
        </w:rPr>
        <w:t>sumatír ásti vidhatá</w:t>
      </w:r>
      <w:r>
        <w:rPr>
          <w:i/>
          <w:iCs/>
        </w:rPr>
        <w:t>ḥ</w:t>
      </w:r>
    </w:p>
    <w:p w14:paraId="629ECB7B" w14:textId="77777777" w:rsidR="00E53EB6" w:rsidRDefault="006500F5">
      <w:pPr>
        <w:pStyle w:val="Zitat"/>
      </w:pPr>
      <w:r>
        <w:t xml:space="preserve">Mitra right from out of the narrow way </w:t>
      </w:r>
      <w:r>
        <w:rPr>
          <w:u w:val="single"/>
        </w:rPr>
        <w:t>appropriates</w:t>
      </w:r>
      <w:r>
        <w:t>, ample, the path</w:t>
      </w:r>
      <w:bookmarkStart w:id="46" w:name="sdfootnote49anc"/>
      <w:bookmarkEnd w:id="46"/>
      <w:r>
        <w:rPr>
          <w:rStyle w:val="FootnoteAnchor"/>
        </w:rPr>
        <w:footnoteReference w:id="59"/>
      </w:r>
      <w:r>
        <w:t xml:space="preserve"> towards home, the benevolence of </w:t>
      </w:r>
      <w:r>
        <w:lastRenderedPageBreak/>
        <w:t>Mitra, who advances victorious</w:t>
      </w:r>
      <w:bookmarkStart w:id="47" w:name="sdfootnote50anc"/>
      <w:bookmarkEnd w:id="47"/>
      <w:r>
        <w:rPr>
          <w:rStyle w:val="FootnoteAnchor"/>
        </w:rPr>
        <w:footnoteReference w:id="60"/>
      </w:r>
      <w:r>
        <w:t>, comes in aid of the one who performs the distribution</w:t>
      </w:r>
      <w:bookmarkStart w:id="48" w:name="sdfootnote51anc"/>
      <w:bookmarkEnd w:id="48"/>
      <w:r>
        <w:rPr>
          <w:rStyle w:val="FootnoteAnchor"/>
        </w:rPr>
        <w:footnoteReference w:id="61"/>
      </w:r>
      <w:r>
        <w:t>.</w:t>
      </w:r>
    </w:p>
    <w:p w14:paraId="00F12666" w14:textId="77777777" w:rsidR="00E53EB6" w:rsidRDefault="006500F5">
      <w:pPr>
        <w:pStyle w:val="Zitat"/>
      </w:pPr>
      <w:r>
        <w:rPr>
          <w:i/>
        </w:rPr>
        <w:t>vanate:</w:t>
      </w:r>
      <w:r>
        <w:t xml:space="preserve"> ind. pres. 3</w:t>
      </w:r>
      <w:r>
        <w:rPr>
          <w:vertAlign w:val="superscript"/>
        </w:rPr>
        <w:t>rd</w:t>
      </w:r>
      <w:r>
        <w:t xml:space="preserve"> sing. I-VI cl.</w:t>
      </w:r>
    </w:p>
    <w:p w14:paraId="3E5ABC12" w14:textId="77777777" w:rsidR="00E53EB6" w:rsidRDefault="006500F5">
      <w:pPr>
        <w:pStyle w:val="ZitatmitEinzug"/>
      </w:pPr>
      <w:r>
        <w:rPr>
          <w:rStyle w:val="biblio-authorGEN"/>
          <w:sz w:val="18"/>
          <w:szCs w:val="15"/>
        </w:rPr>
        <w:t>Geldner:</w:t>
      </w:r>
      <w:r>
        <w:t xml:space="preserve"> II 73 “</w:t>
      </w:r>
      <w:r>
        <w:t>gewinnt”</w:t>
      </w:r>
    </w:p>
    <w:p w14:paraId="39EDCE0A" w14:textId="77777777" w:rsidR="00E53EB6" w:rsidRDefault="006500F5">
      <w:pPr>
        <w:pStyle w:val="ZitatmitEinzug"/>
      </w:pPr>
      <w:r>
        <w:rPr>
          <w:rStyle w:val="biblio-authorGEN"/>
          <w:sz w:val="18"/>
          <w:szCs w:val="15"/>
        </w:rPr>
        <w:t>Renou:</w:t>
      </w:r>
      <w:r>
        <w:t xml:space="preserve"> V 80 “</w:t>
      </w:r>
      <w:r>
        <w:t>gagne</w:t>
      </w:r>
      <w:r>
        <w:rPr>
          <w:i/>
        </w:rPr>
        <w:t>”</w:t>
      </w:r>
    </w:p>
    <w:p w14:paraId="73063038" w14:textId="77777777" w:rsidR="00E53EB6" w:rsidRDefault="006500F5">
      <w:pPr>
        <w:pStyle w:val="HaupttextnachZitat"/>
      </w:pPr>
      <w:r>
        <w:t>Considering, now, this first group of stanzas, w</w:t>
      </w:r>
      <w:r>
        <w:t>e are struck by a significant difference from the previous groups (</w:t>
      </w:r>
      <w:r>
        <w:rPr>
          <w:i/>
          <w:iCs/>
        </w:rPr>
        <w:t>a- b- c-</w:t>
      </w:r>
      <w:r>
        <w:t>).</w:t>
      </w:r>
      <w:r>
        <w:t xml:space="preserve"> Significantly, the divinity to which most of these hymns are addressed is in fact Agni, the messenger, the fire to which are entrusted the offerings and prayers addressed to the </w:t>
      </w:r>
      <w:r>
        <w:t xml:space="preserve">gods. The requests made are in the interests of man, and even when this is not made explicit in the stanzas, we are, in any case, always confronted with ‘goods’ (often ‘choice goods’ </w:t>
      </w:r>
      <w:r>
        <w:rPr>
          <w:i/>
        </w:rPr>
        <w:t>vā́rya</w:t>
      </w:r>
      <w:r>
        <w:t>) for, and perceived as such by, man, whether as a matter of well-b</w:t>
      </w:r>
      <w:r>
        <w:t>eing or the favour of a god. Suffice it to recall, for example, the invocation to Mitra in 5 65.4: what this god appropriates is the broad path, in that it can lead man – not the god – out of the narrow confines. Mitra and Varu</w:t>
      </w:r>
      <w:r>
        <w:t>ṇ</w:t>
      </w:r>
      <w:r>
        <w:t>a are, in fact, they who dis</w:t>
      </w:r>
      <w:r>
        <w:t xml:space="preserve">pense </w:t>
      </w:r>
      <w:r>
        <w:rPr>
          <w:i/>
        </w:rPr>
        <w:t>urvī</w:t>
      </w:r>
      <w:r>
        <w:t xml:space="preserve"> </w:t>
      </w:r>
      <w:r>
        <w:rPr>
          <w:i/>
        </w:rPr>
        <w:t>gavyūti</w:t>
      </w:r>
      <w:r>
        <w:t xml:space="preserve"> ‘ample pastures’, free from the narrow confines (</w:t>
      </w:r>
      <w:r>
        <w:rPr>
          <w:i/>
        </w:rPr>
        <w:t>á</w:t>
      </w:r>
      <w:r>
        <w:rPr>
          <w:i/>
        </w:rPr>
        <w:t>ṃ</w:t>
      </w:r>
      <w:r>
        <w:rPr>
          <w:i/>
        </w:rPr>
        <w:t>hu</w:t>
      </w:r>
      <w:r>
        <w:t xml:space="preserve">-). Again, Mitra, in particular, victoriously fights against those who violate agreements, provoking war, which makes their way home narrow (cf. </w:t>
      </w:r>
      <w:r>
        <w:rPr>
          <w:rStyle w:val="biblio-authorGEN"/>
        </w:rPr>
        <w:t>Thieme</w:t>
      </w:r>
      <w:r>
        <w:t xml:space="preserve"> 1975: 21-39). Another stanza – a</w:t>
      </w:r>
      <w:r>
        <w:t>nother of those cited above – where the goods which the gods ‘appropriate’ come into the hands of the divinities only to be passed on, into the hands of men, is 3 19.1d (</w:t>
      </w:r>
      <w:r>
        <w:rPr>
          <w:i/>
        </w:rPr>
        <w:t>rāyé vā́jāya vanate maghā́ni</w:t>
      </w:r>
      <w:r>
        <w:t>), where the idea of ‘donating’ is further suggested by th</w:t>
      </w:r>
      <w:r>
        <w:t xml:space="preserve">e choice of the term </w:t>
      </w:r>
      <w:r>
        <w:rPr>
          <w:i/>
        </w:rPr>
        <w:t>rāyé</w:t>
      </w:r>
      <w:r>
        <w:t xml:space="preserve"> ‘riches’, a substantive derived from the root </w:t>
      </w:r>
      <w:r>
        <w:rPr>
          <w:i/>
        </w:rPr>
        <w:t xml:space="preserve">rā- </w:t>
      </w:r>
      <w:r>
        <w:t xml:space="preserve">“to donate” -as in </w:t>
      </w:r>
      <w:r>
        <w:rPr>
          <w:rStyle w:val="biblio-authorGEN"/>
        </w:rPr>
        <w:t>Renou</w:t>
      </w:r>
      <w:r>
        <w:t xml:space="preserve"> (XII 63) “en vue de (donner) la richesse”. What we are dealing with here is not possession but transfer between god and man. </w:t>
      </w:r>
    </w:p>
    <w:p w14:paraId="4F74C556" w14:textId="77777777" w:rsidR="00E53EB6" w:rsidRDefault="00E53EB6">
      <w:pPr>
        <w:pStyle w:val="Hauptext"/>
      </w:pPr>
    </w:p>
    <w:p w14:paraId="4DC34AC9" w14:textId="77777777" w:rsidR="00E53EB6" w:rsidRDefault="006500F5">
      <w:pPr>
        <w:pStyle w:val="Hauptext"/>
        <w:rPr>
          <w:szCs w:val="21"/>
        </w:rPr>
      </w:pPr>
      <w:r>
        <w:rPr>
          <w:i/>
          <w:iCs/>
          <w:szCs w:val="21"/>
        </w:rPr>
        <w:t>d2-</w:t>
      </w:r>
      <w:r>
        <w:rPr>
          <w:b/>
          <w:szCs w:val="21"/>
        </w:rPr>
        <w:t xml:space="preserve"> </w:t>
      </w:r>
      <w:r>
        <w:rPr>
          <w:szCs w:val="21"/>
        </w:rPr>
        <w:t>Let us now turn our atte</w:t>
      </w:r>
      <w:r>
        <w:rPr>
          <w:szCs w:val="21"/>
        </w:rPr>
        <w:t xml:space="preserve">ntion to a second category of stanzas, where the subject is again the divinity who, in this case, </w:t>
      </w:r>
      <w:r>
        <w:rPr>
          <w:i/>
          <w:szCs w:val="21"/>
        </w:rPr>
        <w:t>van-,</w:t>
      </w:r>
      <w:r>
        <w:rPr>
          <w:szCs w:val="21"/>
        </w:rPr>
        <w:t xml:space="preserve"> ‘possesses’ ‘appropriates’ the part of the sacrifice which is the oblation, the offering to the god, which the poet evokes using various metaphors. In 1.48.11 and 6.48.4 the oblation is called </w:t>
      </w:r>
      <w:r>
        <w:rPr>
          <w:i/>
          <w:szCs w:val="21"/>
        </w:rPr>
        <w:t>prize of victory</w:t>
      </w:r>
      <w:r>
        <w:rPr>
          <w:szCs w:val="21"/>
        </w:rPr>
        <w:t xml:space="preserve">, elsewhere </w:t>
      </w:r>
      <w:r>
        <w:rPr>
          <w:i/>
          <w:szCs w:val="21"/>
        </w:rPr>
        <w:t>the gift</w:t>
      </w:r>
      <w:r>
        <w:rPr>
          <w:szCs w:val="21"/>
        </w:rPr>
        <w:t xml:space="preserve"> (1.140.11), </w:t>
      </w:r>
      <w:r>
        <w:rPr>
          <w:i/>
          <w:szCs w:val="21"/>
        </w:rPr>
        <w:t xml:space="preserve">the homage </w:t>
      </w:r>
      <w:r>
        <w:rPr>
          <w:szCs w:val="21"/>
        </w:rPr>
        <w:t>(6</w:t>
      </w:r>
      <w:r>
        <w:rPr>
          <w:szCs w:val="21"/>
        </w:rPr>
        <w:t xml:space="preserve">.16.18) or </w:t>
      </w:r>
      <w:r>
        <w:rPr>
          <w:i/>
          <w:szCs w:val="21"/>
        </w:rPr>
        <w:t>the reward</w:t>
      </w:r>
      <w:r>
        <w:rPr>
          <w:szCs w:val="21"/>
        </w:rPr>
        <w:t xml:space="preserve"> (3.13.3), while in 5.31.13 the god </w:t>
      </w:r>
      <w:r>
        <w:rPr>
          <w:i/>
          <w:szCs w:val="21"/>
        </w:rPr>
        <w:t>van-</w:t>
      </w:r>
      <w:r>
        <w:rPr>
          <w:szCs w:val="21"/>
        </w:rPr>
        <w:t xml:space="preserve"> the sacrifice itself, in its totality, and here the perfect </w:t>
      </w:r>
      <w:r>
        <w:rPr>
          <w:i/>
          <w:szCs w:val="21"/>
        </w:rPr>
        <w:t xml:space="preserve">vāvandhi </w:t>
      </w:r>
      <w:r>
        <w:rPr>
          <w:szCs w:val="21"/>
        </w:rPr>
        <w:t>has</w:t>
      </w:r>
      <w:r>
        <w:rPr>
          <w:i/>
          <w:szCs w:val="21"/>
        </w:rPr>
        <w:t xml:space="preserve"> </w:t>
      </w:r>
      <w:r>
        <w:rPr>
          <w:szCs w:val="21"/>
        </w:rPr>
        <w:t>a</w:t>
      </w:r>
      <w:r>
        <w:rPr>
          <w:szCs w:val="21"/>
        </w:rPr>
        <w:t xml:space="preserve"> resultative value –as logical perfect (cf. </w:t>
      </w:r>
      <w:r>
        <w:rPr>
          <w:rStyle w:val="biblio-authorGEN"/>
          <w:szCs w:val="21"/>
        </w:rPr>
        <w:t>Di Giovine</w:t>
      </w:r>
      <w:r>
        <w:rPr>
          <w:szCs w:val="21"/>
        </w:rPr>
        <w:t xml:space="preserve"> 1996, in particular 273 ff.): “that you may have appropriated the</w:t>
      </w:r>
      <w:r>
        <w:rPr>
          <w:szCs w:val="21"/>
        </w:rPr>
        <w:t xml:space="preserve"> sacrifices” i.e. “have made them powerful”:</w:t>
      </w:r>
    </w:p>
    <w:p w14:paraId="5818D2FD" w14:textId="77777777" w:rsidR="00E53EB6" w:rsidRDefault="006500F5">
      <w:pPr>
        <w:pStyle w:val="Zitat"/>
      </w:pPr>
      <w:r>
        <w:t xml:space="preserve">5.31.13 </w:t>
      </w:r>
      <w:r>
        <w:rPr>
          <w:i/>
        </w:rPr>
        <w:t>yé cākánanta cākánanta nū́ té</w:t>
      </w:r>
    </w:p>
    <w:p w14:paraId="4B63292C" w14:textId="77777777" w:rsidR="00E53EB6" w:rsidRDefault="006500F5">
      <w:pPr>
        <w:pStyle w:val="ZitatnachZitat"/>
        <w:rPr>
          <w:i/>
          <w:iCs/>
        </w:rPr>
      </w:pPr>
      <w:r>
        <w:rPr>
          <w:i/>
          <w:iCs/>
        </w:rPr>
        <w:t>mártā amr̥ta mó té á</w:t>
      </w:r>
      <w:r>
        <w:rPr>
          <w:i/>
          <w:iCs/>
        </w:rPr>
        <w:t>ṃ</w:t>
      </w:r>
      <w:r>
        <w:rPr>
          <w:i/>
          <w:iCs/>
        </w:rPr>
        <w:t>ha ā́ran</w:t>
      </w:r>
    </w:p>
    <w:p w14:paraId="362F6117" w14:textId="77777777" w:rsidR="00E53EB6" w:rsidRDefault="006500F5">
      <w:pPr>
        <w:pStyle w:val="ZitatnachZitat"/>
        <w:rPr>
          <w:i/>
          <w:iCs/>
        </w:rPr>
      </w:pPr>
      <w:r>
        <w:rPr>
          <w:i/>
          <w:iCs/>
        </w:rPr>
        <w:t>vāvandhí yájyūm̐r utá té</w:t>
      </w:r>
      <w:r>
        <w:rPr>
          <w:i/>
          <w:iCs/>
        </w:rPr>
        <w:t>ṣ</w:t>
      </w:r>
      <w:r>
        <w:rPr>
          <w:i/>
          <w:iCs/>
        </w:rPr>
        <w:t>u dhehi</w:t>
      </w:r>
    </w:p>
    <w:p w14:paraId="52AC7C9B" w14:textId="77777777" w:rsidR="00E53EB6" w:rsidRDefault="006500F5">
      <w:pPr>
        <w:pStyle w:val="ZitatnachZitat"/>
        <w:rPr>
          <w:i/>
          <w:iCs/>
        </w:rPr>
      </w:pPr>
      <w:r>
        <w:rPr>
          <w:i/>
          <w:iCs/>
        </w:rPr>
        <w:t>ójo jáne</w:t>
      </w:r>
      <w:r>
        <w:rPr>
          <w:i/>
          <w:iCs/>
        </w:rPr>
        <w:t>ṣ</w:t>
      </w:r>
      <w:r>
        <w:rPr>
          <w:i/>
          <w:iCs/>
        </w:rPr>
        <w:t>u yé</w:t>
      </w:r>
      <w:r>
        <w:rPr>
          <w:i/>
          <w:iCs/>
        </w:rPr>
        <w:t>ṣ</w:t>
      </w:r>
      <w:r>
        <w:rPr>
          <w:i/>
          <w:iCs/>
        </w:rPr>
        <w:t>u te s</w:t>
      </w:r>
      <w:r>
        <w:rPr>
          <w:i/>
          <w:iCs/>
          <w:vertAlign w:val="subscript"/>
        </w:rPr>
        <w:t>i</w:t>
      </w:r>
      <w:r>
        <w:rPr>
          <w:i/>
          <w:iCs/>
        </w:rPr>
        <w:t>yā́ma</w:t>
      </w:r>
    </w:p>
    <w:p w14:paraId="3E352A90" w14:textId="77777777" w:rsidR="00E53EB6" w:rsidRDefault="006500F5">
      <w:pPr>
        <w:pStyle w:val="Zitat"/>
      </w:pPr>
      <w:r>
        <w:t xml:space="preserve">Those who are welcome to you, again, those, mortals, let them be welcome, o immortal one, let them not fall into the narrow way; </w:t>
      </w:r>
      <w:r>
        <w:rPr>
          <w:u w:val="single"/>
        </w:rPr>
        <w:t>let you have appropriated</w:t>
      </w:r>
      <w:r>
        <w:t xml:space="preserve"> </w:t>
      </w:r>
      <w:r>
        <w:t>t</w:t>
      </w:r>
      <w:r>
        <w:t>he sacrifices and bestow vigour on these peoples among which we may be yours”.</w:t>
      </w:r>
    </w:p>
    <w:p w14:paraId="18AEB181" w14:textId="77777777" w:rsidR="00E53EB6" w:rsidRDefault="006500F5">
      <w:pPr>
        <w:pStyle w:val="Zitat"/>
        <w:rPr>
          <w:i/>
        </w:rPr>
      </w:pPr>
      <w:r>
        <w:rPr>
          <w:i/>
        </w:rPr>
        <w:t xml:space="preserve">vāvandhi: </w:t>
      </w:r>
      <w:r>
        <w:t>impv. perf.</w:t>
      </w:r>
      <w:r>
        <w:t xml:space="preserve"> 2</w:t>
      </w:r>
      <w:r>
        <w:rPr>
          <w:vertAlign w:val="superscript"/>
        </w:rPr>
        <w:t>nd</w:t>
      </w:r>
      <w:r>
        <w:t xml:space="preserve"> sing. double stem</w:t>
      </w:r>
    </w:p>
    <w:p w14:paraId="00DC5784" w14:textId="77777777" w:rsidR="00E53EB6" w:rsidRDefault="006500F5">
      <w:pPr>
        <w:pStyle w:val="ZitatmitEinzug"/>
      </w:pPr>
      <w:r>
        <w:rPr>
          <w:rStyle w:val="biblio-authorGEN"/>
          <w:sz w:val="18"/>
          <w:szCs w:val="15"/>
        </w:rPr>
        <w:t>Geldner:</w:t>
      </w:r>
      <w:r>
        <w:t xml:space="preserve"> II 30 </w:t>
      </w:r>
      <w:r>
        <w:t>“begünstige”</w:t>
      </w:r>
    </w:p>
    <w:p w14:paraId="20161887" w14:textId="77777777" w:rsidR="00E53EB6" w:rsidRDefault="00E53EB6">
      <w:pPr>
        <w:pStyle w:val="Hauptext"/>
      </w:pPr>
    </w:p>
    <w:p w14:paraId="0AB7C804" w14:textId="77777777" w:rsidR="00E53EB6" w:rsidRDefault="006500F5">
      <w:pPr>
        <w:pStyle w:val="Hauptext"/>
        <w:rPr>
          <w:szCs w:val="21"/>
        </w:rPr>
      </w:pPr>
      <w:r>
        <w:rPr>
          <w:i/>
          <w:iCs/>
          <w:szCs w:val="21"/>
        </w:rPr>
        <w:t>d3-</w:t>
      </w:r>
      <w:r>
        <w:rPr>
          <w:b/>
          <w:szCs w:val="21"/>
        </w:rPr>
        <w:t xml:space="preserve"> </w:t>
      </w:r>
      <w:r>
        <w:rPr>
          <w:szCs w:val="21"/>
        </w:rPr>
        <w:t xml:space="preserve">Before going on to draw further conclusions we must stop to consider a third use of our verb. In these stanzas the divinity ‘possesses’, we might be tempted to say, quite a different part of </w:t>
      </w:r>
      <w:r>
        <w:rPr>
          <w:szCs w:val="21"/>
        </w:rPr>
        <w:lastRenderedPageBreak/>
        <w:t>the rite – a part such that the idea of possession once again see</w:t>
      </w:r>
      <w:r>
        <w:rPr>
          <w:szCs w:val="21"/>
        </w:rPr>
        <w:t xml:space="preserve">ms hardly relevant. In this group we find almost all the passages in which Renou, while maintaining that in the </w:t>
      </w:r>
      <w:r>
        <w:rPr>
          <w:i/>
          <w:szCs w:val="21"/>
        </w:rPr>
        <w:t>R̥gveda Sa</w:t>
      </w:r>
      <w:r>
        <w:rPr>
          <w:i/>
          <w:szCs w:val="21"/>
        </w:rPr>
        <w:t>ṃ</w:t>
      </w:r>
      <w:r>
        <w:rPr>
          <w:i/>
          <w:szCs w:val="21"/>
        </w:rPr>
        <w:t>hitā</w:t>
      </w:r>
      <w:r>
        <w:rPr>
          <w:szCs w:val="21"/>
        </w:rPr>
        <w:t xml:space="preserve"> the value ‘to love’ is not to be found for the verb </w:t>
      </w:r>
      <w:r>
        <w:rPr>
          <w:i/>
          <w:szCs w:val="21"/>
        </w:rPr>
        <w:t>van- / van</w:t>
      </w:r>
      <w:r>
        <w:rPr>
          <w:i/>
          <w:szCs w:val="21"/>
          <w:vertAlign w:val="superscript"/>
        </w:rPr>
        <w:t>i</w:t>
      </w:r>
      <w:r>
        <w:rPr>
          <w:i/>
          <w:szCs w:val="21"/>
        </w:rPr>
        <w:t>-</w:t>
      </w:r>
      <w:r>
        <w:rPr>
          <w:szCs w:val="21"/>
        </w:rPr>
        <w:t xml:space="preserve"> (cf. </w:t>
      </w:r>
      <w:r>
        <w:rPr>
          <w:rStyle w:val="biblio-authorGEN"/>
          <w:szCs w:val="21"/>
        </w:rPr>
        <w:t>Renou</w:t>
      </w:r>
      <w:r>
        <w:rPr>
          <w:szCs w:val="21"/>
        </w:rPr>
        <w:t xml:space="preserve"> XII 77-78 n.13), seems to have to abandon his initia</w:t>
      </w:r>
      <w:r>
        <w:rPr>
          <w:szCs w:val="21"/>
        </w:rPr>
        <w:t>l choice (</w:t>
      </w:r>
      <w:r>
        <w:rPr>
          <w:i/>
          <w:szCs w:val="21"/>
        </w:rPr>
        <w:t>gagner</w:t>
      </w:r>
      <w:r>
        <w:rPr>
          <w:szCs w:val="21"/>
        </w:rPr>
        <w:t>) and resort to “</w:t>
      </w:r>
      <w:r>
        <w:rPr>
          <w:szCs w:val="21"/>
        </w:rPr>
        <w:t>aimer, agréer”</w:t>
      </w:r>
      <w:r>
        <w:rPr>
          <w:szCs w:val="21"/>
        </w:rPr>
        <w:t xml:space="preserve"> or verbs in one way or another pertaining to the sphere of ‘love’. Thus this type of attestation might well represent a keystone for the semantic and morphological alternation which we started from. To begin </w:t>
      </w:r>
      <w:r>
        <w:rPr>
          <w:szCs w:val="21"/>
        </w:rPr>
        <w:t xml:space="preserve">with, it is worth noting that the term that most frequently (1.3.2; 1.93.9; 2.6.1; 7.94.2) serves as direct object is </w:t>
      </w:r>
      <w:r>
        <w:rPr>
          <w:i/>
          <w:szCs w:val="21"/>
        </w:rPr>
        <w:t>gíra</w:t>
      </w:r>
      <w:r>
        <w:rPr>
          <w:i/>
          <w:szCs w:val="21"/>
        </w:rPr>
        <w:t>ḥ</w:t>
      </w:r>
      <w:r>
        <w:rPr>
          <w:szCs w:val="21"/>
        </w:rPr>
        <w:t>, ‘the chants’:</w:t>
      </w:r>
    </w:p>
    <w:p w14:paraId="4780FFAE" w14:textId="77777777" w:rsidR="00E53EB6" w:rsidRDefault="006500F5">
      <w:pPr>
        <w:pStyle w:val="Zitat"/>
      </w:pPr>
      <w:r>
        <w:t xml:space="preserve">5.65.1 </w:t>
      </w:r>
      <w:r>
        <w:rPr>
          <w:i/>
        </w:rPr>
        <w:t>yáś cikéta sá sukrátur</w:t>
      </w:r>
    </w:p>
    <w:p w14:paraId="3ADD9D93" w14:textId="77777777" w:rsidR="00E53EB6" w:rsidRDefault="006500F5">
      <w:pPr>
        <w:pStyle w:val="ZitatnachZitat"/>
        <w:rPr>
          <w:i/>
          <w:iCs/>
        </w:rPr>
      </w:pPr>
      <w:r>
        <w:rPr>
          <w:i/>
          <w:iCs/>
        </w:rPr>
        <w:t>devatrā́ sá bravītu na</w:t>
      </w:r>
      <w:r>
        <w:rPr>
          <w:i/>
          <w:iCs/>
        </w:rPr>
        <w:t>ḥ</w:t>
      </w:r>
    </w:p>
    <w:p w14:paraId="62F2ED03" w14:textId="77777777" w:rsidR="00E53EB6" w:rsidRDefault="006500F5">
      <w:pPr>
        <w:pStyle w:val="ZitatnachZitat"/>
        <w:rPr>
          <w:i/>
          <w:iCs/>
        </w:rPr>
      </w:pPr>
      <w:r>
        <w:rPr>
          <w:i/>
          <w:iCs/>
        </w:rPr>
        <w:t>váru</w:t>
      </w:r>
      <w:r>
        <w:rPr>
          <w:i/>
          <w:iCs/>
        </w:rPr>
        <w:t>ṇ</w:t>
      </w:r>
      <w:r>
        <w:rPr>
          <w:i/>
          <w:iCs/>
        </w:rPr>
        <w:t>o yásya darśató</w:t>
      </w:r>
    </w:p>
    <w:p w14:paraId="1C7B796A" w14:textId="77777777" w:rsidR="00E53EB6" w:rsidRDefault="006500F5">
      <w:pPr>
        <w:pStyle w:val="ZitatnachZitat"/>
        <w:rPr>
          <w:i/>
          <w:iCs/>
        </w:rPr>
      </w:pPr>
      <w:r>
        <w:rPr>
          <w:i/>
          <w:iCs/>
        </w:rPr>
        <w:t>mitró vā vánate gíra</w:t>
      </w:r>
      <w:r>
        <w:rPr>
          <w:i/>
          <w:iCs/>
        </w:rPr>
        <w:t>ḥ</w:t>
      </w:r>
    </w:p>
    <w:p w14:paraId="47ED8B82" w14:textId="77777777" w:rsidR="00E53EB6" w:rsidRDefault="006500F5">
      <w:pPr>
        <w:pStyle w:val="Zitat"/>
      </w:pPr>
      <w:r>
        <w:t xml:space="preserve">He who </w:t>
      </w:r>
      <w:r>
        <w:rPr>
          <w:color w:val="000000"/>
        </w:rPr>
        <w:t>has understoo</w:t>
      </w:r>
      <w:r>
        <w:rPr>
          <w:color w:val="000000"/>
        </w:rPr>
        <w:t>d through the vision</w:t>
      </w:r>
      <w:bookmarkStart w:id="49" w:name="sdfootnote53anc"/>
      <w:bookmarkEnd w:id="49"/>
      <w:r>
        <w:rPr>
          <w:rStyle w:val="FootnoteAnchor"/>
        </w:rPr>
        <w:footnoteReference w:id="62"/>
      </w:r>
      <w:r>
        <w:t>, full of resources, in the divine world, let that one speak for us, that one in favour of whom Varu</w:t>
      </w:r>
      <w:r>
        <w:t>ṇ</w:t>
      </w:r>
      <w:r>
        <w:t>a appeared</w:t>
      </w:r>
      <w:bookmarkStart w:id="50" w:name="sdfootnote54anc"/>
      <w:bookmarkEnd w:id="50"/>
      <w:r>
        <w:rPr>
          <w:rStyle w:val="FootnoteAnchor"/>
        </w:rPr>
        <w:footnoteReference w:id="63"/>
      </w:r>
      <w:r>
        <w:t xml:space="preserve"> or Mitra </w:t>
      </w:r>
      <w:r>
        <w:rPr>
          <w:u w:val="single"/>
        </w:rPr>
        <w:t>appropriates</w:t>
      </w:r>
      <w:r>
        <w:t xml:space="preserve"> the chants.</w:t>
      </w:r>
    </w:p>
    <w:p w14:paraId="7F0DD64F" w14:textId="77777777" w:rsidR="00E53EB6" w:rsidRPr="00B80C6B" w:rsidRDefault="006500F5">
      <w:pPr>
        <w:pStyle w:val="Zitat"/>
        <w:rPr>
          <w:i/>
          <w:lang w:val="it-IT"/>
        </w:rPr>
      </w:pPr>
      <w:r w:rsidRPr="00B80C6B">
        <w:rPr>
          <w:i/>
          <w:lang w:val="it-IT"/>
        </w:rPr>
        <w:t xml:space="preserve">vánate: </w:t>
      </w:r>
      <w:r w:rsidRPr="00B80C6B">
        <w:rPr>
          <w:lang w:val="it-IT"/>
        </w:rPr>
        <w:t>ind. pres. 3</w:t>
      </w:r>
      <w:r w:rsidRPr="00B80C6B">
        <w:rPr>
          <w:vertAlign w:val="superscript"/>
          <w:lang w:val="it-IT"/>
        </w:rPr>
        <w:t>rd</w:t>
      </w:r>
      <w:r w:rsidRPr="00B80C6B">
        <w:rPr>
          <w:lang w:val="it-IT"/>
        </w:rPr>
        <w:t xml:space="preserve"> sing. Ā I-VI cl.</w:t>
      </w:r>
    </w:p>
    <w:p w14:paraId="50E39DF8" w14:textId="77777777" w:rsidR="00E53EB6" w:rsidRPr="00B80C6B" w:rsidRDefault="006500F5">
      <w:pPr>
        <w:pStyle w:val="ZitatmitEinzug"/>
        <w:rPr>
          <w:lang w:val="de-DE"/>
        </w:rPr>
      </w:pPr>
      <w:r w:rsidRPr="00B80C6B">
        <w:rPr>
          <w:rStyle w:val="biblio-authorGEN"/>
          <w:sz w:val="18"/>
          <w:szCs w:val="15"/>
          <w:lang w:val="de-DE"/>
        </w:rPr>
        <w:t>Geldner</w:t>
      </w:r>
      <w:r w:rsidRPr="00B80C6B">
        <w:rPr>
          <w:rStyle w:val="biblio-authorGEN"/>
          <w:lang w:val="de-DE"/>
        </w:rPr>
        <w:t>:</w:t>
      </w:r>
      <w:r w:rsidRPr="00B80C6B">
        <w:rPr>
          <w:lang w:val="de-DE"/>
        </w:rPr>
        <w:t xml:space="preserve"> II 73 “</w:t>
      </w:r>
      <w:r w:rsidRPr="00B80C6B">
        <w:rPr>
          <w:i/>
          <w:lang w:val="de-DE"/>
        </w:rPr>
        <w:t>gut aufnehmen”</w:t>
      </w:r>
    </w:p>
    <w:p w14:paraId="473003F1" w14:textId="77777777" w:rsidR="00E53EB6" w:rsidRPr="00B80C6B" w:rsidRDefault="006500F5">
      <w:pPr>
        <w:pStyle w:val="ZitatmitEinzug"/>
        <w:rPr>
          <w:lang w:val="de-DE"/>
        </w:rPr>
      </w:pPr>
      <w:r w:rsidRPr="00B80C6B">
        <w:rPr>
          <w:rStyle w:val="biblio-authorGEN"/>
          <w:sz w:val="18"/>
          <w:szCs w:val="15"/>
          <w:lang w:val="de-DE"/>
        </w:rPr>
        <w:t>Renou</w:t>
      </w:r>
      <w:r w:rsidRPr="00B80C6B">
        <w:rPr>
          <w:lang w:val="de-DE"/>
        </w:rPr>
        <w:t>: V 80 “</w:t>
      </w:r>
      <w:r w:rsidRPr="00B80C6B">
        <w:rPr>
          <w:i/>
          <w:lang w:val="de-DE"/>
        </w:rPr>
        <w:t>aime”</w:t>
      </w:r>
    </w:p>
    <w:p w14:paraId="18140E05" w14:textId="77777777" w:rsidR="00E53EB6" w:rsidRDefault="006500F5">
      <w:pPr>
        <w:pStyle w:val="HaupttextnachZitat"/>
      </w:pPr>
      <w:r>
        <w:t xml:space="preserve">In the following stanza the divinity and, in particular, the Aśvin who, as we have already seen, ‘appropriate the chants’, appropriate a particular chant, or, better, a chant of which a particular characteristic is emphasised: in </w:t>
      </w:r>
      <w:r>
        <w:rPr>
          <w:i/>
        </w:rPr>
        <w:t>r̥tā́ vanatho</w:t>
      </w:r>
      <w:r>
        <w:t xml:space="preserve"> there </w:t>
      </w:r>
      <w:r>
        <w:t xml:space="preserve">is, in fact, a metaphorical use of the substantive. </w:t>
      </w:r>
      <w:r>
        <w:rPr>
          <w:rFonts w:eastAsia="Arial Unicode MS" w:cs="Times Ext Roman"/>
          <w:smallCaps/>
          <w:szCs w:val="26"/>
        </w:rPr>
        <w:t>Lüders</w:t>
      </w:r>
      <w:r>
        <w:rPr>
          <w:rFonts w:eastAsia="Arial Unicode MS" w:cs="Times Ext Roman"/>
          <w:szCs w:val="26"/>
        </w:rPr>
        <w:t xml:space="preserve"> (1959: 437- 438), a</w:t>
      </w:r>
      <w:r>
        <w:t xml:space="preserve">nalysing the various attestations in which </w:t>
      </w:r>
      <w:r>
        <w:rPr>
          <w:i/>
        </w:rPr>
        <w:t>r̥tá-</w:t>
      </w:r>
      <w:r>
        <w:t xml:space="preserve"> is used in the plural, sees this specific use of the term as corresponding to the substantive </w:t>
      </w:r>
      <w:r>
        <w:rPr>
          <w:i/>
        </w:rPr>
        <w:t>gíra</w:t>
      </w:r>
      <w:r>
        <w:rPr>
          <w:i/>
        </w:rPr>
        <w:t>ḥ</w:t>
      </w:r>
      <w:r>
        <w:t xml:space="preserve"> (the chants) and proposes tra</w:t>
      </w:r>
      <w:r>
        <w:t xml:space="preserve">nslation as </w:t>
      </w:r>
      <w:r>
        <w:rPr>
          <w:i/>
        </w:rPr>
        <w:t>Liedern</w:t>
      </w:r>
      <w:r>
        <w:t xml:space="preserve"> (</w:t>
      </w:r>
      <w:r>
        <w:rPr>
          <w:i/>
        </w:rPr>
        <w:t>Kultlieder</w:t>
      </w:r>
      <w:r>
        <w:t xml:space="preserve">, ‘ritual chants’), or in other words as ‘truths expressed in words’: the sacred verses of the </w:t>
      </w:r>
      <w:r>
        <w:rPr>
          <w:i/>
        </w:rPr>
        <w:t>R̥gveda Sa</w:t>
      </w:r>
      <w:r>
        <w:rPr>
          <w:i/>
        </w:rPr>
        <w:t>ṃ</w:t>
      </w:r>
      <w:r>
        <w:rPr>
          <w:i/>
        </w:rPr>
        <w:t>hitā</w:t>
      </w:r>
      <w:r>
        <w:t xml:space="preserve"> give expression to the </w:t>
      </w:r>
      <w:r>
        <w:rPr>
          <w:i/>
        </w:rPr>
        <w:t>r̥tá-</w:t>
      </w:r>
      <w:r>
        <w:t>; others (</w:t>
      </w:r>
      <w:r>
        <w:rPr>
          <w:rStyle w:val="biblio-authorGEN"/>
        </w:rPr>
        <w:t>Atkins</w:t>
      </w:r>
      <w:r>
        <w:t xml:space="preserve"> 1950: 30 “</w:t>
      </w:r>
      <w:r>
        <w:t>the right roads”</w:t>
      </w:r>
      <w:r>
        <w:rPr>
          <w:i/>
        </w:rPr>
        <w:t xml:space="preserve">; </w:t>
      </w:r>
      <w:r>
        <w:rPr>
          <w:rStyle w:val="biblio-authorGEN"/>
        </w:rPr>
        <w:t>Geldner</w:t>
      </w:r>
      <w:r>
        <w:t xml:space="preserve"> I 57 “</w:t>
      </w:r>
      <w:r>
        <w:t>die rechten Wegen”</w:t>
      </w:r>
      <w:r>
        <w:t xml:space="preserve"> ) see th</w:t>
      </w:r>
      <w:r>
        <w:t xml:space="preserve">e plural here not relating to the chants, but rather to the path that Aśvin’s chariot follows bringing day, taking the ways that are right because they set the right succession of day and might into motion. Also worth bearing in mind is the interpretation </w:t>
      </w:r>
      <w:r>
        <w:t xml:space="preserve">offered by </w:t>
      </w:r>
      <w:r>
        <w:rPr>
          <w:rStyle w:val="biblio-authorGEN"/>
        </w:rPr>
        <w:t>Pirart</w:t>
      </w:r>
      <w:r>
        <w:t xml:space="preserve"> (1995: 88), who sees </w:t>
      </w:r>
      <w:r>
        <w:rPr>
          <w:i/>
        </w:rPr>
        <w:t xml:space="preserve">r̥tā́ </w:t>
      </w:r>
      <w:r>
        <w:t xml:space="preserve">as an instrumental case forming together with </w:t>
      </w:r>
      <w:r>
        <w:rPr>
          <w:i/>
        </w:rPr>
        <w:t>vanatho</w:t>
      </w:r>
      <w:r>
        <w:t xml:space="preserve"> a syntagm, “user du charme que l’harmonie constitue”, also attestated in Old Avestan in the formula </w:t>
      </w:r>
      <w:r>
        <w:rPr>
          <w:i/>
        </w:rPr>
        <w:t>a</w:t>
      </w:r>
      <w:r>
        <w:rPr>
          <w:i/>
        </w:rPr>
        <w:t>ṣ</w:t>
      </w:r>
      <w:r>
        <w:rPr>
          <w:i/>
        </w:rPr>
        <w:t>ā van-</w:t>
      </w:r>
      <w:r>
        <w:t>:</w:t>
      </w:r>
    </w:p>
    <w:p w14:paraId="546A84A5" w14:textId="77777777" w:rsidR="00E53EB6" w:rsidRDefault="006500F5">
      <w:pPr>
        <w:pStyle w:val="Zitat"/>
      </w:pPr>
      <w:r>
        <w:t xml:space="preserve">1.46.14 </w:t>
      </w:r>
      <w:r>
        <w:rPr>
          <w:i/>
        </w:rPr>
        <w:t>yuvór u</w:t>
      </w:r>
      <w:r>
        <w:rPr>
          <w:i/>
        </w:rPr>
        <w:t>ṣ</w:t>
      </w:r>
      <w:r>
        <w:rPr>
          <w:i/>
        </w:rPr>
        <w:t>ā́ ánu śríyam</w:t>
      </w:r>
    </w:p>
    <w:p w14:paraId="156F9BF0" w14:textId="77777777" w:rsidR="00E53EB6" w:rsidRDefault="006500F5">
      <w:pPr>
        <w:pStyle w:val="ZitatnachZitat"/>
        <w:rPr>
          <w:i/>
          <w:iCs/>
        </w:rPr>
      </w:pPr>
      <w:r>
        <w:rPr>
          <w:i/>
          <w:iCs/>
        </w:rPr>
        <w:t>párijmanor upā́ca</w:t>
      </w:r>
      <w:r>
        <w:rPr>
          <w:i/>
          <w:iCs/>
        </w:rPr>
        <w:t>rat</w:t>
      </w:r>
    </w:p>
    <w:p w14:paraId="75BE1289" w14:textId="77777777" w:rsidR="00E53EB6" w:rsidRDefault="006500F5">
      <w:pPr>
        <w:pStyle w:val="ZitatnachZitat"/>
        <w:rPr>
          <w:i/>
          <w:iCs/>
        </w:rPr>
      </w:pPr>
      <w:r>
        <w:rPr>
          <w:i/>
          <w:iCs/>
        </w:rPr>
        <w:t>r̥tā́ vanatho aktúbhi</w:t>
      </w:r>
      <w:r>
        <w:rPr>
          <w:i/>
          <w:iCs/>
        </w:rPr>
        <w:t>ḥ</w:t>
      </w:r>
    </w:p>
    <w:p w14:paraId="17DA157F" w14:textId="77777777" w:rsidR="00E53EB6" w:rsidRDefault="006500F5">
      <w:pPr>
        <w:pStyle w:val="Zitat"/>
      </w:pPr>
      <w:r>
        <w:t>“</w:t>
      </w:r>
      <w:r>
        <w:t xml:space="preserve">Dawn approached your beauty following it, o </w:t>
      </w:r>
      <w:bookmarkStart w:id="51" w:name="sdfootnote55anc"/>
      <w:bookmarkEnd w:id="51"/>
      <w:r>
        <w:t>wanderers</w:t>
      </w:r>
      <w:r>
        <w:rPr>
          <w:rStyle w:val="FootnoteAnchor"/>
        </w:rPr>
        <w:footnoteReference w:id="64"/>
      </w:r>
      <w:r>
        <w:t>, at the end of the night</w:t>
      </w:r>
      <w:bookmarkStart w:id="52" w:name="sdfootnote56anc"/>
      <w:bookmarkEnd w:id="52"/>
      <w:r>
        <w:rPr>
          <w:rStyle w:val="FootnoteAnchor"/>
        </w:rPr>
        <w:footnoteReference w:id="65"/>
      </w:r>
      <w:r>
        <w:t xml:space="preserve"> you </w:t>
      </w:r>
      <w:r>
        <w:rPr>
          <w:u w:val="single"/>
        </w:rPr>
        <w:t xml:space="preserve">appropriate </w:t>
      </w:r>
      <w:r>
        <w:t xml:space="preserve">the </w:t>
      </w:r>
      <w:bookmarkStart w:id="53" w:name="sdfootnote57anc"/>
      <w:bookmarkEnd w:id="53"/>
      <w:r>
        <w:t xml:space="preserve">ritual </w:t>
      </w:r>
      <w:r>
        <w:lastRenderedPageBreak/>
        <w:t>chants</w:t>
      </w:r>
      <w:r>
        <w:rPr>
          <w:rStyle w:val="FootnoteAnchor"/>
        </w:rPr>
        <w:footnoteReference w:id="66"/>
      </w:r>
      <w:r>
        <w:t>”</w:t>
      </w:r>
      <w:r>
        <w:t>.</w:t>
      </w:r>
    </w:p>
    <w:p w14:paraId="24776934" w14:textId="77777777" w:rsidR="00E53EB6" w:rsidRPr="00B80C6B" w:rsidRDefault="006500F5">
      <w:pPr>
        <w:pStyle w:val="Zitat"/>
        <w:rPr>
          <w:lang w:val="it-IT"/>
        </w:rPr>
      </w:pPr>
      <w:r w:rsidRPr="00B80C6B">
        <w:rPr>
          <w:i/>
          <w:lang w:val="de-DE"/>
        </w:rPr>
        <w:t>vanatha</w:t>
      </w:r>
      <w:r w:rsidRPr="00B80C6B">
        <w:rPr>
          <w:i/>
          <w:lang w:val="de-DE"/>
        </w:rPr>
        <w:t>ḥ</w:t>
      </w:r>
      <w:r w:rsidRPr="00B80C6B">
        <w:rPr>
          <w:i/>
          <w:lang w:val="de-DE"/>
        </w:rPr>
        <w:t xml:space="preserve">: </w:t>
      </w:r>
      <w:r w:rsidRPr="00B80C6B">
        <w:rPr>
          <w:lang w:val="de-DE"/>
        </w:rPr>
        <w:t>ind. pres. 2</w:t>
      </w:r>
      <w:r w:rsidRPr="00B80C6B">
        <w:rPr>
          <w:vertAlign w:val="superscript"/>
          <w:lang w:val="de-DE"/>
        </w:rPr>
        <w:t>nd</w:t>
      </w:r>
      <w:r w:rsidRPr="00B80C6B">
        <w:rPr>
          <w:lang w:val="de-DE"/>
        </w:rPr>
        <w:t xml:space="preserve"> du. </w:t>
      </w:r>
      <w:r w:rsidRPr="00B80C6B">
        <w:rPr>
          <w:lang w:val="it-IT"/>
        </w:rPr>
        <w:t>I-VI cl.</w:t>
      </w:r>
    </w:p>
    <w:p w14:paraId="140BAEFC" w14:textId="77777777" w:rsidR="00E53EB6" w:rsidRPr="00B80C6B" w:rsidRDefault="006500F5">
      <w:pPr>
        <w:pStyle w:val="ZitatmitEinzug"/>
        <w:rPr>
          <w:lang w:val="it-IT"/>
        </w:rPr>
      </w:pPr>
      <w:r w:rsidRPr="00B80C6B">
        <w:rPr>
          <w:rStyle w:val="biblio-authorGEN"/>
          <w:sz w:val="18"/>
          <w:szCs w:val="18"/>
          <w:lang w:val="it-IT"/>
        </w:rPr>
        <w:t>Geldner:</w:t>
      </w:r>
      <w:r w:rsidRPr="00B80C6B">
        <w:rPr>
          <w:lang w:val="it-IT"/>
        </w:rPr>
        <w:t xml:space="preserve"> I 57 </w:t>
      </w:r>
      <w:r w:rsidRPr="00B80C6B">
        <w:rPr>
          <w:lang w:val="it-IT"/>
        </w:rPr>
        <w:t>“gewinnet”</w:t>
      </w:r>
    </w:p>
    <w:p w14:paraId="1F44AAC7" w14:textId="77777777" w:rsidR="00E53EB6" w:rsidRDefault="006500F5">
      <w:pPr>
        <w:pStyle w:val="ZitatmitEinzug"/>
      </w:pPr>
      <w:r>
        <w:rPr>
          <w:rStyle w:val="biblio-authorGEN"/>
          <w:sz w:val="18"/>
          <w:szCs w:val="15"/>
        </w:rPr>
        <w:t>Renou:</w:t>
      </w:r>
      <w:r>
        <w:t xml:space="preserve"> XVI 6 </w:t>
      </w:r>
      <w:r>
        <w:t>“gagnez”</w:t>
      </w:r>
    </w:p>
    <w:p w14:paraId="285854BC" w14:textId="77777777" w:rsidR="00E53EB6" w:rsidRDefault="006500F5">
      <w:pPr>
        <w:pStyle w:val="ZitatmitEinzug"/>
      </w:pPr>
      <w:r>
        <w:rPr>
          <w:rStyle w:val="biblio-authorGEN"/>
          <w:sz w:val="18"/>
          <w:szCs w:val="15"/>
        </w:rPr>
        <w:t>Atkins</w:t>
      </w:r>
      <w:r>
        <w:t xml:space="preserve"> 1950: 30</w:t>
      </w:r>
      <w:r>
        <w:t xml:space="preserve"> “gain”</w:t>
      </w:r>
    </w:p>
    <w:p w14:paraId="5FB76BDD" w14:textId="77777777" w:rsidR="00E53EB6" w:rsidRPr="00B80C6B" w:rsidRDefault="006500F5">
      <w:pPr>
        <w:pStyle w:val="ZitatmitEinzug"/>
        <w:rPr>
          <w:lang w:val="de-DE"/>
        </w:rPr>
      </w:pPr>
      <w:r w:rsidRPr="00B80C6B">
        <w:rPr>
          <w:rStyle w:val="biblio-authorGEN"/>
          <w:sz w:val="18"/>
          <w:szCs w:val="15"/>
          <w:lang w:val="de-DE"/>
        </w:rPr>
        <w:t>Lüders</w:t>
      </w:r>
      <w:r w:rsidRPr="00B80C6B">
        <w:rPr>
          <w:lang w:val="de-DE"/>
        </w:rPr>
        <w:t xml:space="preserve"> 1959: 437-438 </w:t>
      </w:r>
      <w:r w:rsidRPr="00B80C6B">
        <w:rPr>
          <w:lang w:val="de-DE"/>
        </w:rPr>
        <w:t>“habt ihr gefallen”</w:t>
      </w:r>
    </w:p>
    <w:p w14:paraId="1AB1E6A3" w14:textId="77777777" w:rsidR="00E53EB6" w:rsidRPr="00B80C6B" w:rsidRDefault="006500F5">
      <w:pPr>
        <w:pStyle w:val="ZitatmitEinzug"/>
        <w:rPr>
          <w:lang w:val="de-DE"/>
        </w:rPr>
      </w:pPr>
      <w:r w:rsidRPr="00B80C6B">
        <w:rPr>
          <w:rStyle w:val="biblio-authorGEN"/>
          <w:sz w:val="18"/>
          <w:szCs w:val="15"/>
          <w:lang w:val="de-DE"/>
        </w:rPr>
        <w:t>Pirart</w:t>
      </w:r>
      <w:r w:rsidRPr="00B80C6B">
        <w:rPr>
          <w:lang w:val="de-DE"/>
        </w:rPr>
        <w:t xml:space="preserve"> 1995: 88 </w:t>
      </w:r>
      <w:r w:rsidRPr="00B80C6B">
        <w:rPr>
          <w:lang w:val="de-DE"/>
        </w:rPr>
        <w:t>“avez usé du charme (de cette beauté)”</w:t>
      </w:r>
    </w:p>
    <w:p w14:paraId="35E9BD87" w14:textId="77777777" w:rsidR="00E53EB6" w:rsidRDefault="006500F5">
      <w:pPr>
        <w:pStyle w:val="ZitatmitEinzug"/>
      </w:pPr>
      <w:r>
        <w:rPr>
          <w:rStyle w:val="biblio-authorGEN"/>
          <w:sz w:val="18"/>
          <w:szCs w:val="18"/>
        </w:rPr>
        <w:t xml:space="preserve">Witzel-Gotō </w:t>
      </w:r>
      <w:r>
        <w:t>2007: 88 “gewinnt”</w:t>
      </w:r>
    </w:p>
    <w:p w14:paraId="6318B45D" w14:textId="77777777" w:rsidR="00E53EB6" w:rsidRDefault="006500F5">
      <w:pPr>
        <w:pStyle w:val="HaupttextnachZitat"/>
      </w:pPr>
      <w:r>
        <w:t xml:space="preserve">In other passages the god ‘appropriates’ something that is ever changing: in 6.38.1 as in 8.7.9 it is the </w:t>
      </w:r>
      <w:r>
        <w:rPr>
          <w:i/>
        </w:rPr>
        <w:t>invoca</w:t>
      </w:r>
      <w:r>
        <w:rPr>
          <w:i/>
        </w:rPr>
        <w:t>tion</w:t>
      </w:r>
      <w:r>
        <w:t xml:space="preserve">, in 1.31.13 it is the </w:t>
      </w:r>
      <w:r>
        <w:rPr>
          <w:i/>
        </w:rPr>
        <w:t xml:space="preserve">verse </w:t>
      </w:r>
      <w:r>
        <w:t>(</w:t>
      </w:r>
      <w:r>
        <w:rPr>
          <w:i/>
        </w:rPr>
        <w:t>mántram</w:t>
      </w:r>
      <w:r>
        <w:t xml:space="preserve">), in 3.8.2 it is the </w:t>
      </w:r>
      <w:r>
        <w:rPr>
          <w:i/>
        </w:rPr>
        <w:t>sacred</w:t>
      </w:r>
      <w:r>
        <w:t xml:space="preserve"> </w:t>
      </w:r>
      <w:r>
        <w:rPr>
          <w:i/>
        </w:rPr>
        <w:t xml:space="preserve">formulation </w:t>
      </w:r>
      <w:r>
        <w:t>(</w:t>
      </w:r>
      <w:r>
        <w:rPr>
          <w:i/>
        </w:rPr>
        <w:t>bráhma</w:t>
      </w:r>
      <w:r>
        <w:t xml:space="preserve">), in 8.13.33 the </w:t>
      </w:r>
      <w:r>
        <w:rPr>
          <w:i/>
        </w:rPr>
        <w:t>hymn of prayer</w:t>
      </w:r>
      <w:r>
        <w:t xml:space="preserve">, while in 10.61.3 it is </w:t>
      </w:r>
      <w:r>
        <w:rPr>
          <w:i/>
        </w:rPr>
        <w:t>inspired discourses</w:t>
      </w:r>
      <w:r>
        <w:t xml:space="preserve"> – always something having to do with a fundamental element of the rite, namely the word. In stanzas 4.11.2 the translation of </w:t>
      </w:r>
      <w:r>
        <w:rPr>
          <w:i/>
        </w:rPr>
        <w:t>pāda</w:t>
      </w:r>
      <w:r>
        <w:t xml:space="preserve"> c-d retains the inverted structure of the Vedic original to convey a quasi-consecutive value which the text seems to have: ‘</w:t>
      </w:r>
      <w:r>
        <w:t xml:space="preserve">give us this “thing” which, by the very fact that you have appropriated it, has become </w:t>
      </w:r>
      <w:r>
        <w:rPr>
          <w:i/>
        </w:rPr>
        <w:t>bhū́ri mánma</w:t>
      </w:r>
      <w:r>
        <w:t xml:space="preserve"> (the great invocation)’, as if to suggest that it is precisely the fact of going through the god that makes the word powerful and effective, and that it is </w:t>
      </w:r>
      <w:r>
        <w:t>therefore for this reason that the poet asks the god to ‘appropriate’ the invocation:</w:t>
      </w:r>
    </w:p>
    <w:p w14:paraId="45CC4933" w14:textId="77777777" w:rsidR="00E53EB6" w:rsidRDefault="006500F5">
      <w:pPr>
        <w:pStyle w:val="Zitat"/>
      </w:pPr>
      <w:r>
        <w:t xml:space="preserve">4.11.2 </w:t>
      </w:r>
      <w:r>
        <w:rPr>
          <w:i/>
        </w:rPr>
        <w:t xml:space="preserve">ví </w:t>
      </w:r>
      <w:r>
        <w:rPr>
          <w:i/>
        </w:rPr>
        <w:t>ṣ</w:t>
      </w:r>
      <w:r>
        <w:rPr>
          <w:i/>
        </w:rPr>
        <w:t>āhi agne gr̥</w:t>
      </w:r>
      <w:r>
        <w:rPr>
          <w:i/>
        </w:rPr>
        <w:t>ṇ</w:t>
      </w:r>
      <w:r>
        <w:rPr>
          <w:i/>
        </w:rPr>
        <w:t>até manī</w:t>
      </w:r>
      <w:r>
        <w:rPr>
          <w:i/>
        </w:rPr>
        <w:t>ṣ</w:t>
      </w:r>
      <w:r>
        <w:rPr>
          <w:i/>
        </w:rPr>
        <w:t>ā́</w:t>
      </w:r>
      <w:r>
        <w:rPr>
          <w:i/>
        </w:rPr>
        <w:t>ṃ</w:t>
      </w:r>
    </w:p>
    <w:p w14:paraId="4920F534" w14:textId="77777777" w:rsidR="00E53EB6" w:rsidRDefault="006500F5">
      <w:pPr>
        <w:pStyle w:val="ZitatnachZitat"/>
        <w:rPr>
          <w:i/>
          <w:iCs/>
        </w:rPr>
      </w:pPr>
      <w:r>
        <w:rPr>
          <w:i/>
          <w:iCs/>
        </w:rPr>
        <w:t>khá</w:t>
      </w:r>
      <w:r>
        <w:rPr>
          <w:i/>
          <w:iCs/>
        </w:rPr>
        <w:t>ṃ</w:t>
      </w:r>
      <w:r>
        <w:rPr>
          <w:i/>
          <w:iCs/>
        </w:rPr>
        <w:t xml:space="preserve"> vépasā tuvijāta stávāna</w:t>
      </w:r>
      <w:r>
        <w:rPr>
          <w:i/>
          <w:iCs/>
        </w:rPr>
        <w:t>ḥ</w:t>
      </w:r>
    </w:p>
    <w:p w14:paraId="106BB744" w14:textId="77777777" w:rsidR="00E53EB6" w:rsidRDefault="006500F5">
      <w:pPr>
        <w:pStyle w:val="ZitatnachZitat"/>
        <w:rPr>
          <w:i/>
          <w:iCs/>
        </w:rPr>
      </w:pPr>
      <w:r>
        <w:rPr>
          <w:i/>
          <w:iCs/>
        </w:rPr>
        <w:t>víśvebhir yád vāvána</w:t>
      </w:r>
      <w:r>
        <w:rPr>
          <w:i/>
          <w:iCs/>
        </w:rPr>
        <w:t>ḥ</w:t>
      </w:r>
      <w:r>
        <w:rPr>
          <w:i/>
          <w:iCs/>
        </w:rPr>
        <w:t xml:space="preserve"> śukra devaís</w:t>
      </w:r>
    </w:p>
    <w:p w14:paraId="0F626A59" w14:textId="77777777" w:rsidR="00E53EB6" w:rsidRDefault="006500F5">
      <w:pPr>
        <w:pStyle w:val="ZitatnachZitat"/>
        <w:rPr>
          <w:i/>
          <w:iCs/>
        </w:rPr>
      </w:pPr>
      <w:r>
        <w:rPr>
          <w:i/>
          <w:iCs/>
        </w:rPr>
        <w:t>tán no rāsva sumaho bhū́ri mánma</w:t>
      </w:r>
    </w:p>
    <w:p w14:paraId="4D96861D" w14:textId="77777777" w:rsidR="00E53EB6" w:rsidRDefault="006500F5">
      <w:pPr>
        <w:pStyle w:val="Zitat"/>
      </w:pPr>
      <w:r>
        <w:t>Open, o Agni, to the singer, poetic</w:t>
      </w:r>
      <w:r>
        <w:t xml:space="preserve"> inspiration</w:t>
      </w:r>
      <w:bookmarkStart w:id="54" w:name="sdfootnote58anc"/>
      <w:bookmarkEnd w:id="54"/>
      <w:r>
        <w:rPr>
          <w:rStyle w:val="FootnoteAnchor"/>
        </w:rPr>
        <w:footnoteReference w:id="67"/>
      </w:r>
      <w:r>
        <w:t xml:space="preserve">, the open way with the </w:t>
      </w:r>
      <w:bookmarkStart w:id="55" w:name="sdfootnote59anc"/>
      <w:bookmarkEnd w:id="55"/>
      <w:r>
        <w:t>quivering</w:t>
      </w:r>
      <w:r>
        <w:rPr>
          <w:rStyle w:val="FootnoteAnchor"/>
        </w:rPr>
        <w:footnoteReference w:id="68"/>
      </w:r>
      <w:r>
        <w:t xml:space="preserve">, you, great by nature, you, praised; that which together with the gods, you shining one, </w:t>
      </w:r>
      <w:r>
        <w:rPr>
          <w:u w:val="single"/>
        </w:rPr>
        <w:t>will have appropriated</w:t>
      </w:r>
      <w:r>
        <w:t>, grant this to us, o powerful one: the ample poetic invocation</w:t>
      </w:r>
      <w:bookmarkStart w:id="56" w:name="sdfootnote60anc"/>
      <w:bookmarkEnd w:id="56"/>
      <w:r>
        <w:rPr>
          <w:rStyle w:val="FootnoteAnchor"/>
        </w:rPr>
        <w:footnoteReference w:id="69"/>
      </w:r>
      <w:r>
        <w:t>.</w:t>
      </w:r>
    </w:p>
    <w:p w14:paraId="22A3DFB4" w14:textId="77777777" w:rsidR="00E53EB6" w:rsidRDefault="006500F5">
      <w:pPr>
        <w:pStyle w:val="Zitat"/>
      </w:pPr>
      <w:r>
        <w:rPr>
          <w:i/>
        </w:rPr>
        <w:t>vāvána</w:t>
      </w:r>
      <w:r>
        <w:rPr>
          <w:i/>
        </w:rPr>
        <w:t>ḥ</w:t>
      </w:r>
      <w:r>
        <w:rPr>
          <w:i/>
        </w:rPr>
        <w:t>:</w:t>
      </w:r>
      <w:r>
        <w:t xml:space="preserve"> </w:t>
      </w:r>
      <w:r>
        <w:t>subj. perf. 2</w:t>
      </w:r>
      <w:r>
        <w:rPr>
          <w:vertAlign w:val="superscript"/>
        </w:rPr>
        <w:t>nd</w:t>
      </w:r>
      <w:r>
        <w:t xml:space="preserve"> sin</w:t>
      </w:r>
      <w:r>
        <w:t>g. double stem</w:t>
      </w:r>
    </w:p>
    <w:p w14:paraId="03C9B5B7" w14:textId="77777777" w:rsidR="00E53EB6" w:rsidRPr="00B80C6B" w:rsidRDefault="006500F5">
      <w:pPr>
        <w:pStyle w:val="ZitatmitEinzug"/>
        <w:rPr>
          <w:lang w:val="de-DE"/>
        </w:rPr>
      </w:pPr>
      <w:r w:rsidRPr="00B80C6B">
        <w:rPr>
          <w:rStyle w:val="biblio-authorGEN"/>
          <w:sz w:val="18"/>
          <w:szCs w:val="15"/>
          <w:lang w:val="de-DE"/>
        </w:rPr>
        <w:t>Geldner:</w:t>
      </w:r>
      <w:r w:rsidRPr="00B80C6B">
        <w:rPr>
          <w:lang w:val="de-DE"/>
        </w:rPr>
        <w:t xml:space="preserve"> I 431 </w:t>
      </w:r>
      <w:r w:rsidRPr="00B80C6B">
        <w:rPr>
          <w:lang w:val="de-DE"/>
        </w:rPr>
        <w:t>“aufnehmen wirst”</w:t>
      </w:r>
    </w:p>
    <w:p w14:paraId="6C4CDF3B" w14:textId="77777777" w:rsidR="00E53EB6" w:rsidRPr="00B80C6B" w:rsidRDefault="006500F5">
      <w:pPr>
        <w:pStyle w:val="ZitatmitEinzug"/>
        <w:rPr>
          <w:lang w:val="de-DE"/>
        </w:rPr>
      </w:pPr>
      <w:r w:rsidRPr="00B80C6B">
        <w:rPr>
          <w:rStyle w:val="biblio-authorGEN"/>
          <w:sz w:val="18"/>
          <w:szCs w:val="15"/>
          <w:lang w:val="de-DE"/>
        </w:rPr>
        <w:t>Renou:</w:t>
      </w:r>
      <w:r w:rsidRPr="00B80C6B">
        <w:rPr>
          <w:lang w:val="de-DE"/>
        </w:rPr>
        <w:t xml:space="preserve"> XIII 14</w:t>
      </w:r>
      <w:r w:rsidRPr="00B80C6B">
        <w:rPr>
          <w:lang w:val="de-DE"/>
        </w:rPr>
        <w:t xml:space="preserve"> “auras gagnée”</w:t>
      </w:r>
    </w:p>
    <w:p w14:paraId="5C1CCBA6" w14:textId="77777777" w:rsidR="00E53EB6" w:rsidRDefault="006500F5">
      <w:pPr>
        <w:pStyle w:val="HaupttextnachZitat"/>
      </w:pPr>
      <w:r>
        <w:t>From the latter category of passages, the image that emerges most clearly is that of the divinity who ‘</w:t>
      </w:r>
      <w:r>
        <w:rPr>
          <w:i/>
        </w:rPr>
        <w:t>van-</w:t>
      </w:r>
      <w:r>
        <w:t xml:space="preserve"> the words of the sacrifice’, often ‘the chants’ (</w:t>
      </w:r>
      <w:r>
        <w:rPr>
          <w:i/>
        </w:rPr>
        <w:t>gíra</w:t>
      </w:r>
      <w:r>
        <w:rPr>
          <w:i/>
        </w:rPr>
        <w:t>ḥ</w:t>
      </w:r>
      <w:r>
        <w:t xml:space="preserve">), but also the </w:t>
      </w:r>
      <w:r>
        <w:t>‘invocation’ (</w:t>
      </w:r>
      <w:r>
        <w:rPr>
          <w:i/>
        </w:rPr>
        <w:t>hávam</w:t>
      </w:r>
      <w:r>
        <w:t>) or ‘sacred formulation’ itself (</w:t>
      </w:r>
      <w:r>
        <w:rPr>
          <w:i/>
        </w:rPr>
        <w:t>bráhma</w:t>
      </w:r>
      <w:r>
        <w:t>): the action performed by the god can, therefore, be seen as a “</w:t>
      </w:r>
      <w:r>
        <w:t>gut aufnehmen”</w:t>
      </w:r>
      <w:r>
        <w:t>, as in fact Geldner suggests, or as an “</w:t>
      </w:r>
      <w:r>
        <w:t>aimer”</w:t>
      </w:r>
      <w:r>
        <w:t xml:space="preserve"> according to Renou: in other words, we can read into it the image of t</w:t>
      </w:r>
      <w:r>
        <w:t>he god who “loves”, appreciates-accepts the words of man.</w:t>
      </w:r>
    </w:p>
    <w:p w14:paraId="57BD8AD3" w14:textId="77777777" w:rsidR="00E53EB6" w:rsidRDefault="006500F5">
      <w:pPr>
        <w:pStyle w:val="HaupttextohneEinzug"/>
      </w:pPr>
      <w:r>
        <w:t>Thus we have here attestations of the verbal root in which the verb takes some on a value differing from that of the previous groups, which confronts us with a choice. Either we can suppose that the</w:t>
      </w:r>
      <w:r>
        <w:t xml:space="preserve">re are, then, two different semantic areas, although they cannot clearly be traced back to the two roots, or we may take these passages to introduce new elements in relation to  that “broader </w:t>
      </w:r>
      <w:r>
        <w:lastRenderedPageBreak/>
        <w:t>meaning” mentioned in the first pages of this text. Such broader</w:t>
      </w:r>
      <w:r>
        <w:t xml:space="preserve"> meaning has  referred to also by Elizarenkova in her study on terms endowed with conversive meaning: “all the “separate meanings” are really context-bound variants of a single syncretic invariant meaning” (cf. 1995</w:t>
      </w:r>
      <w:r>
        <w:rPr>
          <w:vertAlign w:val="superscript"/>
        </w:rPr>
        <w:t>a</w:t>
      </w:r>
      <w:r>
        <w:t>: 30).</w:t>
      </w:r>
    </w:p>
    <w:p w14:paraId="1D83B398" w14:textId="77777777" w:rsidR="00E53EB6" w:rsidRDefault="006500F5">
      <w:pPr>
        <w:pStyle w:val="HaupttextohneEinzug"/>
      </w:pPr>
      <w:r>
        <w:t xml:space="preserve">We have already seen, in the first two categories of this third group of stanzas, the possibility arising of attributing to </w:t>
      </w:r>
      <w:r>
        <w:rPr>
          <w:i/>
        </w:rPr>
        <w:t>van- / van</w:t>
      </w:r>
      <w:r>
        <w:rPr>
          <w:i/>
          <w:vertAlign w:val="superscript"/>
        </w:rPr>
        <w:t>i</w:t>
      </w:r>
      <w:r>
        <w:rPr>
          <w:i/>
        </w:rPr>
        <w:t>-</w:t>
      </w:r>
      <w:r>
        <w:t xml:space="preserve"> the meaning ‘to appropriate’, a term which, in certain areas of use, can be considered synonymous with ‘to possess’ or,</w:t>
      </w:r>
      <w:r>
        <w:t xml:space="preserve"> better, ‘to acquire’. But in what sense can the syntagm ‘to appropriate’ be adopted here? In other words, what would be implied by the image of a god who appropriates the chants of man? </w:t>
      </w:r>
    </w:p>
    <w:p w14:paraId="608D9A1F" w14:textId="77777777" w:rsidR="00E53EB6" w:rsidRDefault="006500F5">
      <w:pPr>
        <w:pStyle w:val="HaupttextohneEinzug"/>
      </w:pPr>
      <w:r>
        <w:t xml:space="preserve">If we turn to stanza 2.5.7 we have a clear impression of a </w:t>
      </w:r>
      <w:r>
        <w:t>transfere</w:t>
      </w:r>
      <w:r>
        <w:t>nce</w:t>
      </w:r>
      <w:r>
        <w:t xml:space="preserve">, also to be found in the previous stanzas (cf. </w:t>
      </w:r>
      <w:r>
        <w:rPr>
          <w:i/>
          <w:iCs/>
        </w:rPr>
        <w:t>d1</w:t>
      </w:r>
      <w:r>
        <w:t>);</w:t>
      </w:r>
      <w:r>
        <w:t xml:space="preserve"> in this case it is the man who ‘appropriates’ the hymn and the sacrifice, and does so thanks alone to the presence of Agni. It is equally evident that we find ourselves here amid a sacrificial rite, a</w:t>
      </w:r>
      <w:r>
        <w:t>n area also in common with the the passages of the second category. In confirmation of this we have the end of the passage in which divine intervention is invoked, the missing part, as counterpart to the action of man (“We have given, we!”) in keeping with</w:t>
      </w:r>
      <w:r>
        <w:t xml:space="preserve"> the concept of co-participation between the human and divine sphere, the essential condition for sacrifice to be effective:</w:t>
      </w:r>
    </w:p>
    <w:p w14:paraId="335E712D" w14:textId="77777777" w:rsidR="00E53EB6" w:rsidRDefault="006500F5">
      <w:pPr>
        <w:pStyle w:val="Zitat"/>
      </w:pPr>
      <w:r>
        <w:t xml:space="preserve">2.5.7 </w:t>
      </w:r>
      <w:r>
        <w:rPr>
          <w:i/>
        </w:rPr>
        <w:t>s</w:t>
      </w:r>
      <w:r>
        <w:rPr>
          <w:i/>
          <w:vertAlign w:val="subscript"/>
        </w:rPr>
        <w:t>u</w:t>
      </w:r>
      <w:r>
        <w:rPr>
          <w:i/>
        </w:rPr>
        <w:t>vá</w:t>
      </w:r>
      <w:r>
        <w:rPr>
          <w:i/>
        </w:rPr>
        <w:t>ḥ</w:t>
      </w:r>
      <w:r>
        <w:rPr>
          <w:i/>
        </w:rPr>
        <w:t xml:space="preserve"> s</w:t>
      </w:r>
      <w:r>
        <w:rPr>
          <w:i/>
          <w:vertAlign w:val="subscript"/>
        </w:rPr>
        <w:t>u</w:t>
      </w:r>
      <w:r>
        <w:rPr>
          <w:i/>
        </w:rPr>
        <w:t>vā́ya dhā́yase</w:t>
      </w:r>
    </w:p>
    <w:p w14:paraId="4928A3FD" w14:textId="77777777" w:rsidR="00E53EB6" w:rsidRDefault="006500F5">
      <w:pPr>
        <w:pStyle w:val="ZitatnachZitat"/>
        <w:rPr>
          <w:i/>
          <w:iCs/>
        </w:rPr>
      </w:pPr>
      <w:r>
        <w:rPr>
          <w:i/>
          <w:iCs/>
        </w:rPr>
        <w:t>kr̥</w:t>
      </w:r>
      <w:r>
        <w:rPr>
          <w:i/>
          <w:iCs/>
        </w:rPr>
        <w:t>ṇ</w:t>
      </w:r>
      <w:r>
        <w:rPr>
          <w:i/>
          <w:iCs/>
        </w:rPr>
        <w:t>utā́m r̥tvíg r̥tvíjam</w:t>
      </w:r>
    </w:p>
    <w:p w14:paraId="3727F62E" w14:textId="77777777" w:rsidR="00E53EB6" w:rsidRDefault="006500F5">
      <w:pPr>
        <w:pStyle w:val="ZitatnachZitat"/>
        <w:rPr>
          <w:i/>
          <w:iCs/>
        </w:rPr>
      </w:pPr>
      <w:r>
        <w:rPr>
          <w:i/>
          <w:iCs/>
        </w:rPr>
        <w:t>stóma</w:t>
      </w:r>
      <w:r>
        <w:rPr>
          <w:i/>
          <w:iCs/>
        </w:rPr>
        <w:t>ṃ</w:t>
      </w:r>
      <w:r>
        <w:rPr>
          <w:i/>
          <w:iCs/>
        </w:rPr>
        <w:t xml:space="preserve"> yajñá</w:t>
      </w:r>
      <w:r>
        <w:rPr>
          <w:i/>
          <w:iCs/>
        </w:rPr>
        <w:t>ṃ</w:t>
      </w:r>
      <w:r>
        <w:rPr>
          <w:i/>
          <w:iCs/>
        </w:rPr>
        <w:t xml:space="preserve"> ca ā́d ára</w:t>
      </w:r>
      <w:r>
        <w:rPr>
          <w:i/>
          <w:iCs/>
        </w:rPr>
        <w:t>ṃ</w:t>
      </w:r>
    </w:p>
    <w:p w14:paraId="131C1150" w14:textId="77777777" w:rsidR="00E53EB6" w:rsidRDefault="006500F5">
      <w:pPr>
        <w:pStyle w:val="ZitatnachZitat"/>
        <w:rPr>
          <w:i/>
          <w:iCs/>
        </w:rPr>
      </w:pPr>
      <w:r>
        <w:rPr>
          <w:i/>
          <w:iCs/>
        </w:rPr>
        <w:t>vanémā rarimā́ vayám</w:t>
      </w:r>
    </w:p>
    <w:p w14:paraId="36D0F24B" w14:textId="77777777" w:rsidR="00E53EB6" w:rsidRDefault="006500F5">
      <w:pPr>
        <w:pStyle w:val="Zitat"/>
      </w:pPr>
      <w:r>
        <w:t>He himself, for his nourishme</w:t>
      </w:r>
      <w:r>
        <w:t>nt</w:t>
      </w:r>
      <w:bookmarkStart w:id="57" w:name="sdfootnote61anc"/>
      <w:bookmarkEnd w:id="57"/>
      <w:r>
        <w:rPr>
          <w:rStyle w:val="FootnoteAnchor"/>
        </w:rPr>
        <w:footnoteReference w:id="70"/>
      </w:r>
      <w:r>
        <w:t>, provides, as officiant, the officiant</w:t>
      </w:r>
      <w:bookmarkStart w:id="58" w:name="sdfootnote62anc"/>
      <w:bookmarkEnd w:id="58"/>
      <w:r>
        <w:rPr>
          <w:rStyle w:val="FootnoteAnchor"/>
        </w:rPr>
        <w:footnoteReference w:id="71"/>
      </w:r>
      <w:r>
        <w:t xml:space="preserve">, then a hymn and a sacrifice we can </w:t>
      </w:r>
      <w:r>
        <w:rPr>
          <w:u w:val="single"/>
        </w:rPr>
        <w:t xml:space="preserve">appropriate </w:t>
      </w:r>
      <w:r>
        <w:t>in the right way</w:t>
      </w:r>
      <w:bookmarkStart w:id="59" w:name="sdfootnote63anc"/>
      <w:bookmarkEnd w:id="59"/>
      <w:r>
        <w:rPr>
          <w:rStyle w:val="FootnoteAnchor"/>
        </w:rPr>
        <w:footnoteReference w:id="72"/>
      </w:r>
      <w:r>
        <w:t>. We have given, we</w:t>
      </w:r>
      <w:bookmarkStart w:id="60" w:name="sdfootnote64anc"/>
      <w:bookmarkEnd w:id="60"/>
      <w:r>
        <w:rPr>
          <w:rStyle w:val="FootnoteAnchor"/>
        </w:rPr>
        <w:footnoteReference w:id="73"/>
      </w:r>
      <w:r>
        <w:t>.</w:t>
      </w:r>
    </w:p>
    <w:p w14:paraId="08EC04FC" w14:textId="77777777" w:rsidR="00E53EB6" w:rsidRDefault="006500F5">
      <w:pPr>
        <w:pStyle w:val="Zitat"/>
      </w:pPr>
      <w:r>
        <w:rPr>
          <w:i/>
        </w:rPr>
        <w:t>vanéma:</w:t>
      </w:r>
      <w:r>
        <w:t xml:space="preserve"> </w:t>
      </w:r>
      <w:r>
        <w:t>opt. pres. 1</w:t>
      </w:r>
      <w:r>
        <w:rPr>
          <w:vertAlign w:val="superscript"/>
        </w:rPr>
        <w:t>st</w:t>
      </w:r>
      <w:r>
        <w:t xml:space="preserve"> pl. I-VI cl.</w:t>
      </w:r>
    </w:p>
    <w:p w14:paraId="6187F3F0" w14:textId="77777777" w:rsidR="00E53EB6" w:rsidRPr="00B80C6B" w:rsidRDefault="006500F5">
      <w:pPr>
        <w:pStyle w:val="ZitatmitEinzug"/>
        <w:rPr>
          <w:lang w:val="de-DE"/>
        </w:rPr>
      </w:pPr>
      <w:r w:rsidRPr="00B80C6B">
        <w:rPr>
          <w:rStyle w:val="biblio-authorGEN"/>
          <w:sz w:val="18"/>
          <w:szCs w:val="15"/>
          <w:lang w:val="de-DE"/>
        </w:rPr>
        <w:t>Geldner:</w:t>
      </w:r>
      <w:r w:rsidRPr="00B80C6B">
        <w:rPr>
          <w:lang w:val="de-DE"/>
        </w:rPr>
        <w:t xml:space="preserve"> I 283 “</w:t>
      </w:r>
      <w:r w:rsidRPr="00B80C6B">
        <w:rPr>
          <w:lang w:val="de-DE"/>
        </w:rPr>
        <w:t>mögen Gewinn haben”</w:t>
      </w:r>
    </w:p>
    <w:p w14:paraId="37A62776" w14:textId="77777777" w:rsidR="00E53EB6" w:rsidRPr="00B80C6B" w:rsidRDefault="006500F5">
      <w:pPr>
        <w:pStyle w:val="ZitatmitEinzug"/>
        <w:rPr>
          <w:lang w:val="de-DE"/>
        </w:rPr>
      </w:pPr>
      <w:r w:rsidRPr="00B80C6B">
        <w:rPr>
          <w:rStyle w:val="biblio-authorGEN"/>
          <w:sz w:val="18"/>
          <w:szCs w:val="15"/>
          <w:lang w:val="de-DE"/>
        </w:rPr>
        <w:t>Renou:</w:t>
      </w:r>
      <w:r w:rsidRPr="00B80C6B">
        <w:rPr>
          <w:lang w:val="de-DE"/>
        </w:rPr>
        <w:t xml:space="preserve"> XII 45 </w:t>
      </w:r>
      <w:r w:rsidRPr="00B80C6B">
        <w:rPr>
          <w:lang w:val="de-DE"/>
        </w:rPr>
        <w:t>“gagner”</w:t>
      </w:r>
    </w:p>
    <w:p w14:paraId="7C44BB92" w14:textId="77777777" w:rsidR="00E53EB6" w:rsidRPr="00B80C6B" w:rsidRDefault="006500F5">
      <w:pPr>
        <w:pStyle w:val="ZitatmitEinzug"/>
        <w:rPr>
          <w:lang w:val="de-DE"/>
        </w:rPr>
      </w:pPr>
      <w:r w:rsidRPr="00B80C6B">
        <w:rPr>
          <w:rStyle w:val="biblio-authorGEN"/>
          <w:sz w:val="18"/>
          <w:szCs w:val="15"/>
          <w:lang w:val="de-DE"/>
        </w:rPr>
        <w:t>Oldenberg</w:t>
      </w:r>
      <w:r w:rsidRPr="00B80C6B">
        <w:rPr>
          <w:lang w:val="de-DE"/>
        </w:rPr>
        <w:t xml:space="preserve"> 1909: 192 n. 5,7 </w:t>
      </w:r>
      <w:r w:rsidRPr="00B80C6B">
        <w:rPr>
          <w:lang w:val="de-DE"/>
        </w:rPr>
        <w:t>“mögen bemeistern”</w:t>
      </w:r>
    </w:p>
    <w:p w14:paraId="73DCCAD8" w14:textId="77777777" w:rsidR="00E53EB6" w:rsidRDefault="006500F5">
      <w:pPr>
        <w:pStyle w:val="ZitatmitEinzug"/>
      </w:pPr>
      <w:r>
        <w:rPr>
          <w:rStyle w:val="biblio-authorGEN"/>
          <w:sz w:val="18"/>
          <w:szCs w:val="18"/>
        </w:rPr>
        <w:t>Witzel-Gotō</w:t>
      </w:r>
      <w:r>
        <w:t xml:space="preserve"> 2007: 360 “gewinnen”</w:t>
      </w:r>
    </w:p>
    <w:p w14:paraId="785EB594" w14:textId="77777777" w:rsidR="00E53EB6" w:rsidRDefault="006500F5">
      <w:pPr>
        <w:pStyle w:val="HaupttextnachZitat"/>
      </w:pPr>
      <w:r>
        <w:t>Similarly, in stanza 8.66.5, those who are making ready for the sacrifice prepare what Indra has already effectively appropriated, namely the sacrifice itself, the verse and the word, or</w:t>
      </w:r>
      <w:r>
        <w:t xml:space="preserve"> we might say the primary elements of the rite. Here, too, the verb appears to express above all the idea of a transference.</w:t>
      </w:r>
    </w:p>
    <w:p w14:paraId="6468EB5F" w14:textId="77777777" w:rsidR="00E53EB6" w:rsidRDefault="006500F5">
      <w:pPr>
        <w:pStyle w:val="Zitat"/>
      </w:pPr>
      <w:r>
        <w:t xml:space="preserve">8.66.5 </w:t>
      </w:r>
      <w:r>
        <w:rPr>
          <w:i/>
        </w:rPr>
        <w:t>yád vāvántha puru</w:t>
      </w:r>
      <w:r>
        <w:rPr>
          <w:i/>
        </w:rPr>
        <w:t>ṣṭ</w:t>
      </w:r>
      <w:r>
        <w:rPr>
          <w:i/>
        </w:rPr>
        <w:t>uta</w:t>
      </w:r>
    </w:p>
    <w:p w14:paraId="281A780D" w14:textId="77777777" w:rsidR="00E53EB6" w:rsidRDefault="006500F5">
      <w:pPr>
        <w:pStyle w:val="ZitatnachZitat"/>
        <w:rPr>
          <w:i/>
          <w:iCs/>
        </w:rPr>
      </w:pPr>
      <w:r>
        <w:rPr>
          <w:i/>
          <w:iCs/>
        </w:rPr>
        <w:t>purā́ cic chūra nr̥̄</w:t>
      </w:r>
      <w:r>
        <w:rPr>
          <w:i/>
          <w:iCs/>
        </w:rPr>
        <w:t>ṇ</w:t>
      </w:r>
      <w:r>
        <w:rPr>
          <w:i/>
          <w:iCs/>
        </w:rPr>
        <w:t>ā́m</w:t>
      </w:r>
    </w:p>
    <w:p w14:paraId="1A7C4AB7" w14:textId="77777777" w:rsidR="00E53EB6" w:rsidRDefault="006500F5">
      <w:pPr>
        <w:pStyle w:val="ZitatnachZitat"/>
        <w:rPr>
          <w:i/>
          <w:iCs/>
        </w:rPr>
      </w:pPr>
      <w:r>
        <w:rPr>
          <w:i/>
          <w:iCs/>
        </w:rPr>
        <w:t>vayá</w:t>
      </w:r>
      <w:r>
        <w:rPr>
          <w:i/>
          <w:iCs/>
        </w:rPr>
        <w:t>ṃ</w:t>
      </w:r>
      <w:r>
        <w:rPr>
          <w:i/>
          <w:iCs/>
        </w:rPr>
        <w:t xml:space="preserve"> tát ta indara sám bharāmasi</w:t>
      </w:r>
    </w:p>
    <w:p w14:paraId="2D4B069A" w14:textId="77777777" w:rsidR="00E53EB6" w:rsidRDefault="006500F5">
      <w:pPr>
        <w:pStyle w:val="ZitatnachZitat"/>
        <w:rPr>
          <w:i/>
          <w:iCs/>
        </w:rPr>
      </w:pPr>
      <w:r>
        <w:rPr>
          <w:i/>
          <w:iCs/>
        </w:rPr>
        <w:t>yajñám ukthá</w:t>
      </w:r>
      <w:r>
        <w:rPr>
          <w:i/>
          <w:iCs/>
        </w:rPr>
        <w:t>ṃ</w:t>
      </w:r>
      <w:r>
        <w:rPr>
          <w:i/>
          <w:iCs/>
        </w:rPr>
        <w:t xml:space="preserve"> turá</w:t>
      </w:r>
      <w:r>
        <w:rPr>
          <w:i/>
          <w:iCs/>
        </w:rPr>
        <w:t>ṃ</w:t>
      </w:r>
      <w:r>
        <w:rPr>
          <w:i/>
          <w:iCs/>
        </w:rPr>
        <w:t xml:space="preserve"> váca</w:t>
      </w:r>
      <w:r>
        <w:rPr>
          <w:i/>
          <w:iCs/>
        </w:rPr>
        <w:t>ḥ</w:t>
      </w:r>
    </w:p>
    <w:p w14:paraId="32491DA9" w14:textId="77777777" w:rsidR="00E53EB6" w:rsidRDefault="006500F5">
      <w:pPr>
        <w:pStyle w:val="Zitat"/>
      </w:pPr>
      <w:r>
        <w:t xml:space="preserve">That which you, </w:t>
      </w:r>
      <w:r>
        <w:t xml:space="preserve">o much praised lord of men, </w:t>
      </w:r>
      <w:r>
        <w:rPr>
          <w:u w:val="single"/>
        </w:rPr>
        <w:t>have</w:t>
      </w:r>
      <w:r>
        <w:t xml:space="preserve"> already first </w:t>
      </w:r>
      <w:r>
        <w:rPr>
          <w:u w:val="single"/>
        </w:rPr>
        <w:t>appropriated</w:t>
      </w:r>
      <w:r>
        <w:t>, this we, for you, o Indra, we prepare: the sacrifice, the verse, the word that runs on.</w:t>
      </w:r>
    </w:p>
    <w:p w14:paraId="3A039C75" w14:textId="77777777" w:rsidR="00E53EB6" w:rsidRDefault="006500F5">
      <w:pPr>
        <w:pStyle w:val="Zitat"/>
      </w:pPr>
      <w:r>
        <w:rPr>
          <w:i/>
        </w:rPr>
        <w:lastRenderedPageBreak/>
        <w:t>vāvántha</w:t>
      </w:r>
      <w:r>
        <w:t>: ind. perf. 2</w:t>
      </w:r>
      <w:r>
        <w:rPr>
          <w:vertAlign w:val="superscript"/>
        </w:rPr>
        <w:t>nd</w:t>
      </w:r>
      <w:r>
        <w:rPr>
          <w:position w:val="6"/>
        </w:rPr>
        <w:t xml:space="preserve"> </w:t>
      </w:r>
      <w:r>
        <w:t>sing. double stem</w:t>
      </w:r>
    </w:p>
    <w:p w14:paraId="379619F5" w14:textId="77777777" w:rsidR="00E53EB6" w:rsidRDefault="006500F5">
      <w:pPr>
        <w:pStyle w:val="ZitatmitEinzug"/>
      </w:pPr>
      <w:r>
        <w:rPr>
          <w:rStyle w:val="biblio-authorGEN"/>
          <w:sz w:val="18"/>
          <w:szCs w:val="15"/>
        </w:rPr>
        <w:t>Geldner</w:t>
      </w:r>
      <w:r>
        <w:rPr>
          <w:rStyle w:val="biblio-authorGEN"/>
        </w:rPr>
        <w:t>:</w:t>
      </w:r>
      <w:r>
        <w:t xml:space="preserve"> II 388 “verdient hast”</w:t>
      </w:r>
    </w:p>
    <w:p w14:paraId="146EA399" w14:textId="77777777" w:rsidR="00E53EB6" w:rsidRDefault="00E53EB6">
      <w:pPr>
        <w:pStyle w:val="HaupttextnachZitat"/>
      </w:pPr>
    </w:p>
    <w:p w14:paraId="7386E504" w14:textId="77777777" w:rsidR="00E53EB6" w:rsidRDefault="006500F5">
      <w:pPr>
        <w:pStyle w:val="Heading3"/>
        <w:tabs>
          <w:tab w:val="left" w:pos="0"/>
        </w:tabs>
      </w:pPr>
      <w:r>
        <w:rPr>
          <w:i/>
          <w:iCs/>
        </w:rPr>
        <w:t>e- Ritual meaning “to make s.o.</w:t>
      </w:r>
      <w:r>
        <w:rPr>
          <w:i/>
          <w:iCs/>
        </w:rPr>
        <w:t xml:space="preserve"> enter the circle of sacrifice”</w:t>
      </w:r>
      <w:r>
        <w:rPr>
          <w:sz w:val="24"/>
          <w:szCs w:val="24"/>
        </w:rPr>
        <w:t xml:space="preserve"> </w:t>
      </w:r>
    </w:p>
    <w:p w14:paraId="190CD2C0" w14:textId="77777777" w:rsidR="00E53EB6" w:rsidRDefault="006500F5">
      <w:pPr>
        <w:pStyle w:val="Hauptext"/>
      </w:pPr>
      <w:r>
        <w:rPr>
          <w:rFonts w:ascii="SabonUnicode" w:eastAsia="SabonUnicode" w:hAnsi="SabonUnicode" w:cs="SabonUnicode"/>
        </w:rPr>
        <w:t xml:space="preserve">Continuing with our analysis, we </w:t>
      </w:r>
      <w:r>
        <w:rPr>
          <w:rFonts w:ascii="SabonUnicode" w:eastAsia="SabonUnicode" w:hAnsi="SabonUnicode" w:cs="SabonUnicode"/>
          <w:color w:val="000000"/>
        </w:rPr>
        <w:t>address</w:t>
      </w:r>
      <w:r>
        <w:rPr>
          <w:rFonts w:ascii="SabonUnicode" w:eastAsia="SabonUnicode" w:hAnsi="SabonUnicode" w:cs="SabonUnicode"/>
        </w:rPr>
        <w:t xml:space="preserve"> the passages in which </w:t>
      </w:r>
      <w:r>
        <w:rPr>
          <w:rFonts w:ascii="SabonUnicode" w:eastAsia="SabonUnicode" w:hAnsi="SabonUnicode" w:cs="SabonUnicode"/>
          <w:i/>
          <w:iCs/>
        </w:rPr>
        <w:t>van- / van</w:t>
      </w:r>
      <w:r>
        <w:rPr>
          <w:rFonts w:ascii="SabonUnicode" w:eastAsia="SabonUnicode" w:hAnsi="SabonUnicode" w:cs="SabonUnicode"/>
          <w:i/>
          <w:iCs/>
          <w:vertAlign w:val="superscript"/>
        </w:rPr>
        <w:t>i</w:t>
      </w:r>
      <w:r>
        <w:rPr>
          <w:rFonts w:ascii="SabonUnicode" w:eastAsia="SabonUnicode" w:hAnsi="SabonUnicode" w:cs="SabonUnicode"/>
          <w:i/>
          <w:iCs/>
        </w:rPr>
        <w:t>-</w:t>
      </w:r>
      <w:r>
        <w:rPr>
          <w:rFonts w:ascii="SabonUnicode" w:eastAsia="SabonUnicode" w:hAnsi="SabonUnicode" w:cs="SabonUnicode"/>
        </w:rPr>
        <w:t xml:space="preserve"> is used in ways of less frequent occurrence than those as yet examined here. Here the verb is clearly used within an actual moment of the sacrifice, and either </w:t>
      </w:r>
      <w:r>
        <w:rPr>
          <w:rFonts w:ascii="SabonUnicode" w:eastAsia="SabonUnicode" w:hAnsi="SabonUnicode" w:cs="SabonUnicode"/>
          <w:i/>
          <w:iCs/>
        </w:rPr>
        <w:t>van- / van</w:t>
      </w:r>
      <w:r>
        <w:rPr>
          <w:rFonts w:ascii="SabonUnicode" w:eastAsia="SabonUnicode" w:hAnsi="SabonUnicode" w:cs="SabonUnicode"/>
          <w:i/>
          <w:iCs/>
          <w:vertAlign w:val="superscript"/>
        </w:rPr>
        <w:t>i</w:t>
      </w:r>
      <w:r>
        <w:rPr>
          <w:rFonts w:ascii="SabonUnicode" w:eastAsia="SabonUnicode" w:hAnsi="SabonUnicode" w:cs="SabonUnicode"/>
          <w:i/>
          <w:iCs/>
        </w:rPr>
        <w:t xml:space="preserve">- </w:t>
      </w:r>
      <w:r>
        <w:rPr>
          <w:rFonts w:ascii="SabonUnicode" w:eastAsia="SabonUnicode" w:hAnsi="SabonUnicode" w:cs="SabonUnicode"/>
        </w:rPr>
        <w:t>doesn’t</w:t>
      </w:r>
      <w:r>
        <w:rPr>
          <w:rFonts w:ascii="SabonUnicode" w:eastAsia="SabonUnicode" w:hAnsi="SabonUnicode" w:cs="SabonUnicode"/>
          <w:i/>
          <w:iCs/>
        </w:rPr>
        <w:t xml:space="preserve"> </w:t>
      </w:r>
      <w:r>
        <w:rPr>
          <w:rFonts w:ascii="SabonUnicode" w:eastAsia="SabonUnicode" w:hAnsi="SabonUnicode" w:cs="SabonUnicode"/>
        </w:rPr>
        <w:t>require any direct object (</w:t>
      </w:r>
      <w:r>
        <w:rPr>
          <w:rFonts w:ascii="SabonUnicode" w:eastAsia="SabonUnicode" w:hAnsi="SabonUnicode" w:cs="SabonUnicode"/>
          <w:i/>
          <w:iCs/>
        </w:rPr>
        <w:t>e1</w:t>
      </w:r>
      <w:r>
        <w:rPr>
          <w:rFonts w:ascii="SabonUnicode" w:eastAsia="SabonUnicode" w:hAnsi="SabonUnicode" w:cs="SabonUnicode"/>
        </w:rPr>
        <w:t>) or the stanzas display a construction which</w:t>
      </w:r>
      <w:r>
        <w:rPr>
          <w:rFonts w:ascii="SabonUnicode" w:eastAsia="SabonUnicode" w:hAnsi="SabonUnicode" w:cs="SabonUnicode"/>
        </w:rPr>
        <w:t xml:space="preserve"> is “the man </w:t>
      </w:r>
      <w:r>
        <w:rPr>
          <w:rFonts w:ascii="SabonUnicode" w:eastAsia="SabonUnicode" w:hAnsi="SabonUnicode" w:cs="SabonUnicode"/>
          <w:i/>
          <w:iCs/>
        </w:rPr>
        <w:t xml:space="preserve">van- </w:t>
      </w:r>
      <w:r>
        <w:rPr>
          <w:rFonts w:ascii="SabonUnicode" w:eastAsia="SabonUnicode" w:hAnsi="SabonUnicode" w:cs="SabonUnicode"/>
        </w:rPr>
        <w:t>the god” (</w:t>
      </w:r>
      <w:r>
        <w:rPr>
          <w:rFonts w:ascii="SabonUnicode" w:eastAsia="SabonUnicode" w:hAnsi="SabonUnicode" w:cs="SabonUnicode"/>
          <w:i/>
          <w:iCs/>
        </w:rPr>
        <w:t>e2</w:t>
      </w:r>
      <w:r>
        <w:rPr>
          <w:rFonts w:ascii="SabonUnicode" w:eastAsia="SabonUnicode" w:hAnsi="SabonUnicode" w:cs="SabonUnicode"/>
        </w:rPr>
        <w:t xml:space="preserve">). </w:t>
      </w:r>
    </w:p>
    <w:p w14:paraId="1BFDD2D0" w14:textId="77777777" w:rsidR="00E53EB6" w:rsidRDefault="006500F5">
      <w:pPr>
        <w:pStyle w:val="Hauptext"/>
      </w:pPr>
      <w:r>
        <w:rPr>
          <w:rFonts w:ascii="SabonUnicode" w:eastAsia="SabonUnicode" w:hAnsi="SabonUnicode" w:cs="SabonUnicode"/>
        </w:rPr>
        <w:t xml:space="preserve">We propose to read in these cases a concrete ritual meaning of the verb and interpret it as: “to make someone enter into the circle of sacrifice”. Moreover, the desiderative form of the verb underpin this hypothesis </w:t>
      </w:r>
      <w:r>
        <w:rPr>
          <w:rFonts w:ascii="SabonUnicode" w:eastAsia="SabonUnicode" w:hAnsi="SabonUnicode" w:cs="SabonUnicode"/>
          <w:i/>
          <w:iCs/>
        </w:rPr>
        <w:t>(e3).</w:t>
      </w:r>
    </w:p>
    <w:p w14:paraId="738D3ED7" w14:textId="77777777" w:rsidR="00E53EB6" w:rsidRDefault="00E53EB6">
      <w:pPr>
        <w:pStyle w:val="HaupttextohneEinzug"/>
        <w:rPr>
          <w:rFonts w:ascii="SabonUnicode" w:eastAsia="SabonUnicode" w:hAnsi="SabonUnicode" w:cs="SabonUnicode"/>
        </w:rPr>
      </w:pPr>
    </w:p>
    <w:p w14:paraId="0CB0B0AD" w14:textId="77777777" w:rsidR="00E53EB6" w:rsidRDefault="006500F5">
      <w:pPr>
        <w:pStyle w:val="Hauptext"/>
        <w:rPr>
          <w:szCs w:val="21"/>
        </w:rPr>
      </w:pPr>
      <w:r>
        <w:rPr>
          <w:i/>
          <w:iCs/>
          <w:szCs w:val="21"/>
        </w:rPr>
        <w:t>e1</w:t>
      </w:r>
      <w:r>
        <w:rPr>
          <w:b/>
          <w:sz w:val="24"/>
          <w:szCs w:val="24"/>
        </w:rPr>
        <w:t>-</w:t>
      </w:r>
      <w:r>
        <w:rPr>
          <w:b/>
          <w:szCs w:val="21"/>
        </w:rPr>
        <w:t xml:space="preserve"> </w:t>
      </w:r>
      <w:r>
        <w:rPr>
          <w:szCs w:val="21"/>
        </w:rPr>
        <w:t>These stanzas are characterised, on the one hand, by the absence of a direct object and, on the other hand, by an enigmatic nature often associated with the ritual context: we have an example in 10.27.18 (as in 10.128.3):</w:t>
      </w:r>
    </w:p>
    <w:p w14:paraId="717685FB" w14:textId="77777777" w:rsidR="00E53EB6" w:rsidRDefault="006500F5">
      <w:pPr>
        <w:pStyle w:val="Zitat"/>
      </w:pPr>
      <w:r>
        <w:t xml:space="preserve">10.27.18 </w:t>
      </w:r>
      <w:r>
        <w:rPr>
          <w:i/>
        </w:rPr>
        <w:t>ví krośanā́so ví</w:t>
      </w:r>
      <w:r>
        <w:rPr>
          <w:i/>
        </w:rPr>
        <w:t>ṣ</w:t>
      </w:r>
      <w:r>
        <w:rPr>
          <w:i/>
          <w:vertAlign w:val="subscript"/>
        </w:rPr>
        <w:t>u</w:t>
      </w:r>
      <w:r>
        <w:rPr>
          <w:i/>
        </w:rPr>
        <w:t>va</w:t>
      </w:r>
      <w:r>
        <w:rPr>
          <w:i/>
        </w:rPr>
        <w:t>ñca āyan</w:t>
      </w:r>
    </w:p>
    <w:p w14:paraId="6AFEE3AB" w14:textId="77777777" w:rsidR="00E53EB6" w:rsidRDefault="006500F5">
      <w:pPr>
        <w:pStyle w:val="ZitatnachZitat"/>
        <w:rPr>
          <w:i/>
          <w:iCs/>
        </w:rPr>
      </w:pPr>
      <w:r>
        <w:rPr>
          <w:i/>
          <w:iCs/>
        </w:rPr>
        <w:t>pácāti némo nahí pák</w:t>
      </w:r>
      <w:r>
        <w:rPr>
          <w:i/>
          <w:iCs/>
        </w:rPr>
        <w:t>ṣ</w:t>
      </w:r>
      <w:r>
        <w:rPr>
          <w:i/>
          <w:iCs/>
        </w:rPr>
        <w:t>ad ardhá</w:t>
      </w:r>
      <w:r>
        <w:rPr>
          <w:i/>
          <w:iCs/>
        </w:rPr>
        <w:t>ḥ</w:t>
      </w:r>
    </w:p>
    <w:p w14:paraId="4F711021" w14:textId="77777777" w:rsidR="00E53EB6" w:rsidRDefault="006500F5">
      <w:pPr>
        <w:pStyle w:val="ZitatnachZitat"/>
        <w:rPr>
          <w:i/>
          <w:iCs/>
        </w:rPr>
      </w:pPr>
      <w:r>
        <w:rPr>
          <w:i/>
          <w:iCs/>
        </w:rPr>
        <w:t>ayám me devá</w:t>
      </w:r>
      <w:r>
        <w:rPr>
          <w:i/>
          <w:iCs/>
        </w:rPr>
        <w:t>ḥ</w:t>
      </w:r>
      <w:r>
        <w:rPr>
          <w:i/>
          <w:iCs/>
        </w:rPr>
        <w:t xml:space="preserve"> savitā́ tád āha</w:t>
      </w:r>
    </w:p>
    <w:p w14:paraId="3F84A951" w14:textId="77777777" w:rsidR="00E53EB6" w:rsidRDefault="006500F5">
      <w:pPr>
        <w:pStyle w:val="ZitatnachZitat"/>
        <w:rPr>
          <w:i/>
          <w:iCs/>
        </w:rPr>
      </w:pPr>
      <w:r>
        <w:rPr>
          <w:i/>
          <w:iCs/>
        </w:rPr>
        <w:t>dr</w:t>
      </w:r>
      <w:r>
        <w:rPr>
          <w:i/>
          <w:iCs/>
          <w:vertAlign w:val="subscript"/>
        </w:rPr>
        <w:t>ú</w:t>
      </w:r>
      <w:r>
        <w:rPr>
          <w:i/>
          <w:iCs/>
        </w:rPr>
        <w:t>vanna íd vanavat sarpíranna</w:t>
      </w:r>
      <w:r>
        <w:rPr>
          <w:i/>
          <w:iCs/>
        </w:rPr>
        <w:t>ḥ</w:t>
      </w:r>
    </w:p>
    <w:p w14:paraId="5F604E68" w14:textId="77777777" w:rsidR="00E53EB6" w:rsidRDefault="006500F5">
      <w:pPr>
        <w:pStyle w:val="Zitat"/>
      </w:pPr>
      <w:r>
        <w:t xml:space="preserve">Let those who weep separate going in opposite directions, one part cooks, let the other not cook, this I have been told by this god, Savitr̥; let he who feeds on wood and clarified butter </w:t>
      </w:r>
      <w:r>
        <w:rPr>
          <w:u w:val="single"/>
        </w:rPr>
        <w:t>appropriate</w:t>
      </w:r>
      <w:r>
        <w:t>.</w:t>
      </w:r>
    </w:p>
    <w:p w14:paraId="0CACDEA6" w14:textId="77777777" w:rsidR="00E53EB6" w:rsidRPr="00B80C6B" w:rsidRDefault="006500F5">
      <w:pPr>
        <w:pStyle w:val="Zitat"/>
        <w:rPr>
          <w:i/>
          <w:lang w:val="de-DE"/>
        </w:rPr>
      </w:pPr>
      <w:r>
        <w:rPr>
          <w:i/>
        </w:rPr>
        <w:t xml:space="preserve">vanavat: </w:t>
      </w:r>
      <w:r>
        <w:t>subj. pres. 3</w:t>
      </w:r>
      <w:r>
        <w:rPr>
          <w:vertAlign w:val="superscript"/>
        </w:rPr>
        <w:t>rd</w:t>
      </w:r>
      <w:r>
        <w:t xml:space="preserve"> sing. </w:t>
      </w:r>
      <w:r w:rsidRPr="00B80C6B">
        <w:rPr>
          <w:lang w:val="de-DE"/>
        </w:rPr>
        <w:t>VIII cl.</w:t>
      </w:r>
    </w:p>
    <w:p w14:paraId="5EE64B3D" w14:textId="77777777" w:rsidR="00E53EB6" w:rsidRPr="00B80C6B" w:rsidRDefault="006500F5">
      <w:pPr>
        <w:pStyle w:val="ZitatmitEinzug"/>
        <w:rPr>
          <w:lang w:val="de-DE"/>
        </w:rPr>
      </w:pPr>
      <w:r w:rsidRPr="00B80C6B">
        <w:rPr>
          <w:rStyle w:val="biblio-authorGEN"/>
          <w:sz w:val="18"/>
          <w:szCs w:val="15"/>
          <w:lang w:val="de-DE"/>
        </w:rPr>
        <w:t>Geldner:</w:t>
      </w:r>
      <w:r w:rsidRPr="00B80C6B">
        <w:rPr>
          <w:lang w:val="de-DE"/>
        </w:rPr>
        <w:t xml:space="preserve"> III 168 </w:t>
      </w:r>
      <w:r w:rsidRPr="00B80C6B">
        <w:rPr>
          <w:lang w:val="de-DE"/>
        </w:rPr>
        <w:t>“wird gewinnen”</w:t>
      </w:r>
    </w:p>
    <w:p w14:paraId="43E14132" w14:textId="77777777" w:rsidR="00E53EB6" w:rsidRDefault="006500F5">
      <w:pPr>
        <w:pStyle w:val="HaupttextnachZitat"/>
      </w:pPr>
      <w:r>
        <w:t>Let us, then, take into consideration stanza 8.72.1: the situation is the commencement of the rite known as Agni</w:t>
      </w:r>
      <w:r>
        <w:t>ṣṭ</w:t>
      </w:r>
      <w:r>
        <w:t xml:space="preserve">oma, and, more precisely, close to the moment when the offering is </w:t>
      </w:r>
      <w:r>
        <w:t>called</w:t>
      </w:r>
      <w:r>
        <w:t xml:space="preserve"> and </w:t>
      </w:r>
      <w:r>
        <w:t>called again</w:t>
      </w:r>
      <w:r>
        <w:t>, although the text</w:t>
      </w:r>
      <w:r>
        <w:t xml:space="preserve"> is very elliptical and discontinuous in following the sacrifice. According to </w:t>
      </w:r>
      <w:r>
        <w:rPr>
          <w:rStyle w:val="biblio-authorGEN"/>
        </w:rPr>
        <w:t>Geldner</w:t>
      </w:r>
      <w:r>
        <w:t xml:space="preserve"> (II 397 n.1) and </w:t>
      </w:r>
      <w:r>
        <w:rPr>
          <w:rStyle w:val="biblio-authorGEN"/>
        </w:rPr>
        <w:t>Renou</w:t>
      </w:r>
      <w:r>
        <w:t xml:space="preserve"> (XIV 105 n. 1) in this stanza the object of </w:t>
      </w:r>
      <w:r>
        <w:rPr>
          <w:i/>
        </w:rPr>
        <w:t xml:space="preserve">vanate </w:t>
      </w:r>
      <w:r>
        <w:t xml:space="preserve">is Agni, while </w:t>
      </w:r>
      <w:r>
        <w:rPr>
          <w:rStyle w:val="biblio-authorGEN"/>
        </w:rPr>
        <w:t>Oldenberg</w:t>
      </w:r>
      <w:r>
        <w:t xml:space="preserve"> (1912: 134 n. 1) interprets it as self, “seiner”. Let us, however, try</w:t>
      </w:r>
      <w:r>
        <w:t xml:space="preserve"> keeping the verb without any direct object, considering what more the ritual context can tell us than the verb itself:</w:t>
      </w:r>
    </w:p>
    <w:p w14:paraId="338EF36E" w14:textId="77777777" w:rsidR="00E53EB6" w:rsidRDefault="006500F5">
      <w:pPr>
        <w:pStyle w:val="Zitat"/>
      </w:pPr>
      <w:r>
        <w:t xml:space="preserve">8.72.1 </w:t>
      </w:r>
      <w:r>
        <w:rPr>
          <w:i/>
        </w:rPr>
        <w:t>haví</w:t>
      </w:r>
      <w:r>
        <w:rPr>
          <w:i/>
        </w:rPr>
        <w:t>ṣ</w:t>
      </w:r>
      <w:r>
        <w:rPr>
          <w:i/>
        </w:rPr>
        <w:t xml:space="preserve"> kr̥</w:t>
      </w:r>
      <w:r>
        <w:rPr>
          <w:i/>
        </w:rPr>
        <w:t>ṇ</w:t>
      </w:r>
      <w:r>
        <w:rPr>
          <w:i/>
        </w:rPr>
        <w:t>udhvam ā́ gamad</w:t>
      </w:r>
    </w:p>
    <w:p w14:paraId="0E1D9BC1" w14:textId="77777777" w:rsidR="00E53EB6" w:rsidRDefault="006500F5">
      <w:pPr>
        <w:pStyle w:val="ZitatnachZitat"/>
        <w:rPr>
          <w:i/>
          <w:iCs/>
        </w:rPr>
      </w:pPr>
      <w:r>
        <w:rPr>
          <w:i/>
          <w:iCs/>
        </w:rPr>
        <w:t>adhvaryúr vanate púna</w:t>
      </w:r>
      <w:r>
        <w:rPr>
          <w:i/>
          <w:iCs/>
        </w:rPr>
        <w:t>ḥ</w:t>
      </w:r>
    </w:p>
    <w:p w14:paraId="20ECF7F5" w14:textId="77777777" w:rsidR="00E53EB6" w:rsidRDefault="006500F5">
      <w:pPr>
        <w:pStyle w:val="ZitatnachZitat"/>
        <w:rPr>
          <w:i/>
          <w:iCs/>
        </w:rPr>
      </w:pPr>
      <w:r>
        <w:rPr>
          <w:i/>
          <w:iCs/>
        </w:rPr>
        <w:t>vidvā́m̐ asya praśā́sanam</w:t>
      </w:r>
    </w:p>
    <w:p w14:paraId="3DF1385D" w14:textId="77777777" w:rsidR="00E53EB6" w:rsidRDefault="006500F5">
      <w:pPr>
        <w:pStyle w:val="Zitat"/>
      </w:pPr>
      <w:r>
        <w:t>Prepare the oblation, that it may come</w:t>
      </w:r>
      <w:bookmarkStart w:id="61" w:name="sdfootnote68anc"/>
      <w:bookmarkEnd w:id="61"/>
      <w:r>
        <w:rPr>
          <w:rStyle w:val="FootnoteAnchor"/>
        </w:rPr>
        <w:footnoteReference w:id="74"/>
      </w:r>
      <w:r>
        <w:t xml:space="preserve">, that the </w:t>
      </w:r>
      <w:r>
        <w:rPr>
          <w:i/>
          <w:iCs/>
        </w:rPr>
        <w:t>adh</w:t>
      </w:r>
      <w:r>
        <w:rPr>
          <w:i/>
          <w:iCs/>
        </w:rPr>
        <w:t>varyu</w:t>
      </w:r>
      <w:r>
        <w:t xml:space="preserve"> </w:t>
      </w:r>
      <w:r>
        <w:t xml:space="preserve">may </w:t>
      </w:r>
      <w:r>
        <w:rPr>
          <w:u w:val="single"/>
        </w:rPr>
        <w:t>appropriate</w:t>
      </w:r>
      <w:r>
        <w:t xml:space="preserve"> again, being acquainted with the teaching concerning this</w:t>
      </w:r>
      <w:bookmarkStart w:id="62" w:name="sdfootnote69anc"/>
      <w:bookmarkEnd w:id="62"/>
      <w:r>
        <w:rPr>
          <w:rStyle w:val="FootnoteAnchor"/>
        </w:rPr>
        <w:footnoteReference w:id="75"/>
      </w:r>
    </w:p>
    <w:p w14:paraId="6A0C10C3" w14:textId="77777777" w:rsidR="00E53EB6" w:rsidRPr="00B80C6B" w:rsidRDefault="006500F5">
      <w:pPr>
        <w:pStyle w:val="Zitat"/>
        <w:rPr>
          <w:i/>
          <w:lang w:val="de-DE"/>
        </w:rPr>
      </w:pPr>
      <w:r>
        <w:rPr>
          <w:i/>
        </w:rPr>
        <w:t xml:space="preserve">vanate: </w:t>
      </w:r>
      <w:r>
        <w:t>subj. aor. 3</w:t>
      </w:r>
      <w:r>
        <w:rPr>
          <w:vertAlign w:val="superscript"/>
        </w:rPr>
        <w:t>rd</w:t>
      </w:r>
      <w:r>
        <w:t xml:space="preserve"> sing. </w:t>
      </w:r>
      <w:r w:rsidRPr="00B80C6B">
        <w:rPr>
          <w:lang w:val="de-DE"/>
        </w:rPr>
        <w:t>Ā</w:t>
      </w:r>
    </w:p>
    <w:p w14:paraId="6BEC05E5" w14:textId="77777777" w:rsidR="00E53EB6" w:rsidRPr="00B80C6B" w:rsidRDefault="006500F5">
      <w:pPr>
        <w:pStyle w:val="ZitatmitEinzug"/>
        <w:rPr>
          <w:lang w:val="de-DE"/>
        </w:rPr>
      </w:pPr>
      <w:r w:rsidRPr="00B80C6B">
        <w:rPr>
          <w:rStyle w:val="biblio-authorGEN"/>
          <w:sz w:val="18"/>
          <w:szCs w:val="15"/>
          <w:lang w:val="de-DE"/>
        </w:rPr>
        <w:t>Geldner:</w:t>
      </w:r>
      <w:r w:rsidRPr="00B80C6B">
        <w:rPr>
          <w:lang w:val="de-DE"/>
        </w:rPr>
        <w:t xml:space="preserve"> II 397 “</w:t>
      </w:r>
      <w:r w:rsidRPr="00B80C6B">
        <w:rPr>
          <w:lang w:val="de-DE"/>
        </w:rPr>
        <w:t>verlangt”</w:t>
      </w:r>
    </w:p>
    <w:p w14:paraId="58AB0219" w14:textId="77777777" w:rsidR="00E53EB6" w:rsidRPr="00B80C6B" w:rsidRDefault="006500F5">
      <w:pPr>
        <w:pStyle w:val="ZitatmitEinzug"/>
        <w:rPr>
          <w:lang w:val="de-DE"/>
        </w:rPr>
      </w:pPr>
      <w:r w:rsidRPr="00B80C6B">
        <w:rPr>
          <w:rStyle w:val="biblio-authorGEN"/>
          <w:sz w:val="18"/>
          <w:szCs w:val="15"/>
          <w:lang w:val="de-DE"/>
        </w:rPr>
        <w:t>Renou:</w:t>
      </w:r>
      <w:r w:rsidRPr="00B80C6B">
        <w:rPr>
          <w:lang w:val="de-DE"/>
        </w:rPr>
        <w:t xml:space="preserve"> XIV 36 </w:t>
      </w:r>
      <w:r w:rsidRPr="00B80C6B">
        <w:rPr>
          <w:lang w:val="de-DE"/>
        </w:rPr>
        <w:t>“gagne a”</w:t>
      </w:r>
      <w:r w:rsidRPr="00B80C6B">
        <w:rPr>
          <w:i/>
          <w:lang w:val="de-DE"/>
        </w:rPr>
        <w:t xml:space="preserve"> </w:t>
      </w:r>
      <w:r w:rsidRPr="00B80C6B">
        <w:rPr>
          <w:lang w:val="de-DE"/>
        </w:rPr>
        <w:t>(cf. 105 n. 1 “</w:t>
      </w:r>
      <w:r w:rsidRPr="00B80C6B">
        <w:rPr>
          <w:lang w:val="de-DE"/>
        </w:rPr>
        <w:t>«réclamer; récupérer» ne s’ajuste pas au sens habituel”</w:t>
      </w:r>
      <w:r w:rsidRPr="00B80C6B">
        <w:rPr>
          <w:lang w:val="de-DE"/>
        </w:rPr>
        <w:t>)</w:t>
      </w:r>
    </w:p>
    <w:p w14:paraId="337C661B" w14:textId="77777777" w:rsidR="00E53EB6" w:rsidRDefault="006500F5">
      <w:pPr>
        <w:pStyle w:val="ZitatmitEinzug"/>
      </w:pPr>
      <w:r>
        <w:rPr>
          <w:rStyle w:val="biblio-authorGEN"/>
          <w:sz w:val="18"/>
          <w:szCs w:val="15"/>
        </w:rPr>
        <w:t>Oldenberg</w:t>
      </w:r>
      <w:r>
        <w:t xml:space="preserve"> 1912: 134 n. 1 “</w:t>
      </w:r>
      <w:r>
        <w:t>bemächtigt sich”</w:t>
      </w:r>
    </w:p>
    <w:p w14:paraId="4665D84C" w14:textId="77777777" w:rsidR="00E53EB6" w:rsidRDefault="006500F5">
      <w:pPr>
        <w:pStyle w:val="HaupttextnachZitat"/>
      </w:pPr>
      <w:r>
        <w:lastRenderedPageBreak/>
        <w:t xml:space="preserve">The following stanza seems, in turn, to indicate three stages of the sacrifice, referring to so many priests and different ritual acts: we have the </w:t>
      </w:r>
      <w:r>
        <w:rPr>
          <w:i/>
          <w:iCs/>
        </w:rPr>
        <w:t>hotr̥</w:t>
      </w:r>
      <w:r>
        <w:t xml:space="preserve"> who </w:t>
      </w:r>
      <w:r>
        <w:rPr>
          <w:i/>
          <w:iCs/>
        </w:rPr>
        <w:t>van</w:t>
      </w:r>
      <w:r>
        <w:t xml:space="preserve">-, the </w:t>
      </w:r>
      <w:r>
        <w:rPr>
          <w:i/>
          <w:iCs/>
        </w:rPr>
        <w:t>udgatr̥</w:t>
      </w:r>
      <w:r>
        <w:t xml:space="preserve"> who chants, the </w:t>
      </w:r>
      <w:r>
        <w:rPr>
          <w:i/>
          <w:iCs/>
        </w:rPr>
        <w:t>adhvaryu</w:t>
      </w:r>
      <w:r>
        <w:t xml:space="preserve"> who goes under the st</w:t>
      </w:r>
      <w:r>
        <w:t xml:space="preserve">ream with the offering, which appears to bring out a further meaning of the ritual context: following the symmetry so apparent in these </w:t>
      </w:r>
      <w:r>
        <w:rPr>
          <w:i/>
          <w:iCs/>
        </w:rPr>
        <w:t>padā,</w:t>
      </w:r>
      <w:r>
        <w:t xml:space="preserve"> we might take the action indicated by </w:t>
      </w:r>
      <w:r>
        <w:rPr>
          <w:i/>
          <w:iCs/>
        </w:rPr>
        <w:t>van</w:t>
      </w:r>
      <w:r>
        <w:t>- in these passages to be a ritual action, which can possibly, therefore,</w:t>
      </w:r>
      <w:r>
        <w:t xml:space="preserve"> have no direct object:</w:t>
      </w:r>
    </w:p>
    <w:p w14:paraId="4C27C82E" w14:textId="77777777" w:rsidR="00E53EB6" w:rsidRDefault="006500F5">
      <w:pPr>
        <w:pStyle w:val="Zitat"/>
      </w:pPr>
      <w:r>
        <w:t xml:space="preserve">5.37.2 </w:t>
      </w:r>
      <w:r>
        <w:rPr>
          <w:i/>
        </w:rPr>
        <w:t>sámiddhāgnir vanavat stīr</w:t>
      </w:r>
      <w:r>
        <w:rPr>
          <w:i/>
        </w:rPr>
        <w:t>ṇ</w:t>
      </w:r>
      <w:r>
        <w:rPr>
          <w:i/>
        </w:rPr>
        <w:t>ábarhir</w:t>
      </w:r>
    </w:p>
    <w:p w14:paraId="2D376E1F" w14:textId="77777777" w:rsidR="00E53EB6" w:rsidRDefault="006500F5">
      <w:pPr>
        <w:pStyle w:val="ZitatnachZitat"/>
        <w:rPr>
          <w:i/>
          <w:iCs/>
        </w:rPr>
      </w:pPr>
      <w:r>
        <w:rPr>
          <w:i/>
          <w:iCs/>
        </w:rPr>
        <w:t>yuktágrāvā sutásomo jarāte</w:t>
      </w:r>
    </w:p>
    <w:p w14:paraId="428853D5" w14:textId="77777777" w:rsidR="00E53EB6" w:rsidRDefault="006500F5">
      <w:pPr>
        <w:pStyle w:val="ZitatnachZitat"/>
        <w:rPr>
          <w:i/>
          <w:iCs/>
        </w:rPr>
      </w:pPr>
      <w:r>
        <w:rPr>
          <w:i/>
          <w:iCs/>
        </w:rPr>
        <w:t>grā́vā</w:t>
      </w:r>
      <w:r>
        <w:rPr>
          <w:i/>
          <w:iCs/>
        </w:rPr>
        <w:t>ṇ</w:t>
      </w:r>
      <w:r>
        <w:rPr>
          <w:i/>
          <w:iCs/>
        </w:rPr>
        <w:t>o yásya i</w:t>
      </w:r>
      <w:r>
        <w:rPr>
          <w:i/>
          <w:iCs/>
        </w:rPr>
        <w:t>ṣ</w:t>
      </w:r>
      <w:r>
        <w:rPr>
          <w:i/>
          <w:iCs/>
        </w:rPr>
        <w:t>irá</w:t>
      </w:r>
      <w:r>
        <w:rPr>
          <w:i/>
          <w:iCs/>
        </w:rPr>
        <w:t>ṃ</w:t>
      </w:r>
      <w:r>
        <w:rPr>
          <w:i/>
          <w:iCs/>
        </w:rPr>
        <w:t xml:space="preserve"> vádanti</w:t>
      </w:r>
    </w:p>
    <w:p w14:paraId="0304F18B" w14:textId="77777777" w:rsidR="00E53EB6" w:rsidRDefault="006500F5">
      <w:pPr>
        <w:pStyle w:val="ZitatnachZitat"/>
        <w:rPr>
          <w:i/>
          <w:iCs/>
        </w:rPr>
      </w:pPr>
      <w:r>
        <w:rPr>
          <w:i/>
          <w:iCs/>
        </w:rPr>
        <w:t>áyad adhvaryúr haví</w:t>
      </w:r>
      <w:r>
        <w:rPr>
          <w:i/>
          <w:iCs/>
        </w:rPr>
        <w:t>ṣ</w:t>
      </w:r>
      <w:r>
        <w:rPr>
          <w:i/>
          <w:iCs/>
        </w:rPr>
        <w:t>ā́va síndhum</w:t>
      </w:r>
    </w:p>
    <w:p w14:paraId="6FB308D5" w14:textId="77777777" w:rsidR="00E53EB6" w:rsidRDefault="006500F5">
      <w:pPr>
        <w:pStyle w:val="Zitat"/>
      </w:pPr>
      <w:r>
        <w:t xml:space="preserve">Let the one who has kindled Agni </w:t>
      </w:r>
      <w:r>
        <w:rPr>
          <w:u w:val="single"/>
        </w:rPr>
        <w:t>appropriate</w:t>
      </w:r>
      <w:r>
        <w:t>, he who has strewn the sacrificial grass, who moves ston</w:t>
      </w:r>
      <w:r>
        <w:t xml:space="preserve">es and squeezes out the soma, let him chant; let the </w:t>
      </w:r>
      <w:r>
        <w:rPr>
          <w:i/>
          <w:iCs/>
        </w:rPr>
        <w:t>adhvaryu,</w:t>
      </w:r>
      <w:r>
        <w:t xml:space="preserve"> whose rapid stones resound, with the offering</w:t>
      </w:r>
      <w:bookmarkStart w:id="63" w:name="sdfootnote70anc"/>
      <w:bookmarkEnd w:id="63"/>
      <w:r>
        <w:rPr>
          <w:rStyle w:val="FootnoteAnchor"/>
        </w:rPr>
        <w:footnoteReference w:id="76"/>
      </w:r>
      <w:r>
        <w:t xml:space="preserve"> </w:t>
      </w:r>
      <w:r>
        <w:t>go downwards into the current.</w:t>
      </w:r>
    </w:p>
    <w:p w14:paraId="4266BB15" w14:textId="77777777" w:rsidR="00E53EB6" w:rsidRPr="00B80C6B" w:rsidRDefault="006500F5">
      <w:pPr>
        <w:pStyle w:val="Zitat"/>
        <w:rPr>
          <w:i/>
          <w:iCs/>
          <w:lang w:val="de-DE"/>
        </w:rPr>
      </w:pPr>
      <w:r>
        <w:rPr>
          <w:i/>
          <w:iCs/>
        </w:rPr>
        <w:t xml:space="preserve">vanavat: </w:t>
      </w:r>
      <w:r>
        <w:t>subj. pres. 3</w:t>
      </w:r>
      <w:r>
        <w:rPr>
          <w:vertAlign w:val="superscript"/>
        </w:rPr>
        <w:t>rd</w:t>
      </w:r>
      <w:r>
        <w:t xml:space="preserve"> sing. </w:t>
      </w:r>
      <w:r w:rsidRPr="00B80C6B">
        <w:rPr>
          <w:lang w:val="de-DE"/>
        </w:rPr>
        <w:t>VIII cl.</w:t>
      </w:r>
    </w:p>
    <w:p w14:paraId="7A23EE2A" w14:textId="77777777" w:rsidR="00E53EB6" w:rsidRPr="00B80C6B" w:rsidRDefault="006500F5">
      <w:pPr>
        <w:pStyle w:val="ZitatmitEinzug"/>
        <w:rPr>
          <w:lang w:val="de-DE"/>
        </w:rPr>
      </w:pPr>
      <w:r w:rsidRPr="00B80C6B">
        <w:rPr>
          <w:rStyle w:val="biblio-authorGEN"/>
          <w:sz w:val="18"/>
          <w:szCs w:val="15"/>
          <w:lang w:val="de-DE"/>
        </w:rPr>
        <w:t>Geldner</w:t>
      </w:r>
      <w:r w:rsidRPr="00B80C6B">
        <w:rPr>
          <w:lang w:val="de-DE"/>
        </w:rPr>
        <w:t>: II 36 “</w:t>
      </w:r>
      <w:r w:rsidRPr="00B80C6B">
        <w:rPr>
          <w:lang w:val="de-DE"/>
        </w:rPr>
        <w:t>den Vorrang</w:t>
      </w:r>
      <w:r w:rsidRPr="00B80C6B">
        <w:rPr>
          <w:lang w:val="de-DE"/>
        </w:rPr>
        <w:t xml:space="preserve"> g</w:t>
      </w:r>
      <w:r w:rsidRPr="00B80C6B">
        <w:rPr>
          <w:lang w:val="de-DE"/>
        </w:rPr>
        <w:t>ewinnen soll”</w:t>
      </w:r>
    </w:p>
    <w:p w14:paraId="4F74C3C8" w14:textId="77777777" w:rsidR="00E53EB6" w:rsidRDefault="006500F5">
      <w:pPr>
        <w:pStyle w:val="HaupttextnachZitat"/>
      </w:pPr>
      <w:r>
        <w:t>In 10.61.2, too, we may discern</w:t>
      </w:r>
      <w:r>
        <w:t xml:space="preserve"> an action associated with the moment of sacrifice:</w:t>
      </w:r>
    </w:p>
    <w:p w14:paraId="4D87B9AE" w14:textId="77777777" w:rsidR="00E53EB6" w:rsidRDefault="006500F5">
      <w:pPr>
        <w:pStyle w:val="Zitat"/>
      </w:pPr>
      <w:r>
        <w:t xml:space="preserve">10.61.2 </w:t>
      </w:r>
      <w:r>
        <w:rPr>
          <w:i/>
        </w:rPr>
        <w:t>sá íd dānā́ya dábh</w:t>
      </w:r>
      <w:r>
        <w:rPr>
          <w:i/>
          <w:vertAlign w:val="subscript"/>
        </w:rPr>
        <w:t>i</w:t>
      </w:r>
      <w:r>
        <w:rPr>
          <w:i/>
        </w:rPr>
        <w:t>yāya vanváñ</w:t>
      </w:r>
    </w:p>
    <w:p w14:paraId="6AEB22DF" w14:textId="77777777" w:rsidR="00E53EB6" w:rsidRDefault="006500F5">
      <w:pPr>
        <w:pStyle w:val="ZitatnachZitat"/>
        <w:rPr>
          <w:i/>
          <w:iCs/>
        </w:rPr>
      </w:pPr>
      <w:r>
        <w:rPr>
          <w:i/>
          <w:iCs/>
        </w:rPr>
        <w:t>cyávāna</w:t>
      </w:r>
      <w:r>
        <w:rPr>
          <w:i/>
          <w:iCs/>
        </w:rPr>
        <w:t>ḥ</w:t>
      </w:r>
      <w:r>
        <w:rPr>
          <w:i/>
          <w:iCs/>
        </w:rPr>
        <w:t xml:space="preserve"> sū́dair amimīta védim</w:t>
      </w:r>
    </w:p>
    <w:p w14:paraId="59A5BCF8" w14:textId="77777777" w:rsidR="00E53EB6" w:rsidRDefault="006500F5">
      <w:pPr>
        <w:pStyle w:val="ZitatnachZitat"/>
        <w:rPr>
          <w:i/>
          <w:iCs/>
        </w:rPr>
      </w:pPr>
      <w:r>
        <w:rPr>
          <w:i/>
          <w:iCs/>
        </w:rPr>
        <w:t>tū́rvayā</w:t>
      </w:r>
      <w:r>
        <w:rPr>
          <w:i/>
          <w:iCs/>
        </w:rPr>
        <w:t>ṇ</w:t>
      </w:r>
      <w:r>
        <w:rPr>
          <w:i/>
          <w:iCs/>
        </w:rPr>
        <w:t>o gūrtávacastama</w:t>
      </w:r>
      <w:r>
        <w:rPr>
          <w:i/>
          <w:iCs/>
        </w:rPr>
        <w:t>ḥ</w:t>
      </w:r>
    </w:p>
    <w:p w14:paraId="464F6EF4" w14:textId="77777777" w:rsidR="00E53EB6" w:rsidRDefault="006500F5">
      <w:pPr>
        <w:pStyle w:val="ZitatnachZitat"/>
        <w:rPr>
          <w:i/>
          <w:iCs/>
        </w:rPr>
      </w:pPr>
      <w:r>
        <w:rPr>
          <w:i/>
          <w:iCs/>
        </w:rPr>
        <w:t>k</w:t>
      </w:r>
      <w:r>
        <w:rPr>
          <w:i/>
          <w:iCs/>
        </w:rPr>
        <w:t>ṣ</w:t>
      </w:r>
      <w:r>
        <w:rPr>
          <w:i/>
          <w:iCs/>
        </w:rPr>
        <w:t>ódo ná réta itáūti siñcat</w:t>
      </w:r>
    </w:p>
    <w:p w14:paraId="70605FF4" w14:textId="77777777" w:rsidR="00E53EB6" w:rsidRDefault="006500F5">
      <w:pPr>
        <w:pStyle w:val="Zitat"/>
      </w:pPr>
      <w:r>
        <w:t>This Cyavana</w:t>
      </w:r>
      <w:bookmarkStart w:id="64" w:name="sdfootnote71anc"/>
      <w:bookmarkEnd w:id="64"/>
      <w:r>
        <w:rPr>
          <w:rStyle w:val="FootnoteAnchor"/>
        </w:rPr>
        <w:footnoteReference w:id="77"/>
      </w:r>
      <w:r>
        <w:t xml:space="preserve">, </w:t>
      </w:r>
      <w:r>
        <w:rPr>
          <w:u w:val="single"/>
        </w:rPr>
        <w:t>appropriating</w:t>
      </w:r>
      <w:bookmarkStart w:id="65" w:name="sdfootnote72anc"/>
      <w:bookmarkEnd w:id="65"/>
      <w:r>
        <w:rPr>
          <w:rStyle w:val="FootnoteAnchor"/>
          <w:u w:val="single"/>
        </w:rPr>
        <w:footnoteReference w:id="78"/>
      </w:r>
      <w:r>
        <w:t xml:space="preserve"> </w:t>
      </w:r>
      <w:r>
        <w:t xml:space="preserve">for a gift that can be destroyed, built the </w:t>
      </w:r>
      <w:r>
        <w:t>altar together with the distilled juices</w:t>
      </w:r>
      <w:bookmarkStart w:id="66" w:name="sdfootnote73anc"/>
      <w:bookmarkEnd w:id="66"/>
      <w:r>
        <w:rPr>
          <w:rStyle w:val="FootnoteAnchor"/>
        </w:rPr>
        <w:footnoteReference w:id="79"/>
      </w:r>
      <w:r>
        <w:t>; Turvayana, whose words are the most welcome, poured forth the seed lasting as a stream.</w:t>
      </w:r>
    </w:p>
    <w:p w14:paraId="3C4E0143" w14:textId="77777777" w:rsidR="00E53EB6" w:rsidRPr="00B80C6B" w:rsidRDefault="006500F5">
      <w:pPr>
        <w:pStyle w:val="Zitat"/>
        <w:rPr>
          <w:lang w:val="de-DE"/>
        </w:rPr>
      </w:pPr>
      <w:r>
        <w:rPr>
          <w:i/>
        </w:rPr>
        <w:t xml:space="preserve">vanván: </w:t>
      </w:r>
      <w:r>
        <w:t xml:space="preserve">part. pres. nom. m. sing. </w:t>
      </w:r>
      <w:r w:rsidRPr="00B80C6B">
        <w:rPr>
          <w:lang w:val="de-DE"/>
        </w:rPr>
        <w:t>VIII cl.</w:t>
      </w:r>
    </w:p>
    <w:p w14:paraId="1793374B" w14:textId="77777777" w:rsidR="00E53EB6" w:rsidRPr="00B80C6B" w:rsidRDefault="006500F5">
      <w:pPr>
        <w:pStyle w:val="ZitatmitEinzug"/>
        <w:rPr>
          <w:lang w:val="de-DE"/>
        </w:rPr>
      </w:pPr>
      <w:r w:rsidRPr="00B80C6B">
        <w:rPr>
          <w:rStyle w:val="biblio-authorGEN"/>
          <w:sz w:val="18"/>
          <w:szCs w:val="15"/>
          <w:lang w:val="de-DE"/>
        </w:rPr>
        <w:t>Geldner</w:t>
      </w:r>
      <w:r w:rsidRPr="00B80C6B">
        <w:rPr>
          <w:lang w:val="de-DE"/>
        </w:rPr>
        <w:t xml:space="preserve">: III 227 </w:t>
      </w:r>
      <w:r w:rsidRPr="00B80C6B">
        <w:rPr>
          <w:lang w:val="de-DE"/>
        </w:rPr>
        <w:t xml:space="preserve">“sich bemühte” </w:t>
      </w:r>
    </w:p>
    <w:p w14:paraId="05BCE475" w14:textId="77777777" w:rsidR="00E53EB6" w:rsidRPr="00B80C6B" w:rsidRDefault="006500F5">
      <w:pPr>
        <w:pStyle w:val="ZitatmitEinzug"/>
        <w:rPr>
          <w:lang w:val="de-DE"/>
        </w:rPr>
      </w:pPr>
      <w:r w:rsidRPr="00B80C6B">
        <w:rPr>
          <w:lang w:val="de-DE"/>
        </w:rPr>
        <w:t xml:space="preserve">Pischel in </w:t>
      </w:r>
      <w:r w:rsidRPr="00B80C6B">
        <w:rPr>
          <w:rStyle w:val="biblio-authorGEN"/>
          <w:sz w:val="18"/>
          <w:szCs w:val="18"/>
          <w:lang w:val="de-DE"/>
        </w:rPr>
        <w:t>Pischel-Geldner</w:t>
      </w:r>
      <w:r w:rsidRPr="00B80C6B">
        <w:rPr>
          <w:lang w:val="de-DE"/>
        </w:rPr>
        <w:t xml:space="preserve"> 1889-1901: I  74 </w:t>
      </w:r>
      <w:r w:rsidRPr="00B80C6B">
        <w:rPr>
          <w:lang w:val="de-DE"/>
        </w:rPr>
        <w:t>“abs</w:t>
      </w:r>
      <w:r w:rsidRPr="00B80C6B">
        <w:rPr>
          <w:lang w:val="de-DE"/>
        </w:rPr>
        <w:t>ah (auf ein betrügerisches Opfer)”</w:t>
      </w:r>
    </w:p>
    <w:p w14:paraId="3A95166D" w14:textId="77777777" w:rsidR="00E53EB6" w:rsidRDefault="006500F5">
      <w:pPr>
        <w:pStyle w:val="HaupttextnachZitat"/>
        <w:rPr>
          <w:szCs w:val="21"/>
        </w:rPr>
      </w:pPr>
      <w:r>
        <w:rPr>
          <w:szCs w:val="21"/>
        </w:rPr>
        <w:t xml:space="preserve">In stanza 7.35.5 the use of </w:t>
      </w:r>
      <w:r>
        <w:rPr>
          <w:i/>
          <w:szCs w:val="21"/>
        </w:rPr>
        <w:t>van-</w:t>
      </w:r>
      <w:r>
        <w:rPr>
          <w:szCs w:val="21"/>
        </w:rPr>
        <w:t xml:space="preserve"> to indicate a sacrificial action is suggested by two elements: one, of less significance, is the lack of the direct object (we may possibly take it to be understood), while the other is th</w:t>
      </w:r>
      <w:r>
        <w:rPr>
          <w:szCs w:val="21"/>
        </w:rPr>
        <w:t xml:space="preserve">e chiastic structure of the stanza. In the first part, in fact, mention is made of a </w:t>
      </w:r>
      <w:r>
        <w:rPr>
          <w:i/>
          <w:szCs w:val="21"/>
        </w:rPr>
        <w:t>dāśvas-</w:t>
      </w:r>
      <w:r>
        <w:rPr>
          <w:szCs w:val="21"/>
        </w:rPr>
        <w:t xml:space="preserve"> receiving benefits from a Indra through visions (</w:t>
      </w:r>
      <w:r>
        <w:rPr>
          <w:i/>
          <w:szCs w:val="21"/>
        </w:rPr>
        <w:t>dhībhí</w:t>
      </w:r>
      <w:r>
        <w:rPr>
          <w:i/>
          <w:szCs w:val="21"/>
        </w:rPr>
        <w:t>ḥ</w:t>
      </w:r>
      <w:r>
        <w:rPr>
          <w:szCs w:val="21"/>
        </w:rPr>
        <w:t>)</w:t>
      </w:r>
      <w:r>
        <w:rPr>
          <w:szCs w:val="21"/>
        </w:rPr>
        <w:t>, and we are therefore in a ritual context. In the second part Indra is asked when we will receive part of</w:t>
      </w:r>
      <w:r>
        <w:rPr>
          <w:szCs w:val="21"/>
        </w:rPr>
        <w:t xml:space="preserve"> the riches, we who – one is therefore led to suppose – have behaved much like the </w:t>
      </w:r>
      <w:r>
        <w:rPr>
          <w:i/>
          <w:szCs w:val="21"/>
        </w:rPr>
        <w:t>dāśvas-</w:t>
      </w:r>
      <w:r>
        <w:rPr>
          <w:szCs w:val="21"/>
        </w:rPr>
        <w:t>, or in other words have performed the ritual action to ‘appropriate’ (</w:t>
      </w:r>
      <w:r>
        <w:rPr>
          <w:i/>
          <w:szCs w:val="21"/>
        </w:rPr>
        <w:t>vavanmā́</w:t>
      </w:r>
      <w:r>
        <w:rPr>
          <w:szCs w:val="21"/>
        </w:rPr>
        <w:t>) with the helps and alliances (</w:t>
      </w:r>
      <w:r>
        <w:rPr>
          <w:i/>
          <w:szCs w:val="21"/>
        </w:rPr>
        <w:t>yújiyābhir ūtī́</w:t>
      </w:r>
      <w:r>
        <w:rPr>
          <w:szCs w:val="21"/>
        </w:rPr>
        <w:t xml:space="preserve">, again two instrumentals). It is also to be noted that </w:t>
      </w:r>
      <w:r>
        <w:rPr>
          <w:i/>
          <w:szCs w:val="21"/>
        </w:rPr>
        <w:t>dāśvas-</w:t>
      </w:r>
      <w:r>
        <w:rPr>
          <w:szCs w:val="21"/>
        </w:rPr>
        <w:t xml:space="preserve"> is a perfect participle of the verbal root </w:t>
      </w:r>
      <w:r>
        <w:rPr>
          <w:i/>
          <w:szCs w:val="21"/>
        </w:rPr>
        <w:t xml:space="preserve">dāś- </w:t>
      </w:r>
      <w:r>
        <w:rPr>
          <w:szCs w:val="21"/>
        </w:rPr>
        <w:t xml:space="preserve">from </w:t>
      </w:r>
      <w:r>
        <w:rPr>
          <w:szCs w:val="21"/>
        </w:rPr>
        <w:lastRenderedPageBreak/>
        <w:t xml:space="preserve">which is also derived, through the substantive </w:t>
      </w:r>
      <w:r>
        <w:rPr>
          <w:i/>
          <w:szCs w:val="21"/>
        </w:rPr>
        <w:t>dāś</w:t>
      </w:r>
      <w:r>
        <w:rPr>
          <w:szCs w:val="21"/>
        </w:rPr>
        <w:t xml:space="preserve">, </w:t>
      </w:r>
      <w:r>
        <w:rPr>
          <w:i/>
          <w:szCs w:val="21"/>
        </w:rPr>
        <w:t>daśasye</w:t>
      </w:r>
      <w:r>
        <w:rPr>
          <w:i/>
          <w:szCs w:val="21"/>
        </w:rPr>
        <w:t>ḥ</w:t>
      </w:r>
      <w:r>
        <w:rPr>
          <w:szCs w:val="21"/>
        </w:rPr>
        <w:t xml:space="preserve"> (2</w:t>
      </w:r>
      <w:r>
        <w:rPr>
          <w:szCs w:val="21"/>
          <w:vertAlign w:val="superscript"/>
        </w:rPr>
        <w:t>nd</w:t>
      </w:r>
      <w:r>
        <w:rPr>
          <w:szCs w:val="21"/>
        </w:rPr>
        <w:t xml:space="preserve"> sing.) optative present of the denominative </w:t>
      </w:r>
      <w:r>
        <w:rPr>
          <w:i/>
          <w:szCs w:val="21"/>
        </w:rPr>
        <w:t>dāśayati</w:t>
      </w:r>
      <w:r>
        <w:rPr>
          <w:szCs w:val="21"/>
        </w:rPr>
        <w:t>, here referring to I</w:t>
      </w:r>
      <w:r>
        <w:rPr>
          <w:szCs w:val="21"/>
        </w:rPr>
        <w:t>ndra:</w:t>
      </w:r>
    </w:p>
    <w:p w14:paraId="048A16BD" w14:textId="77777777" w:rsidR="00E53EB6" w:rsidRDefault="006500F5">
      <w:pPr>
        <w:pStyle w:val="Zitat"/>
      </w:pPr>
      <w:r>
        <w:t xml:space="preserve">7 37.5 </w:t>
      </w:r>
      <w:r>
        <w:rPr>
          <w:i/>
        </w:rPr>
        <w:t>sánitāsi praváto dāśú</w:t>
      </w:r>
      <w:r>
        <w:rPr>
          <w:i/>
        </w:rPr>
        <w:t>ṣ</w:t>
      </w:r>
      <w:r>
        <w:rPr>
          <w:i/>
        </w:rPr>
        <w:t>e cid</w:t>
      </w:r>
    </w:p>
    <w:p w14:paraId="4096FA8C" w14:textId="77777777" w:rsidR="00E53EB6" w:rsidRDefault="006500F5">
      <w:pPr>
        <w:pStyle w:val="ZitatnachZitat"/>
        <w:rPr>
          <w:i/>
          <w:iCs/>
        </w:rPr>
      </w:pPr>
      <w:r>
        <w:rPr>
          <w:i/>
          <w:iCs/>
        </w:rPr>
        <w:t>yā́bhir víve</w:t>
      </w:r>
      <w:r>
        <w:rPr>
          <w:i/>
          <w:iCs/>
        </w:rPr>
        <w:t>ṣ</w:t>
      </w:r>
      <w:r>
        <w:rPr>
          <w:i/>
          <w:iCs/>
        </w:rPr>
        <w:t>o hariaśva dhībhí</w:t>
      </w:r>
      <w:r>
        <w:rPr>
          <w:i/>
          <w:iCs/>
        </w:rPr>
        <w:t>ḥ</w:t>
      </w:r>
    </w:p>
    <w:p w14:paraId="7B1694F0" w14:textId="77777777" w:rsidR="00E53EB6" w:rsidRDefault="006500F5">
      <w:pPr>
        <w:pStyle w:val="ZitatnachZitat"/>
        <w:rPr>
          <w:i/>
          <w:iCs/>
        </w:rPr>
      </w:pPr>
      <w:r>
        <w:rPr>
          <w:i/>
          <w:iCs/>
        </w:rPr>
        <w:t>vavanmā́ nú te yúj</w:t>
      </w:r>
      <w:r>
        <w:rPr>
          <w:i/>
          <w:iCs/>
          <w:vertAlign w:val="subscript"/>
        </w:rPr>
        <w:t>i</w:t>
      </w:r>
      <w:r>
        <w:rPr>
          <w:i/>
          <w:iCs/>
        </w:rPr>
        <w:t>yābhir ūtī́</w:t>
      </w:r>
    </w:p>
    <w:p w14:paraId="2C5CB15A" w14:textId="77777777" w:rsidR="00E53EB6" w:rsidRDefault="006500F5">
      <w:pPr>
        <w:pStyle w:val="ZitatnachZitat"/>
        <w:rPr>
          <w:i/>
          <w:iCs/>
        </w:rPr>
      </w:pPr>
      <w:r>
        <w:rPr>
          <w:i/>
          <w:iCs/>
        </w:rPr>
        <w:t>kadā́ na indra rāyá ā́ daśasye</w:t>
      </w:r>
      <w:r>
        <w:rPr>
          <w:i/>
          <w:iCs/>
        </w:rPr>
        <w:t>ḥ</w:t>
      </w:r>
    </w:p>
    <w:p w14:paraId="7B0C8E67" w14:textId="77777777" w:rsidR="00E53EB6" w:rsidRDefault="006500F5">
      <w:pPr>
        <w:pStyle w:val="Zitat"/>
      </w:pPr>
      <w:r>
        <w:t>You are the conqueror of the steeps</w:t>
      </w:r>
      <w:r>
        <w:rPr>
          <w:rStyle w:val="FootnoteAnchor"/>
          <w:i/>
        </w:rPr>
        <w:footnoteReference w:id="80"/>
      </w:r>
      <w:r>
        <w:t xml:space="preserve"> for the sacrificer thanks to visions</w:t>
      </w:r>
      <w:bookmarkStart w:id="67" w:name="sdfootnote74anc"/>
      <w:bookmarkEnd w:id="67"/>
      <w:r>
        <w:rPr>
          <w:rStyle w:val="FootnoteAnchor"/>
        </w:rPr>
        <w:footnoteReference w:id="81"/>
      </w:r>
      <w:r>
        <w:t xml:space="preserve"> </w:t>
      </w:r>
      <w:r>
        <w:t>through which, o you who has red-coated hor</w:t>
      </w:r>
      <w:r>
        <w:t xml:space="preserve">se, you operate; we </w:t>
      </w:r>
      <w:r>
        <w:t xml:space="preserve">have </w:t>
      </w:r>
      <w:r>
        <w:rPr>
          <w:u w:val="single"/>
        </w:rPr>
        <w:t>appropriated</w:t>
      </w:r>
      <w:r>
        <w:t xml:space="preserve"> </w:t>
      </w:r>
      <w:r>
        <w:t>with your alliances and your helps</w:t>
      </w:r>
      <w:bookmarkStart w:id="68" w:name="sdfootnote75anc"/>
      <w:bookmarkEnd w:id="68"/>
      <w:r>
        <w:rPr>
          <w:rStyle w:val="FootnoteAnchor"/>
        </w:rPr>
        <w:footnoteReference w:id="82"/>
      </w:r>
      <w:r>
        <w:t>, when, o Indra, will you offer us part of the riches?.</w:t>
      </w:r>
    </w:p>
    <w:p w14:paraId="2BBFF4EA" w14:textId="77777777" w:rsidR="00E53EB6" w:rsidRDefault="006500F5">
      <w:pPr>
        <w:pStyle w:val="Zitat"/>
      </w:pPr>
      <w:r>
        <w:rPr>
          <w:i/>
        </w:rPr>
        <w:t xml:space="preserve">vavanmā́: </w:t>
      </w:r>
      <w:r>
        <w:t>ind. perf. 1</w:t>
      </w:r>
      <w:r>
        <w:rPr>
          <w:vertAlign w:val="superscript"/>
        </w:rPr>
        <w:t>st</w:t>
      </w:r>
      <w:r>
        <w:t xml:space="preserve"> pl. </w:t>
      </w:r>
      <w:r>
        <w:t>(only</w:t>
      </w:r>
      <w:r>
        <w:t xml:space="preserve"> </w:t>
      </w:r>
      <w:r>
        <w:t xml:space="preserve">attestation in the </w:t>
      </w:r>
      <w:r>
        <w:rPr>
          <w:i/>
          <w:iCs/>
        </w:rPr>
        <w:t>R̥gveda Sa</w:t>
      </w:r>
      <w:r>
        <w:rPr>
          <w:i/>
          <w:iCs/>
        </w:rPr>
        <w:t>ṃ</w:t>
      </w:r>
      <w:r>
        <w:rPr>
          <w:i/>
          <w:iCs/>
        </w:rPr>
        <w:t>hitā</w:t>
      </w:r>
      <w:r>
        <w:t>)</w:t>
      </w:r>
    </w:p>
    <w:p w14:paraId="7E237345" w14:textId="77777777" w:rsidR="00E53EB6" w:rsidRPr="00B80C6B" w:rsidRDefault="006500F5">
      <w:pPr>
        <w:pStyle w:val="ZitatmitEinzug"/>
        <w:rPr>
          <w:lang w:val="de-DE"/>
        </w:rPr>
      </w:pPr>
      <w:r w:rsidRPr="00B80C6B">
        <w:rPr>
          <w:rStyle w:val="biblio-authorGEN"/>
          <w:sz w:val="18"/>
          <w:szCs w:val="15"/>
          <w:lang w:val="de-DE"/>
        </w:rPr>
        <w:t>Geldner</w:t>
      </w:r>
      <w:r w:rsidRPr="00B80C6B">
        <w:rPr>
          <w:lang w:val="de-DE"/>
        </w:rPr>
        <w:t>: II 219 “</w:t>
      </w:r>
      <w:r w:rsidRPr="00B80C6B">
        <w:rPr>
          <w:lang w:val="de-DE"/>
        </w:rPr>
        <w:t>haben Gewinn gehabt”</w:t>
      </w:r>
    </w:p>
    <w:p w14:paraId="310A1C19" w14:textId="77777777" w:rsidR="00E53EB6" w:rsidRDefault="006500F5">
      <w:pPr>
        <w:pStyle w:val="ZitatmitEinzug"/>
      </w:pPr>
      <w:r>
        <w:rPr>
          <w:rStyle w:val="biblio-authorGEN"/>
          <w:sz w:val="18"/>
          <w:szCs w:val="15"/>
        </w:rPr>
        <w:t>Renou</w:t>
      </w:r>
      <w:r>
        <w:t>: V 43 “</w:t>
      </w:r>
      <w:r>
        <w:t>avons gagné”</w:t>
      </w:r>
    </w:p>
    <w:p w14:paraId="6BE4B2A3" w14:textId="77777777" w:rsidR="00E53EB6" w:rsidRDefault="006500F5">
      <w:pPr>
        <w:pStyle w:val="HaupttextnachZitat"/>
        <w:rPr>
          <w:szCs w:val="21"/>
        </w:rPr>
      </w:pPr>
      <w:r>
        <w:rPr>
          <w:szCs w:val="21"/>
        </w:rPr>
        <w:t xml:space="preserve">Two elements emerge clearly from analysis of these passages. Here, unlike the previous cases, the verb does not require a direct object and can therefore be used with an absolute value; the subject of the action is always, bar one occurrence, </w:t>
      </w:r>
      <w:r>
        <w:rPr>
          <w:szCs w:val="21"/>
        </w:rPr>
        <w:t xml:space="preserve">a human being. Secondly, in all these cases we have distinctly ritual contexts; thus, it is an action performed in the course of the sacrifice that we are considering, a ritual action that has no direct object or, if it has, the link with the verb is such </w:t>
      </w:r>
      <w:r>
        <w:rPr>
          <w:szCs w:val="21"/>
        </w:rPr>
        <w:t xml:space="preserve">that it can remain unexpressed. </w:t>
      </w:r>
    </w:p>
    <w:p w14:paraId="3FA602F6" w14:textId="77777777" w:rsidR="00E53EB6" w:rsidRDefault="006500F5">
      <w:pPr>
        <w:pStyle w:val="HaupttextohneEinzug"/>
        <w:rPr>
          <w:szCs w:val="21"/>
        </w:rPr>
      </w:pPr>
      <w:r>
        <w:rPr>
          <w:szCs w:val="21"/>
        </w:rPr>
        <w:t>Keeping ‘to appropriate’ as the key term, let us try to see what  ‘to appropriate’ as a ritual action may consist in and if the suggestion to understand these cases through the idea “to make s.o. enter the circle of sacrifi</w:t>
      </w:r>
      <w:r>
        <w:rPr>
          <w:szCs w:val="21"/>
        </w:rPr>
        <w:t>ce” holds true.</w:t>
      </w:r>
    </w:p>
    <w:p w14:paraId="5ECC78FF" w14:textId="77777777" w:rsidR="00E53EB6" w:rsidRDefault="00E53EB6">
      <w:pPr>
        <w:pStyle w:val="Hauptext"/>
      </w:pPr>
    </w:p>
    <w:p w14:paraId="654AC279" w14:textId="77777777" w:rsidR="00E53EB6" w:rsidRDefault="006500F5">
      <w:pPr>
        <w:pStyle w:val="Hauptext"/>
        <w:rPr>
          <w:szCs w:val="21"/>
        </w:rPr>
      </w:pPr>
      <w:r>
        <w:rPr>
          <w:i/>
          <w:iCs/>
          <w:szCs w:val="21"/>
        </w:rPr>
        <w:t>e2-</w:t>
      </w:r>
      <w:r>
        <w:rPr>
          <w:szCs w:val="21"/>
        </w:rPr>
        <w:t xml:space="preserve"> In this group of verses</w:t>
      </w:r>
      <w:r>
        <w:rPr>
          <w:szCs w:val="21"/>
        </w:rPr>
        <w:t xml:space="preserve"> the gods are the direct object of the verb </w:t>
      </w:r>
      <w:r>
        <w:rPr>
          <w:i/>
          <w:szCs w:val="21"/>
        </w:rPr>
        <w:t>van- / van</w:t>
      </w:r>
      <w:r>
        <w:rPr>
          <w:i/>
          <w:szCs w:val="21"/>
          <w:vertAlign w:val="superscript"/>
        </w:rPr>
        <w:t>i</w:t>
      </w:r>
      <w:r>
        <w:rPr>
          <w:i/>
          <w:szCs w:val="21"/>
        </w:rPr>
        <w:t>-</w:t>
      </w:r>
      <w:r>
        <w:rPr>
          <w:szCs w:val="21"/>
        </w:rPr>
        <w:t>: man ‘appropriates’ the god, as in 6.15.6 and 6.16.26, as well as 10.105.8b (</w:t>
      </w:r>
      <w:r>
        <w:rPr>
          <w:i/>
          <w:iCs/>
          <w:szCs w:val="21"/>
        </w:rPr>
        <w:t>r̥cā́</w:t>
      </w:r>
      <w:r>
        <w:rPr>
          <w:i/>
          <w:szCs w:val="21"/>
        </w:rPr>
        <w:t xml:space="preserve"> vanema anŕ̥ca</w:t>
      </w:r>
      <w:r>
        <w:rPr>
          <w:i/>
          <w:szCs w:val="21"/>
        </w:rPr>
        <w:t>ḥ</w:t>
      </w:r>
      <w:r>
        <w:rPr>
          <w:szCs w:val="21"/>
        </w:rPr>
        <w:t>), where it is asked to appropriate “those who are withou</w:t>
      </w:r>
      <w:r>
        <w:rPr>
          <w:szCs w:val="21"/>
        </w:rPr>
        <w:t>t sacred verses (</w:t>
      </w:r>
      <w:r>
        <w:rPr>
          <w:i/>
          <w:szCs w:val="21"/>
        </w:rPr>
        <w:t>ŕ̥c</w:t>
      </w:r>
      <w:r>
        <w:rPr>
          <w:szCs w:val="21"/>
        </w:rPr>
        <w:t>)”, possibly referring to the gods yet to be invoked with hymns; the same action is to be found in these two stanzas which are worth quoting:</w:t>
      </w:r>
    </w:p>
    <w:p w14:paraId="0013951F" w14:textId="77777777" w:rsidR="00E53EB6" w:rsidRDefault="006500F5">
      <w:pPr>
        <w:pStyle w:val="Zitat"/>
      </w:pPr>
      <w:r>
        <w:t xml:space="preserve">5 41.17 </w:t>
      </w:r>
      <w:r>
        <w:rPr>
          <w:i/>
        </w:rPr>
        <w:t>íti cin nú prajā́yai paśumátyai</w:t>
      </w:r>
    </w:p>
    <w:p w14:paraId="0A4C6EBA" w14:textId="77777777" w:rsidR="00E53EB6" w:rsidRDefault="006500F5">
      <w:pPr>
        <w:pStyle w:val="ZitatnachZitat"/>
        <w:rPr>
          <w:i/>
          <w:iCs/>
        </w:rPr>
      </w:pPr>
      <w:r>
        <w:rPr>
          <w:i/>
          <w:iCs/>
        </w:rPr>
        <w:t>dévāso vánate márt</w:t>
      </w:r>
      <w:r>
        <w:rPr>
          <w:i/>
          <w:iCs/>
          <w:vertAlign w:val="subscript"/>
        </w:rPr>
        <w:t>i</w:t>
      </w:r>
      <w:r>
        <w:rPr>
          <w:i/>
          <w:iCs/>
        </w:rPr>
        <w:t>yo va</w:t>
      </w:r>
    </w:p>
    <w:p w14:paraId="31408C58" w14:textId="77777777" w:rsidR="00E53EB6" w:rsidRDefault="006500F5">
      <w:pPr>
        <w:pStyle w:val="ZitatnachZitat"/>
        <w:rPr>
          <w:i/>
          <w:iCs/>
        </w:rPr>
      </w:pPr>
      <w:r>
        <w:rPr>
          <w:i/>
          <w:iCs/>
        </w:rPr>
        <w:t>ā́ devāso vanate márt</w:t>
      </w:r>
      <w:r>
        <w:rPr>
          <w:i/>
          <w:iCs/>
          <w:vertAlign w:val="subscript"/>
        </w:rPr>
        <w:t>i</w:t>
      </w:r>
      <w:r>
        <w:rPr>
          <w:i/>
          <w:iCs/>
        </w:rPr>
        <w:t xml:space="preserve">yo </w:t>
      </w:r>
      <w:r>
        <w:rPr>
          <w:i/>
          <w:iCs/>
        </w:rPr>
        <w:t>va</w:t>
      </w:r>
      <w:r>
        <w:rPr>
          <w:i/>
          <w:iCs/>
        </w:rPr>
        <w:t>ḥ</w:t>
      </w:r>
    </w:p>
    <w:p w14:paraId="1454EB00" w14:textId="77777777" w:rsidR="00E53EB6" w:rsidRDefault="006500F5">
      <w:pPr>
        <w:pStyle w:val="ZitatnachZitat"/>
        <w:rPr>
          <w:i/>
          <w:iCs/>
        </w:rPr>
      </w:pPr>
      <w:r>
        <w:rPr>
          <w:i/>
          <w:iCs/>
        </w:rPr>
        <w:t>átrā śivā́</w:t>
      </w:r>
      <w:r>
        <w:rPr>
          <w:i/>
          <w:iCs/>
        </w:rPr>
        <w:t>ṃ</w:t>
      </w:r>
      <w:r>
        <w:rPr>
          <w:i/>
          <w:iCs/>
        </w:rPr>
        <w:t xml:space="preserve"> tanúvo dhāsím asyā́</w:t>
      </w:r>
    </w:p>
    <w:p w14:paraId="18C816E6" w14:textId="77777777" w:rsidR="00E53EB6" w:rsidRDefault="006500F5">
      <w:pPr>
        <w:pStyle w:val="ZitatnachZitat"/>
        <w:rPr>
          <w:i/>
          <w:iCs/>
        </w:rPr>
      </w:pPr>
      <w:r>
        <w:rPr>
          <w:i/>
          <w:iCs/>
        </w:rPr>
        <w:t>jarā́</w:t>
      </w:r>
      <w:r>
        <w:rPr>
          <w:i/>
          <w:iCs/>
        </w:rPr>
        <w:t>ṃ</w:t>
      </w:r>
      <w:r>
        <w:rPr>
          <w:i/>
          <w:iCs/>
        </w:rPr>
        <w:t xml:space="preserve"> cin me nírr̥tir jagrasīta</w:t>
      </w:r>
    </w:p>
    <w:p w14:paraId="4F233C5C" w14:textId="77777777" w:rsidR="00E53EB6" w:rsidRDefault="006500F5">
      <w:pPr>
        <w:pStyle w:val="Zitat"/>
      </w:pPr>
      <w:r>
        <w:t xml:space="preserve">Thus the mortal, even now, </w:t>
      </w:r>
      <w:r>
        <w:rPr>
          <w:u w:val="single"/>
        </w:rPr>
        <w:t>appropriates</w:t>
      </w:r>
      <w:r>
        <w:t xml:space="preserve"> you, o gods, for the offspring possessing cattle</w:t>
      </w:r>
      <w:bookmarkStart w:id="69" w:name="sdfootnote76anc"/>
      <w:bookmarkEnd w:id="69"/>
      <w:r>
        <w:rPr>
          <w:rStyle w:val="FootnoteAnchor"/>
        </w:rPr>
        <w:footnoteReference w:id="83"/>
      </w:r>
      <w:r>
        <w:t xml:space="preserve">, you, o gods, </w:t>
      </w:r>
      <w:r>
        <w:rPr>
          <w:u w:val="single"/>
        </w:rPr>
        <w:t>appropriates</w:t>
      </w:r>
      <w:r>
        <w:t xml:space="preserve"> the mortal; here the goddess of destruction</w:t>
      </w:r>
      <w:bookmarkStart w:id="70" w:name="sdfootnote77anc"/>
      <w:bookmarkEnd w:id="70"/>
      <w:r>
        <w:rPr>
          <w:rStyle w:val="FootnoteAnchor"/>
        </w:rPr>
        <w:footnoteReference w:id="84"/>
      </w:r>
      <w:hyperlink w:anchor="sdfootnote77sym">
        <w:r>
          <w:rPr>
            <w:rStyle w:val="Hyperlink"/>
            <w:color w:val="0000FF"/>
            <w:position w:val="6"/>
            <w:sz w:val="18"/>
            <w:szCs w:val="18"/>
            <w:lang w:val="en-GB"/>
          </w:rPr>
          <w:t xml:space="preserve"> </w:t>
        </w:r>
      </w:hyperlink>
      <w:r>
        <w:t>consumes my old age, benevolent dwelling</w:t>
      </w:r>
      <w:bookmarkStart w:id="71" w:name="sdfootnote78anc"/>
      <w:bookmarkEnd w:id="71"/>
      <w:r>
        <w:rPr>
          <w:rStyle w:val="FootnoteAnchor"/>
        </w:rPr>
        <w:footnoteReference w:id="85"/>
      </w:r>
      <w:r>
        <w:t xml:space="preserve"> of this </w:t>
      </w:r>
      <w:r>
        <w:lastRenderedPageBreak/>
        <w:t>body.</w:t>
      </w:r>
    </w:p>
    <w:p w14:paraId="15CF8837" w14:textId="77777777" w:rsidR="00E53EB6" w:rsidRPr="00B80C6B" w:rsidRDefault="006500F5">
      <w:pPr>
        <w:pStyle w:val="Zitat"/>
        <w:rPr>
          <w:lang w:val="de-DE"/>
        </w:rPr>
      </w:pPr>
      <w:r>
        <w:t>2x</w:t>
      </w:r>
      <w:r>
        <w:rPr>
          <w:i/>
        </w:rPr>
        <w:t xml:space="preserve"> vánate ā:</w:t>
      </w:r>
      <w:r>
        <w:t xml:space="preserve"> </w:t>
      </w:r>
      <w:r>
        <w:t>ind. pres. 3</w:t>
      </w:r>
      <w:r>
        <w:rPr>
          <w:vertAlign w:val="superscript"/>
        </w:rPr>
        <w:t>rd</w:t>
      </w:r>
      <w:r>
        <w:t xml:space="preserve"> sing. </w:t>
      </w:r>
      <w:r w:rsidRPr="00B80C6B">
        <w:rPr>
          <w:lang w:val="de-DE"/>
        </w:rPr>
        <w:t>Ā I-VI cl.</w:t>
      </w:r>
    </w:p>
    <w:p w14:paraId="55A963F2" w14:textId="77777777" w:rsidR="00E53EB6" w:rsidRPr="00B80C6B" w:rsidRDefault="006500F5">
      <w:pPr>
        <w:pStyle w:val="ZitatmitEinzug"/>
        <w:rPr>
          <w:lang w:val="de-DE"/>
        </w:rPr>
      </w:pPr>
      <w:r w:rsidRPr="00B80C6B">
        <w:rPr>
          <w:rStyle w:val="biblio-authorGEN"/>
          <w:sz w:val="18"/>
          <w:szCs w:val="15"/>
          <w:lang w:val="de-DE"/>
        </w:rPr>
        <w:t>Geldner:</w:t>
      </w:r>
      <w:r w:rsidRPr="00B80C6B">
        <w:rPr>
          <w:lang w:val="de-DE"/>
        </w:rPr>
        <w:t xml:space="preserve"> II 42 “</w:t>
      </w:r>
      <w:r w:rsidRPr="00B80C6B">
        <w:rPr>
          <w:lang w:val="de-DE"/>
        </w:rPr>
        <w:t>gewinnt”</w:t>
      </w:r>
    </w:p>
    <w:p w14:paraId="5E6C1D12" w14:textId="77777777" w:rsidR="00E53EB6" w:rsidRPr="00B80C6B" w:rsidRDefault="006500F5">
      <w:pPr>
        <w:pStyle w:val="ZitatmitEinzug"/>
        <w:rPr>
          <w:lang w:val="de-DE"/>
        </w:rPr>
      </w:pPr>
      <w:r w:rsidRPr="00B80C6B">
        <w:rPr>
          <w:rStyle w:val="biblio-authorGEN"/>
          <w:sz w:val="18"/>
          <w:szCs w:val="15"/>
          <w:lang w:val="de-DE"/>
        </w:rPr>
        <w:t>Renou:</w:t>
      </w:r>
      <w:r w:rsidRPr="00B80C6B">
        <w:rPr>
          <w:lang w:val="de-DE"/>
        </w:rPr>
        <w:t xml:space="preserve"> V 21 “</w:t>
      </w:r>
      <w:r w:rsidRPr="00B80C6B">
        <w:rPr>
          <w:lang w:val="de-DE"/>
        </w:rPr>
        <w:t>gagner”</w:t>
      </w:r>
    </w:p>
    <w:p w14:paraId="74A4136D" w14:textId="77777777" w:rsidR="00E53EB6" w:rsidRPr="00B80C6B" w:rsidRDefault="00E53EB6">
      <w:pPr>
        <w:pStyle w:val="ZitatmitEinzug"/>
        <w:rPr>
          <w:i/>
          <w:lang w:val="de-DE"/>
        </w:rPr>
      </w:pPr>
    </w:p>
    <w:p w14:paraId="558A3F46" w14:textId="77777777" w:rsidR="00E53EB6" w:rsidRPr="00B80C6B" w:rsidRDefault="006500F5">
      <w:pPr>
        <w:pStyle w:val="Zitat"/>
        <w:rPr>
          <w:lang w:val="de-DE"/>
        </w:rPr>
      </w:pPr>
      <w:r w:rsidRPr="00B80C6B">
        <w:rPr>
          <w:lang w:val="de-DE"/>
        </w:rPr>
        <w:t xml:space="preserve">5.74.7 </w:t>
      </w:r>
      <w:r w:rsidRPr="00B80C6B">
        <w:rPr>
          <w:i/>
          <w:lang w:val="de-DE"/>
        </w:rPr>
        <w:t xml:space="preserve">kó vām adyá </w:t>
      </w:r>
      <w:r w:rsidRPr="00B80C6B">
        <w:rPr>
          <w:i/>
          <w:lang w:val="de-DE"/>
        </w:rPr>
        <w:t>purū</w:t>
      </w:r>
      <w:r w:rsidRPr="00B80C6B">
        <w:rPr>
          <w:i/>
          <w:lang w:val="de-DE"/>
        </w:rPr>
        <w:t>ṇ</w:t>
      </w:r>
      <w:r w:rsidRPr="00B80C6B">
        <w:rPr>
          <w:i/>
          <w:lang w:val="de-DE"/>
        </w:rPr>
        <w:t>ā́m</w:t>
      </w:r>
    </w:p>
    <w:p w14:paraId="33AA31E1" w14:textId="77777777" w:rsidR="00E53EB6" w:rsidRPr="00B80C6B" w:rsidRDefault="006500F5">
      <w:pPr>
        <w:pStyle w:val="ZitatnachZitat"/>
        <w:rPr>
          <w:i/>
          <w:iCs/>
          <w:lang w:val="de-DE"/>
        </w:rPr>
      </w:pPr>
      <w:r w:rsidRPr="00B80C6B">
        <w:rPr>
          <w:i/>
          <w:iCs/>
          <w:lang w:val="de-DE"/>
        </w:rPr>
        <w:t>ā́ vavne márt</w:t>
      </w:r>
      <w:r w:rsidRPr="00B80C6B">
        <w:rPr>
          <w:i/>
          <w:iCs/>
          <w:vertAlign w:val="subscript"/>
          <w:lang w:val="de-DE"/>
        </w:rPr>
        <w:t>i</w:t>
      </w:r>
      <w:r w:rsidRPr="00B80C6B">
        <w:rPr>
          <w:i/>
          <w:iCs/>
          <w:lang w:val="de-DE"/>
        </w:rPr>
        <w:t>yānām</w:t>
      </w:r>
    </w:p>
    <w:p w14:paraId="2348493A" w14:textId="77777777" w:rsidR="00E53EB6" w:rsidRPr="00B80C6B" w:rsidRDefault="006500F5">
      <w:pPr>
        <w:pStyle w:val="ZitatnachZitat"/>
        <w:rPr>
          <w:i/>
          <w:iCs/>
          <w:lang w:val="de-DE"/>
        </w:rPr>
      </w:pPr>
      <w:r w:rsidRPr="00B80C6B">
        <w:rPr>
          <w:i/>
          <w:iCs/>
          <w:lang w:val="de-DE"/>
        </w:rPr>
        <w:t>kó vípro vipravāhasā</w:t>
      </w:r>
    </w:p>
    <w:p w14:paraId="272DEA4C" w14:textId="77777777" w:rsidR="00E53EB6" w:rsidRPr="00B80C6B" w:rsidRDefault="006500F5">
      <w:pPr>
        <w:pStyle w:val="ZitatnachZitat"/>
        <w:rPr>
          <w:i/>
          <w:iCs/>
          <w:lang w:val="de-DE"/>
        </w:rPr>
      </w:pPr>
      <w:r w:rsidRPr="00B80C6B">
        <w:rPr>
          <w:i/>
          <w:iCs/>
          <w:lang w:val="de-DE"/>
        </w:rPr>
        <w:t>kó yajñaír vājinīvasū</w:t>
      </w:r>
    </w:p>
    <w:p w14:paraId="2782303D" w14:textId="77777777" w:rsidR="00E53EB6" w:rsidRDefault="006500F5">
      <w:pPr>
        <w:pStyle w:val="Zitat"/>
      </w:pPr>
      <w:r>
        <w:t xml:space="preserve">Who of the mortals </w:t>
      </w:r>
      <w:r>
        <w:rPr>
          <w:u w:val="single"/>
        </w:rPr>
        <w:t>has</w:t>
      </w:r>
      <w:r>
        <w:t xml:space="preserve"> truly, to this day, </w:t>
      </w:r>
      <w:r>
        <w:rPr>
          <w:u w:val="single"/>
        </w:rPr>
        <w:t>appropriated</w:t>
      </w:r>
      <w:r>
        <w:t xml:space="preserve"> for himself you two, who, inspired sage, </w:t>
      </w:r>
      <w:r>
        <w:rPr>
          <w:u w:val="single"/>
        </w:rPr>
        <w:t>has appropriated</w:t>
      </w:r>
      <w:r>
        <w:t xml:space="preserve"> you two who receive the offerings of the sage</w:t>
      </w:r>
      <w:bookmarkStart w:id="72" w:name="sdfootnote79anc"/>
      <w:bookmarkEnd w:id="72"/>
      <w:r>
        <w:rPr>
          <w:rStyle w:val="FootnoteAnchor"/>
        </w:rPr>
        <w:footnoteReference w:id="86"/>
      </w:r>
      <w:r>
        <w:t>, who with sacrifices y</w:t>
      </w:r>
      <w:r>
        <w:t>ou who are rich in horses?</w:t>
      </w:r>
    </w:p>
    <w:p w14:paraId="48816AB4" w14:textId="77777777" w:rsidR="00E53EB6" w:rsidRPr="00B80C6B" w:rsidRDefault="006500F5">
      <w:pPr>
        <w:pStyle w:val="Zitat"/>
        <w:rPr>
          <w:lang w:val="de-DE"/>
        </w:rPr>
      </w:pPr>
      <w:r>
        <w:rPr>
          <w:i/>
        </w:rPr>
        <w:t>vavne ā:</w:t>
      </w:r>
      <w:r>
        <w:t xml:space="preserve"> ind. perf. 3</w:t>
      </w:r>
      <w:r>
        <w:rPr>
          <w:vertAlign w:val="superscript"/>
        </w:rPr>
        <w:t>rd</w:t>
      </w:r>
      <w:r>
        <w:t xml:space="preserve"> sing. </w:t>
      </w:r>
      <w:r w:rsidRPr="00B80C6B">
        <w:rPr>
          <w:lang w:val="de-DE"/>
        </w:rPr>
        <w:t>Ā</w:t>
      </w:r>
    </w:p>
    <w:p w14:paraId="27E74D5D" w14:textId="77777777" w:rsidR="00E53EB6" w:rsidRPr="00B80C6B" w:rsidRDefault="006500F5">
      <w:pPr>
        <w:pStyle w:val="ZitatmitEinzug"/>
        <w:rPr>
          <w:lang w:val="de-DE"/>
        </w:rPr>
      </w:pPr>
      <w:r w:rsidRPr="00B80C6B">
        <w:rPr>
          <w:rStyle w:val="biblio-authorGEN"/>
          <w:sz w:val="18"/>
          <w:szCs w:val="15"/>
          <w:lang w:val="de-DE"/>
        </w:rPr>
        <w:t>Geldner</w:t>
      </w:r>
      <w:r w:rsidRPr="00B80C6B">
        <w:rPr>
          <w:lang w:val="de-DE"/>
        </w:rPr>
        <w:t xml:space="preserve">: II 78 </w:t>
      </w:r>
      <w:r w:rsidRPr="00B80C6B">
        <w:rPr>
          <w:i/>
          <w:lang w:val="de-DE"/>
        </w:rPr>
        <w:t>hat gewonnen</w:t>
      </w:r>
      <w:r w:rsidRPr="00B80C6B">
        <w:rPr>
          <w:lang w:val="de-DE"/>
        </w:rPr>
        <w:t xml:space="preserve"> </w:t>
      </w:r>
    </w:p>
    <w:p w14:paraId="6F8FB7AF" w14:textId="77777777" w:rsidR="00E53EB6" w:rsidRPr="00B80C6B" w:rsidRDefault="00E53EB6">
      <w:pPr>
        <w:pStyle w:val="Zitat"/>
        <w:rPr>
          <w:lang w:val="de-DE"/>
        </w:rPr>
      </w:pPr>
    </w:p>
    <w:p w14:paraId="778698AD" w14:textId="77777777" w:rsidR="00E53EB6" w:rsidRPr="00B80C6B" w:rsidRDefault="006500F5">
      <w:pPr>
        <w:pStyle w:val="Hauptext"/>
        <w:rPr>
          <w:szCs w:val="21"/>
          <w:lang w:val="de-DE"/>
        </w:rPr>
      </w:pPr>
      <w:r w:rsidRPr="00B80C6B">
        <w:rPr>
          <w:i/>
          <w:iCs/>
          <w:szCs w:val="21"/>
          <w:lang w:val="de-DE"/>
        </w:rPr>
        <w:t>e3-</w:t>
      </w:r>
      <w:r w:rsidRPr="00B80C6B">
        <w:rPr>
          <w:i/>
          <w:iCs/>
          <w:szCs w:val="21"/>
          <w:lang w:val="de-DE"/>
        </w:rPr>
        <w:t xml:space="preserve">  Desiderative </w:t>
      </w:r>
    </w:p>
    <w:p w14:paraId="019C1877" w14:textId="77777777" w:rsidR="00E53EB6" w:rsidRDefault="006500F5">
      <w:pPr>
        <w:pStyle w:val="Hauptext"/>
      </w:pPr>
      <w:r>
        <w:rPr>
          <w:szCs w:val="21"/>
        </w:rPr>
        <w:t>On the other hand, we cannot fail to take into account the fact that, alongside the uses already encountered for the main conjugation, the sense mos</w:t>
      </w:r>
      <w:r>
        <w:rPr>
          <w:szCs w:val="21"/>
        </w:rPr>
        <w:t xml:space="preserve">t commonly taken on by the desiderative of </w:t>
      </w:r>
      <w:r>
        <w:rPr>
          <w:i/>
          <w:szCs w:val="21"/>
        </w:rPr>
        <w:t>van- / van</w:t>
      </w:r>
      <w:r>
        <w:rPr>
          <w:i/>
          <w:position w:val="7"/>
          <w:szCs w:val="21"/>
        </w:rPr>
        <w:t>i</w:t>
      </w:r>
      <w:r>
        <w:rPr>
          <w:i/>
          <w:szCs w:val="21"/>
        </w:rPr>
        <w:t>-</w:t>
      </w:r>
      <w:r>
        <w:rPr>
          <w:szCs w:val="21"/>
        </w:rPr>
        <w:t xml:space="preserve"> (</w:t>
      </w:r>
      <w:r>
        <w:rPr>
          <w:i/>
          <w:szCs w:val="21"/>
        </w:rPr>
        <w:t>vivās-</w:t>
      </w:r>
      <w:r>
        <w:rPr>
          <w:szCs w:val="21"/>
        </w:rPr>
        <w:t xml:space="preserve"> stem of the desiderative, secondary conjugation) is in most cases far more appropriately translated with the verb ‘to summon’, ‘to invite’, ‘to invoke’, rather than with ‘the desire to appropriate’.</w:t>
      </w:r>
      <w:r>
        <w:rPr>
          <w:rStyle w:val="FootnoteAnchor"/>
          <w:szCs w:val="21"/>
        </w:rPr>
        <w:footnoteReference w:id="87"/>
      </w:r>
      <w:r>
        <w:rPr>
          <w:szCs w:val="21"/>
        </w:rPr>
        <w:t xml:space="preserve"> Of 53 attestations of the stem of the desiderative, in</w:t>
      </w:r>
      <w:r>
        <w:rPr>
          <w:szCs w:val="21"/>
        </w:rPr>
        <w:t xml:space="preserve"> 36 man </w:t>
      </w:r>
      <w:r>
        <w:rPr>
          <w:i/>
          <w:szCs w:val="21"/>
        </w:rPr>
        <w:t>vivās-</w:t>
      </w:r>
      <w:r>
        <w:rPr>
          <w:szCs w:val="21"/>
        </w:rPr>
        <w:t xml:space="preserve"> the god, following a scheme that had hitherto been very rare. Therefore rather than ‘to desire to appropriate’, which is conjugated according to the context precisely in accordance with the same functional groups already seen for the primary</w:t>
      </w:r>
      <w:r>
        <w:rPr>
          <w:szCs w:val="21"/>
        </w:rPr>
        <w:t xml:space="preserve"> conjugation, in by far the majority of cases we come up against the need to supply a different translation. In these cases Geldner uses the German “</w:t>
      </w:r>
      <w:r>
        <w:rPr>
          <w:szCs w:val="21"/>
        </w:rPr>
        <w:t>herbitten”</w:t>
      </w:r>
      <w:r>
        <w:rPr>
          <w:szCs w:val="21"/>
        </w:rPr>
        <w:t xml:space="preserve"> or “</w:t>
      </w:r>
      <w:r>
        <w:rPr>
          <w:szCs w:val="21"/>
        </w:rPr>
        <w:t>einladen”</w:t>
      </w:r>
      <w:r>
        <w:rPr>
          <w:szCs w:val="21"/>
        </w:rPr>
        <w:t>. The object of this invitation is always the gods: man ‘summons to the rite’ the g</w:t>
      </w:r>
      <w:r>
        <w:rPr>
          <w:szCs w:val="21"/>
        </w:rPr>
        <w:t xml:space="preserve">od. In this stanza the action is performed by Agni as divine </w:t>
      </w:r>
      <w:r>
        <w:rPr>
          <w:i/>
          <w:szCs w:val="21"/>
        </w:rPr>
        <w:t>hotr̥</w:t>
      </w:r>
      <w:r>
        <w:rPr>
          <w:szCs w:val="21"/>
        </w:rPr>
        <w:t xml:space="preserve"> who, in fact, summons to the sacrifice, to the divine </w:t>
      </w:r>
      <w:r>
        <w:fldChar w:fldCharType="begin"/>
      </w:r>
      <w:r>
        <w:instrText>XE "ceremony"</w:instrText>
      </w:r>
      <w:r>
        <w:fldChar w:fldCharType="end"/>
      </w:r>
      <w:r>
        <w:rPr>
          <w:szCs w:val="21"/>
        </w:rPr>
        <w:t xml:space="preserve"> of the gods.</w:t>
      </w:r>
    </w:p>
    <w:p w14:paraId="5C634B32" w14:textId="77777777" w:rsidR="00E53EB6" w:rsidRDefault="006500F5">
      <w:pPr>
        <w:pStyle w:val="Zitat"/>
      </w:pPr>
      <w:r>
        <w:t>1</w:t>
      </w:r>
      <w:r>
        <w:t xml:space="preserve">.58.1 </w:t>
      </w:r>
      <w:r>
        <w:rPr>
          <w:i/>
        </w:rPr>
        <w:t>nū́ cit sahojā́ amŕ̥to ní tundate</w:t>
      </w:r>
    </w:p>
    <w:p w14:paraId="68489F52" w14:textId="77777777" w:rsidR="00E53EB6" w:rsidRDefault="006500F5">
      <w:pPr>
        <w:pStyle w:val="ZitatnachZitat"/>
        <w:rPr>
          <w:i/>
          <w:iCs/>
        </w:rPr>
      </w:pPr>
      <w:r>
        <w:rPr>
          <w:i/>
          <w:iCs/>
        </w:rPr>
        <w:t>hótā yád dūtó ábhavad vivásvata</w:t>
      </w:r>
      <w:r>
        <w:rPr>
          <w:i/>
          <w:iCs/>
        </w:rPr>
        <w:t>ḥ</w:t>
      </w:r>
    </w:p>
    <w:p w14:paraId="4514F025" w14:textId="77777777" w:rsidR="00E53EB6" w:rsidRDefault="006500F5">
      <w:pPr>
        <w:pStyle w:val="ZitatnachZitat"/>
        <w:rPr>
          <w:i/>
          <w:iCs/>
        </w:rPr>
      </w:pPr>
      <w:r>
        <w:rPr>
          <w:i/>
          <w:iCs/>
        </w:rPr>
        <w:t>ví sā́dhi</w:t>
      </w:r>
      <w:r>
        <w:rPr>
          <w:i/>
          <w:iCs/>
        </w:rPr>
        <w:t>ṣṭ</w:t>
      </w:r>
      <w:r>
        <w:rPr>
          <w:i/>
          <w:iCs/>
        </w:rPr>
        <w:t>hebhi</w:t>
      </w:r>
      <w:r>
        <w:rPr>
          <w:i/>
          <w:iCs/>
        </w:rPr>
        <w:t>ḥ</w:t>
      </w:r>
      <w:r>
        <w:rPr>
          <w:i/>
          <w:iCs/>
        </w:rPr>
        <w:t xml:space="preserve"> pathíbhī rájo mama</w:t>
      </w:r>
    </w:p>
    <w:p w14:paraId="4F4D8FBC" w14:textId="77777777" w:rsidR="00E53EB6" w:rsidRDefault="006500F5">
      <w:pPr>
        <w:pStyle w:val="ZitatnachZitat"/>
        <w:rPr>
          <w:i/>
          <w:iCs/>
        </w:rPr>
      </w:pPr>
      <w:r>
        <w:rPr>
          <w:i/>
          <w:iCs/>
        </w:rPr>
        <w:t>ā́ devátātā haví</w:t>
      </w:r>
      <w:r>
        <w:rPr>
          <w:i/>
          <w:iCs/>
        </w:rPr>
        <w:t>ṣ</w:t>
      </w:r>
      <w:r>
        <w:rPr>
          <w:i/>
          <w:iCs/>
        </w:rPr>
        <w:t>ā vivāsati</w:t>
      </w:r>
    </w:p>
    <w:p w14:paraId="6D900665" w14:textId="77777777" w:rsidR="00E53EB6" w:rsidRDefault="006500F5">
      <w:pPr>
        <w:pStyle w:val="Zitat"/>
      </w:pPr>
      <w:r>
        <w:t>Never is the immortal born of force driven, for it was Hotr̥ aand messenger of Vi</w:t>
      </w:r>
      <w:r>
        <w:t>vasvat</w:t>
      </w:r>
      <w:bookmarkStart w:id="73" w:name="sdfootnote80anc"/>
      <w:bookmarkEnd w:id="73"/>
      <w:r>
        <w:rPr>
          <w:rStyle w:val="FootnoteAnchor"/>
        </w:rPr>
        <w:footnoteReference w:id="88"/>
      </w:r>
      <w:r>
        <w:t>; h</w:t>
      </w:r>
      <w:r>
        <w:t xml:space="preserve">e has measured celestial </w:t>
      </w:r>
      <w:r>
        <w:t xml:space="preserve">space by means of the most just (??) right (??) roads, he through the oblation </w:t>
      </w:r>
      <w:r>
        <w:rPr>
          <w:u w:val="single"/>
        </w:rPr>
        <w:t>summons to the rite</w:t>
      </w:r>
      <w:r>
        <w:t xml:space="preserve"> for the divine </w:t>
      </w:r>
      <w:r>
        <w:fldChar w:fldCharType="begin"/>
      </w:r>
      <w:r>
        <w:instrText>XE "ceremony"</w:instrText>
      </w:r>
      <w:r>
        <w:fldChar w:fldCharType="end"/>
      </w:r>
      <w:bookmarkStart w:id="74" w:name="sdfootnote81anc"/>
      <w:bookmarkEnd w:id="74"/>
      <w:r>
        <w:rPr>
          <w:rStyle w:val="FootnoteAnchor"/>
        </w:rPr>
        <w:footnoteReference w:id="89"/>
      </w:r>
      <w:r>
        <w:t>.</w:t>
      </w:r>
    </w:p>
    <w:p w14:paraId="49524E7F" w14:textId="77777777" w:rsidR="00E53EB6" w:rsidRDefault="006500F5">
      <w:pPr>
        <w:pStyle w:val="Zitat"/>
        <w:rPr>
          <w:i/>
        </w:rPr>
      </w:pPr>
      <w:r>
        <w:rPr>
          <w:i/>
        </w:rPr>
        <w:t xml:space="preserve">ā́ vivāsati: </w:t>
      </w:r>
      <w:r>
        <w:t>ind. pres. 3</w:t>
      </w:r>
      <w:r>
        <w:rPr>
          <w:vertAlign w:val="superscript"/>
        </w:rPr>
        <w:t>rd</w:t>
      </w:r>
      <w:r>
        <w:t xml:space="preserve"> sing. from the desiderative stem </w:t>
      </w:r>
      <w:r>
        <w:rPr>
          <w:i/>
          <w:iCs/>
        </w:rPr>
        <w:t>vivās-</w:t>
      </w:r>
    </w:p>
    <w:p w14:paraId="759A3713" w14:textId="77777777" w:rsidR="00E53EB6" w:rsidRPr="00B80C6B" w:rsidRDefault="006500F5">
      <w:pPr>
        <w:pStyle w:val="ZitatmitEinzug"/>
        <w:rPr>
          <w:lang w:val="de-DE"/>
        </w:rPr>
      </w:pPr>
      <w:r w:rsidRPr="00B80C6B">
        <w:rPr>
          <w:rStyle w:val="biblio-authorGEN"/>
          <w:sz w:val="18"/>
          <w:szCs w:val="15"/>
          <w:lang w:val="de-DE"/>
        </w:rPr>
        <w:t>Geldner:</w:t>
      </w:r>
      <w:r w:rsidRPr="00B80C6B">
        <w:rPr>
          <w:lang w:val="de-DE"/>
        </w:rPr>
        <w:t xml:space="preserve"> I 74 “</w:t>
      </w:r>
      <w:r w:rsidRPr="00B80C6B">
        <w:rPr>
          <w:lang w:val="de-DE"/>
        </w:rPr>
        <w:t>bittet […] her”</w:t>
      </w:r>
    </w:p>
    <w:p w14:paraId="383FC50B" w14:textId="77777777" w:rsidR="00E53EB6" w:rsidRPr="00B80C6B" w:rsidRDefault="006500F5">
      <w:pPr>
        <w:pStyle w:val="ZitatmitEinzug"/>
        <w:rPr>
          <w:lang w:val="de-DE"/>
        </w:rPr>
      </w:pPr>
      <w:r w:rsidRPr="00B80C6B">
        <w:rPr>
          <w:rStyle w:val="biblio-authorGEN"/>
          <w:sz w:val="18"/>
          <w:szCs w:val="15"/>
          <w:lang w:val="de-DE"/>
        </w:rPr>
        <w:t>Renou:</w:t>
      </w:r>
      <w:r w:rsidRPr="00B80C6B">
        <w:rPr>
          <w:lang w:val="de-DE"/>
        </w:rPr>
        <w:t xml:space="preserve"> XII 10 “vise à gagner à soi (les dieux)”</w:t>
      </w:r>
    </w:p>
    <w:p w14:paraId="01771BA1" w14:textId="77777777" w:rsidR="00E53EB6" w:rsidRPr="00B80C6B" w:rsidRDefault="006500F5">
      <w:pPr>
        <w:pStyle w:val="ZitatmitEinzug"/>
        <w:rPr>
          <w:lang w:val="de-DE"/>
        </w:rPr>
      </w:pPr>
      <w:r w:rsidRPr="00B80C6B">
        <w:rPr>
          <w:lang w:val="de-DE"/>
        </w:rPr>
        <w:t>Witzel-Gotō 2007: 109 “zu gewinnen”</w:t>
      </w:r>
    </w:p>
    <w:p w14:paraId="516BA0CA" w14:textId="77777777" w:rsidR="00E53EB6" w:rsidRDefault="006500F5">
      <w:pPr>
        <w:pStyle w:val="HaupttextnachZitat"/>
      </w:pPr>
      <w:r>
        <w:lastRenderedPageBreak/>
        <w:t xml:space="preserve">It already emerges clearly from this first example that the action indicated by the form of the desiderative, rather than ‘to appropriate for the divine </w:t>
      </w:r>
      <w:r>
        <w:fldChar w:fldCharType="begin"/>
      </w:r>
      <w:r>
        <w:instrText>XE "ceremony"</w:instrText>
      </w:r>
      <w:r>
        <w:fldChar w:fldCharType="end"/>
      </w:r>
      <w:r>
        <w:t xml:space="preserve">’, must be ‘to have arrive for the divine </w:t>
      </w:r>
      <w:r>
        <w:fldChar w:fldCharType="begin"/>
      </w:r>
      <w:r>
        <w:instrText>XE "ceremony"</w:instrText>
      </w:r>
      <w:r>
        <w:fldChar w:fldCharType="end"/>
      </w:r>
      <w:r>
        <w:t>’, ensure participation in this stage. In comparison with the forms of the principal conjugation, the verb serves here to indicate the initial moment, as it were, of the act</w:t>
      </w:r>
      <w:r>
        <w:t xml:space="preserve"> ‘to appropriate’ – so too in 8.60.5 (and similarly in 1.41.8 and 1.12.9), where Agni it is invoked as incarnation of that order which the rite serves to re-found:</w:t>
      </w:r>
    </w:p>
    <w:p w14:paraId="29045328" w14:textId="77777777" w:rsidR="00E53EB6" w:rsidRDefault="006500F5">
      <w:pPr>
        <w:pStyle w:val="Zitat"/>
      </w:pPr>
      <w:r>
        <w:t xml:space="preserve">8.60.5 </w:t>
      </w:r>
      <w:r>
        <w:rPr>
          <w:i/>
        </w:rPr>
        <w:t>t</w:t>
      </w:r>
      <w:r>
        <w:rPr>
          <w:i/>
          <w:vertAlign w:val="subscript"/>
        </w:rPr>
        <w:t>u</w:t>
      </w:r>
      <w:r>
        <w:rPr>
          <w:i/>
        </w:rPr>
        <w:t>vám ít sapráthā asi</w:t>
      </w:r>
    </w:p>
    <w:p w14:paraId="25F6E872" w14:textId="77777777" w:rsidR="00E53EB6" w:rsidRDefault="006500F5">
      <w:pPr>
        <w:pStyle w:val="ZitatnachZitat"/>
        <w:rPr>
          <w:i/>
          <w:iCs/>
        </w:rPr>
      </w:pPr>
      <w:r>
        <w:rPr>
          <w:i/>
          <w:iCs/>
        </w:rPr>
        <w:t>ágne trātar r̥tás kaví</w:t>
      </w:r>
      <w:r>
        <w:rPr>
          <w:i/>
          <w:iCs/>
        </w:rPr>
        <w:t>ḥ</w:t>
      </w:r>
    </w:p>
    <w:p w14:paraId="0C4018C3" w14:textId="77777777" w:rsidR="00E53EB6" w:rsidRDefault="006500F5">
      <w:pPr>
        <w:pStyle w:val="ZitatnachZitat"/>
        <w:rPr>
          <w:i/>
          <w:iCs/>
        </w:rPr>
      </w:pPr>
      <w:r>
        <w:rPr>
          <w:i/>
          <w:iCs/>
        </w:rPr>
        <w:t>t</w:t>
      </w:r>
      <w:r>
        <w:rPr>
          <w:i/>
          <w:iCs/>
          <w:vertAlign w:val="subscript"/>
        </w:rPr>
        <w:t>u</w:t>
      </w:r>
      <w:r>
        <w:rPr>
          <w:i/>
          <w:iCs/>
        </w:rPr>
        <w:t>vā́</w:t>
      </w:r>
      <w:r>
        <w:rPr>
          <w:i/>
          <w:iCs/>
        </w:rPr>
        <w:t>ṃ</w:t>
      </w:r>
      <w:r>
        <w:rPr>
          <w:i/>
          <w:iCs/>
        </w:rPr>
        <w:t xml:space="preserve"> víprāsa</w:t>
      </w:r>
      <w:r>
        <w:rPr>
          <w:i/>
          <w:iCs/>
        </w:rPr>
        <w:t>ḥ</w:t>
      </w:r>
      <w:r>
        <w:rPr>
          <w:i/>
          <w:iCs/>
        </w:rPr>
        <w:t xml:space="preserve"> samidhāna dīdiva</w:t>
      </w:r>
    </w:p>
    <w:p w14:paraId="12029EED" w14:textId="77777777" w:rsidR="00E53EB6" w:rsidRDefault="006500F5">
      <w:pPr>
        <w:pStyle w:val="ZitatnachZitat"/>
        <w:rPr>
          <w:i/>
          <w:iCs/>
        </w:rPr>
      </w:pPr>
      <w:r>
        <w:rPr>
          <w:i/>
          <w:iCs/>
        </w:rPr>
        <w:t>ā́ viv</w:t>
      </w:r>
      <w:r>
        <w:rPr>
          <w:i/>
          <w:iCs/>
        </w:rPr>
        <w:t>āsanti vedhása</w:t>
      </w:r>
      <w:r>
        <w:rPr>
          <w:i/>
          <w:iCs/>
        </w:rPr>
        <w:t>ḥ</w:t>
      </w:r>
    </w:p>
    <w:p w14:paraId="0997926A" w14:textId="77777777" w:rsidR="00E53EB6" w:rsidRDefault="006500F5">
      <w:pPr>
        <w:pStyle w:val="Zitat"/>
      </w:pPr>
      <w:r>
        <w:t>You stretch out far</w:t>
      </w:r>
      <w:bookmarkStart w:id="75" w:name="sdfootnote82anc"/>
      <w:bookmarkEnd w:id="75"/>
      <w:r>
        <w:rPr>
          <w:rStyle w:val="FootnoteAnchor"/>
        </w:rPr>
        <w:footnoteReference w:id="90"/>
      </w:r>
      <w:r>
        <w:t>, you o Agni, o protector, you personified Order</w:t>
      </w:r>
      <w:bookmarkStart w:id="76" w:name="sdfootnote83anc"/>
      <w:bookmarkEnd w:id="76"/>
      <w:r>
        <w:t>, you are the sage poet</w:t>
      </w:r>
      <w:r>
        <w:rPr>
          <w:rStyle w:val="FootnoteAnchor"/>
        </w:rPr>
        <w:footnoteReference w:id="91"/>
      </w:r>
      <w:r>
        <w:t xml:space="preserve">; they who distribute the parts, inspired, </w:t>
      </w:r>
      <w:r>
        <w:rPr>
          <w:u w:val="single"/>
        </w:rPr>
        <w:t xml:space="preserve">summon [to the rite] </w:t>
      </w:r>
      <w:r>
        <w:t>you, o kindled one</w:t>
      </w:r>
      <w:bookmarkStart w:id="77" w:name="sdfootnote84anc"/>
      <w:bookmarkEnd w:id="77"/>
      <w:r>
        <w:rPr>
          <w:rStyle w:val="FootnoteAnchor"/>
        </w:rPr>
        <w:footnoteReference w:id="92"/>
      </w:r>
      <w:r>
        <w:t>, o shining one.</w:t>
      </w:r>
    </w:p>
    <w:p w14:paraId="16D89559" w14:textId="77777777" w:rsidR="00E53EB6" w:rsidRDefault="006500F5">
      <w:pPr>
        <w:pStyle w:val="Zitat"/>
        <w:rPr>
          <w:i/>
        </w:rPr>
      </w:pPr>
      <w:r>
        <w:rPr>
          <w:i/>
        </w:rPr>
        <w:t xml:space="preserve">ā́ vivāsanti: </w:t>
      </w:r>
      <w:r>
        <w:t>ind. pres. 3</w:t>
      </w:r>
      <w:r>
        <w:rPr>
          <w:vertAlign w:val="superscript"/>
        </w:rPr>
        <w:t>rd</w:t>
      </w:r>
      <w:r>
        <w:t xml:space="preserve"> pl. from the des</w:t>
      </w:r>
      <w:r>
        <w:t xml:space="preserve">iderative stem </w:t>
      </w:r>
      <w:r>
        <w:rPr>
          <w:i/>
          <w:iCs/>
        </w:rPr>
        <w:t>vivās-</w:t>
      </w:r>
    </w:p>
    <w:p w14:paraId="0DE62A96" w14:textId="77777777" w:rsidR="00E53EB6" w:rsidRPr="00B80C6B" w:rsidRDefault="006500F5">
      <w:pPr>
        <w:pStyle w:val="ZitatmitEinzug"/>
        <w:rPr>
          <w:lang w:val="de-DE"/>
        </w:rPr>
      </w:pPr>
      <w:r w:rsidRPr="00B80C6B">
        <w:rPr>
          <w:lang w:val="de-DE"/>
        </w:rPr>
        <w:t xml:space="preserve">Geldner: II 381 </w:t>
      </w:r>
      <w:r w:rsidRPr="00B80C6B">
        <w:rPr>
          <w:lang w:val="de-DE"/>
        </w:rPr>
        <w:t>“bitten […] her”</w:t>
      </w:r>
    </w:p>
    <w:p w14:paraId="51FC7942" w14:textId="77777777" w:rsidR="00E53EB6" w:rsidRPr="00B80C6B" w:rsidRDefault="006500F5">
      <w:pPr>
        <w:pStyle w:val="ZitatmitEinzug"/>
        <w:rPr>
          <w:lang w:val="de-DE"/>
        </w:rPr>
      </w:pPr>
      <w:r w:rsidRPr="00B80C6B">
        <w:rPr>
          <w:lang w:val="de-DE"/>
        </w:rPr>
        <w:t>Renou: XIII 75 “veulent gagner à eux”</w:t>
      </w:r>
    </w:p>
    <w:p w14:paraId="5DC4BEBA" w14:textId="77777777" w:rsidR="00E53EB6" w:rsidRDefault="006500F5">
      <w:pPr>
        <w:pStyle w:val="HaupttextnachZitat"/>
      </w:pPr>
      <w:r>
        <w:t>In hymn 74 of the 5</w:t>
      </w:r>
      <w:r>
        <w:rPr>
          <w:position w:val="7"/>
          <w:sz w:val="17"/>
        </w:rPr>
        <w:t>th</w:t>
      </w:r>
      <w:r>
        <w:t xml:space="preserve"> book we had already encountered </w:t>
      </w:r>
      <w:r>
        <w:rPr>
          <w:i/>
        </w:rPr>
        <w:t>van- / van</w:t>
      </w:r>
      <w:r>
        <w:rPr>
          <w:i/>
          <w:position w:val="7"/>
          <w:sz w:val="17"/>
        </w:rPr>
        <w:t>i</w:t>
      </w:r>
      <w:r>
        <w:rPr>
          <w:i/>
        </w:rPr>
        <w:t>-</w:t>
      </w:r>
      <w:r>
        <w:t>, and more precisely in the</w:t>
      </w:r>
      <w:r>
        <w:rPr>
          <w:i/>
          <w:iCs/>
        </w:rPr>
        <w:t xml:space="preserve"> pāda</w:t>
      </w:r>
      <w:r>
        <w:t>s 7 a-b (</w:t>
      </w:r>
      <w:r>
        <w:rPr>
          <w:i/>
        </w:rPr>
        <w:t>kó vām adyá purū</w:t>
      </w:r>
      <w:r>
        <w:rPr>
          <w:i/>
        </w:rPr>
        <w:t>ṇ</w:t>
      </w:r>
      <w:r>
        <w:rPr>
          <w:i/>
        </w:rPr>
        <w:t>ā́m / ā́ vavne mártiyānām</w:t>
      </w:r>
      <w:r>
        <w:t xml:space="preserve">), one of the few examples in which man ‘appropriates’ the god (cf. </w:t>
      </w:r>
      <w:r>
        <w:rPr>
          <w:i/>
        </w:rPr>
        <w:t>supra</w:t>
      </w:r>
      <w:r>
        <w:t>): if, at the beginning of the hymn, the poet asks where the two Aśvin are, that they listen since Atri summons them to the rite, he continues asking himself who among the mortals tod</w:t>
      </w:r>
      <w:r>
        <w:t>ay “has appropriated” the two gods. Considering the hymn as a whole, then, we may take it that this “to appropriate” in the seventh stanza is to be understood in the context of the continual question, the invocation to take part in the rite: who, today, am</w:t>
      </w:r>
      <w:r>
        <w:t>ong the mortals has had the two Aśvin arrive here?</w:t>
      </w:r>
    </w:p>
    <w:p w14:paraId="5FD5D908" w14:textId="77777777" w:rsidR="00E53EB6" w:rsidRDefault="006500F5">
      <w:pPr>
        <w:pStyle w:val="Zitat"/>
      </w:pPr>
      <w:r>
        <w:t xml:space="preserve">5.74.1 </w:t>
      </w:r>
      <w:r>
        <w:rPr>
          <w:i/>
        </w:rPr>
        <w:t>kṹ</w:t>
      </w:r>
      <w:r>
        <w:rPr>
          <w:i/>
        </w:rPr>
        <w:t>ṣṭ</w:t>
      </w:r>
      <w:r>
        <w:rPr>
          <w:i/>
        </w:rPr>
        <w:t>ho devāv aśvinā</w:t>
      </w:r>
    </w:p>
    <w:p w14:paraId="29F40497" w14:textId="77777777" w:rsidR="00E53EB6" w:rsidRDefault="006500F5">
      <w:pPr>
        <w:pStyle w:val="ZitatnachZitat"/>
        <w:rPr>
          <w:i/>
          <w:iCs/>
        </w:rPr>
      </w:pPr>
      <w:r>
        <w:rPr>
          <w:i/>
          <w:iCs/>
        </w:rPr>
        <w:t>adyā́ divó manāvasū</w:t>
      </w:r>
    </w:p>
    <w:p w14:paraId="1160D1ED" w14:textId="77777777" w:rsidR="00E53EB6" w:rsidRDefault="006500F5">
      <w:pPr>
        <w:pStyle w:val="ZitatnachZitat"/>
        <w:rPr>
          <w:i/>
          <w:iCs/>
        </w:rPr>
      </w:pPr>
      <w:r>
        <w:rPr>
          <w:i/>
          <w:iCs/>
        </w:rPr>
        <w:t>tác chravatho vr̥</w:t>
      </w:r>
      <w:r>
        <w:rPr>
          <w:i/>
          <w:iCs/>
        </w:rPr>
        <w:t>ṣ</w:t>
      </w:r>
      <w:r>
        <w:rPr>
          <w:i/>
          <w:iCs/>
        </w:rPr>
        <w:t>a</w:t>
      </w:r>
      <w:r>
        <w:rPr>
          <w:i/>
          <w:iCs/>
        </w:rPr>
        <w:t>ṇ</w:t>
      </w:r>
      <w:r>
        <w:rPr>
          <w:i/>
          <w:iCs/>
        </w:rPr>
        <w:t>vasū</w:t>
      </w:r>
    </w:p>
    <w:p w14:paraId="4A6225FF" w14:textId="77777777" w:rsidR="00E53EB6" w:rsidRDefault="006500F5">
      <w:pPr>
        <w:pStyle w:val="ZitatnachZitat"/>
        <w:rPr>
          <w:i/>
          <w:iCs/>
        </w:rPr>
      </w:pPr>
      <w:r>
        <w:rPr>
          <w:i/>
          <w:iCs/>
        </w:rPr>
        <w:t>átrir vām ā́ vivāsati</w:t>
      </w:r>
    </w:p>
    <w:p w14:paraId="32588A9E" w14:textId="77777777" w:rsidR="00E53EB6" w:rsidRDefault="006500F5">
      <w:pPr>
        <w:pStyle w:val="Zitat"/>
      </w:pPr>
      <w:r>
        <w:lastRenderedPageBreak/>
        <w:t>Where are you today, o divine Aśvin, o celestial ones</w:t>
      </w:r>
      <w:bookmarkStart w:id="78" w:name="sdfootnote85anc"/>
      <w:bookmarkEnd w:id="78"/>
      <w:r>
        <w:rPr>
          <w:rStyle w:val="FootnoteAnchor"/>
        </w:rPr>
        <w:footnoteReference w:id="93"/>
      </w:r>
      <w:r>
        <w:t>, rich in devotion? Listen to this, rich in virility, A</w:t>
      </w:r>
      <w:r>
        <w:t xml:space="preserve">tri </w:t>
      </w:r>
      <w:r>
        <w:rPr>
          <w:u w:val="single"/>
        </w:rPr>
        <w:t>summons to the rite</w:t>
      </w:r>
      <w:r>
        <w:t xml:space="preserve"> you two.</w:t>
      </w:r>
    </w:p>
    <w:p w14:paraId="09CAA738" w14:textId="77777777" w:rsidR="00E53EB6" w:rsidRDefault="006500F5">
      <w:pPr>
        <w:pStyle w:val="Zitat"/>
        <w:rPr>
          <w:i/>
          <w:iCs/>
        </w:rPr>
      </w:pPr>
      <w:r>
        <w:rPr>
          <w:i/>
          <w:iCs/>
        </w:rPr>
        <w:t xml:space="preserve">ā́ vivāsati: </w:t>
      </w:r>
      <w:r>
        <w:t>ind. pres. 3</w:t>
      </w:r>
      <w:r>
        <w:rPr>
          <w:vertAlign w:val="superscript"/>
        </w:rPr>
        <w:t>rd</w:t>
      </w:r>
      <w:r>
        <w:t xml:space="preserve"> sing. from the desiderative stem </w:t>
      </w:r>
      <w:r>
        <w:rPr>
          <w:i/>
          <w:iCs/>
        </w:rPr>
        <w:t>vivās-</w:t>
      </w:r>
    </w:p>
    <w:p w14:paraId="3E7DBE53" w14:textId="77777777" w:rsidR="00E53EB6" w:rsidRDefault="006500F5">
      <w:pPr>
        <w:pStyle w:val="ZitatmitEinzug"/>
      </w:pPr>
      <w:r>
        <w:rPr>
          <w:rStyle w:val="biblio-authorGEN"/>
          <w:sz w:val="18"/>
          <w:szCs w:val="15"/>
        </w:rPr>
        <w:t>Geldner:</w:t>
      </w:r>
      <w:r>
        <w:t xml:space="preserve"> II 79 “</w:t>
      </w:r>
      <w:r>
        <w:t>wünscht [..] her”</w:t>
      </w:r>
    </w:p>
    <w:p w14:paraId="78FB4BB8" w14:textId="77777777" w:rsidR="00E53EB6" w:rsidRDefault="006500F5">
      <w:pPr>
        <w:pStyle w:val="HaupttextnachZitat"/>
      </w:pPr>
      <w:r>
        <w:t>Within this group of attestations we find the frequent recurrence of the same syntactic structure, in which the verb is a</w:t>
      </w:r>
      <w:r>
        <w:t xml:space="preserve">ccompanied by an instrumental, in accordance with the paradigm – man </w:t>
      </w:r>
      <w:r>
        <w:rPr>
          <w:i/>
        </w:rPr>
        <w:t xml:space="preserve">vivās </w:t>
      </w:r>
      <w:r>
        <w:t xml:space="preserve">the god by means of “x” – where “x” can be the </w:t>
      </w:r>
      <w:r>
        <w:rPr>
          <w:i/>
        </w:rPr>
        <w:t>chants</w:t>
      </w:r>
      <w:r>
        <w:t xml:space="preserve"> (8.15.1), the </w:t>
      </w:r>
      <w:r>
        <w:rPr>
          <w:i/>
        </w:rPr>
        <w:t>poetic</w:t>
      </w:r>
      <w:r>
        <w:t xml:space="preserve"> </w:t>
      </w:r>
      <w:r>
        <w:rPr>
          <w:i/>
        </w:rPr>
        <w:t xml:space="preserve">vision </w:t>
      </w:r>
      <w:r>
        <w:t xml:space="preserve">(6.61.2), the </w:t>
      </w:r>
      <w:r>
        <w:rPr>
          <w:i/>
        </w:rPr>
        <w:t>word</w:t>
      </w:r>
      <w:r>
        <w:t xml:space="preserve"> (6.62.5) or </w:t>
      </w:r>
      <w:r>
        <w:rPr>
          <w:i/>
        </w:rPr>
        <w:t>devotion</w:t>
      </w:r>
      <w:r>
        <w:t xml:space="preserve"> as in 5.83.1 where the two verbs which precede </w:t>
      </w:r>
      <w:r>
        <w:rPr>
          <w:i/>
        </w:rPr>
        <w:t>ā́ vivāsa</w:t>
      </w:r>
      <w:r>
        <w:t xml:space="preserve"> ar</w:t>
      </w:r>
      <w:r>
        <w:t xml:space="preserve">e </w:t>
      </w:r>
      <w:r>
        <w:rPr>
          <w:i/>
        </w:rPr>
        <w:t>vada</w:t>
      </w:r>
      <w:r>
        <w:t xml:space="preserve"> and </w:t>
      </w:r>
      <w:r>
        <w:rPr>
          <w:i/>
        </w:rPr>
        <w:t xml:space="preserve">stuhi, </w:t>
      </w:r>
      <w:r>
        <w:t xml:space="preserve">“speak to the god and praise him”: these are the incitements, and it is at the close of this sequence that the poet has placed </w:t>
      </w:r>
      <w:r>
        <w:rPr>
          <w:i/>
        </w:rPr>
        <w:t>ā́ vivāsa</w:t>
      </w:r>
      <w:r>
        <w:t xml:space="preserve">-; in other cases it is </w:t>
      </w:r>
      <w:r>
        <w:rPr>
          <w:i/>
        </w:rPr>
        <w:t>invocation</w:t>
      </w:r>
      <w:r>
        <w:t xml:space="preserve"> as in 6 66.11, where we find the same syntagm as 1.64.12, </w:t>
      </w:r>
      <w:r>
        <w:rPr>
          <w:i/>
        </w:rPr>
        <w:t>rudrásya</w:t>
      </w:r>
      <w:r>
        <w:rPr>
          <w:i/>
        </w:rPr>
        <w:t xml:space="preserve"> sūnú</w:t>
      </w:r>
      <w:r>
        <w:rPr>
          <w:i/>
        </w:rPr>
        <w:t>ṃ</w:t>
      </w:r>
      <w:r>
        <w:rPr>
          <w:i/>
        </w:rPr>
        <w:t xml:space="preserve"> havásā</w:t>
      </w:r>
      <w:r>
        <w:t xml:space="preserve">, but instead of </w:t>
      </w:r>
      <w:r>
        <w:rPr>
          <w:i/>
        </w:rPr>
        <w:t>ā́ vivāse</w:t>
      </w:r>
      <w:r>
        <w:t xml:space="preserve"> as here, in 1.64.12 we find </w:t>
      </w:r>
      <w:r>
        <w:rPr>
          <w:i/>
        </w:rPr>
        <w:t>gr̥</w:t>
      </w:r>
      <w:r>
        <w:rPr>
          <w:i/>
        </w:rPr>
        <w:t>ṇ</w:t>
      </w:r>
      <w:r>
        <w:rPr>
          <w:i/>
        </w:rPr>
        <w:t>īmasi</w:t>
      </w:r>
      <w:r>
        <w:t xml:space="preserve"> ‘to chant’, and in this recurrence of structures we find an evident link at the paradigmatic level between ‘to chant’ and the action indicated by </w:t>
      </w:r>
      <w:r>
        <w:rPr>
          <w:i/>
        </w:rPr>
        <w:t>vivāse</w:t>
      </w:r>
      <w:r>
        <w:t>, which is thus to be seen</w:t>
      </w:r>
      <w:r>
        <w:t xml:space="preserve"> as an act of invocation: if the son of Rudra had previously been sung of, he is now similarly evoked, we might say, albeit in a different way:</w:t>
      </w:r>
    </w:p>
    <w:p w14:paraId="5B94BC51" w14:textId="77777777" w:rsidR="00E53EB6" w:rsidRDefault="006500F5">
      <w:pPr>
        <w:pStyle w:val="Zitat"/>
      </w:pPr>
      <w:r>
        <w:t xml:space="preserve">6.66.11 </w:t>
      </w:r>
      <w:r>
        <w:rPr>
          <w:i/>
        </w:rPr>
        <w:t>tá</w:t>
      </w:r>
      <w:r>
        <w:rPr>
          <w:i/>
        </w:rPr>
        <w:t>ṃ</w:t>
      </w:r>
      <w:r>
        <w:rPr>
          <w:i/>
        </w:rPr>
        <w:t xml:space="preserve"> vr̥dhántam mā́rutam bhrā́jadr̥</w:t>
      </w:r>
      <w:r>
        <w:rPr>
          <w:i/>
        </w:rPr>
        <w:t>ṣṭ</w:t>
      </w:r>
      <w:r>
        <w:rPr>
          <w:i/>
        </w:rPr>
        <w:t>i</w:t>
      </w:r>
      <w:r>
        <w:rPr>
          <w:i/>
        </w:rPr>
        <w:t>ṃ</w:t>
      </w:r>
    </w:p>
    <w:p w14:paraId="74094D9C" w14:textId="77777777" w:rsidR="00E53EB6" w:rsidRDefault="006500F5">
      <w:pPr>
        <w:pStyle w:val="ZitatnachZitat"/>
        <w:rPr>
          <w:i/>
          <w:iCs/>
        </w:rPr>
      </w:pPr>
      <w:r>
        <w:rPr>
          <w:i/>
          <w:iCs/>
        </w:rPr>
        <w:t>rudrásya sūnú</w:t>
      </w:r>
      <w:r>
        <w:rPr>
          <w:i/>
          <w:iCs/>
        </w:rPr>
        <w:t>ṃ</w:t>
      </w:r>
      <w:r>
        <w:rPr>
          <w:i/>
          <w:iCs/>
        </w:rPr>
        <w:t xml:space="preserve"> havásā́ vivāse</w:t>
      </w:r>
    </w:p>
    <w:p w14:paraId="23F33FE0" w14:textId="77777777" w:rsidR="00E53EB6" w:rsidRDefault="006500F5">
      <w:pPr>
        <w:pStyle w:val="ZitatnachZitat"/>
        <w:rPr>
          <w:i/>
          <w:iCs/>
        </w:rPr>
      </w:pPr>
      <w:r>
        <w:rPr>
          <w:i/>
          <w:iCs/>
        </w:rPr>
        <w:t>divá</w:t>
      </w:r>
      <w:r>
        <w:rPr>
          <w:i/>
          <w:iCs/>
        </w:rPr>
        <w:t>ḥ</w:t>
      </w:r>
      <w:r>
        <w:rPr>
          <w:i/>
          <w:iCs/>
        </w:rPr>
        <w:t xml:space="preserve"> śárdhāya śúcayo manī</w:t>
      </w:r>
      <w:r>
        <w:rPr>
          <w:i/>
          <w:iCs/>
        </w:rPr>
        <w:t>ṣ</w:t>
      </w:r>
      <w:r>
        <w:rPr>
          <w:i/>
          <w:iCs/>
        </w:rPr>
        <w:t>ā́</w:t>
      </w:r>
    </w:p>
    <w:p w14:paraId="45E644EC" w14:textId="77777777" w:rsidR="00E53EB6" w:rsidRDefault="006500F5">
      <w:pPr>
        <w:pStyle w:val="ZitatnachZitat"/>
        <w:rPr>
          <w:i/>
          <w:iCs/>
        </w:rPr>
      </w:pPr>
      <w:r>
        <w:rPr>
          <w:i/>
          <w:iCs/>
        </w:rPr>
        <w:t>giráy</w:t>
      </w:r>
      <w:r>
        <w:rPr>
          <w:i/>
          <w:iCs/>
        </w:rPr>
        <w:t>o ná ā́pa ugrā́ aspr̥dhran</w:t>
      </w:r>
    </w:p>
    <w:p w14:paraId="2DEEF5B1" w14:textId="77777777" w:rsidR="00E53EB6" w:rsidRDefault="006500F5">
      <w:pPr>
        <w:pStyle w:val="Zitat"/>
      </w:pPr>
      <w:r>
        <w:t>These troops of Marut which increase by themselves, with the shining spears, the son of Rudra</w:t>
      </w:r>
      <w:bookmarkStart w:id="79" w:name="sdfootnote86anc"/>
      <w:bookmarkEnd w:id="79"/>
      <w:r>
        <w:rPr>
          <w:rStyle w:val="FootnoteAnchor"/>
        </w:rPr>
        <w:footnoteReference w:id="94"/>
      </w:r>
      <w:r>
        <w:t xml:space="preserve"> with the invocation I </w:t>
      </w:r>
      <w:r>
        <w:rPr>
          <w:u w:val="single"/>
        </w:rPr>
        <w:t>summon to the rite</w:t>
      </w:r>
      <w:r>
        <w:t xml:space="preserve">, the brilliant poetic inspirations compete for the celestial troops like impetuous </w:t>
      </w:r>
      <w:r>
        <w:t>mountain streams</w:t>
      </w:r>
      <w:bookmarkStart w:id="80" w:name="sdfootnote87anc"/>
      <w:bookmarkEnd w:id="80"/>
      <w:r>
        <w:rPr>
          <w:rStyle w:val="FootnoteAnchor"/>
        </w:rPr>
        <w:footnoteReference w:id="95"/>
      </w:r>
      <w:r>
        <w:t>.</w:t>
      </w:r>
    </w:p>
    <w:p w14:paraId="4354469E" w14:textId="77777777" w:rsidR="00E53EB6" w:rsidRDefault="006500F5">
      <w:pPr>
        <w:pStyle w:val="Zitat"/>
        <w:rPr>
          <w:i/>
          <w:iCs/>
        </w:rPr>
      </w:pPr>
      <w:r>
        <w:rPr>
          <w:i/>
          <w:iCs/>
        </w:rPr>
        <w:t xml:space="preserve">ā́ vivāse: </w:t>
      </w:r>
      <w:r>
        <w:t>ind. pres. 1</w:t>
      </w:r>
      <w:r>
        <w:rPr>
          <w:vertAlign w:val="superscript"/>
        </w:rPr>
        <w:t>st</w:t>
      </w:r>
      <w:r>
        <w:t xml:space="preserve"> sing. Ā from the desiderative stem </w:t>
      </w:r>
      <w:r>
        <w:rPr>
          <w:i/>
          <w:iCs/>
        </w:rPr>
        <w:t>vivās-</w:t>
      </w:r>
    </w:p>
    <w:p w14:paraId="1325E189" w14:textId="77777777" w:rsidR="00E53EB6" w:rsidRPr="00B80C6B" w:rsidRDefault="006500F5">
      <w:pPr>
        <w:pStyle w:val="ZitatmitEinzug"/>
        <w:rPr>
          <w:lang w:val="de-DE"/>
        </w:rPr>
      </w:pPr>
      <w:r w:rsidRPr="00B80C6B">
        <w:rPr>
          <w:rStyle w:val="biblio-authorGEN"/>
          <w:sz w:val="18"/>
          <w:szCs w:val="15"/>
          <w:lang w:val="de-DE"/>
        </w:rPr>
        <w:t>Geldner</w:t>
      </w:r>
      <w:r w:rsidRPr="00B80C6B">
        <w:rPr>
          <w:lang w:val="de-DE"/>
        </w:rPr>
        <w:t>: II 169 “</w:t>
      </w:r>
      <w:r w:rsidRPr="00B80C6B">
        <w:rPr>
          <w:lang w:val="de-DE"/>
        </w:rPr>
        <w:t xml:space="preserve">bitte ich her” </w:t>
      </w:r>
    </w:p>
    <w:p w14:paraId="2F49F8D9" w14:textId="77777777" w:rsidR="00E53EB6" w:rsidRPr="00B80C6B" w:rsidRDefault="006500F5">
      <w:pPr>
        <w:pStyle w:val="ZitatmitEinzug"/>
        <w:rPr>
          <w:lang w:val="de-DE"/>
        </w:rPr>
      </w:pPr>
      <w:r w:rsidRPr="00B80C6B">
        <w:rPr>
          <w:rStyle w:val="biblio-authorGEN"/>
          <w:sz w:val="18"/>
          <w:szCs w:val="15"/>
          <w:lang w:val="de-DE"/>
        </w:rPr>
        <w:t>Renou</w:t>
      </w:r>
      <w:r w:rsidRPr="00B80C6B">
        <w:rPr>
          <w:lang w:val="de-DE"/>
        </w:rPr>
        <w:t>: X 41 “</w:t>
      </w:r>
      <w:r w:rsidRPr="00B80C6B">
        <w:rPr>
          <w:lang w:val="de-DE"/>
        </w:rPr>
        <w:t>je veux l’attirer à moi”</w:t>
      </w:r>
      <w:r w:rsidRPr="00B80C6B">
        <w:rPr>
          <w:lang w:val="de-DE"/>
        </w:rPr>
        <w:t xml:space="preserve"> </w:t>
      </w:r>
    </w:p>
    <w:p w14:paraId="43DC5986" w14:textId="77777777" w:rsidR="00E53EB6" w:rsidRDefault="006500F5">
      <w:pPr>
        <w:pStyle w:val="HaupttextnachZitat"/>
      </w:pPr>
      <w:r>
        <w:t xml:space="preserve">The same meaning is taken on by </w:t>
      </w:r>
      <w:r>
        <w:rPr>
          <w:i/>
        </w:rPr>
        <w:t>vivās-</w:t>
      </w:r>
      <w:r>
        <w:t xml:space="preserve"> in the following stanzas: here, as in those in </w:t>
      </w:r>
      <w:r>
        <w:rPr>
          <w:i/>
          <w:iCs/>
        </w:rPr>
        <w:t>e1-</w:t>
      </w:r>
      <w:r>
        <w:t>, the v</w:t>
      </w:r>
      <w:r>
        <w:t xml:space="preserve">erb has no direct object and the action is clearly addressed to the gods. As in the case of stanzas 5.74.1 and 7, this can cast light on those passages where we have come across the same absolute use of the verb, bearing out the hypothesis that the action </w:t>
      </w:r>
      <w:r>
        <w:t xml:space="preserve">indicated by both </w:t>
      </w:r>
      <w:r>
        <w:rPr>
          <w:i/>
        </w:rPr>
        <w:t>van- / van</w:t>
      </w:r>
      <w:r>
        <w:rPr>
          <w:vertAlign w:val="superscript"/>
        </w:rPr>
        <w:t>i</w:t>
      </w:r>
      <w:r>
        <w:rPr>
          <w:i/>
        </w:rPr>
        <w:t>-</w:t>
      </w:r>
      <w:r>
        <w:t xml:space="preserve"> and </w:t>
      </w:r>
      <w:r>
        <w:rPr>
          <w:i/>
        </w:rPr>
        <w:t>vivās-</w:t>
      </w:r>
      <w:r>
        <w:t xml:space="preserve">, when used in the absolute sense, is to be seen as addressed to the gods. It is in fact already clear in 6.52.17 that the direct object of the first two </w:t>
      </w:r>
      <w:r>
        <w:rPr>
          <w:i/>
        </w:rPr>
        <w:t>pāda</w:t>
      </w:r>
      <w:r>
        <w:t>s</w:t>
      </w:r>
      <w:r>
        <w:t xml:space="preserve"> is made explicit in the second two. Like in the stanza </w:t>
      </w:r>
      <w:r>
        <w:t>9.44.4, it is the gods, to whom the sacrifice has been made welcome, that the priest ‘summons to the rite’. Also to be noted in this first example is the spatial indication: here where the fire is lit and the place is ready to receive their presence, I inv</w:t>
      </w:r>
      <w:r>
        <w:t>ite, wish to have arrive, rather than possess the gods. The spatial indication evokes that outward movement as the first stage in the act of ‘to appropriate’ which we considered above, and with which we will deal at length in the following pages.</w:t>
      </w:r>
    </w:p>
    <w:p w14:paraId="77634876" w14:textId="77777777" w:rsidR="00E53EB6" w:rsidRDefault="006500F5">
      <w:pPr>
        <w:pStyle w:val="Zitat"/>
      </w:pPr>
      <w:r>
        <w:t>6</w:t>
      </w:r>
      <w:r>
        <w:t xml:space="preserve"> 52.17 </w:t>
      </w:r>
      <w:r>
        <w:rPr>
          <w:i/>
        </w:rPr>
        <w:t>s</w:t>
      </w:r>
      <w:r>
        <w:rPr>
          <w:i/>
        </w:rPr>
        <w:t>tīr</w:t>
      </w:r>
      <w:r>
        <w:rPr>
          <w:i/>
        </w:rPr>
        <w:t>ṇ</w:t>
      </w:r>
      <w:r>
        <w:rPr>
          <w:i/>
        </w:rPr>
        <w:t>é barhí</w:t>
      </w:r>
      <w:r>
        <w:rPr>
          <w:i/>
        </w:rPr>
        <w:t>ṣ</w:t>
      </w:r>
      <w:r>
        <w:rPr>
          <w:i/>
        </w:rPr>
        <w:t>i samidhāné agnaú</w:t>
      </w:r>
    </w:p>
    <w:p w14:paraId="36DFCE74" w14:textId="77777777" w:rsidR="00E53EB6" w:rsidRDefault="006500F5">
      <w:pPr>
        <w:pStyle w:val="ZitatnachZitat"/>
        <w:rPr>
          <w:i/>
          <w:iCs/>
        </w:rPr>
      </w:pPr>
      <w:r>
        <w:rPr>
          <w:i/>
          <w:iCs/>
        </w:rPr>
        <w:t>sūkténa mahā́ námasā́ vivāse</w:t>
      </w:r>
    </w:p>
    <w:p w14:paraId="43000E15" w14:textId="77777777" w:rsidR="00E53EB6" w:rsidRDefault="006500F5">
      <w:pPr>
        <w:pStyle w:val="ZitatnachZitat"/>
        <w:rPr>
          <w:i/>
          <w:iCs/>
        </w:rPr>
      </w:pPr>
      <w:r>
        <w:rPr>
          <w:i/>
          <w:iCs/>
        </w:rPr>
        <w:t>asmín no adyá vidáthe yajatrā</w:t>
      </w:r>
    </w:p>
    <w:p w14:paraId="74292294" w14:textId="77777777" w:rsidR="00E53EB6" w:rsidRDefault="006500F5">
      <w:pPr>
        <w:pStyle w:val="ZitatnachZitat"/>
        <w:rPr>
          <w:i/>
          <w:iCs/>
        </w:rPr>
      </w:pPr>
      <w:r>
        <w:rPr>
          <w:i/>
          <w:iCs/>
        </w:rPr>
        <w:lastRenderedPageBreak/>
        <w:t>víśve devā haví</w:t>
      </w:r>
      <w:r>
        <w:rPr>
          <w:i/>
          <w:iCs/>
        </w:rPr>
        <w:t>ṣ</w:t>
      </w:r>
      <w:r>
        <w:rPr>
          <w:i/>
          <w:iCs/>
        </w:rPr>
        <w:t>i mādayadhvam</w:t>
      </w:r>
    </w:p>
    <w:p w14:paraId="692077A2" w14:textId="77777777" w:rsidR="00E53EB6" w:rsidRDefault="006500F5">
      <w:pPr>
        <w:pStyle w:val="Zitat"/>
      </w:pPr>
      <w:r>
        <w:t xml:space="preserve">In the </w:t>
      </w:r>
      <w:r>
        <w:rPr>
          <w:i/>
        </w:rPr>
        <w:t>barhís</w:t>
      </w:r>
      <w:bookmarkStart w:id="81" w:name="sdfootnote88anc"/>
      <w:bookmarkEnd w:id="81"/>
      <w:r>
        <w:rPr>
          <w:rStyle w:val="FootnoteAnchor"/>
          <w:i/>
        </w:rPr>
        <w:footnoteReference w:id="96"/>
      </w:r>
      <w:r>
        <w:t xml:space="preserve"> scattered on the ground, in the kindled fire, with a fine hymn, with great devotion I </w:t>
      </w:r>
      <w:r>
        <w:rPr>
          <w:u w:val="single"/>
        </w:rPr>
        <w:t>summon to the rite</w:t>
      </w:r>
      <w:r>
        <w:t>: in this distribution</w:t>
      </w:r>
      <w:bookmarkStart w:id="82" w:name="sdfootnote89anc"/>
      <w:bookmarkEnd w:id="82"/>
      <w:r>
        <w:t xml:space="preserve"> of ours</w:t>
      </w:r>
      <w:r>
        <w:rPr>
          <w:rStyle w:val="FootnoteAnchor"/>
        </w:rPr>
        <w:footnoteReference w:id="97"/>
      </w:r>
      <w:r>
        <w:t>, today, o gods all, worthy of sacrifices, of the oblation, rejoice.</w:t>
      </w:r>
    </w:p>
    <w:p w14:paraId="1D9A6309" w14:textId="77777777" w:rsidR="00E53EB6" w:rsidRDefault="006500F5">
      <w:pPr>
        <w:pStyle w:val="Zitat"/>
        <w:rPr>
          <w:i/>
        </w:rPr>
      </w:pPr>
      <w:r>
        <w:rPr>
          <w:i/>
        </w:rPr>
        <w:t xml:space="preserve">vivāse: </w:t>
      </w:r>
      <w:r>
        <w:t>ind. pres. 1</w:t>
      </w:r>
      <w:r>
        <w:rPr>
          <w:vertAlign w:val="superscript"/>
        </w:rPr>
        <w:t>st</w:t>
      </w:r>
      <w:r>
        <w:t xml:space="preserve"> sing. Ā from the desiderati</w:t>
      </w:r>
      <w:r>
        <w:t xml:space="preserve">ve stem </w:t>
      </w:r>
      <w:r>
        <w:rPr>
          <w:i/>
          <w:iCs/>
        </w:rPr>
        <w:t>vivās-</w:t>
      </w:r>
    </w:p>
    <w:p w14:paraId="46D61A4C" w14:textId="77777777" w:rsidR="00E53EB6" w:rsidRPr="00B80C6B" w:rsidRDefault="006500F5">
      <w:pPr>
        <w:pStyle w:val="ZitatmitEinzug"/>
        <w:rPr>
          <w:lang w:val="de-DE"/>
        </w:rPr>
      </w:pPr>
      <w:r w:rsidRPr="00B80C6B">
        <w:rPr>
          <w:rStyle w:val="biblio-authorGEN"/>
          <w:sz w:val="18"/>
          <w:szCs w:val="15"/>
          <w:lang w:val="de-DE"/>
        </w:rPr>
        <w:t>Geldner:</w:t>
      </w:r>
      <w:r w:rsidRPr="00B80C6B">
        <w:rPr>
          <w:lang w:val="de-DE"/>
        </w:rPr>
        <w:t xml:space="preserve"> II 156 “</w:t>
      </w:r>
      <w:r w:rsidRPr="00B80C6B">
        <w:rPr>
          <w:lang w:val="de-DE"/>
        </w:rPr>
        <w:t>lade […] ein”</w:t>
      </w:r>
    </w:p>
    <w:p w14:paraId="1EBBC122" w14:textId="77777777" w:rsidR="00E53EB6" w:rsidRPr="00B80C6B" w:rsidRDefault="006500F5">
      <w:pPr>
        <w:pStyle w:val="ZitatmitEinzug"/>
        <w:rPr>
          <w:lang w:val="de-DE"/>
        </w:rPr>
      </w:pPr>
      <w:r w:rsidRPr="00B80C6B">
        <w:rPr>
          <w:rStyle w:val="biblio-authorGEN"/>
          <w:sz w:val="18"/>
          <w:szCs w:val="15"/>
          <w:lang w:val="de-DE"/>
        </w:rPr>
        <w:t>Renou:</w:t>
      </w:r>
      <w:r w:rsidRPr="00B80C6B">
        <w:rPr>
          <w:lang w:val="de-DE"/>
        </w:rPr>
        <w:t xml:space="preserve"> V 38 “je cherche à (vous) gagner”</w:t>
      </w:r>
    </w:p>
    <w:p w14:paraId="23ED01EE" w14:textId="77777777" w:rsidR="00E53EB6" w:rsidRPr="00B80C6B" w:rsidRDefault="00E53EB6">
      <w:pPr>
        <w:pStyle w:val="Zitat"/>
        <w:ind w:left="0"/>
        <w:rPr>
          <w:lang w:val="de-DE"/>
        </w:rPr>
      </w:pPr>
    </w:p>
    <w:p w14:paraId="566FD35D" w14:textId="77777777" w:rsidR="00E53EB6" w:rsidRPr="00B80C6B" w:rsidRDefault="006500F5">
      <w:pPr>
        <w:pStyle w:val="Zitat"/>
        <w:rPr>
          <w:lang w:val="de-DE"/>
        </w:rPr>
      </w:pPr>
      <w:r w:rsidRPr="00B80C6B">
        <w:rPr>
          <w:lang w:val="de-DE"/>
        </w:rPr>
        <w:t xml:space="preserve">9 44.4 </w:t>
      </w:r>
      <w:r w:rsidRPr="00B80C6B">
        <w:rPr>
          <w:i/>
          <w:lang w:val="de-DE"/>
        </w:rPr>
        <w:t>sá na</w:t>
      </w:r>
      <w:r w:rsidRPr="00B80C6B">
        <w:rPr>
          <w:i/>
          <w:lang w:val="de-DE"/>
        </w:rPr>
        <w:t>ḥ</w:t>
      </w:r>
      <w:r w:rsidRPr="00B80C6B">
        <w:rPr>
          <w:i/>
          <w:lang w:val="de-DE"/>
        </w:rPr>
        <w:t xml:space="preserve"> pavasva vājayúś</w:t>
      </w:r>
    </w:p>
    <w:p w14:paraId="1B0C70B4" w14:textId="77777777" w:rsidR="00E53EB6" w:rsidRPr="00B80C6B" w:rsidRDefault="006500F5">
      <w:pPr>
        <w:pStyle w:val="ZitatnachZitat"/>
        <w:rPr>
          <w:i/>
          <w:iCs/>
          <w:lang w:val="de-DE"/>
        </w:rPr>
      </w:pPr>
      <w:r w:rsidRPr="00B80C6B">
        <w:rPr>
          <w:i/>
          <w:iCs/>
          <w:lang w:val="de-DE"/>
        </w:rPr>
        <w:t>cakrā</w:t>
      </w:r>
      <w:r w:rsidRPr="00B80C6B">
        <w:rPr>
          <w:i/>
          <w:iCs/>
          <w:lang w:val="de-DE"/>
        </w:rPr>
        <w:t>ṇ</w:t>
      </w:r>
      <w:r w:rsidRPr="00B80C6B">
        <w:rPr>
          <w:i/>
          <w:iCs/>
          <w:lang w:val="de-DE"/>
        </w:rPr>
        <w:t>áś cā́rum adhvarám</w:t>
      </w:r>
    </w:p>
    <w:p w14:paraId="474C5BAB" w14:textId="77777777" w:rsidR="00E53EB6" w:rsidRDefault="006500F5">
      <w:pPr>
        <w:pStyle w:val="ZitatnachZitat"/>
        <w:rPr>
          <w:i/>
          <w:iCs/>
        </w:rPr>
      </w:pPr>
      <w:r>
        <w:rPr>
          <w:i/>
          <w:iCs/>
        </w:rPr>
        <w:t>barhí</w:t>
      </w:r>
      <w:r>
        <w:rPr>
          <w:i/>
          <w:iCs/>
        </w:rPr>
        <w:t>ṣ</w:t>
      </w:r>
      <w:r>
        <w:rPr>
          <w:i/>
          <w:iCs/>
        </w:rPr>
        <w:t>mām̐ ā́ vivāsati</w:t>
      </w:r>
    </w:p>
    <w:p w14:paraId="57658463" w14:textId="77777777" w:rsidR="00E53EB6" w:rsidRDefault="006500F5">
      <w:pPr>
        <w:pStyle w:val="Zitat"/>
      </w:pPr>
      <w:r>
        <w:t>You alone, purified for us, eager for the reward of victory</w:t>
      </w:r>
      <w:bookmarkStart w:id="83" w:name="sdfootnote90anc"/>
      <w:bookmarkEnd w:id="83"/>
      <w:r>
        <w:rPr>
          <w:rStyle w:val="FootnoteAnchor"/>
        </w:rPr>
        <w:footnoteReference w:id="98"/>
      </w:r>
      <w:r>
        <w:t xml:space="preserve">, having made the sacrifice welcome; he who has prepared the </w:t>
      </w:r>
      <w:r>
        <w:rPr>
          <w:i/>
        </w:rPr>
        <w:t>barhís</w:t>
      </w:r>
      <w:r>
        <w:t xml:space="preserve"> </w:t>
      </w:r>
      <w:r>
        <w:rPr>
          <w:u w:val="single"/>
        </w:rPr>
        <w:t>summons to the rite.</w:t>
      </w:r>
      <w:r>
        <w:t>”</w:t>
      </w:r>
    </w:p>
    <w:p w14:paraId="6C94BEED" w14:textId="77777777" w:rsidR="00E53EB6" w:rsidRDefault="006500F5">
      <w:pPr>
        <w:pStyle w:val="Zitat"/>
      </w:pPr>
      <w:r>
        <w:rPr>
          <w:i/>
        </w:rPr>
        <w:t>ā́ vivāsati:</w:t>
      </w:r>
      <w:r>
        <w:t xml:space="preserve"> </w:t>
      </w:r>
      <w:r>
        <w:t>ind. pres. 3</w:t>
      </w:r>
      <w:r>
        <w:rPr>
          <w:vertAlign w:val="superscript"/>
        </w:rPr>
        <w:t>rd</w:t>
      </w:r>
      <w:r>
        <w:t xml:space="preserve"> sing. from the desiderative stem </w:t>
      </w:r>
      <w:r>
        <w:rPr>
          <w:i/>
          <w:iCs/>
        </w:rPr>
        <w:t>vivās-</w:t>
      </w:r>
    </w:p>
    <w:p w14:paraId="216D78B2" w14:textId="77777777" w:rsidR="00E53EB6" w:rsidRPr="00B80C6B" w:rsidRDefault="006500F5">
      <w:pPr>
        <w:pStyle w:val="ZitatmitEinzug"/>
        <w:rPr>
          <w:lang w:val="de-DE"/>
        </w:rPr>
      </w:pPr>
      <w:r w:rsidRPr="00B80C6B">
        <w:rPr>
          <w:rStyle w:val="biblio-authorGEN"/>
          <w:sz w:val="18"/>
          <w:szCs w:val="15"/>
          <w:lang w:val="de-DE"/>
        </w:rPr>
        <w:t>Geldner</w:t>
      </w:r>
      <w:r w:rsidRPr="00B80C6B">
        <w:rPr>
          <w:rStyle w:val="biblio-authorGEN"/>
          <w:lang w:val="de-DE"/>
        </w:rPr>
        <w:t>:</w:t>
      </w:r>
      <w:r w:rsidRPr="00B80C6B">
        <w:rPr>
          <w:lang w:val="de-DE"/>
        </w:rPr>
        <w:t xml:space="preserve"> III  35 “</w:t>
      </w:r>
      <w:r w:rsidRPr="00B80C6B">
        <w:rPr>
          <w:lang w:val="de-DE"/>
        </w:rPr>
        <w:t>ladet ein”</w:t>
      </w:r>
    </w:p>
    <w:p w14:paraId="7FBBFC08" w14:textId="77777777" w:rsidR="00E53EB6" w:rsidRPr="00B80C6B" w:rsidRDefault="006500F5">
      <w:pPr>
        <w:pStyle w:val="ZitatmitEinzug"/>
        <w:rPr>
          <w:lang w:val="de-DE"/>
        </w:rPr>
      </w:pPr>
      <w:r w:rsidRPr="00B80C6B">
        <w:rPr>
          <w:rStyle w:val="biblio-authorGEN"/>
          <w:sz w:val="18"/>
          <w:szCs w:val="15"/>
          <w:lang w:val="de-DE"/>
        </w:rPr>
        <w:t>Renou</w:t>
      </w:r>
      <w:r w:rsidRPr="00B80C6B">
        <w:rPr>
          <w:lang w:val="de-DE"/>
        </w:rPr>
        <w:t>: VIII  25 “</w:t>
      </w:r>
      <w:r w:rsidRPr="00B80C6B">
        <w:rPr>
          <w:lang w:val="de-DE"/>
        </w:rPr>
        <w:t>il cherche à gagner à soi (les dieux)”</w:t>
      </w:r>
      <w:r w:rsidRPr="00B80C6B">
        <w:rPr>
          <w:lang w:val="de-DE"/>
        </w:rPr>
        <w:t xml:space="preserve"> </w:t>
      </w:r>
    </w:p>
    <w:p w14:paraId="69C0C806" w14:textId="77777777" w:rsidR="00E53EB6" w:rsidRDefault="006500F5">
      <w:pPr>
        <w:pStyle w:val="HaupttextnachZitat"/>
      </w:pPr>
      <w:r>
        <w:t>This group o</w:t>
      </w:r>
      <w:r>
        <w:t xml:space="preserve">f passages reveals some aspects of the verb which we had not encountered so far. Understood here is the idea of calling the gods, invoking their presence – meaning that is not totally removed from that “to appropriate”. We had already noted above that “to </w:t>
      </w:r>
      <w:r>
        <w:t>appropriate” is not exactly the same thing as ‘to possess’ or ‘to dominate’, but also in relation to man’s words or chants, ‘to have enter one’s own range of influence’. This invitation, then, to which the desiderative gives clear expression, represents th</w:t>
      </w:r>
      <w:r>
        <w:t xml:space="preserve">e uncompleted aspect of that same action, stressing the outward movement, also opening up to a spatial dimension, to an outside from which the god’s arrival is sought after (very evident, for example, in 9.39.5). </w:t>
      </w:r>
    </w:p>
    <w:p w14:paraId="23C6779B" w14:textId="77777777" w:rsidR="00E53EB6" w:rsidRDefault="006500F5">
      <w:pPr>
        <w:pStyle w:val="HaupttextohneEinzug"/>
      </w:pPr>
      <w:r>
        <w:t xml:space="preserve">We may, perhaps, also discern the same movement in certain passages like 10 27.12. This stanza has been interpreted in various different ways (cf. </w:t>
      </w:r>
      <w:r>
        <w:rPr>
          <w:rStyle w:val="biblio-authorGEN"/>
        </w:rPr>
        <w:t>Oldenberg</w:t>
      </w:r>
      <w:r>
        <w:t xml:space="preserve"> 1912: 228 n. 12). In the present translation we have followed the interpretation offered by Pischel</w:t>
      </w:r>
      <w:r>
        <w:t xml:space="preserve"> (</w:t>
      </w:r>
      <w:r>
        <w:rPr>
          <w:rStyle w:val="biblio-authorGEN"/>
        </w:rPr>
        <w:t xml:space="preserve">Pischel-Geldner </w:t>
      </w:r>
      <w:r>
        <w:t xml:space="preserve">1889-1901: I, 309-10), who suggests that </w:t>
      </w:r>
      <w:r>
        <w:rPr>
          <w:i/>
        </w:rPr>
        <w:t>bhadrā́ vadhū</w:t>
      </w:r>
      <w:r>
        <w:rPr>
          <w:i/>
        </w:rPr>
        <w:t>ḥ</w:t>
      </w:r>
      <w:r>
        <w:t xml:space="preserve"> serves to indicate the ‘hetaera’; whether this hypothesis is adopted, or the passage is interpreted as the description of the choice between suitors on the part of a marriageable mai</w:t>
      </w:r>
      <w:r>
        <w:t xml:space="preserve">den (as interpreted by </w:t>
      </w:r>
      <w:r>
        <w:rPr>
          <w:rStyle w:val="biblio-authorGEN"/>
        </w:rPr>
        <w:t>Geldner:</w:t>
      </w:r>
      <w:r>
        <w:t xml:space="preserve"> III, 167 and others), the important point to note is that in </w:t>
      </w:r>
      <w:r>
        <w:rPr>
          <w:i/>
        </w:rPr>
        <w:t xml:space="preserve">pāda </w:t>
      </w:r>
      <w:r>
        <w:t xml:space="preserve">d – and consensus is unanimous in this case – the woman, having prettied herself, chooses her companion among the people. Here, then, </w:t>
      </w:r>
      <w:r>
        <w:rPr>
          <w:i/>
        </w:rPr>
        <w:t>van- / van</w:t>
      </w:r>
      <w:r>
        <w:rPr>
          <w:i/>
          <w:position w:val="7"/>
          <w:sz w:val="17"/>
        </w:rPr>
        <w:t>i</w:t>
      </w:r>
      <w:r>
        <w:rPr>
          <w:i/>
        </w:rPr>
        <w:t>-</w:t>
      </w:r>
      <w:r>
        <w:t xml:space="preserve"> seems to be used precisely to indicate that movement ‘outwards to take to one’s self’ which, originating in a ritual context, is used more prosaically to indicate the action to choose – in colloquial language ‘to go and get’ – a companion:</w:t>
      </w:r>
    </w:p>
    <w:p w14:paraId="0FE73E97" w14:textId="77777777" w:rsidR="00E53EB6" w:rsidRDefault="006500F5">
      <w:pPr>
        <w:pStyle w:val="Zitat"/>
      </w:pPr>
      <w:r>
        <w:t xml:space="preserve">10 27.12 </w:t>
      </w:r>
      <w:r>
        <w:rPr>
          <w:i/>
        </w:rPr>
        <w:t>kíyatī</w:t>
      </w:r>
      <w:r>
        <w:rPr>
          <w:i/>
        </w:rPr>
        <w:t xml:space="preserve"> yó</w:t>
      </w:r>
      <w:r>
        <w:rPr>
          <w:i/>
        </w:rPr>
        <w:t>ṣ</w:t>
      </w:r>
      <w:r>
        <w:rPr>
          <w:i/>
        </w:rPr>
        <w:t>ā maryató vadhūyó</w:t>
      </w:r>
      <w:r>
        <w:rPr>
          <w:i/>
        </w:rPr>
        <w:t>ḥ</w:t>
      </w:r>
    </w:p>
    <w:p w14:paraId="3558F30F" w14:textId="77777777" w:rsidR="00E53EB6" w:rsidRDefault="006500F5">
      <w:pPr>
        <w:pStyle w:val="ZitatnachZitat"/>
        <w:rPr>
          <w:i/>
          <w:iCs/>
        </w:rPr>
      </w:pPr>
      <w:r>
        <w:rPr>
          <w:i/>
          <w:iCs/>
        </w:rPr>
        <w:t>páriprītā pányasā vā́r</w:t>
      </w:r>
      <w:r>
        <w:rPr>
          <w:i/>
          <w:iCs/>
          <w:vertAlign w:val="subscript"/>
        </w:rPr>
        <w:t>i</w:t>
      </w:r>
      <w:r>
        <w:rPr>
          <w:i/>
          <w:iCs/>
        </w:rPr>
        <w:t>ye</w:t>
      </w:r>
      <w:r>
        <w:rPr>
          <w:i/>
          <w:iCs/>
        </w:rPr>
        <w:t>ṇ</w:t>
      </w:r>
      <w:r>
        <w:rPr>
          <w:i/>
          <w:iCs/>
        </w:rPr>
        <w:t>a</w:t>
      </w:r>
    </w:p>
    <w:p w14:paraId="307155E0" w14:textId="77777777" w:rsidR="00E53EB6" w:rsidRDefault="006500F5">
      <w:pPr>
        <w:pStyle w:val="ZitatnachZitat"/>
        <w:rPr>
          <w:i/>
          <w:iCs/>
        </w:rPr>
      </w:pPr>
      <w:r>
        <w:rPr>
          <w:i/>
          <w:iCs/>
        </w:rPr>
        <w:t>bhadrā́ vadhū́r bhavati yát supéśā</w:t>
      </w:r>
      <w:r>
        <w:rPr>
          <w:i/>
          <w:iCs/>
        </w:rPr>
        <w:t>ḥ</w:t>
      </w:r>
    </w:p>
    <w:p w14:paraId="06F83A89" w14:textId="77777777" w:rsidR="00E53EB6" w:rsidRDefault="006500F5">
      <w:pPr>
        <w:pStyle w:val="ZitatnachZitat"/>
        <w:rPr>
          <w:i/>
          <w:iCs/>
        </w:rPr>
      </w:pPr>
      <w:r>
        <w:rPr>
          <w:i/>
          <w:iCs/>
        </w:rPr>
        <w:t>svayá</w:t>
      </w:r>
      <w:r>
        <w:rPr>
          <w:i/>
          <w:iCs/>
        </w:rPr>
        <w:t>ṃ</w:t>
      </w:r>
      <w:r>
        <w:rPr>
          <w:i/>
          <w:iCs/>
        </w:rPr>
        <w:t xml:space="preserve"> sā́ mitrá</w:t>
      </w:r>
      <w:r>
        <w:rPr>
          <w:i/>
          <w:iCs/>
        </w:rPr>
        <w:t>ṃ</w:t>
      </w:r>
      <w:r>
        <w:rPr>
          <w:i/>
          <w:iCs/>
        </w:rPr>
        <w:t xml:space="preserve"> vanute jáne cit</w:t>
      </w:r>
    </w:p>
    <w:p w14:paraId="7BEA4A2B" w14:textId="77777777" w:rsidR="00E53EB6" w:rsidRDefault="006500F5">
      <w:pPr>
        <w:pStyle w:val="Zitat"/>
      </w:pPr>
      <w:r>
        <w:lastRenderedPageBreak/>
        <w:t>How delighted is a maiden amid suitors by the truly wonderful gift of the lover? A woman is happy when, having prettied herself, she by</w:t>
      </w:r>
      <w:r>
        <w:t xml:space="preserve"> herself </w:t>
      </w:r>
      <w:r>
        <w:rPr>
          <w:u w:val="single"/>
        </w:rPr>
        <w:t>appropriates</w:t>
      </w:r>
      <w:r>
        <w:t xml:space="preserve"> the companion, people being there.</w:t>
      </w:r>
    </w:p>
    <w:p w14:paraId="662C60DC" w14:textId="77777777" w:rsidR="00E53EB6" w:rsidRDefault="006500F5">
      <w:pPr>
        <w:pStyle w:val="Zitat"/>
      </w:pPr>
      <w:r>
        <w:t>What young woman for the impassioned lover</w:t>
      </w:r>
      <w:bookmarkStart w:id="84" w:name="sdfootnote91anc"/>
      <w:bookmarkEnd w:id="84"/>
      <w:r>
        <w:rPr>
          <w:rStyle w:val="FootnoteAnchor"/>
        </w:rPr>
        <w:footnoteReference w:id="99"/>
      </w:r>
      <w:r>
        <w:t xml:space="preserve"> </w:t>
      </w:r>
      <w:r>
        <w:t xml:space="preserve">is most loveable as wonderful acquisition? It is the hetaera when she has prettied herself, she by herself </w:t>
      </w:r>
      <w:r>
        <w:rPr>
          <w:u w:val="single"/>
        </w:rPr>
        <w:t>appropriates</w:t>
      </w:r>
      <w:r>
        <w:t xml:space="preserve"> the companion amidst the people.</w:t>
      </w:r>
    </w:p>
    <w:p w14:paraId="4F8CC0E5" w14:textId="77777777" w:rsidR="00E53EB6" w:rsidRDefault="006500F5">
      <w:pPr>
        <w:pStyle w:val="Zitat"/>
        <w:rPr>
          <w:i/>
        </w:rPr>
      </w:pPr>
      <w:r>
        <w:rPr>
          <w:i/>
        </w:rPr>
        <w:t>v</w:t>
      </w:r>
      <w:r>
        <w:rPr>
          <w:i/>
        </w:rPr>
        <w:t xml:space="preserve">anute: </w:t>
      </w:r>
      <w:r>
        <w:t>ind. pres. 3</w:t>
      </w:r>
      <w:r>
        <w:rPr>
          <w:vertAlign w:val="superscript"/>
        </w:rPr>
        <w:t>rd</w:t>
      </w:r>
      <w:r>
        <w:t xml:space="preserve"> sing. Ā VIII cl.</w:t>
      </w:r>
    </w:p>
    <w:p w14:paraId="65D0FD63" w14:textId="77777777" w:rsidR="00E53EB6" w:rsidRPr="00B80C6B" w:rsidRDefault="006500F5">
      <w:pPr>
        <w:pStyle w:val="ZitatmitEinzug"/>
        <w:rPr>
          <w:lang w:val="de-DE"/>
        </w:rPr>
      </w:pPr>
      <w:r w:rsidRPr="00B80C6B">
        <w:rPr>
          <w:rStyle w:val="biblio-authorGEN"/>
          <w:sz w:val="18"/>
          <w:szCs w:val="18"/>
          <w:lang w:val="de-DE"/>
        </w:rPr>
        <w:t>Geldner:</w:t>
      </w:r>
      <w:r w:rsidRPr="00B80C6B">
        <w:rPr>
          <w:lang w:val="de-DE"/>
        </w:rPr>
        <w:t xml:space="preserve"> III 167 “</w:t>
      </w:r>
      <w:r w:rsidRPr="00B80C6B">
        <w:rPr>
          <w:lang w:val="de-DE"/>
        </w:rPr>
        <w:t>gewinnt”</w:t>
      </w:r>
    </w:p>
    <w:p w14:paraId="1D95A3E5" w14:textId="77777777" w:rsidR="00E53EB6" w:rsidRPr="00B80C6B" w:rsidRDefault="006500F5">
      <w:pPr>
        <w:pStyle w:val="ZitatmitEinzug"/>
        <w:rPr>
          <w:lang w:val="de-DE"/>
        </w:rPr>
      </w:pPr>
      <w:r w:rsidRPr="00B80C6B">
        <w:rPr>
          <w:szCs w:val="15"/>
          <w:lang w:val="de-DE"/>
        </w:rPr>
        <w:t>Pischel</w:t>
      </w:r>
      <w:r w:rsidRPr="00B80C6B">
        <w:rPr>
          <w:lang w:val="de-DE"/>
        </w:rPr>
        <w:t xml:space="preserve"> in </w:t>
      </w:r>
      <w:r w:rsidRPr="00B80C6B">
        <w:rPr>
          <w:rStyle w:val="biblio-authorGEN"/>
          <w:sz w:val="18"/>
          <w:szCs w:val="18"/>
          <w:lang w:val="de-DE"/>
        </w:rPr>
        <w:t>Pischel-Geldner</w:t>
      </w:r>
      <w:r w:rsidRPr="00B80C6B">
        <w:rPr>
          <w:lang w:val="de-DE"/>
        </w:rPr>
        <w:t xml:space="preserve"> 1989-1901: I 309 “</w:t>
      </w:r>
      <w:r w:rsidRPr="00B80C6B">
        <w:rPr>
          <w:lang w:val="de-DE"/>
        </w:rPr>
        <w:t>sucht (sich selbst)”</w:t>
      </w:r>
    </w:p>
    <w:p w14:paraId="10BD555F" w14:textId="77777777" w:rsidR="00E53EB6" w:rsidRDefault="006500F5">
      <w:pPr>
        <w:pStyle w:val="HaupttextnachZitat"/>
      </w:pPr>
      <w:r>
        <w:t>The last category of stanzas offers some important evidence in an aspect of the verb that cannot be ignored: it remains in f</w:t>
      </w:r>
      <w:r>
        <w:t xml:space="preserve">ull evidence only in the desiderative, a verbal conjugation that indicates an action yet to be completed, with what we might call a non-perfective </w:t>
      </w:r>
      <w:r>
        <w:rPr>
          <w:color w:val="000000"/>
        </w:rPr>
        <w:t>conative</w:t>
      </w:r>
      <w:r>
        <w:t xml:space="preserve"> value. The verbal root </w:t>
      </w:r>
      <w:r>
        <w:rPr>
          <w:i/>
        </w:rPr>
        <w:t>van- / van</w:t>
      </w:r>
      <w:r>
        <w:rPr>
          <w:i/>
          <w:position w:val="7"/>
          <w:sz w:val="17"/>
        </w:rPr>
        <w:t>i</w:t>
      </w:r>
      <w:r>
        <w:rPr>
          <w:i/>
        </w:rPr>
        <w:t>-</w:t>
      </w:r>
      <w:r>
        <w:t xml:space="preserve"> appears in these verses to indicate an action implying outward m</w:t>
      </w:r>
      <w:r>
        <w:t xml:space="preserve">ovement. Such an action was hit upon by Pischel </w:t>
      </w:r>
      <w:r>
        <w:rPr>
          <w:rStyle w:val="biblio-authorGEN"/>
        </w:rPr>
        <w:t xml:space="preserve">(Pischel-Geldner </w:t>
      </w:r>
      <w:r>
        <w:t xml:space="preserve">1889-1901: III, 198-204), who took the </w:t>
      </w:r>
      <w:r>
        <w:rPr>
          <w:i/>
        </w:rPr>
        <w:t>Grundbedeutung</w:t>
      </w:r>
      <w:r>
        <w:t xml:space="preserve"> of the verb </w:t>
      </w:r>
      <w:r>
        <w:rPr>
          <w:i/>
        </w:rPr>
        <w:t>van-</w:t>
      </w:r>
      <w:r>
        <w:t xml:space="preserve"> to be “</w:t>
      </w:r>
      <w:r>
        <w:t>auf etwas losgehen”</w:t>
      </w:r>
      <w:r>
        <w:t xml:space="preserve">. This could be a good starting point to conjecture the connection to the semantic area of desire, and the moment when the meaning of ‘desire’ assumes autonomy, precisely in the light of the two meanings that we encountered at the beginning of this paper, </w:t>
      </w:r>
      <w:r>
        <w:t xml:space="preserve">and above all in connection with the developments that the verb </w:t>
      </w:r>
      <w:r>
        <w:rPr>
          <w:i/>
        </w:rPr>
        <w:t>van</w:t>
      </w:r>
      <w:r>
        <w:rPr>
          <w:i/>
          <w:vertAlign w:val="subscript"/>
        </w:rPr>
        <w:t>3</w:t>
      </w:r>
      <w:r>
        <w:rPr>
          <w:i/>
        </w:rPr>
        <w:t xml:space="preserve"> </w:t>
      </w:r>
      <w:r>
        <w:t xml:space="preserve">was to see right from the post-Vedic phase. </w:t>
      </w:r>
    </w:p>
    <w:p w14:paraId="4A80D46F" w14:textId="77777777" w:rsidR="00E53EB6" w:rsidRDefault="00E53EB6">
      <w:pPr>
        <w:pStyle w:val="Hauptext"/>
        <w:ind w:firstLine="0"/>
      </w:pPr>
    </w:p>
    <w:p w14:paraId="4B6285A2" w14:textId="77777777" w:rsidR="00E53EB6" w:rsidRDefault="006500F5">
      <w:pPr>
        <w:pStyle w:val="Heading2"/>
        <w:tabs>
          <w:tab w:val="left" w:pos="0"/>
        </w:tabs>
      </w:pPr>
      <w:r>
        <w:t>II.2 Avestan Comparison</w:t>
      </w:r>
    </w:p>
    <w:p w14:paraId="1DAD737E" w14:textId="77777777" w:rsidR="00E53EB6" w:rsidRDefault="006500F5">
      <w:pPr>
        <w:pStyle w:val="Hauptext"/>
      </w:pPr>
      <w:r>
        <w:t xml:space="preserve"> </w:t>
      </w:r>
      <w:r>
        <w:rPr>
          <w:szCs w:val="21"/>
        </w:rPr>
        <w:t>With regard to this type of movement, so clear in the desiderative, it is worth mentioning the interpretation conjec</w:t>
      </w:r>
      <w:r>
        <w:rPr>
          <w:szCs w:val="21"/>
        </w:rPr>
        <w:t xml:space="preserve">tured by </w:t>
      </w:r>
      <w:r>
        <w:rPr>
          <w:rStyle w:val="biblio-authorGEN"/>
          <w:szCs w:val="21"/>
        </w:rPr>
        <w:t>Schmidt</w:t>
      </w:r>
      <w:bookmarkStart w:id="85" w:name="sdfootnote92anc"/>
      <w:bookmarkEnd w:id="85"/>
      <w:r>
        <w:rPr>
          <w:rStyle w:val="FootnoteAnchor"/>
          <w:szCs w:val="21"/>
        </w:rPr>
        <w:footnoteReference w:id="100"/>
      </w:r>
      <w:r>
        <w:rPr>
          <w:szCs w:val="21"/>
        </w:rPr>
        <w:t xml:space="preserve"> on the Avestan outcome of the same Indo-European root. The passages taken into consideration in his article are indeed few: Schmidt goes no further than suggesting the presence of a possible unifying element for the various meanings whic</w:t>
      </w:r>
      <w:r>
        <w:rPr>
          <w:szCs w:val="21"/>
        </w:rPr>
        <w:t xml:space="preserve">h the Avestan verb </w:t>
      </w:r>
      <w:r>
        <w:rPr>
          <w:i/>
          <w:szCs w:val="21"/>
        </w:rPr>
        <w:t>van-</w:t>
      </w:r>
      <w:r>
        <w:rPr>
          <w:szCs w:val="21"/>
        </w:rPr>
        <w:t xml:space="preserve"> encompasses. Nevertheless, following the examples quoted by a Schmidt, we come upon the very same functions we had identified for the Sanskrit verb. </w:t>
      </w:r>
    </w:p>
    <w:p w14:paraId="223461DF" w14:textId="77777777" w:rsidR="00E53EB6" w:rsidRDefault="006500F5">
      <w:pPr>
        <w:pStyle w:val="HaupttextohneEinzug"/>
      </w:pPr>
      <w:r>
        <w:rPr>
          <w:szCs w:val="21"/>
        </w:rPr>
        <w:t>Again, in fact, we find man turning to Anāhita</w:t>
      </w:r>
      <w:bookmarkStart w:id="86" w:name="sdfootnote93anc"/>
      <w:bookmarkEnd w:id="86"/>
      <w:r>
        <w:rPr>
          <w:rStyle w:val="FootnoteAnchor"/>
          <w:szCs w:val="21"/>
        </w:rPr>
        <w:footnoteReference w:id="101"/>
      </w:r>
      <w:r>
        <w:rPr>
          <w:szCs w:val="21"/>
        </w:rPr>
        <w:t xml:space="preserve"> (</w:t>
      </w:r>
      <w:r>
        <w:rPr>
          <w:i/>
          <w:szCs w:val="21"/>
        </w:rPr>
        <w:t>Yašt</w:t>
      </w:r>
      <w:r>
        <w:rPr>
          <w:szCs w:val="21"/>
        </w:rPr>
        <w:t xml:space="preserve"> 5 130) to be able to make h</w:t>
      </w:r>
      <w:r>
        <w:rPr>
          <w:szCs w:val="21"/>
        </w:rPr>
        <w:t xml:space="preserve">is a long list of goods that seem to evoke the land of plenty. In verse 58 of </w:t>
      </w:r>
      <w:r>
        <w:rPr>
          <w:i/>
          <w:szCs w:val="21"/>
        </w:rPr>
        <w:t>Yašt</w:t>
      </w:r>
      <w:r>
        <w:rPr>
          <w:szCs w:val="21"/>
        </w:rPr>
        <w:t xml:space="preserve"> 14 the plea is to capture the enemy army, just as in the </w:t>
      </w:r>
      <w:r>
        <w:rPr>
          <w:i/>
          <w:szCs w:val="21"/>
        </w:rPr>
        <w:t>R̥gveda Sa</w:t>
      </w:r>
      <w:r>
        <w:rPr>
          <w:i/>
          <w:szCs w:val="21"/>
        </w:rPr>
        <w:t>ṃ</w:t>
      </w:r>
      <w:r>
        <w:rPr>
          <w:i/>
          <w:szCs w:val="21"/>
        </w:rPr>
        <w:t>hitā</w:t>
      </w:r>
      <w:r>
        <w:rPr>
          <w:szCs w:val="21"/>
        </w:rPr>
        <w:t xml:space="preserve"> man so often made his the foreigner, the other, and just as we noted in fact the conqueror par excel</w:t>
      </w:r>
      <w:r>
        <w:rPr>
          <w:szCs w:val="21"/>
        </w:rPr>
        <w:t>lence in the Indian text was Indra, so here the plea is addressed to Vǝr</w:t>
      </w:r>
      <w:r>
        <w:rPr>
          <w:szCs w:val="21"/>
        </w:rPr>
        <w:t>ǝ</w:t>
      </w:r>
      <w:r>
        <w:rPr>
          <w:szCs w:val="21"/>
        </w:rPr>
        <w:t>θraγna, ‘he who destroys obstacles’, a divinity of manifold forms, all however associated with the warlike element – the Iranian version of that god-warrior and slayer of the dragon o</w:t>
      </w:r>
      <w:r>
        <w:rPr>
          <w:szCs w:val="21"/>
        </w:rPr>
        <w:t>r serpent, present in many Indo-European cultures</w:t>
      </w:r>
      <w:bookmarkStart w:id="87" w:name="sdfootnote94anc"/>
      <w:bookmarkEnd w:id="87"/>
      <w:r>
        <w:rPr>
          <w:rStyle w:val="FootnoteAnchor"/>
          <w:szCs w:val="21"/>
        </w:rPr>
        <w:footnoteReference w:id="102"/>
      </w:r>
      <w:r>
        <w:rPr>
          <w:szCs w:val="21"/>
        </w:rPr>
        <w:t xml:space="preserve">, who must from the origins have held an important role which is clearly taken on by Indra in the Vedic pantheon. Another function we find again in the Iranian text is that by which the god appropriates a </w:t>
      </w:r>
      <w:r>
        <w:rPr>
          <w:szCs w:val="21"/>
        </w:rPr>
        <w:t xml:space="preserve">good for the sake of man: in </w:t>
      </w:r>
      <w:r>
        <w:rPr>
          <w:i/>
          <w:szCs w:val="21"/>
        </w:rPr>
        <w:t xml:space="preserve">Yašt </w:t>
      </w:r>
      <w:r>
        <w:rPr>
          <w:szCs w:val="21"/>
        </w:rPr>
        <w:t>10 75 the good is not specified; and that which he takes away from the enemies and the god to whom he addresses prayer is Miθra, who,  unlike his Vedic namesake, has a totally independent role and is, indeed, the most impo</w:t>
      </w:r>
      <w:r>
        <w:rPr>
          <w:szCs w:val="21"/>
        </w:rPr>
        <w:t>rtant divinity after Ahura Mazda</w:t>
      </w:r>
      <w:bookmarkStart w:id="88" w:name="sdfootnote95anc"/>
      <w:bookmarkEnd w:id="88"/>
      <w:r>
        <w:rPr>
          <w:rStyle w:val="FootnoteAnchor"/>
          <w:szCs w:val="21"/>
        </w:rPr>
        <w:footnoteReference w:id="103"/>
      </w:r>
      <w:r>
        <w:rPr>
          <w:szCs w:val="21"/>
        </w:rPr>
        <w:t xml:space="preserve">. The form of the present </w:t>
      </w:r>
      <w:r>
        <w:rPr>
          <w:szCs w:val="21"/>
        </w:rPr>
        <w:lastRenderedPageBreak/>
        <w:t xml:space="preserve">participle </w:t>
      </w:r>
      <w:r>
        <w:rPr>
          <w:i/>
          <w:szCs w:val="21"/>
        </w:rPr>
        <w:t>vanvan-</w:t>
      </w:r>
      <w:r>
        <w:rPr>
          <w:szCs w:val="21"/>
        </w:rPr>
        <w:t xml:space="preserve"> as attribute ascribed to the divinity, who encompasses the concept of possession and domination, can be associated with the use of the Avestan verb in </w:t>
      </w:r>
      <w:r>
        <w:rPr>
          <w:i/>
          <w:szCs w:val="21"/>
        </w:rPr>
        <w:t>Yašt</w:t>
      </w:r>
      <w:r>
        <w:rPr>
          <w:szCs w:val="21"/>
        </w:rPr>
        <w:t xml:space="preserve"> 13 68: the </w:t>
      </w:r>
      <w:r>
        <w:rPr>
          <w:i/>
          <w:szCs w:val="21"/>
        </w:rPr>
        <w:t>Frava</w:t>
      </w:r>
      <w:r>
        <w:rPr>
          <w:i/>
          <w:szCs w:val="21"/>
        </w:rPr>
        <w:t>ṣ</w:t>
      </w:r>
      <w:r>
        <w:rPr>
          <w:i/>
          <w:szCs w:val="21"/>
        </w:rPr>
        <w:t>i</w:t>
      </w:r>
      <w:r>
        <w:rPr>
          <w:szCs w:val="21"/>
        </w:rPr>
        <w:t xml:space="preserve"> ar</w:t>
      </w:r>
      <w:r>
        <w:rPr>
          <w:szCs w:val="21"/>
        </w:rPr>
        <w:t>e said to be ‘they who appropriate’. This divine group of guardian spirits holds three functions: they are the ancestral spirits, the soles of the forebears (cf. the Latin Manes or Indian Pitara), the spiritual element of the human being, one of the many s</w:t>
      </w:r>
      <w:r>
        <w:rPr>
          <w:szCs w:val="21"/>
        </w:rPr>
        <w:t>ouls known to the language of Zarathustra, but also a troop of warriors that protects the world and maintains the cosmic order. It is in this cosmogonic role that they are named, as warriors and helpers of Ahura Mazda in the creation and in the fight again</w:t>
      </w:r>
      <w:r>
        <w:rPr>
          <w:szCs w:val="21"/>
        </w:rPr>
        <w:t>st the waters.</w:t>
      </w:r>
    </w:p>
    <w:p w14:paraId="4E9B6B39" w14:textId="77777777" w:rsidR="00E53EB6" w:rsidRDefault="006500F5">
      <w:pPr>
        <w:pStyle w:val="HaupttextohneEinzug"/>
      </w:pPr>
      <w:r>
        <w:rPr>
          <w:szCs w:val="21"/>
        </w:rPr>
        <w:t>Let us, finally, consider the passage (</w:t>
      </w:r>
      <w:r>
        <w:rPr>
          <w:i/>
          <w:szCs w:val="21"/>
        </w:rPr>
        <w:t>Yašt</w:t>
      </w:r>
      <w:r>
        <w:rPr>
          <w:szCs w:val="21"/>
        </w:rPr>
        <w:t xml:space="preserve"> 14 41 dedicated to Vǝrǝθraγna) taken by Schmidt as his starting point to propose a possible base-meaning of the Indo-European root precisely with reference</w:t>
      </w:r>
      <w:r>
        <w:t xml:space="preserve"> to that outward movement we have already </w:t>
      </w:r>
      <w:r>
        <w:t xml:space="preserve">considered, and which returns in full evidence. Here the meaning of </w:t>
      </w:r>
      <w:r>
        <w:rPr>
          <w:i/>
        </w:rPr>
        <w:t>ni- van</w:t>
      </w:r>
      <w:r>
        <w:t xml:space="preserve"> is far from clear, but the image it is involved in effectively suggests a spatially connoted movement: Schmidt suggests ‘to hurl’, a meaning which, he goes on to argue, can mutate </w:t>
      </w:r>
      <w:r>
        <w:t xml:space="preserve">into ‘to strike’ and thus ‘to conquer’, as in the Greek </w:t>
      </w:r>
      <w:r>
        <w:rPr>
          <w:i/>
        </w:rPr>
        <w:t>βάλλω</w:t>
      </w:r>
      <w:r>
        <w:t>, or in hurling oneself towards something (</w:t>
      </w:r>
      <w:r>
        <w:rPr>
          <w:i/>
        </w:rPr>
        <w:t>an jdn sich werfen</w:t>
      </w:r>
      <w:r>
        <w:t xml:space="preserve">), and again we find comparison with the Greek </w:t>
      </w:r>
      <w:r>
        <w:rPr>
          <w:i/>
        </w:rPr>
        <w:t>ἴ</w:t>
      </w:r>
      <w:r>
        <w:rPr>
          <w:i/>
        </w:rPr>
        <w:t>ημι</w:t>
      </w:r>
      <w:r>
        <w:t>, ‘to hurl oneself’, which can evolve into ‘the desire’:</w:t>
      </w:r>
    </w:p>
    <w:p w14:paraId="3B6D40ED" w14:textId="77777777" w:rsidR="00E53EB6" w:rsidRDefault="006500F5">
      <w:pPr>
        <w:pStyle w:val="Zitat"/>
      </w:pPr>
      <w:r>
        <w:t xml:space="preserve">14 41 </w:t>
      </w:r>
      <w:r>
        <w:rPr>
          <w:i/>
        </w:rPr>
        <w:t>v</w:t>
      </w:r>
      <w:r>
        <w:rPr>
          <w:i/>
        </w:rPr>
        <w:t>ǝ</w:t>
      </w:r>
      <w:r>
        <w:rPr>
          <w:i/>
        </w:rPr>
        <w:t xml:space="preserve">rǝθraγnǝm </w:t>
      </w:r>
      <w:r>
        <w:rPr>
          <w:i/>
        </w:rPr>
        <w:t>ahuraδâtǝm yazamaide, vǝrǝθraγnô avi ima</w:t>
      </w:r>
      <w:r>
        <w:rPr>
          <w:i/>
        </w:rPr>
        <w:t>ṯ</w:t>
      </w:r>
    </w:p>
    <w:p w14:paraId="6960880E" w14:textId="77777777" w:rsidR="00E53EB6" w:rsidRDefault="006500F5">
      <w:pPr>
        <w:pStyle w:val="ZitatnachZitat"/>
        <w:rPr>
          <w:i/>
          <w:iCs/>
        </w:rPr>
      </w:pPr>
      <w:r>
        <w:rPr>
          <w:i/>
          <w:iCs/>
        </w:rPr>
        <w:t>nmânǝm gaosurâbyô x</w:t>
      </w:r>
      <w:r>
        <w:rPr>
          <w:i/>
          <w:iCs/>
          <w:position w:val="6"/>
          <w:sz w:val="14"/>
        </w:rPr>
        <w:t>v</w:t>
      </w:r>
      <w:r>
        <w:rPr>
          <w:i/>
          <w:iCs/>
        </w:rPr>
        <w:t>arǝnô pairi-vǝrǝnavaiti yaθa hâu maza mǝrǝγô saênô yaθa ave aβrå upâpå masitô gairîš nivânǝ</w:t>
      </w:r>
      <w:r>
        <w:rPr>
          <w:i/>
          <w:iCs/>
        </w:rPr>
        <w:t>ṇ</w:t>
      </w:r>
      <w:r>
        <w:rPr>
          <w:i/>
          <w:iCs/>
        </w:rPr>
        <w:t>ti.</w:t>
      </w:r>
    </w:p>
    <w:p w14:paraId="375077A0" w14:textId="77777777" w:rsidR="00E53EB6" w:rsidRDefault="006500F5">
      <w:pPr>
        <w:pStyle w:val="Zitat"/>
      </w:pPr>
      <w:r>
        <w:t>Let us sacrifice to Vǝrǝθraγna, created by Ahura, Vǝrǝθraγna wraps all round this house glory</w:t>
      </w:r>
      <w:bookmarkStart w:id="89" w:name="sdfootnote96anc"/>
      <w:bookmarkEnd w:id="89"/>
      <w:r>
        <w:rPr>
          <w:rStyle w:val="FootnoteAnchor"/>
        </w:rPr>
        <w:footnoteReference w:id="104"/>
      </w:r>
      <w:r>
        <w:t xml:space="preserve"> to</w:t>
      </w:r>
      <w:r>
        <w:t>gether with a wealth of cattle</w:t>
      </w:r>
      <w:bookmarkStart w:id="90" w:name="sdfootnote97anc"/>
      <w:bookmarkEnd w:id="90"/>
      <w:r>
        <w:rPr>
          <w:rStyle w:val="FootnoteAnchor"/>
        </w:rPr>
        <w:footnoteReference w:id="105"/>
      </w:r>
      <w:r>
        <w:t xml:space="preserve">, like that great bird, Saena, as those brimming with water </w:t>
      </w:r>
      <w:r>
        <w:rPr>
          <w:u w:val="single"/>
        </w:rPr>
        <w:t>stretch out</w:t>
      </w:r>
      <w:r>
        <w:t xml:space="preserve"> over the mountains.</w:t>
      </w:r>
    </w:p>
    <w:p w14:paraId="2509F63D" w14:textId="77777777" w:rsidR="00E53EB6" w:rsidRDefault="006500F5">
      <w:pPr>
        <w:pStyle w:val="Zitat"/>
      </w:pPr>
      <w:r>
        <w:rPr>
          <w:i/>
        </w:rPr>
        <w:t>ni vānǝ</w:t>
      </w:r>
      <w:r>
        <w:rPr>
          <w:i/>
        </w:rPr>
        <w:t>ṇ</w:t>
      </w:r>
      <w:r>
        <w:rPr>
          <w:i/>
        </w:rPr>
        <w:t>ti:</w:t>
      </w:r>
      <w:r>
        <w:t xml:space="preserve"> ind. pres.</w:t>
      </w:r>
      <w:r>
        <w:t xml:space="preserve"> 3</w:t>
      </w:r>
      <w:r>
        <w:rPr>
          <w:vertAlign w:val="superscript"/>
        </w:rPr>
        <w:t>rd</w:t>
      </w:r>
      <w:r>
        <w:t xml:space="preserve"> pl. I cl. fro the stem </w:t>
      </w:r>
      <w:r>
        <w:rPr>
          <w:i/>
        </w:rPr>
        <w:t>vāna-</w:t>
      </w:r>
    </w:p>
    <w:p w14:paraId="0A385615" w14:textId="77777777" w:rsidR="00E53EB6" w:rsidRPr="00B80C6B" w:rsidRDefault="006500F5">
      <w:pPr>
        <w:pStyle w:val="ZitatmitEinzug"/>
        <w:rPr>
          <w:szCs w:val="18"/>
          <w:lang w:val="de-DE"/>
        </w:rPr>
      </w:pPr>
      <w:r w:rsidRPr="00B80C6B">
        <w:rPr>
          <w:rStyle w:val="biblio-authorGEN"/>
          <w:sz w:val="18"/>
          <w:szCs w:val="15"/>
          <w:lang w:val="de-DE"/>
        </w:rPr>
        <w:t>Darmesteter</w:t>
      </w:r>
      <w:r w:rsidRPr="00B80C6B">
        <w:rPr>
          <w:szCs w:val="18"/>
          <w:lang w:val="de-DE"/>
        </w:rPr>
        <w:t xml:space="preserve"> 1883 : 242 </w:t>
      </w:r>
      <w:r w:rsidRPr="00B80C6B">
        <w:rPr>
          <w:szCs w:val="18"/>
          <w:lang w:val="de-DE"/>
        </w:rPr>
        <w:t>“beat”</w:t>
      </w:r>
    </w:p>
    <w:p w14:paraId="2E4B27E4" w14:textId="77777777" w:rsidR="00E53EB6" w:rsidRPr="00B80C6B" w:rsidRDefault="006500F5">
      <w:pPr>
        <w:pStyle w:val="ZitatmitEinzug"/>
        <w:rPr>
          <w:szCs w:val="18"/>
          <w:lang w:val="de-DE"/>
        </w:rPr>
      </w:pPr>
      <w:r w:rsidRPr="00B80C6B">
        <w:rPr>
          <w:rStyle w:val="biblio-authorGEN"/>
          <w:sz w:val="18"/>
          <w:szCs w:val="15"/>
          <w:lang w:val="de-DE"/>
        </w:rPr>
        <w:t>Geldner</w:t>
      </w:r>
      <w:r w:rsidRPr="00B80C6B">
        <w:rPr>
          <w:szCs w:val="18"/>
          <w:lang w:val="de-DE"/>
        </w:rPr>
        <w:t xml:space="preserve"> 1884 : 76</w:t>
      </w:r>
      <w:r w:rsidRPr="00B80C6B">
        <w:rPr>
          <w:szCs w:val="18"/>
          <w:lang w:val="de-DE"/>
        </w:rPr>
        <w:t xml:space="preserve"> “bedecken”</w:t>
      </w:r>
    </w:p>
    <w:p w14:paraId="14461B84" w14:textId="77777777" w:rsidR="00E53EB6" w:rsidRPr="00B80C6B" w:rsidRDefault="006500F5">
      <w:pPr>
        <w:pStyle w:val="ZitatmitEinzug"/>
        <w:rPr>
          <w:szCs w:val="18"/>
          <w:lang w:val="de-DE"/>
        </w:rPr>
      </w:pPr>
      <w:r w:rsidRPr="00B80C6B">
        <w:rPr>
          <w:rStyle w:val="biblio-authorGEN"/>
          <w:sz w:val="18"/>
          <w:szCs w:val="15"/>
          <w:lang w:val="de-DE"/>
        </w:rPr>
        <w:t>Wolff</w:t>
      </w:r>
      <w:r w:rsidRPr="00B80C6B">
        <w:rPr>
          <w:szCs w:val="18"/>
          <w:lang w:val="de-DE"/>
        </w:rPr>
        <w:t xml:space="preserve"> 1924 : 263 </w:t>
      </w:r>
      <w:r w:rsidRPr="00B80C6B">
        <w:rPr>
          <w:szCs w:val="18"/>
          <w:lang w:val="de-DE"/>
        </w:rPr>
        <w:t>“verhüllen”</w:t>
      </w:r>
    </w:p>
    <w:p w14:paraId="609A4794" w14:textId="77777777" w:rsidR="00E53EB6" w:rsidRPr="00B80C6B" w:rsidRDefault="006500F5">
      <w:pPr>
        <w:pStyle w:val="ZitatmitEinzug"/>
        <w:rPr>
          <w:szCs w:val="18"/>
          <w:lang w:val="de-DE"/>
        </w:rPr>
      </w:pPr>
      <w:r w:rsidRPr="00B80C6B">
        <w:rPr>
          <w:rStyle w:val="biblio-authorGEN"/>
          <w:sz w:val="18"/>
          <w:szCs w:val="15"/>
          <w:lang w:val="de-DE"/>
        </w:rPr>
        <w:t>Lommel</w:t>
      </w:r>
      <w:r w:rsidRPr="00B80C6B">
        <w:rPr>
          <w:szCs w:val="18"/>
          <w:lang w:val="de-DE"/>
        </w:rPr>
        <w:t xml:space="preserve"> 1927 : 140 </w:t>
      </w:r>
      <w:r w:rsidRPr="00B80C6B">
        <w:rPr>
          <w:szCs w:val="18"/>
          <w:lang w:val="de-DE"/>
        </w:rPr>
        <w:t>“behüten”</w:t>
      </w:r>
    </w:p>
    <w:p w14:paraId="19B8F48D" w14:textId="77777777" w:rsidR="00E53EB6" w:rsidRPr="00B80C6B" w:rsidRDefault="006500F5">
      <w:pPr>
        <w:pStyle w:val="ZitatmitEinzug"/>
        <w:rPr>
          <w:szCs w:val="18"/>
          <w:lang w:val="de-DE"/>
        </w:rPr>
      </w:pPr>
      <w:r w:rsidRPr="00B80C6B">
        <w:rPr>
          <w:rStyle w:val="biblio-authorGEN"/>
          <w:sz w:val="18"/>
          <w:szCs w:val="15"/>
          <w:lang w:val="de-DE"/>
        </w:rPr>
        <w:t>Kellens</w:t>
      </w:r>
      <w:r w:rsidRPr="00B80C6B">
        <w:rPr>
          <w:szCs w:val="18"/>
          <w:lang w:val="de-DE"/>
        </w:rPr>
        <w:t xml:space="preserve"> 1974 : 80 </w:t>
      </w:r>
      <w:r w:rsidRPr="00B80C6B">
        <w:rPr>
          <w:szCs w:val="18"/>
          <w:lang w:val="de-DE"/>
        </w:rPr>
        <w:t>“sont vainqueurs”</w:t>
      </w:r>
    </w:p>
    <w:p w14:paraId="678A7B65" w14:textId="77777777" w:rsidR="00E53EB6" w:rsidRDefault="006500F5">
      <w:pPr>
        <w:pStyle w:val="ZitatmitEinzug"/>
        <w:rPr>
          <w:szCs w:val="18"/>
        </w:rPr>
      </w:pPr>
      <w:r>
        <w:rPr>
          <w:rStyle w:val="biblio-authorGEN"/>
          <w:sz w:val="18"/>
          <w:szCs w:val="18"/>
        </w:rPr>
        <w:t>Malandra</w:t>
      </w:r>
      <w:r>
        <w:rPr>
          <w:szCs w:val="18"/>
        </w:rPr>
        <w:t xml:space="preserve"> 1983 : 86 </w:t>
      </w:r>
      <w:r>
        <w:rPr>
          <w:szCs w:val="18"/>
        </w:rPr>
        <w:t>“envelop(?)”</w:t>
      </w:r>
    </w:p>
    <w:p w14:paraId="46ACB80B" w14:textId="77777777" w:rsidR="00E53EB6" w:rsidRDefault="006500F5">
      <w:pPr>
        <w:pStyle w:val="ZitatmitEinzug"/>
        <w:rPr>
          <w:szCs w:val="18"/>
        </w:rPr>
      </w:pPr>
      <w:r>
        <w:rPr>
          <w:rStyle w:val="biblio-authorGEN"/>
          <w:sz w:val="18"/>
          <w:szCs w:val="15"/>
        </w:rPr>
        <w:t>Schmidt</w:t>
      </w:r>
      <w:r>
        <w:rPr>
          <w:szCs w:val="18"/>
        </w:rPr>
        <w:t xml:space="preserve"> 1982 : 267 </w:t>
      </w:r>
      <w:r>
        <w:rPr>
          <w:szCs w:val="18"/>
        </w:rPr>
        <w:t>“hit (sprinkle, cover)”</w:t>
      </w:r>
    </w:p>
    <w:p w14:paraId="6B1D5C7A" w14:textId="77777777" w:rsidR="00E53EB6" w:rsidRDefault="00E53EB6">
      <w:pPr>
        <w:pStyle w:val="Zitat"/>
      </w:pPr>
    </w:p>
    <w:p w14:paraId="6071B665" w14:textId="77777777" w:rsidR="00E53EB6" w:rsidRDefault="00E53EB6">
      <w:pPr>
        <w:pStyle w:val="Hauptext"/>
        <w:rPr>
          <w:szCs w:val="21"/>
        </w:rPr>
      </w:pPr>
    </w:p>
    <w:p w14:paraId="056F271F" w14:textId="77777777" w:rsidR="00E53EB6" w:rsidRDefault="006500F5">
      <w:pPr>
        <w:pStyle w:val="Heading2"/>
        <w:tabs>
          <w:tab w:val="left" w:pos="0"/>
        </w:tabs>
      </w:pPr>
      <w:r>
        <w:t>II.3 Nuclear Meaning, Ritual Meaning and the Absence of “desire”</w:t>
      </w:r>
    </w:p>
    <w:p w14:paraId="143C8F5B" w14:textId="77777777" w:rsidR="00E53EB6" w:rsidRDefault="006500F5">
      <w:pPr>
        <w:pStyle w:val="Hauptext"/>
        <w:rPr>
          <w:szCs w:val="21"/>
        </w:rPr>
      </w:pPr>
      <w:r>
        <w:rPr>
          <w:szCs w:val="21"/>
        </w:rPr>
        <w:t xml:space="preserve">Let us now try to map </w:t>
      </w:r>
      <w:r>
        <w:rPr>
          <w:szCs w:val="21"/>
        </w:rPr>
        <w:t>out our findings so far. With regard to the question we started with, about the possibility of reading two different forms (</w:t>
      </w:r>
      <w:r>
        <w:rPr>
          <w:i/>
          <w:szCs w:val="21"/>
        </w:rPr>
        <w:t>*u̯en / *u̯en-H</w:t>
      </w:r>
      <w:r>
        <w:rPr>
          <w:szCs w:val="21"/>
        </w:rPr>
        <w:t xml:space="preserve"> ) endowed with two different meanings, on the evidence of the analysis made so far we must recognise that within the</w:t>
      </w:r>
      <w:r>
        <w:rPr>
          <w:szCs w:val="21"/>
        </w:rPr>
        <w:t xml:space="preserve"> </w:t>
      </w:r>
      <w:r>
        <w:rPr>
          <w:i/>
          <w:szCs w:val="21"/>
        </w:rPr>
        <w:t>R̥gveda Sa</w:t>
      </w:r>
      <w:r>
        <w:rPr>
          <w:i/>
          <w:szCs w:val="21"/>
        </w:rPr>
        <w:t>ṃ</w:t>
      </w:r>
      <w:r>
        <w:rPr>
          <w:i/>
          <w:szCs w:val="21"/>
        </w:rPr>
        <w:t>hitā</w:t>
      </w:r>
      <w:r>
        <w:rPr>
          <w:szCs w:val="21"/>
        </w:rPr>
        <w:t xml:space="preserve"> the outcome of the verbal root do not show any such symmetry between pseudo-morphologising phonetics and semantics. Thus it hardly appears appropriate to establish a biunique correspondence between the two meanings – or the different sense</w:t>
      </w:r>
      <w:r>
        <w:rPr>
          <w:szCs w:val="21"/>
        </w:rPr>
        <w:t xml:space="preserve">s which the Sanskrit </w:t>
      </w:r>
      <w:r>
        <w:rPr>
          <w:szCs w:val="21"/>
        </w:rPr>
        <w:lastRenderedPageBreak/>
        <w:t>shows – and the morphological alternation.</w:t>
      </w:r>
    </w:p>
    <w:p w14:paraId="72544749" w14:textId="77777777" w:rsidR="00E53EB6" w:rsidRDefault="006500F5">
      <w:pPr>
        <w:pStyle w:val="Hauptext"/>
      </w:pPr>
      <w:r>
        <w:rPr>
          <w:szCs w:val="21"/>
        </w:rPr>
        <w:t>The presence of the laryngeal, which is not made questionable but in fact borne out by certain Sanskrit forms, does not seem to imply a semantic value: there is an alternation, which cannot be</w:t>
      </w:r>
      <w:r>
        <w:rPr>
          <w:szCs w:val="21"/>
        </w:rPr>
        <w:t xml:space="preserve"> seen as arbitrary or random, and which could – according to some authors – have its own distinctive role. On the other hand, on the evidence yielded by analysis of the attestations we cannot endorse Gotō’s hypothesis of a biunique relationship between the</w:t>
      </w:r>
      <w:r>
        <w:rPr>
          <w:szCs w:val="21"/>
        </w:rPr>
        <w:t xml:space="preserve"> two root forms and the two semantic values. Taking the passages analysed as a whole, it will be seen that any choice between the two semantic areas depends on the context and is not based on the separation between the forms derived f</w:t>
      </w:r>
      <w:r>
        <w:rPr>
          <w:szCs w:val="21"/>
        </w:rPr>
        <w:t>rom the respective I.E</w:t>
      </w:r>
      <w:r>
        <w:rPr>
          <w:szCs w:val="21"/>
        </w:rPr>
        <w:t>. reconstructions</w:t>
      </w:r>
      <w:r>
        <w:rPr>
          <w:szCs w:val="21"/>
        </w:rPr>
        <w:t>. Nor can we determine any significant recurrences in the morphology, in part because we have relatively few cases, and in part due to the impossibility of determining with any certainty the presence of a laryngeal – a difficulty already p</w:t>
      </w:r>
      <w:r>
        <w:rPr>
          <w:szCs w:val="21"/>
        </w:rPr>
        <w:t>ointed out by various scholars</w:t>
      </w:r>
      <w:bookmarkStart w:id="91" w:name="sdfootnote99anc"/>
      <w:bookmarkEnd w:id="91"/>
      <w:r>
        <w:rPr>
          <w:rStyle w:val="FootnoteAnchor"/>
          <w:szCs w:val="21"/>
        </w:rPr>
        <w:footnoteReference w:id="106"/>
      </w:r>
      <w:r>
        <w:rPr>
          <w:szCs w:val="21"/>
        </w:rPr>
        <w:t>.</w:t>
      </w:r>
    </w:p>
    <w:p w14:paraId="263FA253" w14:textId="77777777" w:rsidR="00E53EB6" w:rsidRDefault="006500F5">
      <w:pPr>
        <w:pStyle w:val="Hauptext"/>
      </w:pPr>
      <w:r>
        <w:t xml:space="preserve">Focusing on the Vedic outcome of the double root and its semantic in the </w:t>
      </w:r>
      <w:r>
        <w:rPr>
          <w:i/>
          <w:iCs/>
        </w:rPr>
        <w:t>R̥gveda Sa</w:t>
      </w:r>
      <w:r>
        <w:rPr>
          <w:i/>
          <w:iCs/>
        </w:rPr>
        <w:t>ṃ</w:t>
      </w:r>
      <w:r>
        <w:rPr>
          <w:i/>
          <w:iCs/>
        </w:rPr>
        <w:t>hitā</w:t>
      </w:r>
      <w:r>
        <w:t xml:space="preserve">, we  hypothesised a coalescence of the two reconstructed forms: ‘to desire’ and ‘to win’. The idea was then to replace this </w:t>
      </w:r>
      <w:r>
        <w:t>opposition with the nuclear meaning ‘to appropriate’- ‘to make one’s own’, w</w:t>
      </w:r>
      <w:r>
        <w:t>hich can both indicate the moment of transference and take on, in different contexts, a sense very close to what we term ‘to possess’ and ‘to dominate’, or in other words the other</w:t>
      </w:r>
      <w:r>
        <w:t xml:space="preserve"> two senses we have found the verb assuming: I ca</w:t>
      </w:r>
      <w:r>
        <w:t xml:space="preserve">n, in fact, appropriate a good, or an enemy, just like a verse. A further conclusion is prompted by certain passages where the verb </w:t>
      </w:r>
      <w:r>
        <w:rPr>
          <w:i/>
        </w:rPr>
        <w:t>van- / van</w:t>
      </w:r>
      <w:r>
        <w:rPr>
          <w:i/>
          <w:position w:val="7"/>
          <w:sz w:val="17"/>
        </w:rPr>
        <w:t>i</w:t>
      </w:r>
      <w:r>
        <w:rPr>
          <w:i/>
        </w:rPr>
        <w:t>-</w:t>
      </w:r>
      <w:r>
        <w:t xml:space="preserve"> shows an interesting characteristic: on the one hand, it can b</w:t>
      </w:r>
      <w:r>
        <w:t>e used with absolute value or addressed to the gods, while on the other hand, in the stem of the desiderative, it appears to take on the meaning “to invoke”, “to invite”, thereby revealing a spatial aspect of the action indicated by the verb, an inward mov</w:t>
      </w:r>
      <w:r>
        <w:t>ement. In both typologies we find a common ch</w:t>
      </w:r>
      <w:r>
        <w:rPr>
          <w:szCs w:val="21"/>
        </w:rPr>
        <w:t xml:space="preserve">aracteristic: the stanzas are associated with a distinctly ritual context, with the moment when the sacrifice takes place. </w:t>
      </w:r>
    </w:p>
    <w:p w14:paraId="724305B8" w14:textId="77777777" w:rsidR="00E53EB6" w:rsidRDefault="006500F5">
      <w:pPr>
        <w:pStyle w:val="Hauptext"/>
      </w:pPr>
      <w:r>
        <w:t>“</w:t>
      </w:r>
      <w:r>
        <w:t xml:space="preserve">To appropriate”, proposed as nuclear meaning for our investigation into the verb </w:t>
      </w:r>
      <w:r>
        <w:rPr>
          <w:i/>
        </w:rPr>
        <w:t xml:space="preserve">van- </w:t>
      </w:r>
      <w:r>
        <w:rPr>
          <w:i/>
        </w:rPr>
        <w:t>/ van</w:t>
      </w:r>
      <w:r>
        <w:rPr>
          <w:i/>
          <w:position w:val="7"/>
          <w:sz w:val="17"/>
        </w:rPr>
        <w:t>i</w:t>
      </w:r>
      <w:r>
        <w:rPr>
          <w:i/>
        </w:rPr>
        <w:t>-</w:t>
      </w:r>
      <w:r>
        <w:t xml:space="preserve">, is thus modified or, better, expanded: in addition to the various senses of “to possess” and “to dominate”, the attestations analysed point to a far more specific and contingent meaning – “to have enter the circle of the sacrifice”. That there is </w:t>
      </w:r>
      <w:r>
        <w:t xml:space="preserve">a connection between these two values is beyond all doubt: the ritual action described above represents a realisation – one of the possible modalities of “making one’s own”. </w:t>
      </w:r>
      <w:r>
        <w:t>This meaning then, by extension, comes to indicate the same action, but dissociate</w:t>
      </w:r>
      <w:r>
        <w:t xml:space="preserve">d from the ritual context (“to have enter one’s circle”, and so “to appropriate”), and is eventually specialised in various senses depending, in fact, on the contexts. </w:t>
      </w:r>
    </w:p>
    <w:p w14:paraId="103F4D32" w14:textId="77777777" w:rsidR="00E53EB6" w:rsidRDefault="006500F5">
      <w:pPr>
        <w:pStyle w:val="HaupttextohneEinzug"/>
      </w:pPr>
      <w:r>
        <w:t xml:space="preserve">Thus we have for the verb </w:t>
      </w:r>
      <w:r>
        <w:rPr>
          <w:i/>
        </w:rPr>
        <w:t>van- / van</w:t>
      </w:r>
      <w:r>
        <w:rPr>
          <w:i/>
          <w:position w:val="7"/>
          <w:sz w:val="17"/>
        </w:rPr>
        <w:t>i</w:t>
      </w:r>
      <w:r>
        <w:rPr>
          <w:i/>
        </w:rPr>
        <w:t>-</w:t>
      </w:r>
      <w:r>
        <w:t xml:space="preserve"> on the one hand a base meaning, “to appropriate”</w:t>
      </w:r>
      <w:r>
        <w:t xml:space="preserve">, and, on the other hand, a specialised meaning, “to have enter the circle of the sacrifice”, to be found in the specifically ritualistic sections of the </w:t>
      </w:r>
      <w:r>
        <w:rPr>
          <w:i/>
        </w:rPr>
        <w:t>R̥gveda Sa</w:t>
      </w:r>
      <w:r>
        <w:rPr>
          <w:i/>
        </w:rPr>
        <w:t>ṃ</w:t>
      </w:r>
      <w:r>
        <w:rPr>
          <w:i/>
        </w:rPr>
        <w:t>hitā</w:t>
      </w:r>
      <w:r>
        <w:t xml:space="preserve"> and associable with that “gestural language”, use of which was highly developed. </w:t>
      </w:r>
    </w:p>
    <w:p w14:paraId="678139A0" w14:textId="77777777" w:rsidR="00E53EB6" w:rsidRDefault="006500F5">
      <w:pPr>
        <w:pStyle w:val="Hauptext"/>
      </w:pPr>
      <w:r>
        <w:t>We c</w:t>
      </w:r>
      <w:r>
        <w:t xml:space="preserve">an appropriately conclude this part by analysing a stanza we have already mentioned. These verses contain the two engines for this search, i.e. the semantic ambiguity of the verb </w:t>
      </w:r>
      <w:r>
        <w:rPr>
          <w:i/>
        </w:rPr>
        <w:t>van- / van</w:t>
      </w:r>
      <w:r>
        <w:rPr>
          <w:i/>
          <w:position w:val="7"/>
          <w:sz w:val="17"/>
        </w:rPr>
        <w:t>i</w:t>
      </w:r>
      <w:r>
        <w:rPr>
          <w:i/>
        </w:rPr>
        <w:t>-</w:t>
      </w:r>
      <w:r>
        <w:t xml:space="preserve"> and the magic-ritual context from which the verses were generate</w:t>
      </w:r>
      <w:r>
        <w:t xml:space="preserve">d. The sense of this passage emerges from the fundamental centrality of the rite within Vedic culture: stanza 8.45.23 is difficult to translate if we take ‘to vanquish’ or ‘to conquer’ or even ‘to win’ as primary meaning of </w:t>
      </w:r>
      <w:r>
        <w:rPr>
          <w:i/>
        </w:rPr>
        <w:t>van- / van</w:t>
      </w:r>
      <w:r>
        <w:rPr>
          <w:i/>
          <w:position w:val="7"/>
          <w:sz w:val="17"/>
        </w:rPr>
        <w:t>i</w:t>
      </w:r>
      <w:r>
        <w:rPr>
          <w:i/>
        </w:rPr>
        <w:t>-</w:t>
      </w:r>
      <w:r>
        <w:t>; obviously the reco</w:t>
      </w:r>
      <w:r>
        <w:t xml:space="preserve">mmendation not to vanquish the enemies of the </w:t>
      </w:r>
      <w:r>
        <w:rPr>
          <w:i/>
        </w:rPr>
        <w:t xml:space="preserve">bráhman- </w:t>
      </w:r>
      <w:r>
        <w:t>would hardly be reasonable, and in fact at this point Renou finds himself obliged to fall back on “n’attire pas à toi”. By the same token the translation offered by advocates of ‘to desire’ is far from</w:t>
      </w:r>
      <w:r>
        <w:t xml:space="preserve"> convincing, for it would be a superfluous recommendation, and out of context. Why on earth should Indra “find pleasure in” or “desire” people who deride him, let alone people who hate the secret </w:t>
      </w:r>
      <w:r>
        <w:lastRenderedPageBreak/>
        <w:t>formulation – the sacrifice, that is – by virtue of which th</w:t>
      </w:r>
      <w:r>
        <w:t xml:space="preserve">e god can be that which he is? </w:t>
      </w:r>
      <w:r>
        <w:rPr>
          <w:szCs w:val="21"/>
        </w:rPr>
        <w:t xml:space="preserve">If, however, we bear in mind a typical concern of Vedic man – the thought, that is, that the enemies (human and otherwise), the ungodly, those who practise black magic (possibly included in this category are the </w:t>
      </w:r>
      <w:r>
        <w:rPr>
          <w:i/>
          <w:szCs w:val="21"/>
        </w:rPr>
        <w:t>mūrá-</w:t>
      </w:r>
      <w:bookmarkStart w:id="92" w:name="sdfootnote100anc"/>
      <w:bookmarkEnd w:id="92"/>
      <w:r>
        <w:rPr>
          <w:rStyle w:val="FootnoteAnchor"/>
          <w:i/>
          <w:szCs w:val="21"/>
        </w:rPr>
        <w:footnoteReference w:id="107"/>
      </w:r>
      <w:r>
        <w:rPr>
          <w:szCs w:val="21"/>
        </w:rPr>
        <w:t>) migh</w:t>
      </w:r>
      <w:r>
        <w:rPr>
          <w:szCs w:val="21"/>
        </w:rPr>
        <w:t xml:space="preserve">t “enter into the rite” and so drive the gods away (cf. </w:t>
      </w:r>
      <w:r>
        <w:rPr>
          <w:rStyle w:val="biblio-authorGEN"/>
          <w:szCs w:val="21"/>
        </w:rPr>
        <w:t>Gonda</w:t>
      </w:r>
      <w:r>
        <w:rPr>
          <w:szCs w:val="21"/>
        </w:rPr>
        <w:t xml:space="preserve"> 1981: I, 74 ff.) – we could understand the reason of this plea. Indeed, putting at a distance is conveyed by the verb </w:t>
      </w:r>
      <w:r>
        <w:rPr>
          <w:i/>
          <w:szCs w:val="21"/>
        </w:rPr>
        <w:t>ā́ dabhan</w:t>
      </w:r>
      <w:bookmarkStart w:id="93" w:name="sdfootnote101anc"/>
      <w:bookmarkEnd w:id="93"/>
      <w:r>
        <w:rPr>
          <w:rStyle w:val="FootnoteAnchor"/>
          <w:i/>
          <w:szCs w:val="21"/>
        </w:rPr>
        <w:footnoteReference w:id="108"/>
      </w:r>
      <w:r>
        <w:rPr>
          <w:szCs w:val="21"/>
        </w:rPr>
        <w:t xml:space="preserve"> which </w:t>
      </w:r>
      <w:r>
        <w:rPr>
          <w:rStyle w:val="biblio-authorGEN"/>
          <w:szCs w:val="21"/>
        </w:rPr>
        <w:t>Insler</w:t>
      </w:r>
      <w:r>
        <w:rPr>
          <w:szCs w:val="21"/>
        </w:rPr>
        <w:t xml:space="preserve"> (1969: 22-3) translates as “trick away (from us)”, </w:t>
      </w:r>
      <w:r>
        <w:rPr>
          <w:szCs w:val="21"/>
        </w:rPr>
        <w:t xml:space="preserve"> then the sense of the passage could allude to this important magic- ritual precaution: to prevent the </w:t>
      </w:r>
      <w:r>
        <w:rPr>
          <w:i/>
          <w:szCs w:val="21"/>
        </w:rPr>
        <w:t>mūrā́</w:t>
      </w:r>
      <w:r>
        <w:rPr>
          <w:i/>
          <w:szCs w:val="21"/>
        </w:rPr>
        <w:t>ḥ</w:t>
      </w:r>
      <w:r>
        <w:rPr>
          <w:i/>
          <w:szCs w:val="21"/>
        </w:rPr>
        <w:t xml:space="preserve"> </w:t>
      </w:r>
      <w:r>
        <w:rPr>
          <w:szCs w:val="21"/>
        </w:rPr>
        <w:t>from entering the sacrificial area.</w:t>
      </w:r>
    </w:p>
    <w:p w14:paraId="638C8D62" w14:textId="77777777" w:rsidR="00E53EB6" w:rsidRDefault="006500F5">
      <w:pPr>
        <w:pStyle w:val="Zitat"/>
      </w:pPr>
      <w:r>
        <w:t xml:space="preserve">8.45.23 </w:t>
      </w:r>
      <w:r>
        <w:rPr>
          <w:i/>
        </w:rPr>
        <w:t>mā́ tvā mūrā́ avi</w:t>
      </w:r>
      <w:r>
        <w:rPr>
          <w:i/>
        </w:rPr>
        <w:t>ṣ</w:t>
      </w:r>
      <w:r>
        <w:rPr>
          <w:i/>
        </w:rPr>
        <w:t>yávo</w:t>
      </w:r>
    </w:p>
    <w:p w14:paraId="2218D5C6" w14:textId="77777777" w:rsidR="00E53EB6" w:rsidRDefault="006500F5">
      <w:pPr>
        <w:pStyle w:val="ZitatnachZitat"/>
        <w:rPr>
          <w:i/>
          <w:iCs/>
        </w:rPr>
      </w:pPr>
      <w:r>
        <w:rPr>
          <w:i/>
          <w:iCs/>
        </w:rPr>
        <w:t>mópahásvāna ā́ dabhan</w:t>
      </w:r>
    </w:p>
    <w:p w14:paraId="2DCDD95C" w14:textId="77777777" w:rsidR="00E53EB6" w:rsidRDefault="006500F5">
      <w:pPr>
        <w:pStyle w:val="ZitatnachZitat"/>
        <w:rPr>
          <w:i/>
          <w:iCs/>
        </w:rPr>
      </w:pPr>
      <w:r>
        <w:rPr>
          <w:i/>
          <w:iCs/>
        </w:rPr>
        <w:t>mā́kīm brahmadví</w:t>
      </w:r>
      <w:r>
        <w:rPr>
          <w:i/>
          <w:iCs/>
        </w:rPr>
        <w:t>ṣ</w:t>
      </w:r>
      <w:r>
        <w:rPr>
          <w:i/>
          <w:iCs/>
        </w:rPr>
        <w:t>o vana</w:t>
      </w:r>
      <w:r>
        <w:rPr>
          <w:i/>
          <w:iCs/>
        </w:rPr>
        <w:t>ḥ</w:t>
      </w:r>
    </w:p>
    <w:p w14:paraId="4D185C63" w14:textId="77777777" w:rsidR="00E53EB6" w:rsidRDefault="006500F5">
      <w:pPr>
        <w:pStyle w:val="Zitat"/>
      </w:pPr>
      <w:r>
        <w:t xml:space="preserve">Let the voracious </w:t>
      </w:r>
      <w:r>
        <w:rPr>
          <w:i/>
        </w:rPr>
        <w:t>mūrá-</w:t>
      </w:r>
      <w:r>
        <w:t xml:space="preserve"> not trick you away, not those who deride you, never “</w:t>
      </w:r>
      <w:r>
        <w:rPr>
          <w:u w:val="single"/>
        </w:rPr>
        <w:t>let into the circle of the sacrific</w:t>
      </w:r>
      <w:bookmarkStart w:id="94" w:name="sdfootnote102anc"/>
      <w:bookmarkEnd w:id="94"/>
      <w:r>
        <w:rPr>
          <w:u w:val="single"/>
        </w:rPr>
        <w:t>e”</w:t>
      </w:r>
      <w:r>
        <w:rPr>
          <w:rStyle w:val="FootnoteAnchor"/>
        </w:rPr>
        <w:footnoteReference w:id="109"/>
      </w:r>
      <w:r>
        <w:t xml:space="preserve"> </w:t>
      </w:r>
      <w:r>
        <w:t xml:space="preserve">the enemies of the </w:t>
      </w:r>
      <w:r>
        <w:rPr>
          <w:i/>
        </w:rPr>
        <w:t>bráhman-</w:t>
      </w:r>
      <w:bookmarkStart w:id="95" w:name="sdfootnote103anc"/>
      <w:bookmarkEnd w:id="95"/>
      <w:r>
        <w:rPr>
          <w:rStyle w:val="FootnoteAnchor"/>
          <w:i/>
        </w:rPr>
        <w:footnoteReference w:id="110"/>
      </w:r>
      <w:r>
        <w:t>.</w:t>
      </w:r>
    </w:p>
    <w:p w14:paraId="3A9D241F" w14:textId="77777777" w:rsidR="00E53EB6" w:rsidRPr="00B80C6B" w:rsidRDefault="006500F5">
      <w:pPr>
        <w:pStyle w:val="Zitat"/>
        <w:rPr>
          <w:i/>
          <w:iCs/>
          <w:lang w:val="de-DE"/>
        </w:rPr>
      </w:pPr>
      <w:r>
        <w:rPr>
          <w:i/>
          <w:iCs/>
        </w:rPr>
        <w:t>vana</w:t>
      </w:r>
      <w:r>
        <w:rPr>
          <w:i/>
          <w:iCs/>
        </w:rPr>
        <w:t>ḥ</w:t>
      </w:r>
      <w:r>
        <w:rPr>
          <w:i/>
          <w:iCs/>
        </w:rPr>
        <w:t xml:space="preserve">: </w:t>
      </w:r>
      <w:r>
        <w:t>inj. pres. 2</w:t>
      </w:r>
      <w:r>
        <w:rPr>
          <w:vertAlign w:val="superscript"/>
        </w:rPr>
        <w:t>nd</w:t>
      </w:r>
      <w:r>
        <w:t xml:space="preserve"> sing. </w:t>
      </w:r>
      <w:r w:rsidRPr="00B80C6B">
        <w:rPr>
          <w:lang w:val="de-DE"/>
        </w:rPr>
        <w:t xml:space="preserve">I-VI cl. </w:t>
      </w:r>
    </w:p>
    <w:p w14:paraId="397F9127" w14:textId="77777777" w:rsidR="00E53EB6" w:rsidRPr="00B80C6B" w:rsidRDefault="006500F5">
      <w:pPr>
        <w:pStyle w:val="ZitatmitEinzug"/>
        <w:rPr>
          <w:lang w:val="de-DE"/>
        </w:rPr>
      </w:pPr>
      <w:r w:rsidRPr="00B80C6B">
        <w:rPr>
          <w:rStyle w:val="biblio-authorGEN"/>
          <w:sz w:val="18"/>
          <w:szCs w:val="15"/>
          <w:lang w:val="de-DE"/>
        </w:rPr>
        <w:t>Geldner</w:t>
      </w:r>
      <w:r w:rsidRPr="00B80C6B">
        <w:rPr>
          <w:lang w:val="de-DE"/>
        </w:rPr>
        <w:t xml:space="preserve">: II 362 </w:t>
      </w:r>
      <w:r w:rsidRPr="00B80C6B">
        <w:rPr>
          <w:lang w:val="de-DE"/>
        </w:rPr>
        <w:t>“vorziehen”</w:t>
      </w:r>
    </w:p>
    <w:p w14:paraId="6DF0617A" w14:textId="77777777" w:rsidR="00E53EB6" w:rsidRPr="00B80C6B" w:rsidRDefault="006500F5">
      <w:pPr>
        <w:pStyle w:val="ZitatmitEinzug"/>
        <w:rPr>
          <w:lang w:val="de-DE"/>
        </w:rPr>
      </w:pPr>
      <w:r w:rsidRPr="00B80C6B">
        <w:rPr>
          <w:rStyle w:val="biblio-authorGEN"/>
          <w:sz w:val="18"/>
          <w:szCs w:val="15"/>
          <w:lang w:val="de-DE"/>
        </w:rPr>
        <w:t>Renou</w:t>
      </w:r>
      <w:r w:rsidRPr="00B80C6B">
        <w:rPr>
          <w:lang w:val="de-DE"/>
        </w:rPr>
        <w:t xml:space="preserve">: XII 77-8 n. 13 </w:t>
      </w:r>
      <w:r w:rsidRPr="00B80C6B">
        <w:rPr>
          <w:lang w:val="de-DE"/>
        </w:rPr>
        <w:t xml:space="preserve">“n’attire pas à </w:t>
      </w:r>
      <w:r w:rsidRPr="00B80C6B">
        <w:rPr>
          <w:lang w:val="de-DE"/>
        </w:rPr>
        <w:t>toi”</w:t>
      </w:r>
    </w:p>
    <w:p w14:paraId="39D87D22" w14:textId="77777777" w:rsidR="00E53EB6" w:rsidRPr="00B80C6B" w:rsidRDefault="006500F5">
      <w:pPr>
        <w:pStyle w:val="ZitatmitEinzug"/>
        <w:rPr>
          <w:lang w:val="de-DE"/>
        </w:rPr>
      </w:pPr>
      <w:r w:rsidRPr="00B80C6B">
        <w:rPr>
          <w:rStyle w:val="biblio-authorGEN"/>
          <w:sz w:val="18"/>
          <w:szCs w:val="15"/>
          <w:lang w:val="de-DE"/>
        </w:rPr>
        <w:t>Hoffmann</w:t>
      </w:r>
      <w:r w:rsidRPr="00B80C6B">
        <w:rPr>
          <w:lang w:val="de-DE"/>
        </w:rPr>
        <w:t xml:space="preserve"> 1967: 87 </w:t>
      </w:r>
      <w:r w:rsidRPr="00B80C6B">
        <w:rPr>
          <w:lang w:val="de-DE"/>
        </w:rPr>
        <w:t>“liebe”</w:t>
      </w:r>
    </w:p>
    <w:p w14:paraId="414545E9" w14:textId="77777777" w:rsidR="00E53EB6" w:rsidRDefault="006500F5">
      <w:pPr>
        <w:pStyle w:val="ZitatmitEinzug"/>
      </w:pPr>
      <w:r>
        <w:rPr>
          <w:rStyle w:val="biblio-authorGEN"/>
          <w:sz w:val="18"/>
          <w:szCs w:val="15"/>
        </w:rPr>
        <w:t>Insler</w:t>
      </w:r>
      <w:r>
        <w:t xml:space="preserve"> 1969: 22-3 “do not long for”</w:t>
      </w:r>
    </w:p>
    <w:p w14:paraId="1997DD34" w14:textId="77777777" w:rsidR="00E53EB6" w:rsidRPr="00B80C6B" w:rsidRDefault="006500F5">
      <w:pPr>
        <w:pStyle w:val="ZitatmitEinzug"/>
        <w:rPr>
          <w:lang w:val="de-DE"/>
        </w:rPr>
      </w:pPr>
      <w:r w:rsidRPr="00B80C6B">
        <w:rPr>
          <w:rStyle w:val="biblio-authorGEN"/>
          <w:sz w:val="18"/>
          <w:szCs w:val="15"/>
          <w:lang w:val="de-DE"/>
        </w:rPr>
        <w:t>Migron</w:t>
      </w:r>
      <w:r w:rsidRPr="00B80C6B">
        <w:rPr>
          <w:lang w:val="de-DE"/>
        </w:rPr>
        <w:t xml:space="preserve"> 1980: 270 </w:t>
      </w:r>
      <w:r w:rsidRPr="00B80C6B">
        <w:rPr>
          <w:lang w:val="de-DE"/>
        </w:rPr>
        <w:t>“get”</w:t>
      </w:r>
    </w:p>
    <w:p w14:paraId="720DDA65" w14:textId="77777777" w:rsidR="00E53EB6" w:rsidRPr="00B80C6B" w:rsidRDefault="006500F5">
      <w:pPr>
        <w:pStyle w:val="ZitatmitEinzug"/>
        <w:rPr>
          <w:lang w:val="de-DE"/>
        </w:rPr>
      </w:pPr>
      <w:r w:rsidRPr="00B80C6B">
        <w:rPr>
          <w:rStyle w:val="biblio-authorGEN"/>
          <w:sz w:val="18"/>
          <w:szCs w:val="15"/>
          <w:lang w:val="de-DE"/>
        </w:rPr>
        <w:t>Gotō</w:t>
      </w:r>
      <w:r w:rsidRPr="00B80C6B">
        <w:rPr>
          <w:lang w:val="de-DE"/>
        </w:rPr>
        <w:t xml:space="preserve"> 1987: 284 </w:t>
      </w:r>
      <w:r w:rsidRPr="00B80C6B">
        <w:rPr>
          <w:lang w:val="de-DE"/>
        </w:rPr>
        <w:t>“finde Gefallen”</w:t>
      </w:r>
    </w:p>
    <w:p w14:paraId="188051F9" w14:textId="77777777" w:rsidR="00E53EB6" w:rsidRDefault="006500F5">
      <w:pPr>
        <w:pStyle w:val="HaupttextnachZitat"/>
      </w:pPr>
      <w:r>
        <w:t>Arguing along these lines we have taken a distance both from those who take the element of conquest, of victory, to be predominant and from those who lean towards the meaning “to desire”, which is undeniable, but develops more clearly in a later phase, as,</w:t>
      </w:r>
      <w:r>
        <w:t xml:space="preserve"> e.g., in the Sanskrit term </w:t>
      </w:r>
      <w:r>
        <w:rPr>
          <w:i/>
          <w:iCs/>
        </w:rPr>
        <w:t>vanitā</w:t>
      </w:r>
      <w:r>
        <w:t xml:space="preserve">. </w:t>
      </w:r>
    </w:p>
    <w:p w14:paraId="0DD58BE9" w14:textId="77777777" w:rsidR="00E53EB6" w:rsidRDefault="006500F5">
      <w:pPr>
        <w:pStyle w:val="Hauptext"/>
      </w:pPr>
      <w:r>
        <w:t xml:space="preserve">Considering the R̥V attestations of </w:t>
      </w:r>
      <w:r>
        <w:rPr>
          <w:i/>
          <w:iCs/>
        </w:rPr>
        <w:t>van- / van</w:t>
      </w:r>
      <w:r>
        <w:rPr>
          <w:i/>
          <w:iCs/>
          <w:vertAlign w:val="superscript"/>
        </w:rPr>
        <w:t>i</w:t>
      </w:r>
      <w:r>
        <w:rPr>
          <w:i/>
          <w:iCs/>
        </w:rPr>
        <w:t>-</w:t>
      </w:r>
      <w:r>
        <w:rPr>
          <w:i/>
          <w:iCs/>
          <w:vertAlign w:val="superscript"/>
        </w:rPr>
        <w:t xml:space="preserve"> </w:t>
      </w:r>
      <w:r>
        <w:t>it seems reasonable to argue for the absence of the meaning “to desire”, and yet this element</w:t>
      </w:r>
      <w:r>
        <w:t xml:space="preserve"> can be discerned </w:t>
      </w:r>
      <w:r>
        <w:rPr>
          <w:i/>
        </w:rPr>
        <w:t>in nuce</w:t>
      </w:r>
      <w:r>
        <w:t xml:space="preserve"> even in this early phase: it is present in the very</w:t>
      </w:r>
      <w:r>
        <w:t xml:space="preserve"> idea expressed by the verb and is clearly manifested in the desiderative, where the non-perfective aspect of this conjugation highlights an outward movement that is “</w:t>
      </w:r>
      <w:r>
        <w:t>straining</w:t>
      </w:r>
      <w:r>
        <w:t xml:space="preserve"> towards”. It may even be present – as potential – in the principal conjugation.</w:t>
      </w:r>
      <w:r>
        <w:t xml:space="preserve"> We shall then go on to investigate the transition when the meaning “to desire” appears clearly. It can be seen first in the nominal derivatives, </w:t>
      </w:r>
      <w:r>
        <w:rPr>
          <w:i/>
        </w:rPr>
        <w:t>vāmá</w:t>
      </w:r>
      <w:r>
        <w:t xml:space="preserve">- “that which is desirable” “good”, and it is also reflected in the verb </w:t>
      </w:r>
      <w:r>
        <w:rPr>
          <w:i/>
        </w:rPr>
        <w:t>vā́ñch</w:t>
      </w:r>
      <w:r>
        <w:t>- “to desire”. This derivat</w:t>
      </w:r>
      <w:r>
        <w:t xml:space="preserve">ive of </w:t>
      </w:r>
      <w:r>
        <w:rPr>
          <w:i/>
          <w:iCs/>
        </w:rPr>
        <w:t>van- / van</w:t>
      </w:r>
      <w:r>
        <w:rPr>
          <w:i/>
          <w:iCs/>
          <w:vertAlign w:val="superscript"/>
        </w:rPr>
        <w:t>i</w:t>
      </w:r>
      <w:r>
        <w:rPr>
          <w:i/>
          <w:iCs/>
        </w:rPr>
        <w:t>-</w:t>
      </w:r>
      <w:r>
        <w:rPr>
          <w:i/>
          <w:iCs/>
          <w:vertAlign w:val="superscript"/>
        </w:rPr>
        <w:t xml:space="preserve"> </w:t>
      </w:r>
      <w:r>
        <w:t xml:space="preserve">is attested only once in the </w:t>
      </w:r>
      <w:r>
        <w:rPr>
          <w:i/>
          <w:iCs/>
        </w:rPr>
        <w:t>R̥gveda Sa</w:t>
      </w:r>
      <w:r>
        <w:rPr>
          <w:i/>
          <w:iCs/>
        </w:rPr>
        <w:t>ṃ</w:t>
      </w:r>
      <w:r>
        <w:rPr>
          <w:i/>
          <w:iCs/>
        </w:rPr>
        <w:t xml:space="preserve">hitā – </w:t>
      </w:r>
      <w:r>
        <w:t>significantly in book 10</w:t>
      </w:r>
      <w:r>
        <w:rPr>
          <w:vertAlign w:val="superscript"/>
        </w:rPr>
        <w:t>th</w:t>
      </w:r>
      <w:r>
        <w:t xml:space="preserve">, and it doesn’t represent an </w:t>
      </w:r>
      <w:r>
        <w:rPr>
          <w:i/>
          <w:iCs/>
        </w:rPr>
        <w:t xml:space="preserve">hapax </w:t>
      </w:r>
      <w:r>
        <w:t>in the Atharveda texts</w:t>
      </w:r>
      <w:r>
        <w:t xml:space="preserve">. </w:t>
      </w:r>
      <w:r>
        <w:t>Moreover</w:t>
      </w:r>
      <w:r>
        <w:t>, in this latter anthologies the primary verb itself takes on the meaning “to desire”.  Any fur</w:t>
      </w:r>
      <w:r>
        <w:t xml:space="preserve">ther </w:t>
      </w:r>
      <w:r>
        <w:lastRenderedPageBreak/>
        <w:t>speculation should be based on the following two points: the semantic field of desire is attested at the Indo-European level and there are evidence of the same meaning in the Atharvavedic tradition, though not in the R̥gvedic one. One possible scenari</w:t>
      </w:r>
      <w:r>
        <w:t xml:space="preserve">o is that two linguistic traditions have developed independently one from the other: the one that  came down to us through the </w:t>
      </w:r>
      <w:r>
        <w:rPr>
          <w:i/>
          <w:iCs/>
        </w:rPr>
        <w:t>R̥gveda Sa</w:t>
      </w:r>
      <w:r>
        <w:rPr>
          <w:i/>
          <w:iCs/>
        </w:rPr>
        <w:t>ṃ</w:t>
      </w:r>
      <w:r>
        <w:rPr>
          <w:i/>
          <w:iCs/>
        </w:rPr>
        <w:t>hitā</w:t>
      </w:r>
      <w:r>
        <w:t xml:space="preserve"> and the other one that is partially recorded in the Atharvedic sources. In the latter the meaning to desire is cl</w:t>
      </w:r>
      <w:r>
        <w:t>early present, while in the first one has almost disappeared. Nevertheless the linguistic tradition fragmentary attested in the Atharvaveda texts might trace back to the I.E. period and it is plausible to suppose that it has continued –although we have but</w:t>
      </w:r>
      <w:r>
        <w:t xml:space="preserve"> scanty attestations of it –  later on through the Vedic period up to the moment when Sanskrit appears. We could image it as hidden, submersed wave that comes rhapsodically to the surface.</w:t>
      </w:r>
      <w:r>
        <w:rPr>
          <w:rStyle w:val="FootnoteAnchor"/>
        </w:rPr>
        <w:footnoteReference w:id="111"/>
      </w:r>
    </w:p>
    <w:p w14:paraId="546523F0" w14:textId="77777777" w:rsidR="00E53EB6" w:rsidRDefault="006500F5">
      <w:pPr>
        <w:pStyle w:val="Hauptext"/>
      </w:pPr>
      <w:r>
        <w:rPr>
          <w:szCs w:val="21"/>
        </w:rPr>
        <w:t>On the basis of these considerations, two ways open before us. On</w:t>
      </w:r>
      <w:r>
        <w:rPr>
          <w:szCs w:val="21"/>
        </w:rPr>
        <w:t xml:space="preserve"> the one hand, this semantic shift has to be read not only at the diachronic level, but also at the diastratic level, and this entails an analysis of the occurrences of the verb in the Atharvaveda</w:t>
      </w:r>
      <w:r>
        <w:rPr>
          <w:szCs w:val="21"/>
        </w:rPr>
        <w:t xml:space="preserve"> along with that of the derivatives (Chapter IV)</w:t>
      </w:r>
      <w:r>
        <w:rPr>
          <w:szCs w:val="21"/>
        </w:rPr>
        <w:t>. On the oth</w:t>
      </w:r>
      <w:r>
        <w:rPr>
          <w:szCs w:val="21"/>
        </w:rPr>
        <w:t>er hand, it proves indispensable to trace out in precise terms how the verb was used in the Brahmanical period, a period when the language was becoming increasingly specialised to arrive at an extreme ritualisation. This would mean verifying the hypothesis</w:t>
      </w:r>
      <w:r>
        <w:rPr>
          <w:szCs w:val="21"/>
        </w:rPr>
        <w:t xml:space="preserve"> that it was precisely this  ritual context, defined by </w:t>
      </w:r>
      <w:r>
        <w:rPr>
          <w:rStyle w:val="biblio-authorGEN"/>
          <w:szCs w:val="21"/>
        </w:rPr>
        <w:t>Staal</w:t>
      </w:r>
      <w:bookmarkStart w:id="96" w:name="sdfootnote104anc"/>
      <w:bookmarkEnd w:id="96"/>
      <w:r>
        <w:rPr>
          <w:rStyle w:val="FootnoteAnchor"/>
          <w:szCs w:val="21"/>
        </w:rPr>
        <w:footnoteReference w:id="112"/>
      </w:r>
      <w:r>
        <w:rPr>
          <w:szCs w:val="21"/>
        </w:rPr>
        <w:t xml:space="preserve"> as “meaningless”, that led to the disappearance of the poetic-ritual value (“to have s.o. enter the circle of the sacrifice”), no longer functional in a language that had attained a higher deg</w:t>
      </w:r>
      <w:r>
        <w:rPr>
          <w:szCs w:val="21"/>
        </w:rPr>
        <w:t>ree of specialisation than before. In a linguistic situation of this type we could, then, identify one of the factors on account of which the abstract meaning, “to desire”, acquired in consequence ever greater force in later stages of the language.</w:t>
      </w:r>
    </w:p>
    <w:p w14:paraId="4720942A" w14:textId="77777777" w:rsidR="00E53EB6" w:rsidRDefault="006500F5">
      <w:pPr>
        <w:pStyle w:val="Hauptext"/>
      </w:pPr>
      <w:r>
        <w:t>The fol</w:t>
      </w:r>
      <w:r>
        <w:t>lowing chapter will focus on the texts of the post-R̥gvedic phase, and in particular the Brāhma</w:t>
      </w:r>
      <w:r>
        <w:t>ṇ</w:t>
      </w:r>
      <w:r>
        <w:t>as and liturgical Sa</w:t>
      </w:r>
      <w:r>
        <w:t>ṃ</w:t>
      </w:r>
      <w:r>
        <w:t>hitās, in order to map out the semantic shift to which it was precisely the more specific and ritualistic meaning that was lost, and thereb</w:t>
      </w:r>
      <w:r>
        <w:t xml:space="preserve">y seeking to cast light on a change that, as we have seen, extended well beyond the verb to which our study is dedicated. </w:t>
      </w:r>
      <w:r>
        <w:rPr>
          <w:szCs w:val="21"/>
        </w:rPr>
        <w:t>This change can, in fact, be traced out in a broader linguistic transformation, which seems to suggest something of a break between th</w:t>
      </w:r>
      <w:r>
        <w:rPr>
          <w:szCs w:val="21"/>
        </w:rPr>
        <w:t xml:space="preserve">e </w:t>
      </w:r>
      <w:r>
        <w:rPr>
          <w:i/>
          <w:szCs w:val="21"/>
        </w:rPr>
        <w:t>R̥gveda Sa</w:t>
      </w:r>
      <w:r>
        <w:rPr>
          <w:i/>
          <w:szCs w:val="21"/>
        </w:rPr>
        <w:t>ṃ</w:t>
      </w:r>
      <w:r>
        <w:rPr>
          <w:i/>
          <w:szCs w:val="21"/>
        </w:rPr>
        <w:t>hitā</w:t>
      </w:r>
      <w:r>
        <w:rPr>
          <w:szCs w:val="21"/>
        </w:rPr>
        <w:t xml:space="preserve"> and the successive Brāhma</w:t>
      </w:r>
      <w:r>
        <w:rPr>
          <w:szCs w:val="21"/>
        </w:rPr>
        <w:t>ṇ</w:t>
      </w:r>
      <w:r>
        <w:rPr>
          <w:szCs w:val="21"/>
        </w:rPr>
        <w:t xml:space="preserve">as, which show a profoundly ritualised terminology characterised by a very high degree of abstraction. </w:t>
      </w:r>
      <w:r>
        <w:t xml:space="preserve">With this hypothesis we go further. </w:t>
      </w:r>
      <w:r>
        <w:rPr>
          <w:rFonts w:eastAsia="Arial Unicode MS"/>
          <w:szCs w:val="21"/>
          <w:lang w:eastAsia="it-IT" w:bidi="en-GB"/>
        </w:rPr>
        <w:t>Thus, in the next chapter we will take in consideration the development o</w:t>
      </w:r>
      <w:r>
        <w:rPr>
          <w:rFonts w:eastAsia="Arial Unicode MS"/>
          <w:szCs w:val="21"/>
          <w:lang w:eastAsia="it-IT" w:bidi="en-GB"/>
        </w:rPr>
        <w:t xml:space="preserve">f the two meanings we detected (“to appropriate” and “to make s.o. enter the circle of sacrifice”), analysing all the occurrences of </w:t>
      </w:r>
      <w:r>
        <w:rPr>
          <w:rFonts w:eastAsia="Arial Unicode MS"/>
          <w:i/>
          <w:iCs/>
          <w:szCs w:val="21"/>
          <w:lang w:eastAsia="it-IT" w:bidi="en-GB"/>
        </w:rPr>
        <w:t>van- / van</w:t>
      </w:r>
      <w:r>
        <w:rPr>
          <w:rFonts w:eastAsia="Arial Unicode MS"/>
          <w:i/>
          <w:iCs/>
          <w:szCs w:val="21"/>
          <w:vertAlign w:val="superscript"/>
          <w:lang w:eastAsia="it-IT" w:bidi="en-GB"/>
        </w:rPr>
        <w:t>i</w:t>
      </w:r>
      <w:r>
        <w:rPr>
          <w:rFonts w:eastAsia="Arial Unicode MS"/>
          <w:i/>
          <w:iCs/>
          <w:szCs w:val="21"/>
          <w:lang w:eastAsia="it-IT" w:bidi="en-GB"/>
        </w:rPr>
        <w:t>-</w:t>
      </w:r>
      <w:r>
        <w:rPr>
          <w:rFonts w:eastAsia="Arial Unicode MS"/>
          <w:szCs w:val="21"/>
          <w:lang w:eastAsia="it-IT" w:bidi="en-GB"/>
        </w:rPr>
        <w:t xml:space="preserve"> in the post-R̥gvedic Sa</w:t>
      </w:r>
      <w:r>
        <w:rPr>
          <w:rFonts w:eastAsia="Arial Unicode MS"/>
          <w:szCs w:val="21"/>
          <w:lang w:eastAsia="it-IT" w:bidi="en-GB"/>
        </w:rPr>
        <w:t>ṃ</w:t>
      </w:r>
      <w:r>
        <w:rPr>
          <w:rFonts w:eastAsia="Arial Unicode MS"/>
          <w:szCs w:val="21"/>
          <w:lang w:eastAsia="it-IT" w:bidi="en-GB"/>
        </w:rPr>
        <w:t>hitās and in the Brāhma</w:t>
      </w:r>
      <w:r>
        <w:rPr>
          <w:rFonts w:eastAsia="Arial Unicode MS"/>
          <w:szCs w:val="21"/>
          <w:lang w:eastAsia="it-IT" w:bidi="en-GB"/>
        </w:rPr>
        <w:t>ṇ</w:t>
      </w:r>
      <w:r>
        <w:rPr>
          <w:rFonts w:eastAsia="Arial Unicode MS"/>
          <w:szCs w:val="21"/>
          <w:lang w:eastAsia="it-IT" w:bidi="en-GB"/>
        </w:rPr>
        <w:t>as. What follows is a first scheme according to the data and hypothesis so far:</w:t>
      </w:r>
    </w:p>
    <w:p w14:paraId="47E0F144" w14:textId="77777777" w:rsidR="00E53EB6" w:rsidRDefault="00E53EB6">
      <w:pPr>
        <w:pStyle w:val="HaupttextohneEinzug"/>
        <w:rPr>
          <w:rFonts w:eastAsia="Arial Unicode MS"/>
          <w:szCs w:val="21"/>
          <w:lang w:eastAsia="it-IT" w:bidi="en-GB"/>
        </w:rPr>
      </w:pPr>
    </w:p>
    <w:p w14:paraId="1B9487A9" w14:textId="77777777" w:rsidR="00E53EB6" w:rsidRDefault="006500F5">
      <w:pPr>
        <w:pStyle w:val="HaupttextohneEinzug"/>
        <w:rPr>
          <w:rFonts w:eastAsia="Arial Unicode MS"/>
          <w:szCs w:val="21"/>
          <w:lang w:eastAsia="it-IT" w:bidi="en-GB"/>
        </w:rPr>
        <w:sectPr w:rsidR="00E53EB6">
          <w:headerReference w:type="even" r:id="rId19"/>
          <w:headerReference w:type="default" r:id="rId20"/>
          <w:footerReference w:type="even" r:id="rId21"/>
          <w:footerReference w:type="default" r:id="rId22"/>
          <w:pgSz w:w="11906" w:h="16838"/>
          <w:pgMar w:top="1917" w:right="1418" w:bottom="2235" w:left="1700" w:header="1418" w:footer="1700" w:gutter="0"/>
          <w:cols w:space="720"/>
          <w:formProt w:val="0"/>
          <w:docGrid w:linePitch="600" w:charSpace="38911"/>
        </w:sectPr>
      </w:pPr>
      <w:r>
        <w:rPr>
          <w:rFonts w:eastAsia="Arial Unicode MS"/>
          <w:noProof/>
          <w:szCs w:val="21"/>
          <w:lang w:eastAsia="it-IT" w:bidi="en-GB"/>
        </w:rPr>
        <w:lastRenderedPageBreak/>
        <w:drawing>
          <wp:anchor distT="0" distB="0" distL="0" distR="0" simplePos="0" relativeHeight="3" behindDoc="0" locked="0" layoutInCell="0" allowOverlap="1" wp14:anchorId="5B1FF866" wp14:editId="748958CA">
            <wp:simplePos x="0" y="0"/>
            <wp:positionH relativeFrom="column">
              <wp:align>center</wp:align>
            </wp:positionH>
            <wp:positionV relativeFrom="paragraph">
              <wp:posOffset>635</wp:posOffset>
            </wp:positionV>
            <wp:extent cx="5580380" cy="3487420"/>
            <wp:effectExtent l="0" t="0" r="0" b="0"/>
            <wp:wrapSquare wrapText="largest"/>
            <wp:docPr id="1" name="graphic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s4"/>
                    <pic:cNvPicPr>
                      <a:picLocks noChangeAspect="1" noChangeArrowheads="1"/>
                    </pic:cNvPicPr>
                  </pic:nvPicPr>
                  <pic:blipFill>
                    <a:blip r:embed="rId23"/>
                    <a:stretch>
                      <a:fillRect/>
                    </a:stretch>
                  </pic:blipFill>
                  <pic:spPr bwMode="auto">
                    <a:xfrm>
                      <a:off x="0" y="0"/>
                      <a:ext cx="5580380" cy="3487420"/>
                    </a:xfrm>
                    <a:prstGeom prst="rect">
                      <a:avLst/>
                    </a:prstGeom>
                  </pic:spPr>
                </pic:pic>
              </a:graphicData>
            </a:graphic>
          </wp:anchor>
        </w:drawing>
      </w:r>
    </w:p>
    <w:p w14:paraId="2C251C96" w14:textId="77777777" w:rsidR="00E53EB6" w:rsidRDefault="006500F5">
      <w:pPr>
        <w:pStyle w:val="Heading1"/>
        <w:tabs>
          <w:tab w:val="left" w:pos="0"/>
        </w:tabs>
      </w:pPr>
      <w:r>
        <w:lastRenderedPageBreak/>
        <w:t>III. Post-R̥gvedic Developments: a Diachronic Analysis</w:t>
      </w:r>
    </w:p>
    <w:p w14:paraId="26C67731" w14:textId="77777777" w:rsidR="00E53EB6" w:rsidRDefault="006500F5">
      <w:pPr>
        <w:pStyle w:val="Heading2"/>
        <w:tabs>
          <w:tab w:val="left" w:pos="0"/>
        </w:tabs>
      </w:pPr>
      <w:r>
        <w:t>III.1 The Context</w:t>
      </w:r>
    </w:p>
    <w:p w14:paraId="26D75E55" w14:textId="77777777" w:rsidR="00E53EB6" w:rsidRDefault="006500F5">
      <w:pPr>
        <w:pStyle w:val="Hauptext"/>
      </w:pPr>
      <w:r>
        <w:t xml:space="preserve">Before starting our discussion, we have to sketch the landscape we are going to move in, that is not to give an exhaustive description of the Vedic culture, </w:t>
      </w:r>
      <w:r>
        <w:t>but rather to focus on three aspects that will be of great value for the research. First, we must settle, within the absence of a clear and precise chronology of the texts we will analyse, yet the possibility to outline some rough division that will act as</w:t>
      </w:r>
      <w:r>
        <w:t xml:space="preserve"> a good yardstick for discovering through a linguistic development also the historical development of the text layers. Along the social and political development that took place within this period, we will focus on the second relevant feature, namely the r</w:t>
      </w:r>
      <w:r>
        <w:t xml:space="preserve">itual development, which brought forth an enormous shift in the Vedic society. Eventually, we will try to outline how these changes affected the actual composing of the ritual </w:t>
      </w:r>
      <w:r>
        <w:rPr>
          <w:i/>
          <w:iCs/>
        </w:rPr>
        <w:t xml:space="preserve">corpus </w:t>
      </w:r>
      <w:r>
        <w:t>and how the different textual strata are interwoven with each other withi</w:t>
      </w:r>
      <w:r>
        <w:t>n a single work.</w:t>
      </w:r>
    </w:p>
    <w:p w14:paraId="2F4A99F4" w14:textId="77777777" w:rsidR="00E53EB6" w:rsidRDefault="00E53EB6">
      <w:pPr>
        <w:pStyle w:val="Hauptext"/>
      </w:pPr>
    </w:p>
    <w:p w14:paraId="5C00EC85" w14:textId="77777777" w:rsidR="00E53EB6" w:rsidRDefault="006500F5">
      <w:pPr>
        <w:pStyle w:val="Heading3"/>
        <w:tabs>
          <w:tab w:val="left" w:pos="0"/>
        </w:tabs>
        <w:rPr>
          <w:rFonts w:ascii="Sabon Unicode" w:hAnsi="Sabon Unicode"/>
        </w:rPr>
      </w:pPr>
      <w:r>
        <w:rPr>
          <w:rFonts w:ascii="Sabon Unicode" w:hAnsi="Sabon Unicode"/>
        </w:rPr>
        <w:t>III.1.1</w:t>
      </w:r>
      <w:r>
        <w:rPr>
          <w:rFonts w:ascii="Sabon Unicode" w:hAnsi="Sabon Unicode"/>
        </w:rPr>
        <w:tab/>
        <w:t>Relative Chronology of the Post-R̥gvedic Sources</w:t>
      </w:r>
    </w:p>
    <w:p w14:paraId="2A7EA414" w14:textId="77777777" w:rsidR="00E53EB6" w:rsidRDefault="006500F5">
      <w:pPr>
        <w:pStyle w:val="Hauptext"/>
      </w:pPr>
      <w:r>
        <w:rPr>
          <w:rFonts w:eastAsia="Arial Unicode MS"/>
          <w:szCs w:val="21"/>
          <w:lang w:eastAsia="it-IT" w:bidi="en-GB"/>
        </w:rPr>
        <w:t>What we are mainly dealing with are the crucial and somehow obscure periods that can be first labelled according to the different language typologies, namely the</w:t>
      </w:r>
      <w:r>
        <w:rPr>
          <w:rFonts w:eastAsia="Arial Unicode MS"/>
          <w:szCs w:val="21"/>
          <w:lang w:eastAsia="it-IT" w:bidi="en-GB"/>
        </w:rPr>
        <w:t xml:space="preserve"> Mantra (including the prose </w:t>
      </w:r>
      <w:r>
        <w:rPr>
          <w:rFonts w:eastAsia="Arial Unicode MS"/>
          <w:i/>
          <w:iCs/>
          <w:szCs w:val="21"/>
          <w:lang w:eastAsia="it-IT" w:bidi="en-GB"/>
        </w:rPr>
        <w:t>mantra</w:t>
      </w:r>
      <w:r>
        <w:rPr>
          <w:rFonts w:eastAsia="Arial Unicode MS"/>
          <w:szCs w:val="21"/>
          <w:lang w:eastAsia="it-IT" w:bidi="en-GB"/>
        </w:rPr>
        <w:t xml:space="preserve">, i.e. </w:t>
      </w:r>
      <w:r>
        <w:rPr>
          <w:rFonts w:eastAsia="Arial Unicode MS"/>
          <w:i/>
          <w:iCs/>
          <w:szCs w:val="21"/>
          <w:lang w:eastAsia="it-IT" w:bidi="en-GB"/>
        </w:rPr>
        <w:t>yajus</w:t>
      </w:r>
      <w:r>
        <w:rPr>
          <w:rFonts w:eastAsia="Arial Unicode MS"/>
          <w:szCs w:val="21"/>
          <w:lang w:eastAsia="it-IT" w:bidi="en-GB"/>
        </w:rPr>
        <w:t>), the Yajurveda</w:t>
      </w:r>
      <w:r>
        <w:rPr>
          <w:rFonts w:eastAsia="Arial Unicode MS"/>
          <w:szCs w:val="21"/>
          <w:lang w:eastAsia="it-IT" w:bidi="en-GB"/>
        </w:rPr>
        <w:t xml:space="preserve"> and Brāhma</w:t>
      </w:r>
      <w:r>
        <w:rPr>
          <w:rFonts w:eastAsia="Arial Unicode MS"/>
          <w:szCs w:val="21"/>
          <w:lang w:eastAsia="it-IT" w:bidi="en-GB"/>
        </w:rPr>
        <w:t>ṇ</w:t>
      </w:r>
      <w:r>
        <w:rPr>
          <w:rFonts w:eastAsia="Arial Unicode MS"/>
          <w:szCs w:val="21"/>
          <w:lang w:eastAsia="it-IT" w:bidi="en-GB"/>
        </w:rPr>
        <w:t>a ones</w:t>
      </w:r>
      <w:r>
        <w:rPr>
          <w:rFonts w:eastAsia="Arial Unicode MS" w:cs="Times New Roman"/>
          <w:szCs w:val="21"/>
          <w:lang w:eastAsia="it-IT" w:bidi="en-GB"/>
        </w:rPr>
        <w:t>.</w:t>
      </w:r>
    </w:p>
    <w:p w14:paraId="57694D1C" w14:textId="77777777" w:rsidR="00E53EB6" w:rsidRDefault="006500F5">
      <w:pPr>
        <w:pStyle w:val="HaupttextohneEinzug"/>
      </w:pPr>
      <w:r>
        <w:rPr>
          <w:rFonts w:eastAsia="Arial Unicode MS" w:cs="Times New Roman"/>
          <w:szCs w:val="21"/>
          <w:lang w:eastAsia="it-IT" w:bidi="en-GB"/>
        </w:rPr>
        <w:t xml:space="preserve">As we have already mentioned in the Introduction, one salient distinction between the earliest text of the Vedic culture and the later ones is that while the </w:t>
      </w:r>
      <w:r>
        <w:rPr>
          <w:rFonts w:eastAsia="Arial Unicode MS" w:cs="Times New Roman"/>
          <w:i/>
          <w:iCs/>
          <w:szCs w:val="21"/>
          <w:lang w:eastAsia="it-IT" w:bidi="en-GB"/>
        </w:rPr>
        <w:t>R̥gveda Sa</w:t>
      </w:r>
      <w:r>
        <w:rPr>
          <w:rFonts w:eastAsia="Arial Unicode MS" w:cs="Times New Roman"/>
          <w:i/>
          <w:iCs/>
          <w:szCs w:val="21"/>
          <w:lang w:eastAsia="it-IT" w:bidi="en-GB"/>
        </w:rPr>
        <w:t>ṃ</w:t>
      </w:r>
      <w:r>
        <w:rPr>
          <w:rFonts w:eastAsia="Arial Unicode MS" w:cs="Times New Roman"/>
          <w:i/>
          <w:iCs/>
          <w:szCs w:val="21"/>
          <w:lang w:eastAsia="it-IT" w:bidi="en-GB"/>
        </w:rPr>
        <w:t xml:space="preserve">hitā </w:t>
      </w:r>
      <w:r>
        <w:rPr>
          <w:rFonts w:eastAsia="Arial Unicode MS" w:cs="Times New Roman"/>
          <w:szCs w:val="21"/>
          <w:lang w:eastAsia="it-IT" w:bidi="en-GB"/>
        </w:rPr>
        <w:t>is almost consisting of original compositions, the liturgical texts are an editori</w:t>
      </w:r>
      <w:r>
        <w:rPr>
          <w:rFonts w:eastAsia="Arial Unicode MS" w:cs="Times New Roman"/>
          <w:szCs w:val="21"/>
          <w:lang w:eastAsia="it-IT" w:bidi="en-GB"/>
        </w:rPr>
        <w:t xml:space="preserve">ally constituted arrangement of R̥gvedic stanzas, used as </w:t>
      </w:r>
      <w:r>
        <w:rPr>
          <w:rFonts w:eastAsia="Arial Unicode MS" w:cs="Times New Roman"/>
          <w:i/>
          <w:iCs/>
          <w:szCs w:val="21"/>
          <w:lang w:eastAsia="it-IT" w:bidi="en-GB"/>
        </w:rPr>
        <w:t>mantra</w:t>
      </w:r>
      <w:r>
        <w:rPr>
          <w:rFonts w:eastAsia="Arial Unicode MS" w:cs="Times New Roman"/>
          <w:szCs w:val="21"/>
          <w:lang w:eastAsia="it-IT" w:bidi="en-GB"/>
        </w:rPr>
        <w:t>s</w:t>
      </w:r>
      <w:r>
        <w:rPr>
          <w:rFonts w:eastAsia="Arial Unicode MS" w:cs="Times New Roman"/>
          <w:i/>
          <w:iCs/>
          <w:szCs w:val="21"/>
          <w:lang w:eastAsia="it-IT" w:bidi="en-GB"/>
        </w:rPr>
        <w:t xml:space="preserve">, </w:t>
      </w:r>
      <w:r>
        <w:rPr>
          <w:rFonts w:eastAsia="Arial Unicode MS" w:cs="Times New Roman"/>
          <w:szCs w:val="21"/>
          <w:lang w:eastAsia="it-IT" w:bidi="en-GB"/>
        </w:rPr>
        <w:t xml:space="preserve">and “exegetical” parts. </w:t>
      </w:r>
    </w:p>
    <w:p w14:paraId="7DC00DB3" w14:textId="77777777" w:rsidR="00E53EB6" w:rsidRDefault="006500F5">
      <w:pPr>
        <w:pStyle w:val="HaupttextohneEinzug"/>
      </w:pPr>
      <w:r>
        <w:rPr>
          <w:rFonts w:eastAsia="Arial Unicode MS" w:cs="Times New Roman"/>
          <w:szCs w:val="21"/>
          <w:lang w:eastAsia="it-IT" w:bidi="en-GB"/>
        </w:rPr>
        <w:t>Another important distinction</w:t>
      </w:r>
      <w:r>
        <w:rPr>
          <w:rFonts w:eastAsia="Arial Unicode MS" w:cs="Times New Roman"/>
          <w:szCs w:val="21"/>
          <w:lang w:eastAsia="it-IT" w:bidi="en-GB"/>
        </w:rPr>
        <w:t xml:space="preserve"> is that the groups responsible for the production of those texts are different ones. While the creation and preservation of liturgical</w:t>
      </w:r>
      <w:r>
        <w:rPr>
          <w:rFonts w:eastAsia="Arial Unicode MS" w:cs="Times New Roman"/>
          <w:szCs w:val="21"/>
          <w:lang w:eastAsia="it-IT" w:bidi="en-GB"/>
        </w:rPr>
        <w:t xml:space="preserve"> poetry in the R̥gvedic period was under the control of the kin group, the clan, the later liturgies were controlled by the “schools” - </w:t>
      </w:r>
      <w:r>
        <w:rPr>
          <w:rFonts w:eastAsia="Arial Unicode MS" w:cs="Times New Roman"/>
          <w:i/>
          <w:iCs/>
          <w:szCs w:val="21"/>
          <w:lang w:eastAsia="it-IT" w:bidi="en-GB"/>
        </w:rPr>
        <w:t>śākhā</w:t>
      </w:r>
      <w:r>
        <w:rPr>
          <w:rFonts w:eastAsia="Arial Unicode MS" w:cs="Times New Roman"/>
          <w:szCs w:val="21"/>
          <w:lang w:eastAsia="it-IT" w:bidi="en-GB"/>
        </w:rPr>
        <w:t>s</w:t>
      </w:r>
      <w:r>
        <w:rPr>
          <w:rStyle w:val="FootnoteAnchor"/>
          <w:rFonts w:eastAsia="Arial Unicode MS" w:cs="Times New Roman"/>
          <w:szCs w:val="21"/>
          <w:lang w:eastAsia="it-IT" w:bidi="en-GB"/>
        </w:rPr>
        <w:footnoteReference w:id="113"/>
      </w:r>
      <w:r>
        <w:rPr>
          <w:rFonts w:eastAsia="Arial Unicode MS" w:cs="Times New Roman"/>
          <w:i/>
          <w:iCs/>
          <w:szCs w:val="21"/>
          <w:lang w:eastAsia="it-IT" w:bidi="en-GB"/>
        </w:rPr>
        <w:t xml:space="preserve">: </w:t>
      </w:r>
      <w:r>
        <w:rPr>
          <w:rFonts w:eastAsia="Arial Unicode MS" w:cs="Times New Roman"/>
          <w:szCs w:val="21"/>
          <w:lang w:eastAsia="it-IT" w:bidi="en-GB"/>
        </w:rPr>
        <w:t>there has been a restructuring of the religious institutions entitled to control and produce those texts</w:t>
      </w:r>
      <w:r>
        <w:rPr>
          <w:rStyle w:val="FootnoteAnchor"/>
          <w:rFonts w:eastAsia="Arial Unicode MS" w:cs="Times New Roman"/>
          <w:szCs w:val="21"/>
          <w:lang w:eastAsia="it-IT" w:bidi="en-GB"/>
        </w:rPr>
        <w:footnoteReference w:id="114"/>
      </w:r>
      <w:r>
        <w:rPr>
          <w:rFonts w:eastAsia="Arial Unicode MS" w:cs="Times New Roman"/>
          <w:szCs w:val="21"/>
          <w:lang w:eastAsia="it-IT" w:bidi="en-GB"/>
        </w:rPr>
        <w:t>. Th</w:t>
      </w:r>
      <w:r>
        <w:rPr>
          <w:rFonts w:eastAsia="Arial Unicode MS" w:cs="Times New Roman"/>
          <w:szCs w:val="21"/>
          <w:lang w:eastAsia="it-IT" w:bidi="en-GB"/>
        </w:rPr>
        <w:t xml:space="preserve">is process seems to overshadow a development within the society, and lets us speculate  about different strata of textual evidences. Nonetheless, except for the general consensus on the predating of the </w:t>
      </w:r>
      <w:r>
        <w:rPr>
          <w:rFonts w:eastAsia="Arial Unicode MS" w:cs="Times New Roman"/>
          <w:i/>
          <w:iCs/>
          <w:szCs w:val="21"/>
          <w:lang w:eastAsia="it-IT" w:bidi="en-GB"/>
        </w:rPr>
        <w:t>R̥gveda Sa</w:t>
      </w:r>
      <w:r>
        <w:rPr>
          <w:rFonts w:eastAsia="Arial Unicode MS" w:cs="Times New Roman"/>
          <w:i/>
          <w:iCs/>
          <w:szCs w:val="21"/>
          <w:lang w:eastAsia="it-IT" w:bidi="en-GB"/>
        </w:rPr>
        <w:t>ṃ</w:t>
      </w:r>
      <w:r>
        <w:rPr>
          <w:rFonts w:eastAsia="Arial Unicode MS" w:cs="Times New Roman"/>
          <w:i/>
          <w:iCs/>
          <w:szCs w:val="21"/>
          <w:lang w:eastAsia="it-IT" w:bidi="en-GB"/>
        </w:rPr>
        <w:t xml:space="preserve">hitā, </w:t>
      </w:r>
      <w:r>
        <w:rPr>
          <w:rFonts w:eastAsia="Arial Unicode MS" w:cs="Times New Roman"/>
          <w:szCs w:val="21"/>
          <w:lang w:eastAsia="it-IT" w:bidi="en-GB"/>
        </w:rPr>
        <w:t>the chronological relation between t</w:t>
      </w:r>
      <w:r>
        <w:rPr>
          <w:rFonts w:eastAsia="Arial Unicode MS" w:cs="Times New Roman"/>
          <w:szCs w:val="21"/>
          <w:lang w:eastAsia="it-IT" w:bidi="en-GB"/>
        </w:rPr>
        <w:t xml:space="preserve">he extant Vedic corpus is a very controversial one. </w:t>
      </w:r>
    </w:p>
    <w:p w14:paraId="4BDA86C2" w14:textId="77777777" w:rsidR="00E53EB6" w:rsidRDefault="006500F5">
      <w:pPr>
        <w:pStyle w:val="Hauptext"/>
      </w:pPr>
      <w:r>
        <w:rPr>
          <w:rFonts w:eastAsia="Arial Unicode MS" w:cs="Times New Roman"/>
          <w:szCs w:val="21"/>
          <w:lang w:eastAsia="it-IT" w:bidi="en-GB"/>
        </w:rPr>
        <w:t>Notwithstanding the shortage of data, a relative chronology, according to the recent studies</w:t>
      </w:r>
      <w:r>
        <w:rPr>
          <w:rStyle w:val="FootnoteAnchor"/>
          <w:rFonts w:eastAsia="Arial Unicode MS"/>
          <w:szCs w:val="21"/>
          <w:lang w:eastAsia="it-IT" w:bidi="en-GB"/>
        </w:rPr>
        <w:footnoteReference w:id="115"/>
      </w:r>
      <w:r>
        <w:rPr>
          <w:rFonts w:eastAsia="Arial Unicode MS" w:cs="Times New Roman"/>
          <w:szCs w:val="21"/>
          <w:lang w:eastAsia="it-IT" w:bidi="en-GB"/>
        </w:rPr>
        <w:t xml:space="preserve">,  let us single out three moments with regard to the early Vedic period: a first one where the major clans were those of Yadu-Turvaśa , the following one of Bharata-Pūru, and after these individual lineage periods the Kuru hegemony, when the canon of </w:t>
      </w:r>
      <w:r>
        <w:rPr>
          <w:rFonts w:eastAsia="Arial Unicode MS" w:cs="Times New Roman"/>
          <w:i/>
          <w:iCs/>
          <w:szCs w:val="21"/>
          <w:lang w:eastAsia="it-IT" w:bidi="en-GB"/>
        </w:rPr>
        <w:t>R̥</w:t>
      </w:r>
      <w:r>
        <w:rPr>
          <w:rFonts w:eastAsia="Arial Unicode MS" w:cs="Times New Roman"/>
          <w:i/>
          <w:iCs/>
          <w:szCs w:val="21"/>
          <w:lang w:eastAsia="it-IT" w:bidi="en-GB"/>
        </w:rPr>
        <w:t>gvedasaṃhitā</w:t>
      </w:r>
      <w:r>
        <w:rPr>
          <w:rFonts w:eastAsia="Arial Unicode MS" w:cs="Times New Roman"/>
          <w:szCs w:val="21"/>
          <w:lang w:eastAsia="it-IT" w:bidi="en-GB"/>
        </w:rPr>
        <w:t xml:space="preserve"> was arranged. There are two elements of these periods that should be borne in mind: the tribal  political organisation and the segmentary structure</w:t>
      </w:r>
      <w:r>
        <w:rPr>
          <w:rStyle w:val="FootnoteAnchor"/>
          <w:rFonts w:eastAsia="Arial Unicode MS" w:cs="Times New Roman"/>
          <w:szCs w:val="21"/>
          <w:lang w:eastAsia="it-IT" w:bidi="en-GB"/>
        </w:rPr>
        <w:footnoteReference w:id="116"/>
      </w:r>
      <w:r>
        <w:rPr>
          <w:rFonts w:eastAsia="Arial Unicode MS" w:cs="Times New Roman"/>
          <w:szCs w:val="21"/>
          <w:lang w:eastAsia="it-IT" w:bidi="en-GB"/>
        </w:rPr>
        <w:t xml:space="preserve"> of the society. These two features enable the Vedic society to switch between alternating m</w:t>
      </w:r>
      <w:r>
        <w:rPr>
          <w:rFonts w:eastAsia="Arial Unicode MS" w:cs="Times New Roman"/>
          <w:szCs w:val="21"/>
          <w:lang w:eastAsia="it-IT" w:bidi="en-GB"/>
        </w:rPr>
        <w:t>oments of fix habitation (</w:t>
      </w:r>
      <w:r>
        <w:rPr>
          <w:rFonts w:eastAsia="Arial Unicode MS" w:cs="Times New Roman"/>
          <w:i/>
          <w:iCs/>
          <w:szCs w:val="21"/>
          <w:lang w:eastAsia="it-IT" w:bidi="en-GB"/>
        </w:rPr>
        <w:t>k</w:t>
      </w:r>
      <w:r>
        <w:rPr>
          <w:rFonts w:eastAsia="Arial Unicode MS" w:cs="Times New Roman"/>
          <w:i/>
          <w:iCs/>
          <w:szCs w:val="21"/>
          <w:lang w:eastAsia="it-IT" w:bidi="en-GB"/>
        </w:rPr>
        <w:t>ṣ</w:t>
      </w:r>
      <w:r>
        <w:rPr>
          <w:rFonts w:eastAsia="Arial Unicode MS" w:cs="Times New Roman"/>
          <w:i/>
          <w:iCs/>
          <w:szCs w:val="21"/>
          <w:lang w:eastAsia="it-IT" w:bidi="en-GB"/>
        </w:rPr>
        <w:t>ema</w:t>
      </w:r>
      <w:r>
        <w:rPr>
          <w:rFonts w:eastAsia="Arial Unicode MS" w:cs="Times New Roman"/>
          <w:szCs w:val="21"/>
          <w:lang w:eastAsia="it-IT" w:bidi="en-GB"/>
        </w:rPr>
        <w:t>) and mobilisations through the unification between clans (</w:t>
      </w:r>
      <w:r>
        <w:rPr>
          <w:rFonts w:eastAsia="Arial Unicode MS" w:cs="Times New Roman"/>
          <w:i/>
          <w:iCs/>
          <w:szCs w:val="21"/>
          <w:lang w:eastAsia="it-IT" w:bidi="en-GB"/>
        </w:rPr>
        <w:t>yoga</w:t>
      </w:r>
      <w:r>
        <w:rPr>
          <w:rFonts w:eastAsia="Arial Unicode MS" w:cs="Times New Roman"/>
          <w:szCs w:val="21"/>
          <w:lang w:eastAsia="it-IT" w:bidi="en-GB"/>
        </w:rPr>
        <w:t>).</w:t>
      </w:r>
      <w:r>
        <w:rPr>
          <w:rStyle w:val="FootnoteAnchor"/>
          <w:rFonts w:eastAsia="Arial Unicode MS" w:cs="Times New Roman"/>
          <w:szCs w:val="21"/>
          <w:lang w:eastAsia="it-IT" w:bidi="en-GB"/>
        </w:rPr>
        <w:footnoteReference w:id="117"/>
      </w:r>
      <w:r>
        <w:rPr>
          <w:rFonts w:eastAsia="Arial Unicode MS" w:cs="Times New Roman"/>
          <w:szCs w:val="21"/>
          <w:lang w:eastAsia="it-IT" w:bidi="en-GB"/>
        </w:rPr>
        <w:t xml:space="preserve"> This dynamic has been studied by anthropologists who called it  “fission and fusion”: the political structure exists potentially within the lineage system, e</w:t>
      </w:r>
      <w:r>
        <w:rPr>
          <w:rFonts w:eastAsia="Arial Unicode MS" w:cs="Times New Roman"/>
          <w:szCs w:val="21"/>
          <w:lang w:eastAsia="it-IT" w:bidi="en-GB"/>
        </w:rPr>
        <w:t xml:space="preserve">ven though it is </w:t>
      </w:r>
      <w:r>
        <w:rPr>
          <w:rFonts w:eastAsia="Arial Unicode MS" w:cs="Times New Roman"/>
          <w:szCs w:val="21"/>
          <w:lang w:eastAsia="it-IT" w:bidi="en-GB"/>
        </w:rPr>
        <w:lastRenderedPageBreak/>
        <w:t>only realised when the society as a whole is faced with a challenge from outside itself</w:t>
      </w:r>
      <w:r>
        <w:rPr>
          <w:rStyle w:val="FootnoteAnchor"/>
          <w:rFonts w:eastAsia="Arial Unicode MS" w:cs="Times New Roman"/>
          <w:szCs w:val="21"/>
          <w:lang w:eastAsia="it-IT" w:bidi="en-GB"/>
        </w:rPr>
        <w:footnoteReference w:id="118"/>
      </w:r>
      <w:r>
        <w:rPr>
          <w:rFonts w:eastAsia="Arial Unicode MS" w:cs="Times New Roman"/>
          <w:szCs w:val="21"/>
          <w:lang w:eastAsia="it-IT" w:bidi="en-GB"/>
        </w:rPr>
        <w:t>.</w:t>
      </w:r>
    </w:p>
    <w:p w14:paraId="1970AEB3" w14:textId="77777777" w:rsidR="00E53EB6" w:rsidRDefault="006500F5">
      <w:pPr>
        <w:pStyle w:val="HaupttextohneEinzug"/>
      </w:pPr>
      <w:r>
        <w:rPr>
          <w:rFonts w:eastAsia="Arial Unicode MS" w:cs="Times New Roman"/>
          <w:szCs w:val="21"/>
          <w:lang w:eastAsia="it-IT" w:bidi="en-GB"/>
        </w:rPr>
        <w:t>A big change happened during the time of the Kuru hegemony, when the society started shifting from the segmentarian-lineage structure to a more hier</w:t>
      </w:r>
      <w:r>
        <w:rPr>
          <w:rFonts w:eastAsia="Arial Unicode MS" w:cs="Times New Roman"/>
          <w:szCs w:val="21"/>
          <w:lang w:eastAsia="it-IT" w:bidi="en-GB"/>
        </w:rPr>
        <w:t xml:space="preserve">archical and stratified one. A variegated landscape of sub-tribes is replaced by a new “super-tribe”, that of the Kuru. The clans, though still pastoral and semi-nomadic, were settling on the the rivers and practiced an extensive rice cultivation. </w:t>
      </w:r>
    </w:p>
    <w:p w14:paraId="12EAC3ED" w14:textId="77777777" w:rsidR="00E53EB6" w:rsidRDefault="006500F5">
      <w:pPr>
        <w:pStyle w:val="HaupttextohneEinzug"/>
      </w:pPr>
      <w:r>
        <w:rPr>
          <w:rFonts w:eastAsia="Arial Unicode MS" w:cs="Times New Roman"/>
          <w:szCs w:val="21"/>
          <w:lang w:eastAsia="it-IT" w:bidi="en-GB"/>
        </w:rPr>
        <w:t>In this</w:t>
      </w:r>
      <w:r>
        <w:rPr>
          <w:rFonts w:eastAsia="Arial Unicode MS" w:cs="Times New Roman"/>
          <w:szCs w:val="21"/>
          <w:lang w:eastAsia="it-IT" w:bidi="en-GB"/>
        </w:rPr>
        <w:t xml:space="preserve"> period, a common ritual set  that could result in a standardisation-homologation of the different clan-based ritual activities was  needed. The effort resulted in what we call the </w:t>
      </w:r>
      <w:r>
        <w:rPr>
          <w:rFonts w:eastAsia="Arial Unicode MS" w:cs="Times New Roman"/>
          <w:i/>
          <w:iCs/>
          <w:szCs w:val="21"/>
          <w:lang w:eastAsia="it-IT" w:bidi="en-GB"/>
        </w:rPr>
        <w:t>śrauta</w:t>
      </w:r>
      <w:r>
        <w:rPr>
          <w:rFonts w:eastAsia="Arial Unicode MS" w:cs="Times New Roman"/>
          <w:szCs w:val="21"/>
          <w:lang w:eastAsia="it-IT" w:bidi="en-GB"/>
        </w:rPr>
        <w:t xml:space="preserve"> liturgy, namely the referent of all post-R̥gvedic texts. Already the</w:t>
      </w:r>
      <w:r>
        <w:rPr>
          <w:rFonts w:eastAsia="Arial Unicode MS" w:cs="Times New Roman"/>
          <w:szCs w:val="21"/>
          <w:lang w:eastAsia="it-IT" w:bidi="en-GB"/>
        </w:rPr>
        <w:t xml:space="preserve"> liturgical hymns of </w:t>
      </w:r>
      <w:r>
        <w:rPr>
          <w:rFonts w:eastAsia="Arial Unicode MS" w:cs="Times New Roman"/>
          <w:i/>
          <w:iCs/>
          <w:szCs w:val="21"/>
          <w:lang w:eastAsia="it-IT" w:bidi="en-GB"/>
        </w:rPr>
        <w:t>Ṛgvedasaṃhitā</w:t>
      </w:r>
      <w:r>
        <w:rPr>
          <w:rFonts w:eastAsia="Arial Unicode MS" w:cs="Times New Roman"/>
          <w:szCs w:val="21"/>
          <w:lang w:eastAsia="it-IT" w:bidi="en-GB"/>
        </w:rPr>
        <w:t xml:space="preserve"> were also an instrument to negotiate political claims. This attitude continued working underneath, thus affecting the whole enterprise, as </w:t>
      </w:r>
      <w:r>
        <w:rPr>
          <w:rStyle w:val="biblio-authorGEN"/>
          <w:rFonts w:eastAsia="Arial Unicode MS" w:cs="Times New Roman"/>
          <w:szCs w:val="21"/>
          <w:lang w:eastAsia="it-IT" w:bidi="en-GB"/>
        </w:rPr>
        <w:t xml:space="preserve">Proferes </w:t>
      </w:r>
      <w:r>
        <w:t>(2007) has clearly argued</w:t>
      </w:r>
      <w:r>
        <w:rPr>
          <w:rFonts w:eastAsia="Arial Unicode MS" w:cs="Times New Roman"/>
          <w:szCs w:val="21"/>
          <w:lang w:eastAsia="it-IT" w:bidi="en-GB"/>
        </w:rPr>
        <w:t>; in this sense the post-R̥gvedic texts are i</w:t>
      </w:r>
      <w:r>
        <w:rPr>
          <w:rFonts w:eastAsia="Arial Unicode MS" w:cs="Times New Roman"/>
          <w:szCs w:val="21"/>
          <w:lang w:eastAsia="it-IT" w:bidi="en-GB"/>
        </w:rPr>
        <w:t xml:space="preserve">mportant sources also to understand the ideals of sovereignty. </w:t>
      </w:r>
    </w:p>
    <w:p w14:paraId="536B05BB" w14:textId="77777777" w:rsidR="00E53EB6" w:rsidRDefault="006500F5">
      <w:pPr>
        <w:pStyle w:val="HaupttextohneEinzug"/>
        <w:rPr>
          <w:rFonts w:eastAsia="Arial Unicode MS" w:cs="Times New Roman"/>
          <w:szCs w:val="21"/>
          <w:lang w:eastAsia="it-IT" w:bidi="en-GB"/>
        </w:rPr>
      </w:pPr>
      <w:r>
        <w:rPr>
          <w:rFonts w:eastAsia="Arial Unicode MS" w:cs="Times New Roman"/>
          <w:szCs w:val="21"/>
          <w:lang w:eastAsia="it-IT" w:bidi="en-GB"/>
        </w:rPr>
        <w:t xml:space="preserve">Within this lapse of time, which entails the construction of the classical ritual, we may try to outline a relative chronology of the texts we are going to analyse, according to the ample </w:t>
      </w:r>
      <w:r>
        <w:rPr>
          <w:rFonts w:eastAsia="Arial Unicode MS" w:cs="Times New Roman"/>
          <w:szCs w:val="21"/>
          <w:lang w:eastAsia="it-IT" w:bidi="en-GB"/>
        </w:rPr>
        <w:t>research of Witzel and to the studies of many scholars on single schools or texts</w:t>
      </w:r>
      <w:r>
        <w:rPr>
          <w:rStyle w:val="FootnoteAnchor"/>
          <w:rFonts w:eastAsia="Arial Unicode MS" w:cs="Times New Roman"/>
          <w:szCs w:val="21"/>
          <w:lang w:eastAsia="it-IT" w:bidi="en-GB"/>
        </w:rPr>
        <w:footnoteReference w:id="119"/>
      </w:r>
      <w:r>
        <w:rPr>
          <w:rFonts w:eastAsia="Arial Unicode MS" w:cs="Times New Roman"/>
          <w:szCs w:val="21"/>
          <w:lang w:eastAsia="it-IT" w:bidi="en-GB"/>
        </w:rPr>
        <w:t xml:space="preserve">. </w:t>
      </w:r>
    </w:p>
    <w:p w14:paraId="4BC7BE56" w14:textId="77777777" w:rsidR="00E53EB6" w:rsidRDefault="006500F5">
      <w:pPr>
        <w:pStyle w:val="HaupttextohneEinzug"/>
      </w:pPr>
      <w:r>
        <w:t>As it is well known, within the chronological relation between the texts, the scholars have made clear that the material within the single texts do come from different pe</w:t>
      </w:r>
      <w:r>
        <w:t xml:space="preserve">riods, and before going on, I would like to stress this division as long as we will deploy it further on during the analysis of the post-R̥gvedic occurrences. </w:t>
      </w:r>
      <w:r>
        <w:rPr>
          <w:rFonts w:eastAsia="Arial Unicode MS" w:cs="Times New Roman"/>
          <w:szCs w:val="21"/>
          <w:lang w:eastAsia="it-IT" w:bidi="en-GB"/>
        </w:rPr>
        <w:t>It is quite important to settle the different chronological layers of the occurrences in order no</w:t>
      </w:r>
      <w:r>
        <w:rPr>
          <w:rFonts w:eastAsia="Arial Unicode MS" w:cs="Times New Roman"/>
          <w:szCs w:val="21"/>
          <w:lang w:eastAsia="it-IT" w:bidi="en-GB"/>
        </w:rPr>
        <w:t xml:space="preserve">t to handle the material as floating in an indefinite temporal (and geographical) vacuum, otherwise there is the unfashionable and concrete </w:t>
      </w:r>
      <w:r>
        <w:rPr>
          <w:rFonts w:eastAsia="Arial Unicode MS" w:cs="Times New Roman"/>
          <w:szCs w:val="21"/>
          <w:lang w:eastAsia="it-IT" w:bidi="en-GB"/>
        </w:rPr>
        <w:t>probability</w:t>
      </w:r>
      <w:r>
        <w:rPr>
          <w:rFonts w:eastAsia="Arial Unicode MS" w:cs="Times New Roman"/>
          <w:szCs w:val="21"/>
          <w:lang w:eastAsia="it-IT" w:bidi="en-GB"/>
        </w:rPr>
        <w:t xml:space="preserve"> to compare attestations of two different historical moments as they were contemporary.</w:t>
      </w:r>
    </w:p>
    <w:p w14:paraId="48DDB631" w14:textId="77777777" w:rsidR="00E53EB6" w:rsidRDefault="006500F5">
      <w:pPr>
        <w:pStyle w:val="HaupttextohneEinzug"/>
      </w:pPr>
      <w:r>
        <w:rPr>
          <w:rFonts w:eastAsia="Arial Unicode MS" w:cs="Times New Roman"/>
          <w:szCs w:val="21"/>
          <w:lang w:eastAsia="it-IT" w:bidi="en-GB"/>
        </w:rPr>
        <w:t>Especially concer</w:t>
      </w:r>
      <w:r>
        <w:rPr>
          <w:rFonts w:eastAsia="Arial Unicode MS" w:cs="Times New Roman"/>
          <w:szCs w:val="21"/>
          <w:lang w:eastAsia="it-IT" w:bidi="en-GB"/>
        </w:rPr>
        <w:t>ning the Sa</w:t>
      </w:r>
      <w:r>
        <w:rPr>
          <w:rFonts w:eastAsia="Arial Unicode MS" w:cs="Times New Roman"/>
          <w:szCs w:val="21"/>
          <w:lang w:eastAsia="it-IT" w:bidi="en-GB"/>
        </w:rPr>
        <w:t>ṃ</w:t>
      </w:r>
      <w:r>
        <w:rPr>
          <w:rFonts w:eastAsia="Arial Unicode MS" w:cs="Times New Roman"/>
          <w:szCs w:val="21"/>
          <w:lang w:eastAsia="it-IT" w:bidi="en-GB"/>
        </w:rPr>
        <w:t xml:space="preserve">hitā of the YV school (except for the White Yajurveda) we find a series of two types of texts: the </w:t>
      </w:r>
      <w:r>
        <w:rPr>
          <w:rFonts w:eastAsia="Arial Unicode MS" w:cs="Times New Roman"/>
          <w:i/>
          <w:iCs/>
          <w:szCs w:val="21"/>
          <w:lang w:eastAsia="it-IT" w:bidi="en-GB"/>
        </w:rPr>
        <w:t>mantra</w:t>
      </w:r>
      <w:r>
        <w:rPr>
          <w:rFonts w:eastAsia="Arial Unicode MS" w:cs="Times New Roman"/>
          <w:szCs w:val="21"/>
          <w:lang w:eastAsia="it-IT" w:bidi="en-GB"/>
        </w:rPr>
        <w:t xml:space="preserve"> and the </w:t>
      </w:r>
      <w:r>
        <w:rPr>
          <w:rFonts w:eastAsia="Arial Unicode MS" w:cs="Times New Roman"/>
          <w:i/>
          <w:iCs/>
          <w:szCs w:val="21"/>
          <w:lang w:eastAsia="it-IT" w:bidi="en-GB"/>
        </w:rPr>
        <w:t>brāhma</w:t>
      </w:r>
      <w:r>
        <w:rPr>
          <w:rFonts w:eastAsia="Arial Unicode MS" w:cs="Times New Roman"/>
          <w:i/>
          <w:iCs/>
          <w:szCs w:val="21"/>
          <w:lang w:eastAsia="it-IT" w:bidi="en-GB"/>
        </w:rPr>
        <w:t>ṇ</w:t>
      </w:r>
      <w:r>
        <w:rPr>
          <w:rFonts w:eastAsia="Arial Unicode MS" w:cs="Times New Roman"/>
          <w:i/>
          <w:iCs/>
          <w:szCs w:val="21"/>
          <w:lang w:eastAsia="it-IT" w:bidi="en-GB"/>
        </w:rPr>
        <w:t>a</w:t>
      </w:r>
      <w:r>
        <w:rPr>
          <w:rFonts w:eastAsia="Arial Unicode MS" w:cs="Times New Roman"/>
          <w:szCs w:val="21"/>
          <w:lang w:eastAsia="it-IT" w:bidi="en-GB"/>
        </w:rPr>
        <w:t xml:space="preserve">. The first type goes back to the period between the redaction of the </w:t>
      </w:r>
      <w:r>
        <w:rPr>
          <w:rFonts w:eastAsia="Arial Unicode MS" w:cs="Times New Roman"/>
          <w:i/>
          <w:iCs/>
          <w:szCs w:val="21"/>
          <w:lang w:eastAsia="it-IT" w:bidi="en-GB"/>
        </w:rPr>
        <w:t>R̥gveda Sa</w:t>
      </w:r>
      <w:r>
        <w:rPr>
          <w:rFonts w:eastAsia="Arial Unicode MS" w:cs="Times New Roman"/>
          <w:i/>
          <w:iCs/>
          <w:szCs w:val="21"/>
          <w:lang w:eastAsia="it-IT" w:bidi="en-GB"/>
        </w:rPr>
        <w:t>ṃ</w:t>
      </w:r>
      <w:r>
        <w:rPr>
          <w:rFonts w:eastAsia="Arial Unicode MS" w:cs="Times New Roman"/>
          <w:i/>
          <w:iCs/>
          <w:szCs w:val="21"/>
          <w:lang w:eastAsia="it-IT" w:bidi="en-GB"/>
        </w:rPr>
        <w:t>hitā</w:t>
      </w:r>
      <w:r>
        <w:rPr>
          <w:rFonts w:eastAsia="Arial Unicode MS" w:cs="Times New Roman"/>
          <w:szCs w:val="21"/>
          <w:lang w:eastAsia="it-IT" w:bidi="en-GB"/>
        </w:rPr>
        <w:t xml:space="preserve"> and the composition of the earliest </w:t>
      </w:r>
      <w:r>
        <w:rPr>
          <w:rFonts w:eastAsia="Arial Unicode MS" w:cs="Times New Roman"/>
          <w:szCs w:val="21"/>
          <w:lang w:eastAsia="it-IT" w:bidi="en-GB"/>
        </w:rPr>
        <w:t>post-R̥gvedic Sa</w:t>
      </w:r>
      <w:r>
        <w:rPr>
          <w:rFonts w:eastAsia="Arial Unicode MS" w:cs="Times New Roman"/>
          <w:szCs w:val="21"/>
          <w:lang w:eastAsia="it-IT" w:bidi="en-GB"/>
        </w:rPr>
        <w:t>ṃ</w:t>
      </w:r>
      <w:r>
        <w:rPr>
          <w:rFonts w:eastAsia="Arial Unicode MS" w:cs="Times New Roman"/>
          <w:szCs w:val="21"/>
          <w:lang w:eastAsia="it-IT" w:bidi="en-GB"/>
        </w:rPr>
        <w:t>hitās  and which is called the Floating Mantra Period. Along Witzel’s</w:t>
      </w:r>
      <w:r>
        <w:rPr>
          <w:rStyle w:val="FootnoteAnchor"/>
          <w:rFonts w:eastAsia="Arial Unicode MS" w:cs="Times New Roman"/>
          <w:szCs w:val="21"/>
          <w:lang w:eastAsia="it-IT" w:bidi="en-GB"/>
        </w:rPr>
        <w:footnoteReference w:id="120"/>
      </w:r>
      <w:r>
        <w:rPr>
          <w:rFonts w:eastAsia="Arial Unicode MS" w:cs="Times New Roman"/>
          <w:szCs w:val="21"/>
          <w:lang w:eastAsia="it-IT" w:bidi="en-GB"/>
        </w:rPr>
        <w:t xml:space="preserve">  division of the textual strata, this represents the second level after that of the R̥V and to this second level we can trace back the </w:t>
      </w:r>
      <w:r>
        <w:rPr>
          <w:rFonts w:eastAsia="Arial Unicode MS" w:cs="Times New Roman"/>
          <w:i/>
          <w:iCs/>
          <w:szCs w:val="21"/>
          <w:lang w:eastAsia="it-IT" w:bidi="en-GB"/>
        </w:rPr>
        <w:t>mantra</w:t>
      </w:r>
      <w:r>
        <w:rPr>
          <w:rFonts w:eastAsia="Arial Unicode MS" w:cs="Times New Roman"/>
          <w:szCs w:val="21"/>
          <w:lang w:eastAsia="it-IT" w:bidi="en-GB"/>
        </w:rPr>
        <w:t xml:space="preserve"> parts of some Yajurvedic </w:t>
      </w:r>
      <w:r>
        <w:rPr>
          <w:rFonts w:eastAsia="Arial Unicode MS" w:cs="Times New Roman"/>
          <w:i/>
          <w:iCs/>
          <w:szCs w:val="21"/>
          <w:lang w:eastAsia="it-IT" w:bidi="en-GB"/>
        </w:rPr>
        <w:t>śākhās</w:t>
      </w:r>
      <w:r>
        <w:rPr>
          <w:rFonts w:eastAsia="Arial Unicode MS" w:cs="Times New Roman"/>
          <w:szCs w:val="21"/>
          <w:lang w:eastAsia="it-IT" w:bidi="en-GB"/>
        </w:rPr>
        <w:t>’ texts as part of the</w:t>
      </w:r>
      <w:r>
        <w:rPr>
          <w:rFonts w:eastAsia="Arial Unicode MS" w:cs="Times New Roman"/>
          <w:i/>
          <w:iCs/>
          <w:szCs w:val="21"/>
          <w:lang w:eastAsia="it-IT" w:bidi="en-GB"/>
        </w:rPr>
        <w:t xml:space="preserve"> Kā</w:t>
      </w:r>
      <w:r>
        <w:rPr>
          <w:rFonts w:eastAsia="Arial Unicode MS" w:cs="Times New Roman"/>
          <w:i/>
          <w:iCs/>
          <w:szCs w:val="21"/>
          <w:lang w:eastAsia="it-IT" w:bidi="en-GB"/>
        </w:rPr>
        <w:t>ṭ</w:t>
      </w:r>
      <w:r>
        <w:rPr>
          <w:rFonts w:eastAsia="Arial Unicode MS" w:cs="Times New Roman"/>
          <w:i/>
          <w:iCs/>
          <w:szCs w:val="21"/>
          <w:lang w:eastAsia="it-IT" w:bidi="en-GB"/>
        </w:rPr>
        <w:t>ha Sa</w:t>
      </w:r>
      <w:r>
        <w:rPr>
          <w:rFonts w:eastAsia="Arial Unicode MS" w:cs="Times New Roman"/>
          <w:i/>
          <w:iCs/>
          <w:szCs w:val="21"/>
          <w:lang w:eastAsia="it-IT" w:bidi="en-GB"/>
        </w:rPr>
        <w:t>ṃ</w:t>
      </w:r>
      <w:r>
        <w:rPr>
          <w:rFonts w:eastAsia="Arial Unicode MS" w:cs="Times New Roman"/>
          <w:i/>
          <w:iCs/>
          <w:szCs w:val="21"/>
          <w:lang w:eastAsia="it-IT" w:bidi="en-GB"/>
        </w:rPr>
        <w:t>hitā</w:t>
      </w:r>
      <w:r>
        <w:rPr>
          <w:rFonts w:eastAsia="Arial Unicode MS" w:cs="Times New Roman"/>
          <w:szCs w:val="21"/>
          <w:lang w:eastAsia="it-IT" w:bidi="en-GB"/>
        </w:rPr>
        <w:t xml:space="preserve"> and </w:t>
      </w:r>
      <w:r>
        <w:rPr>
          <w:rFonts w:eastAsia="Arial Unicode MS" w:cs="Times New Roman"/>
          <w:i/>
          <w:iCs/>
          <w:szCs w:val="21"/>
          <w:lang w:eastAsia="it-IT" w:bidi="en-GB"/>
        </w:rPr>
        <w:t>Maitrayā</w:t>
      </w:r>
      <w:r>
        <w:rPr>
          <w:rFonts w:eastAsia="Arial Unicode MS" w:cs="Times New Roman"/>
          <w:i/>
          <w:iCs/>
          <w:szCs w:val="21"/>
          <w:lang w:eastAsia="it-IT" w:bidi="en-GB"/>
        </w:rPr>
        <w:t>ṇ</w:t>
      </w:r>
      <w:r>
        <w:rPr>
          <w:rFonts w:eastAsia="Arial Unicode MS" w:cs="Times New Roman"/>
          <w:i/>
          <w:iCs/>
          <w:szCs w:val="21"/>
          <w:lang w:eastAsia="it-IT" w:bidi="en-GB"/>
        </w:rPr>
        <w:t>ī Sa</w:t>
      </w:r>
      <w:r>
        <w:rPr>
          <w:rFonts w:eastAsia="Arial Unicode MS" w:cs="Times New Roman"/>
          <w:i/>
          <w:iCs/>
          <w:szCs w:val="21"/>
          <w:lang w:eastAsia="it-IT" w:bidi="en-GB"/>
        </w:rPr>
        <w:t>ṃ</w:t>
      </w:r>
      <w:r>
        <w:rPr>
          <w:rFonts w:eastAsia="Arial Unicode MS" w:cs="Times New Roman"/>
          <w:i/>
          <w:iCs/>
          <w:szCs w:val="21"/>
          <w:lang w:eastAsia="it-IT" w:bidi="en-GB"/>
        </w:rPr>
        <w:t>hitā</w:t>
      </w:r>
      <w:r>
        <w:rPr>
          <w:rFonts w:eastAsia="Arial Unicode MS" w:cs="Times New Roman"/>
          <w:szCs w:val="21"/>
          <w:lang w:eastAsia="it-IT" w:bidi="en-GB"/>
        </w:rPr>
        <w:t xml:space="preserve">. The expository prose (the </w:t>
      </w:r>
      <w:r>
        <w:rPr>
          <w:rFonts w:eastAsia="Arial Unicode MS" w:cs="Times New Roman"/>
          <w:i/>
          <w:iCs/>
          <w:szCs w:val="21"/>
          <w:lang w:eastAsia="it-IT" w:bidi="en-GB"/>
        </w:rPr>
        <w:t>brāhma</w:t>
      </w:r>
      <w:r>
        <w:rPr>
          <w:rFonts w:eastAsia="Arial Unicode MS" w:cs="Times New Roman"/>
          <w:i/>
          <w:iCs/>
          <w:szCs w:val="21"/>
          <w:lang w:eastAsia="it-IT" w:bidi="en-GB"/>
        </w:rPr>
        <w:t>ṇ</w:t>
      </w:r>
      <w:r>
        <w:rPr>
          <w:rFonts w:eastAsia="Arial Unicode MS" w:cs="Times New Roman"/>
          <w:i/>
          <w:iCs/>
          <w:szCs w:val="21"/>
          <w:lang w:eastAsia="it-IT" w:bidi="en-GB"/>
        </w:rPr>
        <w:t>a</w:t>
      </w:r>
      <w:r>
        <w:rPr>
          <w:rFonts w:eastAsia="Arial Unicode MS" w:cs="Times New Roman"/>
          <w:szCs w:val="21"/>
          <w:lang w:eastAsia="it-IT" w:bidi="en-GB"/>
        </w:rPr>
        <w:t xml:space="preserve"> parts) of the YV represents the third level, while the early Brāhma</w:t>
      </w:r>
      <w:r>
        <w:rPr>
          <w:rFonts w:eastAsia="Arial Unicode MS" w:cs="Times New Roman"/>
          <w:szCs w:val="21"/>
          <w:lang w:eastAsia="it-IT" w:bidi="en-GB"/>
        </w:rPr>
        <w:t>ṇ</w:t>
      </w:r>
      <w:r>
        <w:rPr>
          <w:rFonts w:eastAsia="Arial Unicode MS" w:cs="Times New Roman"/>
          <w:szCs w:val="21"/>
          <w:lang w:eastAsia="it-IT" w:bidi="en-GB"/>
        </w:rPr>
        <w:t>as are can be considered the fourth.</w:t>
      </w:r>
    </w:p>
    <w:p w14:paraId="7CA3648B" w14:textId="77777777" w:rsidR="00E53EB6" w:rsidRDefault="006500F5">
      <w:pPr>
        <w:pStyle w:val="HaupttextohneEinzug"/>
        <w:rPr>
          <w:rFonts w:eastAsia="Arial Unicode MS" w:cs="Times New Roman"/>
          <w:szCs w:val="21"/>
          <w:lang w:eastAsia="it-IT" w:bidi="en-GB"/>
        </w:rPr>
      </w:pPr>
      <w:r>
        <w:rPr>
          <w:rFonts w:eastAsia="Arial Unicode MS" w:cs="Times New Roman"/>
          <w:szCs w:val="21"/>
          <w:lang w:eastAsia="it-IT" w:bidi="en-GB"/>
        </w:rPr>
        <w:t>These levels can be subsumed under three major pe</w:t>
      </w:r>
      <w:r>
        <w:rPr>
          <w:rFonts w:eastAsia="Arial Unicode MS" w:cs="Times New Roman"/>
          <w:szCs w:val="21"/>
          <w:lang w:eastAsia="it-IT" w:bidi="en-GB"/>
        </w:rPr>
        <w:t>riods: the Old Vedic Period, which the R̥V language belongs to, Middle Vedic, containing the YV prose and the early Brāhma</w:t>
      </w:r>
      <w:r>
        <w:rPr>
          <w:rFonts w:eastAsia="Arial Unicode MS" w:cs="Times New Roman"/>
          <w:szCs w:val="21"/>
          <w:lang w:eastAsia="it-IT" w:bidi="en-GB"/>
        </w:rPr>
        <w:t>ṇ</w:t>
      </w:r>
      <w:r>
        <w:rPr>
          <w:rFonts w:eastAsia="Arial Unicode MS" w:cs="Times New Roman"/>
          <w:szCs w:val="21"/>
          <w:lang w:eastAsia="it-IT" w:bidi="en-GB"/>
        </w:rPr>
        <w:t xml:space="preserve">as which can be traced back to the establishment and further enlargement of the Kuru territories, and to the union of this clan with </w:t>
      </w:r>
      <w:r>
        <w:rPr>
          <w:rFonts w:eastAsia="Arial Unicode MS" w:cs="Times New Roman"/>
          <w:szCs w:val="21"/>
          <w:lang w:eastAsia="it-IT" w:bidi="en-GB"/>
        </w:rPr>
        <w:t>the other Vedic tribal moiety, the Pañcāla. Right at the beginning of the Kuru hegemony stands the Mantra typology; finally, the third period is the late Vedic one with textual evidence of the late Brāhma</w:t>
      </w:r>
      <w:r>
        <w:rPr>
          <w:rFonts w:eastAsia="Arial Unicode MS" w:cs="Times New Roman"/>
          <w:szCs w:val="21"/>
          <w:lang w:eastAsia="it-IT" w:bidi="en-GB"/>
        </w:rPr>
        <w:t>ṇ</w:t>
      </w:r>
      <w:r>
        <w:rPr>
          <w:rFonts w:eastAsia="Arial Unicode MS" w:cs="Times New Roman"/>
          <w:szCs w:val="21"/>
          <w:lang w:eastAsia="it-IT" w:bidi="en-GB"/>
        </w:rPr>
        <w:t>as, Ara</w:t>
      </w:r>
      <w:r>
        <w:rPr>
          <w:rFonts w:eastAsia="Arial Unicode MS" w:cs="Times New Roman"/>
          <w:szCs w:val="21"/>
          <w:lang w:eastAsia="it-IT" w:bidi="en-GB"/>
        </w:rPr>
        <w:t>ṇ</w:t>
      </w:r>
      <w:r>
        <w:rPr>
          <w:rFonts w:eastAsia="Arial Unicode MS" w:cs="Times New Roman"/>
          <w:szCs w:val="21"/>
          <w:lang w:eastAsia="it-IT" w:bidi="en-GB"/>
        </w:rPr>
        <w:t>yakas and Upani</w:t>
      </w:r>
      <w:r>
        <w:rPr>
          <w:rFonts w:eastAsia="Arial Unicode MS" w:cs="Times New Roman"/>
          <w:szCs w:val="21"/>
          <w:lang w:eastAsia="it-IT" w:bidi="en-GB"/>
        </w:rPr>
        <w:t>ṣ</w:t>
      </w:r>
      <w:r>
        <w:rPr>
          <w:rFonts w:eastAsia="Arial Unicode MS" w:cs="Times New Roman"/>
          <w:szCs w:val="21"/>
          <w:lang w:eastAsia="it-IT" w:bidi="en-GB"/>
        </w:rPr>
        <w:t>ads.</w:t>
      </w:r>
    </w:p>
    <w:p w14:paraId="2355142C" w14:textId="77777777" w:rsidR="00E53EB6" w:rsidRDefault="00E53EB6">
      <w:pPr>
        <w:pStyle w:val="HaupttextohneEinzug"/>
        <w:spacing w:line="283" w:lineRule="exact"/>
        <w:rPr>
          <w:rFonts w:eastAsia="Arial Unicode MS" w:cs="Times New Roman"/>
          <w:szCs w:val="21"/>
          <w:lang w:eastAsia="it-IT" w:bidi="en-GB"/>
        </w:rPr>
      </w:pPr>
    </w:p>
    <w:p w14:paraId="11F39036" w14:textId="77777777" w:rsidR="00E53EB6" w:rsidRDefault="006500F5">
      <w:pPr>
        <w:pStyle w:val="HaupttextohneEinzug"/>
        <w:rPr>
          <w:rFonts w:eastAsia="Arial Unicode MS" w:cs="Times New Roman"/>
          <w:szCs w:val="21"/>
          <w:lang w:eastAsia="it-IT" w:bidi="en-GB"/>
        </w:rPr>
      </w:pPr>
      <w:r>
        <w:rPr>
          <w:rFonts w:eastAsia="Arial Unicode MS" w:cs="Times New Roman"/>
          <w:szCs w:val="21"/>
          <w:lang w:eastAsia="it-IT" w:bidi="en-GB"/>
        </w:rPr>
        <w:t>Bharata-Pūru:</w:t>
      </w:r>
    </w:p>
    <w:p w14:paraId="47F0323F" w14:textId="77777777" w:rsidR="00E53EB6" w:rsidRDefault="006500F5">
      <w:pPr>
        <w:pStyle w:val="HaupttextohneEinzug"/>
        <w:rPr>
          <w:rFonts w:eastAsia="Arial Unicode MS" w:cs="Times New Roman"/>
          <w:szCs w:val="21"/>
          <w:lang w:eastAsia="it-IT" w:bidi="en-GB"/>
        </w:rPr>
      </w:pPr>
      <w:r>
        <w:rPr>
          <w:rFonts w:eastAsia="Arial Unicode MS" w:cs="Times New Roman"/>
          <w:szCs w:val="21"/>
          <w:lang w:eastAsia="it-IT" w:bidi="en-GB"/>
        </w:rPr>
        <w:t xml:space="preserve">1. R̥V </w:t>
      </w:r>
      <w:r>
        <w:rPr>
          <w:rFonts w:eastAsia="Arial Unicode MS" w:cs="Times New Roman"/>
          <w:szCs w:val="21"/>
          <w:lang w:eastAsia="it-IT" w:bidi="en-GB"/>
        </w:rPr>
        <w:t xml:space="preserve">→ 2-7 bulk + 1.51 – 1.191 &amp; 8 (recast after the victory of the Bharata-Pūru) </w:t>
      </w:r>
    </w:p>
    <w:p w14:paraId="64C4716D" w14:textId="77777777" w:rsidR="00E53EB6" w:rsidRDefault="00E53EB6">
      <w:pPr>
        <w:pStyle w:val="HaupttextohneEinzug"/>
        <w:rPr>
          <w:rFonts w:eastAsia="Arial Unicode MS" w:cs="Times New Roman"/>
          <w:szCs w:val="21"/>
          <w:lang w:eastAsia="it-IT" w:bidi="en-GB"/>
        </w:rPr>
      </w:pPr>
    </w:p>
    <w:p w14:paraId="5F405AEE" w14:textId="77777777" w:rsidR="00E53EB6" w:rsidRDefault="006500F5">
      <w:pPr>
        <w:pStyle w:val="HaupttextohneEinzug"/>
        <w:rPr>
          <w:rFonts w:eastAsia="Arial Unicode MS" w:cs="Times New Roman"/>
          <w:szCs w:val="21"/>
          <w:lang w:eastAsia="it-IT" w:bidi="en-GB"/>
        </w:rPr>
      </w:pPr>
      <w:r>
        <w:rPr>
          <w:rFonts w:eastAsia="Arial Unicode MS" w:cs="Times New Roman"/>
          <w:szCs w:val="21"/>
          <w:lang w:eastAsia="it-IT" w:bidi="en-GB"/>
        </w:rPr>
        <w:t xml:space="preserve"> - gap -</w:t>
      </w:r>
    </w:p>
    <w:p w14:paraId="42ED51B9" w14:textId="77777777" w:rsidR="00E53EB6" w:rsidRDefault="00E53EB6">
      <w:pPr>
        <w:pStyle w:val="HaupttextohneEinzug"/>
        <w:rPr>
          <w:rFonts w:eastAsia="Arial Unicode MS" w:cs="Times New Roman"/>
          <w:szCs w:val="21"/>
          <w:lang w:eastAsia="it-IT" w:bidi="en-GB"/>
        </w:rPr>
      </w:pPr>
    </w:p>
    <w:p w14:paraId="25650A50" w14:textId="77777777" w:rsidR="00E53EB6" w:rsidRDefault="006500F5">
      <w:pPr>
        <w:pStyle w:val="HaupttextohneEinzug"/>
        <w:rPr>
          <w:rFonts w:eastAsia="Arial Unicode MS" w:cs="Times New Roman"/>
          <w:szCs w:val="21"/>
          <w:lang w:eastAsia="it-IT" w:bidi="en-GB"/>
        </w:rPr>
      </w:pPr>
      <w:r>
        <w:rPr>
          <w:rFonts w:eastAsia="Arial Unicode MS" w:cs="Times New Roman"/>
          <w:szCs w:val="21"/>
          <w:lang w:eastAsia="it-IT" w:bidi="en-GB"/>
        </w:rPr>
        <w:t>Kuru:   Middle Vedic</w:t>
      </w:r>
    </w:p>
    <w:p w14:paraId="30496C51" w14:textId="77777777" w:rsidR="00E53EB6" w:rsidRDefault="006500F5">
      <w:pPr>
        <w:pStyle w:val="HaupttextohneEinzug"/>
        <w:rPr>
          <w:rFonts w:eastAsia="Arial Unicode MS" w:cs="Times New Roman"/>
          <w:szCs w:val="21"/>
          <w:lang w:eastAsia="it-IT" w:bidi="en-GB"/>
        </w:rPr>
      </w:pPr>
      <w:r>
        <w:rPr>
          <w:rFonts w:eastAsia="Arial Unicode MS" w:cs="Times New Roman"/>
          <w:szCs w:val="21"/>
          <w:lang w:eastAsia="it-IT" w:bidi="en-GB"/>
        </w:rPr>
        <w:t xml:space="preserve">1. Redaction and re-arrangement of the R̥V canon (close to the one we have, cf. </w:t>
      </w:r>
      <w:r>
        <w:rPr>
          <w:rFonts w:eastAsia="Arial Unicode MS" w:cs="Times New Roman"/>
          <w:i/>
          <w:iCs/>
          <w:szCs w:val="21"/>
          <w:lang w:eastAsia="it-IT" w:bidi="en-GB"/>
        </w:rPr>
        <w:t>orthoepic</w:t>
      </w:r>
      <w:r>
        <w:rPr>
          <w:rFonts w:eastAsia="Arial Unicode MS" w:cs="Times New Roman"/>
          <w:szCs w:val="21"/>
          <w:lang w:eastAsia="it-IT" w:bidi="en-GB"/>
        </w:rPr>
        <w:t xml:space="preserve"> </w:t>
      </w:r>
      <w:r>
        <w:rPr>
          <w:rFonts w:eastAsia="Arial Unicode MS" w:cs="Times New Roman"/>
          <w:i/>
          <w:iCs/>
          <w:szCs w:val="21"/>
          <w:lang w:eastAsia="it-IT" w:bidi="en-GB"/>
        </w:rPr>
        <w:t>diaskeuasis</w:t>
      </w:r>
      <w:r>
        <w:rPr>
          <w:rFonts w:eastAsia="Arial Unicode MS" w:cs="Times New Roman"/>
          <w:szCs w:val="21"/>
          <w:lang w:eastAsia="it-IT" w:bidi="en-GB"/>
        </w:rPr>
        <w:t>)</w:t>
      </w:r>
    </w:p>
    <w:p w14:paraId="0BCD1D52" w14:textId="77777777" w:rsidR="00E53EB6" w:rsidRDefault="006500F5">
      <w:pPr>
        <w:pStyle w:val="HaupttextohneEinzug"/>
        <w:rPr>
          <w:rFonts w:eastAsia="Arial Unicode MS" w:cs="Times New Roman"/>
          <w:szCs w:val="21"/>
          <w:lang w:eastAsia="it-IT" w:bidi="en-GB"/>
        </w:rPr>
      </w:pPr>
      <w:r>
        <w:rPr>
          <w:rFonts w:eastAsia="Arial Unicode MS" w:cs="Times New Roman"/>
          <w:szCs w:val="21"/>
          <w:lang w:eastAsia="it-IT" w:bidi="en-GB"/>
        </w:rPr>
        <w:t xml:space="preserve">2. Floating Mantra Period: formation of the </w:t>
      </w:r>
      <w:r>
        <w:rPr>
          <w:rFonts w:eastAsia="Arial Unicode MS" w:cs="Times New Roman"/>
          <w:i/>
          <w:iCs/>
          <w:szCs w:val="21"/>
          <w:lang w:eastAsia="it-IT" w:bidi="en-GB"/>
        </w:rPr>
        <w:t>mantras</w:t>
      </w:r>
      <w:r>
        <w:rPr>
          <w:rFonts w:eastAsia="Arial Unicode MS" w:cs="Times New Roman"/>
          <w:szCs w:val="21"/>
          <w:lang w:eastAsia="it-IT" w:bidi="en-GB"/>
        </w:rPr>
        <w:t xml:space="preserve"> in the Ur-YV; Ur-Sāmaveda; Ur-Atharvaveda.  → composition of MS, KS, PS (Mantra typology).</w:t>
      </w:r>
    </w:p>
    <w:p w14:paraId="56EA879D" w14:textId="77777777" w:rsidR="00E53EB6" w:rsidRDefault="006500F5">
      <w:pPr>
        <w:pStyle w:val="HaupttextohneEinzug"/>
        <w:rPr>
          <w:rFonts w:eastAsia="Arial Unicode MS" w:cs="Times New Roman"/>
          <w:szCs w:val="21"/>
          <w:lang w:eastAsia="it-IT" w:bidi="en-GB"/>
        </w:rPr>
      </w:pPr>
      <w:r>
        <w:rPr>
          <w:rFonts w:eastAsia="Arial Unicode MS" w:cs="Times New Roman"/>
          <w:szCs w:val="21"/>
          <w:lang w:eastAsia="it-IT" w:bidi="en-GB"/>
        </w:rPr>
        <w:t xml:space="preserve"> </w:t>
      </w:r>
    </w:p>
    <w:p w14:paraId="7E616E0B" w14:textId="77777777" w:rsidR="00E53EB6" w:rsidRDefault="006500F5">
      <w:pPr>
        <w:pStyle w:val="HaupttextohneEinzug"/>
        <w:rPr>
          <w:rFonts w:eastAsia="Arial Unicode MS" w:cs="Times New Roman"/>
          <w:szCs w:val="21"/>
          <w:lang w:eastAsia="it-IT" w:bidi="en-GB"/>
        </w:rPr>
      </w:pPr>
      <w:r>
        <w:rPr>
          <w:rFonts w:eastAsia="Arial Unicode MS" w:cs="Times New Roman"/>
          <w:szCs w:val="21"/>
          <w:lang w:eastAsia="it-IT" w:bidi="en-GB"/>
        </w:rPr>
        <w:t>Kuru-Pañcāla: Middle Vedic</w:t>
      </w:r>
    </w:p>
    <w:p w14:paraId="7AC79E4B" w14:textId="77777777" w:rsidR="00E53EB6" w:rsidRDefault="006500F5">
      <w:pPr>
        <w:pStyle w:val="HaupttextohneEinzug"/>
        <w:rPr>
          <w:rFonts w:eastAsia="Arial Unicode MS" w:cs="Times New Roman"/>
          <w:szCs w:val="21"/>
          <w:lang w:eastAsia="it-IT" w:bidi="en-GB"/>
        </w:rPr>
      </w:pPr>
      <w:r>
        <w:rPr>
          <w:rFonts w:eastAsia="Arial Unicode MS" w:cs="Times New Roman"/>
          <w:szCs w:val="21"/>
          <w:lang w:eastAsia="it-IT" w:bidi="en-GB"/>
        </w:rPr>
        <w:t>1. Mantra typology: TS, ŚS.</w:t>
      </w:r>
    </w:p>
    <w:p w14:paraId="57109EA7" w14:textId="77777777" w:rsidR="00E53EB6" w:rsidRDefault="006500F5">
      <w:pPr>
        <w:pStyle w:val="HaupttextohneEinzug"/>
        <w:rPr>
          <w:rFonts w:eastAsia="Arial Unicode MS" w:cs="Times New Roman"/>
          <w:szCs w:val="21"/>
          <w:lang w:eastAsia="it-IT" w:bidi="en-GB"/>
        </w:rPr>
      </w:pPr>
      <w:r>
        <w:rPr>
          <w:rFonts w:eastAsia="Arial Unicode MS" w:cs="Times New Roman"/>
          <w:szCs w:val="21"/>
          <w:lang w:eastAsia="it-IT" w:bidi="en-GB"/>
        </w:rPr>
        <w:t>2. Yajurveda Prose (</w:t>
      </w:r>
      <w:r>
        <w:rPr>
          <w:rFonts w:eastAsia="Arial Unicode MS" w:cs="Times New Roman"/>
          <w:i/>
          <w:iCs/>
          <w:szCs w:val="21"/>
          <w:lang w:eastAsia="it-IT" w:bidi="en-GB"/>
        </w:rPr>
        <w:t>brāhma</w:t>
      </w:r>
      <w:r>
        <w:rPr>
          <w:rFonts w:eastAsia="Arial Unicode MS" w:cs="Times New Roman"/>
          <w:i/>
          <w:iCs/>
          <w:szCs w:val="21"/>
          <w:lang w:eastAsia="it-IT" w:bidi="en-GB"/>
        </w:rPr>
        <w:t>ṇ</w:t>
      </w:r>
      <w:r>
        <w:rPr>
          <w:rFonts w:eastAsia="Arial Unicode MS" w:cs="Times New Roman"/>
          <w:i/>
          <w:iCs/>
          <w:szCs w:val="21"/>
          <w:lang w:eastAsia="it-IT" w:bidi="en-GB"/>
        </w:rPr>
        <w:t>a</w:t>
      </w:r>
      <w:r>
        <w:rPr>
          <w:rFonts w:eastAsia="Arial Unicode MS" w:cs="Times New Roman"/>
          <w:szCs w:val="21"/>
          <w:lang w:eastAsia="it-IT" w:bidi="en-GB"/>
        </w:rPr>
        <w:t xml:space="preserve">-prose) </w:t>
      </w:r>
    </w:p>
    <w:p w14:paraId="33A34CCD" w14:textId="77777777" w:rsidR="00E53EB6" w:rsidRDefault="006500F5">
      <w:pPr>
        <w:pStyle w:val="HaupttextohneEinzug"/>
        <w:rPr>
          <w:rFonts w:eastAsia="Arial Unicode MS" w:cs="Times New Roman"/>
          <w:szCs w:val="21"/>
          <w:lang w:eastAsia="it-IT" w:bidi="en-GB"/>
        </w:rPr>
      </w:pPr>
      <w:r>
        <w:rPr>
          <w:rFonts w:eastAsia="Arial Unicode MS" w:cs="Times New Roman"/>
          <w:szCs w:val="21"/>
          <w:lang w:eastAsia="it-IT" w:bidi="en-GB"/>
        </w:rPr>
        <w:t>3. Early Brāhma</w:t>
      </w:r>
      <w:r>
        <w:rPr>
          <w:rFonts w:eastAsia="Arial Unicode MS" w:cs="Times New Roman"/>
          <w:szCs w:val="21"/>
          <w:lang w:eastAsia="it-IT" w:bidi="en-GB"/>
        </w:rPr>
        <w:t>ṇ</w:t>
      </w:r>
      <w:r>
        <w:rPr>
          <w:rFonts w:eastAsia="Arial Unicode MS" w:cs="Times New Roman"/>
          <w:szCs w:val="21"/>
          <w:lang w:eastAsia="it-IT" w:bidi="en-GB"/>
        </w:rPr>
        <w:t>as</w:t>
      </w:r>
    </w:p>
    <w:p w14:paraId="1AC6300A" w14:textId="77777777" w:rsidR="00E53EB6" w:rsidRDefault="00E53EB6">
      <w:pPr>
        <w:pStyle w:val="HaupttextohneEinzug"/>
        <w:spacing w:line="283" w:lineRule="exact"/>
        <w:ind w:left="720"/>
        <w:rPr>
          <w:rFonts w:eastAsia="Arial Unicode MS" w:cs="Times New Roman"/>
          <w:szCs w:val="21"/>
          <w:lang w:eastAsia="it-IT" w:bidi="en-GB"/>
        </w:rPr>
      </w:pPr>
    </w:p>
    <w:p w14:paraId="402DA1C3" w14:textId="77777777" w:rsidR="00E53EB6" w:rsidRDefault="006500F5">
      <w:pPr>
        <w:pStyle w:val="HaupttextohneEinzug"/>
        <w:spacing w:line="283" w:lineRule="exact"/>
        <w:rPr>
          <w:rFonts w:eastAsia="Arial Unicode MS" w:cs="Times New Roman"/>
          <w:szCs w:val="21"/>
          <w:lang w:eastAsia="it-IT" w:bidi="en-GB"/>
        </w:rPr>
      </w:pPr>
      <w:r>
        <w:rPr>
          <w:rFonts w:eastAsia="Arial Unicode MS" w:cs="Times New Roman"/>
          <w:szCs w:val="21"/>
          <w:lang w:eastAsia="it-IT" w:bidi="en-GB"/>
        </w:rPr>
        <w:t>Though this division needs much of fine tuning and, concerning the single text, is very provisional, we may dare to use the big division between a Mantra Language and a Prose Language including the expository prose of the Yajurveda Sa</w:t>
      </w:r>
      <w:r>
        <w:rPr>
          <w:rFonts w:eastAsia="Arial Unicode MS" w:cs="Times New Roman"/>
          <w:szCs w:val="21"/>
          <w:lang w:eastAsia="it-IT" w:bidi="en-GB"/>
        </w:rPr>
        <w:t>ṃ</w:t>
      </w:r>
      <w:r>
        <w:rPr>
          <w:rFonts w:eastAsia="Arial Unicode MS" w:cs="Times New Roman"/>
          <w:szCs w:val="21"/>
          <w:lang w:eastAsia="it-IT" w:bidi="en-GB"/>
        </w:rPr>
        <w:t xml:space="preserve">hitās and the later </w:t>
      </w:r>
      <w:r>
        <w:rPr>
          <w:rFonts w:eastAsia="Arial Unicode MS" w:cs="Times New Roman"/>
          <w:szCs w:val="21"/>
          <w:lang w:eastAsia="it-IT" w:bidi="en-GB"/>
        </w:rPr>
        <w:t>Brāhma</w:t>
      </w:r>
      <w:r>
        <w:rPr>
          <w:rFonts w:eastAsia="Arial Unicode MS" w:cs="Times New Roman"/>
          <w:szCs w:val="21"/>
          <w:lang w:eastAsia="it-IT" w:bidi="en-GB"/>
        </w:rPr>
        <w:t>ṇ</w:t>
      </w:r>
      <w:r>
        <w:rPr>
          <w:rFonts w:eastAsia="Arial Unicode MS" w:cs="Times New Roman"/>
          <w:szCs w:val="21"/>
          <w:lang w:eastAsia="it-IT" w:bidi="en-GB"/>
        </w:rPr>
        <w:t>a prose.</w:t>
      </w:r>
    </w:p>
    <w:p w14:paraId="31A37D2C" w14:textId="77777777" w:rsidR="00E53EB6" w:rsidRDefault="00E53EB6">
      <w:pPr>
        <w:pStyle w:val="HaupttextohneEinzug"/>
        <w:rPr>
          <w:rFonts w:eastAsia="Arial Unicode MS" w:cs="Times New Roman"/>
          <w:i/>
          <w:iCs/>
          <w:szCs w:val="21"/>
          <w:shd w:val="clear" w:color="auto" w:fill="0099FF"/>
          <w:lang w:eastAsia="it-IT" w:bidi="en-GB"/>
        </w:rPr>
      </w:pPr>
    </w:p>
    <w:p w14:paraId="6805D7D3" w14:textId="77777777" w:rsidR="00E53EB6" w:rsidRDefault="006500F5">
      <w:pPr>
        <w:pStyle w:val="Heading3"/>
        <w:tabs>
          <w:tab w:val="left" w:pos="0"/>
        </w:tabs>
        <w:rPr>
          <w:rFonts w:ascii="Sabon Unicode" w:hAnsi="Sabon Unicode"/>
        </w:rPr>
      </w:pPr>
      <w:r>
        <w:rPr>
          <w:rFonts w:ascii="Sabon Unicode" w:hAnsi="Sabon Unicode"/>
        </w:rPr>
        <w:t>III.1.2</w:t>
      </w:r>
      <w:r>
        <w:rPr>
          <w:rFonts w:ascii="Sabon Unicode" w:hAnsi="Sabon Unicode"/>
        </w:rPr>
        <w:tab/>
        <w:t>The Ritual Context</w:t>
      </w:r>
    </w:p>
    <w:p w14:paraId="4335A77F" w14:textId="77777777" w:rsidR="00E53EB6" w:rsidRDefault="006500F5">
      <w:pPr>
        <w:pStyle w:val="Hauptext"/>
      </w:pPr>
      <w:r>
        <w:t>The rituals we know are the legacy of tribes developing from nomadic and almost autonomous groups of clans, as suggested by the theory of fission and fusion, to a much more hierarchic and fixed society. Whereas t</w:t>
      </w:r>
      <w:r>
        <w:t xml:space="preserve">he hymns do not give many clues as to the </w:t>
      </w:r>
      <w:r>
        <w:rPr>
          <w:i/>
          <w:iCs/>
        </w:rPr>
        <w:t>realia,</w:t>
      </w:r>
      <w:r>
        <w:t xml:space="preserve"> i.e. to the actual world in which they have been composed, a</w:t>
      </w:r>
      <w:r>
        <w:t xml:space="preserve">lready the earlier social settlement we suggested is somehow mirrored in the </w:t>
      </w:r>
      <w:r>
        <w:rPr>
          <w:i/>
          <w:iCs/>
        </w:rPr>
        <w:t>R̥gveda Sa</w:t>
      </w:r>
      <w:r>
        <w:rPr>
          <w:i/>
          <w:iCs/>
        </w:rPr>
        <w:t>ṃ</w:t>
      </w:r>
      <w:r>
        <w:rPr>
          <w:i/>
          <w:iCs/>
        </w:rPr>
        <w:t>hitā</w:t>
      </w:r>
      <w:r>
        <w:t>, e. g. the nomadic feature and the issue of a overwhe</w:t>
      </w:r>
      <w:r>
        <w:t>lming warrior-god like Indra. W</w:t>
      </w:r>
      <w:r>
        <w:rPr>
          <w:rFonts w:eastAsia="Arial Unicode MS" w:cs="Times New Roman"/>
          <w:szCs w:val="21"/>
          <w:lang w:eastAsia="it-IT" w:bidi="en-GB"/>
        </w:rPr>
        <w:t xml:space="preserve">e may go on speculating a correspondence between the alternating moments of </w:t>
      </w:r>
      <w:r>
        <w:rPr>
          <w:rFonts w:eastAsia="Arial Unicode MS" w:cs="Times New Roman"/>
          <w:i/>
          <w:iCs/>
          <w:szCs w:val="21"/>
          <w:lang w:eastAsia="it-IT" w:bidi="en-GB"/>
        </w:rPr>
        <w:t>k</w:t>
      </w:r>
      <w:r>
        <w:rPr>
          <w:rFonts w:eastAsia="Arial Unicode MS" w:cs="Times New Roman"/>
          <w:i/>
          <w:iCs/>
          <w:szCs w:val="21"/>
          <w:lang w:eastAsia="it-IT" w:bidi="en-GB"/>
        </w:rPr>
        <w:t>ṣ</w:t>
      </w:r>
      <w:r>
        <w:rPr>
          <w:rFonts w:eastAsia="Arial Unicode MS" w:cs="Times New Roman"/>
          <w:i/>
          <w:iCs/>
          <w:szCs w:val="21"/>
          <w:lang w:eastAsia="it-IT" w:bidi="en-GB"/>
        </w:rPr>
        <w:t xml:space="preserve">ema </w:t>
      </w:r>
      <w:r>
        <w:rPr>
          <w:rFonts w:eastAsia="Arial Unicode MS" w:cs="Times New Roman"/>
          <w:szCs w:val="21"/>
          <w:lang w:eastAsia="it-IT" w:bidi="en-GB"/>
        </w:rPr>
        <w:t xml:space="preserve">and </w:t>
      </w:r>
      <w:r>
        <w:rPr>
          <w:rFonts w:eastAsia="Arial Unicode MS" w:cs="Times New Roman"/>
          <w:i/>
          <w:iCs/>
          <w:szCs w:val="21"/>
          <w:lang w:eastAsia="it-IT" w:bidi="en-GB"/>
        </w:rPr>
        <w:t>yoga</w:t>
      </w:r>
      <w:r>
        <w:rPr>
          <w:rFonts w:eastAsia="Arial Unicode MS" w:cs="Times New Roman"/>
          <w:szCs w:val="21"/>
          <w:lang w:eastAsia="it-IT" w:bidi="en-GB"/>
        </w:rPr>
        <w:t xml:space="preserve"> and the interpretation of the relation between Indra and Varuṇa as proposed by </w:t>
      </w:r>
      <w:r>
        <w:rPr>
          <w:rStyle w:val="biblio-authorGEN"/>
        </w:rPr>
        <w:t>Oberlies</w:t>
      </w:r>
      <w:r>
        <w:rPr>
          <w:rFonts w:eastAsia="Arial Unicode MS" w:cs="Times New Roman"/>
          <w:szCs w:val="21"/>
          <w:lang w:eastAsia="it-IT" w:bidi="en-GB"/>
        </w:rPr>
        <w:t xml:space="preserve"> (1998):</w:t>
      </w:r>
      <w:r>
        <w:rPr>
          <w:rFonts w:eastAsia="Arial Unicode MS" w:cs="Times New Roman"/>
          <w:szCs w:val="21"/>
          <w:lang w:eastAsia="it-IT" w:bidi="en-GB"/>
        </w:rPr>
        <w:t xml:space="preserve"> the </w:t>
      </w:r>
      <w:r>
        <w:rPr>
          <w:rFonts w:eastAsia="Arial Unicode MS" w:cs="Times New Roman"/>
          <w:szCs w:val="21"/>
          <w:lang w:eastAsia="it-IT" w:bidi="en-GB"/>
        </w:rPr>
        <w:t xml:space="preserve">alternation </w:t>
      </w:r>
      <w:r>
        <w:rPr>
          <w:rFonts w:eastAsia="Arial Unicode MS" w:cs="Times New Roman"/>
          <w:szCs w:val="21"/>
          <w:lang w:eastAsia="it-IT" w:bidi="en-GB"/>
        </w:rPr>
        <w:t>of these two deities and their systems, one of the main features of the Vedic pantheon, could mirror the political dynamics on which those tri</w:t>
      </w:r>
      <w:r>
        <w:rPr>
          <w:rFonts w:eastAsia="Arial Unicode MS" w:cs="Times New Roman"/>
          <w:szCs w:val="21"/>
          <w:lang w:eastAsia="it-IT" w:bidi="en-GB"/>
        </w:rPr>
        <w:t xml:space="preserve">bes were founded. Furthermore, the settling of the Kuru-Pañcāla hegemony </w:t>
      </w:r>
      <w:r>
        <w:t xml:space="preserve"> deeply affected the performance of the sacrifice and the requests it should fulfil. Then, the social and political change entailed a period of restructuring and transformation, where</w:t>
      </w:r>
      <w:r>
        <w:t xml:space="preserve"> many things and aspects within the society were not settled; the social and religious structure itself was not established in the way we find afterwards: “The principal unit responsible for the transmission of the verse liturgies of this </w:t>
      </w:r>
      <w:r>
        <w:rPr>
          <w:i/>
          <w:iCs/>
        </w:rPr>
        <w:t xml:space="preserve">śrauta </w:t>
      </w:r>
      <w:r>
        <w:t xml:space="preserve">system is </w:t>
      </w:r>
      <w:r>
        <w:t xml:space="preserve">the </w:t>
      </w:r>
      <w:r>
        <w:rPr>
          <w:i/>
          <w:iCs/>
        </w:rPr>
        <w:t xml:space="preserve">śākhā, </w:t>
      </w:r>
      <w:r>
        <w:t xml:space="preserve">the “branch” or school, which defines itself by the peculiarities of its transmitted text. However it is significant that the institution of the </w:t>
      </w:r>
      <w:r>
        <w:rPr>
          <w:i/>
          <w:iCs/>
        </w:rPr>
        <w:t xml:space="preserve">śākhā </w:t>
      </w:r>
      <w:r>
        <w:t xml:space="preserve">is not recognised in any </w:t>
      </w:r>
      <w:r>
        <w:rPr>
          <w:i/>
          <w:iCs/>
        </w:rPr>
        <w:t xml:space="preserve">śrauta </w:t>
      </w:r>
      <w:r>
        <w:t>rite.  […]. This strongly suggests that at the time of the cre</w:t>
      </w:r>
      <w:r>
        <w:t xml:space="preserve">ation of the prototype for the </w:t>
      </w:r>
      <w:r>
        <w:rPr>
          <w:i/>
          <w:iCs/>
        </w:rPr>
        <w:t xml:space="preserve">śrauta </w:t>
      </w:r>
      <w:r>
        <w:t xml:space="preserve">liturgy, the </w:t>
      </w:r>
      <w:r>
        <w:rPr>
          <w:i/>
          <w:iCs/>
        </w:rPr>
        <w:t xml:space="preserve">śākhā </w:t>
      </w:r>
      <w:r>
        <w:t>was not yet a recognised social unit”</w:t>
      </w:r>
      <w:r>
        <w:rPr>
          <w:rStyle w:val="FootnoteAnchor"/>
        </w:rPr>
        <w:footnoteReference w:id="121"/>
      </w:r>
      <w:r>
        <w:t xml:space="preserve">. Indeed, in this unstable period of transition, religion played a significant role. </w:t>
      </w:r>
      <w:r>
        <w:t>As we said above, the need of a commonly shared ritual set, endowed the rit</w:t>
      </w:r>
      <w:r>
        <w:t>e with an enormous power, and, at the same time, charged it with an increasing amount of implications and requirements, above all that of being regulated. Indeed, the rite was already the core of the R̥gvedic society</w:t>
      </w:r>
      <w:r>
        <w:rPr>
          <w:rStyle w:val="FootnoteAnchor"/>
        </w:rPr>
        <w:footnoteReference w:id="122"/>
      </w:r>
      <w:r>
        <w:t>, sacrifice was the leading element wi</w:t>
      </w:r>
      <w:r>
        <w:t xml:space="preserve">thin the world view of the Vedic man: it was the binding, mandatory condition in order to acquire any goods, it stood as the </w:t>
      </w:r>
      <w:r>
        <w:lastRenderedPageBreak/>
        <w:t>junction between the divine and the human realm; the presence of the gods was re-established in the  sacrifice every time again, he</w:t>
      </w:r>
      <w:r>
        <w:t>nce it was the prerequisite for their epiphany. It represented the layer in the middle, the intermediate stage between the human microcosm and the divine macrocosm, and at this meso-cosmic level, the man could rule over the scores of forces that he observe</w:t>
      </w:r>
      <w:r>
        <w:t>d taking effect on a world where everything was linked and where the principle of analogy was working. The importance of the sacrifice cannot be overstressed, as well as the salient role of its main means: the speech. The speech is powerful, it is the ritu</w:t>
      </w:r>
      <w:r>
        <w:t>al speech of the</w:t>
      </w:r>
      <w:r>
        <w:t xml:space="preserve"> </w:t>
      </w:r>
      <w:r>
        <w:rPr>
          <w:i/>
          <w:iCs/>
        </w:rPr>
        <w:t>r̥ca</w:t>
      </w:r>
      <w:r>
        <w:t>-; nothing but the speech makes the sacrifice efficacious. Hence, the rite, the speech, the gods.</w:t>
      </w:r>
      <w:r>
        <w:t xml:space="preserve"> The religious thought that already pervades the first Sa</w:t>
      </w:r>
      <w:r>
        <w:t>ṃ</w:t>
      </w:r>
      <w:r>
        <w:t>hitā is based on the principle of analogy, and due to it, the three levels of th</w:t>
      </w:r>
      <w:r>
        <w:t>e realty can communicate: Agni is the fire, the natural element, and yet the domestic fire of the hearth, as well as the priest introducing the sacrifice, and, in turn, the god that escorts the oblation into the divine realm. To sacrifice successfully mean</w:t>
      </w:r>
      <w:r>
        <w:t>s to have all these levels meet within the ritual ground, hence to perform an effective rite was a highly demanding issue. Already at the beginning of the Vedic culture, thus, the sacrifice was conceived as an entity in its own right, difficult to control,</w:t>
      </w:r>
      <w:r>
        <w:t xml:space="preserve"> but along the political restructuring of the society, the capacity to rule the sacrifice has become more and more important, and the need to be able to assure its success was essential. What the sacerdotal groups came up with was, on one side, to make the</w:t>
      </w:r>
      <w:r>
        <w:t xml:space="preserve"> sacrifice a god itself, a power to which even gods have to bend, but much more important, on the other side, to institutionalise it through a set of rules and a </w:t>
      </w:r>
      <w:r>
        <w:t xml:space="preserve">ramified </w:t>
      </w:r>
      <w:r>
        <w:t>knowledge; that process involved also the language that became extremely specialised,</w:t>
      </w:r>
      <w:r>
        <w:t xml:space="preserve"> somehow approximating a technical jargon. </w:t>
      </w:r>
    </w:p>
    <w:p w14:paraId="7C6797E9" w14:textId="77777777" w:rsidR="00E53EB6" w:rsidRDefault="006500F5">
      <w:pPr>
        <w:pStyle w:val="HaupttextohneEinzug"/>
      </w:pPr>
      <w:r>
        <w:t xml:space="preserve">Indeed, according to the Vedic texts, there is only one way to control the sacrifice, and that is the knowledge of the </w:t>
      </w:r>
      <w:r>
        <w:rPr>
          <w:i/>
          <w:iCs/>
        </w:rPr>
        <w:t>mantra</w:t>
      </w:r>
      <w:r>
        <w:t>s that allow the sacrifice itself to come back, to be performed again and again; moreov</w:t>
      </w:r>
      <w:r>
        <w:t xml:space="preserve">er, it is necessary to know how to employ the </w:t>
      </w:r>
      <w:r>
        <w:rPr>
          <w:i/>
          <w:iCs/>
        </w:rPr>
        <w:t>mantra</w:t>
      </w:r>
      <w:r>
        <w:t xml:space="preserve">s and what to do under every condition. This is the knowledge that the sacerdotal class could offer, the knowledge that could rule over sacrifice and let the world go on. Hence, a knowledge with a degree </w:t>
      </w:r>
      <w:r>
        <w:t>of complexity as high as it was possible to achieve.</w:t>
      </w:r>
    </w:p>
    <w:p w14:paraId="2D3BD19D" w14:textId="77777777" w:rsidR="00E53EB6" w:rsidRDefault="006500F5">
      <w:pPr>
        <w:pStyle w:val="HaupttextohneEinzug"/>
      </w:pPr>
      <w:r>
        <w:t>Therefore, we are presented with a countless amount of rites and prescriptions</w:t>
      </w:r>
      <w:r>
        <w:rPr>
          <w:rStyle w:val="FootnoteAnchor"/>
          <w:vertAlign w:val="baseline"/>
        </w:rPr>
        <w:footnoteReference w:id="123"/>
      </w:r>
      <w:r>
        <w:t xml:space="preserve"> of which the aim was to cover all possible topics and handle the ritual field throughout, </w:t>
      </w:r>
      <w:r>
        <w:t>and indeed, as it is well known, here we witness the dawning of one of the first attempt at a science of the rite</w:t>
      </w:r>
      <w:r>
        <w:rPr>
          <w:rStyle w:val="FootnoteAnchor"/>
          <w:vertAlign w:val="baseline"/>
        </w:rPr>
        <w:footnoteReference w:id="124"/>
      </w:r>
      <w:r>
        <w:t>.</w:t>
      </w:r>
      <w:r>
        <w:t xml:space="preserve"> The systematic and all-inclusive effort displaye</w:t>
      </w:r>
      <w:r>
        <w:t xml:space="preserve">d by the redactors of the Vedic liturgy has a patent  effect on the composition of the </w:t>
      </w:r>
      <w:r>
        <w:rPr>
          <w:i/>
          <w:iCs/>
        </w:rPr>
        <w:t>corpus,</w:t>
      </w:r>
      <w:r>
        <w:t xml:space="preserve"> and the way they use the R̥gvedic stanzas, the </w:t>
      </w:r>
      <w:r>
        <w:rPr>
          <w:i/>
          <w:iCs/>
        </w:rPr>
        <w:t>mantra</w:t>
      </w:r>
      <w:r>
        <w:t>s, inserting them as a central component within this amazing enterprise. As we will see in the next paragrap</w:t>
      </w:r>
      <w:r>
        <w:t>h, the shape of these texts is conforming to the main issue to originate a ritual science.</w:t>
      </w:r>
    </w:p>
    <w:p w14:paraId="6AE53333" w14:textId="77777777" w:rsidR="00E53EB6" w:rsidRDefault="00E53EB6">
      <w:pPr>
        <w:pStyle w:val="HaupttextohneEinzug"/>
      </w:pPr>
    </w:p>
    <w:p w14:paraId="75EA0A15" w14:textId="77777777" w:rsidR="00E53EB6" w:rsidRDefault="006500F5">
      <w:pPr>
        <w:pStyle w:val="Heading3"/>
        <w:tabs>
          <w:tab w:val="left" w:pos="0"/>
        </w:tabs>
        <w:rPr>
          <w:rFonts w:ascii="Sabon Unicode" w:hAnsi="Sabon Unicode"/>
        </w:rPr>
      </w:pPr>
      <w:r>
        <w:rPr>
          <w:rFonts w:ascii="Sabon Unicode" w:hAnsi="Sabon Unicode"/>
        </w:rPr>
        <w:t>III.1.3</w:t>
      </w:r>
      <w:r>
        <w:rPr>
          <w:rFonts w:ascii="Sabon Unicode" w:hAnsi="Sabon Unicode"/>
        </w:rPr>
        <w:tab/>
        <w:t>The Vedic Web</w:t>
      </w:r>
    </w:p>
    <w:p w14:paraId="2E91D0D3" w14:textId="77777777" w:rsidR="00E53EB6" w:rsidRDefault="006500F5">
      <w:pPr>
        <w:pStyle w:val="Hauptext"/>
      </w:pPr>
      <w:r>
        <w:t xml:space="preserve">Within this ritual context, we will try to give a picture of what may be the actual textual context, that is the way the stanzas of the </w:t>
      </w:r>
      <w:r>
        <w:rPr>
          <w:i/>
          <w:iCs/>
        </w:rPr>
        <w:t>R̥gved</w:t>
      </w:r>
      <w:r>
        <w:rPr>
          <w:i/>
          <w:iCs/>
        </w:rPr>
        <w:t>a Sa</w:t>
      </w:r>
      <w:r>
        <w:rPr>
          <w:i/>
          <w:iCs/>
        </w:rPr>
        <w:t>ṃ</w:t>
      </w:r>
      <w:r>
        <w:rPr>
          <w:i/>
          <w:iCs/>
        </w:rPr>
        <w:t xml:space="preserve">hitā </w:t>
      </w:r>
      <w:r>
        <w:t xml:space="preserve">are employed and the connections between the different Vedic </w:t>
      </w:r>
      <w:r>
        <w:rPr>
          <w:i/>
          <w:iCs/>
        </w:rPr>
        <w:t>śākhā</w:t>
      </w:r>
      <w:r>
        <w:t xml:space="preserve">s and traditions. In the Vedic liturgical literature there are plenty of </w:t>
      </w:r>
      <w:r>
        <w:lastRenderedPageBreak/>
        <w:t xml:space="preserve">quotations from the </w:t>
      </w:r>
      <w:r>
        <w:rPr>
          <w:i/>
          <w:iCs/>
        </w:rPr>
        <w:t>R̥gveda Sa</w:t>
      </w:r>
      <w:r>
        <w:rPr>
          <w:i/>
          <w:iCs/>
        </w:rPr>
        <w:t>ṃ</w:t>
      </w:r>
      <w:r>
        <w:rPr>
          <w:i/>
          <w:iCs/>
        </w:rPr>
        <w:t>hitā</w:t>
      </w:r>
      <w:r>
        <w:t>. The stanzas are apportioned in each different rite to be recited withi</w:t>
      </w:r>
      <w:r>
        <w:t>n a precise moment of the ritual action. Those kinds of quotations are to be found especially in the Sa</w:t>
      </w:r>
      <w:r>
        <w:t>ṃ</w:t>
      </w:r>
      <w:r>
        <w:t>hitā of the Yajurveda and in the Brāhma</w:t>
      </w:r>
      <w:r>
        <w:t>ṇ</w:t>
      </w:r>
      <w:r>
        <w:t xml:space="preserve">as, where they are accompanied by exegetical comments in some point or other. Most of the time we are presented </w:t>
      </w:r>
      <w:r>
        <w:t>with a long sequel of stanzas from different hymns and the text looks like a patchwork of quotations. As to the cultural development that resulted in such a use of the hymns, one of the most intriguing questions is whether this is a mere redactional enterp</w:t>
      </w:r>
      <w:r>
        <w:t>rise, or if a clear intention guided the choices that the creators of the liturgies have taken.</w:t>
      </w:r>
    </w:p>
    <w:p w14:paraId="2B04F89C" w14:textId="77777777" w:rsidR="00E53EB6" w:rsidRDefault="006500F5">
      <w:pPr>
        <w:pStyle w:val="Hauptext"/>
      </w:pPr>
      <w:r>
        <w:t xml:space="preserve">As it is well known, the relation between the </w:t>
      </w:r>
      <w:r>
        <w:rPr>
          <w:i/>
          <w:iCs/>
        </w:rPr>
        <w:t>R̥gvedasaṃhitā</w:t>
      </w:r>
      <w:r>
        <w:t xml:space="preserve"> and the post-R̥gvedic literature is a much-disputed subject. The </w:t>
      </w:r>
      <w:r>
        <w:rPr>
          <w:i/>
          <w:iCs/>
        </w:rPr>
        <w:t>R̥gvedasaṃhitā</w:t>
      </w:r>
      <w:r>
        <w:t xml:space="preserve"> is obviously ol</w:t>
      </w:r>
      <w:r>
        <w:t>der and was not composed for the same purpose or, more precisely, for the same ritual purpose of the following texts. Nonetheless, the question as to the real dimension of the gap between this two stages of the Vedic culture, is still open. All the other t</w:t>
      </w:r>
      <w:r>
        <w:t>exts, at least in the extant editions, have been probably composed -not only collected- for the performances of rituals that can be traced back to the period of the Kuru and Kuru-Pañcāla hegemony.</w:t>
      </w:r>
    </w:p>
    <w:p w14:paraId="78C236DC" w14:textId="77777777" w:rsidR="00E53EB6" w:rsidRDefault="006500F5">
      <w:pPr>
        <w:pStyle w:val="HaupttextohneEinzug"/>
      </w:pPr>
      <w:r>
        <w:t xml:space="preserve">During the development from a lineage-segmentarian society </w:t>
      </w:r>
      <w:r>
        <w:t>to a hierarchical one, there has also been a change in the ritual literature and in this period there could have taken place what has been called “Floating Mantra Period”  and the redaction of the Sā</w:t>
      </w:r>
      <w:r>
        <w:t>ṃ</w:t>
      </w:r>
      <w:r>
        <w:t>hitās, especially that of the Yajurveda school.</w:t>
      </w:r>
    </w:p>
    <w:p w14:paraId="4DBF8CFC" w14:textId="77777777" w:rsidR="00E53EB6" w:rsidRDefault="006500F5">
      <w:pPr>
        <w:pStyle w:val="HaupttextohneEinzug"/>
      </w:pPr>
      <w:r>
        <w:t>Within t</w:t>
      </w:r>
      <w:r>
        <w:t>his process of re-arrangement and adaptation, how deep was the consciousness of the redactors of the Vedic liturgy as to the poetic elements of the material they were dealing with? Connected with this controversial question, we will see three different cas</w:t>
      </w:r>
      <w:r>
        <w:t xml:space="preserve">es of R̥gvedic material used in the redaction of the liturgy with an increasing level of manipulation and involving not only a single mantra but even a whole hymn. </w:t>
      </w:r>
    </w:p>
    <w:p w14:paraId="48906B26" w14:textId="77777777" w:rsidR="00E53EB6" w:rsidRDefault="00E53EB6">
      <w:pPr>
        <w:pStyle w:val="HaupttextohneEinzug"/>
        <w:rPr>
          <w:rFonts w:eastAsia="Arial Unicode MS" w:cs="Sabon Unicode"/>
          <w:color w:val="000000"/>
          <w:szCs w:val="21"/>
          <w:lang w:eastAsia="it-IT" w:bidi="en-GB"/>
        </w:rPr>
      </w:pPr>
    </w:p>
    <w:p w14:paraId="676B7535" w14:textId="77777777" w:rsidR="00E53EB6" w:rsidRDefault="006500F5">
      <w:pPr>
        <w:pStyle w:val="HaupttextohneEinzug"/>
      </w:pPr>
      <w:r>
        <w:rPr>
          <w:rFonts w:eastAsia="Arial Unicode MS" w:cs="Sabon Unicode"/>
          <w:b/>
          <w:bCs/>
          <w:color w:val="000000"/>
          <w:szCs w:val="21"/>
          <w:lang w:eastAsia="it-IT" w:bidi="en-GB"/>
        </w:rPr>
        <w:t>a-</w:t>
      </w:r>
      <w:r>
        <w:rPr>
          <w:rFonts w:eastAsia="Arial Unicode MS" w:cs="Sabon Unicode"/>
          <w:color w:val="000000"/>
          <w:szCs w:val="21"/>
          <w:lang w:eastAsia="it-IT" w:bidi="en-GB"/>
        </w:rPr>
        <w:t xml:space="preserve"> As to the connection between different </w:t>
      </w:r>
      <w:r>
        <w:rPr>
          <w:rFonts w:eastAsia="Arial Unicode MS" w:cs="Sabon Unicode"/>
          <w:i/>
          <w:iCs/>
          <w:color w:val="000000"/>
          <w:szCs w:val="21"/>
          <w:lang w:eastAsia="it-IT" w:bidi="en-GB"/>
        </w:rPr>
        <w:t>śākhā,</w:t>
      </w:r>
      <w:r>
        <w:rPr>
          <w:rFonts w:eastAsia="Arial Unicode MS" w:cs="Sabon Unicode"/>
          <w:color w:val="000000"/>
          <w:szCs w:val="21"/>
          <w:lang w:eastAsia="it-IT" w:bidi="en-GB"/>
        </w:rPr>
        <w:t xml:space="preserve"> we are going to see an example, where it is possible to see how a single </w:t>
      </w:r>
      <w:r>
        <w:rPr>
          <w:rFonts w:eastAsia="Arial Unicode MS" w:cs="Sabon Unicode"/>
          <w:i/>
          <w:iCs/>
          <w:color w:val="000000"/>
          <w:szCs w:val="21"/>
          <w:lang w:eastAsia="it-IT" w:bidi="en-GB"/>
        </w:rPr>
        <w:t xml:space="preserve">mantra </w:t>
      </w:r>
      <w:r>
        <w:rPr>
          <w:rFonts w:eastAsia="Arial Unicode MS" w:cs="Sabon Unicode"/>
          <w:color w:val="000000"/>
          <w:szCs w:val="21"/>
          <w:lang w:eastAsia="it-IT" w:bidi="en-GB"/>
        </w:rPr>
        <w:t>is to be found in different Yajurvedic traditions showing variants that do not really affect its meaning.</w:t>
      </w:r>
    </w:p>
    <w:p w14:paraId="207C5B61" w14:textId="77777777" w:rsidR="00E53EB6" w:rsidRDefault="006500F5">
      <w:pPr>
        <w:pStyle w:val="HaupttextohneEinzug"/>
      </w:pPr>
      <w:r>
        <w:rPr>
          <w:u w:val="single"/>
        </w:rPr>
        <w:t>Underlined:</w:t>
      </w:r>
      <w:r>
        <w:t xml:space="preserve"> variants.</w:t>
      </w:r>
    </w:p>
    <w:p w14:paraId="5DCA6C02" w14:textId="77777777" w:rsidR="00E53EB6" w:rsidRDefault="006500F5">
      <w:pPr>
        <w:pStyle w:val="HaupttextohneEinzug"/>
      </w:pPr>
      <w:r>
        <w:rPr>
          <w:b/>
          <w:bCs/>
        </w:rPr>
        <w:t>Bold</w:t>
      </w:r>
      <w:r>
        <w:t xml:space="preserve">: words not present in all </w:t>
      </w:r>
      <w:r>
        <w:t>occurrences.</w:t>
      </w:r>
    </w:p>
    <w:p w14:paraId="399E656A" w14:textId="77777777" w:rsidR="00E53EB6" w:rsidRDefault="00E53EB6">
      <w:pPr>
        <w:pStyle w:val="HaupttextohneEinzug"/>
        <w:rPr>
          <w:shd w:val="clear" w:color="auto" w:fill="FFFF00"/>
        </w:rPr>
      </w:pPr>
    </w:p>
    <w:p w14:paraId="0CA56170" w14:textId="77777777" w:rsidR="00E53EB6" w:rsidRPr="00B80C6B" w:rsidRDefault="006500F5">
      <w:pPr>
        <w:pStyle w:val="HaupttextohneEinzug"/>
        <w:rPr>
          <w:lang w:val="it-IT"/>
        </w:rPr>
      </w:pPr>
      <w:r w:rsidRPr="00B80C6B">
        <w:rPr>
          <w:lang w:val="it-IT"/>
        </w:rPr>
        <w:t xml:space="preserve">a1- “Water- </w:t>
      </w:r>
      <w:r w:rsidRPr="00B80C6B">
        <w:rPr>
          <w:i/>
          <w:iCs/>
          <w:lang w:val="it-IT"/>
        </w:rPr>
        <w:t>mantra</w:t>
      </w:r>
      <w:r w:rsidRPr="00B80C6B">
        <w:rPr>
          <w:lang w:val="it-IT"/>
        </w:rPr>
        <w:t xml:space="preserve">”, </w:t>
      </w:r>
      <w:r w:rsidRPr="00B80C6B">
        <w:rPr>
          <w:rFonts w:eastAsia="MS Mincho;ＭＳ 明朝"/>
          <w:sz w:val="22"/>
          <w:szCs w:val="22"/>
          <w:lang w:val="it-IT"/>
        </w:rPr>
        <w:t>non-R</w:t>
      </w:r>
      <w:r w:rsidRPr="00B80C6B">
        <w:rPr>
          <w:lang w:val="it-IT"/>
        </w:rPr>
        <w:t>̥</w:t>
      </w:r>
      <w:r w:rsidRPr="00B80C6B">
        <w:rPr>
          <w:rFonts w:eastAsia="MS Mincho;ＭＳ 明朝"/>
          <w:sz w:val="22"/>
          <w:szCs w:val="22"/>
          <w:lang w:val="it-IT"/>
        </w:rPr>
        <w:t xml:space="preserve">V </w:t>
      </w:r>
      <w:r w:rsidRPr="00B80C6B">
        <w:rPr>
          <w:rFonts w:eastAsia="MS Mincho;ＭＳ 明朝"/>
          <w:i/>
          <w:iCs/>
          <w:sz w:val="22"/>
          <w:szCs w:val="22"/>
          <w:lang w:val="it-IT"/>
        </w:rPr>
        <w:t>mantra</w:t>
      </w:r>
      <w:r w:rsidRPr="00B80C6B">
        <w:rPr>
          <w:rFonts w:eastAsia="MS Mincho;ＭＳ 明朝"/>
          <w:sz w:val="22"/>
          <w:szCs w:val="22"/>
          <w:lang w:val="it-IT"/>
        </w:rPr>
        <w:t xml:space="preserve"> </w:t>
      </w:r>
    </w:p>
    <w:p w14:paraId="3F97B591" w14:textId="77777777" w:rsidR="00E53EB6" w:rsidRDefault="006500F5">
      <w:pPr>
        <w:pStyle w:val="HaupttextnachZitat"/>
        <w:numPr>
          <w:ilvl w:val="2"/>
          <w:numId w:val="2"/>
        </w:numPr>
        <w:tabs>
          <w:tab w:val="left" w:pos="0"/>
        </w:tabs>
      </w:pPr>
      <w:r>
        <w:t>Vedic Web</w:t>
      </w:r>
    </w:p>
    <w:p w14:paraId="3A1D5823" w14:textId="77777777" w:rsidR="00E53EB6" w:rsidRDefault="006500F5">
      <w:pPr>
        <w:pStyle w:val="HaupttextohneEinzug"/>
        <w:rPr>
          <w:rFonts w:cs="Sabon Unicode"/>
        </w:rPr>
      </w:pPr>
      <w:r>
        <w:rPr>
          <w:rFonts w:cs="Sabon Unicode"/>
        </w:rPr>
        <w:t xml:space="preserve">Mantra: TS 1.8.12.1a-b; MS 2.6.8: </w:t>
      </w:r>
      <w:r>
        <w:rPr>
          <w:rFonts w:eastAsia="MS Mincho;ＭＳ 明朝" w:cs="Times Ext Roman"/>
          <w:sz w:val="22"/>
          <w:szCs w:val="22"/>
          <w:lang w:eastAsia="hi-IN" w:bidi="en-GB"/>
        </w:rPr>
        <w:t>68,6-8</w:t>
      </w:r>
      <w:r>
        <w:rPr>
          <w:rFonts w:cs="Sabon Unicode"/>
        </w:rPr>
        <w:t>; MS 4.4.2</w:t>
      </w:r>
      <w:r>
        <w:rPr>
          <w:rFonts w:cs="Sabon Unicode"/>
        </w:rPr>
        <w:t>51,8-10</w:t>
      </w:r>
      <w:r>
        <w:rPr>
          <w:rFonts w:cs="Sabon Unicode"/>
        </w:rPr>
        <w:t>; KS 15.6: 213,9-10; VS 10.4.</w:t>
      </w:r>
    </w:p>
    <w:p w14:paraId="12CB161A" w14:textId="77777777" w:rsidR="00E53EB6" w:rsidRDefault="006500F5">
      <w:pPr>
        <w:pStyle w:val="HaupttextohneEinzug"/>
        <w:rPr>
          <w:rFonts w:cs="Sabon Unicode"/>
        </w:rPr>
      </w:pPr>
      <w:r>
        <w:rPr>
          <w:rFonts w:cs="Sabon Unicode"/>
        </w:rPr>
        <w:t>Mantra and Prose: ŚB 5.3.4.27.</w:t>
      </w:r>
    </w:p>
    <w:p w14:paraId="141B9FB1" w14:textId="77777777" w:rsidR="00E53EB6" w:rsidRDefault="006500F5">
      <w:pPr>
        <w:pStyle w:val="HaupttextohneEinzug"/>
      </w:pPr>
      <w:r>
        <w:t>Prose: ŚB 5.16-37; 4.1.15.</w:t>
      </w:r>
    </w:p>
    <w:p w14:paraId="02C9FE47" w14:textId="77777777" w:rsidR="00E53EB6" w:rsidRDefault="00E53EB6">
      <w:pPr>
        <w:pStyle w:val="HaupttextohneEinzug"/>
        <w:rPr>
          <w:rFonts w:cs="Sabon Unicode"/>
        </w:rPr>
      </w:pPr>
    </w:p>
    <w:p w14:paraId="1A2CAD62" w14:textId="77777777" w:rsidR="00E53EB6" w:rsidRDefault="006500F5">
      <w:pPr>
        <w:pStyle w:val="HaupttextohneEinzug"/>
        <w:rPr>
          <w:rFonts w:cs="Sabon Unicode"/>
        </w:rPr>
      </w:pPr>
      <w:r>
        <w:rPr>
          <w:rFonts w:cs="Sabon Unicode"/>
        </w:rPr>
        <w:t>Rite</w:t>
      </w:r>
    </w:p>
    <w:p w14:paraId="3F0435F0" w14:textId="77777777" w:rsidR="00E53EB6" w:rsidRDefault="006500F5">
      <w:pPr>
        <w:pStyle w:val="HaupttextohneEinzug"/>
        <w:rPr>
          <w:rFonts w:cs="Sabon Unicode"/>
        </w:rPr>
      </w:pPr>
      <w:r>
        <w:rPr>
          <w:rFonts w:cs="Sabon Unicode"/>
        </w:rPr>
        <w:t>Rājasūya, the Abhi</w:t>
      </w:r>
      <w:r>
        <w:rPr>
          <w:rFonts w:cs="Sabon Unicode"/>
        </w:rPr>
        <w:t>ṣ</w:t>
      </w:r>
      <w:r>
        <w:rPr>
          <w:rFonts w:cs="Sabon Unicode"/>
        </w:rPr>
        <w:t xml:space="preserve">eka –the unction of </w:t>
      </w:r>
      <w:r>
        <w:rPr>
          <w:rFonts w:cs="Sabon Unicode"/>
        </w:rPr>
        <w:t>the king during his consecration. This section deals with the preparation of the waters.</w:t>
      </w:r>
    </w:p>
    <w:p w14:paraId="1F95FE8C" w14:textId="77777777" w:rsidR="00E53EB6" w:rsidRDefault="006500F5">
      <w:pPr>
        <w:pStyle w:val="HaupttextohneEinzug"/>
        <w:rPr>
          <w:rFonts w:cs="Sabon Unicode"/>
        </w:rPr>
      </w:pPr>
      <w:r>
        <w:rPr>
          <w:rFonts w:cs="Sabon Unicode"/>
        </w:rPr>
        <w:t>Waters from different sources are poured together into a single vessel. The mantra credits the waters with winning for the anointed on the power to rule –</w:t>
      </w:r>
      <w:r>
        <w:rPr>
          <w:rFonts w:cs="Sabon Unicode"/>
          <w:i/>
          <w:iCs/>
        </w:rPr>
        <w:t>varcás</w:t>
      </w:r>
      <w:r>
        <w:rPr>
          <w:rFonts w:cs="Sabon Unicode"/>
        </w:rPr>
        <w:t xml:space="preserve"> “splen</w:t>
      </w:r>
      <w:r>
        <w:rPr>
          <w:rFonts w:cs="Sabon Unicode"/>
        </w:rPr>
        <w:t xml:space="preserve">dour”, cf. </w:t>
      </w:r>
      <w:r>
        <w:rPr>
          <w:rStyle w:val="biblio-authorGEN"/>
          <w:rFonts w:cs="Sabon Unicode"/>
        </w:rPr>
        <w:t>Proferes</w:t>
      </w:r>
      <w:r>
        <w:rPr>
          <w:rFonts w:cs="Sabon Unicode"/>
        </w:rPr>
        <w:t xml:space="preserve"> 2007: 80ff; </w:t>
      </w:r>
      <w:r>
        <w:rPr>
          <w:rStyle w:val="biblio-authorGEN"/>
          <w:rFonts w:cs="Sabon Unicode"/>
        </w:rPr>
        <w:t>Heesterman</w:t>
      </w:r>
      <w:r>
        <w:rPr>
          <w:rFonts w:cs="Sabon Unicode"/>
        </w:rPr>
        <w:t xml:space="preserve"> 1957: 70-74 and 114-22; see also </w:t>
      </w:r>
      <w:r>
        <w:rPr>
          <w:rStyle w:val="biblio-authorGEN"/>
          <w:rFonts w:cs="Sabon Unicode"/>
        </w:rPr>
        <w:t>Tsuchiyama</w:t>
      </w:r>
      <w:r>
        <w:rPr>
          <w:rFonts w:cs="Sabon Unicode"/>
        </w:rPr>
        <w:t xml:space="preserve"> 2005 for the Abhi</w:t>
      </w:r>
      <w:r>
        <w:rPr>
          <w:rFonts w:cs="Sabon Unicode"/>
        </w:rPr>
        <w:t>ṣ</w:t>
      </w:r>
      <w:r>
        <w:rPr>
          <w:rFonts w:cs="Sabon Unicode"/>
        </w:rPr>
        <w:t xml:space="preserve">eka in general and his post-Vedic development. </w:t>
      </w:r>
    </w:p>
    <w:p w14:paraId="585309D7" w14:textId="77777777" w:rsidR="00E53EB6" w:rsidRDefault="006500F5">
      <w:pPr>
        <w:pStyle w:val="HaupttextohneEinzug"/>
        <w:rPr>
          <w:rFonts w:cs="Sabon Unicode"/>
        </w:rPr>
      </w:pPr>
      <w:r>
        <w:rPr>
          <w:rFonts w:cs="Sabon Unicode"/>
        </w:rPr>
        <w:t>The collection and mixing of the waters.</w:t>
      </w:r>
    </w:p>
    <w:p w14:paraId="04AD53CD" w14:textId="77777777" w:rsidR="00E53EB6" w:rsidRDefault="00E53EB6">
      <w:pPr>
        <w:pStyle w:val="HaupttextohneEinzug"/>
        <w:numPr>
          <w:ilvl w:val="7"/>
          <w:numId w:val="2"/>
        </w:numPr>
        <w:tabs>
          <w:tab w:val="left" w:pos="0"/>
        </w:tabs>
      </w:pPr>
    </w:p>
    <w:p w14:paraId="08749905" w14:textId="77777777" w:rsidR="00E53EB6" w:rsidRDefault="006500F5">
      <w:pPr>
        <w:pStyle w:val="HaupttextohneEinzug"/>
        <w:numPr>
          <w:ilvl w:val="7"/>
          <w:numId w:val="2"/>
        </w:numPr>
        <w:tabs>
          <w:tab w:val="left" w:pos="0"/>
        </w:tabs>
      </w:pPr>
      <w:r>
        <w:t>Occurrences:</w:t>
      </w:r>
    </w:p>
    <w:p w14:paraId="7C1F1B78" w14:textId="77777777" w:rsidR="00E53EB6" w:rsidRDefault="006500F5">
      <w:pPr>
        <w:pStyle w:val="HaupttextohneEinzug"/>
        <w:numPr>
          <w:ilvl w:val="7"/>
          <w:numId w:val="2"/>
        </w:numPr>
        <w:tabs>
          <w:tab w:val="left" w:pos="0"/>
        </w:tabs>
      </w:pPr>
      <w:r>
        <w:lastRenderedPageBreak/>
        <w:t>TS 1.8.12.1</w:t>
      </w:r>
      <w:r>
        <w:tab/>
      </w:r>
      <w:r>
        <w:tab/>
      </w:r>
      <w:r>
        <w:tab/>
      </w:r>
      <w:r>
        <w:tab/>
      </w:r>
      <w:r>
        <w:tab/>
      </w:r>
      <w:r>
        <w:tab/>
      </w:r>
    </w:p>
    <w:p w14:paraId="506DD5CF" w14:textId="77777777" w:rsidR="00E53EB6" w:rsidRDefault="006500F5">
      <w:pPr>
        <w:pStyle w:val="Zitat"/>
        <w:autoSpaceDE w:val="0"/>
      </w:pPr>
      <w:r>
        <w:t xml:space="preserve">a </w:t>
      </w:r>
      <w:r>
        <w:rPr>
          <w:i/>
          <w:iCs/>
        </w:rPr>
        <w:t>dévīr āpa</w:t>
      </w:r>
      <w:r>
        <w:rPr>
          <w:i/>
          <w:iCs/>
        </w:rPr>
        <w:t>ḥ</w:t>
      </w:r>
      <w:r>
        <w:rPr>
          <w:i/>
          <w:iCs/>
        </w:rPr>
        <w:t xml:space="preserve"> </w:t>
      </w:r>
      <w:r>
        <w:rPr>
          <w:rFonts w:cs="Sabon Unicode"/>
          <w:i/>
          <w:iCs/>
          <w:u w:val="single"/>
          <w:lang w:eastAsia="hi-IN"/>
        </w:rPr>
        <w:t xml:space="preserve">sám </w:t>
      </w:r>
      <w:r>
        <w:rPr>
          <w:i/>
          <w:iCs/>
        </w:rPr>
        <w:t xml:space="preserve">mádhumatīr </w:t>
      </w:r>
      <w:r>
        <w:rPr>
          <w:b/>
          <w:bCs/>
          <w:i/>
          <w:iCs/>
        </w:rPr>
        <w:t>má</w:t>
      </w:r>
      <w:r>
        <w:rPr>
          <w:b/>
          <w:bCs/>
          <w:i/>
          <w:iCs/>
        </w:rPr>
        <w:t>dhumatībhi</w:t>
      </w:r>
      <w:r>
        <w:rPr>
          <w:b/>
          <w:bCs/>
          <w:i/>
          <w:iCs/>
        </w:rPr>
        <w:t>ḥ</w:t>
      </w:r>
      <w:r>
        <w:rPr>
          <w:i/>
          <w:iCs/>
        </w:rPr>
        <w:t xml:space="preserve"> </w:t>
      </w:r>
      <w:r>
        <w:rPr>
          <w:i/>
          <w:iCs/>
          <w:u w:val="single"/>
        </w:rPr>
        <w:t>sr</w:t>
      </w:r>
      <w:r>
        <w:rPr>
          <w:u w:val="single"/>
        </w:rPr>
        <w:t>̥</w:t>
      </w:r>
      <w:r>
        <w:rPr>
          <w:i/>
          <w:iCs/>
          <w:u w:val="single"/>
        </w:rPr>
        <w:t>jyadhvam</w:t>
      </w:r>
      <w:r>
        <w:rPr>
          <w:i/>
          <w:iCs/>
        </w:rPr>
        <w:t xml:space="preserve"> máhi </w:t>
      </w:r>
      <w:r>
        <w:rPr>
          <w:i/>
          <w:iCs/>
          <w:u w:val="single"/>
        </w:rPr>
        <w:t>várca</w:t>
      </w:r>
      <w:r>
        <w:rPr>
          <w:i/>
          <w:iCs/>
          <w:u w:val="single"/>
        </w:rPr>
        <w:t>ḥ</w:t>
      </w:r>
      <w:r>
        <w:rPr>
          <w:i/>
          <w:iCs/>
        </w:rPr>
        <w:t xml:space="preserve"> k</w:t>
      </w:r>
      <w:r>
        <w:rPr>
          <w:i/>
          <w:iCs/>
        </w:rPr>
        <w:t>ṣ</w:t>
      </w:r>
      <w:r>
        <w:rPr>
          <w:i/>
          <w:iCs/>
        </w:rPr>
        <w:t xml:space="preserve">atríyāya vanvānā́s / </w:t>
      </w:r>
    </w:p>
    <w:p w14:paraId="20B052EC" w14:textId="77777777" w:rsidR="00E53EB6" w:rsidRDefault="006500F5">
      <w:pPr>
        <w:pStyle w:val="ZitatnachZitat"/>
        <w:autoSpaceDE w:val="0"/>
        <w:rPr>
          <w:rFonts w:eastAsia="Arial" w:cs="Sabon Unicode"/>
          <w:szCs w:val="18"/>
          <w:lang w:eastAsia="hi-IN" w:bidi="en-GB"/>
        </w:rPr>
      </w:pPr>
      <w:r>
        <w:rPr>
          <w:rFonts w:eastAsia="Arial" w:cs="Sabon Unicode"/>
          <w:szCs w:val="18"/>
          <w:lang w:eastAsia="hi-IN" w:bidi="en-GB"/>
        </w:rPr>
        <w:t xml:space="preserve">b </w:t>
      </w:r>
      <w:r>
        <w:rPr>
          <w:rFonts w:eastAsia="Arial" w:cs="Sabon Unicode"/>
          <w:i/>
          <w:iCs/>
          <w:szCs w:val="18"/>
          <w:lang w:eastAsia="hi-IN" w:bidi="en-GB"/>
        </w:rPr>
        <w:t>ánādhr</w:t>
      </w:r>
      <w:r>
        <w:rPr>
          <w:rFonts w:eastAsia="Arial" w:cs="Sabon Unicode"/>
          <w:szCs w:val="18"/>
          <w:lang w:eastAsia="hi-IN" w:bidi="en-GB"/>
        </w:rPr>
        <w:t>̥</w:t>
      </w:r>
      <w:r>
        <w:rPr>
          <w:rFonts w:eastAsia="Arial" w:cs="Sabon Unicode"/>
          <w:i/>
          <w:iCs/>
          <w:szCs w:val="18"/>
          <w:lang w:eastAsia="hi-IN" w:bidi="en-GB"/>
        </w:rPr>
        <w:t>ṣṭ</w:t>
      </w:r>
      <w:r>
        <w:rPr>
          <w:rFonts w:eastAsia="Arial" w:cs="Sabon Unicode"/>
          <w:i/>
          <w:iCs/>
          <w:szCs w:val="18"/>
          <w:lang w:eastAsia="hi-IN" w:bidi="en-GB"/>
        </w:rPr>
        <w:t>ā</w:t>
      </w:r>
      <w:r>
        <w:rPr>
          <w:rFonts w:eastAsia="Arial" w:cs="Sabon Unicode"/>
          <w:i/>
          <w:iCs/>
          <w:szCs w:val="18"/>
          <w:lang w:eastAsia="hi-IN" w:bidi="en-GB"/>
        </w:rPr>
        <w:t>ḥ</w:t>
      </w:r>
      <w:r>
        <w:rPr>
          <w:rFonts w:eastAsia="Arial" w:cs="Sabon Unicode"/>
          <w:i/>
          <w:iCs/>
          <w:szCs w:val="18"/>
          <w:lang w:eastAsia="hi-IN" w:bidi="en-GB"/>
        </w:rPr>
        <w:t xml:space="preserve"> sīdatórjasvatīr máhi várca</w:t>
      </w:r>
      <w:r>
        <w:rPr>
          <w:rFonts w:eastAsia="Arial" w:cs="Sabon Unicode"/>
          <w:i/>
          <w:iCs/>
          <w:szCs w:val="18"/>
          <w:lang w:eastAsia="hi-IN" w:bidi="en-GB"/>
        </w:rPr>
        <w:t>ḥ</w:t>
      </w:r>
      <w:r>
        <w:rPr>
          <w:rFonts w:eastAsia="Arial" w:cs="Sabon Unicode"/>
          <w:i/>
          <w:iCs/>
          <w:szCs w:val="18"/>
          <w:lang w:eastAsia="hi-IN" w:bidi="en-GB"/>
        </w:rPr>
        <w:t xml:space="preserve"> k</w:t>
      </w:r>
      <w:r>
        <w:rPr>
          <w:rFonts w:eastAsia="Arial" w:cs="Sabon Unicode"/>
          <w:i/>
          <w:iCs/>
          <w:szCs w:val="18"/>
          <w:lang w:eastAsia="hi-IN" w:bidi="en-GB"/>
        </w:rPr>
        <w:t>ṣ</w:t>
      </w:r>
      <w:r>
        <w:rPr>
          <w:rFonts w:eastAsia="Arial" w:cs="Sabon Unicode"/>
          <w:i/>
          <w:iCs/>
          <w:szCs w:val="18"/>
          <w:lang w:eastAsia="hi-IN" w:bidi="en-GB"/>
        </w:rPr>
        <w:t>atríyāya dadhátīs /</w:t>
      </w:r>
    </w:p>
    <w:p w14:paraId="2769F0B7" w14:textId="77777777" w:rsidR="00E53EB6" w:rsidRDefault="006500F5">
      <w:pPr>
        <w:pStyle w:val="Zitat"/>
        <w:autoSpaceDE w:val="0"/>
      </w:pPr>
      <w:r>
        <w:t xml:space="preserve">“Divine water, full of sweet, be mingled with the full of sweet, appropriating for the king a great splendour; sit </w:t>
      </w:r>
      <w:r>
        <w:t>untouched, possessing the vital energy, putting a great splendour  in to the king.”</w:t>
      </w:r>
    </w:p>
    <w:p w14:paraId="2644732D" w14:textId="77777777" w:rsidR="00E53EB6" w:rsidRDefault="006500F5">
      <w:pPr>
        <w:pStyle w:val="HaupttextnachZitat"/>
      </w:pPr>
      <w:r>
        <w:t>MS 2.6.8</w:t>
      </w:r>
    </w:p>
    <w:p w14:paraId="2B033EE5" w14:textId="77777777" w:rsidR="00E53EB6" w:rsidRDefault="006500F5">
      <w:pPr>
        <w:pStyle w:val="Zitat"/>
      </w:pPr>
      <w:r>
        <w:t xml:space="preserve"> </w:t>
      </w:r>
      <w:r>
        <w:rPr>
          <w:i/>
        </w:rPr>
        <w:t>dévīrāpo mádhumatī</w:t>
      </w:r>
      <w:r>
        <w:rPr>
          <w:i/>
        </w:rPr>
        <w:t>ḥ</w:t>
      </w:r>
      <w:r>
        <w:rPr>
          <w:i/>
        </w:rPr>
        <w:t xml:space="preserve"> </w:t>
      </w:r>
      <w:r>
        <w:rPr>
          <w:i/>
          <w:u w:val="single"/>
        </w:rPr>
        <w:t>sá</w:t>
      </w:r>
      <w:r>
        <w:rPr>
          <w:i/>
          <w:u w:val="single"/>
        </w:rPr>
        <w:t>ṃ</w:t>
      </w:r>
      <w:r>
        <w:rPr>
          <w:i/>
          <w:u w:val="single"/>
        </w:rPr>
        <w:t>sr̥jyadhvam</w:t>
      </w:r>
      <w:r>
        <w:rPr>
          <w:i/>
        </w:rPr>
        <w:t xml:space="preserve"> máhi </w:t>
      </w:r>
      <w:r>
        <w:rPr>
          <w:i/>
          <w:u w:val="single"/>
        </w:rPr>
        <w:t>k</w:t>
      </w:r>
      <w:r>
        <w:rPr>
          <w:i/>
          <w:u w:val="single"/>
        </w:rPr>
        <w:t>ṣ</w:t>
      </w:r>
      <w:r>
        <w:rPr>
          <w:i/>
          <w:u w:val="single"/>
        </w:rPr>
        <w:t>atrám</w:t>
      </w:r>
      <w:r>
        <w:rPr>
          <w:i/>
        </w:rPr>
        <w:t xml:space="preserve"> k</w:t>
      </w:r>
      <w:r>
        <w:rPr>
          <w:i/>
        </w:rPr>
        <w:t>ṣ</w:t>
      </w:r>
      <w:r>
        <w:rPr>
          <w:i/>
        </w:rPr>
        <w:t>atríyāya vanvānā́</w:t>
      </w:r>
      <w:r>
        <w:rPr>
          <w:i/>
        </w:rPr>
        <w:t>ḥ</w:t>
      </w:r>
      <w:r>
        <w:rPr>
          <w:i/>
        </w:rPr>
        <w:t xml:space="preserve"> /</w:t>
      </w:r>
    </w:p>
    <w:p w14:paraId="36909DDA" w14:textId="77777777" w:rsidR="00E53EB6" w:rsidRDefault="006500F5">
      <w:pPr>
        <w:pStyle w:val="ZitatnachZitat"/>
        <w:rPr>
          <w:i/>
          <w:iCs/>
        </w:rPr>
      </w:pPr>
      <w:r>
        <w:rPr>
          <w:i/>
          <w:iCs/>
        </w:rPr>
        <w:t>ánādhr̥</w:t>
      </w:r>
      <w:r>
        <w:rPr>
          <w:i/>
          <w:iCs/>
        </w:rPr>
        <w:t>ṣṭ</w:t>
      </w:r>
      <w:r>
        <w:rPr>
          <w:i/>
          <w:iCs/>
        </w:rPr>
        <w:t>ā</w:t>
      </w:r>
      <w:r>
        <w:rPr>
          <w:i/>
          <w:iCs/>
        </w:rPr>
        <w:t>ḥ</w:t>
      </w:r>
      <w:r>
        <w:rPr>
          <w:i/>
          <w:iCs/>
        </w:rPr>
        <w:t xml:space="preserve"> sīdatórjasvatīrmáhi várca</w:t>
      </w:r>
      <w:r>
        <w:rPr>
          <w:i/>
          <w:iCs/>
        </w:rPr>
        <w:t>ḥ</w:t>
      </w:r>
      <w:r>
        <w:rPr>
          <w:i/>
          <w:iCs/>
        </w:rPr>
        <w:t xml:space="preserve"> k</w:t>
      </w:r>
      <w:r>
        <w:rPr>
          <w:i/>
          <w:iCs/>
        </w:rPr>
        <w:t>ṣ</w:t>
      </w:r>
      <w:r>
        <w:rPr>
          <w:i/>
          <w:iCs/>
        </w:rPr>
        <w:t>atríyāya dádhatī</w:t>
      </w:r>
      <w:r>
        <w:rPr>
          <w:i/>
          <w:iCs/>
        </w:rPr>
        <w:t>ḥ</w:t>
      </w:r>
      <w:r>
        <w:rPr>
          <w:i/>
          <w:iCs/>
        </w:rPr>
        <w:t>//</w:t>
      </w:r>
    </w:p>
    <w:p w14:paraId="650472AF" w14:textId="77777777" w:rsidR="00E53EB6" w:rsidRDefault="006500F5">
      <w:pPr>
        <w:pStyle w:val="Zitat"/>
      </w:pPr>
      <w:r>
        <w:t>“O divine water, full of sweet</w:t>
      </w:r>
      <w:r>
        <w:t>, be mingled, appropriating for the king the great power to rule; sit untouched, possessing the vital energy, putting a great splendour into the king”</w:t>
      </w:r>
    </w:p>
    <w:p w14:paraId="76B09024" w14:textId="77777777" w:rsidR="00E53EB6" w:rsidRDefault="006500F5">
      <w:pPr>
        <w:pStyle w:val="HaupttextnachZitat"/>
      </w:pPr>
      <w:r>
        <w:t>MS 4.4.2</w:t>
      </w:r>
    </w:p>
    <w:p w14:paraId="6E96BCD8" w14:textId="77777777" w:rsidR="00E53EB6" w:rsidRDefault="006500F5">
      <w:pPr>
        <w:pStyle w:val="Zitat"/>
      </w:pPr>
      <w:r>
        <w:t xml:space="preserve"> </w:t>
      </w:r>
      <w:r>
        <w:rPr>
          <w:i/>
        </w:rPr>
        <w:t>dévīrāpo mádhumatī</w:t>
      </w:r>
      <w:r>
        <w:rPr>
          <w:i/>
        </w:rPr>
        <w:t>ḥ</w:t>
      </w:r>
      <w:r>
        <w:rPr>
          <w:i/>
        </w:rPr>
        <w:t xml:space="preserve"> </w:t>
      </w:r>
      <w:r>
        <w:rPr>
          <w:i/>
          <w:u w:val="single"/>
        </w:rPr>
        <w:t>sá</w:t>
      </w:r>
      <w:r>
        <w:rPr>
          <w:i/>
          <w:u w:val="single"/>
        </w:rPr>
        <w:t>ṃ</w:t>
      </w:r>
      <w:r>
        <w:rPr>
          <w:i/>
          <w:u w:val="single"/>
        </w:rPr>
        <w:t>sr̥jyadhvam</w:t>
      </w:r>
      <w:r>
        <w:rPr>
          <w:i/>
        </w:rPr>
        <w:t xml:space="preserve"> máhi </w:t>
      </w:r>
      <w:r>
        <w:rPr>
          <w:i/>
          <w:u w:val="single"/>
        </w:rPr>
        <w:t>k</w:t>
      </w:r>
      <w:r>
        <w:rPr>
          <w:i/>
          <w:u w:val="single"/>
        </w:rPr>
        <w:t>ṣ</w:t>
      </w:r>
      <w:r>
        <w:rPr>
          <w:i/>
          <w:u w:val="single"/>
        </w:rPr>
        <w:t>atrám</w:t>
      </w:r>
      <w:r>
        <w:rPr>
          <w:i/>
        </w:rPr>
        <w:t xml:space="preserve"> </w:t>
      </w:r>
      <w:r>
        <w:rPr>
          <w:i/>
        </w:rPr>
        <w:t>k</w:t>
      </w:r>
      <w:r>
        <w:rPr>
          <w:i/>
        </w:rPr>
        <w:t>ṣ</w:t>
      </w:r>
      <w:r>
        <w:rPr>
          <w:i/>
        </w:rPr>
        <w:t xml:space="preserve">atríyāya vanvānā́ </w:t>
      </w:r>
      <w:r>
        <w:rPr>
          <w:b/>
          <w:bCs/>
          <w:i/>
        </w:rPr>
        <w:t xml:space="preserve">ítyetā́ hí </w:t>
      </w:r>
      <w:r>
        <w:rPr>
          <w:b/>
          <w:bCs/>
          <w:i/>
        </w:rPr>
        <w:tab/>
      </w:r>
      <w:r>
        <w:rPr>
          <w:b/>
          <w:bCs/>
          <w:i/>
        </w:rPr>
        <w:t>k</w:t>
      </w:r>
      <w:r>
        <w:rPr>
          <w:b/>
          <w:bCs/>
          <w:i/>
        </w:rPr>
        <w:t>ṣ</w:t>
      </w:r>
      <w:r>
        <w:rPr>
          <w:b/>
          <w:bCs/>
          <w:i/>
        </w:rPr>
        <w:t>atrāsya</w:t>
      </w:r>
      <w:r>
        <w:rPr>
          <w:i/>
          <w:shd w:val="clear" w:color="auto" w:fill="FFFF00"/>
        </w:rPr>
        <w:t xml:space="preserve"> </w:t>
      </w:r>
      <w:r>
        <w:rPr>
          <w:b/>
          <w:bCs/>
          <w:i/>
        </w:rPr>
        <w:t>vantrī́r</w:t>
      </w:r>
      <w:r>
        <w:rPr>
          <w:i/>
        </w:rPr>
        <w:t>ánādhr̥</w:t>
      </w:r>
      <w:r>
        <w:rPr>
          <w:i/>
        </w:rPr>
        <w:t>ṣṭ</w:t>
      </w:r>
      <w:r>
        <w:rPr>
          <w:i/>
        </w:rPr>
        <w:t>ā</w:t>
      </w:r>
      <w:r>
        <w:rPr>
          <w:i/>
        </w:rPr>
        <w:t>ḥ</w:t>
      </w:r>
      <w:r>
        <w:rPr>
          <w:i/>
        </w:rPr>
        <w:t xml:space="preserve"> sīdatórjasvatīrmáhi várca</w:t>
      </w:r>
      <w:r>
        <w:rPr>
          <w:i/>
        </w:rPr>
        <w:t>ḥ</w:t>
      </w:r>
      <w:r>
        <w:rPr>
          <w:i/>
        </w:rPr>
        <w:t xml:space="preserve"> k</w:t>
      </w:r>
      <w:r>
        <w:rPr>
          <w:i/>
        </w:rPr>
        <w:t>ṣ</w:t>
      </w:r>
      <w:r>
        <w:rPr>
          <w:i/>
        </w:rPr>
        <w:t>atríyāya dádhatīr</w:t>
      </w:r>
      <w:r>
        <w:rPr>
          <w:b/>
          <w:bCs/>
          <w:i/>
        </w:rPr>
        <w:t>ityetā́ hí k</w:t>
      </w:r>
      <w:r>
        <w:rPr>
          <w:b/>
          <w:bCs/>
          <w:i/>
        </w:rPr>
        <w:t>ṣ</w:t>
      </w:r>
      <w:r>
        <w:rPr>
          <w:b/>
          <w:bCs/>
          <w:i/>
        </w:rPr>
        <w:t>atrásya dhā́trī</w:t>
      </w:r>
      <w:r>
        <w:rPr>
          <w:b/>
          <w:bCs/>
          <w:i/>
        </w:rPr>
        <w:t>ḥ</w:t>
      </w:r>
    </w:p>
    <w:p w14:paraId="27D7AFC5" w14:textId="77777777" w:rsidR="00E53EB6" w:rsidRDefault="006500F5">
      <w:pPr>
        <w:pStyle w:val="Zitat"/>
        <w:rPr>
          <w:rFonts w:cs="Sabon Unicode"/>
        </w:rPr>
      </w:pPr>
      <w:r>
        <w:rPr>
          <w:rFonts w:cs="Sabon Unicode"/>
        </w:rPr>
        <w:t>“O divine waters, full of sweet, be mingled, appropriating for the king the great power to rule -so he says, for they, brilliant, are those who approp</w:t>
      </w:r>
      <w:r>
        <w:rPr>
          <w:rFonts w:cs="Sabon Unicode"/>
        </w:rPr>
        <w:t>riate the power to rule- sit untouched, possessing the vital energy, putting the splendour into the king -so he says, for they are those who put the power to rule”</w:t>
      </w:r>
    </w:p>
    <w:p w14:paraId="187ED171" w14:textId="77777777" w:rsidR="00E53EB6" w:rsidRDefault="006500F5">
      <w:pPr>
        <w:pStyle w:val="HaupttextnachZitat"/>
      </w:pPr>
      <w:r>
        <w:t>KS 15.6 = MS 2.6.8</w:t>
      </w:r>
    </w:p>
    <w:p w14:paraId="54358A5B" w14:textId="77777777" w:rsidR="00E53EB6" w:rsidRDefault="006500F5">
      <w:pPr>
        <w:pStyle w:val="HaupttextnachZitat"/>
      </w:pPr>
      <w:r>
        <w:t>VS 10.4</w:t>
      </w:r>
    </w:p>
    <w:p w14:paraId="2509A8A4" w14:textId="77777777" w:rsidR="00E53EB6" w:rsidRDefault="006500F5">
      <w:pPr>
        <w:pStyle w:val="Zitat"/>
      </w:pPr>
      <w:r>
        <w:t xml:space="preserve"> </w:t>
      </w:r>
      <w:r>
        <w:rPr>
          <w:i/>
        </w:rPr>
        <w:t xml:space="preserve">mádhumatīr </w:t>
      </w:r>
      <w:r>
        <w:rPr>
          <w:b/>
          <w:bCs/>
          <w:i/>
        </w:rPr>
        <w:t>mádhumatībhi</w:t>
      </w:r>
      <w:r>
        <w:rPr>
          <w:b/>
          <w:bCs/>
          <w:i/>
        </w:rPr>
        <w:t>ḥ</w:t>
      </w:r>
      <w:r>
        <w:rPr>
          <w:i/>
        </w:rPr>
        <w:t xml:space="preserve"> </w:t>
      </w:r>
      <w:r>
        <w:rPr>
          <w:i/>
          <w:u w:val="single"/>
        </w:rPr>
        <w:t>pr̥cyantā</w:t>
      </w:r>
      <w:r>
        <w:rPr>
          <w:i/>
          <w:u w:val="single"/>
        </w:rPr>
        <w:t>ṃ</w:t>
      </w:r>
      <w:r>
        <w:rPr>
          <w:i/>
        </w:rPr>
        <w:t xml:space="preserve"> máhi </w:t>
      </w:r>
      <w:r>
        <w:rPr>
          <w:i/>
          <w:u w:val="single"/>
        </w:rPr>
        <w:t>k</w:t>
      </w:r>
      <w:r>
        <w:rPr>
          <w:i/>
          <w:u w:val="single"/>
        </w:rPr>
        <w:t>ṣ</w:t>
      </w:r>
      <w:r>
        <w:rPr>
          <w:i/>
          <w:u w:val="single"/>
        </w:rPr>
        <w:t>atrá</w:t>
      </w:r>
      <w:r>
        <w:rPr>
          <w:i/>
          <w:u w:val="single"/>
        </w:rPr>
        <w:t>ṃ</w:t>
      </w:r>
      <w:r>
        <w:rPr>
          <w:i/>
          <w:u w:val="single"/>
        </w:rPr>
        <w:t xml:space="preserve"> </w:t>
      </w:r>
      <w:r>
        <w:rPr>
          <w:i/>
        </w:rPr>
        <w:t>k</w:t>
      </w:r>
      <w:r>
        <w:rPr>
          <w:i/>
        </w:rPr>
        <w:t>ṣ</w:t>
      </w:r>
      <w:r>
        <w:rPr>
          <w:i/>
        </w:rPr>
        <w:t>atríyāya vanvānā́</w:t>
      </w:r>
      <w:r>
        <w:rPr>
          <w:i/>
        </w:rPr>
        <w:t>ḥ</w:t>
      </w:r>
      <w:r>
        <w:rPr>
          <w:i/>
        </w:rPr>
        <w:t xml:space="preserve"> \</w:t>
      </w:r>
    </w:p>
    <w:p w14:paraId="7E975E69" w14:textId="77777777" w:rsidR="00E53EB6" w:rsidRDefault="006500F5">
      <w:pPr>
        <w:pStyle w:val="ZitatnachZitat"/>
        <w:rPr>
          <w:i/>
          <w:iCs/>
        </w:rPr>
      </w:pPr>
      <w:r>
        <w:rPr>
          <w:i/>
          <w:iCs/>
        </w:rPr>
        <w:t>ánādhr̥</w:t>
      </w:r>
      <w:r>
        <w:rPr>
          <w:i/>
          <w:iCs/>
        </w:rPr>
        <w:t>ṣṭ</w:t>
      </w:r>
      <w:r>
        <w:rPr>
          <w:i/>
          <w:iCs/>
        </w:rPr>
        <w:t>ā</w:t>
      </w:r>
      <w:r>
        <w:rPr>
          <w:i/>
          <w:iCs/>
        </w:rPr>
        <w:t>ḥ</w:t>
      </w:r>
      <w:r>
        <w:rPr>
          <w:i/>
          <w:iCs/>
        </w:rPr>
        <w:t xml:space="preserve"> sīdata saháujaso máhi k</w:t>
      </w:r>
      <w:r>
        <w:rPr>
          <w:i/>
          <w:iCs/>
        </w:rPr>
        <w:t>ṣ</w:t>
      </w:r>
      <w:r>
        <w:rPr>
          <w:i/>
          <w:iCs/>
        </w:rPr>
        <w:t>atrá</w:t>
      </w:r>
      <w:r>
        <w:rPr>
          <w:i/>
          <w:iCs/>
        </w:rPr>
        <w:t>ṃ</w:t>
      </w:r>
      <w:r>
        <w:rPr>
          <w:i/>
          <w:iCs/>
        </w:rPr>
        <w:t xml:space="preserve"> k</w:t>
      </w:r>
      <w:r>
        <w:rPr>
          <w:i/>
          <w:iCs/>
        </w:rPr>
        <w:t>ṣ</w:t>
      </w:r>
      <w:r>
        <w:rPr>
          <w:i/>
          <w:iCs/>
        </w:rPr>
        <w:t>atríyāya dádhatī</w:t>
      </w:r>
      <w:r>
        <w:rPr>
          <w:i/>
          <w:iCs/>
        </w:rPr>
        <w:t>ḥ</w:t>
      </w:r>
      <w:r>
        <w:rPr>
          <w:i/>
          <w:iCs/>
        </w:rPr>
        <w:t xml:space="preserve"> \\</w:t>
      </w:r>
    </w:p>
    <w:p w14:paraId="100DE340" w14:textId="77777777" w:rsidR="00E53EB6" w:rsidRDefault="006500F5">
      <w:pPr>
        <w:pStyle w:val="Zitat"/>
      </w:pPr>
      <w:r>
        <w:t xml:space="preserve">“O full of sweet, be mixed with the full of sweet, appropriating the great power to rule for the king, sit untouched, with the vigour-juice, putting the great power to </w:t>
      </w:r>
      <w:r>
        <w:t>rule into the king”</w:t>
      </w:r>
    </w:p>
    <w:p w14:paraId="7FD3C086" w14:textId="77777777" w:rsidR="00E53EB6" w:rsidRDefault="006500F5">
      <w:pPr>
        <w:pStyle w:val="HaupttextnachZitat"/>
      </w:pPr>
      <w:r>
        <w:t>ŚB 5.3.4.27</w:t>
      </w:r>
    </w:p>
    <w:p w14:paraId="798DD04F" w14:textId="77777777" w:rsidR="00E53EB6" w:rsidRDefault="006500F5">
      <w:pPr>
        <w:pStyle w:val="Zitat"/>
      </w:pPr>
      <w:r>
        <w:rPr>
          <w:rFonts w:eastAsia="MS Mincho;ＭＳ 明朝"/>
          <w:b/>
          <w:bCs/>
          <w:i/>
          <w:iCs/>
          <w:color w:val="000000"/>
          <w:lang w:eastAsia="hi-IN"/>
        </w:rPr>
        <w:t>tā́</w:t>
      </w:r>
      <w:r>
        <w:rPr>
          <w:rFonts w:eastAsia="MS Mincho;ＭＳ 明朝"/>
          <w:b/>
          <w:bCs/>
          <w:i/>
          <w:iCs/>
          <w:color w:val="000000"/>
          <w:lang w:eastAsia="hi-IN"/>
        </w:rPr>
        <w:t>ḥ</w:t>
      </w:r>
      <w:r>
        <w:rPr>
          <w:rFonts w:eastAsia="MS Mincho;ＭＳ 明朝"/>
          <w:b/>
          <w:bCs/>
          <w:i/>
          <w:iCs/>
          <w:color w:val="000000"/>
          <w:lang w:eastAsia="hi-IN"/>
        </w:rPr>
        <w:t xml:space="preserve"> sārdhamaúdumbare  pātre samávanayati</w:t>
      </w:r>
      <w:r>
        <w:rPr>
          <w:rFonts w:eastAsia="MS Mincho;ＭＳ 明朝"/>
          <w:i/>
          <w:iCs/>
          <w:lang w:eastAsia="hi-IN"/>
        </w:rPr>
        <w:t xml:space="preserve"> / mádhumatī</w:t>
      </w:r>
      <w:r>
        <w:rPr>
          <w:rFonts w:eastAsia="MS Mincho;ＭＳ 明朝"/>
          <w:i/>
          <w:iCs/>
          <w:color w:val="000000"/>
          <w:lang w:eastAsia="hi-IN"/>
        </w:rPr>
        <w:t>r</w:t>
      </w:r>
      <w:r>
        <w:rPr>
          <w:rFonts w:eastAsia="MS Mincho;ＭＳ 明朝"/>
          <w:b/>
          <w:bCs/>
          <w:i/>
          <w:iCs/>
          <w:color w:val="000000"/>
          <w:lang w:eastAsia="hi-IN"/>
        </w:rPr>
        <w:t>mádhumatībhi</w:t>
      </w:r>
      <w:r>
        <w:rPr>
          <w:rFonts w:eastAsia="MS Mincho;ＭＳ 明朝"/>
          <w:b/>
          <w:bCs/>
          <w:i/>
          <w:iCs/>
          <w:color w:val="000000"/>
          <w:lang w:eastAsia="hi-IN"/>
        </w:rPr>
        <w:t>ḥ</w:t>
      </w:r>
      <w:r>
        <w:rPr>
          <w:rFonts w:eastAsia="MS Mincho;ＭＳ 明朝"/>
          <w:b/>
          <w:bCs/>
          <w:i/>
          <w:iCs/>
          <w:color w:val="000000"/>
          <w:lang w:eastAsia="hi-IN"/>
        </w:rPr>
        <w:t xml:space="preserve"> </w:t>
      </w:r>
      <w:r>
        <w:rPr>
          <w:rFonts w:eastAsia="MS Mincho;ＭＳ 明朝"/>
          <w:i/>
          <w:iCs/>
          <w:color w:val="000000"/>
          <w:u w:val="single"/>
          <w:lang w:eastAsia="hi-IN"/>
        </w:rPr>
        <w:t>pr̥cyantāmí</w:t>
      </w:r>
      <w:r>
        <w:rPr>
          <w:rFonts w:eastAsia="MS Mincho;ＭＳ 明朝"/>
          <w:i/>
          <w:iCs/>
          <w:lang w:eastAsia="hi-IN"/>
        </w:rPr>
        <w:t xml:space="preserve">ti </w:t>
      </w:r>
      <w:r>
        <w:rPr>
          <w:rFonts w:eastAsia="MS Mincho;ＭＳ 明朝"/>
          <w:b/>
          <w:bCs/>
          <w:i/>
          <w:iCs/>
          <w:color w:val="000000"/>
          <w:lang w:eastAsia="hi-IN"/>
        </w:rPr>
        <w:t>rásavatī rásavatībhi</w:t>
      </w:r>
      <w:r>
        <w:rPr>
          <w:rFonts w:eastAsia="MS Mincho;ＭＳ 明朝"/>
          <w:b/>
          <w:bCs/>
          <w:i/>
          <w:iCs/>
          <w:color w:val="000000"/>
          <w:lang w:eastAsia="hi-IN"/>
        </w:rPr>
        <w:t>ḥ</w:t>
      </w:r>
      <w:r>
        <w:rPr>
          <w:rFonts w:eastAsia="MS Mincho;ＭＳ 明朝"/>
          <w:b/>
          <w:bCs/>
          <w:i/>
          <w:iCs/>
          <w:color w:val="000000"/>
          <w:lang w:eastAsia="hi-IN"/>
        </w:rPr>
        <w:t xml:space="preserve"> pr̥cyantāmítyevaìtádāha </w:t>
      </w:r>
      <w:r>
        <w:rPr>
          <w:rFonts w:eastAsia="MS Mincho;ＭＳ 明朝"/>
          <w:i/>
          <w:iCs/>
          <w:lang w:eastAsia="hi-IN"/>
        </w:rPr>
        <w:t xml:space="preserve">máhi </w:t>
      </w:r>
      <w:r>
        <w:rPr>
          <w:rFonts w:eastAsia="MS Mincho;ＭＳ 明朝"/>
          <w:i/>
          <w:iCs/>
          <w:color w:val="000000"/>
          <w:u w:val="single"/>
          <w:lang w:eastAsia="hi-IN"/>
        </w:rPr>
        <w:t>k</w:t>
      </w:r>
      <w:r>
        <w:rPr>
          <w:rFonts w:eastAsia="MS Mincho;ＭＳ 明朝"/>
          <w:i/>
          <w:iCs/>
          <w:color w:val="000000"/>
          <w:u w:val="single"/>
          <w:lang w:eastAsia="hi-IN"/>
        </w:rPr>
        <w:t>ṣ</w:t>
      </w:r>
      <w:r>
        <w:rPr>
          <w:rFonts w:eastAsia="MS Mincho;ＭＳ 明朝"/>
          <w:i/>
          <w:iCs/>
          <w:color w:val="000000"/>
          <w:u w:val="single"/>
          <w:lang w:eastAsia="hi-IN"/>
        </w:rPr>
        <w:t>atrá</w:t>
      </w:r>
      <w:r>
        <w:rPr>
          <w:rFonts w:eastAsia="MS Mincho;ＭＳ 明朝"/>
          <w:i/>
          <w:iCs/>
          <w:color w:val="000000"/>
          <w:u w:val="single"/>
          <w:lang w:eastAsia="hi-IN"/>
        </w:rPr>
        <w:t>ṃ</w:t>
      </w:r>
      <w:r>
        <w:rPr>
          <w:rFonts w:eastAsia="MS Mincho;ＭＳ 明朝"/>
          <w:i/>
          <w:iCs/>
          <w:color w:val="000000"/>
          <w:u w:val="single"/>
          <w:lang w:eastAsia="hi-IN"/>
        </w:rPr>
        <w:t xml:space="preserve"> </w:t>
      </w:r>
      <w:r>
        <w:rPr>
          <w:rFonts w:eastAsia="MS Mincho;ＭＳ 明朝"/>
          <w:i/>
          <w:iCs/>
          <w:lang w:eastAsia="hi-IN"/>
        </w:rPr>
        <w:t>k</w:t>
      </w:r>
      <w:r>
        <w:rPr>
          <w:rFonts w:eastAsia="MS Mincho;ＭＳ 明朝"/>
          <w:i/>
          <w:iCs/>
          <w:lang w:eastAsia="hi-IN"/>
        </w:rPr>
        <w:t>ṣ</w:t>
      </w:r>
      <w:r>
        <w:rPr>
          <w:rFonts w:eastAsia="MS Mincho;ＭＳ 明朝"/>
          <w:i/>
          <w:iCs/>
          <w:lang w:eastAsia="hi-IN"/>
        </w:rPr>
        <w:t xml:space="preserve">atríyāya vanvānā </w:t>
      </w:r>
      <w:r>
        <w:rPr>
          <w:rFonts w:eastAsia="MS Mincho;ＭＳ 明朝"/>
          <w:b/>
          <w:bCs/>
          <w:i/>
          <w:iCs/>
          <w:color w:val="000000"/>
          <w:lang w:eastAsia="hi-IN"/>
        </w:rPr>
        <w:t>íti tátparó 'k</w:t>
      </w:r>
      <w:r>
        <w:rPr>
          <w:rFonts w:eastAsia="MS Mincho;ＭＳ 明朝"/>
          <w:b/>
          <w:bCs/>
          <w:i/>
          <w:iCs/>
          <w:color w:val="000000"/>
          <w:lang w:eastAsia="hi-IN"/>
        </w:rPr>
        <w:t>ṣ</w:t>
      </w:r>
      <w:r>
        <w:rPr>
          <w:rFonts w:eastAsia="MS Mincho;ＭＳ 明朝"/>
          <w:b/>
          <w:bCs/>
          <w:i/>
          <w:iCs/>
          <w:color w:val="000000"/>
          <w:lang w:eastAsia="hi-IN"/>
        </w:rPr>
        <w:t>a</w:t>
      </w:r>
      <w:r>
        <w:rPr>
          <w:rFonts w:eastAsia="MS Mincho;ＭＳ 明朝"/>
          <w:b/>
          <w:bCs/>
          <w:i/>
          <w:iCs/>
          <w:color w:val="000000"/>
          <w:lang w:eastAsia="hi-IN"/>
        </w:rPr>
        <w:t>ṃ</w:t>
      </w:r>
      <w:r>
        <w:rPr>
          <w:rFonts w:eastAsia="MS Mincho;ＭＳ 明朝"/>
          <w:b/>
          <w:bCs/>
          <w:i/>
          <w:iCs/>
          <w:color w:val="000000"/>
          <w:lang w:eastAsia="hi-IN"/>
        </w:rPr>
        <w:t xml:space="preserve"> yájamānāyāśí</w:t>
      </w:r>
      <w:r>
        <w:rPr>
          <w:rFonts w:eastAsia="MS Mincho;ＭＳ 明朝"/>
          <w:b/>
          <w:bCs/>
          <w:i/>
          <w:iCs/>
          <w:color w:val="000000"/>
          <w:lang w:eastAsia="hi-IN"/>
        </w:rPr>
        <w:t>ṣ</w:t>
      </w:r>
      <w:r>
        <w:rPr>
          <w:rFonts w:eastAsia="MS Mincho;ＭＳ 明朝"/>
          <w:b/>
          <w:bCs/>
          <w:i/>
          <w:iCs/>
          <w:color w:val="000000"/>
          <w:lang w:eastAsia="hi-IN"/>
        </w:rPr>
        <w:t xml:space="preserve">amā́śāste yadā́ha máhi </w:t>
      </w:r>
      <w:r>
        <w:rPr>
          <w:rFonts w:eastAsia="MS Mincho;ＭＳ 明朝"/>
          <w:b/>
          <w:bCs/>
          <w:i/>
          <w:iCs/>
          <w:color w:val="000000"/>
          <w:lang w:eastAsia="hi-IN"/>
        </w:rPr>
        <w:t>k</w:t>
      </w:r>
      <w:r>
        <w:rPr>
          <w:rFonts w:eastAsia="MS Mincho;ＭＳ 明朝"/>
          <w:b/>
          <w:bCs/>
          <w:i/>
          <w:iCs/>
          <w:color w:val="000000"/>
          <w:lang w:eastAsia="hi-IN"/>
        </w:rPr>
        <w:t>ṣ</w:t>
      </w:r>
      <w:r>
        <w:rPr>
          <w:rFonts w:eastAsia="MS Mincho;ＭＳ 明朝"/>
          <w:b/>
          <w:bCs/>
          <w:i/>
          <w:iCs/>
          <w:color w:val="000000"/>
          <w:lang w:eastAsia="hi-IN"/>
        </w:rPr>
        <w:t>atrá</w:t>
      </w:r>
      <w:r>
        <w:rPr>
          <w:rFonts w:eastAsia="MS Mincho;ＭＳ 明朝"/>
          <w:b/>
          <w:bCs/>
          <w:i/>
          <w:iCs/>
          <w:color w:val="000000"/>
          <w:lang w:eastAsia="hi-IN"/>
        </w:rPr>
        <w:t>ṃ</w:t>
      </w:r>
      <w:r>
        <w:rPr>
          <w:rFonts w:eastAsia="MS Mincho;ＭＳ 明朝"/>
          <w:b/>
          <w:bCs/>
          <w:i/>
          <w:iCs/>
          <w:color w:val="000000"/>
          <w:lang w:eastAsia="hi-IN"/>
        </w:rPr>
        <w:t xml:space="preserve"> k</w:t>
      </w:r>
      <w:r>
        <w:rPr>
          <w:rFonts w:eastAsia="MS Mincho;ＭＳ 明朝"/>
          <w:b/>
          <w:bCs/>
          <w:i/>
          <w:iCs/>
          <w:color w:val="000000"/>
          <w:lang w:eastAsia="hi-IN"/>
        </w:rPr>
        <w:t>ṣ</w:t>
      </w:r>
      <w:r>
        <w:rPr>
          <w:rFonts w:eastAsia="MS Mincho;ＭＳ 明朝"/>
          <w:b/>
          <w:bCs/>
          <w:i/>
          <w:iCs/>
          <w:color w:val="000000"/>
          <w:lang w:eastAsia="hi-IN"/>
        </w:rPr>
        <w:t>atríyāya vanvānā íti</w:t>
      </w:r>
    </w:p>
    <w:p w14:paraId="507D5BD0" w14:textId="77777777" w:rsidR="00E53EB6" w:rsidRDefault="006500F5">
      <w:pPr>
        <w:pStyle w:val="Zitat"/>
      </w:pPr>
      <w:r>
        <w:rPr>
          <w:rFonts w:eastAsia="MS Mincho;ＭＳ 明朝"/>
          <w:lang w:eastAsia="hi-IN"/>
        </w:rPr>
        <w:t xml:space="preserve">“He pours them together in equal share into an </w:t>
      </w:r>
      <w:r>
        <w:rPr>
          <w:rFonts w:eastAsia="MS Mincho;ＭＳ 明朝"/>
          <w:i/>
          <w:iCs/>
          <w:lang w:eastAsia="hi-IN"/>
        </w:rPr>
        <w:t>udumbara</w:t>
      </w:r>
      <w:r>
        <w:rPr>
          <w:rFonts w:eastAsia="MS Mincho;ＭＳ 明朝"/>
          <w:lang w:eastAsia="hi-IN"/>
        </w:rPr>
        <w:t xml:space="preserve"> vessel ‘The full of sweet be mixed with the full of sweet’ ‘The full of sap be mixed with the full of sap’ so he says ‘Appropriating a great regal power for the king’ ou</w:t>
      </w:r>
      <w:r>
        <w:rPr>
          <w:rFonts w:eastAsia="MS Mincho;ＭＳ 明朝"/>
          <w:lang w:eastAsia="hi-IN"/>
        </w:rPr>
        <w:t>t of sight he prays a prayer asking this regal power for the sacrificer when he says ‘Appropriating a great regal power for the king’.”</w:t>
      </w:r>
    </w:p>
    <w:p w14:paraId="743810CD" w14:textId="77777777" w:rsidR="00E53EB6" w:rsidRDefault="00E53EB6">
      <w:pPr>
        <w:pStyle w:val="HaupttextnachZitat"/>
        <w:rPr>
          <w:rFonts w:eastAsia="Arial Unicode MS" w:cs="Sabon Unicode"/>
          <w:i/>
          <w:iCs/>
          <w:color w:val="000000"/>
          <w:szCs w:val="21"/>
          <w:shd w:val="clear" w:color="auto" w:fill="0099FF"/>
          <w:lang w:eastAsia="it-IT" w:bidi="en-GB"/>
        </w:rPr>
      </w:pPr>
    </w:p>
    <w:p w14:paraId="25E98B4D" w14:textId="77777777" w:rsidR="00E53EB6" w:rsidRDefault="00E53EB6">
      <w:pPr>
        <w:pStyle w:val="HaupttextohneEinzug"/>
        <w:rPr>
          <w:rFonts w:eastAsia="Arial Unicode MS" w:cs="Sabon Unicode"/>
          <w:color w:val="000000"/>
          <w:szCs w:val="21"/>
          <w:lang w:eastAsia="it-IT" w:bidi="en-GB"/>
        </w:rPr>
      </w:pPr>
    </w:p>
    <w:p w14:paraId="0B91C225" w14:textId="77777777" w:rsidR="00E53EB6" w:rsidRDefault="006500F5">
      <w:pPr>
        <w:pStyle w:val="HaupttextohneEinzug"/>
        <w:rPr>
          <w:rFonts w:eastAsia="Arial Unicode MS" w:cs="Sabon Unicode"/>
          <w:color w:val="000000"/>
          <w:szCs w:val="21"/>
          <w:lang w:eastAsia="it-IT" w:bidi="en-GB"/>
        </w:rPr>
      </w:pPr>
      <w:r>
        <w:rPr>
          <w:rFonts w:eastAsia="Arial Unicode MS" w:cs="Sabon Unicode"/>
          <w:b/>
          <w:bCs/>
          <w:color w:val="000000"/>
          <w:szCs w:val="21"/>
          <w:lang w:eastAsia="it-IT" w:bidi="en-GB"/>
        </w:rPr>
        <w:t>b-</w:t>
      </w:r>
      <w:r>
        <w:rPr>
          <w:rFonts w:eastAsia="Arial Unicode MS" w:cs="Sabon Unicode"/>
          <w:color w:val="000000"/>
          <w:szCs w:val="21"/>
          <w:lang w:eastAsia="it-IT" w:bidi="en-GB"/>
        </w:rPr>
        <w:t xml:space="preserve"> As to the manipulation of R̥gvedic stanzas, we may take into consideration three examples, in order to see the actual structure of the texts we are dealing with:</w:t>
      </w:r>
    </w:p>
    <w:p w14:paraId="71D1CF9E" w14:textId="77777777" w:rsidR="00E53EB6" w:rsidRDefault="00E53EB6">
      <w:pPr>
        <w:pStyle w:val="HaupttextohneEinzug"/>
        <w:rPr>
          <w:rFonts w:eastAsia="Arial Unicode MS" w:cs="Sabon Unicode"/>
          <w:color w:val="000000"/>
          <w:szCs w:val="21"/>
          <w:lang w:eastAsia="it-IT" w:bidi="en-GB"/>
        </w:rPr>
      </w:pPr>
    </w:p>
    <w:p w14:paraId="1916D9DC" w14:textId="77777777" w:rsidR="00E53EB6" w:rsidRDefault="006500F5">
      <w:pPr>
        <w:pStyle w:val="HaupttextohneEinzug"/>
      </w:pPr>
      <w:r>
        <w:rPr>
          <w:rFonts w:eastAsia="Arial Unicode MS" w:cs="Sabon Unicode"/>
          <w:color w:val="000000"/>
          <w:szCs w:val="21"/>
          <w:lang w:eastAsia="it-IT" w:bidi="en-GB"/>
        </w:rPr>
        <w:t xml:space="preserve">b1- </w:t>
      </w:r>
      <w:r>
        <w:rPr>
          <w:rFonts w:eastAsia="CharisSIL" w:cs="CharisSIL"/>
          <w:color w:val="000000"/>
          <w:lang w:eastAsia="it-IT" w:bidi="en-GB"/>
        </w:rPr>
        <w:t xml:space="preserve">In some cases, the editorial process resulted in the changing of the stanzas’ order and </w:t>
      </w:r>
      <w:r>
        <w:rPr>
          <w:rFonts w:eastAsia="CharisSIL" w:cs="CharisSIL"/>
          <w:color w:val="000000"/>
          <w:lang w:eastAsia="it-IT" w:bidi="en-GB"/>
        </w:rPr>
        <w:t xml:space="preserve">the addition of stanzas from another hymn. </w:t>
      </w:r>
      <w:r>
        <w:rPr>
          <w:rStyle w:val="biblio-authorGEN"/>
          <w:rFonts w:eastAsia="CharisSIL" w:cs="CharisSIL"/>
          <w:color w:val="000000"/>
          <w:lang w:eastAsia="it-IT" w:bidi="en-GB"/>
        </w:rPr>
        <w:t>Proferes</w:t>
      </w:r>
      <w:r>
        <w:rPr>
          <w:rFonts w:eastAsia="CharisSIL" w:cs="CharisSIL"/>
          <w:color w:val="000000"/>
          <w:lang w:eastAsia="it-IT" w:bidi="en-GB"/>
        </w:rPr>
        <w:t xml:space="preserve"> (2003</w:t>
      </w:r>
      <w:r>
        <w:rPr>
          <w:rFonts w:eastAsia="CharisSIL" w:cs="CharisSIL"/>
          <w:color w:val="000000"/>
          <w:vertAlign w:val="superscript"/>
          <w:lang w:eastAsia="it-IT" w:bidi="en-GB"/>
        </w:rPr>
        <w:t>b</w:t>
      </w:r>
      <w:r>
        <w:rPr>
          <w:rFonts w:eastAsia="CharisSIL" w:cs="CharisSIL"/>
          <w:color w:val="000000"/>
          <w:lang w:eastAsia="it-IT" w:bidi="en-GB"/>
        </w:rPr>
        <w:t xml:space="preserve">) has carried on a throughout analysis of this kind of process in the Yajurvedic </w:t>
      </w:r>
      <w:r>
        <w:rPr>
          <w:rFonts w:eastAsia="CharisSIL" w:cs="CharisSIL"/>
          <w:i/>
          <w:iCs/>
          <w:color w:val="000000"/>
          <w:lang w:eastAsia="it-IT" w:bidi="en-GB"/>
        </w:rPr>
        <w:t>mantra</w:t>
      </w:r>
      <w:r>
        <w:rPr>
          <w:rFonts w:eastAsia="CharisSIL" w:cs="CharisSIL"/>
          <w:color w:val="000000"/>
          <w:lang w:eastAsia="it-IT" w:bidi="en-GB"/>
        </w:rPr>
        <w:t xml:space="preserve">s MS 4.13.1: 199,2-7; KS 15.12: 218,12-17; TB 3.6.1.1, that are also to be found in AB 2.2 where almost every </w:t>
      </w:r>
      <w:r>
        <w:rPr>
          <w:rFonts w:eastAsia="CharisSIL" w:cs="CharisSIL"/>
          <w:i/>
          <w:iCs/>
          <w:color w:val="000000"/>
          <w:lang w:eastAsia="it-IT" w:bidi="en-GB"/>
        </w:rPr>
        <w:t>p</w:t>
      </w:r>
      <w:r>
        <w:rPr>
          <w:rFonts w:eastAsia="CharisSIL" w:cs="CharisSIL"/>
          <w:i/>
          <w:iCs/>
          <w:color w:val="000000"/>
          <w:lang w:eastAsia="it-IT" w:bidi="en-GB"/>
        </w:rPr>
        <w:t xml:space="preserve">āda </w:t>
      </w:r>
      <w:r>
        <w:rPr>
          <w:rFonts w:eastAsia="CharisSIL" w:cs="CharisSIL"/>
          <w:color w:val="000000"/>
          <w:lang w:eastAsia="it-IT" w:bidi="en-GB"/>
        </w:rPr>
        <w:t xml:space="preserve">is followed by a sort of explanation or interpretation.The R̥gvedic stanzas culled here as mantras are R̥V 3.8.1-3 and </w:t>
      </w:r>
      <w:r>
        <w:rPr>
          <w:rFonts w:eastAsia="CharisSIL" w:cs="CharisSIL"/>
          <w:color w:val="000000"/>
          <w:lang w:eastAsia="it-IT" w:bidi="en-GB"/>
        </w:rPr>
        <w:lastRenderedPageBreak/>
        <w:t xml:space="preserve">1.36.-13-14. </w:t>
      </w:r>
    </w:p>
    <w:p w14:paraId="1CB09155" w14:textId="77777777" w:rsidR="00E53EB6" w:rsidRDefault="006500F5">
      <w:pPr>
        <w:pStyle w:val="HaupttextohneEinzug"/>
      </w:pPr>
      <w:r>
        <w:rPr>
          <w:rFonts w:eastAsia="CharisSIL" w:cs="CharisSIL"/>
          <w:color w:val="000000"/>
          <w:lang w:eastAsia="it-IT" w:bidi="en-GB"/>
        </w:rPr>
        <w:t>We chose to use this case here as a significant example of redactional manipulation of R̥gvedic stanzas, and, at the s</w:t>
      </w:r>
      <w:r>
        <w:rPr>
          <w:rFonts w:eastAsia="CharisSIL" w:cs="CharisSIL"/>
          <w:color w:val="000000"/>
          <w:lang w:eastAsia="it-IT" w:bidi="en-GB"/>
        </w:rPr>
        <w:t xml:space="preserve">ame time, </w:t>
      </w:r>
      <w:r>
        <w:rPr>
          <w:rFonts w:eastAsia="CharisSIL" w:cs="CharisSIL"/>
          <w:color w:val="000000"/>
          <w:lang w:eastAsia="it-IT" w:bidi="en-GB"/>
        </w:rPr>
        <w:t>as a clear evidence that the creation of the liturgical texts continued some poetical features of the earlier tradition</w:t>
      </w:r>
      <w:r>
        <w:rPr>
          <w:rFonts w:eastAsia="CharisSIL" w:cs="CharisSIL"/>
          <w:color w:val="000000"/>
          <w:lang w:eastAsia="it-IT" w:bidi="en-GB"/>
        </w:rPr>
        <w:t>.</w:t>
      </w:r>
    </w:p>
    <w:p w14:paraId="3CC43D80" w14:textId="77777777" w:rsidR="00E53EB6" w:rsidRDefault="006500F5">
      <w:pPr>
        <w:pStyle w:val="HaupttextohneEinzug"/>
      </w:pPr>
      <w:r>
        <w:rPr>
          <w:noProof/>
        </w:rPr>
        <w:drawing>
          <wp:anchor distT="0" distB="0" distL="0" distR="0" simplePos="0" relativeHeight="2" behindDoc="0" locked="0" layoutInCell="0" allowOverlap="1" wp14:anchorId="54202143" wp14:editId="6FA8E61F">
            <wp:simplePos x="0" y="0"/>
            <wp:positionH relativeFrom="column">
              <wp:align>center</wp:align>
            </wp:positionH>
            <wp:positionV relativeFrom="paragraph">
              <wp:posOffset>635</wp:posOffset>
            </wp:positionV>
            <wp:extent cx="5580380" cy="3361690"/>
            <wp:effectExtent l="0" t="0" r="0" b="0"/>
            <wp:wrapSquare wrapText="largest"/>
            <wp:docPr id="2" name="graphic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s1"/>
                    <pic:cNvPicPr>
                      <a:picLocks noChangeAspect="1" noChangeArrowheads="1"/>
                    </pic:cNvPicPr>
                  </pic:nvPicPr>
                  <pic:blipFill>
                    <a:blip r:embed="rId24"/>
                    <a:stretch>
                      <a:fillRect/>
                    </a:stretch>
                  </pic:blipFill>
                  <pic:spPr bwMode="auto">
                    <a:xfrm>
                      <a:off x="0" y="0"/>
                      <a:ext cx="5580380" cy="3361690"/>
                    </a:xfrm>
                    <a:prstGeom prst="rect">
                      <a:avLst/>
                    </a:prstGeom>
                  </pic:spPr>
                </pic:pic>
              </a:graphicData>
            </a:graphic>
          </wp:anchor>
        </w:drawing>
      </w:r>
      <w:r>
        <w:t>The rite concerned is the Installation of the Sacrificial Post, and the</w:t>
      </w:r>
      <w:r>
        <w:rPr>
          <w:i/>
          <w:iCs/>
        </w:rPr>
        <w:t xml:space="preserve"> mantra</w:t>
      </w:r>
      <w:r>
        <w:t xml:space="preserve">s are for the </w:t>
      </w:r>
      <w:r>
        <w:rPr>
          <w:i/>
          <w:iCs/>
        </w:rPr>
        <w:t>hotr̥</w:t>
      </w:r>
      <w:r>
        <w:t xml:space="preserve"> to be recited when anointing and erecting the sacrificial post during the animal sacrifice. The stanzas of R̥V 3.8.1-3 provide us already with a picture of the sequences of discrete ritual actions involved in the procedure for installing the post, as we c</w:t>
      </w:r>
      <w:r>
        <w:t>an see in first three stanzas where we have clearly the ritual participants (probably the priests with the patron and his wife</w:t>
      </w:r>
      <w:r>
        <w:rPr>
          <w:rStyle w:val="FootnoteAnchor"/>
        </w:rPr>
        <w:footnoteReference w:id="125"/>
      </w:r>
      <w:r>
        <w:t>) anointing the post with ghee as it lies on the ground. Furthermore, these stanzas reveal how particular formulas and poetic mo</w:t>
      </w:r>
      <w:r>
        <w:t xml:space="preserve">tifs are associated with particular ritual procedure: the adverb </w:t>
      </w:r>
      <w:r>
        <w:rPr>
          <w:i/>
          <w:iCs/>
        </w:rPr>
        <w:t>ūrdhvá</w:t>
      </w:r>
      <w:r>
        <w:t xml:space="preserve"> and the verbs </w:t>
      </w:r>
      <w:r>
        <w:rPr>
          <w:i/>
          <w:iCs/>
        </w:rPr>
        <w:t xml:space="preserve">śri- / ud-śri- </w:t>
      </w:r>
      <w:r>
        <w:t xml:space="preserve">often repeated within these stanzas are evoking the erection and the inclining upwards of the post and the use of the root </w:t>
      </w:r>
      <w:r>
        <w:rPr>
          <w:i/>
          <w:iCs/>
        </w:rPr>
        <w:t>mi</w:t>
      </w:r>
      <w:r>
        <w:t xml:space="preserve">- in </w:t>
      </w:r>
      <w:r>
        <w:rPr>
          <w:i/>
          <w:iCs/>
        </w:rPr>
        <w:t>súmitī</w:t>
      </w:r>
      <w:r>
        <w:t xml:space="preserve"> </w:t>
      </w:r>
      <w:r>
        <w:rPr>
          <w:i/>
          <w:iCs/>
        </w:rPr>
        <w:t>mīyámānaḥ</w:t>
      </w:r>
      <w:r>
        <w:t xml:space="preserve"> “</w:t>
      </w:r>
      <w:r>
        <w:t xml:space="preserve">founded with a good founding”, a frequent figura etymologica, being the noun a derivative of the same root as the present participle </w:t>
      </w:r>
      <w:r>
        <w:rPr>
          <w:i/>
          <w:iCs/>
        </w:rPr>
        <w:t>mīyamānaḥ</w:t>
      </w:r>
      <w:r>
        <w:t>, also belong to the semantic field of the post installation.</w:t>
      </w:r>
    </w:p>
    <w:p w14:paraId="4F782640" w14:textId="77777777" w:rsidR="00E53EB6" w:rsidRDefault="006500F5">
      <w:pPr>
        <w:pStyle w:val="HaupttextohneEinzug"/>
      </w:pPr>
      <w:r>
        <w:rPr>
          <w:rFonts w:eastAsia="CharisSIL" w:cs="CharisSIL"/>
          <w:color w:val="000000"/>
        </w:rPr>
        <w:t>Originally the stanzas 1.36.13-14</w:t>
      </w:r>
      <w:r>
        <w:rPr>
          <w:rFonts w:eastAsia="CharisSIL" w:cs="CharisSIL"/>
          <w:color w:val="000000"/>
        </w:rPr>
        <w:t xml:space="preserve"> had nothing to </w:t>
      </w:r>
      <w:r>
        <w:rPr>
          <w:rFonts w:eastAsia="CharisSIL" w:cs="CharisSIL"/>
          <w:color w:val="000000"/>
        </w:rPr>
        <w:t>do with the rite for the sacrificial post, being composed for the kindling of the sacred fire.</w:t>
      </w:r>
    </w:p>
    <w:p w14:paraId="4F603B6B" w14:textId="77777777" w:rsidR="00E53EB6" w:rsidRDefault="006500F5">
      <w:pPr>
        <w:pStyle w:val="Zitat"/>
      </w:pPr>
      <w:r>
        <w:rPr>
          <w:rFonts w:eastAsia="CharisSIL" w:cs="CharisSIL"/>
          <w:color w:val="000000"/>
        </w:rPr>
        <w:t xml:space="preserve">1.36.13 </w:t>
      </w:r>
      <w:r>
        <w:rPr>
          <w:rFonts w:eastAsia="CharisSIL" w:cs="CharisSIL"/>
          <w:i/>
          <w:iCs/>
          <w:color w:val="000000"/>
        </w:rPr>
        <w:t xml:space="preserve">ūrdhvá ū </w:t>
      </w:r>
      <w:r>
        <w:rPr>
          <w:rFonts w:eastAsia="CharisSIL" w:cs="CharisSIL"/>
          <w:i/>
          <w:iCs/>
          <w:color w:val="000000"/>
        </w:rPr>
        <w:t>ṣ</w:t>
      </w:r>
      <w:r>
        <w:rPr>
          <w:rFonts w:eastAsia="CharisSIL" w:cs="CharisSIL"/>
          <w:i/>
          <w:iCs/>
          <w:color w:val="000000"/>
        </w:rPr>
        <w:t xml:space="preserve">ú </w:t>
      </w:r>
      <w:r>
        <w:rPr>
          <w:rFonts w:eastAsia="CharisSIL" w:cs="CharisSIL"/>
          <w:i/>
          <w:iCs/>
          <w:color w:val="000000"/>
        </w:rPr>
        <w:t>ṇ</w:t>
      </w:r>
      <w:r>
        <w:rPr>
          <w:rFonts w:eastAsia="CharisSIL" w:cs="CharisSIL"/>
          <w:i/>
          <w:iCs/>
          <w:color w:val="000000"/>
        </w:rPr>
        <w:t>a ūtáye tí</w:t>
      </w:r>
      <w:r>
        <w:rPr>
          <w:rFonts w:eastAsia="CharisSIL" w:cs="CharisSIL"/>
          <w:i/>
          <w:iCs/>
          <w:color w:val="000000"/>
        </w:rPr>
        <w:t>ṣṭ</w:t>
      </w:r>
      <w:r>
        <w:rPr>
          <w:rFonts w:eastAsia="CharisSIL" w:cs="CharisSIL"/>
          <w:i/>
          <w:iCs/>
          <w:color w:val="000000"/>
        </w:rPr>
        <w:t>hā devó ná savitā́ /</w:t>
      </w:r>
    </w:p>
    <w:p w14:paraId="39D44D5D" w14:textId="77777777" w:rsidR="00E53EB6" w:rsidRDefault="006500F5">
      <w:pPr>
        <w:pStyle w:val="ZitatnachZitat"/>
        <w:rPr>
          <w:rFonts w:eastAsia="CharisSIL" w:cs="CharisSIL"/>
          <w:i/>
          <w:iCs/>
          <w:color w:val="000000"/>
        </w:rPr>
      </w:pPr>
      <w:r>
        <w:rPr>
          <w:rFonts w:eastAsia="CharisSIL" w:cs="CharisSIL"/>
          <w:i/>
          <w:iCs/>
          <w:color w:val="000000"/>
        </w:rPr>
        <w:t>ūrdhvó vā́jasya sánitā yád añjíbhir / vāghádbhir vihváyāmahe //</w:t>
      </w:r>
    </w:p>
    <w:p w14:paraId="20A8CC4B" w14:textId="77777777" w:rsidR="00E53EB6" w:rsidRDefault="006500F5">
      <w:pPr>
        <w:pStyle w:val="ZitatnachZitat"/>
        <w:rPr>
          <w:rFonts w:eastAsia="CharisSIL" w:cs="CharisSIL"/>
          <w:i/>
          <w:iCs/>
          <w:color w:val="000000"/>
        </w:rPr>
      </w:pPr>
      <w:r>
        <w:rPr>
          <w:rFonts w:eastAsia="CharisSIL" w:cs="CharisSIL"/>
          <w:color w:val="000000"/>
        </w:rPr>
        <w:t>1.36.14</w:t>
      </w:r>
      <w:r>
        <w:rPr>
          <w:rFonts w:eastAsia="CharisSIL" w:cs="CharisSIL"/>
          <w:i/>
          <w:iCs/>
          <w:color w:val="000000"/>
        </w:rPr>
        <w:t xml:space="preserve"> ūrdhvó na</w:t>
      </w:r>
      <w:r>
        <w:rPr>
          <w:rFonts w:eastAsia="CharisSIL" w:cs="CharisSIL"/>
          <w:i/>
          <w:iCs/>
          <w:color w:val="000000"/>
        </w:rPr>
        <w:t>ḥ</w:t>
      </w:r>
      <w:r>
        <w:rPr>
          <w:rFonts w:eastAsia="CharisSIL" w:cs="CharisSIL"/>
          <w:i/>
          <w:iCs/>
          <w:color w:val="000000"/>
        </w:rPr>
        <w:t xml:space="preserve"> pāhy á</w:t>
      </w:r>
      <w:r>
        <w:rPr>
          <w:rFonts w:eastAsia="CharisSIL" w:cs="CharisSIL"/>
          <w:i/>
          <w:iCs/>
          <w:color w:val="000000"/>
        </w:rPr>
        <w:t>ṃ</w:t>
      </w:r>
      <w:r>
        <w:rPr>
          <w:rFonts w:eastAsia="CharisSIL" w:cs="CharisSIL"/>
          <w:i/>
          <w:iCs/>
          <w:color w:val="000000"/>
        </w:rPr>
        <w:t xml:space="preserve">haso ní ketúnā / </w:t>
      </w:r>
      <w:r>
        <w:rPr>
          <w:rFonts w:eastAsia="CharisSIL" w:cs="CharisSIL"/>
          <w:i/>
          <w:iCs/>
          <w:color w:val="000000"/>
        </w:rPr>
        <w:t>víśva</w:t>
      </w:r>
      <w:r>
        <w:rPr>
          <w:rFonts w:eastAsia="CharisSIL" w:cs="CharisSIL"/>
          <w:i/>
          <w:iCs/>
          <w:color w:val="000000"/>
        </w:rPr>
        <w:t>ṃ</w:t>
      </w:r>
      <w:r>
        <w:rPr>
          <w:rFonts w:eastAsia="CharisSIL" w:cs="CharisSIL"/>
          <w:i/>
          <w:iCs/>
          <w:color w:val="000000"/>
        </w:rPr>
        <w:t xml:space="preserve"> sám atrí</w:t>
      </w:r>
      <w:r>
        <w:rPr>
          <w:rFonts w:eastAsia="CharisSIL" w:cs="CharisSIL"/>
          <w:i/>
          <w:iCs/>
          <w:color w:val="000000"/>
        </w:rPr>
        <w:t>ṇ</w:t>
      </w:r>
      <w:r>
        <w:rPr>
          <w:rFonts w:eastAsia="CharisSIL" w:cs="CharisSIL"/>
          <w:i/>
          <w:iCs/>
          <w:color w:val="000000"/>
        </w:rPr>
        <w:t>a</w:t>
      </w:r>
      <w:r>
        <w:rPr>
          <w:rFonts w:eastAsia="CharisSIL" w:cs="CharisSIL"/>
          <w:i/>
          <w:iCs/>
          <w:color w:val="000000"/>
        </w:rPr>
        <w:t>ṃ</w:t>
      </w:r>
      <w:r>
        <w:rPr>
          <w:rFonts w:eastAsia="CharisSIL" w:cs="CharisSIL"/>
          <w:i/>
          <w:iCs/>
          <w:color w:val="000000"/>
        </w:rPr>
        <w:t xml:space="preserve"> daha /</w:t>
      </w:r>
    </w:p>
    <w:p w14:paraId="06B2151E" w14:textId="77777777" w:rsidR="00E53EB6" w:rsidRDefault="006500F5">
      <w:pPr>
        <w:pStyle w:val="ZitatnachZitat"/>
        <w:rPr>
          <w:rFonts w:eastAsia="CharisSIL" w:cs="CharisSIL"/>
          <w:i/>
          <w:iCs/>
          <w:color w:val="000000"/>
        </w:rPr>
      </w:pPr>
      <w:r>
        <w:rPr>
          <w:rFonts w:eastAsia="CharisSIL" w:cs="CharisSIL"/>
          <w:i/>
          <w:iCs/>
          <w:color w:val="000000"/>
        </w:rPr>
        <w:t>kr̥dhī́ na ūrdhvā́ñ caráthāya jīváse / vidā́ devé</w:t>
      </w:r>
      <w:r>
        <w:rPr>
          <w:rFonts w:eastAsia="CharisSIL" w:cs="CharisSIL"/>
          <w:i/>
          <w:iCs/>
          <w:color w:val="000000"/>
        </w:rPr>
        <w:t>ṣ</w:t>
      </w:r>
      <w:r>
        <w:rPr>
          <w:rFonts w:eastAsia="CharisSIL" w:cs="CharisSIL"/>
          <w:i/>
          <w:iCs/>
          <w:color w:val="000000"/>
        </w:rPr>
        <w:t>u no dúva</w:t>
      </w:r>
      <w:r>
        <w:rPr>
          <w:rFonts w:eastAsia="CharisSIL" w:cs="CharisSIL"/>
          <w:i/>
          <w:iCs/>
          <w:color w:val="000000"/>
        </w:rPr>
        <w:t>ḥ</w:t>
      </w:r>
      <w:r>
        <w:rPr>
          <w:rFonts w:eastAsia="CharisSIL" w:cs="CharisSIL"/>
          <w:i/>
          <w:iCs/>
          <w:color w:val="000000"/>
        </w:rPr>
        <w:t xml:space="preserve"> //</w:t>
      </w:r>
    </w:p>
    <w:p w14:paraId="78E0D864" w14:textId="77777777" w:rsidR="00E53EB6" w:rsidRDefault="00E53EB6">
      <w:pPr>
        <w:pStyle w:val="HaupttextohneEinzug"/>
        <w:rPr>
          <w:rFonts w:eastAsia="CharisSIL" w:cs="CharisSIL"/>
          <w:color w:val="000000"/>
        </w:rPr>
      </w:pPr>
    </w:p>
    <w:p w14:paraId="64DA72E1" w14:textId="77777777" w:rsidR="00E53EB6" w:rsidRDefault="006500F5">
      <w:pPr>
        <w:pStyle w:val="HaupttextohneEinzug"/>
      </w:pPr>
      <w:r>
        <w:rPr>
          <w:rFonts w:eastAsia="CharisSIL" w:cs="CharisSIL"/>
          <w:color w:val="000000"/>
        </w:rPr>
        <w:t xml:space="preserve">They were added just after the three stanzas of R̥V 3.8 partially because they had a similar formulary  but also because the stanza 13 contained the formula traditionally mandated for the </w:t>
      </w:r>
      <w:r>
        <w:rPr>
          <w:rFonts w:eastAsia="CharisSIL" w:cs="CharisSIL"/>
          <w:color w:val="000000"/>
        </w:rPr>
        <w:lastRenderedPageBreak/>
        <w:t xml:space="preserve">post liturgy: </w:t>
      </w:r>
      <w:r>
        <w:rPr>
          <w:rFonts w:eastAsia="CharisSIL" w:cs="CharisSIL"/>
          <w:i/>
          <w:iCs/>
          <w:color w:val="000000"/>
        </w:rPr>
        <w:t>vāghádbhir vihváyāmahe</w:t>
      </w:r>
      <w:r>
        <w:rPr>
          <w:rFonts w:eastAsia="CharisSIL" w:cs="CharisSIL"/>
          <w:color w:val="000000"/>
        </w:rPr>
        <w:t>“(when) we contest verbally wi</w:t>
      </w:r>
      <w:r>
        <w:rPr>
          <w:rFonts w:eastAsia="CharisSIL" w:cs="CharisSIL"/>
          <w:color w:val="000000"/>
        </w:rPr>
        <w:t>th poets/singers”</w:t>
      </w:r>
      <w:r>
        <w:rPr>
          <w:rStyle w:val="FootnoteAnchor"/>
          <w:rFonts w:eastAsia="CharisSIL" w:cs="CharisSIL"/>
          <w:color w:val="000000"/>
        </w:rPr>
        <w:footnoteReference w:id="126"/>
      </w:r>
      <w:r>
        <w:rPr>
          <w:rFonts w:eastAsia="CharisSIL" w:cs="CharisSIL"/>
          <w:color w:val="000000"/>
        </w:rPr>
        <w:t xml:space="preserve"> . We have to notice, that the brāhmaṇical justification as given in the AB passage, lying only on the presence of the idea of “stand up- right” (</w:t>
      </w:r>
      <w:r>
        <w:rPr>
          <w:rFonts w:eastAsia="CharisSIL" w:cs="CharisSIL"/>
          <w:i/>
          <w:iCs/>
          <w:color w:val="000000"/>
        </w:rPr>
        <w:t>ud- śri</w:t>
      </w:r>
      <w:r>
        <w:rPr>
          <w:rFonts w:eastAsia="CharisSIL" w:cs="CharisSIL"/>
          <w:color w:val="000000"/>
        </w:rPr>
        <w:t>) fails to fully capture the underlying rationale of the redactors of the classic</w:t>
      </w:r>
      <w:r>
        <w:rPr>
          <w:rFonts w:eastAsia="CharisSIL" w:cs="CharisSIL"/>
          <w:color w:val="000000"/>
        </w:rPr>
        <w:t>al liturgy. We have here a clear trace of the shift between what we called the Floating Mantra Period and the later Brāhmaṇa one, to which the AB belongs.</w:t>
      </w:r>
    </w:p>
    <w:p w14:paraId="2B761A00" w14:textId="77777777" w:rsidR="00E53EB6" w:rsidRDefault="006500F5">
      <w:pPr>
        <w:pStyle w:val="HaupttextnachZitat"/>
      </w:pPr>
      <w:r>
        <w:rPr>
          <w:rFonts w:eastAsia="Arial Unicode MS" w:cs="Sabon Unicode"/>
          <w:color w:val="000000"/>
          <w:szCs w:val="21"/>
          <w:lang w:eastAsia="it-IT" w:bidi="en-GB"/>
        </w:rPr>
        <w:t xml:space="preserve">b2- </w:t>
      </w:r>
      <w:r>
        <w:rPr>
          <w:rFonts w:eastAsia="CharisSIL" w:cs="CharisSIL"/>
          <w:color w:val="000000"/>
          <w:lang w:eastAsia="it-IT" w:bidi="en-GB"/>
        </w:rPr>
        <w:t>In the second case, we have the first stanza of the hymn R̥V 10.96 addressed to Indra’s horses,</w:t>
      </w:r>
      <w:r>
        <w:rPr>
          <w:rFonts w:eastAsia="CharisSIL" w:cs="CharisSIL"/>
          <w:color w:val="000000"/>
          <w:lang w:eastAsia="it-IT" w:bidi="en-GB"/>
        </w:rPr>
        <w:t xml:space="preserve"> which is used for two different rites and interestingly enough is interpolated both in TB 2.4.3.10 and in TB 3.7.9.6; TB 2.4.3.10 concerns the </w:t>
      </w:r>
      <w:r>
        <w:rPr>
          <w:rFonts w:eastAsia="CharisSIL" w:cs="CharisSIL"/>
          <w:i/>
          <w:iCs/>
          <w:color w:val="000000"/>
          <w:lang w:eastAsia="it-IT" w:bidi="en-GB"/>
        </w:rPr>
        <w:t>Darśapūrṇamāseṣṭi</w:t>
      </w:r>
      <w:r>
        <w:rPr>
          <w:rFonts w:eastAsia="CharisSIL" w:cs="CharisSIL"/>
          <w:color w:val="000000"/>
          <w:lang w:eastAsia="it-IT" w:bidi="en-GB"/>
        </w:rPr>
        <w:t xml:space="preserve">. </w:t>
      </w:r>
      <w:r>
        <w:rPr>
          <w:rFonts w:eastAsia="CharisSIL" w:cs="CharisSIL"/>
          <w:i/>
          <w:iCs/>
          <w:color w:val="000000"/>
          <w:lang w:eastAsia="it-IT" w:bidi="en-GB"/>
        </w:rPr>
        <w:t>Upahoma</w:t>
      </w:r>
      <w:r>
        <w:rPr>
          <w:rFonts w:eastAsia="CharisSIL" w:cs="CharisSIL"/>
          <w:color w:val="000000"/>
          <w:lang w:eastAsia="it-IT" w:bidi="en-GB"/>
        </w:rPr>
        <w:t xml:space="preserve"> (subsidiary) </w:t>
      </w:r>
      <w:r>
        <w:rPr>
          <w:rFonts w:eastAsia="CharisSIL" w:cs="CharisSIL"/>
          <w:i/>
          <w:iCs/>
          <w:color w:val="000000"/>
          <w:lang w:eastAsia="it-IT" w:bidi="en-GB"/>
        </w:rPr>
        <w:t>mantra</w:t>
      </w:r>
      <w:r>
        <w:rPr>
          <w:rFonts w:eastAsia="CharisSIL" w:cs="CharisSIL"/>
          <w:color w:val="000000"/>
          <w:lang w:eastAsia="it-IT" w:bidi="en-GB"/>
        </w:rPr>
        <w:t>s addressed to Indra, w</w:t>
      </w:r>
      <w:r>
        <w:rPr>
          <w:rFonts w:eastAsia="CharisSIL" w:cs="CharisSIL"/>
          <w:color w:val="000000"/>
        </w:rPr>
        <w:t>hile in TB 3.7.96 the rites concerned</w:t>
      </w:r>
      <w:r>
        <w:rPr>
          <w:rFonts w:eastAsia="CharisSIL" w:cs="CharisSIL"/>
          <w:color w:val="000000"/>
        </w:rPr>
        <w:t xml:space="preserve"> are the offerings to Soma. The stanzas and formulas are to be recited to the </w:t>
      </w:r>
      <w:r>
        <w:rPr>
          <w:rFonts w:eastAsia="CharisSIL" w:cs="CharisSIL"/>
          <w:i/>
          <w:iCs/>
          <w:color w:val="000000"/>
        </w:rPr>
        <w:t xml:space="preserve">ṣodaśin </w:t>
      </w:r>
      <w:r>
        <w:rPr>
          <w:rFonts w:eastAsia="CharisSIL" w:cs="CharisSIL"/>
          <w:color w:val="000000"/>
        </w:rPr>
        <w:t>cup during the Ṣodaśin form of Jyotiṣtoma, a one-day sacrifice to Indra. If we look precisely what happens to the R̥V stanza is that 10.96.1 is interpolated tree tim</w:t>
      </w:r>
      <w:r>
        <w:rPr>
          <w:rFonts w:eastAsia="CharisSIL" w:cs="CharisSIL"/>
          <w:color w:val="000000"/>
        </w:rPr>
        <w:t xml:space="preserve">es: </w:t>
      </w:r>
      <w:r>
        <w:rPr>
          <w:rFonts w:eastAsia="CharisSIL" w:cs="CharisSIL"/>
          <w:i/>
          <w:iCs/>
          <w:color w:val="000000"/>
        </w:rPr>
        <w:t xml:space="preserve">yá r̥tvíyaḥ, índro nāḿa </w:t>
      </w:r>
      <w:r>
        <w:rPr>
          <w:rFonts w:eastAsia="CharisSIL" w:cs="CharisSIL"/>
          <w:color w:val="000000"/>
        </w:rPr>
        <w:t xml:space="preserve">and </w:t>
      </w:r>
      <w:r>
        <w:rPr>
          <w:rFonts w:eastAsia="CharisSIL" w:cs="CharisSIL"/>
          <w:i/>
          <w:iCs/>
          <w:color w:val="000000"/>
        </w:rPr>
        <w:t xml:space="preserve">śrutó gaṇá </w:t>
      </w:r>
      <w:r>
        <w:rPr>
          <w:rFonts w:eastAsia="CharisSIL" w:cs="CharisSIL"/>
          <w:color w:val="000000"/>
        </w:rPr>
        <w:t xml:space="preserve">are inserted. </w:t>
      </w:r>
    </w:p>
    <w:p w14:paraId="6CD039EE" w14:textId="77777777" w:rsidR="00E53EB6" w:rsidRDefault="006500F5">
      <w:pPr>
        <w:pStyle w:val="HaupttextnachZitat"/>
        <w:rPr>
          <w:rFonts w:eastAsia="CharisSIL" w:cs="CharisSIL"/>
          <w:color w:val="000000"/>
        </w:rPr>
      </w:pPr>
      <w:r>
        <w:rPr>
          <w:rFonts w:eastAsia="CharisSIL" w:cs="CharisSIL"/>
          <w:noProof/>
          <w:color w:val="000000"/>
        </w:rPr>
        <w:drawing>
          <wp:anchor distT="0" distB="0" distL="0" distR="0" simplePos="0" relativeHeight="6" behindDoc="0" locked="0" layoutInCell="0" allowOverlap="1" wp14:anchorId="3D912AD9" wp14:editId="05259CC7">
            <wp:simplePos x="0" y="0"/>
            <wp:positionH relativeFrom="column">
              <wp:align>center</wp:align>
            </wp:positionH>
            <wp:positionV relativeFrom="paragraph">
              <wp:posOffset>635</wp:posOffset>
            </wp:positionV>
            <wp:extent cx="5580380" cy="3487420"/>
            <wp:effectExtent l="0" t="0" r="0" b="0"/>
            <wp:wrapSquare wrapText="largest"/>
            <wp:docPr id="3" name="graphi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s2"/>
                    <pic:cNvPicPr>
                      <a:picLocks noChangeAspect="1" noChangeArrowheads="1"/>
                    </pic:cNvPicPr>
                  </pic:nvPicPr>
                  <pic:blipFill>
                    <a:blip r:embed="rId25"/>
                    <a:stretch>
                      <a:fillRect/>
                    </a:stretch>
                  </pic:blipFill>
                  <pic:spPr bwMode="auto">
                    <a:xfrm>
                      <a:off x="0" y="0"/>
                      <a:ext cx="5580380" cy="3487420"/>
                    </a:xfrm>
                    <a:prstGeom prst="rect">
                      <a:avLst/>
                    </a:prstGeom>
                  </pic:spPr>
                </pic:pic>
              </a:graphicData>
            </a:graphic>
          </wp:anchor>
        </w:drawing>
      </w:r>
    </w:p>
    <w:p w14:paraId="0B4B47B1" w14:textId="77777777" w:rsidR="00E53EB6" w:rsidRDefault="006500F5">
      <w:pPr>
        <w:pStyle w:val="HaupttextohneEinzug"/>
      </w:pPr>
      <w:r>
        <w:rPr>
          <w:rFonts w:eastAsia="CharisSIL" w:cs="CharisSIL"/>
          <w:color w:val="000000"/>
          <w:szCs w:val="21"/>
        </w:rPr>
        <w:t>The meaning of the stanza is not extremely different from the R̥gvedic stanza, but indeed there is a clear modification of the original, as long as Indra becomes the subject of the second sen</w:t>
      </w:r>
      <w:r>
        <w:rPr>
          <w:rFonts w:eastAsia="CharisSIL" w:cs="CharisSIL"/>
          <w:color w:val="000000"/>
          <w:szCs w:val="21"/>
        </w:rPr>
        <w:t xml:space="preserve">tence and pours out “what is pleasant as the clarified butter”, while in R̥V 10.96.1 it was the </w:t>
      </w:r>
      <w:r>
        <w:rPr>
          <w:rFonts w:eastAsia="CharisSIL" w:cs="CharisSIL"/>
          <w:i/>
          <w:iCs/>
          <w:color w:val="000000"/>
          <w:szCs w:val="21"/>
        </w:rPr>
        <w:t>máda</w:t>
      </w:r>
      <w:r>
        <w:rPr>
          <w:rFonts w:eastAsia="CharisSIL" w:cs="CharisSIL"/>
          <w:color w:val="000000"/>
          <w:szCs w:val="21"/>
        </w:rPr>
        <w:t xml:space="preserve">-, pleasant as the clarified butter, which pours out. In TB 2.4.3.10 it is also preceded by the words </w:t>
      </w:r>
      <w:r>
        <w:rPr>
          <w:rFonts w:eastAsia="CharisSIL" w:cs="CharisSIL"/>
          <w:i/>
          <w:iCs/>
          <w:color w:val="000000"/>
          <w:szCs w:val="21"/>
        </w:rPr>
        <w:t>eṣá brahmā́</w:t>
      </w:r>
      <w:r>
        <w:rPr>
          <w:rFonts w:eastAsia="CharisSIL" w:cs="CharisSIL"/>
          <w:color w:val="000000"/>
          <w:szCs w:val="21"/>
        </w:rPr>
        <w:t xml:space="preserve">: what the anonymous redactor has attained is to create a clear connection within the ritual sequence (with </w:t>
      </w:r>
      <w:r>
        <w:rPr>
          <w:rFonts w:eastAsia="CharisSIL" w:cs="CharisSIL"/>
          <w:i/>
          <w:iCs/>
          <w:color w:val="000000"/>
          <w:szCs w:val="21"/>
        </w:rPr>
        <w:t xml:space="preserve">eṣá brahmā́ </w:t>
      </w:r>
      <w:r>
        <w:rPr>
          <w:rFonts w:eastAsia="CharisSIL" w:cs="CharisSIL"/>
          <w:color w:val="000000"/>
          <w:szCs w:val="21"/>
        </w:rPr>
        <w:t xml:space="preserve">and </w:t>
      </w:r>
      <w:r>
        <w:rPr>
          <w:rFonts w:eastAsia="CharisSIL" w:cs="CharisSIL"/>
          <w:i/>
          <w:iCs/>
          <w:color w:val="000000"/>
          <w:szCs w:val="21"/>
        </w:rPr>
        <w:t>yá r̥tvíyaḥ</w:t>
      </w:r>
      <w:r>
        <w:rPr>
          <w:rFonts w:eastAsia="CharisSIL" w:cs="CharisSIL"/>
          <w:color w:val="000000"/>
          <w:szCs w:val="21"/>
        </w:rPr>
        <w:t>) a</w:t>
      </w:r>
      <w:r>
        <w:rPr>
          <w:rFonts w:eastAsia="CharisSIL" w:cs="CharisSIL"/>
          <w:color w:val="000000"/>
          <w:szCs w:val="21"/>
        </w:rPr>
        <w:t xml:space="preserve">nd to stress the presence of Indra as warrior with troops and horses with a clear sound-play as </w:t>
      </w:r>
      <w:r>
        <w:rPr>
          <w:rFonts w:eastAsia="CharisSIL" w:cs="CharisSIL"/>
          <w:i/>
          <w:iCs/>
          <w:color w:val="000000"/>
          <w:szCs w:val="21"/>
        </w:rPr>
        <w:t xml:space="preserve">índro nāḿa </w:t>
      </w:r>
      <w:r>
        <w:rPr>
          <w:rFonts w:eastAsia="CharisSIL" w:cs="CharisSIL"/>
          <w:color w:val="000000"/>
          <w:szCs w:val="21"/>
        </w:rPr>
        <w:t xml:space="preserve">- </w:t>
      </w:r>
      <w:r>
        <w:rPr>
          <w:rFonts w:eastAsia="CharisSIL" w:cs="CharisSIL"/>
          <w:i/>
          <w:iCs/>
          <w:color w:val="000000"/>
          <w:szCs w:val="21"/>
        </w:rPr>
        <w:t>śrutó gaṇá</w:t>
      </w:r>
      <w:r>
        <w:rPr>
          <w:rFonts w:eastAsia="CharisSIL" w:cs="CharisSIL"/>
          <w:color w:val="000000"/>
          <w:szCs w:val="21"/>
        </w:rPr>
        <w:t>.</w:t>
      </w:r>
    </w:p>
    <w:p w14:paraId="6209F7E3" w14:textId="77777777" w:rsidR="00E53EB6" w:rsidRDefault="00E53EB6">
      <w:pPr>
        <w:pStyle w:val="HaupttextohneEinzug"/>
        <w:rPr>
          <w:rFonts w:eastAsia="CharisSIL" w:cs="CharisSIL"/>
          <w:color w:val="000000"/>
          <w:szCs w:val="21"/>
        </w:rPr>
      </w:pPr>
    </w:p>
    <w:p w14:paraId="3377AE36" w14:textId="77777777" w:rsidR="00E53EB6" w:rsidRDefault="006500F5">
      <w:pPr>
        <w:pStyle w:val="HaupttextohneEinzug"/>
      </w:pPr>
      <w:r>
        <w:rPr>
          <w:rFonts w:eastAsia="Arial Unicode MS" w:cs="Sabon Unicode"/>
          <w:color w:val="000000"/>
          <w:szCs w:val="21"/>
          <w:lang w:eastAsia="it-IT" w:bidi="en-GB"/>
        </w:rPr>
        <w:t xml:space="preserve">b3- </w:t>
      </w:r>
      <w:r>
        <w:rPr>
          <w:lang w:eastAsia="it-IT" w:bidi="en-GB"/>
        </w:rPr>
        <w:t xml:space="preserve">The last example is the most manipulative one: the whole hymn 10.128 is to be found in two </w:t>
      </w:r>
      <w:r>
        <w:rPr>
          <w:lang w:eastAsia="it-IT" w:bidi="en-GB"/>
        </w:rPr>
        <w:lastRenderedPageBreak/>
        <w:t>Sāmhitas of the YV school and in t</w:t>
      </w:r>
      <w:r>
        <w:rPr>
          <w:lang w:eastAsia="it-IT" w:bidi="en-GB"/>
        </w:rPr>
        <w:t>hat of the AV school.</w:t>
      </w:r>
    </w:p>
    <w:p w14:paraId="116312EE" w14:textId="77777777" w:rsidR="00E53EB6" w:rsidRDefault="006500F5">
      <w:pPr>
        <w:pStyle w:val="HaupttextohneEinzug"/>
      </w:pPr>
      <w:r>
        <w:t xml:space="preserve">In TS 4.7.14 the R̥gvedic hymn is collected with the same order, only at the end there is the addition the Khila stanza, R̥VKh 10.128.1, while in KS 10.40 the stanzas are rearranged but almost in same order (1.2.3.4.6.7.5.8.X.9), and they are increased in </w:t>
      </w:r>
      <w:r>
        <w:t xml:space="preserve">number by the insertion of a non-R̥gvedic stanza between 8 and 9 (cf. AV 5.3.7ab + AV 5.3.6cd) and by the addition of the same R̥V Khila (R̥VKh 10.128.1) stanza. In both cases the rite is the </w:t>
      </w:r>
      <w:r>
        <w:rPr>
          <w:i/>
          <w:iCs/>
        </w:rPr>
        <w:t>Agnicayana</w:t>
      </w:r>
      <w:r>
        <w:t xml:space="preserve">. These </w:t>
      </w:r>
      <w:r>
        <w:rPr>
          <w:i/>
          <w:iCs/>
        </w:rPr>
        <w:t>mantra</w:t>
      </w:r>
      <w:r>
        <w:t>s are to be recited for placing the Viha</w:t>
      </w:r>
      <w:r>
        <w:t xml:space="preserve">vyā bricks on the Dhiṣṇya, the side altar (the bricks are called </w:t>
      </w:r>
      <w:r>
        <w:rPr>
          <w:i/>
          <w:iCs/>
        </w:rPr>
        <w:t>vihavyā</w:t>
      </w:r>
      <w:r>
        <w:t xml:space="preserve"> after the name of the </w:t>
      </w:r>
      <w:r>
        <w:rPr>
          <w:i/>
          <w:iCs/>
        </w:rPr>
        <w:t>sūkta</w:t>
      </w:r>
      <w:r>
        <w:t xml:space="preserve">, </w:t>
      </w:r>
      <w:r>
        <w:rPr>
          <w:i/>
          <w:iCs/>
        </w:rPr>
        <w:t>vihavyā</w:t>
      </w:r>
      <w:r>
        <w:t xml:space="preserve">, and the supposed author of this hymn, Vihavya). </w:t>
      </w:r>
      <w:r>
        <w:rPr>
          <w:rFonts w:eastAsia="CharisSIL" w:cs="CharisSIL"/>
          <w:color w:val="000000"/>
        </w:rPr>
        <w:t>In AVŚ 5.3 the order is quite different (1.6.2.4.3.5abX.5cdY.8.7.9), and here also the nin</w:t>
      </w:r>
      <w:r>
        <w:rPr>
          <w:rFonts w:eastAsia="CharisSIL" w:cs="CharisSIL"/>
          <w:color w:val="000000"/>
        </w:rPr>
        <w:t xml:space="preserve">e R̥gvedic stanzas are changed into 11 by the expansion of stanza 5 into two (6-7) and by the same R̥V Khila stanza addition. According to the </w:t>
      </w:r>
      <w:r>
        <w:rPr>
          <w:rFonts w:eastAsia="CharisSIL" w:cs="CharisSIL"/>
          <w:i/>
          <w:iCs/>
          <w:color w:val="000000"/>
        </w:rPr>
        <w:t>Kāuśika Sūtra</w:t>
      </w:r>
      <w:r>
        <w:rPr>
          <w:rFonts w:eastAsia="CharisSIL" w:cs="CharisSIL"/>
          <w:color w:val="000000"/>
        </w:rPr>
        <w:t xml:space="preserve">, the hymn is variously employed in the many </w:t>
      </w:r>
      <w:r>
        <w:rPr>
          <w:rFonts w:eastAsia="CharisSIL" w:cs="CharisSIL"/>
          <w:i/>
          <w:iCs/>
          <w:color w:val="000000"/>
        </w:rPr>
        <w:t xml:space="preserve">parvan </w:t>
      </w:r>
      <w:r>
        <w:rPr>
          <w:rFonts w:eastAsia="CharisSIL" w:cs="CharisSIL"/>
          <w:color w:val="000000"/>
        </w:rPr>
        <w:t xml:space="preserve">sacrifices (quarterly </w:t>
      </w:r>
      <w:r>
        <w:rPr>
          <w:rFonts w:eastAsia="CharisSIL" w:cs="CharisSIL"/>
          <w:i/>
          <w:iCs/>
          <w:color w:val="000000"/>
        </w:rPr>
        <w:t>haviryajña</w:t>
      </w:r>
      <w:r>
        <w:rPr>
          <w:rFonts w:eastAsia="CharisSIL" w:cs="CharisSIL"/>
          <w:color w:val="000000"/>
        </w:rPr>
        <w:t>).</w:t>
      </w:r>
    </w:p>
    <w:p w14:paraId="20D9E89D" w14:textId="77777777" w:rsidR="00E53EB6" w:rsidRDefault="006500F5">
      <w:pPr>
        <w:pStyle w:val="HaupttextohneEinzug"/>
      </w:pPr>
      <w:r>
        <w:rPr>
          <w:rFonts w:eastAsia="CharisSIL" w:cs="CharisSIL"/>
          <w:color w:val="000000"/>
        </w:rPr>
        <w:t>Confronting the three versions of the whole hymn, apart from the stanza-order, we discover that the words are in some point or other changed. Most of the cases seem to be quite irrelevant (</w:t>
      </w:r>
      <w:r>
        <w:rPr>
          <w:rFonts w:eastAsia="CharisSIL" w:cs="CharisSIL"/>
          <w:i/>
          <w:iCs/>
          <w:color w:val="000000"/>
        </w:rPr>
        <w:t>nah</w:t>
      </w:r>
      <w:r>
        <w:rPr>
          <w:rFonts w:eastAsia="CharisSIL" w:cs="CharisSIL"/>
          <w:color w:val="000000"/>
        </w:rPr>
        <w:t xml:space="preserve"> is turned into </w:t>
      </w:r>
      <w:r>
        <w:rPr>
          <w:rFonts w:eastAsia="CharisSIL" w:cs="CharisSIL"/>
          <w:i/>
          <w:iCs/>
          <w:color w:val="000000"/>
        </w:rPr>
        <w:t>me</w:t>
      </w:r>
      <w:r>
        <w:rPr>
          <w:rFonts w:eastAsia="CharisSIL" w:cs="CharisSIL"/>
          <w:color w:val="000000"/>
        </w:rPr>
        <w:t xml:space="preserve">; </w:t>
      </w:r>
      <w:r>
        <w:rPr>
          <w:rFonts w:eastAsia="CharisSIL" w:cs="CharisSIL"/>
          <w:i/>
          <w:iCs/>
          <w:color w:val="000000"/>
        </w:rPr>
        <w:t>havyā</w:t>
      </w:r>
      <w:r>
        <w:rPr>
          <w:rFonts w:eastAsia="CharisSIL" w:cs="CharisSIL"/>
          <w:color w:val="000000"/>
        </w:rPr>
        <w:t xml:space="preserve"> becomes </w:t>
      </w:r>
      <w:r>
        <w:rPr>
          <w:rFonts w:eastAsia="CharisSIL" w:cs="CharisSIL"/>
          <w:i/>
          <w:iCs/>
          <w:color w:val="000000"/>
        </w:rPr>
        <w:t>iṣṭā</w:t>
      </w:r>
      <w:r>
        <w:rPr>
          <w:rFonts w:eastAsia="CharisSIL" w:cs="CharisSIL"/>
          <w:color w:val="000000"/>
        </w:rPr>
        <w:t>), other do not change</w:t>
      </w:r>
      <w:r>
        <w:rPr>
          <w:rFonts w:eastAsia="CharisSIL" w:cs="CharisSIL"/>
          <w:color w:val="000000"/>
        </w:rPr>
        <w:t xml:space="preserve"> the meaning of the stanza, but they rather look as an effort to make the comprehension easier, choosing more frequent expressions, as </w:t>
      </w:r>
      <w:r>
        <w:rPr>
          <w:rFonts w:eastAsia="CharisSIL" w:cs="CharisSIL"/>
          <w:i/>
          <w:iCs/>
          <w:color w:val="000000"/>
        </w:rPr>
        <w:t>savita</w:t>
      </w:r>
      <w:r>
        <w:rPr>
          <w:rFonts w:eastAsia="CharisSIL" w:cs="CharisSIL"/>
          <w:color w:val="000000"/>
        </w:rPr>
        <w:t>̄</w:t>
      </w:r>
      <w:r>
        <w:rPr>
          <w:rFonts w:eastAsia="CharisSIL" w:cs="CharisSIL"/>
          <w:color w:val="000000"/>
        </w:rPr>
        <w:t xml:space="preserve"> instead of </w:t>
      </w:r>
      <w:r>
        <w:rPr>
          <w:rFonts w:eastAsia="CharisSIL" w:cs="CharisSIL"/>
          <w:i/>
          <w:iCs/>
          <w:color w:val="000000"/>
        </w:rPr>
        <w:t>trātāram</w:t>
      </w:r>
      <w:r>
        <w:rPr>
          <w:rFonts w:eastAsia="CharisSIL" w:cs="CharisSIL"/>
          <w:color w:val="000000"/>
        </w:rPr>
        <w:t xml:space="preserve">. Furthermore, one </w:t>
      </w:r>
      <w:r>
        <w:rPr>
          <w:rFonts w:eastAsia="CharisSIL" w:cs="CharisSIL"/>
          <w:i/>
          <w:iCs/>
          <w:color w:val="000000"/>
        </w:rPr>
        <w:t>mantra</w:t>
      </w:r>
      <w:r>
        <w:rPr>
          <w:rFonts w:eastAsia="CharisSIL" w:cs="CharisSIL"/>
          <w:color w:val="000000"/>
        </w:rPr>
        <w:t xml:space="preserve"> undergoes significant modifications both in KS and AVŚ, in the st</w:t>
      </w:r>
      <w:r>
        <w:rPr>
          <w:rFonts w:eastAsia="CharisSIL" w:cs="CharisSIL"/>
          <w:color w:val="000000"/>
        </w:rPr>
        <w:t xml:space="preserve">anza 3 of the hymn 10.128 the substitution of two words result in a change of the meaning. </w:t>
      </w:r>
    </w:p>
    <w:p w14:paraId="62BD92B2" w14:textId="77777777" w:rsidR="00E53EB6" w:rsidRDefault="006500F5">
      <w:pPr>
        <w:pStyle w:val="Hauptext"/>
        <w:ind w:firstLine="0"/>
      </w:pPr>
      <w:r>
        <w:rPr>
          <w:rFonts w:eastAsia="CharisSIL" w:cs="CharisSIL"/>
          <w:color w:val="000000"/>
        </w:rPr>
        <w:t xml:space="preserve">We will analyse this significant manipulation later while dealing with the ritual meaning of the verb </w:t>
      </w:r>
      <w:r>
        <w:rPr>
          <w:rFonts w:eastAsia="CharisSIL" w:cs="CharisSIL"/>
          <w:i/>
          <w:iCs/>
          <w:color w:val="000000"/>
        </w:rPr>
        <w:t>van- / van</w:t>
      </w:r>
      <w:r>
        <w:rPr>
          <w:rFonts w:eastAsia="CharisSIL" w:cs="CharisSIL"/>
          <w:i/>
          <w:iCs/>
          <w:color w:val="000000"/>
          <w:vertAlign w:val="superscript"/>
        </w:rPr>
        <w:t>i</w:t>
      </w:r>
      <w:r>
        <w:rPr>
          <w:rFonts w:eastAsia="CharisSIL" w:cs="CharisSIL"/>
          <w:i/>
          <w:iCs/>
          <w:color w:val="000000"/>
        </w:rPr>
        <w:t xml:space="preserve">- </w:t>
      </w:r>
      <w:r>
        <w:rPr>
          <w:rFonts w:eastAsia="CharisSIL" w:cs="CharisSIL"/>
          <w:color w:val="000000"/>
        </w:rPr>
        <w:t>in §III.3.1,</w:t>
      </w:r>
      <w:r>
        <w:rPr>
          <w:rFonts w:eastAsia="CharisSIL" w:cs="CharisSIL"/>
          <w:i/>
          <w:iCs/>
          <w:color w:val="000000"/>
        </w:rPr>
        <w:t xml:space="preserve"> </w:t>
      </w:r>
      <w:r>
        <w:rPr>
          <w:rFonts w:eastAsia="CharisSIL" w:cs="CharisSIL"/>
          <w:color w:val="000000"/>
        </w:rPr>
        <w:t>but anyway it is clear from these ex</w:t>
      </w:r>
      <w:r>
        <w:rPr>
          <w:rFonts w:eastAsia="CharisSIL" w:cs="CharisSIL"/>
          <w:color w:val="000000"/>
        </w:rPr>
        <w:t>amples that we are dealing with texts that are the result of a wide redactional enterprise, and that is the effort to build the R̥gvedic material within a common ritual. This effort entailed a high average of manipulation along the different degrees of  th</w:t>
      </w:r>
      <w:r>
        <w:rPr>
          <w:rFonts w:eastAsia="CharisSIL" w:cs="CharisSIL"/>
          <w:color w:val="000000"/>
        </w:rPr>
        <w:t>e language. Let us underpin this statement with the actual occurrences.</w:t>
      </w:r>
    </w:p>
    <w:p w14:paraId="1DB19154" w14:textId="77777777" w:rsidR="00E53EB6" w:rsidRDefault="00E53EB6">
      <w:pPr>
        <w:pStyle w:val="HaupttextohneEinzug"/>
        <w:rPr>
          <w:rFonts w:eastAsia="CharisSIL" w:cs="CharisSIL"/>
          <w:color w:val="000000"/>
        </w:rPr>
      </w:pPr>
    </w:p>
    <w:p w14:paraId="4021151D" w14:textId="77777777" w:rsidR="00E53EB6" w:rsidRDefault="00E53EB6">
      <w:pPr>
        <w:pStyle w:val="HaupttextohneEinzug"/>
        <w:rPr>
          <w:rFonts w:eastAsia="CharisSIL" w:cs="CharisSIL"/>
          <w:color w:val="000000"/>
        </w:rPr>
      </w:pPr>
    </w:p>
    <w:p w14:paraId="5033CBF5" w14:textId="77777777" w:rsidR="00E53EB6" w:rsidRDefault="006500F5">
      <w:pPr>
        <w:pStyle w:val="Heading2"/>
        <w:tabs>
          <w:tab w:val="left" w:pos="0"/>
        </w:tabs>
      </w:pPr>
      <w:r>
        <w:t xml:space="preserve">III.2 Occurrences: R̥gvedic </w:t>
      </w:r>
      <w:r>
        <w:rPr>
          <w:i/>
          <w:iCs/>
        </w:rPr>
        <w:t>mantra</w:t>
      </w:r>
      <w:r>
        <w:t xml:space="preserve">s, Non-R̥gvedic </w:t>
      </w:r>
      <w:r>
        <w:rPr>
          <w:i/>
          <w:iCs/>
        </w:rPr>
        <w:t>mantra</w:t>
      </w:r>
      <w:r>
        <w:t xml:space="preserve">s and </w:t>
      </w:r>
      <w:r>
        <w:rPr>
          <w:i/>
          <w:iCs/>
        </w:rPr>
        <w:t>brāhma</w:t>
      </w:r>
      <w:r>
        <w:rPr>
          <w:i/>
          <w:iCs/>
        </w:rPr>
        <w:t>ṇ</w:t>
      </w:r>
      <w:r>
        <w:rPr>
          <w:i/>
          <w:iCs/>
        </w:rPr>
        <w:t>a</w:t>
      </w:r>
      <w:r>
        <w:t>-portions</w:t>
      </w:r>
    </w:p>
    <w:p w14:paraId="6E244859" w14:textId="77777777" w:rsidR="00E53EB6" w:rsidRDefault="00E53EB6">
      <w:pPr>
        <w:pStyle w:val="Hauptext"/>
        <w:rPr>
          <w:rFonts w:eastAsia="Arial Unicode MS" w:cs="Times New Roman"/>
          <w:szCs w:val="21"/>
          <w:lang w:eastAsia="it-IT" w:bidi="en-GB"/>
        </w:rPr>
      </w:pPr>
    </w:p>
    <w:p w14:paraId="00F87014" w14:textId="77777777" w:rsidR="00E53EB6" w:rsidRDefault="006500F5">
      <w:pPr>
        <w:pStyle w:val="Hauptext"/>
      </w:pPr>
      <w:r>
        <w:rPr>
          <w:rFonts w:eastAsia="Arial Unicode MS"/>
          <w:szCs w:val="21"/>
          <w:lang w:eastAsia="it-IT" w:bidi="en-GB"/>
        </w:rPr>
        <w:t xml:space="preserve"> The complete list of occurrences follows, first presenting those passages that are quotations of R̥V</w:t>
      </w:r>
      <w:r>
        <w:rPr>
          <w:rFonts w:eastAsia="Arial Unicode MS"/>
          <w:szCs w:val="21"/>
          <w:lang w:eastAsia="it-IT" w:bidi="en-GB"/>
        </w:rPr>
        <w:t xml:space="preserve"> </w:t>
      </w:r>
      <w:r>
        <w:rPr>
          <w:rFonts w:eastAsia="Arial Unicode MS"/>
          <w:i/>
          <w:iCs/>
          <w:szCs w:val="21"/>
          <w:lang w:eastAsia="it-IT" w:bidi="en-GB"/>
        </w:rPr>
        <w:t>mantra</w:t>
      </w:r>
      <w:r>
        <w:rPr>
          <w:rFonts w:eastAsia="Arial Unicode MS"/>
          <w:szCs w:val="21"/>
          <w:lang w:eastAsia="it-IT" w:bidi="en-GB"/>
        </w:rPr>
        <w:t xml:space="preserve">s. In oder to analyse the semantic development of </w:t>
      </w:r>
      <w:r>
        <w:rPr>
          <w:rFonts w:eastAsia="Arial Unicode MS"/>
          <w:i/>
          <w:iCs/>
          <w:szCs w:val="21"/>
          <w:lang w:eastAsia="it-IT" w:bidi="en-GB"/>
        </w:rPr>
        <w:t>van- / van</w:t>
      </w:r>
      <w:r>
        <w:rPr>
          <w:rFonts w:eastAsia="Arial Unicode MS"/>
          <w:i/>
          <w:iCs/>
          <w:szCs w:val="21"/>
          <w:vertAlign w:val="superscript"/>
          <w:lang w:eastAsia="it-IT" w:bidi="en-GB"/>
        </w:rPr>
        <w:t>i</w:t>
      </w:r>
      <w:r>
        <w:rPr>
          <w:rFonts w:eastAsia="Arial Unicode MS"/>
          <w:i/>
          <w:iCs/>
          <w:szCs w:val="21"/>
          <w:lang w:eastAsia="it-IT" w:bidi="en-GB"/>
        </w:rPr>
        <w:t xml:space="preserve">- </w:t>
      </w:r>
      <w:r>
        <w:rPr>
          <w:rFonts w:eastAsia="Arial Unicode MS"/>
          <w:szCs w:val="21"/>
          <w:lang w:eastAsia="it-IT" w:bidi="en-GB"/>
        </w:rPr>
        <w:t xml:space="preserve">it is necessary to start by separating what has been taken from the </w:t>
      </w:r>
      <w:r>
        <w:rPr>
          <w:rFonts w:eastAsia="Arial Unicode MS"/>
          <w:i/>
          <w:iCs/>
          <w:szCs w:val="21"/>
          <w:lang w:eastAsia="it-IT" w:bidi="en-GB"/>
        </w:rPr>
        <w:t>R̥gveda Sa</w:t>
      </w:r>
      <w:r>
        <w:rPr>
          <w:rFonts w:eastAsia="Arial Unicode MS"/>
          <w:i/>
          <w:iCs/>
          <w:szCs w:val="21"/>
          <w:lang w:eastAsia="it-IT" w:bidi="en-GB"/>
        </w:rPr>
        <w:t>ṃ</w:t>
      </w:r>
      <w:r>
        <w:rPr>
          <w:rFonts w:eastAsia="Arial Unicode MS"/>
          <w:i/>
          <w:iCs/>
          <w:szCs w:val="21"/>
          <w:lang w:eastAsia="it-IT" w:bidi="en-GB"/>
        </w:rPr>
        <w:t xml:space="preserve">hitā </w:t>
      </w:r>
      <w:r>
        <w:rPr>
          <w:rFonts w:eastAsia="Arial Unicode MS"/>
          <w:szCs w:val="21"/>
          <w:lang w:eastAsia="it-IT" w:bidi="en-GB"/>
        </w:rPr>
        <w:t>from the actual later compositions. Furthermore, the attestations have been divided</w:t>
      </w:r>
      <w:r>
        <w:rPr>
          <w:rFonts w:eastAsia="Arial Unicode MS"/>
          <w:szCs w:val="21"/>
          <w:lang w:eastAsia="it-IT" w:bidi="en-GB"/>
        </w:rPr>
        <w:t xml:space="preserve"> between Sa</w:t>
      </w:r>
      <w:r>
        <w:rPr>
          <w:rFonts w:eastAsia="Arial Unicode MS"/>
          <w:szCs w:val="21"/>
          <w:lang w:eastAsia="it-IT" w:bidi="en-GB"/>
        </w:rPr>
        <w:t>ṃ</w:t>
      </w:r>
      <w:r>
        <w:rPr>
          <w:rFonts w:eastAsia="Arial Unicode MS"/>
          <w:szCs w:val="21"/>
          <w:lang w:eastAsia="it-IT" w:bidi="en-GB"/>
        </w:rPr>
        <w:t>hitā and Brāhma</w:t>
      </w:r>
      <w:r>
        <w:rPr>
          <w:rFonts w:eastAsia="Arial Unicode MS"/>
          <w:szCs w:val="21"/>
          <w:lang w:eastAsia="it-IT" w:bidi="en-GB"/>
        </w:rPr>
        <w:t>ṇ</w:t>
      </w:r>
      <w:r>
        <w:rPr>
          <w:rFonts w:eastAsia="Arial Unicode MS"/>
          <w:szCs w:val="21"/>
          <w:lang w:eastAsia="it-IT" w:bidi="en-GB"/>
        </w:rPr>
        <w:t>a. Within both groups, the texts are ordered along the different schools and traditions within the schools. The YV school is present most frequently. We will not take into account the AV-school here. As long as we want to analys</w:t>
      </w:r>
      <w:r>
        <w:rPr>
          <w:rFonts w:eastAsia="Arial Unicode MS"/>
          <w:szCs w:val="21"/>
          <w:lang w:eastAsia="it-IT" w:bidi="en-GB"/>
        </w:rPr>
        <w:t>e the ritual development in its more standardised attestation first, we will concentrate on the other three Veda.  Therefore, the AV occurrences will be analysed in the next chapter. While the SV, as may be noticed easily, offers only quotations of the R̥V</w:t>
      </w:r>
      <w:r>
        <w:rPr>
          <w:rFonts w:eastAsia="Arial Unicode MS"/>
          <w:szCs w:val="21"/>
          <w:lang w:eastAsia="it-IT" w:bidi="en-GB"/>
        </w:rPr>
        <w:t xml:space="preserve"> </w:t>
      </w:r>
      <w:r>
        <w:rPr>
          <w:rFonts w:eastAsia="Arial Unicode MS"/>
          <w:i/>
          <w:iCs/>
          <w:szCs w:val="21"/>
          <w:lang w:eastAsia="it-IT" w:bidi="en-GB"/>
        </w:rPr>
        <w:t>mantra</w:t>
      </w:r>
      <w:r>
        <w:rPr>
          <w:rFonts w:eastAsia="Arial Unicode MS"/>
          <w:szCs w:val="21"/>
          <w:lang w:eastAsia="it-IT" w:bidi="en-GB"/>
        </w:rPr>
        <w:t xml:space="preserve">s set alone to be used to chant, that is not inserted in a ritual discourse. This is of course not surprising for the SV texts are more or less just a “singing repertoire”. The </w:t>
      </w:r>
      <w:r>
        <w:rPr>
          <w:rFonts w:eastAsia="Arial Unicode MS"/>
          <w:i/>
          <w:iCs/>
          <w:szCs w:val="21"/>
          <w:lang w:eastAsia="it-IT" w:bidi="en-GB"/>
        </w:rPr>
        <w:t>R̥gveda Sa</w:t>
      </w:r>
      <w:r>
        <w:rPr>
          <w:rFonts w:eastAsia="Arial Unicode MS"/>
          <w:i/>
          <w:iCs/>
          <w:szCs w:val="21"/>
          <w:lang w:eastAsia="it-IT" w:bidi="en-GB"/>
        </w:rPr>
        <w:t>ṃ</w:t>
      </w:r>
      <w:r>
        <w:rPr>
          <w:rFonts w:eastAsia="Arial Unicode MS"/>
          <w:i/>
          <w:iCs/>
          <w:szCs w:val="21"/>
          <w:lang w:eastAsia="it-IT" w:bidi="en-GB"/>
        </w:rPr>
        <w:t>hitā</w:t>
      </w:r>
      <w:r>
        <w:rPr>
          <w:rFonts w:eastAsia="Arial Unicode MS"/>
          <w:szCs w:val="21"/>
          <w:lang w:eastAsia="it-IT" w:bidi="en-GB"/>
        </w:rPr>
        <w:t xml:space="preserve"> has been analysed above, so here we will just consider t</w:t>
      </w:r>
      <w:r>
        <w:rPr>
          <w:rFonts w:eastAsia="Arial Unicode MS"/>
          <w:szCs w:val="21"/>
          <w:lang w:eastAsia="it-IT" w:bidi="en-GB"/>
        </w:rPr>
        <w:t>he Brāhma</w:t>
      </w:r>
      <w:r>
        <w:rPr>
          <w:rFonts w:eastAsia="Arial Unicode MS"/>
          <w:szCs w:val="21"/>
          <w:lang w:eastAsia="it-IT" w:bidi="en-GB"/>
        </w:rPr>
        <w:t>ṇ</w:t>
      </w:r>
      <w:r>
        <w:rPr>
          <w:rFonts w:eastAsia="Arial Unicode MS"/>
          <w:szCs w:val="21"/>
          <w:lang w:eastAsia="it-IT" w:bidi="en-GB"/>
        </w:rPr>
        <w:t xml:space="preserve">as of the R̥V school, which by the way has very few occurrences of </w:t>
      </w:r>
      <w:r>
        <w:rPr>
          <w:rFonts w:eastAsia="Arial Unicode MS"/>
          <w:i/>
          <w:iCs/>
          <w:szCs w:val="21"/>
          <w:lang w:eastAsia="it-IT" w:bidi="en-GB"/>
        </w:rPr>
        <w:t>van- / van</w:t>
      </w:r>
      <w:r>
        <w:rPr>
          <w:rFonts w:eastAsia="Arial Unicode MS"/>
          <w:i/>
          <w:iCs/>
          <w:szCs w:val="21"/>
          <w:vertAlign w:val="superscript"/>
          <w:lang w:eastAsia="it-IT" w:bidi="en-GB"/>
        </w:rPr>
        <w:t>i</w:t>
      </w:r>
      <w:r>
        <w:rPr>
          <w:rFonts w:eastAsia="Arial Unicode MS"/>
          <w:i/>
          <w:iCs/>
          <w:szCs w:val="21"/>
          <w:lang w:eastAsia="it-IT" w:bidi="en-GB"/>
        </w:rPr>
        <w:t xml:space="preserve">-. </w:t>
      </w:r>
      <w:r>
        <w:rPr>
          <w:rFonts w:eastAsia="Arial Unicode MS"/>
          <w:szCs w:val="21"/>
          <w:lang w:eastAsia="it-IT" w:bidi="en-GB"/>
        </w:rPr>
        <w:t xml:space="preserve">This ends up in the overwhelming presence of texts of the YV-school, that are also the most interesting for the study of a ritual development because they represent </w:t>
      </w:r>
      <w:r>
        <w:rPr>
          <w:rFonts w:eastAsia="Arial Unicode MS"/>
          <w:szCs w:val="21"/>
          <w:lang w:eastAsia="it-IT" w:bidi="en-GB"/>
        </w:rPr>
        <w:t xml:space="preserve">the liturgical texts </w:t>
      </w:r>
      <w:r>
        <w:rPr>
          <w:rFonts w:eastAsia="Arial Unicode MS"/>
          <w:i/>
          <w:iCs/>
          <w:szCs w:val="21"/>
          <w:lang w:eastAsia="it-IT" w:bidi="en-GB"/>
        </w:rPr>
        <w:t>par excellence</w:t>
      </w:r>
      <w:r>
        <w:rPr>
          <w:rFonts w:eastAsia="Arial Unicode MS"/>
          <w:szCs w:val="21"/>
          <w:lang w:eastAsia="it-IT" w:bidi="en-GB"/>
        </w:rPr>
        <w:t xml:space="preserve">, containing not only </w:t>
      </w:r>
      <w:r>
        <w:rPr>
          <w:rFonts w:eastAsia="Arial Unicode MS"/>
          <w:i/>
          <w:iCs/>
          <w:szCs w:val="21"/>
          <w:lang w:eastAsia="it-IT" w:bidi="en-GB"/>
        </w:rPr>
        <w:t>mantra</w:t>
      </w:r>
      <w:r>
        <w:rPr>
          <w:rFonts w:eastAsia="Arial Unicode MS"/>
          <w:szCs w:val="21"/>
          <w:lang w:eastAsia="it-IT" w:bidi="en-GB"/>
        </w:rPr>
        <w:t xml:space="preserve">s and </w:t>
      </w:r>
      <w:r>
        <w:rPr>
          <w:rFonts w:eastAsia="Arial Unicode MS"/>
          <w:i/>
          <w:iCs/>
          <w:szCs w:val="21"/>
          <w:lang w:eastAsia="it-IT" w:bidi="en-GB"/>
        </w:rPr>
        <w:t xml:space="preserve">yajus </w:t>
      </w:r>
      <w:r>
        <w:rPr>
          <w:rFonts w:eastAsia="Arial Unicode MS"/>
          <w:szCs w:val="21"/>
          <w:lang w:eastAsia="it-IT" w:bidi="en-GB"/>
        </w:rPr>
        <w:t xml:space="preserve"> but, in the case of the Black YV already in the Sa</w:t>
      </w:r>
      <w:r>
        <w:rPr>
          <w:rFonts w:eastAsia="Arial Unicode MS"/>
          <w:szCs w:val="21"/>
          <w:lang w:eastAsia="it-IT" w:bidi="en-GB"/>
        </w:rPr>
        <w:t>ṃ</w:t>
      </w:r>
      <w:r>
        <w:rPr>
          <w:rFonts w:eastAsia="Arial Unicode MS"/>
          <w:szCs w:val="21"/>
          <w:lang w:eastAsia="it-IT" w:bidi="en-GB"/>
        </w:rPr>
        <w:t>hitās texts, also plenty of commentaries and exegetical notations.</w:t>
      </w:r>
      <w:r>
        <w:t xml:space="preserve"> The analysis of the occurrences is expounded upon in the follo</w:t>
      </w:r>
      <w:r>
        <w:t>wing paragraph, III.3.</w:t>
      </w:r>
    </w:p>
    <w:p w14:paraId="55F0588D" w14:textId="77777777" w:rsidR="00E53EB6" w:rsidRDefault="00E53EB6">
      <w:pPr>
        <w:pStyle w:val="HaupttextohneEinzug"/>
      </w:pPr>
    </w:p>
    <w:p w14:paraId="0081F64A" w14:textId="77777777" w:rsidR="00E53EB6" w:rsidRDefault="00E53EB6">
      <w:pPr>
        <w:pStyle w:val="HaupttextohneEinzug"/>
      </w:pPr>
    </w:p>
    <w:p w14:paraId="14D22464" w14:textId="77777777" w:rsidR="00E53EB6" w:rsidRDefault="006500F5">
      <w:pPr>
        <w:pStyle w:val="Heading3"/>
        <w:tabs>
          <w:tab w:val="left" w:pos="0"/>
        </w:tabs>
      </w:pPr>
      <w:r>
        <w:lastRenderedPageBreak/>
        <w:t>III.2.1 Sa</w:t>
      </w:r>
      <w:r>
        <w:t>ṃ</w:t>
      </w:r>
      <w:r>
        <w:t>hitā Occurrences</w:t>
      </w:r>
    </w:p>
    <w:p w14:paraId="5CCAC9F3" w14:textId="77777777" w:rsidR="00E53EB6" w:rsidRDefault="006500F5">
      <w:pPr>
        <w:pStyle w:val="Heading4"/>
        <w:tabs>
          <w:tab w:val="left" w:pos="0"/>
        </w:tabs>
      </w:pPr>
      <w:r>
        <w:t xml:space="preserve">R̥V </w:t>
      </w:r>
      <w:r>
        <w:rPr>
          <w:i/>
        </w:rPr>
        <w:t>mantra</w:t>
      </w:r>
      <w:r>
        <w:rPr>
          <w:iCs w:val="0"/>
        </w:rPr>
        <w:t>s</w:t>
      </w:r>
    </w:p>
    <w:p w14:paraId="6AB24867" w14:textId="77777777" w:rsidR="00E53EB6" w:rsidRDefault="006500F5">
      <w:pPr>
        <w:pStyle w:val="Heading4"/>
        <w:tabs>
          <w:tab w:val="left" w:pos="0"/>
        </w:tabs>
      </w:pPr>
      <w:r>
        <w:t>YV Sa</w:t>
      </w:r>
      <w:r>
        <w:t>ṃ</w:t>
      </w:r>
      <w:r>
        <w:t>hitā occurrences</w:t>
      </w:r>
    </w:p>
    <w:p w14:paraId="549086C3" w14:textId="77777777" w:rsidR="00E53EB6" w:rsidRDefault="006500F5">
      <w:pPr>
        <w:pStyle w:val="HaupttextohneEinzug"/>
        <w:numPr>
          <w:ilvl w:val="1"/>
          <w:numId w:val="2"/>
        </w:numPr>
        <w:tabs>
          <w:tab w:val="left" w:pos="0"/>
        </w:tabs>
      </w:pPr>
      <w:r>
        <w:t xml:space="preserve">The text of the </w:t>
      </w:r>
      <w:r>
        <w:rPr>
          <w:i/>
          <w:iCs/>
        </w:rPr>
        <w:t>Taittirīya Sa</w:t>
      </w:r>
      <w:r>
        <w:rPr>
          <w:i/>
          <w:iCs/>
        </w:rPr>
        <w:t>ṃ</w:t>
      </w:r>
      <w:r>
        <w:rPr>
          <w:i/>
          <w:iCs/>
        </w:rPr>
        <w:t>hitā</w:t>
      </w:r>
      <w:r>
        <w:t xml:space="preserve"> is taken from the edition by Albrecht Weber </w:t>
      </w:r>
      <w:r>
        <w:rPr>
          <w:i/>
          <w:iCs/>
        </w:rPr>
        <w:t>Die Taittirîya-Sa</w:t>
      </w:r>
      <w:r>
        <w:rPr>
          <w:i/>
          <w:iCs/>
        </w:rPr>
        <w:t>ṃ</w:t>
      </w:r>
      <w:r>
        <w:rPr>
          <w:i/>
          <w:iCs/>
        </w:rPr>
        <w:t xml:space="preserve">hitâ, </w:t>
      </w:r>
      <w:r>
        <w:t xml:space="preserve">Leipzig: Brockhaus 1871-1872 (Indische Studien, 11-12). The text </w:t>
      </w:r>
      <w:r>
        <w:t xml:space="preserve">of the </w:t>
      </w:r>
      <w:r>
        <w:rPr>
          <w:i/>
          <w:iCs/>
        </w:rPr>
        <w:t>Maitrāya</w:t>
      </w:r>
      <w:r>
        <w:rPr>
          <w:i/>
          <w:iCs/>
        </w:rPr>
        <w:t>ṇ</w:t>
      </w:r>
      <w:r>
        <w:rPr>
          <w:i/>
          <w:iCs/>
        </w:rPr>
        <w:t>ī Sa</w:t>
      </w:r>
      <w:r>
        <w:rPr>
          <w:i/>
          <w:iCs/>
        </w:rPr>
        <w:t>ṃ</w:t>
      </w:r>
      <w:r>
        <w:rPr>
          <w:i/>
          <w:iCs/>
        </w:rPr>
        <w:t>hitā</w:t>
      </w:r>
      <w:r>
        <w:t xml:space="preserve"> is after the edition of Leopold von Schroeder,</w:t>
      </w:r>
      <w:r>
        <w:rPr>
          <w:rFonts w:eastAsia="Arial Unicode MS"/>
        </w:rPr>
        <w:t xml:space="preserve"> </w:t>
      </w:r>
      <w:r>
        <w:rPr>
          <w:rFonts w:eastAsia="Arial Unicode MS"/>
          <w:i/>
          <w:iCs/>
        </w:rPr>
        <w:t>Maitrāya</w:t>
      </w:r>
      <w:r>
        <w:rPr>
          <w:rFonts w:eastAsia="Arial Unicode MS"/>
          <w:i/>
          <w:iCs/>
        </w:rPr>
        <w:t>ṇ</w:t>
      </w:r>
      <w:r>
        <w:rPr>
          <w:rFonts w:eastAsia="Arial Unicode MS"/>
          <w:i/>
          <w:iCs/>
        </w:rPr>
        <w:t>ī Sa</w:t>
      </w:r>
      <w:r>
        <w:rPr>
          <w:rFonts w:eastAsia="Arial Unicode MS"/>
          <w:i/>
          <w:iCs/>
        </w:rPr>
        <w:t>ṃ</w:t>
      </w:r>
      <w:r>
        <w:rPr>
          <w:rFonts w:eastAsia="Arial Unicode MS"/>
          <w:i/>
          <w:iCs/>
        </w:rPr>
        <w:t>hitā herausgegeben von Dr. Leopold von Schroeder,</w:t>
      </w:r>
      <w:r>
        <w:rPr>
          <w:rFonts w:eastAsia="Arial Unicode MS"/>
        </w:rPr>
        <w:t xml:space="preserve"> Brockhaus, Leipzig, 1881. </w:t>
      </w:r>
      <w:r>
        <w:rPr>
          <w:rFonts w:eastAsia="MS Mincho"/>
        </w:rPr>
        <w:t xml:space="preserve">The text of the </w:t>
      </w:r>
      <w:r>
        <w:rPr>
          <w:rFonts w:eastAsia="MS Mincho"/>
          <w:i/>
          <w:iCs/>
        </w:rPr>
        <w:t>Kā</w:t>
      </w:r>
      <w:r>
        <w:rPr>
          <w:rFonts w:eastAsia="MS Mincho"/>
          <w:i/>
          <w:iCs/>
        </w:rPr>
        <w:t>ṭ</w:t>
      </w:r>
      <w:r>
        <w:rPr>
          <w:rFonts w:eastAsia="MS Mincho"/>
          <w:i/>
          <w:iCs/>
        </w:rPr>
        <w:t>ha Sa</w:t>
      </w:r>
      <w:r>
        <w:rPr>
          <w:rFonts w:eastAsia="MS Mincho"/>
          <w:i/>
          <w:iCs/>
        </w:rPr>
        <w:t>ṃ</w:t>
      </w:r>
      <w:r>
        <w:rPr>
          <w:rFonts w:eastAsia="MS Mincho"/>
          <w:i/>
          <w:iCs/>
        </w:rPr>
        <w:t xml:space="preserve">hitā </w:t>
      </w:r>
      <w:r>
        <w:rPr>
          <w:rFonts w:eastAsia="MS Mincho"/>
        </w:rPr>
        <w:t xml:space="preserve">is after the edition of Leopold von Schroeder, </w:t>
      </w:r>
      <w:r>
        <w:rPr>
          <w:rFonts w:eastAsia="Arial Unicode MS" w:cs="Times Ext Roman"/>
          <w:i/>
          <w:iCs/>
          <w:color w:val="000000"/>
          <w:lang w:eastAsia="it-IT" w:bidi="it-IT"/>
        </w:rPr>
        <w:t>Kā</w:t>
      </w:r>
      <w:r>
        <w:rPr>
          <w:rFonts w:eastAsia="Arial Unicode MS" w:cs="Times Ext Roman"/>
          <w:i/>
          <w:iCs/>
          <w:color w:val="000000"/>
          <w:lang w:eastAsia="it-IT" w:bidi="it-IT"/>
        </w:rPr>
        <w:t>ṭ</w:t>
      </w:r>
      <w:r>
        <w:rPr>
          <w:rFonts w:eastAsia="Arial Unicode MS" w:cs="Times Ext Roman"/>
          <w:i/>
          <w:iCs/>
          <w:color w:val="000000"/>
          <w:lang w:eastAsia="it-IT" w:bidi="it-IT"/>
        </w:rPr>
        <w:t>hakam. Die Sa</w:t>
      </w:r>
      <w:r>
        <w:rPr>
          <w:rFonts w:eastAsia="Arial Unicode MS" w:cs="Times Ext Roman"/>
          <w:i/>
          <w:iCs/>
          <w:color w:val="000000"/>
          <w:lang w:eastAsia="it-IT" w:bidi="it-IT"/>
        </w:rPr>
        <w:t>ṃ</w:t>
      </w:r>
      <w:r>
        <w:rPr>
          <w:rFonts w:eastAsia="Arial Unicode MS" w:cs="Times Ext Roman"/>
          <w:i/>
          <w:iCs/>
          <w:color w:val="000000"/>
          <w:lang w:eastAsia="it-IT" w:bidi="it-IT"/>
        </w:rPr>
        <w:t>hitā der Ka</w:t>
      </w:r>
      <w:r>
        <w:rPr>
          <w:rFonts w:eastAsia="Arial Unicode MS" w:cs="Times Ext Roman"/>
          <w:i/>
          <w:iCs/>
          <w:color w:val="000000"/>
          <w:lang w:eastAsia="it-IT" w:bidi="it-IT"/>
        </w:rPr>
        <w:t>ṭ</w:t>
      </w:r>
      <w:r>
        <w:rPr>
          <w:rFonts w:eastAsia="Arial Unicode MS" w:cs="Times Ext Roman"/>
          <w:i/>
          <w:iCs/>
          <w:color w:val="000000"/>
          <w:lang w:eastAsia="it-IT" w:bidi="it-IT"/>
        </w:rPr>
        <w:t>ha-</w:t>
      </w:r>
      <w:r>
        <w:rPr>
          <w:rFonts w:eastAsia="Arial Unicode MS" w:cs="Times Ext Roman"/>
          <w:i/>
          <w:iCs/>
          <w:caps/>
          <w:color w:val="000000"/>
          <w:lang w:eastAsia="it-IT" w:bidi="it-IT"/>
        </w:rPr>
        <w:t>ś</w:t>
      </w:r>
      <w:r>
        <w:rPr>
          <w:rFonts w:eastAsia="Arial Unicode MS" w:cs="Times Ext Roman"/>
          <w:i/>
          <w:iCs/>
          <w:color w:val="000000"/>
          <w:lang w:eastAsia="it-IT" w:bidi="it-IT"/>
        </w:rPr>
        <w:t>ākha</w:t>
      </w:r>
      <w:r>
        <w:rPr>
          <w:rFonts w:eastAsia="Arial Unicode MS" w:cs="Times Ext Roman"/>
          <w:color w:val="000000"/>
          <w:lang w:eastAsia="it-IT" w:bidi="it-IT"/>
        </w:rPr>
        <w:t xml:space="preserve"> </w:t>
      </w:r>
      <w:r>
        <w:rPr>
          <w:rFonts w:eastAsia="Arial Unicode MS" w:cs="Times Ext Roman"/>
          <w:i/>
          <w:iCs/>
          <w:color w:val="000000"/>
          <w:lang w:eastAsia="it-IT" w:bidi="it-IT"/>
        </w:rPr>
        <w:t>herausgegeben von Dr. Leopold von Schroeder,</w:t>
      </w:r>
      <w:r>
        <w:rPr>
          <w:rFonts w:eastAsia="Arial Unicode MS" w:cs="Times Ext Roman"/>
          <w:color w:val="000000"/>
          <w:lang w:eastAsia="it-IT" w:bidi="it-IT"/>
        </w:rPr>
        <w:t xml:space="preserve"> Brockhaus, Leipzig, 1900.</w:t>
      </w:r>
      <w:r>
        <w:rPr>
          <w:rFonts w:eastAsia="Arial Unicode MS"/>
        </w:rPr>
        <w:t xml:space="preserve">The text of the </w:t>
      </w:r>
      <w:r>
        <w:rPr>
          <w:rFonts w:eastAsia="Arial Unicode MS"/>
          <w:i/>
          <w:iCs/>
        </w:rPr>
        <w:t>Kapi</w:t>
      </w:r>
      <w:r>
        <w:rPr>
          <w:rFonts w:eastAsia="Arial Unicode MS"/>
          <w:i/>
          <w:iCs/>
        </w:rPr>
        <w:t>ṣṭ</w:t>
      </w:r>
      <w:r>
        <w:rPr>
          <w:rFonts w:eastAsia="Arial Unicode MS"/>
          <w:i/>
          <w:iCs/>
        </w:rPr>
        <w:t>hala Sa</w:t>
      </w:r>
      <w:r>
        <w:rPr>
          <w:rFonts w:eastAsia="Arial Unicode MS"/>
          <w:i/>
          <w:iCs/>
        </w:rPr>
        <w:t>ṃ</w:t>
      </w:r>
      <w:r>
        <w:rPr>
          <w:rFonts w:eastAsia="Arial Unicode MS"/>
          <w:i/>
          <w:iCs/>
        </w:rPr>
        <w:t xml:space="preserve">hitā </w:t>
      </w:r>
      <w:r>
        <w:rPr>
          <w:rFonts w:eastAsia="Arial Unicode MS"/>
        </w:rPr>
        <w:t>is after</w:t>
      </w:r>
      <w:r>
        <w:rPr>
          <w:rStyle w:val="biblio-authorGEN"/>
          <w:rFonts w:eastAsia="Arial Unicode MS" w:cs="Times Ext Roman"/>
          <w:lang w:bidi="it-IT"/>
        </w:rPr>
        <w:t xml:space="preserve"> </w:t>
      </w:r>
      <w:r>
        <w:rPr>
          <w:rFonts w:eastAsia="Arial Unicode MS" w:cs="Times Ext Roman"/>
          <w:i/>
          <w:iCs/>
          <w:lang w:bidi="it-IT"/>
        </w:rPr>
        <w:t>Kapi</w:t>
      </w:r>
      <w:r>
        <w:rPr>
          <w:rFonts w:eastAsia="Arial Unicode MS" w:cs="Times Ext Roman"/>
          <w:i/>
          <w:iCs/>
          <w:lang w:bidi="it-IT"/>
        </w:rPr>
        <w:t>ṣṭ</w:t>
      </w:r>
      <w:r>
        <w:rPr>
          <w:rFonts w:eastAsia="Arial Unicode MS" w:cs="Times Ext Roman"/>
          <w:i/>
          <w:iCs/>
          <w:lang w:bidi="it-IT"/>
        </w:rPr>
        <w:t>hala-Ka</w:t>
      </w:r>
      <w:r>
        <w:rPr>
          <w:rFonts w:eastAsia="Arial Unicode MS" w:cs="Times Ext Roman"/>
          <w:i/>
          <w:iCs/>
          <w:lang w:bidi="it-IT"/>
        </w:rPr>
        <w:t>ṭ</w:t>
      </w:r>
      <w:r>
        <w:rPr>
          <w:rFonts w:eastAsia="Arial Unicode MS" w:cs="Times Ext Roman"/>
          <w:i/>
          <w:iCs/>
          <w:lang w:bidi="it-IT"/>
        </w:rPr>
        <w:t>ha-Sa</w:t>
      </w:r>
      <w:r>
        <w:rPr>
          <w:rFonts w:eastAsia="Arial Unicode MS" w:cs="Times Ext Roman"/>
          <w:i/>
          <w:iCs/>
          <w:lang w:bidi="it-IT"/>
        </w:rPr>
        <w:t>ṃ</w:t>
      </w:r>
      <w:r>
        <w:rPr>
          <w:rFonts w:eastAsia="Arial Unicode MS" w:cs="Times Ext Roman"/>
          <w:i/>
          <w:iCs/>
          <w:lang w:bidi="it-IT"/>
        </w:rPr>
        <w:t xml:space="preserve">hitā, a Text of the Black Yajurveda, </w:t>
      </w:r>
      <w:r>
        <w:rPr>
          <w:rFonts w:eastAsia="Arial Unicode MS" w:cs="Times Ext Roman"/>
          <w:i/>
          <w:iCs/>
          <w:lang w:bidi="it-IT"/>
        </w:rPr>
        <w:t xml:space="preserve">Critically edited for the first time by Raghu Vira, </w:t>
      </w:r>
      <w:r>
        <w:rPr>
          <w:rFonts w:eastAsia="Arial Unicode MS" w:cs="Times Ext Roman"/>
          <w:lang w:bidi="it-IT"/>
        </w:rPr>
        <w:t xml:space="preserve">Lachhmandas, Delhi, 1968. </w:t>
      </w:r>
      <w:r>
        <w:rPr>
          <w:rFonts w:eastAsia="MS Mincho;ＭＳ 明朝" w:cs="Times Ext Roman"/>
          <w:sz w:val="22"/>
          <w:szCs w:val="22"/>
          <w:lang w:eastAsia="hi-IN" w:bidi="en-GB"/>
        </w:rPr>
        <w:t xml:space="preserve">The text of the </w:t>
      </w:r>
      <w:r>
        <w:rPr>
          <w:rFonts w:eastAsia="MS Mincho;ＭＳ 明朝" w:cs="Times Ext Roman"/>
          <w:i/>
          <w:iCs/>
          <w:sz w:val="22"/>
          <w:szCs w:val="22"/>
          <w:lang w:eastAsia="hi-IN" w:bidi="en-GB"/>
        </w:rPr>
        <w:t>Vājasaneya Sa</w:t>
      </w:r>
      <w:r>
        <w:rPr>
          <w:rFonts w:eastAsia="MS Mincho;ＭＳ 明朝" w:cs="Times Ext Roman"/>
          <w:i/>
          <w:iCs/>
          <w:sz w:val="22"/>
          <w:szCs w:val="22"/>
          <w:lang w:eastAsia="hi-IN" w:bidi="en-GB"/>
        </w:rPr>
        <w:t>ṃ</w:t>
      </w:r>
      <w:r>
        <w:rPr>
          <w:rFonts w:eastAsia="MS Mincho;ＭＳ 明朝" w:cs="Times Ext Roman"/>
          <w:i/>
          <w:iCs/>
          <w:sz w:val="22"/>
          <w:szCs w:val="22"/>
          <w:lang w:eastAsia="hi-IN" w:bidi="en-GB"/>
        </w:rPr>
        <w:t xml:space="preserve">hitā </w:t>
      </w:r>
      <w:r>
        <w:rPr>
          <w:rFonts w:eastAsia="MS Mincho;ＭＳ 明朝" w:cs="Times Ext Roman"/>
          <w:sz w:val="22"/>
          <w:szCs w:val="22"/>
          <w:lang w:eastAsia="hi-IN" w:bidi="en-GB"/>
        </w:rPr>
        <w:t>(Mādhya</w:t>
      </w:r>
      <w:r>
        <w:rPr>
          <w:rFonts w:eastAsia="MS Mincho;ＭＳ 明朝" w:cs="Times Ext Roman"/>
          <w:sz w:val="22"/>
          <w:szCs w:val="22"/>
          <w:lang w:eastAsia="hi-IN" w:bidi="en-GB"/>
        </w:rPr>
        <w:t>ṃ</w:t>
      </w:r>
      <w:r>
        <w:rPr>
          <w:rFonts w:eastAsia="MS Mincho;ＭＳ 明朝" w:cs="Times Ext Roman"/>
          <w:sz w:val="22"/>
          <w:szCs w:val="22"/>
          <w:lang w:eastAsia="hi-IN" w:bidi="en-GB"/>
        </w:rPr>
        <w:t xml:space="preserve">dina recension) is after the edition of Albrecht Weber, </w:t>
      </w:r>
      <w:r>
        <w:rPr>
          <w:rFonts w:eastAsia="Arial Unicode MS" w:cs="Times Ext Roman"/>
          <w:i/>
          <w:iCs/>
          <w:sz w:val="22"/>
          <w:szCs w:val="22"/>
          <w:lang w:eastAsia="hi-IN" w:bidi="en-GB"/>
        </w:rPr>
        <w:t>The Vājasaneyi-Sa</w:t>
      </w:r>
      <w:r>
        <w:rPr>
          <w:rFonts w:eastAsia="Arial Unicode MS" w:cs="Times Ext Roman"/>
          <w:i/>
          <w:iCs/>
          <w:sz w:val="22"/>
          <w:szCs w:val="22"/>
          <w:lang w:eastAsia="hi-IN" w:bidi="en-GB"/>
        </w:rPr>
        <w:t>ṃ</w:t>
      </w:r>
      <w:r>
        <w:rPr>
          <w:rFonts w:eastAsia="Arial Unicode MS" w:cs="Times Ext Roman"/>
          <w:i/>
          <w:iCs/>
          <w:sz w:val="22"/>
          <w:szCs w:val="22"/>
          <w:lang w:eastAsia="hi-IN" w:bidi="en-GB"/>
        </w:rPr>
        <w:t xml:space="preserve">hitā in the Mādhyandina and the Kānva-Śākhā with the </w:t>
      </w:r>
      <w:r>
        <w:rPr>
          <w:rFonts w:eastAsia="Arial Unicode MS" w:cs="Times Ext Roman"/>
          <w:i/>
          <w:iCs/>
          <w:sz w:val="22"/>
          <w:szCs w:val="22"/>
          <w:lang w:eastAsia="hi-IN" w:bidi="en-GB"/>
        </w:rPr>
        <w:t>Commentary of Mahidhara</w:t>
      </w:r>
      <w:r>
        <w:rPr>
          <w:rFonts w:eastAsia="Arial Unicode MS" w:cs="Times Ext Roman"/>
          <w:sz w:val="22"/>
          <w:szCs w:val="22"/>
          <w:lang w:eastAsia="hi-IN" w:bidi="en-GB"/>
        </w:rPr>
        <w:t>, Berlin 1849 / reprinted Varanasi 1972 .</w:t>
      </w:r>
    </w:p>
    <w:p w14:paraId="478EBD88" w14:textId="77777777" w:rsidR="00E53EB6" w:rsidRDefault="00E53EB6">
      <w:pPr>
        <w:pStyle w:val="HaupttextohneEinzug"/>
        <w:numPr>
          <w:ilvl w:val="1"/>
          <w:numId w:val="2"/>
        </w:numPr>
        <w:tabs>
          <w:tab w:val="left" w:pos="0"/>
        </w:tabs>
        <w:rPr>
          <w:rFonts w:eastAsia="Arial Unicode MS" w:cs="Times Ext Roman"/>
          <w:sz w:val="22"/>
          <w:szCs w:val="22"/>
          <w:lang w:eastAsia="hi-IN" w:bidi="en-GB"/>
        </w:rPr>
      </w:pPr>
    </w:p>
    <w:p w14:paraId="4A09EA50" w14:textId="77777777" w:rsidR="00E53EB6" w:rsidRDefault="006500F5">
      <w:pPr>
        <w:pStyle w:val="Heading5"/>
        <w:tabs>
          <w:tab w:val="left" w:pos="0"/>
        </w:tabs>
      </w:pPr>
      <w:r>
        <w:t>Taittirīya occurrences</w:t>
      </w:r>
    </w:p>
    <w:p w14:paraId="796EEC14" w14:textId="77777777" w:rsidR="00E53EB6" w:rsidRDefault="006500F5">
      <w:pPr>
        <w:pStyle w:val="Heading5"/>
        <w:tabs>
          <w:tab w:val="left" w:pos="0"/>
        </w:tabs>
      </w:pPr>
      <w:r>
        <w:rPr>
          <w:u w:val="single"/>
        </w:rPr>
        <w:t>TS 2.3.14.1g-2h</w:t>
      </w:r>
      <w:r>
        <w:tab/>
      </w:r>
      <w:r>
        <w:tab/>
      </w:r>
      <w:r>
        <w:tab/>
      </w:r>
      <w:r>
        <w:tab/>
      </w:r>
      <w:r>
        <w:tab/>
      </w:r>
      <w:r>
        <w:tab/>
      </w:r>
      <w:r>
        <w:tab/>
      </w:r>
    </w:p>
    <w:p w14:paraId="2F63C67C" w14:textId="77777777" w:rsidR="00E53EB6" w:rsidRDefault="006500F5">
      <w:pPr>
        <w:pStyle w:val="Zitat"/>
        <w:autoSpaceDE w:val="0"/>
        <w:rPr>
          <w:lang w:eastAsia="hi-IN"/>
        </w:rPr>
      </w:pPr>
      <w:r>
        <w:rPr>
          <w:lang w:eastAsia="hi-IN"/>
        </w:rPr>
        <w:t xml:space="preserve">2.3.14.1g-h </w:t>
      </w:r>
      <w:r>
        <w:rPr>
          <w:i/>
          <w:iCs/>
          <w:lang w:eastAsia="hi-IN"/>
        </w:rPr>
        <w:t>ágnī</w:t>
      </w:r>
      <w:r>
        <w:rPr>
          <w:i/>
          <w:iCs/>
          <w:lang w:eastAsia="hi-IN"/>
        </w:rPr>
        <w:t>ṣ</w:t>
      </w:r>
      <w:r>
        <w:rPr>
          <w:i/>
          <w:iCs/>
          <w:lang w:eastAsia="hi-IN"/>
        </w:rPr>
        <w:t>omā sávedasā sáhūtī vanata</w:t>
      </w:r>
      <w:r>
        <w:rPr>
          <w:i/>
          <w:iCs/>
          <w:lang w:eastAsia="hi-IN"/>
        </w:rPr>
        <w:t>ṃ</w:t>
      </w:r>
      <w:r>
        <w:rPr>
          <w:i/>
          <w:iCs/>
          <w:lang w:eastAsia="hi-IN"/>
        </w:rPr>
        <w:t xml:space="preserve"> gíra</w:t>
      </w:r>
      <w:r>
        <w:rPr>
          <w:i/>
          <w:iCs/>
          <w:lang w:eastAsia="hi-IN"/>
        </w:rPr>
        <w:t>ḥ</w:t>
      </w:r>
      <w:r>
        <w:rPr>
          <w:i/>
          <w:iCs/>
          <w:lang w:eastAsia="hi-IN"/>
        </w:rPr>
        <w:t xml:space="preserve"> / sá</w:t>
      </w:r>
      <w:r>
        <w:rPr>
          <w:i/>
          <w:iCs/>
          <w:lang w:eastAsia="hi-IN"/>
        </w:rPr>
        <w:t>ṃ</w:t>
      </w:r>
      <w:r>
        <w:rPr>
          <w:i/>
          <w:iCs/>
          <w:lang w:eastAsia="hi-IN"/>
        </w:rPr>
        <w:t xml:space="preserve"> devatrā́ babhūvathu</w:t>
      </w:r>
      <w:r>
        <w:rPr>
          <w:i/>
          <w:iCs/>
          <w:lang w:eastAsia="hi-IN"/>
        </w:rPr>
        <w:t>ḥ</w:t>
      </w:r>
      <w:r>
        <w:rPr>
          <w:i/>
          <w:iCs/>
          <w:lang w:eastAsia="hi-IN"/>
        </w:rPr>
        <w:t xml:space="preserve"> // yuvám //</w:t>
      </w:r>
    </w:p>
    <w:p w14:paraId="21C24968" w14:textId="77777777" w:rsidR="00E53EB6" w:rsidRDefault="006500F5">
      <w:pPr>
        <w:pStyle w:val="ZitatnachZitat"/>
      </w:pPr>
      <w:r>
        <w:t xml:space="preserve">2.3.14.2h </w:t>
      </w:r>
      <w:r>
        <w:rPr>
          <w:i/>
          <w:iCs/>
        </w:rPr>
        <w:t xml:space="preserve">etā́ni diví rocanā́ny agníś ca soma sákratū </w:t>
      </w:r>
      <w:r>
        <w:rPr>
          <w:i/>
          <w:iCs/>
        </w:rPr>
        <w:t>adhattam / yuvá</w:t>
      </w:r>
      <w:r>
        <w:rPr>
          <w:i/>
          <w:iCs/>
        </w:rPr>
        <w:t>ṁ</w:t>
      </w:r>
      <w:r>
        <w:rPr>
          <w:i/>
          <w:iCs/>
        </w:rPr>
        <w:t xml:space="preserve"> síndhū</w:t>
      </w:r>
      <w:r>
        <w:rPr>
          <w:i/>
          <w:iCs/>
        </w:rPr>
        <w:t>ṁ</w:t>
      </w:r>
      <w:r>
        <w:rPr>
          <w:i/>
          <w:iCs/>
        </w:rPr>
        <w:t xml:space="preserve">r abhíśaster avadyā́d ágnī </w:t>
      </w:r>
      <w:r>
        <w:rPr>
          <w:i/>
          <w:iCs/>
        </w:rPr>
        <w:t>ṣ</w:t>
      </w:r>
      <w:r>
        <w:rPr>
          <w:i/>
          <w:iCs/>
        </w:rPr>
        <w:t>omāv amuñcata</w:t>
      </w:r>
      <w:r>
        <w:rPr>
          <w:i/>
          <w:iCs/>
        </w:rPr>
        <w:t>ṃ</w:t>
      </w:r>
      <w:r>
        <w:rPr>
          <w:i/>
          <w:iCs/>
        </w:rPr>
        <w:t xml:space="preserve"> gr̥bhītā́n //</w:t>
      </w:r>
    </w:p>
    <w:p w14:paraId="3586E3C3" w14:textId="77777777" w:rsidR="00E53EB6" w:rsidRDefault="006500F5">
      <w:pPr>
        <w:pStyle w:val="Zitat"/>
        <w:autoSpaceDE w:val="0"/>
      </w:pPr>
      <w:r>
        <w:rPr>
          <w:lang w:eastAsia="hi-IN"/>
        </w:rPr>
        <w:t xml:space="preserve">O Agni and Soma, together invoked, having the same knowledge, </w:t>
      </w:r>
      <w:r>
        <w:rPr>
          <w:u w:val="single"/>
          <w:lang w:eastAsia="hi-IN"/>
        </w:rPr>
        <w:t>appropriate</w:t>
      </w:r>
      <w:r>
        <w:rPr>
          <w:lang w:eastAsia="hi-IN"/>
        </w:rPr>
        <w:t xml:space="preserve"> the chants, you are</w:t>
      </w:r>
      <w:r>
        <w:rPr>
          <w:rStyle w:val="FootnoteAnchor"/>
          <w:rFonts w:cs="Devanagari MT;Times New Roman"/>
          <w:lang w:eastAsia="hi-IN"/>
        </w:rPr>
        <w:footnoteReference w:id="127"/>
      </w:r>
      <w:r>
        <w:rPr>
          <w:lang w:eastAsia="hi-IN"/>
        </w:rPr>
        <w:t xml:space="preserve"> together in the divine world. You two put those lights in the sky, o Agni and Soma, you, with the same intention; You two</w:t>
      </w:r>
      <w:r>
        <w:t>, o Agni and Soma, released from curse (misfortune-</w:t>
      </w:r>
      <w:r>
        <w:rPr>
          <w:i/>
          <w:iCs/>
        </w:rPr>
        <w:t>abhiśasti-</w:t>
      </w:r>
      <w:r>
        <w:t xml:space="preserve">) </w:t>
      </w:r>
      <w:r>
        <w:t>and disgrace the the rivers which were held back.</w:t>
      </w:r>
    </w:p>
    <w:p w14:paraId="12DC8689" w14:textId="77777777" w:rsidR="00E53EB6" w:rsidRPr="00B80C6B" w:rsidRDefault="006500F5">
      <w:pPr>
        <w:pStyle w:val="Zitat"/>
        <w:autoSpaceDE w:val="0"/>
        <w:rPr>
          <w:lang w:val="de-DE" w:eastAsia="hi-IN"/>
        </w:rPr>
      </w:pPr>
      <w:r w:rsidRPr="00B80C6B">
        <w:rPr>
          <w:i/>
          <w:iCs/>
          <w:lang w:val="de-DE" w:eastAsia="hi-IN"/>
        </w:rPr>
        <w:t xml:space="preserve">vanatam: </w:t>
      </w:r>
      <w:r w:rsidRPr="00B80C6B">
        <w:rPr>
          <w:lang w:val="de-DE" w:eastAsia="hi-IN"/>
        </w:rPr>
        <w:t xml:space="preserve">impv. pres. </w:t>
      </w:r>
      <w:r w:rsidRPr="00B80C6B">
        <w:rPr>
          <w:lang w:val="de-DE" w:eastAsia="hi-IN"/>
        </w:rPr>
        <w:t>2</w:t>
      </w:r>
      <w:r w:rsidRPr="00B80C6B">
        <w:rPr>
          <w:vertAlign w:val="superscript"/>
          <w:lang w:val="de-DE" w:eastAsia="hi-IN"/>
        </w:rPr>
        <w:t>nd</w:t>
      </w:r>
      <w:r w:rsidRPr="00B80C6B">
        <w:rPr>
          <w:lang w:val="de-DE" w:eastAsia="hi-IN"/>
        </w:rPr>
        <w:t xml:space="preserve"> du. I-VI cl.</w:t>
      </w:r>
    </w:p>
    <w:p w14:paraId="3121EF51" w14:textId="77777777" w:rsidR="00E53EB6" w:rsidRPr="00B80C6B" w:rsidRDefault="006500F5">
      <w:pPr>
        <w:pStyle w:val="ZitatmitEinzug"/>
        <w:autoSpaceDE w:val="0"/>
        <w:rPr>
          <w:rFonts w:eastAsia="Arial" w:cs="Times Ext Roman"/>
          <w:szCs w:val="18"/>
          <w:lang w:val="de-DE" w:eastAsia="hi-IN" w:bidi="en-GB"/>
        </w:rPr>
      </w:pPr>
      <w:r w:rsidRPr="00B80C6B">
        <w:rPr>
          <w:rStyle w:val="biblio-authorGEN"/>
          <w:rFonts w:eastAsia="Arial" w:cs="Times Ext Roman"/>
          <w:sz w:val="18"/>
          <w:szCs w:val="18"/>
          <w:lang w:val="de-DE" w:eastAsia="hi-IN" w:bidi="en-GB"/>
        </w:rPr>
        <w:t>Keith</w:t>
      </w:r>
      <w:r w:rsidRPr="00B80C6B">
        <w:rPr>
          <w:rFonts w:eastAsia="Arial" w:cs="Times Ext Roman"/>
          <w:szCs w:val="18"/>
          <w:lang w:val="de-DE" w:eastAsia="hi-IN" w:bidi="en-GB"/>
        </w:rPr>
        <w:t xml:space="preserve"> 1914: 175 “accept” </w:t>
      </w:r>
    </w:p>
    <w:p w14:paraId="7DE6BD14" w14:textId="77777777" w:rsidR="00E53EB6" w:rsidRPr="00B80C6B" w:rsidRDefault="006500F5">
      <w:pPr>
        <w:pStyle w:val="ZitatmitEinzug"/>
        <w:autoSpaceDE w:val="0"/>
        <w:rPr>
          <w:rFonts w:eastAsia="Arial" w:cs="Times Ext Roman"/>
          <w:szCs w:val="18"/>
          <w:lang w:val="de-DE" w:eastAsia="hi-IN" w:bidi="en-GB"/>
        </w:rPr>
      </w:pPr>
      <w:r w:rsidRPr="00B80C6B">
        <w:rPr>
          <w:rStyle w:val="biblio-authorGEN"/>
          <w:rFonts w:eastAsia="Arial" w:cs="Times Ext Roman"/>
          <w:sz w:val="18"/>
          <w:szCs w:val="18"/>
          <w:lang w:val="de-DE" w:eastAsia="hi-IN" w:bidi="en-GB"/>
        </w:rPr>
        <w:t>Geldner</w:t>
      </w:r>
      <w:r w:rsidRPr="00B80C6B">
        <w:rPr>
          <w:rFonts w:eastAsia="Arial" w:cs="Times Ext Roman"/>
          <w:szCs w:val="18"/>
          <w:lang w:val="de-DE" w:eastAsia="hi-IN" w:bidi="en-GB"/>
        </w:rPr>
        <w:t xml:space="preserve">: </w:t>
      </w:r>
      <w:r w:rsidRPr="00B80C6B">
        <w:rPr>
          <w:rFonts w:eastAsia="Arial" w:cs="Times Ext Roman"/>
          <w:smallCaps/>
          <w:szCs w:val="18"/>
          <w:lang w:val="de-DE" w:eastAsia="hi-IN" w:bidi="en-GB"/>
        </w:rPr>
        <w:t xml:space="preserve"> </w:t>
      </w:r>
      <w:r w:rsidRPr="00B80C6B">
        <w:rPr>
          <w:rFonts w:eastAsia="Arial" w:cs="Times Ext Roman"/>
          <w:szCs w:val="18"/>
          <w:lang w:val="de-DE" w:eastAsia="hi-IN" w:bidi="en-GB"/>
        </w:rPr>
        <w:t>I 120 “nehmet gut auf”</w:t>
      </w:r>
    </w:p>
    <w:p w14:paraId="17F0B37C" w14:textId="77777777" w:rsidR="00E53EB6" w:rsidRDefault="006500F5">
      <w:pPr>
        <w:pStyle w:val="ZitatmitEinzug"/>
        <w:autoSpaceDE w:val="0"/>
        <w:rPr>
          <w:rFonts w:eastAsia="Arial" w:cs="Times Ext Roman"/>
          <w:szCs w:val="18"/>
          <w:lang w:eastAsia="hi-IN" w:bidi="en-GB"/>
        </w:rPr>
      </w:pPr>
      <w:r>
        <w:rPr>
          <w:rStyle w:val="biblio-authorGEN"/>
          <w:rFonts w:eastAsia="Arial" w:cs="Times Ext Roman"/>
          <w:sz w:val="18"/>
          <w:szCs w:val="18"/>
          <w:lang w:eastAsia="hi-IN" w:bidi="en-GB"/>
        </w:rPr>
        <w:t>Renou</w:t>
      </w:r>
      <w:r>
        <w:rPr>
          <w:rFonts w:eastAsia="Arial" w:cs="Times Ext Roman"/>
          <w:szCs w:val="18"/>
          <w:lang w:eastAsia="hi-IN" w:bidi="en-GB"/>
        </w:rPr>
        <w:t xml:space="preserve">: </w:t>
      </w:r>
      <w:r>
        <w:rPr>
          <w:rFonts w:eastAsia="Arial" w:cs="Times Ext Roman"/>
          <w:smallCaps/>
          <w:szCs w:val="18"/>
          <w:lang w:eastAsia="hi-IN" w:bidi="en-GB"/>
        </w:rPr>
        <w:t xml:space="preserve"> </w:t>
      </w:r>
      <w:r>
        <w:rPr>
          <w:rFonts w:eastAsia="Arial" w:cs="Times Ext Roman"/>
          <w:szCs w:val="18"/>
          <w:lang w:eastAsia="hi-IN" w:bidi="en-GB"/>
        </w:rPr>
        <w:t>IX 73 “trouvez-agréable”</w:t>
      </w:r>
    </w:p>
    <w:p w14:paraId="08226269" w14:textId="77777777" w:rsidR="00E53EB6" w:rsidRDefault="006500F5">
      <w:pPr>
        <w:pStyle w:val="ZitatmitEinzug"/>
        <w:autoSpaceDE w:val="0"/>
        <w:rPr>
          <w:rFonts w:eastAsia="Arial" w:cs="Times Ext Roman"/>
          <w:szCs w:val="18"/>
          <w:lang w:eastAsia="hi-IN" w:bidi="en-GB"/>
        </w:rPr>
      </w:pPr>
      <w:r>
        <w:rPr>
          <w:rStyle w:val="biblio-authorGEN"/>
          <w:rFonts w:eastAsia="Arial" w:cs="Times Ext Roman"/>
          <w:sz w:val="18"/>
          <w:szCs w:val="15"/>
          <w:lang w:eastAsia="hi-IN" w:bidi="en-GB"/>
        </w:rPr>
        <w:t>Witzel-Gotō</w:t>
      </w:r>
      <w:r>
        <w:rPr>
          <w:rFonts w:eastAsia="Arial" w:cs="Times Ext Roman"/>
          <w:szCs w:val="18"/>
          <w:lang w:eastAsia="hi-IN" w:bidi="en-GB"/>
        </w:rPr>
        <w:t xml:space="preserve"> 2007: 166 “liebt”</w:t>
      </w:r>
    </w:p>
    <w:p w14:paraId="2A25F8C3" w14:textId="77777777" w:rsidR="00E53EB6" w:rsidRDefault="006500F5">
      <w:pPr>
        <w:pStyle w:val="HaupttextnachZitat"/>
        <w:numPr>
          <w:ilvl w:val="2"/>
          <w:numId w:val="2"/>
        </w:numPr>
        <w:tabs>
          <w:tab w:val="left" w:pos="0"/>
        </w:tabs>
      </w:pPr>
      <w:r>
        <w:t>Vedic Web:</w:t>
      </w:r>
    </w:p>
    <w:p w14:paraId="0DC52789" w14:textId="77777777" w:rsidR="00E53EB6" w:rsidRDefault="006500F5">
      <w:pPr>
        <w:pStyle w:val="HaupttextohneEinzug"/>
      </w:pPr>
      <w:r>
        <w:t>Mantra: R</w:t>
      </w:r>
      <w:r>
        <w:rPr>
          <w:rFonts w:eastAsia="Arial" w:cs="Devanagari MT;Times New Roman"/>
          <w:sz w:val="18"/>
          <w:szCs w:val="18"/>
          <w:lang w:eastAsia="hi-IN" w:bidi="en-GB"/>
        </w:rPr>
        <w:t>̥</w:t>
      </w:r>
      <w:r>
        <w:t xml:space="preserve">V 1.93.9; .5; MS 4.10.1: </w:t>
      </w:r>
      <w:r>
        <w:t>144,12-15</w:t>
      </w:r>
      <w:r>
        <w:t>; KS 4.16: 42,20-21; 43,1-2; TB 3.5.7.2.</w:t>
      </w:r>
    </w:p>
    <w:p w14:paraId="5F8A6C50" w14:textId="77777777" w:rsidR="00E53EB6" w:rsidRDefault="006500F5">
      <w:pPr>
        <w:pStyle w:val="HaupttextohneEinzug"/>
      </w:pPr>
      <w:r>
        <w:t xml:space="preserve">Prose: TS </w:t>
      </w:r>
      <w:r>
        <w:t>2.3.3.4.</w:t>
      </w:r>
    </w:p>
    <w:p w14:paraId="5C6A2615" w14:textId="77777777" w:rsidR="00E53EB6" w:rsidRDefault="00E53EB6">
      <w:pPr>
        <w:pStyle w:val="HaupttextohneEinzug"/>
      </w:pPr>
    </w:p>
    <w:p w14:paraId="6F43D87B" w14:textId="77777777" w:rsidR="00E53EB6" w:rsidRDefault="006500F5">
      <w:pPr>
        <w:pStyle w:val="HaupttextohneEinzug"/>
      </w:pPr>
      <w:r>
        <w:t xml:space="preserve">Rite </w:t>
      </w:r>
    </w:p>
    <w:p w14:paraId="18D4D342" w14:textId="77777777" w:rsidR="00E53EB6" w:rsidRDefault="006500F5">
      <w:pPr>
        <w:pStyle w:val="HaupttextohneEinzug"/>
      </w:pPr>
      <w:r>
        <w:t xml:space="preserve">Special Offerings, verses for the </w:t>
      </w:r>
      <w:r>
        <w:t>Kāmye</w:t>
      </w:r>
      <w:r>
        <w:t>ṣ</w:t>
      </w:r>
      <w:r>
        <w:t>tiyājyās</w:t>
      </w:r>
      <w:r>
        <w:t xml:space="preserve">: offering to Agni as desire. The verses g-h are for the first offering to Agni and Soma. </w:t>
      </w:r>
    </w:p>
    <w:p w14:paraId="37B94619" w14:textId="77777777" w:rsidR="00E53EB6" w:rsidRDefault="00E53EB6">
      <w:pPr>
        <w:pStyle w:val="HaupttextohneEinzug"/>
      </w:pPr>
    </w:p>
    <w:p w14:paraId="59C2EC9F" w14:textId="77777777" w:rsidR="00E53EB6" w:rsidRDefault="00E53EB6">
      <w:pPr>
        <w:pStyle w:val="HaupttextohneEinzug"/>
      </w:pPr>
    </w:p>
    <w:p w14:paraId="25FC6ACD" w14:textId="77777777" w:rsidR="00E53EB6" w:rsidRDefault="006500F5">
      <w:pPr>
        <w:pStyle w:val="Heading5"/>
        <w:tabs>
          <w:tab w:val="left" w:pos="0"/>
        </w:tabs>
      </w:pPr>
      <w:r>
        <w:rPr>
          <w:u w:val="single"/>
        </w:rPr>
        <w:lastRenderedPageBreak/>
        <w:t>TS 2.6.12.1c-2c</w:t>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p>
    <w:p w14:paraId="5F9A088C" w14:textId="77777777" w:rsidR="00E53EB6" w:rsidRDefault="006500F5">
      <w:pPr>
        <w:pStyle w:val="Zitat"/>
        <w:autoSpaceDE w:val="0"/>
        <w:rPr>
          <w:i/>
          <w:iCs/>
          <w:lang w:eastAsia="hi-IN"/>
        </w:rPr>
      </w:pPr>
      <w:r>
        <w:rPr>
          <w:lang w:eastAsia="hi-IN"/>
        </w:rPr>
        <w:t>2.6.12.1c</w:t>
      </w:r>
      <w:r>
        <w:rPr>
          <w:i/>
          <w:iCs/>
          <w:lang w:eastAsia="hi-IN"/>
        </w:rPr>
        <w:t xml:space="preserve"> tváyā hí na</w:t>
      </w:r>
      <w:r>
        <w:rPr>
          <w:i/>
          <w:iCs/>
          <w:lang w:eastAsia="hi-IN"/>
        </w:rPr>
        <w:t>ḥ</w:t>
      </w:r>
      <w:r>
        <w:rPr>
          <w:i/>
          <w:iCs/>
          <w:lang w:eastAsia="hi-IN"/>
        </w:rPr>
        <w:t xml:space="preserve"> pitára</w:t>
      </w:r>
      <w:r>
        <w:rPr>
          <w:i/>
          <w:iCs/>
          <w:lang w:eastAsia="hi-IN"/>
        </w:rPr>
        <w:t>ḥ</w:t>
      </w:r>
      <w:r>
        <w:rPr>
          <w:i/>
          <w:iCs/>
          <w:lang w:eastAsia="hi-IN"/>
        </w:rPr>
        <w:t xml:space="preserve"> soma pū́rve kármā</w:t>
      </w:r>
      <w:r>
        <w:rPr>
          <w:i/>
          <w:iCs/>
          <w:lang w:eastAsia="hi-IN"/>
        </w:rPr>
        <w:t>ṇ</w:t>
      </w:r>
      <w:r>
        <w:rPr>
          <w:i/>
          <w:iCs/>
          <w:lang w:eastAsia="hi-IN"/>
        </w:rPr>
        <w:t>i cakrú</w:t>
      </w:r>
      <w:r>
        <w:rPr>
          <w:i/>
          <w:iCs/>
          <w:lang w:eastAsia="hi-IN"/>
        </w:rPr>
        <w:t>ḥ</w:t>
      </w:r>
      <w:r>
        <w:rPr>
          <w:i/>
          <w:iCs/>
          <w:lang w:eastAsia="hi-IN"/>
        </w:rPr>
        <w:t xml:space="preserve"> pavamāna dhī́rā</w:t>
      </w:r>
      <w:r>
        <w:rPr>
          <w:i/>
          <w:iCs/>
          <w:lang w:eastAsia="hi-IN"/>
        </w:rPr>
        <w:t>ḥ</w:t>
      </w:r>
      <w:r>
        <w:rPr>
          <w:i/>
          <w:iCs/>
          <w:lang w:eastAsia="hi-IN"/>
        </w:rPr>
        <w:t xml:space="preserve"> / vanvánn ávāta</w:t>
      </w:r>
      <w:r>
        <w:rPr>
          <w:i/>
          <w:iCs/>
          <w:lang w:eastAsia="hi-IN"/>
        </w:rPr>
        <w:t>ḥ</w:t>
      </w:r>
      <w:r>
        <w:rPr>
          <w:i/>
          <w:iCs/>
          <w:lang w:eastAsia="hi-IN"/>
        </w:rPr>
        <w:t xml:space="preserve"> paridhī́</w:t>
      </w:r>
      <w:r>
        <w:rPr>
          <w:i/>
          <w:iCs/>
          <w:lang w:eastAsia="hi-IN"/>
        </w:rPr>
        <w:t>ṁ</w:t>
      </w:r>
      <w:r>
        <w:rPr>
          <w:i/>
          <w:iCs/>
          <w:lang w:eastAsia="hi-IN"/>
        </w:rPr>
        <w:t>r ápor</w:t>
      </w:r>
      <w:r>
        <w:rPr>
          <w:i/>
          <w:iCs/>
          <w:lang w:eastAsia="hi-IN"/>
        </w:rPr>
        <w:t>ṇ</w:t>
      </w:r>
      <w:r>
        <w:rPr>
          <w:i/>
          <w:iCs/>
          <w:lang w:eastAsia="hi-IN"/>
        </w:rPr>
        <w:t>u vīrébhir áśvair maghávā bhava</w:t>
      </w:r>
      <w:r>
        <w:rPr>
          <w:rStyle w:val="FootnoteAnchor"/>
          <w:i/>
          <w:iCs/>
          <w:lang w:eastAsia="hi-IN"/>
        </w:rPr>
        <w:footnoteReference w:id="128"/>
      </w:r>
      <w:r>
        <w:rPr>
          <w:i/>
          <w:iCs/>
          <w:lang w:eastAsia="hi-IN"/>
        </w:rPr>
        <w:t xml:space="preserve"> // na</w:t>
      </w:r>
      <w:r>
        <w:rPr>
          <w:i/>
          <w:iCs/>
          <w:lang w:eastAsia="hi-IN"/>
        </w:rPr>
        <w:t>ḥ</w:t>
      </w:r>
      <w:r>
        <w:rPr>
          <w:i/>
          <w:iCs/>
          <w:lang w:eastAsia="hi-IN"/>
        </w:rPr>
        <w:t>//</w:t>
      </w:r>
    </w:p>
    <w:p w14:paraId="3346C70A" w14:textId="77777777" w:rsidR="00E53EB6" w:rsidRDefault="006500F5">
      <w:pPr>
        <w:pStyle w:val="Zitat"/>
        <w:autoSpaceDE w:val="0"/>
        <w:rPr>
          <w:rFonts w:ascii="Times Ext Roman" w:hAnsi="Times Ext Roman"/>
          <w:lang w:eastAsia="hi-IN"/>
        </w:rPr>
      </w:pPr>
      <w:r>
        <w:rPr>
          <w:lang w:eastAsia="hi-IN"/>
        </w:rPr>
        <w:t>Through you, o Soma, our  fathers, who got the vision, have formerly</w:t>
      </w:r>
      <w:r>
        <w:rPr>
          <w:rStyle w:val="FootnoteAnchor"/>
          <w:rFonts w:cs="Devanagari MT;Times New Roman"/>
          <w:lang w:eastAsia="hi-IN"/>
        </w:rPr>
        <w:footnoteReference w:id="129"/>
      </w:r>
      <w:r>
        <w:rPr>
          <w:lang w:eastAsia="hi-IN"/>
        </w:rPr>
        <w:t xml:space="preserve"> accomplished the sacrifices, o Pavamāna; yo</w:t>
      </w:r>
      <w:r>
        <w:rPr>
          <w:lang w:eastAsia="hi-IN"/>
        </w:rPr>
        <w:t xml:space="preserve">u, who </w:t>
      </w:r>
      <w:r>
        <w:rPr>
          <w:u w:val="single"/>
          <w:lang w:eastAsia="hi-IN"/>
        </w:rPr>
        <w:t xml:space="preserve">appropriate </w:t>
      </w:r>
      <w:r>
        <w:rPr>
          <w:lang w:eastAsia="hi-IN"/>
        </w:rPr>
        <w:t xml:space="preserve">without being </w:t>
      </w:r>
      <w:r>
        <w:rPr>
          <w:u w:val="single"/>
          <w:lang w:eastAsia="hi-IN"/>
        </w:rPr>
        <w:t>appropriated,</w:t>
      </w:r>
      <w:r>
        <w:rPr>
          <w:lang w:eastAsia="hi-IN"/>
        </w:rPr>
        <w:t xml:space="preserve"> open the enclosures</w:t>
      </w:r>
      <w:r>
        <w:rPr>
          <w:rStyle w:val="FootnoteAnchor"/>
          <w:rFonts w:cs="Devanagari MT;Times New Roman"/>
          <w:lang w:eastAsia="hi-IN"/>
        </w:rPr>
        <w:footnoteReference w:id="130"/>
      </w:r>
      <w:r>
        <w:rPr>
          <w:lang w:eastAsia="hi-IN"/>
        </w:rPr>
        <w:t>, be for us liberal with heroes and horses.</w:t>
      </w:r>
    </w:p>
    <w:p w14:paraId="3D4E9EDA" w14:textId="77777777" w:rsidR="00E53EB6" w:rsidRDefault="006500F5">
      <w:pPr>
        <w:pStyle w:val="Zitat"/>
        <w:autoSpaceDE w:val="0"/>
        <w:rPr>
          <w:lang w:eastAsia="hi-IN"/>
        </w:rPr>
      </w:pPr>
      <w:r>
        <w:rPr>
          <w:i/>
          <w:iCs/>
          <w:lang w:eastAsia="hi-IN"/>
        </w:rPr>
        <w:t xml:space="preserve">vanván: </w:t>
      </w:r>
      <w:r>
        <w:rPr>
          <w:lang w:eastAsia="hi-IN"/>
        </w:rPr>
        <w:t>part. pres. nom. masc. sing.  VIII cl.</w:t>
      </w:r>
    </w:p>
    <w:p w14:paraId="0C30F155" w14:textId="77777777" w:rsidR="00E53EB6" w:rsidRDefault="006500F5">
      <w:pPr>
        <w:pStyle w:val="ZitatnachZitat"/>
        <w:autoSpaceDE w:val="0"/>
        <w:rPr>
          <w:rFonts w:eastAsia="Arial" w:cs="Times Ext Roman"/>
          <w:szCs w:val="18"/>
          <w:lang w:eastAsia="hi-IN" w:bidi="en-GB"/>
        </w:rPr>
      </w:pPr>
      <w:r>
        <w:rPr>
          <w:rFonts w:eastAsia="Arial" w:cs="Times Ext Roman"/>
          <w:i/>
          <w:iCs/>
          <w:szCs w:val="18"/>
          <w:lang w:eastAsia="hi-IN" w:bidi="en-GB"/>
        </w:rPr>
        <w:t>ávāta</w:t>
      </w:r>
      <w:r>
        <w:rPr>
          <w:rFonts w:eastAsia="Arial" w:cs="Times Ext Roman"/>
          <w:i/>
          <w:iCs/>
          <w:szCs w:val="18"/>
          <w:lang w:eastAsia="hi-IN" w:bidi="en-GB"/>
        </w:rPr>
        <w:t>ḥ</w:t>
      </w:r>
      <w:r>
        <w:rPr>
          <w:rFonts w:eastAsia="Arial" w:cs="Times Ext Roman"/>
          <w:szCs w:val="18"/>
          <w:lang w:eastAsia="hi-IN" w:bidi="en-GB"/>
        </w:rPr>
        <w:t xml:space="preserve">: nom. masc. sing. from </w:t>
      </w:r>
      <w:r>
        <w:rPr>
          <w:rFonts w:eastAsia="Arial" w:cs="Times Ext Roman"/>
          <w:i/>
          <w:iCs/>
          <w:szCs w:val="18"/>
          <w:lang w:eastAsia="hi-IN" w:bidi="en-GB"/>
        </w:rPr>
        <w:t>ávāta</w:t>
      </w:r>
      <w:r>
        <w:rPr>
          <w:rFonts w:eastAsia="Arial" w:cs="Times Ext Roman"/>
          <w:szCs w:val="18"/>
          <w:lang w:eastAsia="hi-IN" w:bidi="en-GB"/>
        </w:rPr>
        <w:t xml:space="preserve"> (adj.)</w:t>
      </w:r>
    </w:p>
    <w:p w14:paraId="4CA6FF14" w14:textId="77777777" w:rsidR="00E53EB6" w:rsidRPr="00B80C6B" w:rsidRDefault="006500F5">
      <w:pPr>
        <w:pStyle w:val="ZitatmitEinzug"/>
        <w:autoSpaceDE w:val="0"/>
        <w:rPr>
          <w:rFonts w:eastAsia="Arial" w:cs="Times Ext Roman"/>
          <w:szCs w:val="18"/>
          <w:lang w:val="de-DE" w:eastAsia="hi-IN" w:bidi="en-GB"/>
        </w:rPr>
      </w:pPr>
      <w:r w:rsidRPr="00B80C6B">
        <w:rPr>
          <w:rStyle w:val="biblio-authorGEN"/>
          <w:rFonts w:eastAsia="Arial" w:cs="Times Ext Roman"/>
          <w:sz w:val="18"/>
          <w:szCs w:val="18"/>
          <w:lang w:val="de-DE" w:eastAsia="hi-IN" w:bidi="en-GB"/>
        </w:rPr>
        <w:t>Keith</w:t>
      </w:r>
      <w:r w:rsidRPr="00B80C6B">
        <w:rPr>
          <w:rFonts w:eastAsia="Arial" w:cs="Times Ext Roman"/>
          <w:szCs w:val="18"/>
          <w:lang w:val="de-DE" w:eastAsia="hi-IN" w:bidi="en-GB"/>
        </w:rPr>
        <w:t xml:space="preserve"> 1914: 220 “Conquering, untroubled” </w:t>
      </w:r>
    </w:p>
    <w:p w14:paraId="3D947AC2" w14:textId="77777777" w:rsidR="00E53EB6" w:rsidRPr="00B80C6B" w:rsidRDefault="006500F5">
      <w:pPr>
        <w:pStyle w:val="ZitatmitEinzug"/>
        <w:autoSpaceDE w:val="0"/>
        <w:rPr>
          <w:rFonts w:eastAsia="Arial" w:cs="Times Ext Roman"/>
          <w:szCs w:val="18"/>
          <w:lang w:val="de-DE" w:eastAsia="hi-IN" w:bidi="en-GB"/>
        </w:rPr>
      </w:pPr>
      <w:r w:rsidRPr="00B80C6B">
        <w:rPr>
          <w:rStyle w:val="biblio-authorGEN"/>
          <w:rFonts w:eastAsia="Arial" w:cs="Times Ext Roman"/>
          <w:sz w:val="18"/>
          <w:szCs w:val="15"/>
          <w:lang w:val="de-DE" w:eastAsia="hi-IN" w:bidi="en-GB"/>
        </w:rPr>
        <w:t>Geldner</w:t>
      </w:r>
      <w:r w:rsidRPr="00B80C6B">
        <w:rPr>
          <w:rFonts w:eastAsia="Arial" w:cs="Times Ext Roman"/>
          <w:szCs w:val="18"/>
          <w:lang w:val="de-DE" w:eastAsia="hi-IN" w:bidi="en-GB"/>
        </w:rPr>
        <w:t>: III 93 “überwinder unüberwundene”</w:t>
      </w:r>
    </w:p>
    <w:p w14:paraId="04362BD0" w14:textId="77777777" w:rsidR="00E53EB6" w:rsidRPr="00B80C6B" w:rsidRDefault="006500F5">
      <w:pPr>
        <w:pStyle w:val="ZitatmitEinzug"/>
        <w:autoSpaceDE w:val="0"/>
        <w:rPr>
          <w:rFonts w:eastAsia="Arial" w:cs="Times Ext Roman"/>
          <w:szCs w:val="18"/>
          <w:lang w:val="it-IT" w:eastAsia="hi-IN" w:bidi="en-GB"/>
        </w:rPr>
      </w:pPr>
      <w:r w:rsidRPr="00B80C6B">
        <w:rPr>
          <w:rStyle w:val="biblio-authorGEN"/>
          <w:rFonts w:eastAsia="Arial" w:cs="Times Ext Roman"/>
          <w:sz w:val="18"/>
          <w:szCs w:val="18"/>
          <w:lang w:val="it-IT" w:eastAsia="hi-IN" w:bidi="en-GB"/>
        </w:rPr>
        <w:t>Renou</w:t>
      </w:r>
      <w:r w:rsidRPr="00B80C6B">
        <w:rPr>
          <w:rFonts w:eastAsia="Arial" w:cs="Times Ext Roman"/>
          <w:szCs w:val="18"/>
          <w:lang w:val="it-IT" w:eastAsia="hi-IN" w:bidi="en-GB"/>
        </w:rPr>
        <w:t>: IX 44 “qui gagnes sans que nul gagne contre toi”</w:t>
      </w:r>
    </w:p>
    <w:p w14:paraId="2D3B7B0B" w14:textId="77777777" w:rsidR="00E53EB6" w:rsidRDefault="006500F5">
      <w:pPr>
        <w:pStyle w:val="HaupttextnachZitat"/>
        <w:numPr>
          <w:ilvl w:val="2"/>
          <w:numId w:val="2"/>
        </w:numPr>
        <w:tabs>
          <w:tab w:val="left" w:pos="0"/>
        </w:tabs>
      </w:pPr>
      <w:r>
        <w:t>Vedic Web:</w:t>
      </w:r>
    </w:p>
    <w:p w14:paraId="5DEC1C7A" w14:textId="77777777" w:rsidR="00E53EB6" w:rsidRPr="00B80C6B" w:rsidRDefault="006500F5">
      <w:pPr>
        <w:pStyle w:val="HaupttextohneEinzug"/>
        <w:rPr>
          <w:lang w:val="de-DE"/>
        </w:rPr>
      </w:pPr>
      <w:r w:rsidRPr="00B80C6B">
        <w:rPr>
          <w:lang w:val="de-DE"/>
        </w:rPr>
        <w:t>Mantra: R</w:t>
      </w:r>
      <w:r w:rsidRPr="00B80C6B">
        <w:rPr>
          <w:rFonts w:eastAsia="Arial" w:cs="Devanagari MT;Times New Roman"/>
          <w:sz w:val="18"/>
          <w:szCs w:val="18"/>
          <w:lang w:val="de-DE" w:eastAsia="hi-IN" w:bidi="en-GB"/>
        </w:rPr>
        <w:t>̥</w:t>
      </w:r>
      <w:r w:rsidRPr="00B80C6B">
        <w:rPr>
          <w:lang w:val="de-DE"/>
        </w:rPr>
        <w:t>V 9.96.11; MS 4.10.6: 156,8-9; KS 21.14: 55,7-8; VS 19.53.</w:t>
      </w:r>
    </w:p>
    <w:p w14:paraId="460D5919" w14:textId="77777777" w:rsidR="00E53EB6" w:rsidRPr="00B80C6B" w:rsidRDefault="00E53EB6">
      <w:pPr>
        <w:pStyle w:val="HaupttextohneEinzug"/>
        <w:rPr>
          <w:lang w:val="de-DE"/>
        </w:rPr>
      </w:pPr>
    </w:p>
    <w:p w14:paraId="091FF9B0" w14:textId="77777777" w:rsidR="00E53EB6" w:rsidRDefault="006500F5">
      <w:pPr>
        <w:pStyle w:val="HaupttextohneEinzug"/>
      </w:pPr>
      <w:r>
        <w:t>Rite</w:t>
      </w:r>
    </w:p>
    <w:p w14:paraId="2ABA941B" w14:textId="77777777" w:rsidR="00E53EB6" w:rsidRDefault="006500F5">
      <w:pPr>
        <w:pStyle w:val="HaupttextohneEinzug"/>
      </w:pPr>
      <w:r>
        <w:t>In TS, MS: Darśapur</w:t>
      </w:r>
      <w:r>
        <w:t>ṇ</w:t>
      </w:r>
      <w:r>
        <w:t>amāse</w:t>
      </w:r>
      <w:r>
        <w:t>ṣṭ</w:t>
      </w:r>
      <w:r>
        <w:t>ī, Pitr</w:t>
      </w:r>
      <w:r>
        <w:rPr>
          <w:rFonts w:eastAsia="Arial" w:cs="Devanagari MT;Times New Roman"/>
          <w:sz w:val="18"/>
          <w:szCs w:val="18"/>
          <w:lang w:eastAsia="hi-IN" w:bidi="en-GB"/>
        </w:rPr>
        <w:t>̥</w:t>
      </w:r>
      <w:r>
        <w:t xml:space="preserve">yajña, </w:t>
      </w:r>
      <w:r>
        <w:rPr>
          <w:i/>
          <w:iCs/>
        </w:rPr>
        <w:t>puronuvākya</w:t>
      </w:r>
      <w:r>
        <w:t xml:space="preserve"> of the </w:t>
      </w:r>
      <w:r>
        <w:rPr>
          <w:i/>
          <w:iCs/>
        </w:rPr>
        <w:t>hotr</w:t>
      </w:r>
      <w:r>
        <w:rPr>
          <w:rFonts w:eastAsia="Arial" w:cs="Devanagari MT;Times New Roman"/>
          <w:sz w:val="18"/>
          <w:szCs w:val="18"/>
          <w:lang w:eastAsia="hi-IN" w:bidi="en-GB"/>
        </w:rPr>
        <w:t>̥</w:t>
      </w:r>
      <w:r>
        <w:rPr>
          <w:i/>
          <w:iCs/>
        </w:rPr>
        <w:t xml:space="preserve"> </w:t>
      </w:r>
      <w:r>
        <w:t xml:space="preserve">to </w:t>
      </w:r>
      <w:r>
        <w:t>accompany the offering of a cake on 6 potsherds to Soma Pitr</w:t>
      </w:r>
      <w:r>
        <w:rPr>
          <w:rFonts w:eastAsia="Arial" w:cs="Devanagari MT;Times New Roman"/>
          <w:sz w:val="18"/>
          <w:szCs w:val="18"/>
          <w:lang w:eastAsia="hi-IN" w:bidi="en-GB"/>
        </w:rPr>
        <w:t>̥</w:t>
      </w:r>
      <w:r>
        <w:t>mant.</w:t>
      </w:r>
    </w:p>
    <w:p w14:paraId="52D08801" w14:textId="77777777" w:rsidR="00E53EB6" w:rsidRDefault="006500F5">
      <w:pPr>
        <w:pStyle w:val="HaupttextohneEinzug"/>
      </w:pPr>
      <w:r>
        <w:t>In VS: Sautrāma</w:t>
      </w:r>
      <w:r>
        <w:t>ṇ</w:t>
      </w:r>
      <w:r>
        <w:t xml:space="preserve">ī, a </w:t>
      </w:r>
      <w:r>
        <w:fldChar w:fldCharType="begin"/>
      </w:r>
      <w:r>
        <w:instrText>XE "ceremony"</w:instrText>
      </w:r>
      <w:r>
        <w:fldChar w:fldCharType="end"/>
      </w:r>
      <w:r>
        <w:t xml:space="preserve"> constructed as a </w:t>
      </w:r>
      <w:r>
        <w:rPr>
          <w:i/>
          <w:iCs/>
        </w:rPr>
        <w:t xml:space="preserve">surā </w:t>
      </w:r>
      <w:r>
        <w:t xml:space="preserve">sacrifice </w:t>
      </w:r>
      <w:r>
        <w:t xml:space="preserve">to expiate the excessive consumption of Soma and then all other transgressions or mistakes. This </w:t>
      </w:r>
      <w:r>
        <w:rPr>
          <w:i/>
          <w:iCs/>
        </w:rPr>
        <w:t>mantra</w:t>
      </w:r>
      <w:r>
        <w:t xml:space="preserve"> is a formula for oblation to the Fathers.</w:t>
      </w:r>
    </w:p>
    <w:p w14:paraId="24FE710C" w14:textId="77777777" w:rsidR="00E53EB6" w:rsidRDefault="00E53EB6">
      <w:pPr>
        <w:pStyle w:val="HaupttextohneEinzug"/>
        <w:rPr>
          <w:rFonts w:eastAsia="MS Mincho" w:hint="eastAsia"/>
          <w:shd w:val="clear" w:color="auto" w:fill="FFFF00"/>
        </w:rPr>
      </w:pPr>
    </w:p>
    <w:p w14:paraId="5043954D" w14:textId="77777777" w:rsidR="00E53EB6" w:rsidRDefault="006500F5">
      <w:pPr>
        <w:pStyle w:val="Heading5"/>
        <w:numPr>
          <w:ilvl w:val="4"/>
          <w:numId w:val="2"/>
        </w:numPr>
        <w:tabs>
          <w:tab w:val="left" w:pos="0"/>
        </w:tabs>
      </w:pPr>
      <w:r>
        <w:rPr>
          <w:u w:val="single"/>
        </w:rPr>
        <w:t>TS 3.3.11.1-2e</w:t>
      </w:r>
      <w:r>
        <w:t xml:space="preserve"> </w:t>
      </w:r>
      <w:r>
        <w:tab/>
      </w:r>
      <w:r>
        <w:tab/>
      </w:r>
      <w:r>
        <w:tab/>
      </w:r>
      <w:r>
        <w:tab/>
      </w:r>
      <w:r>
        <w:tab/>
      </w:r>
      <w:r>
        <w:tab/>
      </w:r>
      <w:r>
        <w:tab/>
      </w:r>
      <w:r>
        <w:tab/>
      </w:r>
      <w:r>
        <w:tab/>
      </w:r>
    </w:p>
    <w:p w14:paraId="4BC390CD" w14:textId="77777777" w:rsidR="00E53EB6" w:rsidRDefault="006500F5">
      <w:pPr>
        <w:pStyle w:val="Zitat"/>
        <w:autoSpaceDE w:val="0"/>
        <w:rPr>
          <w:lang w:eastAsia="hi-IN"/>
        </w:rPr>
      </w:pPr>
      <w:r>
        <w:rPr>
          <w:lang w:eastAsia="hi-IN"/>
        </w:rPr>
        <w:t xml:space="preserve">3.3.11.1e </w:t>
      </w:r>
      <w:r>
        <w:rPr>
          <w:i/>
          <w:iCs/>
          <w:lang w:eastAsia="hi-IN"/>
        </w:rPr>
        <w:t>ví te ví</w:t>
      </w:r>
      <w:r>
        <w:rPr>
          <w:i/>
          <w:iCs/>
          <w:lang w:eastAsia="hi-IN"/>
        </w:rPr>
        <w:t>ṣ</w:t>
      </w:r>
      <w:r>
        <w:rPr>
          <w:i/>
          <w:iCs/>
          <w:lang w:eastAsia="hi-IN"/>
        </w:rPr>
        <w:t>vag vā́tajūtāso agne bhā́māsa</w:t>
      </w:r>
      <w:r>
        <w:rPr>
          <w:i/>
          <w:iCs/>
          <w:lang w:eastAsia="hi-IN"/>
        </w:rPr>
        <w:t>ḥ</w:t>
      </w:r>
      <w:r>
        <w:rPr>
          <w:i/>
          <w:iCs/>
          <w:lang w:eastAsia="hi-IN"/>
        </w:rPr>
        <w:t xml:space="preserve"> //</w:t>
      </w:r>
    </w:p>
    <w:p w14:paraId="2896DC8B" w14:textId="77777777" w:rsidR="00E53EB6" w:rsidRDefault="006500F5">
      <w:pPr>
        <w:pStyle w:val="ZitatnachZitat"/>
        <w:autoSpaceDE w:val="0"/>
        <w:rPr>
          <w:rFonts w:eastAsia="Arial" w:cs="Times Ext Roman"/>
          <w:szCs w:val="18"/>
          <w:lang w:eastAsia="hi-IN" w:bidi="en-GB"/>
        </w:rPr>
      </w:pPr>
      <w:r>
        <w:rPr>
          <w:rFonts w:eastAsia="Arial" w:cs="Times Ext Roman"/>
          <w:szCs w:val="18"/>
          <w:lang w:eastAsia="hi-IN" w:bidi="en-GB"/>
        </w:rPr>
        <w:t xml:space="preserve">3.3.11.2e </w:t>
      </w:r>
      <w:r>
        <w:rPr>
          <w:rFonts w:eastAsia="Arial" w:cs="Times Ext Roman"/>
          <w:i/>
          <w:iCs/>
          <w:szCs w:val="18"/>
          <w:lang w:eastAsia="hi-IN" w:bidi="en-GB"/>
        </w:rPr>
        <w:t>śuce śúcayaś caranti / tuvimrak</w:t>
      </w:r>
      <w:r>
        <w:rPr>
          <w:rFonts w:eastAsia="Arial" w:cs="Times Ext Roman"/>
          <w:i/>
          <w:iCs/>
          <w:szCs w:val="18"/>
          <w:lang w:eastAsia="hi-IN" w:bidi="en-GB"/>
        </w:rPr>
        <w:t>ṣ</w:t>
      </w:r>
      <w:r>
        <w:rPr>
          <w:rFonts w:eastAsia="Arial" w:cs="Times Ext Roman"/>
          <w:i/>
          <w:iCs/>
          <w:szCs w:val="18"/>
          <w:lang w:eastAsia="hi-IN" w:bidi="en-GB"/>
        </w:rPr>
        <w:t>ā́so divyā́ návagvā vánā vananti dh</w:t>
      </w:r>
      <w:r>
        <w:rPr>
          <w:rFonts w:eastAsia="Arial" w:cs="Times Ext Roman"/>
          <w:i/>
          <w:iCs/>
          <w:szCs w:val="18"/>
          <w:lang w:eastAsia="hi-IN" w:bidi="en-US"/>
        </w:rPr>
        <w:t>r</w:t>
      </w:r>
      <w:r>
        <w:rPr>
          <w:rFonts w:eastAsia="Arial" w:cs="Devanagari MT;Times New Roman"/>
          <w:szCs w:val="18"/>
          <w:lang w:eastAsia="hi-IN" w:bidi="en-GB"/>
        </w:rPr>
        <w:t>̥</w:t>
      </w:r>
      <w:r>
        <w:rPr>
          <w:rFonts w:eastAsia="Arial" w:cs="Times Ext Roman"/>
          <w:i/>
          <w:iCs/>
          <w:szCs w:val="18"/>
          <w:lang w:eastAsia="hi-IN" w:bidi="en-GB"/>
        </w:rPr>
        <w:t>ṣ</w:t>
      </w:r>
      <w:r>
        <w:rPr>
          <w:rFonts w:eastAsia="Arial" w:cs="Times Ext Roman"/>
          <w:i/>
          <w:iCs/>
          <w:szCs w:val="18"/>
          <w:lang w:eastAsia="hi-IN" w:bidi="en-GB"/>
        </w:rPr>
        <w:t>atā́ rujánta</w:t>
      </w:r>
      <w:r>
        <w:rPr>
          <w:rFonts w:eastAsia="Arial" w:cs="Times Ext Roman"/>
          <w:i/>
          <w:iCs/>
          <w:szCs w:val="18"/>
          <w:lang w:eastAsia="hi-IN" w:bidi="en-GB"/>
        </w:rPr>
        <w:t>ḥ</w:t>
      </w:r>
      <w:r>
        <w:rPr>
          <w:rFonts w:eastAsia="Arial" w:cs="Times Ext Roman"/>
          <w:i/>
          <w:iCs/>
          <w:szCs w:val="18"/>
          <w:lang w:eastAsia="hi-IN" w:bidi="en-GB"/>
        </w:rPr>
        <w:t xml:space="preserve"> //</w:t>
      </w:r>
    </w:p>
    <w:p w14:paraId="3E9792B1" w14:textId="77777777" w:rsidR="00E53EB6" w:rsidRDefault="006500F5">
      <w:pPr>
        <w:pStyle w:val="Zitat"/>
        <w:autoSpaceDE w:val="0"/>
        <w:rPr>
          <w:rFonts w:ascii="Times Ext Roman" w:hAnsi="Times Ext Roman"/>
          <w:lang w:eastAsia="hi-IN"/>
        </w:rPr>
      </w:pPr>
      <w:r>
        <w:rPr>
          <w:lang w:eastAsia="hi-IN"/>
        </w:rPr>
        <w:t>Shaken everywhere by the wind</w:t>
      </w:r>
      <w:r>
        <w:rPr>
          <w:rStyle w:val="FootnoteAnchor"/>
          <w:rFonts w:cs="Devanagari MT;Times New Roman"/>
          <w:lang w:eastAsia="hi-IN"/>
        </w:rPr>
        <w:footnoteReference w:id="131"/>
      </w:r>
      <w:r>
        <w:rPr>
          <w:lang w:eastAsia="hi-IN"/>
        </w:rPr>
        <w:t xml:space="preserve">, your gleaming/glowing flames, o gleaming/glowing Agni, are moving in </w:t>
      </w:r>
      <w:r>
        <w:rPr>
          <w:lang w:eastAsia="hi-IN"/>
        </w:rPr>
        <w:t>every direction, big destroyers</w:t>
      </w:r>
      <w:r>
        <w:rPr>
          <w:rStyle w:val="FootnoteAnchor"/>
          <w:rFonts w:cs="Devanagari MT;Times New Roman"/>
          <w:lang w:eastAsia="hi-IN"/>
        </w:rPr>
        <w:footnoteReference w:id="132"/>
      </w:r>
      <w:r>
        <w:rPr>
          <w:lang w:eastAsia="hi-IN"/>
        </w:rPr>
        <w:t>, like the divine Navagva</w:t>
      </w:r>
      <w:r>
        <w:rPr>
          <w:rStyle w:val="FootnoteAnchor"/>
          <w:rFonts w:cs="Devanagari MT;Times New Roman"/>
          <w:lang w:eastAsia="hi-IN"/>
        </w:rPr>
        <w:footnoteReference w:id="133"/>
      </w:r>
      <w:r>
        <w:rPr>
          <w:lang w:eastAsia="hi-IN"/>
        </w:rPr>
        <w:t xml:space="preserve">, they </w:t>
      </w:r>
      <w:r>
        <w:rPr>
          <w:u w:val="single"/>
          <w:lang w:eastAsia="hi-IN"/>
        </w:rPr>
        <w:t xml:space="preserve">appropriate </w:t>
      </w:r>
      <w:r>
        <w:rPr>
          <w:lang w:eastAsia="hi-IN"/>
        </w:rPr>
        <w:t xml:space="preserve"> the wood breaking them boldly.</w:t>
      </w:r>
    </w:p>
    <w:p w14:paraId="57E3741B" w14:textId="77777777" w:rsidR="00E53EB6" w:rsidRPr="00B80C6B" w:rsidRDefault="006500F5">
      <w:pPr>
        <w:pStyle w:val="Zitat"/>
        <w:autoSpaceDE w:val="0"/>
        <w:rPr>
          <w:lang w:val="it-IT" w:eastAsia="hi-IN"/>
        </w:rPr>
      </w:pPr>
      <w:r w:rsidRPr="00B80C6B">
        <w:rPr>
          <w:i/>
          <w:iCs/>
          <w:lang w:val="it-IT" w:eastAsia="hi-IN"/>
        </w:rPr>
        <w:t xml:space="preserve">vananti: </w:t>
      </w:r>
      <w:r w:rsidRPr="00B80C6B">
        <w:rPr>
          <w:lang w:val="it-IT" w:eastAsia="hi-IN"/>
        </w:rPr>
        <w:t>ind. pres. 3</w:t>
      </w:r>
      <w:r w:rsidRPr="00B80C6B">
        <w:rPr>
          <w:vertAlign w:val="superscript"/>
          <w:lang w:val="it-IT" w:eastAsia="hi-IN"/>
        </w:rPr>
        <w:t>rd</w:t>
      </w:r>
      <w:r w:rsidRPr="00B80C6B">
        <w:rPr>
          <w:lang w:val="it-IT" w:eastAsia="hi-IN"/>
        </w:rPr>
        <w:t xml:space="preserve"> pl. I-VI cl.</w:t>
      </w:r>
    </w:p>
    <w:p w14:paraId="4BEA078D" w14:textId="77777777" w:rsidR="00E53EB6" w:rsidRPr="00B80C6B" w:rsidRDefault="006500F5">
      <w:pPr>
        <w:pStyle w:val="ZitatmitEinzug"/>
        <w:autoSpaceDE w:val="0"/>
        <w:rPr>
          <w:rFonts w:eastAsia="Arial" w:cs="Times Ext Roman"/>
          <w:szCs w:val="18"/>
          <w:lang w:val="de-DE" w:eastAsia="hi-IN" w:bidi="en-GB"/>
        </w:rPr>
      </w:pPr>
      <w:r w:rsidRPr="00B80C6B">
        <w:rPr>
          <w:rStyle w:val="biblio-authorGEN"/>
          <w:rFonts w:eastAsia="Arial" w:cs="Times Ext Roman"/>
          <w:sz w:val="18"/>
          <w:szCs w:val="18"/>
          <w:lang w:val="de-DE" w:eastAsia="hi-IN" w:bidi="en-GB"/>
        </w:rPr>
        <w:t>Keith</w:t>
      </w:r>
      <w:r w:rsidRPr="00B80C6B">
        <w:rPr>
          <w:rFonts w:eastAsia="Arial" w:cs="Times Ext Roman"/>
          <w:szCs w:val="18"/>
          <w:lang w:val="de-DE" w:eastAsia="hi-IN" w:bidi="en-GB"/>
        </w:rPr>
        <w:t xml:space="preserve"> 1914: 264 “assail”</w:t>
      </w:r>
    </w:p>
    <w:p w14:paraId="6C307A98" w14:textId="77777777" w:rsidR="00E53EB6" w:rsidRPr="00B80C6B" w:rsidRDefault="006500F5">
      <w:pPr>
        <w:pStyle w:val="ZitatmitEinzug"/>
        <w:autoSpaceDE w:val="0"/>
        <w:rPr>
          <w:rFonts w:eastAsia="Arial" w:cs="Times Ext Roman"/>
          <w:szCs w:val="18"/>
          <w:lang w:val="de-DE" w:eastAsia="hi-IN" w:bidi="en-GB"/>
        </w:rPr>
      </w:pPr>
      <w:r w:rsidRPr="00B80C6B">
        <w:rPr>
          <w:rStyle w:val="biblio-authorGEN"/>
          <w:rFonts w:eastAsia="Arial" w:cs="Times Ext Roman"/>
          <w:sz w:val="18"/>
          <w:szCs w:val="15"/>
          <w:lang w:val="de-DE" w:eastAsia="hi-IN" w:bidi="en-GB"/>
        </w:rPr>
        <w:t>Geldner</w:t>
      </w:r>
      <w:r w:rsidRPr="00B80C6B">
        <w:rPr>
          <w:rFonts w:eastAsia="Arial" w:cs="Times Ext Roman"/>
          <w:szCs w:val="18"/>
          <w:lang w:val="de-DE" w:eastAsia="hi-IN" w:bidi="en-GB"/>
        </w:rPr>
        <w:t>: II 98 “überwinden”</w:t>
      </w:r>
    </w:p>
    <w:p w14:paraId="1ADC1946" w14:textId="77777777" w:rsidR="00E53EB6" w:rsidRDefault="006500F5">
      <w:pPr>
        <w:pStyle w:val="ZitatmitEinzug"/>
        <w:autoSpaceDE w:val="0"/>
        <w:rPr>
          <w:rFonts w:eastAsia="Arial" w:cs="Times Ext Roman"/>
          <w:szCs w:val="18"/>
          <w:lang w:eastAsia="hi-IN" w:bidi="en-GB"/>
        </w:rPr>
      </w:pPr>
      <w:r>
        <w:rPr>
          <w:rStyle w:val="biblio-authorGEN"/>
          <w:rFonts w:eastAsia="Arial" w:cs="Times Ext Roman"/>
          <w:sz w:val="18"/>
          <w:szCs w:val="15"/>
          <w:lang w:eastAsia="hi-IN" w:bidi="en-GB"/>
        </w:rPr>
        <w:t>Renou</w:t>
      </w:r>
      <w:r>
        <w:rPr>
          <w:rFonts w:eastAsia="Arial" w:cs="Times Ext Roman"/>
          <w:szCs w:val="18"/>
          <w:lang w:eastAsia="hi-IN" w:bidi="en-GB"/>
        </w:rPr>
        <w:t>: XIII 40 “triomphent”</w:t>
      </w:r>
    </w:p>
    <w:p w14:paraId="08C2563E" w14:textId="77777777" w:rsidR="00E53EB6" w:rsidRDefault="006500F5">
      <w:pPr>
        <w:pStyle w:val="HaupttextnachZitat"/>
        <w:numPr>
          <w:ilvl w:val="2"/>
          <w:numId w:val="2"/>
        </w:numPr>
        <w:tabs>
          <w:tab w:val="left" w:pos="0"/>
        </w:tabs>
      </w:pPr>
      <w:r>
        <w:t>Vedic Web</w:t>
      </w:r>
    </w:p>
    <w:p w14:paraId="22734AC3" w14:textId="77777777" w:rsidR="00E53EB6" w:rsidRDefault="006500F5">
      <w:pPr>
        <w:pStyle w:val="HaupttextohneEinzug"/>
      </w:pPr>
      <w:r>
        <w:t>Mantra: R</w:t>
      </w:r>
      <w:r>
        <w:rPr>
          <w:rFonts w:eastAsia="Arial" w:cs="Devanagari MT;Times New Roman"/>
          <w:sz w:val="18"/>
          <w:szCs w:val="18"/>
          <w:lang w:eastAsia="hi-IN" w:bidi="en-GB"/>
        </w:rPr>
        <w:t>̥</w:t>
      </w:r>
      <w:r>
        <w:t xml:space="preserve">V </w:t>
      </w:r>
      <w:r>
        <w:t>6.6.3.</w:t>
      </w:r>
    </w:p>
    <w:p w14:paraId="3C07E432" w14:textId="77777777" w:rsidR="00E53EB6" w:rsidRDefault="006500F5">
      <w:pPr>
        <w:pStyle w:val="HaupttextohneEinzug"/>
      </w:pPr>
      <w:r>
        <w:t>Mantra and Prose: ŚB 12.4.4.2.</w:t>
      </w:r>
    </w:p>
    <w:p w14:paraId="15CA2556" w14:textId="77777777" w:rsidR="00E53EB6" w:rsidRDefault="006500F5">
      <w:pPr>
        <w:pStyle w:val="HaupttextohneEinzug"/>
      </w:pPr>
      <w:r>
        <w:lastRenderedPageBreak/>
        <w:t>Prose: TS 2.4.13.1; TS 3.4.9; TB 3.7.3.5</w:t>
      </w:r>
      <w:r>
        <w:rPr>
          <w:i/>
          <w:iCs/>
        </w:rPr>
        <w:t>.</w:t>
      </w:r>
    </w:p>
    <w:p w14:paraId="07071F8D" w14:textId="77777777" w:rsidR="00E53EB6" w:rsidRDefault="00E53EB6">
      <w:pPr>
        <w:pStyle w:val="HaupttextohneEinzug"/>
      </w:pPr>
    </w:p>
    <w:p w14:paraId="37520664" w14:textId="77777777" w:rsidR="00E53EB6" w:rsidRDefault="006500F5">
      <w:pPr>
        <w:pStyle w:val="HaupttextohneEinzug"/>
      </w:pPr>
      <w:r>
        <w:t>Rite</w:t>
      </w:r>
    </w:p>
    <w:p w14:paraId="60CBFD92" w14:textId="77777777" w:rsidR="00E53EB6" w:rsidRDefault="006500F5">
      <w:pPr>
        <w:pStyle w:val="HaupttextohneEinzug"/>
      </w:pPr>
      <w:r>
        <w:t>Supplement of the Soma Sacrifices, special animal offerings: the</w:t>
      </w:r>
      <w:r>
        <w:rPr>
          <w:i/>
          <w:iCs/>
        </w:rPr>
        <w:t xml:space="preserve"> kamye</w:t>
      </w:r>
      <w:r>
        <w:rPr>
          <w:i/>
          <w:iCs/>
        </w:rPr>
        <w:t>ṣṭ</w:t>
      </w:r>
      <w:r>
        <w:rPr>
          <w:i/>
          <w:iCs/>
        </w:rPr>
        <w:t>i</w:t>
      </w:r>
      <w:r>
        <w:t xml:space="preserve"> secti</w:t>
      </w:r>
      <w:r>
        <w:t xml:space="preserve">on. This </w:t>
      </w:r>
      <w:r>
        <w:rPr>
          <w:i/>
          <w:iCs/>
        </w:rPr>
        <w:t xml:space="preserve">mantra </w:t>
      </w:r>
      <w:r>
        <w:t xml:space="preserve">is used in the rite for Agni </w:t>
      </w:r>
      <w:r>
        <w:rPr>
          <w:i/>
          <w:iCs/>
        </w:rPr>
        <w:t xml:space="preserve">vivici </w:t>
      </w:r>
      <w:r>
        <w:rPr>
          <w:rFonts w:eastAsia="MS Mincho;ＭＳ 明朝" w:cs="Times Ext Roman"/>
          <w:color w:val="000000"/>
          <w:szCs w:val="21"/>
          <w:lang w:eastAsia="hi-IN" w:bidi="en-GB"/>
        </w:rPr>
        <w:t xml:space="preserve">(“the discerner”) </w:t>
      </w:r>
      <w:r>
        <w:t>(cf. TB 3.7.3.5).</w:t>
      </w:r>
    </w:p>
    <w:p w14:paraId="0CCBC2AD" w14:textId="77777777" w:rsidR="00E53EB6" w:rsidRDefault="00E53EB6">
      <w:pPr>
        <w:pStyle w:val="HaupttextohneEinzug"/>
        <w:autoSpaceDE w:val="0"/>
        <w:rPr>
          <w:rFonts w:eastAsia="Arial" w:cs="Times Ext Roman"/>
          <w:sz w:val="22"/>
          <w:szCs w:val="22"/>
          <w:lang w:eastAsia="hi-IN" w:bidi="en-GB"/>
        </w:rPr>
      </w:pPr>
    </w:p>
    <w:p w14:paraId="7FF82B41" w14:textId="77777777" w:rsidR="00E53EB6" w:rsidRDefault="006500F5">
      <w:pPr>
        <w:pStyle w:val="Heading5"/>
        <w:numPr>
          <w:ilvl w:val="4"/>
          <w:numId w:val="2"/>
        </w:numPr>
        <w:tabs>
          <w:tab w:val="left" w:pos="0"/>
        </w:tabs>
      </w:pPr>
      <w:r>
        <w:rPr>
          <w:u w:val="single"/>
        </w:rPr>
        <w:t>TS</w:t>
      </w:r>
      <w:r>
        <w:rPr>
          <w:u w:val="single"/>
        </w:rPr>
        <w:t xml:space="preserve"> 4.6.1.5r</w:t>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p>
    <w:p w14:paraId="6EA05698" w14:textId="77777777" w:rsidR="00E53EB6" w:rsidRDefault="006500F5">
      <w:pPr>
        <w:pStyle w:val="Zitat"/>
        <w:autoSpaceDE w:val="0"/>
        <w:rPr>
          <w:lang w:eastAsia="hi-IN"/>
        </w:rPr>
      </w:pPr>
      <w:r>
        <w:rPr>
          <w:lang w:eastAsia="hi-IN"/>
        </w:rPr>
        <w:t xml:space="preserve">4.6.1.5r </w:t>
      </w:r>
      <w:r>
        <w:rPr>
          <w:i/>
          <w:iCs/>
          <w:lang w:eastAsia="hi-IN"/>
        </w:rPr>
        <w:t>agnís tigména śocí</w:t>
      </w:r>
      <w:r>
        <w:rPr>
          <w:i/>
          <w:iCs/>
          <w:lang w:eastAsia="hi-IN"/>
        </w:rPr>
        <w:t>ṣ</w:t>
      </w:r>
      <w:r>
        <w:rPr>
          <w:i/>
          <w:iCs/>
          <w:lang w:eastAsia="hi-IN"/>
        </w:rPr>
        <w:t>ā yá</w:t>
      </w:r>
      <w:r>
        <w:rPr>
          <w:i/>
          <w:iCs/>
          <w:lang w:eastAsia="hi-IN"/>
        </w:rPr>
        <w:t>ṁ</w:t>
      </w:r>
      <w:r>
        <w:rPr>
          <w:i/>
          <w:iCs/>
          <w:lang w:eastAsia="hi-IN"/>
        </w:rPr>
        <w:t>sad víśva</w:t>
      </w:r>
      <w:r>
        <w:rPr>
          <w:i/>
          <w:iCs/>
          <w:lang w:eastAsia="hi-IN"/>
        </w:rPr>
        <w:t>ṃ</w:t>
      </w:r>
      <w:r>
        <w:rPr>
          <w:i/>
          <w:iCs/>
          <w:lang w:eastAsia="hi-IN"/>
        </w:rPr>
        <w:t xml:space="preserve"> ny àtrí</w:t>
      </w:r>
      <w:r>
        <w:rPr>
          <w:i/>
          <w:iCs/>
          <w:lang w:eastAsia="hi-IN"/>
        </w:rPr>
        <w:t>ṇ</w:t>
      </w:r>
      <w:r>
        <w:rPr>
          <w:i/>
          <w:iCs/>
          <w:lang w:eastAsia="hi-IN"/>
        </w:rPr>
        <w:t>am / agnír no va</w:t>
      </w:r>
      <w:r>
        <w:rPr>
          <w:i/>
          <w:iCs/>
          <w:lang w:eastAsia="hi-IN"/>
        </w:rPr>
        <w:t>ṁ</w:t>
      </w:r>
      <w:r>
        <w:rPr>
          <w:i/>
          <w:iCs/>
          <w:lang w:eastAsia="hi-IN"/>
        </w:rPr>
        <w:t>sate rayím//</w:t>
      </w:r>
    </w:p>
    <w:p w14:paraId="1826FA56" w14:textId="77777777" w:rsidR="00E53EB6" w:rsidRDefault="006500F5">
      <w:pPr>
        <w:pStyle w:val="Zitat"/>
        <w:autoSpaceDE w:val="0"/>
        <w:rPr>
          <w:lang w:eastAsia="hi-IN"/>
        </w:rPr>
      </w:pPr>
      <w:r>
        <w:rPr>
          <w:lang w:eastAsia="hi-IN"/>
        </w:rPr>
        <w:t xml:space="preserve">Agni with the sharpened flame may keep all evils away, may Agni </w:t>
      </w:r>
      <w:r>
        <w:rPr>
          <w:u w:val="single"/>
          <w:lang w:eastAsia="hi-IN"/>
        </w:rPr>
        <w:t>appropriate</w:t>
      </w:r>
      <w:r>
        <w:rPr>
          <w:lang w:eastAsia="hi-IN"/>
        </w:rPr>
        <w:t xml:space="preserve"> for us the richness.</w:t>
      </w:r>
    </w:p>
    <w:p w14:paraId="2A5E651F" w14:textId="77777777" w:rsidR="00E53EB6" w:rsidRDefault="006500F5">
      <w:pPr>
        <w:pStyle w:val="Zitat"/>
        <w:autoSpaceDE w:val="0"/>
        <w:rPr>
          <w:lang w:eastAsia="hi-IN"/>
        </w:rPr>
      </w:pPr>
      <w:r>
        <w:rPr>
          <w:i/>
          <w:iCs/>
          <w:lang w:eastAsia="hi-IN"/>
        </w:rPr>
        <w:t>va</w:t>
      </w:r>
      <w:r>
        <w:rPr>
          <w:i/>
          <w:iCs/>
          <w:lang w:eastAsia="hi-IN"/>
        </w:rPr>
        <w:t>ṁ</w:t>
      </w:r>
      <w:r>
        <w:rPr>
          <w:i/>
          <w:iCs/>
          <w:lang w:eastAsia="hi-IN"/>
        </w:rPr>
        <w:t>sate:</w:t>
      </w:r>
      <w:r>
        <w:rPr>
          <w:lang w:eastAsia="hi-IN"/>
        </w:rPr>
        <w:t xml:space="preserve"> subj. sigmatic aor. 3</w:t>
      </w:r>
      <w:r>
        <w:rPr>
          <w:vertAlign w:val="superscript"/>
          <w:lang w:eastAsia="hi-IN"/>
        </w:rPr>
        <w:t>rd</w:t>
      </w:r>
      <w:r>
        <w:rPr>
          <w:lang w:eastAsia="hi-IN"/>
        </w:rPr>
        <w:t xml:space="preserve"> sing. Ā </w:t>
      </w:r>
    </w:p>
    <w:p w14:paraId="025A32BA" w14:textId="77777777" w:rsidR="00E53EB6" w:rsidRDefault="006500F5">
      <w:pPr>
        <w:pStyle w:val="ZitatmitEinzug"/>
        <w:autoSpaceDE w:val="0"/>
        <w:rPr>
          <w:rFonts w:eastAsia="Arial" w:cs="Times Ext Roman"/>
          <w:szCs w:val="18"/>
          <w:lang w:eastAsia="hi-IN" w:bidi="en-GB"/>
        </w:rPr>
      </w:pPr>
      <w:r>
        <w:rPr>
          <w:rStyle w:val="biblio-authorGEN"/>
          <w:rFonts w:eastAsia="Arial" w:cs="Times Ext Roman"/>
          <w:sz w:val="18"/>
          <w:szCs w:val="15"/>
          <w:lang w:eastAsia="hi-IN" w:bidi="en-GB"/>
        </w:rPr>
        <w:t>Keith</w:t>
      </w:r>
      <w:r>
        <w:rPr>
          <w:rFonts w:eastAsia="Arial" w:cs="Times Ext Roman"/>
          <w:szCs w:val="18"/>
          <w:lang w:eastAsia="hi-IN" w:bidi="en-GB"/>
        </w:rPr>
        <w:t xml:space="preserve"> 1914: 364: “win for us”</w:t>
      </w:r>
    </w:p>
    <w:p w14:paraId="5958C297" w14:textId="77777777" w:rsidR="00E53EB6" w:rsidRDefault="006500F5">
      <w:pPr>
        <w:pStyle w:val="HaupttextnachZitat"/>
        <w:numPr>
          <w:ilvl w:val="2"/>
          <w:numId w:val="2"/>
        </w:numPr>
        <w:tabs>
          <w:tab w:val="left" w:pos="0"/>
        </w:tabs>
      </w:pPr>
      <w:r>
        <w:t>Vedic Web</w:t>
      </w:r>
    </w:p>
    <w:p w14:paraId="3D2DFD77" w14:textId="77777777" w:rsidR="00E53EB6" w:rsidRDefault="006500F5">
      <w:pPr>
        <w:pStyle w:val="HaupttextohneEinzug"/>
      </w:pPr>
      <w:r>
        <w:rPr>
          <w:szCs w:val="21"/>
        </w:rPr>
        <w:t>Mantra: R</w:t>
      </w:r>
      <w:r>
        <w:rPr>
          <w:rFonts w:eastAsia="Arial" w:cs="Devanagari MT;Times New Roman"/>
          <w:szCs w:val="21"/>
          <w:lang w:eastAsia="hi-IN" w:bidi="en-GB"/>
        </w:rPr>
        <w:t>̥</w:t>
      </w:r>
      <w:r>
        <w:rPr>
          <w:szCs w:val="21"/>
        </w:rPr>
        <w:t>V 6.16.28 (</w:t>
      </w:r>
      <w:r>
        <w:rPr>
          <w:i/>
          <w:iCs/>
          <w:szCs w:val="21"/>
        </w:rPr>
        <w:t>yā́sad</w:t>
      </w:r>
      <w:r>
        <w:rPr>
          <w:szCs w:val="21"/>
        </w:rPr>
        <w:t xml:space="preserve"> and </w:t>
      </w:r>
      <w:r>
        <w:rPr>
          <w:i/>
          <w:iCs/>
          <w:szCs w:val="21"/>
        </w:rPr>
        <w:t>vanate -</w:t>
      </w:r>
      <w:r>
        <w:rPr>
          <w:rFonts w:eastAsia="Arial" w:cs="Times Ext Roman"/>
          <w:szCs w:val="21"/>
          <w:lang w:eastAsia="hi-IN" w:bidi="en-GB"/>
        </w:rPr>
        <w:t xml:space="preserve"> subj. root aor. 3</w:t>
      </w:r>
      <w:r>
        <w:rPr>
          <w:rFonts w:eastAsia="Arial" w:cs="Times Ext Roman"/>
          <w:szCs w:val="21"/>
          <w:vertAlign w:val="superscript"/>
          <w:lang w:eastAsia="hi-IN" w:bidi="en-GB"/>
        </w:rPr>
        <w:t>rd</w:t>
      </w:r>
      <w:r>
        <w:rPr>
          <w:rFonts w:eastAsia="Arial" w:cs="Times Ext Roman"/>
          <w:szCs w:val="21"/>
          <w:lang w:eastAsia="hi-IN" w:bidi="en-GB"/>
        </w:rPr>
        <w:t xml:space="preserve"> sing. Ā. </w:t>
      </w:r>
      <w:r>
        <w:rPr>
          <w:rStyle w:val="biblio-authorGEN"/>
          <w:rFonts w:eastAsia="Arial" w:cs="Times Ext Roman"/>
          <w:szCs w:val="21"/>
          <w:lang w:eastAsia="hi-IN" w:bidi="en-GB"/>
        </w:rPr>
        <w:t>Geldner:</w:t>
      </w:r>
      <w:r>
        <w:rPr>
          <w:rFonts w:eastAsia="Arial" w:cs="Times Ext Roman"/>
          <w:szCs w:val="21"/>
          <w:lang w:eastAsia="hi-IN" w:bidi="en-GB"/>
        </w:rPr>
        <w:t xml:space="preserve"> II 111 “soll gewinnen”; </w:t>
      </w:r>
      <w:r>
        <w:rPr>
          <w:rStyle w:val="biblio-authorGEN"/>
          <w:rFonts w:eastAsia="Arial" w:cs="Times Ext Roman"/>
          <w:szCs w:val="21"/>
          <w:lang w:eastAsia="hi-IN" w:bidi="en-GB"/>
        </w:rPr>
        <w:t>Renou</w:t>
      </w:r>
      <w:r>
        <w:rPr>
          <w:rFonts w:eastAsia="Arial" w:cs="Times Ext Roman"/>
          <w:szCs w:val="21"/>
          <w:lang w:eastAsia="hi-IN" w:bidi="en-GB"/>
        </w:rPr>
        <w:t>: XIII 50 “gagne”-)</w:t>
      </w:r>
      <w:r>
        <w:rPr>
          <w:rFonts w:eastAsia="Arial" w:cs="Devanagari MT;Times New Roman"/>
          <w:szCs w:val="21"/>
          <w:lang w:eastAsia="hi-IN" w:bidi="en-GB"/>
        </w:rPr>
        <w:t xml:space="preserve">; </w:t>
      </w:r>
      <w:r>
        <w:rPr>
          <w:szCs w:val="21"/>
        </w:rPr>
        <w:t>MS 2.10.2: 132,16-17; KpS 28.2: 140; VS 17,16 follow the R</w:t>
      </w:r>
      <w:r>
        <w:rPr>
          <w:rFonts w:eastAsia="Arial" w:cs="Devanagari MT;Times New Roman"/>
          <w:szCs w:val="21"/>
          <w:lang w:eastAsia="hi-IN" w:bidi="en-GB"/>
        </w:rPr>
        <w:t>̥</w:t>
      </w:r>
      <w:r>
        <w:rPr>
          <w:szCs w:val="21"/>
        </w:rPr>
        <w:t xml:space="preserve">gvedic version. KS 18.1: </w:t>
      </w:r>
      <w:r>
        <w:rPr>
          <w:szCs w:val="21"/>
        </w:rPr>
        <w:t>265,1-2 reads as the TS.</w:t>
      </w:r>
    </w:p>
    <w:p w14:paraId="28618A36" w14:textId="77777777" w:rsidR="00E53EB6" w:rsidRDefault="006500F5">
      <w:pPr>
        <w:pStyle w:val="HaupttextohneEinzug"/>
        <w:rPr>
          <w:szCs w:val="21"/>
        </w:rPr>
      </w:pPr>
      <w:r>
        <w:rPr>
          <w:szCs w:val="21"/>
        </w:rPr>
        <w:t>Prose: TS 5.4.4.1-5.3.</w:t>
      </w:r>
    </w:p>
    <w:p w14:paraId="40FFF423" w14:textId="77777777" w:rsidR="00E53EB6" w:rsidRDefault="00E53EB6">
      <w:pPr>
        <w:pStyle w:val="HaupttextohneEinzug"/>
        <w:autoSpaceDE w:val="0"/>
        <w:rPr>
          <w:rFonts w:eastAsia="Arial" w:cs="Times Ext Roman"/>
          <w:sz w:val="22"/>
          <w:szCs w:val="22"/>
          <w:lang w:eastAsia="hi-IN" w:bidi="en-GB"/>
        </w:rPr>
      </w:pPr>
    </w:p>
    <w:p w14:paraId="3645B73C" w14:textId="77777777" w:rsidR="00E53EB6" w:rsidRDefault="006500F5">
      <w:pPr>
        <w:pStyle w:val="HaupttextohneEinzug"/>
      </w:pPr>
      <w:r>
        <w:t>Rite</w:t>
      </w:r>
    </w:p>
    <w:p w14:paraId="2B934E71" w14:textId="77777777" w:rsidR="00E53EB6" w:rsidRDefault="006500F5">
      <w:pPr>
        <w:pStyle w:val="HaupttextohneEinzug"/>
      </w:pPr>
      <w:r>
        <w:t xml:space="preserve">Agnicayana. Preparation of the fire, </w:t>
      </w:r>
      <w:r>
        <w:rPr>
          <w:i/>
          <w:iCs/>
        </w:rPr>
        <w:t>mantra</w:t>
      </w:r>
      <w:r>
        <w:t xml:space="preserve">s for the moistening of the fire and dragging of a frog, a reed and </w:t>
      </w:r>
      <w:r>
        <w:rPr>
          <w:i/>
          <w:iCs/>
        </w:rPr>
        <w:t xml:space="preserve">avakā </w:t>
      </w:r>
      <w:r>
        <w:t>(herbal plant) over the fire (Pari</w:t>
      </w:r>
      <w:r>
        <w:t>ṣ</w:t>
      </w:r>
      <w:r>
        <w:t>ecana “sprinkling” and Vikar</w:t>
      </w:r>
      <w:r>
        <w:t>ṣ</w:t>
      </w:r>
      <w:r>
        <w:t>a</w:t>
      </w:r>
      <w:r>
        <w:t>ṇ</w:t>
      </w:r>
      <w:r>
        <w:t>a “dragging asunder</w:t>
      </w:r>
      <w:r>
        <w:t>” of the fire). The verse r is namely to accompany an oblation to Agni.</w:t>
      </w:r>
    </w:p>
    <w:p w14:paraId="4D351021" w14:textId="77777777" w:rsidR="00E53EB6" w:rsidRDefault="00E53EB6">
      <w:pPr>
        <w:pStyle w:val="HaupttextohneEinzug"/>
        <w:autoSpaceDE w:val="0"/>
        <w:rPr>
          <w:rFonts w:eastAsia="Arial" w:cs="Times Ext Roman"/>
          <w:sz w:val="22"/>
          <w:szCs w:val="22"/>
          <w:lang w:eastAsia="hi-IN" w:bidi="en-GB"/>
        </w:rPr>
      </w:pPr>
    </w:p>
    <w:p w14:paraId="07B89BFB" w14:textId="77777777" w:rsidR="00E53EB6" w:rsidRDefault="006500F5">
      <w:pPr>
        <w:pStyle w:val="Heading5"/>
        <w:numPr>
          <w:ilvl w:val="4"/>
          <w:numId w:val="2"/>
        </w:numPr>
        <w:tabs>
          <w:tab w:val="left" w:pos="0"/>
        </w:tabs>
      </w:pPr>
      <w:r>
        <w:rPr>
          <w:u w:val="single"/>
        </w:rPr>
        <w:t>TS 4.6.9.4l</w:t>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p>
    <w:p w14:paraId="5044A56E" w14:textId="77777777" w:rsidR="00E53EB6" w:rsidRDefault="006500F5">
      <w:pPr>
        <w:pStyle w:val="Zitat"/>
        <w:autoSpaceDE w:val="0"/>
        <w:rPr>
          <w:lang w:eastAsia="hi-IN"/>
        </w:rPr>
      </w:pPr>
      <w:r>
        <w:rPr>
          <w:lang w:eastAsia="hi-IN"/>
        </w:rPr>
        <w:t xml:space="preserve">4.6.9.4l </w:t>
      </w:r>
      <w:r>
        <w:rPr>
          <w:i/>
          <w:iCs/>
          <w:lang w:eastAsia="hi-IN"/>
        </w:rPr>
        <w:t>sugávya</w:t>
      </w:r>
      <w:r>
        <w:rPr>
          <w:i/>
          <w:iCs/>
          <w:lang w:eastAsia="hi-IN"/>
        </w:rPr>
        <w:t>ṃ</w:t>
      </w:r>
      <w:r>
        <w:rPr>
          <w:i/>
          <w:iCs/>
          <w:lang w:eastAsia="hi-IN"/>
        </w:rPr>
        <w:t xml:space="preserve"> no vājī́ sváśviyam pu</w:t>
      </w:r>
      <w:r>
        <w:rPr>
          <w:i/>
          <w:iCs/>
          <w:lang w:eastAsia="hi-IN"/>
        </w:rPr>
        <w:t>ṁ</w:t>
      </w:r>
      <w:r>
        <w:rPr>
          <w:i/>
          <w:iCs/>
          <w:lang w:eastAsia="hi-IN"/>
        </w:rPr>
        <w:t>sá</w:t>
      </w:r>
      <w:r>
        <w:rPr>
          <w:i/>
          <w:iCs/>
          <w:lang w:eastAsia="hi-IN"/>
        </w:rPr>
        <w:t>ḥ</w:t>
      </w:r>
      <w:r>
        <w:rPr>
          <w:i/>
          <w:iCs/>
          <w:lang w:eastAsia="hi-IN"/>
        </w:rPr>
        <w:t xml:space="preserve"> putrā́</w:t>
      </w:r>
      <w:r>
        <w:rPr>
          <w:i/>
          <w:iCs/>
          <w:lang w:eastAsia="hi-IN"/>
        </w:rPr>
        <w:t>ṁ</w:t>
      </w:r>
      <w:r>
        <w:rPr>
          <w:i/>
          <w:iCs/>
          <w:lang w:eastAsia="hi-IN"/>
        </w:rPr>
        <w:t xml:space="preserve"> utá viśvāpú</w:t>
      </w:r>
      <w:r>
        <w:rPr>
          <w:i/>
          <w:iCs/>
          <w:lang w:eastAsia="hi-IN"/>
        </w:rPr>
        <w:t>ṣ</w:t>
      </w:r>
      <w:r>
        <w:rPr>
          <w:i/>
          <w:iCs/>
          <w:lang w:eastAsia="hi-IN"/>
        </w:rPr>
        <w:t>a</w:t>
      </w:r>
      <w:r>
        <w:rPr>
          <w:i/>
          <w:iCs/>
          <w:lang w:eastAsia="hi-IN"/>
        </w:rPr>
        <w:t>ṁ</w:t>
      </w:r>
      <w:r>
        <w:rPr>
          <w:i/>
          <w:iCs/>
          <w:lang w:eastAsia="hi-IN"/>
        </w:rPr>
        <w:t xml:space="preserve"> rayím / anāgāstvá</w:t>
      </w:r>
      <w:r>
        <w:rPr>
          <w:i/>
          <w:iCs/>
          <w:lang w:eastAsia="hi-IN"/>
        </w:rPr>
        <w:t>ṃ</w:t>
      </w:r>
      <w:r>
        <w:rPr>
          <w:i/>
          <w:iCs/>
          <w:lang w:eastAsia="hi-IN"/>
        </w:rPr>
        <w:t xml:space="preserve"> no áditi</w:t>
      </w:r>
      <w:r>
        <w:rPr>
          <w:i/>
          <w:iCs/>
          <w:lang w:eastAsia="hi-IN"/>
        </w:rPr>
        <w:t>ḥ</w:t>
      </w:r>
      <w:r>
        <w:rPr>
          <w:i/>
          <w:iCs/>
          <w:lang w:eastAsia="hi-IN"/>
        </w:rPr>
        <w:t xml:space="preserve"> kr</w:t>
      </w:r>
      <w:r>
        <w:rPr>
          <w:rFonts w:cs="Devanagari MT;Times New Roman"/>
          <w:lang w:eastAsia="hi-IN"/>
        </w:rPr>
        <w:t>̥</w:t>
      </w:r>
      <w:r>
        <w:rPr>
          <w:i/>
          <w:iCs/>
          <w:lang w:eastAsia="hi-IN"/>
        </w:rPr>
        <w:t>ṇ</w:t>
      </w:r>
      <w:r>
        <w:rPr>
          <w:i/>
          <w:iCs/>
          <w:lang w:eastAsia="hi-IN"/>
        </w:rPr>
        <w:t>otu k</w:t>
      </w:r>
      <w:r>
        <w:rPr>
          <w:i/>
          <w:iCs/>
          <w:lang w:eastAsia="hi-IN"/>
        </w:rPr>
        <w:t>ṣ</w:t>
      </w:r>
      <w:r>
        <w:rPr>
          <w:i/>
          <w:iCs/>
          <w:lang w:eastAsia="hi-IN"/>
        </w:rPr>
        <w:t>atrá</w:t>
      </w:r>
      <w:r>
        <w:rPr>
          <w:i/>
          <w:iCs/>
          <w:lang w:eastAsia="hi-IN"/>
        </w:rPr>
        <w:t>ṃ</w:t>
      </w:r>
      <w:r>
        <w:rPr>
          <w:i/>
          <w:iCs/>
          <w:lang w:eastAsia="hi-IN"/>
        </w:rPr>
        <w:t xml:space="preserve"> no áśvo vanatā</w:t>
      </w:r>
      <w:r>
        <w:rPr>
          <w:i/>
          <w:iCs/>
          <w:lang w:eastAsia="hi-IN"/>
        </w:rPr>
        <w:t>ṁ</w:t>
      </w:r>
      <w:r>
        <w:rPr>
          <w:i/>
          <w:iCs/>
          <w:lang w:eastAsia="hi-IN"/>
        </w:rPr>
        <w:t xml:space="preserve"> haví</w:t>
      </w:r>
      <w:r>
        <w:rPr>
          <w:i/>
          <w:iCs/>
          <w:lang w:eastAsia="hi-IN"/>
        </w:rPr>
        <w:t>ṣ</w:t>
      </w:r>
      <w:r>
        <w:rPr>
          <w:i/>
          <w:iCs/>
          <w:lang w:eastAsia="hi-IN"/>
        </w:rPr>
        <w:t>mān //</w:t>
      </w:r>
    </w:p>
    <w:p w14:paraId="748B3E1B" w14:textId="77777777" w:rsidR="00E53EB6" w:rsidRDefault="006500F5">
      <w:pPr>
        <w:pStyle w:val="Zitat"/>
        <w:autoSpaceDE w:val="0"/>
        <w:rPr>
          <w:rFonts w:ascii="Times Ext Roman" w:hAnsi="Times Ext Roman"/>
          <w:lang w:eastAsia="hi-IN"/>
        </w:rPr>
      </w:pPr>
      <w:r>
        <w:rPr>
          <w:lang w:eastAsia="hi-IN"/>
        </w:rPr>
        <w:t xml:space="preserve">Wealth of cattle </w:t>
      </w:r>
      <w:r>
        <w:rPr>
          <w:lang w:eastAsia="hi-IN"/>
        </w:rPr>
        <w:t>may the steed / price-winner  bring us, wealth of horses, sons and all sustaining riches; may Aditi make us free from sin</w:t>
      </w:r>
      <w:r>
        <w:rPr>
          <w:rStyle w:val="FootnoteAnchor"/>
          <w:rFonts w:cs="Devanagari MT;Times New Roman"/>
          <w:lang w:eastAsia="hi-IN"/>
        </w:rPr>
        <w:footnoteReference w:id="134"/>
      </w:r>
      <w:r>
        <w:rPr>
          <w:lang w:eastAsia="hi-IN"/>
        </w:rPr>
        <w:t xml:space="preserve">, may the horse endowed with oblations </w:t>
      </w:r>
      <w:r>
        <w:rPr>
          <w:u w:val="single"/>
          <w:lang w:eastAsia="hi-IN"/>
        </w:rPr>
        <w:t>appropriate for us</w:t>
      </w:r>
      <w:r>
        <w:rPr>
          <w:lang w:eastAsia="hi-IN"/>
        </w:rPr>
        <w:t xml:space="preserve"> the lordship.</w:t>
      </w:r>
    </w:p>
    <w:p w14:paraId="1CDA8726" w14:textId="77777777" w:rsidR="00E53EB6" w:rsidRDefault="006500F5">
      <w:pPr>
        <w:pStyle w:val="Zitat"/>
        <w:autoSpaceDE w:val="0"/>
        <w:rPr>
          <w:lang w:eastAsia="hi-IN"/>
        </w:rPr>
      </w:pPr>
      <w:r>
        <w:rPr>
          <w:i/>
          <w:iCs/>
          <w:lang w:eastAsia="hi-IN"/>
        </w:rPr>
        <w:t>vanatā</w:t>
      </w:r>
      <w:r>
        <w:rPr>
          <w:i/>
          <w:iCs/>
          <w:lang w:eastAsia="hi-IN"/>
        </w:rPr>
        <w:t>ṃ</w:t>
      </w:r>
      <w:r>
        <w:rPr>
          <w:i/>
          <w:iCs/>
          <w:lang w:eastAsia="hi-IN"/>
        </w:rPr>
        <w:t>:</w:t>
      </w:r>
      <w:r>
        <w:rPr>
          <w:lang w:eastAsia="hi-IN"/>
        </w:rPr>
        <w:t xml:space="preserve"> impv. pres. 3</w:t>
      </w:r>
      <w:r>
        <w:rPr>
          <w:vertAlign w:val="superscript"/>
          <w:lang w:eastAsia="hi-IN"/>
        </w:rPr>
        <w:t>rd</w:t>
      </w:r>
      <w:r>
        <w:rPr>
          <w:lang w:eastAsia="hi-IN"/>
        </w:rPr>
        <w:t xml:space="preserve"> sing. Ā I-VI cl.</w:t>
      </w:r>
    </w:p>
    <w:p w14:paraId="067F81AB" w14:textId="77777777" w:rsidR="00E53EB6" w:rsidRDefault="006500F5">
      <w:pPr>
        <w:pStyle w:val="ZitatmitEinzug"/>
        <w:autoSpaceDE w:val="0"/>
        <w:rPr>
          <w:rFonts w:eastAsia="Arial" w:cs="Times Ext Roman"/>
          <w:szCs w:val="18"/>
          <w:lang w:eastAsia="hi-IN" w:bidi="en-GB"/>
        </w:rPr>
      </w:pPr>
      <w:r>
        <w:rPr>
          <w:rStyle w:val="biblio-authorGEN"/>
          <w:rFonts w:eastAsia="Arial" w:cs="Times Ext Roman"/>
          <w:sz w:val="18"/>
          <w:szCs w:val="15"/>
          <w:lang w:eastAsia="hi-IN" w:bidi="en-GB"/>
        </w:rPr>
        <w:t>Keith</w:t>
      </w:r>
      <w:r>
        <w:rPr>
          <w:rFonts w:eastAsia="Arial" w:cs="Times Ext Roman"/>
          <w:szCs w:val="18"/>
          <w:lang w:eastAsia="hi-IN" w:bidi="en-GB"/>
        </w:rPr>
        <w:t xml:space="preserve"> 1914: 380 “ma</w:t>
      </w:r>
      <w:r>
        <w:rPr>
          <w:rFonts w:eastAsia="Arial" w:cs="Times Ext Roman"/>
          <w:szCs w:val="18"/>
          <w:lang w:eastAsia="hi-IN" w:bidi="en-GB"/>
        </w:rPr>
        <w:t>y win”</w:t>
      </w:r>
    </w:p>
    <w:p w14:paraId="649E2DD3" w14:textId="77777777" w:rsidR="00E53EB6" w:rsidRPr="00B80C6B" w:rsidRDefault="006500F5">
      <w:pPr>
        <w:pStyle w:val="ZitatmitEinzug"/>
        <w:autoSpaceDE w:val="0"/>
        <w:rPr>
          <w:rFonts w:eastAsia="Arial" w:cs="Times Ext Roman"/>
          <w:szCs w:val="18"/>
          <w:lang w:val="de-DE" w:eastAsia="hi-IN" w:bidi="en-GB"/>
        </w:rPr>
      </w:pPr>
      <w:r w:rsidRPr="00B80C6B">
        <w:rPr>
          <w:rStyle w:val="biblio-authorGEN"/>
          <w:rFonts w:eastAsia="Arial" w:cs="Times Ext Roman"/>
          <w:sz w:val="18"/>
          <w:szCs w:val="15"/>
          <w:lang w:val="de-DE" w:eastAsia="hi-IN" w:bidi="en-GB"/>
        </w:rPr>
        <w:t>Geldner</w:t>
      </w:r>
      <w:r w:rsidRPr="00B80C6B">
        <w:rPr>
          <w:rFonts w:eastAsia="Arial" w:cs="Times Ext Roman"/>
          <w:szCs w:val="18"/>
          <w:lang w:val="de-DE" w:eastAsia="hi-IN" w:bidi="en-GB"/>
        </w:rPr>
        <w:t>: I 225 “soll erringen”</w:t>
      </w:r>
    </w:p>
    <w:p w14:paraId="2350D40A" w14:textId="77777777" w:rsidR="00E53EB6" w:rsidRPr="00B80C6B" w:rsidRDefault="006500F5">
      <w:pPr>
        <w:pStyle w:val="ZitatmitEinzug"/>
        <w:autoSpaceDE w:val="0"/>
        <w:rPr>
          <w:rFonts w:eastAsia="Arial" w:cs="Times Ext Roman"/>
          <w:szCs w:val="18"/>
          <w:lang w:val="de-DE" w:eastAsia="hi-IN" w:bidi="en-GB"/>
        </w:rPr>
      </w:pPr>
      <w:r w:rsidRPr="00B80C6B">
        <w:rPr>
          <w:rStyle w:val="biblio-authorGEN"/>
          <w:rFonts w:eastAsia="Arial" w:cs="Times Ext Roman"/>
          <w:sz w:val="18"/>
          <w:szCs w:val="18"/>
          <w:lang w:val="de-DE" w:eastAsia="hi-IN" w:bidi="en-GB"/>
        </w:rPr>
        <w:t xml:space="preserve">O´Flaherty </w:t>
      </w:r>
      <w:r w:rsidRPr="00B80C6B">
        <w:rPr>
          <w:rFonts w:eastAsia="Arial" w:cs="Times Ext Roman"/>
          <w:szCs w:val="18"/>
          <w:lang w:val="de-DE" w:eastAsia="hi-IN" w:bidi="en-GB"/>
        </w:rPr>
        <w:t>1984: 92 “achieve”</w:t>
      </w:r>
    </w:p>
    <w:p w14:paraId="6EE35C0C" w14:textId="77777777" w:rsidR="00E53EB6" w:rsidRPr="00B80C6B" w:rsidRDefault="006500F5">
      <w:pPr>
        <w:pStyle w:val="ZitatmitEinzug"/>
        <w:autoSpaceDE w:val="0"/>
        <w:rPr>
          <w:rFonts w:eastAsia="Arial" w:cs="Times Ext Roman"/>
          <w:szCs w:val="18"/>
          <w:lang w:val="de-DE" w:eastAsia="hi-IN" w:bidi="en-GB"/>
        </w:rPr>
      </w:pPr>
      <w:r w:rsidRPr="00B80C6B">
        <w:rPr>
          <w:rStyle w:val="biblio-authorGEN"/>
          <w:rFonts w:eastAsia="Arial" w:cs="Times Ext Roman"/>
          <w:sz w:val="18"/>
          <w:szCs w:val="15"/>
          <w:lang w:val="de-DE" w:eastAsia="hi-IN" w:bidi="en-GB"/>
        </w:rPr>
        <w:t xml:space="preserve">Witzel-Gotō </w:t>
      </w:r>
      <w:r w:rsidRPr="00B80C6B">
        <w:rPr>
          <w:rFonts w:eastAsia="Arial" w:cs="Times Ext Roman"/>
          <w:szCs w:val="18"/>
          <w:lang w:val="de-DE" w:eastAsia="hi-IN" w:bidi="en-GB"/>
        </w:rPr>
        <w:t>2007: 292 “soll erringen”</w:t>
      </w:r>
    </w:p>
    <w:p w14:paraId="234F1F17" w14:textId="77777777" w:rsidR="00E53EB6" w:rsidRDefault="006500F5">
      <w:pPr>
        <w:pStyle w:val="HaupttextnachZitat"/>
        <w:numPr>
          <w:ilvl w:val="2"/>
          <w:numId w:val="2"/>
        </w:numPr>
        <w:tabs>
          <w:tab w:val="left" w:pos="0"/>
        </w:tabs>
      </w:pPr>
      <w:r>
        <w:t>Vedic Web</w:t>
      </w:r>
    </w:p>
    <w:p w14:paraId="2D686A08" w14:textId="77777777" w:rsidR="00E53EB6" w:rsidRDefault="006500F5">
      <w:pPr>
        <w:pStyle w:val="HaupttextohneEinzug"/>
      </w:pPr>
      <w:r w:rsidRPr="00B80C6B">
        <w:rPr>
          <w:lang w:val="it-IT"/>
        </w:rPr>
        <w:t xml:space="preserve">Mantra: </w:t>
      </w:r>
      <w:r w:rsidRPr="00B80C6B">
        <w:rPr>
          <w:szCs w:val="21"/>
          <w:lang w:val="it-IT"/>
        </w:rPr>
        <w:t>R</w:t>
      </w:r>
      <w:r w:rsidRPr="00B80C6B">
        <w:rPr>
          <w:rFonts w:eastAsia="Arial" w:cs="Devanagari MT;Times New Roman"/>
          <w:szCs w:val="21"/>
          <w:lang w:val="it-IT" w:eastAsia="hi-IN" w:bidi="en-GB"/>
        </w:rPr>
        <w:t>̥</w:t>
      </w:r>
      <w:r w:rsidRPr="00B80C6B">
        <w:rPr>
          <w:szCs w:val="21"/>
          <w:lang w:val="it-IT"/>
        </w:rPr>
        <w:t>V</w:t>
      </w:r>
      <w:r w:rsidRPr="00B80C6B">
        <w:rPr>
          <w:lang w:val="it-IT"/>
        </w:rPr>
        <w:t xml:space="preserve"> 1.162.22; VS 25.45; </w:t>
      </w:r>
      <w:r w:rsidRPr="00B80C6B">
        <w:rPr>
          <w:lang w:val="it-IT"/>
        </w:rPr>
        <w:t xml:space="preserve">KS Aśvamedha </w:t>
      </w:r>
      <w:r w:rsidRPr="00B80C6B">
        <w:rPr>
          <w:i/>
          <w:iCs/>
          <w:lang w:val="it-IT"/>
        </w:rPr>
        <w:t>grantha</w:t>
      </w:r>
      <w:r w:rsidRPr="00B80C6B">
        <w:rPr>
          <w:lang w:val="it-IT"/>
        </w:rPr>
        <w:t xml:space="preserve"> 6.5: III 176,2-3 (</w:t>
      </w:r>
      <w:r w:rsidRPr="00B80C6B">
        <w:rPr>
          <w:i/>
          <w:iCs/>
          <w:lang w:val="it-IT"/>
        </w:rPr>
        <w:t xml:space="preserve">vanate </w:t>
      </w:r>
      <w:r w:rsidRPr="00B80C6B">
        <w:rPr>
          <w:lang w:val="it-IT"/>
        </w:rPr>
        <w:t xml:space="preserve">subj.  </w:t>
      </w:r>
      <w:r>
        <w:t>root aor. 3</w:t>
      </w:r>
      <w:r>
        <w:rPr>
          <w:vertAlign w:val="superscript"/>
        </w:rPr>
        <w:t>rd</w:t>
      </w:r>
      <w:r>
        <w:t xml:space="preserve"> sing. Ā)</w:t>
      </w:r>
      <w:r>
        <w:t>.</w:t>
      </w:r>
    </w:p>
    <w:p w14:paraId="19B882FC" w14:textId="77777777" w:rsidR="00E53EB6" w:rsidRDefault="00E53EB6">
      <w:pPr>
        <w:pStyle w:val="HaupttextohneEinzug"/>
      </w:pPr>
    </w:p>
    <w:p w14:paraId="5685BB5D" w14:textId="77777777" w:rsidR="00E53EB6" w:rsidRDefault="006500F5">
      <w:pPr>
        <w:pStyle w:val="HaupttextohneEinzug"/>
      </w:pPr>
      <w:r>
        <w:t>Rite</w:t>
      </w:r>
    </w:p>
    <w:p w14:paraId="6371B301" w14:textId="77777777" w:rsidR="00E53EB6" w:rsidRDefault="006500F5">
      <w:pPr>
        <w:pStyle w:val="HaupttextohneEinzug"/>
      </w:pPr>
      <w:r>
        <w:t xml:space="preserve">Aśvamedha. The horse sacrifice occupies a special place in the TS which gives little more than the </w:t>
      </w:r>
      <w:r>
        <w:rPr>
          <w:i/>
          <w:iCs/>
        </w:rPr>
        <w:t>mantra</w:t>
      </w:r>
      <w:r>
        <w:t>s. The VS deals with it in the later books, 23-25, and the ŚB in the book 13</w:t>
      </w:r>
      <w:r>
        <w:rPr>
          <w:position w:val="6"/>
          <w:sz w:val="12"/>
        </w:rPr>
        <w:t>th</w:t>
      </w:r>
      <w:r>
        <w:t xml:space="preserve">. The two hymns clearly related to this sacrifice are </w:t>
      </w:r>
      <w:r>
        <w:rPr>
          <w:szCs w:val="21"/>
        </w:rPr>
        <w:t>R</w:t>
      </w:r>
      <w:r>
        <w:rPr>
          <w:rFonts w:eastAsia="Arial" w:cs="Devanagari MT;Times New Roman"/>
          <w:szCs w:val="21"/>
          <w:lang w:eastAsia="hi-IN" w:bidi="en-GB"/>
        </w:rPr>
        <w:t>̥</w:t>
      </w:r>
      <w:r>
        <w:rPr>
          <w:szCs w:val="21"/>
        </w:rPr>
        <w:t>V</w:t>
      </w:r>
      <w:r>
        <w:t xml:space="preserve"> 1.162 and 1.163</w:t>
      </w:r>
      <w:r>
        <w:t xml:space="preserve"> (also used </w:t>
      </w:r>
      <w:r>
        <w:rPr>
          <w:szCs w:val="21"/>
        </w:rPr>
        <w:t>R</w:t>
      </w:r>
      <w:r>
        <w:rPr>
          <w:rFonts w:eastAsia="Arial" w:cs="Devanagari MT;Times New Roman"/>
          <w:szCs w:val="21"/>
          <w:lang w:eastAsia="hi-IN" w:bidi="en-GB"/>
        </w:rPr>
        <w:t>̥</w:t>
      </w:r>
      <w:r>
        <w:rPr>
          <w:szCs w:val="21"/>
        </w:rPr>
        <w:t>V</w:t>
      </w:r>
      <w:r>
        <w:t xml:space="preserve"> 6.75 and 6.47). Cf. Keith 1914: 132 ss. </w:t>
      </w:r>
    </w:p>
    <w:p w14:paraId="1BED0D80" w14:textId="77777777" w:rsidR="00E53EB6" w:rsidRDefault="006500F5">
      <w:pPr>
        <w:pStyle w:val="HaupttextohneEinzug"/>
      </w:pPr>
      <w:r>
        <w:t>This mantra is a praise for the steed near to be slaughte</w:t>
      </w:r>
      <w:r>
        <w:t>red.</w:t>
      </w:r>
    </w:p>
    <w:p w14:paraId="702B9CB2" w14:textId="77777777" w:rsidR="00E53EB6" w:rsidRDefault="00E53EB6">
      <w:pPr>
        <w:pStyle w:val="HaupttextohneEinzug"/>
        <w:autoSpaceDE w:val="0"/>
        <w:rPr>
          <w:rFonts w:eastAsia="Arial" w:cs="Devanagari MT;Times New Roman"/>
          <w:sz w:val="22"/>
          <w:szCs w:val="22"/>
          <w:lang w:eastAsia="hi-IN" w:bidi="en-GB"/>
        </w:rPr>
      </w:pPr>
    </w:p>
    <w:p w14:paraId="54275784" w14:textId="77777777" w:rsidR="00E53EB6" w:rsidRDefault="006500F5">
      <w:pPr>
        <w:pStyle w:val="Heading5"/>
        <w:numPr>
          <w:ilvl w:val="4"/>
          <w:numId w:val="2"/>
        </w:numPr>
        <w:tabs>
          <w:tab w:val="left" w:pos="0"/>
        </w:tabs>
      </w:pPr>
      <w:r>
        <w:rPr>
          <w:u w:val="single"/>
        </w:rPr>
        <w:t>TS 4.7.14.1c-2c</w:t>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p>
    <w:p w14:paraId="045550BA" w14:textId="77777777" w:rsidR="00E53EB6" w:rsidRDefault="006500F5">
      <w:pPr>
        <w:pStyle w:val="Zitat"/>
        <w:autoSpaceDE w:val="0"/>
        <w:rPr>
          <w:lang w:eastAsia="hi-IN"/>
        </w:rPr>
      </w:pPr>
      <w:r>
        <w:rPr>
          <w:lang w:eastAsia="hi-IN"/>
        </w:rPr>
        <w:t xml:space="preserve">4.7.14.1c </w:t>
      </w:r>
      <w:r>
        <w:rPr>
          <w:i/>
          <w:iCs/>
          <w:lang w:eastAsia="hi-IN"/>
        </w:rPr>
        <w:t>máyi devā́ drávi</w:t>
      </w:r>
      <w:r>
        <w:rPr>
          <w:i/>
          <w:iCs/>
          <w:lang w:eastAsia="hi-IN"/>
        </w:rPr>
        <w:t>ṇ</w:t>
      </w:r>
      <w:r>
        <w:rPr>
          <w:i/>
          <w:iCs/>
          <w:lang w:eastAsia="hi-IN"/>
        </w:rPr>
        <w:t>am ā́ yajantām máyy āśī́r astu máyi deváhūti</w:t>
      </w:r>
      <w:r>
        <w:rPr>
          <w:i/>
          <w:iCs/>
          <w:lang w:eastAsia="hi-IN"/>
        </w:rPr>
        <w:t>ḥ</w:t>
      </w:r>
      <w:r>
        <w:rPr>
          <w:i/>
          <w:iCs/>
          <w:lang w:eastAsia="hi-IN"/>
        </w:rPr>
        <w:t xml:space="preserve"> / dáivyā hótārā vaní</w:t>
      </w:r>
      <w:r>
        <w:rPr>
          <w:i/>
          <w:iCs/>
          <w:lang w:eastAsia="hi-IN"/>
        </w:rPr>
        <w:t>ṣ</w:t>
      </w:r>
      <w:r>
        <w:rPr>
          <w:i/>
          <w:iCs/>
          <w:lang w:eastAsia="hi-IN"/>
        </w:rPr>
        <w:t>anta //</w:t>
      </w:r>
    </w:p>
    <w:p w14:paraId="5806A704" w14:textId="77777777" w:rsidR="00E53EB6" w:rsidRDefault="006500F5">
      <w:pPr>
        <w:pStyle w:val="ZitatnachZitat"/>
        <w:autoSpaceDE w:val="0"/>
        <w:rPr>
          <w:rFonts w:eastAsia="Arial" w:cs="Times Ext Roman"/>
          <w:szCs w:val="18"/>
          <w:lang w:eastAsia="hi-IN" w:bidi="en-GB"/>
        </w:rPr>
      </w:pPr>
      <w:r>
        <w:rPr>
          <w:rFonts w:eastAsia="Arial" w:cs="Times Ext Roman"/>
          <w:szCs w:val="18"/>
          <w:lang w:eastAsia="hi-IN" w:bidi="en-GB"/>
        </w:rPr>
        <w:t xml:space="preserve">4.7.14.2c </w:t>
      </w:r>
      <w:r>
        <w:rPr>
          <w:rFonts w:eastAsia="Arial" w:cs="Times Ext Roman"/>
          <w:i/>
          <w:iCs/>
          <w:szCs w:val="18"/>
          <w:lang w:eastAsia="hi-IN" w:bidi="en-GB"/>
        </w:rPr>
        <w:t>pū́rvéri</w:t>
      </w:r>
      <w:r>
        <w:rPr>
          <w:rFonts w:eastAsia="Arial" w:cs="Times Ext Roman"/>
          <w:i/>
          <w:iCs/>
          <w:szCs w:val="18"/>
          <w:lang w:eastAsia="hi-IN" w:bidi="en-GB"/>
        </w:rPr>
        <w:t>ṣṭ</w:t>
      </w:r>
      <w:r>
        <w:rPr>
          <w:rFonts w:eastAsia="Arial" w:cs="Times Ext Roman"/>
          <w:i/>
          <w:iCs/>
          <w:szCs w:val="18"/>
          <w:lang w:eastAsia="hi-IN" w:bidi="en-GB"/>
        </w:rPr>
        <w:t>ā</w:t>
      </w:r>
      <w:r>
        <w:rPr>
          <w:rFonts w:eastAsia="Arial" w:cs="Times Ext Roman"/>
          <w:i/>
          <w:iCs/>
          <w:szCs w:val="18"/>
          <w:lang w:eastAsia="hi-IN" w:bidi="en-GB"/>
        </w:rPr>
        <w:t>ḥ</w:t>
      </w:r>
      <w:r>
        <w:rPr>
          <w:rFonts w:eastAsia="Arial" w:cs="Times Ext Roman"/>
          <w:i/>
          <w:iCs/>
          <w:szCs w:val="18"/>
          <w:lang w:eastAsia="hi-IN" w:bidi="en-GB"/>
        </w:rPr>
        <w:t xml:space="preserve"> syāma tanúvā suvī́rā</w:t>
      </w:r>
      <w:r>
        <w:rPr>
          <w:rFonts w:eastAsia="Arial" w:cs="Times Ext Roman"/>
          <w:i/>
          <w:iCs/>
          <w:szCs w:val="18"/>
          <w:lang w:eastAsia="hi-IN" w:bidi="en-GB"/>
        </w:rPr>
        <w:t>ḥ</w:t>
      </w:r>
      <w:r>
        <w:rPr>
          <w:rFonts w:eastAsia="Arial" w:cs="Times Ext Roman"/>
          <w:i/>
          <w:iCs/>
          <w:szCs w:val="18"/>
          <w:lang w:eastAsia="hi-IN" w:bidi="en-GB"/>
        </w:rPr>
        <w:t xml:space="preserve"> //</w:t>
      </w:r>
    </w:p>
    <w:p w14:paraId="12422E2E" w14:textId="77777777" w:rsidR="00E53EB6" w:rsidRDefault="006500F5">
      <w:pPr>
        <w:pStyle w:val="Zitat"/>
        <w:autoSpaceDE w:val="0"/>
        <w:rPr>
          <w:rFonts w:ascii="Times Ext Roman" w:hAnsi="Times Ext Roman"/>
          <w:lang w:eastAsia="hi-IN"/>
        </w:rPr>
      </w:pPr>
      <w:r>
        <w:rPr>
          <w:lang w:eastAsia="hi-IN"/>
        </w:rPr>
        <w:t>May the gods bestow on me through sacrifice movable goods, may the prayer</w:t>
      </w:r>
      <w:r>
        <w:rPr>
          <w:rStyle w:val="FootnoteAnchor"/>
          <w:rFonts w:cs="Devanagari MT;Times New Roman"/>
          <w:lang w:eastAsia="hi-IN"/>
        </w:rPr>
        <w:footnoteReference w:id="135"/>
      </w:r>
      <w:r>
        <w:rPr>
          <w:lang w:eastAsia="hi-IN"/>
        </w:rPr>
        <w:t xml:space="preserve"> be in me, may be in me the divine invocation; may the two former divine </w:t>
      </w:r>
      <w:r>
        <w:rPr>
          <w:i/>
          <w:iCs/>
          <w:lang w:eastAsia="hi-IN"/>
        </w:rPr>
        <w:t>hotr</w:t>
      </w:r>
      <w:r>
        <w:rPr>
          <w:rFonts w:cs="Devanagari MT;Times New Roman"/>
          <w:i/>
          <w:iCs/>
          <w:lang w:eastAsia="hi-IN"/>
        </w:rPr>
        <w:t>̥</w:t>
      </w:r>
      <w:r>
        <w:rPr>
          <w:lang w:eastAsia="hi-IN"/>
        </w:rPr>
        <w:t xml:space="preserve"> </w:t>
      </w:r>
      <w:r>
        <w:rPr>
          <w:u w:val="single"/>
          <w:lang w:eastAsia="hi-IN"/>
        </w:rPr>
        <w:t>appropriate for themselves</w:t>
      </w:r>
      <w:r>
        <w:rPr>
          <w:lang w:eastAsia="hi-IN"/>
        </w:rPr>
        <w:t>, may we, through ourselves, be safe, rich of heroes.</w:t>
      </w:r>
    </w:p>
    <w:p w14:paraId="0FF25981" w14:textId="77777777" w:rsidR="00E53EB6" w:rsidRPr="00B80C6B" w:rsidRDefault="006500F5">
      <w:pPr>
        <w:pStyle w:val="Zitat"/>
        <w:autoSpaceDE w:val="0"/>
        <w:rPr>
          <w:lang w:val="it-IT" w:eastAsia="hi-IN"/>
        </w:rPr>
      </w:pPr>
      <w:r w:rsidRPr="00B80C6B">
        <w:rPr>
          <w:i/>
          <w:iCs/>
          <w:lang w:val="it-IT" w:eastAsia="hi-IN"/>
        </w:rPr>
        <w:t>vani</w:t>
      </w:r>
      <w:r w:rsidRPr="00B80C6B">
        <w:rPr>
          <w:i/>
          <w:iCs/>
          <w:lang w:val="it-IT" w:eastAsia="hi-IN"/>
        </w:rPr>
        <w:t>ṣ</w:t>
      </w:r>
      <w:r w:rsidRPr="00B80C6B">
        <w:rPr>
          <w:i/>
          <w:iCs/>
          <w:lang w:val="it-IT" w:eastAsia="hi-IN"/>
        </w:rPr>
        <w:t>anta:</w:t>
      </w:r>
      <w:r w:rsidRPr="00B80C6B">
        <w:rPr>
          <w:lang w:val="it-IT" w:eastAsia="hi-IN"/>
        </w:rPr>
        <w:t xml:space="preserve"> subj. sigmatic aor. 3</w:t>
      </w:r>
      <w:r w:rsidRPr="00B80C6B">
        <w:rPr>
          <w:vertAlign w:val="superscript"/>
          <w:lang w:val="it-IT" w:eastAsia="hi-IN"/>
        </w:rPr>
        <w:t>rd</w:t>
      </w:r>
      <w:r w:rsidRPr="00B80C6B">
        <w:rPr>
          <w:lang w:val="it-IT" w:eastAsia="hi-IN"/>
        </w:rPr>
        <w:t xml:space="preserve"> pl. Ā I-VI cl.</w:t>
      </w:r>
    </w:p>
    <w:p w14:paraId="5F606594" w14:textId="77777777" w:rsidR="00E53EB6" w:rsidRDefault="006500F5">
      <w:pPr>
        <w:pStyle w:val="ZitatmitEinzug"/>
        <w:autoSpaceDE w:val="0"/>
        <w:rPr>
          <w:rFonts w:eastAsia="Arial" w:cs="Times Ext Roman"/>
          <w:szCs w:val="18"/>
          <w:lang w:eastAsia="hi-IN" w:bidi="en-GB"/>
        </w:rPr>
      </w:pPr>
      <w:r>
        <w:rPr>
          <w:rStyle w:val="biblio-authorGEN"/>
          <w:rFonts w:eastAsia="Arial" w:cs="Times Ext Roman"/>
          <w:sz w:val="18"/>
          <w:szCs w:val="15"/>
          <w:lang w:eastAsia="hi-IN" w:bidi="en-GB"/>
        </w:rPr>
        <w:t>Keith</w:t>
      </w:r>
      <w:r>
        <w:rPr>
          <w:rFonts w:eastAsia="Arial" w:cs="Times Ext Roman"/>
          <w:szCs w:val="18"/>
          <w:lang w:eastAsia="hi-IN" w:bidi="en-GB"/>
        </w:rPr>
        <w:t xml:space="preserve"> 1914: 386 “shall win for us”</w:t>
      </w:r>
    </w:p>
    <w:p w14:paraId="1025D60E" w14:textId="77777777" w:rsidR="00E53EB6" w:rsidRPr="00B80C6B" w:rsidRDefault="006500F5">
      <w:pPr>
        <w:pStyle w:val="HaupttextnachZitat"/>
        <w:rPr>
          <w:lang w:val="it-IT"/>
        </w:rPr>
      </w:pPr>
      <w:r w:rsidRPr="00B80C6B">
        <w:rPr>
          <w:lang w:val="it-IT"/>
        </w:rPr>
        <w:t>Vedic Web</w:t>
      </w:r>
    </w:p>
    <w:p w14:paraId="16919129" w14:textId="77777777" w:rsidR="00E53EB6" w:rsidRPr="00B80C6B" w:rsidRDefault="006500F5">
      <w:pPr>
        <w:pStyle w:val="HaupttextohneEinzug"/>
        <w:rPr>
          <w:lang w:val="it-IT"/>
        </w:rPr>
      </w:pPr>
      <w:r w:rsidRPr="00B80C6B">
        <w:rPr>
          <w:lang w:val="it-IT"/>
        </w:rPr>
        <w:t xml:space="preserve">Mantra: </w:t>
      </w:r>
      <w:r w:rsidRPr="00B80C6B">
        <w:rPr>
          <w:szCs w:val="21"/>
          <w:lang w:val="it-IT"/>
        </w:rPr>
        <w:t>R</w:t>
      </w:r>
      <w:r w:rsidRPr="00B80C6B">
        <w:rPr>
          <w:rFonts w:eastAsia="Arial" w:cs="Devanagari MT;Times New Roman"/>
          <w:szCs w:val="21"/>
          <w:lang w:val="it-IT" w:eastAsia="hi-IN" w:bidi="en-GB"/>
        </w:rPr>
        <w:t>̥</w:t>
      </w:r>
      <w:r w:rsidRPr="00B80C6B">
        <w:rPr>
          <w:lang w:val="it-IT"/>
        </w:rPr>
        <w:t>V 10.128.3 (</w:t>
      </w:r>
      <w:r w:rsidRPr="00B80C6B">
        <w:rPr>
          <w:rFonts w:eastAsia="DevanagariMT"/>
          <w:i/>
          <w:iCs/>
          <w:lang w:val="it-IT"/>
        </w:rPr>
        <w:t>vanu</w:t>
      </w:r>
      <w:r w:rsidRPr="00B80C6B">
        <w:rPr>
          <w:rFonts w:eastAsia="DevanagariMT"/>
          <w:i/>
          <w:iCs/>
          <w:lang w:val="it-IT"/>
        </w:rPr>
        <w:t>ṣ</w:t>
      </w:r>
      <w:r w:rsidRPr="00B80C6B">
        <w:rPr>
          <w:rFonts w:eastAsia="DevanagariMT"/>
          <w:i/>
          <w:iCs/>
          <w:lang w:val="it-IT"/>
        </w:rPr>
        <w:t>anta</w:t>
      </w:r>
      <w:r w:rsidRPr="00B80C6B">
        <w:rPr>
          <w:rFonts w:eastAsia="Arial" w:cs="Times Ext Roman"/>
          <w:i/>
          <w:iCs/>
          <w:szCs w:val="21"/>
          <w:lang w:val="it-IT" w:eastAsia="hi-IN" w:bidi="en-GB"/>
        </w:rPr>
        <w:t xml:space="preserve"> - </w:t>
      </w:r>
      <w:r w:rsidRPr="00B80C6B">
        <w:rPr>
          <w:rFonts w:eastAsia="Arial" w:cs="Times Ext Roman"/>
          <w:szCs w:val="21"/>
          <w:lang w:val="it-IT" w:eastAsia="hi-IN" w:bidi="en-GB"/>
        </w:rPr>
        <w:t>inj. pres. 3</w:t>
      </w:r>
      <w:r w:rsidRPr="00B80C6B">
        <w:rPr>
          <w:rFonts w:eastAsia="Arial" w:cs="Times Ext Roman"/>
          <w:szCs w:val="21"/>
          <w:vertAlign w:val="superscript"/>
          <w:lang w:val="it-IT" w:eastAsia="hi-IN" w:bidi="en-GB"/>
        </w:rPr>
        <w:t>rd</w:t>
      </w:r>
      <w:r w:rsidRPr="00B80C6B">
        <w:rPr>
          <w:rFonts w:eastAsia="Arial" w:cs="Times Ext Roman"/>
          <w:szCs w:val="21"/>
          <w:lang w:val="it-IT" w:eastAsia="hi-IN" w:bidi="en-GB"/>
        </w:rPr>
        <w:t xml:space="preserve"> pl. Ā, </w:t>
      </w:r>
      <w:r w:rsidRPr="00B80C6B">
        <w:rPr>
          <w:rFonts w:eastAsia="Arial" w:cs="Times Ext Roman"/>
          <w:i/>
          <w:iCs/>
          <w:szCs w:val="21"/>
          <w:lang w:val="it-IT" w:eastAsia="hi-IN" w:bidi="en-GB"/>
        </w:rPr>
        <w:t>hapax</w:t>
      </w:r>
      <w:r w:rsidRPr="00B80C6B">
        <w:rPr>
          <w:rFonts w:eastAsia="Arial" w:cs="Times Ext Roman"/>
          <w:szCs w:val="21"/>
          <w:lang w:val="it-IT" w:eastAsia="hi-IN" w:bidi="en-GB"/>
        </w:rPr>
        <w:t xml:space="preserve"> cf. AiGr: II 2 §316.c</w:t>
      </w:r>
      <w:r w:rsidRPr="00B80C6B">
        <w:rPr>
          <w:rFonts w:eastAsia="Arial" w:cs="Devanagari MT;Times New Roman"/>
          <w:i/>
          <w:iCs/>
          <w:szCs w:val="21"/>
          <w:lang w:val="it-IT" w:eastAsia="hi-IN" w:bidi="en-GB"/>
        </w:rPr>
        <w:t xml:space="preserve">; </w:t>
      </w:r>
      <w:r w:rsidRPr="00B80C6B">
        <w:rPr>
          <w:rStyle w:val="biblio-authorGEN"/>
          <w:rFonts w:eastAsia="Arial" w:cs="Times Ext Roman"/>
          <w:szCs w:val="21"/>
          <w:lang w:val="it-IT" w:eastAsia="hi-IN" w:bidi="en-GB"/>
        </w:rPr>
        <w:t>Geldner</w:t>
      </w:r>
      <w:r w:rsidRPr="00B80C6B">
        <w:rPr>
          <w:rFonts w:eastAsia="Arial" w:cs="Times Ext Roman"/>
          <w:szCs w:val="21"/>
          <w:lang w:val="it-IT" w:eastAsia="hi-IN" w:bidi="en-GB"/>
        </w:rPr>
        <w:t xml:space="preserve">: III 358 “sollen Partei nehmen”- and </w:t>
      </w:r>
      <w:r w:rsidRPr="00B80C6B">
        <w:rPr>
          <w:rFonts w:eastAsia="Arial" w:cs="Times Ext Roman"/>
          <w:i/>
          <w:iCs/>
          <w:szCs w:val="21"/>
          <w:lang w:val="it-IT" w:eastAsia="hi-IN" w:bidi="en-GB"/>
        </w:rPr>
        <w:t>hotāra</w:t>
      </w:r>
      <w:r w:rsidRPr="00B80C6B">
        <w:rPr>
          <w:rFonts w:eastAsia="Arial" w:cs="Times Ext Roman"/>
          <w:i/>
          <w:iCs/>
          <w:szCs w:val="21"/>
          <w:lang w:val="it-IT" w:eastAsia="hi-IN" w:bidi="en-GB"/>
        </w:rPr>
        <w:t>ḥ</w:t>
      </w:r>
      <w:r w:rsidRPr="00B80C6B">
        <w:rPr>
          <w:rFonts w:eastAsia="Arial" w:cs="Times Ext Roman"/>
          <w:szCs w:val="21"/>
          <w:lang w:val="it-IT" w:eastAsia="hi-IN" w:bidi="en-GB"/>
        </w:rPr>
        <w:t xml:space="preserve">); </w:t>
      </w:r>
      <w:r w:rsidRPr="00B80C6B">
        <w:rPr>
          <w:szCs w:val="21"/>
          <w:lang w:val="it-IT"/>
        </w:rPr>
        <w:t>KS 40</w:t>
      </w:r>
      <w:r w:rsidRPr="00B80C6B">
        <w:rPr>
          <w:lang w:val="it-IT"/>
        </w:rPr>
        <w:t>.10 (</w:t>
      </w:r>
      <w:r w:rsidRPr="00B80C6B">
        <w:rPr>
          <w:i/>
          <w:iCs/>
          <w:lang w:val="it-IT"/>
        </w:rPr>
        <w:t>vani</w:t>
      </w:r>
      <w:r w:rsidRPr="00B80C6B">
        <w:rPr>
          <w:i/>
          <w:iCs/>
          <w:lang w:val="it-IT"/>
        </w:rPr>
        <w:t>ṣ</w:t>
      </w:r>
      <w:r w:rsidRPr="00B80C6B">
        <w:rPr>
          <w:i/>
          <w:iCs/>
          <w:lang w:val="it-IT"/>
        </w:rPr>
        <w:t>an</w:t>
      </w:r>
      <w:r w:rsidRPr="00B80C6B">
        <w:rPr>
          <w:lang w:val="it-IT"/>
        </w:rPr>
        <w:t xml:space="preserve"> -subj. </w:t>
      </w:r>
      <w:r w:rsidRPr="00B80C6B">
        <w:rPr>
          <w:i/>
          <w:iCs/>
          <w:lang w:val="it-IT"/>
        </w:rPr>
        <w:t>-i</w:t>
      </w:r>
      <w:r w:rsidRPr="00B80C6B">
        <w:rPr>
          <w:i/>
          <w:iCs/>
          <w:lang w:val="it-IT"/>
        </w:rPr>
        <w:t>ṣ</w:t>
      </w:r>
      <w:r w:rsidRPr="00B80C6B">
        <w:rPr>
          <w:lang w:val="it-IT"/>
        </w:rPr>
        <w:t xml:space="preserve"> aor. 3</w:t>
      </w:r>
      <w:r w:rsidRPr="00B80C6B">
        <w:rPr>
          <w:vertAlign w:val="superscript"/>
          <w:lang w:val="it-IT"/>
        </w:rPr>
        <w:t>rd</w:t>
      </w:r>
      <w:r w:rsidRPr="00B80C6B">
        <w:rPr>
          <w:lang w:val="it-IT"/>
        </w:rPr>
        <w:t xml:space="preserve"> pl.-</w:t>
      </w:r>
      <w:r w:rsidRPr="00B80C6B">
        <w:rPr>
          <w:i/>
          <w:iCs/>
          <w:lang w:val="it-IT"/>
        </w:rPr>
        <w:t xml:space="preserve"> </w:t>
      </w:r>
      <w:r w:rsidRPr="00B80C6B">
        <w:rPr>
          <w:lang w:val="it-IT"/>
        </w:rPr>
        <w:t xml:space="preserve">and </w:t>
      </w:r>
      <w:r w:rsidRPr="00B80C6B">
        <w:rPr>
          <w:i/>
          <w:iCs/>
          <w:lang w:val="it-IT"/>
        </w:rPr>
        <w:t xml:space="preserve">etad </w:t>
      </w:r>
      <w:r w:rsidRPr="00B80C6B">
        <w:rPr>
          <w:lang w:val="it-IT"/>
        </w:rPr>
        <w:t xml:space="preserve">instead of </w:t>
      </w:r>
      <w:r w:rsidRPr="00B80C6B">
        <w:rPr>
          <w:i/>
          <w:iCs/>
          <w:lang w:val="it-IT"/>
        </w:rPr>
        <w:t>pū́rve</w:t>
      </w:r>
      <w:r w:rsidRPr="00B80C6B">
        <w:rPr>
          <w:lang w:val="it-IT"/>
        </w:rPr>
        <w:t xml:space="preserve">); </w:t>
      </w:r>
      <w:r w:rsidRPr="00B80C6B">
        <w:rPr>
          <w:szCs w:val="21"/>
          <w:lang w:val="it-IT"/>
        </w:rPr>
        <w:t>AVŚ 5.3.5 (</w:t>
      </w:r>
      <w:r w:rsidRPr="00B80C6B">
        <w:rPr>
          <w:i/>
          <w:iCs/>
          <w:szCs w:val="21"/>
          <w:lang w:val="it-IT"/>
        </w:rPr>
        <w:t>sani</w:t>
      </w:r>
      <w:r w:rsidRPr="00B80C6B">
        <w:rPr>
          <w:i/>
          <w:iCs/>
          <w:szCs w:val="21"/>
          <w:lang w:val="it-IT"/>
        </w:rPr>
        <w:t>ṣ</w:t>
      </w:r>
      <w:r w:rsidRPr="00B80C6B">
        <w:rPr>
          <w:i/>
          <w:iCs/>
          <w:szCs w:val="21"/>
          <w:lang w:val="it-IT"/>
        </w:rPr>
        <w:t xml:space="preserve">an </w:t>
      </w:r>
      <w:r w:rsidRPr="00B80C6B">
        <w:rPr>
          <w:szCs w:val="21"/>
          <w:lang w:val="it-IT"/>
        </w:rPr>
        <w:t xml:space="preserve">instead of </w:t>
      </w:r>
      <w:r w:rsidRPr="00B80C6B">
        <w:rPr>
          <w:i/>
          <w:iCs/>
          <w:szCs w:val="21"/>
          <w:lang w:val="it-IT"/>
        </w:rPr>
        <w:t>vani</w:t>
      </w:r>
      <w:r w:rsidRPr="00B80C6B">
        <w:rPr>
          <w:i/>
          <w:iCs/>
          <w:szCs w:val="21"/>
          <w:lang w:val="it-IT"/>
        </w:rPr>
        <w:t>ṣ</w:t>
      </w:r>
      <w:r w:rsidRPr="00B80C6B">
        <w:rPr>
          <w:i/>
          <w:iCs/>
          <w:szCs w:val="21"/>
          <w:lang w:val="it-IT"/>
        </w:rPr>
        <w:t>anta</w:t>
      </w:r>
      <w:r w:rsidRPr="00B80C6B">
        <w:rPr>
          <w:szCs w:val="21"/>
          <w:lang w:val="it-IT"/>
        </w:rPr>
        <w:t xml:space="preserve"> and </w:t>
      </w:r>
      <w:r w:rsidRPr="00B80C6B">
        <w:rPr>
          <w:i/>
          <w:iCs/>
          <w:szCs w:val="21"/>
          <w:lang w:val="it-IT"/>
        </w:rPr>
        <w:t xml:space="preserve">etad </w:t>
      </w:r>
      <w:r w:rsidRPr="00B80C6B">
        <w:rPr>
          <w:szCs w:val="21"/>
          <w:lang w:val="it-IT"/>
        </w:rPr>
        <w:t xml:space="preserve">instead of </w:t>
      </w:r>
      <w:r w:rsidRPr="00B80C6B">
        <w:rPr>
          <w:i/>
          <w:iCs/>
          <w:szCs w:val="21"/>
          <w:lang w:val="it-IT"/>
        </w:rPr>
        <w:t>pū́rve</w:t>
      </w:r>
      <w:r w:rsidRPr="00B80C6B">
        <w:rPr>
          <w:szCs w:val="21"/>
          <w:lang w:val="it-IT"/>
        </w:rPr>
        <w:t xml:space="preserve">) so reads also AVP 5.4.5. </w:t>
      </w:r>
    </w:p>
    <w:p w14:paraId="697A7C9A" w14:textId="77777777" w:rsidR="00E53EB6" w:rsidRDefault="006500F5">
      <w:pPr>
        <w:pStyle w:val="HaupttextohneEinzug"/>
      </w:pPr>
      <w:r>
        <w:t xml:space="preserve">Prose: TS 5.4.11.3. </w:t>
      </w:r>
    </w:p>
    <w:p w14:paraId="1B0B0E51" w14:textId="77777777" w:rsidR="00E53EB6" w:rsidRDefault="00E53EB6">
      <w:pPr>
        <w:pStyle w:val="HaupttextohneEinzug"/>
      </w:pPr>
    </w:p>
    <w:p w14:paraId="12310242" w14:textId="77777777" w:rsidR="00E53EB6" w:rsidRDefault="006500F5">
      <w:pPr>
        <w:pStyle w:val="HaupttextohneEinzug"/>
      </w:pPr>
      <w:r>
        <w:t>Rite</w:t>
      </w:r>
    </w:p>
    <w:p w14:paraId="7D3066BB" w14:textId="77777777" w:rsidR="00E53EB6" w:rsidRDefault="006500F5">
      <w:pPr>
        <w:pStyle w:val="HaupttextohneEinzug"/>
      </w:pPr>
      <w:r>
        <w:t xml:space="preserve">Agnicayana. </w:t>
      </w:r>
      <w:r>
        <w:rPr>
          <w:i/>
          <w:iCs/>
        </w:rPr>
        <w:t>Mantra</w:t>
      </w:r>
      <w:r>
        <w:t xml:space="preserve"> used for placing the Vihavyā bricks on the Dhi</w:t>
      </w:r>
      <w:r>
        <w:t>ṣṇ</w:t>
      </w:r>
      <w:r>
        <w:t xml:space="preserve">ya (the side altar). The bricks are called Vihavyā after the name of the </w:t>
      </w:r>
      <w:r>
        <w:rPr>
          <w:i/>
          <w:iCs/>
        </w:rPr>
        <w:t>sūkta, vihavyā,</w:t>
      </w:r>
      <w:r>
        <w:t xml:space="preserve"> and the s</w:t>
      </w:r>
      <w:r>
        <w:t>upposed</w:t>
      </w:r>
      <w:r>
        <w:t xml:space="preserve"> author of this hymn, Vihavya.  The whole hymn 10.128 is employed in this section, the stanzas are placed almost in the same order as in R̥V, but there are quite few variants.</w:t>
      </w:r>
    </w:p>
    <w:p w14:paraId="44E1FC15" w14:textId="77777777" w:rsidR="00E53EB6" w:rsidRDefault="00E53EB6">
      <w:pPr>
        <w:pStyle w:val="HaupttextohneEinzug"/>
        <w:autoSpaceDE w:val="0"/>
        <w:rPr>
          <w:rFonts w:eastAsia="DevanagariMT" w:cs="Times Ext Roman"/>
          <w:sz w:val="22"/>
          <w:szCs w:val="22"/>
          <w:lang w:eastAsia="hi-IN" w:bidi="en-GB"/>
        </w:rPr>
      </w:pPr>
    </w:p>
    <w:p w14:paraId="2C909E0D" w14:textId="77777777" w:rsidR="00E53EB6" w:rsidRDefault="00E53EB6">
      <w:pPr>
        <w:pStyle w:val="HaupttextohneEinzug"/>
        <w:autoSpaceDE w:val="0"/>
        <w:rPr>
          <w:rFonts w:eastAsia="DevanagariMT" w:cs="Times Ext Roman"/>
          <w:sz w:val="22"/>
          <w:szCs w:val="22"/>
          <w:lang w:eastAsia="hi-IN" w:bidi="en-GB"/>
        </w:rPr>
      </w:pPr>
    </w:p>
    <w:p w14:paraId="430C2C31" w14:textId="77777777" w:rsidR="00E53EB6" w:rsidRDefault="006500F5">
      <w:pPr>
        <w:pStyle w:val="Heading5"/>
        <w:tabs>
          <w:tab w:val="left" w:pos="0"/>
        </w:tabs>
      </w:pPr>
      <w:r>
        <w:t>Maitrāyanī occurrences</w:t>
      </w:r>
    </w:p>
    <w:p w14:paraId="45083AFA" w14:textId="77777777" w:rsidR="00E53EB6" w:rsidRDefault="006500F5">
      <w:pPr>
        <w:pStyle w:val="Heading5"/>
        <w:tabs>
          <w:tab w:val="left" w:pos="0"/>
        </w:tabs>
      </w:pPr>
      <w:r>
        <w:rPr>
          <w:u w:val="single"/>
        </w:rPr>
        <w:t>MS 2.10.2: 132,16-17</w:t>
      </w:r>
      <w:r>
        <w:rPr>
          <w:u w:val="single"/>
        </w:rPr>
        <w:tab/>
      </w:r>
      <w:r>
        <w:tab/>
      </w:r>
      <w:r>
        <w:tab/>
      </w:r>
      <w:r>
        <w:tab/>
      </w:r>
      <w:r>
        <w:tab/>
      </w:r>
      <w:r>
        <w:tab/>
      </w:r>
      <w:r>
        <w:tab/>
      </w:r>
      <w:r>
        <w:tab/>
      </w:r>
    </w:p>
    <w:p w14:paraId="67CB673A" w14:textId="77777777" w:rsidR="00E53EB6" w:rsidRDefault="006500F5">
      <w:pPr>
        <w:pStyle w:val="Zitat"/>
        <w:autoSpaceDE w:val="0"/>
        <w:rPr>
          <w:lang w:eastAsia="hi-IN"/>
        </w:rPr>
      </w:pPr>
      <w:r>
        <w:rPr>
          <w:lang w:eastAsia="hi-IN"/>
        </w:rPr>
        <w:t xml:space="preserve">2.10.2 </w:t>
      </w:r>
      <w:r>
        <w:rPr>
          <w:i/>
          <w:iCs/>
          <w:lang w:eastAsia="hi-IN"/>
        </w:rPr>
        <w:t>agnístigména</w:t>
      </w:r>
      <w:r>
        <w:rPr>
          <w:i/>
          <w:iCs/>
          <w:lang w:eastAsia="hi-IN"/>
        </w:rPr>
        <w:t xml:space="preserve"> śocí</w:t>
      </w:r>
      <w:r>
        <w:rPr>
          <w:i/>
          <w:iCs/>
          <w:lang w:eastAsia="hi-IN"/>
        </w:rPr>
        <w:t>ṣ</w:t>
      </w:r>
      <w:r>
        <w:rPr>
          <w:i/>
          <w:iCs/>
          <w:lang w:eastAsia="hi-IN"/>
        </w:rPr>
        <w:t>ā yā́sadvíśva</w:t>
      </w:r>
      <w:r>
        <w:rPr>
          <w:i/>
          <w:iCs/>
          <w:lang w:eastAsia="hi-IN"/>
        </w:rPr>
        <w:t>ṃ</w:t>
      </w:r>
      <w:r>
        <w:rPr>
          <w:i/>
          <w:iCs/>
          <w:lang w:eastAsia="hi-IN"/>
        </w:rPr>
        <w:t xml:space="preserve"> nyàtrí</w:t>
      </w:r>
      <w:r>
        <w:rPr>
          <w:i/>
          <w:iCs/>
          <w:lang w:eastAsia="hi-IN"/>
        </w:rPr>
        <w:t>ṇ</w:t>
      </w:r>
      <w:r>
        <w:rPr>
          <w:i/>
          <w:iCs/>
          <w:lang w:eastAsia="hi-IN"/>
        </w:rPr>
        <w:t>am / agnírno vanate rayím//</w:t>
      </w:r>
    </w:p>
    <w:p w14:paraId="0144172F" w14:textId="77777777" w:rsidR="00E53EB6" w:rsidRDefault="006500F5">
      <w:pPr>
        <w:pStyle w:val="Zitat"/>
        <w:autoSpaceDE w:val="0"/>
        <w:rPr>
          <w:lang w:eastAsia="hi-IN"/>
        </w:rPr>
      </w:pPr>
      <w:r>
        <w:rPr>
          <w:lang w:eastAsia="hi-IN"/>
        </w:rPr>
        <w:t>Agni with the sharpened flame may pass over</w:t>
      </w:r>
      <w:r>
        <w:rPr>
          <w:rStyle w:val="FootnoteAnchor"/>
          <w:lang w:eastAsia="hi-IN"/>
        </w:rPr>
        <w:footnoteReference w:id="136"/>
      </w:r>
      <w:r>
        <w:rPr>
          <w:lang w:eastAsia="hi-IN"/>
        </w:rPr>
        <w:t xml:space="preserve"> all evil, may Agni </w:t>
      </w:r>
      <w:r>
        <w:rPr>
          <w:u w:val="single"/>
          <w:lang w:eastAsia="hi-IN"/>
        </w:rPr>
        <w:t>appropriate</w:t>
      </w:r>
      <w:r>
        <w:rPr>
          <w:lang w:eastAsia="hi-IN"/>
        </w:rPr>
        <w:t xml:space="preserve"> the richness for us.</w:t>
      </w:r>
    </w:p>
    <w:p w14:paraId="2C3A03E6" w14:textId="77777777" w:rsidR="00E53EB6" w:rsidRPr="00B80C6B" w:rsidRDefault="006500F5">
      <w:pPr>
        <w:pStyle w:val="Zitat"/>
        <w:autoSpaceDE w:val="0"/>
        <w:rPr>
          <w:lang w:val="de-DE" w:eastAsia="hi-IN"/>
        </w:rPr>
      </w:pPr>
      <w:r>
        <w:rPr>
          <w:i/>
          <w:iCs/>
          <w:lang w:eastAsia="hi-IN"/>
        </w:rPr>
        <w:t xml:space="preserve">vanate: </w:t>
      </w:r>
      <w:r>
        <w:rPr>
          <w:lang w:eastAsia="hi-IN"/>
        </w:rPr>
        <w:t>subj. root aor. 3</w:t>
      </w:r>
      <w:r>
        <w:rPr>
          <w:vertAlign w:val="superscript"/>
          <w:lang w:eastAsia="hi-IN"/>
        </w:rPr>
        <w:t>rd</w:t>
      </w:r>
      <w:r>
        <w:rPr>
          <w:lang w:eastAsia="hi-IN"/>
        </w:rPr>
        <w:t xml:space="preserve"> sing. </w:t>
      </w:r>
      <w:r w:rsidRPr="00B80C6B">
        <w:rPr>
          <w:lang w:val="de-DE" w:eastAsia="hi-IN"/>
        </w:rPr>
        <w:t xml:space="preserve">Ā </w:t>
      </w:r>
    </w:p>
    <w:p w14:paraId="48B44D45" w14:textId="77777777" w:rsidR="00E53EB6" w:rsidRPr="00B80C6B" w:rsidRDefault="006500F5">
      <w:pPr>
        <w:pStyle w:val="ZitatmitEinzug"/>
        <w:rPr>
          <w:rFonts w:eastAsia="Arial" w:cs="Times Ext Roman"/>
          <w:szCs w:val="18"/>
          <w:lang w:val="de-DE" w:eastAsia="hi-IN" w:bidi="en-GB"/>
        </w:rPr>
      </w:pPr>
      <w:r w:rsidRPr="00B80C6B">
        <w:rPr>
          <w:rStyle w:val="biblio-authorGEN"/>
          <w:rFonts w:eastAsia="Arial" w:cs="Times Ext Roman"/>
          <w:sz w:val="18"/>
          <w:szCs w:val="15"/>
          <w:lang w:val="de-DE" w:eastAsia="hi-IN" w:bidi="en-GB"/>
        </w:rPr>
        <w:t>Geldner</w:t>
      </w:r>
      <w:r w:rsidRPr="00B80C6B">
        <w:rPr>
          <w:rStyle w:val="biblio-authorGEN"/>
          <w:rFonts w:eastAsia="Arial" w:cs="Times Ext Roman"/>
          <w:szCs w:val="18"/>
          <w:lang w:val="de-DE" w:eastAsia="hi-IN" w:bidi="en-GB"/>
        </w:rPr>
        <w:t>:</w:t>
      </w:r>
      <w:r w:rsidRPr="00B80C6B">
        <w:rPr>
          <w:rFonts w:eastAsia="Arial" w:cs="Times Ext Roman"/>
          <w:szCs w:val="18"/>
          <w:lang w:val="de-DE" w:eastAsia="hi-IN" w:bidi="en-GB"/>
        </w:rPr>
        <w:t xml:space="preserve"> II 111 “soll gewinnen”</w:t>
      </w:r>
    </w:p>
    <w:p w14:paraId="480536AE" w14:textId="77777777" w:rsidR="00E53EB6" w:rsidRPr="00B80C6B" w:rsidRDefault="006500F5">
      <w:pPr>
        <w:pStyle w:val="ZitatmitEinzug"/>
        <w:rPr>
          <w:rFonts w:eastAsia="Arial" w:cs="Times Ext Roman"/>
          <w:szCs w:val="18"/>
          <w:lang w:val="de-DE" w:eastAsia="hi-IN" w:bidi="en-GB"/>
        </w:rPr>
      </w:pPr>
      <w:r w:rsidRPr="00B80C6B">
        <w:rPr>
          <w:rStyle w:val="biblio-authorGEN"/>
          <w:rFonts w:eastAsia="Arial" w:cs="Times Ext Roman"/>
          <w:sz w:val="18"/>
          <w:szCs w:val="15"/>
          <w:lang w:val="de-DE" w:eastAsia="hi-IN" w:bidi="en-GB"/>
        </w:rPr>
        <w:t>Renou</w:t>
      </w:r>
      <w:r w:rsidRPr="00B80C6B">
        <w:rPr>
          <w:rFonts w:eastAsia="Arial" w:cs="Times Ext Roman"/>
          <w:szCs w:val="18"/>
          <w:lang w:val="de-DE" w:eastAsia="hi-IN" w:bidi="en-GB"/>
        </w:rPr>
        <w:t>: XIII 50 “gagne”</w:t>
      </w:r>
    </w:p>
    <w:p w14:paraId="0B0F94DE" w14:textId="77777777" w:rsidR="00E53EB6" w:rsidRPr="00B80C6B" w:rsidRDefault="006500F5">
      <w:pPr>
        <w:pStyle w:val="HaupttextnachZitat"/>
        <w:rPr>
          <w:lang w:val="de-DE"/>
        </w:rPr>
      </w:pPr>
      <w:r w:rsidRPr="00B80C6B">
        <w:rPr>
          <w:lang w:val="de-DE"/>
        </w:rPr>
        <w:t xml:space="preserve">Vedic </w:t>
      </w:r>
      <w:r w:rsidRPr="00B80C6B">
        <w:rPr>
          <w:lang w:val="de-DE"/>
        </w:rPr>
        <w:t>Web</w:t>
      </w:r>
    </w:p>
    <w:p w14:paraId="6FCED273" w14:textId="77777777" w:rsidR="00E53EB6" w:rsidRDefault="006500F5">
      <w:pPr>
        <w:pStyle w:val="HaupttextohneEinzug"/>
        <w:rPr>
          <w:rFonts w:eastAsia="Arial" w:cs="Times Ext Roman"/>
          <w:lang w:eastAsia="hi-IN" w:bidi="en-GB"/>
        </w:rPr>
      </w:pPr>
      <w:r w:rsidRPr="00B80C6B">
        <w:rPr>
          <w:rFonts w:eastAsia="Arial" w:cs="Times Ext Roman"/>
          <w:lang w:val="de-DE" w:eastAsia="hi-IN" w:bidi="en-GB"/>
        </w:rPr>
        <w:lastRenderedPageBreak/>
        <w:t>Mantra: R̥V 6.16.28; VS 17.16; KpS 28.2: 140; TS 4.6.1.5r; KS 18.1: 265,1-2 (TS; KS</w:t>
      </w:r>
      <w:r w:rsidRPr="00B80C6B">
        <w:rPr>
          <w:rFonts w:eastAsia="Arial" w:cs="Times Ext Roman"/>
          <w:i/>
          <w:iCs/>
          <w:szCs w:val="18"/>
          <w:lang w:val="de-DE" w:eastAsia="hi-IN" w:bidi="en-GB"/>
        </w:rPr>
        <w:t xml:space="preserve"> ya</w:t>
      </w:r>
      <w:r w:rsidRPr="00B80C6B">
        <w:rPr>
          <w:rFonts w:eastAsia="Arial" w:cs="Times Ext Roman"/>
          <w:i/>
          <w:iCs/>
          <w:szCs w:val="18"/>
          <w:lang w:val="de-DE" w:eastAsia="hi-IN" w:bidi="en-GB"/>
        </w:rPr>
        <w:t>ṃ</w:t>
      </w:r>
      <w:r w:rsidRPr="00B80C6B">
        <w:rPr>
          <w:rFonts w:eastAsia="Arial" w:cs="Times Ext Roman"/>
          <w:i/>
          <w:iCs/>
          <w:szCs w:val="18"/>
          <w:lang w:val="de-DE" w:eastAsia="hi-IN" w:bidi="en-GB"/>
        </w:rPr>
        <w:t xml:space="preserve">sad </w:t>
      </w:r>
      <w:r w:rsidRPr="00B80C6B">
        <w:rPr>
          <w:rFonts w:eastAsia="Arial" w:cs="Times Ext Roman"/>
          <w:szCs w:val="18"/>
          <w:lang w:val="de-DE" w:eastAsia="hi-IN" w:bidi="en-GB"/>
        </w:rPr>
        <w:t xml:space="preserve">and </w:t>
      </w:r>
      <w:r w:rsidRPr="00B80C6B">
        <w:rPr>
          <w:rFonts w:eastAsia="Arial" w:cs="Times Ext Roman"/>
          <w:i/>
          <w:iCs/>
          <w:szCs w:val="18"/>
          <w:lang w:val="de-DE" w:eastAsia="hi-IN" w:bidi="en-GB"/>
        </w:rPr>
        <w:t>va</w:t>
      </w:r>
      <w:r w:rsidRPr="00B80C6B">
        <w:rPr>
          <w:rFonts w:eastAsia="Arial" w:cs="Times Ext Roman"/>
          <w:i/>
          <w:iCs/>
          <w:szCs w:val="18"/>
          <w:lang w:val="de-DE" w:eastAsia="hi-IN" w:bidi="en-GB"/>
        </w:rPr>
        <w:t>ṁ</w:t>
      </w:r>
      <w:r w:rsidRPr="00B80C6B">
        <w:rPr>
          <w:rFonts w:eastAsia="Arial" w:cs="Times Ext Roman"/>
          <w:i/>
          <w:iCs/>
          <w:szCs w:val="18"/>
          <w:lang w:val="de-DE" w:eastAsia="hi-IN" w:bidi="en-GB"/>
        </w:rPr>
        <w:t xml:space="preserve">sate </w:t>
      </w:r>
      <w:r w:rsidRPr="00B80C6B">
        <w:rPr>
          <w:rFonts w:eastAsia="Arial" w:cs="Times Ext Roman"/>
          <w:i/>
          <w:iCs/>
          <w:szCs w:val="21"/>
          <w:lang w:val="de-DE" w:eastAsia="hi-IN" w:bidi="en-GB"/>
        </w:rPr>
        <w:t>-</w:t>
      </w:r>
      <w:r w:rsidRPr="00B80C6B">
        <w:rPr>
          <w:rFonts w:eastAsia="Arial" w:cs="Times Ext Roman"/>
          <w:szCs w:val="21"/>
          <w:lang w:val="de-DE" w:eastAsia="hi-IN" w:bidi="en-GB"/>
        </w:rPr>
        <w:t>subj. sigmatic aor. 3</w:t>
      </w:r>
      <w:r w:rsidRPr="00B80C6B">
        <w:rPr>
          <w:rFonts w:eastAsia="Arial" w:cs="Times Ext Roman"/>
          <w:szCs w:val="21"/>
          <w:vertAlign w:val="superscript"/>
          <w:lang w:val="de-DE" w:eastAsia="hi-IN" w:bidi="en-GB"/>
        </w:rPr>
        <w:t>rd</w:t>
      </w:r>
      <w:r w:rsidRPr="00B80C6B">
        <w:rPr>
          <w:rFonts w:eastAsia="Arial" w:cs="Times Ext Roman"/>
          <w:szCs w:val="21"/>
          <w:lang w:val="de-DE" w:eastAsia="hi-IN" w:bidi="en-GB"/>
        </w:rPr>
        <w:t xml:space="preserve"> sing. </w:t>
      </w:r>
      <w:r>
        <w:rPr>
          <w:rFonts w:eastAsia="Arial" w:cs="Times Ext Roman"/>
          <w:szCs w:val="21"/>
          <w:lang w:eastAsia="hi-IN" w:bidi="en-GB"/>
        </w:rPr>
        <w:t>Ā</w:t>
      </w:r>
      <w:r>
        <w:rPr>
          <w:rFonts w:eastAsia="Arial" w:cs="Times Ext Roman"/>
          <w:szCs w:val="18"/>
          <w:lang w:eastAsia="hi-IN" w:bidi="en-GB"/>
        </w:rPr>
        <w:t>).</w:t>
      </w:r>
    </w:p>
    <w:p w14:paraId="6C6C82C1" w14:textId="77777777" w:rsidR="00E53EB6" w:rsidRDefault="006500F5">
      <w:pPr>
        <w:pStyle w:val="HaupttextohneEinzug"/>
        <w:rPr>
          <w:rFonts w:eastAsia="Arial" w:cs="Times Ext Roman"/>
          <w:lang w:eastAsia="hi-IN" w:bidi="en-GB"/>
        </w:rPr>
      </w:pPr>
      <w:r>
        <w:rPr>
          <w:rFonts w:eastAsia="Arial" w:cs="Times Ext Roman"/>
          <w:lang w:eastAsia="hi-IN" w:bidi="en-GB"/>
        </w:rPr>
        <w:t xml:space="preserve">Prose: </w:t>
      </w:r>
      <w:r>
        <w:rPr>
          <w:rFonts w:eastAsia="Arial" w:cs="Times Ext Roman"/>
          <w:lang w:eastAsia="hi-IN" w:bidi="en-GB"/>
        </w:rPr>
        <w:t>TS 5.4.4.1-5.3.</w:t>
      </w:r>
    </w:p>
    <w:p w14:paraId="19E1256B" w14:textId="77777777" w:rsidR="00E53EB6" w:rsidRDefault="00E53EB6">
      <w:pPr>
        <w:pStyle w:val="HaupttextohneEinzug"/>
        <w:rPr>
          <w:rFonts w:eastAsia="Arial" w:cs="Times Ext Roman"/>
          <w:lang w:eastAsia="hi-IN" w:bidi="en-GB"/>
        </w:rPr>
      </w:pPr>
    </w:p>
    <w:p w14:paraId="6D6544B9" w14:textId="77777777" w:rsidR="00E53EB6" w:rsidRDefault="006500F5">
      <w:pPr>
        <w:pStyle w:val="HaupttextohneEinzug"/>
        <w:rPr>
          <w:rFonts w:eastAsia="Arial" w:cs="Times Ext Roman"/>
          <w:lang w:eastAsia="hi-IN" w:bidi="en-GB"/>
        </w:rPr>
      </w:pPr>
      <w:r>
        <w:rPr>
          <w:rFonts w:eastAsia="Arial" w:cs="Times Ext Roman"/>
          <w:lang w:eastAsia="hi-IN" w:bidi="en-GB"/>
        </w:rPr>
        <w:t>Rite</w:t>
      </w:r>
    </w:p>
    <w:p w14:paraId="610A58A7" w14:textId="77777777" w:rsidR="00E53EB6" w:rsidRDefault="006500F5">
      <w:pPr>
        <w:pStyle w:val="HaupttextohneEinzug"/>
        <w:autoSpaceDE w:val="0"/>
      </w:pPr>
      <w:r>
        <w:rPr>
          <w:rFonts w:eastAsia="DevanagariMT" w:cs="Times Ext Roman"/>
          <w:sz w:val="22"/>
          <w:szCs w:val="22"/>
          <w:lang w:eastAsia="hi-IN" w:bidi="en-GB"/>
        </w:rPr>
        <w:t xml:space="preserve">Agnicayana. Preparation of the fire, </w:t>
      </w:r>
      <w:r>
        <w:rPr>
          <w:rFonts w:eastAsia="DevanagariMT" w:cs="Times Ext Roman"/>
          <w:i/>
          <w:iCs/>
          <w:sz w:val="22"/>
          <w:szCs w:val="22"/>
          <w:lang w:eastAsia="hi-IN" w:bidi="en-GB"/>
        </w:rPr>
        <w:t>mantra</w:t>
      </w:r>
      <w:r>
        <w:rPr>
          <w:rFonts w:eastAsia="DevanagariMT" w:cs="Times Ext Roman"/>
          <w:sz w:val="22"/>
          <w:szCs w:val="22"/>
          <w:lang w:eastAsia="hi-IN" w:bidi="en-GB"/>
        </w:rPr>
        <w:t xml:space="preserve">s for the moistening of the fire and dragging of a frog, a reed and </w:t>
      </w:r>
      <w:r>
        <w:rPr>
          <w:rFonts w:eastAsia="DevanagariMT" w:cs="Times Ext Roman"/>
          <w:i/>
          <w:iCs/>
          <w:sz w:val="22"/>
          <w:szCs w:val="22"/>
          <w:lang w:eastAsia="hi-IN" w:bidi="en-GB"/>
        </w:rPr>
        <w:t xml:space="preserve">avakā </w:t>
      </w:r>
      <w:r>
        <w:rPr>
          <w:rFonts w:eastAsia="DevanagariMT" w:cs="Times Ext Roman"/>
          <w:sz w:val="22"/>
          <w:szCs w:val="22"/>
          <w:lang w:eastAsia="hi-IN" w:bidi="en-GB"/>
        </w:rPr>
        <w:t>(herbal plant) over the fire (Pari</w:t>
      </w:r>
      <w:r>
        <w:rPr>
          <w:rFonts w:eastAsia="DevanagariMT" w:cs="Times Ext Roman"/>
          <w:sz w:val="22"/>
          <w:szCs w:val="22"/>
          <w:lang w:eastAsia="hi-IN" w:bidi="en-GB"/>
        </w:rPr>
        <w:t>ṣ</w:t>
      </w:r>
      <w:r>
        <w:rPr>
          <w:rFonts w:eastAsia="DevanagariMT" w:cs="Times Ext Roman"/>
          <w:sz w:val="22"/>
          <w:szCs w:val="22"/>
          <w:lang w:eastAsia="hi-IN" w:bidi="en-GB"/>
        </w:rPr>
        <w:t>ecana “sprinkling” and Vikar</w:t>
      </w:r>
      <w:r>
        <w:rPr>
          <w:rFonts w:eastAsia="DevanagariMT" w:cs="Times Ext Roman"/>
          <w:sz w:val="22"/>
          <w:szCs w:val="22"/>
          <w:lang w:eastAsia="hi-IN" w:bidi="en-GB"/>
        </w:rPr>
        <w:t>ṣ</w:t>
      </w:r>
      <w:r>
        <w:rPr>
          <w:rFonts w:eastAsia="DevanagariMT" w:cs="Times Ext Roman"/>
          <w:sz w:val="22"/>
          <w:szCs w:val="22"/>
          <w:lang w:eastAsia="hi-IN" w:bidi="en-GB"/>
        </w:rPr>
        <w:t>a</w:t>
      </w:r>
      <w:r>
        <w:rPr>
          <w:rFonts w:eastAsia="DevanagariMT" w:cs="Times Ext Roman"/>
          <w:sz w:val="22"/>
          <w:szCs w:val="22"/>
          <w:lang w:eastAsia="hi-IN" w:bidi="en-GB"/>
        </w:rPr>
        <w:t>ṇ</w:t>
      </w:r>
      <w:r>
        <w:rPr>
          <w:rFonts w:eastAsia="DevanagariMT" w:cs="Times Ext Roman"/>
          <w:sz w:val="22"/>
          <w:szCs w:val="22"/>
          <w:lang w:eastAsia="hi-IN" w:bidi="en-GB"/>
        </w:rPr>
        <w:t>a “dragging asunder” of the fire). This stanza is namely to accompany an oblation to Agni.</w:t>
      </w:r>
    </w:p>
    <w:p w14:paraId="64F7EACA" w14:textId="77777777" w:rsidR="00E53EB6" w:rsidRDefault="00E53EB6">
      <w:pPr>
        <w:pStyle w:val="HaupttextohneEinzug"/>
        <w:autoSpaceDE w:val="0"/>
        <w:rPr>
          <w:rFonts w:eastAsia="DevanagariMT" w:cs="Times Ext Roman"/>
          <w:sz w:val="22"/>
          <w:szCs w:val="22"/>
          <w:lang w:eastAsia="hi-IN" w:bidi="en-GB"/>
        </w:rPr>
      </w:pPr>
    </w:p>
    <w:p w14:paraId="15F72559" w14:textId="77777777" w:rsidR="00E53EB6" w:rsidRDefault="006500F5">
      <w:pPr>
        <w:pStyle w:val="Heading5"/>
        <w:tabs>
          <w:tab w:val="left" w:pos="0"/>
        </w:tabs>
      </w:pPr>
      <w:r>
        <w:rPr>
          <w:u w:val="single"/>
        </w:rPr>
        <w:t>MS 4.10.1: 144,12-15</w:t>
      </w:r>
      <w:r>
        <w:tab/>
      </w:r>
      <w:r>
        <w:tab/>
      </w:r>
      <w:r>
        <w:tab/>
      </w:r>
      <w:r>
        <w:tab/>
      </w:r>
      <w:r>
        <w:tab/>
      </w:r>
      <w:r>
        <w:tab/>
      </w:r>
      <w:r>
        <w:tab/>
      </w:r>
      <w:r>
        <w:tab/>
      </w:r>
    </w:p>
    <w:p w14:paraId="45607244" w14:textId="77777777" w:rsidR="00E53EB6" w:rsidRDefault="006500F5">
      <w:pPr>
        <w:pStyle w:val="Zitat"/>
      </w:pPr>
      <w:r>
        <w:t xml:space="preserve">4.10.1 </w:t>
      </w:r>
      <w:r>
        <w:rPr>
          <w:i/>
          <w:iCs/>
          <w:lang w:eastAsia="hi-IN"/>
        </w:rPr>
        <w:t>ágnī</w:t>
      </w:r>
      <w:r>
        <w:rPr>
          <w:i/>
          <w:iCs/>
          <w:lang w:eastAsia="hi-IN"/>
        </w:rPr>
        <w:t>ṣ</w:t>
      </w:r>
      <w:r>
        <w:rPr>
          <w:i/>
          <w:iCs/>
          <w:lang w:eastAsia="hi-IN"/>
        </w:rPr>
        <w:t>omā sávedasā sáhūtī vanata</w:t>
      </w:r>
      <w:r>
        <w:rPr>
          <w:i/>
          <w:iCs/>
          <w:lang w:eastAsia="hi-IN"/>
        </w:rPr>
        <w:t>ṃ</w:t>
      </w:r>
      <w:r>
        <w:rPr>
          <w:i/>
          <w:iCs/>
          <w:lang w:eastAsia="hi-IN"/>
        </w:rPr>
        <w:t xml:space="preserve"> gíra</w:t>
      </w:r>
      <w:r>
        <w:rPr>
          <w:i/>
          <w:iCs/>
          <w:lang w:eastAsia="hi-IN"/>
        </w:rPr>
        <w:t>ḥ</w:t>
      </w:r>
      <w:r>
        <w:rPr>
          <w:i/>
          <w:iCs/>
          <w:lang w:eastAsia="hi-IN"/>
        </w:rPr>
        <w:t xml:space="preserve"> / sá</w:t>
      </w:r>
      <w:r>
        <w:rPr>
          <w:i/>
          <w:iCs/>
          <w:lang w:eastAsia="hi-IN"/>
        </w:rPr>
        <w:t>ṃ</w:t>
      </w:r>
      <w:r>
        <w:rPr>
          <w:i/>
          <w:iCs/>
          <w:lang w:eastAsia="hi-IN"/>
        </w:rPr>
        <w:t xml:space="preserve"> devatrā́ babhūvathu</w:t>
      </w:r>
      <w:r>
        <w:rPr>
          <w:i/>
          <w:iCs/>
          <w:lang w:eastAsia="hi-IN"/>
        </w:rPr>
        <w:t>ḥ</w:t>
      </w:r>
      <w:r>
        <w:rPr>
          <w:i/>
          <w:iCs/>
          <w:lang w:eastAsia="hi-IN"/>
        </w:rPr>
        <w:t xml:space="preserve"> //</w:t>
      </w:r>
      <w:r>
        <w:rPr>
          <w:lang w:eastAsia="hi-IN"/>
        </w:rPr>
        <w:t xml:space="preserve"> </w:t>
      </w:r>
      <w:r>
        <w:rPr>
          <w:i/>
          <w:iCs/>
          <w:lang w:eastAsia="hi-IN"/>
        </w:rPr>
        <w:t>yuvámetā́ni diví rocanā́nyagníśca soma sákratū adhattam / yuvá</w:t>
      </w:r>
      <w:r>
        <w:rPr>
          <w:i/>
          <w:iCs/>
          <w:lang w:eastAsia="hi-IN"/>
        </w:rPr>
        <w:t>ṁ</w:t>
      </w:r>
      <w:r>
        <w:rPr>
          <w:i/>
          <w:iCs/>
          <w:lang w:eastAsia="hi-IN"/>
        </w:rPr>
        <w:t xml:space="preserve"> síndhū</w:t>
      </w:r>
      <w:r>
        <w:rPr>
          <w:i/>
          <w:iCs/>
          <w:lang w:eastAsia="hi-IN"/>
        </w:rPr>
        <w:t>ṁ</w:t>
      </w:r>
      <w:r>
        <w:rPr>
          <w:i/>
          <w:iCs/>
          <w:lang w:eastAsia="hi-IN"/>
        </w:rPr>
        <w:t>rabhíśasteravadyā́dágnī</w:t>
      </w:r>
      <w:r>
        <w:rPr>
          <w:i/>
          <w:iCs/>
          <w:lang w:eastAsia="hi-IN"/>
        </w:rPr>
        <w:t>ṣ</w:t>
      </w:r>
      <w:r>
        <w:rPr>
          <w:i/>
          <w:iCs/>
          <w:lang w:eastAsia="hi-IN"/>
        </w:rPr>
        <w:t>omā amuñcata</w:t>
      </w:r>
      <w:r>
        <w:rPr>
          <w:i/>
          <w:iCs/>
          <w:lang w:eastAsia="hi-IN"/>
        </w:rPr>
        <w:t>ṃ</w:t>
      </w:r>
      <w:r>
        <w:rPr>
          <w:i/>
          <w:iCs/>
          <w:lang w:eastAsia="hi-IN"/>
        </w:rPr>
        <w:t xml:space="preserve"> gr̥bhītā́n //</w:t>
      </w:r>
    </w:p>
    <w:p w14:paraId="200C779E" w14:textId="77777777" w:rsidR="00E53EB6" w:rsidRDefault="006500F5">
      <w:pPr>
        <w:pStyle w:val="Zitat"/>
        <w:autoSpaceDE w:val="0"/>
        <w:rPr>
          <w:rFonts w:ascii="Times Ext Roman" w:hAnsi="Times Ext Roman"/>
          <w:lang w:eastAsia="hi-IN"/>
        </w:rPr>
      </w:pPr>
      <w:r>
        <w:rPr>
          <w:lang w:eastAsia="hi-IN"/>
        </w:rPr>
        <w:t>O Agni and Soma, together invoked, having the same k</w:t>
      </w:r>
      <w:r>
        <w:rPr>
          <w:lang w:eastAsia="hi-IN"/>
        </w:rPr>
        <w:t xml:space="preserve">nowledge, </w:t>
      </w:r>
      <w:r>
        <w:rPr>
          <w:u w:val="single"/>
          <w:lang w:eastAsia="hi-IN"/>
        </w:rPr>
        <w:t>appropriate</w:t>
      </w:r>
      <w:r>
        <w:rPr>
          <w:lang w:eastAsia="hi-IN"/>
        </w:rPr>
        <w:t xml:space="preserve"> the chants, you are</w:t>
      </w:r>
      <w:r>
        <w:rPr>
          <w:rStyle w:val="FootnoteAnchor"/>
          <w:rFonts w:cs="Devanagari MT;Times New Roman"/>
          <w:lang w:eastAsia="hi-IN"/>
        </w:rPr>
        <w:footnoteReference w:id="137"/>
      </w:r>
      <w:r>
        <w:rPr>
          <w:lang w:eastAsia="hi-IN"/>
        </w:rPr>
        <w:t xml:space="preserve"> together in the divine world. You two put those lights in the sky, o Agni and Soma, you, with the same intention; you two, o Agni and Soma, released from curse (misfortune-</w:t>
      </w:r>
      <w:r>
        <w:rPr>
          <w:i/>
          <w:iCs/>
          <w:lang w:eastAsia="hi-IN"/>
        </w:rPr>
        <w:t>abhiśasti-</w:t>
      </w:r>
      <w:r>
        <w:rPr>
          <w:lang w:eastAsia="hi-IN"/>
        </w:rPr>
        <w:t xml:space="preserve">) </w:t>
      </w:r>
      <w:r>
        <w:rPr>
          <w:lang w:eastAsia="hi-IN"/>
        </w:rPr>
        <w:t>and disgrace the rivers which were held back.</w:t>
      </w:r>
    </w:p>
    <w:p w14:paraId="1955A4DE" w14:textId="77777777" w:rsidR="00E53EB6" w:rsidRPr="00B80C6B" w:rsidRDefault="006500F5">
      <w:pPr>
        <w:pStyle w:val="Zitat"/>
        <w:autoSpaceDE w:val="0"/>
        <w:rPr>
          <w:lang w:val="de-DE" w:eastAsia="hi-IN"/>
        </w:rPr>
      </w:pPr>
      <w:r w:rsidRPr="00B80C6B">
        <w:rPr>
          <w:i/>
          <w:iCs/>
          <w:lang w:val="de-DE" w:eastAsia="hi-IN"/>
        </w:rPr>
        <w:t xml:space="preserve">vanatam: </w:t>
      </w:r>
      <w:r w:rsidRPr="00B80C6B">
        <w:rPr>
          <w:lang w:val="de-DE" w:eastAsia="hi-IN"/>
        </w:rPr>
        <w:t>impv. pres. 2</w:t>
      </w:r>
      <w:r w:rsidRPr="00B80C6B">
        <w:rPr>
          <w:vertAlign w:val="superscript"/>
          <w:lang w:val="de-DE" w:eastAsia="hi-IN"/>
        </w:rPr>
        <w:t>nd</w:t>
      </w:r>
      <w:r w:rsidRPr="00B80C6B">
        <w:rPr>
          <w:lang w:val="de-DE" w:eastAsia="hi-IN"/>
        </w:rPr>
        <w:t xml:space="preserve"> </w:t>
      </w:r>
      <w:r w:rsidRPr="00B80C6B">
        <w:rPr>
          <w:lang w:val="de-DE" w:eastAsia="hi-IN"/>
        </w:rPr>
        <w:t>du. I-VI cl.</w:t>
      </w:r>
    </w:p>
    <w:p w14:paraId="05A2A288" w14:textId="77777777" w:rsidR="00E53EB6" w:rsidRPr="00B80C6B" w:rsidRDefault="006500F5">
      <w:pPr>
        <w:pStyle w:val="ZitatmitEinzug"/>
        <w:autoSpaceDE w:val="0"/>
        <w:rPr>
          <w:rFonts w:eastAsia="Arial" w:cs="Times Ext Roman"/>
          <w:szCs w:val="18"/>
          <w:lang w:val="de-DE" w:eastAsia="hi-IN" w:bidi="en-GB"/>
        </w:rPr>
      </w:pPr>
      <w:r w:rsidRPr="00B80C6B">
        <w:rPr>
          <w:rStyle w:val="biblio-authorGEN"/>
          <w:rFonts w:eastAsia="Arial" w:cs="Times Ext Roman"/>
          <w:sz w:val="18"/>
          <w:szCs w:val="15"/>
          <w:lang w:val="de-DE" w:eastAsia="hi-IN" w:bidi="en-GB"/>
        </w:rPr>
        <w:t>Geldner</w:t>
      </w:r>
      <w:r w:rsidRPr="00B80C6B">
        <w:rPr>
          <w:rFonts w:eastAsia="Arial" w:cs="Times Ext Roman"/>
          <w:szCs w:val="18"/>
          <w:lang w:val="de-DE" w:eastAsia="hi-IN" w:bidi="en-GB"/>
        </w:rPr>
        <w:t xml:space="preserve">: </w:t>
      </w:r>
      <w:r w:rsidRPr="00B80C6B">
        <w:rPr>
          <w:rFonts w:eastAsia="Arial" w:cs="Times Ext Roman"/>
          <w:smallCaps/>
          <w:szCs w:val="18"/>
          <w:lang w:val="de-DE" w:eastAsia="hi-IN" w:bidi="en-GB"/>
        </w:rPr>
        <w:t xml:space="preserve"> </w:t>
      </w:r>
      <w:r w:rsidRPr="00B80C6B">
        <w:rPr>
          <w:rFonts w:eastAsia="Arial" w:cs="Times Ext Roman"/>
          <w:szCs w:val="18"/>
          <w:lang w:val="de-DE" w:eastAsia="hi-IN" w:bidi="en-GB"/>
        </w:rPr>
        <w:t>I 120 “nehmet gut auf”</w:t>
      </w:r>
    </w:p>
    <w:p w14:paraId="4B41F2A1" w14:textId="77777777" w:rsidR="00E53EB6" w:rsidRDefault="006500F5">
      <w:pPr>
        <w:pStyle w:val="ZitatmitEinzug"/>
        <w:autoSpaceDE w:val="0"/>
        <w:rPr>
          <w:rFonts w:eastAsia="Arial" w:cs="Times Ext Roman"/>
          <w:szCs w:val="18"/>
          <w:lang w:eastAsia="hi-IN" w:bidi="en-GB"/>
        </w:rPr>
      </w:pPr>
      <w:r>
        <w:rPr>
          <w:rStyle w:val="biblio-authorGEN"/>
          <w:rFonts w:eastAsia="Arial" w:cs="Times Ext Roman"/>
          <w:sz w:val="18"/>
          <w:szCs w:val="15"/>
          <w:lang w:eastAsia="hi-IN" w:bidi="en-GB"/>
        </w:rPr>
        <w:t>Renou</w:t>
      </w:r>
      <w:r>
        <w:rPr>
          <w:rFonts w:eastAsia="Arial" w:cs="Times Ext Roman"/>
          <w:szCs w:val="18"/>
          <w:lang w:eastAsia="hi-IN" w:bidi="en-GB"/>
        </w:rPr>
        <w:t xml:space="preserve">: </w:t>
      </w:r>
      <w:r>
        <w:rPr>
          <w:rFonts w:eastAsia="Arial" w:cs="Times Ext Roman"/>
          <w:smallCaps/>
          <w:szCs w:val="18"/>
          <w:lang w:eastAsia="hi-IN" w:bidi="en-GB"/>
        </w:rPr>
        <w:t xml:space="preserve"> </w:t>
      </w:r>
      <w:r>
        <w:rPr>
          <w:rFonts w:eastAsia="Arial" w:cs="Times Ext Roman"/>
          <w:szCs w:val="18"/>
          <w:lang w:eastAsia="hi-IN" w:bidi="en-GB"/>
        </w:rPr>
        <w:t>IX 73 “trouvez-agréable”</w:t>
      </w:r>
    </w:p>
    <w:p w14:paraId="3C05DF4F" w14:textId="77777777" w:rsidR="00E53EB6" w:rsidRDefault="006500F5">
      <w:pPr>
        <w:pStyle w:val="ZitatmitEinzug"/>
        <w:autoSpaceDE w:val="0"/>
        <w:rPr>
          <w:rFonts w:eastAsia="Arial" w:cs="Times Ext Roman"/>
          <w:szCs w:val="18"/>
          <w:lang w:eastAsia="hi-IN" w:bidi="en-GB"/>
        </w:rPr>
      </w:pPr>
      <w:r>
        <w:rPr>
          <w:rStyle w:val="biblio-authorGEN"/>
          <w:rFonts w:eastAsia="Arial" w:cs="Times Ext Roman"/>
          <w:sz w:val="18"/>
          <w:szCs w:val="15"/>
          <w:lang w:eastAsia="hi-IN" w:bidi="en-GB"/>
        </w:rPr>
        <w:t>Witzel-Gotō</w:t>
      </w:r>
      <w:r>
        <w:rPr>
          <w:rFonts w:eastAsia="Arial" w:cs="Times Ext Roman"/>
          <w:szCs w:val="18"/>
          <w:lang w:eastAsia="hi-IN" w:bidi="en-GB"/>
        </w:rPr>
        <w:t xml:space="preserve"> 2007: 166 “liebt”</w:t>
      </w:r>
    </w:p>
    <w:p w14:paraId="4854A4DA" w14:textId="77777777" w:rsidR="00E53EB6" w:rsidRDefault="006500F5">
      <w:pPr>
        <w:pStyle w:val="HaupttextnachZitat"/>
        <w:numPr>
          <w:ilvl w:val="2"/>
          <w:numId w:val="2"/>
        </w:numPr>
        <w:tabs>
          <w:tab w:val="left" w:pos="0"/>
        </w:tabs>
      </w:pPr>
      <w:r>
        <w:t>Vedic Web:</w:t>
      </w:r>
    </w:p>
    <w:p w14:paraId="72452026" w14:textId="77777777" w:rsidR="00E53EB6" w:rsidRDefault="006500F5">
      <w:pPr>
        <w:pStyle w:val="HaupttextohneEinzug"/>
      </w:pPr>
      <w:r>
        <w:t>Mantra: R</w:t>
      </w:r>
      <w:r>
        <w:rPr>
          <w:rFonts w:eastAsia="Arial" w:cs="Devanagari MT;Times New Roman"/>
          <w:sz w:val="18"/>
          <w:szCs w:val="18"/>
          <w:lang w:eastAsia="hi-IN" w:bidi="en-GB"/>
        </w:rPr>
        <w:t>̥</w:t>
      </w:r>
      <w:r>
        <w:t>V 1.93.9; .5; TS 2.3.14.1g-2h; KS 4.16: 42,20-21; 43,1-2 ; TB 3.5.7.2.</w:t>
      </w:r>
    </w:p>
    <w:p w14:paraId="60EF53A7" w14:textId="77777777" w:rsidR="00E53EB6" w:rsidRDefault="006500F5">
      <w:pPr>
        <w:pStyle w:val="HaupttextohneEinzug"/>
      </w:pPr>
      <w:r>
        <w:t>Prose: TS 2.3.3.4.</w:t>
      </w:r>
    </w:p>
    <w:p w14:paraId="586925A1" w14:textId="77777777" w:rsidR="00E53EB6" w:rsidRDefault="00E53EB6">
      <w:pPr>
        <w:pStyle w:val="HaupttextohneEinzug"/>
      </w:pPr>
    </w:p>
    <w:p w14:paraId="54D563E9" w14:textId="77777777" w:rsidR="00E53EB6" w:rsidRDefault="006500F5">
      <w:pPr>
        <w:pStyle w:val="HaupttextohneEinzug"/>
      </w:pPr>
      <w:r>
        <w:t xml:space="preserve">Rite </w:t>
      </w:r>
    </w:p>
    <w:p w14:paraId="1966B3FE" w14:textId="77777777" w:rsidR="00E53EB6" w:rsidRDefault="006500F5">
      <w:pPr>
        <w:pStyle w:val="HaupttextohneEinzug"/>
      </w:pPr>
      <w:r>
        <w:t xml:space="preserve">Special Offerings, </w:t>
      </w:r>
      <w:r>
        <w:rPr>
          <w:i/>
          <w:iCs/>
        </w:rPr>
        <w:t>mantra</w:t>
      </w:r>
      <w:r>
        <w:t xml:space="preserve">s of the </w:t>
      </w:r>
      <w:r>
        <w:rPr>
          <w:i/>
          <w:iCs/>
        </w:rPr>
        <w:t>hotr</w:t>
      </w:r>
      <w:r>
        <w:rPr>
          <w:rFonts w:eastAsia="Arial" w:cs="Devanagari MT;Times New Roman"/>
          <w:sz w:val="18"/>
          <w:szCs w:val="18"/>
          <w:lang w:eastAsia="hi-IN" w:bidi="en-GB"/>
        </w:rPr>
        <w:t>̥</w:t>
      </w:r>
      <w:r>
        <w:rPr>
          <w:rFonts w:eastAsia="Arial" w:cs="Devanagari MT;Times New Roman"/>
          <w:i/>
          <w:iCs/>
          <w:sz w:val="18"/>
          <w:szCs w:val="18"/>
          <w:lang w:eastAsia="hi-IN" w:bidi="en-GB"/>
        </w:rPr>
        <w:t xml:space="preserve"> </w:t>
      </w:r>
      <w:r>
        <w:t>for Kāmye</w:t>
      </w:r>
      <w:r>
        <w:t>ṣ</w:t>
      </w:r>
      <w:r>
        <w:t xml:space="preserve">tiyājyās, offerings to Agni as desire. </w:t>
      </w:r>
    </w:p>
    <w:p w14:paraId="1413E2A8" w14:textId="77777777" w:rsidR="00E53EB6" w:rsidRDefault="00E53EB6">
      <w:pPr>
        <w:pStyle w:val="HaupttextohneEinzug"/>
      </w:pPr>
    </w:p>
    <w:p w14:paraId="59EAF02A" w14:textId="77777777" w:rsidR="00E53EB6" w:rsidRDefault="006500F5">
      <w:pPr>
        <w:pStyle w:val="Heading5"/>
        <w:tabs>
          <w:tab w:val="left" w:pos="0"/>
        </w:tabs>
      </w:pPr>
      <w:r>
        <w:rPr>
          <w:u w:val="single"/>
        </w:rPr>
        <w:t>MS 4.10.6: 156,8-9</w:t>
      </w:r>
      <w:r>
        <w:tab/>
      </w:r>
      <w:r>
        <w:tab/>
      </w:r>
      <w:r>
        <w:tab/>
      </w:r>
      <w:r>
        <w:tab/>
      </w:r>
      <w:r>
        <w:tab/>
      </w:r>
      <w:r>
        <w:tab/>
      </w:r>
      <w:r>
        <w:tab/>
      </w:r>
    </w:p>
    <w:p w14:paraId="250C70BF" w14:textId="77777777" w:rsidR="00E53EB6" w:rsidRDefault="006500F5">
      <w:pPr>
        <w:pStyle w:val="Zitat"/>
      </w:pPr>
      <w:r>
        <w:t xml:space="preserve">4.10.6 </w:t>
      </w:r>
      <w:r>
        <w:rPr>
          <w:i/>
          <w:iCs/>
          <w:lang w:eastAsia="hi-IN"/>
        </w:rPr>
        <w:t>tváyā hí na</w:t>
      </w:r>
      <w:r>
        <w:rPr>
          <w:i/>
          <w:iCs/>
          <w:lang w:eastAsia="hi-IN"/>
        </w:rPr>
        <w:t>ḥ</w:t>
      </w:r>
      <w:r>
        <w:rPr>
          <w:i/>
          <w:iCs/>
          <w:lang w:eastAsia="hi-IN"/>
        </w:rPr>
        <w:t xml:space="preserve"> pitára</w:t>
      </w:r>
      <w:r>
        <w:rPr>
          <w:i/>
          <w:iCs/>
          <w:lang w:eastAsia="hi-IN"/>
        </w:rPr>
        <w:t>ḥ</w:t>
      </w:r>
      <w:r>
        <w:rPr>
          <w:i/>
          <w:iCs/>
          <w:lang w:eastAsia="hi-IN"/>
        </w:rPr>
        <w:t xml:space="preserve"> soma pū́rve kármā</w:t>
      </w:r>
      <w:r>
        <w:rPr>
          <w:i/>
          <w:iCs/>
          <w:lang w:eastAsia="hi-IN"/>
        </w:rPr>
        <w:t>ṇ</w:t>
      </w:r>
      <w:r>
        <w:rPr>
          <w:i/>
          <w:iCs/>
          <w:lang w:eastAsia="hi-IN"/>
        </w:rPr>
        <w:t>i cakrú</w:t>
      </w:r>
      <w:r>
        <w:rPr>
          <w:i/>
          <w:iCs/>
          <w:lang w:eastAsia="hi-IN"/>
        </w:rPr>
        <w:t>ḥ</w:t>
      </w:r>
      <w:r>
        <w:rPr>
          <w:i/>
          <w:iCs/>
          <w:lang w:eastAsia="hi-IN"/>
        </w:rPr>
        <w:t xml:space="preserve"> pavamāna dhī́rā</w:t>
      </w:r>
      <w:r>
        <w:rPr>
          <w:i/>
          <w:iCs/>
          <w:lang w:eastAsia="hi-IN"/>
        </w:rPr>
        <w:t>ḥ</w:t>
      </w:r>
      <w:r>
        <w:rPr>
          <w:i/>
          <w:iCs/>
          <w:lang w:eastAsia="hi-IN"/>
        </w:rPr>
        <w:t xml:space="preserve"> / vanvánn ávāta</w:t>
      </w:r>
      <w:r>
        <w:rPr>
          <w:i/>
          <w:iCs/>
          <w:lang w:eastAsia="hi-IN"/>
        </w:rPr>
        <w:t>ḥ</w:t>
      </w:r>
      <w:r>
        <w:rPr>
          <w:i/>
          <w:iCs/>
          <w:lang w:eastAsia="hi-IN"/>
        </w:rPr>
        <w:t xml:space="preserve"> paridhī́</w:t>
      </w:r>
      <w:r>
        <w:rPr>
          <w:i/>
          <w:iCs/>
          <w:lang w:eastAsia="hi-IN"/>
        </w:rPr>
        <w:t>ṁ</w:t>
      </w:r>
      <w:r>
        <w:rPr>
          <w:i/>
          <w:iCs/>
          <w:lang w:eastAsia="hi-IN"/>
        </w:rPr>
        <w:t>rápor</w:t>
      </w:r>
      <w:r>
        <w:rPr>
          <w:i/>
          <w:iCs/>
          <w:lang w:eastAsia="hi-IN"/>
        </w:rPr>
        <w:t>ṇ</w:t>
      </w:r>
      <w:r>
        <w:rPr>
          <w:i/>
          <w:iCs/>
          <w:lang w:eastAsia="hi-IN"/>
        </w:rPr>
        <w:t>u vīrébhiráśvairmaghávā bhavā na</w:t>
      </w:r>
      <w:r>
        <w:rPr>
          <w:i/>
          <w:iCs/>
          <w:lang w:eastAsia="hi-IN"/>
        </w:rPr>
        <w:t>ḥ</w:t>
      </w:r>
      <w:r>
        <w:rPr>
          <w:i/>
          <w:iCs/>
          <w:lang w:eastAsia="hi-IN"/>
        </w:rPr>
        <w:t xml:space="preserve"> /</w:t>
      </w:r>
      <w:r>
        <w:rPr>
          <w:i/>
          <w:iCs/>
          <w:lang w:eastAsia="hi-IN"/>
        </w:rPr>
        <w:t>/</w:t>
      </w:r>
    </w:p>
    <w:p w14:paraId="694E2208" w14:textId="77777777" w:rsidR="00E53EB6" w:rsidRDefault="006500F5">
      <w:pPr>
        <w:pStyle w:val="Zitat"/>
        <w:autoSpaceDE w:val="0"/>
        <w:rPr>
          <w:rFonts w:ascii="Times Ext Roman" w:hAnsi="Times Ext Roman"/>
          <w:lang w:eastAsia="hi-IN"/>
        </w:rPr>
      </w:pPr>
      <w:r>
        <w:rPr>
          <w:lang w:eastAsia="hi-IN"/>
        </w:rPr>
        <w:t>Through you, o Soma, our  fathers, who got the vision, have formerly</w:t>
      </w:r>
      <w:r>
        <w:rPr>
          <w:rStyle w:val="FootnoteAnchor"/>
          <w:rFonts w:cs="Devanagari MT;Times New Roman"/>
          <w:lang w:eastAsia="hi-IN"/>
        </w:rPr>
        <w:footnoteReference w:id="138"/>
      </w:r>
      <w:r>
        <w:rPr>
          <w:lang w:eastAsia="hi-IN"/>
        </w:rPr>
        <w:t xml:space="preserve"> accomplished the sacrifices, o Pavamāna; you, who </w:t>
      </w:r>
      <w:r>
        <w:rPr>
          <w:u w:val="single"/>
          <w:lang w:eastAsia="hi-IN"/>
        </w:rPr>
        <w:t>appropriate</w:t>
      </w:r>
      <w:r>
        <w:rPr>
          <w:lang w:eastAsia="hi-IN"/>
        </w:rPr>
        <w:t xml:space="preserve"> </w:t>
      </w:r>
      <w:r>
        <w:rPr>
          <w:u w:val="single"/>
          <w:lang w:eastAsia="hi-IN"/>
        </w:rPr>
        <w:t>without being appropriated</w:t>
      </w:r>
      <w:r>
        <w:rPr>
          <w:lang w:eastAsia="hi-IN"/>
        </w:rPr>
        <w:t>, open the enclosures</w:t>
      </w:r>
      <w:r>
        <w:rPr>
          <w:rStyle w:val="FootnoteAnchor"/>
          <w:rFonts w:cs="Devanagari MT;Times New Roman"/>
          <w:lang w:eastAsia="hi-IN"/>
        </w:rPr>
        <w:footnoteReference w:id="139"/>
      </w:r>
      <w:r>
        <w:rPr>
          <w:lang w:eastAsia="hi-IN"/>
        </w:rPr>
        <w:t>, be for us liberal with heroes and horses.</w:t>
      </w:r>
    </w:p>
    <w:p w14:paraId="757C7428" w14:textId="77777777" w:rsidR="00E53EB6" w:rsidRDefault="006500F5">
      <w:pPr>
        <w:pStyle w:val="Zitat"/>
        <w:autoSpaceDE w:val="0"/>
        <w:rPr>
          <w:lang w:eastAsia="hi-IN"/>
        </w:rPr>
      </w:pPr>
      <w:r>
        <w:rPr>
          <w:i/>
          <w:iCs/>
          <w:lang w:eastAsia="hi-IN"/>
        </w:rPr>
        <w:t xml:space="preserve">vanván: </w:t>
      </w:r>
      <w:r>
        <w:rPr>
          <w:lang w:eastAsia="hi-IN"/>
        </w:rPr>
        <w:t xml:space="preserve">part. pres. nom. </w:t>
      </w:r>
      <w:r>
        <w:rPr>
          <w:lang w:eastAsia="hi-IN"/>
        </w:rPr>
        <w:t>m. sing.  VIII cl.</w:t>
      </w:r>
    </w:p>
    <w:p w14:paraId="428107E9" w14:textId="77777777" w:rsidR="00E53EB6" w:rsidRDefault="006500F5">
      <w:pPr>
        <w:pStyle w:val="ZitatnachZitat"/>
        <w:autoSpaceDE w:val="0"/>
        <w:rPr>
          <w:rFonts w:eastAsia="Arial" w:cs="Times Ext Roman"/>
          <w:szCs w:val="18"/>
          <w:lang w:eastAsia="hi-IN" w:bidi="en-GB"/>
        </w:rPr>
      </w:pPr>
      <w:r>
        <w:rPr>
          <w:rFonts w:eastAsia="Arial" w:cs="Times Ext Roman"/>
          <w:i/>
          <w:iCs/>
          <w:szCs w:val="18"/>
          <w:lang w:eastAsia="hi-IN" w:bidi="en-GB"/>
        </w:rPr>
        <w:t>ávāta</w:t>
      </w:r>
      <w:r>
        <w:rPr>
          <w:rFonts w:eastAsia="Arial" w:cs="Times Ext Roman"/>
          <w:i/>
          <w:iCs/>
          <w:szCs w:val="18"/>
          <w:lang w:eastAsia="hi-IN" w:bidi="en-GB"/>
        </w:rPr>
        <w:t>ḥ</w:t>
      </w:r>
      <w:r>
        <w:rPr>
          <w:rFonts w:eastAsia="Arial" w:cs="Times Ext Roman"/>
          <w:szCs w:val="18"/>
          <w:lang w:eastAsia="hi-IN" w:bidi="en-GB"/>
        </w:rPr>
        <w:t xml:space="preserve">: nom. m. sing. from </w:t>
      </w:r>
      <w:r>
        <w:rPr>
          <w:rFonts w:eastAsia="Arial" w:cs="Times Ext Roman"/>
          <w:i/>
          <w:iCs/>
          <w:szCs w:val="18"/>
          <w:lang w:eastAsia="hi-IN" w:bidi="en-GB"/>
        </w:rPr>
        <w:t>ávāta</w:t>
      </w:r>
      <w:r>
        <w:rPr>
          <w:rFonts w:eastAsia="Arial" w:cs="Times Ext Roman"/>
          <w:szCs w:val="18"/>
          <w:lang w:eastAsia="hi-IN" w:bidi="en-GB"/>
        </w:rPr>
        <w:t xml:space="preserve"> (adj.) </w:t>
      </w:r>
    </w:p>
    <w:p w14:paraId="6B194657" w14:textId="77777777" w:rsidR="00E53EB6" w:rsidRDefault="006500F5">
      <w:pPr>
        <w:pStyle w:val="ZitatmitEinzug"/>
        <w:autoSpaceDE w:val="0"/>
        <w:rPr>
          <w:rFonts w:eastAsia="Arial" w:cs="Times Ext Roman"/>
          <w:szCs w:val="18"/>
          <w:lang w:eastAsia="hi-IN" w:bidi="en-GB"/>
        </w:rPr>
      </w:pPr>
      <w:r>
        <w:rPr>
          <w:rStyle w:val="biblio-authorGEN"/>
          <w:rFonts w:eastAsia="Arial" w:cs="Times Ext Roman"/>
          <w:sz w:val="18"/>
          <w:szCs w:val="15"/>
          <w:lang w:eastAsia="hi-IN" w:bidi="en-GB"/>
        </w:rPr>
        <w:t>Geldner</w:t>
      </w:r>
      <w:r>
        <w:rPr>
          <w:rFonts w:eastAsia="Arial" w:cs="Times Ext Roman"/>
          <w:szCs w:val="18"/>
          <w:lang w:eastAsia="hi-IN" w:bidi="en-GB"/>
        </w:rPr>
        <w:t>: III 93 “überwinder unüberwundene”</w:t>
      </w:r>
    </w:p>
    <w:p w14:paraId="43AC697F" w14:textId="77777777" w:rsidR="00E53EB6" w:rsidRDefault="006500F5">
      <w:pPr>
        <w:pStyle w:val="ZitatmitEinzug"/>
        <w:autoSpaceDE w:val="0"/>
        <w:rPr>
          <w:rFonts w:eastAsia="Arial" w:cs="Times Ext Roman"/>
          <w:szCs w:val="18"/>
          <w:lang w:eastAsia="hi-IN" w:bidi="en-GB"/>
        </w:rPr>
      </w:pPr>
      <w:r>
        <w:rPr>
          <w:rStyle w:val="biblio-authorGEN"/>
          <w:rFonts w:eastAsia="Arial" w:cs="Times Ext Roman"/>
          <w:sz w:val="18"/>
          <w:szCs w:val="15"/>
          <w:lang w:eastAsia="hi-IN" w:bidi="en-GB"/>
        </w:rPr>
        <w:t>Renou</w:t>
      </w:r>
      <w:r>
        <w:rPr>
          <w:rFonts w:eastAsia="Arial" w:cs="Times Ext Roman"/>
          <w:szCs w:val="18"/>
          <w:lang w:eastAsia="hi-IN" w:bidi="en-GB"/>
        </w:rPr>
        <w:t>: IX 44 “qui gagnes sans que nul gagne contre toi”</w:t>
      </w:r>
    </w:p>
    <w:p w14:paraId="48580A92" w14:textId="77777777" w:rsidR="00E53EB6" w:rsidRDefault="006500F5">
      <w:pPr>
        <w:pStyle w:val="HaupttextnachZitat"/>
        <w:numPr>
          <w:ilvl w:val="2"/>
          <w:numId w:val="2"/>
        </w:numPr>
        <w:tabs>
          <w:tab w:val="left" w:pos="0"/>
        </w:tabs>
      </w:pPr>
      <w:r>
        <w:lastRenderedPageBreak/>
        <w:t>Vedic Web:</w:t>
      </w:r>
    </w:p>
    <w:p w14:paraId="749A7048" w14:textId="77777777" w:rsidR="00E53EB6" w:rsidRPr="00B80C6B" w:rsidRDefault="006500F5">
      <w:pPr>
        <w:pStyle w:val="HaupttextohneEinzug"/>
        <w:rPr>
          <w:lang w:val="de-DE"/>
        </w:rPr>
      </w:pPr>
      <w:r w:rsidRPr="00B80C6B">
        <w:rPr>
          <w:lang w:val="de-DE"/>
        </w:rPr>
        <w:t>Mantra: R</w:t>
      </w:r>
      <w:r w:rsidRPr="00B80C6B">
        <w:rPr>
          <w:rFonts w:eastAsia="Arial" w:cs="Devanagari MT;Times New Roman"/>
          <w:sz w:val="18"/>
          <w:szCs w:val="18"/>
          <w:lang w:val="de-DE" w:eastAsia="hi-IN" w:bidi="en-GB"/>
        </w:rPr>
        <w:t>̥</w:t>
      </w:r>
      <w:r w:rsidRPr="00B80C6B">
        <w:rPr>
          <w:lang w:val="de-DE"/>
        </w:rPr>
        <w:t>V 9.96.11; TS 2.6.12.1c; KS 21.14: 55,7-8; VS 19.53.</w:t>
      </w:r>
    </w:p>
    <w:p w14:paraId="63D273EA" w14:textId="77777777" w:rsidR="00E53EB6" w:rsidRPr="00B80C6B" w:rsidRDefault="00E53EB6">
      <w:pPr>
        <w:pStyle w:val="HaupttextohneEinzug"/>
        <w:rPr>
          <w:lang w:val="de-DE"/>
        </w:rPr>
      </w:pPr>
    </w:p>
    <w:p w14:paraId="1BB5B84B" w14:textId="77777777" w:rsidR="00E53EB6" w:rsidRDefault="006500F5">
      <w:pPr>
        <w:pStyle w:val="HaupttextohneEinzug"/>
      </w:pPr>
      <w:r>
        <w:t>Rite</w:t>
      </w:r>
    </w:p>
    <w:p w14:paraId="256BD862" w14:textId="77777777" w:rsidR="00E53EB6" w:rsidRDefault="006500F5">
      <w:pPr>
        <w:pStyle w:val="HaupttextohneEinzug"/>
      </w:pPr>
      <w:r>
        <w:t xml:space="preserve">In TS, MS: </w:t>
      </w:r>
      <w:r>
        <w:t>Darśapur</w:t>
      </w:r>
      <w:r>
        <w:t>ṇ</w:t>
      </w:r>
      <w:r>
        <w:t>amāse</w:t>
      </w:r>
      <w:r>
        <w:t>ṣṭ</w:t>
      </w:r>
      <w:r>
        <w:t>ī, Pitr</w:t>
      </w:r>
      <w:r>
        <w:rPr>
          <w:rFonts w:eastAsia="Arial" w:cs="Devanagari MT;Times New Roman"/>
          <w:sz w:val="18"/>
          <w:szCs w:val="18"/>
          <w:lang w:eastAsia="hi-IN" w:bidi="en-GB"/>
        </w:rPr>
        <w:t>̥</w:t>
      </w:r>
      <w:r>
        <w:t xml:space="preserve">yajña, </w:t>
      </w:r>
      <w:r>
        <w:rPr>
          <w:i/>
          <w:iCs/>
        </w:rPr>
        <w:t>puronuvākya</w:t>
      </w:r>
      <w:r>
        <w:t xml:space="preserve"> of the </w:t>
      </w:r>
      <w:r>
        <w:rPr>
          <w:i/>
          <w:iCs/>
        </w:rPr>
        <w:t>hotr</w:t>
      </w:r>
      <w:r>
        <w:rPr>
          <w:rFonts w:eastAsia="Arial" w:cs="Devanagari MT;Times New Roman"/>
          <w:sz w:val="18"/>
          <w:szCs w:val="18"/>
          <w:lang w:eastAsia="hi-IN" w:bidi="en-GB"/>
        </w:rPr>
        <w:t>̥</w:t>
      </w:r>
      <w:r>
        <w:rPr>
          <w:i/>
          <w:iCs/>
        </w:rPr>
        <w:t xml:space="preserve"> </w:t>
      </w:r>
      <w:r>
        <w:t>to accompany the offering of a cake on 6 potsherds to Soma Pitr</w:t>
      </w:r>
      <w:r>
        <w:rPr>
          <w:rFonts w:eastAsia="Arial" w:cs="Devanagari MT;Times New Roman"/>
          <w:sz w:val="18"/>
          <w:szCs w:val="18"/>
          <w:lang w:eastAsia="hi-IN" w:bidi="en-GB"/>
        </w:rPr>
        <w:t>̥</w:t>
      </w:r>
      <w:r>
        <w:t>mant.</w:t>
      </w:r>
    </w:p>
    <w:p w14:paraId="3558F7DA" w14:textId="77777777" w:rsidR="00E53EB6" w:rsidRDefault="006500F5">
      <w:pPr>
        <w:pStyle w:val="HaupttextohneEinzug"/>
      </w:pPr>
      <w:r>
        <w:t>In VS: Sautrāma</w:t>
      </w:r>
      <w:r>
        <w:t>ṇ</w:t>
      </w:r>
      <w:r>
        <w:t xml:space="preserve">ī, a </w:t>
      </w:r>
      <w:r>
        <w:fldChar w:fldCharType="begin"/>
      </w:r>
      <w:r>
        <w:instrText>XE "ceremony"</w:instrText>
      </w:r>
      <w:r>
        <w:fldChar w:fldCharType="end"/>
      </w:r>
      <w:r>
        <w:t xml:space="preserve"> constructed as a </w:t>
      </w:r>
      <w:r>
        <w:rPr>
          <w:i/>
          <w:iCs/>
        </w:rPr>
        <w:t xml:space="preserve">surā </w:t>
      </w:r>
      <w:r>
        <w:t xml:space="preserve">sacrifice </w:t>
      </w:r>
      <w:r>
        <w:t xml:space="preserve">to expiate the excessive consumption of Soma and then all other transgressions or mistakes. This </w:t>
      </w:r>
      <w:r>
        <w:rPr>
          <w:i/>
          <w:iCs/>
        </w:rPr>
        <w:t>mantra</w:t>
      </w:r>
      <w:r>
        <w:t xml:space="preserve"> is a formula for oblation to</w:t>
      </w:r>
      <w:r>
        <w:t xml:space="preserve"> the Fathers.</w:t>
      </w:r>
    </w:p>
    <w:p w14:paraId="31292E47" w14:textId="77777777" w:rsidR="00E53EB6" w:rsidRDefault="00E53EB6">
      <w:pPr>
        <w:pStyle w:val="HaupttextohneEinzug"/>
      </w:pPr>
    </w:p>
    <w:p w14:paraId="13E12998" w14:textId="77777777" w:rsidR="00E53EB6" w:rsidRDefault="006500F5">
      <w:pPr>
        <w:pStyle w:val="Heading5"/>
        <w:tabs>
          <w:tab w:val="left" w:pos="0"/>
        </w:tabs>
      </w:pPr>
      <w:r>
        <w:rPr>
          <w:u w:val="single"/>
        </w:rPr>
        <w:t>MS 4.13.1: 199,2-7</w:t>
      </w:r>
      <w:r>
        <w:tab/>
      </w:r>
      <w:r>
        <w:tab/>
      </w:r>
      <w:r>
        <w:tab/>
      </w:r>
      <w:r>
        <w:tab/>
      </w:r>
      <w:r>
        <w:tab/>
      </w:r>
      <w:r>
        <w:tab/>
      </w:r>
      <w:r>
        <w:tab/>
      </w:r>
      <w:r>
        <w:tab/>
      </w:r>
      <w:r>
        <w:tab/>
      </w:r>
      <w:r>
        <w:tab/>
      </w:r>
    </w:p>
    <w:p w14:paraId="400570DA" w14:textId="77777777" w:rsidR="00E53EB6" w:rsidRDefault="006500F5">
      <w:pPr>
        <w:pStyle w:val="Zitat"/>
      </w:pPr>
      <w:r>
        <w:t>4.13.1</w:t>
      </w:r>
      <w:r>
        <w:rPr>
          <w:i/>
          <w:iCs/>
        </w:rPr>
        <w:t xml:space="preserve"> añjánti tvā́m adhvaré devayánta</w:t>
      </w:r>
      <w:r>
        <w:rPr>
          <w:i/>
          <w:iCs/>
        </w:rPr>
        <w:t>ḥ</w:t>
      </w:r>
      <w:r>
        <w:rPr>
          <w:i/>
          <w:iCs/>
        </w:rPr>
        <w:t xml:space="preserve"> / vánaspate mádhunā dáivyena / yád ūrdhvás ti</w:t>
      </w:r>
      <w:r>
        <w:rPr>
          <w:i/>
          <w:iCs/>
        </w:rPr>
        <w:t>ṣṭ</w:t>
      </w:r>
      <w:r>
        <w:rPr>
          <w:i/>
          <w:iCs/>
        </w:rPr>
        <w:t>hā</w:t>
      </w:r>
      <w:r>
        <w:t xml:space="preserve"> </w:t>
      </w:r>
      <w:r>
        <w:rPr>
          <w:i/>
          <w:iCs/>
        </w:rPr>
        <w:t>drávi</w:t>
      </w:r>
      <w:r>
        <w:rPr>
          <w:i/>
          <w:iCs/>
        </w:rPr>
        <w:t>ṇ</w:t>
      </w:r>
      <w:r>
        <w:rPr>
          <w:i/>
          <w:iCs/>
        </w:rPr>
        <w:t>ehá dhattāt / yád vā k</w:t>
      </w:r>
      <w:r>
        <w:rPr>
          <w:i/>
          <w:iCs/>
        </w:rPr>
        <w:t>ṣ</w:t>
      </w:r>
      <w:r>
        <w:rPr>
          <w:i/>
          <w:iCs/>
        </w:rPr>
        <w:t>áyo mātúr asyā́ upásthe</w:t>
      </w:r>
      <w:r>
        <w:rPr>
          <w:rStyle w:val="FootnoteAnchor"/>
          <w:i/>
          <w:iCs/>
        </w:rPr>
        <w:footnoteReference w:id="140"/>
      </w:r>
      <w:r>
        <w:rPr>
          <w:i/>
          <w:iCs/>
        </w:rPr>
        <w:t xml:space="preserve"> / úcchrayasva vanaspate / vár</w:t>
      </w:r>
      <w:r>
        <w:rPr>
          <w:i/>
          <w:iCs/>
        </w:rPr>
        <w:t>ṣ</w:t>
      </w:r>
      <w:r>
        <w:rPr>
          <w:i/>
          <w:iCs/>
        </w:rPr>
        <w:t>aman pr̥thivyā́ ádhi / súmitī mīyámān</w:t>
      </w:r>
      <w:r>
        <w:rPr>
          <w:i/>
          <w:iCs/>
        </w:rPr>
        <w:t>a</w:t>
      </w:r>
      <w:r>
        <w:rPr>
          <w:i/>
          <w:iCs/>
        </w:rPr>
        <w:t>ḥ</w:t>
      </w:r>
      <w:r>
        <w:rPr>
          <w:i/>
          <w:iCs/>
        </w:rPr>
        <w:t xml:space="preserve"> / várco dhā yajñávāhase</w:t>
      </w:r>
      <w:r>
        <w:rPr>
          <w:rStyle w:val="FootnoteAnchor"/>
          <w:i/>
          <w:iCs/>
        </w:rPr>
        <w:footnoteReference w:id="141"/>
      </w:r>
      <w:r>
        <w:rPr>
          <w:i/>
          <w:iCs/>
        </w:rPr>
        <w:t xml:space="preserve"> / sámiddhasya śráyamā</w:t>
      </w:r>
      <w:r>
        <w:rPr>
          <w:i/>
          <w:iCs/>
        </w:rPr>
        <w:t>ṇ</w:t>
      </w:r>
      <w:r>
        <w:rPr>
          <w:i/>
          <w:iCs/>
        </w:rPr>
        <w:t>a</w:t>
      </w:r>
      <w:r>
        <w:rPr>
          <w:i/>
          <w:iCs/>
        </w:rPr>
        <w:t>ḥ</w:t>
      </w:r>
      <w:r>
        <w:rPr>
          <w:i/>
          <w:iCs/>
        </w:rPr>
        <w:t xml:space="preserve"> purástāt / bráhma vanvānó ajáram̐ suvī́ram // āré asmád ámati</w:t>
      </w:r>
      <w:r>
        <w:rPr>
          <w:i/>
          <w:iCs/>
        </w:rPr>
        <w:t>ṃ</w:t>
      </w:r>
      <w:r>
        <w:rPr>
          <w:i/>
          <w:iCs/>
        </w:rPr>
        <w:t xml:space="preserve"> bā́dhamāna</w:t>
      </w:r>
      <w:r>
        <w:rPr>
          <w:i/>
          <w:iCs/>
        </w:rPr>
        <w:t>ḥ</w:t>
      </w:r>
      <w:r>
        <w:rPr>
          <w:i/>
          <w:iCs/>
        </w:rPr>
        <w:t xml:space="preserve"> / úcchrayasva mahaté sáubhagāya</w:t>
      </w:r>
      <w:r>
        <w:rPr>
          <w:rStyle w:val="FootnoteAnchor"/>
          <w:i/>
          <w:iCs/>
        </w:rPr>
        <w:footnoteReference w:id="142"/>
      </w:r>
      <w:r>
        <w:rPr>
          <w:i/>
          <w:iCs/>
        </w:rPr>
        <w:t xml:space="preserve"> /</w:t>
      </w:r>
    </w:p>
    <w:p w14:paraId="2BC743B9" w14:textId="77777777" w:rsidR="00E53EB6" w:rsidRDefault="006500F5">
      <w:pPr>
        <w:pStyle w:val="Zitat"/>
      </w:pPr>
      <w:r>
        <w:t>Those seeking for the gods</w:t>
      </w:r>
      <w:r>
        <w:rPr>
          <w:rStyle w:val="FootnoteAnchor"/>
        </w:rPr>
        <w:footnoteReference w:id="143"/>
      </w:r>
      <w:r>
        <w:t xml:space="preserve"> anoint you in the sacrifice, o Vanaspati</w:t>
      </w:r>
      <w:r>
        <w:rPr>
          <w:rStyle w:val="FootnoteAnchor"/>
        </w:rPr>
        <w:footnoteReference w:id="144"/>
      </w:r>
      <w:r>
        <w:t xml:space="preserve">, with divine </w:t>
      </w:r>
      <w:r>
        <w:t>sweetness</w:t>
      </w:r>
      <w:r>
        <w:rPr>
          <w:rStyle w:val="FootnoteAnchor"/>
        </w:rPr>
        <w:footnoteReference w:id="145"/>
      </w:r>
      <w:r>
        <w:t>, when you would stay erect, then bring here movable goods, or when you rest in the lap of this mother; incline upwards, o Vanaspati, over the top of the earth, founded with a good founding</w:t>
      </w:r>
      <w:r>
        <w:rPr>
          <w:rStyle w:val="FootnoteAnchor"/>
        </w:rPr>
        <w:footnoteReference w:id="146"/>
      </w:r>
      <w:r>
        <w:t>, bestow the radiance</w:t>
      </w:r>
      <w:r>
        <w:rPr>
          <w:rStyle w:val="FootnoteAnchor"/>
        </w:rPr>
        <w:footnoteReference w:id="147"/>
      </w:r>
      <w:r>
        <w:t xml:space="preserve"> to the one who carries the sac</w:t>
      </w:r>
      <w:r>
        <w:t>rifice; reclining in front of the kindled one</w:t>
      </w:r>
      <w:r>
        <w:rPr>
          <w:rStyle w:val="FootnoteAnchor"/>
        </w:rPr>
        <w:footnoteReference w:id="148"/>
      </w:r>
      <w:r>
        <w:t xml:space="preserve">, </w:t>
      </w:r>
      <w:r>
        <w:rPr>
          <w:u w:val="single"/>
        </w:rPr>
        <w:t>appropriating</w:t>
      </w:r>
      <w:r>
        <w:t xml:space="preserve"> for yourself the sacrificial formula</w:t>
      </w:r>
      <w:r>
        <w:rPr>
          <w:rStyle w:val="FootnoteAnchor"/>
        </w:rPr>
        <w:footnoteReference w:id="149"/>
      </w:r>
      <w:r>
        <w:t xml:space="preserve"> that never gets old, full of warriors, [.2] pulling away from us the lack of inspiration</w:t>
      </w:r>
      <w:r>
        <w:rPr>
          <w:rStyle w:val="FootnoteAnchor"/>
        </w:rPr>
        <w:footnoteReference w:id="150"/>
      </w:r>
      <w:r>
        <w:t>, incline upwards, to a good great fortune.</w:t>
      </w:r>
    </w:p>
    <w:p w14:paraId="167DD299" w14:textId="77777777" w:rsidR="00E53EB6" w:rsidRPr="00B80C6B" w:rsidRDefault="006500F5">
      <w:pPr>
        <w:pStyle w:val="Zitat"/>
        <w:rPr>
          <w:lang w:val="de-DE"/>
        </w:rPr>
      </w:pPr>
      <w:r>
        <w:rPr>
          <w:i/>
          <w:iCs/>
        </w:rPr>
        <w:t>vanvāná</w:t>
      </w:r>
      <w:r>
        <w:rPr>
          <w:i/>
          <w:iCs/>
        </w:rPr>
        <w:t>ḥ</w:t>
      </w:r>
      <w:r>
        <w:rPr>
          <w:i/>
          <w:iCs/>
        </w:rPr>
        <w:t>:</w:t>
      </w:r>
      <w:r>
        <w:t xml:space="preserve"> part. pres</w:t>
      </w:r>
      <w:r>
        <w:t xml:space="preserve">. nom. masc. sing. </w:t>
      </w:r>
      <w:r w:rsidRPr="00B80C6B">
        <w:rPr>
          <w:lang w:val="de-DE"/>
        </w:rPr>
        <w:t>Ā VIII cl.</w:t>
      </w:r>
    </w:p>
    <w:p w14:paraId="7404E882" w14:textId="77777777" w:rsidR="00E53EB6" w:rsidRPr="00B80C6B" w:rsidRDefault="006500F5">
      <w:pPr>
        <w:pStyle w:val="ZitatmitEinzug"/>
        <w:rPr>
          <w:szCs w:val="18"/>
          <w:lang w:val="de-DE"/>
        </w:rPr>
      </w:pPr>
      <w:r w:rsidRPr="00B80C6B">
        <w:rPr>
          <w:smallCaps/>
          <w:szCs w:val="18"/>
          <w:lang w:val="de-DE"/>
        </w:rPr>
        <w:t xml:space="preserve">Geldner: </w:t>
      </w:r>
      <w:r w:rsidRPr="00B80C6B">
        <w:rPr>
          <w:szCs w:val="18"/>
          <w:lang w:val="de-DE"/>
        </w:rPr>
        <w:t xml:space="preserve">I 345: </w:t>
      </w:r>
      <w:r w:rsidRPr="00B80C6B">
        <w:rPr>
          <w:szCs w:val="18"/>
          <w:lang w:val="de-DE"/>
        </w:rPr>
        <w:t>“gewinnst”</w:t>
      </w:r>
    </w:p>
    <w:p w14:paraId="7B58B484" w14:textId="77777777" w:rsidR="00E53EB6" w:rsidRPr="00B80C6B" w:rsidRDefault="006500F5">
      <w:pPr>
        <w:pStyle w:val="HaupttextnachZitat"/>
        <w:rPr>
          <w:lang w:val="it-IT"/>
        </w:rPr>
      </w:pPr>
      <w:r w:rsidRPr="00B80C6B">
        <w:rPr>
          <w:lang w:val="it-IT"/>
        </w:rPr>
        <w:t>Vedic Web</w:t>
      </w:r>
    </w:p>
    <w:p w14:paraId="15121E5F" w14:textId="77777777" w:rsidR="00E53EB6" w:rsidRPr="00B80C6B" w:rsidRDefault="006500F5">
      <w:pPr>
        <w:pStyle w:val="HaupttextohneEinzug"/>
        <w:rPr>
          <w:lang w:val="it-IT"/>
        </w:rPr>
      </w:pPr>
      <w:r w:rsidRPr="00B80C6B">
        <w:rPr>
          <w:lang w:val="it-IT"/>
        </w:rPr>
        <w:t xml:space="preserve">Mantra: </w:t>
      </w:r>
      <w:r w:rsidRPr="00B80C6B">
        <w:rPr>
          <w:rFonts w:eastAsia="MS Mincho;ＭＳ 明朝"/>
          <w:szCs w:val="21"/>
          <w:lang w:val="it-IT" w:eastAsia="hi-IN"/>
        </w:rPr>
        <w:t>R</w:t>
      </w:r>
      <w:r w:rsidRPr="00B80C6B">
        <w:rPr>
          <w:rFonts w:eastAsia="Arial" w:cs="Devanagari MT;Times New Roman"/>
          <w:szCs w:val="21"/>
          <w:lang w:val="it-IT" w:eastAsia="hi-IN" w:bidi="en-GB"/>
        </w:rPr>
        <w:t>̥</w:t>
      </w:r>
      <w:r w:rsidRPr="00B80C6B">
        <w:rPr>
          <w:rFonts w:eastAsia="MS Mincho;ＭＳ 明朝"/>
          <w:szCs w:val="21"/>
          <w:lang w:val="it-IT" w:eastAsia="hi-IN"/>
        </w:rPr>
        <w:t>V 3.8.1-3; TB 3.6.1.1-(2); KS 15.12: 218,12-17.</w:t>
      </w:r>
    </w:p>
    <w:p w14:paraId="7323E412" w14:textId="77777777" w:rsidR="00E53EB6" w:rsidRDefault="006500F5">
      <w:pPr>
        <w:pStyle w:val="HaupttextohneEinzug"/>
        <w:rPr>
          <w:rFonts w:eastAsia="MS Mincho;ＭＳ 明朝"/>
          <w:szCs w:val="21"/>
          <w:lang w:eastAsia="hi-IN"/>
        </w:rPr>
      </w:pPr>
      <w:r>
        <w:rPr>
          <w:rFonts w:eastAsia="MS Mincho;ＭＳ 明朝"/>
          <w:szCs w:val="21"/>
          <w:lang w:eastAsia="hi-IN"/>
        </w:rPr>
        <w:t>Mantra and Prose: AB 2.2</w:t>
      </w:r>
    </w:p>
    <w:p w14:paraId="42F18445" w14:textId="77777777" w:rsidR="00E53EB6" w:rsidRDefault="00E53EB6">
      <w:pPr>
        <w:pStyle w:val="HaupttextohneEinzug"/>
        <w:rPr>
          <w:rFonts w:eastAsia="MS Mincho;ＭＳ 明朝"/>
          <w:szCs w:val="21"/>
          <w:lang w:eastAsia="hi-IN"/>
        </w:rPr>
      </w:pPr>
    </w:p>
    <w:p w14:paraId="466C1D1D" w14:textId="77777777" w:rsidR="00E53EB6" w:rsidRDefault="006500F5">
      <w:pPr>
        <w:pStyle w:val="HaupttextohneEinzug"/>
        <w:rPr>
          <w:rFonts w:eastAsia="MS Mincho;ＭＳ 明朝"/>
          <w:szCs w:val="21"/>
          <w:lang w:eastAsia="hi-IN"/>
        </w:rPr>
      </w:pPr>
      <w:r>
        <w:rPr>
          <w:rFonts w:eastAsia="MS Mincho;ＭＳ 明朝"/>
          <w:szCs w:val="21"/>
          <w:lang w:eastAsia="hi-IN"/>
        </w:rPr>
        <w:t>Rite</w:t>
      </w:r>
    </w:p>
    <w:p w14:paraId="3CA5B767" w14:textId="77777777" w:rsidR="00E53EB6" w:rsidRDefault="006500F5">
      <w:pPr>
        <w:pStyle w:val="HaupttextohneEinzug"/>
        <w:rPr>
          <w:rFonts w:eastAsia="MS Mincho;ＭＳ 明朝"/>
          <w:i/>
          <w:iCs/>
          <w:szCs w:val="21"/>
          <w:lang w:eastAsia="hi-IN"/>
        </w:rPr>
      </w:pPr>
      <w:r>
        <w:rPr>
          <w:rFonts w:eastAsia="MS Mincho;ＭＳ 明朝"/>
          <w:i/>
          <w:iCs/>
          <w:szCs w:val="21"/>
          <w:lang w:eastAsia="hi-IN"/>
        </w:rPr>
        <w:t>Mantra</w:t>
      </w:r>
      <w:r>
        <w:rPr>
          <w:rFonts w:eastAsia="MS Mincho;ＭＳ 明朝"/>
          <w:szCs w:val="21"/>
          <w:lang w:eastAsia="hi-IN"/>
        </w:rPr>
        <w:t xml:space="preserve">s for the </w:t>
      </w:r>
      <w:r>
        <w:rPr>
          <w:rFonts w:eastAsia="MS Mincho;ＭＳ 明朝"/>
          <w:i/>
          <w:iCs/>
          <w:szCs w:val="21"/>
          <w:lang w:eastAsia="hi-IN"/>
        </w:rPr>
        <w:t xml:space="preserve">hotr̥ </w:t>
      </w:r>
      <w:r>
        <w:rPr>
          <w:rFonts w:eastAsia="MS Mincho;ＭＳ 明朝"/>
          <w:szCs w:val="21"/>
          <w:lang w:eastAsia="hi-IN"/>
        </w:rPr>
        <w:t xml:space="preserve">in the animal sacrifice, </w:t>
      </w:r>
      <w:r>
        <w:rPr>
          <w:rFonts w:eastAsia="MS Mincho;ＭＳ 明朝"/>
          <w:i/>
          <w:iCs/>
          <w:szCs w:val="21"/>
          <w:lang w:eastAsia="hi-IN"/>
        </w:rPr>
        <w:t>paśukahotranirukti</w:t>
      </w:r>
      <w:r>
        <w:rPr>
          <w:rFonts w:eastAsia="MS Mincho;ＭＳ 明朝"/>
          <w:i/>
          <w:iCs/>
          <w:szCs w:val="21"/>
          <w:lang w:eastAsia="hi-IN"/>
        </w:rPr>
        <w:t>ḥ</w:t>
      </w:r>
      <w:r>
        <w:rPr>
          <w:rFonts w:eastAsia="MS Mincho;ＭＳ 明朝"/>
          <w:i/>
          <w:iCs/>
          <w:szCs w:val="21"/>
          <w:lang w:eastAsia="hi-IN"/>
        </w:rPr>
        <w:t>, yūpasa</w:t>
      </w:r>
      <w:r>
        <w:rPr>
          <w:rFonts w:eastAsia="MS Mincho;ＭＳ 明朝"/>
          <w:i/>
          <w:iCs/>
          <w:szCs w:val="21"/>
          <w:lang w:eastAsia="hi-IN"/>
        </w:rPr>
        <w:t>ṃ</w:t>
      </w:r>
      <w:r>
        <w:rPr>
          <w:rFonts w:eastAsia="MS Mincho;ＭＳ 明朝"/>
          <w:i/>
          <w:iCs/>
          <w:szCs w:val="21"/>
          <w:lang w:eastAsia="hi-IN"/>
        </w:rPr>
        <w:t>kāra</w:t>
      </w:r>
      <w:r>
        <w:rPr>
          <w:rFonts w:eastAsia="MS Mincho;ＭＳ 明朝"/>
          <w:i/>
          <w:iCs/>
          <w:szCs w:val="21"/>
          <w:lang w:eastAsia="hi-IN"/>
        </w:rPr>
        <w:t>ḥ</w:t>
      </w:r>
      <w:r>
        <w:rPr>
          <w:rFonts w:eastAsia="MS Mincho;ＭＳ 明朝"/>
          <w:szCs w:val="21"/>
          <w:lang w:eastAsia="hi-IN"/>
        </w:rPr>
        <w:t xml:space="preserve"> (TB 3.6.1).</w:t>
      </w:r>
      <w:r>
        <w:rPr>
          <w:rFonts w:eastAsia="MS Mincho;ＭＳ 明朝"/>
          <w:i/>
          <w:iCs/>
          <w:szCs w:val="21"/>
          <w:lang w:eastAsia="hi-IN"/>
        </w:rPr>
        <w:t xml:space="preserve"> </w:t>
      </w:r>
      <w:r>
        <w:rPr>
          <w:rFonts w:eastAsia="MS Mincho;ＭＳ 明朝"/>
          <w:szCs w:val="21"/>
          <w:lang w:eastAsia="hi-IN"/>
        </w:rPr>
        <w:t xml:space="preserve">According to </w:t>
      </w:r>
      <w:r>
        <w:rPr>
          <w:rStyle w:val="biblio-authorGEN"/>
          <w:rFonts w:eastAsia="MS Mincho;ＭＳ 明朝"/>
          <w:szCs w:val="21"/>
          <w:lang w:eastAsia="hi-IN"/>
        </w:rPr>
        <w:t>Proferes</w:t>
      </w:r>
      <w:r>
        <w:rPr>
          <w:rFonts w:eastAsia="MS Mincho;ＭＳ 明朝"/>
          <w:szCs w:val="21"/>
          <w:lang w:eastAsia="hi-IN"/>
        </w:rPr>
        <w:t xml:space="preserve"> (2003a: 322-329), the R̥V stanzas 3.8.1-5 are used for the rite requiring a single post, while the following one are recited when more posts are to be displayed.</w:t>
      </w:r>
    </w:p>
    <w:p w14:paraId="3C79CA67" w14:textId="77777777" w:rsidR="00E53EB6" w:rsidRDefault="00E53EB6">
      <w:pPr>
        <w:pStyle w:val="HaupttextohneEinzug"/>
        <w:rPr>
          <w:rFonts w:eastAsia="MS Mincho;ＭＳ 明朝"/>
          <w:szCs w:val="21"/>
          <w:shd w:val="clear" w:color="auto" w:fill="FF6633"/>
          <w:lang w:eastAsia="hi-IN"/>
        </w:rPr>
      </w:pPr>
    </w:p>
    <w:p w14:paraId="27569F0C" w14:textId="77777777" w:rsidR="00E53EB6" w:rsidRDefault="006500F5">
      <w:pPr>
        <w:pStyle w:val="Heading5"/>
        <w:tabs>
          <w:tab w:val="left" w:pos="0"/>
        </w:tabs>
      </w:pPr>
      <w:r>
        <w:rPr>
          <w:u w:val="single"/>
        </w:rPr>
        <w:t>MS 4.14.10: 230,15-16</w:t>
      </w:r>
      <w:r>
        <w:tab/>
      </w:r>
      <w:r>
        <w:tab/>
      </w:r>
      <w:r>
        <w:tab/>
      </w:r>
      <w:r>
        <w:tab/>
      </w:r>
      <w:r>
        <w:tab/>
      </w:r>
      <w:r>
        <w:tab/>
      </w:r>
      <w:r>
        <w:tab/>
      </w:r>
    </w:p>
    <w:p w14:paraId="412049BB" w14:textId="77777777" w:rsidR="00E53EB6" w:rsidRDefault="006500F5">
      <w:pPr>
        <w:pStyle w:val="Zitat"/>
      </w:pPr>
      <w:r>
        <w:t xml:space="preserve">4.14.10 </w:t>
      </w:r>
      <w:r>
        <w:rPr>
          <w:i/>
          <w:iCs/>
        </w:rPr>
        <w:t>índhāno agní</w:t>
      </w:r>
      <w:r>
        <w:rPr>
          <w:i/>
          <w:iCs/>
        </w:rPr>
        <w:t>ṃ</w:t>
      </w:r>
      <w:r>
        <w:rPr>
          <w:i/>
          <w:iCs/>
        </w:rPr>
        <w:t xml:space="preserve"> vanavad</w:t>
      </w:r>
      <w:r>
        <w:rPr>
          <w:i/>
          <w:iCs/>
        </w:rPr>
        <w:t xml:space="preserve"> vanu</w:t>
      </w:r>
      <w:r>
        <w:rPr>
          <w:i/>
          <w:iCs/>
        </w:rPr>
        <w:t>ṣ</w:t>
      </w:r>
      <w:r>
        <w:rPr>
          <w:i/>
          <w:iCs/>
        </w:rPr>
        <w:t>yatá</w:t>
      </w:r>
      <w:r>
        <w:rPr>
          <w:i/>
          <w:iCs/>
        </w:rPr>
        <w:t>ḥ</w:t>
      </w:r>
      <w:r>
        <w:rPr>
          <w:i/>
          <w:iCs/>
        </w:rPr>
        <w:t xml:space="preserve"> / kr</w:t>
      </w:r>
      <w:r>
        <w:rPr>
          <w:rFonts w:cs="Devanagari MT;Times New Roman"/>
          <w:lang w:eastAsia="hi-IN"/>
        </w:rPr>
        <w:t>̥</w:t>
      </w:r>
      <w:r>
        <w:rPr>
          <w:i/>
          <w:iCs/>
        </w:rPr>
        <w:t>tábrahmā śūśuvad rātáhavya ít / jāténa jātám</w:t>
      </w:r>
      <w:r>
        <w:t xml:space="preserve"> </w:t>
      </w:r>
      <w:r>
        <w:rPr>
          <w:i/>
          <w:iCs/>
        </w:rPr>
        <w:t>áti sá prásarsr</w:t>
      </w:r>
      <w:r>
        <w:rPr>
          <w:rFonts w:cs="Devanagari MT;Times New Roman"/>
          <w:lang w:eastAsia="hi-IN"/>
        </w:rPr>
        <w:t>̥</w:t>
      </w:r>
      <w:r>
        <w:rPr>
          <w:i/>
          <w:iCs/>
        </w:rPr>
        <w:t>te / yá</w:t>
      </w:r>
      <w:r>
        <w:rPr>
          <w:i/>
          <w:iCs/>
        </w:rPr>
        <w:t>ṃ</w:t>
      </w:r>
      <w:r>
        <w:rPr>
          <w:i/>
          <w:iCs/>
        </w:rPr>
        <w:t xml:space="preserve"> ya</w:t>
      </w:r>
      <w:r>
        <w:rPr>
          <w:i/>
          <w:iCs/>
        </w:rPr>
        <w:t>ṃ</w:t>
      </w:r>
      <w:r>
        <w:rPr>
          <w:i/>
          <w:iCs/>
        </w:rPr>
        <w:t xml:space="preserve"> yúja</w:t>
      </w:r>
      <w:r>
        <w:rPr>
          <w:i/>
          <w:iCs/>
        </w:rPr>
        <w:t>ṃ</w:t>
      </w:r>
      <w:r>
        <w:rPr>
          <w:i/>
          <w:iCs/>
        </w:rPr>
        <w:t xml:space="preserve"> kr</w:t>
      </w:r>
      <w:r>
        <w:rPr>
          <w:rFonts w:cs="Devanagari MT;Times New Roman"/>
          <w:lang w:eastAsia="hi-IN"/>
        </w:rPr>
        <w:t>̥</w:t>
      </w:r>
      <w:r>
        <w:rPr>
          <w:i/>
          <w:iCs/>
        </w:rPr>
        <w:t>ṇ</w:t>
      </w:r>
      <w:r>
        <w:rPr>
          <w:i/>
          <w:iCs/>
        </w:rPr>
        <w:t>uté bráhma</w:t>
      </w:r>
      <w:r>
        <w:rPr>
          <w:i/>
          <w:iCs/>
        </w:rPr>
        <w:t>ṇ</w:t>
      </w:r>
      <w:r>
        <w:rPr>
          <w:i/>
          <w:iCs/>
        </w:rPr>
        <w:t>aspáti</w:t>
      </w:r>
      <w:r>
        <w:rPr>
          <w:i/>
          <w:iCs/>
        </w:rPr>
        <w:t>ḥ</w:t>
      </w:r>
      <w:r>
        <w:rPr>
          <w:i/>
          <w:iCs/>
        </w:rPr>
        <w:t>.</w:t>
      </w:r>
    </w:p>
    <w:p w14:paraId="0EB95185" w14:textId="77777777" w:rsidR="00E53EB6" w:rsidRDefault="006500F5">
      <w:pPr>
        <w:pStyle w:val="Zitat"/>
      </w:pPr>
      <w:r>
        <w:t xml:space="preserve">The one who kindles the fire </w:t>
      </w:r>
      <w:r>
        <w:rPr>
          <w:u w:val="single"/>
        </w:rPr>
        <w:t xml:space="preserve">would appropriate </w:t>
      </w:r>
      <w:r>
        <w:t xml:space="preserve">those who </w:t>
      </w:r>
      <w:r>
        <w:rPr>
          <w:u w:val="single"/>
        </w:rPr>
        <w:t>are eager to appropriate</w:t>
      </w:r>
      <w:r>
        <w:t xml:space="preserve"> him; having performed the formula, he who offer the oblation</w:t>
      </w:r>
      <w:r>
        <w:rPr>
          <w:rStyle w:val="FootnoteAnchor"/>
        </w:rPr>
        <w:footnoteReference w:id="151"/>
      </w:r>
      <w:r>
        <w:t xml:space="preserve"> may get swollen, over the son born from the son survives whoever Brahmanaspati takes as an ally.</w:t>
      </w:r>
    </w:p>
    <w:p w14:paraId="767912D6" w14:textId="77777777" w:rsidR="00E53EB6" w:rsidRPr="00B80C6B" w:rsidRDefault="006500F5">
      <w:pPr>
        <w:pStyle w:val="Zitat"/>
        <w:rPr>
          <w:lang w:val="de-DE"/>
        </w:rPr>
      </w:pPr>
      <w:r>
        <w:rPr>
          <w:i/>
          <w:iCs/>
        </w:rPr>
        <w:t>vanavat:</w:t>
      </w:r>
      <w:r>
        <w:t xml:space="preserve"> subj. pres. 3</w:t>
      </w:r>
      <w:r>
        <w:rPr>
          <w:vertAlign w:val="superscript"/>
        </w:rPr>
        <w:t>rd</w:t>
      </w:r>
      <w:r>
        <w:t xml:space="preserve"> sing. </w:t>
      </w:r>
      <w:r w:rsidRPr="00B80C6B">
        <w:rPr>
          <w:lang w:val="de-DE"/>
        </w:rPr>
        <w:t>VIII cl.</w:t>
      </w:r>
    </w:p>
    <w:p w14:paraId="1DD48C70" w14:textId="77777777" w:rsidR="00E53EB6" w:rsidRPr="00B80C6B" w:rsidRDefault="006500F5">
      <w:pPr>
        <w:pStyle w:val="ZitatmitEinzug"/>
        <w:rPr>
          <w:lang w:val="de-DE"/>
        </w:rPr>
      </w:pPr>
      <w:r w:rsidRPr="00B80C6B">
        <w:rPr>
          <w:rStyle w:val="biblio-authorGEN"/>
          <w:sz w:val="18"/>
          <w:szCs w:val="15"/>
          <w:lang w:val="de-DE"/>
        </w:rPr>
        <w:t>Geldner</w:t>
      </w:r>
      <w:r w:rsidRPr="00B80C6B">
        <w:rPr>
          <w:lang w:val="de-DE"/>
        </w:rPr>
        <w:t>: I 308 “überwinden”</w:t>
      </w:r>
    </w:p>
    <w:p w14:paraId="7E1C5F5A" w14:textId="77777777" w:rsidR="00E53EB6" w:rsidRPr="00B80C6B" w:rsidRDefault="006500F5">
      <w:pPr>
        <w:pStyle w:val="ZitatmitEinzug"/>
        <w:rPr>
          <w:lang w:val="de-DE"/>
        </w:rPr>
      </w:pPr>
      <w:r w:rsidRPr="00B80C6B">
        <w:rPr>
          <w:rStyle w:val="biblio-authorGEN"/>
          <w:sz w:val="18"/>
          <w:szCs w:val="15"/>
          <w:lang w:val="de-DE"/>
        </w:rPr>
        <w:t>Renou</w:t>
      </w:r>
      <w:r w:rsidRPr="00B80C6B">
        <w:rPr>
          <w:lang w:val="de-DE"/>
        </w:rPr>
        <w:t>: XV 60 “vaincra”</w:t>
      </w:r>
    </w:p>
    <w:p w14:paraId="21830884" w14:textId="77777777" w:rsidR="00E53EB6" w:rsidRPr="00B80C6B" w:rsidRDefault="006500F5">
      <w:pPr>
        <w:pStyle w:val="ZitatmitEinzug"/>
        <w:rPr>
          <w:lang w:val="de-DE"/>
        </w:rPr>
      </w:pPr>
      <w:r w:rsidRPr="00B80C6B">
        <w:rPr>
          <w:rStyle w:val="biblio-authorGEN"/>
          <w:sz w:val="18"/>
          <w:szCs w:val="18"/>
          <w:lang w:val="de-DE"/>
        </w:rPr>
        <w:t>Witz</w:t>
      </w:r>
      <w:r w:rsidRPr="00B80C6B">
        <w:rPr>
          <w:rStyle w:val="biblio-authorGEN"/>
          <w:sz w:val="18"/>
          <w:szCs w:val="18"/>
          <w:lang w:val="de-DE"/>
        </w:rPr>
        <w:t>el-Gotō</w:t>
      </w:r>
      <w:r w:rsidRPr="00B80C6B">
        <w:rPr>
          <w:lang w:val="de-DE"/>
        </w:rPr>
        <w:t xml:space="preserve"> 2007: 392 “wird besiegen”</w:t>
      </w:r>
    </w:p>
    <w:p w14:paraId="3AEA7D81" w14:textId="77777777" w:rsidR="00E53EB6" w:rsidRDefault="006500F5">
      <w:pPr>
        <w:pStyle w:val="Zitat"/>
        <w:rPr>
          <w:i/>
          <w:iCs/>
        </w:rPr>
      </w:pPr>
      <w:r>
        <w:rPr>
          <w:i/>
          <w:iCs/>
        </w:rPr>
        <w:t>vanu</w:t>
      </w:r>
      <w:r>
        <w:rPr>
          <w:i/>
          <w:iCs/>
        </w:rPr>
        <w:t>ṣ</w:t>
      </w:r>
      <w:r>
        <w:rPr>
          <w:i/>
          <w:iCs/>
        </w:rPr>
        <w:t>yatá</w:t>
      </w:r>
      <w:r>
        <w:rPr>
          <w:i/>
          <w:iCs/>
        </w:rPr>
        <w:t>ḥ</w:t>
      </w:r>
      <w:r>
        <w:rPr>
          <w:i/>
          <w:iCs/>
        </w:rPr>
        <w:t xml:space="preserve">: </w:t>
      </w:r>
      <w:r>
        <w:t xml:space="preserve">part. pres. acc. masc. pl. from </w:t>
      </w:r>
      <w:r>
        <w:rPr>
          <w:i/>
          <w:iCs/>
        </w:rPr>
        <w:t>vanu</w:t>
      </w:r>
      <w:r>
        <w:rPr>
          <w:i/>
          <w:iCs/>
        </w:rPr>
        <w:t>ṣ</w:t>
      </w:r>
      <w:r>
        <w:rPr>
          <w:i/>
          <w:iCs/>
        </w:rPr>
        <w:t xml:space="preserve">ya </w:t>
      </w:r>
      <w:r>
        <w:t xml:space="preserve">denominative of </w:t>
      </w:r>
      <w:r>
        <w:rPr>
          <w:i/>
          <w:iCs/>
        </w:rPr>
        <w:t>vanús</w:t>
      </w:r>
    </w:p>
    <w:p w14:paraId="50DD97A0" w14:textId="77777777" w:rsidR="00E53EB6" w:rsidRDefault="006500F5">
      <w:pPr>
        <w:pStyle w:val="ZitatmitEinzug"/>
      </w:pPr>
      <w:r>
        <w:rPr>
          <w:rStyle w:val="biblio-authorGEN"/>
          <w:sz w:val="18"/>
          <w:szCs w:val="15"/>
        </w:rPr>
        <w:t>Geldner</w:t>
      </w:r>
      <w:r>
        <w:t>: I 308 “das Neider”</w:t>
      </w:r>
    </w:p>
    <w:p w14:paraId="600EC631" w14:textId="77777777" w:rsidR="00E53EB6" w:rsidRDefault="006500F5">
      <w:pPr>
        <w:pStyle w:val="ZitatmitEinzug"/>
      </w:pPr>
      <w:r>
        <w:rPr>
          <w:rStyle w:val="biblio-authorGEN"/>
          <w:sz w:val="18"/>
          <w:szCs w:val="15"/>
        </w:rPr>
        <w:t>Renou</w:t>
      </w:r>
      <w:r>
        <w:t>: XV 60 “les (adversaires) cherchant-à-vaincre”</w:t>
      </w:r>
    </w:p>
    <w:p w14:paraId="31D62350" w14:textId="77777777" w:rsidR="00E53EB6" w:rsidRPr="00B80C6B" w:rsidRDefault="006500F5">
      <w:pPr>
        <w:pStyle w:val="ZitatmitEinzug"/>
        <w:rPr>
          <w:lang w:val="de-DE"/>
        </w:rPr>
      </w:pPr>
      <w:r w:rsidRPr="00B80C6B">
        <w:rPr>
          <w:rStyle w:val="biblio-authorGEN"/>
          <w:sz w:val="18"/>
          <w:szCs w:val="18"/>
          <w:lang w:val="de-DE"/>
        </w:rPr>
        <w:t>Witzel-Gotō</w:t>
      </w:r>
      <w:r w:rsidRPr="00B80C6B">
        <w:rPr>
          <w:lang w:val="de-DE"/>
        </w:rPr>
        <w:t xml:space="preserve"> 2007: 392 “die Angreifenden”</w:t>
      </w:r>
    </w:p>
    <w:p w14:paraId="7F1581E9" w14:textId="77777777" w:rsidR="00E53EB6" w:rsidRPr="00B80C6B" w:rsidRDefault="006500F5">
      <w:pPr>
        <w:pStyle w:val="HaupttextnachZitat"/>
        <w:rPr>
          <w:lang w:val="de-DE"/>
        </w:rPr>
      </w:pPr>
      <w:r w:rsidRPr="00B80C6B">
        <w:rPr>
          <w:lang w:val="de-DE"/>
        </w:rPr>
        <w:t>Vedic Web</w:t>
      </w:r>
    </w:p>
    <w:p w14:paraId="7725BD47" w14:textId="77777777" w:rsidR="00E53EB6" w:rsidRDefault="006500F5">
      <w:pPr>
        <w:pStyle w:val="HaupttextohneEinzug"/>
      </w:pPr>
      <w:r>
        <w:t xml:space="preserve">Mantra: R̥V </w:t>
      </w:r>
      <w:r>
        <w:t>2.25.1; TB 2.8.5.2</w:t>
      </w:r>
    </w:p>
    <w:p w14:paraId="7DDB53E3" w14:textId="77777777" w:rsidR="00E53EB6" w:rsidRDefault="00E53EB6">
      <w:pPr>
        <w:pStyle w:val="HaupttextohneEinzug"/>
      </w:pPr>
    </w:p>
    <w:p w14:paraId="622E187C" w14:textId="77777777" w:rsidR="00E53EB6" w:rsidRDefault="006500F5">
      <w:pPr>
        <w:pStyle w:val="HaupttextohneEinzug"/>
      </w:pPr>
      <w:r>
        <w:t>Rite</w:t>
      </w:r>
    </w:p>
    <w:p w14:paraId="1D6E31FA" w14:textId="77777777" w:rsidR="00E53EB6" w:rsidRDefault="006500F5">
      <w:pPr>
        <w:pStyle w:val="HaupttextohneEinzug"/>
        <w:rPr>
          <w:rFonts w:eastAsia="MS Mincho;ＭＳ 明朝" w:cs="Times Ext Roman"/>
          <w:szCs w:val="21"/>
          <w:lang w:eastAsia="hi-IN" w:bidi="en-GB"/>
        </w:rPr>
      </w:pPr>
      <w:r>
        <w:rPr>
          <w:rFonts w:eastAsia="MS Mincho;ＭＳ 明朝" w:cs="Times Ext Roman"/>
          <w:szCs w:val="21"/>
          <w:lang w:eastAsia="hi-IN" w:bidi="en-GB"/>
        </w:rPr>
        <w:t xml:space="preserve">Within the division of the text this section is indicated as </w:t>
      </w:r>
      <w:r>
        <w:rPr>
          <w:rFonts w:eastAsia="MS Mincho;ＭＳ 明朝" w:cs="Times Ext Roman"/>
          <w:i/>
          <w:iCs/>
          <w:szCs w:val="21"/>
          <w:lang w:eastAsia="hi-IN" w:bidi="en-GB"/>
        </w:rPr>
        <w:t>yājyānuvākya.</w:t>
      </w:r>
    </w:p>
    <w:p w14:paraId="27801100" w14:textId="77777777" w:rsidR="00E53EB6" w:rsidRDefault="006500F5">
      <w:pPr>
        <w:pStyle w:val="HaupttextohneEinzug"/>
      </w:pPr>
      <w:r>
        <w:rPr>
          <w:rFonts w:eastAsia="MS Mincho;ＭＳ 明朝" w:cs="Times Ext Roman"/>
          <w:szCs w:val="21"/>
          <w:lang w:eastAsia="hi-IN" w:bidi="en-GB"/>
        </w:rPr>
        <w:t>In the TB commentary this section is for s</w:t>
      </w:r>
      <w:r>
        <w:t>pecial prayers (</w:t>
      </w:r>
      <w:r>
        <w:rPr>
          <w:i/>
          <w:iCs/>
        </w:rPr>
        <w:t>kāmya</w:t>
      </w:r>
      <w:r>
        <w:t>), consisting of</w:t>
      </w:r>
      <w:r>
        <w:rPr>
          <w:rFonts w:eastAsia="MS Mincho;ＭＳ 明朝" w:cs="Times Ext Roman"/>
          <w:szCs w:val="21"/>
          <w:lang w:eastAsia="hi-IN" w:bidi="en-GB"/>
        </w:rPr>
        <w:t xml:space="preserve"> </w:t>
      </w:r>
      <w:r>
        <w:rPr>
          <w:rFonts w:eastAsia="MS Mincho;ＭＳ 明朝" w:cs="Times Ext Roman"/>
          <w:i/>
          <w:iCs/>
          <w:szCs w:val="21"/>
          <w:lang w:eastAsia="hi-IN" w:bidi="en-GB"/>
        </w:rPr>
        <w:t>mantra</w:t>
      </w:r>
      <w:r>
        <w:rPr>
          <w:rFonts w:eastAsia="MS Mincho;ＭＳ 明朝" w:cs="Times Ext Roman"/>
          <w:szCs w:val="21"/>
          <w:lang w:eastAsia="hi-IN" w:bidi="en-GB"/>
        </w:rPr>
        <w:t>s to be recited during the sacrifice of a polled ox to Brahma</w:t>
      </w:r>
      <w:r>
        <w:rPr>
          <w:rFonts w:eastAsia="MS Mincho;ＭＳ 明朝" w:cs="Times Ext Roman"/>
          <w:szCs w:val="21"/>
          <w:lang w:eastAsia="hi-IN" w:bidi="en-GB"/>
        </w:rPr>
        <w:t>ṇ</w:t>
      </w:r>
      <w:r>
        <w:rPr>
          <w:rFonts w:eastAsia="MS Mincho;ＭＳ 明朝" w:cs="Times Ext Roman"/>
          <w:szCs w:val="21"/>
          <w:lang w:eastAsia="hi-IN" w:bidi="en-GB"/>
        </w:rPr>
        <w:t xml:space="preserve">aspati. </w:t>
      </w:r>
    </w:p>
    <w:p w14:paraId="7718E3EB" w14:textId="77777777" w:rsidR="00E53EB6" w:rsidRDefault="00E53EB6">
      <w:pPr>
        <w:pStyle w:val="HaupttextohneEinzug"/>
        <w:autoSpaceDE w:val="0"/>
      </w:pPr>
    </w:p>
    <w:p w14:paraId="10ECB40C" w14:textId="77777777" w:rsidR="00E53EB6" w:rsidRDefault="00E53EB6">
      <w:pPr>
        <w:pStyle w:val="HaupttextohneEinzug"/>
        <w:autoSpaceDE w:val="0"/>
      </w:pPr>
    </w:p>
    <w:p w14:paraId="63C3E5A2" w14:textId="77777777" w:rsidR="00E53EB6" w:rsidRDefault="006500F5">
      <w:pPr>
        <w:pStyle w:val="Heading5"/>
        <w:tabs>
          <w:tab w:val="left" w:pos="0"/>
        </w:tabs>
      </w:pPr>
      <w:r>
        <w:t>Kā</w:t>
      </w:r>
      <w:r>
        <w:t>ṭ</w:t>
      </w:r>
      <w:r>
        <w:t>ha occurrences.</w:t>
      </w:r>
    </w:p>
    <w:p w14:paraId="6D4D574F" w14:textId="77777777" w:rsidR="00E53EB6" w:rsidRDefault="006500F5">
      <w:pPr>
        <w:pStyle w:val="Heading5"/>
        <w:tabs>
          <w:tab w:val="left" w:pos="0"/>
        </w:tabs>
      </w:pPr>
      <w:r>
        <w:rPr>
          <w:rFonts w:eastAsia="MS Mincho"/>
          <w:u w:val="single"/>
        </w:rPr>
        <w:t>KS 4.15: 40,13-14</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p>
    <w:p w14:paraId="4B1B5B46" w14:textId="77777777" w:rsidR="00E53EB6" w:rsidRDefault="006500F5">
      <w:pPr>
        <w:pStyle w:val="Zitat"/>
      </w:pPr>
      <w:r>
        <w:rPr>
          <w:rFonts w:eastAsia="MS Mincho" w:cs="Devanagari MT"/>
        </w:rPr>
        <w:t>4.15</w:t>
      </w:r>
      <w:r>
        <w:rPr>
          <w:rFonts w:eastAsia="MS Mincho" w:cs="Devanagari MT"/>
          <w:i/>
          <w:iCs/>
        </w:rPr>
        <w:t xml:space="preserve"> gómad dhíra</w:t>
      </w:r>
      <w:r>
        <w:rPr>
          <w:rFonts w:eastAsia="MS Mincho" w:cs="Devanagari MT"/>
          <w:i/>
          <w:iCs/>
        </w:rPr>
        <w:t>ṇ</w:t>
      </w:r>
      <w:r>
        <w:rPr>
          <w:rFonts w:eastAsia="MS Mincho" w:cs="Devanagari MT"/>
          <w:i/>
          <w:iCs/>
        </w:rPr>
        <w:t>yavad  vásu yád vām áśvāvad ī́mahe /  índrāgnī tád vanemahi //</w:t>
      </w:r>
    </w:p>
    <w:p w14:paraId="738963B8" w14:textId="77777777" w:rsidR="00E53EB6" w:rsidRDefault="006500F5">
      <w:pPr>
        <w:pStyle w:val="Zitat"/>
      </w:pPr>
      <w:r>
        <w:rPr>
          <w:rFonts w:eastAsia="MS Mincho" w:cs="Devanagari MT"/>
        </w:rPr>
        <w:t xml:space="preserve">This wealth made of cattle, gold and horses, we come to you praying for, o Indra and Agni, may we </w:t>
      </w:r>
      <w:r>
        <w:rPr>
          <w:rFonts w:eastAsia="MS Mincho" w:cs="Devanagari MT"/>
          <w:u w:val="single"/>
        </w:rPr>
        <w:t>appropriate</w:t>
      </w:r>
      <w:r>
        <w:rPr>
          <w:rFonts w:eastAsia="MS Mincho" w:cs="Devanagari MT"/>
        </w:rPr>
        <w:t xml:space="preserve"> it for ourselves.</w:t>
      </w:r>
    </w:p>
    <w:p w14:paraId="78C37B22" w14:textId="77777777" w:rsidR="00E53EB6" w:rsidRPr="00B80C6B" w:rsidRDefault="006500F5">
      <w:pPr>
        <w:pStyle w:val="Zitat"/>
        <w:rPr>
          <w:lang w:val="de-DE"/>
        </w:rPr>
      </w:pPr>
      <w:r>
        <w:rPr>
          <w:rFonts w:eastAsia="MS Mincho" w:cs="Devanagari MT"/>
          <w:i/>
          <w:iCs/>
        </w:rPr>
        <w:t>vanemahi:</w:t>
      </w:r>
      <w:r>
        <w:rPr>
          <w:rFonts w:eastAsia="MS Mincho" w:cs="Devanagari MT"/>
        </w:rPr>
        <w:t xml:space="preserve"> opt. pres. 1</w:t>
      </w:r>
      <w:r>
        <w:rPr>
          <w:rFonts w:eastAsia="MS Mincho" w:cs="Devanagari MT"/>
          <w:vertAlign w:val="superscript"/>
        </w:rPr>
        <w:t>st</w:t>
      </w:r>
      <w:r>
        <w:rPr>
          <w:rFonts w:eastAsia="MS Mincho" w:cs="Devanagari MT"/>
        </w:rPr>
        <w:t xml:space="preserve"> pl. </w:t>
      </w:r>
      <w:r w:rsidRPr="00B80C6B">
        <w:rPr>
          <w:rFonts w:eastAsia="MS Mincho" w:cs="Devanagari MT"/>
          <w:lang w:val="de-DE"/>
        </w:rPr>
        <w:t>I-VI cl.</w:t>
      </w:r>
    </w:p>
    <w:p w14:paraId="7E57B9C3" w14:textId="77777777" w:rsidR="00E53EB6" w:rsidRPr="00B80C6B" w:rsidRDefault="006500F5">
      <w:pPr>
        <w:pStyle w:val="ZitatmitEinzug"/>
        <w:rPr>
          <w:lang w:val="de-DE"/>
        </w:rPr>
      </w:pPr>
      <w:r w:rsidRPr="00B80C6B">
        <w:rPr>
          <w:rStyle w:val="biblio-authorGEN"/>
          <w:rFonts w:eastAsia="MS Mincho"/>
          <w:sz w:val="18"/>
          <w:szCs w:val="15"/>
          <w:lang w:val="de-DE"/>
        </w:rPr>
        <w:t>Geldner</w:t>
      </w:r>
      <w:r w:rsidRPr="00B80C6B">
        <w:rPr>
          <w:rStyle w:val="biblio-authorGEN"/>
          <w:rFonts w:eastAsia="MS Mincho"/>
          <w:lang w:val="de-DE"/>
        </w:rPr>
        <w:t>:</w:t>
      </w:r>
      <w:r w:rsidRPr="00B80C6B">
        <w:rPr>
          <w:rFonts w:eastAsia="MS Mincho"/>
          <w:lang w:val="de-DE"/>
        </w:rPr>
        <w:t xml:space="preserve"> </w:t>
      </w:r>
      <w:r w:rsidRPr="00B80C6B">
        <w:rPr>
          <w:rFonts w:eastAsia="MS Mincho"/>
          <w:lang w:val="de-DE"/>
        </w:rPr>
        <w:t>II 264:</w:t>
      </w:r>
      <w:r w:rsidRPr="00B80C6B">
        <w:rPr>
          <w:rFonts w:eastAsia="MS Mincho"/>
          <w:lang w:val="de-DE"/>
        </w:rPr>
        <w:t xml:space="preserve"> “möchten gewinnen”</w:t>
      </w:r>
    </w:p>
    <w:p w14:paraId="067E7C22" w14:textId="77777777" w:rsidR="00E53EB6" w:rsidRPr="00B80C6B" w:rsidRDefault="006500F5">
      <w:pPr>
        <w:pStyle w:val="ZitatmitEinzug"/>
        <w:rPr>
          <w:rFonts w:eastAsia="MS Mincho" w:hint="eastAsia"/>
          <w:lang w:val="it-IT"/>
        </w:rPr>
      </w:pPr>
      <w:r w:rsidRPr="00B80C6B">
        <w:rPr>
          <w:rStyle w:val="biblio-authorGEN"/>
          <w:rFonts w:eastAsia="MS Mincho"/>
          <w:sz w:val="18"/>
          <w:szCs w:val="15"/>
          <w:lang w:val="it-IT"/>
        </w:rPr>
        <w:t>Renou</w:t>
      </w:r>
      <w:r w:rsidRPr="00B80C6B">
        <w:rPr>
          <w:rFonts w:eastAsia="MS Mincho"/>
          <w:lang w:val="it-IT"/>
        </w:rPr>
        <w:t>: XIV 56: “gagner (pour soi)”</w:t>
      </w:r>
    </w:p>
    <w:p w14:paraId="3D6CD56E" w14:textId="77777777" w:rsidR="00E53EB6" w:rsidRPr="00B80C6B" w:rsidRDefault="006500F5">
      <w:pPr>
        <w:pStyle w:val="HaupttextnachZitat"/>
        <w:rPr>
          <w:lang w:val="it-IT"/>
        </w:rPr>
      </w:pPr>
      <w:r w:rsidRPr="00B80C6B">
        <w:rPr>
          <w:lang w:val="it-IT"/>
        </w:rPr>
        <w:t>Vedic Web</w:t>
      </w:r>
    </w:p>
    <w:p w14:paraId="1344B5D4" w14:textId="77777777" w:rsidR="00E53EB6" w:rsidRPr="00B80C6B" w:rsidRDefault="006500F5">
      <w:pPr>
        <w:pStyle w:val="HaupttextohneEinzug"/>
        <w:rPr>
          <w:rFonts w:eastAsia="MS Mincho" w:hint="eastAsia"/>
          <w:lang w:val="it-IT"/>
        </w:rPr>
      </w:pPr>
      <w:r w:rsidRPr="00B80C6B">
        <w:rPr>
          <w:rFonts w:eastAsia="MS Mincho"/>
          <w:lang w:val="it-IT"/>
        </w:rPr>
        <w:t>Mantra: R</w:t>
      </w:r>
      <w:r w:rsidRPr="00B80C6B">
        <w:rPr>
          <w:rFonts w:eastAsia="MS Mincho"/>
          <w:lang w:val="it-IT"/>
        </w:rPr>
        <w:t>̥</w:t>
      </w:r>
      <w:r w:rsidRPr="00B80C6B">
        <w:rPr>
          <w:rFonts w:eastAsia="MS Mincho"/>
          <w:lang w:val="it-IT"/>
        </w:rPr>
        <w:t>V 7.94.9</w:t>
      </w:r>
    </w:p>
    <w:p w14:paraId="4E0049D3" w14:textId="77777777" w:rsidR="00E53EB6" w:rsidRPr="00B80C6B" w:rsidRDefault="00E53EB6">
      <w:pPr>
        <w:pStyle w:val="HaupttextohneEinzug"/>
        <w:rPr>
          <w:rFonts w:eastAsia="MS Mincho" w:hint="eastAsia"/>
          <w:lang w:val="it-IT"/>
        </w:rPr>
      </w:pPr>
    </w:p>
    <w:p w14:paraId="7C1D0C40" w14:textId="77777777" w:rsidR="00E53EB6" w:rsidRPr="00B80C6B" w:rsidRDefault="006500F5">
      <w:pPr>
        <w:pStyle w:val="HaupttextohneEinzug"/>
        <w:rPr>
          <w:rFonts w:eastAsia="MS Mincho" w:hint="eastAsia"/>
          <w:lang w:val="it-IT"/>
        </w:rPr>
      </w:pPr>
      <w:r w:rsidRPr="00B80C6B">
        <w:rPr>
          <w:rFonts w:eastAsia="MS Mincho"/>
          <w:lang w:val="it-IT"/>
        </w:rPr>
        <w:lastRenderedPageBreak/>
        <w:t>Rite</w:t>
      </w:r>
    </w:p>
    <w:p w14:paraId="016BE2F9" w14:textId="77777777" w:rsidR="00E53EB6" w:rsidRDefault="006500F5">
      <w:pPr>
        <w:pStyle w:val="HaupttextohneEinzug"/>
        <w:rPr>
          <w:rFonts w:eastAsia="MS Mincho" w:hint="eastAsia"/>
        </w:rPr>
      </w:pPr>
      <w:r>
        <w:rPr>
          <w:rFonts w:eastAsia="MS Mincho"/>
        </w:rPr>
        <w:t>Formulas addressed to Indrāgni, as the hymn 7.94.</w:t>
      </w:r>
    </w:p>
    <w:p w14:paraId="22EF1757" w14:textId="77777777" w:rsidR="00E53EB6" w:rsidRDefault="00E53EB6">
      <w:pPr>
        <w:pStyle w:val="HaupttextohneEinzug"/>
        <w:rPr>
          <w:rFonts w:eastAsia="MS Mincho" w:hint="eastAsia"/>
        </w:rPr>
      </w:pPr>
    </w:p>
    <w:p w14:paraId="495F36E1" w14:textId="77777777" w:rsidR="00E53EB6" w:rsidRDefault="006500F5">
      <w:pPr>
        <w:pStyle w:val="Heading5"/>
        <w:tabs>
          <w:tab w:val="left" w:pos="0"/>
        </w:tabs>
      </w:pPr>
      <w:r>
        <w:rPr>
          <w:rFonts w:eastAsia="MS Mincho"/>
          <w:u w:val="single"/>
        </w:rPr>
        <w:t>KS 4.16: 42,20-43,</w:t>
      </w:r>
      <w:r>
        <w:rPr>
          <w:rFonts w:eastAsia="MS Mincho"/>
          <w:u w:val="single"/>
        </w:rPr>
        <w:t>1-2</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p>
    <w:p w14:paraId="64C925A6" w14:textId="77777777" w:rsidR="00E53EB6" w:rsidRDefault="006500F5">
      <w:pPr>
        <w:pStyle w:val="Zitat"/>
      </w:pPr>
      <w:r>
        <w:rPr>
          <w:rFonts w:eastAsia="MS Mincho" w:cs="Devanagari MT"/>
        </w:rPr>
        <w:t>4.16</w:t>
      </w:r>
      <w:r>
        <w:rPr>
          <w:rFonts w:eastAsia="MS Mincho" w:cs="Devanagari MT"/>
          <w:i/>
          <w:iCs/>
        </w:rPr>
        <w:t xml:space="preserve"> </w:t>
      </w:r>
      <w:r>
        <w:rPr>
          <w:i/>
          <w:iCs/>
          <w:lang w:eastAsia="hi-IN"/>
        </w:rPr>
        <w:t>ágnī</w:t>
      </w:r>
      <w:r>
        <w:rPr>
          <w:i/>
          <w:iCs/>
          <w:lang w:eastAsia="hi-IN"/>
        </w:rPr>
        <w:t>ṣ</w:t>
      </w:r>
      <w:r>
        <w:rPr>
          <w:i/>
          <w:iCs/>
          <w:lang w:eastAsia="hi-IN"/>
        </w:rPr>
        <w:t>omā sávedasā sáhūtī vanata</w:t>
      </w:r>
      <w:r>
        <w:rPr>
          <w:i/>
          <w:iCs/>
          <w:lang w:eastAsia="hi-IN"/>
        </w:rPr>
        <w:t>ṃ</w:t>
      </w:r>
      <w:r>
        <w:rPr>
          <w:i/>
          <w:iCs/>
          <w:lang w:eastAsia="hi-IN"/>
        </w:rPr>
        <w:t xml:space="preserve"> gíra</w:t>
      </w:r>
      <w:r>
        <w:rPr>
          <w:i/>
          <w:iCs/>
          <w:lang w:eastAsia="hi-IN"/>
        </w:rPr>
        <w:t>ḥ</w:t>
      </w:r>
      <w:r>
        <w:rPr>
          <w:i/>
          <w:iCs/>
          <w:lang w:eastAsia="hi-IN"/>
        </w:rPr>
        <w:t xml:space="preserve"> / sá</w:t>
      </w:r>
      <w:r>
        <w:rPr>
          <w:i/>
          <w:iCs/>
          <w:lang w:eastAsia="hi-IN"/>
        </w:rPr>
        <w:t>ṃ</w:t>
      </w:r>
      <w:r>
        <w:rPr>
          <w:i/>
          <w:iCs/>
          <w:lang w:eastAsia="hi-IN"/>
        </w:rPr>
        <w:t xml:space="preserve"> devatrā́ babhūvathu</w:t>
      </w:r>
      <w:r>
        <w:rPr>
          <w:i/>
          <w:iCs/>
          <w:lang w:eastAsia="hi-IN"/>
        </w:rPr>
        <w:t>ḥ</w:t>
      </w:r>
      <w:r>
        <w:rPr>
          <w:i/>
          <w:iCs/>
          <w:lang w:eastAsia="hi-IN"/>
        </w:rPr>
        <w:t xml:space="preserve"> //</w:t>
      </w:r>
      <w:r>
        <w:rPr>
          <w:lang w:eastAsia="hi-IN"/>
        </w:rPr>
        <w:t xml:space="preserve"> </w:t>
      </w:r>
      <w:r>
        <w:rPr>
          <w:i/>
          <w:iCs/>
          <w:lang w:eastAsia="hi-IN"/>
        </w:rPr>
        <w:t>yuvámetā́ni diví rocanā́nyagníśca soma sákratū adhattam / yuvá</w:t>
      </w:r>
      <w:r>
        <w:rPr>
          <w:i/>
          <w:iCs/>
          <w:lang w:eastAsia="hi-IN"/>
        </w:rPr>
        <w:t>ṁ</w:t>
      </w:r>
      <w:r>
        <w:rPr>
          <w:i/>
          <w:iCs/>
          <w:lang w:eastAsia="hi-IN"/>
        </w:rPr>
        <w:t xml:space="preserve"> </w:t>
      </w:r>
      <w:r>
        <w:rPr>
          <w:i/>
          <w:iCs/>
          <w:lang w:eastAsia="hi-IN"/>
        </w:rPr>
        <w:t>síndhū</w:t>
      </w:r>
      <w:r>
        <w:rPr>
          <w:i/>
          <w:iCs/>
          <w:lang w:eastAsia="hi-IN"/>
        </w:rPr>
        <w:t>ṁ</w:t>
      </w:r>
      <w:r>
        <w:rPr>
          <w:i/>
          <w:iCs/>
          <w:lang w:eastAsia="hi-IN"/>
        </w:rPr>
        <w:t>rabhíśasteravadyā́dágnī</w:t>
      </w:r>
      <w:r>
        <w:rPr>
          <w:i/>
          <w:iCs/>
          <w:lang w:eastAsia="hi-IN"/>
        </w:rPr>
        <w:t>ṣ</w:t>
      </w:r>
      <w:r>
        <w:rPr>
          <w:i/>
          <w:iCs/>
          <w:lang w:eastAsia="hi-IN"/>
        </w:rPr>
        <w:t>omā amuñcata</w:t>
      </w:r>
      <w:r>
        <w:rPr>
          <w:i/>
          <w:iCs/>
          <w:lang w:eastAsia="hi-IN"/>
        </w:rPr>
        <w:t>ṃ</w:t>
      </w:r>
      <w:r>
        <w:rPr>
          <w:i/>
          <w:iCs/>
          <w:lang w:eastAsia="hi-IN"/>
        </w:rPr>
        <w:t xml:space="preserve"> gr̥bhītā́n //</w:t>
      </w:r>
    </w:p>
    <w:p w14:paraId="13B6339D" w14:textId="77777777" w:rsidR="00E53EB6" w:rsidRDefault="006500F5">
      <w:pPr>
        <w:pStyle w:val="Zitat"/>
        <w:autoSpaceDE w:val="0"/>
        <w:rPr>
          <w:rFonts w:ascii="Times Ext Roman" w:hAnsi="Times Ext Roman"/>
          <w:lang w:eastAsia="hi-IN"/>
        </w:rPr>
      </w:pPr>
      <w:r>
        <w:rPr>
          <w:lang w:eastAsia="hi-IN"/>
        </w:rPr>
        <w:t xml:space="preserve">O Agni and Soma, together invoked, having the same knowledge, </w:t>
      </w:r>
      <w:r>
        <w:rPr>
          <w:u w:val="single"/>
          <w:lang w:eastAsia="hi-IN"/>
        </w:rPr>
        <w:t>appropriate</w:t>
      </w:r>
      <w:r>
        <w:rPr>
          <w:lang w:eastAsia="hi-IN"/>
        </w:rPr>
        <w:t xml:space="preserve"> the chants, you are</w:t>
      </w:r>
      <w:r>
        <w:rPr>
          <w:rStyle w:val="FootnoteAnchor"/>
          <w:rFonts w:cs="Devanagari MT;Times New Roman"/>
          <w:lang w:eastAsia="hi-IN"/>
        </w:rPr>
        <w:footnoteReference w:id="152"/>
      </w:r>
      <w:r>
        <w:rPr>
          <w:lang w:eastAsia="hi-IN"/>
        </w:rPr>
        <w:t xml:space="preserve"> together in the divine world. You two put those lights in the sky, o Agni and Soma, you, with the sam</w:t>
      </w:r>
      <w:r>
        <w:rPr>
          <w:lang w:eastAsia="hi-IN"/>
        </w:rPr>
        <w:t>e intention; you two, o Agni and Soma, released from curse (misfortune-</w:t>
      </w:r>
      <w:r>
        <w:rPr>
          <w:i/>
          <w:iCs/>
          <w:lang w:eastAsia="hi-IN"/>
        </w:rPr>
        <w:t>abhiśasti-</w:t>
      </w:r>
      <w:r>
        <w:rPr>
          <w:lang w:eastAsia="hi-IN"/>
        </w:rPr>
        <w:t xml:space="preserve">) </w:t>
      </w:r>
      <w:r>
        <w:rPr>
          <w:lang w:eastAsia="hi-IN"/>
        </w:rPr>
        <w:t>and disgrace the the rivers which were held back.</w:t>
      </w:r>
    </w:p>
    <w:p w14:paraId="4FE6CD80" w14:textId="77777777" w:rsidR="00E53EB6" w:rsidRPr="00B80C6B" w:rsidRDefault="006500F5">
      <w:pPr>
        <w:pStyle w:val="Zitat"/>
        <w:autoSpaceDE w:val="0"/>
        <w:rPr>
          <w:lang w:val="de-DE" w:eastAsia="hi-IN"/>
        </w:rPr>
      </w:pPr>
      <w:r w:rsidRPr="00B80C6B">
        <w:rPr>
          <w:i/>
          <w:iCs/>
          <w:lang w:val="de-DE" w:eastAsia="hi-IN"/>
        </w:rPr>
        <w:t xml:space="preserve">vanatam: </w:t>
      </w:r>
      <w:r w:rsidRPr="00B80C6B">
        <w:rPr>
          <w:lang w:val="de-DE" w:eastAsia="hi-IN"/>
        </w:rPr>
        <w:t>impv. pres. 2</w:t>
      </w:r>
      <w:r w:rsidRPr="00B80C6B">
        <w:rPr>
          <w:vertAlign w:val="superscript"/>
          <w:lang w:val="de-DE" w:eastAsia="hi-IN"/>
        </w:rPr>
        <w:t>nd</w:t>
      </w:r>
      <w:r w:rsidRPr="00B80C6B">
        <w:rPr>
          <w:lang w:val="de-DE" w:eastAsia="hi-IN"/>
        </w:rPr>
        <w:t xml:space="preserve"> du. I-VI cl.</w:t>
      </w:r>
    </w:p>
    <w:p w14:paraId="64667B91" w14:textId="77777777" w:rsidR="00E53EB6" w:rsidRPr="00B80C6B" w:rsidRDefault="006500F5">
      <w:pPr>
        <w:pStyle w:val="ZitatmitEinzug"/>
        <w:autoSpaceDE w:val="0"/>
        <w:rPr>
          <w:rFonts w:eastAsia="Arial" w:cs="Times Ext Roman"/>
          <w:szCs w:val="18"/>
          <w:lang w:val="de-DE" w:eastAsia="hi-IN" w:bidi="en-GB"/>
        </w:rPr>
      </w:pPr>
      <w:r w:rsidRPr="00B80C6B">
        <w:rPr>
          <w:rStyle w:val="biblio-authorGEN"/>
          <w:rFonts w:eastAsia="Arial" w:cs="Times Ext Roman"/>
          <w:sz w:val="18"/>
          <w:szCs w:val="15"/>
          <w:lang w:val="de-DE" w:eastAsia="hi-IN" w:bidi="en-GB"/>
        </w:rPr>
        <w:t>Geldner</w:t>
      </w:r>
      <w:r w:rsidRPr="00B80C6B">
        <w:rPr>
          <w:rFonts w:eastAsia="Arial" w:cs="Times Ext Roman"/>
          <w:szCs w:val="18"/>
          <w:lang w:val="de-DE" w:eastAsia="hi-IN" w:bidi="en-GB"/>
        </w:rPr>
        <w:t xml:space="preserve">: </w:t>
      </w:r>
      <w:r w:rsidRPr="00B80C6B">
        <w:rPr>
          <w:rFonts w:eastAsia="Arial" w:cs="Times Ext Roman"/>
          <w:smallCaps/>
          <w:szCs w:val="18"/>
          <w:lang w:val="de-DE" w:eastAsia="hi-IN" w:bidi="en-GB"/>
        </w:rPr>
        <w:t xml:space="preserve"> </w:t>
      </w:r>
      <w:r w:rsidRPr="00B80C6B">
        <w:rPr>
          <w:rFonts w:eastAsia="Arial" w:cs="Times Ext Roman"/>
          <w:szCs w:val="18"/>
          <w:lang w:val="de-DE" w:eastAsia="hi-IN" w:bidi="en-GB"/>
        </w:rPr>
        <w:t>I 120 “nehmet gut auf”</w:t>
      </w:r>
    </w:p>
    <w:p w14:paraId="4A9F623C" w14:textId="77777777" w:rsidR="00E53EB6" w:rsidRDefault="006500F5">
      <w:pPr>
        <w:pStyle w:val="ZitatmitEinzug"/>
        <w:autoSpaceDE w:val="0"/>
        <w:rPr>
          <w:rFonts w:eastAsia="Arial" w:cs="Times Ext Roman"/>
          <w:szCs w:val="18"/>
          <w:lang w:eastAsia="hi-IN" w:bidi="en-GB"/>
        </w:rPr>
      </w:pPr>
      <w:r>
        <w:rPr>
          <w:rStyle w:val="biblio-authorGEN"/>
          <w:rFonts w:eastAsia="Arial" w:cs="Times Ext Roman"/>
          <w:sz w:val="18"/>
          <w:szCs w:val="15"/>
          <w:lang w:eastAsia="hi-IN" w:bidi="en-GB"/>
        </w:rPr>
        <w:t>Renou</w:t>
      </w:r>
      <w:r>
        <w:rPr>
          <w:rFonts w:eastAsia="Arial" w:cs="Times Ext Roman"/>
          <w:szCs w:val="18"/>
          <w:lang w:eastAsia="hi-IN" w:bidi="en-GB"/>
        </w:rPr>
        <w:t xml:space="preserve">: </w:t>
      </w:r>
      <w:r>
        <w:rPr>
          <w:rFonts w:eastAsia="Arial" w:cs="Times Ext Roman"/>
          <w:smallCaps/>
          <w:szCs w:val="18"/>
          <w:lang w:eastAsia="hi-IN" w:bidi="en-GB"/>
        </w:rPr>
        <w:t xml:space="preserve"> </w:t>
      </w:r>
      <w:r>
        <w:rPr>
          <w:rFonts w:eastAsia="Arial" w:cs="Times Ext Roman"/>
          <w:szCs w:val="18"/>
          <w:lang w:eastAsia="hi-IN" w:bidi="en-GB"/>
        </w:rPr>
        <w:t>IX 73 “trouvez-agréable”</w:t>
      </w:r>
    </w:p>
    <w:p w14:paraId="5F887B9A" w14:textId="77777777" w:rsidR="00E53EB6" w:rsidRDefault="006500F5">
      <w:pPr>
        <w:pStyle w:val="ZitatmitEinzug"/>
        <w:autoSpaceDE w:val="0"/>
        <w:rPr>
          <w:rFonts w:eastAsia="Arial" w:cs="Times Ext Roman"/>
          <w:szCs w:val="18"/>
          <w:lang w:eastAsia="hi-IN" w:bidi="en-GB"/>
        </w:rPr>
      </w:pPr>
      <w:r>
        <w:rPr>
          <w:rStyle w:val="biblio-authorGEN"/>
          <w:rFonts w:eastAsia="Arial" w:cs="Times Ext Roman"/>
          <w:sz w:val="18"/>
          <w:szCs w:val="15"/>
          <w:lang w:eastAsia="hi-IN" w:bidi="en-GB"/>
        </w:rPr>
        <w:t>Witzel-Gotō</w:t>
      </w:r>
      <w:r>
        <w:rPr>
          <w:rFonts w:eastAsia="Arial" w:cs="Times Ext Roman"/>
          <w:szCs w:val="18"/>
          <w:lang w:eastAsia="hi-IN" w:bidi="en-GB"/>
        </w:rPr>
        <w:t xml:space="preserve"> 2007: 166 “liebt”</w:t>
      </w:r>
    </w:p>
    <w:p w14:paraId="11FA9AB1" w14:textId="77777777" w:rsidR="00E53EB6" w:rsidRDefault="006500F5">
      <w:pPr>
        <w:pStyle w:val="HaupttextnachZitat"/>
        <w:numPr>
          <w:ilvl w:val="2"/>
          <w:numId w:val="2"/>
        </w:numPr>
        <w:tabs>
          <w:tab w:val="left" w:pos="0"/>
        </w:tabs>
      </w:pPr>
      <w:r>
        <w:t>Vedic Web:</w:t>
      </w:r>
    </w:p>
    <w:p w14:paraId="560D2050" w14:textId="77777777" w:rsidR="00E53EB6" w:rsidRDefault="006500F5">
      <w:pPr>
        <w:pStyle w:val="HaupttextohneEinzug"/>
      </w:pPr>
      <w:r>
        <w:t>Mantra: R</w:t>
      </w:r>
      <w:r>
        <w:rPr>
          <w:rFonts w:eastAsia="Arial" w:cs="Devanagari MT;Times New Roman"/>
          <w:sz w:val="18"/>
          <w:szCs w:val="18"/>
          <w:lang w:eastAsia="hi-IN" w:bidi="en-GB"/>
        </w:rPr>
        <w:t>̥</w:t>
      </w:r>
      <w:r>
        <w:t>V 1.93.9; .5; TS 2.3.14.1g-2h; MS 4.10.1</w:t>
      </w:r>
      <w:r>
        <w:t>: 144,12-15</w:t>
      </w:r>
      <w:r>
        <w:t>; TB 3.5.7.2.</w:t>
      </w:r>
    </w:p>
    <w:p w14:paraId="509D76C0" w14:textId="77777777" w:rsidR="00E53EB6" w:rsidRDefault="006500F5">
      <w:pPr>
        <w:pStyle w:val="HaupttextohneEinzug"/>
      </w:pPr>
      <w:r>
        <w:t>Prose: TS 2.3.3.4.</w:t>
      </w:r>
    </w:p>
    <w:p w14:paraId="43E18DD9" w14:textId="77777777" w:rsidR="00E53EB6" w:rsidRDefault="00E53EB6">
      <w:pPr>
        <w:pStyle w:val="HaupttextohneEinzug"/>
      </w:pPr>
    </w:p>
    <w:p w14:paraId="3F0B9F77" w14:textId="77777777" w:rsidR="00E53EB6" w:rsidRDefault="006500F5">
      <w:pPr>
        <w:pStyle w:val="HaupttextohneEinzug"/>
      </w:pPr>
      <w:r>
        <w:t xml:space="preserve">Rite </w:t>
      </w:r>
    </w:p>
    <w:p w14:paraId="3BF165B5" w14:textId="77777777" w:rsidR="00E53EB6" w:rsidRDefault="006500F5">
      <w:pPr>
        <w:pStyle w:val="HaupttextohneEinzug"/>
      </w:pPr>
      <w:r>
        <w:rPr>
          <w:rFonts w:eastAsia="MS Mincho"/>
        </w:rPr>
        <w:t xml:space="preserve">Special Offerings, </w:t>
      </w:r>
      <w:r>
        <w:rPr>
          <w:rFonts w:eastAsia="MS Mincho"/>
          <w:i/>
          <w:iCs/>
        </w:rPr>
        <w:t>mantra</w:t>
      </w:r>
      <w:r>
        <w:rPr>
          <w:rFonts w:eastAsia="MS Mincho"/>
        </w:rPr>
        <w:t xml:space="preserve">s of the </w:t>
      </w:r>
      <w:r>
        <w:rPr>
          <w:rFonts w:eastAsia="MS Mincho"/>
          <w:i/>
          <w:iCs/>
        </w:rPr>
        <w:t>hotr</w:t>
      </w:r>
      <w:r>
        <w:rPr>
          <w:rFonts w:eastAsia="Arial" w:cs="Devanagari MT;Times New Roman"/>
          <w:sz w:val="18"/>
          <w:szCs w:val="18"/>
          <w:lang w:eastAsia="hi-IN" w:bidi="en-GB"/>
        </w:rPr>
        <w:t>̥</w:t>
      </w:r>
      <w:r>
        <w:rPr>
          <w:rFonts w:eastAsia="Arial" w:cs="Devanagari MT;Times New Roman"/>
          <w:i/>
          <w:iCs/>
          <w:sz w:val="18"/>
          <w:szCs w:val="18"/>
          <w:lang w:eastAsia="hi-IN" w:bidi="en-GB"/>
        </w:rPr>
        <w:t xml:space="preserve"> </w:t>
      </w:r>
      <w:r>
        <w:rPr>
          <w:rFonts w:eastAsia="MS Mincho"/>
        </w:rPr>
        <w:t>for Kāmye</w:t>
      </w:r>
      <w:r>
        <w:rPr>
          <w:rFonts w:eastAsia="MS Mincho"/>
        </w:rPr>
        <w:t>ṣ</w:t>
      </w:r>
      <w:r>
        <w:rPr>
          <w:rFonts w:eastAsia="MS Mincho"/>
        </w:rPr>
        <w:t xml:space="preserve">tiyajyās, offerings to Agni as desire. </w:t>
      </w:r>
    </w:p>
    <w:p w14:paraId="36D7A38D" w14:textId="77777777" w:rsidR="00E53EB6" w:rsidRDefault="00E53EB6">
      <w:pPr>
        <w:pStyle w:val="HaupttextohneEinzug"/>
        <w:autoSpaceDE w:val="0"/>
        <w:rPr>
          <w:rFonts w:eastAsia="MS Mincho" w:hint="eastAsia"/>
        </w:rPr>
      </w:pPr>
    </w:p>
    <w:p w14:paraId="09AA270D" w14:textId="77777777" w:rsidR="00E53EB6" w:rsidRDefault="006500F5">
      <w:pPr>
        <w:pStyle w:val="Heading5"/>
        <w:tabs>
          <w:tab w:val="left" w:pos="0"/>
        </w:tabs>
      </w:pPr>
      <w:r>
        <w:rPr>
          <w:u w:val="single"/>
        </w:rPr>
        <w:t>KS 15.12: 218,12-17</w:t>
      </w:r>
      <w:r>
        <w:tab/>
      </w:r>
      <w:r>
        <w:tab/>
      </w:r>
      <w:r>
        <w:tab/>
      </w:r>
      <w:r>
        <w:tab/>
      </w:r>
      <w:r>
        <w:tab/>
      </w:r>
      <w:r>
        <w:tab/>
      </w:r>
      <w:r>
        <w:tab/>
      </w:r>
      <w:r>
        <w:tab/>
      </w:r>
      <w:r>
        <w:tab/>
      </w:r>
    </w:p>
    <w:p w14:paraId="5FA8D47E" w14:textId="77777777" w:rsidR="00E53EB6" w:rsidRDefault="006500F5">
      <w:pPr>
        <w:pStyle w:val="Zitat"/>
      </w:pPr>
      <w:r>
        <w:t>15.12</w:t>
      </w:r>
      <w:r>
        <w:rPr>
          <w:i/>
          <w:iCs/>
        </w:rPr>
        <w:t xml:space="preserve"> añjanti tvām adhvare devayanto vanaspate madhunā dáivyena / yád ūrdhvás ti</w:t>
      </w:r>
      <w:r>
        <w:rPr>
          <w:i/>
          <w:iCs/>
        </w:rPr>
        <w:t>ṣṭ</w:t>
      </w:r>
      <w:r>
        <w:rPr>
          <w:i/>
          <w:iCs/>
        </w:rPr>
        <w:t>hāddrávi</w:t>
      </w:r>
      <w:r>
        <w:rPr>
          <w:i/>
          <w:iCs/>
        </w:rPr>
        <w:t>ṇ</w:t>
      </w:r>
      <w:r>
        <w:rPr>
          <w:i/>
          <w:iCs/>
        </w:rPr>
        <w:t>ehá dhattādyadvā k</w:t>
      </w:r>
      <w:r>
        <w:rPr>
          <w:i/>
          <w:iCs/>
        </w:rPr>
        <w:t>ṣ</w:t>
      </w:r>
      <w:r>
        <w:rPr>
          <w:i/>
          <w:iCs/>
        </w:rPr>
        <w:t>ayo māturasyā upasthe</w:t>
      </w:r>
      <w:r>
        <w:rPr>
          <w:rStyle w:val="FootnoteAnchor"/>
          <w:i/>
          <w:iCs/>
        </w:rPr>
        <w:footnoteReference w:id="153"/>
      </w:r>
      <w:r>
        <w:rPr>
          <w:i/>
          <w:iCs/>
        </w:rPr>
        <w:t xml:space="preserve"> //ucchrayasva vanaspate var</w:t>
      </w:r>
      <w:r>
        <w:rPr>
          <w:i/>
          <w:iCs/>
        </w:rPr>
        <w:t>ṣ</w:t>
      </w:r>
      <w:r>
        <w:rPr>
          <w:i/>
          <w:iCs/>
        </w:rPr>
        <w:t>amanpr̥thivyā adhi / sumitī mīyamāno varco dhā yajñavāhase</w:t>
      </w:r>
      <w:r>
        <w:rPr>
          <w:rStyle w:val="FootnoteAnchor"/>
          <w:i/>
          <w:iCs/>
        </w:rPr>
        <w:footnoteReference w:id="154"/>
      </w:r>
      <w:r>
        <w:rPr>
          <w:i/>
          <w:iCs/>
        </w:rPr>
        <w:t xml:space="preserve"> // samiddhasya śrayamā</w:t>
      </w:r>
      <w:r>
        <w:rPr>
          <w:i/>
          <w:iCs/>
        </w:rPr>
        <w:t>ṇ</w:t>
      </w:r>
      <w:r>
        <w:rPr>
          <w:i/>
          <w:iCs/>
        </w:rPr>
        <w:t>a</w:t>
      </w:r>
      <w:r>
        <w:rPr>
          <w:i/>
          <w:iCs/>
        </w:rPr>
        <w:t>ḥ</w:t>
      </w:r>
      <w:r>
        <w:rPr>
          <w:i/>
          <w:iCs/>
        </w:rPr>
        <w:t xml:space="preserve"> purastādbrah</w:t>
      </w:r>
      <w:r>
        <w:rPr>
          <w:i/>
          <w:iCs/>
        </w:rPr>
        <w:t>ma vanvāno ajaram̐ suvīram / āre asmad amati</w:t>
      </w:r>
      <w:r>
        <w:rPr>
          <w:i/>
          <w:iCs/>
        </w:rPr>
        <w:t>ṃ</w:t>
      </w:r>
      <w:r>
        <w:rPr>
          <w:i/>
          <w:iCs/>
        </w:rPr>
        <w:t xml:space="preserve"> bādhamāna ucchrayasva mahate saubhagāya</w:t>
      </w:r>
      <w:r>
        <w:rPr>
          <w:rStyle w:val="FootnoteAnchor"/>
          <w:i/>
          <w:iCs/>
        </w:rPr>
        <w:footnoteReference w:id="155"/>
      </w:r>
      <w:r>
        <w:rPr>
          <w:i/>
          <w:iCs/>
        </w:rPr>
        <w:t xml:space="preserve"> //</w:t>
      </w:r>
    </w:p>
    <w:p w14:paraId="6AECDD82" w14:textId="77777777" w:rsidR="00E53EB6" w:rsidRDefault="006500F5">
      <w:pPr>
        <w:pStyle w:val="Zitat"/>
      </w:pPr>
      <w:r>
        <w:t>Those seeking for the gods</w:t>
      </w:r>
      <w:r>
        <w:rPr>
          <w:rStyle w:val="FootnoteAnchor"/>
        </w:rPr>
        <w:footnoteReference w:id="156"/>
      </w:r>
      <w:r>
        <w:t xml:space="preserve"> anoint you in the sacrifice, o Vanaspati</w:t>
      </w:r>
      <w:r>
        <w:rPr>
          <w:rStyle w:val="FootnoteAnchor"/>
        </w:rPr>
        <w:footnoteReference w:id="157"/>
      </w:r>
      <w:r>
        <w:t>, with divine sweetness</w:t>
      </w:r>
      <w:r>
        <w:rPr>
          <w:rStyle w:val="FootnoteAnchor"/>
        </w:rPr>
        <w:footnoteReference w:id="158"/>
      </w:r>
      <w:r>
        <w:t xml:space="preserve">, when you would stay erect, then bring here movable goods, or </w:t>
      </w:r>
      <w:r>
        <w:t>when you rest in the lap of this mother; incline upwards, o Vanaspati, over the top of the earth, founded with a good founding</w:t>
      </w:r>
      <w:r>
        <w:rPr>
          <w:rStyle w:val="FootnoteAnchor"/>
        </w:rPr>
        <w:footnoteReference w:id="159"/>
      </w:r>
      <w:r>
        <w:t>, bestow the radiance</w:t>
      </w:r>
      <w:r>
        <w:rPr>
          <w:rStyle w:val="FootnoteAnchor"/>
        </w:rPr>
        <w:footnoteReference w:id="160"/>
      </w:r>
      <w:r>
        <w:t xml:space="preserve"> to the one who </w:t>
      </w:r>
      <w:r>
        <w:lastRenderedPageBreak/>
        <w:t>carries the sacrifice; reclining in front of the kindled one</w:t>
      </w:r>
      <w:r>
        <w:rPr>
          <w:rStyle w:val="FootnoteAnchor"/>
        </w:rPr>
        <w:footnoteReference w:id="161"/>
      </w:r>
      <w:r>
        <w:t xml:space="preserve">, </w:t>
      </w:r>
      <w:r>
        <w:rPr>
          <w:u w:val="single"/>
        </w:rPr>
        <w:t>appropriating</w:t>
      </w:r>
      <w:r>
        <w:t xml:space="preserve"> for yoursel</w:t>
      </w:r>
      <w:r>
        <w:t>f the sacrificial formula</w:t>
      </w:r>
      <w:r>
        <w:rPr>
          <w:rStyle w:val="FootnoteAnchor"/>
        </w:rPr>
        <w:footnoteReference w:id="162"/>
      </w:r>
      <w:r>
        <w:t xml:space="preserve"> that never gets old, full of warriors, [.2] pulling away from us the lack of inspiration</w:t>
      </w:r>
      <w:r>
        <w:rPr>
          <w:rStyle w:val="FootnoteAnchor"/>
        </w:rPr>
        <w:footnoteReference w:id="163"/>
      </w:r>
      <w:r>
        <w:t>, incline upwards, to a good great fortune.</w:t>
      </w:r>
    </w:p>
    <w:p w14:paraId="1BFAA81C" w14:textId="77777777" w:rsidR="00E53EB6" w:rsidRPr="00B80C6B" w:rsidRDefault="006500F5">
      <w:pPr>
        <w:pStyle w:val="Zitat"/>
        <w:rPr>
          <w:lang w:val="de-DE"/>
        </w:rPr>
      </w:pPr>
      <w:r>
        <w:rPr>
          <w:i/>
          <w:iCs/>
        </w:rPr>
        <w:t>vanvāná</w:t>
      </w:r>
      <w:r>
        <w:rPr>
          <w:i/>
          <w:iCs/>
        </w:rPr>
        <w:t>ḥ</w:t>
      </w:r>
      <w:r>
        <w:rPr>
          <w:i/>
          <w:iCs/>
        </w:rPr>
        <w:t>:</w:t>
      </w:r>
      <w:r>
        <w:t xml:space="preserve"> part. pres. nom. masc. sing. </w:t>
      </w:r>
      <w:r w:rsidRPr="00B80C6B">
        <w:rPr>
          <w:lang w:val="de-DE"/>
        </w:rPr>
        <w:t>Ā VIII cl.</w:t>
      </w:r>
    </w:p>
    <w:p w14:paraId="7A0FF297" w14:textId="77777777" w:rsidR="00E53EB6" w:rsidRPr="00B80C6B" w:rsidRDefault="006500F5">
      <w:pPr>
        <w:pStyle w:val="ZitatmitEinzug"/>
        <w:rPr>
          <w:szCs w:val="18"/>
          <w:lang w:val="de-DE"/>
        </w:rPr>
      </w:pPr>
      <w:r w:rsidRPr="00B80C6B">
        <w:rPr>
          <w:smallCaps/>
          <w:szCs w:val="18"/>
          <w:lang w:val="de-DE"/>
        </w:rPr>
        <w:t xml:space="preserve">Geldner: </w:t>
      </w:r>
      <w:r w:rsidRPr="00B80C6B">
        <w:rPr>
          <w:szCs w:val="18"/>
          <w:lang w:val="de-DE"/>
        </w:rPr>
        <w:t xml:space="preserve">I 345: </w:t>
      </w:r>
      <w:r w:rsidRPr="00B80C6B">
        <w:rPr>
          <w:szCs w:val="18"/>
          <w:lang w:val="de-DE"/>
        </w:rPr>
        <w:t>“gewinnst”</w:t>
      </w:r>
    </w:p>
    <w:p w14:paraId="50DA8271" w14:textId="77777777" w:rsidR="00E53EB6" w:rsidRDefault="006500F5">
      <w:pPr>
        <w:pStyle w:val="HaupttextnachZitat"/>
      </w:pPr>
      <w:r>
        <w:t>Vedic Web</w:t>
      </w:r>
    </w:p>
    <w:p w14:paraId="69CAFEFE" w14:textId="77777777" w:rsidR="00E53EB6" w:rsidRDefault="006500F5">
      <w:pPr>
        <w:pStyle w:val="HaupttextohneEinzug"/>
      </w:pPr>
      <w:r>
        <w:t>Mantra:</w:t>
      </w:r>
      <w:r>
        <w:t xml:space="preserve"> </w:t>
      </w:r>
      <w:r>
        <w:rPr>
          <w:rFonts w:eastAsia="MS Mincho;ＭＳ 明朝"/>
          <w:szCs w:val="21"/>
          <w:lang w:eastAsia="hi-IN"/>
        </w:rPr>
        <w:t>R</w:t>
      </w:r>
      <w:r>
        <w:rPr>
          <w:rFonts w:eastAsia="Arial" w:cs="Devanagari MT;Times New Roman"/>
          <w:szCs w:val="21"/>
          <w:lang w:eastAsia="hi-IN" w:bidi="en-GB"/>
        </w:rPr>
        <w:t>̥</w:t>
      </w:r>
      <w:r>
        <w:rPr>
          <w:rFonts w:eastAsia="MS Mincho;ＭＳ 明朝"/>
          <w:szCs w:val="21"/>
          <w:lang w:eastAsia="hi-IN"/>
        </w:rPr>
        <w:t>V 3.8.1-3; MS 4.13.1: 199,2-7; TB 3.6.1.1-(2).</w:t>
      </w:r>
    </w:p>
    <w:p w14:paraId="2BA53D3A" w14:textId="77777777" w:rsidR="00E53EB6" w:rsidRDefault="006500F5">
      <w:pPr>
        <w:pStyle w:val="HaupttextohneEinzug"/>
        <w:rPr>
          <w:rFonts w:eastAsia="MS Mincho;ＭＳ 明朝"/>
          <w:szCs w:val="21"/>
          <w:lang w:eastAsia="hi-IN"/>
        </w:rPr>
      </w:pPr>
      <w:r>
        <w:rPr>
          <w:rFonts w:eastAsia="MS Mincho;ＭＳ 明朝"/>
          <w:szCs w:val="21"/>
          <w:lang w:eastAsia="hi-IN"/>
        </w:rPr>
        <w:t>Mantra and Prose: AB 2.2.</w:t>
      </w:r>
    </w:p>
    <w:p w14:paraId="7D2AA392" w14:textId="77777777" w:rsidR="00E53EB6" w:rsidRDefault="00E53EB6">
      <w:pPr>
        <w:pStyle w:val="HaupttextohneEinzug"/>
        <w:rPr>
          <w:rFonts w:eastAsia="MS Mincho;ＭＳ 明朝"/>
          <w:szCs w:val="21"/>
          <w:lang w:eastAsia="hi-IN"/>
        </w:rPr>
      </w:pPr>
    </w:p>
    <w:p w14:paraId="67D21F82" w14:textId="77777777" w:rsidR="00E53EB6" w:rsidRDefault="006500F5">
      <w:pPr>
        <w:pStyle w:val="HaupttextohneEinzug"/>
        <w:rPr>
          <w:rFonts w:eastAsia="MS Mincho;ＭＳ 明朝"/>
          <w:szCs w:val="21"/>
          <w:lang w:eastAsia="hi-IN"/>
        </w:rPr>
      </w:pPr>
      <w:r>
        <w:rPr>
          <w:rFonts w:eastAsia="MS Mincho;ＭＳ 明朝"/>
          <w:szCs w:val="21"/>
          <w:lang w:eastAsia="hi-IN"/>
        </w:rPr>
        <w:t>Rite</w:t>
      </w:r>
    </w:p>
    <w:p w14:paraId="030FA7A8" w14:textId="77777777" w:rsidR="00E53EB6" w:rsidRDefault="006500F5">
      <w:pPr>
        <w:pStyle w:val="HaupttextohneEinzug"/>
        <w:rPr>
          <w:rFonts w:eastAsia="MS Mincho;ＭＳ 明朝"/>
          <w:i/>
          <w:iCs/>
          <w:szCs w:val="21"/>
          <w:lang w:eastAsia="hi-IN"/>
        </w:rPr>
      </w:pPr>
      <w:r>
        <w:rPr>
          <w:rFonts w:eastAsia="MS Mincho;ＭＳ 明朝"/>
          <w:i/>
          <w:iCs/>
          <w:szCs w:val="21"/>
          <w:lang w:eastAsia="hi-IN"/>
        </w:rPr>
        <w:t>Mantra</w:t>
      </w:r>
      <w:r>
        <w:rPr>
          <w:rFonts w:eastAsia="MS Mincho;ＭＳ 明朝"/>
          <w:szCs w:val="21"/>
          <w:lang w:eastAsia="hi-IN"/>
        </w:rPr>
        <w:t xml:space="preserve">s for the </w:t>
      </w:r>
      <w:r>
        <w:rPr>
          <w:rFonts w:eastAsia="MS Mincho;ＭＳ 明朝"/>
          <w:i/>
          <w:iCs/>
          <w:szCs w:val="21"/>
          <w:lang w:eastAsia="hi-IN"/>
        </w:rPr>
        <w:t xml:space="preserve">hotr̥ </w:t>
      </w:r>
      <w:r>
        <w:rPr>
          <w:rFonts w:eastAsia="MS Mincho;ＭＳ 明朝"/>
          <w:szCs w:val="21"/>
          <w:lang w:eastAsia="hi-IN"/>
        </w:rPr>
        <w:t xml:space="preserve">in the animal sacrifice, from TB </w:t>
      </w:r>
      <w:r>
        <w:rPr>
          <w:rFonts w:eastAsia="MS Mincho;ＭＳ 明朝"/>
          <w:i/>
          <w:iCs/>
          <w:szCs w:val="21"/>
          <w:lang w:eastAsia="hi-IN"/>
        </w:rPr>
        <w:t>paśukahotranirukti</w:t>
      </w:r>
      <w:r>
        <w:rPr>
          <w:rFonts w:eastAsia="MS Mincho;ＭＳ 明朝"/>
          <w:i/>
          <w:iCs/>
          <w:szCs w:val="21"/>
          <w:lang w:eastAsia="hi-IN"/>
        </w:rPr>
        <w:t>ḥ</w:t>
      </w:r>
      <w:r>
        <w:rPr>
          <w:rFonts w:eastAsia="MS Mincho;ＭＳ 明朝"/>
          <w:i/>
          <w:iCs/>
          <w:szCs w:val="21"/>
          <w:lang w:eastAsia="hi-IN"/>
        </w:rPr>
        <w:t>, yūpasa</w:t>
      </w:r>
      <w:r>
        <w:rPr>
          <w:rFonts w:eastAsia="MS Mincho;ＭＳ 明朝"/>
          <w:i/>
          <w:iCs/>
          <w:szCs w:val="21"/>
          <w:lang w:eastAsia="hi-IN"/>
        </w:rPr>
        <w:t>ṃ</w:t>
      </w:r>
      <w:r>
        <w:rPr>
          <w:rFonts w:eastAsia="MS Mincho;ＭＳ 明朝"/>
          <w:i/>
          <w:iCs/>
          <w:szCs w:val="21"/>
          <w:lang w:eastAsia="hi-IN"/>
        </w:rPr>
        <w:t>kāra</w:t>
      </w:r>
      <w:r>
        <w:rPr>
          <w:rFonts w:eastAsia="MS Mincho;ＭＳ 明朝"/>
          <w:i/>
          <w:iCs/>
          <w:szCs w:val="21"/>
          <w:lang w:eastAsia="hi-IN"/>
        </w:rPr>
        <w:t>ḥ</w:t>
      </w:r>
      <w:r>
        <w:rPr>
          <w:rFonts w:eastAsia="MS Mincho;ＭＳ 明朝"/>
          <w:i/>
          <w:iCs/>
          <w:szCs w:val="21"/>
          <w:lang w:eastAsia="hi-IN"/>
        </w:rPr>
        <w:t xml:space="preserve"> </w:t>
      </w:r>
      <w:r>
        <w:rPr>
          <w:rFonts w:eastAsia="MS Mincho;ＭＳ 明朝"/>
          <w:szCs w:val="21"/>
          <w:lang w:eastAsia="hi-IN"/>
        </w:rPr>
        <w:t>(TB 3.6.1)</w:t>
      </w:r>
      <w:r>
        <w:rPr>
          <w:rFonts w:eastAsia="MS Mincho;ＭＳ 明朝"/>
          <w:i/>
          <w:iCs/>
          <w:szCs w:val="21"/>
          <w:lang w:eastAsia="hi-IN"/>
        </w:rPr>
        <w:t xml:space="preserve">. </w:t>
      </w:r>
      <w:r>
        <w:rPr>
          <w:rFonts w:eastAsia="MS Mincho;ＭＳ 明朝"/>
          <w:szCs w:val="21"/>
          <w:lang w:eastAsia="hi-IN"/>
        </w:rPr>
        <w:t xml:space="preserve">According to </w:t>
      </w:r>
      <w:r>
        <w:rPr>
          <w:rStyle w:val="biblio-authorGEN"/>
          <w:rFonts w:eastAsia="MS Mincho;ＭＳ 明朝"/>
          <w:szCs w:val="21"/>
          <w:lang w:eastAsia="hi-IN"/>
        </w:rPr>
        <w:t>Proferes</w:t>
      </w:r>
      <w:r>
        <w:rPr>
          <w:rFonts w:eastAsia="MS Mincho;ＭＳ 明朝"/>
          <w:szCs w:val="21"/>
          <w:lang w:eastAsia="hi-IN"/>
        </w:rPr>
        <w:t xml:space="preserve"> (2003a: 322-329), the R̥V stanzas 3.8.1-5 are used for the rite requiring a single post, while the following one are recited when more posts are to be displayed.</w:t>
      </w:r>
    </w:p>
    <w:p w14:paraId="0A9F7AF4" w14:textId="77777777" w:rsidR="00E53EB6" w:rsidRDefault="00E53EB6">
      <w:pPr>
        <w:pStyle w:val="HaupttextohneEinzug"/>
        <w:rPr>
          <w:rFonts w:eastAsia="MS Mincho;ＭＳ 明朝"/>
          <w:iCs/>
          <w:szCs w:val="21"/>
          <w:shd w:val="clear" w:color="auto" w:fill="FF6633"/>
          <w:lang w:eastAsia="hi-IN"/>
        </w:rPr>
      </w:pPr>
    </w:p>
    <w:p w14:paraId="233C887C" w14:textId="77777777" w:rsidR="00E53EB6" w:rsidRDefault="006500F5">
      <w:pPr>
        <w:pStyle w:val="Heading5"/>
        <w:tabs>
          <w:tab w:val="left" w:pos="0"/>
        </w:tabs>
      </w:pPr>
      <w:r>
        <w:rPr>
          <w:u w:val="single"/>
        </w:rPr>
        <w:t>KS 18.1: 265,1-2</w:t>
      </w:r>
      <w:r>
        <w:tab/>
      </w:r>
      <w:r>
        <w:tab/>
      </w:r>
      <w:r>
        <w:tab/>
      </w:r>
      <w:r>
        <w:tab/>
      </w:r>
      <w:r>
        <w:tab/>
      </w:r>
      <w:r>
        <w:tab/>
      </w:r>
      <w:r>
        <w:tab/>
      </w:r>
    </w:p>
    <w:p w14:paraId="644CBD19" w14:textId="77777777" w:rsidR="00E53EB6" w:rsidRDefault="006500F5">
      <w:pPr>
        <w:pStyle w:val="Zitat"/>
        <w:autoSpaceDE w:val="0"/>
        <w:rPr>
          <w:lang w:eastAsia="hi-IN"/>
        </w:rPr>
      </w:pPr>
      <w:r>
        <w:rPr>
          <w:lang w:eastAsia="hi-IN"/>
        </w:rPr>
        <w:t xml:space="preserve">18.1 </w:t>
      </w:r>
      <w:r>
        <w:rPr>
          <w:i/>
          <w:iCs/>
          <w:lang w:eastAsia="hi-IN"/>
        </w:rPr>
        <w:t>agnístigména śocí</w:t>
      </w:r>
      <w:r>
        <w:rPr>
          <w:i/>
          <w:iCs/>
          <w:lang w:eastAsia="hi-IN"/>
        </w:rPr>
        <w:t>ṣ</w:t>
      </w:r>
      <w:r>
        <w:rPr>
          <w:i/>
          <w:iCs/>
          <w:lang w:eastAsia="hi-IN"/>
        </w:rPr>
        <w:t>ā yá</w:t>
      </w:r>
      <w:r>
        <w:rPr>
          <w:i/>
          <w:iCs/>
          <w:lang w:eastAsia="hi-IN"/>
        </w:rPr>
        <w:t>ṁ</w:t>
      </w:r>
      <w:r>
        <w:rPr>
          <w:i/>
          <w:iCs/>
          <w:lang w:eastAsia="hi-IN"/>
        </w:rPr>
        <w:t>sadvíśva</w:t>
      </w:r>
      <w:r>
        <w:rPr>
          <w:i/>
          <w:iCs/>
          <w:lang w:eastAsia="hi-IN"/>
        </w:rPr>
        <w:t>ṃ</w:t>
      </w:r>
      <w:r>
        <w:rPr>
          <w:i/>
          <w:iCs/>
          <w:lang w:eastAsia="hi-IN"/>
        </w:rPr>
        <w:t xml:space="preserve"> nyàtrí</w:t>
      </w:r>
      <w:r>
        <w:rPr>
          <w:i/>
          <w:iCs/>
          <w:lang w:eastAsia="hi-IN"/>
        </w:rPr>
        <w:t>ṇ</w:t>
      </w:r>
      <w:r>
        <w:rPr>
          <w:i/>
          <w:iCs/>
          <w:lang w:eastAsia="hi-IN"/>
        </w:rPr>
        <w:t>am / agnírno va</w:t>
      </w:r>
      <w:r>
        <w:rPr>
          <w:i/>
          <w:iCs/>
          <w:lang w:eastAsia="hi-IN"/>
        </w:rPr>
        <w:t>ṁ</w:t>
      </w:r>
      <w:r>
        <w:rPr>
          <w:i/>
          <w:iCs/>
          <w:lang w:eastAsia="hi-IN"/>
        </w:rPr>
        <w:t>sate ra</w:t>
      </w:r>
      <w:r>
        <w:rPr>
          <w:i/>
          <w:iCs/>
          <w:lang w:eastAsia="hi-IN"/>
        </w:rPr>
        <w:t>yím//</w:t>
      </w:r>
    </w:p>
    <w:p w14:paraId="6EFF64A6" w14:textId="77777777" w:rsidR="00E53EB6" w:rsidRDefault="006500F5">
      <w:pPr>
        <w:pStyle w:val="Zitat"/>
        <w:autoSpaceDE w:val="0"/>
        <w:rPr>
          <w:lang w:eastAsia="hi-IN"/>
        </w:rPr>
      </w:pPr>
      <w:r>
        <w:rPr>
          <w:lang w:eastAsia="hi-IN"/>
        </w:rPr>
        <w:t xml:space="preserve">Agni with the sharpened flame may keep all evils away, may Agni </w:t>
      </w:r>
      <w:r>
        <w:rPr>
          <w:u w:val="single"/>
          <w:lang w:eastAsia="hi-IN"/>
        </w:rPr>
        <w:t>appropriate</w:t>
      </w:r>
      <w:r>
        <w:rPr>
          <w:lang w:eastAsia="hi-IN"/>
        </w:rPr>
        <w:t xml:space="preserve"> for us the richness.</w:t>
      </w:r>
    </w:p>
    <w:p w14:paraId="56C52080" w14:textId="77777777" w:rsidR="00E53EB6" w:rsidRDefault="006500F5">
      <w:pPr>
        <w:pStyle w:val="Zitat"/>
        <w:autoSpaceDE w:val="0"/>
        <w:rPr>
          <w:lang w:eastAsia="hi-IN"/>
        </w:rPr>
      </w:pPr>
      <w:r>
        <w:rPr>
          <w:i/>
          <w:iCs/>
          <w:lang w:eastAsia="hi-IN"/>
        </w:rPr>
        <w:t>va</w:t>
      </w:r>
      <w:r>
        <w:rPr>
          <w:i/>
          <w:iCs/>
          <w:lang w:eastAsia="hi-IN"/>
        </w:rPr>
        <w:t>ṃ</w:t>
      </w:r>
      <w:r>
        <w:rPr>
          <w:i/>
          <w:iCs/>
          <w:lang w:eastAsia="hi-IN"/>
        </w:rPr>
        <w:t>sate:</w:t>
      </w:r>
      <w:r>
        <w:rPr>
          <w:lang w:eastAsia="hi-IN"/>
        </w:rPr>
        <w:t xml:space="preserve"> subj. sigmatic aor. 3</w:t>
      </w:r>
      <w:r>
        <w:rPr>
          <w:vertAlign w:val="superscript"/>
          <w:lang w:eastAsia="hi-IN"/>
        </w:rPr>
        <w:t>rd</w:t>
      </w:r>
      <w:r>
        <w:rPr>
          <w:lang w:eastAsia="hi-IN"/>
        </w:rPr>
        <w:t xml:space="preserve"> sing. Ā </w:t>
      </w:r>
    </w:p>
    <w:p w14:paraId="637CB36D" w14:textId="77777777" w:rsidR="00E53EB6" w:rsidRDefault="006500F5">
      <w:pPr>
        <w:pStyle w:val="HaupttextnachZitat"/>
        <w:numPr>
          <w:ilvl w:val="2"/>
          <w:numId w:val="2"/>
        </w:numPr>
        <w:tabs>
          <w:tab w:val="left" w:pos="0"/>
        </w:tabs>
      </w:pPr>
      <w:r>
        <w:t>Vedic Web</w:t>
      </w:r>
    </w:p>
    <w:p w14:paraId="41FC5023" w14:textId="77777777" w:rsidR="00E53EB6" w:rsidRDefault="006500F5">
      <w:pPr>
        <w:pStyle w:val="HaupttextohneEinzug"/>
      </w:pPr>
      <w:r>
        <w:t xml:space="preserve">Mantra: </w:t>
      </w:r>
      <w:r>
        <w:rPr>
          <w:sz w:val="22"/>
          <w:szCs w:val="22"/>
        </w:rPr>
        <w:t>R</w:t>
      </w:r>
      <w:r>
        <w:rPr>
          <w:rFonts w:eastAsia="Arial" w:cs="Devanagari MT;Times New Roman"/>
          <w:sz w:val="22"/>
          <w:szCs w:val="22"/>
          <w:lang w:eastAsia="hi-IN" w:bidi="en-GB"/>
        </w:rPr>
        <w:t>̥</w:t>
      </w:r>
      <w:r>
        <w:rPr>
          <w:sz w:val="22"/>
          <w:szCs w:val="22"/>
        </w:rPr>
        <w:t>V</w:t>
      </w:r>
      <w:r>
        <w:t xml:space="preserve"> 6.16.28 (</w:t>
      </w:r>
      <w:r>
        <w:rPr>
          <w:i/>
          <w:iCs/>
        </w:rPr>
        <w:t>yā́sad</w:t>
      </w:r>
      <w:r>
        <w:t xml:space="preserve"> and </w:t>
      </w:r>
      <w:r>
        <w:rPr>
          <w:i/>
          <w:iCs/>
        </w:rPr>
        <w:t xml:space="preserve">vanate </w:t>
      </w:r>
      <w:r>
        <w:rPr>
          <w:i/>
          <w:iCs/>
          <w:szCs w:val="21"/>
        </w:rPr>
        <w:t>-</w:t>
      </w:r>
      <w:r>
        <w:rPr>
          <w:rFonts w:eastAsia="Arial" w:cs="Times Ext Roman"/>
          <w:szCs w:val="21"/>
          <w:lang w:eastAsia="hi-IN" w:bidi="en-GB"/>
        </w:rPr>
        <w:t xml:space="preserve"> subj. root aor. 3</w:t>
      </w:r>
      <w:r>
        <w:rPr>
          <w:rFonts w:eastAsia="Arial" w:cs="Times Ext Roman"/>
          <w:szCs w:val="21"/>
          <w:vertAlign w:val="superscript"/>
          <w:lang w:eastAsia="hi-IN" w:bidi="en-GB"/>
        </w:rPr>
        <w:t>rd</w:t>
      </w:r>
      <w:r>
        <w:rPr>
          <w:rFonts w:eastAsia="Arial" w:cs="Times Ext Roman"/>
          <w:szCs w:val="21"/>
          <w:lang w:eastAsia="hi-IN" w:bidi="en-GB"/>
        </w:rPr>
        <w:t xml:space="preserve"> sing. Ā. </w:t>
      </w:r>
      <w:r>
        <w:rPr>
          <w:rStyle w:val="biblio-authorGEN"/>
          <w:rFonts w:eastAsia="Arial" w:cs="Times Ext Roman"/>
          <w:szCs w:val="21"/>
          <w:lang w:eastAsia="hi-IN" w:bidi="en-GB"/>
        </w:rPr>
        <w:t>Geldner</w:t>
      </w:r>
      <w:r>
        <w:rPr>
          <w:rFonts w:eastAsia="Arial" w:cs="Times Ext Roman"/>
          <w:szCs w:val="21"/>
          <w:lang w:eastAsia="hi-IN" w:bidi="en-GB"/>
        </w:rPr>
        <w:t xml:space="preserve">: II 111 “soll gewinnen”; </w:t>
      </w:r>
      <w:r>
        <w:rPr>
          <w:rStyle w:val="biblio-authorGEN"/>
          <w:rFonts w:eastAsia="Arial" w:cs="Times Ext Roman"/>
          <w:szCs w:val="21"/>
          <w:lang w:eastAsia="hi-IN" w:bidi="en-GB"/>
        </w:rPr>
        <w:t>Renou</w:t>
      </w:r>
      <w:r>
        <w:rPr>
          <w:rFonts w:eastAsia="Arial" w:cs="Times Ext Roman"/>
          <w:szCs w:val="21"/>
          <w:lang w:eastAsia="hi-IN" w:bidi="en-GB"/>
        </w:rPr>
        <w:t>: XIII 50 “gagne”-)</w:t>
      </w:r>
      <w:r>
        <w:rPr>
          <w:rFonts w:eastAsia="Arial" w:cs="Devanagari MT;Times New Roman"/>
          <w:szCs w:val="21"/>
          <w:lang w:eastAsia="hi-IN" w:bidi="en-GB"/>
        </w:rPr>
        <w:t xml:space="preserve">; </w:t>
      </w:r>
      <w:r>
        <w:t xml:space="preserve">MS 2.10.2: 132,16-17; KpS 28.2: 140; VS 17,16 follow the </w:t>
      </w:r>
      <w:r>
        <w:rPr>
          <w:szCs w:val="21"/>
        </w:rPr>
        <w:t>R</w:t>
      </w:r>
      <w:r>
        <w:rPr>
          <w:rFonts w:eastAsia="Arial" w:cs="Devanagari MT;Times New Roman"/>
          <w:szCs w:val="21"/>
          <w:lang w:eastAsia="hi-IN" w:bidi="en-GB"/>
        </w:rPr>
        <w:t>̥</w:t>
      </w:r>
      <w:r>
        <w:rPr>
          <w:szCs w:val="21"/>
        </w:rPr>
        <w:t>gvedic</w:t>
      </w:r>
      <w:r>
        <w:t xml:space="preserve"> version. TS 4.6.1.5r reads as the KS.</w:t>
      </w:r>
    </w:p>
    <w:p w14:paraId="079B2C01" w14:textId="77777777" w:rsidR="00E53EB6" w:rsidRDefault="006500F5">
      <w:pPr>
        <w:pStyle w:val="HaupttextohneEinzug"/>
      </w:pPr>
      <w:r>
        <w:t>Prose: TS 5.4.4.1-.5.3.</w:t>
      </w:r>
    </w:p>
    <w:p w14:paraId="66F3DB4F" w14:textId="77777777" w:rsidR="00E53EB6" w:rsidRDefault="00E53EB6">
      <w:pPr>
        <w:pStyle w:val="HaupttextohneEinzug"/>
        <w:autoSpaceDE w:val="0"/>
        <w:rPr>
          <w:rFonts w:eastAsia="Arial" w:cs="Times Ext Roman"/>
          <w:sz w:val="22"/>
          <w:szCs w:val="22"/>
          <w:lang w:eastAsia="hi-IN" w:bidi="en-GB"/>
        </w:rPr>
      </w:pPr>
    </w:p>
    <w:p w14:paraId="34314156" w14:textId="77777777" w:rsidR="00E53EB6" w:rsidRDefault="006500F5">
      <w:pPr>
        <w:pStyle w:val="HaupttextohneEinzug"/>
      </w:pPr>
      <w:r>
        <w:t>Rite</w:t>
      </w:r>
    </w:p>
    <w:p w14:paraId="60A45FB3" w14:textId="77777777" w:rsidR="00E53EB6" w:rsidRDefault="006500F5">
      <w:pPr>
        <w:pStyle w:val="HaupttextohneEinzug"/>
      </w:pPr>
      <w:r>
        <w:t xml:space="preserve">Agnicayana. Preparation of the fire, </w:t>
      </w:r>
      <w:r>
        <w:rPr>
          <w:i/>
          <w:iCs/>
        </w:rPr>
        <w:t>mantra</w:t>
      </w:r>
      <w:r>
        <w:t>s for the moistening of the</w:t>
      </w:r>
      <w:r>
        <w:t xml:space="preserve"> fire and dragging of a frog, a reed and </w:t>
      </w:r>
      <w:r>
        <w:rPr>
          <w:i/>
          <w:iCs/>
        </w:rPr>
        <w:t xml:space="preserve">avakā </w:t>
      </w:r>
      <w:r>
        <w:t>(herbal plant) over the fire (Pari</w:t>
      </w:r>
      <w:r>
        <w:t>ṣ</w:t>
      </w:r>
      <w:r>
        <w:t>ecana “sprinkling” and Vikar</w:t>
      </w:r>
      <w:r>
        <w:t>ṣ</w:t>
      </w:r>
      <w:r>
        <w:t>a</w:t>
      </w:r>
      <w:r>
        <w:t>ṇ</w:t>
      </w:r>
      <w:r>
        <w:t>a “dragging asunder” of the fire). This stanza is namely to accompany an oblation to Agni.</w:t>
      </w:r>
    </w:p>
    <w:p w14:paraId="1CF83F9B" w14:textId="77777777" w:rsidR="00E53EB6" w:rsidRDefault="00E53EB6">
      <w:pPr>
        <w:pStyle w:val="HaupttextohneEinzug"/>
      </w:pPr>
    </w:p>
    <w:p w14:paraId="7AACCE29" w14:textId="77777777" w:rsidR="00E53EB6" w:rsidRDefault="006500F5">
      <w:pPr>
        <w:pStyle w:val="Heading5"/>
        <w:tabs>
          <w:tab w:val="left" w:pos="0"/>
        </w:tabs>
      </w:pPr>
      <w:r>
        <w:rPr>
          <w:u w:val="single"/>
        </w:rPr>
        <w:t>KS 20.14: 34,8-13</w:t>
      </w:r>
      <w:r>
        <w:tab/>
      </w:r>
      <w:r>
        <w:tab/>
      </w:r>
      <w:r>
        <w:tab/>
      </w:r>
      <w:r>
        <w:tab/>
      </w:r>
      <w:r>
        <w:tab/>
      </w:r>
      <w:r>
        <w:tab/>
      </w:r>
      <w:r>
        <w:tab/>
      </w:r>
    </w:p>
    <w:p w14:paraId="526DE538" w14:textId="77777777" w:rsidR="00E53EB6" w:rsidRDefault="006500F5">
      <w:pPr>
        <w:pStyle w:val="Zitat"/>
      </w:pPr>
      <w:r>
        <w:t xml:space="preserve">20.14 </w:t>
      </w:r>
      <w:r>
        <w:rPr>
          <w:i/>
          <w:iCs/>
        </w:rPr>
        <w:t>nahí te pūrtám ak</w:t>
      </w:r>
      <w:r>
        <w:rPr>
          <w:i/>
          <w:iCs/>
        </w:rPr>
        <w:t>ṣ</w:t>
      </w:r>
      <w:r>
        <w:rPr>
          <w:i/>
          <w:iCs/>
        </w:rPr>
        <w:t>ip</w:t>
      </w:r>
      <w:r>
        <w:rPr>
          <w:i/>
          <w:iCs/>
        </w:rPr>
        <w:t>ád bhúvan nemānā</w:t>
      </w:r>
      <w:r>
        <w:rPr>
          <w:i/>
          <w:iCs/>
        </w:rPr>
        <w:t>ṃ</w:t>
      </w:r>
      <w:r>
        <w:rPr>
          <w:i/>
          <w:iCs/>
        </w:rPr>
        <w:t xml:space="preserve"> vaso / áthā dúvo vanavase </w:t>
      </w:r>
      <w:r>
        <w:rPr>
          <w:rStyle w:val="FootnoteAnchor"/>
          <w:i/>
          <w:iCs/>
        </w:rPr>
        <w:footnoteReference w:id="164"/>
      </w:r>
      <w:r>
        <w:rPr>
          <w:i/>
          <w:iCs/>
        </w:rPr>
        <w:t>// āgniragāmi bhārato vr̥trahā purucetana</w:t>
      </w:r>
      <w:r>
        <w:rPr>
          <w:i/>
          <w:iCs/>
        </w:rPr>
        <w:t>ḥ</w:t>
      </w:r>
      <w:r>
        <w:rPr>
          <w:i/>
          <w:iCs/>
        </w:rPr>
        <w:t xml:space="preserve"> divodāsasya sapati</w:t>
      </w:r>
      <w:r>
        <w:rPr>
          <w:i/>
          <w:iCs/>
        </w:rPr>
        <w:t>ḥ</w:t>
      </w:r>
      <w:r>
        <w:rPr>
          <w:i/>
          <w:iCs/>
        </w:rPr>
        <w:t xml:space="preserve"> // sá hí víśvā́ti pā́rthivā rayí</w:t>
      </w:r>
      <w:r>
        <w:rPr>
          <w:i/>
          <w:iCs/>
        </w:rPr>
        <w:t>ṃ</w:t>
      </w:r>
      <w:r>
        <w:rPr>
          <w:i/>
          <w:iCs/>
        </w:rPr>
        <w:t xml:space="preserve"> dā́śan mahitvanā́ / vanvánn ávāto ástr̥ta</w:t>
      </w:r>
      <w:r>
        <w:rPr>
          <w:i/>
          <w:iCs/>
        </w:rPr>
        <w:t>ḥ</w:t>
      </w:r>
      <w:r>
        <w:rPr>
          <w:rStyle w:val="FootnoteAnchor"/>
          <w:i/>
          <w:iCs/>
        </w:rPr>
        <w:footnoteReference w:id="165"/>
      </w:r>
      <w:r>
        <w:rPr>
          <w:i/>
          <w:iCs/>
        </w:rPr>
        <w:t>//</w:t>
      </w:r>
    </w:p>
    <w:p w14:paraId="5CFF6597" w14:textId="77777777" w:rsidR="00E53EB6" w:rsidRDefault="006500F5">
      <w:pPr>
        <w:pStyle w:val="Zitat"/>
      </w:pPr>
      <w:r>
        <w:lastRenderedPageBreak/>
        <w:t xml:space="preserve">Be your reward not such that can fall into an eye, o Lord of </w:t>
      </w:r>
      <w:r>
        <w:t>someone</w:t>
      </w:r>
      <w:r>
        <w:rPr>
          <w:rStyle w:val="FootnoteAnchor"/>
        </w:rPr>
        <w:footnoteReference w:id="166"/>
      </w:r>
      <w:r>
        <w:t xml:space="preserve">, in this way may you </w:t>
      </w:r>
      <w:r>
        <w:rPr>
          <w:u w:val="single"/>
        </w:rPr>
        <w:t>appropriate</w:t>
      </w:r>
      <w:r>
        <w:t xml:space="preserve"> the homage; Agni, descended from the Bharata</w:t>
      </w:r>
      <w:r>
        <w:rPr>
          <w:rStyle w:val="FootnoteAnchor"/>
        </w:rPr>
        <w:footnoteReference w:id="167"/>
      </w:r>
      <w:r>
        <w:t>, has arrived, the famous killer of Vr̥tra, the great protector of Divodāsa</w:t>
      </w:r>
      <w:r>
        <w:rPr>
          <w:rStyle w:val="FootnoteAnchor"/>
        </w:rPr>
        <w:footnoteReference w:id="168"/>
      </w:r>
      <w:r>
        <w:t>; indeed may he grant rich to all terrestrial things</w:t>
      </w:r>
      <w:r>
        <w:rPr>
          <w:rStyle w:val="FootnoteAnchor"/>
        </w:rPr>
        <w:footnoteReference w:id="169"/>
      </w:r>
      <w:r>
        <w:t xml:space="preserve"> through his greatness, he who </w:t>
      </w:r>
      <w:r>
        <w:rPr>
          <w:u w:val="single"/>
        </w:rPr>
        <w:t>appro</w:t>
      </w:r>
      <w:r>
        <w:rPr>
          <w:u w:val="single"/>
        </w:rPr>
        <w:t>priates</w:t>
      </w:r>
      <w:r>
        <w:t xml:space="preserve"> </w:t>
      </w:r>
      <w:r>
        <w:rPr>
          <w:u w:val="single"/>
        </w:rPr>
        <w:t>without being appropriated</w:t>
      </w:r>
      <w:r>
        <w:t>, never beaten.</w:t>
      </w:r>
    </w:p>
    <w:p w14:paraId="4CE9404D" w14:textId="77777777" w:rsidR="00E53EB6" w:rsidRDefault="006500F5">
      <w:pPr>
        <w:pStyle w:val="Zitat"/>
      </w:pPr>
      <w:r>
        <w:rPr>
          <w:i/>
          <w:iCs/>
        </w:rPr>
        <w:t>vanavase:</w:t>
      </w:r>
      <w:r>
        <w:t xml:space="preserve"> subj. pres. 2</w:t>
      </w:r>
      <w:r>
        <w:rPr>
          <w:position w:val="6"/>
        </w:rPr>
        <w:t>a</w:t>
      </w:r>
      <w:r>
        <w:t xml:space="preserve"> sing. Ā, VIII cl.</w:t>
      </w:r>
    </w:p>
    <w:p w14:paraId="2B5499C6" w14:textId="77777777" w:rsidR="00E53EB6" w:rsidRDefault="006500F5">
      <w:pPr>
        <w:pStyle w:val="ZitatmitEinzug"/>
      </w:pPr>
      <w:r>
        <w:rPr>
          <w:smallCaps/>
        </w:rPr>
        <w:t>Geldner:</w:t>
      </w:r>
      <w:r>
        <w:t xml:space="preserve"> II 110 “</w:t>
      </w:r>
      <w:r>
        <w:t>wirst gewinnen”</w:t>
      </w:r>
    </w:p>
    <w:p w14:paraId="679C0590" w14:textId="77777777" w:rsidR="00E53EB6" w:rsidRDefault="006500F5">
      <w:pPr>
        <w:pStyle w:val="ZitatmitEinzug"/>
        <w:rPr>
          <w:szCs w:val="18"/>
        </w:rPr>
      </w:pPr>
      <w:r>
        <w:rPr>
          <w:smallCaps/>
          <w:szCs w:val="18"/>
        </w:rPr>
        <w:t>Renou:</w:t>
      </w:r>
      <w:r>
        <w:rPr>
          <w:i/>
          <w:iCs/>
          <w:smallCaps/>
          <w:szCs w:val="18"/>
        </w:rPr>
        <w:t xml:space="preserve"> </w:t>
      </w:r>
      <w:r>
        <w:rPr>
          <w:szCs w:val="18"/>
        </w:rPr>
        <w:t>XIII</w:t>
      </w:r>
      <w:r>
        <w:rPr>
          <w:i/>
          <w:iCs/>
          <w:szCs w:val="18"/>
        </w:rPr>
        <w:t xml:space="preserve">  </w:t>
      </w:r>
      <w:r>
        <w:rPr>
          <w:szCs w:val="18"/>
        </w:rPr>
        <w:t>49</w:t>
      </w:r>
      <w:r>
        <w:rPr>
          <w:i/>
          <w:iCs/>
          <w:szCs w:val="18"/>
        </w:rPr>
        <w:t xml:space="preserve"> “</w:t>
      </w:r>
      <w:r>
        <w:rPr>
          <w:szCs w:val="18"/>
        </w:rPr>
        <w:t xml:space="preserve">procureras” </w:t>
      </w:r>
    </w:p>
    <w:p w14:paraId="678E4DD6" w14:textId="77777777" w:rsidR="00E53EB6" w:rsidRDefault="006500F5">
      <w:pPr>
        <w:pStyle w:val="Zitat"/>
      </w:pPr>
      <w:r>
        <w:rPr>
          <w:i/>
          <w:iCs/>
        </w:rPr>
        <w:t>vanván:</w:t>
      </w:r>
      <w:r>
        <w:t xml:space="preserve"> part. pres. (nom. m. sing.) VIII cl.</w:t>
      </w:r>
    </w:p>
    <w:p w14:paraId="594CF37E" w14:textId="77777777" w:rsidR="00E53EB6" w:rsidRPr="00B80C6B" w:rsidRDefault="006500F5">
      <w:pPr>
        <w:pStyle w:val="ZitatmitEinzug"/>
        <w:rPr>
          <w:lang w:val="de-DE"/>
        </w:rPr>
      </w:pPr>
      <w:r w:rsidRPr="00B80C6B">
        <w:rPr>
          <w:smallCaps/>
          <w:lang w:val="de-DE"/>
        </w:rPr>
        <w:t>Geldner:</w:t>
      </w:r>
      <w:r w:rsidRPr="00B80C6B">
        <w:rPr>
          <w:lang w:val="de-DE"/>
        </w:rPr>
        <w:t xml:space="preserve"> II 110 “</w:t>
      </w:r>
      <w:r w:rsidRPr="00B80C6B">
        <w:rPr>
          <w:lang w:val="de-DE"/>
        </w:rPr>
        <w:t>Sieger”</w:t>
      </w:r>
    </w:p>
    <w:p w14:paraId="78260010" w14:textId="77777777" w:rsidR="00E53EB6" w:rsidRPr="00B80C6B" w:rsidRDefault="006500F5">
      <w:pPr>
        <w:pStyle w:val="ZitatmitEinzug"/>
        <w:rPr>
          <w:lang w:val="de-DE"/>
        </w:rPr>
      </w:pPr>
      <w:r w:rsidRPr="00B80C6B">
        <w:rPr>
          <w:smallCaps/>
          <w:lang w:val="de-DE"/>
        </w:rPr>
        <w:t>Renou:</w:t>
      </w:r>
      <w:r w:rsidRPr="00B80C6B">
        <w:rPr>
          <w:lang w:val="de-DE"/>
        </w:rPr>
        <w:t xml:space="preserve"> XIII 50 “</w:t>
      </w:r>
      <w:r w:rsidRPr="00B80C6B">
        <w:rPr>
          <w:lang w:val="de-DE"/>
        </w:rPr>
        <w:t xml:space="preserve">qui </w:t>
      </w:r>
      <w:r w:rsidRPr="00B80C6B">
        <w:rPr>
          <w:lang w:val="de-DE"/>
        </w:rPr>
        <w:t>vainc”</w:t>
      </w:r>
    </w:p>
    <w:p w14:paraId="64DD571A" w14:textId="77777777" w:rsidR="00E53EB6" w:rsidRDefault="006500F5">
      <w:pPr>
        <w:pStyle w:val="Zitat"/>
      </w:pPr>
      <w:r>
        <w:rPr>
          <w:i/>
          <w:iCs/>
        </w:rPr>
        <w:t>ávāta</w:t>
      </w:r>
      <w:r>
        <w:rPr>
          <w:i/>
          <w:iCs/>
        </w:rPr>
        <w:t>ḥ</w:t>
      </w:r>
      <w:r>
        <w:rPr>
          <w:i/>
          <w:iCs/>
        </w:rPr>
        <w:t>:</w:t>
      </w:r>
      <w:r>
        <w:t xml:space="preserve"> nom. m. sing. from the adjective </w:t>
      </w:r>
      <w:r>
        <w:rPr>
          <w:i/>
        </w:rPr>
        <w:t xml:space="preserve">ávāta- </w:t>
      </w:r>
    </w:p>
    <w:p w14:paraId="1A6372DD" w14:textId="77777777" w:rsidR="00E53EB6" w:rsidRPr="00B80C6B" w:rsidRDefault="006500F5">
      <w:pPr>
        <w:pStyle w:val="ZitatmitEinzug"/>
        <w:rPr>
          <w:lang w:val="de-DE"/>
        </w:rPr>
      </w:pPr>
      <w:r w:rsidRPr="00B80C6B">
        <w:rPr>
          <w:smallCaps/>
          <w:lang w:val="de-DE"/>
        </w:rPr>
        <w:t xml:space="preserve">Geldner: </w:t>
      </w:r>
      <w:r w:rsidRPr="00B80C6B">
        <w:rPr>
          <w:lang w:val="de-DE"/>
        </w:rPr>
        <w:t>II, 110 “</w:t>
      </w:r>
      <w:r w:rsidRPr="00B80C6B">
        <w:rPr>
          <w:lang w:val="de-DE"/>
        </w:rPr>
        <w:t>unbesiegte”</w:t>
      </w:r>
    </w:p>
    <w:p w14:paraId="743A49C5" w14:textId="77777777" w:rsidR="00E53EB6" w:rsidRPr="00B80C6B" w:rsidRDefault="006500F5">
      <w:pPr>
        <w:pStyle w:val="ZitatmitEinzug"/>
        <w:rPr>
          <w:lang w:val="de-DE"/>
        </w:rPr>
      </w:pPr>
      <w:r w:rsidRPr="00B80C6B">
        <w:rPr>
          <w:smallCaps/>
          <w:lang w:val="de-DE"/>
        </w:rPr>
        <w:t>Renou:</w:t>
      </w:r>
      <w:r w:rsidRPr="00B80C6B">
        <w:rPr>
          <w:lang w:val="de-DE"/>
        </w:rPr>
        <w:t xml:space="preserve"> XIII, 50 “</w:t>
      </w:r>
      <w:r w:rsidRPr="00B80C6B">
        <w:rPr>
          <w:lang w:val="de-DE"/>
        </w:rPr>
        <w:t>sans être (jamais) vaincu”</w:t>
      </w:r>
    </w:p>
    <w:p w14:paraId="7B2D0153" w14:textId="77777777" w:rsidR="00E53EB6" w:rsidRDefault="006500F5">
      <w:pPr>
        <w:pStyle w:val="HaupttextnachZitat"/>
      </w:pPr>
      <w:r>
        <w:t>Vedic Web</w:t>
      </w:r>
    </w:p>
    <w:p w14:paraId="0898C99D" w14:textId="77777777" w:rsidR="00E53EB6" w:rsidRDefault="006500F5">
      <w:pPr>
        <w:pStyle w:val="HaupttextohneEinzug"/>
      </w:pPr>
      <w:r>
        <w:t>Mantra: R̥V 6.16.18-20.</w:t>
      </w:r>
    </w:p>
    <w:p w14:paraId="687B3445" w14:textId="77777777" w:rsidR="00E53EB6" w:rsidRDefault="00E53EB6">
      <w:pPr>
        <w:pStyle w:val="HaupttextohneEinzug"/>
      </w:pPr>
    </w:p>
    <w:p w14:paraId="599129A9" w14:textId="77777777" w:rsidR="00E53EB6" w:rsidRDefault="006500F5">
      <w:pPr>
        <w:pStyle w:val="HaupttextohneEinzug"/>
      </w:pPr>
      <w:r>
        <w:t>Rite</w:t>
      </w:r>
    </w:p>
    <w:p w14:paraId="30F81622" w14:textId="77777777" w:rsidR="00E53EB6" w:rsidRDefault="006500F5">
      <w:pPr>
        <w:pStyle w:val="HaupttextohneEinzug"/>
      </w:pPr>
      <w:r>
        <w:t xml:space="preserve">According to </w:t>
      </w:r>
      <w:r>
        <w:t xml:space="preserve">Schroeder’s indication of MS 4.10.2 for this KS passage, these are </w:t>
      </w:r>
      <w:r>
        <w:rPr>
          <w:i/>
          <w:iCs/>
        </w:rPr>
        <w:t>mantra</w:t>
      </w:r>
      <w:r>
        <w:t xml:space="preserve">s for the </w:t>
      </w:r>
      <w:r>
        <w:rPr>
          <w:i/>
          <w:iCs/>
        </w:rPr>
        <w:t xml:space="preserve">hotr̥ </w:t>
      </w:r>
      <w:r>
        <w:t>to be recited</w:t>
      </w:r>
      <w:r>
        <w:rPr>
          <w:i/>
          <w:iCs/>
        </w:rPr>
        <w:t xml:space="preserve"> </w:t>
      </w:r>
      <w:r>
        <w:t>at the animal sacrifice</w:t>
      </w:r>
      <w:r>
        <w:t>.</w:t>
      </w:r>
    </w:p>
    <w:p w14:paraId="3875D2BF" w14:textId="77777777" w:rsidR="00E53EB6" w:rsidRDefault="00E53EB6">
      <w:pPr>
        <w:pStyle w:val="HaupttextohneEinzug"/>
      </w:pPr>
    </w:p>
    <w:p w14:paraId="1B22AC4D" w14:textId="77777777" w:rsidR="00E53EB6" w:rsidRDefault="006500F5">
      <w:pPr>
        <w:pStyle w:val="Heading5"/>
        <w:tabs>
          <w:tab w:val="left" w:pos="0"/>
        </w:tabs>
      </w:pPr>
      <w:r>
        <w:rPr>
          <w:u w:val="single"/>
        </w:rPr>
        <w:t>KS 21.14: 55,7-8</w:t>
      </w:r>
      <w:r>
        <w:tab/>
      </w:r>
      <w:r>
        <w:tab/>
      </w:r>
      <w:r>
        <w:tab/>
      </w:r>
      <w:r>
        <w:tab/>
      </w:r>
      <w:r>
        <w:tab/>
      </w:r>
      <w:r>
        <w:tab/>
      </w:r>
      <w:r>
        <w:tab/>
      </w:r>
    </w:p>
    <w:p w14:paraId="1C38C152" w14:textId="77777777" w:rsidR="00E53EB6" w:rsidRDefault="006500F5">
      <w:pPr>
        <w:pStyle w:val="Zitat"/>
      </w:pPr>
      <w:r>
        <w:t xml:space="preserve">21.14 </w:t>
      </w:r>
      <w:r>
        <w:rPr>
          <w:i/>
          <w:iCs/>
          <w:lang w:eastAsia="hi-IN"/>
        </w:rPr>
        <w:t>tváyā hí na</w:t>
      </w:r>
      <w:r>
        <w:rPr>
          <w:i/>
          <w:iCs/>
          <w:lang w:eastAsia="hi-IN"/>
        </w:rPr>
        <w:t>ḥ</w:t>
      </w:r>
      <w:r>
        <w:rPr>
          <w:i/>
          <w:iCs/>
          <w:lang w:eastAsia="hi-IN"/>
        </w:rPr>
        <w:t xml:space="preserve"> pitára</w:t>
      </w:r>
      <w:r>
        <w:rPr>
          <w:i/>
          <w:iCs/>
          <w:lang w:eastAsia="hi-IN"/>
        </w:rPr>
        <w:t>ḥ</w:t>
      </w:r>
      <w:r>
        <w:rPr>
          <w:i/>
          <w:iCs/>
          <w:lang w:eastAsia="hi-IN"/>
        </w:rPr>
        <w:t xml:space="preserve"> soma pū́rve kármā</w:t>
      </w:r>
      <w:r>
        <w:rPr>
          <w:i/>
          <w:iCs/>
          <w:lang w:eastAsia="hi-IN"/>
        </w:rPr>
        <w:t>ṇ</w:t>
      </w:r>
      <w:r>
        <w:rPr>
          <w:i/>
          <w:iCs/>
          <w:lang w:eastAsia="hi-IN"/>
        </w:rPr>
        <w:t>i cakrú</w:t>
      </w:r>
      <w:r>
        <w:rPr>
          <w:i/>
          <w:iCs/>
          <w:lang w:eastAsia="hi-IN"/>
        </w:rPr>
        <w:t>ḥ</w:t>
      </w:r>
      <w:r>
        <w:rPr>
          <w:i/>
          <w:iCs/>
          <w:lang w:eastAsia="hi-IN"/>
        </w:rPr>
        <w:t xml:space="preserve"> pavamāna dhī́rā</w:t>
      </w:r>
      <w:r>
        <w:rPr>
          <w:i/>
          <w:iCs/>
          <w:lang w:eastAsia="hi-IN"/>
        </w:rPr>
        <w:t>ḥ</w:t>
      </w:r>
      <w:r>
        <w:rPr>
          <w:i/>
          <w:iCs/>
          <w:lang w:eastAsia="hi-IN"/>
        </w:rPr>
        <w:t xml:space="preserve"> / vanvánnávāta</w:t>
      </w:r>
      <w:r>
        <w:rPr>
          <w:i/>
          <w:iCs/>
          <w:lang w:eastAsia="hi-IN"/>
        </w:rPr>
        <w:t>ḥ</w:t>
      </w:r>
      <w:r>
        <w:rPr>
          <w:i/>
          <w:iCs/>
          <w:lang w:eastAsia="hi-IN"/>
        </w:rPr>
        <w:t xml:space="preserve"> </w:t>
      </w:r>
      <w:r>
        <w:rPr>
          <w:i/>
          <w:iCs/>
          <w:lang w:eastAsia="hi-IN"/>
        </w:rPr>
        <w:t>paridhī́rápor</w:t>
      </w:r>
      <w:r>
        <w:rPr>
          <w:i/>
          <w:iCs/>
          <w:lang w:eastAsia="hi-IN"/>
        </w:rPr>
        <w:t>ṇ</w:t>
      </w:r>
      <w:r>
        <w:rPr>
          <w:i/>
          <w:iCs/>
          <w:lang w:eastAsia="hi-IN"/>
        </w:rPr>
        <w:t>u</w:t>
      </w:r>
      <w:r>
        <w:rPr>
          <w:rStyle w:val="FootnoteAnchor"/>
          <w:i/>
          <w:iCs/>
          <w:lang w:eastAsia="hi-IN"/>
        </w:rPr>
        <w:footnoteReference w:id="170"/>
      </w:r>
      <w:r>
        <w:rPr>
          <w:i/>
          <w:iCs/>
          <w:lang w:eastAsia="hi-IN"/>
        </w:rPr>
        <w:t xml:space="preserve"> vīrébhiráśvairmaghávā bhavā na</w:t>
      </w:r>
      <w:r>
        <w:rPr>
          <w:i/>
          <w:iCs/>
          <w:lang w:eastAsia="hi-IN"/>
        </w:rPr>
        <w:t>ḥ</w:t>
      </w:r>
      <w:r>
        <w:rPr>
          <w:i/>
          <w:iCs/>
          <w:lang w:eastAsia="hi-IN"/>
        </w:rPr>
        <w:t xml:space="preserve"> //</w:t>
      </w:r>
    </w:p>
    <w:p w14:paraId="485D14DF" w14:textId="77777777" w:rsidR="00E53EB6" w:rsidRDefault="006500F5">
      <w:pPr>
        <w:pStyle w:val="Zitat"/>
        <w:autoSpaceDE w:val="0"/>
        <w:rPr>
          <w:rFonts w:ascii="Times Ext Roman" w:hAnsi="Times Ext Roman"/>
          <w:lang w:eastAsia="hi-IN"/>
        </w:rPr>
      </w:pPr>
      <w:r>
        <w:rPr>
          <w:lang w:eastAsia="hi-IN"/>
        </w:rPr>
        <w:t>Through you, o Soma, our  fathers, who got the vision, have formerly</w:t>
      </w:r>
      <w:r>
        <w:rPr>
          <w:rStyle w:val="FootnoteAnchor"/>
          <w:rFonts w:cs="Devanagari MT;Times New Roman"/>
          <w:lang w:eastAsia="hi-IN"/>
        </w:rPr>
        <w:footnoteReference w:id="171"/>
      </w:r>
      <w:r>
        <w:rPr>
          <w:lang w:eastAsia="hi-IN"/>
        </w:rPr>
        <w:t xml:space="preserve"> accomplished the sacrifices, o Pavamāna; you, who </w:t>
      </w:r>
      <w:r>
        <w:rPr>
          <w:u w:val="single"/>
          <w:lang w:eastAsia="hi-IN"/>
        </w:rPr>
        <w:t>appropriate</w:t>
      </w:r>
      <w:r>
        <w:rPr>
          <w:lang w:eastAsia="hi-IN"/>
        </w:rPr>
        <w:t xml:space="preserve"> without being </w:t>
      </w:r>
      <w:r>
        <w:rPr>
          <w:u w:val="single"/>
          <w:lang w:eastAsia="hi-IN"/>
        </w:rPr>
        <w:t>appropriated</w:t>
      </w:r>
      <w:r>
        <w:rPr>
          <w:lang w:eastAsia="hi-IN"/>
        </w:rPr>
        <w:t>, open the enclosures</w:t>
      </w:r>
      <w:r>
        <w:rPr>
          <w:rStyle w:val="FootnoteAnchor"/>
          <w:rFonts w:cs="Devanagari MT;Times New Roman"/>
          <w:lang w:eastAsia="hi-IN"/>
        </w:rPr>
        <w:footnoteReference w:id="172"/>
      </w:r>
      <w:r>
        <w:rPr>
          <w:lang w:eastAsia="hi-IN"/>
        </w:rPr>
        <w:t xml:space="preserve">, be for us </w:t>
      </w:r>
      <w:r>
        <w:rPr>
          <w:lang w:eastAsia="hi-IN"/>
        </w:rPr>
        <w:t>liberal with heroes and horses.</w:t>
      </w:r>
    </w:p>
    <w:p w14:paraId="35F67DB0" w14:textId="77777777" w:rsidR="00E53EB6" w:rsidRDefault="006500F5">
      <w:pPr>
        <w:pStyle w:val="Zitat"/>
        <w:autoSpaceDE w:val="0"/>
        <w:rPr>
          <w:lang w:eastAsia="hi-IN"/>
        </w:rPr>
      </w:pPr>
      <w:r>
        <w:rPr>
          <w:i/>
          <w:iCs/>
          <w:lang w:eastAsia="hi-IN"/>
        </w:rPr>
        <w:t xml:space="preserve">vanván: </w:t>
      </w:r>
      <w:r>
        <w:rPr>
          <w:lang w:eastAsia="hi-IN"/>
        </w:rPr>
        <w:t>part. pres. nom. m. sing.  VIII cl.</w:t>
      </w:r>
    </w:p>
    <w:p w14:paraId="4C409823" w14:textId="77777777" w:rsidR="00E53EB6" w:rsidRDefault="006500F5">
      <w:pPr>
        <w:pStyle w:val="ZitatnachZitat"/>
        <w:autoSpaceDE w:val="0"/>
        <w:rPr>
          <w:rFonts w:eastAsia="Arial" w:cs="Times Ext Roman"/>
          <w:szCs w:val="18"/>
          <w:lang w:eastAsia="hi-IN" w:bidi="en-GB"/>
        </w:rPr>
      </w:pPr>
      <w:r>
        <w:rPr>
          <w:rFonts w:eastAsia="Arial" w:cs="Times Ext Roman"/>
          <w:i/>
          <w:iCs/>
          <w:szCs w:val="18"/>
          <w:lang w:eastAsia="hi-IN" w:bidi="en-GB"/>
        </w:rPr>
        <w:t>ávāta</w:t>
      </w:r>
      <w:r>
        <w:rPr>
          <w:rFonts w:eastAsia="Arial" w:cs="Times Ext Roman"/>
          <w:i/>
          <w:iCs/>
          <w:szCs w:val="18"/>
          <w:lang w:eastAsia="hi-IN" w:bidi="en-GB"/>
        </w:rPr>
        <w:t>ḥ</w:t>
      </w:r>
      <w:r>
        <w:rPr>
          <w:rFonts w:eastAsia="Arial" w:cs="Times Ext Roman"/>
          <w:szCs w:val="18"/>
          <w:lang w:eastAsia="hi-IN" w:bidi="en-GB"/>
        </w:rPr>
        <w:t xml:space="preserve">: nom. m. sing. from </w:t>
      </w:r>
      <w:r>
        <w:rPr>
          <w:rFonts w:eastAsia="Arial" w:cs="Times Ext Roman"/>
          <w:i/>
          <w:iCs/>
          <w:szCs w:val="18"/>
          <w:lang w:eastAsia="hi-IN" w:bidi="en-GB"/>
        </w:rPr>
        <w:t>ávāta</w:t>
      </w:r>
      <w:r>
        <w:rPr>
          <w:rFonts w:eastAsia="Arial" w:cs="Times Ext Roman"/>
          <w:szCs w:val="18"/>
          <w:lang w:eastAsia="hi-IN" w:bidi="en-GB"/>
        </w:rPr>
        <w:t xml:space="preserve"> (adj.) </w:t>
      </w:r>
    </w:p>
    <w:p w14:paraId="65195054" w14:textId="77777777" w:rsidR="00E53EB6" w:rsidRDefault="006500F5">
      <w:pPr>
        <w:pStyle w:val="ZitatmitEinzug"/>
        <w:autoSpaceDE w:val="0"/>
        <w:rPr>
          <w:rFonts w:eastAsia="Arial" w:cs="Times Ext Roman"/>
          <w:szCs w:val="18"/>
          <w:lang w:eastAsia="hi-IN" w:bidi="en-GB"/>
        </w:rPr>
      </w:pPr>
      <w:r>
        <w:rPr>
          <w:rStyle w:val="biblio-authorGEN"/>
          <w:rFonts w:eastAsia="Arial" w:cs="Times Ext Roman"/>
          <w:sz w:val="18"/>
          <w:szCs w:val="15"/>
          <w:lang w:eastAsia="hi-IN" w:bidi="en-GB"/>
        </w:rPr>
        <w:t>Geldner</w:t>
      </w:r>
      <w:r>
        <w:rPr>
          <w:rStyle w:val="biblio-authorGEN"/>
          <w:rFonts w:eastAsia="Arial" w:cs="Times Ext Roman"/>
          <w:szCs w:val="18"/>
          <w:lang w:eastAsia="hi-IN" w:bidi="en-GB"/>
        </w:rPr>
        <w:t>:</w:t>
      </w:r>
      <w:r>
        <w:rPr>
          <w:rFonts w:eastAsia="Arial" w:cs="Times Ext Roman"/>
          <w:szCs w:val="18"/>
          <w:lang w:eastAsia="hi-IN" w:bidi="en-GB"/>
        </w:rPr>
        <w:t xml:space="preserve"> III 93 “</w:t>
      </w:r>
      <w:r w:rsidRPr="00B80C6B">
        <w:rPr>
          <w:rFonts w:eastAsia="Arial" w:cs="Times Ext Roman"/>
          <w:szCs w:val="18"/>
          <w:lang w:eastAsia="hi-IN" w:bidi="en-GB"/>
        </w:rPr>
        <w:t>überwinder unüberwundene</w:t>
      </w:r>
      <w:r>
        <w:rPr>
          <w:rFonts w:eastAsia="Arial" w:cs="Times Ext Roman"/>
          <w:szCs w:val="18"/>
          <w:lang w:eastAsia="hi-IN" w:bidi="en-GB"/>
        </w:rPr>
        <w:t>”</w:t>
      </w:r>
    </w:p>
    <w:p w14:paraId="172B89A6" w14:textId="77777777" w:rsidR="00E53EB6" w:rsidRDefault="006500F5">
      <w:pPr>
        <w:pStyle w:val="ZitatmitEinzug"/>
        <w:autoSpaceDE w:val="0"/>
        <w:rPr>
          <w:rFonts w:eastAsia="Arial" w:cs="Times Ext Roman"/>
          <w:szCs w:val="18"/>
          <w:lang w:eastAsia="hi-IN" w:bidi="en-GB"/>
        </w:rPr>
      </w:pPr>
      <w:r>
        <w:rPr>
          <w:rStyle w:val="biblio-authorGEN"/>
          <w:rFonts w:eastAsia="Arial" w:cs="Times Ext Roman"/>
          <w:sz w:val="18"/>
          <w:szCs w:val="15"/>
          <w:lang w:eastAsia="hi-IN" w:bidi="en-GB"/>
        </w:rPr>
        <w:t>Renou</w:t>
      </w:r>
      <w:r>
        <w:rPr>
          <w:rFonts w:eastAsia="Arial" w:cs="Times Ext Roman"/>
          <w:szCs w:val="18"/>
          <w:lang w:eastAsia="hi-IN" w:bidi="en-GB"/>
        </w:rPr>
        <w:t>: IX 44 “qui gagnes sans que nul gagne contre toi”</w:t>
      </w:r>
    </w:p>
    <w:p w14:paraId="7C4C64B1" w14:textId="77777777" w:rsidR="00E53EB6" w:rsidRDefault="006500F5">
      <w:pPr>
        <w:pStyle w:val="HaupttextnachZitat"/>
        <w:numPr>
          <w:ilvl w:val="2"/>
          <w:numId w:val="2"/>
        </w:numPr>
        <w:tabs>
          <w:tab w:val="left" w:pos="0"/>
        </w:tabs>
      </w:pPr>
      <w:r>
        <w:t>Vedic Web:</w:t>
      </w:r>
    </w:p>
    <w:p w14:paraId="19BFCDC5" w14:textId="77777777" w:rsidR="00E53EB6" w:rsidRPr="00B80C6B" w:rsidRDefault="006500F5">
      <w:pPr>
        <w:pStyle w:val="HaupttextohneEinzug"/>
        <w:rPr>
          <w:lang w:val="de-DE"/>
        </w:rPr>
      </w:pPr>
      <w:r w:rsidRPr="00B80C6B">
        <w:rPr>
          <w:lang w:val="de-DE"/>
        </w:rPr>
        <w:t>Mantra: R</w:t>
      </w:r>
      <w:r w:rsidRPr="00B80C6B">
        <w:rPr>
          <w:rFonts w:eastAsia="Arial" w:cs="Devanagari MT;Times New Roman"/>
          <w:sz w:val="18"/>
          <w:szCs w:val="18"/>
          <w:lang w:val="de-DE" w:eastAsia="hi-IN" w:bidi="en-GB"/>
        </w:rPr>
        <w:t>̥</w:t>
      </w:r>
      <w:r w:rsidRPr="00B80C6B">
        <w:rPr>
          <w:lang w:val="de-DE"/>
        </w:rPr>
        <w:t xml:space="preserve">V 9.96.11; TS </w:t>
      </w:r>
      <w:r w:rsidRPr="00B80C6B">
        <w:rPr>
          <w:lang w:val="de-DE"/>
        </w:rPr>
        <w:t>2.6.12.1c; MS 4.10.6: 156,8-9; VS 19.53.</w:t>
      </w:r>
    </w:p>
    <w:p w14:paraId="6E45AE98" w14:textId="77777777" w:rsidR="00E53EB6" w:rsidRPr="00B80C6B" w:rsidRDefault="00E53EB6">
      <w:pPr>
        <w:pStyle w:val="HaupttextohneEinzug"/>
        <w:rPr>
          <w:lang w:val="de-DE"/>
        </w:rPr>
      </w:pPr>
    </w:p>
    <w:p w14:paraId="0247E79F" w14:textId="77777777" w:rsidR="00E53EB6" w:rsidRDefault="006500F5">
      <w:pPr>
        <w:pStyle w:val="HaupttextohneEinzug"/>
      </w:pPr>
      <w:r>
        <w:lastRenderedPageBreak/>
        <w:t>Rite</w:t>
      </w:r>
    </w:p>
    <w:p w14:paraId="1B8D6F8B" w14:textId="77777777" w:rsidR="00E53EB6" w:rsidRDefault="006500F5">
      <w:pPr>
        <w:pStyle w:val="HaupttextohneEinzug"/>
      </w:pPr>
      <w:r>
        <w:t>In TS, MS: Darśapur</w:t>
      </w:r>
      <w:r>
        <w:t>ṇ</w:t>
      </w:r>
      <w:r>
        <w:t>amāse</w:t>
      </w:r>
      <w:r>
        <w:t>ṣṭ</w:t>
      </w:r>
      <w:r>
        <w:t>ī, Pitr</w:t>
      </w:r>
      <w:r>
        <w:rPr>
          <w:rFonts w:eastAsia="Arial" w:cs="Devanagari MT;Times New Roman"/>
          <w:sz w:val="18"/>
          <w:szCs w:val="18"/>
          <w:lang w:eastAsia="hi-IN" w:bidi="en-GB"/>
        </w:rPr>
        <w:t>̥</w:t>
      </w:r>
      <w:r>
        <w:t xml:space="preserve">yajña, </w:t>
      </w:r>
      <w:r>
        <w:rPr>
          <w:i/>
          <w:iCs/>
        </w:rPr>
        <w:t>puronuvākya</w:t>
      </w:r>
      <w:r>
        <w:t xml:space="preserve"> of the </w:t>
      </w:r>
      <w:r>
        <w:rPr>
          <w:i/>
          <w:iCs/>
        </w:rPr>
        <w:t>hotr</w:t>
      </w:r>
      <w:r>
        <w:rPr>
          <w:rFonts w:eastAsia="Arial" w:cs="Devanagari MT;Times New Roman"/>
          <w:sz w:val="18"/>
          <w:szCs w:val="18"/>
          <w:lang w:eastAsia="hi-IN" w:bidi="en-GB"/>
        </w:rPr>
        <w:t>̥</w:t>
      </w:r>
      <w:r>
        <w:rPr>
          <w:i/>
          <w:iCs/>
        </w:rPr>
        <w:t xml:space="preserve"> </w:t>
      </w:r>
      <w:r>
        <w:t>to accompany the offering of a cake on 6 potsherds to Soma Pitr</w:t>
      </w:r>
      <w:r>
        <w:rPr>
          <w:rFonts w:eastAsia="Arial" w:cs="Devanagari MT;Times New Roman"/>
          <w:sz w:val="18"/>
          <w:szCs w:val="18"/>
          <w:lang w:eastAsia="hi-IN" w:bidi="en-GB"/>
        </w:rPr>
        <w:t>̥</w:t>
      </w:r>
      <w:r>
        <w:t>mant.</w:t>
      </w:r>
    </w:p>
    <w:p w14:paraId="1BFCE47E" w14:textId="77777777" w:rsidR="00E53EB6" w:rsidRDefault="006500F5">
      <w:pPr>
        <w:pStyle w:val="HaupttextohneEinzug"/>
      </w:pPr>
      <w:r>
        <w:t>In VS: Sautrāma</w:t>
      </w:r>
      <w:r>
        <w:t>ṇ</w:t>
      </w:r>
      <w:r>
        <w:t xml:space="preserve">ī, a </w:t>
      </w:r>
      <w:r>
        <w:fldChar w:fldCharType="begin"/>
      </w:r>
      <w:r>
        <w:instrText>XE "ceremony"</w:instrText>
      </w:r>
      <w:r>
        <w:fldChar w:fldCharType="end"/>
      </w:r>
      <w:r>
        <w:t xml:space="preserve"> constructed as a </w:t>
      </w:r>
      <w:r>
        <w:rPr>
          <w:i/>
          <w:iCs/>
        </w:rPr>
        <w:t xml:space="preserve">surā </w:t>
      </w:r>
      <w:r>
        <w:t xml:space="preserve">sacrifice </w:t>
      </w:r>
      <w:r>
        <w:t>to expiate the excessive consumption of Soma and then all other transgress</w:t>
      </w:r>
      <w:r>
        <w:t xml:space="preserve">ions or mistakes. This </w:t>
      </w:r>
      <w:r>
        <w:rPr>
          <w:i/>
          <w:iCs/>
        </w:rPr>
        <w:t>mantra</w:t>
      </w:r>
      <w:r>
        <w:t xml:space="preserve"> is a formula for oblation to the Fathers.</w:t>
      </w:r>
    </w:p>
    <w:p w14:paraId="4FD67AB5" w14:textId="77777777" w:rsidR="00E53EB6" w:rsidRDefault="00E53EB6">
      <w:pPr>
        <w:pStyle w:val="HaupttextohneEinzug"/>
        <w:autoSpaceDE w:val="0"/>
        <w:rPr>
          <w:rFonts w:eastAsia="MS Mincho" w:hint="eastAsia"/>
          <w:shd w:val="clear" w:color="auto" w:fill="FF6633"/>
        </w:rPr>
      </w:pPr>
    </w:p>
    <w:p w14:paraId="722E4FC9" w14:textId="77777777" w:rsidR="00E53EB6" w:rsidRDefault="006500F5">
      <w:pPr>
        <w:pStyle w:val="Heading5"/>
        <w:tabs>
          <w:tab w:val="left" w:pos="0"/>
        </w:tabs>
      </w:pPr>
      <w:r>
        <w:rPr>
          <w:u w:val="single"/>
        </w:rPr>
        <w:t>KS 40.10: 144,1-2</w:t>
      </w:r>
      <w:r>
        <w:tab/>
      </w:r>
      <w:r>
        <w:tab/>
      </w:r>
      <w:r>
        <w:tab/>
      </w:r>
      <w:r>
        <w:tab/>
      </w:r>
      <w:r>
        <w:tab/>
      </w:r>
      <w:r>
        <w:tab/>
      </w:r>
    </w:p>
    <w:p w14:paraId="75B7D0A5" w14:textId="77777777" w:rsidR="00E53EB6" w:rsidRDefault="006500F5">
      <w:pPr>
        <w:pStyle w:val="Zitat"/>
      </w:pPr>
      <w:r>
        <w:rPr>
          <w:lang w:eastAsia="hi-IN"/>
        </w:rPr>
        <w:t xml:space="preserve">40.10 </w:t>
      </w:r>
      <w:r>
        <w:rPr>
          <w:i/>
          <w:iCs/>
          <w:lang w:eastAsia="hi-IN"/>
        </w:rPr>
        <w:t>mayi devā dravi</w:t>
      </w:r>
      <w:r>
        <w:rPr>
          <w:i/>
          <w:iCs/>
          <w:lang w:eastAsia="hi-IN"/>
        </w:rPr>
        <w:t>ṇ</w:t>
      </w:r>
      <w:r>
        <w:rPr>
          <w:i/>
          <w:iCs/>
          <w:lang w:eastAsia="hi-IN"/>
        </w:rPr>
        <w:t>amāyajantām mamāśīrastu mama devahūti</w:t>
      </w:r>
      <w:r>
        <w:rPr>
          <w:i/>
          <w:iCs/>
          <w:lang w:eastAsia="hi-IN"/>
        </w:rPr>
        <w:t>ḥ</w:t>
      </w:r>
      <w:r>
        <w:rPr>
          <w:i/>
          <w:iCs/>
          <w:lang w:eastAsia="hi-IN"/>
        </w:rPr>
        <w:t xml:space="preserve"> / daivyā hotāro vani</w:t>
      </w:r>
      <w:r>
        <w:rPr>
          <w:i/>
          <w:iCs/>
          <w:lang w:eastAsia="hi-IN"/>
        </w:rPr>
        <w:t>ṣ</w:t>
      </w:r>
      <w:r>
        <w:rPr>
          <w:i/>
          <w:iCs/>
          <w:lang w:eastAsia="hi-IN"/>
        </w:rPr>
        <w:t>ann etada</w:t>
      </w:r>
      <w:r>
        <w:rPr>
          <w:i/>
          <w:iCs/>
          <w:lang w:eastAsia="hi-IN"/>
        </w:rPr>
        <w:t>ri</w:t>
      </w:r>
      <w:r>
        <w:rPr>
          <w:i/>
          <w:iCs/>
          <w:lang w:eastAsia="hi-IN"/>
        </w:rPr>
        <w:t>ṣṭ</w:t>
      </w:r>
      <w:r>
        <w:rPr>
          <w:i/>
          <w:iCs/>
          <w:lang w:eastAsia="hi-IN"/>
        </w:rPr>
        <w:t>āssyāma tanvā suvīrā</w:t>
      </w:r>
      <w:r>
        <w:rPr>
          <w:i/>
          <w:iCs/>
          <w:lang w:eastAsia="hi-IN"/>
        </w:rPr>
        <w:t>ḥ</w:t>
      </w:r>
      <w:r>
        <w:rPr>
          <w:i/>
          <w:iCs/>
          <w:lang w:eastAsia="hi-IN"/>
        </w:rPr>
        <w:t xml:space="preserve"> //</w:t>
      </w:r>
    </w:p>
    <w:p w14:paraId="27CC493F" w14:textId="77777777" w:rsidR="00E53EB6" w:rsidRDefault="006500F5">
      <w:pPr>
        <w:pStyle w:val="Zitat"/>
        <w:autoSpaceDE w:val="0"/>
        <w:rPr>
          <w:rFonts w:ascii="Times Ext Roman" w:hAnsi="Times Ext Roman"/>
          <w:lang w:eastAsia="hi-IN"/>
        </w:rPr>
      </w:pPr>
      <w:r>
        <w:rPr>
          <w:lang w:eastAsia="hi-IN"/>
        </w:rPr>
        <w:t xml:space="preserve">May the gods bestow on me </w:t>
      </w:r>
      <w:r>
        <w:rPr>
          <w:lang w:eastAsia="hi-IN"/>
        </w:rPr>
        <w:t>through sacrifice movable goods, may the prayer</w:t>
      </w:r>
      <w:r>
        <w:rPr>
          <w:rStyle w:val="FootnoteAnchor"/>
          <w:rFonts w:cs="Devanagari MT;Times New Roman"/>
          <w:lang w:eastAsia="hi-IN"/>
        </w:rPr>
        <w:footnoteReference w:id="173"/>
      </w:r>
      <w:r>
        <w:rPr>
          <w:lang w:eastAsia="hi-IN"/>
        </w:rPr>
        <w:t xml:space="preserve"> be mine, may be mine the divine invocation; may the divine </w:t>
      </w:r>
      <w:r>
        <w:rPr>
          <w:i/>
          <w:iCs/>
          <w:lang w:eastAsia="hi-IN"/>
        </w:rPr>
        <w:t>hotr</w:t>
      </w:r>
      <w:r>
        <w:rPr>
          <w:rFonts w:cs="Devanagari MT;Times New Roman"/>
          <w:i/>
          <w:iCs/>
          <w:lang w:eastAsia="hi-IN"/>
        </w:rPr>
        <w:t>̥</w:t>
      </w:r>
      <w:r>
        <w:rPr>
          <w:lang w:eastAsia="hi-IN"/>
        </w:rPr>
        <w:t xml:space="preserve"> </w:t>
      </w:r>
      <w:r>
        <w:rPr>
          <w:u w:val="single"/>
          <w:lang w:eastAsia="hi-IN"/>
        </w:rPr>
        <w:t>appropriate</w:t>
      </w:r>
      <w:r>
        <w:rPr>
          <w:lang w:eastAsia="hi-IN"/>
        </w:rPr>
        <w:t xml:space="preserve"> this here</w:t>
      </w:r>
      <w:r>
        <w:rPr>
          <w:lang w:eastAsia="hi-IN"/>
        </w:rPr>
        <w:t>, may we, through ourselves, be safe, rich of heroes.</w:t>
      </w:r>
    </w:p>
    <w:p w14:paraId="6322C0BD" w14:textId="77777777" w:rsidR="00E53EB6" w:rsidRDefault="006500F5">
      <w:pPr>
        <w:pStyle w:val="Zitat"/>
        <w:autoSpaceDE w:val="0"/>
        <w:rPr>
          <w:lang w:eastAsia="hi-IN"/>
        </w:rPr>
      </w:pPr>
      <w:r>
        <w:rPr>
          <w:i/>
          <w:iCs/>
          <w:lang w:eastAsia="hi-IN"/>
        </w:rPr>
        <w:t>vani</w:t>
      </w:r>
      <w:r>
        <w:rPr>
          <w:i/>
          <w:iCs/>
          <w:lang w:eastAsia="hi-IN"/>
        </w:rPr>
        <w:t>ṣ</w:t>
      </w:r>
      <w:r>
        <w:rPr>
          <w:i/>
          <w:iCs/>
          <w:lang w:eastAsia="hi-IN"/>
        </w:rPr>
        <w:t>an:</w:t>
      </w:r>
      <w:r>
        <w:rPr>
          <w:lang w:eastAsia="hi-IN"/>
        </w:rPr>
        <w:t xml:space="preserve"> subj. sigmatic aor. 3</w:t>
      </w:r>
      <w:r>
        <w:rPr>
          <w:vertAlign w:val="superscript"/>
          <w:lang w:eastAsia="hi-IN"/>
        </w:rPr>
        <w:t>rd</w:t>
      </w:r>
      <w:r>
        <w:rPr>
          <w:lang w:eastAsia="hi-IN"/>
        </w:rPr>
        <w:t xml:space="preserve"> pl. </w:t>
      </w:r>
    </w:p>
    <w:p w14:paraId="4748FE1B" w14:textId="77777777" w:rsidR="00E53EB6" w:rsidRPr="00B80C6B" w:rsidRDefault="006500F5">
      <w:pPr>
        <w:pStyle w:val="HaupttextnachZitat"/>
        <w:rPr>
          <w:lang w:val="it-IT"/>
        </w:rPr>
      </w:pPr>
      <w:r w:rsidRPr="00B80C6B">
        <w:rPr>
          <w:lang w:val="it-IT"/>
        </w:rPr>
        <w:t>Vedic Web</w:t>
      </w:r>
    </w:p>
    <w:p w14:paraId="56493DC7" w14:textId="77777777" w:rsidR="00E53EB6" w:rsidRDefault="006500F5">
      <w:pPr>
        <w:pStyle w:val="HaupttextohneEinzug"/>
      </w:pPr>
      <w:r w:rsidRPr="00B80C6B">
        <w:rPr>
          <w:lang w:val="it-IT"/>
        </w:rPr>
        <w:t xml:space="preserve">Mantra: </w:t>
      </w:r>
      <w:r w:rsidRPr="00B80C6B">
        <w:rPr>
          <w:szCs w:val="21"/>
          <w:lang w:val="it-IT"/>
        </w:rPr>
        <w:t>R</w:t>
      </w:r>
      <w:r w:rsidRPr="00B80C6B">
        <w:rPr>
          <w:rFonts w:eastAsia="Arial" w:cs="Devanagari MT;Times New Roman"/>
          <w:szCs w:val="21"/>
          <w:lang w:val="it-IT" w:eastAsia="hi-IN" w:bidi="en-GB"/>
        </w:rPr>
        <w:t>̥</w:t>
      </w:r>
      <w:r w:rsidRPr="00B80C6B">
        <w:rPr>
          <w:lang w:val="it-IT"/>
        </w:rPr>
        <w:t xml:space="preserve">V </w:t>
      </w:r>
      <w:r w:rsidRPr="00B80C6B">
        <w:rPr>
          <w:lang w:val="it-IT"/>
        </w:rPr>
        <w:t>10.128.3 Vivavya (?) (</w:t>
      </w:r>
      <w:r w:rsidRPr="00B80C6B">
        <w:rPr>
          <w:rFonts w:eastAsia="DevanagariMT"/>
          <w:i/>
          <w:iCs/>
          <w:lang w:val="it-IT"/>
        </w:rPr>
        <w:t>vanu</w:t>
      </w:r>
      <w:r w:rsidRPr="00B80C6B">
        <w:rPr>
          <w:rFonts w:eastAsia="DevanagariMT"/>
          <w:i/>
          <w:iCs/>
          <w:lang w:val="it-IT"/>
        </w:rPr>
        <w:t>ṣ</w:t>
      </w:r>
      <w:r w:rsidRPr="00B80C6B">
        <w:rPr>
          <w:rFonts w:eastAsia="DevanagariMT"/>
          <w:i/>
          <w:iCs/>
          <w:lang w:val="it-IT"/>
        </w:rPr>
        <w:t>anta</w:t>
      </w:r>
      <w:r w:rsidRPr="00B80C6B">
        <w:rPr>
          <w:rFonts w:eastAsia="Arial" w:cs="Times Ext Roman"/>
          <w:i/>
          <w:iCs/>
          <w:szCs w:val="21"/>
          <w:lang w:val="it-IT" w:eastAsia="hi-IN" w:bidi="en-GB"/>
        </w:rPr>
        <w:t xml:space="preserve"> - </w:t>
      </w:r>
      <w:r w:rsidRPr="00B80C6B">
        <w:rPr>
          <w:rFonts w:eastAsia="Arial" w:cs="Times Ext Roman"/>
          <w:szCs w:val="21"/>
          <w:lang w:val="it-IT" w:eastAsia="hi-IN" w:bidi="en-GB"/>
        </w:rPr>
        <w:t>inj. pres. 3</w:t>
      </w:r>
      <w:r w:rsidRPr="00B80C6B">
        <w:rPr>
          <w:rFonts w:eastAsia="Arial" w:cs="Times Ext Roman"/>
          <w:szCs w:val="21"/>
          <w:vertAlign w:val="superscript"/>
          <w:lang w:val="it-IT" w:eastAsia="hi-IN" w:bidi="en-GB"/>
        </w:rPr>
        <w:t>rd</w:t>
      </w:r>
      <w:r w:rsidRPr="00B80C6B">
        <w:rPr>
          <w:rFonts w:eastAsia="Arial" w:cs="Times Ext Roman"/>
          <w:szCs w:val="21"/>
          <w:lang w:val="it-IT" w:eastAsia="hi-IN" w:bidi="en-GB"/>
        </w:rPr>
        <w:t xml:space="preserve"> pl. Ā, </w:t>
      </w:r>
      <w:r w:rsidRPr="00B80C6B">
        <w:rPr>
          <w:rFonts w:eastAsia="Arial" w:cs="Times Ext Roman"/>
          <w:i/>
          <w:iCs/>
          <w:szCs w:val="21"/>
          <w:lang w:val="it-IT" w:eastAsia="hi-IN" w:bidi="en-GB"/>
        </w:rPr>
        <w:t>hapax</w:t>
      </w:r>
      <w:r w:rsidRPr="00B80C6B">
        <w:rPr>
          <w:rFonts w:eastAsia="Arial" w:cs="Times Ext Roman"/>
          <w:szCs w:val="21"/>
          <w:lang w:val="it-IT" w:eastAsia="hi-IN" w:bidi="en-GB"/>
        </w:rPr>
        <w:t xml:space="preserve"> cf. AiGr: II 2 §316.c</w:t>
      </w:r>
      <w:r w:rsidRPr="00B80C6B">
        <w:rPr>
          <w:rFonts w:eastAsia="Arial" w:cs="Devanagari MT;Times New Roman"/>
          <w:i/>
          <w:iCs/>
          <w:szCs w:val="21"/>
          <w:lang w:val="it-IT" w:eastAsia="hi-IN" w:bidi="en-GB"/>
        </w:rPr>
        <w:t xml:space="preserve">; </w:t>
      </w:r>
      <w:r w:rsidRPr="00B80C6B">
        <w:rPr>
          <w:rStyle w:val="biblio-authorGEN"/>
          <w:rFonts w:eastAsia="Arial" w:cs="Times Ext Roman"/>
          <w:szCs w:val="21"/>
          <w:lang w:val="it-IT" w:eastAsia="hi-IN" w:bidi="en-GB"/>
        </w:rPr>
        <w:t>Geldner</w:t>
      </w:r>
      <w:r w:rsidRPr="00B80C6B">
        <w:rPr>
          <w:rFonts w:eastAsia="Arial" w:cs="Times Ext Roman"/>
          <w:szCs w:val="21"/>
          <w:lang w:val="it-IT" w:eastAsia="hi-IN" w:bidi="en-GB"/>
        </w:rPr>
        <w:t>: III 358 “sollen Partei nehmen”-and</w:t>
      </w:r>
      <w:r w:rsidRPr="00B80C6B">
        <w:rPr>
          <w:rFonts w:eastAsia="Arial" w:cs="Times Ext Roman"/>
          <w:i/>
          <w:iCs/>
          <w:szCs w:val="21"/>
          <w:lang w:val="it-IT" w:eastAsia="hi-IN" w:bidi="en-GB"/>
        </w:rPr>
        <w:t xml:space="preserve"> pū́rve </w:t>
      </w:r>
      <w:r w:rsidRPr="00B80C6B">
        <w:rPr>
          <w:rFonts w:eastAsia="Arial" w:cs="Times Ext Roman"/>
          <w:szCs w:val="21"/>
          <w:lang w:val="it-IT" w:eastAsia="hi-IN" w:bidi="en-GB"/>
        </w:rPr>
        <w:t xml:space="preserve">instead of </w:t>
      </w:r>
      <w:r w:rsidRPr="00B80C6B">
        <w:rPr>
          <w:rFonts w:eastAsia="Arial" w:cs="Times Ext Roman"/>
          <w:i/>
          <w:iCs/>
          <w:szCs w:val="21"/>
          <w:lang w:val="it-IT" w:eastAsia="hi-IN" w:bidi="en-GB"/>
        </w:rPr>
        <w:t>etad</w:t>
      </w:r>
      <w:r w:rsidRPr="00B80C6B">
        <w:rPr>
          <w:rFonts w:eastAsia="Arial" w:cs="Times Ext Roman"/>
          <w:szCs w:val="21"/>
          <w:lang w:val="it-IT" w:eastAsia="hi-IN" w:bidi="en-GB"/>
        </w:rPr>
        <w:t>); TS 4.7.14.1c</w:t>
      </w:r>
      <w:r w:rsidRPr="00B80C6B">
        <w:rPr>
          <w:lang w:val="it-IT"/>
        </w:rPr>
        <w:t xml:space="preserve"> </w:t>
      </w:r>
      <w:r w:rsidRPr="00B80C6B">
        <w:rPr>
          <w:szCs w:val="21"/>
          <w:lang w:val="it-IT"/>
        </w:rPr>
        <w:t>(</w:t>
      </w:r>
      <w:r w:rsidRPr="00B80C6B">
        <w:rPr>
          <w:rFonts w:eastAsia="Arial" w:cs="Times Ext Roman"/>
          <w:i/>
          <w:iCs/>
          <w:szCs w:val="21"/>
          <w:lang w:val="it-IT" w:eastAsia="hi-IN" w:bidi="en-GB"/>
        </w:rPr>
        <w:t>vani</w:t>
      </w:r>
      <w:r w:rsidRPr="00B80C6B">
        <w:rPr>
          <w:rFonts w:eastAsia="Arial" w:cs="Times Ext Roman"/>
          <w:i/>
          <w:iCs/>
          <w:szCs w:val="21"/>
          <w:lang w:val="it-IT" w:eastAsia="hi-IN" w:bidi="en-GB"/>
        </w:rPr>
        <w:t>ṣ</w:t>
      </w:r>
      <w:r w:rsidRPr="00B80C6B">
        <w:rPr>
          <w:rFonts w:eastAsia="Arial" w:cs="Times Ext Roman"/>
          <w:i/>
          <w:iCs/>
          <w:szCs w:val="21"/>
          <w:lang w:val="it-IT" w:eastAsia="hi-IN" w:bidi="en-GB"/>
        </w:rPr>
        <w:t>anta</w:t>
      </w:r>
      <w:r w:rsidRPr="00B80C6B">
        <w:rPr>
          <w:rFonts w:eastAsia="Arial" w:cs="Times Ext Roman"/>
          <w:szCs w:val="21"/>
          <w:lang w:val="it-IT" w:eastAsia="hi-IN" w:bidi="en-GB"/>
        </w:rPr>
        <w:t>, subj. sigmatic aor. 3</w:t>
      </w:r>
      <w:r w:rsidRPr="00B80C6B">
        <w:rPr>
          <w:rFonts w:eastAsia="Arial" w:cs="Times Ext Roman"/>
          <w:szCs w:val="21"/>
          <w:vertAlign w:val="superscript"/>
          <w:lang w:val="it-IT" w:eastAsia="hi-IN" w:bidi="en-GB"/>
        </w:rPr>
        <w:t>rd</w:t>
      </w:r>
      <w:r w:rsidRPr="00B80C6B">
        <w:rPr>
          <w:rFonts w:eastAsia="Arial" w:cs="Times Ext Roman"/>
          <w:szCs w:val="21"/>
          <w:lang w:val="it-IT" w:eastAsia="hi-IN" w:bidi="en-GB"/>
        </w:rPr>
        <w:t xml:space="preserve"> pl. </w:t>
      </w:r>
      <w:r>
        <w:rPr>
          <w:rFonts w:eastAsia="Arial" w:cs="Times Ext Roman"/>
          <w:szCs w:val="21"/>
          <w:lang w:eastAsia="hi-IN" w:bidi="en-GB"/>
        </w:rPr>
        <w:t>Ā -and</w:t>
      </w:r>
      <w:r>
        <w:rPr>
          <w:rFonts w:eastAsia="Arial" w:cs="Times Ext Roman"/>
          <w:i/>
          <w:iCs/>
          <w:szCs w:val="21"/>
          <w:lang w:eastAsia="hi-IN" w:bidi="en-GB"/>
        </w:rPr>
        <w:t xml:space="preserve"> pū́rve </w:t>
      </w:r>
      <w:r>
        <w:rPr>
          <w:rFonts w:eastAsia="Arial" w:cs="Times Ext Roman"/>
          <w:szCs w:val="21"/>
          <w:lang w:eastAsia="hi-IN" w:bidi="en-GB"/>
        </w:rPr>
        <w:t xml:space="preserve">instead of </w:t>
      </w:r>
      <w:r>
        <w:rPr>
          <w:rFonts w:eastAsia="Arial" w:cs="Times Ext Roman"/>
          <w:i/>
          <w:iCs/>
          <w:szCs w:val="21"/>
          <w:lang w:eastAsia="hi-IN" w:bidi="en-GB"/>
        </w:rPr>
        <w:t>etad</w:t>
      </w:r>
      <w:r>
        <w:rPr>
          <w:szCs w:val="21"/>
        </w:rPr>
        <w:t>)</w:t>
      </w:r>
      <w:r>
        <w:rPr>
          <w:szCs w:val="21"/>
        </w:rPr>
        <w:t>; AVŚ 5.3.5 (</w:t>
      </w:r>
      <w:r>
        <w:rPr>
          <w:i/>
          <w:iCs/>
          <w:szCs w:val="21"/>
        </w:rPr>
        <w:t>sani</w:t>
      </w:r>
      <w:r>
        <w:rPr>
          <w:i/>
          <w:iCs/>
          <w:szCs w:val="21"/>
        </w:rPr>
        <w:t>ṣ</w:t>
      </w:r>
      <w:r>
        <w:rPr>
          <w:i/>
          <w:iCs/>
          <w:szCs w:val="21"/>
        </w:rPr>
        <w:t xml:space="preserve">an </w:t>
      </w:r>
      <w:r>
        <w:rPr>
          <w:szCs w:val="21"/>
        </w:rPr>
        <w:t xml:space="preserve">instead of </w:t>
      </w:r>
      <w:r>
        <w:rPr>
          <w:i/>
          <w:iCs/>
          <w:szCs w:val="21"/>
        </w:rPr>
        <w:t>vani</w:t>
      </w:r>
      <w:r>
        <w:rPr>
          <w:i/>
          <w:iCs/>
          <w:szCs w:val="21"/>
        </w:rPr>
        <w:t>ṣ</w:t>
      </w:r>
      <w:r>
        <w:rPr>
          <w:i/>
          <w:iCs/>
          <w:szCs w:val="21"/>
        </w:rPr>
        <w:t>anī</w:t>
      </w:r>
      <w:r>
        <w:rPr>
          <w:szCs w:val="21"/>
        </w:rPr>
        <w:t>)</w:t>
      </w:r>
      <w:r>
        <w:rPr>
          <w:i/>
          <w:iCs/>
          <w:szCs w:val="21"/>
        </w:rPr>
        <w:t xml:space="preserve"> </w:t>
      </w:r>
      <w:r>
        <w:rPr>
          <w:szCs w:val="21"/>
        </w:rPr>
        <w:t>so reads also AVP 5.4.5.</w:t>
      </w:r>
    </w:p>
    <w:p w14:paraId="52D3F1AE" w14:textId="77777777" w:rsidR="00E53EB6" w:rsidRDefault="006500F5">
      <w:pPr>
        <w:pStyle w:val="HaupttextohneEinzug"/>
      </w:pPr>
      <w:r>
        <w:t>Prose</w:t>
      </w:r>
      <w:r>
        <w:t>: TS 5.4.11.3.</w:t>
      </w:r>
    </w:p>
    <w:p w14:paraId="27EB79C1" w14:textId="77777777" w:rsidR="00E53EB6" w:rsidRDefault="00E53EB6">
      <w:pPr>
        <w:pStyle w:val="HaupttextohneEinzug"/>
      </w:pPr>
    </w:p>
    <w:p w14:paraId="0FAA96EA" w14:textId="77777777" w:rsidR="00E53EB6" w:rsidRDefault="006500F5">
      <w:pPr>
        <w:pStyle w:val="HaupttextohneEinzug"/>
      </w:pPr>
      <w:r>
        <w:t>Rite</w:t>
      </w:r>
    </w:p>
    <w:p w14:paraId="1E6C5285" w14:textId="77777777" w:rsidR="00E53EB6" w:rsidRDefault="006500F5">
      <w:pPr>
        <w:pStyle w:val="HaupttextohneEinzug"/>
      </w:pPr>
      <w:r>
        <w:t xml:space="preserve">Agnicayana. </w:t>
      </w:r>
      <w:r>
        <w:rPr>
          <w:i/>
          <w:iCs/>
        </w:rPr>
        <w:t>Mantra</w:t>
      </w:r>
      <w:r>
        <w:t xml:space="preserve"> used for placing the Vihavyā bricks on the Dhi</w:t>
      </w:r>
      <w:r>
        <w:t>ṣṇ</w:t>
      </w:r>
      <w:r>
        <w:t xml:space="preserve">ya (the side altar). The bricks are called Vihavyā after the name of the </w:t>
      </w:r>
      <w:r>
        <w:rPr>
          <w:i/>
          <w:iCs/>
        </w:rPr>
        <w:t>sūkta, vihavyā,</w:t>
      </w:r>
      <w:r>
        <w:t xml:space="preserve"> and the supposed</w:t>
      </w:r>
      <w:r>
        <w:t xml:space="preserve"> aut</w:t>
      </w:r>
      <w:r>
        <w:t>hor of this hymn, Vihavya.  The whole hymn 10.128 is employed in this section, the stanzas are placed almost in the same order as in R̥V, but there are quite few variants, and the the number is changed from 9 to eleven by and the similar use is to be found</w:t>
      </w:r>
      <w:r>
        <w:t xml:space="preserve"> in the other attestation of this hymn. </w:t>
      </w:r>
    </w:p>
    <w:p w14:paraId="3CA6850B" w14:textId="77777777" w:rsidR="00E53EB6" w:rsidRDefault="00E53EB6">
      <w:pPr>
        <w:pStyle w:val="HaupttextohneEinzug"/>
      </w:pPr>
    </w:p>
    <w:p w14:paraId="5B4AD0D5" w14:textId="77777777" w:rsidR="00E53EB6" w:rsidRDefault="006500F5">
      <w:pPr>
        <w:pStyle w:val="Heading5"/>
        <w:tabs>
          <w:tab w:val="left" w:pos="0"/>
        </w:tabs>
      </w:pPr>
      <w:r>
        <w:rPr>
          <w:u w:val="single"/>
        </w:rPr>
        <w:t>KS 40.14: 149,2-3</w:t>
      </w:r>
      <w:r>
        <w:tab/>
      </w:r>
      <w:r>
        <w:tab/>
      </w:r>
      <w:r>
        <w:tab/>
      </w:r>
      <w:r>
        <w:tab/>
      </w:r>
      <w:r>
        <w:tab/>
      </w:r>
      <w:r>
        <w:tab/>
      </w:r>
      <w:r>
        <w:tab/>
      </w:r>
      <w:r>
        <w:tab/>
      </w:r>
    </w:p>
    <w:p w14:paraId="603A736A" w14:textId="77777777" w:rsidR="00E53EB6" w:rsidRDefault="006500F5">
      <w:pPr>
        <w:pStyle w:val="Zitat"/>
      </w:pPr>
      <w:r>
        <w:t xml:space="preserve">40.14 </w:t>
      </w:r>
      <w:r>
        <w:rPr>
          <w:i/>
          <w:iCs/>
        </w:rPr>
        <w:t>náva</w:t>
      </w:r>
      <w:r>
        <w:rPr>
          <w:i/>
          <w:iCs/>
        </w:rPr>
        <w:t>ṃ</w:t>
      </w:r>
      <w:r>
        <w:rPr>
          <w:i/>
          <w:iCs/>
        </w:rPr>
        <w:t xml:space="preserve"> nú stómamagnáye diváśśyenā́ya jījanam / vásva</w:t>
      </w:r>
      <w:r>
        <w:rPr>
          <w:i/>
          <w:iCs/>
        </w:rPr>
        <w:t>ḥ</w:t>
      </w:r>
      <w:r>
        <w:rPr>
          <w:i/>
          <w:iCs/>
        </w:rPr>
        <w:t xml:space="preserve"> kuvídvanā́ti na</w:t>
      </w:r>
      <w:r>
        <w:rPr>
          <w:i/>
          <w:iCs/>
        </w:rPr>
        <w:t>ḥ</w:t>
      </w:r>
    </w:p>
    <w:p w14:paraId="3D6A82E6" w14:textId="77777777" w:rsidR="00E53EB6" w:rsidRDefault="006500F5">
      <w:pPr>
        <w:pStyle w:val="Zitat"/>
      </w:pPr>
      <w:r>
        <w:t>I want</w:t>
      </w:r>
      <w:r>
        <w:rPr>
          <w:rStyle w:val="FootnoteAnchor"/>
        </w:rPr>
        <w:footnoteReference w:id="174"/>
      </w:r>
      <w:r>
        <w:t xml:space="preserve"> to create a new laud for Agni, the eagle</w:t>
      </w:r>
      <w:r>
        <w:rPr>
          <w:rStyle w:val="FootnoteAnchor"/>
        </w:rPr>
        <w:footnoteReference w:id="175"/>
      </w:r>
      <w:r>
        <w:t xml:space="preserve"> of the sky, may it </w:t>
      </w:r>
      <w:r>
        <w:rPr>
          <w:u w:val="single"/>
        </w:rPr>
        <w:t>appropriate</w:t>
      </w:r>
      <w:r>
        <w:t xml:space="preserve"> something good</w:t>
      </w:r>
      <w:r>
        <w:rPr>
          <w:rStyle w:val="FootnoteAnchor"/>
        </w:rPr>
        <w:footnoteReference w:id="176"/>
      </w:r>
      <w:r>
        <w:t xml:space="preserve"> for us.</w:t>
      </w:r>
    </w:p>
    <w:p w14:paraId="3A2C7FC8" w14:textId="77777777" w:rsidR="00E53EB6" w:rsidRPr="00B80C6B" w:rsidRDefault="006500F5">
      <w:pPr>
        <w:pStyle w:val="Zitat"/>
        <w:rPr>
          <w:lang w:val="de-DE"/>
        </w:rPr>
      </w:pPr>
      <w:r>
        <w:rPr>
          <w:i/>
          <w:iCs/>
        </w:rPr>
        <w:t xml:space="preserve">vanā́ti: </w:t>
      </w:r>
      <w:r>
        <w:t>subj. pres. 3</w:t>
      </w:r>
      <w:r>
        <w:rPr>
          <w:vertAlign w:val="superscript"/>
        </w:rPr>
        <w:t>rd</w:t>
      </w:r>
      <w:r>
        <w:t xml:space="preserve"> sing. </w:t>
      </w:r>
      <w:r w:rsidRPr="00B80C6B">
        <w:rPr>
          <w:lang w:val="de-DE"/>
        </w:rPr>
        <w:t>I-VI cl.</w:t>
      </w:r>
    </w:p>
    <w:p w14:paraId="582EE768" w14:textId="77777777" w:rsidR="00E53EB6" w:rsidRPr="00B80C6B" w:rsidRDefault="006500F5">
      <w:pPr>
        <w:pStyle w:val="ZitatmitEinzug"/>
        <w:rPr>
          <w:lang w:val="de-DE"/>
        </w:rPr>
      </w:pPr>
      <w:r w:rsidRPr="00B80C6B">
        <w:rPr>
          <w:rStyle w:val="biblio-authorGEN"/>
          <w:sz w:val="18"/>
          <w:szCs w:val="15"/>
          <w:lang w:val="de-DE"/>
        </w:rPr>
        <w:t>Geldner</w:t>
      </w:r>
      <w:r w:rsidRPr="00B80C6B">
        <w:rPr>
          <w:rStyle w:val="biblio-authorGEN"/>
          <w:lang w:val="de-DE"/>
        </w:rPr>
        <w:t>:</w:t>
      </w:r>
      <w:r w:rsidRPr="00B80C6B">
        <w:rPr>
          <w:lang w:val="de-DE"/>
        </w:rPr>
        <w:t xml:space="preserve"> II 191 “wird erwirken”</w:t>
      </w:r>
    </w:p>
    <w:p w14:paraId="1A707320" w14:textId="77777777" w:rsidR="00E53EB6" w:rsidRPr="00B80C6B" w:rsidRDefault="006500F5">
      <w:pPr>
        <w:pStyle w:val="ZitatmitEinzug"/>
        <w:rPr>
          <w:lang w:val="it-IT"/>
        </w:rPr>
      </w:pPr>
      <w:r w:rsidRPr="00B80C6B">
        <w:rPr>
          <w:rStyle w:val="biblio-authorGEN"/>
          <w:sz w:val="18"/>
          <w:szCs w:val="15"/>
          <w:lang w:val="it-IT"/>
        </w:rPr>
        <w:t>Renou</w:t>
      </w:r>
      <w:r w:rsidRPr="00B80C6B">
        <w:rPr>
          <w:lang w:val="it-IT"/>
        </w:rPr>
        <w:t>: XIII 62 “gagnera-t-il”</w:t>
      </w:r>
    </w:p>
    <w:p w14:paraId="66FD4D24" w14:textId="77777777" w:rsidR="00E53EB6" w:rsidRPr="00B80C6B" w:rsidRDefault="006500F5">
      <w:pPr>
        <w:pStyle w:val="ZitatmitEinzug"/>
        <w:rPr>
          <w:rFonts w:eastAsia="DevanagariMT" w:cs="Times Ext Roman"/>
          <w:szCs w:val="18"/>
          <w:lang w:val="de-DE" w:eastAsia="hi-IN" w:bidi="en-GB"/>
        </w:rPr>
      </w:pPr>
      <w:r w:rsidRPr="00B80C6B">
        <w:rPr>
          <w:rStyle w:val="biblio-authorGEN"/>
          <w:rFonts w:eastAsia="DevanagariMT" w:cs="Times Ext Roman"/>
          <w:sz w:val="18"/>
          <w:szCs w:val="15"/>
          <w:lang w:val="de-DE" w:eastAsia="hi-IN" w:bidi="en-GB"/>
        </w:rPr>
        <w:t>Gōto</w:t>
      </w:r>
      <w:r w:rsidRPr="00B80C6B">
        <w:rPr>
          <w:rFonts w:eastAsia="DevanagariMT" w:cs="Times Ext Roman"/>
          <w:szCs w:val="18"/>
          <w:lang w:val="de-DE" w:eastAsia="hi-IN" w:bidi="en-GB"/>
        </w:rPr>
        <w:t xml:space="preserve"> 1987: 284 “wird uns lieben”*</w:t>
      </w:r>
    </w:p>
    <w:p w14:paraId="1E8558F6" w14:textId="77777777" w:rsidR="00E53EB6" w:rsidRPr="00B80C6B" w:rsidRDefault="006500F5">
      <w:pPr>
        <w:pStyle w:val="HaupttextnachZitat"/>
        <w:rPr>
          <w:lang w:val="de-DE"/>
        </w:rPr>
      </w:pPr>
      <w:r w:rsidRPr="00B80C6B">
        <w:rPr>
          <w:rFonts w:eastAsia="Arial Unicode MS" w:cs="Sabon Unicode"/>
          <w:lang w:val="de-DE"/>
        </w:rPr>
        <w:lastRenderedPageBreak/>
        <w:t xml:space="preserve">Vedic </w:t>
      </w:r>
      <w:r w:rsidRPr="00B80C6B">
        <w:rPr>
          <w:rFonts w:eastAsia="MS Mincho;ＭＳ 明朝" w:cs="Sabon Unicode"/>
          <w:lang w:val="de-DE" w:eastAsia="hi-IN"/>
        </w:rPr>
        <w:t>Web</w:t>
      </w:r>
    </w:p>
    <w:p w14:paraId="7CB2AB02" w14:textId="77777777" w:rsidR="00E53EB6" w:rsidRDefault="006500F5">
      <w:pPr>
        <w:pStyle w:val="HaupttextohneEinzug"/>
        <w:rPr>
          <w:szCs w:val="21"/>
        </w:rPr>
      </w:pPr>
      <w:r>
        <w:rPr>
          <w:rFonts w:eastAsia="Arial Unicode MS" w:cs="Sabon Unicode"/>
          <w:szCs w:val="21"/>
        </w:rPr>
        <w:t xml:space="preserve">Mantra: </w:t>
      </w:r>
      <w:r>
        <w:rPr>
          <w:szCs w:val="21"/>
        </w:rPr>
        <w:t>R̥V</w:t>
      </w:r>
      <w:r>
        <w:rPr>
          <w:rFonts w:eastAsia="Arial Unicode MS" w:cs="Sabon Unicode"/>
          <w:szCs w:val="21"/>
        </w:rPr>
        <w:t xml:space="preserve"> 7.15.4 Vasi</w:t>
      </w:r>
      <w:r>
        <w:rPr>
          <w:rFonts w:eastAsia="Arial Unicode MS" w:cs="Sabon Unicode"/>
          <w:szCs w:val="21"/>
        </w:rPr>
        <w:t>ṣṭ</w:t>
      </w:r>
      <w:r>
        <w:rPr>
          <w:rFonts w:eastAsia="Arial Unicode MS" w:cs="Sabon Unicode"/>
          <w:szCs w:val="21"/>
        </w:rPr>
        <w:t>ha; TB 2.4.8.1.</w:t>
      </w:r>
    </w:p>
    <w:p w14:paraId="6D575D2A" w14:textId="77777777" w:rsidR="00E53EB6" w:rsidRDefault="00E53EB6">
      <w:pPr>
        <w:pStyle w:val="HaupttextohneEinzug"/>
        <w:rPr>
          <w:rFonts w:eastAsia="Arial Unicode MS" w:cs="Sabon Unicode"/>
          <w:sz w:val="18"/>
          <w:szCs w:val="18"/>
        </w:rPr>
      </w:pPr>
    </w:p>
    <w:p w14:paraId="4B9E14C2" w14:textId="77777777" w:rsidR="00E53EB6" w:rsidRDefault="006500F5">
      <w:pPr>
        <w:pStyle w:val="HaupttextohneEinzug"/>
      </w:pPr>
      <w:r>
        <w:t>Rite</w:t>
      </w:r>
    </w:p>
    <w:p w14:paraId="0A8F441A" w14:textId="77777777" w:rsidR="00E53EB6" w:rsidRDefault="006500F5">
      <w:pPr>
        <w:pStyle w:val="HaupttextohneEinzug"/>
      </w:pPr>
      <w:r>
        <w:t xml:space="preserve">KS 40.14 is a long series of </w:t>
      </w:r>
      <w:r>
        <w:rPr>
          <w:i/>
          <w:iCs/>
        </w:rPr>
        <w:t>yājyānuvāka</w:t>
      </w:r>
      <w:r>
        <w:t xml:space="preserve"> at </w:t>
      </w:r>
      <w:r>
        <w:t xml:space="preserve">the end of </w:t>
      </w:r>
      <w:r>
        <w:rPr>
          <w:i/>
          <w:iCs/>
        </w:rPr>
        <w:t>grantha</w:t>
      </w:r>
      <w:r>
        <w:t xml:space="preserve"> 40.</w:t>
      </w:r>
    </w:p>
    <w:p w14:paraId="353442F5" w14:textId="77777777" w:rsidR="00E53EB6" w:rsidRDefault="006500F5">
      <w:pPr>
        <w:pStyle w:val="HaupttextohneEinzug"/>
        <w:autoSpaceDE w:val="0"/>
        <w:rPr>
          <w:rFonts w:eastAsia="MS Mincho;ＭＳ 明朝" w:cs="Times Ext Roman"/>
          <w:szCs w:val="21"/>
          <w:lang w:eastAsia="hi-IN" w:bidi="en-GB"/>
        </w:rPr>
      </w:pPr>
      <w:r>
        <w:rPr>
          <w:rFonts w:eastAsia="Arial" w:cs="Times Ext Roman"/>
          <w:color w:val="000000"/>
          <w:szCs w:val="21"/>
          <w:lang w:eastAsia="hi-IN" w:bidi="en-GB"/>
        </w:rPr>
        <w:t xml:space="preserve">In TB: </w:t>
      </w:r>
      <w:r>
        <w:rPr>
          <w:rFonts w:eastAsia="Arial" w:cs="Times Ext Roman"/>
          <w:i/>
          <w:iCs/>
          <w:color w:val="000000"/>
          <w:szCs w:val="21"/>
          <w:lang w:eastAsia="hi-IN" w:bidi="en-GB"/>
        </w:rPr>
        <w:t>Darśapūr</w:t>
      </w:r>
      <w:r>
        <w:rPr>
          <w:rFonts w:eastAsia="Arial" w:cs="Times Ext Roman"/>
          <w:i/>
          <w:iCs/>
          <w:color w:val="000000"/>
          <w:szCs w:val="21"/>
          <w:lang w:eastAsia="hi-IN" w:bidi="en-GB"/>
        </w:rPr>
        <w:t>ṇ</w:t>
      </w:r>
      <w:r>
        <w:rPr>
          <w:rFonts w:eastAsia="Arial" w:cs="Times Ext Roman"/>
          <w:i/>
          <w:iCs/>
          <w:color w:val="000000"/>
          <w:szCs w:val="21"/>
          <w:lang w:eastAsia="hi-IN" w:bidi="en-GB"/>
        </w:rPr>
        <w:t>amāse</w:t>
      </w:r>
      <w:r>
        <w:rPr>
          <w:rFonts w:eastAsia="Arial" w:cs="Times Ext Roman"/>
          <w:i/>
          <w:iCs/>
          <w:color w:val="000000"/>
          <w:szCs w:val="21"/>
          <w:lang w:eastAsia="hi-IN" w:bidi="en-GB"/>
        </w:rPr>
        <w:t>ṣṭ</w:t>
      </w:r>
      <w:r>
        <w:rPr>
          <w:rFonts w:eastAsia="Arial" w:cs="Times Ext Roman"/>
          <w:i/>
          <w:iCs/>
          <w:color w:val="000000"/>
          <w:szCs w:val="21"/>
          <w:lang w:eastAsia="hi-IN" w:bidi="en-GB"/>
        </w:rPr>
        <w:t>i</w:t>
      </w:r>
      <w:r>
        <w:rPr>
          <w:rFonts w:eastAsia="Arial" w:cs="Times Ext Roman"/>
          <w:color w:val="000000"/>
          <w:szCs w:val="21"/>
          <w:lang w:eastAsia="hi-IN" w:bidi="en-GB"/>
        </w:rPr>
        <w:t xml:space="preserve">. </w:t>
      </w:r>
      <w:r>
        <w:rPr>
          <w:rFonts w:eastAsia="Arial" w:cs="Times Ext Roman"/>
          <w:i/>
          <w:iCs/>
          <w:color w:val="000000"/>
          <w:szCs w:val="21"/>
          <w:lang w:eastAsia="hi-IN" w:bidi="en-GB"/>
        </w:rPr>
        <w:t>Upahoma</w:t>
      </w:r>
      <w:r>
        <w:rPr>
          <w:rFonts w:eastAsia="Arial" w:cs="Times Ext Roman"/>
          <w:color w:val="000000"/>
          <w:szCs w:val="21"/>
          <w:lang w:eastAsia="hi-IN" w:bidi="en-GB"/>
        </w:rPr>
        <w:t xml:space="preserve"> (subsidiary) </w:t>
      </w:r>
      <w:r>
        <w:rPr>
          <w:rFonts w:eastAsia="Arial" w:cs="Times Ext Roman"/>
          <w:i/>
          <w:iCs/>
          <w:color w:val="000000"/>
          <w:szCs w:val="21"/>
          <w:lang w:eastAsia="hi-IN" w:bidi="en-GB"/>
        </w:rPr>
        <w:t>mantra</w:t>
      </w:r>
      <w:r>
        <w:rPr>
          <w:rFonts w:eastAsia="Arial" w:cs="Times Ext Roman"/>
          <w:color w:val="000000"/>
          <w:szCs w:val="21"/>
          <w:lang w:eastAsia="hi-IN" w:bidi="en-GB"/>
        </w:rPr>
        <w:t>s addressed to Agni, an additional offering within the Mitravinde</w:t>
      </w:r>
      <w:r>
        <w:rPr>
          <w:rFonts w:eastAsia="Arial" w:cs="Times Ext Roman"/>
          <w:color w:val="000000"/>
          <w:szCs w:val="21"/>
          <w:lang w:eastAsia="hi-IN" w:bidi="en-GB"/>
        </w:rPr>
        <w:t>ṣṭ</w:t>
      </w:r>
      <w:r>
        <w:rPr>
          <w:rFonts w:eastAsia="Arial" w:cs="Times Ext Roman"/>
          <w:color w:val="000000"/>
          <w:szCs w:val="21"/>
          <w:lang w:eastAsia="hi-IN" w:bidi="en-GB"/>
        </w:rPr>
        <w:t>i; cf. ŚB 11.4.3 -where is explained the myth connected with this rite, ŚB 11.4.3.20 “He finds Mitra, and his is the kingdom, he conquers the recurring death [...]”(trans. Eggeling) and cf.</w:t>
      </w:r>
      <w:r>
        <w:rPr>
          <w:rFonts w:eastAsia="Arial" w:cs="Times Ext Roman"/>
          <w:color w:val="000000"/>
          <w:szCs w:val="21"/>
          <w:lang w:eastAsia="hi-IN" w:bidi="en-GB"/>
        </w:rPr>
        <w:t xml:space="preserve"> also ĀpŚS 2.21.2; Keith’s Summary (1914: 76-77) and Mylius 1995: 51. B.B. Miśra commentary: </w:t>
      </w:r>
      <w:r>
        <w:rPr>
          <w:rFonts w:eastAsia="Arial" w:cs="Times Ext Roman"/>
          <w:i/>
          <w:iCs/>
          <w:color w:val="000000"/>
          <w:szCs w:val="21"/>
          <w:lang w:eastAsia="hi-IN" w:bidi="en-GB"/>
        </w:rPr>
        <w:t>a</w:t>
      </w:r>
      <w:r>
        <w:rPr>
          <w:rFonts w:eastAsia="Arial" w:cs="Times Ext Roman"/>
          <w:i/>
          <w:iCs/>
          <w:color w:val="000000"/>
          <w:szCs w:val="21"/>
          <w:lang w:eastAsia="hi-IN" w:bidi="en-GB"/>
        </w:rPr>
        <w:t>ṣṭ</w:t>
      </w:r>
      <w:r>
        <w:rPr>
          <w:rFonts w:eastAsia="Arial" w:cs="Times Ext Roman"/>
          <w:i/>
          <w:iCs/>
          <w:color w:val="000000"/>
          <w:szCs w:val="21"/>
          <w:lang w:eastAsia="hi-IN" w:bidi="en-GB"/>
        </w:rPr>
        <w:t>ame‘nuvāke</w:t>
      </w:r>
      <w:r>
        <w:rPr>
          <w:rFonts w:eastAsia="Arial" w:cs="Times Ext Roman"/>
          <w:color w:val="000000"/>
          <w:szCs w:val="21"/>
          <w:lang w:eastAsia="hi-IN" w:bidi="en-GB"/>
        </w:rPr>
        <w:t xml:space="preserve"> </w:t>
      </w:r>
      <w:r>
        <w:rPr>
          <w:rFonts w:eastAsia="Arial" w:cs="Times Ext Roman"/>
          <w:i/>
          <w:iCs/>
          <w:color w:val="000000"/>
          <w:szCs w:val="21"/>
          <w:lang w:eastAsia="hi-IN" w:bidi="en-GB"/>
        </w:rPr>
        <w:t>sarvamapyāgraya</w:t>
      </w:r>
      <w:r>
        <w:rPr>
          <w:rFonts w:eastAsia="Arial" w:cs="Times Ext Roman"/>
          <w:i/>
          <w:iCs/>
          <w:color w:val="000000"/>
          <w:szCs w:val="21"/>
          <w:lang w:eastAsia="hi-IN" w:bidi="en-GB"/>
        </w:rPr>
        <w:t>ṇ</w:t>
      </w:r>
      <w:r>
        <w:rPr>
          <w:rFonts w:eastAsia="Arial" w:cs="Times Ext Roman"/>
          <w:i/>
          <w:iCs/>
          <w:color w:val="000000"/>
          <w:szCs w:val="21"/>
          <w:lang w:eastAsia="hi-IN" w:bidi="en-GB"/>
        </w:rPr>
        <w:t xml:space="preserve">sūktam. </w:t>
      </w:r>
      <w:r>
        <w:rPr>
          <w:rFonts w:eastAsia="Arial" w:cs="Times Ext Roman"/>
          <w:color w:val="000000"/>
          <w:szCs w:val="21"/>
          <w:lang w:eastAsia="hi-IN" w:bidi="en-GB"/>
        </w:rPr>
        <w:t xml:space="preserve">The </w:t>
      </w:r>
      <w:r>
        <w:rPr>
          <w:rFonts w:eastAsia="Arial" w:cs="Times Ext Roman"/>
          <w:i/>
          <w:iCs/>
          <w:color w:val="000000"/>
          <w:szCs w:val="21"/>
          <w:lang w:eastAsia="hi-IN" w:bidi="en-GB"/>
        </w:rPr>
        <w:t>āgraya</w:t>
      </w:r>
      <w:r>
        <w:rPr>
          <w:rFonts w:eastAsia="Arial" w:cs="Times Ext Roman"/>
          <w:i/>
          <w:iCs/>
          <w:color w:val="000000"/>
          <w:szCs w:val="21"/>
          <w:lang w:eastAsia="hi-IN" w:bidi="en-GB"/>
        </w:rPr>
        <w:t>ṇ</w:t>
      </w:r>
      <w:r>
        <w:rPr>
          <w:rFonts w:eastAsia="Arial" w:cs="Times Ext Roman"/>
          <w:i/>
          <w:iCs/>
          <w:color w:val="000000"/>
          <w:szCs w:val="21"/>
          <w:lang w:eastAsia="hi-IN" w:bidi="en-GB"/>
        </w:rPr>
        <w:t xml:space="preserve">a </w:t>
      </w:r>
      <w:r>
        <w:rPr>
          <w:rFonts w:eastAsia="Arial" w:cs="Times Ext Roman"/>
          <w:color w:val="000000"/>
          <w:szCs w:val="21"/>
          <w:lang w:eastAsia="hi-IN" w:bidi="en-GB"/>
        </w:rPr>
        <w:t>is the first libation of the evening Soma-pressure.</w:t>
      </w:r>
    </w:p>
    <w:p w14:paraId="30F97C9C" w14:textId="77777777" w:rsidR="00E53EB6" w:rsidRDefault="00E53EB6">
      <w:pPr>
        <w:pStyle w:val="HaupttextohneEinzug"/>
        <w:autoSpaceDE w:val="0"/>
        <w:rPr>
          <w:rFonts w:eastAsia="Arial" w:cs="Times Ext Roman"/>
          <w:szCs w:val="21"/>
          <w:shd w:val="clear" w:color="auto" w:fill="FF6633"/>
          <w:lang w:eastAsia="hi-IN" w:bidi="en-GB"/>
        </w:rPr>
      </w:pPr>
    </w:p>
    <w:p w14:paraId="6E2E2AB6" w14:textId="77777777" w:rsidR="00E53EB6" w:rsidRDefault="006500F5">
      <w:pPr>
        <w:pStyle w:val="Heading5"/>
        <w:tabs>
          <w:tab w:val="left" w:pos="0"/>
        </w:tabs>
        <w:rPr>
          <w:u w:val="single"/>
        </w:rPr>
      </w:pPr>
      <w:r>
        <w:rPr>
          <w:u w:val="single"/>
        </w:rPr>
        <w:t xml:space="preserve">KS Aśvamedha </w:t>
      </w:r>
      <w:r>
        <w:rPr>
          <w:i/>
          <w:iCs/>
          <w:u w:val="single"/>
        </w:rPr>
        <w:t xml:space="preserve">grantha </w:t>
      </w:r>
      <w:r>
        <w:rPr>
          <w:u w:val="single"/>
        </w:rPr>
        <w:t>(5).6.5: III 276,2-3</w:t>
      </w:r>
    </w:p>
    <w:p w14:paraId="7C29713D" w14:textId="77777777" w:rsidR="00E53EB6" w:rsidRDefault="006500F5">
      <w:pPr>
        <w:pStyle w:val="Zitat"/>
      </w:pPr>
      <w:r>
        <w:rPr>
          <w:lang w:eastAsia="hi-IN"/>
        </w:rPr>
        <w:t xml:space="preserve">6.5 </w:t>
      </w:r>
      <w:r>
        <w:rPr>
          <w:i/>
          <w:iCs/>
          <w:lang w:eastAsia="hi-IN"/>
        </w:rPr>
        <w:t>sugávya</w:t>
      </w:r>
      <w:r>
        <w:rPr>
          <w:i/>
          <w:iCs/>
          <w:lang w:eastAsia="hi-IN"/>
        </w:rPr>
        <w:t>ṃ</w:t>
      </w:r>
      <w:r>
        <w:rPr>
          <w:i/>
          <w:iCs/>
          <w:lang w:eastAsia="hi-IN"/>
        </w:rPr>
        <w:t xml:space="preserve"> no vājī́ sváśvya</w:t>
      </w:r>
      <w:r>
        <w:rPr>
          <w:i/>
          <w:iCs/>
          <w:lang w:eastAsia="hi-IN"/>
        </w:rPr>
        <w:t>ṃ</w:t>
      </w:r>
      <w:r>
        <w:rPr>
          <w:i/>
          <w:iCs/>
          <w:lang w:eastAsia="hi-IN"/>
        </w:rPr>
        <w:t xml:space="preserve"> pum̐sá</w:t>
      </w:r>
      <w:r>
        <w:rPr>
          <w:i/>
          <w:iCs/>
          <w:lang w:eastAsia="hi-IN"/>
        </w:rPr>
        <w:t>ḥ</w:t>
      </w:r>
      <w:r>
        <w:rPr>
          <w:i/>
          <w:iCs/>
          <w:lang w:eastAsia="hi-IN"/>
        </w:rPr>
        <w:t xml:space="preserve"> putrā́m̐ utá viśvāpú</w:t>
      </w:r>
      <w:r>
        <w:rPr>
          <w:i/>
          <w:iCs/>
          <w:lang w:eastAsia="hi-IN"/>
        </w:rPr>
        <w:t>ṣ</w:t>
      </w:r>
      <w:r>
        <w:rPr>
          <w:i/>
          <w:iCs/>
          <w:lang w:eastAsia="hi-IN"/>
        </w:rPr>
        <w:t>am̐  rayím / anāgāstvá</w:t>
      </w:r>
      <w:r>
        <w:rPr>
          <w:i/>
          <w:iCs/>
          <w:lang w:eastAsia="hi-IN"/>
        </w:rPr>
        <w:t>ṃ</w:t>
      </w:r>
      <w:r>
        <w:rPr>
          <w:i/>
          <w:iCs/>
          <w:lang w:eastAsia="hi-IN"/>
        </w:rPr>
        <w:t xml:space="preserve"> no áditi</w:t>
      </w:r>
      <w:r>
        <w:rPr>
          <w:i/>
          <w:iCs/>
          <w:lang w:eastAsia="hi-IN"/>
        </w:rPr>
        <w:t>ḥ</w:t>
      </w:r>
      <w:r>
        <w:rPr>
          <w:i/>
          <w:iCs/>
          <w:lang w:eastAsia="hi-IN"/>
        </w:rPr>
        <w:t xml:space="preserve"> kr̥</w:t>
      </w:r>
      <w:r>
        <w:rPr>
          <w:i/>
          <w:iCs/>
          <w:lang w:eastAsia="hi-IN"/>
        </w:rPr>
        <w:t>ṇ</w:t>
      </w:r>
      <w:r>
        <w:rPr>
          <w:i/>
          <w:iCs/>
          <w:lang w:eastAsia="hi-IN"/>
        </w:rPr>
        <w:t>otu k</w:t>
      </w:r>
      <w:r>
        <w:rPr>
          <w:i/>
          <w:iCs/>
          <w:lang w:eastAsia="hi-IN"/>
        </w:rPr>
        <w:t>ṣ</w:t>
      </w:r>
      <w:r>
        <w:rPr>
          <w:i/>
          <w:iCs/>
          <w:lang w:eastAsia="hi-IN"/>
        </w:rPr>
        <w:t>atrá</w:t>
      </w:r>
      <w:r>
        <w:rPr>
          <w:i/>
          <w:iCs/>
          <w:lang w:eastAsia="hi-IN"/>
        </w:rPr>
        <w:t>ṃ</w:t>
      </w:r>
      <w:r>
        <w:rPr>
          <w:i/>
          <w:iCs/>
          <w:lang w:eastAsia="hi-IN"/>
        </w:rPr>
        <w:t xml:space="preserve"> no áśvo vanate haví</w:t>
      </w:r>
      <w:r>
        <w:rPr>
          <w:i/>
          <w:iCs/>
          <w:lang w:eastAsia="hi-IN"/>
        </w:rPr>
        <w:t>ṣ</w:t>
      </w:r>
      <w:r>
        <w:rPr>
          <w:i/>
          <w:iCs/>
          <w:lang w:eastAsia="hi-IN"/>
        </w:rPr>
        <w:t>mān //</w:t>
      </w:r>
    </w:p>
    <w:p w14:paraId="5CEA2B5E" w14:textId="77777777" w:rsidR="00E53EB6" w:rsidRDefault="006500F5">
      <w:pPr>
        <w:pStyle w:val="Zitat"/>
      </w:pPr>
      <w:r>
        <w:rPr>
          <w:lang w:eastAsia="hi-IN"/>
        </w:rPr>
        <w:t>Wealth of cattle may the steed / price-winner</w:t>
      </w:r>
      <w:r>
        <w:rPr>
          <w:rStyle w:val="FootnoteAnchor"/>
          <w:lang w:eastAsia="hi-IN"/>
        </w:rPr>
        <w:footnoteReference w:id="177"/>
      </w:r>
      <w:r>
        <w:rPr>
          <w:lang w:eastAsia="hi-IN"/>
        </w:rPr>
        <w:t xml:space="preserve">  bring us, wealth of horses, sons and all sustaining riches; may Aditi make</w:t>
      </w:r>
      <w:r>
        <w:rPr>
          <w:lang w:eastAsia="hi-IN"/>
        </w:rPr>
        <w:t xml:space="preserve"> us free from sin</w:t>
      </w:r>
      <w:r>
        <w:rPr>
          <w:rStyle w:val="FootnoteAnchor"/>
          <w:rFonts w:cs="Devanagari MT;Times New Roman"/>
          <w:lang w:eastAsia="hi-IN"/>
        </w:rPr>
        <w:footnoteReference w:id="178"/>
      </w:r>
      <w:r>
        <w:rPr>
          <w:lang w:eastAsia="hi-IN"/>
        </w:rPr>
        <w:t xml:space="preserve">, let the horse endowed with oblations </w:t>
      </w:r>
      <w:r>
        <w:rPr>
          <w:u w:val="single"/>
          <w:lang w:eastAsia="hi-IN"/>
        </w:rPr>
        <w:t xml:space="preserve">appropriate </w:t>
      </w:r>
      <w:r>
        <w:rPr>
          <w:lang w:eastAsia="hi-IN"/>
        </w:rPr>
        <w:t xml:space="preserve">for us </w:t>
      </w:r>
      <w:r>
        <w:rPr>
          <w:lang w:eastAsia="hi-IN"/>
        </w:rPr>
        <w:t>the lordship.</w:t>
      </w:r>
    </w:p>
    <w:p w14:paraId="1E8E98E1" w14:textId="77777777" w:rsidR="00E53EB6" w:rsidRPr="00B80C6B" w:rsidRDefault="006500F5">
      <w:pPr>
        <w:pStyle w:val="Zitat"/>
        <w:rPr>
          <w:lang w:val="de-DE"/>
        </w:rPr>
      </w:pPr>
      <w:r>
        <w:rPr>
          <w:i/>
          <w:iCs/>
          <w:lang w:eastAsia="hi-IN"/>
        </w:rPr>
        <w:t xml:space="preserve">vanate: </w:t>
      </w:r>
      <w:r>
        <w:rPr>
          <w:lang w:eastAsia="hi-IN"/>
        </w:rPr>
        <w:t>subj. root aor. 3</w:t>
      </w:r>
      <w:r>
        <w:rPr>
          <w:vertAlign w:val="superscript"/>
          <w:lang w:eastAsia="hi-IN"/>
        </w:rPr>
        <w:t>rd</w:t>
      </w:r>
      <w:r>
        <w:rPr>
          <w:lang w:eastAsia="hi-IN"/>
        </w:rPr>
        <w:t xml:space="preserve"> sing. </w:t>
      </w:r>
      <w:r w:rsidRPr="00B80C6B">
        <w:rPr>
          <w:lang w:val="de-DE" w:eastAsia="hi-IN"/>
        </w:rPr>
        <w:t>Ā</w:t>
      </w:r>
    </w:p>
    <w:p w14:paraId="5F8BC082" w14:textId="77777777" w:rsidR="00E53EB6" w:rsidRPr="00B80C6B" w:rsidRDefault="006500F5">
      <w:pPr>
        <w:pStyle w:val="ZitatmitEinzug"/>
        <w:autoSpaceDE w:val="0"/>
        <w:rPr>
          <w:rFonts w:eastAsia="Arial" w:cs="Times Ext Roman"/>
          <w:szCs w:val="18"/>
          <w:lang w:val="de-DE" w:eastAsia="hi-IN" w:bidi="en-GB"/>
        </w:rPr>
      </w:pPr>
      <w:r w:rsidRPr="00B80C6B">
        <w:rPr>
          <w:rStyle w:val="biblio-authorGEN"/>
          <w:rFonts w:eastAsia="Arial" w:cs="Times Ext Roman"/>
          <w:sz w:val="18"/>
          <w:szCs w:val="15"/>
          <w:lang w:val="de-DE" w:eastAsia="hi-IN" w:bidi="en-GB"/>
        </w:rPr>
        <w:t>Geldner</w:t>
      </w:r>
      <w:r w:rsidRPr="00B80C6B">
        <w:rPr>
          <w:rFonts w:eastAsia="Arial" w:cs="Times Ext Roman"/>
          <w:szCs w:val="18"/>
          <w:lang w:val="de-DE" w:eastAsia="hi-IN" w:bidi="en-GB"/>
        </w:rPr>
        <w:t>: I 225 “soll erringen”</w:t>
      </w:r>
    </w:p>
    <w:p w14:paraId="0F653417" w14:textId="77777777" w:rsidR="00E53EB6" w:rsidRDefault="006500F5">
      <w:pPr>
        <w:pStyle w:val="ZitatmitEinzug"/>
        <w:autoSpaceDE w:val="0"/>
        <w:rPr>
          <w:rFonts w:eastAsia="Arial" w:cs="Times Ext Roman"/>
          <w:szCs w:val="18"/>
          <w:lang w:eastAsia="hi-IN" w:bidi="en-GB"/>
        </w:rPr>
      </w:pPr>
      <w:r>
        <w:rPr>
          <w:rFonts w:eastAsia="Arial" w:cs="Times Ext Roman"/>
          <w:szCs w:val="18"/>
          <w:lang w:eastAsia="hi-IN" w:bidi="en-GB"/>
        </w:rPr>
        <w:t>O´</w:t>
      </w:r>
      <w:r>
        <w:rPr>
          <w:rStyle w:val="biblio-authorGEN"/>
          <w:rFonts w:eastAsia="Arial" w:cs="Times Ext Roman"/>
          <w:sz w:val="18"/>
          <w:szCs w:val="15"/>
          <w:lang w:eastAsia="hi-IN" w:bidi="en-GB"/>
        </w:rPr>
        <w:t>Flaherty</w:t>
      </w:r>
      <w:r>
        <w:rPr>
          <w:rFonts w:eastAsia="Arial" w:cs="Times Ext Roman"/>
          <w:szCs w:val="18"/>
          <w:lang w:eastAsia="hi-IN" w:bidi="en-GB"/>
        </w:rPr>
        <w:t xml:space="preserve"> 1984: 92 “achieve”</w:t>
      </w:r>
    </w:p>
    <w:p w14:paraId="388C094F" w14:textId="77777777" w:rsidR="00E53EB6" w:rsidRDefault="006500F5">
      <w:pPr>
        <w:pStyle w:val="ZitatmitEinzug"/>
        <w:autoSpaceDE w:val="0"/>
        <w:rPr>
          <w:rFonts w:eastAsia="Arial" w:cs="Times Ext Roman"/>
          <w:szCs w:val="18"/>
          <w:lang w:eastAsia="hi-IN" w:bidi="en-GB"/>
        </w:rPr>
      </w:pPr>
      <w:r>
        <w:rPr>
          <w:rFonts w:eastAsia="Arial" w:cs="Times Ext Roman"/>
          <w:szCs w:val="18"/>
          <w:lang w:eastAsia="hi-IN" w:bidi="en-US"/>
        </w:rPr>
        <w:t xml:space="preserve">Griffith in </w:t>
      </w:r>
      <w:r>
        <w:rPr>
          <w:rStyle w:val="biblio-authorGEN"/>
          <w:rFonts w:eastAsia="Arial" w:cs="Times Ext Roman"/>
          <w:sz w:val="18"/>
          <w:szCs w:val="18"/>
          <w:lang w:eastAsia="hi-IN" w:bidi="en-US"/>
        </w:rPr>
        <w:t>Arya</w:t>
      </w:r>
      <w:r>
        <w:rPr>
          <w:rFonts w:eastAsia="Arial" w:cs="Times Ext Roman"/>
          <w:szCs w:val="18"/>
          <w:lang w:eastAsia="hi-IN" w:bidi="en-US"/>
        </w:rPr>
        <w:t xml:space="preserve"> 1999: 373</w:t>
      </w:r>
      <w:r>
        <w:rPr>
          <w:rFonts w:eastAsia="Arial" w:cs="Times Ext Roman"/>
          <w:szCs w:val="18"/>
          <w:lang w:eastAsia="hi-IN" w:bidi="en-GB"/>
        </w:rPr>
        <w:t xml:space="preserve"> “gain”</w:t>
      </w:r>
    </w:p>
    <w:p w14:paraId="6F4DE2F4" w14:textId="77777777" w:rsidR="00E53EB6" w:rsidRDefault="006500F5">
      <w:pPr>
        <w:pStyle w:val="HaupttextnachZitat"/>
        <w:rPr>
          <w:rFonts w:eastAsia="Arial" w:cs="Times Ext Roman"/>
          <w:szCs w:val="21"/>
          <w:lang w:eastAsia="hi-IN" w:bidi="en-GB"/>
        </w:rPr>
      </w:pPr>
      <w:r>
        <w:rPr>
          <w:rFonts w:eastAsia="Arial" w:cs="Times Ext Roman"/>
          <w:szCs w:val="21"/>
          <w:lang w:eastAsia="hi-IN" w:bidi="en-GB"/>
        </w:rPr>
        <w:t>Vedic Web</w:t>
      </w:r>
    </w:p>
    <w:p w14:paraId="1A08A0E1" w14:textId="77777777" w:rsidR="00E53EB6" w:rsidRDefault="006500F5">
      <w:pPr>
        <w:pStyle w:val="HaupttextohneEinzug"/>
      </w:pPr>
      <w:r>
        <w:rPr>
          <w:rFonts w:eastAsia="Arial" w:cs="Times Ext Roman"/>
          <w:lang w:eastAsia="hi-IN" w:bidi="en-GB"/>
        </w:rPr>
        <w:t xml:space="preserve">Mantra: </w:t>
      </w:r>
      <w:r>
        <w:rPr>
          <w:rFonts w:eastAsia="Arial" w:cs="Times Ext Roman"/>
          <w:szCs w:val="21"/>
          <w:lang w:eastAsia="hi-IN" w:bidi="en-GB"/>
        </w:rPr>
        <w:t>R</w:t>
      </w:r>
      <w:r>
        <w:rPr>
          <w:rFonts w:eastAsia="Arial" w:cs="Devanagari MT;Times New Roman"/>
          <w:szCs w:val="21"/>
          <w:lang w:eastAsia="hi-IN" w:bidi="en-GB"/>
        </w:rPr>
        <w:t>̥</w:t>
      </w:r>
      <w:r>
        <w:rPr>
          <w:rFonts w:eastAsia="Arial" w:cs="Times Ext Roman"/>
          <w:szCs w:val="21"/>
          <w:lang w:eastAsia="hi-IN" w:bidi="en-GB"/>
        </w:rPr>
        <w:t>V</w:t>
      </w:r>
      <w:r>
        <w:rPr>
          <w:rFonts w:eastAsia="Arial" w:cs="Times Ext Roman"/>
          <w:lang w:eastAsia="hi-IN" w:bidi="en-GB"/>
        </w:rPr>
        <w:t xml:space="preserve"> 1.162.22 Dīrghatamas; TS 4.6.9.4l; VS 25.45</w:t>
      </w:r>
      <w:r>
        <w:rPr>
          <w:rFonts w:eastAsia="Arial" w:cs="Times Ext Roman"/>
          <w:lang w:eastAsia="hi-IN" w:bidi="en-GB"/>
        </w:rPr>
        <w:t xml:space="preserve">. All these attestations have </w:t>
      </w:r>
      <w:r>
        <w:rPr>
          <w:rFonts w:eastAsia="Arial" w:cs="Times Ext Roman"/>
          <w:i/>
          <w:iCs/>
          <w:lang w:eastAsia="hi-IN" w:bidi="en-GB"/>
        </w:rPr>
        <w:t xml:space="preserve">vanatām </w:t>
      </w:r>
      <w:r>
        <w:rPr>
          <w:rFonts w:eastAsia="Arial" w:cs="Times Ext Roman"/>
          <w:lang w:eastAsia="hi-IN" w:bidi="en-GB"/>
        </w:rPr>
        <w:t>(impv. pres. 3</w:t>
      </w:r>
      <w:r>
        <w:rPr>
          <w:rFonts w:eastAsia="Arial" w:cs="Times Ext Roman"/>
          <w:vertAlign w:val="superscript"/>
          <w:lang w:eastAsia="hi-IN" w:bidi="en-GB"/>
        </w:rPr>
        <w:t>rd</w:t>
      </w:r>
      <w:r>
        <w:rPr>
          <w:rFonts w:eastAsia="Arial" w:cs="Times Ext Roman"/>
          <w:lang w:eastAsia="hi-IN" w:bidi="en-GB"/>
        </w:rPr>
        <w:t xml:space="preserve"> sing.  Ā I-VI cl.).  </w:t>
      </w:r>
    </w:p>
    <w:p w14:paraId="5810A37D" w14:textId="77777777" w:rsidR="00E53EB6" w:rsidRDefault="00E53EB6">
      <w:pPr>
        <w:pStyle w:val="HaupttextohneEinzug"/>
      </w:pPr>
    </w:p>
    <w:p w14:paraId="115CE4C1" w14:textId="77777777" w:rsidR="00E53EB6" w:rsidRDefault="006500F5">
      <w:pPr>
        <w:pStyle w:val="HaupttextohneEinzug"/>
      </w:pPr>
      <w:r>
        <w:t>Rite</w:t>
      </w:r>
    </w:p>
    <w:p w14:paraId="33C07AA2" w14:textId="77777777" w:rsidR="00E53EB6" w:rsidRDefault="006500F5">
      <w:pPr>
        <w:pStyle w:val="HaupttextohneEinzug"/>
      </w:pPr>
      <w:r>
        <w:t xml:space="preserve">Aśvamedha. The horse sacrifice occupies a special place in the TS which gives little more than the </w:t>
      </w:r>
      <w:r>
        <w:rPr>
          <w:i/>
          <w:iCs/>
        </w:rPr>
        <w:t>mantra</w:t>
      </w:r>
      <w:r>
        <w:t>s</w:t>
      </w:r>
      <w:r>
        <w:t xml:space="preserve">. The VS deals with it </w:t>
      </w:r>
      <w:r>
        <w:t>in the later books, 23-25, and the ŚB in the book 13</w:t>
      </w:r>
      <w:r>
        <w:rPr>
          <w:position w:val="6"/>
          <w:sz w:val="12"/>
        </w:rPr>
        <w:t>th</w:t>
      </w:r>
      <w:r>
        <w:t xml:space="preserve">. The two hymns clearly related to this sacrifice are </w:t>
      </w:r>
      <w:r>
        <w:rPr>
          <w:szCs w:val="21"/>
        </w:rPr>
        <w:t>R</w:t>
      </w:r>
      <w:r>
        <w:rPr>
          <w:rFonts w:eastAsia="Arial" w:cs="Devanagari MT;Times New Roman"/>
          <w:szCs w:val="21"/>
          <w:lang w:eastAsia="hi-IN" w:bidi="en-GB"/>
        </w:rPr>
        <w:t>̥</w:t>
      </w:r>
      <w:r>
        <w:rPr>
          <w:szCs w:val="21"/>
        </w:rPr>
        <w:t>V</w:t>
      </w:r>
      <w:r>
        <w:t xml:space="preserve"> 1.162 and 1.163 (also </w:t>
      </w:r>
      <w:r>
        <w:rPr>
          <w:szCs w:val="21"/>
        </w:rPr>
        <w:t>R</w:t>
      </w:r>
      <w:r>
        <w:rPr>
          <w:rFonts w:eastAsia="Arial" w:cs="Devanagari MT;Times New Roman"/>
          <w:szCs w:val="21"/>
          <w:lang w:eastAsia="hi-IN" w:bidi="en-GB"/>
        </w:rPr>
        <w:t>̥</w:t>
      </w:r>
      <w:r>
        <w:rPr>
          <w:szCs w:val="21"/>
        </w:rPr>
        <w:t>V</w:t>
      </w:r>
      <w:r>
        <w:t xml:space="preserve"> 6.75 and 6.47 are used). Cf. Keith 1914: 132 ff. </w:t>
      </w:r>
    </w:p>
    <w:p w14:paraId="7A2D6D5E" w14:textId="77777777" w:rsidR="00E53EB6" w:rsidRDefault="006500F5">
      <w:pPr>
        <w:pStyle w:val="HaupttextohneEinzug"/>
        <w:rPr>
          <w:rFonts w:eastAsia="Arial" w:cs="Devanagari MT;Times New Roman"/>
          <w:sz w:val="22"/>
          <w:szCs w:val="22"/>
          <w:lang w:eastAsia="hi-IN" w:bidi="en-GB"/>
        </w:rPr>
      </w:pPr>
      <w:r>
        <w:rPr>
          <w:rFonts w:eastAsia="MS Mincho;ＭＳ 明朝" w:cs="Times Ext Roman"/>
          <w:sz w:val="22"/>
          <w:szCs w:val="22"/>
          <w:lang w:eastAsia="hi-IN" w:bidi="en-GB"/>
        </w:rPr>
        <w:t>This mantra is a praise for the steed that has been slaughte</w:t>
      </w:r>
      <w:r>
        <w:rPr>
          <w:rFonts w:eastAsia="MS Mincho;ＭＳ 明朝" w:cs="Times Ext Roman"/>
          <w:color w:val="000000"/>
          <w:sz w:val="22"/>
          <w:szCs w:val="22"/>
          <w:lang w:eastAsia="hi-IN" w:bidi="en-GB"/>
        </w:rPr>
        <w:t>red.</w:t>
      </w:r>
    </w:p>
    <w:p w14:paraId="3BC9AB28" w14:textId="77777777" w:rsidR="00E53EB6" w:rsidRDefault="00E53EB6">
      <w:pPr>
        <w:pStyle w:val="HaupttextohneEinzug"/>
        <w:rPr>
          <w:rFonts w:eastAsia="MS Mincho;ＭＳ 明朝" w:cs="Times Ext Roman"/>
          <w:sz w:val="22"/>
          <w:szCs w:val="22"/>
          <w:lang w:eastAsia="hi-IN" w:bidi="en-GB"/>
        </w:rPr>
      </w:pPr>
    </w:p>
    <w:p w14:paraId="42B7E8AF" w14:textId="77777777" w:rsidR="00E53EB6" w:rsidRDefault="00E53EB6">
      <w:pPr>
        <w:pStyle w:val="HaupttextohneEinzug"/>
        <w:rPr>
          <w:rFonts w:eastAsia="MS Mincho;ＭＳ 明朝" w:cs="Times Ext Roman"/>
          <w:sz w:val="22"/>
          <w:szCs w:val="22"/>
          <w:lang w:eastAsia="hi-IN" w:bidi="en-GB"/>
        </w:rPr>
      </w:pPr>
    </w:p>
    <w:p w14:paraId="24666289" w14:textId="77777777" w:rsidR="00E53EB6" w:rsidRDefault="006500F5">
      <w:pPr>
        <w:pStyle w:val="Heading5"/>
        <w:tabs>
          <w:tab w:val="left" w:pos="0"/>
        </w:tabs>
      </w:pPr>
      <w:r>
        <w:lastRenderedPageBreak/>
        <w:t>Kapi</w:t>
      </w:r>
      <w:r>
        <w:t>ṣṭ</w:t>
      </w:r>
      <w:r>
        <w:t>hala occurrences</w:t>
      </w:r>
    </w:p>
    <w:p w14:paraId="06DED6E6" w14:textId="77777777" w:rsidR="00E53EB6" w:rsidRDefault="006500F5">
      <w:pPr>
        <w:pStyle w:val="Heading5"/>
        <w:tabs>
          <w:tab w:val="left" w:pos="0"/>
        </w:tabs>
      </w:pPr>
      <w:r>
        <w:rPr>
          <w:u w:val="single"/>
        </w:rPr>
        <w:t>KpS 28.2: 140.</w:t>
      </w:r>
      <w:r>
        <w:rPr>
          <w:u w:val="single"/>
        </w:rPr>
        <w:tab/>
      </w:r>
      <w:r>
        <w:tab/>
      </w:r>
      <w:r>
        <w:tab/>
      </w:r>
      <w:r>
        <w:tab/>
      </w:r>
      <w:r>
        <w:tab/>
      </w:r>
      <w:r>
        <w:tab/>
      </w:r>
      <w:r>
        <w:tab/>
      </w:r>
      <w:r>
        <w:tab/>
      </w:r>
    </w:p>
    <w:p w14:paraId="2DE6E0B7" w14:textId="77777777" w:rsidR="00E53EB6" w:rsidRDefault="006500F5">
      <w:pPr>
        <w:pStyle w:val="Zitat"/>
        <w:autoSpaceDE w:val="0"/>
        <w:rPr>
          <w:lang w:eastAsia="hi-IN"/>
        </w:rPr>
      </w:pPr>
      <w:r>
        <w:rPr>
          <w:lang w:eastAsia="hi-IN"/>
        </w:rPr>
        <w:t xml:space="preserve">28.2 </w:t>
      </w:r>
      <w:r>
        <w:rPr>
          <w:i/>
          <w:iCs/>
          <w:lang w:eastAsia="hi-IN"/>
        </w:rPr>
        <w:t>agnís tigména śocí</w:t>
      </w:r>
      <w:r>
        <w:rPr>
          <w:i/>
          <w:iCs/>
          <w:lang w:eastAsia="hi-IN"/>
        </w:rPr>
        <w:t>ṣ</w:t>
      </w:r>
      <w:r>
        <w:rPr>
          <w:i/>
          <w:iCs/>
          <w:lang w:eastAsia="hi-IN"/>
        </w:rPr>
        <w:t>ā yā́sad víśva</w:t>
      </w:r>
      <w:r>
        <w:rPr>
          <w:i/>
          <w:iCs/>
          <w:lang w:eastAsia="hi-IN"/>
        </w:rPr>
        <w:t>ṃ</w:t>
      </w:r>
      <w:r>
        <w:rPr>
          <w:i/>
          <w:iCs/>
          <w:lang w:eastAsia="hi-IN"/>
        </w:rPr>
        <w:t xml:space="preserve"> ny àtrí</w:t>
      </w:r>
      <w:r>
        <w:rPr>
          <w:i/>
          <w:iCs/>
          <w:lang w:eastAsia="hi-IN"/>
        </w:rPr>
        <w:t>ṇ</w:t>
      </w:r>
      <w:r>
        <w:rPr>
          <w:i/>
          <w:iCs/>
          <w:lang w:eastAsia="hi-IN"/>
        </w:rPr>
        <w:t>am / agnír no vanate rayím//</w:t>
      </w:r>
    </w:p>
    <w:p w14:paraId="0D4797F0" w14:textId="77777777" w:rsidR="00E53EB6" w:rsidRDefault="006500F5">
      <w:pPr>
        <w:pStyle w:val="Zitat"/>
        <w:autoSpaceDE w:val="0"/>
        <w:rPr>
          <w:lang w:eastAsia="hi-IN"/>
        </w:rPr>
      </w:pPr>
      <w:r>
        <w:rPr>
          <w:lang w:eastAsia="hi-IN"/>
        </w:rPr>
        <w:t>Agni with the sharpened flame may pass over</w:t>
      </w:r>
      <w:r>
        <w:rPr>
          <w:rStyle w:val="FootnoteAnchor"/>
          <w:lang w:eastAsia="hi-IN"/>
        </w:rPr>
        <w:footnoteReference w:id="179"/>
      </w:r>
      <w:r>
        <w:rPr>
          <w:lang w:eastAsia="hi-IN"/>
        </w:rPr>
        <w:t xml:space="preserve"> all evil, may Agni </w:t>
      </w:r>
      <w:r>
        <w:rPr>
          <w:u w:val="single"/>
          <w:lang w:eastAsia="hi-IN"/>
        </w:rPr>
        <w:t>appropriate</w:t>
      </w:r>
      <w:r>
        <w:rPr>
          <w:lang w:eastAsia="hi-IN"/>
        </w:rPr>
        <w:t xml:space="preserve"> the richness for us.</w:t>
      </w:r>
    </w:p>
    <w:p w14:paraId="0E9C824B" w14:textId="77777777" w:rsidR="00E53EB6" w:rsidRPr="00B80C6B" w:rsidRDefault="006500F5">
      <w:pPr>
        <w:pStyle w:val="Zitat"/>
        <w:autoSpaceDE w:val="0"/>
        <w:rPr>
          <w:lang w:val="de-DE" w:eastAsia="hi-IN"/>
        </w:rPr>
      </w:pPr>
      <w:r>
        <w:rPr>
          <w:i/>
          <w:iCs/>
          <w:lang w:eastAsia="hi-IN"/>
        </w:rPr>
        <w:t xml:space="preserve">vanate: </w:t>
      </w:r>
      <w:r>
        <w:rPr>
          <w:lang w:eastAsia="hi-IN"/>
        </w:rPr>
        <w:t>subj. root aor. 3</w:t>
      </w:r>
      <w:r>
        <w:rPr>
          <w:vertAlign w:val="superscript"/>
          <w:lang w:eastAsia="hi-IN"/>
        </w:rPr>
        <w:t>rd</w:t>
      </w:r>
      <w:r>
        <w:rPr>
          <w:lang w:eastAsia="hi-IN"/>
        </w:rPr>
        <w:t xml:space="preserve"> sing. </w:t>
      </w:r>
      <w:r w:rsidRPr="00B80C6B">
        <w:rPr>
          <w:lang w:val="de-DE" w:eastAsia="hi-IN"/>
        </w:rPr>
        <w:t xml:space="preserve">Ā </w:t>
      </w:r>
    </w:p>
    <w:p w14:paraId="253F4240" w14:textId="77777777" w:rsidR="00E53EB6" w:rsidRPr="00B80C6B" w:rsidRDefault="006500F5">
      <w:pPr>
        <w:pStyle w:val="ZitatmitEinzug"/>
        <w:rPr>
          <w:rFonts w:eastAsia="Arial" w:cs="Times Ext Roman"/>
          <w:szCs w:val="18"/>
          <w:lang w:val="de-DE" w:eastAsia="hi-IN" w:bidi="en-GB"/>
        </w:rPr>
      </w:pPr>
      <w:r w:rsidRPr="00B80C6B">
        <w:rPr>
          <w:rStyle w:val="biblio-authorGEN"/>
          <w:rFonts w:eastAsia="Arial" w:cs="Times Ext Roman"/>
          <w:sz w:val="18"/>
          <w:szCs w:val="15"/>
          <w:lang w:val="de-DE" w:eastAsia="hi-IN" w:bidi="en-GB"/>
        </w:rPr>
        <w:t>Geldner</w:t>
      </w:r>
      <w:r w:rsidRPr="00B80C6B">
        <w:rPr>
          <w:rFonts w:eastAsia="Arial" w:cs="Times Ext Roman"/>
          <w:szCs w:val="18"/>
          <w:lang w:val="de-DE" w:eastAsia="hi-IN" w:bidi="en-GB"/>
        </w:rPr>
        <w:t>: II 111 “soll gewinnen”</w:t>
      </w:r>
    </w:p>
    <w:p w14:paraId="06DD6446" w14:textId="77777777" w:rsidR="00E53EB6" w:rsidRPr="00B80C6B" w:rsidRDefault="006500F5">
      <w:pPr>
        <w:pStyle w:val="ZitatmitEinzug"/>
        <w:rPr>
          <w:rFonts w:eastAsia="Arial" w:cs="Times Ext Roman"/>
          <w:szCs w:val="18"/>
          <w:lang w:val="de-DE" w:eastAsia="hi-IN" w:bidi="en-GB"/>
        </w:rPr>
      </w:pPr>
      <w:r w:rsidRPr="00B80C6B">
        <w:rPr>
          <w:rStyle w:val="biblio-authorGEN"/>
          <w:rFonts w:eastAsia="Arial" w:cs="Times Ext Roman"/>
          <w:sz w:val="18"/>
          <w:szCs w:val="15"/>
          <w:lang w:val="de-DE" w:eastAsia="hi-IN" w:bidi="en-GB"/>
        </w:rPr>
        <w:t>Renou</w:t>
      </w:r>
      <w:r w:rsidRPr="00B80C6B">
        <w:rPr>
          <w:rFonts w:eastAsia="Arial" w:cs="Times Ext Roman"/>
          <w:szCs w:val="18"/>
          <w:lang w:val="de-DE" w:eastAsia="hi-IN" w:bidi="en-GB"/>
        </w:rPr>
        <w:t>: XIII 50 “gagne”</w:t>
      </w:r>
    </w:p>
    <w:p w14:paraId="765C8ECB" w14:textId="77777777" w:rsidR="00E53EB6" w:rsidRPr="00B80C6B" w:rsidRDefault="006500F5">
      <w:pPr>
        <w:pStyle w:val="HaupttextnachZitat"/>
        <w:rPr>
          <w:lang w:val="de-DE"/>
        </w:rPr>
      </w:pPr>
      <w:r w:rsidRPr="00B80C6B">
        <w:rPr>
          <w:lang w:val="de-DE"/>
        </w:rPr>
        <w:t>Vedic Web</w:t>
      </w:r>
    </w:p>
    <w:p w14:paraId="57DEF8E2" w14:textId="77777777" w:rsidR="00E53EB6" w:rsidRPr="00B80C6B" w:rsidRDefault="006500F5">
      <w:pPr>
        <w:pStyle w:val="HaupttextohneEinzug"/>
        <w:rPr>
          <w:rFonts w:eastAsia="Arial" w:cs="Times Ext Roman"/>
          <w:lang w:val="de-DE" w:eastAsia="hi-IN" w:bidi="en-GB"/>
        </w:rPr>
      </w:pPr>
      <w:r w:rsidRPr="00B80C6B">
        <w:rPr>
          <w:rFonts w:eastAsia="Arial" w:cs="Times Ext Roman"/>
          <w:lang w:val="de-DE" w:eastAsia="hi-IN" w:bidi="en-GB"/>
        </w:rPr>
        <w:t xml:space="preserve">Mantra: R̥V 6.16.28; VS 17.16; MS 2.10.2: 132,16-17; TS 4.6.1.5r; KS 18.1: 265,1-2 (TS; KS </w:t>
      </w:r>
      <w:r w:rsidRPr="00B80C6B">
        <w:rPr>
          <w:rFonts w:eastAsia="Arial" w:cs="Times Ext Roman"/>
          <w:i/>
          <w:iCs/>
          <w:szCs w:val="18"/>
          <w:lang w:val="de-DE" w:eastAsia="hi-IN" w:bidi="en-GB"/>
        </w:rPr>
        <w:t>va</w:t>
      </w:r>
      <w:r w:rsidRPr="00B80C6B">
        <w:rPr>
          <w:rFonts w:eastAsia="Arial" w:cs="Times Ext Roman"/>
          <w:i/>
          <w:iCs/>
          <w:szCs w:val="18"/>
          <w:lang w:val="de-DE" w:eastAsia="hi-IN" w:bidi="en-GB"/>
        </w:rPr>
        <w:t>ṁ</w:t>
      </w:r>
      <w:r w:rsidRPr="00B80C6B">
        <w:rPr>
          <w:rFonts w:eastAsia="Arial" w:cs="Times Ext Roman"/>
          <w:i/>
          <w:iCs/>
          <w:szCs w:val="18"/>
          <w:lang w:val="de-DE" w:eastAsia="hi-IN" w:bidi="en-GB"/>
        </w:rPr>
        <w:t xml:space="preserve">sate </w:t>
      </w:r>
      <w:r w:rsidRPr="00B80C6B">
        <w:rPr>
          <w:rFonts w:eastAsia="Arial" w:cs="Times Ext Roman"/>
          <w:szCs w:val="18"/>
          <w:lang w:val="de-DE" w:eastAsia="hi-IN" w:bidi="en-GB"/>
        </w:rPr>
        <w:t xml:space="preserve">and </w:t>
      </w:r>
      <w:r w:rsidRPr="00B80C6B">
        <w:rPr>
          <w:rFonts w:eastAsia="Arial" w:cs="Times Ext Roman"/>
          <w:i/>
          <w:iCs/>
          <w:szCs w:val="18"/>
          <w:lang w:val="de-DE" w:eastAsia="hi-IN" w:bidi="en-GB"/>
        </w:rPr>
        <w:t>ya</w:t>
      </w:r>
      <w:r w:rsidRPr="00B80C6B">
        <w:rPr>
          <w:rFonts w:eastAsia="Arial" w:cs="Times Ext Roman"/>
          <w:i/>
          <w:iCs/>
          <w:szCs w:val="18"/>
          <w:lang w:val="de-DE" w:eastAsia="hi-IN" w:bidi="en-GB"/>
        </w:rPr>
        <w:t>ṃ</w:t>
      </w:r>
      <w:r w:rsidRPr="00B80C6B">
        <w:rPr>
          <w:rFonts w:eastAsia="Arial" w:cs="Times Ext Roman"/>
          <w:i/>
          <w:iCs/>
          <w:szCs w:val="18"/>
          <w:lang w:val="de-DE" w:eastAsia="hi-IN" w:bidi="en-GB"/>
        </w:rPr>
        <w:t>sad</w:t>
      </w:r>
      <w:r w:rsidRPr="00B80C6B">
        <w:rPr>
          <w:rFonts w:eastAsia="Arial" w:cs="Times Ext Roman"/>
          <w:szCs w:val="18"/>
          <w:lang w:val="de-DE" w:eastAsia="hi-IN" w:bidi="en-GB"/>
        </w:rPr>
        <w:t>).</w:t>
      </w:r>
    </w:p>
    <w:p w14:paraId="1FFEC8C0" w14:textId="77777777" w:rsidR="00E53EB6" w:rsidRDefault="006500F5">
      <w:pPr>
        <w:pStyle w:val="HaupttextohneEinzug"/>
        <w:rPr>
          <w:rFonts w:eastAsia="Arial" w:cs="Times Ext Roman"/>
          <w:lang w:eastAsia="hi-IN" w:bidi="en-GB"/>
        </w:rPr>
      </w:pPr>
      <w:r>
        <w:rPr>
          <w:rFonts w:eastAsia="Arial" w:cs="Times Ext Roman"/>
          <w:lang w:eastAsia="hi-IN" w:bidi="en-GB"/>
        </w:rPr>
        <w:t>Prose</w:t>
      </w:r>
      <w:r>
        <w:rPr>
          <w:rFonts w:eastAsia="Arial" w:cs="Times Ext Roman"/>
          <w:lang w:eastAsia="hi-IN" w:bidi="en-GB"/>
        </w:rPr>
        <w:t xml:space="preserve">: </w:t>
      </w:r>
      <w:r>
        <w:rPr>
          <w:rFonts w:eastAsia="Arial" w:cs="Times Ext Roman"/>
          <w:lang w:eastAsia="hi-IN" w:bidi="en-GB"/>
        </w:rPr>
        <w:t>TS 5.4.4.1-5.3.</w:t>
      </w:r>
    </w:p>
    <w:p w14:paraId="0C682EA4" w14:textId="77777777" w:rsidR="00E53EB6" w:rsidRDefault="00E53EB6">
      <w:pPr>
        <w:pStyle w:val="HaupttextohneEinzug"/>
        <w:rPr>
          <w:rFonts w:eastAsia="Arial" w:cs="Times Ext Roman"/>
          <w:lang w:eastAsia="hi-IN" w:bidi="en-GB"/>
        </w:rPr>
      </w:pPr>
    </w:p>
    <w:p w14:paraId="13D20899" w14:textId="77777777" w:rsidR="00E53EB6" w:rsidRDefault="006500F5">
      <w:pPr>
        <w:pStyle w:val="HaupttextohneEinzug"/>
        <w:rPr>
          <w:rFonts w:eastAsia="Arial" w:cs="Times Ext Roman"/>
          <w:lang w:eastAsia="hi-IN" w:bidi="en-GB"/>
        </w:rPr>
      </w:pPr>
      <w:r>
        <w:rPr>
          <w:rFonts w:eastAsia="Arial" w:cs="Times Ext Roman"/>
          <w:lang w:eastAsia="hi-IN" w:bidi="en-GB"/>
        </w:rPr>
        <w:t>Rite</w:t>
      </w:r>
    </w:p>
    <w:p w14:paraId="7BA07FD7" w14:textId="77777777" w:rsidR="00E53EB6" w:rsidRDefault="006500F5">
      <w:pPr>
        <w:pStyle w:val="HaupttextohneEinzug"/>
        <w:rPr>
          <w:rFonts w:eastAsia="Arial" w:cs="Times Ext Roman"/>
          <w:szCs w:val="21"/>
          <w:lang w:eastAsia="hi-IN" w:bidi="en-GB"/>
        </w:rPr>
      </w:pPr>
      <w:r>
        <w:rPr>
          <w:rFonts w:eastAsia="MS Mincho;ＭＳ 明朝" w:cs="Times Ext Roman"/>
          <w:szCs w:val="21"/>
          <w:lang w:eastAsia="hi-IN" w:bidi="en-GB"/>
        </w:rPr>
        <w:t xml:space="preserve">Agnicayana. Preparation of the fire, </w:t>
      </w:r>
      <w:r>
        <w:rPr>
          <w:rFonts w:eastAsia="MS Mincho;ＭＳ 明朝" w:cs="Times Ext Roman"/>
          <w:i/>
          <w:iCs/>
          <w:szCs w:val="21"/>
          <w:lang w:eastAsia="hi-IN" w:bidi="en-GB"/>
        </w:rPr>
        <w:t>mantra</w:t>
      </w:r>
      <w:r>
        <w:rPr>
          <w:rFonts w:eastAsia="MS Mincho;ＭＳ 明朝" w:cs="Times Ext Roman"/>
          <w:szCs w:val="21"/>
          <w:lang w:eastAsia="hi-IN" w:bidi="en-GB"/>
        </w:rPr>
        <w:t xml:space="preserve">s for the moistening of the fire and dragging of a frog, a reed and </w:t>
      </w:r>
      <w:r>
        <w:rPr>
          <w:rFonts w:eastAsia="MS Mincho;ＭＳ 明朝" w:cs="Times Ext Roman"/>
          <w:i/>
          <w:iCs/>
          <w:szCs w:val="21"/>
          <w:lang w:eastAsia="hi-IN" w:bidi="en-GB"/>
        </w:rPr>
        <w:t xml:space="preserve">avakā </w:t>
      </w:r>
      <w:r>
        <w:rPr>
          <w:rFonts w:eastAsia="MS Mincho;ＭＳ 明朝" w:cs="Times Ext Roman"/>
          <w:szCs w:val="21"/>
          <w:lang w:eastAsia="hi-IN" w:bidi="en-GB"/>
        </w:rPr>
        <w:t>(herbal plant) over the fire (Pari</w:t>
      </w:r>
      <w:r>
        <w:rPr>
          <w:rFonts w:eastAsia="MS Mincho;ＭＳ 明朝" w:cs="Times Ext Roman"/>
          <w:szCs w:val="21"/>
          <w:lang w:eastAsia="hi-IN" w:bidi="en-GB"/>
        </w:rPr>
        <w:t>ṣ</w:t>
      </w:r>
      <w:r>
        <w:rPr>
          <w:rFonts w:eastAsia="MS Mincho;ＭＳ 明朝" w:cs="Times Ext Roman"/>
          <w:szCs w:val="21"/>
          <w:lang w:eastAsia="hi-IN" w:bidi="en-GB"/>
        </w:rPr>
        <w:t>ecana “sprinkling” and Vikar</w:t>
      </w:r>
      <w:r>
        <w:rPr>
          <w:rFonts w:eastAsia="MS Mincho;ＭＳ 明朝" w:cs="Times Ext Roman"/>
          <w:szCs w:val="21"/>
          <w:lang w:eastAsia="hi-IN" w:bidi="en-GB"/>
        </w:rPr>
        <w:t>ṣ</w:t>
      </w:r>
      <w:r>
        <w:rPr>
          <w:rFonts w:eastAsia="MS Mincho;ＭＳ 明朝" w:cs="Times Ext Roman"/>
          <w:szCs w:val="21"/>
          <w:lang w:eastAsia="hi-IN" w:bidi="en-GB"/>
        </w:rPr>
        <w:t>a</w:t>
      </w:r>
      <w:r>
        <w:rPr>
          <w:rFonts w:eastAsia="MS Mincho;ＭＳ 明朝" w:cs="Times Ext Roman"/>
          <w:szCs w:val="21"/>
          <w:lang w:eastAsia="hi-IN" w:bidi="en-GB"/>
        </w:rPr>
        <w:t>ṇ</w:t>
      </w:r>
      <w:r>
        <w:rPr>
          <w:rFonts w:eastAsia="MS Mincho;ＭＳ 明朝" w:cs="Times Ext Roman"/>
          <w:szCs w:val="21"/>
          <w:lang w:eastAsia="hi-IN" w:bidi="en-GB"/>
        </w:rPr>
        <w:t xml:space="preserve">a “dragging asunder” of the fire). This stanza is namely to accompany an </w:t>
      </w:r>
      <w:r>
        <w:rPr>
          <w:rFonts w:eastAsia="MS Mincho;ＭＳ 明朝" w:cs="Times Ext Roman"/>
          <w:szCs w:val="21"/>
          <w:lang w:eastAsia="hi-IN" w:bidi="en-GB"/>
        </w:rPr>
        <w:t>oblation to Agni.</w:t>
      </w:r>
    </w:p>
    <w:p w14:paraId="57554607" w14:textId="77777777" w:rsidR="00E53EB6" w:rsidRDefault="00E53EB6">
      <w:pPr>
        <w:pStyle w:val="HaupttextohneEinzug"/>
        <w:rPr>
          <w:rFonts w:eastAsia="MS Mincho;ＭＳ 明朝" w:cs="Times Ext Roman"/>
          <w:szCs w:val="21"/>
          <w:lang w:eastAsia="hi-IN" w:bidi="en-GB"/>
        </w:rPr>
      </w:pPr>
    </w:p>
    <w:p w14:paraId="7D6C5C2C" w14:textId="77777777" w:rsidR="00E53EB6" w:rsidRDefault="00E53EB6">
      <w:pPr>
        <w:pStyle w:val="HaupttextohneEinzug"/>
        <w:rPr>
          <w:rFonts w:eastAsia="MS Mincho;ＭＳ 明朝" w:cs="Times Ext Roman"/>
          <w:szCs w:val="21"/>
          <w:lang w:eastAsia="hi-IN" w:bidi="en-GB"/>
        </w:rPr>
      </w:pPr>
    </w:p>
    <w:p w14:paraId="4118F7D3" w14:textId="77777777" w:rsidR="00E53EB6" w:rsidRDefault="006500F5">
      <w:pPr>
        <w:pStyle w:val="Heading5"/>
        <w:tabs>
          <w:tab w:val="left" w:pos="0"/>
        </w:tabs>
      </w:pPr>
      <w:r>
        <w:t>Vājasaneya occurrences (Mādhya</w:t>
      </w:r>
      <w:r>
        <w:t>ṃ</w:t>
      </w:r>
      <w:r>
        <w:t>dina recension)</w:t>
      </w:r>
    </w:p>
    <w:p w14:paraId="75E82C98" w14:textId="77777777" w:rsidR="00E53EB6" w:rsidRDefault="006500F5">
      <w:pPr>
        <w:pStyle w:val="Heading5"/>
        <w:numPr>
          <w:ilvl w:val="4"/>
          <w:numId w:val="2"/>
        </w:numPr>
        <w:tabs>
          <w:tab w:val="left" w:pos="0"/>
        </w:tabs>
      </w:pPr>
      <w:r>
        <w:rPr>
          <w:rFonts w:cs="Devanagari MT;Times New Roman"/>
          <w:u w:val="single"/>
        </w:rPr>
        <w:t>VS 7.17</w:t>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rPr>
          <w:i/>
          <w:iCs/>
        </w:rPr>
        <w:t xml:space="preserve"> </w:t>
      </w:r>
      <w:r>
        <w:rPr>
          <w:i/>
          <w:iCs/>
        </w:rPr>
        <w:tab/>
      </w:r>
    </w:p>
    <w:p w14:paraId="6703C657" w14:textId="77777777" w:rsidR="00E53EB6" w:rsidRDefault="006500F5">
      <w:pPr>
        <w:pStyle w:val="Zitat"/>
        <w:rPr>
          <w:i/>
          <w:iCs/>
        </w:rPr>
      </w:pPr>
      <w:r>
        <w:t xml:space="preserve">7.17 </w:t>
      </w:r>
      <w:r>
        <w:rPr>
          <w:i/>
          <w:iCs/>
        </w:rPr>
        <w:t>máno ná yé</w:t>
      </w:r>
      <w:r>
        <w:rPr>
          <w:i/>
          <w:iCs/>
        </w:rPr>
        <w:t>ṣ</w:t>
      </w:r>
      <w:r>
        <w:rPr>
          <w:i/>
          <w:iCs/>
        </w:rPr>
        <w:t>u hávane</w:t>
      </w:r>
      <w:r>
        <w:rPr>
          <w:i/>
          <w:iCs/>
        </w:rPr>
        <w:t>ṣ</w:t>
      </w:r>
      <w:r>
        <w:rPr>
          <w:i/>
          <w:iCs/>
        </w:rPr>
        <w:t>u tigmá</w:t>
      </w:r>
      <w:r>
        <w:rPr>
          <w:i/>
          <w:iCs/>
        </w:rPr>
        <w:t>ṃ</w:t>
      </w:r>
      <w:r>
        <w:rPr>
          <w:i/>
          <w:iCs/>
        </w:rPr>
        <w:t xml:space="preserve"> vípa</w:t>
      </w:r>
      <w:r>
        <w:rPr>
          <w:i/>
          <w:iCs/>
        </w:rPr>
        <w:t>ḥ</w:t>
      </w:r>
      <w:r>
        <w:rPr>
          <w:i/>
          <w:iCs/>
        </w:rPr>
        <w:t xml:space="preserve"> śácyā vanuthó drávantā \ ā́ yá</w:t>
      </w:r>
      <w:r>
        <w:rPr>
          <w:i/>
          <w:iCs/>
        </w:rPr>
        <w:t>ḥ</w:t>
      </w:r>
      <w:r>
        <w:rPr>
          <w:i/>
          <w:iCs/>
        </w:rPr>
        <w:t xml:space="preserve"> śáryābis tuvinr̥m</w:t>
      </w:r>
      <w:r>
        <w:rPr>
          <w:i/>
          <w:iCs/>
        </w:rPr>
        <w:t>ṇ</w:t>
      </w:r>
      <w:r>
        <w:rPr>
          <w:i/>
          <w:iCs/>
        </w:rPr>
        <w:t>ó asyā́śrī</w:t>
      </w:r>
      <w:r>
        <w:rPr>
          <w:i/>
          <w:iCs/>
        </w:rPr>
        <w:t>ṇ</w:t>
      </w:r>
      <w:r>
        <w:rPr>
          <w:i/>
          <w:iCs/>
        </w:rPr>
        <w:t>ītādíśa</w:t>
      </w:r>
      <w:r>
        <w:rPr>
          <w:i/>
          <w:iCs/>
        </w:rPr>
        <w:t>ṃ</w:t>
      </w:r>
      <w:r>
        <w:rPr>
          <w:i/>
          <w:iCs/>
        </w:rPr>
        <w:t xml:space="preserve"> gábhastau</w:t>
      </w:r>
      <w:r>
        <w:rPr>
          <w:rStyle w:val="FootnoteAnchor"/>
          <w:i/>
          <w:iCs/>
        </w:rPr>
        <w:footnoteReference w:id="180"/>
      </w:r>
      <w:r>
        <w:rPr>
          <w:i/>
          <w:iCs/>
        </w:rPr>
        <w:t xml:space="preserve"> \ e</w:t>
      </w:r>
      <w:r>
        <w:rPr>
          <w:i/>
          <w:iCs/>
        </w:rPr>
        <w:t>ṣ</w:t>
      </w:r>
      <w:r>
        <w:rPr>
          <w:i/>
          <w:iCs/>
        </w:rPr>
        <w:t>á te yóni</w:t>
      </w:r>
      <w:r>
        <w:rPr>
          <w:i/>
          <w:iCs/>
        </w:rPr>
        <w:t>ḥ</w:t>
      </w:r>
      <w:r>
        <w:rPr>
          <w:i/>
          <w:iCs/>
        </w:rPr>
        <w:t xml:space="preserve"> prajā́</w:t>
      </w:r>
      <w:r>
        <w:rPr>
          <w:i/>
          <w:iCs/>
        </w:rPr>
        <w:t>ḥ</w:t>
      </w:r>
      <w:r>
        <w:rPr>
          <w:i/>
          <w:iCs/>
        </w:rPr>
        <w:t xml:space="preserve"> pāhi \ ápamr̥</w:t>
      </w:r>
      <w:r>
        <w:rPr>
          <w:i/>
          <w:iCs/>
        </w:rPr>
        <w:t>ṣṭ</w:t>
      </w:r>
      <w:r>
        <w:rPr>
          <w:i/>
          <w:iCs/>
        </w:rPr>
        <w:t>o márka</w:t>
      </w:r>
      <w:r>
        <w:rPr>
          <w:i/>
          <w:iCs/>
        </w:rPr>
        <w:t>ḥ</w:t>
      </w:r>
      <w:r>
        <w:rPr>
          <w:i/>
          <w:iCs/>
        </w:rPr>
        <w:t xml:space="preserve"> \ devā́s tvā manthipā́</w:t>
      </w:r>
      <w:r>
        <w:rPr>
          <w:i/>
          <w:iCs/>
        </w:rPr>
        <w:t>ḥ</w:t>
      </w:r>
      <w:r>
        <w:rPr>
          <w:i/>
          <w:iCs/>
        </w:rPr>
        <w:t xml:space="preserve"> prá</w:t>
      </w:r>
      <w:r>
        <w:rPr>
          <w:i/>
          <w:iCs/>
        </w:rPr>
        <w:t>ṇ</w:t>
      </w:r>
      <w:r>
        <w:rPr>
          <w:i/>
          <w:iCs/>
        </w:rPr>
        <w:t>ayantu \ ánādhr̥</w:t>
      </w:r>
      <w:r>
        <w:rPr>
          <w:i/>
          <w:iCs/>
        </w:rPr>
        <w:t>ṣ</w:t>
      </w:r>
      <w:r>
        <w:rPr>
          <w:i/>
          <w:iCs/>
        </w:rPr>
        <w:t>tāsi \\</w:t>
      </w:r>
    </w:p>
    <w:p w14:paraId="16DCF304" w14:textId="77777777" w:rsidR="00E53EB6" w:rsidRDefault="006500F5">
      <w:pPr>
        <w:pStyle w:val="Zitat"/>
      </w:pPr>
      <w:r>
        <w:t>In the invocations of whom you both</w:t>
      </w:r>
      <w:r>
        <w:rPr>
          <w:rStyle w:val="FootnoteAnchor"/>
        </w:rPr>
        <w:footnoteReference w:id="181"/>
      </w:r>
      <w:r>
        <w:t xml:space="preserve">, swift as mind, rushing to help, </w:t>
      </w:r>
      <w:r>
        <w:rPr>
          <w:u w:val="single"/>
        </w:rPr>
        <w:t>appropriate</w:t>
      </w:r>
      <w:r>
        <w:t xml:space="preserve"> the inspired speech; the one who is very manly with arrows in his hand m</w:t>
      </w:r>
      <w:r>
        <w:t>ay burn the intention of this;</w:t>
      </w:r>
      <w:r>
        <w:rPr>
          <w:rStyle w:val="FootnoteAnchor"/>
        </w:rPr>
        <w:footnoteReference w:id="182"/>
      </w:r>
      <w:r>
        <w:t xml:space="preserve"> this is your womb, protect the creature, Marka has been wiped off; may the gods, drinkers of Manthi, lead you forward, thus you are invincible.</w:t>
      </w:r>
    </w:p>
    <w:p w14:paraId="35639A26" w14:textId="77777777" w:rsidR="00E53EB6" w:rsidRPr="00B80C6B" w:rsidRDefault="006500F5">
      <w:pPr>
        <w:pStyle w:val="Zitat"/>
        <w:rPr>
          <w:i/>
          <w:iCs/>
          <w:lang w:val="de-DE"/>
        </w:rPr>
      </w:pPr>
      <w:r w:rsidRPr="00B80C6B">
        <w:rPr>
          <w:i/>
          <w:iCs/>
          <w:lang w:val="de-DE" w:bidi="en-US"/>
        </w:rPr>
        <w:t>vanuthá</w:t>
      </w:r>
      <w:r w:rsidRPr="00B80C6B">
        <w:rPr>
          <w:i/>
          <w:iCs/>
          <w:lang w:val="de-DE" w:bidi="en-US"/>
        </w:rPr>
        <w:t>ḥ</w:t>
      </w:r>
      <w:r w:rsidRPr="00B80C6B">
        <w:rPr>
          <w:i/>
          <w:iCs/>
          <w:lang w:val="de-DE" w:bidi="en-US"/>
        </w:rPr>
        <w:t>:</w:t>
      </w:r>
      <w:r w:rsidRPr="00B80C6B">
        <w:rPr>
          <w:lang w:val="de-DE" w:bidi="en-US"/>
        </w:rPr>
        <w:t xml:space="preserve"> ind. pres. 2</w:t>
      </w:r>
      <w:r w:rsidRPr="00B80C6B">
        <w:rPr>
          <w:vertAlign w:val="superscript"/>
          <w:lang w:val="de-DE" w:bidi="en-US"/>
        </w:rPr>
        <w:t>nd</w:t>
      </w:r>
      <w:r w:rsidRPr="00B80C6B">
        <w:rPr>
          <w:lang w:val="de-DE" w:bidi="en-US"/>
        </w:rPr>
        <w:t xml:space="preserve"> du. VIII cl.</w:t>
      </w:r>
    </w:p>
    <w:p w14:paraId="491D7866" w14:textId="77777777" w:rsidR="00E53EB6" w:rsidRPr="00B80C6B" w:rsidRDefault="006500F5">
      <w:pPr>
        <w:pStyle w:val="ZitatmitEinzug"/>
        <w:rPr>
          <w:lang w:val="de-DE" w:bidi="en-US"/>
        </w:rPr>
      </w:pPr>
      <w:r w:rsidRPr="00B80C6B">
        <w:rPr>
          <w:rStyle w:val="biblio-authorGEN"/>
          <w:sz w:val="18"/>
          <w:szCs w:val="15"/>
          <w:lang w:val="de-DE" w:bidi="en-US"/>
        </w:rPr>
        <w:t>Geldner</w:t>
      </w:r>
      <w:r w:rsidRPr="00B80C6B">
        <w:rPr>
          <w:lang w:val="de-DE" w:bidi="en-US"/>
        </w:rPr>
        <w:t>: III 227 “gut aufnehmet”</w:t>
      </w:r>
    </w:p>
    <w:p w14:paraId="0AA0BDAB" w14:textId="77777777" w:rsidR="00E53EB6" w:rsidRPr="00B80C6B" w:rsidRDefault="006500F5">
      <w:pPr>
        <w:pStyle w:val="ZitatmitEinzug"/>
        <w:rPr>
          <w:lang w:val="de-DE" w:bidi="en-US"/>
        </w:rPr>
      </w:pPr>
      <w:r w:rsidRPr="00B80C6B">
        <w:rPr>
          <w:lang w:val="de-DE" w:bidi="en-US"/>
        </w:rPr>
        <w:t xml:space="preserve">Pischel </w:t>
      </w:r>
      <w:r w:rsidRPr="00B80C6B">
        <w:rPr>
          <w:lang w:val="de-DE" w:bidi="en-US"/>
        </w:rPr>
        <w:t xml:space="preserve">in </w:t>
      </w:r>
      <w:r w:rsidRPr="00B80C6B">
        <w:rPr>
          <w:rStyle w:val="biblio-authorGEN"/>
          <w:sz w:val="18"/>
          <w:szCs w:val="18"/>
          <w:lang w:val="de-DE" w:bidi="en-US"/>
        </w:rPr>
        <w:t>Pischel-Geldner</w:t>
      </w:r>
      <w:r w:rsidRPr="00B80C6B">
        <w:rPr>
          <w:lang w:val="de-DE" w:bidi="en-US"/>
        </w:rPr>
        <w:t xml:space="preserve"> 1889-1901: I 74 “nahmet ihr”</w:t>
      </w:r>
    </w:p>
    <w:p w14:paraId="53991014" w14:textId="77777777" w:rsidR="00E53EB6" w:rsidRDefault="006500F5">
      <w:pPr>
        <w:pStyle w:val="ZitatmitEinzug"/>
        <w:rPr>
          <w:lang w:bidi="en-US"/>
        </w:rPr>
      </w:pPr>
      <w:r>
        <w:rPr>
          <w:lang w:bidi="en-US"/>
        </w:rPr>
        <w:t xml:space="preserve">Griffith in </w:t>
      </w:r>
      <w:r>
        <w:rPr>
          <w:rStyle w:val="biblio-authorGEN"/>
          <w:sz w:val="18"/>
          <w:szCs w:val="15"/>
          <w:lang w:bidi="en-US"/>
        </w:rPr>
        <w:t>Arya</w:t>
      </w:r>
      <w:r>
        <w:rPr>
          <w:lang w:bidi="en-US"/>
        </w:rPr>
        <w:t xml:space="preserve"> 1999: 81-2 “welcomed eagerly”</w:t>
      </w:r>
    </w:p>
    <w:p w14:paraId="320AA9A1" w14:textId="77777777" w:rsidR="00E53EB6" w:rsidRDefault="006500F5">
      <w:pPr>
        <w:pStyle w:val="HaupttextnachZitat"/>
        <w:numPr>
          <w:ilvl w:val="2"/>
          <w:numId w:val="2"/>
        </w:numPr>
        <w:tabs>
          <w:tab w:val="left" w:pos="0"/>
        </w:tabs>
      </w:pPr>
      <w:r>
        <w:t>Vedic Web:</w:t>
      </w:r>
    </w:p>
    <w:p w14:paraId="5E1A6193" w14:textId="77777777" w:rsidR="00E53EB6" w:rsidRDefault="006500F5">
      <w:pPr>
        <w:pStyle w:val="HaupttextohneEinzug"/>
      </w:pPr>
      <w:r>
        <w:rPr>
          <w:rFonts w:eastAsia="DevanagariMT"/>
          <w:iCs/>
        </w:rPr>
        <w:t>Mantra: R̥V 10.61.3</w:t>
      </w:r>
      <w:r>
        <w:rPr>
          <w:rFonts w:eastAsia="DevanagariMT"/>
        </w:rPr>
        <w:t>.</w:t>
      </w:r>
    </w:p>
    <w:p w14:paraId="351E274F" w14:textId="77777777" w:rsidR="00E53EB6" w:rsidRDefault="006500F5">
      <w:pPr>
        <w:pStyle w:val="HaupttextohneEinzug"/>
      </w:pPr>
      <w:r>
        <w:t xml:space="preserve">Mantra and Prose: </w:t>
      </w:r>
      <w:r>
        <w:rPr>
          <w:rFonts w:eastAsia="DevanagariMT"/>
          <w:iCs/>
        </w:rPr>
        <w:t>ŚB 4.2.1.12</w:t>
      </w:r>
      <w:r>
        <w:t>.</w:t>
      </w:r>
    </w:p>
    <w:p w14:paraId="60D6D28C" w14:textId="77777777" w:rsidR="00E53EB6" w:rsidRDefault="00E53EB6">
      <w:pPr>
        <w:pStyle w:val="HaupttextohneEinzug"/>
        <w:autoSpaceDE w:val="0"/>
        <w:rPr>
          <w:rFonts w:eastAsia="Arial" w:cs="Devanagari MT;Times New Roman"/>
          <w:szCs w:val="21"/>
          <w:lang w:eastAsia="hi-IN" w:bidi="en-GB"/>
        </w:rPr>
      </w:pPr>
    </w:p>
    <w:p w14:paraId="2C581E53" w14:textId="77777777" w:rsidR="00E53EB6" w:rsidRDefault="006500F5">
      <w:pPr>
        <w:pStyle w:val="HaupttextohneEinzug"/>
      </w:pPr>
      <w:r>
        <w:t>Rite</w:t>
      </w:r>
    </w:p>
    <w:p w14:paraId="4B902B58" w14:textId="77777777" w:rsidR="00E53EB6" w:rsidRDefault="006500F5">
      <w:pPr>
        <w:pStyle w:val="HaupttextohneEinzug"/>
      </w:pPr>
      <w:r>
        <w:rPr>
          <w:szCs w:val="18"/>
        </w:rPr>
        <w:t>Agni</w:t>
      </w:r>
      <w:r>
        <w:rPr>
          <w:szCs w:val="18"/>
        </w:rPr>
        <w:t>ṣṭ</w:t>
      </w:r>
      <w:r>
        <w:rPr>
          <w:szCs w:val="18"/>
        </w:rPr>
        <w:t>oma. During the Great Pressing (Mahābhi</w:t>
      </w:r>
      <w:r>
        <w:rPr>
          <w:szCs w:val="18"/>
        </w:rPr>
        <w:t>ṣ</w:t>
      </w:r>
      <w:r>
        <w:rPr>
          <w:szCs w:val="18"/>
        </w:rPr>
        <w:t>ava), two cups, Śukra -representing the sun- and Manthi -representing the moon-, are drawn for two Asura-Rak</w:t>
      </w:r>
      <w:r>
        <w:rPr>
          <w:szCs w:val="18"/>
        </w:rPr>
        <w:t>ṣ</w:t>
      </w:r>
      <w:r>
        <w:rPr>
          <w:szCs w:val="18"/>
        </w:rPr>
        <w:t>as, Sa</w:t>
      </w:r>
      <w:r>
        <w:rPr>
          <w:szCs w:val="18"/>
        </w:rPr>
        <w:t>ṇḍ</w:t>
      </w:r>
      <w:r>
        <w:rPr>
          <w:szCs w:val="18"/>
        </w:rPr>
        <w:t xml:space="preserve">a and Marka, </w:t>
      </w:r>
      <w:r>
        <w:t>but then offered to gods for the libation (cf. ŚB 4.2.1-1-7)</w:t>
      </w:r>
      <w:r>
        <w:rPr>
          <w:szCs w:val="18"/>
        </w:rPr>
        <w:t>. The Manthi cup, dr</w:t>
      </w:r>
      <w:r>
        <w:rPr>
          <w:szCs w:val="18"/>
        </w:rPr>
        <w:t>awn for Marka, is mixed with barley meal and with these verses.</w:t>
      </w:r>
    </w:p>
    <w:p w14:paraId="74DBBCF6" w14:textId="77777777" w:rsidR="00E53EB6" w:rsidRDefault="00E53EB6">
      <w:pPr>
        <w:pStyle w:val="HaupttextohneEinzug"/>
        <w:autoSpaceDE w:val="0"/>
        <w:rPr>
          <w:rFonts w:eastAsia="MS Mincho;ＭＳ 明朝" w:cs="Devanagari MT;Times New Roman"/>
          <w:sz w:val="22"/>
          <w:szCs w:val="22"/>
          <w:lang w:eastAsia="hi-IN" w:bidi="en-GB"/>
        </w:rPr>
      </w:pPr>
    </w:p>
    <w:p w14:paraId="2CED1C15" w14:textId="77777777" w:rsidR="00E53EB6" w:rsidRDefault="006500F5">
      <w:pPr>
        <w:pStyle w:val="Heading5"/>
        <w:tabs>
          <w:tab w:val="left" w:pos="0"/>
        </w:tabs>
      </w:pPr>
      <w:r>
        <w:rPr>
          <w:u w:val="single"/>
        </w:rPr>
        <w:t>VS 15. 39-40</w:t>
      </w:r>
      <w:r>
        <w:rPr>
          <w:u w:val="single"/>
        </w:rPr>
        <w:tab/>
      </w:r>
      <w:r>
        <w:tab/>
      </w:r>
      <w:r>
        <w:tab/>
      </w:r>
      <w:r>
        <w:tab/>
      </w:r>
      <w:r>
        <w:tab/>
      </w:r>
      <w:r>
        <w:tab/>
      </w:r>
      <w:r>
        <w:tab/>
      </w:r>
      <w:r>
        <w:tab/>
      </w:r>
      <w:r>
        <w:tab/>
      </w:r>
    </w:p>
    <w:p w14:paraId="1F5B2F11" w14:textId="77777777" w:rsidR="00E53EB6" w:rsidRDefault="006500F5">
      <w:pPr>
        <w:pStyle w:val="Zitat"/>
      </w:pPr>
      <w:r>
        <w:rPr>
          <w:rFonts w:eastAsia="MS Mincho;ＭＳ 明朝"/>
          <w:lang w:eastAsia="hi-IN"/>
        </w:rPr>
        <w:t xml:space="preserve">15.39 </w:t>
      </w:r>
      <w:r>
        <w:rPr>
          <w:rFonts w:eastAsia="MS Mincho;ＭＳ 明朝"/>
          <w:i/>
          <w:iCs/>
          <w:lang w:eastAsia="hi-IN"/>
        </w:rPr>
        <w:t>bhadrā́ utá práśastayo bhadrá</w:t>
      </w:r>
      <w:r>
        <w:rPr>
          <w:rFonts w:eastAsia="MS Mincho;ＭＳ 明朝"/>
          <w:i/>
          <w:iCs/>
          <w:lang w:eastAsia="hi-IN"/>
        </w:rPr>
        <w:t>ṃ</w:t>
      </w:r>
      <w:r>
        <w:rPr>
          <w:rFonts w:eastAsia="MS Mincho;ＭＳ 明朝"/>
          <w:i/>
          <w:iCs/>
          <w:lang w:eastAsia="hi-IN"/>
        </w:rPr>
        <w:t xml:space="preserve"> mána</w:t>
      </w:r>
      <w:r>
        <w:rPr>
          <w:rFonts w:eastAsia="MS Mincho;ＭＳ 明朝"/>
          <w:i/>
          <w:iCs/>
          <w:lang w:eastAsia="hi-IN"/>
        </w:rPr>
        <w:t>ḥ</w:t>
      </w:r>
      <w:r>
        <w:rPr>
          <w:rFonts w:eastAsia="MS Mincho;ＭＳ 明朝"/>
          <w:i/>
          <w:iCs/>
          <w:lang w:eastAsia="hi-IN"/>
        </w:rPr>
        <w:t xml:space="preserve"> kr̥</w:t>
      </w:r>
      <w:r>
        <w:rPr>
          <w:rFonts w:eastAsia="MS Mincho;ＭＳ 明朝"/>
          <w:i/>
          <w:iCs/>
          <w:lang w:eastAsia="hi-IN"/>
        </w:rPr>
        <w:t>ṇ</w:t>
      </w:r>
      <w:r>
        <w:rPr>
          <w:rFonts w:eastAsia="MS Mincho;ＭＳ 明朝"/>
          <w:i/>
          <w:iCs/>
          <w:lang w:eastAsia="hi-IN"/>
        </w:rPr>
        <w:t>u</w:t>
      </w:r>
      <w:r>
        <w:rPr>
          <w:rFonts w:eastAsia="MS Mincho;ＭＳ 明朝"/>
          <w:i/>
          <w:iCs/>
          <w:lang w:eastAsia="hi-IN"/>
        </w:rPr>
        <w:t>ṣ</w:t>
      </w:r>
      <w:r>
        <w:rPr>
          <w:rFonts w:eastAsia="MS Mincho;ＭＳ 明朝"/>
          <w:i/>
          <w:iCs/>
          <w:lang w:eastAsia="hi-IN"/>
        </w:rPr>
        <w:t>va  vr̥tratū́rye \ yénā samátsu sāsáha</w:t>
      </w:r>
      <w:r>
        <w:rPr>
          <w:rFonts w:eastAsia="MS Mincho;ＭＳ 明朝"/>
          <w:i/>
          <w:iCs/>
          <w:lang w:eastAsia="hi-IN"/>
        </w:rPr>
        <w:t>ḥ</w:t>
      </w:r>
      <w:r>
        <w:rPr>
          <w:rFonts w:eastAsia="MS Mincho;ＭＳ 明朝"/>
          <w:i/>
          <w:iCs/>
          <w:lang w:eastAsia="hi-IN"/>
        </w:rPr>
        <w:t xml:space="preserve"> \\</w:t>
      </w:r>
    </w:p>
    <w:p w14:paraId="08296610" w14:textId="77777777" w:rsidR="00E53EB6" w:rsidRDefault="006500F5">
      <w:pPr>
        <w:pStyle w:val="ZitatnachZitat"/>
      </w:pPr>
      <w:r>
        <w:rPr>
          <w:rFonts w:eastAsia="MS Mincho;ＭＳ 明朝" w:cs="Times Ext Roman"/>
          <w:szCs w:val="18"/>
          <w:lang w:eastAsia="hi-IN" w:bidi="en-GB"/>
        </w:rPr>
        <w:t xml:space="preserve">15.40 </w:t>
      </w:r>
      <w:r>
        <w:rPr>
          <w:rFonts w:eastAsia="MS Mincho;ＭＳ 明朝" w:cs="Times Ext Roman"/>
          <w:i/>
          <w:iCs/>
          <w:szCs w:val="18"/>
          <w:lang w:eastAsia="hi-IN" w:bidi="en-GB"/>
        </w:rPr>
        <w:t xml:space="preserve">yénā samátsu sāsáhó ‘va sthirā́ tanuhi bhū́ri śárdhatām \ vanémā te </w:t>
      </w:r>
      <w:r>
        <w:rPr>
          <w:rFonts w:eastAsia="MS Mincho;ＭＳ 明朝" w:cs="Times Ext Roman"/>
          <w:i/>
          <w:iCs/>
          <w:szCs w:val="18"/>
          <w:lang w:eastAsia="hi-IN" w:bidi="en-GB"/>
        </w:rPr>
        <w:t>abhí</w:t>
      </w:r>
      <w:r>
        <w:rPr>
          <w:rFonts w:eastAsia="MS Mincho;ＭＳ 明朝" w:cs="Times Ext Roman"/>
          <w:i/>
          <w:iCs/>
          <w:szCs w:val="18"/>
          <w:lang w:eastAsia="hi-IN" w:bidi="en-GB"/>
        </w:rPr>
        <w:t>ṣṭ</w:t>
      </w:r>
      <w:r>
        <w:rPr>
          <w:rFonts w:eastAsia="MS Mincho;ＭＳ 明朝" w:cs="Times Ext Roman"/>
          <w:i/>
          <w:iCs/>
          <w:szCs w:val="18"/>
          <w:lang w:eastAsia="hi-IN" w:bidi="en-GB"/>
        </w:rPr>
        <w:t>ibhi</w:t>
      </w:r>
      <w:r>
        <w:rPr>
          <w:rFonts w:eastAsia="MS Mincho;ＭＳ 明朝" w:cs="Times Ext Roman"/>
          <w:i/>
          <w:iCs/>
          <w:szCs w:val="18"/>
          <w:lang w:eastAsia="hi-IN" w:bidi="en-GB"/>
        </w:rPr>
        <w:t>ḥ</w:t>
      </w:r>
      <w:r>
        <w:rPr>
          <w:rStyle w:val="FootnoteAnchor"/>
          <w:rFonts w:eastAsia="MS Mincho;ＭＳ 明朝" w:cs="Times Ext Roman"/>
          <w:i/>
          <w:iCs/>
          <w:szCs w:val="18"/>
          <w:lang w:eastAsia="hi-IN" w:bidi="en-GB"/>
        </w:rPr>
        <w:footnoteReference w:id="183"/>
      </w:r>
      <w:r>
        <w:rPr>
          <w:rFonts w:eastAsia="MS Mincho;ＭＳ 明朝" w:cs="Times Ext Roman"/>
          <w:i/>
          <w:iCs/>
          <w:szCs w:val="18"/>
          <w:lang w:eastAsia="hi-IN" w:bidi="en-GB"/>
        </w:rPr>
        <w:t xml:space="preserve"> \\</w:t>
      </w:r>
    </w:p>
    <w:p w14:paraId="373D20D8" w14:textId="77777777" w:rsidR="00E53EB6" w:rsidRDefault="006500F5">
      <w:pPr>
        <w:pStyle w:val="Zitat"/>
      </w:pPr>
      <w:r>
        <w:rPr>
          <w:rFonts w:eastAsia="MS Mincho;ＭＳ 明朝"/>
          <w:lang w:eastAsia="hi-IN"/>
        </w:rPr>
        <w:t>And may the prayers be auspicious; turn your auspicious mind</w:t>
      </w:r>
      <w:r>
        <w:rPr>
          <w:rStyle w:val="FootnoteAnchor"/>
          <w:rFonts w:eastAsia="MS Mincho;ＭＳ 明朝"/>
          <w:lang w:eastAsia="hi-IN"/>
        </w:rPr>
        <w:footnoteReference w:id="184"/>
      </w:r>
      <w:r>
        <w:rPr>
          <w:rFonts w:eastAsia="MS Mincho;ＭＳ 明朝"/>
          <w:lang w:eastAsia="hi-IN"/>
        </w:rPr>
        <w:t xml:space="preserve"> to the victory on fiends; with that may you conquer in the battles, slacken the resistances, may we </w:t>
      </w:r>
      <w:r>
        <w:rPr>
          <w:rFonts w:eastAsia="MS Mincho;ＭＳ 明朝"/>
          <w:u w:val="single"/>
          <w:lang w:eastAsia="hi-IN"/>
        </w:rPr>
        <w:t>appropriate</w:t>
      </w:r>
      <w:r>
        <w:rPr>
          <w:rFonts w:eastAsia="MS Mincho;ＭＳ 明朝"/>
          <w:lang w:eastAsia="hi-IN"/>
        </w:rPr>
        <w:t xml:space="preserve"> the many</w:t>
      </w:r>
      <w:r>
        <w:rPr>
          <w:rStyle w:val="FootnoteAnchor"/>
          <w:rFonts w:eastAsia="MS Mincho;ＭＳ 明朝"/>
          <w:lang w:eastAsia="hi-IN"/>
        </w:rPr>
        <w:footnoteReference w:id="185"/>
      </w:r>
      <w:r>
        <w:rPr>
          <w:rFonts w:eastAsia="MS Mincho;ＭＳ 明朝"/>
          <w:lang w:eastAsia="hi-IN"/>
        </w:rPr>
        <w:t xml:space="preserve"> of the bolds with your protection</w:t>
      </w:r>
      <w:r>
        <w:rPr>
          <w:rStyle w:val="FootnoteAnchor"/>
          <w:rFonts w:eastAsia="MS Mincho;ＭＳ 明朝"/>
          <w:lang w:eastAsia="hi-IN"/>
        </w:rPr>
        <w:footnoteReference w:id="186"/>
      </w:r>
      <w:r>
        <w:rPr>
          <w:rFonts w:eastAsia="MS Mincho;ＭＳ 明朝"/>
          <w:lang w:eastAsia="hi-IN"/>
        </w:rPr>
        <w:t>.</w:t>
      </w:r>
    </w:p>
    <w:p w14:paraId="3F21DEAD" w14:textId="77777777" w:rsidR="00E53EB6" w:rsidRPr="00B80C6B" w:rsidRDefault="006500F5">
      <w:pPr>
        <w:pStyle w:val="Zitat"/>
        <w:rPr>
          <w:lang w:val="de-DE"/>
        </w:rPr>
      </w:pPr>
      <w:r>
        <w:rPr>
          <w:rFonts w:eastAsia="MS Mincho;ＭＳ 明朝"/>
          <w:i/>
          <w:iCs/>
          <w:lang w:eastAsia="hi-IN"/>
        </w:rPr>
        <w:t xml:space="preserve">vanémā: </w:t>
      </w:r>
      <w:r>
        <w:rPr>
          <w:rFonts w:eastAsia="MS Mincho;ＭＳ 明朝"/>
          <w:lang w:eastAsia="hi-IN"/>
        </w:rPr>
        <w:t>opt. pre</w:t>
      </w:r>
      <w:r>
        <w:rPr>
          <w:rFonts w:eastAsia="MS Mincho;ＭＳ 明朝"/>
          <w:lang w:eastAsia="hi-IN"/>
        </w:rPr>
        <w:t>s. 1</w:t>
      </w:r>
      <w:r>
        <w:rPr>
          <w:rFonts w:eastAsia="MS Mincho;ＭＳ 明朝"/>
          <w:vertAlign w:val="superscript"/>
          <w:lang w:eastAsia="hi-IN"/>
        </w:rPr>
        <w:t>st</w:t>
      </w:r>
      <w:r>
        <w:rPr>
          <w:rFonts w:eastAsia="MS Mincho;ＭＳ 明朝"/>
          <w:lang w:eastAsia="hi-IN"/>
        </w:rPr>
        <w:t xml:space="preserve"> pl. </w:t>
      </w:r>
      <w:r w:rsidRPr="00B80C6B">
        <w:rPr>
          <w:rFonts w:eastAsia="MS Mincho;ＭＳ 明朝"/>
          <w:lang w:val="de-DE" w:eastAsia="hi-IN"/>
        </w:rPr>
        <w:t>I-VI cl.</w:t>
      </w:r>
    </w:p>
    <w:p w14:paraId="11687562" w14:textId="77777777" w:rsidR="00E53EB6" w:rsidRPr="00B80C6B" w:rsidRDefault="006500F5">
      <w:pPr>
        <w:pStyle w:val="ZitatmitEinzug"/>
        <w:rPr>
          <w:rFonts w:eastAsia="MS Mincho;ＭＳ 明朝" w:cs="Times Ext Roman"/>
          <w:szCs w:val="18"/>
          <w:lang w:val="de-DE" w:eastAsia="hi-IN" w:bidi="en-GB"/>
        </w:rPr>
      </w:pPr>
      <w:r w:rsidRPr="00B80C6B">
        <w:rPr>
          <w:rStyle w:val="biblio-authorGEN"/>
          <w:rFonts w:eastAsia="MS Mincho;ＭＳ 明朝" w:cs="Times Ext Roman"/>
          <w:sz w:val="18"/>
          <w:szCs w:val="15"/>
          <w:lang w:val="de-DE" w:eastAsia="hi-IN" w:bidi="en-GB"/>
        </w:rPr>
        <w:t>Geldner</w:t>
      </w:r>
      <w:r w:rsidRPr="00B80C6B">
        <w:rPr>
          <w:rStyle w:val="biblio-authorGEN"/>
          <w:rFonts w:eastAsia="MS Mincho;ＭＳ 明朝" w:cs="Times Ext Roman"/>
          <w:szCs w:val="18"/>
          <w:lang w:val="de-DE" w:eastAsia="hi-IN" w:bidi="en-GB"/>
        </w:rPr>
        <w:t>:</w:t>
      </w:r>
      <w:r w:rsidRPr="00B80C6B">
        <w:rPr>
          <w:rFonts w:eastAsia="MS Mincho;ＭＳ 明朝" w:cs="Times Ext Roman"/>
          <w:szCs w:val="18"/>
          <w:lang w:val="de-DE" w:eastAsia="hi-IN" w:bidi="en-GB"/>
        </w:rPr>
        <w:t xml:space="preserve"> II 321 “möchten gewinnen”</w:t>
      </w:r>
    </w:p>
    <w:p w14:paraId="6F6BDE9B" w14:textId="77777777" w:rsidR="00E53EB6" w:rsidRDefault="006500F5">
      <w:pPr>
        <w:pStyle w:val="ZitatmitEinzug"/>
        <w:rPr>
          <w:rFonts w:eastAsia="MS Mincho;ＭＳ 明朝" w:cs="Times Ext Roman"/>
          <w:szCs w:val="18"/>
          <w:lang w:eastAsia="hi-IN" w:bidi="en-GB"/>
        </w:rPr>
      </w:pPr>
      <w:r>
        <w:rPr>
          <w:rStyle w:val="biblio-authorGEN"/>
          <w:rFonts w:eastAsia="MS Mincho;ＭＳ 明朝" w:cs="Times Ext Roman"/>
          <w:sz w:val="18"/>
          <w:szCs w:val="15"/>
          <w:lang w:eastAsia="hi-IN" w:bidi="en-GB"/>
        </w:rPr>
        <w:t>Renou</w:t>
      </w:r>
      <w:r>
        <w:rPr>
          <w:rFonts w:eastAsia="MS Mincho;ＭＳ 明朝" w:cs="Times Ext Roman"/>
          <w:szCs w:val="18"/>
          <w:lang w:eastAsia="hi-IN" w:bidi="en-GB"/>
        </w:rPr>
        <w:t>: XIII 66 “gagner”</w:t>
      </w:r>
    </w:p>
    <w:p w14:paraId="1847CE62" w14:textId="77777777" w:rsidR="00E53EB6" w:rsidRDefault="006500F5">
      <w:pPr>
        <w:pStyle w:val="ZitatmitEinzug"/>
      </w:pPr>
      <w:r>
        <w:rPr>
          <w:rFonts w:eastAsia="MS Mincho;ＭＳ 明朝" w:cs="Times Ext Roman"/>
          <w:szCs w:val="18"/>
          <w:lang w:eastAsia="hi-IN" w:bidi="en-US"/>
        </w:rPr>
        <w:t xml:space="preserve">Griffith in </w:t>
      </w:r>
      <w:r>
        <w:rPr>
          <w:rStyle w:val="biblio-authorGEN"/>
          <w:rFonts w:eastAsia="MS Mincho;ＭＳ 明朝" w:cs="Times Ext Roman"/>
          <w:sz w:val="18"/>
          <w:szCs w:val="15"/>
          <w:lang w:eastAsia="hi-IN" w:bidi="en-US"/>
        </w:rPr>
        <w:t>Arya</w:t>
      </w:r>
      <w:r>
        <w:rPr>
          <w:rFonts w:eastAsia="MS Mincho;ＭＳ 明朝" w:cs="Times Ext Roman"/>
          <w:szCs w:val="18"/>
          <w:lang w:eastAsia="hi-IN" w:bidi="en-US"/>
        </w:rPr>
        <w:t xml:space="preserve"> 1999</w:t>
      </w:r>
      <w:r>
        <w:rPr>
          <w:rFonts w:eastAsia="MS Mincho;ＭＳ 明朝" w:cs="Times Ext Roman"/>
          <w:szCs w:val="18"/>
          <w:lang w:eastAsia="hi-IN" w:bidi="en-GB"/>
        </w:rPr>
        <w:t>: 217 “vanquish”</w:t>
      </w:r>
    </w:p>
    <w:p w14:paraId="15C532A3" w14:textId="77777777" w:rsidR="00E53EB6" w:rsidRPr="00B80C6B" w:rsidRDefault="006500F5">
      <w:pPr>
        <w:pStyle w:val="HaupttextnachZitat"/>
        <w:rPr>
          <w:lang w:val="it-IT"/>
        </w:rPr>
      </w:pPr>
      <w:r w:rsidRPr="00B80C6B">
        <w:rPr>
          <w:lang w:val="it-IT"/>
        </w:rPr>
        <w:t>Vedic Web</w:t>
      </w:r>
    </w:p>
    <w:p w14:paraId="4934510F" w14:textId="77777777" w:rsidR="00E53EB6" w:rsidRPr="00B80C6B" w:rsidRDefault="006500F5">
      <w:pPr>
        <w:pStyle w:val="HaupttextohneEinzug"/>
        <w:rPr>
          <w:rFonts w:eastAsia="MS Mincho;ＭＳ 明朝" w:cs="Times Ext Roman"/>
          <w:szCs w:val="18"/>
          <w:lang w:val="it-IT" w:eastAsia="hi-IN" w:bidi="en-GB"/>
        </w:rPr>
      </w:pPr>
      <w:r w:rsidRPr="00B80C6B">
        <w:rPr>
          <w:rFonts w:eastAsia="MS Mincho;ＭＳ 明朝" w:cs="Times Ext Roman"/>
          <w:szCs w:val="18"/>
          <w:lang w:val="it-IT" w:eastAsia="hi-IN" w:bidi="en-GB"/>
        </w:rPr>
        <w:t>Mantra: R̥V 8-19-20; JS 3.56.17.</w:t>
      </w:r>
    </w:p>
    <w:p w14:paraId="77168EFA" w14:textId="77777777" w:rsidR="00E53EB6" w:rsidRPr="00B80C6B" w:rsidRDefault="00E53EB6">
      <w:pPr>
        <w:pStyle w:val="HaupttextohneEinzug"/>
        <w:rPr>
          <w:rFonts w:eastAsia="MS Mincho;ＭＳ 明朝" w:cs="Times Ext Roman"/>
          <w:szCs w:val="18"/>
          <w:lang w:val="it-IT" w:eastAsia="hi-IN" w:bidi="en-GB"/>
        </w:rPr>
      </w:pPr>
    </w:p>
    <w:p w14:paraId="3778078E" w14:textId="77777777" w:rsidR="00E53EB6" w:rsidRDefault="006500F5">
      <w:pPr>
        <w:pStyle w:val="HaupttextohneEinzug"/>
        <w:rPr>
          <w:rFonts w:eastAsia="MS Mincho;ＭＳ 明朝" w:cs="Times Ext Roman"/>
          <w:szCs w:val="18"/>
          <w:lang w:eastAsia="hi-IN" w:bidi="en-GB"/>
        </w:rPr>
      </w:pPr>
      <w:r>
        <w:rPr>
          <w:rFonts w:eastAsia="MS Mincho;ＭＳ 明朝" w:cs="Times Ext Roman"/>
          <w:szCs w:val="18"/>
          <w:lang w:eastAsia="hi-IN" w:bidi="en-GB"/>
        </w:rPr>
        <w:t>Rite</w:t>
      </w:r>
    </w:p>
    <w:p w14:paraId="12C69A72" w14:textId="77777777" w:rsidR="00E53EB6" w:rsidRDefault="006500F5">
      <w:pPr>
        <w:pStyle w:val="HaupttextohneEinzug"/>
        <w:rPr>
          <w:szCs w:val="18"/>
        </w:rPr>
      </w:pPr>
      <w:r>
        <w:rPr>
          <w:rFonts w:eastAsia="MS Mincho;ＭＳ 明朝" w:cs="Times Ext Roman"/>
          <w:szCs w:val="18"/>
          <w:lang w:eastAsia="hi-IN" w:bidi="en-GB"/>
        </w:rPr>
        <w:t xml:space="preserve">Agnicayana. </w:t>
      </w:r>
      <w:r>
        <w:rPr>
          <w:rFonts w:eastAsia="MS Mincho;ＭＳ 明朝" w:cs="Times Ext Roman"/>
          <w:i/>
          <w:iCs/>
          <w:szCs w:val="18"/>
          <w:lang w:eastAsia="hi-IN" w:bidi="en-GB"/>
        </w:rPr>
        <w:t>Mantra</w:t>
      </w:r>
      <w:r>
        <w:rPr>
          <w:rFonts w:eastAsia="MS Mincho;ＭＳ 明朝" w:cs="Times Ext Roman"/>
          <w:szCs w:val="18"/>
          <w:lang w:eastAsia="hi-IN" w:bidi="en-GB"/>
        </w:rPr>
        <w:t xml:space="preserve">s for the laying down of bricks during the building of the </w:t>
      </w:r>
      <w:r>
        <w:rPr>
          <w:rFonts w:eastAsia="MS Mincho;ＭＳ 明朝" w:cs="Times Ext Roman"/>
          <w:i/>
          <w:iCs/>
          <w:szCs w:val="18"/>
          <w:lang w:eastAsia="hi-IN" w:bidi="en-GB"/>
        </w:rPr>
        <w:t>uttaravedī.</w:t>
      </w:r>
      <w:r>
        <w:rPr>
          <w:rFonts w:eastAsia="MS Mincho;ＭＳ 明朝" w:cs="Times Ext Roman"/>
          <w:szCs w:val="18"/>
          <w:lang w:eastAsia="hi-IN" w:bidi="en-GB"/>
        </w:rPr>
        <w:t xml:space="preserve"> </w:t>
      </w:r>
    </w:p>
    <w:p w14:paraId="681FC24E" w14:textId="77777777" w:rsidR="00E53EB6" w:rsidRDefault="00E53EB6">
      <w:pPr>
        <w:pStyle w:val="HaupttextohneEinzug"/>
        <w:rPr>
          <w:rFonts w:eastAsia="MS Mincho;ＭＳ 明朝" w:cs="Times Ext Roman"/>
          <w:szCs w:val="18"/>
          <w:lang w:eastAsia="hi-IN" w:bidi="en-GB"/>
        </w:rPr>
      </w:pPr>
    </w:p>
    <w:p w14:paraId="256E21B3" w14:textId="77777777" w:rsidR="00E53EB6" w:rsidRDefault="006500F5">
      <w:pPr>
        <w:pStyle w:val="Heading5"/>
        <w:tabs>
          <w:tab w:val="left" w:pos="0"/>
        </w:tabs>
      </w:pPr>
      <w:r>
        <w:rPr>
          <w:rFonts w:eastAsia="MS Mincho;ＭＳ 明朝" w:cs="Times Ext Roman"/>
          <w:u w:val="single"/>
          <w:lang w:eastAsia="hi-IN" w:bidi="en-GB"/>
        </w:rPr>
        <w:t>VS 17.16</w:t>
      </w:r>
      <w:r>
        <w:rPr>
          <w:rFonts w:eastAsia="MS Mincho;ＭＳ 明朝" w:cs="Times Ext Roman"/>
          <w:lang w:eastAsia="hi-IN" w:bidi="en-GB"/>
        </w:rPr>
        <w:tab/>
      </w:r>
      <w:r>
        <w:rPr>
          <w:rFonts w:eastAsia="MS Mincho;ＭＳ 明朝" w:cs="Times Ext Roman"/>
          <w:lang w:eastAsia="hi-IN" w:bidi="en-GB"/>
        </w:rPr>
        <w:tab/>
      </w:r>
      <w:r>
        <w:rPr>
          <w:rFonts w:eastAsia="MS Mincho;ＭＳ 明朝" w:cs="Times Ext Roman"/>
          <w:lang w:eastAsia="hi-IN" w:bidi="en-GB"/>
        </w:rPr>
        <w:tab/>
      </w:r>
      <w:r>
        <w:rPr>
          <w:rFonts w:eastAsia="MS Mincho;ＭＳ 明朝" w:cs="Times Ext Roman"/>
          <w:lang w:eastAsia="hi-IN" w:bidi="en-GB"/>
        </w:rPr>
        <w:tab/>
      </w:r>
      <w:r>
        <w:rPr>
          <w:rFonts w:eastAsia="MS Mincho;ＭＳ 明朝" w:cs="Times Ext Roman"/>
          <w:lang w:eastAsia="hi-IN" w:bidi="en-GB"/>
        </w:rPr>
        <w:tab/>
      </w:r>
      <w:r>
        <w:rPr>
          <w:rFonts w:eastAsia="MS Mincho;ＭＳ 明朝" w:cs="Times Ext Roman"/>
          <w:lang w:eastAsia="hi-IN" w:bidi="en-GB"/>
        </w:rPr>
        <w:tab/>
      </w:r>
      <w:r>
        <w:rPr>
          <w:rFonts w:eastAsia="MS Mincho;ＭＳ 明朝" w:cs="Times Ext Roman"/>
          <w:lang w:eastAsia="hi-IN" w:bidi="en-GB"/>
        </w:rPr>
        <w:tab/>
      </w:r>
      <w:r>
        <w:rPr>
          <w:rFonts w:eastAsia="MS Mincho;ＭＳ 明朝" w:cs="Times Ext Roman"/>
          <w:lang w:eastAsia="hi-IN" w:bidi="en-GB"/>
        </w:rPr>
        <w:tab/>
      </w:r>
      <w:r>
        <w:rPr>
          <w:rFonts w:eastAsia="MS Mincho;ＭＳ 明朝" w:cs="Times Ext Roman"/>
          <w:lang w:eastAsia="hi-IN" w:bidi="en-GB"/>
        </w:rPr>
        <w:tab/>
      </w:r>
    </w:p>
    <w:p w14:paraId="0D0F9112" w14:textId="77777777" w:rsidR="00E53EB6" w:rsidRDefault="006500F5">
      <w:pPr>
        <w:pStyle w:val="Zitat"/>
      </w:pPr>
      <w:r>
        <w:rPr>
          <w:rFonts w:eastAsia="MS Mincho;ＭＳ 明朝"/>
          <w:lang w:eastAsia="hi-IN"/>
        </w:rPr>
        <w:t xml:space="preserve">17.16 </w:t>
      </w:r>
      <w:r>
        <w:rPr>
          <w:rFonts w:eastAsia="MS Mincho;ＭＳ 明朝"/>
          <w:i/>
          <w:iCs/>
          <w:lang w:eastAsia="hi-IN"/>
        </w:rPr>
        <w:t>agnís tigména śocí</w:t>
      </w:r>
      <w:r>
        <w:rPr>
          <w:rFonts w:eastAsia="MS Mincho;ＭＳ 明朝"/>
          <w:i/>
          <w:iCs/>
          <w:lang w:eastAsia="hi-IN"/>
        </w:rPr>
        <w:t>ṣ</w:t>
      </w:r>
      <w:r>
        <w:rPr>
          <w:rFonts w:eastAsia="MS Mincho;ＭＳ 明朝"/>
          <w:i/>
          <w:iCs/>
          <w:lang w:eastAsia="hi-IN"/>
        </w:rPr>
        <w:t>ā yā́sad víśva</w:t>
      </w:r>
      <w:r>
        <w:rPr>
          <w:rFonts w:eastAsia="MS Mincho;ＭＳ 明朝"/>
          <w:i/>
          <w:iCs/>
          <w:lang w:eastAsia="hi-IN"/>
        </w:rPr>
        <w:t>ṃ</w:t>
      </w:r>
      <w:r>
        <w:rPr>
          <w:rFonts w:eastAsia="MS Mincho;ＭＳ 明朝"/>
          <w:i/>
          <w:iCs/>
          <w:lang w:eastAsia="hi-IN"/>
        </w:rPr>
        <w:t xml:space="preserve"> ny àtrí</w:t>
      </w:r>
      <w:r>
        <w:rPr>
          <w:rFonts w:eastAsia="MS Mincho;ＭＳ 明朝"/>
          <w:i/>
          <w:iCs/>
          <w:lang w:eastAsia="hi-IN"/>
        </w:rPr>
        <w:t>ṇ</w:t>
      </w:r>
      <w:r>
        <w:rPr>
          <w:rFonts w:eastAsia="MS Mincho;ＭＳ 明朝"/>
          <w:i/>
          <w:iCs/>
          <w:lang w:eastAsia="hi-IN"/>
        </w:rPr>
        <w:t>am \ agnír no vanate rayím \\</w:t>
      </w:r>
    </w:p>
    <w:p w14:paraId="293D0621" w14:textId="77777777" w:rsidR="00E53EB6" w:rsidRDefault="006500F5">
      <w:pPr>
        <w:pStyle w:val="Zitat"/>
        <w:autoSpaceDE w:val="0"/>
        <w:rPr>
          <w:lang w:eastAsia="hi-IN"/>
        </w:rPr>
      </w:pPr>
      <w:r>
        <w:rPr>
          <w:lang w:eastAsia="hi-IN"/>
        </w:rPr>
        <w:t>Agni with the sharpened flame may pass over</w:t>
      </w:r>
      <w:r>
        <w:rPr>
          <w:rStyle w:val="FootnoteAnchor"/>
          <w:lang w:eastAsia="hi-IN"/>
        </w:rPr>
        <w:footnoteReference w:id="187"/>
      </w:r>
      <w:r>
        <w:rPr>
          <w:lang w:eastAsia="hi-IN"/>
        </w:rPr>
        <w:t xml:space="preserve"> all evil, may Agni </w:t>
      </w:r>
      <w:r>
        <w:rPr>
          <w:u w:val="single"/>
          <w:lang w:eastAsia="hi-IN"/>
        </w:rPr>
        <w:t>appropriate</w:t>
      </w:r>
      <w:r>
        <w:rPr>
          <w:lang w:eastAsia="hi-IN"/>
        </w:rPr>
        <w:t xml:space="preserve"> the richness for us.</w:t>
      </w:r>
    </w:p>
    <w:p w14:paraId="2520E85F" w14:textId="77777777" w:rsidR="00E53EB6" w:rsidRPr="00B80C6B" w:rsidRDefault="006500F5">
      <w:pPr>
        <w:pStyle w:val="Zitat"/>
        <w:autoSpaceDE w:val="0"/>
        <w:rPr>
          <w:lang w:val="de-DE" w:eastAsia="hi-IN"/>
        </w:rPr>
      </w:pPr>
      <w:r>
        <w:rPr>
          <w:i/>
          <w:iCs/>
          <w:lang w:eastAsia="hi-IN"/>
        </w:rPr>
        <w:t xml:space="preserve">vanate: </w:t>
      </w:r>
      <w:r>
        <w:rPr>
          <w:lang w:eastAsia="hi-IN"/>
        </w:rPr>
        <w:t>subj. root aor. 3</w:t>
      </w:r>
      <w:r>
        <w:rPr>
          <w:vertAlign w:val="superscript"/>
          <w:lang w:eastAsia="hi-IN"/>
        </w:rPr>
        <w:t>rd</w:t>
      </w:r>
      <w:r>
        <w:rPr>
          <w:lang w:eastAsia="hi-IN"/>
        </w:rPr>
        <w:t xml:space="preserve"> sing. </w:t>
      </w:r>
      <w:r w:rsidRPr="00B80C6B">
        <w:rPr>
          <w:lang w:val="de-DE" w:eastAsia="hi-IN"/>
        </w:rPr>
        <w:t xml:space="preserve">Ā </w:t>
      </w:r>
    </w:p>
    <w:p w14:paraId="7A7F49D1" w14:textId="77777777" w:rsidR="00E53EB6" w:rsidRPr="00B80C6B" w:rsidRDefault="006500F5">
      <w:pPr>
        <w:pStyle w:val="ZitatmitEinzug"/>
        <w:rPr>
          <w:rFonts w:eastAsia="Arial" w:cs="Times Ext Roman"/>
          <w:szCs w:val="18"/>
          <w:lang w:val="de-DE" w:eastAsia="hi-IN" w:bidi="en-GB"/>
        </w:rPr>
      </w:pPr>
      <w:r w:rsidRPr="00B80C6B">
        <w:rPr>
          <w:rStyle w:val="biblio-authorGEN"/>
          <w:rFonts w:eastAsia="Arial" w:cs="Times Ext Roman"/>
          <w:sz w:val="18"/>
          <w:szCs w:val="15"/>
          <w:lang w:val="de-DE" w:eastAsia="hi-IN" w:bidi="en-GB"/>
        </w:rPr>
        <w:t>Geldner</w:t>
      </w:r>
      <w:r w:rsidRPr="00B80C6B">
        <w:rPr>
          <w:rStyle w:val="biblio-authorGEN"/>
          <w:rFonts w:eastAsia="Arial" w:cs="Times Ext Roman"/>
          <w:szCs w:val="18"/>
          <w:lang w:val="de-DE" w:eastAsia="hi-IN" w:bidi="en-GB"/>
        </w:rPr>
        <w:t>:</w:t>
      </w:r>
      <w:r w:rsidRPr="00B80C6B">
        <w:rPr>
          <w:rFonts w:eastAsia="Arial" w:cs="Times Ext Roman"/>
          <w:szCs w:val="18"/>
          <w:lang w:val="de-DE" w:eastAsia="hi-IN" w:bidi="en-GB"/>
        </w:rPr>
        <w:t xml:space="preserve"> II 111 “soll gewinnen”</w:t>
      </w:r>
    </w:p>
    <w:p w14:paraId="003FD7CF" w14:textId="77777777" w:rsidR="00E53EB6" w:rsidRPr="00B80C6B" w:rsidRDefault="006500F5">
      <w:pPr>
        <w:pStyle w:val="ZitatmitEinzug"/>
        <w:rPr>
          <w:rFonts w:eastAsia="Arial" w:cs="Times Ext Roman"/>
          <w:szCs w:val="18"/>
          <w:lang w:val="de-DE" w:eastAsia="hi-IN" w:bidi="en-GB"/>
        </w:rPr>
      </w:pPr>
      <w:r w:rsidRPr="00B80C6B">
        <w:rPr>
          <w:rStyle w:val="biblio-authorGEN"/>
          <w:rFonts w:eastAsia="Arial" w:cs="Times Ext Roman"/>
          <w:sz w:val="18"/>
          <w:szCs w:val="15"/>
          <w:lang w:val="de-DE" w:eastAsia="hi-IN" w:bidi="en-GB"/>
        </w:rPr>
        <w:t>Renou</w:t>
      </w:r>
      <w:r w:rsidRPr="00B80C6B">
        <w:rPr>
          <w:rFonts w:eastAsia="Arial" w:cs="Times Ext Roman"/>
          <w:szCs w:val="18"/>
          <w:lang w:val="de-DE" w:eastAsia="hi-IN" w:bidi="en-GB"/>
        </w:rPr>
        <w:t>: XIII 50 “gagne”</w:t>
      </w:r>
    </w:p>
    <w:p w14:paraId="2C46BD7F" w14:textId="77777777" w:rsidR="00E53EB6" w:rsidRPr="00B80C6B" w:rsidRDefault="006500F5">
      <w:pPr>
        <w:pStyle w:val="ZitatmitEinzug"/>
        <w:rPr>
          <w:rFonts w:eastAsia="Arial" w:cs="Times Ext Roman"/>
          <w:szCs w:val="18"/>
          <w:lang w:val="de-DE" w:eastAsia="hi-IN" w:bidi="en-GB"/>
        </w:rPr>
      </w:pPr>
      <w:r w:rsidRPr="00B80C6B">
        <w:rPr>
          <w:rFonts w:eastAsia="Arial" w:cs="Times Ext Roman"/>
          <w:szCs w:val="18"/>
          <w:lang w:val="de-DE" w:eastAsia="hi-IN" w:bidi="en-US"/>
        </w:rPr>
        <w:t xml:space="preserve">Griffith in </w:t>
      </w:r>
      <w:r w:rsidRPr="00B80C6B">
        <w:rPr>
          <w:rStyle w:val="biblio-authorGEN"/>
          <w:rFonts w:eastAsia="Arial" w:cs="Times Ext Roman"/>
          <w:sz w:val="18"/>
          <w:szCs w:val="15"/>
          <w:lang w:val="de-DE" w:eastAsia="hi-IN" w:bidi="en-US"/>
        </w:rPr>
        <w:t>Arya</w:t>
      </w:r>
      <w:r w:rsidRPr="00B80C6B">
        <w:rPr>
          <w:rFonts w:eastAsia="Arial" w:cs="Times Ext Roman"/>
          <w:szCs w:val="18"/>
          <w:lang w:val="de-DE" w:eastAsia="hi-IN" w:bidi="en-US"/>
        </w:rPr>
        <w:t xml:space="preserve"> 1999</w:t>
      </w:r>
      <w:r w:rsidRPr="00B80C6B">
        <w:rPr>
          <w:rFonts w:eastAsia="Arial" w:cs="Times Ext Roman"/>
          <w:szCs w:val="18"/>
          <w:lang w:val="de-DE" w:eastAsia="hi-IN" w:bidi="en-GB"/>
        </w:rPr>
        <w:t>: 239 “win”</w:t>
      </w:r>
    </w:p>
    <w:p w14:paraId="30E08BCD" w14:textId="77777777" w:rsidR="00E53EB6" w:rsidRPr="00B80C6B" w:rsidRDefault="006500F5">
      <w:pPr>
        <w:pStyle w:val="HaupttextnachZitat"/>
        <w:rPr>
          <w:lang w:val="de-DE"/>
        </w:rPr>
      </w:pPr>
      <w:r w:rsidRPr="00B80C6B">
        <w:rPr>
          <w:lang w:val="de-DE"/>
        </w:rPr>
        <w:t>Vedic Web</w:t>
      </w:r>
    </w:p>
    <w:p w14:paraId="31601775" w14:textId="77777777" w:rsidR="00E53EB6" w:rsidRDefault="006500F5">
      <w:pPr>
        <w:pStyle w:val="HaupttextohneEinzug"/>
        <w:rPr>
          <w:rFonts w:eastAsia="Arial" w:cs="Times Ext Roman"/>
          <w:lang w:eastAsia="hi-IN" w:bidi="en-GB"/>
        </w:rPr>
      </w:pPr>
      <w:r w:rsidRPr="00B80C6B">
        <w:rPr>
          <w:rFonts w:eastAsia="Arial" w:cs="Times Ext Roman"/>
          <w:lang w:val="de-DE" w:eastAsia="hi-IN" w:bidi="en-GB"/>
        </w:rPr>
        <w:lastRenderedPageBreak/>
        <w:t xml:space="preserve">Mantra: R̥V 6.16.28; MS 2.10.2: </w:t>
      </w:r>
      <w:r w:rsidRPr="00B80C6B">
        <w:rPr>
          <w:rFonts w:eastAsia="Arial" w:cs="Times Ext Roman"/>
          <w:lang w:val="de-DE" w:eastAsia="hi-IN" w:bidi="en-GB"/>
        </w:rPr>
        <w:t xml:space="preserve">132,16-17; </w:t>
      </w:r>
      <w:r w:rsidRPr="00B80C6B">
        <w:rPr>
          <w:rFonts w:eastAsia="Arial" w:cs="Times Ext Roman"/>
          <w:lang w:val="de-DE" w:eastAsia="hi-IN" w:bidi="en-GB"/>
        </w:rPr>
        <w:t xml:space="preserve">KpS 28.2: 140; TS 4.6.1.5r; KS 18.1: </w:t>
      </w:r>
      <w:r w:rsidRPr="00B80C6B">
        <w:rPr>
          <w:rFonts w:eastAsia="Arial" w:cs="Times Ext Roman"/>
          <w:lang w:val="de-DE" w:eastAsia="hi-IN" w:bidi="en-GB"/>
        </w:rPr>
        <w:t>265,1-2 (TS; KS read</w:t>
      </w:r>
      <w:r w:rsidRPr="00B80C6B">
        <w:rPr>
          <w:rFonts w:eastAsia="Arial" w:cs="Times Ext Roman"/>
          <w:i/>
          <w:iCs/>
          <w:szCs w:val="18"/>
          <w:lang w:val="de-DE" w:eastAsia="hi-IN" w:bidi="en-GB"/>
        </w:rPr>
        <w:t xml:space="preserve"> ya</w:t>
      </w:r>
      <w:r w:rsidRPr="00B80C6B">
        <w:rPr>
          <w:rFonts w:eastAsia="Arial" w:cs="Times Ext Roman"/>
          <w:i/>
          <w:iCs/>
          <w:szCs w:val="18"/>
          <w:lang w:val="de-DE" w:eastAsia="hi-IN" w:bidi="en-GB"/>
        </w:rPr>
        <w:t>ṃ</w:t>
      </w:r>
      <w:r w:rsidRPr="00B80C6B">
        <w:rPr>
          <w:rFonts w:eastAsia="Arial" w:cs="Times Ext Roman"/>
          <w:i/>
          <w:iCs/>
          <w:szCs w:val="18"/>
          <w:lang w:val="de-DE" w:eastAsia="hi-IN" w:bidi="en-GB"/>
        </w:rPr>
        <w:t xml:space="preserve">sad </w:t>
      </w:r>
      <w:r w:rsidRPr="00B80C6B">
        <w:rPr>
          <w:rFonts w:eastAsia="Arial" w:cs="Times Ext Roman"/>
          <w:szCs w:val="18"/>
          <w:lang w:val="de-DE" w:eastAsia="hi-IN" w:bidi="en-GB"/>
        </w:rPr>
        <w:t xml:space="preserve">and </w:t>
      </w:r>
      <w:r w:rsidRPr="00B80C6B">
        <w:rPr>
          <w:rFonts w:eastAsia="Arial" w:cs="Times Ext Roman"/>
          <w:i/>
          <w:iCs/>
          <w:szCs w:val="18"/>
          <w:lang w:val="de-DE" w:eastAsia="hi-IN" w:bidi="en-GB"/>
        </w:rPr>
        <w:t>va</w:t>
      </w:r>
      <w:r w:rsidRPr="00B80C6B">
        <w:rPr>
          <w:rFonts w:eastAsia="Arial" w:cs="Times Ext Roman"/>
          <w:i/>
          <w:iCs/>
          <w:szCs w:val="18"/>
          <w:lang w:val="de-DE" w:eastAsia="hi-IN" w:bidi="en-GB"/>
        </w:rPr>
        <w:t>ṁ</w:t>
      </w:r>
      <w:r w:rsidRPr="00B80C6B">
        <w:rPr>
          <w:rFonts w:eastAsia="Arial" w:cs="Times Ext Roman"/>
          <w:i/>
          <w:iCs/>
          <w:szCs w:val="18"/>
          <w:lang w:val="de-DE" w:eastAsia="hi-IN" w:bidi="en-GB"/>
        </w:rPr>
        <w:t xml:space="preserve">sate </w:t>
      </w:r>
      <w:r w:rsidRPr="00B80C6B">
        <w:rPr>
          <w:rFonts w:eastAsia="Arial" w:cs="Times Ext Roman"/>
          <w:i/>
          <w:iCs/>
          <w:szCs w:val="21"/>
          <w:lang w:val="de-DE" w:eastAsia="hi-IN" w:bidi="en-GB"/>
        </w:rPr>
        <w:t>-</w:t>
      </w:r>
      <w:r w:rsidRPr="00B80C6B">
        <w:rPr>
          <w:rFonts w:eastAsia="Arial" w:cs="Times Ext Roman"/>
          <w:szCs w:val="21"/>
          <w:lang w:val="de-DE" w:eastAsia="hi-IN" w:bidi="en-GB"/>
        </w:rPr>
        <w:t>subj. sigmatic aor. 3</w:t>
      </w:r>
      <w:r w:rsidRPr="00B80C6B">
        <w:rPr>
          <w:rFonts w:eastAsia="Arial" w:cs="Times Ext Roman"/>
          <w:szCs w:val="21"/>
          <w:vertAlign w:val="superscript"/>
          <w:lang w:val="de-DE" w:eastAsia="hi-IN" w:bidi="en-GB"/>
        </w:rPr>
        <w:t>rd</w:t>
      </w:r>
      <w:r w:rsidRPr="00B80C6B">
        <w:rPr>
          <w:rFonts w:eastAsia="Arial" w:cs="Times Ext Roman"/>
          <w:szCs w:val="21"/>
          <w:lang w:val="de-DE" w:eastAsia="hi-IN" w:bidi="en-GB"/>
        </w:rPr>
        <w:t xml:space="preserve"> sing. </w:t>
      </w:r>
      <w:r>
        <w:rPr>
          <w:rFonts w:eastAsia="Arial" w:cs="Times Ext Roman"/>
          <w:szCs w:val="21"/>
          <w:lang w:eastAsia="hi-IN" w:bidi="en-GB"/>
        </w:rPr>
        <w:t>Ā</w:t>
      </w:r>
      <w:r>
        <w:rPr>
          <w:rFonts w:eastAsia="Arial" w:cs="Times Ext Roman"/>
          <w:szCs w:val="18"/>
          <w:lang w:eastAsia="hi-IN" w:bidi="en-GB"/>
        </w:rPr>
        <w:t>).</w:t>
      </w:r>
    </w:p>
    <w:p w14:paraId="4E70B121" w14:textId="77777777" w:rsidR="00E53EB6" w:rsidRDefault="006500F5">
      <w:pPr>
        <w:pStyle w:val="HaupttextohneEinzug"/>
        <w:rPr>
          <w:rFonts w:eastAsia="Arial" w:cs="Times Ext Roman"/>
          <w:lang w:eastAsia="hi-IN" w:bidi="en-GB"/>
        </w:rPr>
      </w:pPr>
      <w:r>
        <w:rPr>
          <w:rFonts w:eastAsia="Arial" w:cs="Times Ext Roman"/>
          <w:lang w:eastAsia="hi-IN" w:bidi="en-GB"/>
        </w:rPr>
        <w:t>Prose</w:t>
      </w:r>
      <w:r>
        <w:rPr>
          <w:rFonts w:eastAsia="Arial" w:cs="Times Ext Roman"/>
          <w:lang w:eastAsia="hi-IN" w:bidi="en-GB"/>
        </w:rPr>
        <w:t xml:space="preserve">: </w:t>
      </w:r>
      <w:r>
        <w:rPr>
          <w:rFonts w:eastAsia="Arial" w:cs="Times Ext Roman"/>
          <w:lang w:eastAsia="hi-IN" w:bidi="en-GB"/>
        </w:rPr>
        <w:t>TS 5.4.4.1-5.3.</w:t>
      </w:r>
    </w:p>
    <w:p w14:paraId="54481FB8" w14:textId="77777777" w:rsidR="00E53EB6" w:rsidRDefault="00E53EB6">
      <w:pPr>
        <w:pStyle w:val="HaupttextohneEinzug"/>
        <w:rPr>
          <w:rFonts w:eastAsia="Arial" w:cs="Times Ext Roman"/>
          <w:lang w:eastAsia="hi-IN" w:bidi="en-GB"/>
        </w:rPr>
      </w:pPr>
    </w:p>
    <w:p w14:paraId="6DF5C2C9" w14:textId="77777777" w:rsidR="00E53EB6" w:rsidRDefault="006500F5">
      <w:pPr>
        <w:pStyle w:val="HaupttextohneEinzug"/>
        <w:rPr>
          <w:rFonts w:eastAsia="Arial" w:cs="Times Ext Roman"/>
          <w:lang w:eastAsia="hi-IN" w:bidi="en-GB"/>
        </w:rPr>
      </w:pPr>
      <w:r>
        <w:rPr>
          <w:rFonts w:eastAsia="Arial" w:cs="Times Ext Roman"/>
          <w:lang w:eastAsia="hi-IN" w:bidi="en-GB"/>
        </w:rPr>
        <w:t>Rite</w:t>
      </w:r>
    </w:p>
    <w:p w14:paraId="083E9D46" w14:textId="77777777" w:rsidR="00E53EB6" w:rsidRDefault="006500F5">
      <w:pPr>
        <w:pStyle w:val="HaupttextohneEinzug"/>
        <w:rPr>
          <w:szCs w:val="21"/>
        </w:rPr>
      </w:pPr>
      <w:r>
        <w:rPr>
          <w:rFonts w:eastAsia="MS Mincho;ＭＳ 明朝" w:cs="Times Ext Roman"/>
          <w:szCs w:val="21"/>
          <w:lang w:eastAsia="hi-IN" w:bidi="en-GB"/>
        </w:rPr>
        <w:t xml:space="preserve">Agnicayana. Preparation of the fire, </w:t>
      </w:r>
      <w:r>
        <w:rPr>
          <w:rFonts w:eastAsia="MS Mincho;ＭＳ 明朝" w:cs="Times Ext Roman"/>
          <w:i/>
          <w:iCs/>
          <w:szCs w:val="21"/>
          <w:lang w:eastAsia="hi-IN" w:bidi="en-GB"/>
        </w:rPr>
        <w:t>mantra</w:t>
      </w:r>
      <w:r>
        <w:rPr>
          <w:rFonts w:eastAsia="MS Mincho;ＭＳ 明朝" w:cs="Times Ext Roman"/>
          <w:szCs w:val="21"/>
          <w:lang w:eastAsia="hi-IN" w:bidi="en-GB"/>
        </w:rPr>
        <w:t xml:space="preserve">s for the moistening of the fire and dragging of a frog, a reed and </w:t>
      </w:r>
      <w:r>
        <w:rPr>
          <w:rFonts w:eastAsia="MS Mincho;ＭＳ 明朝" w:cs="Times Ext Roman"/>
          <w:i/>
          <w:iCs/>
          <w:szCs w:val="21"/>
          <w:lang w:eastAsia="hi-IN" w:bidi="en-GB"/>
        </w:rPr>
        <w:t xml:space="preserve">avakā </w:t>
      </w:r>
      <w:r>
        <w:rPr>
          <w:rFonts w:eastAsia="MS Mincho;ＭＳ 明朝" w:cs="Times Ext Roman"/>
          <w:szCs w:val="21"/>
          <w:lang w:eastAsia="hi-IN" w:bidi="en-GB"/>
        </w:rPr>
        <w:t>(herbal plant) over the fire (Pari</w:t>
      </w:r>
      <w:r>
        <w:rPr>
          <w:rFonts w:eastAsia="MS Mincho;ＭＳ 明朝" w:cs="Times Ext Roman"/>
          <w:szCs w:val="21"/>
          <w:lang w:eastAsia="hi-IN" w:bidi="en-GB"/>
        </w:rPr>
        <w:t>ṣ</w:t>
      </w:r>
      <w:r>
        <w:rPr>
          <w:rFonts w:eastAsia="MS Mincho;ＭＳ 明朝" w:cs="Times Ext Roman"/>
          <w:szCs w:val="21"/>
          <w:lang w:eastAsia="hi-IN" w:bidi="en-GB"/>
        </w:rPr>
        <w:t>ecana “sprinkling” and Vikar</w:t>
      </w:r>
      <w:r>
        <w:rPr>
          <w:rFonts w:eastAsia="MS Mincho;ＭＳ 明朝" w:cs="Times Ext Roman"/>
          <w:szCs w:val="21"/>
          <w:lang w:eastAsia="hi-IN" w:bidi="en-GB"/>
        </w:rPr>
        <w:t>ṣ</w:t>
      </w:r>
      <w:r>
        <w:rPr>
          <w:rFonts w:eastAsia="MS Mincho;ＭＳ 明朝" w:cs="Times Ext Roman"/>
          <w:szCs w:val="21"/>
          <w:lang w:eastAsia="hi-IN" w:bidi="en-GB"/>
        </w:rPr>
        <w:t>a</w:t>
      </w:r>
      <w:r>
        <w:rPr>
          <w:rFonts w:eastAsia="MS Mincho;ＭＳ 明朝" w:cs="Times Ext Roman"/>
          <w:szCs w:val="21"/>
          <w:lang w:eastAsia="hi-IN" w:bidi="en-GB"/>
        </w:rPr>
        <w:t>ṇ</w:t>
      </w:r>
      <w:r>
        <w:rPr>
          <w:rFonts w:eastAsia="MS Mincho;ＭＳ 明朝" w:cs="Times Ext Roman"/>
          <w:szCs w:val="21"/>
          <w:lang w:eastAsia="hi-IN" w:bidi="en-GB"/>
        </w:rPr>
        <w:t>a “dragging asunder” of the fire). This stanza is namely to accompany an oblation to Agni.</w:t>
      </w:r>
    </w:p>
    <w:p w14:paraId="65242A78" w14:textId="77777777" w:rsidR="00E53EB6" w:rsidRDefault="00E53EB6">
      <w:pPr>
        <w:pStyle w:val="HaupttextohneEinzug"/>
        <w:rPr>
          <w:rFonts w:eastAsia="MS Mincho;ＭＳ 明朝" w:cs="Times Ext Roman"/>
          <w:szCs w:val="21"/>
          <w:lang w:eastAsia="hi-IN" w:bidi="en-GB"/>
        </w:rPr>
      </w:pPr>
    </w:p>
    <w:p w14:paraId="377E2598" w14:textId="77777777" w:rsidR="00E53EB6" w:rsidRDefault="006500F5">
      <w:pPr>
        <w:pStyle w:val="Heading5"/>
        <w:tabs>
          <w:tab w:val="left" w:pos="0"/>
        </w:tabs>
      </w:pPr>
      <w:r>
        <w:rPr>
          <w:rFonts w:eastAsia="MS Mincho;ＭＳ 明朝" w:cs="Times Ext Roman"/>
          <w:u w:val="single"/>
          <w:lang w:eastAsia="hi-IN" w:bidi="en-GB"/>
        </w:rPr>
        <w:t>VS 19.53</w:t>
      </w:r>
      <w:r>
        <w:rPr>
          <w:rFonts w:eastAsia="MS Mincho;ＭＳ 明朝" w:cs="Times Ext Roman"/>
          <w:lang w:eastAsia="hi-IN" w:bidi="en-GB"/>
        </w:rPr>
        <w:tab/>
      </w:r>
      <w:r>
        <w:rPr>
          <w:rFonts w:eastAsia="MS Mincho;ＭＳ 明朝" w:cs="Times Ext Roman"/>
          <w:lang w:eastAsia="hi-IN" w:bidi="en-GB"/>
        </w:rPr>
        <w:tab/>
      </w:r>
      <w:r>
        <w:rPr>
          <w:rFonts w:eastAsia="MS Mincho;ＭＳ 明朝" w:cs="Times Ext Roman"/>
          <w:lang w:eastAsia="hi-IN" w:bidi="en-GB"/>
        </w:rPr>
        <w:tab/>
      </w:r>
      <w:r>
        <w:rPr>
          <w:rFonts w:eastAsia="MS Mincho;ＭＳ 明朝" w:cs="Times Ext Roman"/>
          <w:lang w:eastAsia="hi-IN" w:bidi="en-GB"/>
        </w:rPr>
        <w:tab/>
      </w:r>
      <w:r>
        <w:rPr>
          <w:rFonts w:eastAsia="MS Mincho;ＭＳ 明朝" w:cs="Times Ext Roman"/>
          <w:lang w:eastAsia="hi-IN" w:bidi="en-GB"/>
        </w:rPr>
        <w:tab/>
      </w:r>
      <w:r>
        <w:rPr>
          <w:rFonts w:eastAsia="MS Mincho;ＭＳ 明朝" w:cs="Times Ext Roman"/>
          <w:lang w:eastAsia="hi-IN" w:bidi="en-GB"/>
        </w:rPr>
        <w:tab/>
      </w:r>
      <w:r>
        <w:rPr>
          <w:rFonts w:eastAsia="MS Mincho;ＭＳ 明朝" w:cs="Times Ext Roman"/>
          <w:lang w:eastAsia="hi-IN" w:bidi="en-GB"/>
        </w:rPr>
        <w:tab/>
      </w:r>
      <w:r>
        <w:rPr>
          <w:rFonts w:eastAsia="MS Mincho;ＭＳ 明朝" w:cs="Times Ext Roman"/>
          <w:lang w:eastAsia="hi-IN" w:bidi="en-GB"/>
        </w:rPr>
        <w:tab/>
      </w:r>
      <w:r>
        <w:rPr>
          <w:rFonts w:eastAsia="MS Mincho;ＭＳ 明朝" w:cs="Times Ext Roman"/>
          <w:lang w:eastAsia="hi-IN" w:bidi="en-GB"/>
        </w:rPr>
        <w:tab/>
      </w:r>
    </w:p>
    <w:p w14:paraId="7D75168D" w14:textId="77777777" w:rsidR="00E53EB6" w:rsidRDefault="006500F5">
      <w:pPr>
        <w:pStyle w:val="Zitat"/>
        <w:rPr>
          <w:i/>
          <w:iCs/>
        </w:rPr>
      </w:pPr>
      <w:r>
        <w:rPr>
          <w:rFonts w:eastAsia="MS Mincho;ＭＳ 明朝"/>
          <w:lang w:eastAsia="hi-IN"/>
        </w:rPr>
        <w:t xml:space="preserve">19.53 </w:t>
      </w:r>
      <w:r>
        <w:rPr>
          <w:rFonts w:eastAsia="MS Mincho;ＭＳ 明朝"/>
          <w:i/>
          <w:iCs/>
          <w:lang w:eastAsia="hi-IN"/>
        </w:rPr>
        <w:t>tváyā hí na</w:t>
      </w:r>
      <w:r>
        <w:rPr>
          <w:rFonts w:eastAsia="MS Mincho;ＭＳ 明朝"/>
          <w:i/>
          <w:iCs/>
          <w:lang w:eastAsia="hi-IN"/>
        </w:rPr>
        <w:t>ḥ</w:t>
      </w:r>
      <w:r>
        <w:rPr>
          <w:rFonts w:eastAsia="MS Mincho;ＭＳ 明朝"/>
          <w:i/>
          <w:iCs/>
          <w:lang w:eastAsia="hi-IN"/>
        </w:rPr>
        <w:t xml:space="preserve"> pitára</w:t>
      </w:r>
      <w:r>
        <w:rPr>
          <w:rFonts w:eastAsia="MS Mincho;ＭＳ 明朝"/>
          <w:i/>
          <w:iCs/>
          <w:lang w:eastAsia="hi-IN"/>
        </w:rPr>
        <w:t>ḥ</w:t>
      </w:r>
      <w:r>
        <w:rPr>
          <w:rFonts w:eastAsia="MS Mincho;ＭＳ 明朝"/>
          <w:i/>
          <w:iCs/>
          <w:lang w:eastAsia="hi-IN"/>
        </w:rPr>
        <w:t xml:space="preserve"> soma pū́rve kármā</w:t>
      </w:r>
      <w:r>
        <w:rPr>
          <w:rFonts w:eastAsia="MS Mincho;ＭＳ 明朝"/>
          <w:i/>
          <w:iCs/>
          <w:lang w:eastAsia="hi-IN"/>
        </w:rPr>
        <w:t>ṇ</w:t>
      </w:r>
      <w:r>
        <w:rPr>
          <w:rFonts w:eastAsia="MS Mincho;ＭＳ 明朝"/>
          <w:i/>
          <w:iCs/>
          <w:lang w:eastAsia="hi-IN"/>
        </w:rPr>
        <w:t>i cakrú</w:t>
      </w:r>
      <w:r>
        <w:rPr>
          <w:rFonts w:eastAsia="MS Mincho;ＭＳ 明朝"/>
          <w:i/>
          <w:iCs/>
          <w:lang w:eastAsia="hi-IN"/>
        </w:rPr>
        <w:t>ḥ</w:t>
      </w:r>
      <w:r>
        <w:rPr>
          <w:rFonts w:eastAsia="MS Mincho;ＭＳ 明朝"/>
          <w:i/>
          <w:iCs/>
          <w:lang w:eastAsia="hi-IN"/>
        </w:rPr>
        <w:t xml:space="preserve"> pavamāna dhī́rā</w:t>
      </w:r>
      <w:r>
        <w:rPr>
          <w:rFonts w:eastAsia="MS Mincho;ＭＳ 明朝"/>
          <w:i/>
          <w:iCs/>
          <w:lang w:eastAsia="hi-IN"/>
        </w:rPr>
        <w:t>ḥ</w:t>
      </w:r>
      <w:r>
        <w:rPr>
          <w:rFonts w:eastAsia="MS Mincho;ＭＳ 明朝"/>
          <w:i/>
          <w:iCs/>
          <w:lang w:eastAsia="hi-IN"/>
        </w:rPr>
        <w:t xml:space="preserve"> \ vanvánn ávāta</w:t>
      </w:r>
      <w:r>
        <w:rPr>
          <w:rFonts w:eastAsia="MS Mincho;ＭＳ 明朝"/>
          <w:i/>
          <w:iCs/>
          <w:lang w:eastAsia="hi-IN"/>
        </w:rPr>
        <w:t>ḥ</w:t>
      </w:r>
      <w:r>
        <w:rPr>
          <w:rFonts w:eastAsia="MS Mincho;ＭＳ 明朝"/>
          <w:i/>
          <w:iCs/>
          <w:lang w:eastAsia="hi-IN"/>
        </w:rPr>
        <w:t xml:space="preserve"> paridhī́m̐r ápor</w:t>
      </w:r>
      <w:r>
        <w:rPr>
          <w:rFonts w:eastAsia="MS Mincho;ＭＳ 明朝"/>
          <w:i/>
          <w:iCs/>
          <w:lang w:eastAsia="hi-IN"/>
        </w:rPr>
        <w:t>ṇ</w:t>
      </w:r>
      <w:r>
        <w:rPr>
          <w:rFonts w:eastAsia="MS Mincho;ＭＳ 明朝"/>
          <w:i/>
          <w:iCs/>
          <w:lang w:eastAsia="hi-IN"/>
        </w:rPr>
        <w:t>u vīrébhir áśvair maghávā bhavā na</w:t>
      </w:r>
      <w:r>
        <w:rPr>
          <w:rFonts w:eastAsia="MS Mincho;ＭＳ 明朝"/>
          <w:i/>
          <w:iCs/>
          <w:lang w:eastAsia="hi-IN"/>
        </w:rPr>
        <w:t>ḥ</w:t>
      </w:r>
      <w:r>
        <w:rPr>
          <w:rFonts w:eastAsia="MS Mincho;ＭＳ 明朝"/>
          <w:i/>
          <w:iCs/>
          <w:lang w:eastAsia="hi-IN"/>
        </w:rPr>
        <w:t xml:space="preserve"> \\</w:t>
      </w:r>
    </w:p>
    <w:p w14:paraId="0FEF135D" w14:textId="77777777" w:rsidR="00E53EB6" w:rsidRDefault="006500F5">
      <w:pPr>
        <w:pStyle w:val="Zitat"/>
        <w:autoSpaceDE w:val="0"/>
        <w:rPr>
          <w:rFonts w:ascii="Times Ext Roman" w:hAnsi="Times Ext Roman"/>
          <w:lang w:eastAsia="hi-IN"/>
        </w:rPr>
      </w:pPr>
      <w:r>
        <w:rPr>
          <w:lang w:eastAsia="hi-IN"/>
        </w:rPr>
        <w:t>Through you, o Soma, our  fathers, who got the vision, have formerly</w:t>
      </w:r>
      <w:r>
        <w:rPr>
          <w:rStyle w:val="FootnoteAnchor"/>
          <w:rFonts w:cs="Devanagari MT;Times New Roman"/>
          <w:lang w:eastAsia="hi-IN"/>
        </w:rPr>
        <w:footnoteReference w:id="188"/>
      </w:r>
      <w:r>
        <w:rPr>
          <w:lang w:eastAsia="hi-IN"/>
        </w:rPr>
        <w:t xml:space="preserve"> accomplished the sacrifices, o Pavamāna; </w:t>
      </w:r>
      <w:r>
        <w:rPr>
          <w:lang w:eastAsia="hi-IN"/>
        </w:rPr>
        <w:t xml:space="preserve">you, who </w:t>
      </w:r>
      <w:r>
        <w:rPr>
          <w:u w:val="single"/>
          <w:lang w:eastAsia="hi-IN"/>
        </w:rPr>
        <w:t xml:space="preserve">appropriate </w:t>
      </w:r>
      <w:r>
        <w:rPr>
          <w:lang w:eastAsia="hi-IN"/>
        </w:rPr>
        <w:t xml:space="preserve">without being </w:t>
      </w:r>
      <w:r>
        <w:rPr>
          <w:u w:val="single"/>
          <w:lang w:eastAsia="hi-IN"/>
        </w:rPr>
        <w:t>appropriated</w:t>
      </w:r>
      <w:r>
        <w:rPr>
          <w:lang w:eastAsia="hi-IN"/>
        </w:rPr>
        <w:t>, open the enclosures</w:t>
      </w:r>
      <w:r>
        <w:rPr>
          <w:rStyle w:val="FootnoteAnchor"/>
          <w:rFonts w:cs="Devanagari MT;Times New Roman"/>
          <w:lang w:eastAsia="hi-IN"/>
        </w:rPr>
        <w:footnoteReference w:id="189"/>
      </w:r>
      <w:r>
        <w:rPr>
          <w:lang w:eastAsia="hi-IN"/>
        </w:rPr>
        <w:t>, be for us liberal with heroes and horses.</w:t>
      </w:r>
    </w:p>
    <w:p w14:paraId="61C69F3D" w14:textId="77777777" w:rsidR="00E53EB6" w:rsidRDefault="006500F5">
      <w:pPr>
        <w:pStyle w:val="Zitat"/>
        <w:autoSpaceDE w:val="0"/>
        <w:rPr>
          <w:lang w:eastAsia="hi-IN"/>
        </w:rPr>
      </w:pPr>
      <w:r>
        <w:rPr>
          <w:i/>
          <w:iCs/>
          <w:lang w:eastAsia="hi-IN"/>
        </w:rPr>
        <w:t xml:space="preserve">vanván: </w:t>
      </w:r>
      <w:r>
        <w:rPr>
          <w:lang w:eastAsia="hi-IN"/>
        </w:rPr>
        <w:t>part. pres. nom. m. sing.  VIII cl.</w:t>
      </w:r>
    </w:p>
    <w:p w14:paraId="1BD7D9CE" w14:textId="77777777" w:rsidR="00E53EB6" w:rsidRDefault="006500F5">
      <w:pPr>
        <w:pStyle w:val="ZitatnachZitat"/>
        <w:autoSpaceDE w:val="0"/>
        <w:rPr>
          <w:rFonts w:eastAsia="Arial" w:cs="Times Ext Roman"/>
          <w:szCs w:val="18"/>
          <w:lang w:eastAsia="hi-IN" w:bidi="en-GB"/>
        </w:rPr>
      </w:pPr>
      <w:r>
        <w:rPr>
          <w:rFonts w:eastAsia="Arial" w:cs="Times Ext Roman"/>
          <w:i/>
          <w:iCs/>
          <w:szCs w:val="18"/>
          <w:lang w:eastAsia="hi-IN" w:bidi="en-GB"/>
        </w:rPr>
        <w:t>ávāta</w:t>
      </w:r>
      <w:r>
        <w:rPr>
          <w:rFonts w:eastAsia="Arial" w:cs="Times Ext Roman"/>
          <w:i/>
          <w:iCs/>
          <w:szCs w:val="18"/>
          <w:lang w:eastAsia="hi-IN" w:bidi="en-GB"/>
        </w:rPr>
        <w:t>ḥ</w:t>
      </w:r>
      <w:r>
        <w:rPr>
          <w:rFonts w:eastAsia="Arial" w:cs="Times Ext Roman"/>
          <w:szCs w:val="18"/>
          <w:lang w:eastAsia="hi-IN" w:bidi="en-GB"/>
        </w:rPr>
        <w:t xml:space="preserve">: nom. m. sing. from </w:t>
      </w:r>
      <w:r>
        <w:rPr>
          <w:rFonts w:eastAsia="Arial" w:cs="Times Ext Roman"/>
          <w:i/>
          <w:iCs/>
          <w:szCs w:val="18"/>
          <w:lang w:eastAsia="hi-IN" w:bidi="en-GB"/>
        </w:rPr>
        <w:t>ávāta</w:t>
      </w:r>
      <w:r>
        <w:rPr>
          <w:rFonts w:eastAsia="Arial" w:cs="Times Ext Roman"/>
          <w:szCs w:val="18"/>
          <w:lang w:eastAsia="hi-IN" w:bidi="en-GB"/>
        </w:rPr>
        <w:t xml:space="preserve"> (adj.) </w:t>
      </w:r>
    </w:p>
    <w:p w14:paraId="42CB63DD" w14:textId="77777777" w:rsidR="00E53EB6" w:rsidRDefault="006500F5">
      <w:pPr>
        <w:pStyle w:val="ZitatmitEinzug"/>
        <w:autoSpaceDE w:val="0"/>
        <w:rPr>
          <w:rFonts w:eastAsia="Arial" w:cs="Times Ext Roman"/>
          <w:szCs w:val="18"/>
          <w:lang w:eastAsia="hi-IN" w:bidi="en-GB"/>
        </w:rPr>
      </w:pPr>
      <w:r>
        <w:rPr>
          <w:rStyle w:val="biblio-authorGEN"/>
          <w:rFonts w:eastAsia="Arial" w:cs="Times Ext Roman"/>
          <w:sz w:val="18"/>
          <w:szCs w:val="15"/>
          <w:lang w:eastAsia="hi-IN" w:bidi="en-GB"/>
        </w:rPr>
        <w:t>Geldner</w:t>
      </w:r>
      <w:r>
        <w:rPr>
          <w:rStyle w:val="biblio-authorGEN"/>
          <w:rFonts w:eastAsia="Arial" w:cs="Times Ext Roman"/>
          <w:szCs w:val="18"/>
          <w:lang w:eastAsia="hi-IN" w:bidi="en-GB"/>
        </w:rPr>
        <w:t>:</w:t>
      </w:r>
      <w:r>
        <w:rPr>
          <w:rFonts w:eastAsia="Arial" w:cs="Times Ext Roman"/>
          <w:szCs w:val="18"/>
          <w:lang w:eastAsia="hi-IN" w:bidi="en-GB"/>
        </w:rPr>
        <w:t xml:space="preserve"> III 93 “überwinder unüberwundene”</w:t>
      </w:r>
    </w:p>
    <w:p w14:paraId="0FC2FFB0" w14:textId="77777777" w:rsidR="00E53EB6" w:rsidRDefault="006500F5">
      <w:pPr>
        <w:pStyle w:val="ZitatmitEinzug"/>
        <w:autoSpaceDE w:val="0"/>
        <w:rPr>
          <w:rFonts w:eastAsia="Arial" w:cs="Times Ext Roman"/>
          <w:szCs w:val="18"/>
          <w:lang w:eastAsia="hi-IN" w:bidi="en-GB"/>
        </w:rPr>
      </w:pPr>
      <w:r>
        <w:rPr>
          <w:rStyle w:val="biblio-authorGEN"/>
          <w:rFonts w:eastAsia="Arial" w:cs="Times Ext Roman"/>
          <w:sz w:val="18"/>
          <w:szCs w:val="15"/>
          <w:lang w:eastAsia="hi-IN" w:bidi="en-GB"/>
        </w:rPr>
        <w:t>Renou</w:t>
      </w:r>
      <w:r>
        <w:rPr>
          <w:rFonts w:eastAsia="Arial" w:cs="Times Ext Roman"/>
          <w:szCs w:val="18"/>
          <w:lang w:eastAsia="hi-IN" w:bidi="en-GB"/>
        </w:rPr>
        <w:t>: IX 44 “qui gagnes sans que nul gagne contre toi”</w:t>
      </w:r>
    </w:p>
    <w:p w14:paraId="46D7B3B7" w14:textId="77777777" w:rsidR="00E53EB6" w:rsidRDefault="006500F5">
      <w:pPr>
        <w:pStyle w:val="ZitatmitEinzug"/>
        <w:autoSpaceDE w:val="0"/>
        <w:rPr>
          <w:rFonts w:eastAsia="Arial" w:cs="Times Ext Roman"/>
          <w:szCs w:val="18"/>
          <w:lang w:eastAsia="hi-IN" w:bidi="en-GB"/>
        </w:rPr>
      </w:pPr>
      <w:r>
        <w:rPr>
          <w:rFonts w:eastAsia="Arial" w:cs="Times Ext Roman"/>
          <w:szCs w:val="18"/>
          <w:lang w:eastAsia="hi-IN" w:bidi="en-US"/>
        </w:rPr>
        <w:t xml:space="preserve">Griffith in </w:t>
      </w:r>
      <w:r>
        <w:rPr>
          <w:rStyle w:val="biblio-authorGEN"/>
          <w:rFonts w:eastAsia="Arial" w:cs="Times Ext Roman"/>
          <w:sz w:val="18"/>
          <w:szCs w:val="15"/>
          <w:lang w:eastAsia="hi-IN" w:bidi="en-US"/>
        </w:rPr>
        <w:t>Arya</w:t>
      </w:r>
      <w:r>
        <w:rPr>
          <w:rFonts w:eastAsia="Arial" w:cs="Times Ext Roman"/>
          <w:szCs w:val="18"/>
          <w:lang w:eastAsia="hi-IN" w:bidi="en-US"/>
        </w:rPr>
        <w:t xml:space="preserve"> 1999</w:t>
      </w:r>
      <w:r>
        <w:rPr>
          <w:rFonts w:eastAsia="Arial" w:cs="Times Ext Roman"/>
          <w:szCs w:val="18"/>
          <w:lang w:eastAsia="hi-IN" w:bidi="en-GB"/>
        </w:rPr>
        <w:t>: 288 “fighting unvanquished”</w:t>
      </w:r>
    </w:p>
    <w:p w14:paraId="5C1656D6" w14:textId="77777777" w:rsidR="00E53EB6" w:rsidRDefault="006500F5">
      <w:pPr>
        <w:pStyle w:val="HaupttextnachZitat"/>
        <w:numPr>
          <w:ilvl w:val="2"/>
          <w:numId w:val="2"/>
        </w:numPr>
        <w:tabs>
          <w:tab w:val="left" w:pos="0"/>
        </w:tabs>
      </w:pPr>
      <w:r>
        <w:t>Vedic Web:</w:t>
      </w:r>
    </w:p>
    <w:p w14:paraId="600E2409" w14:textId="77777777" w:rsidR="00E53EB6" w:rsidRPr="00B80C6B" w:rsidRDefault="006500F5">
      <w:pPr>
        <w:pStyle w:val="HaupttextohneEinzug"/>
        <w:rPr>
          <w:lang w:val="de-DE"/>
        </w:rPr>
      </w:pPr>
      <w:r w:rsidRPr="00B80C6B">
        <w:rPr>
          <w:lang w:val="de-DE"/>
        </w:rPr>
        <w:t>Mantra: R</w:t>
      </w:r>
      <w:r w:rsidRPr="00B80C6B">
        <w:rPr>
          <w:rFonts w:eastAsia="Arial" w:cs="Devanagari MT;Times New Roman"/>
          <w:sz w:val="18"/>
          <w:szCs w:val="18"/>
          <w:lang w:val="de-DE" w:eastAsia="hi-IN" w:bidi="en-GB"/>
        </w:rPr>
        <w:t>̥</w:t>
      </w:r>
      <w:r w:rsidRPr="00B80C6B">
        <w:rPr>
          <w:lang w:val="de-DE"/>
        </w:rPr>
        <w:t>V 9.96.11; TS 2.6.12.1c; KS 21.14: 55,7-8; MS 4.10.6:</w:t>
      </w:r>
      <w:r w:rsidRPr="00B80C6B">
        <w:rPr>
          <w:lang w:val="de-DE"/>
        </w:rPr>
        <w:t xml:space="preserve"> 156,8-9.</w:t>
      </w:r>
    </w:p>
    <w:p w14:paraId="19895460" w14:textId="77777777" w:rsidR="00E53EB6" w:rsidRPr="00B80C6B" w:rsidRDefault="00E53EB6">
      <w:pPr>
        <w:pStyle w:val="HaupttextohneEinzug"/>
        <w:rPr>
          <w:lang w:val="de-DE"/>
        </w:rPr>
      </w:pPr>
    </w:p>
    <w:p w14:paraId="447697F4" w14:textId="77777777" w:rsidR="00E53EB6" w:rsidRDefault="006500F5">
      <w:pPr>
        <w:pStyle w:val="HaupttextohneEinzug"/>
      </w:pPr>
      <w:r>
        <w:t>Rite</w:t>
      </w:r>
    </w:p>
    <w:p w14:paraId="14B04482" w14:textId="77777777" w:rsidR="00E53EB6" w:rsidRDefault="006500F5">
      <w:pPr>
        <w:pStyle w:val="HaupttextohneEinzug"/>
      </w:pPr>
      <w:r>
        <w:t>In VS: Sautrāma</w:t>
      </w:r>
      <w:r>
        <w:t>ṇ</w:t>
      </w:r>
      <w:r>
        <w:t xml:space="preserve">ī, a </w:t>
      </w:r>
      <w:r>
        <w:fldChar w:fldCharType="begin"/>
      </w:r>
      <w:r>
        <w:instrText>XE "ceremony"</w:instrText>
      </w:r>
      <w:r>
        <w:fldChar w:fldCharType="end"/>
      </w:r>
      <w:r>
        <w:t xml:space="preserve"> constructed as a </w:t>
      </w:r>
      <w:r>
        <w:rPr>
          <w:i/>
          <w:iCs/>
        </w:rPr>
        <w:t xml:space="preserve">surā </w:t>
      </w:r>
      <w:r>
        <w:t xml:space="preserve">sacrifice </w:t>
      </w:r>
      <w:r>
        <w:t>to</w:t>
      </w:r>
      <w:r>
        <w:t xml:space="preserve"> expiate the excessive consumption of Soma and then all other transgressions or mistakes. This </w:t>
      </w:r>
      <w:r>
        <w:rPr>
          <w:i/>
          <w:iCs/>
        </w:rPr>
        <w:t>mantra</w:t>
      </w:r>
      <w:r>
        <w:t xml:space="preserve"> is a formula for oblation to the Fathers.</w:t>
      </w:r>
    </w:p>
    <w:p w14:paraId="4940F309" w14:textId="77777777" w:rsidR="00E53EB6" w:rsidRDefault="006500F5">
      <w:pPr>
        <w:pStyle w:val="HaupttextohneEinzug"/>
        <w:rPr>
          <w:rFonts w:eastAsia="MS Mincho;ＭＳ 明朝" w:cs="Times Ext Roman"/>
          <w:lang w:eastAsia="hi-IN" w:bidi="en-GB"/>
        </w:rPr>
      </w:pPr>
      <w:r>
        <w:rPr>
          <w:rFonts w:eastAsia="MS Mincho;ＭＳ 明朝" w:cs="Times Ext Roman"/>
          <w:lang w:eastAsia="hi-IN" w:bidi="en-GB"/>
        </w:rPr>
        <w:t>In TS, MS: Darśapur</w:t>
      </w:r>
      <w:r>
        <w:rPr>
          <w:rFonts w:eastAsia="MS Mincho;ＭＳ 明朝" w:cs="Times Ext Roman"/>
          <w:lang w:eastAsia="hi-IN" w:bidi="en-GB"/>
        </w:rPr>
        <w:t>ṇ</w:t>
      </w:r>
      <w:r>
        <w:rPr>
          <w:rFonts w:eastAsia="MS Mincho;ＭＳ 明朝" w:cs="Times Ext Roman"/>
          <w:lang w:eastAsia="hi-IN" w:bidi="en-GB"/>
        </w:rPr>
        <w:t>amāse</w:t>
      </w:r>
      <w:r>
        <w:rPr>
          <w:rFonts w:eastAsia="MS Mincho;ＭＳ 明朝" w:cs="Times Ext Roman"/>
          <w:lang w:eastAsia="hi-IN" w:bidi="en-GB"/>
        </w:rPr>
        <w:t>ṣṭ</w:t>
      </w:r>
      <w:r>
        <w:rPr>
          <w:rFonts w:eastAsia="MS Mincho;ＭＳ 明朝" w:cs="Times Ext Roman"/>
          <w:lang w:eastAsia="hi-IN" w:bidi="en-GB"/>
        </w:rPr>
        <w:t>ī, Pitr</w:t>
      </w:r>
      <w:r>
        <w:rPr>
          <w:rFonts w:eastAsia="Arial" w:cs="Devanagari MT;Times New Roman"/>
          <w:sz w:val="18"/>
          <w:szCs w:val="18"/>
          <w:lang w:eastAsia="hi-IN" w:bidi="en-GB"/>
        </w:rPr>
        <w:t>̥</w:t>
      </w:r>
      <w:r>
        <w:rPr>
          <w:rFonts w:eastAsia="MS Mincho;ＭＳ 明朝" w:cs="Times Ext Roman"/>
          <w:lang w:eastAsia="hi-IN" w:bidi="en-GB"/>
        </w:rPr>
        <w:t xml:space="preserve">yajña, </w:t>
      </w:r>
      <w:r>
        <w:rPr>
          <w:rFonts w:eastAsia="MS Mincho;ＭＳ 明朝" w:cs="Times Ext Roman"/>
          <w:i/>
          <w:iCs/>
          <w:lang w:eastAsia="hi-IN" w:bidi="en-GB"/>
        </w:rPr>
        <w:t>puronuvākya</w:t>
      </w:r>
      <w:r>
        <w:rPr>
          <w:rFonts w:eastAsia="MS Mincho;ＭＳ 明朝" w:cs="Times Ext Roman"/>
          <w:lang w:eastAsia="hi-IN" w:bidi="en-GB"/>
        </w:rPr>
        <w:t xml:space="preserve"> of the </w:t>
      </w:r>
      <w:r>
        <w:rPr>
          <w:rFonts w:eastAsia="MS Mincho;ＭＳ 明朝" w:cs="Times Ext Roman"/>
          <w:i/>
          <w:iCs/>
          <w:lang w:eastAsia="hi-IN" w:bidi="en-GB"/>
        </w:rPr>
        <w:t>hotr</w:t>
      </w:r>
      <w:r>
        <w:rPr>
          <w:rFonts w:eastAsia="Arial" w:cs="Devanagari MT;Times New Roman"/>
          <w:sz w:val="18"/>
          <w:szCs w:val="18"/>
          <w:lang w:eastAsia="hi-IN" w:bidi="en-GB"/>
        </w:rPr>
        <w:t>̥</w:t>
      </w:r>
      <w:r>
        <w:rPr>
          <w:rFonts w:eastAsia="MS Mincho;ＭＳ 明朝" w:cs="Times Ext Roman"/>
          <w:i/>
          <w:iCs/>
          <w:lang w:eastAsia="hi-IN" w:bidi="en-GB"/>
        </w:rPr>
        <w:t xml:space="preserve"> </w:t>
      </w:r>
      <w:r>
        <w:rPr>
          <w:rFonts w:eastAsia="MS Mincho;ＭＳ 明朝" w:cs="Times Ext Roman"/>
          <w:lang w:eastAsia="hi-IN" w:bidi="en-GB"/>
        </w:rPr>
        <w:t>to accompany the offering of a cake on 6 pots</w:t>
      </w:r>
      <w:r>
        <w:rPr>
          <w:rFonts w:eastAsia="MS Mincho;ＭＳ 明朝" w:cs="Times Ext Roman"/>
          <w:lang w:eastAsia="hi-IN" w:bidi="en-GB"/>
        </w:rPr>
        <w:t>herds to Soma Pitr</w:t>
      </w:r>
      <w:r>
        <w:rPr>
          <w:rFonts w:eastAsia="Arial" w:cs="Devanagari MT;Times New Roman"/>
          <w:sz w:val="18"/>
          <w:szCs w:val="18"/>
          <w:lang w:eastAsia="hi-IN" w:bidi="en-GB"/>
        </w:rPr>
        <w:t>̥</w:t>
      </w:r>
      <w:r>
        <w:rPr>
          <w:rFonts w:eastAsia="MS Mincho;ＭＳ 明朝" w:cs="Times Ext Roman"/>
          <w:lang w:eastAsia="hi-IN" w:bidi="en-GB"/>
        </w:rPr>
        <w:t>mant.</w:t>
      </w:r>
    </w:p>
    <w:p w14:paraId="5BB888DE" w14:textId="77777777" w:rsidR="00E53EB6" w:rsidRDefault="00E53EB6">
      <w:pPr>
        <w:pStyle w:val="HaupttextohneEinzug"/>
        <w:rPr>
          <w:rFonts w:eastAsia="MS Mincho;ＭＳ 明朝" w:cs="Times Ext Roman"/>
          <w:lang w:eastAsia="hi-IN" w:bidi="en-GB"/>
        </w:rPr>
      </w:pPr>
    </w:p>
    <w:p w14:paraId="51679C5E" w14:textId="77777777" w:rsidR="00E53EB6" w:rsidRDefault="006500F5">
      <w:pPr>
        <w:pStyle w:val="Heading5"/>
        <w:tabs>
          <w:tab w:val="left" w:pos="0"/>
        </w:tabs>
      </w:pPr>
      <w:r>
        <w:rPr>
          <w:rFonts w:eastAsia="MS Mincho;ＭＳ 明朝" w:cs="Times Ext Roman"/>
          <w:u w:val="single"/>
          <w:lang w:eastAsia="hi-IN" w:bidi="en-GB"/>
        </w:rPr>
        <w:t>VS 25.45</w:t>
      </w:r>
      <w:r>
        <w:rPr>
          <w:rFonts w:eastAsia="MS Mincho;ＭＳ 明朝" w:cs="Times Ext Roman"/>
          <w:lang w:eastAsia="hi-IN" w:bidi="en-GB"/>
        </w:rPr>
        <w:tab/>
      </w:r>
      <w:r>
        <w:rPr>
          <w:rFonts w:eastAsia="MS Mincho;ＭＳ 明朝" w:cs="Times Ext Roman"/>
          <w:lang w:eastAsia="hi-IN" w:bidi="en-GB"/>
        </w:rPr>
        <w:tab/>
      </w:r>
      <w:r>
        <w:rPr>
          <w:rFonts w:eastAsia="MS Mincho;ＭＳ 明朝" w:cs="Times Ext Roman"/>
          <w:lang w:eastAsia="hi-IN" w:bidi="en-GB"/>
        </w:rPr>
        <w:tab/>
      </w:r>
      <w:r>
        <w:rPr>
          <w:rFonts w:eastAsia="MS Mincho;ＭＳ 明朝" w:cs="Times Ext Roman"/>
          <w:lang w:eastAsia="hi-IN" w:bidi="en-GB"/>
        </w:rPr>
        <w:tab/>
      </w:r>
      <w:r>
        <w:rPr>
          <w:rFonts w:eastAsia="MS Mincho;ＭＳ 明朝" w:cs="Times Ext Roman"/>
          <w:lang w:eastAsia="hi-IN" w:bidi="en-GB"/>
        </w:rPr>
        <w:tab/>
      </w:r>
      <w:r>
        <w:rPr>
          <w:rFonts w:eastAsia="MS Mincho;ＭＳ 明朝" w:cs="Times Ext Roman"/>
          <w:lang w:eastAsia="hi-IN" w:bidi="en-GB"/>
        </w:rPr>
        <w:tab/>
      </w:r>
      <w:r>
        <w:rPr>
          <w:rFonts w:eastAsia="MS Mincho;ＭＳ 明朝" w:cs="Times Ext Roman"/>
          <w:lang w:eastAsia="hi-IN" w:bidi="en-GB"/>
        </w:rPr>
        <w:tab/>
      </w:r>
      <w:r>
        <w:rPr>
          <w:rFonts w:eastAsia="MS Mincho;ＭＳ 明朝" w:cs="Times Ext Roman"/>
          <w:lang w:eastAsia="hi-IN" w:bidi="en-GB"/>
        </w:rPr>
        <w:tab/>
      </w:r>
      <w:r>
        <w:rPr>
          <w:rFonts w:eastAsia="MS Mincho;ＭＳ 明朝" w:cs="Times Ext Roman"/>
          <w:lang w:eastAsia="hi-IN" w:bidi="en-GB"/>
        </w:rPr>
        <w:tab/>
      </w:r>
    </w:p>
    <w:p w14:paraId="0EE69552" w14:textId="77777777" w:rsidR="00E53EB6" w:rsidRDefault="006500F5">
      <w:pPr>
        <w:pStyle w:val="Zitat"/>
        <w:autoSpaceDE w:val="0"/>
        <w:rPr>
          <w:rFonts w:ascii="Times Ext Roman" w:hAnsi="Times Ext Roman"/>
          <w:i/>
          <w:iCs/>
          <w:lang w:eastAsia="hi-IN"/>
        </w:rPr>
      </w:pPr>
      <w:r>
        <w:rPr>
          <w:lang w:eastAsia="hi-IN"/>
        </w:rPr>
        <w:t xml:space="preserve">25.45 </w:t>
      </w:r>
      <w:r>
        <w:rPr>
          <w:i/>
          <w:iCs/>
          <w:lang w:eastAsia="hi-IN"/>
        </w:rPr>
        <w:t>sugávya</w:t>
      </w:r>
      <w:r>
        <w:rPr>
          <w:i/>
          <w:iCs/>
          <w:lang w:eastAsia="hi-IN"/>
        </w:rPr>
        <w:t>ṃ</w:t>
      </w:r>
      <w:r>
        <w:rPr>
          <w:i/>
          <w:iCs/>
          <w:lang w:eastAsia="hi-IN"/>
        </w:rPr>
        <w:t xml:space="preserve"> no vājī́ sváśvya</w:t>
      </w:r>
      <w:r>
        <w:rPr>
          <w:i/>
          <w:iCs/>
          <w:lang w:eastAsia="hi-IN"/>
        </w:rPr>
        <w:t>ṃ</w:t>
      </w:r>
      <w:r>
        <w:rPr>
          <w:i/>
          <w:iCs/>
          <w:lang w:eastAsia="hi-IN"/>
        </w:rPr>
        <w:t xml:space="preserve"> pum̐sá</w:t>
      </w:r>
      <w:r>
        <w:rPr>
          <w:i/>
          <w:iCs/>
          <w:lang w:eastAsia="hi-IN"/>
        </w:rPr>
        <w:t>ḥ</w:t>
      </w:r>
      <w:r>
        <w:rPr>
          <w:i/>
          <w:iCs/>
          <w:lang w:eastAsia="hi-IN"/>
        </w:rPr>
        <w:t xml:space="preserve"> putrā́m̐ utá viśvāpú</w:t>
      </w:r>
      <w:r>
        <w:rPr>
          <w:i/>
          <w:iCs/>
          <w:lang w:eastAsia="hi-IN"/>
        </w:rPr>
        <w:t>ṣ</w:t>
      </w:r>
      <w:r>
        <w:rPr>
          <w:i/>
          <w:iCs/>
          <w:lang w:eastAsia="hi-IN"/>
        </w:rPr>
        <w:t>am̐  rayím \ anāgāstvá</w:t>
      </w:r>
      <w:r>
        <w:rPr>
          <w:i/>
          <w:iCs/>
          <w:lang w:eastAsia="hi-IN"/>
        </w:rPr>
        <w:t>ṃ</w:t>
      </w:r>
      <w:r>
        <w:rPr>
          <w:i/>
          <w:iCs/>
          <w:lang w:eastAsia="hi-IN"/>
        </w:rPr>
        <w:t xml:space="preserve"> no áditi</w:t>
      </w:r>
      <w:r>
        <w:rPr>
          <w:i/>
          <w:iCs/>
          <w:lang w:eastAsia="hi-IN"/>
        </w:rPr>
        <w:t>ḥ</w:t>
      </w:r>
      <w:r>
        <w:rPr>
          <w:i/>
          <w:iCs/>
          <w:lang w:eastAsia="hi-IN"/>
        </w:rPr>
        <w:t xml:space="preserve"> kr̥</w:t>
      </w:r>
      <w:r>
        <w:rPr>
          <w:i/>
          <w:iCs/>
          <w:lang w:eastAsia="hi-IN"/>
        </w:rPr>
        <w:t>ṇ</w:t>
      </w:r>
      <w:r>
        <w:rPr>
          <w:i/>
          <w:iCs/>
          <w:lang w:eastAsia="hi-IN"/>
        </w:rPr>
        <w:t>otu k</w:t>
      </w:r>
      <w:r>
        <w:rPr>
          <w:i/>
          <w:iCs/>
          <w:lang w:eastAsia="hi-IN"/>
        </w:rPr>
        <w:t>ṣ</w:t>
      </w:r>
      <w:r>
        <w:rPr>
          <w:i/>
          <w:iCs/>
          <w:lang w:eastAsia="hi-IN"/>
        </w:rPr>
        <w:t>atrá</w:t>
      </w:r>
      <w:r>
        <w:rPr>
          <w:i/>
          <w:iCs/>
          <w:lang w:eastAsia="hi-IN"/>
        </w:rPr>
        <w:t>ṃ</w:t>
      </w:r>
      <w:r>
        <w:rPr>
          <w:i/>
          <w:iCs/>
          <w:lang w:eastAsia="hi-IN"/>
        </w:rPr>
        <w:t xml:space="preserve"> no áśvo vanatām̐ haví</w:t>
      </w:r>
      <w:r>
        <w:rPr>
          <w:i/>
          <w:iCs/>
          <w:lang w:eastAsia="hi-IN"/>
        </w:rPr>
        <w:t>ṣ</w:t>
      </w:r>
      <w:r>
        <w:rPr>
          <w:i/>
          <w:iCs/>
          <w:lang w:eastAsia="hi-IN"/>
        </w:rPr>
        <w:t>mān \\</w:t>
      </w:r>
    </w:p>
    <w:p w14:paraId="3EFB3618" w14:textId="77777777" w:rsidR="00E53EB6" w:rsidRDefault="006500F5">
      <w:pPr>
        <w:pStyle w:val="Zitat"/>
        <w:autoSpaceDE w:val="0"/>
        <w:rPr>
          <w:rFonts w:ascii="Times Ext Roman" w:hAnsi="Times Ext Roman"/>
          <w:lang w:eastAsia="hi-IN"/>
        </w:rPr>
      </w:pPr>
      <w:r>
        <w:rPr>
          <w:lang w:eastAsia="hi-IN"/>
        </w:rPr>
        <w:t>Wealth of cattle may the steed / price-winner</w:t>
      </w:r>
      <w:r>
        <w:rPr>
          <w:rStyle w:val="FootnoteAnchor"/>
          <w:lang w:eastAsia="hi-IN"/>
        </w:rPr>
        <w:footnoteReference w:id="190"/>
      </w:r>
      <w:r>
        <w:rPr>
          <w:lang w:eastAsia="hi-IN"/>
        </w:rPr>
        <w:t xml:space="preserve">  bring us, wealth of horses, sons and all sustaining riches; may Aditi make us free from sin</w:t>
      </w:r>
      <w:r>
        <w:rPr>
          <w:rStyle w:val="FootnoteAnchor"/>
          <w:rFonts w:cs="Devanagari MT;Times New Roman"/>
          <w:lang w:eastAsia="hi-IN"/>
        </w:rPr>
        <w:footnoteReference w:id="191"/>
      </w:r>
      <w:r>
        <w:rPr>
          <w:lang w:eastAsia="hi-IN"/>
        </w:rPr>
        <w:t xml:space="preserve">, let the horse endowed with oblations </w:t>
      </w:r>
      <w:r>
        <w:rPr>
          <w:u w:val="single"/>
          <w:lang w:eastAsia="hi-IN"/>
        </w:rPr>
        <w:t xml:space="preserve">appropriate </w:t>
      </w:r>
      <w:r>
        <w:rPr>
          <w:lang w:eastAsia="hi-IN"/>
        </w:rPr>
        <w:t xml:space="preserve">for us </w:t>
      </w:r>
      <w:r>
        <w:rPr>
          <w:lang w:eastAsia="hi-IN"/>
        </w:rPr>
        <w:t>the lordship.</w:t>
      </w:r>
    </w:p>
    <w:p w14:paraId="4656FF40" w14:textId="77777777" w:rsidR="00E53EB6" w:rsidRDefault="006500F5">
      <w:pPr>
        <w:pStyle w:val="Zitat"/>
        <w:autoSpaceDE w:val="0"/>
        <w:rPr>
          <w:lang w:eastAsia="hi-IN"/>
        </w:rPr>
      </w:pPr>
      <w:r>
        <w:rPr>
          <w:i/>
          <w:iCs/>
          <w:lang w:eastAsia="hi-IN"/>
        </w:rPr>
        <w:lastRenderedPageBreak/>
        <w:t>vanatām:</w:t>
      </w:r>
      <w:r>
        <w:rPr>
          <w:lang w:eastAsia="hi-IN"/>
        </w:rPr>
        <w:t xml:space="preserve"> impv. pres. 3</w:t>
      </w:r>
      <w:r>
        <w:rPr>
          <w:vertAlign w:val="superscript"/>
          <w:lang w:eastAsia="hi-IN"/>
        </w:rPr>
        <w:t>rd</w:t>
      </w:r>
      <w:r>
        <w:rPr>
          <w:lang w:eastAsia="hi-IN"/>
        </w:rPr>
        <w:t xml:space="preserve"> sing. Ā I-VI cl.</w:t>
      </w:r>
    </w:p>
    <w:p w14:paraId="128B0D80" w14:textId="77777777" w:rsidR="00E53EB6" w:rsidRDefault="006500F5">
      <w:pPr>
        <w:pStyle w:val="ZitatmitEinzug"/>
        <w:autoSpaceDE w:val="0"/>
        <w:rPr>
          <w:rFonts w:eastAsia="Arial" w:cs="Times Ext Roman"/>
          <w:szCs w:val="18"/>
          <w:lang w:eastAsia="hi-IN" w:bidi="en-GB"/>
        </w:rPr>
      </w:pPr>
      <w:r>
        <w:rPr>
          <w:rStyle w:val="biblio-authorGEN"/>
          <w:rFonts w:eastAsia="Arial" w:cs="Times Ext Roman"/>
          <w:sz w:val="18"/>
          <w:szCs w:val="15"/>
          <w:lang w:eastAsia="hi-IN" w:bidi="en-GB"/>
        </w:rPr>
        <w:t>Geldner</w:t>
      </w:r>
      <w:r>
        <w:rPr>
          <w:rFonts w:eastAsia="Arial" w:cs="Times Ext Roman"/>
          <w:szCs w:val="18"/>
          <w:lang w:eastAsia="hi-IN" w:bidi="en-GB"/>
        </w:rPr>
        <w:t>: I 225 “soll erringen”</w:t>
      </w:r>
    </w:p>
    <w:p w14:paraId="7B919368" w14:textId="77777777" w:rsidR="00E53EB6" w:rsidRDefault="006500F5">
      <w:pPr>
        <w:pStyle w:val="ZitatmitEinzug"/>
        <w:autoSpaceDE w:val="0"/>
        <w:rPr>
          <w:rFonts w:eastAsia="Arial" w:cs="Times Ext Roman"/>
          <w:szCs w:val="18"/>
          <w:lang w:eastAsia="hi-IN" w:bidi="en-GB"/>
        </w:rPr>
      </w:pPr>
      <w:r>
        <w:rPr>
          <w:rStyle w:val="biblio-authorGEN"/>
          <w:rFonts w:eastAsia="Arial" w:cs="Times Ext Roman"/>
          <w:sz w:val="18"/>
          <w:szCs w:val="18"/>
          <w:lang w:eastAsia="hi-IN" w:bidi="en-GB"/>
        </w:rPr>
        <w:t>O´Flaherty</w:t>
      </w:r>
      <w:r>
        <w:rPr>
          <w:rFonts w:eastAsia="Arial" w:cs="Times Ext Roman"/>
          <w:szCs w:val="18"/>
          <w:lang w:eastAsia="hi-IN" w:bidi="en-GB"/>
        </w:rPr>
        <w:t xml:space="preserve"> 1984: 92 “achieve”</w:t>
      </w:r>
    </w:p>
    <w:p w14:paraId="1AD0E78F" w14:textId="77777777" w:rsidR="00E53EB6" w:rsidRDefault="006500F5">
      <w:pPr>
        <w:pStyle w:val="ZitatmitEinzug"/>
        <w:autoSpaceDE w:val="0"/>
        <w:rPr>
          <w:rFonts w:eastAsia="Arial" w:cs="Times Ext Roman"/>
          <w:szCs w:val="18"/>
          <w:lang w:eastAsia="hi-IN" w:bidi="en-GB"/>
        </w:rPr>
      </w:pPr>
      <w:r>
        <w:rPr>
          <w:rFonts w:eastAsia="Arial" w:cs="Times Ext Roman"/>
          <w:szCs w:val="18"/>
          <w:lang w:eastAsia="hi-IN" w:bidi="en-US"/>
        </w:rPr>
        <w:t xml:space="preserve">Griffith in </w:t>
      </w:r>
      <w:r>
        <w:rPr>
          <w:rStyle w:val="biblio-authorGEN"/>
          <w:rFonts w:eastAsia="Arial" w:cs="Times Ext Roman"/>
          <w:sz w:val="18"/>
          <w:szCs w:val="15"/>
          <w:lang w:eastAsia="hi-IN" w:bidi="en-US"/>
        </w:rPr>
        <w:t>Arya</w:t>
      </w:r>
      <w:r>
        <w:rPr>
          <w:rFonts w:eastAsia="Arial" w:cs="Times Ext Roman"/>
          <w:szCs w:val="18"/>
          <w:lang w:eastAsia="hi-IN" w:bidi="en-US"/>
        </w:rPr>
        <w:t xml:space="preserve"> 1999: 373</w:t>
      </w:r>
      <w:r>
        <w:rPr>
          <w:rFonts w:eastAsia="Arial" w:cs="Times Ext Roman"/>
          <w:szCs w:val="18"/>
          <w:lang w:eastAsia="hi-IN" w:bidi="en-GB"/>
        </w:rPr>
        <w:t xml:space="preserve"> “gain”</w:t>
      </w:r>
    </w:p>
    <w:p w14:paraId="5B500648" w14:textId="77777777" w:rsidR="00E53EB6" w:rsidRDefault="006500F5">
      <w:pPr>
        <w:pStyle w:val="HaupttextnachZitat"/>
        <w:numPr>
          <w:ilvl w:val="2"/>
          <w:numId w:val="2"/>
        </w:numPr>
        <w:tabs>
          <w:tab w:val="left" w:pos="0"/>
        </w:tabs>
      </w:pPr>
      <w:r>
        <w:t>Vedic Web</w:t>
      </w:r>
    </w:p>
    <w:p w14:paraId="280DCDE0" w14:textId="77777777" w:rsidR="00E53EB6" w:rsidRDefault="006500F5">
      <w:pPr>
        <w:pStyle w:val="HaupttextohneEinzug"/>
      </w:pPr>
      <w:r>
        <w:t xml:space="preserve">Mantra: </w:t>
      </w:r>
      <w:r>
        <w:rPr>
          <w:szCs w:val="21"/>
        </w:rPr>
        <w:t>R</w:t>
      </w:r>
      <w:r>
        <w:rPr>
          <w:rFonts w:eastAsia="Arial" w:cs="Devanagari MT;Times New Roman"/>
          <w:szCs w:val="21"/>
          <w:lang w:eastAsia="hi-IN" w:bidi="en-GB"/>
        </w:rPr>
        <w:t>̥</w:t>
      </w:r>
      <w:r>
        <w:rPr>
          <w:szCs w:val="21"/>
        </w:rPr>
        <w:t>V</w:t>
      </w:r>
      <w:r>
        <w:t xml:space="preserve"> 1.162.22 Dīrghatamas; TS 4.6.9.4l; </w:t>
      </w:r>
      <w:r>
        <w:t xml:space="preserve">KS Aśvamedha </w:t>
      </w:r>
      <w:r>
        <w:rPr>
          <w:i/>
          <w:iCs/>
        </w:rPr>
        <w:t>grantha</w:t>
      </w:r>
      <w:r>
        <w:t xml:space="preserve"> 6.5: III 176,2-3 (</w:t>
      </w:r>
      <w:r>
        <w:rPr>
          <w:i/>
          <w:iCs/>
        </w:rPr>
        <w:t xml:space="preserve">vanate </w:t>
      </w:r>
      <w:r>
        <w:t>subj.  root aor. 3</w:t>
      </w:r>
      <w:r>
        <w:rPr>
          <w:vertAlign w:val="superscript"/>
        </w:rPr>
        <w:t>rd</w:t>
      </w:r>
      <w:r>
        <w:t xml:space="preserve"> sing. Ā).  </w:t>
      </w:r>
    </w:p>
    <w:p w14:paraId="349FDC6C" w14:textId="77777777" w:rsidR="00E53EB6" w:rsidRDefault="00E53EB6">
      <w:pPr>
        <w:pStyle w:val="HaupttextohneEinzug"/>
      </w:pPr>
    </w:p>
    <w:p w14:paraId="73D7F119" w14:textId="77777777" w:rsidR="00E53EB6" w:rsidRDefault="006500F5">
      <w:pPr>
        <w:pStyle w:val="HaupttextohneEinzug"/>
      </w:pPr>
      <w:r>
        <w:t>Rite</w:t>
      </w:r>
    </w:p>
    <w:p w14:paraId="3E49526E" w14:textId="77777777" w:rsidR="00E53EB6" w:rsidRDefault="006500F5">
      <w:pPr>
        <w:pStyle w:val="HaupttextohneEinzug"/>
      </w:pPr>
      <w:r>
        <w:t xml:space="preserve">Aśvamedha. The horse sacrifice occupies a special place in the TS which gives little more than the </w:t>
      </w:r>
      <w:r>
        <w:rPr>
          <w:i/>
          <w:iCs/>
        </w:rPr>
        <w:t>mantra</w:t>
      </w:r>
      <w:r>
        <w:t>s</w:t>
      </w:r>
      <w:r>
        <w:t>. The VS deals with it in the later books, 23-25, and the ŚB in the book 13</w:t>
      </w:r>
      <w:r>
        <w:rPr>
          <w:position w:val="6"/>
          <w:sz w:val="12"/>
        </w:rPr>
        <w:t>th</w:t>
      </w:r>
      <w:r>
        <w:t xml:space="preserve">. The two hymns clearly related to this sacrifice are </w:t>
      </w:r>
      <w:r>
        <w:rPr>
          <w:szCs w:val="21"/>
        </w:rPr>
        <w:t>R</w:t>
      </w:r>
      <w:r>
        <w:rPr>
          <w:rFonts w:eastAsia="Arial" w:cs="Devanagari MT;Times New Roman"/>
          <w:szCs w:val="21"/>
          <w:lang w:eastAsia="hi-IN" w:bidi="en-GB"/>
        </w:rPr>
        <w:t>̥</w:t>
      </w:r>
      <w:r>
        <w:rPr>
          <w:szCs w:val="21"/>
        </w:rPr>
        <w:t>V</w:t>
      </w:r>
      <w:r>
        <w:t xml:space="preserve"> 1.162 and 1.163</w:t>
      </w:r>
      <w:r>
        <w:t xml:space="preserve"> (also </w:t>
      </w:r>
      <w:r>
        <w:rPr>
          <w:szCs w:val="21"/>
        </w:rPr>
        <w:t>R</w:t>
      </w:r>
      <w:r>
        <w:rPr>
          <w:rFonts w:eastAsia="Arial" w:cs="Devanagari MT;Times New Roman"/>
          <w:szCs w:val="21"/>
          <w:lang w:eastAsia="hi-IN" w:bidi="en-GB"/>
        </w:rPr>
        <w:t>̥</w:t>
      </w:r>
      <w:r>
        <w:rPr>
          <w:szCs w:val="21"/>
        </w:rPr>
        <w:t>V</w:t>
      </w:r>
      <w:r>
        <w:t xml:space="preserve"> 6.75 and 6.47 are used). Cf. Keith 1914: 132 ss.  </w:t>
      </w:r>
      <w:r>
        <w:rPr>
          <w:rFonts w:eastAsia="MS Mincho;ＭＳ 明朝" w:cs="Times Ext Roman"/>
          <w:sz w:val="22"/>
          <w:szCs w:val="22"/>
          <w:lang w:eastAsia="hi-IN" w:bidi="en-GB"/>
        </w:rPr>
        <w:t xml:space="preserve">This </w:t>
      </w:r>
      <w:r>
        <w:rPr>
          <w:rFonts w:eastAsia="MS Mincho;ＭＳ 明朝" w:cs="Times Ext Roman"/>
          <w:i/>
          <w:iCs/>
          <w:sz w:val="22"/>
          <w:szCs w:val="22"/>
          <w:lang w:eastAsia="hi-IN" w:bidi="en-GB"/>
        </w:rPr>
        <w:t>mantra</w:t>
      </w:r>
      <w:r>
        <w:rPr>
          <w:rFonts w:eastAsia="MS Mincho;ＭＳ 明朝" w:cs="Times Ext Roman"/>
          <w:sz w:val="22"/>
          <w:szCs w:val="22"/>
          <w:lang w:eastAsia="hi-IN" w:bidi="en-GB"/>
        </w:rPr>
        <w:t xml:space="preserve"> is a praise for the steed that has been slaughte</w:t>
      </w:r>
      <w:r>
        <w:rPr>
          <w:rFonts w:eastAsia="MS Mincho;ＭＳ 明朝" w:cs="Times Ext Roman"/>
          <w:color w:val="000000"/>
          <w:sz w:val="22"/>
          <w:szCs w:val="22"/>
          <w:lang w:eastAsia="hi-IN" w:bidi="en-GB"/>
        </w:rPr>
        <w:t>red.</w:t>
      </w:r>
    </w:p>
    <w:p w14:paraId="1DEC13AA" w14:textId="77777777" w:rsidR="00E53EB6" w:rsidRDefault="00E53EB6">
      <w:pPr>
        <w:pStyle w:val="HaupttextohneEinzug"/>
        <w:autoSpaceDE w:val="0"/>
        <w:rPr>
          <w:rFonts w:eastAsia="MS Mincho;ＭＳ 明朝" w:cs="Times Ext Roman"/>
          <w:sz w:val="22"/>
          <w:szCs w:val="22"/>
          <w:lang w:eastAsia="hi-IN" w:bidi="en-GB"/>
        </w:rPr>
      </w:pPr>
    </w:p>
    <w:p w14:paraId="04BB2219" w14:textId="77777777" w:rsidR="00E53EB6" w:rsidRDefault="00E53EB6">
      <w:pPr>
        <w:pStyle w:val="HaupttextohneEinzug"/>
        <w:autoSpaceDE w:val="0"/>
        <w:rPr>
          <w:rFonts w:eastAsia="MS Mincho;ＭＳ 明朝" w:cs="Times Ext Roman"/>
          <w:sz w:val="22"/>
          <w:szCs w:val="22"/>
          <w:lang w:eastAsia="hi-IN" w:bidi="en-GB"/>
        </w:rPr>
      </w:pPr>
    </w:p>
    <w:p w14:paraId="1A17DB8C" w14:textId="77777777" w:rsidR="00E53EB6" w:rsidRDefault="006500F5">
      <w:pPr>
        <w:pStyle w:val="Heading4"/>
        <w:tabs>
          <w:tab w:val="left" w:pos="0"/>
        </w:tabs>
      </w:pPr>
      <w:r>
        <w:t>SV Sa</w:t>
      </w:r>
      <w:r>
        <w:t>ṃ</w:t>
      </w:r>
      <w:r>
        <w:t>hitā occurrences</w:t>
      </w:r>
    </w:p>
    <w:p w14:paraId="204E41C2" w14:textId="77777777" w:rsidR="00E53EB6" w:rsidRDefault="006500F5">
      <w:pPr>
        <w:pStyle w:val="Hauptext"/>
      </w:pPr>
      <w:r>
        <w:t xml:space="preserve">The text of the </w:t>
      </w:r>
      <w:r>
        <w:rPr>
          <w:i/>
          <w:iCs/>
          <w:lang w:bidi="it-IT"/>
        </w:rPr>
        <w:t>Kauthumasa</w:t>
      </w:r>
      <w:r>
        <w:rPr>
          <w:i/>
          <w:iCs/>
          <w:lang w:bidi="it-IT"/>
        </w:rPr>
        <w:t>ṃ</w:t>
      </w:r>
      <w:r>
        <w:rPr>
          <w:i/>
          <w:iCs/>
          <w:lang w:bidi="it-IT"/>
        </w:rPr>
        <w:t xml:space="preserve">hitā </w:t>
      </w:r>
      <w:r>
        <w:rPr>
          <w:lang w:bidi="it-IT"/>
        </w:rPr>
        <w:t xml:space="preserve">is after  Ś. D. Sāntavalekara, </w:t>
      </w:r>
      <w:r>
        <w:rPr>
          <w:i/>
          <w:iCs/>
          <w:lang w:bidi="it-IT"/>
        </w:rPr>
        <w:t>Sāmaveda Sa</w:t>
      </w:r>
      <w:r>
        <w:rPr>
          <w:i/>
          <w:iCs/>
          <w:lang w:bidi="it-IT"/>
        </w:rPr>
        <w:t>ṃ</w:t>
      </w:r>
      <w:r>
        <w:rPr>
          <w:i/>
          <w:iCs/>
          <w:lang w:bidi="it-IT"/>
        </w:rPr>
        <w:t xml:space="preserve">hitā, mit Noten von </w:t>
      </w:r>
      <w:r>
        <w:rPr>
          <w:i/>
          <w:iCs/>
          <w:lang w:bidi="it-IT"/>
        </w:rPr>
        <w:t>śrīpāda Dāmodara Sāntavalekara</w:t>
      </w:r>
      <w:r>
        <w:rPr>
          <w:lang w:bidi="it-IT"/>
        </w:rPr>
        <w:t>, Para</w:t>
      </w:r>
      <w:r>
        <w:rPr>
          <w:lang w:bidi="it-IT"/>
        </w:rPr>
        <w:t>ḍ</w:t>
      </w:r>
      <w:r>
        <w:rPr>
          <w:lang w:bidi="it-IT"/>
        </w:rPr>
        <w:t xml:space="preserve">i, </w:t>
      </w:r>
      <w:r>
        <w:rPr>
          <w:lang w:bidi="it-IT"/>
        </w:rPr>
        <w:tab/>
        <w:t>Bombay,</w:t>
      </w:r>
      <w:r>
        <w:rPr>
          <w:rStyle w:val="biblio-authorGEN"/>
          <w:lang w:eastAsia="it-IT" w:bidi="it-IT"/>
        </w:rPr>
        <w:t xml:space="preserve"> </w:t>
      </w:r>
      <w:r>
        <w:rPr>
          <w:rFonts w:eastAsia="Arial Unicode MS"/>
          <w:caps/>
          <w:color w:val="000000"/>
          <w:lang w:eastAsia="it-IT" w:bidi="it-IT"/>
        </w:rPr>
        <w:t xml:space="preserve">1946; </w:t>
      </w:r>
      <w:r>
        <w:rPr>
          <w:lang w:bidi="it-IT"/>
        </w:rPr>
        <w:t xml:space="preserve">and T. Benfey, </w:t>
      </w:r>
      <w:r>
        <w:rPr>
          <w:i/>
          <w:iCs/>
          <w:lang w:bidi="it-IT"/>
        </w:rPr>
        <w:t>Hymnen des Sāma-Veda, herausgegeben, übersetzt und mit Glossar versehen von Theodor Benfey</w:t>
      </w:r>
      <w:r>
        <w:rPr>
          <w:lang w:bidi="it-IT"/>
        </w:rPr>
        <w:t xml:space="preserve">, Brockhaus, Leipzig, 1948. While the </w:t>
      </w:r>
      <w:r>
        <w:rPr>
          <w:i/>
          <w:iCs/>
          <w:lang w:bidi="it-IT"/>
        </w:rPr>
        <w:t>Jaiminīyasa</w:t>
      </w:r>
      <w:r>
        <w:rPr>
          <w:i/>
          <w:iCs/>
          <w:lang w:bidi="it-IT"/>
        </w:rPr>
        <w:t>ṃ</w:t>
      </w:r>
      <w:r>
        <w:rPr>
          <w:i/>
          <w:iCs/>
          <w:lang w:bidi="it-IT"/>
        </w:rPr>
        <w:t xml:space="preserve">hitā </w:t>
      </w:r>
      <w:r>
        <w:rPr>
          <w:lang w:bidi="it-IT"/>
        </w:rPr>
        <w:t xml:space="preserve">is after Raghu Vira, </w:t>
      </w:r>
      <w:r>
        <w:rPr>
          <w:i/>
          <w:iCs/>
          <w:lang w:bidi="it-IT"/>
        </w:rPr>
        <w:t>Sāma Veda of the Jai</w:t>
      </w:r>
      <w:r>
        <w:rPr>
          <w:i/>
          <w:iCs/>
          <w:lang w:bidi="it-IT"/>
        </w:rPr>
        <w:t>minīyas</w:t>
      </w:r>
      <w:r>
        <w:rPr>
          <w:lang w:bidi="it-IT"/>
        </w:rPr>
        <w:t xml:space="preserve">, International Academy of Indian Culture, Lahore, 1938. </w:t>
      </w:r>
    </w:p>
    <w:p w14:paraId="753D7648" w14:textId="77777777" w:rsidR="00E53EB6" w:rsidRDefault="006500F5">
      <w:pPr>
        <w:pStyle w:val="Heading5"/>
        <w:tabs>
          <w:tab w:val="left" w:pos="0"/>
        </w:tabs>
      </w:pPr>
      <w:r>
        <w:rPr>
          <w:i/>
          <w:iCs/>
          <w:lang w:bidi="it-IT"/>
        </w:rPr>
        <w:t>Jaiminīyasa</w:t>
      </w:r>
      <w:r>
        <w:rPr>
          <w:i/>
          <w:iCs/>
          <w:lang w:bidi="it-IT"/>
        </w:rPr>
        <w:t>ṃ</w:t>
      </w:r>
      <w:r>
        <w:rPr>
          <w:i/>
          <w:iCs/>
          <w:lang w:bidi="it-IT"/>
        </w:rPr>
        <w:t>hitā</w:t>
      </w:r>
      <w:r>
        <w:rPr>
          <w:lang w:bidi="it-IT"/>
        </w:rPr>
        <w:t xml:space="preserve"> (17) and </w:t>
      </w:r>
      <w:r>
        <w:rPr>
          <w:i/>
          <w:iCs/>
          <w:lang w:bidi="it-IT"/>
        </w:rPr>
        <w:t>Kauthumasa</w:t>
      </w:r>
      <w:r>
        <w:rPr>
          <w:i/>
          <w:iCs/>
          <w:lang w:bidi="it-IT"/>
        </w:rPr>
        <w:t>ṃ</w:t>
      </w:r>
      <w:r>
        <w:rPr>
          <w:i/>
          <w:iCs/>
          <w:lang w:bidi="it-IT"/>
        </w:rPr>
        <w:t xml:space="preserve">hitā </w:t>
      </w:r>
      <w:r>
        <w:rPr>
          <w:lang w:bidi="it-IT"/>
        </w:rPr>
        <w:t>(13</w:t>
      </w:r>
      <w:r>
        <w:rPr>
          <w:lang w:bidi="it-IT"/>
        </w:rPr>
        <w:t xml:space="preserve">) </w:t>
      </w:r>
    </w:p>
    <w:p w14:paraId="51EF9AF2" w14:textId="77777777" w:rsidR="00E53EB6" w:rsidRDefault="00E53EB6">
      <w:pPr>
        <w:pStyle w:val="HaupttextohneEinzug"/>
        <w:rPr>
          <w:sz w:val="24"/>
          <w:szCs w:val="24"/>
          <w:lang w:bidi="it-IT"/>
        </w:rPr>
      </w:pPr>
    </w:p>
    <w:tbl>
      <w:tblPr>
        <w:tblW w:w="8420" w:type="dxa"/>
        <w:tblLayout w:type="fixed"/>
        <w:tblCellMar>
          <w:top w:w="55" w:type="dxa"/>
          <w:left w:w="55" w:type="dxa"/>
          <w:bottom w:w="55" w:type="dxa"/>
          <w:right w:w="55" w:type="dxa"/>
        </w:tblCellMar>
        <w:tblLook w:val="04A0" w:firstRow="1" w:lastRow="0" w:firstColumn="1" w:lastColumn="0" w:noHBand="0" w:noVBand="1"/>
      </w:tblPr>
      <w:tblGrid>
        <w:gridCol w:w="1094"/>
        <w:gridCol w:w="2546"/>
        <w:gridCol w:w="1280"/>
        <w:gridCol w:w="3500"/>
      </w:tblGrid>
      <w:tr w:rsidR="00E53EB6" w14:paraId="3F726DDB" w14:textId="77777777">
        <w:tc>
          <w:tcPr>
            <w:tcW w:w="1094" w:type="dxa"/>
            <w:tcBorders>
              <w:top w:val="single" w:sz="2" w:space="0" w:color="000000"/>
              <w:left w:val="single" w:sz="2" w:space="0" w:color="000000"/>
              <w:bottom w:val="single" w:sz="2" w:space="0" w:color="000000"/>
            </w:tcBorders>
          </w:tcPr>
          <w:p w14:paraId="70181A3E" w14:textId="77777777" w:rsidR="00E53EB6" w:rsidRDefault="006500F5">
            <w:pPr>
              <w:pStyle w:val="HaupttextohneEinzug"/>
            </w:pPr>
            <w:r>
              <w:t>JS</w:t>
            </w:r>
          </w:p>
        </w:tc>
        <w:tc>
          <w:tcPr>
            <w:tcW w:w="2546" w:type="dxa"/>
            <w:tcBorders>
              <w:top w:val="single" w:sz="2" w:space="0" w:color="000000"/>
              <w:left w:val="single" w:sz="2" w:space="0" w:color="000000"/>
              <w:bottom w:val="single" w:sz="2" w:space="0" w:color="000000"/>
            </w:tcBorders>
          </w:tcPr>
          <w:p w14:paraId="67B39EAD" w14:textId="77777777" w:rsidR="00E53EB6" w:rsidRDefault="006500F5">
            <w:pPr>
              <w:pStyle w:val="HaupttextohneEinzug"/>
            </w:pPr>
            <w:r>
              <w:t>KauS (KauS ^ JS)</w:t>
            </w:r>
          </w:p>
        </w:tc>
        <w:tc>
          <w:tcPr>
            <w:tcW w:w="1280" w:type="dxa"/>
            <w:tcBorders>
              <w:top w:val="single" w:sz="2" w:space="0" w:color="000000"/>
              <w:left w:val="single" w:sz="2" w:space="0" w:color="000000"/>
              <w:bottom w:val="single" w:sz="2" w:space="0" w:color="000000"/>
            </w:tcBorders>
          </w:tcPr>
          <w:p w14:paraId="70DB5140" w14:textId="77777777" w:rsidR="00E53EB6" w:rsidRDefault="006500F5">
            <w:pPr>
              <w:pStyle w:val="HaupttextohneEinzug"/>
            </w:pPr>
            <w:r>
              <w:t>R̥V</w:t>
            </w:r>
          </w:p>
        </w:tc>
        <w:tc>
          <w:tcPr>
            <w:tcW w:w="3500" w:type="dxa"/>
            <w:tcBorders>
              <w:top w:val="single" w:sz="2" w:space="0" w:color="000000"/>
              <w:left w:val="single" w:sz="2" w:space="0" w:color="000000"/>
              <w:bottom w:val="single" w:sz="2" w:space="0" w:color="000000"/>
              <w:right w:val="single" w:sz="2" w:space="0" w:color="000000"/>
            </w:tcBorders>
          </w:tcPr>
          <w:p w14:paraId="28C8EE80" w14:textId="77777777" w:rsidR="00E53EB6" w:rsidRDefault="006500F5">
            <w:pPr>
              <w:pStyle w:val="HaupttextohneEinzug"/>
            </w:pPr>
            <w:r>
              <w:t>notes (JS ^ R̥V)</w:t>
            </w:r>
          </w:p>
        </w:tc>
      </w:tr>
      <w:tr w:rsidR="00E53EB6" w14:paraId="7C58C888" w14:textId="77777777">
        <w:tc>
          <w:tcPr>
            <w:tcW w:w="1094" w:type="dxa"/>
            <w:tcBorders>
              <w:left w:val="single" w:sz="2" w:space="0" w:color="000000"/>
              <w:bottom w:val="single" w:sz="2" w:space="0" w:color="000000"/>
            </w:tcBorders>
          </w:tcPr>
          <w:p w14:paraId="23ED3DBB" w14:textId="77777777" w:rsidR="00E53EB6" w:rsidRDefault="006500F5">
            <w:pPr>
              <w:pStyle w:val="HaupttextohneEinzug"/>
            </w:pPr>
            <w:r>
              <w:t>1.3.2</w:t>
            </w:r>
          </w:p>
        </w:tc>
        <w:tc>
          <w:tcPr>
            <w:tcW w:w="2546" w:type="dxa"/>
            <w:tcBorders>
              <w:left w:val="single" w:sz="2" w:space="0" w:color="000000"/>
              <w:bottom w:val="single" w:sz="2" w:space="0" w:color="000000"/>
            </w:tcBorders>
          </w:tcPr>
          <w:p w14:paraId="5F65FA3C" w14:textId="77777777" w:rsidR="00E53EB6" w:rsidRDefault="006500F5">
            <w:pPr>
              <w:pStyle w:val="HaupttextohneEinzug"/>
            </w:pPr>
            <w:r>
              <w:t>22 =JS</w:t>
            </w:r>
          </w:p>
        </w:tc>
        <w:tc>
          <w:tcPr>
            <w:tcW w:w="1280" w:type="dxa"/>
            <w:tcBorders>
              <w:left w:val="single" w:sz="2" w:space="0" w:color="000000"/>
              <w:bottom w:val="single" w:sz="2" w:space="0" w:color="000000"/>
            </w:tcBorders>
          </w:tcPr>
          <w:p w14:paraId="663DBEB0" w14:textId="77777777" w:rsidR="00E53EB6" w:rsidRDefault="006500F5">
            <w:pPr>
              <w:pStyle w:val="HaupttextohneEinzug"/>
            </w:pPr>
            <w:r>
              <w:t>6.16.28</w:t>
            </w:r>
          </w:p>
        </w:tc>
        <w:tc>
          <w:tcPr>
            <w:tcW w:w="3500" w:type="dxa"/>
            <w:tcBorders>
              <w:left w:val="single" w:sz="2" w:space="0" w:color="000000"/>
              <w:bottom w:val="single" w:sz="2" w:space="0" w:color="000000"/>
              <w:right w:val="single" w:sz="2" w:space="0" w:color="000000"/>
            </w:tcBorders>
          </w:tcPr>
          <w:p w14:paraId="69C95F8B" w14:textId="77777777" w:rsidR="00E53EB6" w:rsidRDefault="006500F5">
            <w:pPr>
              <w:pStyle w:val="HaupttextohneEinzug"/>
            </w:pPr>
            <w:r>
              <w:rPr>
                <w:i/>
                <w:iCs/>
              </w:rPr>
              <w:t>ya</w:t>
            </w:r>
            <w:r>
              <w:rPr>
                <w:i/>
                <w:iCs/>
              </w:rPr>
              <w:t>ṃ</w:t>
            </w:r>
            <w:r>
              <w:rPr>
                <w:i/>
                <w:iCs/>
              </w:rPr>
              <w:t>sad</w:t>
            </w:r>
            <w:r>
              <w:t xml:space="preserve"> ^ </w:t>
            </w:r>
            <w:r>
              <w:rPr>
                <w:i/>
                <w:iCs/>
              </w:rPr>
              <w:t>yasād</w:t>
            </w:r>
          </w:p>
          <w:p w14:paraId="6D635021" w14:textId="77777777" w:rsidR="00E53EB6" w:rsidRDefault="006500F5">
            <w:pPr>
              <w:pStyle w:val="HaupttextohneEinzug"/>
            </w:pPr>
            <w:r>
              <w:t>= VS 17.16; KpS 28.2 (=RV)</w:t>
            </w:r>
          </w:p>
          <w:p w14:paraId="1605ECC4" w14:textId="77777777" w:rsidR="00E53EB6" w:rsidRDefault="006500F5">
            <w:pPr>
              <w:pStyle w:val="HaupttextohneEinzug"/>
            </w:pPr>
            <w:r>
              <w:t>TS 4.6.1.5; K</w:t>
            </w:r>
            <w:r>
              <w:t>ṭ</w:t>
            </w:r>
            <w:r>
              <w:t>S 18.1 (=JS)</w:t>
            </w:r>
          </w:p>
        </w:tc>
      </w:tr>
      <w:tr w:rsidR="00E53EB6" w14:paraId="19240FA8" w14:textId="77777777">
        <w:tc>
          <w:tcPr>
            <w:tcW w:w="1094" w:type="dxa"/>
            <w:tcBorders>
              <w:left w:val="single" w:sz="2" w:space="0" w:color="000000"/>
              <w:bottom w:val="single" w:sz="2" w:space="0" w:color="000000"/>
            </w:tcBorders>
          </w:tcPr>
          <w:p w14:paraId="7512057C" w14:textId="77777777" w:rsidR="00E53EB6" w:rsidRDefault="006500F5">
            <w:pPr>
              <w:pStyle w:val="HaupttextohneEinzug"/>
            </w:pPr>
            <w:r>
              <w:t>1.14.4</w:t>
            </w:r>
          </w:p>
        </w:tc>
        <w:tc>
          <w:tcPr>
            <w:tcW w:w="2546" w:type="dxa"/>
            <w:tcBorders>
              <w:left w:val="single" w:sz="2" w:space="0" w:color="000000"/>
              <w:bottom w:val="single" w:sz="2" w:space="0" w:color="000000"/>
            </w:tcBorders>
          </w:tcPr>
          <w:p w14:paraId="4F695E75" w14:textId="77777777" w:rsidR="00E53EB6" w:rsidRDefault="006500F5">
            <w:pPr>
              <w:pStyle w:val="HaupttextohneEinzug"/>
            </w:pPr>
            <w:r>
              <w:t xml:space="preserve">128  </w:t>
            </w:r>
            <w:r>
              <w:rPr>
                <w:sz w:val="20"/>
                <w:szCs w:val="20"/>
              </w:rPr>
              <w:t>(</w:t>
            </w:r>
            <w:r>
              <w:rPr>
                <w:i/>
                <w:iCs/>
                <w:sz w:val="20"/>
                <w:szCs w:val="20"/>
              </w:rPr>
              <w:t>yamat ^ yamata</w:t>
            </w:r>
            <w:r>
              <w:rPr>
                <w:sz w:val="20"/>
                <w:szCs w:val="20"/>
              </w:rPr>
              <w:t>)</w:t>
            </w:r>
          </w:p>
        </w:tc>
        <w:tc>
          <w:tcPr>
            <w:tcW w:w="1280" w:type="dxa"/>
            <w:tcBorders>
              <w:left w:val="single" w:sz="2" w:space="0" w:color="000000"/>
              <w:bottom w:val="single" w:sz="2" w:space="0" w:color="000000"/>
            </w:tcBorders>
          </w:tcPr>
          <w:p w14:paraId="18598473" w14:textId="77777777" w:rsidR="00E53EB6" w:rsidRDefault="006500F5">
            <w:pPr>
              <w:pStyle w:val="HaupttextohneEinzug"/>
            </w:pPr>
            <w:r>
              <w:t>8.92.31</w:t>
            </w:r>
          </w:p>
        </w:tc>
        <w:tc>
          <w:tcPr>
            <w:tcW w:w="3500" w:type="dxa"/>
            <w:tcBorders>
              <w:left w:val="single" w:sz="2" w:space="0" w:color="000000"/>
              <w:bottom w:val="single" w:sz="2" w:space="0" w:color="000000"/>
              <w:right w:val="single" w:sz="2" w:space="0" w:color="000000"/>
            </w:tcBorders>
          </w:tcPr>
          <w:p w14:paraId="3D3AF05E" w14:textId="77777777" w:rsidR="00E53EB6" w:rsidRDefault="006500F5">
            <w:pPr>
              <w:pStyle w:val="HaupttextohneEinzug"/>
            </w:pPr>
            <w:r>
              <w:rPr>
                <w:i/>
                <w:iCs/>
              </w:rPr>
              <w:t>yamata</w:t>
            </w:r>
            <w:r>
              <w:t xml:space="preserve"> ^ </w:t>
            </w:r>
            <w:r>
              <w:rPr>
                <w:i/>
                <w:iCs/>
              </w:rPr>
              <w:t>yaman</w:t>
            </w:r>
          </w:p>
        </w:tc>
      </w:tr>
      <w:tr w:rsidR="00E53EB6" w14:paraId="651FF626" w14:textId="77777777">
        <w:tc>
          <w:tcPr>
            <w:tcW w:w="1094" w:type="dxa"/>
            <w:tcBorders>
              <w:left w:val="single" w:sz="2" w:space="0" w:color="000000"/>
              <w:bottom w:val="single" w:sz="2" w:space="0" w:color="000000"/>
            </w:tcBorders>
          </w:tcPr>
          <w:p w14:paraId="17795AC7" w14:textId="77777777" w:rsidR="00E53EB6" w:rsidRDefault="006500F5">
            <w:pPr>
              <w:pStyle w:val="HaupttextohneEinzug"/>
            </w:pPr>
            <w:r>
              <w:t>1.19.1</w:t>
            </w:r>
          </w:p>
        </w:tc>
        <w:tc>
          <w:tcPr>
            <w:tcW w:w="2546" w:type="dxa"/>
            <w:tcBorders>
              <w:left w:val="single" w:sz="2" w:space="0" w:color="000000"/>
              <w:bottom w:val="single" w:sz="2" w:space="0" w:color="000000"/>
            </w:tcBorders>
          </w:tcPr>
          <w:p w14:paraId="259C475B" w14:textId="77777777" w:rsidR="00E53EB6" w:rsidRDefault="006500F5">
            <w:pPr>
              <w:pStyle w:val="HaupttextohneEinzug"/>
            </w:pPr>
            <w:r>
              <w:t>175 =JS</w:t>
            </w:r>
          </w:p>
        </w:tc>
        <w:tc>
          <w:tcPr>
            <w:tcW w:w="1280" w:type="dxa"/>
            <w:tcBorders>
              <w:left w:val="single" w:sz="2" w:space="0" w:color="000000"/>
              <w:bottom w:val="single" w:sz="2" w:space="0" w:color="000000"/>
            </w:tcBorders>
          </w:tcPr>
          <w:p w14:paraId="776A3756" w14:textId="77777777" w:rsidR="00E53EB6" w:rsidRDefault="006500F5">
            <w:pPr>
              <w:pStyle w:val="HaupttextohneEinzug"/>
            </w:pPr>
            <w:r>
              <w:t>10.153.1</w:t>
            </w:r>
          </w:p>
        </w:tc>
        <w:tc>
          <w:tcPr>
            <w:tcW w:w="3500" w:type="dxa"/>
            <w:tcBorders>
              <w:left w:val="single" w:sz="2" w:space="0" w:color="000000"/>
              <w:bottom w:val="single" w:sz="2" w:space="0" w:color="000000"/>
              <w:right w:val="single" w:sz="2" w:space="0" w:color="000000"/>
            </w:tcBorders>
          </w:tcPr>
          <w:p w14:paraId="40D9D0CF" w14:textId="77777777" w:rsidR="00E53EB6" w:rsidRDefault="006500F5">
            <w:pPr>
              <w:pStyle w:val="HaupttextohneEinzug"/>
            </w:pPr>
            <w:r>
              <w:rPr>
                <w:i/>
                <w:iCs/>
              </w:rPr>
              <w:t>vanvanāsa</w:t>
            </w:r>
            <w:r>
              <w:rPr>
                <w:i/>
                <w:iCs/>
              </w:rPr>
              <w:t>ḥ</w:t>
            </w:r>
            <w:r>
              <w:t xml:space="preserve"> ^ </w:t>
            </w:r>
            <w:r>
              <w:rPr>
                <w:i/>
                <w:iCs/>
              </w:rPr>
              <w:t>bhejānāsa</w:t>
            </w:r>
            <w:r>
              <w:rPr>
                <w:i/>
                <w:iCs/>
              </w:rPr>
              <w:t>ḥ</w:t>
            </w:r>
          </w:p>
          <w:p w14:paraId="7F2C64B2" w14:textId="77777777" w:rsidR="00E53EB6" w:rsidRDefault="006500F5">
            <w:pPr>
              <w:pStyle w:val="HaupttextohneEinzug"/>
            </w:pPr>
            <w:r>
              <w:rPr>
                <w:i/>
                <w:iCs/>
              </w:rPr>
              <w:t>suvīryam</w:t>
            </w:r>
            <w:r>
              <w:t xml:space="preserve"> ^ </w:t>
            </w:r>
            <w:r>
              <w:rPr>
                <w:i/>
                <w:iCs/>
              </w:rPr>
              <w:t>nakirā</w:t>
            </w:r>
          </w:p>
        </w:tc>
      </w:tr>
      <w:tr w:rsidR="00E53EB6" w14:paraId="00646AE9" w14:textId="77777777">
        <w:tc>
          <w:tcPr>
            <w:tcW w:w="1094" w:type="dxa"/>
            <w:tcBorders>
              <w:left w:val="single" w:sz="2" w:space="0" w:color="000000"/>
              <w:bottom w:val="single" w:sz="2" w:space="0" w:color="000000"/>
            </w:tcBorders>
          </w:tcPr>
          <w:p w14:paraId="163308D1" w14:textId="77777777" w:rsidR="00E53EB6" w:rsidRDefault="006500F5">
            <w:pPr>
              <w:pStyle w:val="HaupttextohneEinzug"/>
            </w:pPr>
            <w:r>
              <w:t>2.5.5</w:t>
            </w:r>
          </w:p>
        </w:tc>
        <w:tc>
          <w:tcPr>
            <w:tcW w:w="2546" w:type="dxa"/>
            <w:tcBorders>
              <w:left w:val="single" w:sz="2" w:space="0" w:color="000000"/>
              <w:bottom w:val="single" w:sz="2" w:space="0" w:color="000000"/>
            </w:tcBorders>
          </w:tcPr>
          <w:p w14:paraId="3EE5FAD0" w14:textId="77777777" w:rsidR="00E53EB6" w:rsidRDefault="006500F5">
            <w:pPr>
              <w:pStyle w:val="HaupttextohneEinzug"/>
            </w:pPr>
            <w:r>
              <w:t>I.8 (594)</w:t>
            </w:r>
          </w:p>
        </w:tc>
        <w:tc>
          <w:tcPr>
            <w:tcW w:w="1280" w:type="dxa"/>
            <w:tcBorders>
              <w:left w:val="single" w:sz="2" w:space="0" w:color="000000"/>
              <w:bottom w:val="single" w:sz="2" w:space="0" w:color="000000"/>
            </w:tcBorders>
          </w:tcPr>
          <w:p w14:paraId="17D3E2F1" w14:textId="77777777" w:rsidR="00E53EB6" w:rsidRDefault="006500F5">
            <w:pPr>
              <w:pStyle w:val="HaupttextohneEinzug"/>
            </w:pPr>
            <w:r>
              <w:t>9.61.11</w:t>
            </w:r>
          </w:p>
        </w:tc>
        <w:tc>
          <w:tcPr>
            <w:tcW w:w="3500" w:type="dxa"/>
            <w:tcBorders>
              <w:left w:val="single" w:sz="2" w:space="0" w:color="000000"/>
              <w:bottom w:val="single" w:sz="2" w:space="0" w:color="000000"/>
              <w:right w:val="single" w:sz="2" w:space="0" w:color="000000"/>
            </w:tcBorders>
          </w:tcPr>
          <w:p w14:paraId="36B6082D" w14:textId="77777777" w:rsidR="00E53EB6" w:rsidRDefault="00E53EB6">
            <w:pPr>
              <w:pStyle w:val="HaupttextohneEinzug"/>
            </w:pPr>
          </w:p>
        </w:tc>
      </w:tr>
      <w:tr w:rsidR="00E53EB6" w14:paraId="3C871305" w14:textId="77777777">
        <w:tc>
          <w:tcPr>
            <w:tcW w:w="1094" w:type="dxa"/>
            <w:tcBorders>
              <w:left w:val="single" w:sz="2" w:space="0" w:color="000000"/>
              <w:bottom w:val="single" w:sz="2" w:space="0" w:color="000000"/>
            </w:tcBorders>
          </w:tcPr>
          <w:p w14:paraId="276627D7" w14:textId="77777777" w:rsidR="00E53EB6" w:rsidRDefault="006500F5">
            <w:pPr>
              <w:pStyle w:val="HaupttextohneEinzug"/>
            </w:pPr>
            <w:r>
              <w:t>3.3.3</w:t>
            </w:r>
          </w:p>
        </w:tc>
        <w:tc>
          <w:tcPr>
            <w:tcW w:w="2546" w:type="dxa"/>
            <w:tcBorders>
              <w:left w:val="single" w:sz="2" w:space="0" w:color="000000"/>
              <w:bottom w:val="single" w:sz="2" w:space="0" w:color="000000"/>
            </w:tcBorders>
          </w:tcPr>
          <w:p w14:paraId="1513299E" w14:textId="77777777" w:rsidR="00E53EB6" w:rsidRDefault="006500F5">
            <w:pPr>
              <w:pStyle w:val="HaupttextohneEinzug"/>
            </w:pPr>
            <w:r>
              <w:t>II.24 (674) =RV</w:t>
            </w:r>
          </w:p>
        </w:tc>
        <w:tc>
          <w:tcPr>
            <w:tcW w:w="1280" w:type="dxa"/>
            <w:tcBorders>
              <w:left w:val="single" w:sz="2" w:space="0" w:color="000000"/>
              <w:bottom w:val="single" w:sz="2" w:space="0" w:color="000000"/>
            </w:tcBorders>
          </w:tcPr>
          <w:p w14:paraId="1B305157" w14:textId="77777777" w:rsidR="00E53EB6" w:rsidRDefault="006500F5">
            <w:pPr>
              <w:pStyle w:val="HaupttextohneEinzug"/>
            </w:pPr>
            <w:r>
              <w:t>9.61.11</w:t>
            </w:r>
          </w:p>
        </w:tc>
        <w:tc>
          <w:tcPr>
            <w:tcW w:w="3500" w:type="dxa"/>
            <w:tcBorders>
              <w:left w:val="single" w:sz="2" w:space="0" w:color="000000"/>
              <w:bottom w:val="single" w:sz="2" w:space="0" w:color="000000"/>
              <w:right w:val="single" w:sz="2" w:space="0" w:color="000000"/>
            </w:tcBorders>
          </w:tcPr>
          <w:p w14:paraId="27AD4043" w14:textId="77777777" w:rsidR="00E53EB6" w:rsidRDefault="006500F5">
            <w:pPr>
              <w:pStyle w:val="HaupttextohneEinzug"/>
            </w:pPr>
            <w:r>
              <w:rPr>
                <w:i/>
                <w:iCs/>
              </w:rPr>
              <w:t>viśvan</w:t>
            </w:r>
            <w:r>
              <w:t xml:space="preserve"> ^ </w:t>
            </w:r>
            <w:r>
              <w:rPr>
                <w:i/>
                <w:iCs/>
              </w:rPr>
              <w:t>viśvāni</w:t>
            </w:r>
          </w:p>
        </w:tc>
      </w:tr>
      <w:tr w:rsidR="00E53EB6" w14:paraId="26D46204" w14:textId="77777777">
        <w:tc>
          <w:tcPr>
            <w:tcW w:w="1094" w:type="dxa"/>
            <w:tcBorders>
              <w:left w:val="single" w:sz="2" w:space="0" w:color="000000"/>
              <w:bottom w:val="single" w:sz="2" w:space="0" w:color="000000"/>
            </w:tcBorders>
          </w:tcPr>
          <w:p w14:paraId="24F18800" w14:textId="77777777" w:rsidR="00E53EB6" w:rsidRDefault="006500F5">
            <w:pPr>
              <w:pStyle w:val="HaupttextohneEinzug"/>
            </w:pPr>
            <w:r>
              <w:t>3.6.3</w:t>
            </w:r>
          </w:p>
        </w:tc>
        <w:tc>
          <w:tcPr>
            <w:tcW w:w="2546" w:type="dxa"/>
            <w:tcBorders>
              <w:left w:val="single" w:sz="2" w:space="0" w:color="000000"/>
              <w:bottom w:val="single" w:sz="2" w:space="0" w:color="000000"/>
            </w:tcBorders>
          </w:tcPr>
          <w:p w14:paraId="60FB3207" w14:textId="77777777" w:rsidR="00E53EB6" w:rsidRDefault="006500F5">
            <w:pPr>
              <w:pStyle w:val="HaupttextohneEinzug"/>
            </w:pPr>
            <w:r>
              <w:t>II.57 (707) =JS</w:t>
            </w:r>
          </w:p>
        </w:tc>
        <w:tc>
          <w:tcPr>
            <w:tcW w:w="1280" w:type="dxa"/>
            <w:tcBorders>
              <w:left w:val="single" w:sz="2" w:space="0" w:color="000000"/>
              <w:bottom w:val="single" w:sz="2" w:space="0" w:color="000000"/>
            </w:tcBorders>
          </w:tcPr>
          <w:p w14:paraId="1FBB2211" w14:textId="77777777" w:rsidR="00E53EB6" w:rsidRDefault="006500F5">
            <w:pPr>
              <w:pStyle w:val="HaupttextohneEinzug"/>
            </w:pPr>
            <w:r>
              <w:t>6.16.18</w:t>
            </w:r>
          </w:p>
        </w:tc>
        <w:tc>
          <w:tcPr>
            <w:tcW w:w="3500" w:type="dxa"/>
            <w:tcBorders>
              <w:left w:val="single" w:sz="2" w:space="0" w:color="000000"/>
              <w:bottom w:val="single" w:sz="2" w:space="0" w:color="000000"/>
              <w:right w:val="single" w:sz="2" w:space="0" w:color="000000"/>
            </w:tcBorders>
          </w:tcPr>
          <w:p w14:paraId="6916B2C0" w14:textId="77777777" w:rsidR="00E53EB6" w:rsidRDefault="006500F5">
            <w:pPr>
              <w:pStyle w:val="HaupttextohneEinzug"/>
            </w:pPr>
            <w:r>
              <w:rPr>
                <w:i/>
                <w:iCs/>
              </w:rPr>
              <w:t>pate</w:t>
            </w:r>
            <w:r>
              <w:t xml:space="preserve"> ^ </w:t>
            </w:r>
            <w:r>
              <w:rPr>
                <w:i/>
                <w:iCs/>
              </w:rPr>
              <w:t>vaso</w:t>
            </w:r>
          </w:p>
        </w:tc>
      </w:tr>
      <w:tr w:rsidR="00E53EB6" w14:paraId="43CA2D4C" w14:textId="77777777">
        <w:tc>
          <w:tcPr>
            <w:tcW w:w="1094" w:type="dxa"/>
            <w:tcBorders>
              <w:left w:val="single" w:sz="2" w:space="0" w:color="000000"/>
              <w:bottom w:val="single" w:sz="2" w:space="0" w:color="000000"/>
            </w:tcBorders>
          </w:tcPr>
          <w:p w14:paraId="3CC10D5E" w14:textId="77777777" w:rsidR="00E53EB6" w:rsidRDefault="006500F5">
            <w:pPr>
              <w:pStyle w:val="HaupttextohneEinzug"/>
            </w:pPr>
            <w:r>
              <w:t>3.8.8</w:t>
            </w:r>
          </w:p>
        </w:tc>
        <w:tc>
          <w:tcPr>
            <w:tcW w:w="2546" w:type="dxa"/>
            <w:tcBorders>
              <w:left w:val="single" w:sz="2" w:space="0" w:color="000000"/>
              <w:bottom w:val="single" w:sz="2" w:space="0" w:color="000000"/>
            </w:tcBorders>
          </w:tcPr>
          <w:p w14:paraId="552AA7CA" w14:textId="77777777" w:rsidR="00E53EB6" w:rsidRDefault="006500F5">
            <w:pPr>
              <w:pStyle w:val="HaupttextohneEinzug"/>
            </w:pPr>
            <w:r>
              <w:t xml:space="preserve">II.82 </w:t>
            </w:r>
            <w:r>
              <w:t>(732) =JS</w:t>
            </w:r>
          </w:p>
        </w:tc>
        <w:tc>
          <w:tcPr>
            <w:tcW w:w="1280" w:type="dxa"/>
            <w:tcBorders>
              <w:left w:val="single" w:sz="2" w:space="0" w:color="000000"/>
              <w:bottom w:val="single" w:sz="2" w:space="0" w:color="000000"/>
            </w:tcBorders>
          </w:tcPr>
          <w:p w14:paraId="6073C5A6" w14:textId="77777777" w:rsidR="00E53EB6" w:rsidRDefault="006500F5">
            <w:pPr>
              <w:pStyle w:val="HaupttextohneEinzug"/>
            </w:pPr>
            <w:r>
              <w:t>8.45.23</w:t>
            </w:r>
          </w:p>
        </w:tc>
        <w:tc>
          <w:tcPr>
            <w:tcW w:w="3500" w:type="dxa"/>
            <w:tcBorders>
              <w:left w:val="single" w:sz="2" w:space="0" w:color="000000"/>
              <w:bottom w:val="single" w:sz="2" w:space="0" w:color="000000"/>
              <w:right w:val="single" w:sz="2" w:space="0" w:color="000000"/>
            </w:tcBorders>
          </w:tcPr>
          <w:p w14:paraId="54726644" w14:textId="77777777" w:rsidR="00E53EB6" w:rsidRDefault="006500F5">
            <w:pPr>
              <w:pStyle w:val="HaupttextohneEinzug"/>
            </w:pPr>
            <w:r>
              <w:rPr>
                <w:i/>
                <w:iCs/>
              </w:rPr>
              <w:t>brahmādvi</w:t>
            </w:r>
            <w:r>
              <w:rPr>
                <w:i/>
                <w:iCs/>
              </w:rPr>
              <w:t>ṣ</w:t>
            </w:r>
            <w:r>
              <w:rPr>
                <w:i/>
                <w:iCs/>
              </w:rPr>
              <w:t>am</w:t>
            </w:r>
            <w:r>
              <w:t xml:space="preserve"> ^ </w:t>
            </w:r>
            <w:r>
              <w:rPr>
                <w:i/>
                <w:iCs/>
              </w:rPr>
              <w:t>brahmādvi</w:t>
            </w:r>
            <w:r>
              <w:rPr>
                <w:i/>
                <w:iCs/>
              </w:rPr>
              <w:t>ṣ</w:t>
            </w:r>
            <w:r>
              <w:rPr>
                <w:i/>
                <w:iCs/>
              </w:rPr>
              <w:t>a</w:t>
            </w:r>
            <w:r>
              <w:rPr>
                <w:i/>
                <w:iCs/>
              </w:rPr>
              <w:t>ḥ</w:t>
            </w:r>
          </w:p>
        </w:tc>
      </w:tr>
      <w:tr w:rsidR="00E53EB6" w14:paraId="599B26C5" w14:textId="77777777">
        <w:tc>
          <w:tcPr>
            <w:tcW w:w="1094" w:type="dxa"/>
            <w:tcBorders>
              <w:left w:val="single" w:sz="2" w:space="0" w:color="000000"/>
              <w:bottom w:val="single" w:sz="2" w:space="0" w:color="000000"/>
            </w:tcBorders>
          </w:tcPr>
          <w:p w14:paraId="3E389A58" w14:textId="77777777" w:rsidR="00E53EB6" w:rsidRDefault="006500F5">
            <w:pPr>
              <w:pStyle w:val="HaupttextohneEinzug"/>
            </w:pPr>
            <w:r>
              <w:t>3.16.8</w:t>
            </w:r>
          </w:p>
        </w:tc>
        <w:tc>
          <w:tcPr>
            <w:tcW w:w="2546" w:type="dxa"/>
            <w:tcBorders>
              <w:left w:val="single" w:sz="2" w:space="0" w:color="000000"/>
              <w:bottom w:val="single" w:sz="2" w:space="0" w:color="000000"/>
            </w:tcBorders>
          </w:tcPr>
          <w:p w14:paraId="1C8604BA" w14:textId="77777777" w:rsidR="00E53EB6" w:rsidRDefault="006500F5">
            <w:pPr>
              <w:pStyle w:val="HaupttextohneEinzug"/>
            </w:pPr>
            <w:r>
              <w:t>II.170 (820) =JS</w:t>
            </w:r>
          </w:p>
        </w:tc>
        <w:tc>
          <w:tcPr>
            <w:tcW w:w="1280" w:type="dxa"/>
            <w:tcBorders>
              <w:left w:val="single" w:sz="2" w:space="0" w:color="000000"/>
              <w:bottom w:val="single" w:sz="2" w:space="0" w:color="000000"/>
            </w:tcBorders>
          </w:tcPr>
          <w:p w14:paraId="5C70167B" w14:textId="77777777" w:rsidR="00E53EB6" w:rsidRDefault="006500F5">
            <w:pPr>
              <w:pStyle w:val="HaupttextohneEinzug"/>
            </w:pPr>
            <w:r>
              <w:t>9.101.7</w:t>
            </w:r>
          </w:p>
        </w:tc>
        <w:tc>
          <w:tcPr>
            <w:tcW w:w="3500" w:type="dxa"/>
            <w:tcBorders>
              <w:left w:val="single" w:sz="2" w:space="0" w:color="000000"/>
              <w:bottom w:val="single" w:sz="2" w:space="0" w:color="000000"/>
              <w:right w:val="single" w:sz="2" w:space="0" w:color="000000"/>
            </w:tcBorders>
          </w:tcPr>
          <w:p w14:paraId="531B4E64" w14:textId="77777777" w:rsidR="00E53EB6" w:rsidRDefault="006500F5">
            <w:pPr>
              <w:pStyle w:val="HaupttextohneEinzug"/>
            </w:pPr>
            <w:r>
              <w:rPr>
                <w:i/>
                <w:iCs/>
              </w:rPr>
              <w:t>vanāmahe</w:t>
            </w:r>
            <w:r>
              <w:t xml:space="preserve"> ^ </w:t>
            </w:r>
            <w:r>
              <w:rPr>
                <w:i/>
                <w:iCs/>
              </w:rPr>
              <w:t>vanāmahai</w:t>
            </w:r>
          </w:p>
        </w:tc>
      </w:tr>
      <w:tr w:rsidR="00E53EB6" w14:paraId="59EA9B8C" w14:textId="77777777">
        <w:tc>
          <w:tcPr>
            <w:tcW w:w="1094" w:type="dxa"/>
            <w:tcBorders>
              <w:left w:val="single" w:sz="2" w:space="0" w:color="000000"/>
              <w:bottom w:val="single" w:sz="2" w:space="0" w:color="000000"/>
            </w:tcBorders>
          </w:tcPr>
          <w:p w14:paraId="302B489B" w14:textId="77777777" w:rsidR="00E53EB6" w:rsidRDefault="006500F5">
            <w:pPr>
              <w:pStyle w:val="HaupttextohneEinzug"/>
            </w:pPr>
            <w:r>
              <w:t>3.20.13</w:t>
            </w:r>
          </w:p>
        </w:tc>
        <w:tc>
          <w:tcPr>
            <w:tcW w:w="2546" w:type="dxa"/>
            <w:tcBorders>
              <w:left w:val="single" w:sz="2" w:space="0" w:color="000000"/>
              <w:bottom w:val="single" w:sz="2" w:space="0" w:color="000000"/>
            </w:tcBorders>
          </w:tcPr>
          <w:p w14:paraId="078D3183" w14:textId="77777777" w:rsidR="00E53EB6" w:rsidRDefault="006500F5">
            <w:pPr>
              <w:pStyle w:val="HaupttextohneEinzug"/>
            </w:pPr>
            <w:r>
              <w:t>II.229 (879)</w:t>
            </w:r>
          </w:p>
        </w:tc>
        <w:tc>
          <w:tcPr>
            <w:tcW w:w="1280" w:type="dxa"/>
            <w:tcBorders>
              <w:left w:val="single" w:sz="2" w:space="0" w:color="000000"/>
              <w:bottom w:val="single" w:sz="2" w:space="0" w:color="000000"/>
            </w:tcBorders>
          </w:tcPr>
          <w:p w14:paraId="4EB121D7" w14:textId="77777777" w:rsidR="00E53EB6" w:rsidRDefault="006500F5">
            <w:pPr>
              <w:pStyle w:val="HaupttextohneEinzug"/>
            </w:pPr>
            <w:r>
              <w:t>8.103.9</w:t>
            </w:r>
          </w:p>
        </w:tc>
        <w:tc>
          <w:tcPr>
            <w:tcW w:w="3500" w:type="dxa"/>
            <w:tcBorders>
              <w:left w:val="single" w:sz="2" w:space="0" w:color="000000"/>
              <w:bottom w:val="single" w:sz="2" w:space="0" w:color="000000"/>
              <w:right w:val="single" w:sz="2" w:space="0" w:color="000000"/>
            </w:tcBorders>
          </w:tcPr>
          <w:p w14:paraId="7C6C183B" w14:textId="77777777" w:rsidR="00E53EB6" w:rsidRDefault="00E53EB6">
            <w:pPr>
              <w:pStyle w:val="HaupttextohneEinzug"/>
            </w:pPr>
          </w:p>
        </w:tc>
      </w:tr>
      <w:tr w:rsidR="00E53EB6" w14:paraId="6590BFA3" w14:textId="77777777">
        <w:tc>
          <w:tcPr>
            <w:tcW w:w="1094" w:type="dxa"/>
            <w:tcBorders>
              <w:left w:val="single" w:sz="2" w:space="0" w:color="000000"/>
              <w:bottom w:val="single" w:sz="2" w:space="0" w:color="000000"/>
            </w:tcBorders>
          </w:tcPr>
          <w:p w14:paraId="185E3D7A" w14:textId="77777777" w:rsidR="00E53EB6" w:rsidRDefault="006500F5">
            <w:pPr>
              <w:pStyle w:val="HaupttextohneEinzug"/>
            </w:pPr>
            <w:r>
              <w:lastRenderedPageBreak/>
              <w:t>3.20.19</w:t>
            </w:r>
          </w:p>
        </w:tc>
        <w:tc>
          <w:tcPr>
            <w:tcW w:w="2546" w:type="dxa"/>
            <w:tcBorders>
              <w:left w:val="single" w:sz="2" w:space="0" w:color="000000"/>
              <w:bottom w:val="single" w:sz="2" w:space="0" w:color="000000"/>
            </w:tcBorders>
          </w:tcPr>
          <w:p w14:paraId="72692F35" w14:textId="77777777" w:rsidR="00E53EB6" w:rsidRDefault="006500F5">
            <w:pPr>
              <w:pStyle w:val="HaupttextohneEinzug"/>
            </w:pPr>
            <w:r>
              <w:t xml:space="preserve">II.235 (885) </w:t>
            </w:r>
          </w:p>
        </w:tc>
        <w:tc>
          <w:tcPr>
            <w:tcW w:w="1280" w:type="dxa"/>
            <w:tcBorders>
              <w:left w:val="single" w:sz="2" w:space="0" w:color="000000"/>
              <w:bottom w:val="single" w:sz="2" w:space="0" w:color="000000"/>
            </w:tcBorders>
          </w:tcPr>
          <w:p w14:paraId="484505CE" w14:textId="77777777" w:rsidR="00E53EB6" w:rsidRDefault="006500F5">
            <w:pPr>
              <w:pStyle w:val="HaupttextohneEinzug"/>
            </w:pPr>
            <w:r>
              <w:t>8.95.6</w:t>
            </w:r>
          </w:p>
        </w:tc>
        <w:tc>
          <w:tcPr>
            <w:tcW w:w="3500" w:type="dxa"/>
            <w:tcBorders>
              <w:left w:val="single" w:sz="2" w:space="0" w:color="000000"/>
              <w:bottom w:val="single" w:sz="2" w:space="0" w:color="000000"/>
              <w:right w:val="single" w:sz="2" w:space="0" w:color="000000"/>
            </w:tcBorders>
          </w:tcPr>
          <w:p w14:paraId="1AFC8BED" w14:textId="77777777" w:rsidR="00E53EB6" w:rsidRDefault="00E53EB6">
            <w:pPr>
              <w:pStyle w:val="HaupttextohneEinzug"/>
            </w:pPr>
          </w:p>
        </w:tc>
      </w:tr>
      <w:tr w:rsidR="00E53EB6" w14:paraId="2A35628F" w14:textId="77777777">
        <w:tc>
          <w:tcPr>
            <w:tcW w:w="1094" w:type="dxa"/>
            <w:tcBorders>
              <w:left w:val="single" w:sz="2" w:space="0" w:color="000000"/>
              <w:bottom w:val="single" w:sz="2" w:space="0" w:color="000000"/>
            </w:tcBorders>
          </w:tcPr>
          <w:p w14:paraId="7D14C76C" w14:textId="77777777" w:rsidR="00E53EB6" w:rsidRDefault="006500F5">
            <w:pPr>
              <w:pStyle w:val="HaupttextohneEinzug"/>
            </w:pPr>
            <w:r>
              <w:t>3.22.14</w:t>
            </w:r>
          </w:p>
        </w:tc>
        <w:tc>
          <w:tcPr>
            <w:tcW w:w="2546" w:type="dxa"/>
            <w:tcBorders>
              <w:left w:val="single" w:sz="2" w:space="0" w:color="000000"/>
              <w:bottom w:val="single" w:sz="2" w:space="0" w:color="000000"/>
            </w:tcBorders>
          </w:tcPr>
          <w:p w14:paraId="21337A10" w14:textId="77777777" w:rsidR="00E53EB6" w:rsidRDefault="006500F5">
            <w:pPr>
              <w:pStyle w:val="HaupttextohneEinzug"/>
            </w:pPr>
            <w:r>
              <w:t>II.267 (917)</w:t>
            </w:r>
          </w:p>
        </w:tc>
        <w:tc>
          <w:tcPr>
            <w:tcW w:w="1280" w:type="dxa"/>
            <w:tcBorders>
              <w:left w:val="single" w:sz="2" w:space="0" w:color="000000"/>
              <w:bottom w:val="single" w:sz="2" w:space="0" w:color="000000"/>
            </w:tcBorders>
          </w:tcPr>
          <w:p w14:paraId="4EDE8D28" w14:textId="77777777" w:rsidR="00E53EB6" w:rsidRDefault="006500F5">
            <w:pPr>
              <w:pStyle w:val="HaupttextohneEinzug"/>
            </w:pPr>
            <w:r>
              <w:t>7.94.2</w:t>
            </w:r>
          </w:p>
        </w:tc>
        <w:tc>
          <w:tcPr>
            <w:tcW w:w="3500" w:type="dxa"/>
            <w:tcBorders>
              <w:left w:val="single" w:sz="2" w:space="0" w:color="000000"/>
              <w:bottom w:val="single" w:sz="2" w:space="0" w:color="000000"/>
              <w:right w:val="single" w:sz="2" w:space="0" w:color="000000"/>
            </w:tcBorders>
          </w:tcPr>
          <w:p w14:paraId="4ADA0D19" w14:textId="77777777" w:rsidR="00E53EB6" w:rsidRDefault="00E53EB6">
            <w:pPr>
              <w:pStyle w:val="HaupttextohneEinzug"/>
            </w:pPr>
          </w:p>
        </w:tc>
      </w:tr>
      <w:tr w:rsidR="00E53EB6" w:rsidRPr="00B80C6B" w14:paraId="7BF821B7" w14:textId="77777777">
        <w:tc>
          <w:tcPr>
            <w:tcW w:w="1094" w:type="dxa"/>
            <w:tcBorders>
              <w:left w:val="single" w:sz="2" w:space="0" w:color="000000"/>
              <w:bottom w:val="single" w:sz="2" w:space="0" w:color="000000"/>
            </w:tcBorders>
          </w:tcPr>
          <w:p w14:paraId="5D12BFB2" w14:textId="77777777" w:rsidR="00E53EB6" w:rsidRDefault="006500F5">
            <w:pPr>
              <w:pStyle w:val="HaupttextohneEinzug"/>
            </w:pPr>
            <w:r>
              <w:t>3.28.1</w:t>
            </w:r>
          </w:p>
        </w:tc>
        <w:tc>
          <w:tcPr>
            <w:tcW w:w="2546" w:type="dxa"/>
            <w:tcBorders>
              <w:left w:val="single" w:sz="2" w:space="0" w:color="000000"/>
              <w:bottom w:val="single" w:sz="2" w:space="0" w:color="000000"/>
            </w:tcBorders>
          </w:tcPr>
          <w:p w14:paraId="3350EEE6" w14:textId="77777777" w:rsidR="00E53EB6" w:rsidRDefault="00E53EB6">
            <w:pPr>
              <w:pStyle w:val="HaupttextohneEinzug"/>
            </w:pPr>
          </w:p>
        </w:tc>
        <w:tc>
          <w:tcPr>
            <w:tcW w:w="1280" w:type="dxa"/>
            <w:tcBorders>
              <w:left w:val="single" w:sz="2" w:space="0" w:color="000000"/>
              <w:bottom w:val="single" w:sz="2" w:space="0" w:color="000000"/>
            </w:tcBorders>
          </w:tcPr>
          <w:p w14:paraId="42E9C239" w14:textId="77777777" w:rsidR="00E53EB6" w:rsidRDefault="006500F5">
            <w:pPr>
              <w:pStyle w:val="HaupttextohneEinzug"/>
            </w:pPr>
            <w:r>
              <w:t>5.13.2</w:t>
            </w:r>
          </w:p>
        </w:tc>
        <w:tc>
          <w:tcPr>
            <w:tcW w:w="3500" w:type="dxa"/>
            <w:tcBorders>
              <w:left w:val="single" w:sz="2" w:space="0" w:color="000000"/>
              <w:bottom w:val="single" w:sz="2" w:space="0" w:color="000000"/>
              <w:right w:val="single" w:sz="2" w:space="0" w:color="000000"/>
            </w:tcBorders>
          </w:tcPr>
          <w:p w14:paraId="1CCCE84A" w14:textId="77777777" w:rsidR="00E53EB6" w:rsidRDefault="006500F5">
            <w:pPr>
              <w:pStyle w:val="HaupttextohneEinzug"/>
            </w:pPr>
            <w:r>
              <w:rPr>
                <w:i/>
                <w:iCs/>
              </w:rPr>
              <w:t>vanāmahe</w:t>
            </w:r>
            <w:r>
              <w:t xml:space="preserve"> ^ </w:t>
            </w:r>
            <w:r>
              <w:rPr>
                <w:i/>
                <w:iCs/>
              </w:rPr>
              <w:t>manāmahe</w:t>
            </w:r>
            <w:r>
              <w:t xml:space="preserve"> </w:t>
            </w:r>
            <w:r>
              <w:t xml:space="preserve"> Kaut.S. II. 755 (1405) =RV</w:t>
            </w:r>
          </w:p>
        </w:tc>
      </w:tr>
      <w:tr w:rsidR="00E53EB6" w14:paraId="117ED218" w14:textId="77777777">
        <w:tc>
          <w:tcPr>
            <w:tcW w:w="1094" w:type="dxa"/>
            <w:tcBorders>
              <w:left w:val="single" w:sz="2" w:space="0" w:color="000000"/>
              <w:bottom w:val="single" w:sz="2" w:space="0" w:color="000000"/>
            </w:tcBorders>
          </w:tcPr>
          <w:p w14:paraId="79326A94" w14:textId="77777777" w:rsidR="00E53EB6" w:rsidRDefault="006500F5">
            <w:pPr>
              <w:jc w:val="both"/>
              <w:rPr>
                <w:rFonts w:ascii="Sabon Unicode" w:hAnsi="Sabon Unicode"/>
                <w:sz w:val="24"/>
                <w:szCs w:val="24"/>
                <w:lang w:val="en-GB"/>
              </w:rPr>
            </w:pPr>
            <w:r>
              <w:rPr>
                <w:rFonts w:ascii="Sabon Unicode" w:hAnsi="Sabon Unicode"/>
                <w:sz w:val="24"/>
                <w:szCs w:val="24"/>
                <w:lang w:val="en-GB"/>
              </w:rPr>
              <w:t>3.28.7</w:t>
            </w:r>
          </w:p>
        </w:tc>
        <w:tc>
          <w:tcPr>
            <w:tcW w:w="2546" w:type="dxa"/>
            <w:tcBorders>
              <w:left w:val="single" w:sz="2" w:space="0" w:color="000000"/>
              <w:bottom w:val="single" w:sz="2" w:space="0" w:color="000000"/>
            </w:tcBorders>
          </w:tcPr>
          <w:p w14:paraId="1E2FAEC5" w14:textId="77777777" w:rsidR="00E53EB6" w:rsidRDefault="006500F5">
            <w:pPr>
              <w:jc w:val="both"/>
              <w:rPr>
                <w:rFonts w:ascii="Sabon Unicode" w:hAnsi="Sabon Unicode"/>
                <w:sz w:val="24"/>
                <w:szCs w:val="24"/>
                <w:lang w:val="en-GB"/>
              </w:rPr>
            </w:pPr>
            <w:r>
              <w:rPr>
                <w:rFonts w:ascii="Sabon Unicode" w:hAnsi="Sabon Unicode"/>
                <w:sz w:val="24"/>
                <w:szCs w:val="24"/>
                <w:lang w:val="en-GB"/>
              </w:rPr>
              <w:t>II.335 (985)</w:t>
            </w:r>
          </w:p>
        </w:tc>
        <w:tc>
          <w:tcPr>
            <w:tcW w:w="1280" w:type="dxa"/>
            <w:tcBorders>
              <w:left w:val="single" w:sz="2" w:space="0" w:color="000000"/>
              <w:bottom w:val="single" w:sz="2" w:space="0" w:color="000000"/>
            </w:tcBorders>
          </w:tcPr>
          <w:p w14:paraId="265090E9" w14:textId="77777777" w:rsidR="00E53EB6" w:rsidRDefault="006500F5">
            <w:pPr>
              <w:jc w:val="both"/>
              <w:rPr>
                <w:rFonts w:ascii="Sabon Unicode" w:hAnsi="Sabon Unicode"/>
                <w:sz w:val="24"/>
                <w:szCs w:val="24"/>
                <w:lang w:val="en-GB"/>
              </w:rPr>
            </w:pPr>
            <w:r>
              <w:rPr>
                <w:rFonts w:ascii="Sabon Unicode" w:hAnsi="Sabon Unicode"/>
                <w:sz w:val="24"/>
                <w:szCs w:val="24"/>
                <w:lang w:val="en-GB"/>
              </w:rPr>
              <w:t>5.70.1</w:t>
            </w:r>
          </w:p>
        </w:tc>
        <w:tc>
          <w:tcPr>
            <w:tcW w:w="3500" w:type="dxa"/>
            <w:tcBorders>
              <w:left w:val="single" w:sz="2" w:space="0" w:color="000000"/>
              <w:bottom w:val="single" w:sz="2" w:space="0" w:color="000000"/>
              <w:right w:val="single" w:sz="2" w:space="0" w:color="000000"/>
            </w:tcBorders>
          </w:tcPr>
          <w:p w14:paraId="7BD41036" w14:textId="77777777" w:rsidR="00E53EB6" w:rsidRDefault="00E53EB6">
            <w:pPr>
              <w:jc w:val="both"/>
              <w:rPr>
                <w:rFonts w:ascii="Sabon Unicode" w:hAnsi="Sabon Unicode"/>
                <w:sz w:val="20"/>
                <w:szCs w:val="20"/>
                <w:lang w:val="en-GB"/>
              </w:rPr>
            </w:pPr>
          </w:p>
        </w:tc>
      </w:tr>
      <w:tr w:rsidR="00E53EB6" w14:paraId="279BD712" w14:textId="77777777">
        <w:tc>
          <w:tcPr>
            <w:tcW w:w="1094" w:type="dxa"/>
            <w:tcBorders>
              <w:left w:val="single" w:sz="2" w:space="0" w:color="000000"/>
              <w:bottom w:val="single" w:sz="2" w:space="0" w:color="000000"/>
            </w:tcBorders>
          </w:tcPr>
          <w:p w14:paraId="494E9A8A" w14:textId="77777777" w:rsidR="00E53EB6" w:rsidRDefault="006500F5">
            <w:pPr>
              <w:jc w:val="both"/>
              <w:rPr>
                <w:rFonts w:ascii="Sabon Unicode" w:hAnsi="Sabon Unicode"/>
                <w:sz w:val="24"/>
                <w:szCs w:val="24"/>
                <w:lang w:val="en-GB"/>
              </w:rPr>
            </w:pPr>
            <w:r>
              <w:rPr>
                <w:rFonts w:ascii="Sabon Unicode" w:hAnsi="Sabon Unicode"/>
                <w:sz w:val="24"/>
                <w:szCs w:val="24"/>
                <w:lang w:val="en-GB"/>
              </w:rPr>
              <w:t>3.44.7</w:t>
            </w:r>
          </w:p>
        </w:tc>
        <w:tc>
          <w:tcPr>
            <w:tcW w:w="2546" w:type="dxa"/>
            <w:tcBorders>
              <w:left w:val="single" w:sz="2" w:space="0" w:color="000000"/>
              <w:bottom w:val="single" w:sz="2" w:space="0" w:color="000000"/>
            </w:tcBorders>
          </w:tcPr>
          <w:p w14:paraId="678B8655" w14:textId="77777777" w:rsidR="00E53EB6" w:rsidRDefault="00E53EB6">
            <w:pPr>
              <w:jc w:val="both"/>
              <w:rPr>
                <w:rFonts w:ascii="Sabon Unicode" w:hAnsi="Sabon Unicode"/>
                <w:sz w:val="24"/>
                <w:szCs w:val="24"/>
                <w:lang w:val="en-GB"/>
              </w:rPr>
            </w:pPr>
          </w:p>
        </w:tc>
        <w:tc>
          <w:tcPr>
            <w:tcW w:w="1280" w:type="dxa"/>
            <w:tcBorders>
              <w:left w:val="single" w:sz="2" w:space="0" w:color="000000"/>
              <w:bottom w:val="single" w:sz="2" w:space="0" w:color="000000"/>
            </w:tcBorders>
          </w:tcPr>
          <w:p w14:paraId="6EAD61CA" w14:textId="77777777" w:rsidR="00E53EB6" w:rsidRDefault="006500F5">
            <w:pPr>
              <w:jc w:val="both"/>
              <w:rPr>
                <w:rFonts w:ascii="Sabon Unicode" w:hAnsi="Sabon Unicode"/>
                <w:sz w:val="24"/>
                <w:szCs w:val="24"/>
                <w:lang w:val="en-GB"/>
              </w:rPr>
            </w:pPr>
            <w:r>
              <w:rPr>
                <w:rFonts w:ascii="Sabon Unicode" w:hAnsi="Sabon Unicode"/>
                <w:sz w:val="24"/>
                <w:szCs w:val="24"/>
                <w:lang w:val="en-GB"/>
              </w:rPr>
              <w:t>9.61.24</w:t>
            </w:r>
          </w:p>
        </w:tc>
        <w:tc>
          <w:tcPr>
            <w:tcW w:w="3500" w:type="dxa"/>
            <w:tcBorders>
              <w:left w:val="single" w:sz="2" w:space="0" w:color="000000"/>
              <w:bottom w:val="single" w:sz="2" w:space="0" w:color="000000"/>
              <w:right w:val="single" w:sz="2" w:space="0" w:color="000000"/>
            </w:tcBorders>
          </w:tcPr>
          <w:p w14:paraId="0C8D6657" w14:textId="77777777" w:rsidR="00E53EB6" w:rsidRDefault="006500F5">
            <w:pPr>
              <w:jc w:val="both"/>
              <w:rPr>
                <w:rFonts w:ascii="Sabon Unicode" w:hAnsi="Sabon Unicode"/>
                <w:i/>
                <w:iCs/>
                <w:sz w:val="20"/>
                <w:szCs w:val="20"/>
                <w:lang w:val="en-GB"/>
              </w:rPr>
            </w:pPr>
            <w:r>
              <w:rPr>
                <w:rFonts w:ascii="Sabon Unicode" w:hAnsi="Sabon Unicode"/>
                <w:i/>
                <w:iCs/>
                <w:sz w:val="20"/>
                <w:szCs w:val="20"/>
                <w:lang w:val="en-GB"/>
              </w:rPr>
              <w:t>kikara</w:t>
            </w:r>
            <w:r>
              <w:rPr>
                <w:rFonts w:ascii="Sabon Unicode" w:hAnsi="Sabon Unicode"/>
                <w:i/>
                <w:iCs/>
                <w:sz w:val="20"/>
                <w:szCs w:val="20"/>
                <w:lang w:val="en-GB"/>
              </w:rPr>
              <w:t>ḥ</w:t>
            </w:r>
            <w:r>
              <w:rPr>
                <w:rFonts w:ascii="Sabon Unicode" w:hAnsi="Sabon Unicode"/>
                <w:i/>
                <w:iCs/>
                <w:sz w:val="20"/>
                <w:szCs w:val="20"/>
                <w:lang w:val="en-GB"/>
              </w:rPr>
              <w:t xml:space="preserve"> ^ āmura</w:t>
            </w:r>
            <w:r>
              <w:rPr>
                <w:rFonts w:ascii="Sabon Unicode" w:hAnsi="Sabon Unicode"/>
                <w:i/>
                <w:iCs/>
                <w:sz w:val="20"/>
                <w:szCs w:val="20"/>
                <w:lang w:val="en-GB"/>
              </w:rPr>
              <w:t>ḥ</w:t>
            </w:r>
          </w:p>
        </w:tc>
      </w:tr>
      <w:tr w:rsidR="00E53EB6" w14:paraId="49EC0602" w14:textId="77777777">
        <w:tc>
          <w:tcPr>
            <w:tcW w:w="1094" w:type="dxa"/>
            <w:tcBorders>
              <w:left w:val="single" w:sz="2" w:space="0" w:color="000000"/>
              <w:bottom w:val="single" w:sz="2" w:space="0" w:color="000000"/>
            </w:tcBorders>
          </w:tcPr>
          <w:p w14:paraId="2096A19C" w14:textId="77777777" w:rsidR="00E53EB6" w:rsidRDefault="006500F5">
            <w:pPr>
              <w:jc w:val="both"/>
              <w:rPr>
                <w:rFonts w:ascii="Sabon Unicode" w:hAnsi="Sabon Unicode"/>
                <w:sz w:val="24"/>
                <w:szCs w:val="24"/>
                <w:lang w:val="en-GB"/>
              </w:rPr>
            </w:pPr>
            <w:r>
              <w:rPr>
                <w:rFonts w:ascii="Sabon Unicode" w:hAnsi="Sabon Unicode"/>
                <w:sz w:val="24"/>
                <w:szCs w:val="24"/>
                <w:lang w:val="en-GB"/>
              </w:rPr>
              <w:t>3.56.17</w:t>
            </w:r>
          </w:p>
        </w:tc>
        <w:tc>
          <w:tcPr>
            <w:tcW w:w="2546" w:type="dxa"/>
            <w:tcBorders>
              <w:left w:val="single" w:sz="2" w:space="0" w:color="000000"/>
              <w:bottom w:val="single" w:sz="2" w:space="0" w:color="000000"/>
            </w:tcBorders>
          </w:tcPr>
          <w:p w14:paraId="4DC2AFDE" w14:textId="77777777" w:rsidR="00E53EB6" w:rsidRDefault="006500F5">
            <w:pPr>
              <w:jc w:val="both"/>
              <w:rPr>
                <w:rFonts w:ascii="Sabon Unicode" w:hAnsi="Sabon Unicode"/>
                <w:sz w:val="24"/>
                <w:szCs w:val="24"/>
                <w:lang w:val="en-GB"/>
              </w:rPr>
            </w:pPr>
            <w:r>
              <w:rPr>
                <w:rFonts w:ascii="Sabon Unicode" w:hAnsi="Sabon Unicode"/>
                <w:sz w:val="24"/>
                <w:szCs w:val="24"/>
                <w:lang w:val="en-GB"/>
              </w:rPr>
              <w:t>II,910 (1560) =JS</w:t>
            </w:r>
          </w:p>
        </w:tc>
        <w:tc>
          <w:tcPr>
            <w:tcW w:w="1280" w:type="dxa"/>
            <w:tcBorders>
              <w:left w:val="single" w:sz="2" w:space="0" w:color="000000"/>
              <w:bottom w:val="single" w:sz="2" w:space="0" w:color="000000"/>
            </w:tcBorders>
          </w:tcPr>
          <w:p w14:paraId="40E1BB74" w14:textId="77777777" w:rsidR="00E53EB6" w:rsidRDefault="006500F5">
            <w:pPr>
              <w:jc w:val="both"/>
              <w:rPr>
                <w:rFonts w:ascii="Sabon Unicode" w:hAnsi="Sabon Unicode"/>
                <w:sz w:val="24"/>
                <w:szCs w:val="24"/>
                <w:lang w:val="en-GB"/>
              </w:rPr>
            </w:pPr>
            <w:r>
              <w:rPr>
                <w:rFonts w:ascii="Sabon Unicode" w:hAnsi="Sabon Unicode"/>
                <w:sz w:val="24"/>
                <w:szCs w:val="24"/>
                <w:lang w:val="en-GB"/>
              </w:rPr>
              <w:t>8.19.20</w:t>
            </w:r>
          </w:p>
        </w:tc>
        <w:tc>
          <w:tcPr>
            <w:tcW w:w="3500" w:type="dxa"/>
            <w:tcBorders>
              <w:left w:val="single" w:sz="2" w:space="0" w:color="000000"/>
              <w:bottom w:val="single" w:sz="2" w:space="0" w:color="000000"/>
              <w:right w:val="single" w:sz="2" w:space="0" w:color="000000"/>
            </w:tcBorders>
          </w:tcPr>
          <w:p w14:paraId="2EE128E2" w14:textId="77777777" w:rsidR="00E53EB6" w:rsidRDefault="006500F5">
            <w:pPr>
              <w:jc w:val="both"/>
              <w:rPr>
                <w:rFonts w:ascii="Sabon Unicode" w:hAnsi="Sabon Unicode"/>
                <w:i/>
                <w:iCs/>
                <w:sz w:val="20"/>
                <w:szCs w:val="20"/>
                <w:lang w:val="en-GB"/>
              </w:rPr>
            </w:pPr>
            <w:r>
              <w:rPr>
                <w:rFonts w:ascii="Sabon Unicode" w:hAnsi="Sabon Unicode"/>
                <w:i/>
                <w:iCs/>
                <w:sz w:val="20"/>
                <w:szCs w:val="20"/>
                <w:lang w:val="en-GB"/>
              </w:rPr>
              <w:t>sāsahi</w:t>
            </w:r>
            <w:r>
              <w:rPr>
                <w:rFonts w:ascii="Sabon Unicode" w:hAnsi="Sabon Unicode"/>
                <w:i/>
                <w:iCs/>
                <w:sz w:val="20"/>
                <w:szCs w:val="20"/>
                <w:lang w:val="en-GB"/>
              </w:rPr>
              <w:t>ḥ</w:t>
            </w:r>
            <w:r>
              <w:rPr>
                <w:rFonts w:ascii="Sabon Unicode" w:hAnsi="Sabon Unicode"/>
                <w:i/>
                <w:iCs/>
                <w:sz w:val="20"/>
                <w:szCs w:val="20"/>
                <w:lang w:val="en-GB"/>
              </w:rPr>
              <w:t xml:space="preserve"> ^ sāsaha</w:t>
            </w:r>
            <w:r>
              <w:rPr>
                <w:rFonts w:ascii="Sabon Unicode" w:hAnsi="Sabon Unicode"/>
                <w:i/>
                <w:iCs/>
                <w:sz w:val="20"/>
                <w:szCs w:val="20"/>
                <w:lang w:val="en-GB"/>
              </w:rPr>
              <w:t>ḥ</w:t>
            </w:r>
          </w:p>
          <w:p w14:paraId="0EEA347B" w14:textId="77777777" w:rsidR="00E53EB6" w:rsidRDefault="006500F5">
            <w:pPr>
              <w:jc w:val="both"/>
              <w:rPr>
                <w:rFonts w:ascii="Sabon Unicode" w:hAnsi="Sabon Unicode"/>
                <w:i/>
                <w:iCs/>
                <w:sz w:val="20"/>
                <w:szCs w:val="20"/>
                <w:lang w:val="en-GB"/>
              </w:rPr>
            </w:pPr>
            <w:r>
              <w:rPr>
                <w:rFonts w:ascii="Sabon Unicode" w:hAnsi="Sabon Unicode"/>
                <w:i/>
                <w:iCs/>
                <w:sz w:val="20"/>
                <w:szCs w:val="20"/>
                <w:lang w:val="en-GB"/>
              </w:rPr>
              <w:t>abhi</w:t>
            </w:r>
            <w:r>
              <w:rPr>
                <w:rFonts w:ascii="Sabon Unicode" w:hAnsi="Sabon Unicode"/>
                <w:i/>
                <w:iCs/>
                <w:sz w:val="20"/>
                <w:szCs w:val="20"/>
                <w:lang w:val="en-GB"/>
              </w:rPr>
              <w:t>ṣṭ</w:t>
            </w:r>
            <w:r>
              <w:rPr>
                <w:rFonts w:ascii="Sabon Unicode" w:hAnsi="Sabon Unicode"/>
                <w:i/>
                <w:iCs/>
                <w:sz w:val="20"/>
                <w:szCs w:val="20"/>
                <w:lang w:val="en-GB"/>
              </w:rPr>
              <w:t>aye ^ abhi</w:t>
            </w:r>
            <w:r>
              <w:rPr>
                <w:rFonts w:ascii="Sabon Unicode" w:hAnsi="Sabon Unicode"/>
                <w:i/>
                <w:iCs/>
                <w:sz w:val="20"/>
                <w:szCs w:val="20"/>
                <w:lang w:val="en-GB"/>
              </w:rPr>
              <w:t>ṣṭ</w:t>
            </w:r>
            <w:r>
              <w:rPr>
                <w:rFonts w:ascii="Sabon Unicode" w:hAnsi="Sabon Unicode"/>
                <w:i/>
                <w:iCs/>
                <w:sz w:val="20"/>
                <w:szCs w:val="20"/>
                <w:lang w:val="en-GB"/>
              </w:rPr>
              <w:t>ibhi</w:t>
            </w:r>
            <w:r>
              <w:rPr>
                <w:rFonts w:ascii="Sabon Unicode" w:hAnsi="Sabon Unicode"/>
                <w:i/>
                <w:iCs/>
                <w:sz w:val="20"/>
                <w:szCs w:val="20"/>
                <w:lang w:val="en-GB"/>
              </w:rPr>
              <w:t>ḥ</w:t>
            </w:r>
          </w:p>
        </w:tc>
      </w:tr>
      <w:tr w:rsidR="00E53EB6" w14:paraId="17BBA90B" w14:textId="77777777">
        <w:tc>
          <w:tcPr>
            <w:tcW w:w="1094" w:type="dxa"/>
            <w:tcBorders>
              <w:left w:val="single" w:sz="2" w:space="0" w:color="000000"/>
              <w:bottom w:val="single" w:sz="2" w:space="0" w:color="000000"/>
            </w:tcBorders>
          </w:tcPr>
          <w:p w14:paraId="7EAF64D2" w14:textId="77777777" w:rsidR="00E53EB6" w:rsidRDefault="006500F5">
            <w:pPr>
              <w:jc w:val="both"/>
              <w:rPr>
                <w:rFonts w:ascii="Sabon Unicode" w:hAnsi="Sabon Unicode"/>
                <w:sz w:val="24"/>
                <w:szCs w:val="24"/>
                <w:lang w:val="en-GB"/>
              </w:rPr>
            </w:pPr>
            <w:r>
              <w:rPr>
                <w:rFonts w:ascii="Sabon Unicode" w:hAnsi="Sabon Unicode"/>
                <w:sz w:val="24"/>
                <w:szCs w:val="24"/>
                <w:lang w:val="en-GB"/>
              </w:rPr>
              <w:t>4.6.4</w:t>
            </w:r>
          </w:p>
        </w:tc>
        <w:tc>
          <w:tcPr>
            <w:tcW w:w="2546" w:type="dxa"/>
            <w:tcBorders>
              <w:left w:val="single" w:sz="2" w:space="0" w:color="000000"/>
              <w:bottom w:val="single" w:sz="2" w:space="0" w:color="000000"/>
            </w:tcBorders>
          </w:tcPr>
          <w:p w14:paraId="29BBD449" w14:textId="77777777" w:rsidR="00E53EB6" w:rsidRDefault="00E53EB6">
            <w:pPr>
              <w:jc w:val="both"/>
              <w:rPr>
                <w:rFonts w:ascii="Sabon Unicode" w:hAnsi="Sabon Unicode"/>
                <w:sz w:val="24"/>
                <w:szCs w:val="24"/>
                <w:lang w:val="en-GB"/>
              </w:rPr>
            </w:pPr>
          </w:p>
        </w:tc>
        <w:tc>
          <w:tcPr>
            <w:tcW w:w="1280" w:type="dxa"/>
            <w:tcBorders>
              <w:left w:val="single" w:sz="2" w:space="0" w:color="000000"/>
              <w:bottom w:val="single" w:sz="2" w:space="0" w:color="000000"/>
            </w:tcBorders>
          </w:tcPr>
          <w:p w14:paraId="25CBC212" w14:textId="77777777" w:rsidR="00E53EB6" w:rsidRDefault="006500F5">
            <w:pPr>
              <w:jc w:val="both"/>
              <w:rPr>
                <w:rFonts w:ascii="Sabon Unicode" w:hAnsi="Sabon Unicode"/>
                <w:sz w:val="24"/>
                <w:szCs w:val="24"/>
                <w:lang w:val="en-GB"/>
              </w:rPr>
            </w:pPr>
            <w:r>
              <w:rPr>
                <w:rFonts w:ascii="Sabon Unicode" w:hAnsi="Sabon Unicode"/>
                <w:sz w:val="24"/>
                <w:szCs w:val="24"/>
                <w:lang w:val="en-GB"/>
              </w:rPr>
              <w:t>8.60.14</w:t>
            </w:r>
          </w:p>
        </w:tc>
        <w:tc>
          <w:tcPr>
            <w:tcW w:w="3500" w:type="dxa"/>
            <w:tcBorders>
              <w:left w:val="single" w:sz="2" w:space="0" w:color="000000"/>
              <w:bottom w:val="single" w:sz="2" w:space="0" w:color="000000"/>
              <w:right w:val="single" w:sz="2" w:space="0" w:color="000000"/>
            </w:tcBorders>
          </w:tcPr>
          <w:p w14:paraId="14E1064E" w14:textId="77777777" w:rsidR="00E53EB6" w:rsidRDefault="00E53EB6">
            <w:pPr>
              <w:jc w:val="both"/>
              <w:rPr>
                <w:rFonts w:ascii="Sabon Unicode" w:hAnsi="Sabon Unicode"/>
                <w:sz w:val="20"/>
                <w:szCs w:val="20"/>
                <w:lang w:val="en-GB"/>
              </w:rPr>
            </w:pPr>
          </w:p>
        </w:tc>
      </w:tr>
      <w:tr w:rsidR="00E53EB6" w14:paraId="2C4BB791" w14:textId="77777777">
        <w:tc>
          <w:tcPr>
            <w:tcW w:w="1094" w:type="dxa"/>
            <w:tcBorders>
              <w:left w:val="single" w:sz="2" w:space="0" w:color="000000"/>
              <w:bottom w:val="single" w:sz="2" w:space="0" w:color="000000"/>
            </w:tcBorders>
          </w:tcPr>
          <w:p w14:paraId="1550C225" w14:textId="77777777" w:rsidR="00E53EB6" w:rsidRDefault="006500F5">
            <w:pPr>
              <w:jc w:val="both"/>
              <w:rPr>
                <w:rFonts w:ascii="Sabon Unicode" w:hAnsi="Sabon Unicode"/>
                <w:sz w:val="24"/>
                <w:szCs w:val="24"/>
                <w:lang w:val="en-GB"/>
              </w:rPr>
            </w:pPr>
            <w:r>
              <w:rPr>
                <w:rFonts w:ascii="Sabon Unicode" w:hAnsi="Sabon Unicode"/>
                <w:sz w:val="24"/>
                <w:szCs w:val="24"/>
                <w:lang w:val="en-GB"/>
              </w:rPr>
              <w:t>4.6.8</w:t>
            </w:r>
          </w:p>
        </w:tc>
        <w:tc>
          <w:tcPr>
            <w:tcW w:w="2546" w:type="dxa"/>
            <w:tcBorders>
              <w:left w:val="single" w:sz="2" w:space="0" w:color="000000"/>
              <w:bottom w:val="single" w:sz="2" w:space="0" w:color="000000"/>
            </w:tcBorders>
          </w:tcPr>
          <w:p w14:paraId="5634D34A" w14:textId="77777777" w:rsidR="00E53EB6" w:rsidRDefault="006500F5">
            <w:pPr>
              <w:jc w:val="both"/>
              <w:rPr>
                <w:rFonts w:ascii="Sabon Unicode" w:hAnsi="Sabon Unicode"/>
                <w:sz w:val="24"/>
                <w:szCs w:val="24"/>
                <w:lang w:val="en-GB"/>
              </w:rPr>
            </w:pPr>
            <w:r>
              <w:rPr>
                <w:rFonts w:ascii="Sabon Unicode" w:hAnsi="Sabon Unicode"/>
                <w:sz w:val="24"/>
                <w:szCs w:val="24"/>
                <w:lang w:val="en-GB"/>
              </w:rPr>
              <w:t>22 =JS</w:t>
            </w:r>
          </w:p>
        </w:tc>
        <w:tc>
          <w:tcPr>
            <w:tcW w:w="1280" w:type="dxa"/>
            <w:tcBorders>
              <w:left w:val="single" w:sz="2" w:space="0" w:color="000000"/>
              <w:bottom w:val="single" w:sz="2" w:space="0" w:color="000000"/>
            </w:tcBorders>
          </w:tcPr>
          <w:p w14:paraId="439AB385" w14:textId="77777777" w:rsidR="00E53EB6" w:rsidRDefault="006500F5">
            <w:pPr>
              <w:jc w:val="both"/>
              <w:rPr>
                <w:rFonts w:ascii="Sabon Unicode" w:hAnsi="Sabon Unicode"/>
                <w:sz w:val="24"/>
                <w:szCs w:val="24"/>
                <w:lang w:val="en-GB"/>
              </w:rPr>
            </w:pPr>
            <w:r>
              <w:rPr>
                <w:rFonts w:ascii="Sabon Unicode" w:hAnsi="Sabon Unicode"/>
                <w:sz w:val="24"/>
                <w:szCs w:val="24"/>
                <w:lang w:val="en-GB"/>
              </w:rPr>
              <w:t>6.16.28</w:t>
            </w:r>
          </w:p>
        </w:tc>
        <w:tc>
          <w:tcPr>
            <w:tcW w:w="3500" w:type="dxa"/>
            <w:tcBorders>
              <w:left w:val="single" w:sz="2" w:space="0" w:color="000000"/>
              <w:bottom w:val="single" w:sz="2" w:space="0" w:color="000000"/>
              <w:right w:val="single" w:sz="2" w:space="0" w:color="000000"/>
            </w:tcBorders>
          </w:tcPr>
          <w:p w14:paraId="20E5D5E7" w14:textId="77777777" w:rsidR="00E53EB6" w:rsidRDefault="006500F5">
            <w:pPr>
              <w:rPr>
                <w:rFonts w:ascii="Sabon Unicode" w:hAnsi="Sabon Unicode"/>
                <w:sz w:val="20"/>
                <w:szCs w:val="20"/>
                <w:lang w:val="en-GB"/>
              </w:rPr>
            </w:pPr>
            <w:r>
              <w:rPr>
                <w:rFonts w:ascii="Sabon Unicode" w:hAnsi="Sabon Unicode"/>
                <w:sz w:val="20"/>
                <w:szCs w:val="20"/>
                <w:lang w:val="en-GB"/>
              </w:rPr>
              <w:t>= JS 1.3.2</w:t>
            </w:r>
          </w:p>
        </w:tc>
      </w:tr>
    </w:tbl>
    <w:p w14:paraId="6FCDF570" w14:textId="77777777" w:rsidR="00E53EB6" w:rsidRDefault="00E53EB6">
      <w:pPr>
        <w:pStyle w:val="HaupttextohneEinzug"/>
        <w:autoSpaceDE w:val="0"/>
        <w:rPr>
          <w:rFonts w:eastAsia="DevanagariMT" w:cs="Times Ext Roman"/>
          <w:sz w:val="22"/>
          <w:szCs w:val="22"/>
          <w:lang w:eastAsia="hi-IN" w:bidi="en-GB"/>
        </w:rPr>
      </w:pPr>
    </w:p>
    <w:p w14:paraId="4B4DB9A1" w14:textId="77777777" w:rsidR="00E53EB6" w:rsidRDefault="00E53EB6">
      <w:pPr>
        <w:pStyle w:val="HaupttextohneEinzug"/>
        <w:autoSpaceDE w:val="0"/>
        <w:rPr>
          <w:rFonts w:eastAsia="DevanagariMT" w:cs="Times Ext Roman"/>
          <w:sz w:val="22"/>
          <w:szCs w:val="22"/>
          <w:lang w:eastAsia="hi-IN" w:bidi="en-GB"/>
        </w:rPr>
      </w:pPr>
    </w:p>
    <w:p w14:paraId="7FD73DB6" w14:textId="77777777" w:rsidR="00E53EB6" w:rsidRDefault="006500F5">
      <w:pPr>
        <w:pStyle w:val="Heading4"/>
        <w:tabs>
          <w:tab w:val="left" w:pos="0"/>
        </w:tabs>
      </w:pPr>
      <w:r>
        <w:rPr>
          <w:iCs w:val="0"/>
        </w:rPr>
        <w:t xml:space="preserve">Non-R̥V </w:t>
      </w:r>
      <w:r>
        <w:rPr>
          <w:i/>
        </w:rPr>
        <w:t>mantra</w:t>
      </w:r>
      <w:r>
        <w:rPr>
          <w:iCs w:val="0"/>
        </w:rPr>
        <w:t xml:space="preserve">s – </w:t>
      </w:r>
      <w:r>
        <w:rPr>
          <w:iCs w:val="0"/>
        </w:rPr>
        <w:t>Yajurveda prose</w:t>
      </w:r>
    </w:p>
    <w:p w14:paraId="7F67625A" w14:textId="77777777" w:rsidR="00E53EB6" w:rsidRDefault="006500F5">
      <w:pPr>
        <w:pStyle w:val="Heading4"/>
        <w:tabs>
          <w:tab w:val="left" w:pos="0"/>
        </w:tabs>
      </w:pPr>
      <w:r>
        <w:t>YV Sa</w:t>
      </w:r>
      <w:r>
        <w:t>ṃ</w:t>
      </w:r>
      <w:r>
        <w:t>hitā occurrences</w:t>
      </w:r>
    </w:p>
    <w:p w14:paraId="3C3524FC" w14:textId="77777777" w:rsidR="00E53EB6" w:rsidRDefault="006500F5">
      <w:pPr>
        <w:pStyle w:val="Heading5"/>
        <w:tabs>
          <w:tab w:val="left" w:pos="0"/>
        </w:tabs>
      </w:pPr>
      <w:r>
        <w:t>Taittirīya occurrences</w:t>
      </w:r>
    </w:p>
    <w:p w14:paraId="5DD8AEFD" w14:textId="77777777" w:rsidR="00E53EB6" w:rsidRDefault="006500F5">
      <w:pPr>
        <w:pStyle w:val="Heading5"/>
        <w:numPr>
          <w:ilvl w:val="4"/>
          <w:numId w:val="2"/>
        </w:numPr>
        <w:tabs>
          <w:tab w:val="left" w:pos="0"/>
        </w:tabs>
      </w:pPr>
      <w:r>
        <w:rPr>
          <w:u w:val="single"/>
        </w:rPr>
        <w:t xml:space="preserve">TS 1.6.4.2o-3o </w:t>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p>
    <w:p w14:paraId="5CBDF8C6" w14:textId="77777777" w:rsidR="00E53EB6" w:rsidRDefault="006500F5">
      <w:pPr>
        <w:pStyle w:val="Zitat"/>
      </w:pPr>
      <w:r>
        <w:t xml:space="preserve">1.6.4.2 o </w:t>
      </w:r>
      <w:r>
        <w:rPr>
          <w:i/>
          <w:iCs/>
        </w:rPr>
        <w:t>émā́ agmann āśí</w:t>
      </w:r>
      <w:r>
        <w:rPr>
          <w:i/>
          <w:iCs/>
        </w:rPr>
        <w:t>ṣ</w:t>
      </w:r>
      <w:r>
        <w:rPr>
          <w:i/>
          <w:iCs/>
        </w:rPr>
        <w:t>o dóhakāmā índravanta</w:t>
      </w:r>
      <w:r>
        <w:rPr>
          <w:i/>
          <w:iCs/>
        </w:rPr>
        <w:t>ḥ</w:t>
      </w:r>
      <w:r>
        <w:rPr>
          <w:i/>
          <w:iCs/>
        </w:rPr>
        <w:t xml:space="preserve"> //</w:t>
      </w:r>
    </w:p>
    <w:p w14:paraId="7EFDAE19" w14:textId="77777777" w:rsidR="00E53EB6" w:rsidRDefault="006500F5">
      <w:pPr>
        <w:pStyle w:val="ZitatnachZitat"/>
        <w:autoSpaceDE w:val="0"/>
        <w:rPr>
          <w:rFonts w:eastAsia="Arial" w:cs="Times Ext Roman"/>
          <w:szCs w:val="18"/>
          <w:lang w:eastAsia="hi-IN" w:bidi="en-GB"/>
        </w:rPr>
      </w:pPr>
      <w:r>
        <w:rPr>
          <w:rFonts w:eastAsia="Arial" w:cs="Times Ext Roman"/>
          <w:szCs w:val="18"/>
          <w:lang w:eastAsia="hi-IN" w:bidi="en-GB"/>
        </w:rPr>
        <w:t xml:space="preserve">1.6.4.3   </w:t>
      </w:r>
      <w:r>
        <w:rPr>
          <w:rFonts w:eastAsia="Arial" w:cs="Times Ext Roman"/>
          <w:i/>
          <w:iCs/>
          <w:szCs w:val="18"/>
          <w:lang w:eastAsia="hi-IN" w:bidi="en-GB"/>
        </w:rPr>
        <w:t>vanāmahe dhuk</w:t>
      </w:r>
      <w:r>
        <w:rPr>
          <w:rFonts w:eastAsia="Arial" w:cs="Times Ext Roman"/>
          <w:i/>
          <w:iCs/>
          <w:szCs w:val="18"/>
          <w:lang w:eastAsia="hi-IN" w:bidi="en-GB"/>
        </w:rPr>
        <w:t>ṣ</w:t>
      </w:r>
      <w:r>
        <w:rPr>
          <w:rFonts w:eastAsia="Arial" w:cs="Times Ext Roman"/>
          <w:i/>
          <w:iCs/>
          <w:szCs w:val="18"/>
          <w:lang w:eastAsia="hi-IN" w:bidi="en-GB"/>
        </w:rPr>
        <w:t>īmáhi prajā́m í</w:t>
      </w:r>
      <w:r>
        <w:rPr>
          <w:rFonts w:eastAsia="Arial" w:cs="Times Ext Roman"/>
          <w:i/>
          <w:iCs/>
          <w:szCs w:val="18"/>
          <w:lang w:eastAsia="hi-IN" w:bidi="en-GB"/>
        </w:rPr>
        <w:t>ṣ</w:t>
      </w:r>
      <w:r>
        <w:rPr>
          <w:rFonts w:eastAsia="Arial" w:cs="Times Ext Roman"/>
          <w:i/>
          <w:iCs/>
          <w:szCs w:val="18"/>
          <w:lang w:eastAsia="hi-IN" w:bidi="en-GB"/>
        </w:rPr>
        <w:t>am //</w:t>
      </w:r>
    </w:p>
    <w:p w14:paraId="650D040B" w14:textId="77777777" w:rsidR="00E53EB6" w:rsidRDefault="006500F5">
      <w:pPr>
        <w:pStyle w:val="Zitat"/>
      </w:pPr>
      <w:r>
        <w:t>Here have come the blessings</w:t>
      </w:r>
      <w:r>
        <w:rPr>
          <w:rStyle w:val="FootnoteAnchor"/>
          <w:rFonts w:cs="Devanagari MT;Times New Roman"/>
        </w:rPr>
        <w:footnoteReference w:id="192"/>
      </w:r>
      <w:r>
        <w:t xml:space="preserve">, eager for milking, possessing Indra, may we </w:t>
      </w:r>
      <w:r>
        <w:rPr>
          <w:u w:val="single"/>
        </w:rPr>
        <w:t>appropriate</w:t>
      </w:r>
      <w:r>
        <w:t>, may we milk offspring and food.</w:t>
      </w:r>
    </w:p>
    <w:p w14:paraId="3F6109B7" w14:textId="77777777" w:rsidR="00E53EB6" w:rsidRDefault="006500F5">
      <w:pPr>
        <w:pStyle w:val="Zitat"/>
      </w:pPr>
      <w:r>
        <w:rPr>
          <w:i/>
          <w:iCs/>
        </w:rPr>
        <w:t>van</w:t>
      </w:r>
      <w:r>
        <w:rPr>
          <w:i/>
          <w:iCs/>
          <w:lang w:bidi="en-US"/>
        </w:rPr>
        <w:t>āmahe:</w:t>
      </w:r>
      <w:r>
        <w:rPr>
          <w:lang w:bidi="en-US"/>
        </w:rPr>
        <w:t xml:space="preserve"> subj. pres. 1</w:t>
      </w:r>
      <w:r>
        <w:rPr>
          <w:vertAlign w:val="superscript"/>
          <w:lang w:bidi="en-US"/>
        </w:rPr>
        <w:t>st</w:t>
      </w:r>
      <w:r>
        <w:rPr>
          <w:lang w:bidi="en-US"/>
        </w:rPr>
        <w:t xml:space="preserve"> pl. Ā I-VI cl.</w:t>
      </w:r>
    </w:p>
    <w:p w14:paraId="08BE84A8" w14:textId="77777777" w:rsidR="00E53EB6" w:rsidRDefault="006500F5">
      <w:pPr>
        <w:pStyle w:val="ZitatmitEinzug"/>
      </w:pPr>
      <w:r>
        <w:rPr>
          <w:rStyle w:val="biblio-authorGEN"/>
          <w:sz w:val="18"/>
          <w:szCs w:val="18"/>
        </w:rPr>
        <w:t>Keith</w:t>
      </w:r>
      <w:r>
        <w:t xml:space="preserve"> 1914: 87 “may we win”</w:t>
      </w:r>
    </w:p>
    <w:p w14:paraId="0FF3C5F9" w14:textId="77777777" w:rsidR="00E53EB6" w:rsidRDefault="006500F5">
      <w:pPr>
        <w:pStyle w:val="HaupttextnachZitat"/>
        <w:numPr>
          <w:ilvl w:val="2"/>
          <w:numId w:val="2"/>
        </w:numPr>
        <w:tabs>
          <w:tab w:val="left" w:pos="0"/>
        </w:tabs>
      </w:pPr>
      <w:r>
        <w:t>Vedic Web:</w:t>
      </w:r>
    </w:p>
    <w:p w14:paraId="15FEA9FE" w14:textId="77777777" w:rsidR="00E53EB6" w:rsidRDefault="006500F5">
      <w:pPr>
        <w:pStyle w:val="HaupttextohneEinzug"/>
      </w:pPr>
      <w:r>
        <w:rPr>
          <w:rFonts w:eastAsia="DevanagariMT"/>
          <w:iCs/>
        </w:rPr>
        <w:t>Mantra: TS 3.2.7.2i (</w:t>
      </w:r>
      <w:r>
        <w:rPr>
          <w:rFonts w:eastAsia="DevanagariMT"/>
          <w:i/>
          <w:iCs/>
        </w:rPr>
        <w:t>indriyā́vanto</w:t>
      </w:r>
      <w:r>
        <w:rPr>
          <w:rFonts w:eastAsia="DevanagariMT"/>
        </w:rPr>
        <w:t>).</w:t>
      </w:r>
    </w:p>
    <w:p w14:paraId="65CC2227" w14:textId="77777777" w:rsidR="00E53EB6" w:rsidRDefault="006500F5">
      <w:pPr>
        <w:pStyle w:val="HaupttextohneEinzug"/>
      </w:pPr>
      <w:r>
        <w:t>Prose: TS 1.7.4.</w:t>
      </w:r>
    </w:p>
    <w:p w14:paraId="63472ACD" w14:textId="77777777" w:rsidR="00E53EB6" w:rsidRDefault="00E53EB6">
      <w:pPr>
        <w:pStyle w:val="HaupttextohneEinzug"/>
        <w:autoSpaceDE w:val="0"/>
        <w:rPr>
          <w:rFonts w:eastAsia="Arial" w:cs="Devanagari MT;Times New Roman"/>
          <w:szCs w:val="21"/>
          <w:lang w:eastAsia="hi-IN" w:bidi="en-GB"/>
        </w:rPr>
      </w:pPr>
    </w:p>
    <w:p w14:paraId="3C41E53F" w14:textId="77777777" w:rsidR="00E53EB6" w:rsidRDefault="006500F5">
      <w:pPr>
        <w:pStyle w:val="HaupttextohneEinzug"/>
      </w:pPr>
      <w:r>
        <w:t>Rite</w:t>
      </w:r>
    </w:p>
    <w:p w14:paraId="47047582" w14:textId="77777777" w:rsidR="00E53EB6" w:rsidRDefault="006500F5">
      <w:pPr>
        <w:pStyle w:val="HaupttextohneEinzug"/>
      </w:pPr>
      <w:r>
        <w:t>Darśapūr</w:t>
      </w:r>
      <w:r>
        <w:t>ṇ</w:t>
      </w:r>
      <w:r>
        <w:t>amāse</w:t>
      </w:r>
      <w:r>
        <w:t>ṣṭ</w:t>
      </w:r>
      <w:r>
        <w:t>i, this s</w:t>
      </w:r>
      <w:r>
        <w:t xml:space="preserve">ection gives the </w:t>
      </w:r>
      <w:r>
        <w:rPr>
          <w:i/>
          <w:iCs/>
        </w:rPr>
        <w:t>mantra</w:t>
      </w:r>
      <w:r>
        <w:t xml:space="preserve">s for the </w:t>
      </w:r>
      <w:r>
        <w:rPr>
          <w:i/>
          <w:iCs/>
        </w:rPr>
        <w:t>anuyāja</w:t>
      </w:r>
      <w:r>
        <w:rPr>
          <w:rStyle w:val="FootnoteAnchor"/>
          <w:rFonts w:cs="Devanagari MT;Times New Roman"/>
          <w:i/>
          <w:iCs/>
          <w:szCs w:val="21"/>
        </w:rPr>
        <w:footnoteReference w:id="193"/>
      </w:r>
      <w:r>
        <w:t xml:space="preserve">- this verse is recited by the </w:t>
      </w:r>
      <w:r>
        <w:rPr>
          <w:i/>
          <w:iCs/>
        </w:rPr>
        <w:t xml:space="preserve">yajamāna, </w:t>
      </w:r>
      <w:r>
        <w:t xml:space="preserve">after the </w:t>
      </w:r>
      <w:r>
        <w:rPr>
          <w:i/>
          <w:iCs/>
        </w:rPr>
        <w:t>adhvaryu</w:t>
      </w:r>
      <w:r>
        <w:t xml:space="preserve"> has called upon him.</w:t>
      </w:r>
    </w:p>
    <w:p w14:paraId="111CCAFB" w14:textId="77777777" w:rsidR="00E53EB6" w:rsidRDefault="00E53EB6">
      <w:pPr>
        <w:pStyle w:val="HaupttextohneEinzug"/>
        <w:autoSpaceDE w:val="0"/>
        <w:rPr>
          <w:rFonts w:eastAsia="Arial" w:cs="Devanagari MT;Times New Roman"/>
          <w:sz w:val="22"/>
          <w:szCs w:val="22"/>
          <w:lang w:eastAsia="hi-IN" w:bidi="en-GB"/>
        </w:rPr>
      </w:pPr>
    </w:p>
    <w:p w14:paraId="18A3AEFE" w14:textId="77777777" w:rsidR="00E53EB6" w:rsidRDefault="006500F5">
      <w:pPr>
        <w:pStyle w:val="Heading5"/>
        <w:numPr>
          <w:ilvl w:val="4"/>
          <w:numId w:val="2"/>
        </w:numPr>
        <w:tabs>
          <w:tab w:val="left" w:pos="0"/>
        </w:tabs>
      </w:pPr>
      <w:r>
        <w:rPr>
          <w:u w:val="single"/>
        </w:rPr>
        <w:t>TS 1.8.12.1a-b</w:t>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t xml:space="preserve"> </w:t>
      </w:r>
      <w:r>
        <w:tab/>
      </w:r>
      <w:r>
        <w:tab/>
      </w:r>
    </w:p>
    <w:p w14:paraId="5A7CF567" w14:textId="77777777" w:rsidR="00E53EB6" w:rsidRDefault="006500F5">
      <w:pPr>
        <w:pStyle w:val="Zitat"/>
        <w:autoSpaceDE w:val="0"/>
        <w:rPr>
          <w:lang w:eastAsia="hi-IN"/>
        </w:rPr>
      </w:pPr>
      <w:r>
        <w:rPr>
          <w:lang w:eastAsia="hi-IN"/>
        </w:rPr>
        <w:t xml:space="preserve">TS 1.8.12.1a </w:t>
      </w:r>
      <w:r>
        <w:rPr>
          <w:i/>
          <w:iCs/>
          <w:lang w:eastAsia="hi-IN"/>
        </w:rPr>
        <w:t>dévīr āpa</w:t>
      </w:r>
      <w:r>
        <w:rPr>
          <w:i/>
          <w:iCs/>
          <w:lang w:eastAsia="hi-IN"/>
        </w:rPr>
        <w:t>ḥ</w:t>
      </w:r>
      <w:r>
        <w:rPr>
          <w:i/>
          <w:iCs/>
          <w:lang w:eastAsia="hi-IN"/>
        </w:rPr>
        <w:t xml:space="preserve"> sám mádhumatīr mádhumatībhi</w:t>
      </w:r>
      <w:r>
        <w:rPr>
          <w:i/>
          <w:iCs/>
          <w:lang w:eastAsia="hi-IN"/>
        </w:rPr>
        <w:t>ḥ</w:t>
      </w:r>
      <w:r>
        <w:rPr>
          <w:i/>
          <w:iCs/>
          <w:lang w:eastAsia="hi-IN"/>
        </w:rPr>
        <w:t xml:space="preserve"> sr</w:t>
      </w:r>
      <w:r>
        <w:rPr>
          <w:rFonts w:cs="Devanagari MT;Times New Roman"/>
          <w:lang w:eastAsia="hi-IN"/>
        </w:rPr>
        <w:t>̥</w:t>
      </w:r>
      <w:r>
        <w:rPr>
          <w:i/>
          <w:iCs/>
          <w:lang w:eastAsia="hi-IN"/>
        </w:rPr>
        <w:t>jyadhvam máhi várca</w:t>
      </w:r>
      <w:r>
        <w:rPr>
          <w:i/>
          <w:iCs/>
          <w:lang w:eastAsia="hi-IN"/>
        </w:rPr>
        <w:t>ḥ</w:t>
      </w:r>
      <w:r>
        <w:rPr>
          <w:i/>
          <w:iCs/>
          <w:lang w:eastAsia="hi-IN"/>
        </w:rPr>
        <w:t xml:space="preserve"> k</w:t>
      </w:r>
      <w:r>
        <w:rPr>
          <w:i/>
          <w:iCs/>
          <w:lang w:eastAsia="hi-IN"/>
        </w:rPr>
        <w:t>ṣ</w:t>
      </w:r>
      <w:r>
        <w:rPr>
          <w:i/>
          <w:iCs/>
          <w:lang w:eastAsia="hi-IN"/>
        </w:rPr>
        <w:t xml:space="preserve">atríyāya vanvānā́s / </w:t>
      </w:r>
    </w:p>
    <w:p w14:paraId="06DF53ED" w14:textId="77777777" w:rsidR="00E53EB6" w:rsidRDefault="006500F5">
      <w:pPr>
        <w:pStyle w:val="ZitatnachZitat"/>
        <w:autoSpaceDE w:val="0"/>
        <w:rPr>
          <w:rFonts w:eastAsia="Arial" w:cs="Times Ext Roman"/>
          <w:szCs w:val="18"/>
          <w:lang w:eastAsia="hi-IN" w:bidi="en-GB"/>
        </w:rPr>
      </w:pPr>
      <w:r>
        <w:rPr>
          <w:rFonts w:eastAsia="Arial" w:cs="Times Ext Roman"/>
          <w:szCs w:val="18"/>
          <w:lang w:eastAsia="hi-IN" w:bidi="en-GB"/>
        </w:rPr>
        <w:lastRenderedPageBreak/>
        <w:t xml:space="preserve">TS 1.8.12.1b </w:t>
      </w:r>
      <w:r>
        <w:rPr>
          <w:rFonts w:eastAsia="Arial" w:cs="Times Ext Roman"/>
          <w:i/>
          <w:iCs/>
          <w:szCs w:val="18"/>
          <w:lang w:eastAsia="hi-IN" w:bidi="en-GB"/>
        </w:rPr>
        <w:t>ánādhr</w:t>
      </w:r>
      <w:r>
        <w:rPr>
          <w:rFonts w:eastAsia="Arial" w:cs="Devanagari MT;Times New Roman"/>
          <w:szCs w:val="18"/>
          <w:lang w:eastAsia="hi-IN" w:bidi="en-GB"/>
        </w:rPr>
        <w:t>̥</w:t>
      </w:r>
      <w:r>
        <w:rPr>
          <w:rFonts w:eastAsia="Arial" w:cs="Times Ext Roman"/>
          <w:i/>
          <w:iCs/>
          <w:szCs w:val="18"/>
          <w:lang w:eastAsia="hi-IN" w:bidi="en-GB"/>
        </w:rPr>
        <w:t>ṣṭ</w:t>
      </w:r>
      <w:r>
        <w:rPr>
          <w:rFonts w:eastAsia="Arial" w:cs="Times Ext Roman"/>
          <w:i/>
          <w:iCs/>
          <w:szCs w:val="18"/>
          <w:lang w:eastAsia="hi-IN" w:bidi="en-GB"/>
        </w:rPr>
        <w:t>ā</w:t>
      </w:r>
      <w:r>
        <w:rPr>
          <w:rFonts w:eastAsia="Arial" w:cs="Times Ext Roman"/>
          <w:i/>
          <w:iCs/>
          <w:szCs w:val="18"/>
          <w:lang w:eastAsia="hi-IN" w:bidi="en-GB"/>
        </w:rPr>
        <w:t>ḥ</w:t>
      </w:r>
      <w:r>
        <w:rPr>
          <w:rFonts w:eastAsia="Arial" w:cs="Times Ext Roman"/>
          <w:i/>
          <w:iCs/>
          <w:szCs w:val="18"/>
          <w:lang w:eastAsia="hi-IN" w:bidi="en-GB"/>
        </w:rPr>
        <w:t xml:space="preserve"> sīdatórjasvatīr máhi várca</w:t>
      </w:r>
      <w:r>
        <w:rPr>
          <w:rFonts w:eastAsia="Arial" w:cs="Times Ext Roman"/>
          <w:i/>
          <w:iCs/>
          <w:szCs w:val="18"/>
          <w:lang w:eastAsia="hi-IN" w:bidi="en-GB"/>
        </w:rPr>
        <w:t>ḥ</w:t>
      </w:r>
      <w:r>
        <w:rPr>
          <w:rFonts w:eastAsia="Arial" w:cs="Times Ext Roman"/>
          <w:i/>
          <w:iCs/>
          <w:szCs w:val="18"/>
          <w:lang w:eastAsia="hi-IN" w:bidi="en-GB"/>
        </w:rPr>
        <w:t xml:space="preserve"> k</w:t>
      </w:r>
      <w:r>
        <w:rPr>
          <w:rFonts w:eastAsia="Arial" w:cs="Times Ext Roman"/>
          <w:i/>
          <w:iCs/>
          <w:szCs w:val="18"/>
          <w:lang w:eastAsia="hi-IN" w:bidi="en-GB"/>
        </w:rPr>
        <w:t>ṣ</w:t>
      </w:r>
      <w:r>
        <w:rPr>
          <w:rFonts w:eastAsia="Arial" w:cs="Times Ext Roman"/>
          <w:i/>
          <w:iCs/>
          <w:szCs w:val="18"/>
          <w:lang w:eastAsia="hi-IN" w:bidi="en-GB"/>
        </w:rPr>
        <w:t>atríyāya dadhátīs /</w:t>
      </w:r>
    </w:p>
    <w:p w14:paraId="40A366F7" w14:textId="77777777" w:rsidR="00E53EB6" w:rsidRDefault="006500F5">
      <w:pPr>
        <w:pStyle w:val="Zitat"/>
        <w:autoSpaceDE w:val="0"/>
        <w:rPr>
          <w:rFonts w:ascii="Times Ext Roman" w:hAnsi="Times Ext Roman"/>
          <w:lang w:eastAsia="hi-IN"/>
        </w:rPr>
      </w:pPr>
      <w:r>
        <w:rPr>
          <w:lang w:eastAsia="hi-IN"/>
        </w:rPr>
        <w:t xml:space="preserve">Divine water, full of sweet, be mingled with the full of sweet, </w:t>
      </w:r>
      <w:r>
        <w:rPr>
          <w:u w:val="single"/>
          <w:lang w:eastAsia="hi-IN"/>
        </w:rPr>
        <w:t>appropriating</w:t>
      </w:r>
      <w:r>
        <w:rPr>
          <w:lang w:eastAsia="hi-IN"/>
        </w:rPr>
        <w:t xml:space="preserve"> for the king</w:t>
      </w:r>
      <w:r>
        <w:rPr>
          <w:rStyle w:val="FootnoteAnchor"/>
          <w:rFonts w:cs="Devanagari MT;Times New Roman"/>
          <w:lang w:eastAsia="hi-IN"/>
        </w:rPr>
        <w:footnoteReference w:id="194"/>
      </w:r>
      <w:r>
        <w:rPr>
          <w:lang w:eastAsia="hi-IN"/>
        </w:rPr>
        <w:t xml:space="preserve">  a great splendour</w:t>
      </w:r>
      <w:r>
        <w:rPr>
          <w:rStyle w:val="FootnoteAnchor"/>
          <w:rFonts w:cs="Devanagari MT;Times New Roman"/>
          <w:lang w:eastAsia="hi-IN"/>
        </w:rPr>
        <w:footnoteReference w:id="195"/>
      </w:r>
      <w:r>
        <w:rPr>
          <w:lang w:eastAsia="hi-IN"/>
        </w:rPr>
        <w:t>; sit untouched, posses</w:t>
      </w:r>
      <w:r>
        <w:rPr>
          <w:lang w:eastAsia="hi-IN"/>
        </w:rPr>
        <w:t>sing the vital energy</w:t>
      </w:r>
      <w:r>
        <w:rPr>
          <w:rStyle w:val="FootnoteAnchor"/>
          <w:rFonts w:cs="Devanagari MT;Times New Roman"/>
          <w:lang w:eastAsia="hi-IN"/>
        </w:rPr>
        <w:footnoteReference w:id="196"/>
      </w:r>
      <w:r>
        <w:rPr>
          <w:lang w:eastAsia="hi-IN"/>
        </w:rPr>
        <w:t>, putting a great splendour  in to the king.</w:t>
      </w:r>
    </w:p>
    <w:p w14:paraId="57B1F097" w14:textId="77777777" w:rsidR="00E53EB6" w:rsidRDefault="00E53EB6">
      <w:pPr>
        <w:pStyle w:val="ZitatnachZitat"/>
        <w:autoSpaceDE w:val="0"/>
        <w:rPr>
          <w:rFonts w:eastAsia="Arial" w:cs="Devanagari MT;Times New Roman"/>
          <w:szCs w:val="18"/>
          <w:lang w:eastAsia="hi-IN" w:bidi="en-GB"/>
        </w:rPr>
      </w:pPr>
    </w:p>
    <w:p w14:paraId="6067A90B" w14:textId="77777777" w:rsidR="00E53EB6" w:rsidRDefault="006500F5">
      <w:pPr>
        <w:pStyle w:val="Zitat"/>
        <w:autoSpaceDE w:val="0"/>
        <w:rPr>
          <w:lang w:eastAsia="hi-IN"/>
        </w:rPr>
      </w:pPr>
      <w:r>
        <w:rPr>
          <w:i/>
          <w:iCs/>
          <w:lang w:eastAsia="hi-IN"/>
        </w:rPr>
        <w:t>vanvānā</w:t>
      </w:r>
      <w:r>
        <w:rPr>
          <w:i/>
          <w:iCs/>
          <w:lang w:eastAsia="hi-IN"/>
        </w:rPr>
        <w:t>ḥ</w:t>
      </w:r>
      <w:r>
        <w:rPr>
          <w:i/>
          <w:iCs/>
          <w:lang w:eastAsia="hi-IN"/>
        </w:rPr>
        <w:t xml:space="preserve">: </w:t>
      </w:r>
      <w:r>
        <w:rPr>
          <w:lang w:eastAsia="hi-IN"/>
        </w:rPr>
        <w:t>part. pres. nom. fem. pl. Ā VIII cl.</w:t>
      </w:r>
    </w:p>
    <w:p w14:paraId="03CD032F" w14:textId="77777777" w:rsidR="00E53EB6" w:rsidRDefault="006500F5">
      <w:pPr>
        <w:pStyle w:val="ZitatmitEinzug"/>
        <w:autoSpaceDE w:val="0"/>
        <w:rPr>
          <w:rFonts w:eastAsia="Arial" w:cs="Times Ext Roman"/>
          <w:szCs w:val="18"/>
          <w:lang w:eastAsia="hi-IN" w:bidi="en-GB"/>
        </w:rPr>
      </w:pPr>
      <w:r>
        <w:rPr>
          <w:rStyle w:val="biblio-authorGEN"/>
          <w:rFonts w:eastAsia="Arial" w:cs="Times Ext Roman"/>
          <w:sz w:val="18"/>
          <w:szCs w:val="15"/>
          <w:lang w:eastAsia="hi-IN" w:bidi="en-GB"/>
        </w:rPr>
        <w:t>Keith</w:t>
      </w:r>
      <w:r>
        <w:rPr>
          <w:rFonts w:eastAsia="Arial" w:cs="Times Ext Roman"/>
          <w:szCs w:val="18"/>
          <w:lang w:eastAsia="hi-IN" w:bidi="en-GB"/>
        </w:rPr>
        <w:t xml:space="preserve"> 1914: 123 “Winning”</w:t>
      </w:r>
    </w:p>
    <w:p w14:paraId="6AFFE309" w14:textId="77777777" w:rsidR="00E53EB6" w:rsidRDefault="006500F5">
      <w:pPr>
        <w:pStyle w:val="HaupttextnachZitat"/>
        <w:numPr>
          <w:ilvl w:val="2"/>
          <w:numId w:val="2"/>
        </w:numPr>
        <w:tabs>
          <w:tab w:val="left" w:pos="0"/>
        </w:tabs>
      </w:pPr>
      <w:r>
        <w:t>Vedic Web</w:t>
      </w:r>
    </w:p>
    <w:p w14:paraId="75B5BC9D" w14:textId="77777777" w:rsidR="00E53EB6" w:rsidRPr="00B80C6B" w:rsidRDefault="006500F5">
      <w:pPr>
        <w:rPr>
          <w:rFonts w:ascii="Sabon Unicode" w:hAnsi="Sabon Unicode"/>
        </w:rPr>
      </w:pPr>
      <w:r w:rsidRPr="00B80C6B">
        <w:rPr>
          <w:rFonts w:ascii="Sabon Unicode" w:hAnsi="Sabon Unicode"/>
        </w:rPr>
        <w:t>Mantra: MS 2.6.8</w:t>
      </w:r>
      <w:r w:rsidRPr="00B80C6B">
        <w:rPr>
          <w:rFonts w:ascii="Sabon Unicode" w:hAnsi="Sabon Unicode"/>
          <w:szCs w:val="21"/>
        </w:rPr>
        <w:t xml:space="preserve">: </w:t>
      </w:r>
      <w:r w:rsidRPr="00B80C6B">
        <w:rPr>
          <w:rFonts w:ascii="Sabon Unicode" w:eastAsia="MS Mincho;ＭＳ 明朝" w:hAnsi="Sabon Unicode" w:cs="Times Ext Roman"/>
          <w:szCs w:val="21"/>
          <w:lang w:eastAsia="hi-IN" w:bidi="en-GB"/>
        </w:rPr>
        <w:t xml:space="preserve">68,6-8; </w:t>
      </w:r>
      <w:r w:rsidRPr="00B80C6B">
        <w:rPr>
          <w:rFonts w:ascii="Sabon Unicode" w:hAnsi="Sabon Unicode"/>
        </w:rPr>
        <w:t xml:space="preserve">MS 4.4.2: </w:t>
      </w:r>
      <w:r w:rsidRPr="00B80C6B">
        <w:rPr>
          <w:rFonts w:ascii="Sabon Unicode" w:hAnsi="Sabon Unicode"/>
        </w:rPr>
        <w:t>51,8-10</w:t>
      </w:r>
      <w:r w:rsidRPr="00B80C6B">
        <w:rPr>
          <w:rFonts w:ascii="Sabon Unicode" w:hAnsi="Sabon Unicode"/>
        </w:rPr>
        <w:t xml:space="preserve">; </w:t>
      </w:r>
      <w:r w:rsidRPr="00B80C6B">
        <w:rPr>
          <w:rFonts w:ascii="Sabon Unicode" w:hAnsi="Sabon Unicode" w:cs="Sabon Unicode"/>
        </w:rPr>
        <w:t xml:space="preserve">KS 15.6: 213,9-10; </w:t>
      </w:r>
      <w:r w:rsidRPr="00B80C6B">
        <w:rPr>
          <w:rFonts w:ascii="Sabon Unicode" w:hAnsi="Sabon Unicode"/>
        </w:rPr>
        <w:t xml:space="preserve">VS 10.4; ŚB 5.3.4.27. </w:t>
      </w:r>
    </w:p>
    <w:p w14:paraId="5811C60D" w14:textId="77777777" w:rsidR="00E53EB6" w:rsidRDefault="006500F5">
      <w:pPr>
        <w:pStyle w:val="HaupttextohneEinzug"/>
      </w:pPr>
      <w:r>
        <w:t>Mantra and Prose: ŚB 5.3.4.27.</w:t>
      </w:r>
    </w:p>
    <w:p w14:paraId="3CE7B3AB" w14:textId="77777777" w:rsidR="00E53EB6" w:rsidRDefault="006500F5">
      <w:pPr>
        <w:pStyle w:val="HaupttextohneEinzug"/>
      </w:pPr>
      <w:r>
        <w:t>Prose: ŚB 5.16-37; 4.1.15.</w:t>
      </w:r>
    </w:p>
    <w:p w14:paraId="1FE483E2" w14:textId="77777777" w:rsidR="00E53EB6" w:rsidRDefault="00E53EB6">
      <w:pPr>
        <w:pStyle w:val="HaupttextohneEinzug"/>
      </w:pPr>
    </w:p>
    <w:p w14:paraId="1CA449FF" w14:textId="77777777" w:rsidR="00E53EB6" w:rsidRDefault="006500F5">
      <w:pPr>
        <w:pStyle w:val="HaupttextohneEinzug"/>
      </w:pPr>
      <w:r>
        <w:t>Rite</w:t>
      </w:r>
    </w:p>
    <w:p w14:paraId="65B78DC2" w14:textId="77777777" w:rsidR="00E53EB6" w:rsidRDefault="006500F5">
      <w:pPr>
        <w:pStyle w:val="HaupttextohneEinzug"/>
      </w:pPr>
      <w:r>
        <w:t>Rājasūya, the Abhi</w:t>
      </w:r>
      <w:r>
        <w:t>ṣ</w:t>
      </w:r>
      <w:r>
        <w:t>eka –the unction of the king during his consecration. This section deals with the preparation of the waters.</w:t>
      </w:r>
    </w:p>
    <w:p w14:paraId="4DC62850" w14:textId="77777777" w:rsidR="00E53EB6" w:rsidRDefault="006500F5">
      <w:pPr>
        <w:pStyle w:val="HaupttextohneEinzug"/>
      </w:pPr>
      <w:r>
        <w:t>Waters from diverse sources are poured to</w:t>
      </w:r>
      <w:r>
        <w:t xml:space="preserve">gether into a single vessel. (… more description in Proferes) The </w:t>
      </w:r>
      <w:r>
        <w:rPr>
          <w:i/>
          <w:iCs/>
        </w:rPr>
        <w:t>mantra</w:t>
      </w:r>
      <w:r>
        <w:t xml:space="preserve"> credits the waters with winning for the anointed on the power to rule –</w:t>
      </w:r>
      <w:r>
        <w:rPr>
          <w:i/>
          <w:iCs/>
        </w:rPr>
        <w:t>varcás</w:t>
      </w:r>
      <w:r>
        <w:t xml:space="preserve"> “splendour”, cf. </w:t>
      </w:r>
      <w:r>
        <w:rPr>
          <w:rStyle w:val="biblio-authorGEN"/>
        </w:rPr>
        <w:t>Proferes</w:t>
      </w:r>
      <w:r>
        <w:t xml:space="preserve"> 2007: 80ff; </w:t>
      </w:r>
      <w:r>
        <w:rPr>
          <w:rStyle w:val="biblio-authorGEN"/>
        </w:rPr>
        <w:t>Heesterman</w:t>
      </w:r>
      <w:r>
        <w:t xml:space="preserve"> 1975: 74-70 and 114-22; see also </w:t>
      </w:r>
      <w:r>
        <w:rPr>
          <w:rStyle w:val="biblio-authorGEN"/>
        </w:rPr>
        <w:t>Tsuchiyama</w:t>
      </w:r>
      <w:r>
        <w:t xml:space="preserve"> 2005 for the</w:t>
      </w:r>
      <w:r>
        <w:t xml:space="preserve"> Abhi</w:t>
      </w:r>
      <w:r>
        <w:t>ṣ</w:t>
      </w:r>
      <w:r>
        <w:t xml:space="preserve">eka in general and his post-Vedic development. </w:t>
      </w:r>
    </w:p>
    <w:p w14:paraId="460560ED" w14:textId="77777777" w:rsidR="00E53EB6" w:rsidRDefault="006500F5">
      <w:pPr>
        <w:pStyle w:val="HaupttextohneEinzug"/>
      </w:pPr>
      <w:r>
        <w:t>The collection and mixing of the waters.</w:t>
      </w:r>
    </w:p>
    <w:p w14:paraId="57643219" w14:textId="77777777" w:rsidR="00E53EB6" w:rsidRDefault="00E53EB6">
      <w:pPr>
        <w:pStyle w:val="HaupttextohneEinzug"/>
        <w:autoSpaceDE w:val="0"/>
        <w:rPr>
          <w:color w:val="008000"/>
        </w:rPr>
      </w:pPr>
    </w:p>
    <w:p w14:paraId="39E2C64B" w14:textId="77777777" w:rsidR="00E53EB6" w:rsidRDefault="006500F5">
      <w:pPr>
        <w:pStyle w:val="Heading5"/>
        <w:numPr>
          <w:ilvl w:val="4"/>
          <w:numId w:val="2"/>
        </w:numPr>
        <w:tabs>
          <w:tab w:val="left" w:pos="0"/>
        </w:tabs>
      </w:pPr>
      <w:r>
        <w:rPr>
          <w:u w:val="single"/>
        </w:rPr>
        <w:t>TS 2.4.5.1c</w:t>
      </w:r>
      <w:r>
        <w:t xml:space="preserve"> </w:t>
      </w:r>
      <w:r>
        <w:tab/>
      </w:r>
      <w:r>
        <w:tab/>
      </w:r>
      <w:r>
        <w:tab/>
      </w:r>
      <w:r>
        <w:tab/>
      </w:r>
      <w:r>
        <w:tab/>
      </w:r>
      <w:r>
        <w:tab/>
      </w:r>
      <w:r>
        <w:rPr>
          <w:rFonts w:cs="Devanagari MT;Times New Roman"/>
        </w:rPr>
        <w:tab/>
      </w:r>
    </w:p>
    <w:p w14:paraId="4BDE0396" w14:textId="77777777" w:rsidR="00E53EB6" w:rsidRDefault="006500F5">
      <w:pPr>
        <w:pStyle w:val="Zitat"/>
        <w:autoSpaceDE w:val="0"/>
        <w:rPr>
          <w:lang w:eastAsia="hi-IN"/>
        </w:rPr>
      </w:pPr>
      <w:r>
        <w:rPr>
          <w:lang w:eastAsia="hi-IN"/>
        </w:rPr>
        <w:t xml:space="preserve"> 2.4.5.1c </w:t>
      </w:r>
      <w:r>
        <w:rPr>
          <w:i/>
          <w:iCs/>
          <w:lang w:eastAsia="hi-IN"/>
        </w:rPr>
        <w:t>dhātā́ dadātu no rayím ī́śāno jágatas páti</w:t>
      </w:r>
      <w:r>
        <w:rPr>
          <w:i/>
          <w:iCs/>
          <w:lang w:eastAsia="hi-IN"/>
        </w:rPr>
        <w:t>ḥ</w:t>
      </w:r>
      <w:r>
        <w:rPr>
          <w:i/>
          <w:iCs/>
          <w:lang w:eastAsia="hi-IN"/>
        </w:rPr>
        <w:t xml:space="preserve"> / sá na</w:t>
      </w:r>
      <w:r>
        <w:rPr>
          <w:i/>
          <w:iCs/>
          <w:lang w:eastAsia="hi-IN"/>
        </w:rPr>
        <w:t>ḥ</w:t>
      </w:r>
      <w:r>
        <w:rPr>
          <w:i/>
          <w:iCs/>
          <w:lang w:eastAsia="hi-IN"/>
        </w:rPr>
        <w:t xml:space="preserve"> pūr</w:t>
      </w:r>
      <w:r>
        <w:rPr>
          <w:i/>
          <w:iCs/>
          <w:lang w:eastAsia="hi-IN"/>
        </w:rPr>
        <w:t>ṇ</w:t>
      </w:r>
      <w:r>
        <w:rPr>
          <w:i/>
          <w:iCs/>
          <w:lang w:eastAsia="hi-IN"/>
        </w:rPr>
        <w:t>éna vāvanat</w:t>
      </w:r>
      <w:r>
        <w:rPr>
          <w:lang w:eastAsia="hi-IN"/>
        </w:rPr>
        <w:t xml:space="preserve"> //</w:t>
      </w:r>
    </w:p>
    <w:p w14:paraId="1F3C7141" w14:textId="77777777" w:rsidR="00E53EB6" w:rsidRDefault="006500F5">
      <w:pPr>
        <w:pStyle w:val="Zitat"/>
        <w:autoSpaceDE w:val="0"/>
        <w:rPr>
          <w:rFonts w:ascii="Times Ext Roman" w:hAnsi="Times Ext Roman"/>
          <w:lang w:eastAsia="hi-IN"/>
        </w:rPr>
      </w:pPr>
      <w:r>
        <w:rPr>
          <w:lang w:eastAsia="hi-IN"/>
        </w:rPr>
        <w:t>May Dhātr</w:t>
      </w:r>
      <w:r>
        <w:rPr>
          <w:rFonts w:cs="Devanagari MT;Times New Roman"/>
          <w:lang w:eastAsia="hi-IN"/>
        </w:rPr>
        <w:t>̥</w:t>
      </w:r>
      <w:r>
        <w:rPr>
          <w:lang w:eastAsia="hi-IN"/>
        </w:rPr>
        <w:t xml:space="preserve"> give us wealth, the Lord, the father of the liv</w:t>
      </w:r>
      <w:r>
        <w:rPr>
          <w:lang w:eastAsia="hi-IN"/>
        </w:rPr>
        <w:t xml:space="preserve">ing, may he have </w:t>
      </w:r>
      <w:r>
        <w:rPr>
          <w:u w:val="single"/>
          <w:lang w:eastAsia="hi-IN"/>
        </w:rPr>
        <w:t>appropriated</w:t>
      </w:r>
      <w:r>
        <w:rPr>
          <w:rStyle w:val="FootnoteAnchor"/>
          <w:u w:val="single"/>
          <w:lang w:eastAsia="hi-IN"/>
        </w:rPr>
        <w:footnoteReference w:id="197"/>
      </w:r>
      <w:r>
        <w:rPr>
          <w:lang w:eastAsia="hi-IN"/>
        </w:rPr>
        <w:t xml:space="preserve"> us completely</w:t>
      </w:r>
      <w:r>
        <w:rPr>
          <w:rStyle w:val="FootnoteAnchor"/>
          <w:rFonts w:cs="Devanagari MT;Times New Roman"/>
          <w:lang w:eastAsia="hi-IN"/>
        </w:rPr>
        <w:footnoteReference w:id="198"/>
      </w:r>
      <w:r>
        <w:rPr>
          <w:rStyle w:val="FootnoteReference"/>
          <w:rFonts w:cs="Devanagari MT;Times New Roman"/>
          <w:vertAlign w:val="baseline"/>
          <w:lang w:eastAsia="hi-IN"/>
        </w:rPr>
        <w:t>.</w:t>
      </w:r>
    </w:p>
    <w:p w14:paraId="6CD18355" w14:textId="77777777" w:rsidR="00E53EB6" w:rsidRDefault="006500F5">
      <w:pPr>
        <w:pStyle w:val="Zitat"/>
        <w:autoSpaceDE w:val="0"/>
        <w:rPr>
          <w:lang w:eastAsia="hi-IN"/>
        </w:rPr>
      </w:pPr>
      <w:r>
        <w:rPr>
          <w:i/>
          <w:iCs/>
          <w:lang w:eastAsia="hi-IN"/>
        </w:rPr>
        <w:t>vāvanat:</w:t>
      </w:r>
      <w:r>
        <w:rPr>
          <w:lang w:eastAsia="hi-IN"/>
        </w:rPr>
        <w:t xml:space="preserve"> subj. perf. 3</w:t>
      </w:r>
      <w:r>
        <w:rPr>
          <w:vertAlign w:val="superscript"/>
          <w:lang w:eastAsia="hi-IN"/>
        </w:rPr>
        <w:t>rd</w:t>
      </w:r>
      <w:r>
        <w:rPr>
          <w:lang w:eastAsia="hi-IN"/>
        </w:rPr>
        <w:t xml:space="preserve"> sing.    </w:t>
      </w:r>
    </w:p>
    <w:p w14:paraId="3CA840FA" w14:textId="77777777" w:rsidR="00E53EB6" w:rsidRDefault="006500F5">
      <w:pPr>
        <w:pStyle w:val="ZitatmitEinzug"/>
        <w:autoSpaceDE w:val="0"/>
        <w:rPr>
          <w:rFonts w:eastAsia="Arial" w:cs="Times Ext Roman"/>
          <w:szCs w:val="18"/>
          <w:lang w:eastAsia="hi-IN" w:bidi="en-GB"/>
        </w:rPr>
      </w:pPr>
      <w:r>
        <w:rPr>
          <w:rStyle w:val="biblio-authorGEN"/>
          <w:rFonts w:eastAsia="Arial" w:cs="Times Ext Roman"/>
          <w:sz w:val="18"/>
          <w:szCs w:val="15"/>
          <w:lang w:eastAsia="hi-IN" w:bidi="en-GB"/>
        </w:rPr>
        <w:t>Keith</w:t>
      </w:r>
      <w:r>
        <w:rPr>
          <w:rFonts w:eastAsia="Arial" w:cs="Times Ext Roman"/>
          <w:szCs w:val="18"/>
          <w:lang w:eastAsia="hi-IN" w:bidi="en-GB"/>
        </w:rPr>
        <w:t xml:space="preserve"> 1914: 179 “May he favour us with a (full) gift” </w:t>
      </w:r>
    </w:p>
    <w:p w14:paraId="1DD17C48" w14:textId="77777777" w:rsidR="00E53EB6" w:rsidRDefault="006500F5">
      <w:pPr>
        <w:pStyle w:val="HaupttextnachZitat"/>
        <w:numPr>
          <w:ilvl w:val="2"/>
          <w:numId w:val="2"/>
        </w:numPr>
        <w:tabs>
          <w:tab w:val="left" w:pos="0"/>
        </w:tabs>
      </w:pPr>
      <w:r>
        <w:t>Vedic Web:</w:t>
      </w:r>
    </w:p>
    <w:p w14:paraId="0899983F" w14:textId="77777777" w:rsidR="00E53EB6" w:rsidRDefault="006500F5">
      <w:pPr>
        <w:pStyle w:val="HaupttextohneEinzug"/>
      </w:pPr>
      <w:r>
        <w:t>Mantra: KS 13.16;</w:t>
      </w:r>
      <w:r>
        <w:rPr>
          <w:szCs w:val="21"/>
        </w:rPr>
        <w:t xml:space="preserve"> </w:t>
      </w:r>
      <w:r>
        <w:rPr>
          <w:rFonts w:eastAsia="Arial" w:cs="Times Ext Roman"/>
          <w:szCs w:val="21"/>
          <w:lang w:eastAsia="hi-IN" w:bidi="en-GB"/>
        </w:rPr>
        <w:t>AV 7.17.1 (</w:t>
      </w:r>
      <w:r>
        <w:rPr>
          <w:rFonts w:eastAsia="Arial" w:cs="Times Ext Roman"/>
          <w:i/>
          <w:iCs/>
          <w:szCs w:val="21"/>
          <w:lang w:eastAsia="hi-IN" w:bidi="en-GB"/>
        </w:rPr>
        <w:t xml:space="preserve">yachatu </w:t>
      </w:r>
      <w:r>
        <w:rPr>
          <w:rFonts w:eastAsia="Arial" w:cs="Times Ext Roman"/>
          <w:szCs w:val="21"/>
          <w:lang w:eastAsia="hi-IN" w:bidi="en-GB"/>
        </w:rPr>
        <w:t xml:space="preserve">instead of </w:t>
      </w:r>
      <w:r>
        <w:rPr>
          <w:rFonts w:eastAsia="Arial" w:cs="Times Ext Roman"/>
          <w:i/>
          <w:iCs/>
          <w:szCs w:val="21"/>
          <w:lang w:eastAsia="hi-IN" w:bidi="en-GB"/>
        </w:rPr>
        <w:t>vāvanat</w:t>
      </w:r>
      <w:r>
        <w:rPr>
          <w:rFonts w:eastAsia="Arial" w:cs="Times Ext Roman"/>
          <w:szCs w:val="21"/>
          <w:lang w:eastAsia="hi-IN" w:bidi="en-GB"/>
        </w:rPr>
        <w:t>).</w:t>
      </w:r>
    </w:p>
    <w:p w14:paraId="0772644F" w14:textId="77777777" w:rsidR="00E53EB6" w:rsidRDefault="006500F5">
      <w:pPr>
        <w:pStyle w:val="HaupttextohneEinzug"/>
      </w:pPr>
      <w:r>
        <w:t>Prose: TS 2.4.6.</w:t>
      </w:r>
    </w:p>
    <w:p w14:paraId="4A7EDFC0" w14:textId="77777777" w:rsidR="00E53EB6" w:rsidRDefault="00E53EB6">
      <w:pPr>
        <w:pStyle w:val="HaupttextohneEinzug"/>
      </w:pPr>
    </w:p>
    <w:p w14:paraId="005A934F" w14:textId="77777777" w:rsidR="00E53EB6" w:rsidRDefault="006500F5">
      <w:pPr>
        <w:pStyle w:val="HaupttextohneEinzug"/>
      </w:pPr>
      <w:r>
        <w:t>Rite</w:t>
      </w:r>
    </w:p>
    <w:p w14:paraId="2DD1E6E9" w14:textId="77777777" w:rsidR="00E53EB6" w:rsidRDefault="006500F5">
      <w:pPr>
        <w:pStyle w:val="HaupttextohneEinzug"/>
      </w:pPr>
      <w:r>
        <w:t xml:space="preserve">Special </w:t>
      </w:r>
      <w:r>
        <w:t>Sacrifices</w:t>
      </w:r>
    </w:p>
    <w:p w14:paraId="68944EBD" w14:textId="77777777" w:rsidR="00E53EB6" w:rsidRDefault="006500F5">
      <w:pPr>
        <w:pStyle w:val="HaupttextohneEinzug"/>
      </w:pPr>
      <w:r>
        <w:t>Citrā sacrifices (</w:t>
      </w:r>
      <w:r>
        <w:rPr>
          <w:i/>
          <w:iCs/>
        </w:rPr>
        <w:t xml:space="preserve">cītra </w:t>
      </w:r>
      <w:r>
        <w:t>is the earth, in the earth all things are produced, so the earth is variegated) cf. 2.4.6</w:t>
      </w:r>
    </w:p>
    <w:p w14:paraId="1C9D8593" w14:textId="77777777" w:rsidR="00E53EB6" w:rsidRDefault="00E53EB6">
      <w:pPr>
        <w:pStyle w:val="HaupttextohneEinzug"/>
      </w:pPr>
    </w:p>
    <w:p w14:paraId="621A14DE" w14:textId="77777777" w:rsidR="00E53EB6" w:rsidRDefault="006500F5">
      <w:pPr>
        <w:pStyle w:val="Heading5"/>
        <w:numPr>
          <w:ilvl w:val="4"/>
          <w:numId w:val="2"/>
        </w:numPr>
        <w:tabs>
          <w:tab w:val="left" w:pos="0"/>
        </w:tabs>
      </w:pPr>
      <w:r>
        <w:rPr>
          <w:u w:val="single"/>
        </w:rPr>
        <w:lastRenderedPageBreak/>
        <w:t>TS 2.6.9.8</w:t>
      </w:r>
      <w:r>
        <w:t xml:space="preserve"> </w:t>
      </w:r>
      <w:r>
        <w:tab/>
      </w:r>
      <w:r>
        <w:tab/>
      </w:r>
      <w:r>
        <w:tab/>
      </w:r>
      <w:r>
        <w:tab/>
      </w:r>
      <w:r>
        <w:tab/>
      </w:r>
      <w:r>
        <w:tab/>
      </w:r>
      <w:r>
        <w:tab/>
      </w:r>
      <w:r>
        <w:tab/>
      </w:r>
      <w:r>
        <w:tab/>
      </w:r>
      <w:r>
        <w:tab/>
      </w:r>
      <w:r>
        <w:rPr>
          <w:color w:val="660066"/>
        </w:rPr>
        <w:t xml:space="preserve"> </w:t>
      </w:r>
      <w:r>
        <w:t xml:space="preserve"> </w:t>
      </w:r>
    </w:p>
    <w:p w14:paraId="1D9F78E5" w14:textId="77777777" w:rsidR="00E53EB6" w:rsidRDefault="006500F5">
      <w:pPr>
        <w:pStyle w:val="Zitat"/>
        <w:autoSpaceDE w:val="0"/>
        <w:rPr>
          <w:rFonts w:ascii="Times Ext Roman" w:hAnsi="Times Ext Roman"/>
          <w:lang w:eastAsia="hi-IN"/>
        </w:rPr>
      </w:pPr>
      <w:r>
        <w:rPr>
          <w:lang w:eastAsia="hi-IN"/>
        </w:rPr>
        <w:t>2.6.9.8 [</w:t>
      </w:r>
      <w:r>
        <w:rPr>
          <w:i/>
          <w:iCs/>
          <w:lang w:eastAsia="hi-IN"/>
        </w:rPr>
        <w:t>nā́ntár eti</w:t>
      </w:r>
      <w:r>
        <w:rPr>
          <w:lang w:eastAsia="hi-IN"/>
        </w:rPr>
        <w:t>]</w:t>
      </w:r>
      <w:r>
        <w:rPr>
          <w:rStyle w:val="FootnoteAnchor"/>
          <w:rFonts w:cs="Devanagari MT;Times New Roman"/>
          <w:lang w:eastAsia="hi-IN"/>
        </w:rPr>
        <w:footnoteReference w:id="199"/>
      </w:r>
    </w:p>
    <w:p w14:paraId="09EDA06B" w14:textId="77777777" w:rsidR="00E53EB6" w:rsidRDefault="006500F5">
      <w:pPr>
        <w:pStyle w:val="ZitatnachZitat"/>
        <w:autoSpaceDE w:val="0"/>
        <w:ind w:left="720"/>
        <w:rPr>
          <w:rFonts w:eastAsia="Arial" w:cs="Times Ext Roman"/>
          <w:i/>
          <w:iCs/>
          <w:szCs w:val="18"/>
          <w:lang w:eastAsia="hi-IN" w:bidi="en-GB"/>
        </w:rPr>
      </w:pPr>
      <w:r>
        <w:rPr>
          <w:rFonts w:eastAsia="Arial" w:cs="Times Ext Roman"/>
          <w:i/>
          <w:iCs/>
          <w:szCs w:val="18"/>
          <w:lang w:eastAsia="hi-IN" w:bidi="en-GB"/>
        </w:rPr>
        <w:t>tád agnír devó devébhyo vánate vayám agnér mā́nu</w:t>
      </w:r>
      <w:r>
        <w:rPr>
          <w:rFonts w:eastAsia="Arial" w:cs="Times Ext Roman"/>
          <w:i/>
          <w:iCs/>
          <w:szCs w:val="18"/>
          <w:lang w:eastAsia="hi-IN" w:bidi="en-GB"/>
        </w:rPr>
        <w:t>ṣ</w:t>
      </w:r>
      <w:r>
        <w:rPr>
          <w:rFonts w:eastAsia="Arial" w:cs="Times Ext Roman"/>
          <w:i/>
          <w:iCs/>
          <w:szCs w:val="18"/>
          <w:lang w:eastAsia="hi-IN" w:bidi="en-GB"/>
        </w:rPr>
        <w:t xml:space="preserve">ā íty āhāgnír devébhyo </w:t>
      </w:r>
      <w:r>
        <w:rPr>
          <w:rFonts w:eastAsia="Arial" w:cs="Times Ext Roman"/>
          <w:i/>
          <w:iCs/>
          <w:szCs w:val="18"/>
          <w:lang w:eastAsia="hi-IN" w:bidi="en-GB"/>
        </w:rPr>
        <w:t>vanuté vayám manu</w:t>
      </w:r>
      <w:r>
        <w:rPr>
          <w:rFonts w:eastAsia="Arial" w:cs="Times Ext Roman"/>
          <w:i/>
          <w:iCs/>
          <w:szCs w:val="18"/>
          <w:lang w:eastAsia="hi-IN" w:bidi="en-GB"/>
        </w:rPr>
        <w:t>ṣ</w:t>
      </w:r>
      <w:r>
        <w:rPr>
          <w:rFonts w:eastAsia="Arial" w:cs="Times Ext Roman"/>
          <w:i/>
          <w:iCs/>
          <w:szCs w:val="18"/>
          <w:lang w:eastAsia="hi-IN" w:bidi="en-GB"/>
        </w:rPr>
        <w:t>yèbhya íti vā́váitád āha \</w:t>
      </w:r>
    </w:p>
    <w:p w14:paraId="7C2FD753" w14:textId="77777777" w:rsidR="00E53EB6" w:rsidRDefault="006500F5">
      <w:pPr>
        <w:pStyle w:val="ZitatnachZitat"/>
        <w:autoSpaceDE w:val="0"/>
        <w:ind w:left="720"/>
        <w:rPr>
          <w:rFonts w:eastAsia="Arial" w:cs="Times Ext Roman"/>
          <w:i/>
          <w:iCs/>
          <w:szCs w:val="18"/>
          <w:lang w:eastAsia="hi-IN" w:bidi="en-GB"/>
        </w:rPr>
      </w:pPr>
      <w:r>
        <w:rPr>
          <w:rFonts w:eastAsia="Arial" w:cs="Times Ext Roman"/>
          <w:i/>
          <w:iCs/>
          <w:szCs w:val="18"/>
          <w:lang w:eastAsia="hi-IN" w:bidi="en-GB"/>
        </w:rPr>
        <w:t>ihá gátir vāmásyedá</w:t>
      </w:r>
      <w:r>
        <w:rPr>
          <w:rFonts w:eastAsia="Arial" w:cs="Times Ext Roman"/>
          <w:i/>
          <w:iCs/>
          <w:szCs w:val="18"/>
          <w:lang w:eastAsia="hi-IN" w:bidi="en-GB"/>
        </w:rPr>
        <w:t>ṃ</w:t>
      </w:r>
      <w:r>
        <w:rPr>
          <w:rFonts w:eastAsia="Arial" w:cs="Times Ext Roman"/>
          <w:i/>
          <w:iCs/>
          <w:szCs w:val="18"/>
          <w:lang w:eastAsia="hi-IN" w:bidi="en-GB"/>
        </w:rPr>
        <w:t xml:space="preserve"> ca námo devébhya íty āha yā́ś caivá devátā yájati yā́ś ca ná tā́bhya evóbhyáyībhyo námas karoty ātmánó 'nārtyai //</w:t>
      </w:r>
    </w:p>
    <w:p w14:paraId="52647CAB" w14:textId="77777777" w:rsidR="00E53EB6" w:rsidRDefault="006500F5">
      <w:pPr>
        <w:pStyle w:val="Zitat"/>
        <w:autoSpaceDE w:val="0"/>
        <w:rPr>
          <w:rFonts w:ascii="Times Ext Roman" w:hAnsi="Times Ext Roman"/>
          <w:lang w:eastAsia="hi-IN"/>
        </w:rPr>
      </w:pPr>
      <w:r>
        <w:rPr>
          <w:i/>
          <w:iCs/>
          <w:lang w:eastAsia="hi-IN"/>
        </w:rPr>
        <w:t>‘</w:t>
      </w:r>
      <w:r>
        <w:rPr>
          <w:lang w:eastAsia="hi-IN"/>
        </w:rPr>
        <w:t xml:space="preserve">May Agni, as god, </w:t>
      </w:r>
      <w:r>
        <w:rPr>
          <w:u w:val="single"/>
          <w:lang w:eastAsia="hi-IN"/>
        </w:rPr>
        <w:t>appropriate</w:t>
      </w:r>
      <w:r>
        <w:rPr>
          <w:lang w:eastAsia="hi-IN"/>
        </w:rPr>
        <w:t xml:space="preserve"> this from gods, we, as men, from Agni.’ So h</w:t>
      </w:r>
      <w:r>
        <w:rPr>
          <w:lang w:eastAsia="hi-IN"/>
        </w:rPr>
        <w:t xml:space="preserve">e says. ‘Agni </w:t>
      </w:r>
      <w:r>
        <w:rPr>
          <w:u w:val="single"/>
          <w:lang w:eastAsia="hi-IN"/>
        </w:rPr>
        <w:t>appropriates</w:t>
      </w:r>
      <w:r>
        <w:rPr>
          <w:lang w:eastAsia="hi-IN"/>
        </w:rPr>
        <w:t xml:space="preserve"> from gods, we from men.’ So indeed, this he says. ‘Here is the path of </w:t>
      </w:r>
      <w:r>
        <w:rPr>
          <w:u w:val="single"/>
          <w:lang w:eastAsia="hi-IN"/>
        </w:rPr>
        <w:t>what is lovely</w:t>
      </w:r>
      <w:r>
        <w:rPr>
          <w:color w:val="000000"/>
          <w:lang w:eastAsia="hi-IN"/>
        </w:rPr>
        <w:t xml:space="preserve"> and the homage to the gods.’ So he says. ‘The divinities, which he worships, and those, which not, to them of both kinds, indeed, he pays homag</w:t>
      </w:r>
      <w:r>
        <w:rPr>
          <w:color w:val="000000"/>
          <w:lang w:eastAsia="hi-IN"/>
        </w:rPr>
        <w:t xml:space="preserve">e for the </w:t>
      </w:r>
      <w:r>
        <w:rPr>
          <w:color w:val="000000"/>
          <w:lang w:eastAsia="hi-IN"/>
        </w:rPr>
        <w:t>painlessness</w:t>
      </w:r>
      <w:r>
        <w:rPr>
          <w:rStyle w:val="FootnoteAnchor"/>
          <w:rFonts w:cs="Devanagari MT;Times New Roman"/>
          <w:color w:val="000000"/>
          <w:lang w:eastAsia="hi-IN"/>
        </w:rPr>
        <w:footnoteReference w:id="200"/>
      </w:r>
      <w:r>
        <w:rPr>
          <w:color w:val="000000"/>
          <w:lang w:eastAsia="hi-IN"/>
        </w:rPr>
        <w:t xml:space="preserve"> of himself.’</w:t>
      </w:r>
    </w:p>
    <w:p w14:paraId="740F8D26" w14:textId="77777777" w:rsidR="00E53EB6" w:rsidRDefault="006500F5">
      <w:pPr>
        <w:pStyle w:val="Zitat"/>
        <w:autoSpaceDE w:val="0"/>
        <w:rPr>
          <w:lang w:eastAsia="hi-IN"/>
        </w:rPr>
      </w:pPr>
      <w:r>
        <w:rPr>
          <w:i/>
          <w:iCs/>
          <w:lang w:eastAsia="hi-IN"/>
        </w:rPr>
        <w:t>vanate:</w:t>
      </w:r>
      <w:r>
        <w:rPr>
          <w:lang w:eastAsia="hi-IN"/>
        </w:rPr>
        <w:t xml:space="preserve"> subj. aor. 3</w:t>
      </w:r>
      <w:r>
        <w:rPr>
          <w:vertAlign w:val="superscript"/>
          <w:lang w:eastAsia="hi-IN"/>
        </w:rPr>
        <w:t>rd</w:t>
      </w:r>
      <w:r>
        <w:rPr>
          <w:lang w:eastAsia="hi-IN"/>
        </w:rPr>
        <w:t xml:space="preserve"> sing. Ā I-VI cl.</w:t>
      </w:r>
    </w:p>
    <w:p w14:paraId="13A6F3A0" w14:textId="77777777" w:rsidR="00E53EB6" w:rsidRDefault="006500F5">
      <w:pPr>
        <w:pStyle w:val="ZitatmitEinzug"/>
      </w:pPr>
      <w:r>
        <w:rPr>
          <w:rStyle w:val="biblio-authorGEN"/>
          <w:sz w:val="18"/>
          <w:szCs w:val="15"/>
        </w:rPr>
        <w:t>Keith</w:t>
      </w:r>
      <w:r>
        <w:t xml:space="preserve"> 1914:  216 “shall win”</w:t>
      </w:r>
    </w:p>
    <w:p w14:paraId="06DD0EAE" w14:textId="77777777" w:rsidR="00E53EB6" w:rsidRDefault="006500F5">
      <w:pPr>
        <w:pStyle w:val="Zitat"/>
      </w:pPr>
      <w:r>
        <w:rPr>
          <w:i/>
          <w:iCs/>
        </w:rPr>
        <w:t>vanute:</w:t>
      </w:r>
      <w:r>
        <w:t xml:space="preserve"> ind. pres. 3</w:t>
      </w:r>
      <w:r>
        <w:rPr>
          <w:vertAlign w:val="superscript"/>
        </w:rPr>
        <w:t>rd</w:t>
      </w:r>
      <w:r>
        <w:t xml:space="preserve"> sing. Ā VIII cl.</w:t>
      </w:r>
    </w:p>
    <w:p w14:paraId="6988DC9C" w14:textId="77777777" w:rsidR="00E53EB6" w:rsidRDefault="006500F5">
      <w:pPr>
        <w:pStyle w:val="ZitatmitEinzug"/>
      </w:pPr>
      <w:r>
        <w:rPr>
          <w:rStyle w:val="biblio-authorGEN"/>
          <w:sz w:val="18"/>
          <w:szCs w:val="15"/>
        </w:rPr>
        <w:t>Keith</w:t>
      </w:r>
      <w:r>
        <w:t xml:space="preserve"> 1914:  216 </w:t>
      </w:r>
      <w:r>
        <w:rPr>
          <w:rFonts w:eastAsia="Arial" w:cs="Times Ext Roman"/>
          <w:szCs w:val="18"/>
          <w:lang w:eastAsia="hi-IN" w:bidi="en-GB"/>
        </w:rPr>
        <w:t xml:space="preserve">“wins” </w:t>
      </w:r>
    </w:p>
    <w:p w14:paraId="42843DBD" w14:textId="77777777" w:rsidR="00E53EB6" w:rsidRDefault="006500F5">
      <w:pPr>
        <w:pStyle w:val="Zitat"/>
      </w:pPr>
      <w:r>
        <w:rPr>
          <w:i/>
          <w:iCs/>
        </w:rPr>
        <w:t>vāmásya:</w:t>
      </w:r>
      <w:r>
        <w:t xml:space="preserve"> gen. n. sing. from</w:t>
      </w:r>
      <w:r>
        <w:t xml:space="preserve"> </w:t>
      </w:r>
      <w:r>
        <w:rPr>
          <w:i/>
          <w:iCs/>
        </w:rPr>
        <w:t xml:space="preserve">vāmá </w:t>
      </w:r>
    </w:p>
    <w:p w14:paraId="6641592B" w14:textId="77777777" w:rsidR="00E53EB6" w:rsidRDefault="006500F5">
      <w:pPr>
        <w:pStyle w:val="ZitatmitEinzug"/>
        <w:autoSpaceDE w:val="0"/>
        <w:rPr>
          <w:rFonts w:eastAsia="Arial" w:cs="Times Ext Roman"/>
          <w:szCs w:val="18"/>
          <w:lang w:eastAsia="hi-IN" w:bidi="en-GB"/>
        </w:rPr>
      </w:pPr>
      <w:r>
        <w:rPr>
          <w:rStyle w:val="biblio-authorGEN"/>
          <w:rFonts w:eastAsia="Arial" w:cs="Times Ext Roman"/>
          <w:sz w:val="18"/>
          <w:szCs w:val="15"/>
          <w:lang w:eastAsia="hi-IN" w:bidi="en-GB"/>
        </w:rPr>
        <w:t>Keith</w:t>
      </w:r>
      <w:r>
        <w:rPr>
          <w:rFonts w:eastAsia="Arial" w:cs="Times Ext Roman"/>
          <w:szCs w:val="18"/>
          <w:lang w:eastAsia="hi-IN" w:bidi="en-GB"/>
        </w:rPr>
        <w:t xml:space="preserve"> 1914:  216 “favour”</w:t>
      </w:r>
    </w:p>
    <w:p w14:paraId="7406BAD5" w14:textId="77777777" w:rsidR="00E53EB6" w:rsidRDefault="006500F5">
      <w:pPr>
        <w:pStyle w:val="HaupttextnachZitat"/>
      </w:pPr>
      <w:r>
        <w:t>Vedic Web:</w:t>
      </w:r>
    </w:p>
    <w:p w14:paraId="413A7304" w14:textId="77777777" w:rsidR="00E53EB6" w:rsidRDefault="006500F5">
      <w:pPr>
        <w:pStyle w:val="HaupttextohneEinzug"/>
      </w:pPr>
      <w:r>
        <w:t xml:space="preserve">Mantra: MS 4.13.9: </w:t>
      </w:r>
      <w:r>
        <w:t>212,10-13; ŚB 1.9.1.19; TB 3.5.10.5.</w:t>
      </w:r>
    </w:p>
    <w:p w14:paraId="7A5B412F" w14:textId="77777777" w:rsidR="00E53EB6" w:rsidRDefault="00E53EB6">
      <w:pPr>
        <w:pStyle w:val="HaupttextohneEinzug"/>
      </w:pPr>
    </w:p>
    <w:p w14:paraId="19E09506" w14:textId="77777777" w:rsidR="00E53EB6" w:rsidRDefault="006500F5">
      <w:pPr>
        <w:pStyle w:val="HaupttextohneEinzug"/>
      </w:pPr>
      <w:r>
        <w:t>Rite</w:t>
      </w:r>
    </w:p>
    <w:p w14:paraId="57C1BEDA" w14:textId="77777777" w:rsidR="00E53EB6" w:rsidRDefault="006500F5">
      <w:pPr>
        <w:pStyle w:val="HaupttextohneEinzug"/>
      </w:pPr>
      <w:r>
        <w:t>Darśapūr</w:t>
      </w:r>
      <w:r>
        <w:t>ṇ</w:t>
      </w:r>
      <w:r>
        <w:t>amāse</w:t>
      </w:r>
      <w:r>
        <w:t>ṣṭ</w:t>
      </w:r>
      <w:r>
        <w:t xml:space="preserve">ī, explanation of </w:t>
      </w:r>
      <w:r>
        <w:rPr>
          <w:i/>
          <w:iCs/>
        </w:rPr>
        <w:t>mantra</w:t>
      </w:r>
      <w:r>
        <w:t>s</w:t>
      </w:r>
      <w:r>
        <w:rPr>
          <w:i/>
          <w:iCs/>
        </w:rPr>
        <w:t xml:space="preserve"> </w:t>
      </w:r>
      <w:r>
        <w:t xml:space="preserve">of the </w:t>
      </w:r>
      <w:r>
        <w:rPr>
          <w:i/>
          <w:iCs/>
        </w:rPr>
        <w:t>hotr</w:t>
      </w:r>
      <w:r>
        <w:rPr>
          <w:rFonts w:eastAsia="Arial" w:cs="Devanagari MT;Times New Roman"/>
          <w:sz w:val="18"/>
          <w:szCs w:val="18"/>
          <w:lang w:eastAsia="hi-IN" w:bidi="en-GB"/>
        </w:rPr>
        <w:t>̥</w:t>
      </w:r>
      <w:r>
        <w:rPr>
          <w:i/>
          <w:iCs/>
        </w:rPr>
        <w:t>:</w:t>
      </w:r>
      <w:r>
        <w:t xml:space="preserve"> Anuyāja</w:t>
      </w:r>
      <w:r>
        <w:t>ḥ</w:t>
      </w:r>
      <w:r>
        <w:t xml:space="preserve"> formulas (after offering) for the Sūktavāka (evocation of blessing) </w:t>
      </w:r>
      <w:r>
        <w:rPr>
          <w:iCs/>
        </w:rPr>
        <w:t>and Namo</w:t>
      </w:r>
      <w:r>
        <w:rPr>
          <w:iCs/>
          <w:lang w:bidi="en-US"/>
        </w:rPr>
        <w:t>vāka ceremonies (</w:t>
      </w:r>
      <w:r>
        <w:t xml:space="preserve">cf. </w:t>
      </w:r>
      <w:r>
        <w:rPr>
          <w:rStyle w:val="biblio-authorGEN"/>
        </w:rPr>
        <w:t>Renou</w:t>
      </w:r>
      <w:r>
        <w:t xml:space="preserve"> </w:t>
      </w:r>
      <w:r>
        <w:rPr>
          <w:iCs/>
        </w:rPr>
        <w:t>1954)</w:t>
      </w:r>
    </w:p>
    <w:p w14:paraId="3EC38976" w14:textId="77777777" w:rsidR="00E53EB6" w:rsidRDefault="00E53EB6">
      <w:pPr>
        <w:pStyle w:val="HaupttextohneEinzug"/>
        <w:rPr>
          <w:rFonts w:eastAsia="Arial" w:cs="Devanagari MT;Times New Roman"/>
          <w:color w:val="008000"/>
          <w:sz w:val="22"/>
          <w:szCs w:val="22"/>
          <w:lang w:eastAsia="hi-IN" w:bidi="en-GB"/>
        </w:rPr>
      </w:pPr>
    </w:p>
    <w:p w14:paraId="6E7D4CA8" w14:textId="77777777" w:rsidR="00E53EB6" w:rsidRDefault="006500F5">
      <w:pPr>
        <w:pStyle w:val="Heading5"/>
        <w:numPr>
          <w:ilvl w:val="4"/>
          <w:numId w:val="2"/>
        </w:numPr>
        <w:tabs>
          <w:tab w:val="left" w:pos="0"/>
        </w:tabs>
      </w:pPr>
      <w:r>
        <w:rPr>
          <w:u w:val="single"/>
        </w:rPr>
        <w:t xml:space="preserve">TS </w:t>
      </w:r>
      <w:r>
        <w:rPr>
          <w:u w:val="single"/>
        </w:rPr>
        <w:t>3.2.7.1h-2i</w:t>
      </w:r>
      <w:r>
        <w:t xml:space="preserve">   </w:t>
      </w:r>
      <w:r>
        <w:tab/>
      </w:r>
      <w:r>
        <w:tab/>
      </w:r>
      <w:r>
        <w:tab/>
      </w:r>
      <w:r>
        <w:tab/>
      </w:r>
      <w:r>
        <w:tab/>
      </w:r>
      <w:r>
        <w:tab/>
      </w:r>
      <w:r>
        <w:tab/>
      </w:r>
      <w:r>
        <w:tab/>
      </w:r>
      <w:r>
        <w:tab/>
      </w:r>
    </w:p>
    <w:p w14:paraId="57F2AC3C" w14:textId="77777777" w:rsidR="00E53EB6" w:rsidRDefault="006500F5">
      <w:pPr>
        <w:pStyle w:val="Zitat"/>
        <w:autoSpaceDE w:val="0"/>
        <w:rPr>
          <w:rFonts w:eastAsia="DevanagariMT"/>
          <w:lang w:eastAsia="hi-IN"/>
        </w:rPr>
      </w:pPr>
      <w:r>
        <w:rPr>
          <w:rFonts w:eastAsia="DevanagariMT"/>
          <w:lang w:eastAsia="hi-IN"/>
        </w:rPr>
        <w:t xml:space="preserve">3.2.7.1h </w:t>
      </w:r>
      <w:r>
        <w:rPr>
          <w:rFonts w:eastAsia="DevanagariMT"/>
          <w:i/>
          <w:iCs/>
          <w:lang w:eastAsia="hi-IN"/>
        </w:rPr>
        <w:t>śastrásya śastram</w:t>
      </w:r>
    </w:p>
    <w:p w14:paraId="13C66685" w14:textId="77777777" w:rsidR="00E53EB6" w:rsidRDefault="006500F5">
      <w:pPr>
        <w:pStyle w:val="ZitatnachZitat"/>
        <w:autoSpaceDE w:val="0"/>
        <w:rPr>
          <w:rFonts w:eastAsia="DevanagariMT" w:cs="Times Ext Roman"/>
          <w:szCs w:val="18"/>
          <w:lang w:eastAsia="hi-IN" w:bidi="en-GB"/>
        </w:rPr>
      </w:pPr>
      <w:r>
        <w:rPr>
          <w:rFonts w:eastAsia="DevanagariMT" w:cs="Times Ext Roman"/>
          <w:szCs w:val="18"/>
          <w:lang w:eastAsia="hi-IN" w:bidi="en-GB"/>
        </w:rPr>
        <w:t>3.2.7.2h</w:t>
      </w:r>
      <w:r>
        <w:rPr>
          <w:rFonts w:eastAsia="DevanagariMT" w:cs="Times Ext Roman"/>
          <w:i/>
          <w:iCs/>
          <w:szCs w:val="18"/>
          <w:lang w:eastAsia="hi-IN" w:bidi="en-GB"/>
        </w:rPr>
        <w:t xml:space="preserve"> asy  ū́rjam máhya</w:t>
      </w:r>
      <w:r>
        <w:rPr>
          <w:rFonts w:eastAsia="DevanagariMT" w:cs="Times Ext Roman"/>
          <w:i/>
          <w:iCs/>
          <w:szCs w:val="18"/>
          <w:lang w:eastAsia="hi-IN" w:bidi="en-GB"/>
        </w:rPr>
        <w:t>ṁ</w:t>
      </w:r>
      <w:r>
        <w:rPr>
          <w:rFonts w:eastAsia="DevanagariMT" w:cs="Times Ext Roman"/>
          <w:i/>
          <w:iCs/>
          <w:szCs w:val="18"/>
          <w:lang w:eastAsia="hi-IN" w:bidi="en-GB"/>
        </w:rPr>
        <w:t xml:space="preserve"> śastrá</w:t>
      </w:r>
      <w:r>
        <w:rPr>
          <w:rFonts w:eastAsia="DevanagariMT" w:cs="Times Ext Roman"/>
          <w:i/>
          <w:iCs/>
          <w:szCs w:val="18"/>
          <w:lang w:eastAsia="hi-IN" w:bidi="en-GB"/>
        </w:rPr>
        <w:t>ṃ</w:t>
      </w:r>
      <w:r>
        <w:rPr>
          <w:rFonts w:eastAsia="DevanagariMT" w:cs="Times Ext Roman"/>
          <w:i/>
          <w:iCs/>
          <w:szCs w:val="18"/>
          <w:lang w:eastAsia="hi-IN" w:bidi="en-GB"/>
        </w:rPr>
        <w:t xml:space="preserve"> duhām ā́ mā śastrásya śastrá</w:t>
      </w:r>
      <w:r>
        <w:rPr>
          <w:rFonts w:eastAsia="DevanagariMT" w:cs="Times Ext Roman"/>
          <w:i/>
          <w:iCs/>
          <w:szCs w:val="18"/>
          <w:lang w:eastAsia="hi-IN" w:bidi="en-GB"/>
        </w:rPr>
        <w:t>ṃ</w:t>
      </w:r>
      <w:r>
        <w:rPr>
          <w:rFonts w:eastAsia="DevanagariMT" w:cs="Times Ext Roman"/>
          <w:i/>
          <w:iCs/>
          <w:szCs w:val="18"/>
          <w:lang w:eastAsia="hi-IN" w:bidi="en-GB"/>
        </w:rPr>
        <w:t xml:space="preserve"> gamyāt \</w:t>
      </w:r>
    </w:p>
    <w:p w14:paraId="3D57C54C" w14:textId="77777777" w:rsidR="00E53EB6" w:rsidRDefault="006500F5">
      <w:pPr>
        <w:pStyle w:val="ZitatnachZitat"/>
        <w:autoSpaceDE w:val="0"/>
        <w:rPr>
          <w:rFonts w:eastAsia="DevanagariMT" w:cs="Times Ext Roman"/>
          <w:szCs w:val="18"/>
          <w:lang w:eastAsia="hi-IN" w:bidi="en-GB"/>
        </w:rPr>
      </w:pPr>
      <w:r>
        <w:rPr>
          <w:rFonts w:eastAsia="DevanagariMT" w:cs="Times Ext Roman"/>
          <w:szCs w:val="18"/>
          <w:lang w:eastAsia="hi-IN" w:bidi="en-GB"/>
        </w:rPr>
        <w:t>3.2.7.2i</w:t>
      </w:r>
      <w:r>
        <w:rPr>
          <w:rFonts w:eastAsia="DevanagariMT" w:cs="Times Ext Roman"/>
          <w:i/>
          <w:iCs/>
          <w:szCs w:val="18"/>
          <w:lang w:eastAsia="hi-IN" w:bidi="en-GB"/>
        </w:rPr>
        <w:t xml:space="preserve">  indriyā́vanto vanāmahe dhuk</w:t>
      </w:r>
      <w:r>
        <w:rPr>
          <w:rFonts w:eastAsia="DevanagariMT" w:cs="Times Ext Roman"/>
          <w:i/>
          <w:iCs/>
          <w:szCs w:val="18"/>
          <w:lang w:eastAsia="hi-IN" w:bidi="en-GB"/>
        </w:rPr>
        <w:t>ṣ</w:t>
      </w:r>
      <w:r>
        <w:rPr>
          <w:rFonts w:eastAsia="DevanagariMT" w:cs="Times Ext Roman"/>
          <w:i/>
          <w:iCs/>
          <w:szCs w:val="18"/>
          <w:lang w:eastAsia="hi-IN" w:bidi="en-GB"/>
        </w:rPr>
        <w:t>īmáhi prajā́m í</w:t>
      </w:r>
      <w:r>
        <w:rPr>
          <w:rFonts w:eastAsia="DevanagariMT" w:cs="Times Ext Roman"/>
          <w:i/>
          <w:iCs/>
          <w:szCs w:val="18"/>
          <w:lang w:eastAsia="hi-IN" w:bidi="en-GB"/>
        </w:rPr>
        <w:t>ṣ</w:t>
      </w:r>
      <w:r>
        <w:rPr>
          <w:rFonts w:eastAsia="DevanagariMT" w:cs="Times Ext Roman"/>
          <w:i/>
          <w:iCs/>
          <w:szCs w:val="18"/>
          <w:lang w:eastAsia="hi-IN" w:bidi="en-GB"/>
        </w:rPr>
        <w:t>am /</w:t>
      </w:r>
    </w:p>
    <w:p w14:paraId="6B38CB4D" w14:textId="77777777" w:rsidR="00E53EB6" w:rsidRDefault="006500F5">
      <w:pPr>
        <w:pStyle w:val="Zitat"/>
        <w:autoSpaceDE w:val="0"/>
        <w:rPr>
          <w:rFonts w:ascii="Times Ext Roman" w:hAnsi="Times Ext Roman"/>
          <w:lang w:eastAsia="hi-IN"/>
        </w:rPr>
      </w:pPr>
      <w:r>
        <w:rPr>
          <w:rFonts w:eastAsia="DevanagariMT"/>
          <w:lang w:eastAsia="hi-IN"/>
        </w:rPr>
        <w:t xml:space="preserve">You are the </w:t>
      </w:r>
      <w:r>
        <w:rPr>
          <w:rFonts w:eastAsia="DevanagariMT"/>
          <w:i/>
          <w:iCs/>
          <w:lang w:eastAsia="hi-IN"/>
        </w:rPr>
        <w:t>śastra</w:t>
      </w:r>
      <w:r>
        <w:rPr>
          <w:rFonts w:eastAsia="DevanagariMT"/>
          <w:lang w:eastAsia="hi-IN"/>
        </w:rPr>
        <w:t xml:space="preserve"> of the </w:t>
      </w:r>
      <w:r>
        <w:rPr>
          <w:rFonts w:eastAsia="DevanagariMT"/>
          <w:i/>
          <w:iCs/>
          <w:lang w:eastAsia="hi-IN"/>
        </w:rPr>
        <w:t>śastra</w:t>
      </w:r>
      <w:r>
        <w:rPr>
          <w:rFonts w:eastAsia="DevanagariMT"/>
          <w:lang w:eastAsia="hi-IN"/>
        </w:rPr>
        <w:t xml:space="preserve">, may the </w:t>
      </w:r>
      <w:r>
        <w:rPr>
          <w:rFonts w:eastAsia="DevanagariMT"/>
          <w:i/>
          <w:iCs/>
          <w:lang w:eastAsia="hi-IN"/>
        </w:rPr>
        <w:t>śastra</w:t>
      </w:r>
      <w:r>
        <w:rPr>
          <w:rFonts w:eastAsia="DevanagariMT"/>
          <w:lang w:eastAsia="hi-IN"/>
        </w:rPr>
        <w:t xml:space="preserve"> milk for me the vital </w:t>
      </w:r>
      <w:r>
        <w:rPr>
          <w:rFonts w:eastAsia="DevanagariMT"/>
          <w:lang w:eastAsia="hi-IN"/>
        </w:rPr>
        <w:t>energy</w:t>
      </w:r>
      <w:r>
        <w:rPr>
          <w:rStyle w:val="FootnoteAnchor"/>
          <w:rFonts w:eastAsia="DevanagariMT" w:cs="DevanagariMT"/>
          <w:lang w:eastAsia="hi-IN"/>
        </w:rPr>
        <w:footnoteReference w:id="201"/>
      </w:r>
      <w:r>
        <w:rPr>
          <w:rFonts w:eastAsia="DevanagariMT"/>
          <w:lang w:eastAsia="hi-IN"/>
        </w:rPr>
        <w:t xml:space="preserve">, may the </w:t>
      </w:r>
      <w:r>
        <w:rPr>
          <w:rFonts w:eastAsia="DevanagariMT"/>
          <w:i/>
          <w:iCs/>
          <w:lang w:eastAsia="hi-IN"/>
        </w:rPr>
        <w:t>śastra</w:t>
      </w:r>
      <w:r>
        <w:rPr>
          <w:rFonts w:eastAsia="DevanagariMT"/>
          <w:lang w:eastAsia="hi-IN"/>
        </w:rPr>
        <w:t xml:space="preserve"> of the </w:t>
      </w:r>
      <w:r>
        <w:rPr>
          <w:rFonts w:eastAsia="DevanagariMT"/>
          <w:i/>
          <w:iCs/>
          <w:lang w:eastAsia="hi-IN"/>
        </w:rPr>
        <w:t>śastra</w:t>
      </w:r>
      <w:r>
        <w:rPr>
          <w:rFonts w:eastAsia="DevanagariMT"/>
          <w:lang w:eastAsia="hi-IN"/>
        </w:rPr>
        <w:t xml:space="preserve"> come to me, possessing the might may we </w:t>
      </w:r>
      <w:r>
        <w:rPr>
          <w:rFonts w:eastAsia="DevanagariMT"/>
          <w:u w:val="single"/>
          <w:lang w:eastAsia="hi-IN"/>
        </w:rPr>
        <w:t>appropriate</w:t>
      </w:r>
      <w:r>
        <w:rPr>
          <w:rFonts w:eastAsia="DevanagariMT"/>
          <w:lang w:eastAsia="hi-IN"/>
        </w:rPr>
        <w:t xml:space="preserve">, may </w:t>
      </w:r>
      <w:r>
        <w:rPr>
          <w:rFonts w:eastAsia="DevanagariMT"/>
          <w:lang w:eastAsia="hi-IN"/>
        </w:rPr>
        <w:t xml:space="preserve">we </w:t>
      </w:r>
      <w:r>
        <w:rPr>
          <w:rFonts w:eastAsia="DevanagariMT"/>
          <w:lang w:eastAsia="hi-IN"/>
        </w:rPr>
        <w:t>milk offspring and food.</w:t>
      </w:r>
    </w:p>
    <w:p w14:paraId="7CDC28E1" w14:textId="77777777" w:rsidR="00E53EB6" w:rsidRDefault="006500F5">
      <w:pPr>
        <w:pStyle w:val="Zitat"/>
        <w:autoSpaceDE w:val="0"/>
        <w:rPr>
          <w:lang w:eastAsia="hi-IN"/>
        </w:rPr>
      </w:pPr>
      <w:r>
        <w:rPr>
          <w:i/>
          <w:iCs/>
          <w:lang w:eastAsia="hi-IN"/>
        </w:rPr>
        <w:t>van</w:t>
      </w:r>
      <w:r>
        <w:rPr>
          <w:i/>
          <w:iCs/>
          <w:lang w:eastAsia="hi-IN" w:bidi="en-US"/>
        </w:rPr>
        <w:t>āmahe:</w:t>
      </w:r>
      <w:r>
        <w:rPr>
          <w:lang w:eastAsia="hi-IN" w:bidi="en-US"/>
        </w:rPr>
        <w:t xml:space="preserve"> subj. pres. 1</w:t>
      </w:r>
      <w:r>
        <w:rPr>
          <w:vertAlign w:val="superscript"/>
          <w:lang w:eastAsia="hi-IN" w:bidi="en-US"/>
        </w:rPr>
        <w:t>st</w:t>
      </w:r>
      <w:r>
        <w:rPr>
          <w:lang w:eastAsia="hi-IN" w:bidi="en-US"/>
        </w:rPr>
        <w:t xml:space="preserve"> pl. Ā I-VI cl.</w:t>
      </w:r>
    </w:p>
    <w:p w14:paraId="25192CC3" w14:textId="77777777" w:rsidR="00E53EB6" w:rsidRDefault="006500F5">
      <w:pPr>
        <w:pStyle w:val="ZitatmitEinzug"/>
        <w:autoSpaceDE w:val="0"/>
        <w:rPr>
          <w:rFonts w:eastAsia="Arial" w:cs="Times Ext Roman"/>
          <w:szCs w:val="18"/>
          <w:lang w:eastAsia="hi-IN" w:bidi="en-GB"/>
        </w:rPr>
      </w:pPr>
      <w:r>
        <w:rPr>
          <w:rStyle w:val="biblio-authorGEN"/>
          <w:rFonts w:eastAsia="Arial" w:cs="Times Ext Roman"/>
          <w:sz w:val="18"/>
          <w:szCs w:val="15"/>
          <w:lang w:eastAsia="hi-IN" w:bidi="en-GB"/>
        </w:rPr>
        <w:t>Keith</w:t>
      </w:r>
      <w:r>
        <w:rPr>
          <w:rFonts w:eastAsia="Arial" w:cs="Times Ext Roman"/>
          <w:szCs w:val="18"/>
          <w:lang w:eastAsia="hi-IN" w:bidi="en-GB"/>
        </w:rPr>
        <w:t xml:space="preserve"> 1914: 247 “may we conquer”</w:t>
      </w:r>
    </w:p>
    <w:p w14:paraId="51D6F367" w14:textId="77777777" w:rsidR="00E53EB6" w:rsidRDefault="006500F5">
      <w:pPr>
        <w:pStyle w:val="HaupttextnachZitat"/>
        <w:numPr>
          <w:ilvl w:val="2"/>
          <w:numId w:val="2"/>
        </w:numPr>
        <w:tabs>
          <w:tab w:val="left" w:pos="0"/>
        </w:tabs>
      </w:pPr>
      <w:r>
        <w:t>Vedic Web</w:t>
      </w:r>
    </w:p>
    <w:p w14:paraId="3E44A9F5" w14:textId="77777777" w:rsidR="00E53EB6" w:rsidRDefault="006500F5">
      <w:pPr>
        <w:pStyle w:val="HaupttextohneEinzug"/>
      </w:pPr>
      <w:r>
        <w:rPr>
          <w:rFonts w:eastAsia="DevanagariMT"/>
          <w:iCs/>
        </w:rPr>
        <w:t>Mantra: TS 1.6.4.3o (</w:t>
      </w:r>
      <w:r>
        <w:rPr>
          <w:rFonts w:eastAsia="DevanagariMT"/>
          <w:i/>
          <w:iCs/>
        </w:rPr>
        <w:t>índravanta</w:t>
      </w:r>
      <w:r>
        <w:rPr>
          <w:rFonts w:eastAsia="DevanagariMT"/>
          <w:i/>
          <w:iCs/>
        </w:rPr>
        <w:t>ḥ</w:t>
      </w:r>
      <w:r>
        <w:rPr>
          <w:rFonts w:eastAsia="DevanagariMT"/>
        </w:rPr>
        <w:t>).</w:t>
      </w:r>
    </w:p>
    <w:p w14:paraId="6B38F94A" w14:textId="77777777" w:rsidR="00E53EB6" w:rsidRDefault="006500F5">
      <w:pPr>
        <w:pStyle w:val="HaupttextohneEinzug"/>
      </w:pPr>
      <w:r>
        <w:t xml:space="preserve">Prose: TS </w:t>
      </w:r>
      <w:r>
        <w:t>1.7.4.</w:t>
      </w:r>
    </w:p>
    <w:p w14:paraId="03C06B32" w14:textId="77777777" w:rsidR="00E53EB6" w:rsidRDefault="00E53EB6">
      <w:pPr>
        <w:pStyle w:val="HaupttextohneEinzug"/>
      </w:pPr>
    </w:p>
    <w:p w14:paraId="07DD1271" w14:textId="77777777" w:rsidR="00E53EB6" w:rsidRDefault="006500F5">
      <w:pPr>
        <w:pStyle w:val="HaupttextohneEinzug"/>
      </w:pPr>
      <w:r>
        <w:t>Rite</w:t>
      </w:r>
    </w:p>
    <w:p w14:paraId="47193225" w14:textId="77777777" w:rsidR="00E53EB6" w:rsidRDefault="006500F5">
      <w:pPr>
        <w:pStyle w:val="HaupttextohneEinzug"/>
      </w:pPr>
      <w:r>
        <w:t>Supplement of the Agni</w:t>
      </w:r>
      <w:r>
        <w:t>ṣṭ</w:t>
      </w:r>
      <w:r>
        <w:t xml:space="preserve">oma, </w:t>
      </w:r>
      <w:r>
        <w:rPr>
          <w:i/>
          <w:iCs/>
        </w:rPr>
        <w:t>stotra</w:t>
      </w:r>
      <w:r>
        <w:t xml:space="preserve"> and </w:t>
      </w:r>
      <w:r>
        <w:rPr>
          <w:i/>
          <w:iCs/>
        </w:rPr>
        <w:t>śastra</w:t>
      </w:r>
      <w:r>
        <w:t xml:space="preserve">, this </w:t>
      </w:r>
      <w:r>
        <w:rPr>
          <w:i/>
          <w:iCs/>
        </w:rPr>
        <w:t>mantra</w:t>
      </w:r>
      <w:r>
        <w:t xml:space="preserve"> is recited by the sacrificer at the end of the </w:t>
      </w:r>
      <w:r>
        <w:rPr>
          <w:i/>
          <w:iCs/>
        </w:rPr>
        <w:t>bahi</w:t>
      </w:r>
      <w:r>
        <w:rPr>
          <w:i/>
          <w:iCs/>
        </w:rPr>
        <w:t>ṣ</w:t>
      </w:r>
      <w:r>
        <w:rPr>
          <w:i/>
          <w:iCs/>
        </w:rPr>
        <w:t>pavamāna</w:t>
      </w:r>
      <w:r>
        <w:t xml:space="preserve"> </w:t>
      </w:r>
      <w:r>
        <w:rPr>
          <w:i/>
          <w:iCs/>
        </w:rPr>
        <w:t>stotra</w:t>
      </w:r>
      <w:r>
        <w:rPr>
          <w:rStyle w:val="FootnoteAnchor"/>
          <w:rFonts w:cs="Devanagari MT;Times New Roman"/>
        </w:rPr>
        <w:footnoteReference w:id="202"/>
      </w:r>
      <w:r>
        <w:rPr>
          <w:rStyle w:val="FootnoteReference"/>
          <w:rFonts w:cs="Devanagari MT;Times New Roman"/>
          <w:vertAlign w:val="baseline"/>
        </w:rPr>
        <w:t>, cf.</w:t>
      </w:r>
      <w:r>
        <w:t xml:space="preserve"> ŚB 4.6.6.7.</w:t>
      </w:r>
    </w:p>
    <w:p w14:paraId="2CA59F04" w14:textId="77777777" w:rsidR="00E53EB6" w:rsidRDefault="00E53EB6">
      <w:pPr>
        <w:pStyle w:val="HaupttextohneEinzug"/>
        <w:autoSpaceDE w:val="0"/>
        <w:rPr>
          <w:rFonts w:eastAsia="DevanagariMT" w:cs="Times Ext Roman"/>
          <w:color w:val="008000"/>
          <w:sz w:val="22"/>
          <w:szCs w:val="22"/>
          <w:lang w:eastAsia="hi-IN" w:bidi="en-GB"/>
        </w:rPr>
      </w:pPr>
    </w:p>
    <w:p w14:paraId="68D233AB" w14:textId="77777777" w:rsidR="00E53EB6" w:rsidRDefault="00E53EB6">
      <w:pPr>
        <w:pStyle w:val="HaupttextohneEinzug"/>
        <w:autoSpaceDE w:val="0"/>
        <w:rPr>
          <w:rFonts w:eastAsia="DevanagariMT" w:cs="Times Ext Roman"/>
          <w:color w:val="008000"/>
          <w:sz w:val="22"/>
          <w:szCs w:val="22"/>
          <w:lang w:eastAsia="hi-IN" w:bidi="en-GB"/>
        </w:rPr>
      </w:pPr>
    </w:p>
    <w:p w14:paraId="63151171" w14:textId="77777777" w:rsidR="00E53EB6" w:rsidRDefault="006500F5">
      <w:pPr>
        <w:pStyle w:val="Heading5"/>
        <w:tabs>
          <w:tab w:val="left" w:pos="0"/>
        </w:tabs>
      </w:pPr>
      <w:r>
        <w:t>Maitrāyanī occurrences</w:t>
      </w:r>
    </w:p>
    <w:p w14:paraId="3A4B1297" w14:textId="77777777" w:rsidR="00E53EB6" w:rsidRDefault="006500F5">
      <w:pPr>
        <w:pStyle w:val="Heading5"/>
        <w:numPr>
          <w:ilvl w:val="4"/>
          <w:numId w:val="2"/>
        </w:numPr>
        <w:tabs>
          <w:tab w:val="left" w:pos="0"/>
        </w:tabs>
      </w:pPr>
      <w:r>
        <w:rPr>
          <w:u w:val="single"/>
        </w:rPr>
        <w:t>MS 2.1.2: 2,5-15</w:t>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rPr>
          <w:i/>
          <w:iCs/>
        </w:rPr>
        <w:t xml:space="preserve"> </w:t>
      </w:r>
      <w:r>
        <w:rPr>
          <w:i/>
          <w:iCs/>
        </w:rPr>
        <w:tab/>
      </w:r>
      <w:r>
        <w:rPr>
          <w:i/>
          <w:iCs/>
        </w:rPr>
        <w:tab/>
      </w:r>
    </w:p>
    <w:p w14:paraId="6D14EBF7" w14:textId="77777777" w:rsidR="00E53EB6" w:rsidRDefault="006500F5">
      <w:pPr>
        <w:pStyle w:val="Zitat"/>
      </w:pPr>
      <w:r>
        <w:t xml:space="preserve">2.1.2 </w:t>
      </w:r>
      <w:r>
        <w:rPr>
          <w:i/>
          <w:iCs/>
        </w:rPr>
        <w:t>agnáye vaiśvānarā́ya dvā́daśakapāla</w:t>
      </w:r>
      <w:r>
        <w:rPr>
          <w:i/>
          <w:iCs/>
        </w:rPr>
        <w:t>ṃ</w:t>
      </w:r>
      <w:r>
        <w:rPr>
          <w:i/>
          <w:iCs/>
        </w:rPr>
        <w:t xml:space="preserve"> ní</w:t>
      </w:r>
      <w:r>
        <w:rPr>
          <w:i/>
          <w:iCs/>
        </w:rPr>
        <w:t>rvapetkā́māya sa</w:t>
      </w:r>
      <w:r>
        <w:rPr>
          <w:i/>
          <w:iCs/>
        </w:rPr>
        <w:t>ṃ</w:t>
      </w:r>
      <w:r>
        <w:rPr>
          <w:i/>
          <w:iCs/>
        </w:rPr>
        <w:t>vatsaró vā́ agnírvaiśvānará</w:t>
      </w:r>
      <w:r>
        <w:rPr>
          <w:i/>
          <w:iCs/>
        </w:rPr>
        <w:t>ḥ</w:t>
      </w:r>
      <w:r>
        <w:rPr>
          <w:i/>
          <w:iCs/>
        </w:rPr>
        <w:t xml:space="preserve"> sa</w:t>
      </w:r>
      <w:r>
        <w:rPr>
          <w:i/>
          <w:iCs/>
        </w:rPr>
        <w:t>ṃ</w:t>
      </w:r>
      <w:r>
        <w:rPr>
          <w:i/>
          <w:iCs/>
        </w:rPr>
        <w:t>vatsaró kā́ma āpyate  sa</w:t>
      </w:r>
      <w:r>
        <w:rPr>
          <w:i/>
          <w:iCs/>
        </w:rPr>
        <w:t>ṃ</w:t>
      </w:r>
      <w:r>
        <w:rPr>
          <w:i/>
          <w:iCs/>
        </w:rPr>
        <w:t>vatsarámevā́patso ‘smai kā́mamāpnoti yátkāmo bhávatyagnáye vaiśvānarā́ya dvā́daśakapāla</w:t>
      </w:r>
      <w:r>
        <w:rPr>
          <w:i/>
          <w:iCs/>
        </w:rPr>
        <w:t>ṃ</w:t>
      </w:r>
      <w:r>
        <w:rPr>
          <w:i/>
          <w:iCs/>
        </w:rPr>
        <w:t xml:space="preserve"> nírvapetsámāntamabhidhrok</w:t>
      </w:r>
      <w:r>
        <w:rPr>
          <w:i/>
          <w:iCs/>
        </w:rPr>
        <w:t>ṣ</w:t>
      </w:r>
      <w:r>
        <w:rPr>
          <w:i/>
          <w:iCs/>
        </w:rPr>
        <w:t>yántsa</w:t>
      </w:r>
      <w:r>
        <w:rPr>
          <w:i/>
          <w:iCs/>
        </w:rPr>
        <w:t>ṃ</w:t>
      </w:r>
      <w:r>
        <w:rPr>
          <w:i/>
          <w:iCs/>
        </w:rPr>
        <w:t>vatsaró vā́ agnírvaiśvānará</w:t>
      </w:r>
      <w:r>
        <w:rPr>
          <w:i/>
          <w:iCs/>
        </w:rPr>
        <w:t>ḥ</w:t>
      </w:r>
      <w:r>
        <w:rPr>
          <w:i/>
          <w:iCs/>
        </w:rPr>
        <w:t xml:space="preserve"> sa</w:t>
      </w:r>
      <w:r>
        <w:rPr>
          <w:i/>
          <w:iCs/>
        </w:rPr>
        <w:t>ṃ</w:t>
      </w:r>
      <w:r>
        <w:rPr>
          <w:i/>
          <w:iCs/>
        </w:rPr>
        <w:t>vatsarā́ya sámamyate  sa</w:t>
      </w:r>
      <w:r>
        <w:rPr>
          <w:i/>
          <w:iCs/>
        </w:rPr>
        <w:t>ṃ</w:t>
      </w:r>
      <w:r>
        <w:rPr>
          <w:i/>
          <w:iCs/>
        </w:rPr>
        <w:t>vat</w:t>
      </w:r>
      <w:r>
        <w:rPr>
          <w:i/>
          <w:iCs/>
        </w:rPr>
        <w:t>sarámevā́ptvāvaru</w:t>
      </w:r>
      <w:r>
        <w:rPr>
          <w:i/>
          <w:iCs/>
        </w:rPr>
        <w:t>ṇ</w:t>
      </w:r>
      <w:r>
        <w:rPr>
          <w:i/>
          <w:iCs/>
        </w:rPr>
        <w:t>á</w:t>
      </w:r>
      <w:r>
        <w:rPr>
          <w:i/>
          <w:iCs/>
        </w:rPr>
        <w:t>ṃ</w:t>
      </w:r>
      <w:r>
        <w:rPr>
          <w:i/>
          <w:iCs/>
        </w:rPr>
        <w:t xml:space="preserve"> kā́mamabhídruhyatyagnáye vaiśvānarā́ya dvā́daśakapāla</w:t>
      </w:r>
      <w:r>
        <w:rPr>
          <w:i/>
          <w:iCs/>
        </w:rPr>
        <w:t>ṃ</w:t>
      </w:r>
      <w:r>
        <w:rPr>
          <w:i/>
          <w:iCs/>
        </w:rPr>
        <w:t xml:space="preserve"> nírvapetsani</w:t>
      </w:r>
      <w:r>
        <w:rPr>
          <w:i/>
          <w:iCs/>
        </w:rPr>
        <w:t>ṃ</w:t>
      </w:r>
      <w:r>
        <w:rPr>
          <w:i/>
          <w:iCs/>
        </w:rPr>
        <w:t xml:space="preserve"> prai</w:t>
      </w:r>
      <w:r>
        <w:rPr>
          <w:i/>
          <w:iCs/>
        </w:rPr>
        <w:t>ṣ</w:t>
      </w:r>
      <w:r>
        <w:rPr>
          <w:i/>
          <w:iCs/>
        </w:rPr>
        <w:t>yántsa</w:t>
      </w:r>
      <w:r>
        <w:rPr>
          <w:i/>
          <w:iCs/>
        </w:rPr>
        <w:t>ṃ</w:t>
      </w:r>
      <w:r>
        <w:rPr>
          <w:i/>
          <w:iCs/>
        </w:rPr>
        <w:t>vatsaró vā́ agnírvaiśvānará</w:t>
      </w:r>
      <w:r>
        <w:rPr>
          <w:i/>
          <w:iCs/>
        </w:rPr>
        <w:t>ḥ</w:t>
      </w:r>
      <w:r>
        <w:rPr>
          <w:i/>
          <w:iCs/>
        </w:rPr>
        <w:t xml:space="preserve"> sa</w:t>
      </w:r>
      <w:r>
        <w:rPr>
          <w:i/>
          <w:iCs/>
        </w:rPr>
        <w:t>ṃ</w:t>
      </w:r>
      <w:r>
        <w:rPr>
          <w:i/>
          <w:iCs/>
        </w:rPr>
        <w:t>vatsarā́ya prátigr̥hyate  sa</w:t>
      </w:r>
      <w:r>
        <w:rPr>
          <w:i/>
          <w:iCs/>
        </w:rPr>
        <w:t>ṃ</w:t>
      </w:r>
      <w:r>
        <w:rPr>
          <w:i/>
          <w:iCs/>
        </w:rPr>
        <w:t>vatsarámevā́ptvā́ sātā́</w:t>
      </w:r>
      <w:r>
        <w:rPr>
          <w:i/>
          <w:iCs/>
        </w:rPr>
        <w:t>ṃ</w:t>
      </w:r>
      <w:r>
        <w:rPr>
          <w:i/>
          <w:iCs/>
        </w:rPr>
        <w:t xml:space="preserve"> saní</w:t>
      </w:r>
      <w:r>
        <w:rPr>
          <w:i/>
          <w:iCs/>
        </w:rPr>
        <w:t>ṃ</w:t>
      </w:r>
      <w:r>
        <w:rPr>
          <w:i/>
          <w:iCs/>
        </w:rPr>
        <w:t xml:space="preserve"> vanute sá yadā́ vanvītā́thāgnáye vaiśvānarā́ya dvā́daśakapāla</w:t>
      </w:r>
      <w:r>
        <w:rPr>
          <w:i/>
          <w:iCs/>
        </w:rPr>
        <w:t>ṃ</w:t>
      </w:r>
      <w:r>
        <w:rPr>
          <w:i/>
          <w:iCs/>
        </w:rPr>
        <w:t xml:space="preserve"> nírvapetsa</w:t>
      </w:r>
      <w:r>
        <w:rPr>
          <w:i/>
          <w:iCs/>
        </w:rPr>
        <w:t>ṃ</w:t>
      </w:r>
      <w:r>
        <w:rPr>
          <w:i/>
          <w:iCs/>
        </w:rPr>
        <w:t>vatsaró vā́ agnírvaiśvānará</w:t>
      </w:r>
      <w:r>
        <w:rPr>
          <w:i/>
          <w:iCs/>
        </w:rPr>
        <w:t>ḥ</w:t>
      </w:r>
      <w:r>
        <w:rPr>
          <w:i/>
          <w:iCs/>
        </w:rPr>
        <w:t xml:space="preserve"> sa</w:t>
      </w:r>
      <w:r>
        <w:rPr>
          <w:i/>
          <w:iCs/>
        </w:rPr>
        <w:t>ṃ</w:t>
      </w:r>
      <w:r>
        <w:rPr>
          <w:i/>
          <w:iCs/>
        </w:rPr>
        <w:t>vatsaráme</w:t>
      </w:r>
      <w:r>
        <w:rPr>
          <w:i/>
          <w:iCs/>
        </w:rPr>
        <w:t>ṣ</w:t>
      </w:r>
      <w:r>
        <w:rPr>
          <w:i/>
          <w:iCs/>
        </w:rPr>
        <w:t>á práyu</w:t>
      </w:r>
      <w:r>
        <w:rPr>
          <w:i/>
          <w:iCs/>
        </w:rPr>
        <w:t>ṅ</w:t>
      </w:r>
      <w:r>
        <w:rPr>
          <w:i/>
          <w:iCs/>
        </w:rPr>
        <w:t>kte  sa</w:t>
      </w:r>
      <w:r>
        <w:rPr>
          <w:i/>
          <w:iCs/>
        </w:rPr>
        <w:t>ṃ</w:t>
      </w:r>
      <w:r>
        <w:rPr>
          <w:i/>
          <w:iCs/>
        </w:rPr>
        <w:t>vatsará etásmai vanute támevá bhāgínamakastá</w:t>
      </w:r>
      <w:r>
        <w:rPr>
          <w:i/>
          <w:iCs/>
        </w:rPr>
        <w:t>ṃ</w:t>
      </w:r>
      <w:r>
        <w:rPr>
          <w:i/>
          <w:iCs/>
        </w:rPr>
        <w:t xml:space="preserve"> vyamaugyá</w:t>
      </w:r>
      <w:r>
        <w:rPr>
          <w:i/>
          <w:iCs/>
        </w:rPr>
        <w:t>ṃ</w:t>
      </w:r>
      <w:r>
        <w:rPr>
          <w:i/>
          <w:iCs/>
        </w:rPr>
        <w:t xml:space="preserve"> dvi</w:t>
      </w:r>
      <w:r>
        <w:rPr>
          <w:i/>
          <w:iCs/>
        </w:rPr>
        <w:t>ṣ</w:t>
      </w:r>
      <w:r>
        <w:rPr>
          <w:i/>
          <w:iCs/>
        </w:rPr>
        <w:t>yā́ttásmai dák</w:t>
      </w:r>
      <w:r>
        <w:rPr>
          <w:i/>
          <w:iCs/>
        </w:rPr>
        <w:t>ṣ</w:t>
      </w:r>
      <w:r>
        <w:rPr>
          <w:i/>
          <w:iCs/>
        </w:rPr>
        <w:t>i</w:t>
      </w:r>
      <w:r>
        <w:rPr>
          <w:i/>
          <w:iCs/>
        </w:rPr>
        <w:t>ṇ</w:t>
      </w:r>
      <w:r>
        <w:rPr>
          <w:i/>
          <w:iCs/>
        </w:rPr>
        <w:t>ā</w:t>
      </w:r>
      <w:r>
        <w:rPr>
          <w:i/>
          <w:iCs/>
        </w:rPr>
        <w:t>ṃ</w:t>
      </w:r>
      <w:r>
        <w:rPr>
          <w:i/>
          <w:iCs/>
        </w:rPr>
        <w:t xml:space="preserve"> dadyātpā́śena vā́ e</w:t>
      </w:r>
      <w:r>
        <w:rPr>
          <w:i/>
          <w:iCs/>
        </w:rPr>
        <w:t>ṣ</w:t>
      </w:r>
      <w:r>
        <w:rPr>
          <w:i/>
          <w:iCs/>
        </w:rPr>
        <w:t>á carati támevā́sminprátimuñcatyékahāyano gaúrdák</w:t>
      </w:r>
      <w:r>
        <w:rPr>
          <w:i/>
          <w:iCs/>
        </w:rPr>
        <w:t>ṣ</w:t>
      </w:r>
      <w:r>
        <w:rPr>
          <w:i/>
          <w:iCs/>
        </w:rPr>
        <w:t>i</w:t>
      </w:r>
      <w:r>
        <w:rPr>
          <w:i/>
          <w:iCs/>
        </w:rPr>
        <w:t>ṇ</w:t>
      </w:r>
      <w:r>
        <w:rPr>
          <w:i/>
          <w:iCs/>
        </w:rPr>
        <w:t>ā sá hí sa</w:t>
      </w:r>
      <w:r>
        <w:rPr>
          <w:i/>
          <w:iCs/>
        </w:rPr>
        <w:t>ṃ</w:t>
      </w:r>
      <w:r>
        <w:rPr>
          <w:i/>
          <w:iCs/>
        </w:rPr>
        <w:t>vatsarásya pratimā //</w:t>
      </w:r>
    </w:p>
    <w:p w14:paraId="56AD5D03" w14:textId="77777777" w:rsidR="00E53EB6" w:rsidRDefault="006500F5">
      <w:pPr>
        <w:pStyle w:val="Zitat"/>
      </w:pPr>
      <w:r>
        <w:t>May he offer for a desire to Agni Vaiśvānara a sacrifice on 12 potsherds; indeed Agni Vaiśvānara is the year, within an year the wish is obtained; he, indeed, completed the year</w:t>
      </w:r>
      <w:r>
        <w:rPr>
          <w:rStyle w:val="FootnoteAnchor"/>
        </w:rPr>
        <w:footnoteReference w:id="203"/>
      </w:r>
      <w:r>
        <w:t>, he</w:t>
      </w:r>
      <w:r>
        <w:rPr>
          <w:rStyle w:val="FootnoteAnchor"/>
        </w:rPr>
        <w:footnoteReference w:id="204"/>
      </w:r>
      <w:r>
        <w:t>, for this one, gains the wish that he has</w:t>
      </w:r>
      <w:r>
        <w:rPr>
          <w:rStyle w:val="FootnoteAnchor"/>
        </w:rPr>
        <w:footnoteReference w:id="205"/>
      </w:r>
      <w:r>
        <w:t xml:space="preserve">. </w:t>
      </w:r>
    </w:p>
    <w:p w14:paraId="53D626B6" w14:textId="77777777" w:rsidR="00E53EB6" w:rsidRDefault="006500F5">
      <w:pPr>
        <w:pStyle w:val="ZitatnachZitat"/>
      </w:pPr>
      <w:r>
        <w:t>May he offer to Agni Vai</w:t>
      </w:r>
      <w:r>
        <w:t>śvānara a sacrifice on 12 potsherds, he who wants to act with treachery against the common agreement</w:t>
      </w:r>
      <w:r>
        <w:rPr>
          <w:rStyle w:val="FootnoteAnchor"/>
        </w:rPr>
        <w:footnoteReference w:id="206"/>
      </w:r>
      <w:r>
        <w:t>; indeed Agni Vaiśvānara is the year, on an year there is an agreement; having indeed completed the year, he acts with treachery at wish against what is n</w:t>
      </w:r>
      <w:r>
        <w:t>ot falling into Varu</w:t>
      </w:r>
      <w:r>
        <w:t>ṇ</w:t>
      </w:r>
      <w:r>
        <w:t>a power</w:t>
      </w:r>
      <w:r>
        <w:rPr>
          <w:rStyle w:val="FootnoteAnchor"/>
        </w:rPr>
        <w:footnoteReference w:id="207"/>
      </w:r>
      <w:r>
        <w:t xml:space="preserve">. </w:t>
      </w:r>
    </w:p>
    <w:p w14:paraId="5998002A" w14:textId="77777777" w:rsidR="00E53EB6" w:rsidRDefault="006500F5">
      <w:pPr>
        <w:pStyle w:val="ZitatnachZitat"/>
      </w:pPr>
      <w:r>
        <w:t xml:space="preserve">May he offer to Agni Vaiśvānara a sacrifice on 12 potsherds, he who will </w:t>
      </w:r>
      <w:r>
        <w:t>go begging (who is eager to win wealth); indeed Agni Vaiśvānara is the year, for one year it</w:t>
      </w:r>
      <w:r>
        <w:rPr>
          <w:rStyle w:val="FootnoteAnchor"/>
        </w:rPr>
        <w:footnoteReference w:id="208"/>
      </w:r>
      <w:r>
        <w:t xml:space="preserve"> is accepted; having indeed completed the year, he </w:t>
      </w:r>
      <w:r>
        <w:rPr>
          <w:u w:val="single"/>
        </w:rPr>
        <w:t>appropriates</w:t>
      </w:r>
      <w:r>
        <w:t xml:space="preserve"> the reward gained. </w:t>
      </w:r>
    </w:p>
    <w:p w14:paraId="374B2240" w14:textId="77777777" w:rsidR="00E53EB6" w:rsidRDefault="006500F5">
      <w:pPr>
        <w:pStyle w:val="ZitatnachZitat"/>
      </w:pPr>
      <w:r>
        <w:t>When shall he</w:t>
      </w:r>
      <w:r>
        <w:t xml:space="preserve"> </w:t>
      </w:r>
      <w:r>
        <w:rPr>
          <w:u w:val="single"/>
        </w:rPr>
        <w:t>appropriate for himself</w:t>
      </w:r>
      <w:r>
        <w:t>, then may he sacrifice to Agni Vaiśvānara on 12 potsherds; indeed Agni Vaiśvānara is the year, indeed this here yokes the year, the ye</w:t>
      </w:r>
      <w:r>
        <w:t xml:space="preserve">ar </w:t>
      </w:r>
      <w:r>
        <w:rPr>
          <w:u w:val="single"/>
        </w:rPr>
        <w:t>appropriates</w:t>
      </w:r>
      <w:r>
        <w:t xml:space="preserve"> for this here; indeed he made it</w:t>
      </w:r>
      <w:r>
        <w:rPr>
          <w:rStyle w:val="FootnoteAnchor"/>
        </w:rPr>
        <w:footnoteReference w:id="209"/>
      </w:r>
      <w:r>
        <w:t xml:space="preserve"> partaking of the share, he unyoked it, to the one he may hate he shall give the sacrificial fee </w:t>
      </w:r>
      <w:r>
        <w:t>(</w:t>
      </w:r>
      <w:r>
        <w:rPr>
          <w:i/>
          <w:iCs/>
        </w:rPr>
        <w:t>dak</w:t>
      </w:r>
      <w:r>
        <w:rPr>
          <w:i/>
          <w:iCs/>
        </w:rPr>
        <w:t>ṣ</w:t>
      </w:r>
      <w:r>
        <w:rPr>
          <w:i/>
          <w:iCs/>
        </w:rPr>
        <w:t>inā</w:t>
      </w:r>
      <w:r>
        <w:t>). This here</w:t>
      </w:r>
      <w:r>
        <w:rPr>
          <w:rStyle w:val="FootnoteAnchor"/>
        </w:rPr>
        <w:footnoteReference w:id="210"/>
      </w:r>
      <w:r>
        <w:t xml:space="preserve"> walks through a noose, he fixes this around it tight; the sacrificial fee is a one-yea</w:t>
      </w:r>
      <w:r>
        <w:t>r cow, for this is an image of the year.</w:t>
      </w:r>
    </w:p>
    <w:p w14:paraId="586DC6AB" w14:textId="77777777" w:rsidR="00E53EB6" w:rsidRPr="00B80C6B" w:rsidRDefault="006500F5">
      <w:pPr>
        <w:pStyle w:val="Zitat"/>
        <w:rPr>
          <w:i/>
          <w:iCs/>
          <w:lang w:val="it-IT"/>
        </w:rPr>
      </w:pPr>
      <w:r>
        <w:rPr>
          <w:i/>
          <w:iCs/>
          <w:lang w:bidi="en-US"/>
        </w:rPr>
        <w:t>vanvīta:</w:t>
      </w:r>
      <w:r>
        <w:rPr>
          <w:lang w:bidi="en-US"/>
        </w:rPr>
        <w:t xml:space="preserve"> opt. pres. 3</w:t>
      </w:r>
      <w:r>
        <w:rPr>
          <w:vertAlign w:val="superscript"/>
          <w:lang w:bidi="en-US"/>
        </w:rPr>
        <w:t>rd</w:t>
      </w:r>
      <w:r>
        <w:rPr>
          <w:lang w:bidi="en-US"/>
        </w:rPr>
        <w:t xml:space="preserve"> sing. </w:t>
      </w:r>
      <w:r w:rsidRPr="00B80C6B">
        <w:rPr>
          <w:lang w:val="it-IT" w:bidi="en-US"/>
        </w:rPr>
        <w:t>Ā VIII cl.</w:t>
      </w:r>
    </w:p>
    <w:p w14:paraId="066B6AA9" w14:textId="77777777" w:rsidR="00E53EB6" w:rsidRPr="00B80C6B" w:rsidRDefault="006500F5">
      <w:pPr>
        <w:pStyle w:val="ZitatmitEinzug"/>
        <w:rPr>
          <w:lang w:val="it-IT" w:bidi="en-US"/>
        </w:rPr>
      </w:pPr>
      <w:r w:rsidRPr="00B80C6B">
        <w:rPr>
          <w:rStyle w:val="biblio-authorGEN"/>
          <w:sz w:val="18"/>
          <w:szCs w:val="15"/>
          <w:lang w:val="it-IT" w:bidi="en-US"/>
        </w:rPr>
        <w:t>Amano</w:t>
      </w:r>
      <w:r w:rsidRPr="00B80C6B">
        <w:rPr>
          <w:lang w:val="it-IT" w:bidi="en-US"/>
        </w:rPr>
        <w:t xml:space="preserve"> 2009: 432 “trägt”</w:t>
      </w:r>
    </w:p>
    <w:p w14:paraId="61E79562" w14:textId="77777777" w:rsidR="00E53EB6" w:rsidRDefault="006500F5">
      <w:pPr>
        <w:pStyle w:val="Zitat"/>
      </w:pPr>
      <w:r>
        <w:rPr>
          <w:lang w:bidi="en-US"/>
        </w:rPr>
        <w:t>2x</w:t>
      </w:r>
      <w:r>
        <w:rPr>
          <w:i/>
          <w:iCs/>
          <w:lang w:bidi="en-US"/>
        </w:rPr>
        <w:t xml:space="preserve"> vanute:</w:t>
      </w:r>
      <w:r>
        <w:rPr>
          <w:lang w:bidi="en-US"/>
        </w:rPr>
        <w:t xml:space="preserve"> ind. pres. 3</w:t>
      </w:r>
      <w:r>
        <w:rPr>
          <w:vertAlign w:val="superscript"/>
          <w:lang w:bidi="en-US"/>
        </w:rPr>
        <w:t>rd</w:t>
      </w:r>
      <w:r>
        <w:rPr>
          <w:lang w:bidi="en-US"/>
        </w:rPr>
        <w:t xml:space="preserve"> sing. Ā VIII cl.</w:t>
      </w:r>
    </w:p>
    <w:p w14:paraId="0C5AAF17" w14:textId="77777777" w:rsidR="00E53EB6" w:rsidRDefault="006500F5">
      <w:pPr>
        <w:pStyle w:val="ZitatmitEinzug"/>
        <w:rPr>
          <w:lang w:bidi="en-US"/>
        </w:rPr>
      </w:pPr>
      <w:r>
        <w:rPr>
          <w:rStyle w:val="biblio-authorGEN"/>
          <w:sz w:val="18"/>
          <w:szCs w:val="15"/>
          <w:lang w:bidi="en-US"/>
        </w:rPr>
        <w:t>Amano</w:t>
      </w:r>
      <w:r>
        <w:rPr>
          <w:lang w:bidi="en-US"/>
        </w:rPr>
        <w:t xml:space="preserve"> 2009: 432 “trägt […] davon”</w:t>
      </w:r>
    </w:p>
    <w:p w14:paraId="0DFBBAB5" w14:textId="77777777" w:rsidR="00E53EB6" w:rsidRDefault="006500F5">
      <w:pPr>
        <w:pStyle w:val="HaupttextnachZitat"/>
        <w:numPr>
          <w:ilvl w:val="2"/>
          <w:numId w:val="2"/>
        </w:numPr>
        <w:tabs>
          <w:tab w:val="left" w:pos="0"/>
        </w:tabs>
      </w:pPr>
      <w:r>
        <w:t>Vedic Web:</w:t>
      </w:r>
    </w:p>
    <w:p w14:paraId="0D3671D2" w14:textId="77777777" w:rsidR="00E53EB6" w:rsidRPr="00B80C6B" w:rsidRDefault="006500F5">
      <w:pPr>
        <w:pStyle w:val="HaupttextohneEinzug"/>
        <w:rPr>
          <w:lang w:val="it-IT"/>
        </w:rPr>
      </w:pPr>
      <w:r w:rsidRPr="00B80C6B">
        <w:rPr>
          <w:rFonts w:eastAsia="DevanagariMT"/>
          <w:iCs/>
          <w:lang w:val="it-IT"/>
        </w:rPr>
        <w:t xml:space="preserve">Mantra: cf. </w:t>
      </w:r>
      <w:r w:rsidRPr="00B80C6B">
        <w:rPr>
          <w:rFonts w:eastAsia="DevanagariMT"/>
          <w:lang w:val="it-IT"/>
        </w:rPr>
        <w:t>TS 1.5.11 a-f.</w:t>
      </w:r>
    </w:p>
    <w:p w14:paraId="7CB94460" w14:textId="77777777" w:rsidR="00E53EB6" w:rsidRDefault="006500F5">
      <w:pPr>
        <w:pStyle w:val="HaupttextohneEinzug"/>
      </w:pPr>
      <w:r>
        <w:t xml:space="preserve">Prose: cf. TS 2.2.5-6; </w:t>
      </w:r>
      <w:r>
        <w:rPr>
          <w:rFonts w:eastAsia="DevanagariMT"/>
          <w:iCs/>
        </w:rPr>
        <w:t>KS 10.3: 127,1-13</w:t>
      </w:r>
      <w:r>
        <w:t>.</w:t>
      </w:r>
    </w:p>
    <w:p w14:paraId="6A8114D4" w14:textId="77777777" w:rsidR="00E53EB6" w:rsidRDefault="00E53EB6">
      <w:pPr>
        <w:pStyle w:val="HaupttextohneEinzug"/>
        <w:autoSpaceDE w:val="0"/>
        <w:rPr>
          <w:rFonts w:eastAsia="Arial" w:cs="Devanagari MT;Times New Roman"/>
          <w:szCs w:val="21"/>
          <w:lang w:eastAsia="hi-IN" w:bidi="en-GB"/>
        </w:rPr>
      </w:pPr>
    </w:p>
    <w:p w14:paraId="7508EFE4" w14:textId="77777777" w:rsidR="00E53EB6" w:rsidRDefault="006500F5">
      <w:pPr>
        <w:pStyle w:val="HaupttextohneEinzug"/>
      </w:pPr>
      <w:r>
        <w:t>Rite</w:t>
      </w:r>
    </w:p>
    <w:p w14:paraId="72E7E6BA" w14:textId="77777777" w:rsidR="00E53EB6" w:rsidRDefault="006500F5">
      <w:pPr>
        <w:pStyle w:val="HaupttextohneEinzug"/>
      </w:pPr>
      <w:r>
        <w:t xml:space="preserve">Special Offerings in connection with the animal sacrifice. </w:t>
      </w:r>
      <w:r>
        <w:rPr>
          <w:i/>
          <w:iCs/>
        </w:rPr>
        <w:t>Kāmyā i</w:t>
      </w:r>
      <w:r>
        <w:rPr>
          <w:i/>
          <w:iCs/>
        </w:rPr>
        <w:t>ṣṭ</w:t>
      </w:r>
      <w:r>
        <w:rPr>
          <w:i/>
          <w:iCs/>
        </w:rPr>
        <w:t>aya</w:t>
      </w:r>
      <w:r>
        <w:rPr>
          <w:i/>
          <w:iCs/>
        </w:rPr>
        <w:t>ḥ</w:t>
      </w:r>
      <w:r>
        <w:rPr>
          <w:i/>
          <w:iCs/>
        </w:rPr>
        <w:t>:</w:t>
      </w:r>
      <w:r>
        <w:t xml:space="preserve"> offerings to Aditi, Agni Vaiśvānara, Varu</w:t>
      </w:r>
      <w:r>
        <w:t>ṇ</w:t>
      </w:r>
      <w:r>
        <w:t>a. This part concerns the sacrifice to Agni Vaiśvānara for three different situations: first</w:t>
      </w:r>
      <w:r>
        <w:t xml:space="preserve"> for the breaking up of a common agreement, second for one who wants to gain something and third for someone who wants to store his acquisition, cf. </w:t>
      </w:r>
      <w:r>
        <w:rPr>
          <w:rStyle w:val="biblio-authorGEN"/>
        </w:rPr>
        <w:t>Caland</w:t>
      </w:r>
      <w:r>
        <w:t xml:space="preserve"> 1908: 8-10.</w:t>
      </w:r>
    </w:p>
    <w:p w14:paraId="458B52CC" w14:textId="77777777" w:rsidR="00E53EB6" w:rsidRDefault="00E53EB6">
      <w:pPr>
        <w:pStyle w:val="HaupttextohneEinzug"/>
        <w:autoSpaceDE w:val="0"/>
        <w:rPr>
          <w:rFonts w:eastAsia="Arial" w:cs="Devanagari MT;Times New Roman"/>
          <w:sz w:val="22"/>
          <w:szCs w:val="22"/>
          <w:lang w:eastAsia="hi-IN" w:bidi="en-GB"/>
        </w:rPr>
      </w:pPr>
    </w:p>
    <w:p w14:paraId="0CF4453D" w14:textId="77777777" w:rsidR="00E53EB6" w:rsidRDefault="006500F5">
      <w:pPr>
        <w:pStyle w:val="Heading5"/>
        <w:numPr>
          <w:ilvl w:val="4"/>
          <w:numId w:val="2"/>
        </w:numPr>
        <w:tabs>
          <w:tab w:val="left" w:pos="0"/>
        </w:tabs>
      </w:pPr>
      <w:r>
        <w:rPr>
          <w:u w:val="single"/>
        </w:rPr>
        <w:t>MS 2.6.8: 68,6-8</w:t>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t xml:space="preserve"> </w:t>
      </w:r>
      <w:r>
        <w:tab/>
      </w:r>
      <w:r>
        <w:tab/>
      </w:r>
      <w:r>
        <w:tab/>
      </w:r>
      <w:r>
        <w:tab/>
      </w:r>
      <w:r>
        <w:rPr>
          <w:color w:val="800080"/>
        </w:rPr>
        <w:t xml:space="preserve"> </w:t>
      </w:r>
    </w:p>
    <w:p w14:paraId="1210E292" w14:textId="77777777" w:rsidR="00E53EB6" w:rsidRDefault="006500F5">
      <w:pPr>
        <w:pStyle w:val="Zitat"/>
        <w:numPr>
          <w:ilvl w:val="2"/>
          <w:numId w:val="2"/>
        </w:numPr>
        <w:tabs>
          <w:tab w:val="left" w:pos="260"/>
        </w:tabs>
        <w:ind w:left="260"/>
      </w:pPr>
      <w:r>
        <w:t xml:space="preserve">2.6.8 </w:t>
      </w:r>
      <w:r>
        <w:rPr>
          <w:i/>
        </w:rPr>
        <w:t>dévīrāpo mádhumatī</w:t>
      </w:r>
      <w:r>
        <w:rPr>
          <w:i/>
        </w:rPr>
        <w:t>ḥ</w:t>
      </w:r>
      <w:r>
        <w:rPr>
          <w:i/>
        </w:rPr>
        <w:t xml:space="preserve"> sá</w:t>
      </w:r>
      <w:r>
        <w:rPr>
          <w:i/>
        </w:rPr>
        <w:t>ṃ</w:t>
      </w:r>
      <w:r>
        <w:rPr>
          <w:i/>
        </w:rPr>
        <w:t xml:space="preserve">sr̥jyadhvam máhi </w:t>
      </w:r>
      <w:r>
        <w:rPr>
          <w:i/>
        </w:rPr>
        <w:t>k</w:t>
      </w:r>
      <w:r>
        <w:rPr>
          <w:i/>
        </w:rPr>
        <w:t>ṣ</w:t>
      </w:r>
      <w:r>
        <w:rPr>
          <w:i/>
        </w:rPr>
        <w:t>atrám k</w:t>
      </w:r>
      <w:r>
        <w:rPr>
          <w:i/>
        </w:rPr>
        <w:t>ṣ</w:t>
      </w:r>
      <w:r>
        <w:rPr>
          <w:i/>
        </w:rPr>
        <w:t>atríyāya vanvānā́</w:t>
      </w:r>
      <w:r>
        <w:rPr>
          <w:i/>
        </w:rPr>
        <w:t>ḥ</w:t>
      </w:r>
      <w:r>
        <w:rPr>
          <w:i/>
        </w:rPr>
        <w:t xml:space="preserve"> /</w:t>
      </w:r>
    </w:p>
    <w:p w14:paraId="2CD0B15D" w14:textId="77777777" w:rsidR="00E53EB6" w:rsidRDefault="006500F5">
      <w:pPr>
        <w:pStyle w:val="ZitatmitEinzug"/>
        <w:rPr>
          <w:i/>
          <w:iCs/>
        </w:rPr>
      </w:pPr>
      <w:r>
        <w:rPr>
          <w:i/>
          <w:iCs/>
        </w:rPr>
        <w:t>ánādhr̥</w:t>
      </w:r>
      <w:r>
        <w:rPr>
          <w:i/>
          <w:iCs/>
        </w:rPr>
        <w:t>ṣṭ</w:t>
      </w:r>
      <w:r>
        <w:rPr>
          <w:i/>
          <w:iCs/>
        </w:rPr>
        <w:t>ā</w:t>
      </w:r>
      <w:r>
        <w:rPr>
          <w:i/>
          <w:iCs/>
        </w:rPr>
        <w:t>ḥ</w:t>
      </w:r>
      <w:r>
        <w:rPr>
          <w:i/>
          <w:iCs/>
        </w:rPr>
        <w:t xml:space="preserve"> sīdatórjasvatīrmáhi várca</w:t>
      </w:r>
      <w:r>
        <w:rPr>
          <w:i/>
          <w:iCs/>
        </w:rPr>
        <w:t>ḥ</w:t>
      </w:r>
      <w:r>
        <w:rPr>
          <w:i/>
          <w:iCs/>
        </w:rPr>
        <w:t xml:space="preserve"> k</w:t>
      </w:r>
      <w:r>
        <w:rPr>
          <w:i/>
          <w:iCs/>
        </w:rPr>
        <w:t>ṣ</w:t>
      </w:r>
      <w:r>
        <w:rPr>
          <w:i/>
          <w:iCs/>
        </w:rPr>
        <w:t>atríyāya dádhatī</w:t>
      </w:r>
      <w:r>
        <w:rPr>
          <w:i/>
          <w:iCs/>
        </w:rPr>
        <w:t>ḥ</w:t>
      </w:r>
      <w:r>
        <w:rPr>
          <w:i/>
          <w:iCs/>
        </w:rPr>
        <w:t>//</w:t>
      </w:r>
    </w:p>
    <w:p w14:paraId="5D310AB6" w14:textId="77777777" w:rsidR="00E53EB6" w:rsidRDefault="006500F5">
      <w:pPr>
        <w:pStyle w:val="Zitat"/>
      </w:pPr>
      <w:r>
        <w:t xml:space="preserve">O divine water, full of sweet, be mingled, </w:t>
      </w:r>
      <w:r>
        <w:rPr>
          <w:u w:val="single"/>
        </w:rPr>
        <w:t>appropriating</w:t>
      </w:r>
      <w:r>
        <w:t xml:space="preserve"> for the king</w:t>
      </w:r>
      <w:r>
        <w:rPr>
          <w:rStyle w:val="FootnoteAnchor"/>
          <w:rFonts w:cs="Devanagari MT;Times New Roman"/>
          <w:lang w:eastAsia="hi-IN"/>
        </w:rPr>
        <w:footnoteReference w:id="211"/>
      </w:r>
      <w:r>
        <w:rPr>
          <w:lang w:eastAsia="hi-IN"/>
        </w:rPr>
        <w:t xml:space="preserve"> </w:t>
      </w:r>
      <w:r>
        <w:t>the great power to rule; sit untouched, possessing the vital energy</w:t>
      </w:r>
      <w:r>
        <w:rPr>
          <w:rStyle w:val="FootnoteAnchor"/>
          <w:rFonts w:cs="Devanagari MT;Times New Roman"/>
          <w:lang w:eastAsia="hi-IN"/>
        </w:rPr>
        <w:footnoteReference w:id="212"/>
      </w:r>
      <w:r>
        <w:t>, putting a great splen</w:t>
      </w:r>
      <w:r>
        <w:t>dour</w:t>
      </w:r>
      <w:r>
        <w:rPr>
          <w:rStyle w:val="FootnoteAnchor"/>
          <w:rFonts w:cs="Devanagari MT;Times New Roman"/>
          <w:lang w:eastAsia="hi-IN"/>
        </w:rPr>
        <w:footnoteReference w:id="213"/>
      </w:r>
      <w:r>
        <w:t xml:space="preserve"> into the king.</w:t>
      </w:r>
    </w:p>
    <w:p w14:paraId="3D74BE5C" w14:textId="77777777" w:rsidR="00E53EB6" w:rsidRDefault="006500F5">
      <w:pPr>
        <w:pStyle w:val="Zitat"/>
      </w:pPr>
      <w:r>
        <w:rPr>
          <w:i/>
        </w:rPr>
        <w:t>vanvānā</w:t>
      </w:r>
      <w:r>
        <w:rPr>
          <w:i/>
        </w:rPr>
        <w:t>ḥ</w:t>
      </w:r>
      <w:r>
        <w:rPr>
          <w:i/>
        </w:rPr>
        <w:t xml:space="preserve">: </w:t>
      </w:r>
      <w:r>
        <w:t>part. pres. nom. fem. pl. Ā VIII cl.</w:t>
      </w:r>
    </w:p>
    <w:p w14:paraId="42B7ABE2" w14:textId="77777777" w:rsidR="00E53EB6" w:rsidRDefault="006500F5">
      <w:pPr>
        <w:pStyle w:val="HaupttextnachZitat"/>
        <w:numPr>
          <w:ilvl w:val="2"/>
          <w:numId w:val="2"/>
        </w:numPr>
        <w:tabs>
          <w:tab w:val="left" w:pos="0"/>
        </w:tabs>
      </w:pPr>
      <w:r>
        <w:t>Vedic Web</w:t>
      </w:r>
    </w:p>
    <w:p w14:paraId="1B49DC7D" w14:textId="77777777" w:rsidR="00E53EB6" w:rsidRDefault="006500F5">
      <w:pPr>
        <w:pStyle w:val="HaupttextohneEinzug"/>
      </w:pPr>
      <w:r>
        <w:t xml:space="preserve">Mantra: TS 1.8.12.1a-b; MS 4.4.2: </w:t>
      </w:r>
      <w:r>
        <w:t>51,8-10</w:t>
      </w:r>
      <w:r>
        <w:t>; KS 15.6: 213,9-10; VS 10.4; ŚB 5.3.4.27.</w:t>
      </w:r>
    </w:p>
    <w:p w14:paraId="7B9C63A6" w14:textId="77777777" w:rsidR="00E53EB6" w:rsidRDefault="006500F5">
      <w:pPr>
        <w:pStyle w:val="HaupttextohneEinzug"/>
      </w:pPr>
      <w:r>
        <w:t>Mantra and Prose: ŚB 5.3.4.27.</w:t>
      </w:r>
    </w:p>
    <w:p w14:paraId="39A7D902" w14:textId="77777777" w:rsidR="00E53EB6" w:rsidRDefault="006500F5">
      <w:pPr>
        <w:pStyle w:val="HaupttextohneEinzug"/>
      </w:pPr>
      <w:r>
        <w:t>Prose: ŚB 5.16-37; 4.1.15.</w:t>
      </w:r>
    </w:p>
    <w:p w14:paraId="773CE562" w14:textId="77777777" w:rsidR="00E53EB6" w:rsidRDefault="00E53EB6">
      <w:pPr>
        <w:pStyle w:val="HaupttextohneEinzug"/>
      </w:pPr>
    </w:p>
    <w:p w14:paraId="7638E1A0" w14:textId="77777777" w:rsidR="00E53EB6" w:rsidRDefault="006500F5">
      <w:pPr>
        <w:pStyle w:val="HaupttextohneEinzug"/>
      </w:pPr>
      <w:r>
        <w:t>Rite</w:t>
      </w:r>
    </w:p>
    <w:p w14:paraId="7F34AF3B" w14:textId="77777777" w:rsidR="00E53EB6" w:rsidRDefault="006500F5">
      <w:pPr>
        <w:pStyle w:val="HaupttextohneEinzug"/>
      </w:pPr>
      <w:r>
        <w:t xml:space="preserve">Rājasūya, the </w:t>
      </w:r>
      <w:r>
        <w:t>Abhi</w:t>
      </w:r>
      <w:r>
        <w:t>ṣ</w:t>
      </w:r>
      <w:r>
        <w:t>eka –the unction of the king during his consecration. This section deals with the preparation of the waters.</w:t>
      </w:r>
    </w:p>
    <w:p w14:paraId="2333713B" w14:textId="77777777" w:rsidR="00E53EB6" w:rsidRDefault="006500F5">
      <w:pPr>
        <w:pStyle w:val="HaupttextohneEinzug"/>
      </w:pPr>
      <w:r>
        <w:t xml:space="preserve">Waters from diverse sources are poured together into a single vessel. (… more description in Proferes) The </w:t>
      </w:r>
      <w:r>
        <w:rPr>
          <w:i/>
          <w:iCs/>
        </w:rPr>
        <w:t>mantra</w:t>
      </w:r>
      <w:r>
        <w:t xml:space="preserve"> credits the waters with winn</w:t>
      </w:r>
      <w:r>
        <w:t>ing for the anointed on the power to rule –</w:t>
      </w:r>
      <w:r>
        <w:rPr>
          <w:i/>
          <w:iCs/>
        </w:rPr>
        <w:t>varcás</w:t>
      </w:r>
      <w:r>
        <w:t xml:space="preserve"> “splendour”, cf. Proferes 2007 p. 80ff; Heesterman 1975 p.74-70 and 114-22; see also Tsuchiyama 2005 for the Abhi</w:t>
      </w:r>
      <w:r>
        <w:t>ṣ</w:t>
      </w:r>
      <w:r>
        <w:t xml:space="preserve">eka in general and his post-Vedic development. </w:t>
      </w:r>
    </w:p>
    <w:p w14:paraId="078BB596" w14:textId="77777777" w:rsidR="00E53EB6" w:rsidRDefault="006500F5">
      <w:pPr>
        <w:pStyle w:val="HaupttextohneEinzug"/>
      </w:pPr>
      <w:r>
        <w:t xml:space="preserve">The collection and mixing of the </w:t>
      </w:r>
      <w:r>
        <w:t>waters.</w:t>
      </w:r>
    </w:p>
    <w:p w14:paraId="15C1E41B" w14:textId="77777777" w:rsidR="00E53EB6" w:rsidRDefault="00E53EB6">
      <w:pPr>
        <w:pStyle w:val="HaupttextohneEinzug"/>
        <w:rPr>
          <w:rFonts w:eastAsia="Arial" w:cs="Times Ext Roman"/>
          <w:sz w:val="22"/>
          <w:szCs w:val="22"/>
          <w:lang w:eastAsia="hi-IN" w:bidi="en-GB"/>
        </w:rPr>
      </w:pPr>
    </w:p>
    <w:p w14:paraId="4A58A484" w14:textId="77777777" w:rsidR="00E53EB6" w:rsidRDefault="006500F5">
      <w:pPr>
        <w:pStyle w:val="Heading5"/>
        <w:tabs>
          <w:tab w:val="left" w:pos="0"/>
        </w:tabs>
      </w:pPr>
      <w:r>
        <w:rPr>
          <w:u w:val="single"/>
        </w:rPr>
        <w:t>MS 3.6.9: 73,1-4</w:t>
      </w:r>
      <w:r>
        <w:tab/>
      </w:r>
      <w:r>
        <w:tab/>
      </w:r>
      <w:r>
        <w:tab/>
      </w:r>
      <w:r>
        <w:tab/>
      </w:r>
      <w:r>
        <w:tab/>
      </w:r>
      <w:r>
        <w:tab/>
      </w:r>
      <w:r>
        <w:tab/>
      </w:r>
      <w:r>
        <w:tab/>
      </w:r>
    </w:p>
    <w:p w14:paraId="45AC4B72" w14:textId="77777777" w:rsidR="00E53EB6" w:rsidRDefault="006500F5">
      <w:pPr>
        <w:pStyle w:val="Zitat"/>
      </w:pPr>
      <w:r>
        <w:t xml:space="preserve">3.6.9 </w:t>
      </w:r>
      <w:r>
        <w:rPr>
          <w:i/>
          <w:iCs/>
        </w:rPr>
        <w:t>nā́nyátradīk</w:t>
      </w:r>
      <w:r>
        <w:rPr>
          <w:i/>
          <w:iCs/>
        </w:rPr>
        <w:t>ṣ</w:t>
      </w:r>
      <w:r>
        <w:rPr>
          <w:i/>
          <w:iCs/>
        </w:rPr>
        <w:t>ita</w:t>
      </w:r>
      <w:r>
        <w:rPr>
          <w:i/>
          <w:iCs/>
        </w:rPr>
        <w:t>ṃ</w:t>
      </w:r>
      <w:r>
        <w:rPr>
          <w:i/>
          <w:iCs/>
        </w:rPr>
        <w:t xml:space="preserve"> dīk</w:t>
      </w:r>
      <w:r>
        <w:rPr>
          <w:i/>
          <w:iCs/>
        </w:rPr>
        <w:t>ṣ</w:t>
      </w:r>
      <w:r>
        <w:rPr>
          <w:i/>
          <w:iCs/>
        </w:rPr>
        <w:t>itavimitā́ntsū́ryo ‘bhinimrócennā́bhyúdiyāddīk</w:t>
      </w:r>
      <w:r>
        <w:rPr>
          <w:i/>
          <w:iCs/>
        </w:rPr>
        <w:t>ṣ</w:t>
      </w:r>
      <w:r>
        <w:rPr>
          <w:i/>
          <w:iCs/>
        </w:rPr>
        <w:t>itavratámevá tádyajñó vaí devā́nā</w:t>
      </w:r>
      <w:r>
        <w:rPr>
          <w:i/>
          <w:iCs/>
        </w:rPr>
        <w:t>ṃ</w:t>
      </w:r>
      <w:r>
        <w:rPr>
          <w:i/>
          <w:iCs/>
        </w:rPr>
        <w:t xml:space="preserve"> ná sámabhavattá</w:t>
      </w:r>
      <w:r>
        <w:rPr>
          <w:i/>
          <w:iCs/>
        </w:rPr>
        <w:t>ṃ</w:t>
      </w:r>
      <w:r>
        <w:rPr>
          <w:i/>
          <w:iCs/>
        </w:rPr>
        <w:t xml:space="preserve"> bhr̥tyā́ sámabhāvayanyádbhr̥tí</w:t>
      </w:r>
      <w:r>
        <w:rPr>
          <w:i/>
          <w:iCs/>
        </w:rPr>
        <w:t>ṃ</w:t>
      </w:r>
      <w:r>
        <w:rPr>
          <w:i/>
          <w:iCs/>
        </w:rPr>
        <w:t xml:space="preserve"> vanuté yajñásya sá</w:t>
      </w:r>
      <w:r>
        <w:rPr>
          <w:i/>
          <w:iCs/>
        </w:rPr>
        <w:t>ṃ</w:t>
      </w:r>
      <w:r>
        <w:rPr>
          <w:i/>
          <w:iCs/>
        </w:rPr>
        <w:t>bhūtyai rā́svéyatsométi yádbrūyā́detā́vadasy</w:t>
      </w:r>
      <w:r>
        <w:rPr>
          <w:i/>
          <w:iCs/>
        </w:rPr>
        <w:t>a syát.</w:t>
      </w:r>
    </w:p>
    <w:p w14:paraId="7DD7390A" w14:textId="77777777" w:rsidR="00E53EB6" w:rsidRDefault="006500F5">
      <w:pPr>
        <w:pStyle w:val="Zitat"/>
      </w:pPr>
      <w:r>
        <w:t>May the sun do not set otherwise upon the consecrated, upon the temporary dwelling of the consecrated, while he is sleeping, may (the sun) not rise over this vow of the consecrated; the sacrifice did not fall to the share</w:t>
      </w:r>
      <w:r>
        <w:rPr>
          <w:rStyle w:val="FootnoteAnchor"/>
        </w:rPr>
        <w:footnoteReference w:id="214"/>
      </w:r>
      <w:r>
        <w:t xml:space="preserve"> </w:t>
      </w:r>
      <w:r>
        <w:lastRenderedPageBreak/>
        <w:t>of gods, indeed, they fu</w:t>
      </w:r>
      <w:r>
        <w:t>rnished him</w:t>
      </w:r>
      <w:r>
        <w:rPr>
          <w:rStyle w:val="FootnoteAnchor"/>
        </w:rPr>
        <w:footnoteReference w:id="215"/>
      </w:r>
      <w:r>
        <w:t xml:space="preserve"> with support when he </w:t>
      </w:r>
      <w:r>
        <w:rPr>
          <w:u w:val="single"/>
        </w:rPr>
        <w:t>appropriate</w:t>
      </w:r>
      <w:r>
        <w:t xml:space="preserve"> the support for the production</w:t>
      </w:r>
      <w:r>
        <w:rPr>
          <w:rStyle w:val="FootnoteAnchor"/>
        </w:rPr>
        <w:footnoteReference w:id="216"/>
      </w:r>
      <w:r>
        <w:t xml:space="preserve"> of the sacrifice ‘Give so much, o Soma’, be in his possession</w:t>
      </w:r>
      <w:r>
        <w:rPr>
          <w:rStyle w:val="FootnoteAnchor"/>
        </w:rPr>
        <w:footnoteReference w:id="217"/>
      </w:r>
      <w:r>
        <w:t xml:space="preserve"> so much as he might have said.</w:t>
      </w:r>
    </w:p>
    <w:p w14:paraId="44B432AA" w14:textId="77777777" w:rsidR="00E53EB6" w:rsidRPr="00B80C6B" w:rsidRDefault="006500F5">
      <w:pPr>
        <w:pStyle w:val="Zitat"/>
        <w:rPr>
          <w:i/>
          <w:iCs/>
          <w:lang w:val="it-IT"/>
        </w:rPr>
      </w:pPr>
      <w:r>
        <w:rPr>
          <w:i/>
          <w:iCs/>
        </w:rPr>
        <w:t xml:space="preserve">vanuté: </w:t>
      </w:r>
      <w:r>
        <w:t>ind. pres. 3</w:t>
      </w:r>
      <w:r>
        <w:rPr>
          <w:vertAlign w:val="superscript"/>
        </w:rPr>
        <w:t>rd</w:t>
      </w:r>
      <w:r>
        <w:t xml:space="preserve"> sing. </w:t>
      </w:r>
      <w:r w:rsidRPr="00B80C6B">
        <w:rPr>
          <w:lang w:val="it-IT"/>
        </w:rPr>
        <w:t>Ā VIII cl.</w:t>
      </w:r>
    </w:p>
    <w:p w14:paraId="50086B50" w14:textId="77777777" w:rsidR="00E53EB6" w:rsidRPr="00B80C6B" w:rsidRDefault="006500F5">
      <w:pPr>
        <w:pStyle w:val="HaupttextnachZitat"/>
        <w:rPr>
          <w:lang w:val="it-IT"/>
        </w:rPr>
      </w:pPr>
      <w:r w:rsidRPr="00B80C6B">
        <w:rPr>
          <w:lang w:val="it-IT"/>
        </w:rPr>
        <w:t>Vedic Web</w:t>
      </w:r>
    </w:p>
    <w:p w14:paraId="6E09C7CF" w14:textId="77777777" w:rsidR="00E53EB6" w:rsidRPr="00B80C6B" w:rsidRDefault="006500F5">
      <w:pPr>
        <w:pStyle w:val="HaupttextohneEinzug"/>
        <w:rPr>
          <w:lang w:val="it-IT"/>
        </w:rPr>
      </w:pPr>
      <w:r w:rsidRPr="00B80C6B">
        <w:rPr>
          <w:lang w:val="it-IT"/>
        </w:rPr>
        <w:t xml:space="preserve">Mantra: KS 2.4; TS 1.2.3.2e-f; </w:t>
      </w:r>
      <w:r w:rsidRPr="00B80C6B">
        <w:rPr>
          <w:lang w:val="it-IT"/>
        </w:rPr>
        <w:t>MS 1.2.3.</w:t>
      </w:r>
    </w:p>
    <w:p w14:paraId="084331AF" w14:textId="77777777" w:rsidR="00E53EB6" w:rsidRDefault="006500F5">
      <w:pPr>
        <w:pStyle w:val="HaupttextohneEinzug"/>
      </w:pPr>
      <w:r>
        <w:t xml:space="preserve">Mantra and </w:t>
      </w:r>
      <w:r>
        <w:t>Prose</w:t>
      </w:r>
      <w:r>
        <w:t xml:space="preserve">: cf. KS 23.6: </w:t>
      </w:r>
      <w:r>
        <w:t xml:space="preserve">81,19-82,2 </w:t>
      </w:r>
      <w:r>
        <w:t>.</w:t>
      </w:r>
    </w:p>
    <w:p w14:paraId="14D5C631" w14:textId="77777777" w:rsidR="00E53EB6" w:rsidRDefault="006500F5">
      <w:pPr>
        <w:pStyle w:val="HaupttextohneEinzug"/>
      </w:pPr>
      <w:r>
        <w:t>Prose: TS 6.1.4.4-9.</w:t>
      </w:r>
    </w:p>
    <w:p w14:paraId="68210171" w14:textId="77777777" w:rsidR="00E53EB6" w:rsidRDefault="00E53EB6">
      <w:pPr>
        <w:pStyle w:val="HaupttextohneEinzug"/>
      </w:pPr>
    </w:p>
    <w:p w14:paraId="55413C5E" w14:textId="77777777" w:rsidR="00E53EB6" w:rsidRDefault="006500F5">
      <w:pPr>
        <w:pStyle w:val="HaupttextohneEinzug"/>
      </w:pPr>
      <w:r>
        <w:t>Rite</w:t>
      </w:r>
    </w:p>
    <w:p w14:paraId="42B5C6B4" w14:textId="77777777" w:rsidR="00E53EB6" w:rsidRDefault="006500F5">
      <w:pPr>
        <w:pStyle w:val="HaupttextohneEinzug"/>
      </w:pPr>
      <w:r>
        <w:t>Within Agni</w:t>
      </w:r>
      <w:r>
        <w:t>ṣṭ</w:t>
      </w:r>
      <w:r>
        <w:t>oma, the Dik</w:t>
      </w:r>
      <w:r>
        <w:t>ṣ</w:t>
      </w:r>
      <w:r>
        <w:t xml:space="preserve">a moment, the consecration of the sacrificer. </w:t>
      </w:r>
    </w:p>
    <w:p w14:paraId="5294B816" w14:textId="77777777" w:rsidR="00E53EB6" w:rsidRDefault="006500F5">
      <w:pPr>
        <w:pStyle w:val="HaupttextohneEinzug"/>
      </w:pPr>
      <w:r>
        <w:t>The brāhma</w:t>
      </w:r>
      <w:r>
        <w:t>ṇ</w:t>
      </w:r>
      <w:r>
        <w:t xml:space="preserve">a-portion are the explanation of the restriction of the </w:t>
      </w:r>
      <w:r>
        <w:rPr>
          <w:i/>
          <w:iCs/>
        </w:rPr>
        <w:t>dīk</w:t>
      </w:r>
      <w:r>
        <w:rPr>
          <w:i/>
          <w:iCs/>
        </w:rPr>
        <w:t>ṣ</w:t>
      </w:r>
      <w:r>
        <w:rPr>
          <w:i/>
          <w:iCs/>
        </w:rPr>
        <w:t>tita</w:t>
      </w:r>
      <w:r>
        <w:t xml:space="preserve">, the </w:t>
      </w:r>
      <w:r>
        <w:rPr>
          <w:i/>
          <w:iCs/>
        </w:rPr>
        <w:t>adhvarādīnā</w:t>
      </w:r>
      <w:r>
        <w:rPr>
          <w:i/>
          <w:iCs/>
        </w:rPr>
        <w:t>ṃ</w:t>
      </w:r>
      <w:r>
        <w:rPr>
          <w:i/>
          <w:iCs/>
        </w:rPr>
        <w:t xml:space="preserve"> trayā</w:t>
      </w:r>
      <w:r>
        <w:rPr>
          <w:i/>
          <w:iCs/>
        </w:rPr>
        <w:t>ṇ</w:t>
      </w:r>
      <w:r>
        <w:rPr>
          <w:i/>
          <w:iCs/>
        </w:rPr>
        <w:t>ā</w:t>
      </w:r>
      <w:r>
        <w:rPr>
          <w:i/>
          <w:iCs/>
        </w:rPr>
        <w:t>ṃ</w:t>
      </w:r>
      <w:r>
        <w:rPr>
          <w:i/>
          <w:iCs/>
        </w:rPr>
        <w:t xml:space="preserve"> vidhi</w:t>
      </w:r>
      <w:r>
        <w:t xml:space="preserve">. </w:t>
      </w:r>
    </w:p>
    <w:p w14:paraId="2E6715E2" w14:textId="77777777" w:rsidR="00E53EB6" w:rsidRDefault="006500F5">
      <w:pPr>
        <w:pStyle w:val="HaupttextohneEinzug"/>
      </w:pPr>
      <w:r>
        <w:t xml:space="preserve">Within the section more similar to KS 23.6, there are indeed four statements, where is worth noticing the  repetition of the verb </w:t>
      </w:r>
      <w:r>
        <w:rPr>
          <w:i/>
          <w:iCs/>
        </w:rPr>
        <w:t>sa</w:t>
      </w:r>
      <w:r>
        <w:rPr>
          <w:i/>
          <w:iCs/>
        </w:rPr>
        <w:t>ṃ</w:t>
      </w:r>
      <w:r>
        <w:rPr>
          <w:i/>
          <w:iCs/>
        </w:rPr>
        <w:t xml:space="preserve"> bhū-,</w:t>
      </w:r>
      <w:r>
        <w:t xml:space="preserve"> </w:t>
      </w:r>
      <w:r>
        <w:rPr>
          <w:i/>
          <w:iCs/>
        </w:rPr>
        <w:t>yajñó vaí devā́nā</w:t>
      </w:r>
      <w:r>
        <w:rPr>
          <w:i/>
          <w:iCs/>
        </w:rPr>
        <w:t>ṃ</w:t>
      </w:r>
      <w:r>
        <w:rPr>
          <w:i/>
          <w:iCs/>
        </w:rPr>
        <w:t xml:space="preserve"> ná sámabhavattá</w:t>
      </w:r>
      <w:r>
        <w:rPr>
          <w:i/>
          <w:iCs/>
        </w:rPr>
        <w:t>ṃ</w:t>
      </w:r>
      <w:r>
        <w:rPr>
          <w:i/>
          <w:iCs/>
        </w:rPr>
        <w:t xml:space="preserve"> bhr̥tyā́ sámabhāvayanyádbhr̥tí</w:t>
      </w:r>
      <w:r>
        <w:rPr>
          <w:i/>
          <w:iCs/>
        </w:rPr>
        <w:t>ṃ</w:t>
      </w:r>
      <w:r>
        <w:rPr>
          <w:i/>
          <w:iCs/>
        </w:rPr>
        <w:t xml:space="preserve"> vanuté yajñásya sá</w:t>
      </w:r>
      <w:r>
        <w:rPr>
          <w:i/>
          <w:iCs/>
        </w:rPr>
        <w:t>ṃ</w:t>
      </w:r>
      <w:r>
        <w:rPr>
          <w:i/>
          <w:iCs/>
        </w:rPr>
        <w:t>bhūtyai</w:t>
      </w:r>
      <w:r>
        <w:t xml:space="preserve">: those </w:t>
      </w:r>
      <w:r>
        <w:t>statements present</w:t>
      </w:r>
      <w:r>
        <w:t xml:space="preserve"> the whole sacrifice as bound in a circular movement between 3 entities, gods, men and the sacrificial substance. We are told that “t</w:t>
      </w:r>
      <w:r>
        <w:rPr>
          <w:color w:val="000000"/>
        </w:rPr>
        <w:t>he sacrifice did not prosper from the gods”, indeed they contribute the support but it is the consecrated</w:t>
      </w:r>
      <w:r>
        <w:rPr>
          <w:color w:val="000000"/>
        </w:rPr>
        <w:t xml:space="preserve"> that through this support “in this way puts together the sacrifice”.</w:t>
      </w:r>
    </w:p>
    <w:p w14:paraId="43BF5C8A" w14:textId="77777777" w:rsidR="00E53EB6" w:rsidRDefault="00E53EB6">
      <w:pPr>
        <w:pStyle w:val="HaupttextohneEinzug"/>
        <w:rPr>
          <w:color w:val="23B8DC"/>
          <w:u w:val="single"/>
        </w:rPr>
      </w:pPr>
    </w:p>
    <w:p w14:paraId="1F4DE104" w14:textId="77777777" w:rsidR="00E53EB6" w:rsidRDefault="006500F5">
      <w:pPr>
        <w:pStyle w:val="Heading5"/>
        <w:tabs>
          <w:tab w:val="left" w:pos="0"/>
        </w:tabs>
      </w:pPr>
      <w:r>
        <w:rPr>
          <w:color w:val="000000"/>
          <w:u w:val="single"/>
        </w:rPr>
        <w:t>MS 4.1.10: 12,16; 13,1-3</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p w14:paraId="09BE29DA" w14:textId="77777777" w:rsidR="00E53EB6" w:rsidRDefault="006500F5">
      <w:pPr>
        <w:pStyle w:val="Zitat"/>
      </w:pPr>
      <w:r>
        <w:t xml:space="preserve">4.1.10 </w:t>
      </w:r>
      <w:r>
        <w:rPr>
          <w:i/>
          <w:iCs/>
        </w:rPr>
        <w:t>óśadhīnāmáhim̐sāyaia vrajá</w:t>
      </w:r>
      <w:r>
        <w:rPr>
          <w:i/>
          <w:iCs/>
        </w:rPr>
        <w:t>ṃ</w:t>
      </w:r>
      <w:r>
        <w:rPr>
          <w:i/>
          <w:iCs/>
        </w:rPr>
        <w:t xml:space="preserve"> gacha gosthā́namíti chándām̐si vaí vrajó gosthā́naśchándām̐syevā́smai vrajá</w:t>
      </w:r>
      <w:r>
        <w:rPr>
          <w:i/>
          <w:iCs/>
        </w:rPr>
        <w:t>ṃ</w:t>
      </w:r>
      <w:r>
        <w:rPr>
          <w:i/>
          <w:iCs/>
        </w:rPr>
        <w:t xml:space="preserve"> gosthā́na</w:t>
      </w:r>
      <w:r>
        <w:rPr>
          <w:i/>
          <w:iCs/>
        </w:rPr>
        <w:t>ṃ</w:t>
      </w:r>
      <w:r>
        <w:rPr>
          <w:i/>
          <w:iCs/>
        </w:rPr>
        <w:t xml:space="preserve"> karoti vár</w:t>
      </w:r>
      <w:r>
        <w:rPr>
          <w:i/>
          <w:iCs/>
        </w:rPr>
        <w:t>ṣ</w:t>
      </w:r>
      <w:r>
        <w:rPr>
          <w:i/>
          <w:iCs/>
        </w:rPr>
        <w:t>atu te  parjányāde</w:t>
      </w:r>
      <w:r>
        <w:rPr>
          <w:i/>
          <w:iCs/>
        </w:rPr>
        <w:t>vá vŕ̥</w:t>
      </w:r>
      <w:r>
        <w:rPr>
          <w:i/>
          <w:iCs/>
        </w:rPr>
        <w:t>ṣṭ</w:t>
      </w:r>
      <w:r>
        <w:rPr>
          <w:i/>
          <w:iCs/>
        </w:rPr>
        <w:t>im̐ vanute badhāná deva savita</w:t>
      </w:r>
      <w:r>
        <w:rPr>
          <w:i/>
          <w:iCs/>
        </w:rPr>
        <w:t>ḥ</w:t>
      </w:r>
      <w:r>
        <w:rPr>
          <w:i/>
          <w:iCs/>
        </w:rPr>
        <w:t xml:space="preserve"> śaténa pā́śai</w:t>
      </w:r>
      <w:r>
        <w:rPr>
          <w:i/>
          <w:iCs/>
        </w:rPr>
        <w:t>ḥ</w:t>
      </w:r>
      <w:r>
        <w:rPr>
          <w:i/>
          <w:iCs/>
        </w:rPr>
        <w:t xml:space="preserve"> paramásyā</w:t>
      </w:r>
      <w:r>
        <w:rPr>
          <w:i/>
          <w:iCs/>
        </w:rPr>
        <w:t>ṃ</w:t>
      </w:r>
      <w:r>
        <w:rPr>
          <w:i/>
          <w:iCs/>
        </w:rPr>
        <w:t xml:space="preserve"> parāvátī́ti.</w:t>
      </w:r>
    </w:p>
    <w:p w14:paraId="5F584A0A" w14:textId="77777777" w:rsidR="00E53EB6" w:rsidRDefault="006500F5">
      <w:pPr>
        <w:pStyle w:val="Zitat"/>
      </w:pPr>
      <w:r>
        <w:t>‘For the safeness</w:t>
      </w:r>
      <w:r>
        <w:rPr>
          <w:rStyle w:val="FootnoteAnchor"/>
        </w:rPr>
        <w:footnoteReference w:id="218"/>
      </w:r>
      <w:r>
        <w:t xml:space="preserve"> of herbs go into a fold serving as abode for cows’ he says, the metres are indeed a fold serving as abode for cows; he makes for him the metres exactly a fol</w:t>
      </w:r>
      <w:r>
        <w:t xml:space="preserve">d serving as abode for cows; ‘may it rain for you through Parjanya, o god, he </w:t>
      </w:r>
      <w:r>
        <w:rPr>
          <w:u w:val="single"/>
        </w:rPr>
        <w:t>appropriates</w:t>
      </w:r>
      <w:r>
        <w:t xml:space="preserve"> the rain for himself, bind</w:t>
      </w:r>
      <w:r>
        <w:rPr>
          <w:rStyle w:val="FootnoteAnchor"/>
        </w:rPr>
        <w:footnoteReference w:id="219"/>
      </w:r>
      <w:r>
        <w:t>, o god Savitr̥, with a hundred of chains in the remotest distance’.</w:t>
      </w:r>
    </w:p>
    <w:p w14:paraId="591D442A" w14:textId="77777777" w:rsidR="00E53EB6" w:rsidRDefault="006500F5">
      <w:pPr>
        <w:pStyle w:val="Zitat"/>
        <w:rPr>
          <w:i/>
          <w:iCs/>
        </w:rPr>
      </w:pPr>
      <w:r>
        <w:rPr>
          <w:i/>
          <w:iCs/>
        </w:rPr>
        <w:t>vanute:</w:t>
      </w:r>
      <w:r>
        <w:t xml:space="preserve"> ind. pres. 3</w:t>
      </w:r>
      <w:r>
        <w:rPr>
          <w:vertAlign w:val="superscript"/>
        </w:rPr>
        <w:t>rd</w:t>
      </w:r>
      <w:r>
        <w:t xml:space="preserve"> sing. Ā VIII cl.</w:t>
      </w:r>
    </w:p>
    <w:p w14:paraId="52CCD3A0" w14:textId="77777777" w:rsidR="00E53EB6" w:rsidRDefault="006500F5">
      <w:pPr>
        <w:pStyle w:val="HaupttextnachZitat"/>
      </w:pPr>
      <w:r>
        <w:t>Vedic Web</w:t>
      </w:r>
    </w:p>
    <w:p w14:paraId="16DF8F33" w14:textId="77777777" w:rsidR="00E53EB6" w:rsidRDefault="006500F5">
      <w:pPr>
        <w:pStyle w:val="HaupttextohneEinzug"/>
      </w:pPr>
      <w:r>
        <w:t xml:space="preserve">Mantra and </w:t>
      </w:r>
      <w:r>
        <w:t>Prose</w:t>
      </w:r>
      <w:r>
        <w:t>: cf. MS 1.1.10; KS 31.8; TB 3.2.9.</w:t>
      </w:r>
    </w:p>
    <w:p w14:paraId="1985447D" w14:textId="77777777" w:rsidR="00E53EB6" w:rsidRDefault="00E53EB6">
      <w:pPr>
        <w:pStyle w:val="HaupttextohneEinzug"/>
      </w:pPr>
    </w:p>
    <w:p w14:paraId="28A1224A" w14:textId="77777777" w:rsidR="00E53EB6" w:rsidRDefault="006500F5">
      <w:pPr>
        <w:pStyle w:val="HaupttextohneEinzug"/>
      </w:pPr>
      <w:r>
        <w:t>Rite</w:t>
      </w:r>
    </w:p>
    <w:p w14:paraId="48AD312C" w14:textId="77777777" w:rsidR="00E53EB6" w:rsidRDefault="006500F5">
      <w:pPr>
        <w:pStyle w:val="HaupttextohneEinzug"/>
      </w:pPr>
      <w:r>
        <w:t xml:space="preserve">In the </w:t>
      </w:r>
      <w:r>
        <w:t>Darśapur</w:t>
      </w:r>
      <w:r>
        <w:t>ṇ</w:t>
      </w:r>
      <w:r>
        <w:t>amāse</w:t>
      </w:r>
      <w:r>
        <w:t>ṣṭ</w:t>
      </w:r>
      <w:r>
        <w:t xml:space="preserve">ī, the </w:t>
      </w:r>
      <w:r>
        <w:t>Puro</w:t>
      </w:r>
      <w:r>
        <w:t>ḍ</w:t>
      </w:r>
      <w:r>
        <w:t xml:space="preserve">āśīya. </w:t>
      </w:r>
    </w:p>
    <w:p w14:paraId="374438FB" w14:textId="77777777" w:rsidR="00E53EB6" w:rsidRDefault="006500F5">
      <w:pPr>
        <w:pStyle w:val="HaupttextohneEinzug"/>
      </w:pPr>
      <w:r>
        <w:t xml:space="preserve"> </w:t>
      </w:r>
    </w:p>
    <w:p w14:paraId="4F4AC069" w14:textId="77777777" w:rsidR="00E53EB6" w:rsidRDefault="006500F5">
      <w:pPr>
        <w:pStyle w:val="Heading5"/>
        <w:tabs>
          <w:tab w:val="left" w:pos="0"/>
        </w:tabs>
      </w:pPr>
      <w:r>
        <w:rPr>
          <w:u w:val="single"/>
        </w:rPr>
        <w:lastRenderedPageBreak/>
        <w:t>MS 4.1.14: 19,18-19; 20,1-3</w:t>
      </w:r>
      <w:r>
        <w:rPr>
          <w:u w:val="single"/>
        </w:rPr>
        <w:tab/>
      </w:r>
      <w:r>
        <w:tab/>
      </w:r>
      <w:r>
        <w:tab/>
      </w:r>
      <w:r>
        <w:tab/>
      </w:r>
      <w:r>
        <w:tab/>
      </w:r>
      <w:r>
        <w:tab/>
      </w:r>
    </w:p>
    <w:p w14:paraId="01C46413" w14:textId="77777777" w:rsidR="00E53EB6" w:rsidRDefault="006500F5">
      <w:pPr>
        <w:pStyle w:val="Zitat"/>
      </w:pPr>
      <w:r>
        <w:t xml:space="preserve">4.1.14 </w:t>
      </w:r>
      <w:r>
        <w:rPr>
          <w:i/>
          <w:iCs/>
        </w:rPr>
        <w:t>marúto vaí vŕ̥</w:t>
      </w:r>
      <w:r>
        <w:rPr>
          <w:i/>
          <w:iCs/>
        </w:rPr>
        <w:t>ṣṭ</w:t>
      </w:r>
      <w:r>
        <w:rPr>
          <w:i/>
          <w:iCs/>
        </w:rPr>
        <w:t>yā ī</w:t>
      </w:r>
      <w:r>
        <w:rPr>
          <w:i/>
          <w:iCs/>
        </w:rPr>
        <w:t>ṣ</w:t>
      </w:r>
      <w:r>
        <w:rPr>
          <w:i/>
          <w:iCs/>
        </w:rPr>
        <w:t>ate te ‘smai vŕ̥</w:t>
      </w:r>
      <w:r>
        <w:rPr>
          <w:i/>
          <w:iCs/>
        </w:rPr>
        <w:t>ṣṭ</w:t>
      </w:r>
      <w:r>
        <w:rPr>
          <w:i/>
          <w:iCs/>
        </w:rPr>
        <w:t>i</w:t>
      </w:r>
      <w:r>
        <w:rPr>
          <w:i/>
          <w:iCs/>
        </w:rPr>
        <w:t>ṃ</w:t>
      </w:r>
      <w:r>
        <w:rPr>
          <w:i/>
          <w:iCs/>
        </w:rPr>
        <w:t xml:space="preserve"> nínayanti  táto no vr̥</w:t>
      </w:r>
      <w:r>
        <w:rPr>
          <w:i/>
          <w:iCs/>
        </w:rPr>
        <w:t>ṣṭ</w:t>
      </w:r>
      <w:r>
        <w:rPr>
          <w:i/>
          <w:iCs/>
        </w:rPr>
        <w:t>yā́vatéti marúdbhya evá vŕ̥</w:t>
      </w:r>
      <w:r>
        <w:rPr>
          <w:i/>
          <w:iCs/>
        </w:rPr>
        <w:t>ṣ</w:t>
      </w:r>
      <w:r>
        <w:rPr>
          <w:i/>
          <w:iCs/>
        </w:rPr>
        <w:t>r̥i</w:t>
      </w:r>
      <w:r>
        <w:rPr>
          <w:i/>
          <w:iCs/>
        </w:rPr>
        <w:t>ṃ</w:t>
      </w:r>
      <w:r>
        <w:rPr>
          <w:i/>
          <w:iCs/>
        </w:rPr>
        <w:t xml:space="preserve"> </w:t>
      </w:r>
      <w:r>
        <w:rPr>
          <w:i/>
          <w:iCs/>
        </w:rPr>
        <w:t>vanute cak</w:t>
      </w:r>
      <w:r>
        <w:rPr>
          <w:i/>
          <w:iCs/>
        </w:rPr>
        <w:t>ṣ</w:t>
      </w:r>
      <w:r>
        <w:rPr>
          <w:i/>
          <w:iCs/>
        </w:rPr>
        <w:t>u</w:t>
      </w:r>
      <w:r>
        <w:rPr>
          <w:i/>
          <w:iCs/>
        </w:rPr>
        <w:t>ṣ</w:t>
      </w:r>
      <w:r>
        <w:rPr>
          <w:i/>
          <w:iCs/>
        </w:rPr>
        <w:t>pā́ agne ‘si cák</w:t>
      </w:r>
      <w:r>
        <w:rPr>
          <w:i/>
          <w:iCs/>
        </w:rPr>
        <w:t>ṣ</w:t>
      </w:r>
      <w:r>
        <w:rPr>
          <w:i/>
          <w:iCs/>
        </w:rPr>
        <w:t>urme pāhóti cák</w:t>
      </w:r>
      <w:r>
        <w:rPr>
          <w:i/>
          <w:iCs/>
        </w:rPr>
        <w:t>ṣ</w:t>
      </w:r>
      <w:r>
        <w:rPr>
          <w:i/>
          <w:iCs/>
        </w:rPr>
        <w:t>urevā́sya pāti //</w:t>
      </w:r>
    </w:p>
    <w:p w14:paraId="663FDDE7" w14:textId="77777777" w:rsidR="00E53EB6" w:rsidRDefault="006500F5">
      <w:pPr>
        <w:pStyle w:val="Zitat"/>
      </w:pPr>
      <w:r>
        <w:t xml:space="preserve">Marut indeed are master through the rain, they lead the rain to this one, from that ‘favour us with rain’ he says, from the Marut he </w:t>
      </w:r>
      <w:r>
        <w:rPr>
          <w:u w:val="single"/>
        </w:rPr>
        <w:t>appropriates for himself</w:t>
      </w:r>
      <w:r>
        <w:t xml:space="preserve"> the rain, indeed; ‘o Agni, you are</w:t>
      </w:r>
      <w:r>
        <w:t xml:space="preserve"> the protecting of the eyesight, protect my eyes’ he says, he protects indeed the eyes of this one.</w:t>
      </w:r>
    </w:p>
    <w:p w14:paraId="3B30DF2E" w14:textId="77777777" w:rsidR="00E53EB6" w:rsidRDefault="006500F5">
      <w:pPr>
        <w:pStyle w:val="Zitat"/>
        <w:rPr>
          <w:i/>
          <w:iCs/>
        </w:rPr>
      </w:pPr>
      <w:r>
        <w:rPr>
          <w:i/>
          <w:iCs/>
        </w:rPr>
        <w:t>vanute:</w:t>
      </w:r>
      <w:r>
        <w:t xml:space="preserve"> ind. pres. 3</w:t>
      </w:r>
      <w:r>
        <w:rPr>
          <w:vertAlign w:val="superscript"/>
        </w:rPr>
        <w:t>rd</w:t>
      </w:r>
      <w:r>
        <w:t xml:space="preserve"> sing. Ā VIII cl.</w:t>
      </w:r>
    </w:p>
    <w:p w14:paraId="5CEEC6A5" w14:textId="77777777" w:rsidR="00E53EB6" w:rsidRDefault="006500F5">
      <w:pPr>
        <w:pStyle w:val="HaupttextnachZitat"/>
      </w:pPr>
      <w:r>
        <w:t>Vedic Web</w:t>
      </w:r>
    </w:p>
    <w:p w14:paraId="4F47871A" w14:textId="77777777" w:rsidR="00E53EB6" w:rsidRDefault="006500F5">
      <w:pPr>
        <w:pStyle w:val="HaupttextohneEinzug"/>
      </w:pPr>
      <w:r>
        <w:t>Mantra and Prose: cf. MS 1.1.13; KS 31.11.</w:t>
      </w:r>
    </w:p>
    <w:p w14:paraId="0616BE26" w14:textId="77777777" w:rsidR="00E53EB6" w:rsidRDefault="00E53EB6">
      <w:pPr>
        <w:pStyle w:val="HaupttextohneEinzug"/>
      </w:pPr>
    </w:p>
    <w:p w14:paraId="31897925" w14:textId="77777777" w:rsidR="00E53EB6" w:rsidRDefault="006500F5">
      <w:pPr>
        <w:pStyle w:val="HaupttextohneEinzug"/>
      </w:pPr>
      <w:r>
        <w:t>Rite</w:t>
      </w:r>
    </w:p>
    <w:p w14:paraId="01F942E8" w14:textId="77777777" w:rsidR="00E53EB6" w:rsidRDefault="006500F5">
      <w:pPr>
        <w:pStyle w:val="HaupttextohneEinzug"/>
      </w:pPr>
      <w:r>
        <w:t xml:space="preserve">In the </w:t>
      </w:r>
      <w:r>
        <w:t>Darśapur</w:t>
      </w:r>
      <w:r>
        <w:t>ṇ</w:t>
      </w:r>
      <w:r>
        <w:t>amāse</w:t>
      </w:r>
      <w:r>
        <w:t>ṣṭ</w:t>
      </w:r>
      <w:r>
        <w:t xml:space="preserve">ī, the </w:t>
      </w:r>
      <w:r>
        <w:t>Puro</w:t>
      </w:r>
      <w:r>
        <w:t>ḍ</w:t>
      </w:r>
      <w:r>
        <w:t xml:space="preserve">āśīya. </w:t>
      </w:r>
    </w:p>
    <w:p w14:paraId="5288762D" w14:textId="77777777" w:rsidR="00E53EB6" w:rsidRDefault="00E53EB6">
      <w:pPr>
        <w:pStyle w:val="HaupttextohneEinzug"/>
      </w:pPr>
    </w:p>
    <w:p w14:paraId="582A8985" w14:textId="77777777" w:rsidR="00E53EB6" w:rsidRDefault="006500F5">
      <w:pPr>
        <w:pStyle w:val="Heading5"/>
        <w:tabs>
          <w:tab w:val="left" w:pos="0"/>
        </w:tabs>
      </w:pPr>
      <w:r>
        <w:rPr>
          <w:u w:val="single"/>
        </w:rPr>
        <w:t>MS 4.4.2: 51,</w:t>
      </w:r>
      <w:r>
        <w:rPr>
          <w:u w:val="single"/>
        </w:rPr>
        <w:t>8-10</w:t>
      </w:r>
      <w:r>
        <w:tab/>
      </w:r>
      <w:r>
        <w:tab/>
      </w:r>
      <w:r>
        <w:tab/>
      </w:r>
      <w:r>
        <w:tab/>
      </w:r>
      <w:r>
        <w:tab/>
      </w:r>
      <w:r>
        <w:tab/>
      </w:r>
      <w:r>
        <w:tab/>
      </w:r>
      <w:r>
        <w:tab/>
      </w:r>
      <w:r>
        <w:tab/>
      </w:r>
    </w:p>
    <w:p w14:paraId="72EA96BE" w14:textId="77777777" w:rsidR="00E53EB6" w:rsidRDefault="006500F5">
      <w:pPr>
        <w:pStyle w:val="Zitat"/>
      </w:pPr>
      <w:r>
        <w:t xml:space="preserve">4.4.2 </w:t>
      </w:r>
      <w:r>
        <w:rPr>
          <w:rFonts w:cs="Sabon Unicode"/>
          <w:i/>
        </w:rPr>
        <w:t>dévīrāpo mádhumatī</w:t>
      </w:r>
      <w:r>
        <w:rPr>
          <w:rFonts w:cs="Sabon Unicode"/>
          <w:i/>
        </w:rPr>
        <w:t>ḥ</w:t>
      </w:r>
      <w:r>
        <w:rPr>
          <w:rFonts w:cs="Sabon Unicode"/>
          <w:i/>
        </w:rPr>
        <w:t xml:space="preserve"> sá</w:t>
      </w:r>
      <w:r>
        <w:rPr>
          <w:rFonts w:cs="Sabon Unicode"/>
          <w:i/>
        </w:rPr>
        <w:t>ṃ</w:t>
      </w:r>
      <w:r>
        <w:rPr>
          <w:rFonts w:cs="Sabon Unicode"/>
          <w:i/>
        </w:rPr>
        <w:t>sr̥jyadhvam máhi k</w:t>
      </w:r>
      <w:r>
        <w:rPr>
          <w:rFonts w:cs="Sabon Unicode"/>
          <w:i/>
        </w:rPr>
        <w:t>ṣ</w:t>
      </w:r>
      <w:r>
        <w:rPr>
          <w:rFonts w:cs="Sabon Unicode"/>
          <w:i/>
        </w:rPr>
        <w:t>atrám k</w:t>
      </w:r>
      <w:r>
        <w:rPr>
          <w:rFonts w:cs="Sabon Unicode"/>
          <w:i/>
        </w:rPr>
        <w:t>ṣ</w:t>
      </w:r>
      <w:r>
        <w:rPr>
          <w:rFonts w:cs="Sabon Unicode"/>
          <w:i/>
        </w:rPr>
        <w:t>atríyāya vanvānā́ ítyetā́ hí k</w:t>
      </w:r>
      <w:r>
        <w:rPr>
          <w:rFonts w:cs="Sabon Unicode"/>
          <w:i/>
        </w:rPr>
        <w:t>ṣ</w:t>
      </w:r>
      <w:r>
        <w:rPr>
          <w:rFonts w:cs="Sabon Unicode"/>
          <w:i/>
        </w:rPr>
        <w:t>atrāsya vantrī́ránādhr̥</w:t>
      </w:r>
      <w:r>
        <w:rPr>
          <w:rFonts w:cs="Sabon Unicode"/>
          <w:i/>
        </w:rPr>
        <w:t>ṣṭ</w:t>
      </w:r>
      <w:r>
        <w:rPr>
          <w:rFonts w:cs="Sabon Unicode"/>
          <w:i/>
        </w:rPr>
        <w:t>ā</w:t>
      </w:r>
      <w:r>
        <w:rPr>
          <w:rFonts w:cs="Sabon Unicode"/>
          <w:i/>
        </w:rPr>
        <w:t>ḥ</w:t>
      </w:r>
      <w:r>
        <w:rPr>
          <w:rFonts w:cs="Sabon Unicode"/>
          <w:i/>
        </w:rPr>
        <w:t xml:space="preserve"> sīdatórjasvatīrmáhi várca</w:t>
      </w:r>
      <w:r>
        <w:rPr>
          <w:rFonts w:cs="Sabon Unicode"/>
          <w:i/>
        </w:rPr>
        <w:t>ḥ</w:t>
      </w:r>
      <w:r>
        <w:rPr>
          <w:rFonts w:cs="Sabon Unicode"/>
          <w:i/>
        </w:rPr>
        <w:t xml:space="preserve"> k</w:t>
      </w:r>
      <w:r>
        <w:rPr>
          <w:rFonts w:cs="Sabon Unicode"/>
          <w:i/>
        </w:rPr>
        <w:t>ṣ</w:t>
      </w:r>
      <w:r>
        <w:rPr>
          <w:rFonts w:cs="Sabon Unicode"/>
          <w:i/>
        </w:rPr>
        <w:t>atríyāya dádhatīrityetā́ hí k</w:t>
      </w:r>
      <w:r>
        <w:rPr>
          <w:rFonts w:cs="Sabon Unicode"/>
          <w:i/>
        </w:rPr>
        <w:t>ṣ</w:t>
      </w:r>
      <w:r>
        <w:rPr>
          <w:rFonts w:cs="Sabon Unicode"/>
          <w:i/>
        </w:rPr>
        <w:t>atrásya dhā́trī</w:t>
      </w:r>
      <w:r>
        <w:rPr>
          <w:rFonts w:cs="Sabon Unicode"/>
          <w:i/>
        </w:rPr>
        <w:t>ḥ</w:t>
      </w:r>
      <w:r>
        <w:rPr>
          <w:rFonts w:cs="Sabon Unicode"/>
          <w:i/>
        </w:rPr>
        <w:t xml:space="preserve"> //</w:t>
      </w:r>
    </w:p>
    <w:p w14:paraId="2CA5F8A7" w14:textId="77777777" w:rsidR="00E53EB6" w:rsidRDefault="006500F5">
      <w:pPr>
        <w:pStyle w:val="Zitat"/>
      </w:pPr>
      <w:r>
        <w:rPr>
          <w:rFonts w:cs="Sabon Unicode"/>
        </w:rPr>
        <w:t xml:space="preserve">‘O divine waters, full of sweet, be mingled, </w:t>
      </w:r>
      <w:r>
        <w:rPr>
          <w:rFonts w:cs="Sabon Unicode"/>
          <w:u w:val="single"/>
        </w:rPr>
        <w:t>app</w:t>
      </w:r>
      <w:r>
        <w:rPr>
          <w:rFonts w:cs="Sabon Unicode"/>
          <w:u w:val="single"/>
        </w:rPr>
        <w:t>ropriating</w:t>
      </w:r>
      <w:r>
        <w:rPr>
          <w:rFonts w:cs="Sabon Unicode"/>
        </w:rPr>
        <w:t xml:space="preserve"> for the king</w:t>
      </w:r>
      <w:r>
        <w:rPr>
          <w:rStyle w:val="FootnoteAnchor"/>
          <w:rFonts w:cs="Devanagari MT;Times New Roman"/>
          <w:lang w:eastAsia="hi-IN"/>
        </w:rPr>
        <w:footnoteReference w:id="220"/>
      </w:r>
      <w:r>
        <w:rPr>
          <w:rFonts w:cs="Sabon Unicode"/>
        </w:rPr>
        <w:t xml:space="preserve"> the great power to rule’ so he says, for they, brilliant</w:t>
      </w:r>
      <w:r>
        <w:rPr>
          <w:rStyle w:val="FootnoteAnchor"/>
          <w:rFonts w:cs="Sabon Unicode"/>
        </w:rPr>
        <w:footnoteReference w:id="221"/>
      </w:r>
      <w:r>
        <w:rPr>
          <w:rFonts w:cs="Sabon Unicode"/>
        </w:rPr>
        <w:t>,</w:t>
      </w:r>
      <w:r>
        <w:rPr>
          <w:rFonts w:cs="Sabon Unicode"/>
        </w:rPr>
        <w:t xml:space="preserve"> are those who </w:t>
      </w:r>
      <w:r>
        <w:rPr>
          <w:rFonts w:cs="Sabon Unicode"/>
          <w:u w:val="single"/>
        </w:rPr>
        <w:t>appropriate</w:t>
      </w:r>
      <w:r>
        <w:rPr>
          <w:rFonts w:cs="Sabon Unicode"/>
        </w:rPr>
        <w:t xml:space="preserve"> the power to rule ‘sit untouched, possessing the vital energy</w:t>
      </w:r>
      <w:r>
        <w:rPr>
          <w:rStyle w:val="FootnoteAnchor"/>
          <w:rFonts w:cs="Devanagari MT;Times New Roman"/>
          <w:lang w:eastAsia="hi-IN"/>
        </w:rPr>
        <w:footnoteReference w:id="222"/>
      </w:r>
      <w:r>
        <w:rPr>
          <w:rFonts w:cs="Sabon Unicode"/>
        </w:rPr>
        <w:t>, putting the splendour</w:t>
      </w:r>
      <w:r>
        <w:rPr>
          <w:rStyle w:val="FootnoteAnchor"/>
          <w:rFonts w:cs="Devanagari MT;Times New Roman"/>
          <w:lang w:eastAsia="hi-IN"/>
        </w:rPr>
        <w:footnoteReference w:id="223"/>
      </w:r>
      <w:r>
        <w:rPr>
          <w:rFonts w:cs="Sabon Unicode"/>
        </w:rPr>
        <w:t xml:space="preserve"> into the king’ so he says, for they are those who put the power to rule.</w:t>
      </w:r>
    </w:p>
    <w:p w14:paraId="7640DB6F" w14:textId="77777777" w:rsidR="00E53EB6" w:rsidRDefault="006500F5">
      <w:pPr>
        <w:pStyle w:val="Zitat"/>
        <w:rPr>
          <w:rFonts w:cs="Sabon Unicode"/>
        </w:rPr>
      </w:pPr>
      <w:r>
        <w:rPr>
          <w:rFonts w:cs="Sabon Unicode"/>
          <w:i/>
        </w:rPr>
        <w:t>vantrī́</w:t>
      </w:r>
      <w:r>
        <w:rPr>
          <w:rFonts w:cs="Sabon Unicode"/>
          <w:i/>
        </w:rPr>
        <w:t>ḥ</w:t>
      </w:r>
      <w:r>
        <w:rPr>
          <w:rFonts w:cs="Sabon Unicode"/>
          <w:i/>
        </w:rPr>
        <w:t xml:space="preserve">: </w:t>
      </w:r>
      <w:r>
        <w:rPr>
          <w:rFonts w:cs="Sabon Unicode"/>
        </w:rPr>
        <w:t xml:space="preserve">nom. f. pl. from </w:t>
      </w:r>
      <w:r>
        <w:rPr>
          <w:rFonts w:cs="Sabon Unicode"/>
          <w:i/>
        </w:rPr>
        <w:t xml:space="preserve">vantr̥, nomen agentis </w:t>
      </w:r>
      <w:r>
        <w:rPr>
          <w:rFonts w:cs="Sabon Unicode"/>
        </w:rPr>
        <w:t xml:space="preserve">(rare in RV, only two occurrences with </w:t>
      </w:r>
      <w:r>
        <w:rPr>
          <w:rFonts w:cs="Sabon Unicode"/>
          <w:i/>
        </w:rPr>
        <w:t>raya</w:t>
      </w:r>
      <w:r>
        <w:rPr>
          <w:rFonts w:cs="Sabon Unicode"/>
          <w:i/>
        </w:rPr>
        <w:t>ḥ</w:t>
      </w:r>
      <w:r>
        <w:rPr>
          <w:rFonts w:cs="Sabon Unicode"/>
        </w:rPr>
        <w:t>)</w:t>
      </w:r>
    </w:p>
    <w:p w14:paraId="312F1714" w14:textId="77777777" w:rsidR="00E53EB6" w:rsidRDefault="006500F5">
      <w:pPr>
        <w:pStyle w:val="Zitat"/>
        <w:rPr>
          <w:rFonts w:cs="Sabon Unicode"/>
        </w:rPr>
      </w:pPr>
      <w:r>
        <w:rPr>
          <w:rFonts w:cs="Sabon Unicode"/>
          <w:i/>
        </w:rPr>
        <w:t>vanvānā</w:t>
      </w:r>
      <w:r>
        <w:rPr>
          <w:rFonts w:cs="Sabon Unicode"/>
          <w:i/>
        </w:rPr>
        <w:t>ḥ</w:t>
      </w:r>
      <w:r>
        <w:rPr>
          <w:rFonts w:cs="Sabon Unicode"/>
          <w:i/>
        </w:rPr>
        <w:t xml:space="preserve">: </w:t>
      </w:r>
      <w:r>
        <w:rPr>
          <w:rFonts w:cs="Sabon Unicode"/>
        </w:rPr>
        <w:t>part. pres. nom. fem. pl. Ā VIII cl.</w:t>
      </w:r>
    </w:p>
    <w:p w14:paraId="76952784" w14:textId="77777777" w:rsidR="00E53EB6" w:rsidRDefault="006500F5">
      <w:pPr>
        <w:pStyle w:val="HaupttextnachZitat"/>
        <w:numPr>
          <w:ilvl w:val="2"/>
          <w:numId w:val="2"/>
        </w:numPr>
        <w:tabs>
          <w:tab w:val="left" w:pos="0"/>
        </w:tabs>
      </w:pPr>
      <w:r>
        <w:t>Vedic Web</w:t>
      </w:r>
    </w:p>
    <w:p w14:paraId="5319D735" w14:textId="77777777" w:rsidR="00E53EB6" w:rsidRDefault="006500F5">
      <w:pPr>
        <w:pStyle w:val="HaupttextohneEinzug"/>
        <w:rPr>
          <w:rFonts w:cs="Sabon Unicode"/>
        </w:rPr>
      </w:pPr>
      <w:r>
        <w:rPr>
          <w:rFonts w:cs="Sabon Unicode"/>
        </w:rPr>
        <w:t>Mantra: TS 1.8.12.1a-b; MS 2.6</w:t>
      </w:r>
      <w:r>
        <w:rPr>
          <w:rFonts w:cs="Sabon Unicode"/>
        </w:rPr>
        <w:t xml:space="preserve">.8: </w:t>
      </w:r>
      <w:r>
        <w:rPr>
          <w:rFonts w:eastAsia="MS Mincho;ＭＳ 明朝" w:cs="Times Ext Roman"/>
          <w:sz w:val="22"/>
          <w:szCs w:val="22"/>
          <w:lang w:eastAsia="hi-IN" w:bidi="en-GB"/>
        </w:rPr>
        <w:t>68,6-8</w:t>
      </w:r>
      <w:r>
        <w:rPr>
          <w:rFonts w:cs="Sabon Unicode"/>
        </w:rPr>
        <w:t>;</w:t>
      </w:r>
      <w:r>
        <w:rPr>
          <w:rFonts w:cs="Sabon Unicode"/>
        </w:rPr>
        <w:t xml:space="preserve"> KS 15.6: 213,9-10; VS 10.4; ŚB 5.3.4.27.</w:t>
      </w:r>
    </w:p>
    <w:p w14:paraId="2161E798" w14:textId="77777777" w:rsidR="00E53EB6" w:rsidRDefault="006500F5">
      <w:pPr>
        <w:pStyle w:val="HaupttextohneEinzug"/>
        <w:rPr>
          <w:rFonts w:cs="Sabon Unicode"/>
        </w:rPr>
      </w:pPr>
      <w:r>
        <w:rPr>
          <w:rFonts w:cs="Sabon Unicode"/>
        </w:rPr>
        <w:t xml:space="preserve">Mantra and </w:t>
      </w:r>
      <w:r>
        <w:rPr>
          <w:rFonts w:cs="Sabon Unicode"/>
        </w:rPr>
        <w:t>Prose</w:t>
      </w:r>
      <w:r>
        <w:rPr>
          <w:rFonts w:cs="Sabon Unicode"/>
        </w:rPr>
        <w:t>: ŚB 5.3.4.27.</w:t>
      </w:r>
    </w:p>
    <w:p w14:paraId="43FE75CE" w14:textId="77777777" w:rsidR="00E53EB6" w:rsidRDefault="006500F5">
      <w:pPr>
        <w:pStyle w:val="HaupttextohneEinzug"/>
        <w:rPr>
          <w:rFonts w:cs="Sabon Unicode"/>
        </w:rPr>
      </w:pPr>
      <w:r>
        <w:rPr>
          <w:rFonts w:cs="Sabon Unicode"/>
        </w:rPr>
        <w:t>Prose: ŚB 5.16-37; 4.1.15.</w:t>
      </w:r>
    </w:p>
    <w:p w14:paraId="13FA3389" w14:textId="77777777" w:rsidR="00E53EB6" w:rsidRDefault="00E53EB6">
      <w:pPr>
        <w:pStyle w:val="HaupttextohneEinzug"/>
      </w:pPr>
    </w:p>
    <w:p w14:paraId="0097BE21" w14:textId="77777777" w:rsidR="00E53EB6" w:rsidRDefault="006500F5">
      <w:pPr>
        <w:pStyle w:val="HaupttextohneEinzug"/>
      </w:pPr>
      <w:r>
        <w:t>Rite</w:t>
      </w:r>
    </w:p>
    <w:p w14:paraId="5865A3AC" w14:textId="77777777" w:rsidR="00E53EB6" w:rsidRDefault="006500F5">
      <w:pPr>
        <w:pStyle w:val="HaupttextohneEinzug"/>
      </w:pPr>
      <w:r>
        <w:t>The other occurrences of this formula are connected with:</w:t>
      </w:r>
    </w:p>
    <w:p w14:paraId="4E44D35A" w14:textId="77777777" w:rsidR="00E53EB6" w:rsidRDefault="006500F5">
      <w:pPr>
        <w:pStyle w:val="HaupttextohneEinzug"/>
      </w:pPr>
      <w:r>
        <w:t>Rājasūya, the Abhi</w:t>
      </w:r>
      <w:r>
        <w:t>ṣ</w:t>
      </w:r>
      <w:r>
        <w:t xml:space="preserve">eka –the unction of the king during his </w:t>
      </w:r>
      <w:r>
        <w:t>consecration. This section deals with the preparation of the waters.</w:t>
      </w:r>
    </w:p>
    <w:p w14:paraId="416D0F25" w14:textId="77777777" w:rsidR="00E53EB6" w:rsidRDefault="006500F5">
      <w:pPr>
        <w:pStyle w:val="HaupttextohneEinzug"/>
      </w:pPr>
      <w:r>
        <w:t xml:space="preserve">Waters from diverse sources are poured together into a single vessel.  The </w:t>
      </w:r>
      <w:r>
        <w:rPr>
          <w:i/>
          <w:iCs/>
        </w:rPr>
        <w:t>mantra</w:t>
      </w:r>
      <w:r>
        <w:t xml:space="preserve"> credits the waters with winning for the anointed on the power to rule –</w:t>
      </w:r>
      <w:r>
        <w:rPr>
          <w:i/>
          <w:iCs/>
        </w:rPr>
        <w:t>varcás</w:t>
      </w:r>
      <w:r>
        <w:t xml:space="preserve"> “splendour”, cf. </w:t>
      </w:r>
      <w:r>
        <w:rPr>
          <w:rStyle w:val="biblio-authorGEN"/>
        </w:rPr>
        <w:t>Proferes</w:t>
      </w:r>
      <w:r>
        <w:t xml:space="preserve"> 2</w:t>
      </w:r>
      <w:r>
        <w:t xml:space="preserve">007 p. 80ff; </w:t>
      </w:r>
      <w:r>
        <w:rPr>
          <w:rStyle w:val="biblio-authorGEN"/>
        </w:rPr>
        <w:t>Heesterman</w:t>
      </w:r>
      <w:r>
        <w:t xml:space="preserve"> 1975 p.74-70 and 114-22; see also </w:t>
      </w:r>
      <w:r>
        <w:rPr>
          <w:rStyle w:val="biblio-authorGEN"/>
        </w:rPr>
        <w:t>Tsuchiyama</w:t>
      </w:r>
      <w:r>
        <w:t xml:space="preserve"> 2005 for the Abhi</w:t>
      </w:r>
      <w:r>
        <w:t>ṣ</w:t>
      </w:r>
      <w:r>
        <w:t xml:space="preserve">eka in general and his post-Vedic development. </w:t>
      </w:r>
    </w:p>
    <w:p w14:paraId="0FEAC40E" w14:textId="77777777" w:rsidR="00E53EB6" w:rsidRDefault="006500F5">
      <w:pPr>
        <w:pStyle w:val="HaupttextohneEinzug"/>
      </w:pPr>
      <w:r>
        <w:t>The collection and mixing of the waters.</w:t>
      </w:r>
    </w:p>
    <w:p w14:paraId="3C6FF6BF" w14:textId="77777777" w:rsidR="00E53EB6" w:rsidRDefault="00E53EB6">
      <w:pPr>
        <w:pStyle w:val="HaupttextohneEinzug"/>
        <w:rPr>
          <w:color w:val="008000"/>
        </w:rPr>
      </w:pPr>
    </w:p>
    <w:p w14:paraId="2E59D6ED" w14:textId="77777777" w:rsidR="00E53EB6" w:rsidRDefault="006500F5">
      <w:pPr>
        <w:pStyle w:val="Heading5"/>
        <w:tabs>
          <w:tab w:val="left" w:pos="0"/>
        </w:tabs>
      </w:pPr>
      <w:r>
        <w:rPr>
          <w:u w:val="single"/>
        </w:rPr>
        <w:lastRenderedPageBreak/>
        <w:t>MS 4.13.9: 212,10-13</w:t>
      </w:r>
      <w:r>
        <w:rPr>
          <w:u w:val="single"/>
        </w:rPr>
        <w:tab/>
      </w:r>
      <w:r>
        <w:tab/>
      </w:r>
      <w:r>
        <w:tab/>
      </w:r>
      <w:r>
        <w:tab/>
      </w:r>
      <w:r>
        <w:tab/>
      </w:r>
      <w:r>
        <w:tab/>
      </w:r>
      <w:r>
        <w:tab/>
      </w:r>
      <w:r>
        <w:tab/>
      </w:r>
      <w:r>
        <w:tab/>
      </w:r>
    </w:p>
    <w:p w14:paraId="47971E42" w14:textId="77777777" w:rsidR="00E53EB6" w:rsidRDefault="006500F5">
      <w:pPr>
        <w:pStyle w:val="Zitat"/>
        <w:rPr>
          <w:i/>
          <w:iCs/>
        </w:rPr>
      </w:pPr>
      <w:r>
        <w:t>4.13.9</w:t>
      </w:r>
      <w:r>
        <w:rPr>
          <w:i/>
          <w:iCs/>
        </w:rPr>
        <w:t xml:space="preserve"> víśva</w:t>
      </w:r>
      <w:r>
        <w:rPr>
          <w:i/>
          <w:iCs/>
        </w:rPr>
        <w:t>ṃ</w:t>
      </w:r>
      <w:r>
        <w:rPr>
          <w:i/>
          <w:iCs/>
        </w:rPr>
        <w:t xml:space="preserve"> priyám ā́śāste / yád anéna haví</w:t>
      </w:r>
      <w:r>
        <w:rPr>
          <w:i/>
          <w:iCs/>
        </w:rPr>
        <w:t>ṣ</w:t>
      </w:r>
      <w:r>
        <w:rPr>
          <w:i/>
          <w:iCs/>
        </w:rPr>
        <w:t>ā ā</w:t>
      </w:r>
      <w:r>
        <w:rPr>
          <w:i/>
          <w:iCs/>
        </w:rPr>
        <w:t>́śāste / tád aśyāt tád r̥dhyāt / tád asmai devā́ rāsantām / tád agnír devó devébhyo vanutā</w:t>
      </w:r>
      <w:r>
        <w:rPr>
          <w:i/>
          <w:iCs/>
        </w:rPr>
        <w:t>ṃ</w:t>
      </w:r>
      <w:r>
        <w:rPr>
          <w:i/>
          <w:iCs/>
        </w:rPr>
        <w:t xml:space="preserve"> / vayám agnér mā́nu</w:t>
      </w:r>
      <w:r>
        <w:rPr>
          <w:i/>
          <w:iCs/>
        </w:rPr>
        <w:t>ṣ</w:t>
      </w:r>
      <w:r>
        <w:rPr>
          <w:i/>
          <w:iCs/>
        </w:rPr>
        <w:t>ā</w:t>
      </w:r>
      <w:r>
        <w:rPr>
          <w:i/>
          <w:iCs/>
        </w:rPr>
        <w:t>ḥ</w:t>
      </w:r>
      <w:r>
        <w:rPr>
          <w:i/>
          <w:iCs/>
        </w:rPr>
        <w:t xml:space="preserve"> / i</w:t>
      </w:r>
      <w:r>
        <w:rPr>
          <w:i/>
          <w:iCs/>
        </w:rPr>
        <w:t>ṣṭ</w:t>
      </w:r>
      <w:r>
        <w:rPr>
          <w:i/>
          <w:iCs/>
        </w:rPr>
        <w:t>á</w:t>
      </w:r>
      <w:r>
        <w:rPr>
          <w:i/>
          <w:iCs/>
        </w:rPr>
        <w:t>ṃ</w:t>
      </w:r>
      <w:r>
        <w:rPr>
          <w:i/>
          <w:iCs/>
        </w:rPr>
        <w:t xml:space="preserve"> ca vītá</w:t>
      </w:r>
      <w:r>
        <w:rPr>
          <w:i/>
          <w:iCs/>
        </w:rPr>
        <w:t>ṃ</w:t>
      </w:r>
      <w:r>
        <w:rPr>
          <w:i/>
          <w:iCs/>
        </w:rPr>
        <w:t xml:space="preserve"> ca / ubhé ca no dyā́vāpr̥thivī́ ám̐hasa</w:t>
      </w:r>
      <w:r>
        <w:rPr>
          <w:i/>
          <w:iCs/>
        </w:rPr>
        <w:t>ḥ</w:t>
      </w:r>
      <w:r>
        <w:rPr>
          <w:i/>
          <w:iCs/>
        </w:rPr>
        <w:t xml:space="preserve"> pātām</w:t>
      </w:r>
      <w:r>
        <w:rPr>
          <w:rStyle w:val="FootnoteAnchor"/>
          <w:i/>
          <w:iCs/>
        </w:rPr>
        <w:footnoteReference w:id="224"/>
      </w:r>
      <w:r>
        <w:rPr>
          <w:i/>
          <w:iCs/>
        </w:rPr>
        <w:t xml:space="preserve"> / ihá gatir vāmásya idá</w:t>
      </w:r>
      <w:r>
        <w:rPr>
          <w:i/>
          <w:iCs/>
        </w:rPr>
        <w:t>ṃ</w:t>
      </w:r>
      <w:r>
        <w:rPr>
          <w:i/>
          <w:iCs/>
        </w:rPr>
        <w:t>/ námo devébhya</w:t>
      </w:r>
      <w:r>
        <w:rPr>
          <w:i/>
          <w:iCs/>
        </w:rPr>
        <w:t>ḥ</w:t>
      </w:r>
      <w:r>
        <w:rPr>
          <w:i/>
          <w:iCs/>
        </w:rPr>
        <w:t xml:space="preserve"> //</w:t>
      </w:r>
    </w:p>
    <w:p w14:paraId="0B70B3DB" w14:textId="77777777" w:rsidR="00E53EB6" w:rsidRDefault="006500F5">
      <w:pPr>
        <w:pStyle w:val="Zitat"/>
      </w:pPr>
      <w:r>
        <w:t>He prays</w:t>
      </w:r>
      <w:r>
        <w:rPr>
          <w:rStyle w:val="FootnoteAnchor"/>
        </w:rPr>
        <w:footnoteReference w:id="225"/>
      </w:r>
      <w:r>
        <w:t xml:space="preserve"> for a future worship to the gods, he prays for a bigger preparation of the oblation, he prays for an heavenly abode, he prays for all that is dear; may he attain this, this he wants to accomplish</w:t>
      </w:r>
      <w:r>
        <w:rPr>
          <w:rStyle w:val="FootnoteAnchor"/>
        </w:rPr>
        <w:footnoteReference w:id="226"/>
      </w:r>
      <w:r>
        <w:t>, which he prays for through his oblation, may the gods gi</w:t>
      </w:r>
      <w:r>
        <w:t xml:space="preserve">ve this to him, </w:t>
      </w:r>
      <w:r>
        <w:rPr>
          <w:u w:val="single"/>
        </w:rPr>
        <w:t>do</w:t>
      </w:r>
      <w:r>
        <w:t xml:space="preserve"> the god Agni </w:t>
      </w:r>
      <w:r>
        <w:rPr>
          <w:u w:val="single"/>
        </w:rPr>
        <w:t>appropriate</w:t>
      </w:r>
      <w:r>
        <w:t xml:space="preserve"> this from the gods, we, man, from Agni; that which has been offered, that which has been craved for</w:t>
      </w:r>
      <w:r>
        <w:rPr>
          <w:rStyle w:val="FootnoteAnchor"/>
        </w:rPr>
        <w:footnoteReference w:id="227"/>
      </w:r>
      <w:r>
        <w:t>, and let both the heaven and the earth protect us from the enclosure; here the procedure for what is desirable</w:t>
      </w:r>
      <w:r>
        <w:t>, this one</w:t>
      </w:r>
      <w:r>
        <w:rPr>
          <w:rStyle w:val="FootnoteAnchor"/>
        </w:rPr>
        <w:footnoteReference w:id="228"/>
      </w:r>
      <w:r>
        <w:t>, honour to the gods.</w:t>
      </w:r>
    </w:p>
    <w:p w14:paraId="7DB07EEB" w14:textId="77777777" w:rsidR="00E53EB6" w:rsidRDefault="006500F5">
      <w:pPr>
        <w:pStyle w:val="Zitat"/>
        <w:rPr>
          <w:i/>
          <w:iCs/>
        </w:rPr>
      </w:pPr>
      <w:r>
        <w:rPr>
          <w:i/>
          <w:iCs/>
        </w:rPr>
        <w:t>vanutā</w:t>
      </w:r>
      <w:r>
        <w:rPr>
          <w:i/>
          <w:iCs/>
        </w:rPr>
        <w:t>ṃ</w:t>
      </w:r>
      <w:r>
        <w:rPr>
          <w:i/>
          <w:iCs/>
        </w:rPr>
        <w:t>:</w:t>
      </w:r>
      <w:r>
        <w:t xml:space="preserve"> impv. pres. 3</w:t>
      </w:r>
      <w:r>
        <w:rPr>
          <w:vertAlign w:val="superscript"/>
        </w:rPr>
        <w:t>rd</w:t>
      </w:r>
      <w:r>
        <w:t xml:space="preserve"> sing. Ā VIII cl.</w:t>
      </w:r>
    </w:p>
    <w:p w14:paraId="7701FD92" w14:textId="77777777" w:rsidR="00E53EB6" w:rsidRDefault="006500F5">
      <w:pPr>
        <w:pStyle w:val="HaupttextnachZitat"/>
      </w:pPr>
      <w:r>
        <w:t>Vedic Web</w:t>
      </w:r>
    </w:p>
    <w:p w14:paraId="2269C227" w14:textId="77777777" w:rsidR="00E53EB6" w:rsidRDefault="006500F5">
      <w:pPr>
        <w:pStyle w:val="HaupttextohneEinzug"/>
      </w:pPr>
      <w:r>
        <w:t>Mantra: TB 3.5.10.5 (</w:t>
      </w:r>
      <w:r>
        <w:rPr>
          <w:i/>
          <w:iCs/>
        </w:rPr>
        <w:t>vánate</w:t>
      </w:r>
      <w:r>
        <w:t xml:space="preserve"> - subj. aor. 3</w:t>
      </w:r>
      <w:r>
        <w:rPr>
          <w:vertAlign w:val="superscript"/>
        </w:rPr>
        <w:t>rd</w:t>
      </w:r>
      <w:r>
        <w:t xml:space="preserve"> sing. Ā I-VI cl. – </w:t>
      </w:r>
      <w:r>
        <w:rPr>
          <w:i/>
          <w:iCs/>
        </w:rPr>
        <w:t xml:space="preserve">idám ca </w:t>
      </w:r>
      <w:r>
        <w:t xml:space="preserve">instead of </w:t>
      </w:r>
      <w:r>
        <w:rPr>
          <w:i/>
          <w:iCs/>
        </w:rPr>
        <w:t>idám</w:t>
      </w:r>
      <w:r>
        <w:t xml:space="preserve">); </w:t>
      </w:r>
      <w:r>
        <w:t xml:space="preserve">ŚB 1.9.1.16; .19-20; </w:t>
      </w:r>
      <w:r>
        <w:t>cf. TS 2.6.9.8.</w:t>
      </w:r>
    </w:p>
    <w:p w14:paraId="4E4A0C3D" w14:textId="77777777" w:rsidR="00E53EB6" w:rsidRDefault="00E53EB6">
      <w:pPr>
        <w:pStyle w:val="HaupttextohneEinzug"/>
      </w:pPr>
    </w:p>
    <w:p w14:paraId="09C4513C" w14:textId="77777777" w:rsidR="00E53EB6" w:rsidRDefault="006500F5">
      <w:pPr>
        <w:pStyle w:val="HaupttextohneEinzug"/>
      </w:pPr>
      <w:r>
        <w:t>Rite</w:t>
      </w:r>
    </w:p>
    <w:p w14:paraId="4B6D32CD" w14:textId="77777777" w:rsidR="00E53EB6" w:rsidRDefault="006500F5">
      <w:pPr>
        <w:pStyle w:val="HaupttextohneEinzug"/>
      </w:pPr>
      <w:r>
        <w:t>Darśapur</w:t>
      </w:r>
      <w:r>
        <w:t>ṇ</w:t>
      </w:r>
      <w:r>
        <w:t>amāse</w:t>
      </w:r>
      <w:r>
        <w:t>ṣṭ</w:t>
      </w:r>
      <w:r>
        <w:t>i. The after offering</w:t>
      </w:r>
      <w:r>
        <w:t xml:space="preserve"> formulas, Anuyāja, of the </w:t>
      </w:r>
      <w:r>
        <w:rPr>
          <w:i/>
          <w:iCs/>
        </w:rPr>
        <w:t>hotr</w:t>
      </w:r>
      <w:r>
        <w:rPr>
          <w:rFonts w:eastAsia="Arial" w:cs="Devanagari MT;Times New Roman"/>
          <w:sz w:val="18"/>
          <w:szCs w:val="18"/>
          <w:lang w:eastAsia="hi-IN" w:bidi="en-GB"/>
        </w:rPr>
        <w:t>̥</w:t>
      </w:r>
      <w:r>
        <w:rPr>
          <w:rFonts w:eastAsia="Arial" w:cs="Devanagari MT;Times New Roman"/>
          <w:i/>
          <w:iCs/>
          <w:sz w:val="18"/>
          <w:szCs w:val="18"/>
          <w:lang w:eastAsia="hi-IN" w:bidi="en-GB"/>
        </w:rPr>
        <w:t xml:space="preserve"> </w:t>
      </w:r>
      <w:r>
        <w:t>for the Suktāvāka, evocation of blessing.</w:t>
      </w:r>
    </w:p>
    <w:p w14:paraId="3742D1AB" w14:textId="77777777" w:rsidR="00E53EB6" w:rsidRDefault="00E53EB6">
      <w:pPr>
        <w:pStyle w:val="HaupttextohneEinzug"/>
        <w:rPr>
          <w:color w:val="008000"/>
        </w:rPr>
      </w:pPr>
    </w:p>
    <w:p w14:paraId="197255E1" w14:textId="77777777" w:rsidR="00E53EB6" w:rsidRDefault="00E53EB6">
      <w:pPr>
        <w:pStyle w:val="HaupttextohneEinzug"/>
      </w:pPr>
    </w:p>
    <w:p w14:paraId="52555A86" w14:textId="77777777" w:rsidR="00E53EB6" w:rsidRDefault="006500F5">
      <w:pPr>
        <w:pStyle w:val="Heading5"/>
        <w:tabs>
          <w:tab w:val="left" w:pos="0"/>
        </w:tabs>
      </w:pPr>
      <w:r>
        <w:t>Kā</w:t>
      </w:r>
      <w:r>
        <w:t>ṭ</w:t>
      </w:r>
      <w:r>
        <w:t>ha occurrences</w:t>
      </w:r>
    </w:p>
    <w:p w14:paraId="2F7EB2F4" w14:textId="77777777" w:rsidR="00E53EB6" w:rsidRDefault="006500F5">
      <w:pPr>
        <w:pStyle w:val="Heading5"/>
        <w:tabs>
          <w:tab w:val="left" w:pos="0"/>
        </w:tabs>
      </w:pPr>
      <w:r>
        <w:rPr>
          <w:rFonts w:eastAsia="MS Mincho"/>
          <w:u w:val="single"/>
        </w:rPr>
        <w:t>KS 10.3: 127,1-13</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p>
    <w:p w14:paraId="2AA4002D" w14:textId="77777777" w:rsidR="00E53EB6" w:rsidRDefault="006500F5">
      <w:pPr>
        <w:pStyle w:val="Zitat"/>
      </w:pPr>
      <w:r>
        <w:rPr>
          <w:rFonts w:eastAsia="MS Mincho;ＭＳ 明朝"/>
          <w:lang w:eastAsia="hi-IN"/>
        </w:rPr>
        <w:t xml:space="preserve">10.3 </w:t>
      </w:r>
      <w:r>
        <w:rPr>
          <w:rFonts w:eastAsia="MS Mincho;ＭＳ 明朝"/>
          <w:i/>
          <w:iCs/>
          <w:lang w:eastAsia="hi-IN"/>
        </w:rPr>
        <w:t>agnáye vaiśvānarāya dvādaśakapāla</w:t>
      </w:r>
      <w:r>
        <w:rPr>
          <w:rFonts w:eastAsia="MS Mincho;ＭＳ 明朝"/>
          <w:i/>
          <w:iCs/>
          <w:lang w:eastAsia="hi-IN"/>
        </w:rPr>
        <w:t>ṃ</w:t>
      </w:r>
      <w:r>
        <w:rPr>
          <w:rFonts w:eastAsia="MS Mincho;ＭＳ 明朝"/>
          <w:i/>
          <w:iCs/>
          <w:lang w:eastAsia="hi-IN"/>
        </w:rPr>
        <w:t xml:space="preserve"> nirvapedyo ‘nannamadyādyo vā jighatsetsa</w:t>
      </w:r>
      <w:r>
        <w:rPr>
          <w:rFonts w:eastAsia="MS Mincho;ＭＳ 明朝"/>
          <w:i/>
          <w:iCs/>
          <w:lang w:eastAsia="hi-IN"/>
        </w:rPr>
        <w:t>ṃ</w:t>
      </w:r>
      <w:r>
        <w:rPr>
          <w:rFonts w:eastAsia="MS Mincho;ＭＳ 明朝"/>
          <w:i/>
          <w:iCs/>
          <w:lang w:eastAsia="hi-IN"/>
        </w:rPr>
        <w:t xml:space="preserve">vatsaro vā </w:t>
      </w:r>
      <w:r>
        <w:rPr>
          <w:rFonts w:eastAsia="MS Mincho;ＭＳ 明朝"/>
          <w:i/>
          <w:iCs/>
          <w:lang w:eastAsia="hi-IN"/>
        </w:rPr>
        <w:t>agnirvaiśvānarassa</w:t>
      </w:r>
      <w:r>
        <w:rPr>
          <w:rFonts w:eastAsia="MS Mincho;ＭＳ 明朝"/>
          <w:i/>
          <w:iCs/>
          <w:lang w:eastAsia="hi-IN"/>
        </w:rPr>
        <w:t>ṃ</w:t>
      </w:r>
      <w:r>
        <w:rPr>
          <w:rFonts w:eastAsia="MS Mincho;ＭＳ 明朝"/>
          <w:i/>
          <w:iCs/>
          <w:lang w:eastAsia="hi-IN"/>
        </w:rPr>
        <w:t>vatsarenaiva pūtam̐ svaditamatti yadi jagdhvā nirvapati sa</w:t>
      </w:r>
      <w:r>
        <w:rPr>
          <w:rFonts w:eastAsia="MS Mincho;ＭＳ 明朝"/>
          <w:i/>
          <w:iCs/>
          <w:lang w:eastAsia="hi-IN"/>
        </w:rPr>
        <w:t>ṃ</w:t>
      </w:r>
      <w:r>
        <w:rPr>
          <w:rFonts w:eastAsia="MS Mincho;ＭＳ 明朝"/>
          <w:i/>
          <w:iCs/>
          <w:lang w:eastAsia="hi-IN"/>
        </w:rPr>
        <w:t>vatsara evāsmai jagdhva</w:t>
      </w:r>
      <w:r>
        <w:rPr>
          <w:rFonts w:eastAsia="MS Mincho;ＭＳ 明朝"/>
          <w:i/>
          <w:iCs/>
          <w:lang w:eastAsia="hi-IN"/>
        </w:rPr>
        <w:t>ṃ</w:t>
      </w:r>
      <w:r>
        <w:rPr>
          <w:rFonts w:eastAsia="MS Mincho;ＭＳ 明朝"/>
          <w:i/>
          <w:iCs/>
          <w:lang w:eastAsia="hi-IN"/>
        </w:rPr>
        <w:t xml:space="preserve"> svadayatyagnaye vaiśvānarāya dvādaśakapāla</w:t>
      </w:r>
      <w:r>
        <w:rPr>
          <w:rFonts w:eastAsia="MS Mincho;ＭＳ 明朝"/>
          <w:i/>
          <w:iCs/>
          <w:lang w:eastAsia="hi-IN"/>
        </w:rPr>
        <w:t>ṃ</w:t>
      </w:r>
      <w:r>
        <w:rPr>
          <w:rFonts w:eastAsia="MS Mincho;ＭＳ 明朝"/>
          <w:i/>
          <w:iCs/>
          <w:lang w:eastAsia="hi-IN"/>
        </w:rPr>
        <w:t xml:space="preserve"> nirvapedyassamāntamabhidruhyedyo vābhidudruk</w:t>
      </w:r>
      <w:r>
        <w:rPr>
          <w:rFonts w:eastAsia="MS Mincho;ＭＳ 明朝"/>
          <w:i/>
          <w:iCs/>
          <w:lang w:eastAsia="hi-IN"/>
        </w:rPr>
        <w:t>ṣ</w:t>
      </w:r>
      <w:r>
        <w:rPr>
          <w:rFonts w:eastAsia="MS Mincho;ＭＳ 明朝"/>
          <w:i/>
          <w:iCs/>
          <w:lang w:eastAsia="hi-IN"/>
        </w:rPr>
        <w:t>etsa</w:t>
      </w:r>
      <w:r>
        <w:rPr>
          <w:rFonts w:eastAsia="MS Mincho;ＭＳ 明朝"/>
          <w:i/>
          <w:iCs/>
          <w:lang w:eastAsia="hi-IN"/>
        </w:rPr>
        <w:t>ṃ</w:t>
      </w:r>
      <w:r>
        <w:rPr>
          <w:rFonts w:eastAsia="MS Mincho;ＭＳ 明朝"/>
          <w:i/>
          <w:iCs/>
          <w:lang w:eastAsia="hi-IN"/>
        </w:rPr>
        <w:t>vatsaro vā agnirvaiśvānarassa</w:t>
      </w:r>
      <w:r>
        <w:rPr>
          <w:rFonts w:eastAsia="MS Mincho;ＭＳ 明朝"/>
          <w:i/>
          <w:iCs/>
          <w:lang w:eastAsia="hi-IN"/>
        </w:rPr>
        <w:t>ṃ</w:t>
      </w:r>
      <w:r>
        <w:rPr>
          <w:rFonts w:eastAsia="MS Mincho;ＭＳ 明朝"/>
          <w:i/>
          <w:iCs/>
          <w:lang w:eastAsia="hi-IN"/>
        </w:rPr>
        <w:t>vatsarāyai</w:t>
      </w:r>
      <w:r>
        <w:rPr>
          <w:rFonts w:eastAsia="MS Mincho;ＭＳ 明朝"/>
          <w:i/>
          <w:iCs/>
          <w:lang w:eastAsia="hi-IN"/>
        </w:rPr>
        <w:t>ṣ</w:t>
      </w:r>
      <w:r>
        <w:rPr>
          <w:rFonts w:eastAsia="MS Mincho;ＭＳ 明朝"/>
          <w:i/>
          <w:iCs/>
          <w:lang w:eastAsia="hi-IN"/>
        </w:rPr>
        <w:t>a samamate yassama</w:t>
      </w:r>
      <w:r>
        <w:rPr>
          <w:rFonts w:eastAsia="MS Mincho;ＭＳ 明朝"/>
          <w:i/>
          <w:iCs/>
          <w:lang w:eastAsia="hi-IN"/>
        </w:rPr>
        <w:t>mate sa</w:t>
      </w:r>
      <w:r>
        <w:rPr>
          <w:rFonts w:eastAsia="MS Mincho;ＭＳ 明朝"/>
          <w:i/>
          <w:iCs/>
          <w:lang w:eastAsia="hi-IN"/>
        </w:rPr>
        <w:t>ṃ</w:t>
      </w:r>
      <w:r>
        <w:rPr>
          <w:rFonts w:eastAsia="MS Mincho;ＭＳ 明朝"/>
          <w:i/>
          <w:iCs/>
          <w:lang w:eastAsia="hi-IN"/>
        </w:rPr>
        <w:t>vatsaramevāptvā kāmamavaru</w:t>
      </w:r>
      <w:r>
        <w:rPr>
          <w:rFonts w:eastAsia="MS Mincho;ＭＳ 明朝"/>
          <w:i/>
          <w:iCs/>
          <w:lang w:eastAsia="hi-IN"/>
        </w:rPr>
        <w:t>ṇ</w:t>
      </w:r>
      <w:r>
        <w:rPr>
          <w:rFonts w:eastAsia="MS Mincho;ＭＳ 明朝"/>
          <w:i/>
          <w:iCs/>
          <w:lang w:eastAsia="hi-IN"/>
        </w:rPr>
        <w:t>amabhidruhyatyagnaye vaiśvānarāya dvādaśakapāla</w:t>
      </w:r>
      <w:r>
        <w:rPr>
          <w:rFonts w:eastAsia="MS Mincho;ＭＳ 明朝"/>
          <w:i/>
          <w:iCs/>
          <w:lang w:eastAsia="hi-IN"/>
        </w:rPr>
        <w:t>ṃ</w:t>
      </w:r>
      <w:r>
        <w:rPr>
          <w:rFonts w:eastAsia="MS Mincho;ＭＳ 明朝"/>
          <w:i/>
          <w:iCs/>
          <w:lang w:eastAsia="hi-IN"/>
        </w:rPr>
        <w:t xml:space="preserve"> nirvapedya</w:t>
      </w:r>
      <w:r>
        <w:rPr>
          <w:rFonts w:eastAsia="MS Mincho;ＭＳ 明朝"/>
          <w:i/>
          <w:iCs/>
          <w:lang w:eastAsia="hi-IN"/>
        </w:rPr>
        <w:t>ḥ</w:t>
      </w:r>
      <w:r>
        <w:rPr>
          <w:rFonts w:eastAsia="MS Mincho;ＭＳ 明朝"/>
          <w:i/>
          <w:iCs/>
          <w:lang w:eastAsia="hi-IN"/>
        </w:rPr>
        <w:t xml:space="preserve"> pratigr̥hītassyātsanikāmassa</w:t>
      </w:r>
      <w:r>
        <w:rPr>
          <w:rFonts w:eastAsia="MS Mincho;ＭＳ 明朝"/>
          <w:i/>
          <w:iCs/>
          <w:lang w:eastAsia="hi-IN"/>
        </w:rPr>
        <w:t>ṃ</w:t>
      </w:r>
      <w:r>
        <w:rPr>
          <w:rFonts w:eastAsia="MS Mincho;ＭＳ 明朝"/>
          <w:i/>
          <w:iCs/>
          <w:lang w:eastAsia="hi-IN"/>
        </w:rPr>
        <w:t>vatsaro vā  agnirvaiśvānarassa</w:t>
      </w:r>
      <w:r>
        <w:rPr>
          <w:rFonts w:eastAsia="MS Mincho;ＭＳ 明朝"/>
          <w:i/>
          <w:iCs/>
          <w:lang w:eastAsia="hi-IN"/>
        </w:rPr>
        <w:t>ṃ</w:t>
      </w:r>
      <w:r>
        <w:rPr>
          <w:rFonts w:eastAsia="MS Mincho;ＭＳ 明朝"/>
          <w:i/>
          <w:iCs/>
          <w:lang w:eastAsia="hi-IN"/>
        </w:rPr>
        <w:t>vatsarāyaita</w:t>
      </w:r>
      <w:r>
        <w:rPr>
          <w:rFonts w:eastAsia="MS Mincho;ＭＳ 明朝"/>
          <w:i/>
          <w:iCs/>
          <w:lang w:eastAsia="hi-IN"/>
        </w:rPr>
        <w:t>ṃ</w:t>
      </w:r>
      <w:r>
        <w:rPr>
          <w:rFonts w:eastAsia="MS Mincho;ＭＳ 明朝"/>
          <w:i/>
          <w:iCs/>
          <w:lang w:eastAsia="hi-IN"/>
        </w:rPr>
        <w:t xml:space="preserve"> pratigr̥h</w:t>
      </w:r>
      <w:r>
        <w:rPr>
          <w:rFonts w:eastAsia="MS Mincho;ＭＳ 明朝"/>
          <w:i/>
          <w:iCs/>
          <w:lang w:eastAsia="hi-IN"/>
        </w:rPr>
        <w:t>ṇ</w:t>
      </w:r>
      <w:r>
        <w:rPr>
          <w:rFonts w:eastAsia="MS Mincho;ＭＳ 明朝"/>
          <w:i/>
          <w:iCs/>
          <w:lang w:eastAsia="hi-IN"/>
        </w:rPr>
        <w:t>anti ya</w:t>
      </w:r>
      <w:r>
        <w:rPr>
          <w:rFonts w:eastAsia="MS Mincho;ＭＳ 明朝"/>
          <w:i/>
          <w:iCs/>
          <w:lang w:eastAsia="hi-IN"/>
        </w:rPr>
        <w:t>ṃ</w:t>
      </w:r>
      <w:r>
        <w:rPr>
          <w:rFonts w:eastAsia="MS Mincho;ＭＳ 明朝"/>
          <w:i/>
          <w:iCs/>
          <w:lang w:eastAsia="hi-IN"/>
        </w:rPr>
        <w:t xml:space="preserve"> pratigr̥hnanti sa</w:t>
      </w:r>
      <w:r>
        <w:rPr>
          <w:rFonts w:eastAsia="MS Mincho;ＭＳ 明朝"/>
          <w:i/>
          <w:iCs/>
          <w:lang w:eastAsia="hi-IN"/>
        </w:rPr>
        <w:t>ṃ</w:t>
      </w:r>
      <w:r>
        <w:rPr>
          <w:rFonts w:eastAsia="MS Mincho;ＭＳ 明朝"/>
          <w:i/>
          <w:iCs/>
          <w:lang w:eastAsia="hi-IN"/>
        </w:rPr>
        <w:t>vatsaramevāptvā sātām̐ sani</w:t>
      </w:r>
      <w:r>
        <w:rPr>
          <w:rFonts w:eastAsia="MS Mincho;ＭＳ 明朝"/>
          <w:i/>
          <w:iCs/>
          <w:lang w:eastAsia="hi-IN"/>
        </w:rPr>
        <w:t>ṃ</w:t>
      </w:r>
      <w:r>
        <w:rPr>
          <w:rFonts w:eastAsia="MS Mincho;ＭＳ 明朝"/>
          <w:i/>
          <w:iCs/>
          <w:lang w:eastAsia="hi-IN"/>
        </w:rPr>
        <w:t xml:space="preserve"> vanute ‘gnaye vaiśvā</w:t>
      </w:r>
      <w:r>
        <w:rPr>
          <w:rFonts w:eastAsia="MS Mincho;ＭＳ 明朝"/>
          <w:i/>
          <w:iCs/>
          <w:lang w:eastAsia="hi-IN"/>
        </w:rPr>
        <w:t>narāya  dvādaśakapāla</w:t>
      </w:r>
      <w:r>
        <w:rPr>
          <w:rFonts w:eastAsia="MS Mincho;ＭＳ 明朝"/>
          <w:i/>
          <w:iCs/>
          <w:lang w:eastAsia="hi-IN"/>
        </w:rPr>
        <w:t>ṃ</w:t>
      </w:r>
      <w:r>
        <w:rPr>
          <w:rFonts w:eastAsia="MS Mincho;ＭＳ 明朝"/>
          <w:i/>
          <w:iCs/>
          <w:lang w:eastAsia="hi-IN"/>
        </w:rPr>
        <w:t xml:space="preserve"> nirvapetsani</w:t>
      </w:r>
      <w:r>
        <w:rPr>
          <w:rFonts w:eastAsia="MS Mincho;ＭＳ 明朝"/>
          <w:i/>
          <w:iCs/>
          <w:lang w:eastAsia="hi-IN"/>
        </w:rPr>
        <w:t>ṃ</w:t>
      </w:r>
      <w:r>
        <w:rPr>
          <w:rFonts w:eastAsia="MS Mincho;ＭＳ 明朝"/>
          <w:i/>
          <w:iCs/>
          <w:lang w:eastAsia="hi-IN"/>
        </w:rPr>
        <w:t xml:space="preserve"> nidadhatsa</w:t>
      </w:r>
      <w:r>
        <w:rPr>
          <w:rFonts w:eastAsia="MS Mincho;ＭＳ 明朝"/>
          <w:i/>
          <w:iCs/>
          <w:lang w:eastAsia="hi-IN"/>
        </w:rPr>
        <w:t>ṃ</w:t>
      </w:r>
      <w:r>
        <w:rPr>
          <w:rFonts w:eastAsia="MS Mincho;ＭＳ 明朝"/>
          <w:i/>
          <w:iCs/>
          <w:lang w:eastAsia="hi-IN"/>
        </w:rPr>
        <w:t>vatsaro vā  agnirvaiśvānarassa</w:t>
      </w:r>
      <w:r>
        <w:rPr>
          <w:rFonts w:eastAsia="MS Mincho;ＭＳ 明朝"/>
          <w:i/>
          <w:iCs/>
          <w:lang w:eastAsia="hi-IN"/>
        </w:rPr>
        <w:t>ṃ</w:t>
      </w:r>
      <w:r>
        <w:rPr>
          <w:rFonts w:eastAsia="MS Mincho;ＭＳ 明朝"/>
          <w:i/>
          <w:iCs/>
          <w:lang w:eastAsia="hi-IN"/>
        </w:rPr>
        <w:t>vatsarame</w:t>
      </w:r>
      <w:r>
        <w:rPr>
          <w:rFonts w:eastAsia="MS Mincho;ＭＳ 明朝"/>
          <w:i/>
          <w:iCs/>
          <w:lang w:eastAsia="hi-IN"/>
        </w:rPr>
        <w:t>ṣ</w:t>
      </w:r>
      <w:r>
        <w:rPr>
          <w:rFonts w:eastAsia="MS Mincho;ＭＳ 明朝"/>
          <w:i/>
          <w:iCs/>
          <w:lang w:eastAsia="hi-IN"/>
        </w:rPr>
        <w:t>a prayu</w:t>
      </w:r>
      <w:r>
        <w:rPr>
          <w:rFonts w:eastAsia="MS Mincho;ＭＳ 明朝"/>
          <w:i/>
          <w:iCs/>
          <w:lang w:eastAsia="hi-IN"/>
        </w:rPr>
        <w:t>ṅ</w:t>
      </w:r>
      <w:r>
        <w:rPr>
          <w:rFonts w:eastAsia="MS Mincho;ＭＳ 明朝"/>
          <w:i/>
          <w:iCs/>
          <w:lang w:eastAsia="hi-IN"/>
        </w:rPr>
        <w:t>kte yo yācati sa</w:t>
      </w:r>
      <w:r>
        <w:rPr>
          <w:rFonts w:eastAsia="MS Mincho;ＭＳ 明朝"/>
          <w:i/>
          <w:iCs/>
          <w:lang w:eastAsia="hi-IN"/>
        </w:rPr>
        <w:t>ṃ</w:t>
      </w:r>
      <w:r>
        <w:rPr>
          <w:rFonts w:eastAsia="MS Mincho;ＭＳ 明朝"/>
          <w:i/>
          <w:iCs/>
          <w:lang w:eastAsia="hi-IN"/>
        </w:rPr>
        <w:t>vatsarameva vimuñcati sa</w:t>
      </w:r>
      <w:r>
        <w:rPr>
          <w:rFonts w:eastAsia="MS Mincho;ＭＳ 明朝"/>
          <w:i/>
          <w:iCs/>
          <w:lang w:eastAsia="hi-IN"/>
        </w:rPr>
        <w:t>ṃ</w:t>
      </w:r>
      <w:r>
        <w:rPr>
          <w:rFonts w:eastAsia="MS Mincho;ＭＳ 明朝"/>
          <w:i/>
          <w:iCs/>
          <w:lang w:eastAsia="hi-IN"/>
        </w:rPr>
        <w:t>vataro vā etadetasmai sanoti yadvanute</w:t>
      </w:r>
    </w:p>
    <w:p w14:paraId="70A78766" w14:textId="77777777" w:rsidR="00E53EB6" w:rsidRDefault="006500F5">
      <w:pPr>
        <w:pStyle w:val="Zitat"/>
        <w:rPr>
          <w:rFonts w:eastAsia="MS Mincho;ＭＳ 明朝"/>
          <w:lang w:eastAsia="hi-IN"/>
        </w:rPr>
      </w:pPr>
      <w:r>
        <w:rPr>
          <w:rFonts w:eastAsia="MS Mincho;ＭＳ 明朝"/>
          <w:lang w:eastAsia="hi-IN"/>
        </w:rPr>
        <w:t xml:space="preserve">May offer a sacrifice on 12 potsherds to Agni Vaiśvānara he who may eat the </w:t>
      </w:r>
      <w:r>
        <w:rPr>
          <w:rFonts w:eastAsia="MS Mincho;ＭＳ 明朝"/>
          <w:lang w:eastAsia="hi-IN"/>
        </w:rPr>
        <w:t>food, who wants to eat, Agni Vaiśvānara indeed is the year, through the year he eats indeed what is well prepared and purified, if, having eaten, he offers, the year indeed makes sweet for him what was eaten.</w:t>
      </w:r>
    </w:p>
    <w:p w14:paraId="66025814" w14:textId="77777777" w:rsidR="00E53EB6" w:rsidRDefault="006500F5">
      <w:pPr>
        <w:pStyle w:val="ZitatnachZitat"/>
      </w:pPr>
      <w:r>
        <w:rPr>
          <w:rFonts w:eastAsia="MS Mincho;ＭＳ 明朝" w:cs="Times Ext Roman"/>
          <w:szCs w:val="18"/>
          <w:lang w:eastAsia="hi-IN" w:bidi="en-GB"/>
        </w:rPr>
        <w:t xml:space="preserve">May offer to Agni Vaiśvānara a sacrifice on 12 </w:t>
      </w:r>
      <w:r>
        <w:rPr>
          <w:rFonts w:eastAsia="MS Mincho;ＭＳ 明朝" w:cs="Times Ext Roman"/>
          <w:szCs w:val="18"/>
          <w:lang w:eastAsia="hi-IN" w:bidi="en-GB"/>
        </w:rPr>
        <w:t xml:space="preserve">potsherds he who may act with treachery against the common </w:t>
      </w:r>
      <w:r>
        <w:rPr>
          <w:rFonts w:eastAsia="MS Mincho;ＭＳ 明朝" w:cs="Times Ext Roman"/>
          <w:szCs w:val="18"/>
          <w:lang w:eastAsia="hi-IN" w:bidi="en-GB"/>
        </w:rPr>
        <w:lastRenderedPageBreak/>
        <w:t>agreement</w:t>
      </w:r>
      <w:r>
        <w:rPr>
          <w:rStyle w:val="FootnoteAnchor"/>
          <w:rFonts w:eastAsia="MS Mincho;ＭＳ 明朝" w:cs="Times Ext Roman"/>
          <w:szCs w:val="18"/>
          <w:lang w:eastAsia="hi-IN" w:bidi="en-GB"/>
        </w:rPr>
        <w:footnoteReference w:id="229"/>
      </w:r>
      <w:r>
        <w:rPr>
          <w:rFonts w:eastAsia="MS Mincho;ＭＳ 明朝" w:cs="Times Ext Roman"/>
          <w:szCs w:val="18"/>
          <w:lang w:eastAsia="hi-IN" w:bidi="en-GB"/>
        </w:rPr>
        <w:t xml:space="preserve">, who wants to act with treachery, Agni Vaiśvānara indeed is the year, who makes an agreement makes it for an year, after one year he acts with treachery on his will against what is not </w:t>
      </w:r>
      <w:r>
        <w:rPr>
          <w:rFonts w:eastAsia="MS Mincho;ＭＳ 明朝" w:cs="Times Ext Roman"/>
          <w:szCs w:val="18"/>
          <w:lang w:eastAsia="hi-IN" w:bidi="en-GB"/>
        </w:rPr>
        <w:t>falling into Varu</w:t>
      </w:r>
      <w:r>
        <w:rPr>
          <w:rFonts w:eastAsia="MS Mincho;ＭＳ 明朝" w:cs="Times Ext Roman"/>
          <w:szCs w:val="18"/>
          <w:lang w:eastAsia="hi-IN" w:bidi="en-GB"/>
        </w:rPr>
        <w:t>ṇ</w:t>
      </w:r>
      <w:r>
        <w:rPr>
          <w:rFonts w:eastAsia="MS Mincho;ＭＳ 明朝" w:cs="Times Ext Roman"/>
          <w:szCs w:val="18"/>
          <w:lang w:eastAsia="hi-IN" w:bidi="en-GB"/>
        </w:rPr>
        <w:t>a power</w:t>
      </w:r>
      <w:r>
        <w:rPr>
          <w:rStyle w:val="FootnoteAnchor"/>
          <w:rFonts w:eastAsia="MS Mincho;ＭＳ 明朝" w:cs="Times Ext Roman"/>
          <w:szCs w:val="18"/>
          <w:lang w:eastAsia="hi-IN" w:bidi="en-GB"/>
        </w:rPr>
        <w:footnoteReference w:id="230"/>
      </w:r>
      <w:r>
        <w:rPr>
          <w:rFonts w:eastAsia="MS Mincho;ＭＳ 明朝" w:cs="Times Ext Roman"/>
          <w:szCs w:val="18"/>
          <w:lang w:eastAsia="hi-IN" w:bidi="en-GB"/>
        </w:rPr>
        <w:t>.</w:t>
      </w:r>
    </w:p>
    <w:p w14:paraId="02F9D335" w14:textId="77777777" w:rsidR="00E53EB6" w:rsidRDefault="006500F5">
      <w:pPr>
        <w:pStyle w:val="ZitatnachZitat"/>
      </w:pPr>
      <w:r>
        <w:rPr>
          <w:rFonts w:eastAsia="MS Mincho;ＭＳ 明朝" w:cs="Times Ext Roman"/>
          <w:szCs w:val="18"/>
          <w:lang w:eastAsia="hi-IN" w:bidi="en-GB"/>
        </w:rPr>
        <w:t>May offer to Agni Vaiśvānara a sacrifice on 12 potsherds who,</w:t>
      </w:r>
      <w:r>
        <w:rPr>
          <w:rFonts w:eastAsia="MS Mincho;ＭＳ 明朝" w:cs="Times Ext Roman"/>
          <w:color w:val="000000"/>
          <w:szCs w:val="18"/>
          <w:lang w:eastAsia="hi-IN" w:bidi="en-GB"/>
        </w:rPr>
        <w:t xml:space="preserve"> having accepted</w:t>
      </w:r>
      <w:r>
        <w:rPr>
          <w:rStyle w:val="FootnoteAnchor"/>
          <w:rFonts w:eastAsia="MS Mincho;ＭＳ 明朝" w:cs="Times Ext Roman"/>
          <w:szCs w:val="18"/>
          <w:lang w:eastAsia="hi-IN" w:bidi="en-GB"/>
        </w:rPr>
        <w:footnoteReference w:id="231"/>
      </w:r>
      <w:r>
        <w:rPr>
          <w:rFonts w:eastAsia="MS Mincho;ＭＳ 明朝" w:cs="Times Ext Roman"/>
          <w:szCs w:val="18"/>
          <w:lang w:eastAsia="hi-IN" w:bidi="en-GB"/>
        </w:rPr>
        <w:t xml:space="preserve">, may be the one desirous of reward, Agni Vaiśvānara indeed is the year, on an year they accept whom they accept, after one year he </w:t>
      </w:r>
      <w:r>
        <w:rPr>
          <w:rFonts w:eastAsia="MS Mincho;ＭＳ 明朝" w:cs="Times Ext Roman"/>
          <w:szCs w:val="18"/>
          <w:u w:val="single"/>
          <w:lang w:eastAsia="hi-IN" w:bidi="en-GB"/>
        </w:rPr>
        <w:t>appropriates</w:t>
      </w:r>
      <w:r>
        <w:rPr>
          <w:rFonts w:eastAsia="MS Mincho;ＭＳ 明朝" w:cs="Times Ext Roman"/>
          <w:szCs w:val="18"/>
          <w:lang w:eastAsia="hi-IN" w:bidi="en-GB"/>
        </w:rPr>
        <w:t xml:space="preserve"> the reward gained.</w:t>
      </w:r>
    </w:p>
    <w:p w14:paraId="452846DC" w14:textId="77777777" w:rsidR="00E53EB6" w:rsidRDefault="006500F5">
      <w:pPr>
        <w:pStyle w:val="ZitatnachZitat"/>
      </w:pPr>
      <w:r>
        <w:rPr>
          <w:rFonts w:eastAsia="MS Mincho;ＭＳ 明朝" w:cs="Times Ext Roman"/>
          <w:szCs w:val="18"/>
          <w:lang w:eastAsia="hi-IN" w:bidi="en-GB"/>
        </w:rPr>
        <w:t>May offer to Agni Vaiśvānara a sacrifice on 12 potsherds he who should fix (preserve) the reward, Agni Vaiśvānara  indeed is the year, this one who sacrifices yokes the year, he indeed unyokes the year and the year gains for this one wh</w:t>
      </w:r>
      <w:r>
        <w:rPr>
          <w:rFonts w:eastAsia="MS Mincho;ＭＳ 明朝" w:cs="Times Ext Roman"/>
          <w:szCs w:val="18"/>
          <w:lang w:eastAsia="hi-IN" w:bidi="en-GB"/>
        </w:rPr>
        <w:t xml:space="preserve">at he </w:t>
      </w:r>
      <w:r>
        <w:rPr>
          <w:rFonts w:eastAsia="MS Mincho;ＭＳ 明朝" w:cs="Times Ext Roman"/>
          <w:szCs w:val="18"/>
          <w:u w:val="single"/>
          <w:lang w:eastAsia="hi-IN" w:bidi="en-GB"/>
        </w:rPr>
        <w:t>appropriates.</w:t>
      </w:r>
    </w:p>
    <w:p w14:paraId="35333F04" w14:textId="77777777" w:rsidR="00E53EB6" w:rsidRDefault="006500F5">
      <w:pPr>
        <w:pStyle w:val="Zitat"/>
        <w:rPr>
          <w:i/>
          <w:iCs/>
        </w:rPr>
      </w:pPr>
      <w:r>
        <w:rPr>
          <w:rFonts w:eastAsia="MS Mincho;ＭＳ 明朝"/>
          <w:lang w:eastAsia="hi-IN"/>
        </w:rPr>
        <w:t xml:space="preserve">2x </w:t>
      </w:r>
      <w:r>
        <w:rPr>
          <w:rFonts w:eastAsia="MS Mincho;ＭＳ 明朝"/>
          <w:i/>
          <w:iCs/>
          <w:lang w:eastAsia="hi-IN"/>
        </w:rPr>
        <w:t>vanute:</w:t>
      </w:r>
      <w:r>
        <w:rPr>
          <w:rFonts w:eastAsia="MS Mincho;ＭＳ 明朝"/>
          <w:lang w:eastAsia="hi-IN"/>
        </w:rPr>
        <w:t xml:space="preserve"> ind. pres. 3</w:t>
      </w:r>
      <w:r>
        <w:rPr>
          <w:rFonts w:eastAsia="MS Mincho;ＭＳ 明朝"/>
          <w:vertAlign w:val="superscript"/>
          <w:lang w:eastAsia="hi-IN"/>
        </w:rPr>
        <w:t>rd</w:t>
      </w:r>
      <w:r>
        <w:rPr>
          <w:rFonts w:eastAsia="MS Mincho;ＭＳ 明朝"/>
          <w:lang w:eastAsia="hi-IN"/>
        </w:rPr>
        <w:t xml:space="preserve"> sing. Ā VIII cl.</w:t>
      </w:r>
    </w:p>
    <w:p w14:paraId="0A0545D0" w14:textId="77777777" w:rsidR="00E53EB6" w:rsidRDefault="006500F5">
      <w:pPr>
        <w:pStyle w:val="HaupttextnachZitat"/>
        <w:rPr>
          <w:szCs w:val="21"/>
        </w:rPr>
      </w:pPr>
      <w:r>
        <w:rPr>
          <w:szCs w:val="21"/>
        </w:rPr>
        <w:t>Vedic Web</w:t>
      </w:r>
    </w:p>
    <w:p w14:paraId="0753E960" w14:textId="77777777" w:rsidR="00E53EB6" w:rsidRDefault="006500F5">
      <w:pPr>
        <w:pStyle w:val="HaupttextohneEinzug"/>
        <w:rPr>
          <w:rFonts w:eastAsia="MS Mincho;ＭＳ 明朝" w:cs="Times Ext Roman"/>
          <w:szCs w:val="21"/>
          <w:lang w:eastAsia="hi-IN" w:bidi="en-GB"/>
        </w:rPr>
      </w:pPr>
      <w:r>
        <w:rPr>
          <w:rFonts w:eastAsia="MS Mincho;ＭＳ 明朝" w:cs="Times Ext Roman"/>
          <w:szCs w:val="21"/>
          <w:lang w:eastAsia="hi-IN" w:bidi="en-GB"/>
        </w:rPr>
        <w:t>Mantra: cf. TS 1.5.11a-f.</w:t>
      </w:r>
    </w:p>
    <w:p w14:paraId="392CACD1" w14:textId="77777777" w:rsidR="00E53EB6" w:rsidRDefault="006500F5">
      <w:pPr>
        <w:pStyle w:val="HaupttextohneEinzug"/>
        <w:rPr>
          <w:rFonts w:eastAsia="MS Mincho;ＭＳ 明朝" w:cs="Times Ext Roman"/>
          <w:szCs w:val="21"/>
          <w:lang w:eastAsia="hi-IN" w:bidi="en-GB"/>
        </w:rPr>
      </w:pPr>
      <w:r>
        <w:rPr>
          <w:rFonts w:eastAsia="MS Mincho;ＭＳ 明朝" w:cs="Times Ext Roman"/>
          <w:szCs w:val="21"/>
          <w:lang w:eastAsia="hi-IN" w:bidi="en-GB"/>
        </w:rPr>
        <w:t>Prose</w:t>
      </w:r>
      <w:r>
        <w:rPr>
          <w:rFonts w:eastAsia="MS Mincho;ＭＳ 明朝" w:cs="Times Ext Roman"/>
          <w:szCs w:val="21"/>
          <w:lang w:eastAsia="hi-IN" w:bidi="en-GB"/>
        </w:rPr>
        <w:t>: cf. TS 2.2.6; MS 2.1.2: 2,5-15.</w:t>
      </w:r>
    </w:p>
    <w:p w14:paraId="01EE9676" w14:textId="77777777" w:rsidR="00E53EB6" w:rsidRDefault="00E53EB6">
      <w:pPr>
        <w:pStyle w:val="HaupttextohneEinzug"/>
        <w:rPr>
          <w:rFonts w:eastAsia="MS Mincho;ＭＳ 明朝" w:cs="Times Ext Roman"/>
          <w:szCs w:val="21"/>
          <w:lang w:eastAsia="hi-IN" w:bidi="en-GB"/>
        </w:rPr>
      </w:pPr>
    </w:p>
    <w:p w14:paraId="390ED9C0" w14:textId="77777777" w:rsidR="00E53EB6" w:rsidRDefault="006500F5">
      <w:pPr>
        <w:pStyle w:val="HaupttextohneEinzug"/>
        <w:rPr>
          <w:rFonts w:eastAsia="MS Mincho;ＭＳ 明朝" w:cs="Times Ext Roman"/>
          <w:szCs w:val="21"/>
          <w:lang w:eastAsia="hi-IN" w:bidi="en-GB"/>
        </w:rPr>
      </w:pPr>
      <w:r>
        <w:rPr>
          <w:rFonts w:eastAsia="MS Mincho;ＭＳ 明朝" w:cs="Times Ext Roman"/>
          <w:szCs w:val="21"/>
          <w:lang w:eastAsia="hi-IN" w:bidi="en-GB"/>
        </w:rPr>
        <w:t>Rite</w:t>
      </w:r>
    </w:p>
    <w:p w14:paraId="09C46D07" w14:textId="77777777" w:rsidR="00E53EB6" w:rsidRDefault="006500F5">
      <w:pPr>
        <w:pStyle w:val="HaupttextohneEinzug"/>
      </w:pPr>
      <w:r>
        <w:rPr>
          <w:rFonts w:eastAsia="MS Mincho;ＭＳ 明朝" w:cs="Times Ext Roman"/>
          <w:szCs w:val="21"/>
          <w:lang w:eastAsia="hi-IN" w:bidi="en-GB"/>
        </w:rPr>
        <w:t xml:space="preserve">Special Offerings in connection with the animal sacrifice. </w:t>
      </w:r>
      <w:r>
        <w:rPr>
          <w:rFonts w:eastAsia="MS Mincho;ＭＳ 明朝" w:cs="Times Ext Roman"/>
          <w:i/>
          <w:iCs/>
          <w:szCs w:val="21"/>
          <w:lang w:eastAsia="hi-IN" w:bidi="en-GB"/>
        </w:rPr>
        <w:t>Kāmyā</w:t>
      </w:r>
      <w:r>
        <w:rPr>
          <w:rFonts w:eastAsia="MS Mincho;ＭＳ 明朝" w:cs="Times Ext Roman"/>
          <w:szCs w:val="21"/>
          <w:lang w:eastAsia="hi-IN" w:bidi="en-GB"/>
        </w:rPr>
        <w:t xml:space="preserve"> </w:t>
      </w:r>
      <w:r>
        <w:rPr>
          <w:rFonts w:eastAsia="MS Mincho;ＭＳ 明朝" w:cs="Times Ext Roman"/>
          <w:i/>
          <w:iCs/>
          <w:szCs w:val="21"/>
          <w:lang w:eastAsia="hi-IN" w:bidi="en-GB"/>
        </w:rPr>
        <w:t>i</w:t>
      </w:r>
      <w:r>
        <w:rPr>
          <w:rFonts w:eastAsia="MS Mincho;ＭＳ 明朝" w:cs="Times Ext Roman"/>
          <w:i/>
          <w:iCs/>
          <w:szCs w:val="21"/>
          <w:lang w:eastAsia="hi-IN" w:bidi="en-GB"/>
        </w:rPr>
        <w:t>ṣṭ</w:t>
      </w:r>
      <w:r>
        <w:rPr>
          <w:rFonts w:eastAsia="MS Mincho;ＭＳ 明朝" w:cs="Times Ext Roman"/>
          <w:i/>
          <w:iCs/>
          <w:szCs w:val="21"/>
          <w:lang w:eastAsia="hi-IN" w:bidi="en-GB"/>
        </w:rPr>
        <w:t>aya</w:t>
      </w:r>
      <w:r>
        <w:rPr>
          <w:rFonts w:eastAsia="MS Mincho;ＭＳ 明朝" w:cs="Times Ext Roman"/>
          <w:i/>
          <w:iCs/>
          <w:szCs w:val="21"/>
          <w:lang w:eastAsia="hi-IN" w:bidi="en-GB"/>
        </w:rPr>
        <w:t>ḥ</w:t>
      </w:r>
      <w:r>
        <w:rPr>
          <w:rFonts w:eastAsia="MS Mincho;ＭＳ 明朝" w:cs="Times Ext Roman"/>
          <w:i/>
          <w:iCs/>
          <w:szCs w:val="21"/>
          <w:lang w:eastAsia="hi-IN" w:bidi="en-GB"/>
        </w:rPr>
        <w:t>:</w:t>
      </w:r>
      <w:r>
        <w:rPr>
          <w:rFonts w:eastAsia="MS Mincho;ＭＳ 明朝" w:cs="Times Ext Roman"/>
          <w:szCs w:val="21"/>
          <w:lang w:eastAsia="hi-IN" w:bidi="en-GB"/>
        </w:rPr>
        <w:t xml:space="preserve"> offerings to Aditi, Agni Vaiśvānara, Varu</w:t>
      </w:r>
      <w:r>
        <w:rPr>
          <w:rFonts w:eastAsia="MS Mincho;ＭＳ 明朝" w:cs="Times Ext Roman"/>
          <w:szCs w:val="21"/>
          <w:lang w:eastAsia="hi-IN" w:bidi="en-GB"/>
        </w:rPr>
        <w:t>ṇ</w:t>
      </w:r>
      <w:r>
        <w:rPr>
          <w:rFonts w:eastAsia="MS Mincho;ＭＳ 明朝" w:cs="Times Ext Roman"/>
          <w:szCs w:val="21"/>
          <w:lang w:eastAsia="hi-IN" w:bidi="en-GB"/>
        </w:rPr>
        <w:t>a. This part concerns the sacrifice to Agni Vaiśvānara for three different situations: first for the breaking up of a common agreement, seco</w:t>
      </w:r>
      <w:r>
        <w:rPr>
          <w:rFonts w:eastAsia="MS Mincho;ＭＳ 明朝" w:cs="Times Ext Roman"/>
          <w:szCs w:val="21"/>
          <w:lang w:eastAsia="hi-IN" w:bidi="en-GB"/>
        </w:rPr>
        <w:t xml:space="preserve">nd for one who wants to gain something and third for someone who wants to store his acquisition, cf. </w:t>
      </w:r>
      <w:r>
        <w:rPr>
          <w:rStyle w:val="biblio-authorGEN"/>
          <w:rFonts w:eastAsia="MS Mincho;ＭＳ 明朝" w:cs="Times Ext Roman"/>
          <w:szCs w:val="21"/>
          <w:lang w:eastAsia="hi-IN" w:bidi="en-GB"/>
        </w:rPr>
        <w:t>Caland</w:t>
      </w:r>
      <w:r>
        <w:rPr>
          <w:rFonts w:eastAsia="MS Mincho;ＭＳ 明朝" w:cs="Times Ext Roman"/>
          <w:szCs w:val="21"/>
          <w:lang w:eastAsia="hi-IN" w:bidi="en-GB"/>
        </w:rPr>
        <w:t xml:space="preserve"> 1908: 8-10.</w:t>
      </w:r>
    </w:p>
    <w:p w14:paraId="4F975A97" w14:textId="77777777" w:rsidR="00E53EB6" w:rsidRDefault="00E53EB6">
      <w:pPr>
        <w:pStyle w:val="HaupttextohneEinzug"/>
        <w:rPr>
          <w:rFonts w:eastAsia="MS Mincho;ＭＳ 明朝" w:cs="Times Ext Roman"/>
          <w:sz w:val="22"/>
          <w:lang w:eastAsia="hi-IN" w:bidi="en-GB"/>
        </w:rPr>
      </w:pPr>
    </w:p>
    <w:p w14:paraId="7C7B43C5" w14:textId="77777777" w:rsidR="00E53EB6" w:rsidRDefault="006500F5">
      <w:pPr>
        <w:pStyle w:val="Heading5"/>
        <w:tabs>
          <w:tab w:val="left" w:pos="0"/>
        </w:tabs>
      </w:pPr>
      <w:r>
        <w:rPr>
          <w:rFonts w:eastAsia="MS Mincho;ＭＳ 明朝" w:cs="Times Ext Roman"/>
          <w:sz w:val="22"/>
          <w:szCs w:val="19"/>
          <w:u w:val="single"/>
          <w:lang w:eastAsia="hi-IN" w:bidi="en-GB"/>
        </w:rPr>
        <w:t>KS 10.6: 130,8-16</w:t>
      </w:r>
      <w:r>
        <w:rPr>
          <w:rFonts w:eastAsia="MS Mincho;ＭＳ 明朝" w:cs="Times Ext Roman"/>
          <w:sz w:val="22"/>
          <w:szCs w:val="19"/>
          <w:lang w:eastAsia="hi-IN" w:bidi="en-GB"/>
        </w:rPr>
        <w:tab/>
      </w:r>
      <w:r>
        <w:rPr>
          <w:rFonts w:eastAsia="MS Mincho;ＭＳ 明朝" w:cs="Times Ext Roman"/>
          <w:sz w:val="22"/>
          <w:szCs w:val="19"/>
          <w:lang w:eastAsia="hi-IN" w:bidi="en-GB"/>
        </w:rPr>
        <w:tab/>
      </w:r>
      <w:r>
        <w:rPr>
          <w:rFonts w:eastAsia="MS Mincho;ＭＳ 明朝" w:cs="Times Ext Roman"/>
          <w:sz w:val="22"/>
          <w:szCs w:val="19"/>
          <w:lang w:eastAsia="hi-IN" w:bidi="en-GB"/>
        </w:rPr>
        <w:tab/>
      </w:r>
      <w:r>
        <w:rPr>
          <w:rFonts w:eastAsia="MS Mincho;ＭＳ 明朝" w:cs="Times Ext Roman"/>
          <w:sz w:val="22"/>
          <w:szCs w:val="19"/>
          <w:lang w:eastAsia="hi-IN" w:bidi="en-GB"/>
        </w:rPr>
        <w:tab/>
      </w:r>
      <w:r>
        <w:rPr>
          <w:rFonts w:eastAsia="MS Mincho;ＭＳ 明朝" w:cs="Times Ext Roman"/>
          <w:sz w:val="22"/>
          <w:szCs w:val="19"/>
          <w:lang w:eastAsia="hi-IN" w:bidi="en-GB"/>
        </w:rPr>
        <w:tab/>
      </w:r>
      <w:r>
        <w:rPr>
          <w:rFonts w:eastAsia="MS Mincho;ＭＳ 明朝" w:cs="Times Ext Roman"/>
          <w:sz w:val="22"/>
          <w:szCs w:val="19"/>
          <w:lang w:eastAsia="hi-IN" w:bidi="en-GB"/>
        </w:rPr>
        <w:tab/>
      </w:r>
      <w:r>
        <w:rPr>
          <w:rFonts w:eastAsia="MS Mincho;ＭＳ 明朝" w:cs="Times Ext Roman"/>
          <w:sz w:val="22"/>
          <w:szCs w:val="19"/>
          <w:lang w:eastAsia="hi-IN" w:bidi="en-GB"/>
        </w:rPr>
        <w:tab/>
      </w:r>
      <w:r>
        <w:rPr>
          <w:rFonts w:eastAsia="MS Mincho;ＭＳ 明朝" w:cs="Times Ext Roman"/>
          <w:sz w:val="22"/>
          <w:szCs w:val="19"/>
          <w:lang w:eastAsia="hi-IN" w:bidi="en-GB"/>
        </w:rPr>
        <w:tab/>
      </w:r>
    </w:p>
    <w:p w14:paraId="1FE3D281" w14:textId="77777777" w:rsidR="00E53EB6" w:rsidRDefault="006500F5">
      <w:pPr>
        <w:pStyle w:val="Zitat"/>
        <w:rPr>
          <w:szCs w:val="15"/>
        </w:rPr>
      </w:pPr>
      <w:r>
        <w:rPr>
          <w:rFonts w:eastAsia="MS Mincho;ＭＳ 明朝"/>
          <w:szCs w:val="15"/>
          <w:lang w:eastAsia="hi-IN"/>
        </w:rPr>
        <w:t>10.6</w:t>
      </w:r>
      <w:r>
        <w:rPr>
          <w:rFonts w:eastAsia="MS Mincho;ＭＳ 明朝"/>
          <w:i/>
          <w:iCs/>
          <w:szCs w:val="15"/>
          <w:lang w:eastAsia="hi-IN"/>
        </w:rPr>
        <w:t xml:space="preserve"> naimi</w:t>
      </w:r>
      <w:r>
        <w:rPr>
          <w:rFonts w:eastAsia="MS Mincho;ＭＳ 明朝"/>
          <w:i/>
          <w:iCs/>
          <w:szCs w:val="15"/>
          <w:lang w:eastAsia="hi-IN"/>
        </w:rPr>
        <w:t>ṣ</w:t>
      </w:r>
      <w:r>
        <w:rPr>
          <w:rFonts w:eastAsia="MS Mincho;ＭＳ 明朝"/>
          <w:i/>
          <w:iCs/>
          <w:szCs w:val="15"/>
          <w:lang w:eastAsia="hi-IN"/>
        </w:rPr>
        <w:t>yā vai satramāsata ta utthāya saptavim̐śati</w:t>
      </w:r>
      <w:r>
        <w:rPr>
          <w:rFonts w:eastAsia="MS Mincho;ＭＳ 明朝"/>
          <w:i/>
          <w:iCs/>
          <w:szCs w:val="15"/>
          <w:lang w:eastAsia="hi-IN"/>
        </w:rPr>
        <w:t>ṃ</w:t>
      </w:r>
      <w:r>
        <w:rPr>
          <w:rFonts w:eastAsia="MS Mincho;ＭＳ 明朝"/>
          <w:i/>
          <w:iCs/>
          <w:szCs w:val="15"/>
          <w:lang w:eastAsia="hi-IN"/>
        </w:rPr>
        <w:t xml:space="preserve"> kurupañcāle</w:t>
      </w:r>
      <w:r>
        <w:rPr>
          <w:rFonts w:eastAsia="MS Mincho;ＭＳ 明朝"/>
          <w:i/>
          <w:iCs/>
          <w:szCs w:val="15"/>
          <w:lang w:eastAsia="hi-IN"/>
        </w:rPr>
        <w:t>ṣ</w:t>
      </w:r>
      <w:r>
        <w:rPr>
          <w:rFonts w:eastAsia="MS Mincho;ＭＳ 明朝"/>
          <w:i/>
          <w:iCs/>
          <w:szCs w:val="15"/>
          <w:lang w:eastAsia="hi-IN"/>
        </w:rPr>
        <w:t>u vatsatarānavanvata tānvako dālbhirbravīdyūyamevaitānvibhajadhvamimamaha</w:t>
      </w:r>
      <w:r>
        <w:rPr>
          <w:rFonts w:eastAsia="MS Mincho;ＭＳ 明朝"/>
          <w:i/>
          <w:iCs/>
          <w:szCs w:val="15"/>
          <w:lang w:eastAsia="hi-IN"/>
        </w:rPr>
        <w:t>ṃ</w:t>
      </w:r>
      <w:r>
        <w:rPr>
          <w:rFonts w:eastAsia="MS Mincho;ＭＳ 明朝"/>
          <w:i/>
          <w:iCs/>
          <w:szCs w:val="15"/>
          <w:lang w:eastAsia="hi-IN"/>
        </w:rPr>
        <w:t xml:space="preserve"> dhr̥tarā</w:t>
      </w:r>
      <w:r>
        <w:rPr>
          <w:rFonts w:eastAsia="MS Mincho;ＭＳ 明朝"/>
          <w:i/>
          <w:iCs/>
          <w:szCs w:val="15"/>
          <w:lang w:eastAsia="hi-IN"/>
        </w:rPr>
        <w:t>ṣṭ</w:t>
      </w:r>
      <w:r>
        <w:rPr>
          <w:rFonts w:eastAsia="MS Mincho;ＭＳ 明朝"/>
          <w:i/>
          <w:iCs/>
          <w:szCs w:val="15"/>
          <w:lang w:eastAsia="hi-IN"/>
        </w:rPr>
        <w:t>ra</w:t>
      </w:r>
      <w:r>
        <w:rPr>
          <w:rFonts w:eastAsia="MS Mincho;ＭＳ 明朝"/>
          <w:i/>
          <w:iCs/>
          <w:szCs w:val="15"/>
          <w:lang w:eastAsia="hi-IN"/>
        </w:rPr>
        <w:t>ṃ</w:t>
      </w:r>
      <w:r>
        <w:rPr>
          <w:rFonts w:eastAsia="MS Mincho;ＭＳ 明朝"/>
          <w:i/>
          <w:iCs/>
          <w:szCs w:val="15"/>
          <w:lang w:eastAsia="hi-IN"/>
        </w:rPr>
        <w:t xml:space="preserve"> vaicitravīrya</w:t>
      </w:r>
      <w:r>
        <w:rPr>
          <w:rFonts w:eastAsia="MS Mincho;ＭＳ 明朝"/>
          <w:i/>
          <w:iCs/>
          <w:szCs w:val="15"/>
          <w:lang w:eastAsia="hi-IN"/>
        </w:rPr>
        <w:t>ṃ</w:t>
      </w:r>
      <w:r>
        <w:rPr>
          <w:rFonts w:eastAsia="MS Mincho;ＭＳ 明朝"/>
          <w:i/>
          <w:iCs/>
          <w:szCs w:val="15"/>
          <w:lang w:eastAsia="hi-IN"/>
        </w:rPr>
        <w:t xml:space="preserve"> gami</w:t>
      </w:r>
      <w:r>
        <w:rPr>
          <w:rFonts w:eastAsia="MS Mincho;ＭＳ 明朝"/>
          <w:i/>
          <w:iCs/>
          <w:szCs w:val="15"/>
          <w:lang w:eastAsia="hi-IN"/>
        </w:rPr>
        <w:t>ṣ</w:t>
      </w:r>
      <w:r>
        <w:rPr>
          <w:rFonts w:eastAsia="MS Mincho;ＭＳ 明朝"/>
          <w:i/>
          <w:iCs/>
          <w:szCs w:val="15"/>
          <w:lang w:eastAsia="hi-IN"/>
        </w:rPr>
        <w:t>yāmi sa mahya</w:t>
      </w:r>
      <w:r>
        <w:rPr>
          <w:rFonts w:eastAsia="MS Mincho;ＭＳ 明朝"/>
          <w:i/>
          <w:iCs/>
          <w:szCs w:val="15"/>
          <w:lang w:eastAsia="hi-IN"/>
        </w:rPr>
        <w:t>ṃ</w:t>
      </w:r>
      <w:r>
        <w:rPr>
          <w:rFonts w:eastAsia="MS Mincho;ＭＳ 明朝"/>
          <w:i/>
          <w:iCs/>
          <w:szCs w:val="15"/>
          <w:lang w:eastAsia="hi-IN"/>
        </w:rPr>
        <w:t xml:space="preserve"> gr̥hānkari</w:t>
      </w:r>
      <w:r>
        <w:rPr>
          <w:rFonts w:eastAsia="MS Mincho;ＭＳ 明朝"/>
          <w:i/>
          <w:iCs/>
          <w:szCs w:val="15"/>
          <w:lang w:eastAsia="hi-IN"/>
        </w:rPr>
        <w:t>ṣ</w:t>
      </w:r>
      <w:r>
        <w:rPr>
          <w:rFonts w:eastAsia="MS Mincho;ＭＳ 明朝"/>
          <w:i/>
          <w:iCs/>
          <w:szCs w:val="15"/>
          <w:lang w:eastAsia="hi-IN"/>
        </w:rPr>
        <w:t>yatīti tamāgacchattannāsūrk</w:t>
      </w:r>
      <w:r>
        <w:rPr>
          <w:rFonts w:eastAsia="MS Mincho;ＭＳ 明朝"/>
          <w:i/>
          <w:iCs/>
          <w:szCs w:val="15"/>
          <w:lang w:eastAsia="hi-IN"/>
        </w:rPr>
        <w:t>ṣ</w:t>
      </w:r>
      <w:r>
        <w:rPr>
          <w:rFonts w:eastAsia="MS Mincho;ＭＳ 明朝"/>
          <w:i/>
          <w:iCs/>
          <w:szCs w:val="15"/>
          <w:lang w:eastAsia="hi-IN"/>
        </w:rPr>
        <w:t>atta</w:t>
      </w:r>
      <w:r>
        <w:rPr>
          <w:rFonts w:eastAsia="MS Mincho;ＭＳ 明朝"/>
          <w:i/>
          <w:iCs/>
          <w:szCs w:val="15"/>
          <w:lang w:eastAsia="hi-IN"/>
        </w:rPr>
        <w:t>ṃ</w:t>
      </w:r>
      <w:r>
        <w:rPr>
          <w:rFonts w:eastAsia="MS Mincho;ＭＳ 明朝"/>
          <w:i/>
          <w:iCs/>
          <w:szCs w:val="15"/>
          <w:lang w:eastAsia="hi-IN"/>
        </w:rPr>
        <w:t xml:space="preserve"> prākālayataitā gā brahm</w:t>
      </w:r>
      <w:r>
        <w:rPr>
          <w:rFonts w:eastAsia="MS Mincho;ＭＳ 明朝"/>
          <w:i/>
          <w:iCs/>
          <w:szCs w:val="15"/>
          <w:lang w:eastAsia="hi-IN"/>
        </w:rPr>
        <w:t>abandha ityabravītpaśupatirgā hanti tā</w:t>
      </w:r>
      <w:r>
        <w:rPr>
          <w:rFonts w:eastAsia="MS Mincho;ＭＳ 明朝"/>
          <w:i/>
          <w:iCs/>
          <w:szCs w:val="15"/>
          <w:lang w:eastAsia="hi-IN"/>
        </w:rPr>
        <w:t>ḥ</w:t>
      </w:r>
      <w:r>
        <w:rPr>
          <w:rFonts w:eastAsia="MS Mincho;ＭＳ 明朝"/>
          <w:i/>
          <w:iCs/>
          <w:szCs w:val="15"/>
          <w:lang w:eastAsia="hi-IN"/>
        </w:rPr>
        <w:t xml:space="preserve"> para</w:t>
      </w:r>
      <w:r>
        <w:rPr>
          <w:rFonts w:eastAsia="MS Mincho;ＭＳ 明朝"/>
          <w:i/>
          <w:iCs/>
          <w:szCs w:val="15"/>
          <w:lang w:eastAsia="hi-IN"/>
        </w:rPr>
        <w:t>ḥ</w:t>
      </w:r>
      <w:r>
        <w:rPr>
          <w:rFonts w:eastAsia="MS Mincho;ＭＳ 明朝"/>
          <w:i/>
          <w:iCs/>
          <w:szCs w:val="15"/>
          <w:lang w:eastAsia="hi-IN"/>
        </w:rPr>
        <w:t xml:space="preserve"> pacamānaścareti tāsā</w:t>
      </w:r>
      <w:r>
        <w:rPr>
          <w:rFonts w:eastAsia="MS Mincho;ＭＳ 明朝"/>
          <w:i/>
          <w:iCs/>
          <w:szCs w:val="15"/>
          <w:lang w:eastAsia="hi-IN"/>
        </w:rPr>
        <w:t>ṃ</w:t>
      </w:r>
      <w:r>
        <w:rPr>
          <w:rFonts w:eastAsia="MS Mincho;ＭＳ 明朝"/>
          <w:i/>
          <w:iCs/>
          <w:szCs w:val="15"/>
          <w:lang w:eastAsia="hi-IN"/>
        </w:rPr>
        <w:t xml:space="preserve"> devasūrme rājānna</w:t>
      </w:r>
      <w:r>
        <w:rPr>
          <w:rFonts w:eastAsia="MS Mincho;ＭＳ 明朝"/>
          <w:i/>
          <w:iCs/>
          <w:szCs w:val="15"/>
          <w:lang w:eastAsia="hi-IN"/>
        </w:rPr>
        <w:t>ṃ</w:t>
      </w:r>
      <w:r>
        <w:rPr>
          <w:rFonts w:eastAsia="MS Mincho;ＭＳ 明朝"/>
          <w:i/>
          <w:iCs/>
          <w:szCs w:val="15"/>
          <w:lang w:eastAsia="hi-IN"/>
        </w:rPr>
        <w:t xml:space="preserve"> prāsu</w:t>
      </w:r>
      <w:r>
        <w:rPr>
          <w:rFonts w:eastAsia="MS Mincho;ＭＳ 明朝"/>
          <w:i/>
          <w:iCs/>
          <w:szCs w:val="15"/>
          <w:lang w:eastAsia="hi-IN"/>
        </w:rPr>
        <w:t>ṣ</w:t>
      </w:r>
      <w:r>
        <w:rPr>
          <w:rFonts w:eastAsia="MS Mincho;ＭＳ 明朝"/>
          <w:i/>
          <w:iCs/>
          <w:szCs w:val="15"/>
          <w:lang w:eastAsia="hi-IN"/>
        </w:rPr>
        <w:t>oditi sakthānyutkartamapacata tasminpacamāno vyadasyatso ‘gnaye rudravate ‘</w:t>
      </w:r>
      <w:r>
        <w:rPr>
          <w:rFonts w:eastAsia="MS Mincho;ＭＳ 明朝"/>
          <w:i/>
          <w:iCs/>
          <w:szCs w:val="15"/>
          <w:lang w:eastAsia="hi-IN"/>
        </w:rPr>
        <w:t>ṣṭ</w:t>
      </w:r>
      <w:r>
        <w:rPr>
          <w:rFonts w:eastAsia="MS Mincho;ＭＳ 明朝"/>
          <w:i/>
          <w:iCs/>
          <w:szCs w:val="15"/>
          <w:lang w:eastAsia="hi-IN"/>
        </w:rPr>
        <w:t>ākapāla</w:t>
      </w:r>
      <w:r>
        <w:rPr>
          <w:rFonts w:eastAsia="MS Mincho;ＭＳ 明朝"/>
          <w:i/>
          <w:iCs/>
          <w:szCs w:val="15"/>
          <w:lang w:eastAsia="hi-IN"/>
        </w:rPr>
        <w:t>ṃ</w:t>
      </w:r>
      <w:r>
        <w:rPr>
          <w:rFonts w:eastAsia="MS Mincho;ＭＳ 明朝"/>
          <w:i/>
          <w:iCs/>
          <w:szCs w:val="15"/>
          <w:lang w:eastAsia="hi-IN"/>
        </w:rPr>
        <w:t xml:space="preserve"> niravapatkr̥</w:t>
      </w:r>
      <w:r>
        <w:rPr>
          <w:rFonts w:eastAsia="MS Mincho;ＭＳ 明朝"/>
          <w:i/>
          <w:iCs/>
          <w:szCs w:val="15"/>
          <w:lang w:eastAsia="hi-IN"/>
        </w:rPr>
        <w:t>ṣṇ</w:t>
      </w:r>
      <w:r>
        <w:rPr>
          <w:rFonts w:eastAsia="MS Mincho;ＭＳ 明朝"/>
          <w:i/>
          <w:iCs/>
          <w:szCs w:val="15"/>
          <w:lang w:eastAsia="hi-IN"/>
        </w:rPr>
        <w:t>ānā</w:t>
      </w:r>
      <w:r>
        <w:rPr>
          <w:rFonts w:eastAsia="MS Mincho;ＭＳ 明朝"/>
          <w:i/>
          <w:iCs/>
          <w:szCs w:val="15"/>
          <w:lang w:eastAsia="hi-IN"/>
        </w:rPr>
        <w:t>ṃ</w:t>
      </w:r>
      <w:r>
        <w:rPr>
          <w:rFonts w:eastAsia="MS Mincho;ＭＳ 明朝"/>
          <w:i/>
          <w:iCs/>
          <w:szCs w:val="15"/>
          <w:lang w:eastAsia="hi-IN"/>
        </w:rPr>
        <w:t xml:space="preserve"> vrīhī</w:t>
      </w:r>
      <w:r>
        <w:rPr>
          <w:rFonts w:eastAsia="MS Mincho;ＭＳ 明朝"/>
          <w:i/>
          <w:iCs/>
          <w:szCs w:val="15"/>
          <w:lang w:eastAsia="hi-IN"/>
        </w:rPr>
        <w:t>ṇ</w:t>
      </w:r>
      <w:r>
        <w:rPr>
          <w:rFonts w:eastAsia="MS Mincho;ＭＳ 明朝"/>
          <w:i/>
          <w:iCs/>
          <w:szCs w:val="15"/>
          <w:lang w:eastAsia="hi-IN"/>
        </w:rPr>
        <w:t>ā</w:t>
      </w:r>
      <w:r>
        <w:rPr>
          <w:rFonts w:eastAsia="MS Mincho;ＭＳ 明朝"/>
          <w:i/>
          <w:iCs/>
          <w:szCs w:val="15"/>
          <w:lang w:eastAsia="hi-IN"/>
        </w:rPr>
        <w:t>ṃ</w:t>
      </w:r>
      <w:r>
        <w:rPr>
          <w:rFonts w:eastAsia="MS Mincho;ＭＳ 明朝"/>
          <w:i/>
          <w:iCs/>
          <w:szCs w:val="15"/>
          <w:lang w:eastAsia="hi-IN"/>
        </w:rPr>
        <w:t xml:space="preserve"> tasya yatki</w:t>
      </w:r>
      <w:r>
        <w:rPr>
          <w:rFonts w:eastAsia="MS Mincho;ＭＳ 明朝"/>
          <w:i/>
          <w:iCs/>
          <w:szCs w:val="15"/>
          <w:lang w:eastAsia="hi-IN"/>
        </w:rPr>
        <w:t>ṃ</w:t>
      </w:r>
      <w:r>
        <w:rPr>
          <w:rFonts w:eastAsia="MS Mincho;ＭＳ 明朝"/>
          <w:i/>
          <w:iCs/>
          <w:szCs w:val="15"/>
          <w:lang w:eastAsia="hi-IN"/>
        </w:rPr>
        <w:t>ca dhr̥tarā</w:t>
      </w:r>
      <w:r>
        <w:rPr>
          <w:rFonts w:eastAsia="MS Mincho;ＭＳ 明朝"/>
          <w:i/>
          <w:iCs/>
          <w:szCs w:val="15"/>
          <w:lang w:eastAsia="hi-IN"/>
        </w:rPr>
        <w:t>ṣṭ</w:t>
      </w:r>
      <w:r>
        <w:rPr>
          <w:rFonts w:eastAsia="MS Mincho;ＭＳ 明朝"/>
          <w:i/>
          <w:iCs/>
          <w:szCs w:val="15"/>
          <w:lang w:eastAsia="hi-IN"/>
        </w:rPr>
        <w:t>rasyāsīttatsarvamavakar</w:t>
      </w:r>
      <w:r>
        <w:rPr>
          <w:rFonts w:eastAsia="MS Mincho;ＭＳ 明朝"/>
          <w:i/>
          <w:iCs/>
          <w:szCs w:val="15"/>
          <w:lang w:eastAsia="hi-IN"/>
        </w:rPr>
        <w:t>ṇ</w:t>
      </w:r>
      <w:r>
        <w:rPr>
          <w:rFonts w:eastAsia="MS Mincho;ＭＳ 明朝"/>
          <w:i/>
          <w:iCs/>
          <w:szCs w:val="15"/>
          <w:lang w:eastAsia="hi-IN"/>
        </w:rPr>
        <w:t>a</w:t>
      </w:r>
      <w:r>
        <w:rPr>
          <w:rFonts w:eastAsia="MS Mincho;ＭＳ 明朝"/>
          <w:i/>
          <w:iCs/>
          <w:szCs w:val="15"/>
          <w:lang w:eastAsia="hi-IN"/>
        </w:rPr>
        <w:t>ṃ</w:t>
      </w:r>
      <w:r>
        <w:rPr>
          <w:rFonts w:eastAsia="MS Mincho;ＭＳ 明朝"/>
          <w:i/>
          <w:iCs/>
          <w:szCs w:val="15"/>
          <w:lang w:eastAsia="hi-IN"/>
        </w:rPr>
        <w:t xml:space="preserve"> vidrā</w:t>
      </w:r>
      <w:r>
        <w:rPr>
          <w:rFonts w:eastAsia="MS Mincho;ＭＳ 明朝"/>
          <w:i/>
          <w:iCs/>
          <w:szCs w:val="15"/>
          <w:lang w:eastAsia="hi-IN"/>
        </w:rPr>
        <w:t>ṇ</w:t>
      </w:r>
      <w:r>
        <w:rPr>
          <w:rFonts w:eastAsia="MS Mincho;ＭＳ 明朝"/>
          <w:i/>
          <w:iCs/>
          <w:szCs w:val="15"/>
          <w:lang w:eastAsia="hi-IN"/>
        </w:rPr>
        <w:t>amabhivyaucchattā vipraśnikā avindanbrāhma</w:t>
      </w:r>
      <w:r>
        <w:rPr>
          <w:rFonts w:eastAsia="MS Mincho;ＭＳ 明朝"/>
          <w:i/>
          <w:iCs/>
          <w:szCs w:val="15"/>
          <w:lang w:eastAsia="hi-IN"/>
        </w:rPr>
        <w:t>ṇ</w:t>
      </w:r>
      <w:r>
        <w:rPr>
          <w:rFonts w:eastAsia="MS Mincho;ＭＳ 明朝"/>
          <w:i/>
          <w:iCs/>
          <w:szCs w:val="15"/>
          <w:lang w:eastAsia="hi-IN"/>
        </w:rPr>
        <w:t xml:space="preserve">o vai tvāyamabhicarati tasminnāthasveti  </w:t>
      </w:r>
    </w:p>
    <w:p w14:paraId="020F751C" w14:textId="77777777" w:rsidR="00E53EB6" w:rsidRDefault="006500F5">
      <w:pPr>
        <w:pStyle w:val="Zitat"/>
        <w:rPr>
          <w:szCs w:val="15"/>
        </w:rPr>
      </w:pPr>
      <w:r>
        <w:rPr>
          <w:rFonts w:eastAsia="MS Mincho;ＭＳ 明朝"/>
          <w:szCs w:val="15"/>
          <w:lang w:eastAsia="hi-IN"/>
        </w:rPr>
        <w:t>The</w:t>
      </w:r>
      <w:r>
        <w:rPr>
          <w:rFonts w:eastAsia="MS Mincho;ＭＳ 明朝"/>
          <w:i/>
          <w:iCs/>
          <w:szCs w:val="15"/>
          <w:lang w:eastAsia="hi-IN"/>
        </w:rPr>
        <w:t xml:space="preserve"> </w:t>
      </w:r>
      <w:r>
        <w:rPr>
          <w:rFonts w:eastAsia="MS Mincho;ＭＳ 明朝"/>
          <w:szCs w:val="15"/>
          <w:lang w:eastAsia="hi-IN"/>
        </w:rPr>
        <w:t>Naimi</w:t>
      </w:r>
      <w:r>
        <w:rPr>
          <w:rFonts w:eastAsia="MS Mincho;ＭＳ 明朝"/>
          <w:szCs w:val="15"/>
          <w:lang w:eastAsia="hi-IN"/>
        </w:rPr>
        <w:t>ṣ</w:t>
      </w:r>
      <w:r>
        <w:rPr>
          <w:rFonts w:eastAsia="MS Mincho;ＭＳ 明朝"/>
          <w:szCs w:val="15"/>
          <w:lang w:eastAsia="hi-IN"/>
        </w:rPr>
        <w:t>yas</w:t>
      </w:r>
      <w:r>
        <w:rPr>
          <w:rStyle w:val="FootnoteAnchor"/>
          <w:rFonts w:eastAsia="MS Mincho;ＭＳ 明朝"/>
          <w:szCs w:val="15"/>
          <w:lang w:eastAsia="hi-IN"/>
        </w:rPr>
        <w:footnoteReference w:id="232"/>
      </w:r>
      <w:r>
        <w:rPr>
          <w:rFonts w:eastAsia="MS Mincho;ＭＳ 明朝"/>
          <w:szCs w:val="15"/>
          <w:lang w:eastAsia="hi-IN"/>
        </w:rPr>
        <w:t xml:space="preserve"> celebrated a </w:t>
      </w:r>
      <w:r>
        <w:rPr>
          <w:rFonts w:eastAsia="MS Mincho;ＭＳ 明朝"/>
          <w:i/>
          <w:iCs/>
          <w:szCs w:val="15"/>
          <w:lang w:eastAsia="hi-IN"/>
        </w:rPr>
        <w:t xml:space="preserve">sattra </w:t>
      </w:r>
      <w:r>
        <w:rPr>
          <w:rFonts w:eastAsia="MS Mincho;ＭＳ 明朝"/>
          <w:szCs w:val="15"/>
          <w:lang w:eastAsia="hi-IN"/>
        </w:rPr>
        <w:t>sacrifice</w:t>
      </w:r>
      <w:r>
        <w:rPr>
          <w:rStyle w:val="FootnoteAnchor"/>
          <w:rFonts w:eastAsia="MS Mincho;ＭＳ 明朝"/>
          <w:szCs w:val="15"/>
          <w:lang w:eastAsia="hi-IN"/>
        </w:rPr>
        <w:footnoteReference w:id="233"/>
      </w:r>
      <w:r>
        <w:rPr>
          <w:rFonts w:eastAsia="MS Mincho;ＭＳ 明朝"/>
          <w:szCs w:val="15"/>
          <w:lang w:eastAsia="hi-IN"/>
        </w:rPr>
        <w:t xml:space="preserve">, as they finished, they </w:t>
      </w:r>
      <w:r>
        <w:rPr>
          <w:rFonts w:eastAsia="MS Mincho;ＭＳ 明朝"/>
          <w:szCs w:val="15"/>
          <w:u w:val="single"/>
          <w:lang w:eastAsia="hi-IN"/>
        </w:rPr>
        <w:t>appropriated</w:t>
      </w:r>
      <w:r>
        <w:rPr>
          <w:rFonts w:eastAsia="MS Mincho;ＭＳ 明朝"/>
          <w:szCs w:val="15"/>
          <w:lang w:eastAsia="hi-IN"/>
        </w:rPr>
        <w:t xml:space="preserve"> for themselves 27 young bulls among the Kuru-Pañcālas, Vaka Dālbhi</w:t>
      </w:r>
      <w:r>
        <w:rPr>
          <w:rStyle w:val="FootnoteAnchor"/>
          <w:rFonts w:eastAsia="MS Mincho;ＭＳ 明朝"/>
          <w:szCs w:val="15"/>
          <w:lang w:eastAsia="hi-IN"/>
        </w:rPr>
        <w:footnoteReference w:id="234"/>
      </w:r>
      <w:r>
        <w:rPr>
          <w:rFonts w:eastAsia="MS Mincho;ＭＳ 明朝"/>
          <w:szCs w:val="15"/>
          <w:lang w:eastAsia="hi-IN"/>
        </w:rPr>
        <w:t xml:space="preserve"> said: “Y</w:t>
      </w:r>
      <w:r>
        <w:rPr>
          <w:rFonts w:eastAsia="MS Mincho;ＭＳ 明朝"/>
          <w:szCs w:val="15"/>
          <w:lang w:eastAsia="hi-IN"/>
        </w:rPr>
        <w:t>ou divide these ones and I will go to this Dhr̥tarā</w:t>
      </w:r>
      <w:r>
        <w:rPr>
          <w:rFonts w:eastAsia="MS Mincho;ＭＳ 明朝"/>
          <w:szCs w:val="15"/>
          <w:lang w:eastAsia="hi-IN"/>
        </w:rPr>
        <w:t>ṣṭ</w:t>
      </w:r>
      <w:r>
        <w:rPr>
          <w:rFonts w:eastAsia="MS Mincho;ＭＳ 明朝"/>
          <w:szCs w:val="15"/>
          <w:lang w:eastAsia="hi-IN"/>
        </w:rPr>
        <w:t>ra son of Vicitravīrya, he will make houses for me”. He came to this one, this one did not care about him and pushed him forward “These cows here, o unworthy Brahmán” so he spoke, Paśupati kills the cows</w:t>
      </w:r>
      <w:r>
        <w:rPr>
          <w:rFonts w:eastAsia="MS Mincho;ＭＳ 明朝"/>
          <w:szCs w:val="15"/>
          <w:lang w:eastAsia="hi-IN"/>
        </w:rPr>
        <w:t xml:space="preserve"> “Go away </w:t>
      </w:r>
      <w:r>
        <w:rPr>
          <w:rFonts w:eastAsia="MS Mincho;ＭＳ 明朝"/>
          <w:szCs w:val="15"/>
          <w:lang w:eastAsia="hi-IN"/>
        </w:rPr>
        <w:lastRenderedPageBreak/>
        <w:t>cooking” “Their Devasū</w:t>
      </w:r>
      <w:r>
        <w:rPr>
          <w:rStyle w:val="FootnoteAnchor"/>
          <w:rFonts w:eastAsia="MS Mincho;ＭＳ 明朝"/>
          <w:szCs w:val="15"/>
          <w:lang w:eastAsia="hi-IN"/>
        </w:rPr>
        <w:footnoteReference w:id="235"/>
      </w:r>
      <w:r>
        <w:rPr>
          <w:rFonts w:eastAsia="MS Mincho;ＭＳ 明朝"/>
          <w:szCs w:val="15"/>
          <w:lang w:eastAsia="hi-IN"/>
        </w:rPr>
        <w:t xml:space="preserve"> let prepare for me the food of the king”; having cut off the thighs he cooked them; while he was cooking, it</w:t>
      </w:r>
      <w:r>
        <w:rPr>
          <w:rStyle w:val="FootnoteAnchor"/>
          <w:rFonts w:eastAsia="MS Mincho;ＭＳ 明朝"/>
          <w:szCs w:val="15"/>
          <w:lang w:eastAsia="hi-IN"/>
        </w:rPr>
        <w:footnoteReference w:id="236"/>
      </w:r>
      <w:r>
        <w:rPr>
          <w:rFonts w:eastAsia="MS Mincho;ＭＳ 明朝"/>
          <w:szCs w:val="15"/>
          <w:lang w:eastAsia="hi-IN"/>
        </w:rPr>
        <w:t xml:space="preserve"> came to an end; he sacrificed to Agni Rudravat eight potsherds of dark grains; whatever belonged to Dhr̥tarā</w:t>
      </w:r>
      <w:r>
        <w:rPr>
          <w:rFonts w:eastAsia="MS Mincho;ＭＳ 明朝"/>
          <w:szCs w:val="15"/>
          <w:lang w:eastAsia="hi-IN"/>
        </w:rPr>
        <w:t>ṣṭ</w:t>
      </w:r>
      <w:r>
        <w:rPr>
          <w:rFonts w:eastAsia="MS Mincho;ＭＳ 明朝"/>
          <w:szCs w:val="15"/>
          <w:lang w:eastAsia="hi-IN"/>
        </w:rPr>
        <w:t>ra, at the sunshine</w:t>
      </w:r>
      <w:r>
        <w:rPr>
          <w:rStyle w:val="FootnoteAnchor"/>
          <w:rFonts w:eastAsia="MS Mincho;ＭＳ 明朝"/>
          <w:szCs w:val="15"/>
          <w:lang w:eastAsia="hi-IN"/>
        </w:rPr>
        <w:footnoteReference w:id="237"/>
      </w:r>
      <w:r>
        <w:rPr>
          <w:rFonts w:eastAsia="MS Mincho;ＭＳ 明朝"/>
          <w:szCs w:val="15"/>
          <w:lang w:eastAsia="hi-IN"/>
        </w:rPr>
        <w:t xml:space="preserve"> was scattered</w:t>
      </w:r>
      <w:r>
        <w:rPr>
          <w:rStyle w:val="FootnoteAnchor"/>
          <w:rFonts w:eastAsia="MS Mincho;ＭＳ 明朝"/>
          <w:szCs w:val="15"/>
          <w:lang w:eastAsia="hi-IN"/>
        </w:rPr>
        <w:footnoteReference w:id="238"/>
      </w:r>
      <w:r>
        <w:rPr>
          <w:rFonts w:eastAsia="MS Mincho;ＭＳ 明朝"/>
          <w:szCs w:val="15"/>
          <w:lang w:eastAsia="hi-IN"/>
        </w:rPr>
        <w:t xml:space="preserve"> and spread away; the future-tellers discovered him “The Brahmán indeed makes witchcraft against you, seek his protection”. </w:t>
      </w:r>
    </w:p>
    <w:p w14:paraId="260C6946" w14:textId="77777777" w:rsidR="00E53EB6" w:rsidRPr="00B80C6B" w:rsidRDefault="006500F5">
      <w:pPr>
        <w:pStyle w:val="Zitat"/>
        <w:rPr>
          <w:lang w:val="de-DE"/>
        </w:rPr>
      </w:pPr>
      <w:r w:rsidRPr="00B80C6B">
        <w:rPr>
          <w:i/>
          <w:iCs/>
          <w:lang w:val="de-DE"/>
        </w:rPr>
        <w:t>avanvata:</w:t>
      </w:r>
      <w:r w:rsidRPr="00B80C6B">
        <w:rPr>
          <w:lang w:val="de-DE"/>
        </w:rPr>
        <w:t xml:space="preserve"> </w:t>
      </w:r>
      <w:r w:rsidRPr="00B80C6B">
        <w:rPr>
          <w:rFonts w:eastAsia="MS Mincho;ＭＳ 明朝"/>
          <w:szCs w:val="15"/>
          <w:lang w:val="de-DE" w:eastAsia="hi-IN"/>
        </w:rPr>
        <w:t>ind. impf. 3</w:t>
      </w:r>
      <w:r w:rsidRPr="00B80C6B">
        <w:rPr>
          <w:lang w:val="de-DE"/>
        </w:rPr>
        <w:t>rd</w:t>
      </w:r>
      <w:r w:rsidRPr="00B80C6B">
        <w:rPr>
          <w:rFonts w:eastAsia="MS Mincho;ＭＳ 明朝"/>
          <w:szCs w:val="15"/>
          <w:lang w:val="de-DE" w:eastAsia="hi-IN"/>
        </w:rPr>
        <w:t xml:space="preserve"> pl. Ā VIII cl.</w:t>
      </w:r>
    </w:p>
    <w:p w14:paraId="452F5B74" w14:textId="77777777" w:rsidR="00E53EB6" w:rsidRPr="00B80C6B" w:rsidRDefault="006500F5">
      <w:pPr>
        <w:pStyle w:val="ZitatmitEinzug"/>
        <w:rPr>
          <w:lang w:val="de-DE"/>
        </w:rPr>
      </w:pPr>
      <w:r w:rsidRPr="00B80C6B">
        <w:rPr>
          <w:rStyle w:val="biblio-authorGEN"/>
          <w:rFonts w:eastAsia="MS Mincho;ＭＳ 明朝" w:cs="Times Ext Roman"/>
          <w:sz w:val="18"/>
          <w:lang w:val="de-DE" w:eastAsia="hi-IN" w:bidi="en-GB"/>
        </w:rPr>
        <w:t>Caland</w:t>
      </w:r>
      <w:r w:rsidRPr="00B80C6B">
        <w:rPr>
          <w:rFonts w:eastAsia="MS Mincho;ＭＳ 明朝" w:cs="Times Ext Roman"/>
          <w:lang w:val="de-DE" w:eastAsia="hi-IN" w:bidi="en-GB"/>
        </w:rPr>
        <w:t xml:space="preserve"> 1908: 52 </w:t>
      </w:r>
      <w:r w:rsidRPr="00B80C6B">
        <w:rPr>
          <w:rFonts w:eastAsia="MS Mincho;ＭＳ 明朝" w:cs="Times Ext Roman"/>
          <w:lang w:val="de-DE" w:eastAsia="hi-IN" w:bidi="en-GB"/>
        </w:rPr>
        <w:t>“erbeuteten”</w:t>
      </w:r>
      <w:r w:rsidRPr="00B80C6B">
        <w:rPr>
          <w:rFonts w:eastAsia="MS Mincho;ＭＳ 明朝" w:cs="Times Ext Roman"/>
          <w:lang w:val="de-DE" w:eastAsia="hi-IN" w:bidi="en-GB"/>
        </w:rPr>
        <w:t xml:space="preserve">  </w:t>
      </w:r>
    </w:p>
    <w:p w14:paraId="44D44463" w14:textId="77777777" w:rsidR="00E53EB6" w:rsidRPr="00B80C6B" w:rsidRDefault="006500F5">
      <w:pPr>
        <w:pStyle w:val="ZitatmitEinzug"/>
        <w:rPr>
          <w:lang w:val="de-DE"/>
        </w:rPr>
      </w:pPr>
      <w:r w:rsidRPr="00B80C6B">
        <w:rPr>
          <w:rStyle w:val="biblio-authorGEN"/>
          <w:rFonts w:eastAsia="MS Mincho;ＭＳ 明朝" w:cs="Times Ext Roman"/>
          <w:sz w:val="18"/>
          <w:lang w:val="de-DE" w:eastAsia="hi-IN" w:bidi="en-GB"/>
        </w:rPr>
        <w:t>Falk</w:t>
      </w:r>
      <w:r w:rsidRPr="00B80C6B">
        <w:rPr>
          <w:rFonts w:eastAsia="MS Mincho;ＭＳ 明朝" w:cs="Times Ext Roman"/>
          <w:lang w:val="de-DE" w:eastAsia="hi-IN" w:bidi="en-GB"/>
        </w:rPr>
        <w:t xml:space="preserve"> 1986: 59 </w:t>
      </w:r>
      <w:r w:rsidRPr="00B80C6B">
        <w:rPr>
          <w:rFonts w:eastAsia="MS Mincho;ＭＳ 明朝" w:cs="Times Ext Roman"/>
          <w:lang w:val="de-DE" w:eastAsia="hi-IN" w:bidi="en-GB"/>
        </w:rPr>
        <w:t>“verlangten (und erhielten)”</w:t>
      </w:r>
    </w:p>
    <w:p w14:paraId="1E505C3D" w14:textId="77777777" w:rsidR="00E53EB6" w:rsidRPr="00B80C6B" w:rsidRDefault="006500F5">
      <w:pPr>
        <w:pStyle w:val="HaupttextnachZitat"/>
        <w:rPr>
          <w:lang w:val="de-DE"/>
        </w:rPr>
      </w:pPr>
      <w:r w:rsidRPr="00B80C6B">
        <w:rPr>
          <w:lang w:val="de-DE"/>
        </w:rPr>
        <w:t>Vedic Web</w:t>
      </w:r>
    </w:p>
    <w:p w14:paraId="0BEF5493" w14:textId="77777777" w:rsidR="00E53EB6" w:rsidRDefault="006500F5">
      <w:pPr>
        <w:pStyle w:val="HaupttextohneEinzug"/>
        <w:rPr>
          <w:rFonts w:eastAsia="MS Mincho;ＭＳ 明朝" w:cs="Times Ext Roman"/>
          <w:lang w:eastAsia="hi-IN" w:bidi="en-GB"/>
        </w:rPr>
      </w:pPr>
      <w:r>
        <w:rPr>
          <w:rFonts w:eastAsia="MS Mincho;ＭＳ 明朝" w:cs="Times Ext Roman"/>
          <w:lang w:eastAsia="hi-IN" w:bidi="en-GB"/>
        </w:rPr>
        <w:t>∅</w:t>
      </w:r>
    </w:p>
    <w:p w14:paraId="778C38A8" w14:textId="77777777" w:rsidR="00E53EB6" w:rsidRDefault="00E53EB6">
      <w:pPr>
        <w:pStyle w:val="HaupttextohneEinzug"/>
        <w:rPr>
          <w:rFonts w:eastAsia="MS Mincho;ＭＳ 明朝" w:cs="Times Ext Roman"/>
          <w:lang w:eastAsia="hi-IN" w:bidi="en-GB"/>
        </w:rPr>
      </w:pPr>
    </w:p>
    <w:p w14:paraId="59667A25" w14:textId="77777777" w:rsidR="00E53EB6" w:rsidRDefault="006500F5">
      <w:pPr>
        <w:pStyle w:val="HaupttextohneEinzug"/>
        <w:rPr>
          <w:rFonts w:eastAsia="MS Mincho;ＭＳ 明朝" w:cs="Times Ext Roman"/>
          <w:lang w:eastAsia="hi-IN" w:bidi="en-GB"/>
        </w:rPr>
      </w:pPr>
      <w:r>
        <w:rPr>
          <w:rFonts w:eastAsia="MS Mincho;ＭＳ 明朝" w:cs="Times Ext Roman"/>
          <w:lang w:eastAsia="hi-IN" w:bidi="en-GB"/>
        </w:rPr>
        <w:t>Rite</w:t>
      </w:r>
    </w:p>
    <w:p w14:paraId="4B68B3AF" w14:textId="77777777" w:rsidR="00E53EB6" w:rsidRDefault="006500F5">
      <w:pPr>
        <w:pStyle w:val="HaupttextohneEinzug"/>
        <w:rPr>
          <w:rFonts w:eastAsia="MS Mincho;ＭＳ 明朝" w:cs="Times Ext Roman"/>
          <w:lang w:eastAsia="hi-IN" w:bidi="en-GB"/>
        </w:rPr>
      </w:pPr>
      <w:r>
        <w:rPr>
          <w:rFonts w:eastAsia="MS Mincho;ＭＳ 明朝" w:cs="Times Ext Roman"/>
          <w:lang w:eastAsia="hi-IN" w:bidi="en-GB"/>
        </w:rPr>
        <w:t xml:space="preserve">Paragraphs 10.5-7 are </w:t>
      </w:r>
      <w:r>
        <w:rPr>
          <w:rFonts w:eastAsia="MS Mincho;ＭＳ 明朝" w:cs="Times Ext Roman"/>
          <w:i/>
          <w:iCs/>
          <w:lang w:eastAsia="hi-IN" w:bidi="en-GB"/>
        </w:rPr>
        <w:t>brāhma</w:t>
      </w:r>
      <w:r>
        <w:rPr>
          <w:rFonts w:eastAsia="MS Mincho;ＭＳ 明朝" w:cs="Times Ext Roman"/>
          <w:i/>
          <w:iCs/>
          <w:lang w:eastAsia="hi-IN" w:bidi="en-GB"/>
        </w:rPr>
        <w:t>ṇ</w:t>
      </w:r>
      <w:r>
        <w:rPr>
          <w:rFonts w:eastAsia="MS Mincho;ＭＳ 明朝" w:cs="Times Ext Roman"/>
          <w:i/>
          <w:iCs/>
          <w:lang w:eastAsia="hi-IN" w:bidi="en-GB"/>
        </w:rPr>
        <w:t>a</w:t>
      </w:r>
      <w:r>
        <w:rPr>
          <w:rFonts w:eastAsia="MS Mincho;ＭＳ 明朝" w:cs="Times Ext Roman"/>
          <w:lang w:eastAsia="hi-IN" w:bidi="en-GB"/>
        </w:rPr>
        <w:t xml:space="preserve">-passages comparable with TS 2.2.2 and MS 2.1.10-11, concerning the </w:t>
      </w:r>
      <w:r>
        <w:rPr>
          <w:rFonts w:eastAsia="MS Mincho;ＭＳ 明朝" w:cs="Times Ext Roman"/>
          <w:i/>
          <w:iCs/>
          <w:lang w:eastAsia="hi-IN" w:bidi="en-GB"/>
        </w:rPr>
        <w:t>kāmyā i</w:t>
      </w:r>
      <w:r>
        <w:rPr>
          <w:rFonts w:eastAsia="MS Mincho;ＭＳ 明朝" w:cs="Times Ext Roman"/>
          <w:i/>
          <w:iCs/>
          <w:lang w:eastAsia="hi-IN" w:bidi="en-GB"/>
        </w:rPr>
        <w:t>ṣṭ</w:t>
      </w:r>
      <w:r>
        <w:rPr>
          <w:rFonts w:eastAsia="MS Mincho;ＭＳ 明朝" w:cs="Times Ext Roman"/>
          <w:i/>
          <w:iCs/>
          <w:lang w:eastAsia="hi-IN" w:bidi="en-GB"/>
        </w:rPr>
        <w:t xml:space="preserve">ayah </w:t>
      </w:r>
      <w:r>
        <w:rPr>
          <w:rFonts w:eastAsia="MS Mincho;ＭＳ 明朝" w:cs="Times Ext Roman"/>
          <w:lang w:eastAsia="hi-IN" w:bidi="en-GB"/>
        </w:rPr>
        <w:t>mainly</w:t>
      </w:r>
      <w:r>
        <w:rPr>
          <w:rFonts w:eastAsia="MS Mincho;ＭＳ 明朝" w:cs="Times Ext Roman"/>
          <w:i/>
          <w:iCs/>
          <w:lang w:eastAsia="hi-IN" w:bidi="en-GB"/>
        </w:rPr>
        <w:t xml:space="preserve"> </w:t>
      </w:r>
      <w:r>
        <w:rPr>
          <w:rFonts w:eastAsia="MS Mincho;ＭＳ 明朝" w:cs="Times Ext Roman"/>
          <w:lang w:eastAsia="hi-IN" w:bidi="en-GB"/>
        </w:rPr>
        <w:t xml:space="preserve">to Agni Pathikr̥t to be praised in different cases (the verses commented on are </w:t>
      </w:r>
      <w:r>
        <w:rPr>
          <w:rFonts w:eastAsia="MS Mincho;ＭＳ 明朝" w:cs="Times Ext Roman"/>
          <w:i/>
          <w:iCs/>
          <w:lang w:eastAsia="hi-IN" w:bidi="en-GB"/>
        </w:rPr>
        <w:t>yājyās</w:t>
      </w:r>
      <w:r>
        <w:rPr>
          <w:rFonts w:eastAsia="MS Mincho;ＭＳ 明朝" w:cs="Times Ext Roman"/>
          <w:lang w:eastAsia="hi-IN" w:bidi="en-GB"/>
        </w:rPr>
        <w:t xml:space="preserve"> and </w:t>
      </w:r>
      <w:r>
        <w:rPr>
          <w:rFonts w:eastAsia="MS Mincho;ＭＳ 明朝" w:cs="Times Ext Roman"/>
          <w:i/>
          <w:iCs/>
          <w:lang w:eastAsia="hi-IN" w:bidi="en-GB"/>
        </w:rPr>
        <w:t>puronuvākyās</w:t>
      </w:r>
      <w:r>
        <w:rPr>
          <w:rFonts w:eastAsia="MS Mincho;ＭＳ 明朝" w:cs="Times Ext Roman"/>
          <w:lang w:eastAsia="hi-IN" w:bidi="en-GB"/>
        </w:rPr>
        <w:t xml:space="preserve"> in TS 1.1.14; 1.2.14; 1.3.14). To Agni with the Rudras should be offered when practicing magic, </w:t>
      </w:r>
      <w:r>
        <w:rPr>
          <w:rFonts w:eastAsia="MS Mincho;ＭＳ 明朝" w:cs="Times Ext Roman"/>
          <w:i/>
          <w:iCs/>
          <w:lang w:eastAsia="hi-IN" w:bidi="en-GB"/>
        </w:rPr>
        <w:t xml:space="preserve">abhicāra </w:t>
      </w:r>
      <w:r>
        <w:rPr>
          <w:rFonts w:eastAsia="MS Mincho;ＭＳ 明朝" w:cs="Times Ext Roman"/>
          <w:lang w:eastAsia="hi-IN" w:bidi="en-GB"/>
        </w:rPr>
        <w:t>(TS 2.2.2.3), another occasion is when a battle is joined (TS 2.2.2.4).</w:t>
      </w:r>
    </w:p>
    <w:p w14:paraId="0AC21D0A" w14:textId="77777777" w:rsidR="00E53EB6" w:rsidRDefault="006500F5">
      <w:pPr>
        <w:pStyle w:val="HaupttextohneEinzug"/>
        <w:rPr>
          <w:rFonts w:eastAsia="MS Mincho;ＭＳ 明朝" w:cs="Times Ext Roman"/>
          <w:lang w:eastAsia="hi-IN" w:bidi="en-GB"/>
        </w:rPr>
      </w:pPr>
      <w:r>
        <w:rPr>
          <w:rFonts w:eastAsia="MS Mincho;ＭＳ 明朝" w:cs="Times Ext Roman"/>
          <w:lang w:eastAsia="hi-IN" w:bidi="en-GB"/>
        </w:rPr>
        <w:t xml:space="preserve">This part is the explication of the </w:t>
      </w:r>
      <w:r>
        <w:rPr>
          <w:rFonts w:eastAsia="MS Mincho;ＭＳ 明朝" w:cs="Times Ext Roman"/>
          <w:i/>
          <w:iCs/>
          <w:lang w:eastAsia="hi-IN" w:bidi="en-GB"/>
        </w:rPr>
        <w:t>i</w:t>
      </w:r>
      <w:r>
        <w:rPr>
          <w:rFonts w:eastAsia="MS Mincho;ＭＳ 明朝" w:cs="Times Ext Roman"/>
          <w:i/>
          <w:iCs/>
          <w:lang w:eastAsia="hi-IN" w:bidi="en-GB"/>
        </w:rPr>
        <w:t>ṣṭ</w:t>
      </w:r>
      <w:r>
        <w:rPr>
          <w:rFonts w:eastAsia="MS Mincho;ＭＳ 明朝" w:cs="Times Ext Roman"/>
          <w:i/>
          <w:iCs/>
          <w:lang w:eastAsia="hi-IN" w:bidi="en-GB"/>
        </w:rPr>
        <w:t xml:space="preserve">i </w:t>
      </w:r>
      <w:r>
        <w:rPr>
          <w:rFonts w:eastAsia="MS Mincho;ＭＳ 明朝" w:cs="Times Ext Roman"/>
          <w:lang w:eastAsia="hi-IN" w:bidi="en-GB"/>
        </w:rPr>
        <w:t>on eight potsh</w:t>
      </w:r>
      <w:r>
        <w:rPr>
          <w:rFonts w:eastAsia="MS Mincho;ＭＳ 明朝" w:cs="Times Ext Roman"/>
          <w:lang w:eastAsia="hi-IN" w:bidi="en-GB"/>
        </w:rPr>
        <w:t>erds to Agni Rudravat</w:t>
      </w:r>
      <w:r>
        <w:rPr>
          <w:rFonts w:eastAsia="MS Mincho;ＭＳ 明朝" w:cs="Times Ext Roman"/>
          <w:i/>
          <w:iCs/>
          <w:lang w:eastAsia="hi-IN" w:bidi="en-GB"/>
        </w:rPr>
        <w:t xml:space="preserve"> </w:t>
      </w:r>
      <w:r>
        <w:rPr>
          <w:rFonts w:eastAsia="MS Mincho;ＭＳ 明朝" w:cs="Times Ext Roman"/>
          <w:lang w:eastAsia="hi-IN" w:bidi="en-GB"/>
        </w:rPr>
        <w:t xml:space="preserve">for someone who wants to damage the enemy, in the TS and MS corresponding sections is only short mentioned. The story, which can be found also later in MhB IX, 41, is that of the ritual dispute between the </w:t>
      </w:r>
      <w:r>
        <w:rPr>
          <w:rFonts w:eastAsia="MS Mincho;ＭＳ 明朝" w:cs="Times Ext Roman"/>
          <w:i/>
          <w:iCs/>
          <w:lang w:eastAsia="hi-IN" w:bidi="en-GB"/>
        </w:rPr>
        <w:t>r̥</w:t>
      </w:r>
      <w:r>
        <w:rPr>
          <w:rFonts w:eastAsia="MS Mincho;ＭＳ 明朝" w:cs="Times Ext Roman"/>
          <w:i/>
          <w:iCs/>
          <w:lang w:eastAsia="hi-IN" w:bidi="en-GB"/>
        </w:rPr>
        <w:t>ṣ</w:t>
      </w:r>
      <w:r>
        <w:rPr>
          <w:rFonts w:eastAsia="MS Mincho;ＭＳ 明朝" w:cs="Times Ext Roman"/>
          <w:i/>
          <w:iCs/>
          <w:lang w:eastAsia="hi-IN" w:bidi="en-GB"/>
        </w:rPr>
        <w:t>i</w:t>
      </w:r>
      <w:r>
        <w:rPr>
          <w:rFonts w:eastAsia="MS Mincho;ＭＳ 明朝" w:cs="Times Ext Roman"/>
          <w:lang w:eastAsia="hi-IN" w:bidi="en-GB"/>
        </w:rPr>
        <w:t xml:space="preserve"> Vaka (or Baka) Dālbhya </w:t>
      </w:r>
      <w:r>
        <w:rPr>
          <w:rFonts w:eastAsia="MS Mincho;ＭＳ 明朝" w:cs="Times Ext Roman"/>
          <w:lang w:eastAsia="hi-IN" w:bidi="en-GB"/>
        </w:rPr>
        <w:t>and the king Dhr̥tarā</w:t>
      </w:r>
      <w:r>
        <w:rPr>
          <w:rFonts w:eastAsia="MS Mincho;ＭＳ 明朝" w:cs="Times Ext Roman"/>
          <w:lang w:eastAsia="hi-IN" w:bidi="en-GB"/>
        </w:rPr>
        <w:t>ṣṭ</w:t>
      </w:r>
      <w:r>
        <w:rPr>
          <w:rFonts w:eastAsia="MS Mincho;ＭＳ 明朝" w:cs="Times Ext Roman"/>
          <w:lang w:eastAsia="hi-IN" w:bidi="en-GB"/>
        </w:rPr>
        <w:t xml:space="preserve">ra. As to the connection with the </w:t>
      </w:r>
      <w:r>
        <w:rPr>
          <w:rFonts w:eastAsia="MS Mincho;ＭＳ 明朝" w:cs="Times Ext Roman"/>
          <w:i/>
          <w:iCs/>
          <w:lang w:eastAsia="hi-IN" w:bidi="en-GB"/>
        </w:rPr>
        <w:t>vrātya</w:t>
      </w:r>
      <w:r>
        <w:rPr>
          <w:rFonts w:eastAsia="MS Mincho;ＭＳ 明朝" w:cs="Times Ext Roman"/>
          <w:lang w:eastAsia="hi-IN" w:bidi="en-GB"/>
        </w:rPr>
        <w:t>s</w:t>
      </w:r>
      <w:r>
        <w:rPr>
          <w:rFonts w:eastAsia="MS Mincho;ＭＳ 明朝" w:cs="Times Ext Roman"/>
          <w:i/>
          <w:iCs/>
          <w:lang w:eastAsia="hi-IN" w:bidi="en-GB"/>
        </w:rPr>
        <w:t xml:space="preserve">, </w:t>
      </w:r>
      <w:r>
        <w:rPr>
          <w:rFonts w:eastAsia="MS Mincho;ＭＳ 明朝" w:cs="Times Ext Roman"/>
          <w:lang w:eastAsia="hi-IN" w:bidi="en-GB"/>
        </w:rPr>
        <w:t xml:space="preserve">see </w:t>
      </w:r>
      <w:r>
        <w:rPr>
          <w:rStyle w:val="biblio-authorGEN"/>
          <w:rFonts w:eastAsia="MS Mincho;ＭＳ 明朝" w:cs="Times Ext Roman"/>
          <w:lang w:eastAsia="hi-IN" w:bidi="en-GB"/>
        </w:rPr>
        <w:t>Heesterman</w:t>
      </w:r>
      <w:r>
        <w:rPr>
          <w:rFonts w:eastAsia="MS Mincho;ＭＳ 明朝" w:cs="Times Ext Roman"/>
          <w:lang w:eastAsia="hi-IN" w:bidi="en-GB"/>
        </w:rPr>
        <w:t xml:space="preserve"> 1962: 29-31 and </w:t>
      </w:r>
      <w:r>
        <w:rPr>
          <w:rStyle w:val="biblio-authorGEN"/>
          <w:rFonts w:eastAsia="MS Mincho;ＭＳ 明朝" w:cs="Times Ext Roman"/>
          <w:lang w:eastAsia="hi-IN" w:bidi="en-GB"/>
        </w:rPr>
        <w:t>Falk</w:t>
      </w:r>
      <w:r>
        <w:rPr>
          <w:rFonts w:eastAsia="MS Mincho;ＭＳ 明朝" w:cs="Times Ext Roman"/>
          <w:lang w:eastAsia="hi-IN" w:bidi="en-GB"/>
        </w:rPr>
        <w:t xml:space="preserve"> 1986: 58-60.</w:t>
      </w:r>
    </w:p>
    <w:p w14:paraId="53E0C1A7" w14:textId="77777777" w:rsidR="00E53EB6" w:rsidRDefault="00E53EB6">
      <w:pPr>
        <w:pStyle w:val="HaupttextohneEinzug"/>
        <w:rPr>
          <w:rFonts w:eastAsia="MS Mincho;ＭＳ 明朝" w:cs="Times Ext Roman"/>
          <w:sz w:val="22"/>
          <w:lang w:eastAsia="hi-IN" w:bidi="en-GB"/>
        </w:rPr>
      </w:pPr>
    </w:p>
    <w:p w14:paraId="70720645" w14:textId="77777777" w:rsidR="00E53EB6" w:rsidRDefault="006500F5">
      <w:pPr>
        <w:pStyle w:val="Heading5"/>
        <w:tabs>
          <w:tab w:val="left" w:pos="0"/>
        </w:tabs>
      </w:pPr>
      <w:r>
        <w:rPr>
          <w:u w:val="single"/>
        </w:rPr>
        <w:t>KS 13.16: 200,</w:t>
      </w:r>
      <w:r>
        <w:rPr>
          <w:u w:val="single"/>
        </w:rPr>
        <w:tab/>
        <w:t>7-8</w:t>
      </w:r>
      <w:r>
        <w:tab/>
      </w:r>
      <w:r>
        <w:tab/>
      </w:r>
      <w:r>
        <w:tab/>
      </w:r>
      <w:r>
        <w:tab/>
      </w:r>
      <w:r>
        <w:tab/>
      </w:r>
      <w:r>
        <w:tab/>
      </w:r>
      <w:r>
        <w:tab/>
      </w:r>
      <w:r>
        <w:tab/>
      </w:r>
      <w:r>
        <w:tab/>
      </w:r>
    </w:p>
    <w:p w14:paraId="616786C4" w14:textId="77777777" w:rsidR="00E53EB6" w:rsidRDefault="006500F5">
      <w:pPr>
        <w:autoSpaceDE w:val="0"/>
        <w:spacing w:before="210" w:line="210" w:lineRule="exact"/>
        <w:ind w:left="260"/>
        <w:jc w:val="both"/>
        <w:rPr>
          <w:rFonts w:ascii="Sabon Unicode" w:hAnsi="Sabon Unicode" w:cs="Times Ext Roman"/>
          <w:sz w:val="18"/>
          <w:szCs w:val="18"/>
          <w:lang w:val="en-GB" w:eastAsia="hi-IN" w:bidi="en-GB"/>
        </w:rPr>
      </w:pPr>
      <w:r>
        <w:rPr>
          <w:rFonts w:ascii="Sabon Unicode" w:hAnsi="Sabon Unicode" w:cs="Times Ext Roman"/>
          <w:sz w:val="18"/>
          <w:szCs w:val="18"/>
          <w:lang w:val="en-GB" w:eastAsia="hi-IN" w:bidi="en-GB"/>
        </w:rPr>
        <w:t xml:space="preserve">13.16 </w:t>
      </w:r>
      <w:r>
        <w:rPr>
          <w:rFonts w:ascii="Sabon Unicode" w:hAnsi="Sabon Unicode" w:cs="Times Ext Roman"/>
          <w:i/>
          <w:iCs/>
          <w:sz w:val="18"/>
          <w:szCs w:val="18"/>
          <w:lang w:val="en-GB" w:eastAsia="hi-IN" w:bidi="en-GB"/>
        </w:rPr>
        <w:t>dhātā́ dadātu no rayím ī́śāno jágatas páti</w:t>
      </w:r>
      <w:r>
        <w:rPr>
          <w:rFonts w:ascii="Sabon Unicode" w:hAnsi="Sabon Unicode" w:cs="Times Ext Roman"/>
          <w:i/>
          <w:iCs/>
          <w:sz w:val="18"/>
          <w:szCs w:val="18"/>
          <w:lang w:val="en-GB" w:eastAsia="hi-IN" w:bidi="en-GB"/>
        </w:rPr>
        <w:t>ḥ</w:t>
      </w:r>
      <w:r>
        <w:rPr>
          <w:rFonts w:ascii="Sabon Unicode" w:hAnsi="Sabon Unicode" w:cs="Times Ext Roman"/>
          <w:i/>
          <w:iCs/>
          <w:sz w:val="18"/>
          <w:szCs w:val="18"/>
          <w:lang w:val="en-GB" w:eastAsia="hi-IN" w:bidi="en-GB"/>
        </w:rPr>
        <w:t xml:space="preserve"> / sá na</w:t>
      </w:r>
      <w:r>
        <w:rPr>
          <w:rFonts w:ascii="Sabon Unicode" w:hAnsi="Sabon Unicode" w:cs="Times Ext Roman"/>
          <w:i/>
          <w:iCs/>
          <w:sz w:val="18"/>
          <w:szCs w:val="18"/>
          <w:lang w:val="en-GB" w:eastAsia="hi-IN" w:bidi="en-GB"/>
        </w:rPr>
        <w:t>ḥ</w:t>
      </w:r>
      <w:r>
        <w:rPr>
          <w:rFonts w:ascii="Sabon Unicode" w:hAnsi="Sabon Unicode" w:cs="Times Ext Roman"/>
          <w:i/>
          <w:iCs/>
          <w:sz w:val="18"/>
          <w:szCs w:val="18"/>
          <w:lang w:val="en-GB" w:eastAsia="hi-IN" w:bidi="en-GB"/>
        </w:rPr>
        <w:t xml:space="preserve"> pūr</w:t>
      </w:r>
      <w:r>
        <w:rPr>
          <w:rFonts w:ascii="Sabon Unicode" w:hAnsi="Sabon Unicode" w:cs="Times Ext Roman"/>
          <w:i/>
          <w:iCs/>
          <w:sz w:val="18"/>
          <w:szCs w:val="18"/>
          <w:lang w:val="en-GB" w:eastAsia="hi-IN" w:bidi="en-GB"/>
        </w:rPr>
        <w:t>ṇ</w:t>
      </w:r>
      <w:r>
        <w:rPr>
          <w:rFonts w:ascii="Sabon Unicode" w:hAnsi="Sabon Unicode" w:cs="Times Ext Roman"/>
          <w:i/>
          <w:iCs/>
          <w:sz w:val="18"/>
          <w:szCs w:val="18"/>
          <w:lang w:val="en-GB" w:eastAsia="hi-IN" w:bidi="en-GB"/>
        </w:rPr>
        <w:t>éna vāvanat</w:t>
      </w:r>
      <w:r>
        <w:rPr>
          <w:rFonts w:ascii="Sabon Unicode" w:hAnsi="Sabon Unicode" w:cs="Times Ext Roman"/>
          <w:sz w:val="18"/>
          <w:szCs w:val="18"/>
          <w:lang w:val="en-GB" w:eastAsia="hi-IN" w:bidi="en-GB"/>
        </w:rPr>
        <w:t xml:space="preserve"> //</w:t>
      </w:r>
    </w:p>
    <w:p w14:paraId="5BA9F73A" w14:textId="77777777" w:rsidR="00E53EB6" w:rsidRDefault="006500F5">
      <w:pPr>
        <w:pStyle w:val="Zitat"/>
        <w:autoSpaceDE w:val="0"/>
        <w:rPr>
          <w:rFonts w:ascii="Times Ext Roman" w:hAnsi="Times Ext Roman"/>
          <w:lang w:eastAsia="hi-IN"/>
        </w:rPr>
      </w:pPr>
      <w:r>
        <w:rPr>
          <w:lang w:eastAsia="hi-IN"/>
        </w:rPr>
        <w:t>May Dhātr</w:t>
      </w:r>
      <w:r>
        <w:rPr>
          <w:rFonts w:cs="Devanagari MT;Times New Roman"/>
          <w:lang w:eastAsia="hi-IN"/>
        </w:rPr>
        <w:t>̥</w:t>
      </w:r>
      <w:r>
        <w:rPr>
          <w:lang w:eastAsia="hi-IN"/>
        </w:rPr>
        <w:t xml:space="preserve"> give us wealth, the Lord, the father of the living, may he have </w:t>
      </w:r>
      <w:r>
        <w:rPr>
          <w:u w:val="single"/>
          <w:lang w:eastAsia="hi-IN"/>
        </w:rPr>
        <w:t>appropriated</w:t>
      </w:r>
      <w:r>
        <w:rPr>
          <w:rStyle w:val="FootnoteAnchor"/>
          <w:u w:val="single"/>
          <w:lang w:eastAsia="hi-IN"/>
        </w:rPr>
        <w:footnoteReference w:id="239"/>
      </w:r>
      <w:r>
        <w:rPr>
          <w:lang w:eastAsia="hi-IN"/>
        </w:rPr>
        <w:t xml:space="preserve"> us completely</w:t>
      </w:r>
      <w:r>
        <w:rPr>
          <w:rStyle w:val="FootnoteAnchor"/>
          <w:rFonts w:cs="Devanagari MT;Times New Roman"/>
          <w:lang w:eastAsia="hi-IN"/>
        </w:rPr>
        <w:footnoteReference w:id="240"/>
      </w:r>
      <w:r>
        <w:rPr>
          <w:lang w:eastAsia="hi-IN"/>
        </w:rPr>
        <w:t>.</w:t>
      </w:r>
    </w:p>
    <w:p w14:paraId="227E46BC" w14:textId="77777777" w:rsidR="00E53EB6" w:rsidRDefault="006500F5">
      <w:pPr>
        <w:pStyle w:val="Zitat"/>
        <w:autoSpaceDE w:val="0"/>
        <w:rPr>
          <w:lang w:eastAsia="hi-IN"/>
        </w:rPr>
      </w:pPr>
      <w:r>
        <w:rPr>
          <w:i/>
          <w:iCs/>
          <w:lang w:eastAsia="hi-IN"/>
        </w:rPr>
        <w:t>vāvanat:</w:t>
      </w:r>
      <w:r>
        <w:rPr>
          <w:lang w:eastAsia="hi-IN"/>
        </w:rPr>
        <w:t xml:space="preserve"> subj. perf. 3</w:t>
      </w:r>
      <w:r>
        <w:rPr>
          <w:vertAlign w:val="superscript"/>
          <w:lang w:eastAsia="hi-IN"/>
        </w:rPr>
        <w:t>rd</w:t>
      </w:r>
      <w:r>
        <w:rPr>
          <w:lang w:eastAsia="hi-IN"/>
        </w:rPr>
        <w:t xml:space="preserve"> sing.    </w:t>
      </w:r>
    </w:p>
    <w:p w14:paraId="616C6BE4" w14:textId="77777777" w:rsidR="00E53EB6" w:rsidRDefault="006500F5">
      <w:pPr>
        <w:pStyle w:val="ZitatmitEinzug"/>
        <w:autoSpaceDE w:val="0"/>
        <w:rPr>
          <w:rFonts w:eastAsia="Arial" w:cs="Times Ext Roman"/>
          <w:szCs w:val="18"/>
          <w:lang w:eastAsia="hi-IN" w:bidi="en-GB"/>
        </w:rPr>
      </w:pPr>
      <w:r>
        <w:rPr>
          <w:rStyle w:val="biblio-authorGEN"/>
          <w:rFonts w:eastAsia="Arial" w:cs="Times Ext Roman"/>
          <w:sz w:val="18"/>
          <w:szCs w:val="15"/>
          <w:lang w:eastAsia="hi-IN" w:bidi="en-GB"/>
        </w:rPr>
        <w:t>Keith</w:t>
      </w:r>
      <w:r>
        <w:rPr>
          <w:rFonts w:eastAsia="Arial" w:cs="Times Ext Roman"/>
          <w:szCs w:val="18"/>
          <w:lang w:eastAsia="hi-IN" w:bidi="en-GB"/>
        </w:rPr>
        <w:t xml:space="preserve">: 179 “May he favour us with a (full) gift” </w:t>
      </w:r>
    </w:p>
    <w:p w14:paraId="1774029E" w14:textId="77777777" w:rsidR="00E53EB6" w:rsidRDefault="006500F5">
      <w:pPr>
        <w:pStyle w:val="HaupttextnachZitat"/>
        <w:numPr>
          <w:ilvl w:val="2"/>
          <w:numId w:val="2"/>
        </w:numPr>
        <w:tabs>
          <w:tab w:val="left" w:pos="0"/>
        </w:tabs>
      </w:pPr>
      <w:r>
        <w:t>Vedic Web:</w:t>
      </w:r>
    </w:p>
    <w:p w14:paraId="58951361" w14:textId="77777777" w:rsidR="00E53EB6" w:rsidRDefault="006500F5">
      <w:pPr>
        <w:pStyle w:val="HaupttextohneEinzug"/>
      </w:pPr>
      <w:r>
        <w:t>Mantra: TS 2.4.5.1c;</w:t>
      </w:r>
      <w:r>
        <w:rPr>
          <w:szCs w:val="21"/>
        </w:rPr>
        <w:t xml:space="preserve"> </w:t>
      </w:r>
      <w:r>
        <w:rPr>
          <w:rFonts w:eastAsia="Arial" w:cs="Times Ext Roman"/>
          <w:szCs w:val="21"/>
          <w:lang w:eastAsia="hi-IN" w:bidi="en-GB"/>
        </w:rPr>
        <w:t>AV 7.17.1 (</w:t>
      </w:r>
      <w:r>
        <w:rPr>
          <w:rFonts w:eastAsia="Arial" w:cs="Times Ext Roman"/>
          <w:i/>
          <w:iCs/>
          <w:szCs w:val="21"/>
          <w:lang w:eastAsia="hi-IN" w:bidi="en-GB"/>
        </w:rPr>
        <w:t>yachatu</w:t>
      </w:r>
      <w:r>
        <w:rPr>
          <w:rFonts w:eastAsia="Arial" w:cs="Times Ext Roman"/>
          <w:szCs w:val="21"/>
          <w:lang w:eastAsia="hi-IN" w:bidi="en-GB"/>
        </w:rPr>
        <w:t xml:space="preserve"> instead of </w:t>
      </w:r>
      <w:r>
        <w:rPr>
          <w:rFonts w:eastAsia="Arial" w:cs="Times Ext Roman"/>
          <w:i/>
          <w:iCs/>
          <w:szCs w:val="21"/>
          <w:lang w:eastAsia="hi-IN" w:bidi="en-GB"/>
        </w:rPr>
        <w:t>vāvanat</w:t>
      </w:r>
      <w:r>
        <w:rPr>
          <w:rFonts w:eastAsia="Arial" w:cs="Times Ext Roman"/>
          <w:szCs w:val="21"/>
          <w:lang w:eastAsia="hi-IN" w:bidi="en-GB"/>
        </w:rPr>
        <w:t>).</w:t>
      </w:r>
    </w:p>
    <w:p w14:paraId="6A1561FA" w14:textId="77777777" w:rsidR="00E53EB6" w:rsidRDefault="00E53EB6">
      <w:pPr>
        <w:pStyle w:val="HaupttextohneEinzug"/>
        <w:rPr>
          <w:rFonts w:eastAsia="Arial" w:cs="Times Ext Roman"/>
          <w:szCs w:val="21"/>
          <w:lang w:eastAsia="hi-IN" w:bidi="en-GB"/>
        </w:rPr>
      </w:pPr>
    </w:p>
    <w:p w14:paraId="515CA9AF" w14:textId="77777777" w:rsidR="00E53EB6" w:rsidRDefault="006500F5">
      <w:pPr>
        <w:pStyle w:val="HaupttextohneEinzug"/>
        <w:rPr>
          <w:rFonts w:eastAsia="Arial" w:cs="Times Ext Roman"/>
          <w:szCs w:val="21"/>
          <w:lang w:eastAsia="hi-IN" w:bidi="en-GB"/>
        </w:rPr>
      </w:pPr>
      <w:r>
        <w:rPr>
          <w:rFonts w:eastAsia="Arial" w:cs="Times Ext Roman"/>
          <w:szCs w:val="21"/>
          <w:lang w:eastAsia="hi-IN" w:bidi="en-GB"/>
        </w:rPr>
        <w:t>Rite</w:t>
      </w:r>
    </w:p>
    <w:p w14:paraId="6AE66DB2" w14:textId="77777777" w:rsidR="00E53EB6" w:rsidRDefault="006500F5">
      <w:pPr>
        <w:pStyle w:val="HaupttextohneEinzug"/>
      </w:pPr>
      <w:r>
        <w:t>Section of formulas for the Paśubandha rite, within the Caraka branch</w:t>
      </w:r>
      <w:r>
        <w:rPr>
          <w:rStyle w:val="FootnoteAnchor"/>
        </w:rPr>
        <w:footnoteReference w:id="241"/>
      </w:r>
      <w:r>
        <w:t xml:space="preserve"> of the Kā</w:t>
      </w:r>
      <w:r>
        <w:t>ṭ</w:t>
      </w:r>
      <w:r>
        <w:t xml:space="preserve">ha school. The </w:t>
      </w:r>
      <w:r>
        <w:lastRenderedPageBreak/>
        <w:t>Caraka Sa</w:t>
      </w:r>
      <w:r>
        <w:t>ṃ</w:t>
      </w:r>
      <w:r>
        <w:t>hitā is older than the Maitrayāni and Kā</w:t>
      </w:r>
      <w:r>
        <w:t>ṭ</w:t>
      </w:r>
      <w:r>
        <w:t>ha Sa</w:t>
      </w:r>
      <w:r>
        <w:t>ṃ</w:t>
      </w:r>
      <w:r>
        <w:t>hitā but somehow near to these two. It belongs to a period when the Yajurvedic prose w</w:t>
      </w:r>
      <w:r>
        <w:t xml:space="preserve">as not already set.  The fragments we have show a </w:t>
      </w:r>
      <w:r>
        <w:rPr>
          <w:i/>
          <w:iCs/>
        </w:rPr>
        <w:t>brāhma</w:t>
      </w:r>
      <w:r>
        <w:rPr>
          <w:i/>
          <w:iCs/>
        </w:rPr>
        <w:t>ṇ</w:t>
      </w:r>
      <w:r>
        <w:rPr>
          <w:i/>
          <w:iCs/>
        </w:rPr>
        <w:t>a-</w:t>
      </w:r>
      <w:r>
        <w:t>prose</w:t>
      </w:r>
      <w:r>
        <w:t xml:space="preserve"> prior to the one of the YV and contemporary to the collection of the </w:t>
      </w:r>
      <w:r>
        <w:rPr>
          <w:i/>
          <w:iCs/>
        </w:rPr>
        <w:t>mantra</w:t>
      </w:r>
      <w:r>
        <w:t xml:space="preserve">s, cf. </w:t>
      </w:r>
      <w:r>
        <w:rPr>
          <w:rStyle w:val="biblio-authorGEN"/>
        </w:rPr>
        <w:t>Witzel</w:t>
      </w:r>
      <w:r>
        <w:rPr>
          <w:rStyle w:val="biblio-authorGEN"/>
        </w:rPr>
        <w:t xml:space="preserve"> 1981; 1982.</w:t>
      </w:r>
    </w:p>
    <w:p w14:paraId="250B3EAD" w14:textId="77777777" w:rsidR="00E53EB6" w:rsidRDefault="00E53EB6">
      <w:pPr>
        <w:pStyle w:val="HaupttextohneEinzug"/>
        <w:rPr>
          <w:rFonts w:eastAsia="Arial" w:cs="Times Ext Roman"/>
          <w:szCs w:val="21"/>
          <w:lang w:eastAsia="hi-IN" w:bidi="en-GB"/>
        </w:rPr>
      </w:pPr>
    </w:p>
    <w:p w14:paraId="3B7033D0" w14:textId="77777777" w:rsidR="00E53EB6" w:rsidRDefault="006500F5">
      <w:pPr>
        <w:pStyle w:val="Heading5"/>
        <w:tabs>
          <w:tab w:val="left" w:pos="0"/>
        </w:tabs>
      </w:pPr>
      <w:r>
        <w:rPr>
          <w:u w:val="single"/>
        </w:rPr>
        <w:t>KS 15.6: 213,9-10</w:t>
      </w:r>
      <w:r>
        <w:tab/>
      </w:r>
      <w:r>
        <w:tab/>
      </w:r>
      <w:r>
        <w:tab/>
      </w:r>
      <w:r>
        <w:tab/>
      </w:r>
      <w:r>
        <w:tab/>
      </w:r>
      <w:r>
        <w:tab/>
      </w:r>
      <w:r>
        <w:tab/>
      </w:r>
      <w:r>
        <w:tab/>
      </w:r>
      <w:r>
        <w:tab/>
      </w:r>
    </w:p>
    <w:p w14:paraId="5A80788B" w14:textId="77777777" w:rsidR="00E53EB6" w:rsidRDefault="006500F5">
      <w:pPr>
        <w:pStyle w:val="Zitat"/>
        <w:numPr>
          <w:ilvl w:val="2"/>
          <w:numId w:val="2"/>
        </w:numPr>
        <w:tabs>
          <w:tab w:val="left" w:pos="260"/>
        </w:tabs>
        <w:ind w:left="260"/>
      </w:pPr>
      <w:r>
        <w:t xml:space="preserve">15.6 </w:t>
      </w:r>
      <w:r>
        <w:rPr>
          <w:i/>
        </w:rPr>
        <w:t xml:space="preserve">dévīrāpo </w:t>
      </w:r>
      <w:r>
        <w:rPr>
          <w:i/>
        </w:rPr>
        <w:t>mádhumatīssam̐sr̥jyadhvam mahi k</w:t>
      </w:r>
      <w:r>
        <w:rPr>
          <w:i/>
        </w:rPr>
        <w:t>ṣ</w:t>
      </w:r>
      <w:r>
        <w:rPr>
          <w:i/>
        </w:rPr>
        <w:t>atram k</w:t>
      </w:r>
      <w:r>
        <w:rPr>
          <w:i/>
        </w:rPr>
        <w:t>ṣ</w:t>
      </w:r>
      <w:r>
        <w:rPr>
          <w:i/>
        </w:rPr>
        <w:t>atriyāya vanvānā</w:t>
      </w:r>
      <w:r>
        <w:rPr>
          <w:i/>
        </w:rPr>
        <w:t>ḥ</w:t>
      </w:r>
      <w:r>
        <w:rPr>
          <w:i/>
        </w:rPr>
        <w:t xml:space="preserve"> /</w:t>
      </w:r>
    </w:p>
    <w:p w14:paraId="0D9D5F5D" w14:textId="77777777" w:rsidR="00E53EB6" w:rsidRDefault="006500F5">
      <w:pPr>
        <w:pStyle w:val="ZitatmitEinzug"/>
        <w:rPr>
          <w:i/>
          <w:iCs/>
        </w:rPr>
      </w:pPr>
      <w:r>
        <w:rPr>
          <w:i/>
          <w:iCs/>
        </w:rPr>
        <w:t>anādhr̥</w:t>
      </w:r>
      <w:r>
        <w:rPr>
          <w:i/>
          <w:iCs/>
        </w:rPr>
        <w:t>ṣṭ</w:t>
      </w:r>
      <w:r>
        <w:rPr>
          <w:i/>
          <w:iCs/>
        </w:rPr>
        <w:t>āssīdatorjasvatīrmahi varca</w:t>
      </w:r>
      <w:r>
        <w:rPr>
          <w:i/>
          <w:iCs/>
        </w:rPr>
        <w:t>ḥ</w:t>
      </w:r>
      <w:r>
        <w:rPr>
          <w:i/>
          <w:iCs/>
        </w:rPr>
        <w:t xml:space="preserve"> k</w:t>
      </w:r>
      <w:r>
        <w:rPr>
          <w:i/>
          <w:iCs/>
        </w:rPr>
        <w:t>ṣ</w:t>
      </w:r>
      <w:r>
        <w:rPr>
          <w:i/>
          <w:iCs/>
        </w:rPr>
        <w:t>atriyāya dadatī</w:t>
      </w:r>
      <w:r>
        <w:rPr>
          <w:i/>
          <w:iCs/>
        </w:rPr>
        <w:t>ḥ</w:t>
      </w:r>
      <w:r>
        <w:rPr>
          <w:i/>
          <w:iCs/>
        </w:rPr>
        <w:t>//</w:t>
      </w:r>
    </w:p>
    <w:p w14:paraId="696037B8" w14:textId="77777777" w:rsidR="00E53EB6" w:rsidRDefault="006500F5">
      <w:pPr>
        <w:pStyle w:val="Zitat"/>
      </w:pPr>
      <w:r>
        <w:t xml:space="preserve">O divine water, full of sweet, be mingled, </w:t>
      </w:r>
      <w:r>
        <w:rPr>
          <w:u w:val="single"/>
        </w:rPr>
        <w:t>appropriating</w:t>
      </w:r>
      <w:r>
        <w:t xml:space="preserve"> for the king</w:t>
      </w:r>
      <w:r>
        <w:rPr>
          <w:rStyle w:val="FootnoteAnchor"/>
          <w:rFonts w:cs="Devanagari MT;Times New Roman"/>
          <w:lang w:eastAsia="hi-IN"/>
        </w:rPr>
        <w:footnoteReference w:id="242"/>
      </w:r>
      <w:r>
        <w:rPr>
          <w:lang w:eastAsia="hi-IN"/>
        </w:rPr>
        <w:t xml:space="preserve"> </w:t>
      </w:r>
      <w:r>
        <w:t xml:space="preserve">the great power to rule; sit untouched, possessing the </w:t>
      </w:r>
      <w:r>
        <w:t>vital energy</w:t>
      </w:r>
      <w:r>
        <w:rPr>
          <w:rStyle w:val="FootnoteAnchor"/>
          <w:rFonts w:cs="Devanagari MT;Times New Roman"/>
          <w:lang w:eastAsia="hi-IN"/>
        </w:rPr>
        <w:footnoteReference w:id="243"/>
      </w:r>
      <w:r>
        <w:t>, giving a great splendour</w:t>
      </w:r>
      <w:r>
        <w:rPr>
          <w:rStyle w:val="FootnoteAnchor"/>
          <w:rFonts w:cs="Devanagari MT;Times New Roman"/>
          <w:lang w:eastAsia="hi-IN"/>
        </w:rPr>
        <w:footnoteReference w:id="244"/>
      </w:r>
      <w:r>
        <w:t xml:space="preserve"> into the king.</w:t>
      </w:r>
    </w:p>
    <w:p w14:paraId="2B466BE1" w14:textId="77777777" w:rsidR="00E53EB6" w:rsidRDefault="006500F5">
      <w:pPr>
        <w:pStyle w:val="Zitat"/>
      </w:pPr>
      <w:r>
        <w:rPr>
          <w:i/>
        </w:rPr>
        <w:t>vanvānā</w:t>
      </w:r>
      <w:r>
        <w:rPr>
          <w:i/>
        </w:rPr>
        <w:t>ḥ</w:t>
      </w:r>
      <w:r>
        <w:rPr>
          <w:i/>
        </w:rPr>
        <w:t xml:space="preserve">: </w:t>
      </w:r>
      <w:r>
        <w:t>part. pres. nom. fem. pl. Ā VIII cl.</w:t>
      </w:r>
    </w:p>
    <w:p w14:paraId="47A56F01" w14:textId="77777777" w:rsidR="00E53EB6" w:rsidRDefault="006500F5">
      <w:pPr>
        <w:pStyle w:val="HaupttextnachZitat"/>
        <w:numPr>
          <w:ilvl w:val="2"/>
          <w:numId w:val="2"/>
        </w:numPr>
        <w:tabs>
          <w:tab w:val="left" w:pos="0"/>
        </w:tabs>
      </w:pPr>
      <w:r>
        <w:t>Vedic Web</w:t>
      </w:r>
    </w:p>
    <w:p w14:paraId="30A05228" w14:textId="77777777" w:rsidR="00E53EB6" w:rsidRDefault="006500F5">
      <w:pPr>
        <w:pStyle w:val="HaupttextohneEinzug"/>
      </w:pPr>
      <w:r>
        <w:t>Mantra: TS 1.8.12.1a-b; MS 2.6.8</w:t>
      </w:r>
      <w:r>
        <w:rPr>
          <w:szCs w:val="21"/>
        </w:rPr>
        <w:t xml:space="preserve">: </w:t>
      </w:r>
      <w:r>
        <w:rPr>
          <w:rFonts w:eastAsia="MS Mincho;ＭＳ 明朝" w:cs="Times Ext Roman"/>
          <w:szCs w:val="21"/>
          <w:lang w:eastAsia="hi-IN" w:bidi="en-GB"/>
        </w:rPr>
        <w:t xml:space="preserve">68,6-8; </w:t>
      </w:r>
      <w:r>
        <w:t xml:space="preserve">MS 4.4.2: </w:t>
      </w:r>
      <w:r>
        <w:t>51,8-10</w:t>
      </w:r>
      <w:r>
        <w:t xml:space="preserve">; VS 10.4; ŚB 5.3.4.27. </w:t>
      </w:r>
    </w:p>
    <w:p w14:paraId="117C8560" w14:textId="77777777" w:rsidR="00E53EB6" w:rsidRDefault="006500F5">
      <w:pPr>
        <w:pStyle w:val="HaupttextohneEinzug"/>
      </w:pPr>
      <w:r>
        <w:t xml:space="preserve">Mantra and </w:t>
      </w:r>
      <w:r>
        <w:t>Prose</w:t>
      </w:r>
      <w:r>
        <w:t>: ŚB 5.3.4.27.</w:t>
      </w:r>
    </w:p>
    <w:p w14:paraId="71157A3B" w14:textId="77777777" w:rsidR="00E53EB6" w:rsidRDefault="006500F5">
      <w:pPr>
        <w:pStyle w:val="HaupttextohneEinzug"/>
      </w:pPr>
      <w:r>
        <w:t>Prose</w:t>
      </w:r>
      <w:r>
        <w:t>: ŚB 5.16-37; 4.1.15.</w:t>
      </w:r>
    </w:p>
    <w:p w14:paraId="5FFF18C7" w14:textId="77777777" w:rsidR="00E53EB6" w:rsidRDefault="00E53EB6">
      <w:pPr>
        <w:pStyle w:val="HaupttextohneEinzug"/>
      </w:pPr>
    </w:p>
    <w:p w14:paraId="58666122" w14:textId="77777777" w:rsidR="00E53EB6" w:rsidRDefault="006500F5">
      <w:pPr>
        <w:pStyle w:val="HaupttextohneEinzug"/>
      </w:pPr>
      <w:r>
        <w:t>Rite</w:t>
      </w:r>
    </w:p>
    <w:p w14:paraId="6AA94332" w14:textId="77777777" w:rsidR="00E53EB6" w:rsidRDefault="006500F5">
      <w:pPr>
        <w:pStyle w:val="HaupttextohneEinzug"/>
      </w:pPr>
      <w:r>
        <w:t>Rājasūya, the Abhi</w:t>
      </w:r>
      <w:r>
        <w:t>ṣ</w:t>
      </w:r>
      <w:r>
        <w:t>eka –the unction of the king during his consecration. This section deals with the preparation of the waters.</w:t>
      </w:r>
    </w:p>
    <w:p w14:paraId="7A83B9F0" w14:textId="77777777" w:rsidR="00E53EB6" w:rsidRDefault="006500F5">
      <w:pPr>
        <w:pStyle w:val="HaupttextohneEinzug"/>
      </w:pPr>
      <w:r>
        <w:t xml:space="preserve">Waters from diverse sources are poured together into a single vessel. The </w:t>
      </w:r>
      <w:r>
        <w:rPr>
          <w:i/>
          <w:iCs/>
        </w:rPr>
        <w:t>mantra</w:t>
      </w:r>
      <w:r>
        <w:t xml:space="preserve"> credits the waters with winning for the anointed on the power to rule –</w:t>
      </w:r>
      <w:r>
        <w:rPr>
          <w:i/>
          <w:iCs/>
        </w:rPr>
        <w:t>varcás</w:t>
      </w:r>
      <w:r>
        <w:t xml:space="preserve"> “splendour”, cf. </w:t>
      </w:r>
      <w:r>
        <w:rPr>
          <w:rStyle w:val="biblio-authorGEN"/>
        </w:rPr>
        <w:t>Proferes</w:t>
      </w:r>
      <w:r>
        <w:t xml:space="preserve"> 2007 p. 80ff; </w:t>
      </w:r>
      <w:r>
        <w:rPr>
          <w:rStyle w:val="biblio-authorGEN"/>
        </w:rPr>
        <w:t>Heesterman</w:t>
      </w:r>
      <w:r>
        <w:t xml:space="preserve"> 1975 p.74-70 and 114-22; see also </w:t>
      </w:r>
      <w:r>
        <w:rPr>
          <w:rStyle w:val="biblio-authorGEN"/>
        </w:rPr>
        <w:t>Tsuchiyama</w:t>
      </w:r>
      <w:r>
        <w:t xml:space="preserve"> 2005 for the Abhi</w:t>
      </w:r>
      <w:r>
        <w:t>ṣ</w:t>
      </w:r>
      <w:r>
        <w:t xml:space="preserve">eka in general and his post-Vedic development. </w:t>
      </w:r>
    </w:p>
    <w:p w14:paraId="2A813828" w14:textId="77777777" w:rsidR="00E53EB6" w:rsidRDefault="006500F5">
      <w:pPr>
        <w:pStyle w:val="HaupttextohneEinzug"/>
      </w:pPr>
      <w:r>
        <w:t xml:space="preserve">The collection </w:t>
      </w:r>
      <w:r>
        <w:t>and mixing of the waters.</w:t>
      </w:r>
    </w:p>
    <w:p w14:paraId="3A5415B2" w14:textId="77777777" w:rsidR="00E53EB6" w:rsidRDefault="00E53EB6">
      <w:pPr>
        <w:pStyle w:val="HaupttextohneEinzug"/>
        <w:rPr>
          <w:shd w:val="clear" w:color="auto" w:fill="FF6633"/>
        </w:rPr>
      </w:pPr>
    </w:p>
    <w:p w14:paraId="46D12C39" w14:textId="77777777" w:rsidR="00E53EB6" w:rsidRDefault="006500F5">
      <w:pPr>
        <w:pStyle w:val="Heading5"/>
        <w:tabs>
          <w:tab w:val="left" w:pos="0"/>
        </w:tabs>
      </w:pPr>
      <w:r>
        <w:rPr>
          <w:u w:val="single"/>
        </w:rPr>
        <w:t>KS 23.6: 81,19-82,2</w:t>
      </w:r>
      <w:r>
        <w:tab/>
      </w:r>
      <w:r>
        <w:tab/>
      </w:r>
      <w:r>
        <w:tab/>
      </w:r>
      <w:r>
        <w:tab/>
      </w:r>
      <w:r>
        <w:tab/>
      </w:r>
      <w:r>
        <w:tab/>
      </w:r>
      <w:r>
        <w:tab/>
      </w:r>
      <w:r>
        <w:tab/>
      </w:r>
    </w:p>
    <w:p w14:paraId="619A6963" w14:textId="77777777" w:rsidR="00E53EB6" w:rsidRDefault="006500F5">
      <w:pPr>
        <w:pStyle w:val="Zitat"/>
        <w:rPr>
          <w:i/>
          <w:iCs/>
        </w:rPr>
      </w:pPr>
      <w:r>
        <w:t xml:space="preserve">23.6 </w:t>
      </w:r>
      <w:r>
        <w:rPr>
          <w:i/>
          <w:iCs/>
        </w:rPr>
        <w:t>pū</w:t>
      </w:r>
      <w:r>
        <w:rPr>
          <w:i/>
          <w:iCs/>
        </w:rPr>
        <w:t>ṣ</w:t>
      </w:r>
      <w:r>
        <w:rPr>
          <w:i/>
          <w:iCs/>
        </w:rPr>
        <w:t>ā sanīnām̐ somo rādhasāmiti pū</w:t>
      </w:r>
      <w:r>
        <w:rPr>
          <w:i/>
          <w:iCs/>
        </w:rPr>
        <w:t>ṣ</w:t>
      </w:r>
      <w:r>
        <w:rPr>
          <w:i/>
          <w:iCs/>
        </w:rPr>
        <w:t>ā hi sanīnāmīśo somo rādhasā</w:t>
      </w:r>
      <w:r>
        <w:rPr>
          <w:i/>
          <w:iCs/>
        </w:rPr>
        <w:t>ṃ</w:t>
      </w:r>
      <w:r>
        <w:rPr>
          <w:i/>
          <w:iCs/>
        </w:rPr>
        <w:t xml:space="preserve"> rāsvetyatsometi somo vā etadetasmai rāsate yadvanute ā bhūyo bharetyāgame hyena</w:t>
      </w:r>
      <w:r>
        <w:rPr>
          <w:i/>
          <w:iCs/>
        </w:rPr>
        <w:t>ṃ</w:t>
      </w:r>
      <w:r>
        <w:rPr>
          <w:i/>
          <w:iCs/>
        </w:rPr>
        <w:t xml:space="preserve"> bhūyo devassavitā vasorvasudāveti  savitr̥prasūta e</w:t>
      </w:r>
      <w:r>
        <w:rPr>
          <w:i/>
          <w:iCs/>
        </w:rPr>
        <w:t>va pratigr̥h</w:t>
      </w:r>
      <w:r>
        <w:rPr>
          <w:i/>
          <w:iCs/>
        </w:rPr>
        <w:t>ṇ</w:t>
      </w:r>
      <w:r>
        <w:rPr>
          <w:i/>
          <w:iCs/>
        </w:rPr>
        <w:t>ātyātmano’him̐sāyai devebhyo vai yajño na prābhavatta</w:t>
      </w:r>
      <w:r>
        <w:rPr>
          <w:i/>
          <w:iCs/>
        </w:rPr>
        <w:t>ṃ</w:t>
      </w:r>
      <w:r>
        <w:rPr>
          <w:i/>
          <w:iCs/>
        </w:rPr>
        <w:t xml:space="preserve"> dak</w:t>
      </w:r>
      <w:r>
        <w:rPr>
          <w:i/>
          <w:iCs/>
        </w:rPr>
        <w:t>ṣ</w:t>
      </w:r>
      <w:r>
        <w:rPr>
          <w:i/>
          <w:iCs/>
        </w:rPr>
        <w:t>i</w:t>
      </w:r>
      <w:r>
        <w:rPr>
          <w:i/>
          <w:iCs/>
        </w:rPr>
        <w:t>ṇ</w:t>
      </w:r>
      <w:r>
        <w:rPr>
          <w:i/>
          <w:iCs/>
        </w:rPr>
        <w:t>obhissamabhāvayanyaddīk</w:t>
      </w:r>
      <w:r>
        <w:rPr>
          <w:i/>
          <w:iCs/>
        </w:rPr>
        <w:t>ṣ</w:t>
      </w:r>
      <w:r>
        <w:rPr>
          <w:i/>
          <w:iCs/>
        </w:rPr>
        <w:t>ito bhr̥ti</w:t>
      </w:r>
      <w:r>
        <w:rPr>
          <w:i/>
          <w:iCs/>
        </w:rPr>
        <w:t>ṃ</w:t>
      </w:r>
      <w:r>
        <w:rPr>
          <w:i/>
          <w:iCs/>
        </w:rPr>
        <w:t xml:space="preserve"> vanute yajñameva sa</w:t>
      </w:r>
      <w:r>
        <w:rPr>
          <w:i/>
          <w:iCs/>
        </w:rPr>
        <w:t>ṃ</w:t>
      </w:r>
      <w:r>
        <w:rPr>
          <w:i/>
          <w:iCs/>
        </w:rPr>
        <w:t>bhāvayati tasmāddvādaśa rātrīrdīk</w:t>
      </w:r>
      <w:r>
        <w:rPr>
          <w:i/>
          <w:iCs/>
        </w:rPr>
        <w:t>ṣ</w:t>
      </w:r>
      <w:r>
        <w:rPr>
          <w:i/>
          <w:iCs/>
        </w:rPr>
        <w:t>ito bhr̥ti</w:t>
      </w:r>
      <w:r>
        <w:rPr>
          <w:i/>
          <w:iCs/>
        </w:rPr>
        <w:t>ṃ</w:t>
      </w:r>
      <w:r>
        <w:rPr>
          <w:i/>
          <w:iCs/>
        </w:rPr>
        <w:t xml:space="preserve"> vanvīta yāvāneva yajñasta</w:t>
      </w:r>
      <w:r>
        <w:rPr>
          <w:i/>
          <w:iCs/>
        </w:rPr>
        <w:t>ṃ</w:t>
      </w:r>
      <w:r>
        <w:rPr>
          <w:i/>
          <w:iCs/>
        </w:rPr>
        <w:t xml:space="preserve"> sa</w:t>
      </w:r>
      <w:r>
        <w:rPr>
          <w:i/>
          <w:iCs/>
        </w:rPr>
        <w:t>ṃ</w:t>
      </w:r>
      <w:r>
        <w:rPr>
          <w:i/>
          <w:iCs/>
        </w:rPr>
        <w:t>bhāvayati //</w:t>
      </w:r>
    </w:p>
    <w:p w14:paraId="7BC9DD44" w14:textId="77777777" w:rsidR="00E53EB6" w:rsidRDefault="006500F5">
      <w:pPr>
        <w:pStyle w:val="Zitat"/>
      </w:pPr>
      <w:r>
        <w:t>‘Pu</w:t>
      </w:r>
      <w:r>
        <w:t>ṣ</w:t>
      </w:r>
      <w:r>
        <w:t xml:space="preserve">an of rewards, Soma of gifts’ he </w:t>
      </w:r>
      <w:r>
        <w:t>says</w:t>
      </w:r>
      <w:r>
        <w:rPr>
          <w:rStyle w:val="FootnoteAnchor"/>
        </w:rPr>
        <w:footnoteReference w:id="245"/>
      </w:r>
      <w:r>
        <w:t xml:space="preserve"> for Pu</w:t>
      </w:r>
      <w:r>
        <w:t>ṣ</w:t>
      </w:r>
      <w:r>
        <w:t>an is master of rewards, Soma of gifts. ‘Give o Soma so much’ he says, Soma shall indeed give to this one</w:t>
      </w:r>
      <w:r>
        <w:rPr>
          <w:rStyle w:val="FootnoteAnchor"/>
        </w:rPr>
        <w:footnoteReference w:id="246"/>
      </w:r>
      <w:r>
        <w:t xml:space="preserve"> what he </w:t>
      </w:r>
      <w:r>
        <w:rPr>
          <w:u w:val="single"/>
        </w:rPr>
        <w:t>appropriates</w:t>
      </w:r>
      <w:r>
        <w:t>. ‘Bring more hither’ he says, he indeed attained</w:t>
      </w:r>
      <w:r>
        <w:rPr>
          <w:rStyle w:val="FootnoteAnchor"/>
        </w:rPr>
        <w:footnoteReference w:id="247"/>
      </w:r>
      <w:r>
        <w:t xml:space="preserve"> more ‘God Savitr̥, good Givers of goods’ the one roused by Sav</w:t>
      </w:r>
      <w:r>
        <w:t xml:space="preserve">itr̥ receives for not hurting himself. </w:t>
      </w:r>
      <w:r>
        <w:lastRenderedPageBreak/>
        <w:t>The sacrifice did not originated from the gods, they affected</w:t>
      </w:r>
      <w:r>
        <w:rPr>
          <w:rStyle w:val="FootnoteAnchor"/>
        </w:rPr>
        <w:footnoteReference w:id="248"/>
      </w:r>
      <w:r>
        <w:t xml:space="preserve"> </w:t>
      </w:r>
      <w:r>
        <w:rPr>
          <w:color w:val="000000"/>
        </w:rPr>
        <w:t xml:space="preserve">him with </w:t>
      </w:r>
      <w:r>
        <w:rPr>
          <w:i/>
          <w:iCs/>
          <w:color w:val="000000"/>
        </w:rPr>
        <w:t>dak</w:t>
      </w:r>
      <w:r>
        <w:rPr>
          <w:i/>
          <w:iCs/>
          <w:color w:val="000000"/>
        </w:rPr>
        <w:t>ṣ</w:t>
      </w:r>
      <w:r>
        <w:rPr>
          <w:i/>
          <w:iCs/>
          <w:color w:val="000000"/>
        </w:rPr>
        <w:t>inā</w:t>
      </w:r>
      <w:r>
        <w:rPr>
          <w:color w:val="000000"/>
        </w:rPr>
        <w:t xml:space="preserve">s (the cows), when the consecrated </w:t>
      </w:r>
      <w:r>
        <w:rPr>
          <w:color w:val="000000"/>
          <w:u w:val="single"/>
        </w:rPr>
        <w:t>appropriates</w:t>
      </w:r>
      <w:r>
        <w:rPr>
          <w:color w:val="000000"/>
        </w:rPr>
        <w:t xml:space="preserve"> the support</w:t>
      </w:r>
      <w:r>
        <w:t xml:space="preserve">, in this way he puts together the sacrifice, therefore the consecrated </w:t>
      </w:r>
      <w:r>
        <w:rPr>
          <w:u w:val="single"/>
        </w:rPr>
        <w:t>shall appropriate</w:t>
      </w:r>
      <w:r>
        <w:t xml:space="preserve"> as support the cows of 12 nights, in this way as much </w:t>
      </w:r>
      <w:r>
        <w:rPr>
          <w:color w:val="000000"/>
        </w:rPr>
        <w:t>(</w:t>
      </w:r>
      <w:r>
        <w:rPr>
          <w:i/>
          <w:iCs/>
          <w:color w:val="000000"/>
        </w:rPr>
        <w:t>yāvān</w:t>
      </w:r>
      <w:r>
        <w:rPr>
          <w:color w:val="000000"/>
        </w:rPr>
        <w:t xml:space="preserve">) </w:t>
      </w:r>
      <w:r>
        <w:t xml:space="preserve">the </w:t>
      </w:r>
      <w:r>
        <w:rPr>
          <w:color w:val="000000"/>
        </w:rPr>
        <w:t xml:space="preserve">sacrifice affects </w:t>
      </w:r>
      <w:r>
        <w:rPr>
          <w:i/>
          <w:iCs/>
          <w:color w:val="000000"/>
        </w:rPr>
        <w:t>(sa</w:t>
      </w:r>
      <w:r>
        <w:rPr>
          <w:i/>
          <w:iCs/>
          <w:color w:val="000000"/>
        </w:rPr>
        <w:t>ṃ</w:t>
      </w:r>
      <w:r>
        <w:rPr>
          <w:i/>
          <w:iCs/>
          <w:color w:val="000000"/>
        </w:rPr>
        <w:t>bhāvayati)</w:t>
      </w:r>
      <w:r>
        <w:rPr>
          <w:color w:val="000000"/>
        </w:rPr>
        <w:t xml:space="preserve"> him.</w:t>
      </w:r>
    </w:p>
    <w:p w14:paraId="0A3A85E6" w14:textId="77777777" w:rsidR="00E53EB6" w:rsidRDefault="006500F5">
      <w:pPr>
        <w:pStyle w:val="Zitat"/>
        <w:rPr>
          <w:i/>
          <w:iCs/>
        </w:rPr>
      </w:pPr>
      <w:r>
        <w:t xml:space="preserve"> 2x </w:t>
      </w:r>
      <w:r>
        <w:rPr>
          <w:i/>
          <w:iCs/>
        </w:rPr>
        <w:t>vanute:</w:t>
      </w:r>
      <w:r>
        <w:t xml:space="preserve"> ind. pres. 3</w:t>
      </w:r>
      <w:r>
        <w:rPr>
          <w:vertAlign w:val="superscript"/>
        </w:rPr>
        <w:t>rd</w:t>
      </w:r>
      <w:r>
        <w:t xml:space="preserve"> sing. Ā VIII cl.</w:t>
      </w:r>
    </w:p>
    <w:p w14:paraId="022F7657" w14:textId="77777777" w:rsidR="00E53EB6" w:rsidRPr="00B80C6B" w:rsidRDefault="006500F5">
      <w:pPr>
        <w:pStyle w:val="Zitat"/>
        <w:rPr>
          <w:i/>
          <w:iCs/>
          <w:lang w:val="it-IT"/>
        </w:rPr>
      </w:pPr>
      <w:r>
        <w:rPr>
          <w:i/>
          <w:iCs/>
        </w:rPr>
        <w:t>vanvīta:</w:t>
      </w:r>
      <w:r>
        <w:t xml:space="preserve"> opt. pres. 3</w:t>
      </w:r>
      <w:r>
        <w:rPr>
          <w:vertAlign w:val="superscript"/>
        </w:rPr>
        <w:t>rd</w:t>
      </w:r>
      <w:r>
        <w:t xml:space="preserve"> sing. </w:t>
      </w:r>
      <w:r w:rsidRPr="00B80C6B">
        <w:rPr>
          <w:lang w:val="it-IT"/>
        </w:rPr>
        <w:t>Ā VIII cl.</w:t>
      </w:r>
    </w:p>
    <w:p w14:paraId="71DB9A67" w14:textId="77777777" w:rsidR="00E53EB6" w:rsidRPr="00B80C6B" w:rsidRDefault="006500F5">
      <w:pPr>
        <w:pStyle w:val="HaupttextnachZitat"/>
        <w:rPr>
          <w:lang w:val="it-IT"/>
        </w:rPr>
      </w:pPr>
      <w:r w:rsidRPr="00B80C6B">
        <w:rPr>
          <w:lang w:val="it-IT"/>
        </w:rPr>
        <w:t>Vedic Web</w:t>
      </w:r>
    </w:p>
    <w:p w14:paraId="10BF6778" w14:textId="77777777" w:rsidR="00E53EB6" w:rsidRPr="00B80C6B" w:rsidRDefault="006500F5">
      <w:pPr>
        <w:pStyle w:val="HaupttextohneEinzug"/>
        <w:rPr>
          <w:lang w:val="it-IT"/>
        </w:rPr>
      </w:pPr>
      <w:r w:rsidRPr="00B80C6B">
        <w:rPr>
          <w:lang w:val="it-IT"/>
        </w:rPr>
        <w:t>Mantra: KS 2.4; TS 1.2.3.2e-f; MS 1.2.3.</w:t>
      </w:r>
    </w:p>
    <w:p w14:paraId="19F12F5A" w14:textId="77777777" w:rsidR="00E53EB6" w:rsidRDefault="006500F5">
      <w:pPr>
        <w:pStyle w:val="HaupttextohneEinzug"/>
      </w:pPr>
      <w:r>
        <w:t xml:space="preserve">Mantra and </w:t>
      </w:r>
      <w:r>
        <w:t>Prose</w:t>
      </w:r>
      <w:r>
        <w:t>: cf. MS 3.6.9: 73,1-4.</w:t>
      </w:r>
    </w:p>
    <w:p w14:paraId="54B2517B" w14:textId="77777777" w:rsidR="00E53EB6" w:rsidRDefault="006500F5">
      <w:pPr>
        <w:pStyle w:val="HaupttextohneEinzug"/>
      </w:pPr>
      <w:r>
        <w:t>Prose</w:t>
      </w:r>
      <w:r>
        <w:t>: TS 6.1.4.4-9.</w:t>
      </w:r>
    </w:p>
    <w:p w14:paraId="57ECC7F4" w14:textId="77777777" w:rsidR="00E53EB6" w:rsidRDefault="00E53EB6">
      <w:pPr>
        <w:pStyle w:val="HaupttextohneEinzug"/>
      </w:pPr>
    </w:p>
    <w:p w14:paraId="31BFC78A" w14:textId="77777777" w:rsidR="00E53EB6" w:rsidRDefault="006500F5">
      <w:pPr>
        <w:pStyle w:val="HaupttextohneEinzug"/>
      </w:pPr>
      <w:r>
        <w:t>Rite</w:t>
      </w:r>
    </w:p>
    <w:p w14:paraId="2556C231" w14:textId="77777777" w:rsidR="00E53EB6" w:rsidRDefault="006500F5">
      <w:pPr>
        <w:pStyle w:val="HaupttextohneEinzug"/>
      </w:pPr>
      <w:r>
        <w:t>Within the Agni</w:t>
      </w:r>
      <w:r>
        <w:t>ṣṭ</w:t>
      </w:r>
      <w:r>
        <w:t>oma, the Dik</w:t>
      </w:r>
      <w:r>
        <w:t>ṣ</w:t>
      </w:r>
      <w:r>
        <w:t xml:space="preserve">a moment, the consecration of the sacrificer. This passage and MS 3.6.9 are dealing with the same moment, and we find quite the same words used. </w:t>
      </w:r>
    </w:p>
    <w:p w14:paraId="0C64891A" w14:textId="77777777" w:rsidR="00E53EB6" w:rsidRDefault="006500F5">
      <w:pPr>
        <w:pStyle w:val="HaupttextohneEinzug"/>
      </w:pPr>
      <w:r>
        <w:t>The brāhma</w:t>
      </w:r>
      <w:r>
        <w:t>ṇ</w:t>
      </w:r>
      <w:r>
        <w:t xml:space="preserve">a-passages are the explanation of the restrictions of the </w:t>
      </w:r>
      <w:r>
        <w:rPr>
          <w:i/>
          <w:iCs/>
        </w:rPr>
        <w:t>dīk</w:t>
      </w:r>
      <w:r>
        <w:rPr>
          <w:i/>
          <w:iCs/>
        </w:rPr>
        <w:t>ṣ</w:t>
      </w:r>
      <w:r>
        <w:rPr>
          <w:i/>
          <w:iCs/>
        </w:rPr>
        <w:t>tita</w:t>
      </w:r>
      <w:r>
        <w:t>, t</w:t>
      </w:r>
      <w:r>
        <w:t xml:space="preserve">he </w:t>
      </w:r>
      <w:r>
        <w:rPr>
          <w:i/>
          <w:iCs/>
        </w:rPr>
        <w:t>adhvarādīnā</w:t>
      </w:r>
      <w:r>
        <w:rPr>
          <w:i/>
          <w:iCs/>
        </w:rPr>
        <w:t>ṃ</w:t>
      </w:r>
      <w:r>
        <w:rPr>
          <w:i/>
          <w:iCs/>
        </w:rPr>
        <w:t xml:space="preserve"> trayā</w:t>
      </w:r>
      <w:r>
        <w:rPr>
          <w:i/>
          <w:iCs/>
        </w:rPr>
        <w:t>ṇ</w:t>
      </w:r>
      <w:r>
        <w:rPr>
          <w:i/>
          <w:iCs/>
        </w:rPr>
        <w:t>ā</w:t>
      </w:r>
      <w:r>
        <w:rPr>
          <w:i/>
          <w:iCs/>
        </w:rPr>
        <w:t>ṃ</w:t>
      </w:r>
      <w:r>
        <w:rPr>
          <w:i/>
          <w:iCs/>
        </w:rPr>
        <w:t xml:space="preserve"> vidhi</w:t>
      </w:r>
      <w:r>
        <w:t xml:space="preserve">. </w:t>
      </w:r>
    </w:p>
    <w:p w14:paraId="07EC5FDF" w14:textId="77777777" w:rsidR="00E53EB6" w:rsidRDefault="00E53EB6">
      <w:pPr>
        <w:pStyle w:val="HaupttextohneEinzug"/>
        <w:rPr>
          <w:i/>
          <w:iCs/>
        </w:rPr>
      </w:pPr>
    </w:p>
    <w:p w14:paraId="1226B50C" w14:textId="77777777" w:rsidR="00E53EB6" w:rsidRDefault="006500F5">
      <w:pPr>
        <w:pStyle w:val="Heading5"/>
        <w:tabs>
          <w:tab w:val="left" w:pos="0"/>
        </w:tabs>
      </w:pPr>
      <w:r>
        <w:rPr>
          <w:u w:val="single"/>
        </w:rPr>
        <w:t>KS 30.8: 189,20-21</w:t>
      </w:r>
      <w:r>
        <w:tab/>
      </w:r>
      <w:r>
        <w:tab/>
      </w:r>
      <w:r>
        <w:tab/>
      </w:r>
      <w:r>
        <w:tab/>
      </w:r>
      <w:r>
        <w:tab/>
      </w:r>
      <w:r>
        <w:tab/>
      </w:r>
      <w:r>
        <w:tab/>
      </w:r>
      <w:r>
        <w:tab/>
      </w:r>
      <w:r>
        <w:tab/>
      </w:r>
    </w:p>
    <w:p w14:paraId="71FC4853" w14:textId="77777777" w:rsidR="00E53EB6" w:rsidRDefault="006500F5">
      <w:pPr>
        <w:pStyle w:val="Zitat"/>
        <w:rPr>
          <w:i/>
          <w:iCs/>
        </w:rPr>
      </w:pPr>
      <w:r>
        <w:t>30.8</w:t>
      </w:r>
      <w:r>
        <w:rPr>
          <w:i/>
          <w:iCs/>
        </w:rPr>
        <w:t xml:space="preserve"> paśupate</w:t>
      </w:r>
      <w:r>
        <w:rPr>
          <w:i/>
          <w:iCs/>
        </w:rPr>
        <w:t>ḥ</w:t>
      </w:r>
      <w:r>
        <w:rPr>
          <w:i/>
          <w:iCs/>
        </w:rPr>
        <w:t xml:space="preserve"> paśavo virūpāssadr̥śā uta / te</w:t>
      </w:r>
      <w:r>
        <w:rPr>
          <w:i/>
          <w:iCs/>
        </w:rPr>
        <w:t>ṣ</w:t>
      </w:r>
      <w:r>
        <w:rPr>
          <w:i/>
          <w:iCs/>
        </w:rPr>
        <w:t>ā</w:t>
      </w:r>
      <w:r>
        <w:rPr>
          <w:i/>
          <w:iCs/>
        </w:rPr>
        <w:t>ṃ</w:t>
      </w:r>
      <w:r>
        <w:rPr>
          <w:i/>
          <w:iCs/>
        </w:rPr>
        <w:t xml:space="preserve"> ya</w:t>
      </w:r>
      <w:r>
        <w:rPr>
          <w:i/>
          <w:iCs/>
        </w:rPr>
        <w:t>ṃ</w:t>
      </w:r>
      <w:r>
        <w:rPr>
          <w:i/>
          <w:iCs/>
        </w:rPr>
        <w:t xml:space="preserve"> vavnire devāstam̐ svarā</w:t>
      </w:r>
      <w:r>
        <w:rPr>
          <w:i/>
          <w:iCs/>
        </w:rPr>
        <w:t>ḍ</w:t>
      </w:r>
      <w:r>
        <w:rPr>
          <w:i/>
          <w:iCs/>
        </w:rPr>
        <w:t>anumanyatām //</w:t>
      </w:r>
    </w:p>
    <w:p w14:paraId="766F967A" w14:textId="77777777" w:rsidR="00E53EB6" w:rsidRDefault="006500F5">
      <w:pPr>
        <w:pStyle w:val="Zitat"/>
      </w:pPr>
      <w:r>
        <w:t>Of Paśupati</w:t>
      </w:r>
      <w:r>
        <w:rPr>
          <w:rStyle w:val="FootnoteAnchor"/>
        </w:rPr>
        <w:footnoteReference w:id="249"/>
      </w:r>
      <w:r>
        <w:t xml:space="preserve"> are the sacrificial animals, manifold and similar; of them</w:t>
      </w:r>
      <w:r>
        <w:rPr>
          <w:rStyle w:val="FootnoteAnchor"/>
        </w:rPr>
        <w:footnoteReference w:id="250"/>
      </w:r>
      <w:r>
        <w:t xml:space="preserve">, what the gods have </w:t>
      </w:r>
      <w:r>
        <w:rPr>
          <w:u w:val="single"/>
        </w:rPr>
        <w:t>appropr</w:t>
      </w:r>
      <w:r>
        <w:rPr>
          <w:u w:val="single"/>
        </w:rPr>
        <w:t>iated</w:t>
      </w:r>
      <w:r>
        <w:t>, this may the self-ruler</w:t>
      </w:r>
      <w:r>
        <w:rPr>
          <w:rStyle w:val="FootnoteAnchor"/>
        </w:rPr>
        <w:footnoteReference w:id="251"/>
      </w:r>
      <w:r>
        <w:t xml:space="preserve"> approve/grant (</w:t>
      </w:r>
      <w:r>
        <w:rPr>
          <w:i/>
          <w:iCs/>
        </w:rPr>
        <w:t>anu man-</w:t>
      </w:r>
      <w:r>
        <w:t>).</w:t>
      </w:r>
    </w:p>
    <w:p w14:paraId="31ECD01D" w14:textId="77777777" w:rsidR="00E53EB6" w:rsidRDefault="006500F5">
      <w:pPr>
        <w:pStyle w:val="Zitat"/>
        <w:rPr>
          <w:i/>
          <w:iCs/>
        </w:rPr>
      </w:pPr>
      <w:r>
        <w:rPr>
          <w:i/>
          <w:iCs/>
        </w:rPr>
        <w:t xml:space="preserve">vavnire: </w:t>
      </w:r>
      <w:r>
        <w:t>ind. perf. 3</w:t>
      </w:r>
      <w:r>
        <w:rPr>
          <w:vertAlign w:val="superscript"/>
        </w:rPr>
        <w:t>rd</w:t>
      </w:r>
      <w:r>
        <w:t xml:space="preserve"> pl. Ā →  </w:t>
      </w:r>
      <w:r>
        <w:rPr>
          <w:i/>
          <w:iCs/>
        </w:rPr>
        <w:t>vanvire,</w:t>
      </w:r>
      <w:r>
        <w:t xml:space="preserve"> (so corr. Ch., cf. also </w:t>
      </w:r>
      <w:r>
        <w:rPr>
          <w:rStyle w:val="biblio-authorGEN"/>
          <w:sz w:val="18"/>
          <w:szCs w:val="15"/>
        </w:rPr>
        <w:t>Keith</w:t>
      </w:r>
      <w:r>
        <w:rPr>
          <w:color w:val="000000"/>
        </w:rPr>
        <w:t xml:space="preserve"> 1914: 226 n. 1) sta</w:t>
      </w:r>
      <w:r>
        <w:t>tive aor. 3</w:t>
      </w:r>
      <w:r>
        <w:rPr>
          <w:vertAlign w:val="superscript"/>
        </w:rPr>
        <w:t>rd</w:t>
      </w:r>
      <w:r>
        <w:t xml:space="preserve"> pl. Ā</w:t>
      </w:r>
    </w:p>
    <w:p w14:paraId="64F8C3DF" w14:textId="77777777" w:rsidR="00E53EB6" w:rsidRDefault="006500F5">
      <w:pPr>
        <w:pStyle w:val="HaupttextnachZitat"/>
      </w:pPr>
      <w:r>
        <w:t>Vedic Web</w:t>
      </w:r>
    </w:p>
    <w:p w14:paraId="367F2BF6" w14:textId="77777777" w:rsidR="00E53EB6" w:rsidRDefault="006500F5">
      <w:pPr>
        <w:pStyle w:val="HaupttextohneEinzug"/>
      </w:pPr>
      <w:r>
        <w:t xml:space="preserve">Mantra: cf. TS 3.1.4.1b; </w:t>
      </w:r>
    </w:p>
    <w:p w14:paraId="47C65010" w14:textId="77777777" w:rsidR="00E53EB6" w:rsidRDefault="006500F5">
      <w:pPr>
        <w:pStyle w:val="HaupttextohneEinzug"/>
      </w:pPr>
      <w:r>
        <w:t>Prose: cf. TS 3.1.5 and KS 30.9.</w:t>
      </w:r>
    </w:p>
    <w:p w14:paraId="1DFA4B88" w14:textId="77777777" w:rsidR="00E53EB6" w:rsidRDefault="00E53EB6">
      <w:pPr>
        <w:pStyle w:val="HaupttextohneEinzug"/>
      </w:pPr>
    </w:p>
    <w:p w14:paraId="26307274" w14:textId="77777777" w:rsidR="00E53EB6" w:rsidRDefault="006500F5">
      <w:pPr>
        <w:pStyle w:val="HaupttextohneEinzug"/>
      </w:pPr>
      <w:r>
        <w:t>Rite</w:t>
      </w:r>
    </w:p>
    <w:p w14:paraId="2BA3A203" w14:textId="77777777" w:rsidR="00E53EB6" w:rsidRDefault="006500F5">
      <w:pPr>
        <w:pStyle w:val="HaupttextohneEinzug"/>
      </w:pPr>
      <w:r>
        <w:t xml:space="preserve">Supplementary of Soma sacrifice: the measuring out of the Soma, anointing the oblation carts, fire </w:t>
      </w:r>
      <w:r>
        <w:lastRenderedPageBreak/>
        <w:t xml:space="preserve">for cooking the sacrificial animal. This </w:t>
      </w:r>
      <w:r>
        <w:rPr>
          <w:i/>
          <w:iCs/>
        </w:rPr>
        <w:t>mantra</w:t>
      </w:r>
      <w:r>
        <w:t xml:space="preserve"> is to be used when the victim is touched with </w:t>
      </w:r>
      <w:r>
        <w:rPr>
          <w:i/>
          <w:iCs/>
        </w:rPr>
        <w:t xml:space="preserve">barhis </w:t>
      </w:r>
      <w:r>
        <w:t>and a twig of Plak</w:t>
      </w:r>
      <w:r>
        <w:t>ṣ</w:t>
      </w:r>
      <w:r>
        <w:t>a as a preparation for the sacrifice.</w:t>
      </w:r>
      <w:r>
        <w:t xml:space="preserve"> </w:t>
      </w:r>
    </w:p>
    <w:p w14:paraId="3F8B06B6" w14:textId="77777777" w:rsidR="00E53EB6" w:rsidRDefault="00E53EB6">
      <w:pPr>
        <w:pStyle w:val="HaupttextohneEinzug"/>
        <w:rPr>
          <w:rFonts w:eastAsia="Arial" w:cs="Times Ext Roman"/>
          <w:color w:val="008000"/>
          <w:szCs w:val="21"/>
          <w:lang w:eastAsia="hi-IN" w:bidi="en-GB"/>
        </w:rPr>
      </w:pPr>
    </w:p>
    <w:p w14:paraId="538D41BE" w14:textId="77777777" w:rsidR="00E53EB6" w:rsidRDefault="00E53EB6">
      <w:pPr>
        <w:pStyle w:val="HaupttextohneEinzug"/>
        <w:autoSpaceDE w:val="0"/>
        <w:rPr>
          <w:rFonts w:eastAsia="Arial" w:cs="Times Ext Roman"/>
          <w:szCs w:val="21"/>
          <w:lang w:eastAsia="hi-IN" w:bidi="en-GB"/>
        </w:rPr>
      </w:pPr>
    </w:p>
    <w:p w14:paraId="6D1FF6C1" w14:textId="77777777" w:rsidR="00E53EB6" w:rsidRDefault="006500F5">
      <w:pPr>
        <w:pStyle w:val="Heading5"/>
        <w:tabs>
          <w:tab w:val="left" w:pos="0"/>
        </w:tabs>
      </w:pPr>
      <w:r>
        <w:t>Vājasaneya occurrences (Mādhya</w:t>
      </w:r>
      <w:r>
        <w:t>ṃ</w:t>
      </w:r>
      <w:r>
        <w:t xml:space="preserve">dina recension) </w:t>
      </w:r>
    </w:p>
    <w:p w14:paraId="7E4A370E" w14:textId="77777777" w:rsidR="00E53EB6" w:rsidRDefault="006500F5">
      <w:pPr>
        <w:pStyle w:val="Heading5"/>
        <w:numPr>
          <w:ilvl w:val="4"/>
          <w:numId w:val="2"/>
        </w:numPr>
        <w:tabs>
          <w:tab w:val="left" w:pos="0"/>
        </w:tabs>
      </w:pPr>
      <w:r>
        <w:rPr>
          <w:rFonts w:cs="Devanagari MT;Times New Roman"/>
          <w:u w:val="single"/>
        </w:rPr>
        <w:t>VS 10.4 (t-u)</w:t>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t xml:space="preserve"> </w:t>
      </w:r>
      <w:r>
        <w:tab/>
      </w:r>
      <w:r>
        <w:tab/>
      </w:r>
      <w:r>
        <w:tab/>
      </w:r>
      <w:r>
        <w:tab/>
      </w:r>
    </w:p>
    <w:p w14:paraId="002F187D" w14:textId="77777777" w:rsidR="00E53EB6" w:rsidRDefault="006500F5">
      <w:pPr>
        <w:pStyle w:val="Zitat"/>
        <w:numPr>
          <w:ilvl w:val="2"/>
          <w:numId w:val="2"/>
        </w:numPr>
        <w:tabs>
          <w:tab w:val="left" w:pos="260"/>
        </w:tabs>
        <w:ind w:left="260"/>
        <w:rPr>
          <w:i/>
          <w:iCs/>
        </w:rPr>
      </w:pPr>
      <w:r>
        <w:t xml:space="preserve">10.4 </w:t>
      </w:r>
      <w:r>
        <w:rPr>
          <w:i/>
          <w:iCs/>
        </w:rPr>
        <w:t>mádhumatīr  mádhumatībhi</w:t>
      </w:r>
      <w:r>
        <w:rPr>
          <w:i/>
          <w:iCs/>
        </w:rPr>
        <w:t>ḥ</w:t>
      </w:r>
      <w:r>
        <w:rPr>
          <w:i/>
          <w:iCs/>
        </w:rPr>
        <w:t xml:space="preserve">  pr̥cyantā</w:t>
      </w:r>
      <w:r>
        <w:rPr>
          <w:i/>
          <w:iCs/>
        </w:rPr>
        <w:t>ṃ</w:t>
      </w:r>
      <w:r>
        <w:rPr>
          <w:i/>
          <w:iCs/>
        </w:rPr>
        <w:t xml:space="preserve">  máhi k</w:t>
      </w:r>
      <w:r>
        <w:rPr>
          <w:i/>
          <w:iCs/>
        </w:rPr>
        <w:t>ṣ</w:t>
      </w:r>
      <w:r>
        <w:rPr>
          <w:i/>
          <w:iCs/>
        </w:rPr>
        <w:t>atrá</w:t>
      </w:r>
      <w:r>
        <w:rPr>
          <w:i/>
          <w:iCs/>
        </w:rPr>
        <w:t>ṃ</w:t>
      </w:r>
      <w:r>
        <w:rPr>
          <w:i/>
          <w:iCs/>
        </w:rPr>
        <w:t xml:space="preserve"> k</w:t>
      </w:r>
      <w:r>
        <w:rPr>
          <w:i/>
          <w:iCs/>
        </w:rPr>
        <w:t>ṣ</w:t>
      </w:r>
      <w:r>
        <w:rPr>
          <w:i/>
          <w:iCs/>
        </w:rPr>
        <w:t>atríyāya  vanvānā́</w:t>
      </w:r>
      <w:r>
        <w:rPr>
          <w:i/>
          <w:iCs/>
        </w:rPr>
        <w:t>ḥ</w:t>
      </w:r>
      <w:r>
        <w:rPr>
          <w:i/>
          <w:iCs/>
        </w:rPr>
        <w:t xml:space="preserve"> \  ánādhr̥</w:t>
      </w:r>
      <w:r>
        <w:rPr>
          <w:i/>
          <w:iCs/>
        </w:rPr>
        <w:t>ṣṭ</w:t>
      </w:r>
      <w:r>
        <w:rPr>
          <w:i/>
          <w:iCs/>
        </w:rPr>
        <w:t>ā</w:t>
      </w:r>
      <w:r>
        <w:rPr>
          <w:i/>
          <w:iCs/>
        </w:rPr>
        <w:t>ḥ</w:t>
      </w:r>
      <w:r>
        <w:rPr>
          <w:i/>
          <w:iCs/>
        </w:rPr>
        <w:t xml:space="preserve"> sīdata saháujaso máhi k</w:t>
      </w:r>
      <w:r>
        <w:rPr>
          <w:i/>
          <w:iCs/>
        </w:rPr>
        <w:t>ṣ</w:t>
      </w:r>
      <w:r>
        <w:rPr>
          <w:i/>
          <w:iCs/>
        </w:rPr>
        <w:t>atrá</w:t>
      </w:r>
      <w:r>
        <w:rPr>
          <w:i/>
          <w:iCs/>
        </w:rPr>
        <w:t>ṃ</w:t>
      </w:r>
      <w:r>
        <w:rPr>
          <w:i/>
          <w:iCs/>
        </w:rPr>
        <w:t xml:space="preserve"> k</w:t>
      </w:r>
      <w:r>
        <w:rPr>
          <w:i/>
          <w:iCs/>
        </w:rPr>
        <w:t>ṣ</w:t>
      </w:r>
      <w:r>
        <w:rPr>
          <w:i/>
          <w:iCs/>
        </w:rPr>
        <w:t>atríyāya dádhatī</w:t>
      </w:r>
      <w:r>
        <w:rPr>
          <w:i/>
          <w:iCs/>
        </w:rPr>
        <w:t>ḥ</w:t>
      </w:r>
      <w:r>
        <w:rPr>
          <w:i/>
          <w:iCs/>
        </w:rPr>
        <w:t xml:space="preserve"> \\</w:t>
      </w:r>
    </w:p>
    <w:p w14:paraId="29CB2564" w14:textId="77777777" w:rsidR="00E53EB6" w:rsidRDefault="006500F5">
      <w:pPr>
        <w:pStyle w:val="Zitat"/>
      </w:pPr>
      <w:r>
        <w:t xml:space="preserve">The full of sweet be mingled with the full of sweet, </w:t>
      </w:r>
      <w:r>
        <w:rPr>
          <w:u w:val="single"/>
        </w:rPr>
        <w:t>appropriating</w:t>
      </w:r>
      <w:r>
        <w:t xml:space="preserve"> for the king</w:t>
      </w:r>
      <w:r>
        <w:rPr>
          <w:rStyle w:val="FootnoteAnchor"/>
          <w:rFonts w:cs="Devanagari MT;Times New Roman"/>
          <w:lang w:eastAsia="hi-IN"/>
        </w:rPr>
        <w:footnoteReference w:id="252"/>
      </w:r>
      <w:r>
        <w:rPr>
          <w:lang w:eastAsia="hi-IN"/>
        </w:rPr>
        <w:t xml:space="preserve"> </w:t>
      </w:r>
      <w:r>
        <w:t>the great power to rule; sit untouched, with the juicy vigour</w:t>
      </w:r>
      <w:r>
        <w:rPr>
          <w:rStyle w:val="FootnoteAnchor"/>
          <w:rFonts w:cs="Devanagari MT;Times New Roman"/>
          <w:lang w:eastAsia="hi-IN"/>
        </w:rPr>
        <w:footnoteReference w:id="253"/>
      </w:r>
      <w:r>
        <w:t>, putting a great power to rule into the king.</w:t>
      </w:r>
    </w:p>
    <w:p w14:paraId="716626B9" w14:textId="77777777" w:rsidR="00E53EB6" w:rsidRDefault="006500F5">
      <w:pPr>
        <w:pStyle w:val="Zitat"/>
      </w:pPr>
      <w:r>
        <w:rPr>
          <w:i/>
        </w:rPr>
        <w:t>vanvānā́</w:t>
      </w:r>
      <w:r>
        <w:rPr>
          <w:i/>
        </w:rPr>
        <w:t>ḥ</w:t>
      </w:r>
      <w:r>
        <w:rPr>
          <w:i/>
        </w:rPr>
        <w:t xml:space="preserve">: </w:t>
      </w:r>
      <w:r>
        <w:t>part. pres. nom. fem. pl. Ā VIII cl.</w:t>
      </w:r>
    </w:p>
    <w:p w14:paraId="76E874AD" w14:textId="77777777" w:rsidR="00E53EB6" w:rsidRDefault="006500F5">
      <w:pPr>
        <w:pStyle w:val="ZitatmitEinzug"/>
      </w:pPr>
      <w:r>
        <w:rPr>
          <w:szCs w:val="15"/>
          <w:lang w:bidi="en-US"/>
        </w:rPr>
        <w:t>Griffith</w:t>
      </w:r>
      <w:r>
        <w:rPr>
          <w:lang w:bidi="en-US"/>
        </w:rPr>
        <w:t xml:space="preserve"> in </w:t>
      </w:r>
      <w:r>
        <w:rPr>
          <w:rStyle w:val="biblio-authorGEN"/>
          <w:sz w:val="18"/>
          <w:szCs w:val="15"/>
          <w:lang w:bidi="en-US"/>
        </w:rPr>
        <w:t>Arya</w:t>
      </w:r>
      <w:r>
        <w:rPr>
          <w:lang w:bidi="en-US"/>
        </w:rPr>
        <w:t xml:space="preserve"> 1999</w:t>
      </w:r>
      <w:r>
        <w:t>: 124 “obtaining”</w:t>
      </w:r>
    </w:p>
    <w:p w14:paraId="4ED0F939" w14:textId="77777777" w:rsidR="00E53EB6" w:rsidRDefault="006500F5">
      <w:pPr>
        <w:pStyle w:val="HaupttextnachZitat"/>
        <w:numPr>
          <w:ilvl w:val="2"/>
          <w:numId w:val="2"/>
        </w:numPr>
        <w:tabs>
          <w:tab w:val="left" w:pos="0"/>
        </w:tabs>
      </w:pPr>
      <w:r>
        <w:t>Vedic Web</w:t>
      </w:r>
    </w:p>
    <w:p w14:paraId="41F5DA98" w14:textId="77777777" w:rsidR="00E53EB6" w:rsidRDefault="006500F5">
      <w:pPr>
        <w:pStyle w:val="HaupttextohneEinzug"/>
      </w:pPr>
      <w:r>
        <w:t>Mantra: TS 1.8.12.1a-b;</w:t>
      </w:r>
      <w:r>
        <w:rPr>
          <w:szCs w:val="21"/>
        </w:rPr>
        <w:t xml:space="preserve"> </w:t>
      </w:r>
      <w:r>
        <w:rPr>
          <w:rFonts w:eastAsia="MS Mincho;ＭＳ 明朝" w:cs="Times Ext Roman"/>
          <w:szCs w:val="21"/>
          <w:lang w:eastAsia="hi-IN" w:bidi="en-GB"/>
        </w:rPr>
        <w:t xml:space="preserve">MS 2.6.8: 68,6-8; </w:t>
      </w:r>
      <w:r>
        <w:rPr>
          <w:szCs w:val="21"/>
        </w:rPr>
        <w:t>MS 4.4.</w:t>
      </w:r>
      <w:r>
        <w:t xml:space="preserve">2: </w:t>
      </w:r>
      <w:r>
        <w:t>51,8-10</w:t>
      </w:r>
      <w:r>
        <w:t>; KS 15.6: 213,9-10; ŚB 5.3.4.27.</w:t>
      </w:r>
      <w:r>
        <w:t xml:space="preserve"> </w:t>
      </w:r>
    </w:p>
    <w:p w14:paraId="0FCFDFB9" w14:textId="77777777" w:rsidR="00E53EB6" w:rsidRDefault="006500F5">
      <w:pPr>
        <w:pStyle w:val="HaupttextohneEinzug"/>
      </w:pPr>
      <w:r>
        <w:t>Mantra and Prose: ŚB 5.3.4.27.</w:t>
      </w:r>
    </w:p>
    <w:p w14:paraId="34C68244" w14:textId="77777777" w:rsidR="00E53EB6" w:rsidRDefault="006500F5">
      <w:pPr>
        <w:pStyle w:val="HaupttextohneEinzug"/>
      </w:pPr>
      <w:r>
        <w:t>Prose: ŚB 5.16-37; 4.1.15.</w:t>
      </w:r>
    </w:p>
    <w:p w14:paraId="3E803E2C" w14:textId="77777777" w:rsidR="00E53EB6" w:rsidRDefault="00E53EB6">
      <w:pPr>
        <w:pStyle w:val="HaupttextohneEinzug"/>
      </w:pPr>
    </w:p>
    <w:p w14:paraId="58DE0529" w14:textId="77777777" w:rsidR="00E53EB6" w:rsidRDefault="006500F5">
      <w:pPr>
        <w:pStyle w:val="HaupttextohneEinzug"/>
      </w:pPr>
      <w:r>
        <w:t>Rite</w:t>
      </w:r>
    </w:p>
    <w:p w14:paraId="5878D44E" w14:textId="77777777" w:rsidR="00E53EB6" w:rsidRDefault="006500F5">
      <w:pPr>
        <w:pStyle w:val="HaupttextohneEinzug"/>
      </w:pPr>
      <w:r>
        <w:t>Rājasūya, the Abhi</w:t>
      </w:r>
      <w:r>
        <w:t>ṣ</w:t>
      </w:r>
      <w:r>
        <w:t xml:space="preserve">eka –the unction of the king during his </w:t>
      </w:r>
      <w:r>
        <w:t>consecration. This section deals with the preparation of the waters.</w:t>
      </w:r>
    </w:p>
    <w:p w14:paraId="2E758915" w14:textId="77777777" w:rsidR="00E53EB6" w:rsidRDefault="006500F5">
      <w:pPr>
        <w:pStyle w:val="HaupttextohneEinzug"/>
      </w:pPr>
      <w:r>
        <w:t xml:space="preserve">Waters from diverse sources are poured together into a single vessel. The </w:t>
      </w:r>
      <w:r>
        <w:rPr>
          <w:i/>
          <w:iCs/>
        </w:rPr>
        <w:t>mantra</w:t>
      </w:r>
      <w:r>
        <w:t xml:space="preserve"> credits the waters with winning for the anointed on the power to rule –</w:t>
      </w:r>
      <w:r>
        <w:rPr>
          <w:i/>
          <w:iCs/>
        </w:rPr>
        <w:t>varcás</w:t>
      </w:r>
      <w:r>
        <w:t xml:space="preserve"> “splendour”, cf. </w:t>
      </w:r>
      <w:r>
        <w:rPr>
          <w:rStyle w:val="biblio-authorGEN"/>
        </w:rPr>
        <w:t>Proferes</w:t>
      </w:r>
      <w:r>
        <w:t xml:space="preserve"> 20</w:t>
      </w:r>
      <w:r>
        <w:t xml:space="preserve">07 p. 80ff; </w:t>
      </w:r>
      <w:r>
        <w:rPr>
          <w:rStyle w:val="biblio-authorGEN"/>
        </w:rPr>
        <w:t>Heesterman</w:t>
      </w:r>
      <w:r>
        <w:t xml:space="preserve"> 1975 p.74-70 and 114-22; see also </w:t>
      </w:r>
      <w:r>
        <w:rPr>
          <w:rStyle w:val="biblio-authorGEN"/>
        </w:rPr>
        <w:t>Tsuchiyama</w:t>
      </w:r>
      <w:r>
        <w:t xml:space="preserve"> 2005 for the Abhi</w:t>
      </w:r>
      <w:r>
        <w:t>ṣ</w:t>
      </w:r>
      <w:r>
        <w:t xml:space="preserve">eka in general and his post-Vedic development. </w:t>
      </w:r>
    </w:p>
    <w:p w14:paraId="6E18AED0" w14:textId="77777777" w:rsidR="00E53EB6" w:rsidRDefault="006500F5">
      <w:pPr>
        <w:pStyle w:val="HaupttextohneEinzug"/>
      </w:pPr>
      <w:r>
        <w:t>The collection and mixing of the waters.</w:t>
      </w:r>
    </w:p>
    <w:p w14:paraId="43F746A4" w14:textId="77777777" w:rsidR="00E53EB6" w:rsidRDefault="00E53EB6">
      <w:pPr>
        <w:pStyle w:val="HaupttextohneEinzug"/>
      </w:pPr>
    </w:p>
    <w:p w14:paraId="005DDCC5" w14:textId="77777777" w:rsidR="00E53EB6" w:rsidRDefault="006500F5">
      <w:pPr>
        <w:pStyle w:val="Heading3"/>
        <w:tabs>
          <w:tab w:val="left" w:pos="0"/>
        </w:tabs>
        <w:rPr>
          <w:rFonts w:ascii="Sabon Unicode" w:hAnsi="Sabon Unicode"/>
        </w:rPr>
      </w:pPr>
      <w:r>
        <w:rPr>
          <w:rFonts w:ascii="Sabon Unicode" w:hAnsi="Sabon Unicode"/>
        </w:rPr>
        <w:t>III.2.2</w:t>
      </w:r>
      <w:r>
        <w:rPr>
          <w:rFonts w:ascii="Sabon Unicode" w:hAnsi="Sabon Unicode"/>
        </w:rPr>
        <w:t xml:space="preserve"> Brāhma</w:t>
      </w:r>
      <w:r>
        <w:rPr>
          <w:rFonts w:ascii="Sabon Unicode" w:hAnsi="Sabon Unicode"/>
        </w:rPr>
        <w:t>ṇ</w:t>
      </w:r>
      <w:r>
        <w:rPr>
          <w:rFonts w:ascii="Sabon Unicode" w:hAnsi="Sabon Unicode"/>
        </w:rPr>
        <w:t>a Occurrences</w:t>
      </w:r>
    </w:p>
    <w:p w14:paraId="2BEB2737" w14:textId="77777777" w:rsidR="00E53EB6" w:rsidRDefault="006500F5">
      <w:pPr>
        <w:pStyle w:val="Heading4"/>
        <w:tabs>
          <w:tab w:val="left" w:pos="0"/>
        </w:tabs>
      </w:pPr>
      <w:r>
        <w:rPr>
          <w:iCs w:val="0"/>
        </w:rPr>
        <w:t xml:space="preserve">R̥V </w:t>
      </w:r>
      <w:r>
        <w:rPr>
          <w:i/>
        </w:rPr>
        <w:t>mantra</w:t>
      </w:r>
      <w:r>
        <w:rPr>
          <w:iCs w:val="0"/>
        </w:rPr>
        <w:t>s</w:t>
      </w:r>
    </w:p>
    <w:p w14:paraId="774C44EA" w14:textId="77777777" w:rsidR="00E53EB6" w:rsidRDefault="006500F5">
      <w:pPr>
        <w:pStyle w:val="Heading4"/>
        <w:tabs>
          <w:tab w:val="left" w:pos="0"/>
        </w:tabs>
        <w:rPr>
          <w:iCs w:val="0"/>
        </w:rPr>
      </w:pPr>
      <w:r>
        <w:rPr>
          <w:iCs w:val="0"/>
        </w:rPr>
        <w:t>R̥V Brāhmana occurrences</w:t>
      </w:r>
    </w:p>
    <w:p w14:paraId="43FCCEBA" w14:textId="77777777" w:rsidR="00E53EB6" w:rsidRDefault="006500F5">
      <w:pPr>
        <w:pStyle w:val="Hauptext"/>
      </w:pPr>
      <w:r>
        <w:t xml:space="preserve">       </w:t>
      </w:r>
      <w:r>
        <w:t xml:space="preserve">       </w:t>
      </w:r>
      <w:r>
        <w:t xml:space="preserve">                                                                                                                                                                                                                                                                </w:t>
      </w:r>
      <w:r>
        <w:t xml:space="preserve">                                                                                                                               </w:t>
      </w:r>
    </w:p>
    <w:p w14:paraId="54938A03" w14:textId="77777777" w:rsidR="00E53EB6" w:rsidRPr="00B80C6B" w:rsidRDefault="006500F5">
      <w:pPr>
        <w:pStyle w:val="Hauptext"/>
        <w:rPr>
          <w:lang w:val="de-DE"/>
        </w:rPr>
      </w:pPr>
      <w:r>
        <w:t xml:space="preserve">Text of the </w:t>
      </w:r>
      <w:r>
        <w:rPr>
          <w:i/>
          <w:iCs/>
        </w:rPr>
        <w:t>Aitareya Brāhma</w:t>
      </w:r>
      <w:r>
        <w:rPr>
          <w:i/>
          <w:iCs/>
        </w:rPr>
        <w:t>ṇ</w:t>
      </w:r>
      <w:r>
        <w:rPr>
          <w:i/>
          <w:iCs/>
        </w:rPr>
        <w:t xml:space="preserve">a </w:t>
      </w:r>
      <w:r>
        <w:t xml:space="preserve">is </w:t>
      </w:r>
      <w:r>
        <w:t xml:space="preserve">after </w:t>
      </w:r>
      <w:r>
        <w:t>The Aitareya Brāhma</w:t>
      </w:r>
      <w:r>
        <w:t>ṇ</w:t>
      </w:r>
      <w:r>
        <w:t>a of the R̥gveda with the commentary of Sāya</w:t>
      </w:r>
      <w:r>
        <w:t>ṇ</w:t>
      </w:r>
      <w:r>
        <w:t>a Acharya, edited by Pa</w:t>
      </w:r>
      <w:r>
        <w:t>ṇḍ</w:t>
      </w:r>
      <w:r>
        <w:t xml:space="preserve">it Satyavrata Samasrami, Satya Press, Calcutta, 1895 [Bibliotheca Indica Vol. 847, 849, 850, 852, 861], Voll.5. </w:t>
      </w:r>
      <w:r w:rsidRPr="00B80C6B">
        <w:rPr>
          <w:lang w:val="de-DE"/>
        </w:rPr>
        <w:t>The edition Das Aitareya Brāhma</w:t>
      </w:r>
      <w:r w:rsidRPr="00B80C6B">
        <w:rPr>
          <w:lang w:val="de-DE"/>
        </w:rPr>
        <w:t>ṇ</w:t>
      </w:r>
      <w:r w:rsidRPr="00B80C6B">
        <w:rPr>
          <w:lang w:val="de-DE"/>
        </w:rPr>
        <w:t>a. Mit Auszügen aus de</w:t>
      </w:r>
      <w:r w:rsidRPr="00B80C6B">
        <w:rPr>
          <w:lang w:val="de-DE"/>
        </w:rPr>
        <w:t>m Commentare con Sāya</w:t>
      </w:r>
      <w:r w:rsidRPr="00B80C6B">
        <w:rPr>
          <w:lang w:val="de-DE"/>
        </w:rPr>
        <w:t>ṇ</w:t>
      </w:r>
      <w:r w:rsidRPr="00B80C6B">
        <w:rPr>
          <w:lang w:val="de-DE"/>
        </w:rPr>
        <w:t xml:space="preserve">ācārya und andere Beilagen herausgegeben von Theodor Aufrecht, Adolph Marcus, Bonn, 1879 </w:t>
      </w:r>
      <w:r w:rsidRPr="00B80C6B">
        <w:rPr>
          <w:color w:val="000000"/>
          <w:szCs w:val="21"/>
          <w:lang w:val="de-DE"/>
        </w:rPr>
        <w:t>has been used also.</w:t>
      </w:r>
    </w:p>
    <w:p w14:paraId="3B228A21" w14:textId="77777777" w:rsidR="00E53EB6" w:rsidRDefault="006500F5">
      <w:pPr>
        <w:pStyle w:val="Heading5"/>
        <w:tabs>
          <w:tab w:val="left" w:pos="0"/>
        </w:tabs>
      </w:pPr>
      <w:r>
        <w:lastRenderedPageBreak/>
        <w:t>Aitareya occurrences</w:t>
      </w:r>
    </w:p>
    <w:p w14:paraId="3719E330" w14:textId="77777777" w:rsidR="00E53EB6" w:rsidRDefault="006500F5">
      <w:pPr>
        <w:pStyle w:val="Heading5"/>
        <w:tabs>
          <w:tab w:val="left" w:pos="0"/>
        </w:tabs>
        <w:rPr>
          <w:u w:val="single"/>
        </w:rPr>
      </w:pPr>
      <w:r>
        <w:rPr>
          <w:u w:val="single"/>
        </w:rPr>
        <w:t>AB 1.25.7</w:t>
      </w:r>
    </w:p>
    <w:p w14:paraId="772D820C" w14:textId="77777777" w:rsidR="00E53EB6" w:rsidRDefault="006500F5">
      <w:pPr>
        <w:pStyle w:val="Zitat"/>
        <w:rPr>
          <w:i/>
          <w:iCs/>
          <w:color w:val="000000"/>
        </w:rPr>
      </w:pPr>
      <w:r>
        <w:rPr>
          <w:color w:val="000000"/>
        </w:rPr>
        <w:t xml:space="preserve">1.25.7 </w:t>
      </w:r>
      <w:r>
        <w:rPr>
          <w:i/>
          <w:iCs/>
          <w:color w:val="000000"/>
        </w:rPr>
        <w:t>upasadyāya mī</w:t>
      </w:r>
      <w:r>
        <w:rPr>
          <w:i/>
          <w:iCs/>
          <w:color w:val="000000"/>
        </w:rPr>
        <w:t>ḷ</w:t>
      </w:r>
      <w:r>
        <w:rPr>
          <w:i/>
          <w:iCs/>
          <w:color w:val="000000"/>
        </w:rPr>
        <w:t>hu</w:t>
      </w:r>
      <w:r>
        <w:rPr>
          <w:i/>
          <w:iCs/>
          <w:color w:val="000000"/>
        </w:rPr>
        <w:t>ṣ</w:t>
      </w:r>
      <w:r>
        <w:rPr>
          <w:i/>
          <w:iCs/>
          <w:color w:val="000000"/>
        </w:rPr>
        <w:t>a</w:t>
      </w:r>
      <w:r>
        <w:rPr>
          <w:rStyle w:val="FootnoteAnchor"/>
          <w:i/>
          <w:iCs/>
          <w:color w:val="000000"/>
        </w:rPr>
        <w:footnoteReference w:id="254"/>
      </w:r>
      <w:r>
        <w:rPr>
          <w:i/>
          <w:iCs/>
          <w:color w:val="000000"/>
        </w:rPr>
        <w:t xml:space="preserve"> imām me agne samidham imām upasada</w:t>
      </w:r>
      <w:r>
        <w:rPr>
          <w:i/>
          <w:iCs/>
          <w:color w:val="000000"/>
        </w:rPr>
        <w:t>ṃ</w:t>
      </w:r>
      <w:r>
        <w:rPr>
          <w:i/>
          <w:iCs/>
          <w:color w:val="000000"/>
        </w:rPr>
        <w:t xml:space="preserve"> vaner</w:t>
      </w:r>
      <w:r>
        <w:rPr>
          <w:rStyle w:val="FootnoteAnchor"/>
          <w:i/>
          <w:iCs/>
          <w:color w:val="000000"/>
        </w:rPr>
        <w:footnoteReference w:id="255"/>
      </w:r>
      <w:r>
        <w:rPr>
          <w:i/>
          <w:iCs/>
          <w:color w:val="000000"/>
        </w:rPr>
        <w:t xml:space="preserve"> iti / tisrastisra</w:t>
      </w:r>
      <w:r>
        <w:rPr>
          <w:i/>
          <w:iCs/>
          <w:color w:val="000000"/>
        </w:rPr>
        <w:t>ḥ</w:t>
      </w:r>
      <w:r>
        <w:rPr>
          <w:i/>
          <w:iCs/>
          <w:color w:val="000000"/>
        </w:rPr>
        <w:t xml:space="preserve"> sāmidhenyo rūpasamr̥ddhā etad vai yajñasya samr̥ddha</w:t>
      </w:r>
      <w:r>
        <w:rPr>
          <w:i/>
          <w:iCs/>
          <w:color w:val="000000"/>
        </w:rPr>
        <w:t>ṃ</w:t>
      </w:r>
      <w:r>
        <w:rPr>
          <w:i/>
          <w:iCs/>
          <w:color w:val="000000"/>
        </w:rPr>
        <w:t xml:space="preserve"> / yad rūpasamr̥ddha</w:t>
      </w:r>
      <w:r>
        <w:rPr>
          <w:i/>
          <w:iCs/>
          <w:color w:val="000000"/>
        </w:rPr>
        <w:t>ṃ</w:t>
      </w:r>
      <w:r>
        <w:rPr>
          <w:i/>
          <w:iCs/>
          <w:color w:val="000000"/>
        </w:rPr>
        <w:t xml:space="preserve"> yat karma kriyamā</w:t>
      </w:r>
      <w:r>
        <w:rPr>
          <w:i/>
          <w:iCs/>
          <w:color w:val="000000"/>
        </w:rPr>
        <w:t>ṇ</w:t>
      </w:r>
      <w:r>
        <w:rPr>
          <w:i/>
          <w:iCs/>
          <w:color w:val="000000"/>
        </w:rPr>
        <w:t>am r̥g abhivadati</w:t>
      </w:r>
    </w:p>
    <w:p w14:paraId="27E30FDB" w14:textId="77777777" w:rsidR="00E53EB6" w:rsidRDefault="006500F5">
      <w:pPr>
        <w:pStyle w:val="Zitat"/>
        <w:rPr>
          <w:color w:val="000000"/>
        </w:rPr>
      </w:pPr>
      <w:r>
        <w:rPr>
          <w:color w:val="000000"/>
        </w:rPr>
        <w:t>‘To the one who is to worship</w:t>
      </w:r>
      <w:r>
        <w:rPr>
          <w:rStyle w:val="FootnoteAnchor"/>
          <w:color w:val="000000"/>
        </w:rPr>
        <w:footnoteReference w:id="256"/>
      </w:r>
      <w:r>
        <w:rPr>
          <w:color w:val="000000"/>
        </w:rPr>
        <w:t xml:space="preserve">, to the generous, may you </w:t>
      </w:r>
      <w:r>
        <w:rPr>
          <w:color w:val="000000"/>
          <w:u w:val="single"/>
        </w:rPr>
        <w:t>appropriate</w:t>
      </w:r>
      <w:r>
        <w:rPr>
          <w:color w:val="000000"/>
        </w:rPr>
        <w:t>, o Agni, th</w:t>
      </w:r>
      <w:r>
        <w:rPr>
          <w:color w:val="000000"/>
        </w:rPr>
        <w:t>is kindling stick of mine, this being by you (</w:t>
      </w:r>
      <w:r>
        <w:rPr>
          <w:i/>
          <w:iCs/>
          <w:color w:val="000000"/>
        </w:rPr>
        <w:t>upasad</w:t>
      </w:r>
      <w:r>
        <w:rPr>
          <w:color w:val="000000"/>
        </w:rPr>
        <w:t>) of mine’ three verses each</w:t>
      </w:r>
      <w:r>
        <w:rPr>
          <w:rStyle w:val="FootnoteAnchor"/>
          <w:color w:val="000000"/>
        </w:rPr>
        <w:footnoteReference w:id="257"/>
      </w:r>
      <w:r>
        <w:rPr>
          <w:color w:val="000000"/>
        </w:rPr>
        <w:t xml:space="preserve"> are the kindling verse perfect in form, that of the sacrifice is perfect what is perfect in form, the verse describes the sacrifice</w:t>
      </w:r>
      <w:r>
        <w:rPr>
          <w:rStyle w:val="FootnoteAnchor"/>
          <w:color w:val="000000"/>
        </w:rPr>
        <w:footnoteReference w:id="258"/>
      </w:r>
      <w:r>
        <w:rPr>
          <w:color w:val="000000"/>
        </w:rPr>
        <w:t xml:space="preserve"> which is being performed.</w:t>
      </w:r>
    </w:p>
    <w:p w14:paraId="4CE40406" w14:textId="77777777" w:rsidR="00E53EB6" w:rsidRPr="00B80C6B" w:rsidRDefault="006500F5">
      <w:pPr>
        <w:pStyle w:val="Zitat"/>
        <w:rPr>
          <w:i/>
          <w:iCs/>
          <w:color w:val="000000"/>
          <w:lang w:val="de-DE"/>
        </w:rPr>
      </w:pPr>
      <w:r>
        <w:rPr>
          <w:i/>
          <w:iCs/>
          <w:color w:val="000000"/>
        </w:rPr>
        <w:t>vane</w:t>
      </w:r>
      <w:r>
        <w:rPr>
          <w:i/>
          <w:iCs/>
          <w:color w:val="000000"/>
        </w:rPr>
        <w:t>ḥ</w:t>
      </w:r>
      <w:r>
        <w:rPr>
          <w:i/>
          <w:iCs/>
          <w:color w:val="000000"/>
        </w:rPr>
        <w:t xml:space="preserve">: </w:t>
      </w:r>
      <w:r>
        <w:rPr>
          <w:color w:val="000000"/>
        </w:rPr>
        <w:t>opt. p</w:t>
      </w:r>
      <w:r>
        <w:rPr>
          <w:color w:val="000000"/>
        </w:rPr>
        <w:t>res. 2</w:t>
      </w:r>
      <w:r>
        <w:rPr>
          <w:color w:val="000000"/>
          <w:vertAlign w:val="superscript"/>
        </w:rPr>
        <w:t>nd</w:t>
      </w:r>
      <w:r>
        <w:rPr>
          <w:color w:val="000000"/>
        </w:rPr>
        <w:t xml:space="preserve"> sing. </w:t>
      </w:r>
      <w:r w:rsidRPr="00B80C6B">
        <w:rPr>
          <w:color w:val="000000"/>
          <w:lang w:val="de-DE"/>
        </w:rPr>
        <w:t>I-VI cl.</w:t>
      </w:r>
    </w:p>
    <w:p w14:paraId="627B2E3F" w14:textId="77777777" w:rsidR="00E53EB6" w:rsidRPr="00B80C6B" w:rsidRDefault="006500F5">
      <w:pPr>
        <w:pStyle w:val="ZitatmitEinzug"/>
        <w:rPr>
          <w:szCs w:val="18"/>
          <w:lang w:val="de-DE"/>
        </w:rPr>
      </w:pPr>
      <w:r w:rsidRPr="00B80C6B">
        <w:rPr>
          <w:smallCaps/>
          <w:szCs w:val="18"/>
          <w:lang w:val="de-DE"/>
        </w:rPr>
        <w:t xml:space="preserve">Geldner: </w:t>
      </w:r>
      <w:r w:rsidRPr="00B80C6B">
        <w:rPr>
          <w:szCs w:val="18"/>
          <w:lang w:val="de-DE"/>
        </w:rPr>
        <w:t>I  283</w:t>
      </w:r>
      <w:r w:rsidRPr="00B80C6B">
        <w:rPr>
          <w:smallCaps/>
          <w:szCs w:val="18"/>
          <w:lang w:val="de-DE"/>
        </w:rPr>
        <w:t xml:space="preserve"> “</w:t>
      </w:r>
      <w:r w:rsidRPr="00B80C6B">
        <w:rPr>
          <w:szCs w:val="18"/>
          <w:lang w:val="de-DE"/>
        </w:rPr>
        <w:t>mögest du gern annehmen</w:t>
      </w:r>
      <w:r w:rsidRPr="00B80C6B">
        <w:rPr>
          <w:i/>
          <w:szCs w:val="18"/>
          <w:lang w:val="de-DE"/>
        </w:rPr>
        <w:t>”</w:t>
      </w:r>
    </w:p>
    <w:p w14:paraId="2AAA1F73" w14:textId="77777777" w:rsidR="00E53EB6" w:rsidRDefault="006500F5">
      <w:pPr>
        <w:pStyle w:val="ZitatmitEinzug"/>
        <w:rPr>
          <w:szCs w:val="18"/>
        </w:rPr>
      </w:pPr>
      <w:r>
        <w:rPr>
          <w:smallCaps/>
          <w:szCs w:val="18"/>
        </w:rPr>
        <w:t xml:space="preserve">Renou: </w:t>
      </w:r>
      <w:r>
        <w:rPr>
          <w:szCs w:val="18"/>
        </w:rPr>
        <w:t>XII 45 “</w:t>
      </w:r>
      <w:r>
        <w:rPr>
          <w:szCs w:val="18"/>
        </w:rPr>
        <w:t>agréer</w:t>
      </w:r>
      <w:r>
        <w:rPr>
          <w:i/>
          <w:szCs w:val="18"/>
        </w:rPr>
        <w:t>”</w:t>
      </w:r>
    </w:p>
    <w:p w14:paraId="5B853C38" w14:textId="77777777" w:rsidR="00E53EB6" w:rsidRDefault="006500F5">
      <w:pPr>
        <w:pStyle w:val="ZitatmitEinzug"/>
      </w:pPr>
      <w:r>
        <w:rPr>
          <w:rStyle w:val="biblio-authorGEN"/>
          <w:sz w:val="18"/>
          <w:szCs w:val="18"/>
        </w:rPr>
        <w:t xml:space="preserve">Keith </w:t>
      </w:r>
      <w:r>
        <w:t>1920: 126 “do accept”</w:t>
      </w:r>
    </w:p>
    <w:p w14:paraId="21640816" w14:textId="77777777" w:rsidR="00E53EB6" w:rsidRDefault="006500F5">
      <w:pPr>
        <w:pStyle w:val="HaupttextnachZitat"/>
      </w:pPr>
      <w:r>
        <w:t>Vedic Web</w:t>
      </w:r>
    </w:p>
    <w:p w14:paraId="1597025F" w14:textId="77777777" w:rsidR="00E53EB6" w:rsidRDefault="006500F5">
      <w:pPr>
        <w:pStyle w:val="HaupttextohneEinzug"/>
      </w:pPr>
      <w:r>
        <w:t xml:space="preserve">Mantra: R̥V 2.6.1ab; ĀŚS 4.8.11.   </w:t>
      </w:r>
    </w:p>
    <w:p w14:paraId="5D42A9D6" w14:textId="77777777" w:rsidR="00E53EB6" w:rsidRDefault="00E53EB6">
      <w:pPr>
        <w:pStyle w:val="HaupttextohneEinzug"/>
      </w:pPr>
    </w:p>
    <w:p w14:paraId="617A60D7" w14:textId="77777777" w:rsidR="00E53EB6" w:rsidRDefault="006500F5">
      <w:pPr>
        <w:pStyle w:val="HaupttextohneEinzug"/>
      </w:pPr>
      <w:r>
        <w:t>Rite</w:t>
      </w:r>
    </w:p>
    <w:p w14:paraId="2EE1F9BD" w14:textId="77777777" w:rsidR="00E53EB6" w:rsidRDefault="006500F5">
      <w:pPr>
        <w:pStyle w:val="HaupttextohneEinzug"/>
      </w:pPr>
      <w:r>
        <w:t>Soma sacrifice, the Upasad. The verses are considered a “kindling verse” (</w:t>
      </w:r>
      <w:r>
        <w:rPr>
          <w:i/>
          <w:iCs/>
        </w:rPr>
        <w:t>sāmidhenī</w:t>
      </w:r>
      <w:r>
        <w:t>) perfect in form. The whole section is an explanation of the</w:t>
      </w:r>
      <w:r>
        <w:t xml:space="preserve"> Upasad </w:t>
      </w:r>
      <w:r>
        <w:t>and the verses to employ within the ritual.</w:t>
      </w:r>
    </w:p>
    <w:p w14:paraId="2E369523" w14:textId="77777777" w:rsidR="00E53EB6" w:rsidRDefault="00E53EB6">
      <w:pPr>
        <w:pStyle w:val="HaupttextohneEinzug"/>
      </w:pPr>
    </w:p>
    <w:p w14:paraId="7F043282" w14:textId="77777777" w:rsidR="00E53EB6" w:rsidRDefault="006500F5">
      <w:pPr>
        <w:pStyle w:val="Heading5"/>
        <w:tabs>
          <w:tab w:val="left" w:pos="0"/>
        </w:tabs>
      </w:pPr>
      <w:r>
        <w:rPr>
          <w:rFonts w:cs="Devanagari MT;Times New Roman"/>
          <w:u w:val="single"/>
        </w:rPr>
        <w:t>AB 2.2</w:t>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p>
    <w:p w14:paraId="5F129A6A" w14:textId="77777777" w:rsidR="00E53EB6" w:rsidRDefault="006500F5">
      <w:pPr>
        <w:pStyle w:val="Zitat"/>
      </w:pPr>
      <w:r>
        <w:t xml:space="preserve">2.2.1-13 </w:t>
      </w:r>
      <w:r>
        <w:rPr>
          <w:i/>
          <w:iCs/>
        </w:rPr>
        <w:t>añjmo yūpam, anubrūhīty āhādhvaryur / añjanti tvām adhvare devayanta ity anvāhā/dhvare hy ena</w:t>
      </w:r>
      <w:r>
        <w:rPr>
          <w:i/>
          <w:iCs/>
        </w:rPr>
        <w:t>ṃ</w:t>
      </w:r>
      <w:r>
        <w:rPr>
          <w:i/>
          <w:iCs/>
        </w:rPr>
        <w:t xml:space="preserve"> devayanto 'ñ</w:t>
      </w:r>
      <w:r>
        <w:rPr>
          <w:i/>
          <w:iCs/>
        </w:rPr>
        <w:t>janti /  vanaspate madhunā daivyenety / etad vai madhu daivya</w:t>
      </w:r>
      <w:r>
        <w:rPr>
          <w:i/>
          <w:iCs/>
        </w:rPr>
        <w:t>ṃ</w:t>
      </w:r>
      <w:r>
        <w:rPr>
          <w:i/>
          <w:iCs/>
        </w:rPr>
        <w:t xml:space="preserve"> yad ājya</w:t>
      </w:r>
      <w:r>
        <w:rPr>
          <w:i/>
          <w:iCs/>
        </w:rPr>
        <w:t>ṃ</w:t>
      </w:r>
      <w:r>
        <w:rPr>
          <w:i/>
          <w:iCs/>
        </w:rPr>
        <w:t xml:space="preserve"> /</w:t>
      </w:r>
      <w:r>
        <w:rPr>
          <w:i/>
          <w:iCs/>
          <w:lang w:eastAsia="hi-IN"/>
        </w:rPr>
        <w:t xml:space="preserve"> yad ūrdhvas ti</w:t>
      </w:r>
      <w:r>
        <w:rPr>
          <w:i/>
          <w:iCs/>
          <w:lang w:eastAsia="hi-IN"/>
        </w:rPr>
        <w:t>ṣṭ</w:t>
      </w:r>
      <w:r>
        <w:rPr>
          <w:i/>
          <w:iCs/>
          <w:lang w:eastAsia="hi-IN"/>
        </w:rPr>
        <w:t>hā dravi</w:t>
      </w:r>
      <w:r>
        <w:rPr>
          <w:i/>
          <w:iCs/>
          <w:lang w:eastAsia="hi-IN"/>
        </w:rPr>
        <w:t>ṇ</w:t>
      </w:r>
      <w:r>
        <w:rPr>
          <w:i/>
          <w:iCs/>
          <w:lang w:eastAsia="hi-IN"/>
        </w:rPr>
        <w:t>eha dhattād yad vā k</w:t>
      </w:r>
      <w:r>
        <w:rPr>
          <w:i/>
          <w:iCs/>
          <w:lang w:eastAsia="hi-IN"/>
        </w:rPr>
        <w:t>ṣ</w:t>
      </w:r>
      <w:r>
        <w:rPr>
          <w:i/>
          <w:iCs/>
          <w:lang w:eastAsia="hi-IN"/>
        </w:rPr>
        <w:t>ayo mātur asyā upastha iti / yadi ca ti</w:t>
      </w:r>
      <w:r>
        <w:rPr>
          <w:i/>
          <w:iCs/>
          <w:lang w:eastAsia="hi-IN"/>
        </w:rPr>
        <w:t>ṣṭ</w:t>
      </w:r>
      <w:r>
        <w:rPr>
          <w:i/>
          <w:iCs/>
          <w:lang w:eastAsia="hi-IN"/>
        </w:rPr>
        <w:t>hāsi yadi ca śayāsai dravi</w:t>
      </w:r>
      <w:r>
        <w:rPr>
          <w:i/>
          <w:iCs/>
          <w:lang w:eastAsia="hi-IN"/>
        </w:rPr>
        <w:t>ṇ</w:t>
      </w:r>
      <w:r>
        <w:rPr>
          <w:i/>
          <w:iCs/>
          <w:lang w:eastAsia="hi-IN"/>
        </w:rPr>
        <w:t>am evāsmāsu dhattād ity eva tad āho/c chrayasva vanaspata ity ucchr</w:t>
      </w:r>
      <w:r>
        <w:rPr>
          <w:i/>
          <w:iCs/>
          <w:lang w:eastAsia="hi-IN"/>
        </w:rPr>
        <w:t>īyamā</w:t>
      </w:r>
      <w:r>
        <w:rPr>
          <w:i/>
          <w:iCs/>
          <w:lang w:eastAsia="hi-IN"/>
        </w:rPr>
        <w:t>ṇ</w:t>
      </w:r>
      <w:r>
        <w:rPr>
          <w:i/>
          <w:iCs/>
          <w:lang w:eastAsia="hi-IN"/>
        </w:rPr>
        <w:t>āyābhirūpā / yad yajñe 'bhirūpa</w:t>
      </w:r>
      <w:r>
        <w:rPr>
          <w:i/>
          <w:iCs/>
          <w:lang w:eastAsia="hi-IN"/>
        </w:rPr>
        <w:t>ṃ</w:t>
      </w:r>
      <w:r>
        <w:rPr>
          <w:i/>
          <w:iCs/>
          <w:lang w:eastAsia="hi-IN"/>
        </w:rPr>
        <w:t xml:space="preserve"> tat samr̥ddha</w:t>
      </w:r>
      <w:r>
        <w:rPr>
          <w:i/>
          <w:iCs/>
          <w:lang w:eastAsia="hi-IN"/>
        </w:rPr>
        <w:t>ṃ</w:t>
      </w:r>
      <w:r>
        <w:rPr>
          <w:i/>
          <w:iCs/>
          <w:lang w:eastAsia="hi-IN"/>
        </w:rPr>
        <w:t xml:space="preserve"> / var</w:t>
      </w:r>
      <w:r>
        <w:rPr>
          <w:i/>
          <w:iCs/>
          <w:lang w:eastAsia="hi-IN"/>
        </w:rPr>
        <w:t>ṣ</w:t>
      </w:r>
      <w:r>
        <w:rPr>
          <w:i/>
          <w:iCs/>
          <w:lang w:eastAsia="hi-IN"/>
        </w:rPr>
        <w:t>man pr̥thivyā adhīty / etad vai var</w:t>
      </w:r>
      <w:r>
        <w:rPr>
          <w:i/>
          <w:iCs/>
          <w:lang w:eastAsia="hi-IN"/>
        </w:rPr>
        <w:t>ṣ</w:t>
      </w:r>
      <w:r>
        <w:rPr>
          <w:i/>
          <w:iCs/>
          <w:lang w:eastAsia="hi-IN"/>
        </w:rPr>
        <w:t>ma pr̥thivyai / yatra yūpam unminvanti / sumitī mīyamāno varco dhā yajñavāhasa ity āśi</w:t>
      </w:r>
      <w:r>
        <w:rPr>
          <w:i/>
          <w:iCs/>
          <w:lang w:eastAsia="hi-IN"/>
        </w:rPr>
        <w:t>ṣ</w:t>
      </w:r>
      <w:r>
        <w:rPr>
          <w:i/>
          <w:iCs/>
          <w:lang w:eastAsia="hi-IN"/>
        </w:rPr>
        <w:t>am āśāste / samiddhasya śrayamā</w:t>
      </w:r>
      <w:r>
        <w:rPr>
          <w:i/>
          <w:iCs/>
          <w:lang w:eastAsia="hi-IN"/>
        </w:rPr>
        <w:t>ṇ</w:t>
      </w:r>
      <w:r>
        <w:rPr>
          <w:i/>
          <w:iCs/>
          <w:lang w:eastAsia="hi-IN"/>
        </w:rPr>
        <w:t>a</w:t>
      </w:r>
      <w:r>
        <w:rPr>
          <w:i/>
          <w:iCs/>
          <w:lang w:eastAsia="hi-IN"/>
        </w:rPr>
        <w:t>ḥ</w:t>
      </w:r>
      <w:r>
        <w:rPr>
          <w:i/>
          <w:iCs/>
          <w:lang w:eastAsia="hi-IN"/>
        </w:rPr>
        <w:t xml:space="preserve"> purastād īti / samiddhasya hy e</w:t>
      </w:r>
      <w:r>
        <w:rPr>
          <w:i/>
          <w:iCs/>
          <w:lang w:eastAsia="hi-IN"/>
        </w:rPr>
        <w:t>ṣ</w:t>
      </w:r>
      <w:r>
        <w:rPr>
          <w:i/>
          <w:iCs/>
          <w:lang w:eastAsia="hi-IN"/>
        </w:rPr>
        <w:t>a etat</w:t>
      </w:r>
      <w:r>
        <w:rPr>
          <w:i/>
          <w:iCs/>
          <w:lang w:eastAsia="hi-IN"/>
        </w:rPr>
        <w:t xml:space="preserve"> purastāc chrayate / brahma vanvāno ajara</w:t>
      </w:r>
      <w:r>
        <w:rPr>
          <w:i/>
          <w:iCs/>
          <w:lang w:eastAsia="hi-IN"/>
        </w:rPr>
        <w:t>ṃ</w:t>
      </w:r>
      <w:r>
        <w:rPr>
          <w:i/>
          <w:iCs/>
          <w:lang w:eastAsia="hi-IN"/>
        </w:rPr>
        <w:t xml:space="preserve"> suvīram īty āśi</w:t>
      </w:r>
      <w:r>
        <w:rPr>
          <w:i/>
          <w:iCs/>
          <w:lang w:eastAsia="hi-IN"/>
        </w:rPr>
        <w:t>ṣ</w:t>
      </w:r>
      <w:r>
        <w:rPr>
          <w:i/>
          <w:iCs/>
          <w:lang w:eastAsia="hi-IN"/>
        </w:rPr>
        <w:t>am evāśāsta / āre asmad amatim bādhamāna ity. aśanāyā vaī pāpmāmatis, tām eva tad ārān nudate yajñāc ca yajamānāc co/c crayasva mahate saubhagāyety āśi</w:t>
      </w:r>
      <w:r>
        <w:rPr>
          <w:i/>
          <w:iCs/>
          <w:lang w:eastAsia="hi-IN"/>
        </w:rPr>
        <w:t>ṣ</w:t>
      </w:r>
      <w:r>
        <w:rPr>
          <w:i/>
          <w:iCs/>
          <w:lang w:eastAsia="hi-IN"/>
        </w:rPr>
        <w:t>am evāśāsta</w:t>
      </w:r>
    </w:p>
    <w:p w14:paraId="67BAB1A4" w14:textId="77777777" w:rsidR="00E53EB6" w:rsidRDefault="006500F5">
      <w:pPr>
        <w:pStyle w:val="Zitat"/>
        <w:autoSpaceDE w:val="0"/>
        <w:rPr>
          <w:rFonts w:ascii="Times Ext Roman" w:hAnsi="Times Ext Roman"/>
          <w:lang w:eastAsia="hi-IN"/>
        </w:rPr>
      </w:pPr>
      <w:r>
        <w:rPr>
          <w:lang w:eastAsia="hi-IN"/>
        </w:rPr>
        <w:t>‘</w:t>
      </w:r>
      <w:r>
        <w:rPr>
          <w:lang w:eastAsia="hi-IN"/>
        </w:rPr>
        <w:t xml:space="preserve">You do recite -we anoint the post-’ says the </w:t>
      </w:r>
      <w:r>
        <w:rPr>
          <w:i/>
          <w:iCs/>
          <w:lang w:eastAsia="hi-IN"/>
        </w:rPr>
        <w:t xml:space="preserve">adhvaryu </w:t>
      </w:r>
      <w:r>
        <w:rPr>
          <w:lang w:eastAsia="hi-IN"/>
        </w:rPr>
        <w:t>‘Those seeking for the gods</w:t>
      </w:r>
      <w:r>
        <w:rPr>
          <w:rStyle w:val="FootnoteAnchor"/>
          <w:lang w:eastAsia="hi-IN"/>
        </w:rPr>
        <w:footnoteReference w:id="259"/>
      </w:r>
      <w:r>
        <w:rPr>
          <w:lang w:eastAsia="hi-IN"/>
        </w:rPr>
        <w:t xml:space="preserve"> anoint you in the sacrifice’ he recites for indeed those seeking for the gods anoint this one in the sacrifice ‘O Vanaspati</w:t>
      </w:r>
      <w:r>
        <w:rPr>
          <w:rStyle w:val="FootnoteAnchor"/>
          <w:lang w:eastAsia="hi-IN"/>
        </w:rPr>
        <w:footnoteReference w:id="260"/>
      </w:r>
      <w:r>
        <w:rPr>
          <w:lang w:eastAsia="hi-IN"/>
        </w:rPr>
        <w:t xml:space="preserve">, with divine </w:t>
      </w:r>
      <w:r>
        <w:rPr>
          <w:lang w:eastAsia="hi-IN"/>
        </w:rPr>
        <w:lastRenderedPageBreak/>
        <w:t>sweetness</w:t>
      </w:r>
      <w:r>
        <w:rPr>
          <w:rStyle w:val="FootnoteAnchor"/>
          <w:lang w:eastAsia="hi-IN"/>
        </w:rPr>
        <w:footnoteReference w:id="261"/>
      </w:r>
      <w:r>
        <w:rPr>
          <w:lang w:eastAsia="hi-IN"/>
        </w:rPr>
        <w:t>’ indeed the divine sw</w:t>
      </w:r>
      <w:r>
        <w:rPr>
          <w:lang w:eastAsia="hi-IN"/>
        </w:rPr>
        <w:t>eetness is the clarified butter ‘When you would stay erect, then bring here movable goods, or when you rest in the lap of this mother’ ‘If you would stand or lay, give us movable goods’ this indeed he says ‘Incline upwards, o Vanaspati’  the appropriate (v</w:t>
      </w:r>
      <w:r>
        <w:rPr>
          <w:lang w:eastAsia="hi-IN"/>
        </w:rPr>
        <w:t>erse) for this being inclined upwards, what is appropriate in the sacrifice, that is perfect, ‘Over the top of the earth’ the top</w:t>
      </w:r>
      <w:r>
        <w:rPr>
          <w:lang w:eastAsia="hi-IN"/>
        </w:rPr>
        <w:t xml:space="preserve"> for t</w:t>
      </w:r>
      <w:r>
        <w:rPr>
          <w:lang w:eastAsia="hi-IN"/>
        </w:rPr>
        <w:t>he earth is that: where they set up right the post ‘Founded with a good founding</w:t>
      </w:r>
      <w:r>
        <w:rPr>
          <w:rStyle w:val="FootnoteAnchor"/>
          <w:lang w:eastAsia="hi-IN"/>
        </w:rPr>
        <w:footnoteReference w:id="262"/>
      </w:r>
      <w:r>
        <w:rPr>
          <w:lang w:eastAsia="hi-IN"/>
        </w:rPr>
        <w:t>, bestow the radiance</w:t>
      </w:r>
      <w:r>
        <w:rPr>
          <w:rStyle w:val="FootnoteAnchor"/>
          <w:lang w:eastAsia="hi-IN"/>
        </w:rPr>
        <w:footnoteReference w:id="263"/>
      </w:r>
      <w:r>
        <w:rPr>
          <w:lang w:eastAsia="hi-IN"/>
        </w:rPr>
        <w:t xml:space="preserve"> to the one who </w:t>
      </w:r>
      <w:r>
        <w:rPr>
          <w:lang w:eastAsia="hi-IN"/>
        </w:rPr>
        <w:t>carries the sacrifice’ he prays this prayer</w:t>
      </w:r>
      <w:r>
        <w:rPr>
          <w:rStyle w:val="FootnoteAnchor"/>
          <w:lang w:eastAsia="hi-IN"/>
        </w:rPr>
        <w:footnoteReference w:id="264"/>
      </w:r>
      <w:r>
        <w:rPr>
          <w:lang w:eastAsia="hi-IN"/>
        </w:rPr>
        <w:t>; ‘Reclining in front of the kindled one</w:t>
      </w:r>
      <w:r>
        <w:rPr>
          <w:rStyle w:val="FootnoteAnchor"/>
          <w:lang w:eastAsia="hi-IN"/>
        </w:rPr>
        <w:footnoteReference w:id="265"/>
      </w:r>
      <w:r>
        <w:rPr>
          <w:lang w:eastAsia="hi-IN"/>
        </w:rPr>
        <w:t>’ for he reclines in front of the kindled one ‘</w:t>
      </w:r>
      <w:r>
        <w:rPr>
          <w:u w:val="single"/>
          <w:lang w:eastAsia="hi-IN"/>
        </w:rPr>
        <w:t>Appropriating</w:t>
      </w:r>
      <w:r>
        <w:rPr>
          <w:lang w:eastAsia="hi-IN"/>
        </w:rPr>
        <w:t xml:space="preserve"> for yourself the sacrificial formula</w:t>
      </w:r>
      <w:r>
        <w:rPr>
          <w:rStyle w:val="FootnoteAnchor"/>
          <w:lang w:eastAsia="hi-IN"/>
        </w:rPr>
        <w:footnoteReference w:id="266"/>
      </w:r>
      <w:r>
        <w:rPr>
          <w:lang w:eastAsia="hi-IN"/>
        </w:rPr>
        <w:t xml:space="preserve"> that never gets old, full of warriors’ he prays this prayer ‘Pulling away from us the lack of inspiration</w:t>
      </w:r>
      <w:r>
        <w:rPr>
          <w:rStyle w:val="FootnoteAnchor"/>
          <w:lang w:eastAsia="hi-IN"/>
        </w:rPr>
        <w:footnoteReference w:id="267"/>
      </w:r>
      <w:r>
        <w:rPr>
          <w:lang w:eastAsia="hi-IN"/>
        </w:rPr>
        <w:t>’ the lack of inspiration is indeed the hunger, the evil, he pushes it away from the sacrifice and from the sacrificer ‘Incline upwards, to a good g</w:t>
      </w:r>
      <w:r>
        <w:rPr>
          <w:lang w:eastAsia="hi-IN"/>
        </w:rPr>
        <w:t>reat fortune’ he prays this prayer.</w:t>
      </w:r>
    </w:p>
    <w:p w14:paraId="003DD851" w14:textId="77777777" w:rsidR="00E53EB6" w:rsidRPr="00B80C6B" w:rsidRDefault="006500F5">
      <w:pPr>
        <w:pStyle w:val="Zitat"/>
        <w:rPr>
          <w:lang w:val="de-DE"/>
        </w:rPr>
      </w:pPr>
      <w:r>
        <w:rPr>
          <w:i/>
          <w:iCs/>
        </w:rPr>
        <w:t>vanvāná</w:t>
      </w:r>
      <w:r>
        <w:rPr>
          <w:i/>
          <w:iCs/>
        </w:rPr>
        <w:t>ḥ</w:t>
      </w:r>
      <w:r>
        <w:rPr>
          <w:i/>
          <w:iCs/>
        </w:rPr>
        <w:t>:</w:t>
      </w:r>
      <w:r>
        <w:t xml:space="preserve"> part. pres. nom. masc. sing. </w:t>
      </w:r>
      <w:r w:rsidRPr="00B80C6B">
        <w:rPr>
          <w:lang w:val="de-DE"/>
        </w:rPr>
        <w:t>Ā VIII cl.</w:t>
      </w:r>
    </w:p>
    <w:p w14:paraId="5FA058F1" w14:textId="77777777" w:rsidR="00E53EB6" w:rsidRPr="00B80C6B" w:rsidRDefault="006500F5">
      <w:pPr>
        <w:pStyle w:val="ZitatmitEinzug"/>
        <w:rPr>
          <w:szCs w:val="18"/>
          <w:lang w:val="de-DE"/>
        </w:rPr>
      </w:pPr>
      <w:r w:rsidRPr="00B80C6B">
        <w:rPr>
          <w:smallCaps/>
          <w:szCs w:val="18"/>
          <w:lang w:val="de-DE"/>
        </w:rPr>
        <w:t xml:space="preserve">Geldner: </w:t>
      </w:r>
      <w:r w:rsidRPr="00B80C6B">
        <w:rPr>
          <w:szCs w:val="18"/>
          <w:lang w:val="de-DE"/>
        </w:rPr>
        <w:t xml:space="preserve">I 345 </w:t>
      </w:r>
      <w:r w:rsidRPr="00B80C6B">
        <w:rPr>
          <w:szCs w:val="18"/>
          <w:lang w:val="de-DE"/>
        </w:rPr>
        <w:t>“gewinnst”</w:t>
      </w:r>
    </w:p>
    <w:p w14:paraId="2580F443" w14:textId="77777777" w:rsidR="00E53EB6" w:rsidRDefault="006500F5">
      <w:pPr>
        <w:pStyle w:val="ZitatmitEinzug"/>
        <w:rPr>
          <w:szCs w:val="18"/>
        </w:rPr>
      </w:pPr>
      <w:r>
        <w:rPr>
          <w:rStyle w:val="biblio-authorGEN"/>
          <w:sz w:val="18"/>
          <w:szCs w:val="15"/>
        </w:rPr>
        <w:t xml:space="preserve">Keith </w:t>
      </w:r>
      <w:r>
        <w:rPr>
          <w:szCs w:val="18"/>
        </w:rPr>
        <w:t>1920: 135 “winning”</w:t>
      </w:r>
    </w:p>
    <w:p w14:paraId="5F2786FA" w14:textId="77777777" w:rsidR="00E53EB6" w:rsidRDefault="006500F5">
      <w:pPr>
        <w:pStyle w:val="HaupttextnachZitat"/>
      </w:pPr>
      <w:r>
        <w:t>Vedic Web</w:t>
      </w:r>
    </w:p>
    <w:p w14:paraId="0A722075" w14:textId="77777777" w:rsidR="00E53EB6" w:rsidRDefault="006500F5">
      <w:pPr>
        <w:pStyle w:val="HaupttextohneEinzug"/>
      </w:pPr>
      <w:r>
        <w:t xml:space="preserve">Mantra: </w:t>
      </w:r>
      <w:r>
        <w:rPr>
          <w:rFonts w:eastAsia="MS Mincho;ＭＳ 明朝"/>
          <w:szCs w:val="21"/>
          <w:lang w:eastAsia="hi-IN"/>
        </w:rPr>
        <w:t>R</w:t>
      </w:r>
      <w:r>
        <w:rPr>
          <w:rFonts w:eastAsia="Arial" w:cs="Devanagari MT;Times New Roman"/>
          <w:szCs w:val="21"/>
          <w:lang w:eastAsia="hi-IN" w:bidi="en-GB"/>
        </w:rPr>
        <w:t>̥</w:t>
      </w:r>
      <w:r>
        <w:rPr>
          <w:rFonts w:eastAsia="MS Mincho;ＭＳ 明朝"/>
          <w:szCs w:val="21"/>
          <w:lang w:eastAsia="hi-IN"/>
        </w:rPr>
        <w:t xml:space="preserve">V 3.8.1-3; TB 3.6.1.1-(2); KS 15.12: 218,12-17; MS 4.13.1: </w:t>
      </w:r>
      <w:r>
        <w:rPr>
          <w:rFonts w:eastAsia="MS Mincho;ＭＳ 明朝"/>
          <w:szCs w:val="21"/>
          <w:lang w:eastAsia="hi-IN"/>
        </w:rPr>
        <w:t>199,2-7.</w:t>
      </w:r>
    </w:p>
    <w:p w14:paraId="5753D0BD" w14:textId="77777777" w:rsidR="00E53EB6" w:rsidRDefault="00E53EB6">
      <w:pPr>
        <w:pStyle w:val="HaupttextohneEinzug"/>
        <w:rPr>
          <w:rFonts w:eastAsia="MS Mincho;ＭＳ 明朝"/>
          <w:szCs w:val="21"/>
          <w:lang w:eastAsia="hi-IN"/>
        </w:rPr>
      </w:pPr>
    </w:p>
    <w:p w14:paraId="457BD141" w14:textId="77777777" w:rsidR="00E53EB6" w:rsidRDefault="006500F5">
      <w:pPr>
        <w:pStyle w:val="HaupttextohneEinzug"/>
        <w:rPr>
          <w:rFonts w:eastAsia="MS Mincho;ＭＳ 明朝"/>
          <w:szCs w:val="21"/>
          <w:lang w:eastAsia="hi-IN"/>
        </w:rPr>
      </w:pPr>
      <w:r>
        <w:rPr>
          <w:rFonts w:eastAsia="MS Mincho;ＭＳ 明朝"/>
          <w:szCs w:val="21"/>
          <w:lang w:eastAsia="hi-IN"/>
        </w:rPr>
        <w:t>Rite</w:t>
      </w:r>
    </w:p>
    <w:p w14:paraId="3A178859" w14:textId="77777777" w:rsidR="00E53EB6" w:rsidRDefault="006500F5">
      <w:pPr>
        <w:pStyle w:val="HaupttextohneEinzug"/>
        <w:rPr>
          <w:rFonts w:eastAsia="MS Mincho;ＭＳ 明朝"/>
          <w:i/>
          <w:iCs/>
          <w:szCs w:val="21"/>
          <w:lang w:eastAsia="hi-IN"/>
        </w:rPr>
      </w:pPr>
      <w:r>
        <w:rPr>
          <w:rFonts w:eastAsia="MS Mincho;ＭＳ 明朝"/>
          <w:i/>
          <w:iCs/>
          <w:szCs w:val="21"/>
          <w:lang w:eastAsia="hi-IN"/>
        </w:rPr>
        <w:t>Mantra</w:t>
      </w:r>
      <w:r>
        <w:rPr>
          <w:rFonts w:eastAsia="MS Mincho;ＭＳ 明朝"/>
          <w:szCs w:val="21"/>
          <w:lang w:eastAsia="hi-IN"/>
        </w:rPr>
        <w:t xml:space="preserve">s for the </w:t>
      </w:r>
      <w:r>
        <w:rPr>
          <w:rFonts w:eastAsia="MS Mincho;ＭＳ 明朝"/>
          <w:i/>
          <w:iCs/>
          <w:szCs w:val="21"/>
          <w:lang w:eastAsia="hi-IN"/>
        </w:rPr>
        <w:t xml:space="preserve">hotr̥ </w:t>
      </w:r>
      <w:r>
        <w:rPr>
          <w:rFonts w:eastAsia="MS Mincho;ＭＳ 明朝"/>
          <w:szCs w:val="21"/>
          <w:lang w:eastAsia="hi-IN"/>
        </w:rPr>
        <w:t xml:space="preserve">in the animal sacrifice, </w:t>
      </w:r>
      <w:r>
        <w:rPr>
          <w:rFonts w:eastAsia="MS Mincho;ＭＳ 明朝"/>
          <w:i/>
          <w:iCs/>
          <w:szCs w:val="21"/>
          <w:lang w:eastAsia="hi-IN"/>
        </w:rPr>
        <w:t>paśukahotranirukti</w:t>
      </w:r>
      <w:r>
        <w:rPr>
          <w:rFonts w:eastAsia="MS Mincho;ＭＳ 明朝"/>
          <w:i/>
          <w:iCs/>
          <w:szCs w:val="21"/>
          <w:lang w:eastAsia="hi-IN"/>
        </w:rPr>
        <w:t>ḥ</w:t>
      </w:r>
      <w:r>
        <w:rPr>
          <w:rFonts w:eastAsia="MS Mincho;ＭＳ 明朝"/>
          <w:i/>
          <w:iCs/>
          <w:szCs w:val="21"/>
          <w:lang w:eastAsia="hi-IN"/>
        </w:rPr>
        <w:t>, yūpasa</w:t>
      </w:r>
      <w:r>
        <w:rPr>
          <w:rFonts w:eastAsia="MS Mincho;ＭＳ 明朝"/>
          <w:i/>
          <w:iCs/>
          <w:szCs w:val="21"/>
          <w:lang w:eastAsia="hi-IN"/>
        </w:rPr>
        <w:t>ṃ</w:t>
      </w:r>
      <w:r>
        <w:rPr>
          <w:rFonts w:eastAsia="MS Mincho;ＭＳ 明朝"/>
          <w:i/>
          <w:iCs/>
          <w:szCs w:val="21"/>
          <w:lang w:eastAsia="hi-IN"/>
        </w:rPr>
        <w:t>kāra</w:t>
      </w:r>
      <w:r>
        <w:rPr>
          <w:rFonts w:eastAsia="MS Mincho;ＭＳ 明朝"/>
          <w:i/>
          <w:iCs/>
          <w:szCs w:val="21"/>
          <w:lang w:eastAsia="hi-IN"/>
        </w:rPr>
        <w:t>ḥ</w:t>
      </w:r>
      <w:r>
        <w:rPr>
          <w:rFonts w:eastAsia="MS Mincho;ＭＳ 明朝"/>
          <w:i/>
          <w:iCs/>
          <w:szCs w:val="21"/>
          <w:lang w:eastAsia="hi-IN"/>
        </w:rPr>
        <w:t xml:space="preserve"> </w:t>
      </w:r>
      <w:r>
        <w:rPr>
          <w:rFonts w:eastAsia="MS Mincho;ＭＳ 明朝"/>
          <w:szCs w:val="21"/>
          <w:lang w:eastAsia="hi-IN"/>
        </w:rPr>
        <w:t>(TB 3.6.1)</w:t>
      </w:r>
      <w:r>
        <w:rPr>
          <w:rFonts w:eastAsia="MS Mincho;ＭＳ 明朝"/>
          <w:i/>
          <w:iCs/>
          <w:szCs w:val="21"/>
          <w:lang w:eastAsia="hi-IN"/>
        </w:rPr>
        <w:t xml:space="preserve">. </w:t>
      </w:r>
      <w:r>
        <w:rPr>
          <w:rFonts w:eastAsia="MS Mincho;ＭＳ 明朝"/>
          <w:szCs w:val="21"/>
          <w:lang w:eastAsia="hi-IN"/>
        </w:rPr>
        <w:t xml:space="preserve">According to </w:t>
      </w:r>
      <w:r>
        <w:rPr>
          <w:rStyle w:val="biblio-authorGEN"/>
          <w:rFonts w:eastAsia="MS Mincho;ＭＳ 明朝"/>
          <w:szCs w:val="21"/>
          <w:lang w:eastAsia="hi-IN"/>
        </w:rPr>
        <w:t>Proferes</w:t>
      </w:r>
      <w:r>
        <w:rPr>
          <w:rFonts w:eastAsia="MS Mincho;ＭＳ 明朝"/>
          <w:szCs w:val="21"/>
          <w:lang w:eastAsia="hi-IN"/>
        </w:rPr>
        <w:t xml:space="preserve"> (2003a: 322-329), the R̥V stanzas 3.8.1-5 are used for the rite requiring a single post, while the following one are recited when more posts are to be displayed. In the Aitareya Br</w:t>
      </w:r>
      <w:r>
        <w:rPr>
          <w:rFonts w:eastAsia="MS Mincho;ＭＳ 明朝"/>
          <w:szCs w:val="21"/>
          <w:lang w:eastAsia="hi-IN"/>
        </w:rPr>
        <w:t>āhma</w:t>
      </w:r>
      <w:r>
        <w:rPr>
          <w:rFonts w:eastAsia="MS Mincho;ＭＳ 明朝"/>
          <w:szCs w:val="21"/>
          <w:lang w:eastAsia="hi-IN"/>
        </w:rPr>
        <w:t>ṇ</w:t>
      </w:r>
      <w:r>
        <w:rPr>
          <w:rFonts w:eastAsia="MS Mincho;ＭＳ 明朝"/>
          <w:szCs w:val="21"/>
          <w:lang w:eastAsia="hi-IN"/>
        </w:rPr>
        <w:t xml:space="preserve">a almost every </w:t>
      </w:r>
      <w:r>
        <w:rPr>
          <w:rFonts w:eastAsia="MS Mincho;ＭＳ 明朝"/>
          <w:i/>
          <w:iCs/>
          <w:szCs w:val="21"/>
          <w:lang w:eastAsia="hi-IN"/>
        </w:rPr>
        <w:t>pāda</w:t>
      </w:r>
      <w:r>
        <w:rPr>
          <w:rFonts w:eastAsia="MS Mincho;ＭＳ 明朝"/>
          <w:szCs w:val="21"/>
          <w:lang w:eastAsia="hi-IN"/>
        </w:rPr>
        <w:t xml:space="preserve"> is followed by a sort of explanation or interpreta</w:t>
      </w:r>
      <w:r>
        <w:rPr>
          <w:rFonts w:eastAsia="MS Mincho;ＭＳ 明朝"/>
          <w:szCs w:val="21"/>
          <w:lang w:eastAsia="hi-IN"/>
        </w:rPr>
        <w:t>tion.</w:t>
      </w:r>
    </w:p>
    <w:p w14:paraId="33D6A117" w14:textId="77777777" w:rsidR="00E53EB6" w:rsidRDefault="00E53EB6">
      <w:pPr>
        <w:pStyle w:val="HaupttextohneEinzug"/>
        <w:rPr>
          <w:color w:val="008000"/>
        </w:rPr>
      </w:pPr>
    </w:p>
    <w:p w14:paraId="4BEEB244" w14:textId="77777777" w:rsidR="00E53EB6" w:rsidRDefault="00E53EB6">
      <w:pPr>
        <w:pStyle w:val="HaupttextohneEinzug"/>
        <w:rPr>
          <w:color w:val="008000"/>
        </w:rPr>
      </w:pPr>
    </w:p>
    <w:p w14:paraId="1F39BC69" w14:textId="77777777" w:rsidR="00E53EB6" w:rsidRDefault="006500F5">
      <w:pPr>
        <w:pStyle w:val="Heading4"/>
        <w:tabs>
          <w:tab w:val="left" w:pos="0"/>
        </w:tabs>
      </w:pPr>
      <w:r>
        <w:t>YV Brāhma</w:t>
      </w:r>
      <w:r>
        <w:t>ṇ</w:t>
      </w:r>
      <w:r>
        <w:t>a occurrences</w:t>
      </w:r>
    </w:p>
    <w:p w14:paraId="04FDDC98" w14:textId="77777777" w:rsidR="00E53EB6" w:rsidRDefault="006500F5">
      <w:pPr>
        <w:pStyle w:val="HaupttextohneEinzug"/>
      </w:pPr>
      <w:r>
        <w:t xml:space="preserve">For the text of the </w:t>
      </w:r>
      <w:r>
        <w:rPr>
          <w:i/>
          <w:iCs/>
        </w:rPr>
        <w:t>Taittirīya Brāhma</w:t>
      </w:r>
      <w:r>
        <w:rPr>
          <w:i/>
          <w:iCs/>
        </w:rPr>
        <w:t>ṇ</w:t>
      </w:r>
      <w:r>
        <w:rPr>
          <w:i/>
          <w:iCs/>
        </w:rPr>
        <w:t>a</w:t>
      </w:r>
      <w:r>
        <w:t xml:space="preserve"> the editions used are </w:t>
      </w:r>
      <w:r>
        <w:rPr>
          <w:i/>
          <w:color w:val="000000"/>
          <w:szCs w:val="21"/>
        </w:rPr>
        <w:t>Taittirīya Brāhma</w:t>
      </w:r>
      <w:r>
        <w:rPr>
          <w:i/>
          <w:color w:val="000000"/>
          <w:szCs w:val="21"/>
        </w:rPr>
        <w:t>ṇ</w:t>
      </w:r>
      <w:r>
        <w:rPr>
          <w:i/>
          <w:color w:val="000000"/>
          <w:szCs w:val="21"/>
        </w:rPr>
        <w:t>a, with the commentary of Bha</w:t>
      </w:r>
      <w:r>
        <w:rPr>
          <w:i/>
          <w:color w:val="000000"/>
          <w:szCs w:val="21"/>
        </w:rPr>
        <w:t>ṭṭ</w:t>
      </w:r>
      <w:r>
        <w:rPr>
          <w:i/>
          <w:color w:val="000000"/>
          <w:szCs w:val="21"/>
        </w:rPr>
        <w:t>a Bhāskara Miśra</w:t>
      </w:r>
      <w:r>
        <w:rPr>
          <w:color w:val="000000"/>
          <w:szCs w:val="21"/>
        </w:rPr>
        <w:t>, ed. by A. Sastri Mahadeva – L. Srinivasacharya,  Mysore, 1911-1921, Reprinted: 1985, Motilal Ba</w:t>
      </w:r>
      <w:r>
        <w:rPr>
          <w:color w:val="000000"/>
          <w:szCs w:val="21"/>
        </w:rPr>
        <w:t xml:space="preserve">narsidass, Delhi; </w:t>
      </w:r>
      <w:r>
        <w:rPr>
          <w:i/>
          <w:iCs/>
          <w:color w:val="000000"/>
          <w:szCs w:val="21"/>
        </w:rPr>
        <w:t>The Taittirīya Brāhma</w:t>
      </w:r>
      <w:r>
        <w:rPr>
          <w:i/>
          <w:iCs/>
          <w:color w:val="000000"/>
          <w:szCs w:val="21"/>
        </w:rPr>
        <w:t>ṇ</w:t>
      </w:r>
      <w:r>
        <w:rPr>
          <w:i/>
          <w:iCs/>
          <w:color w:val="000000"/>
          <w:szCs w:val="21"/>
        </w:rPr>
        <w:t>a with the commentary of Sāya</w:t>
      </w:r>
      <w:r>
        <w:rPr>
          <w:i/>
          <w:iCs/>
          <w:color w:val="000000"/>
          <w:szCs w:val="21"/>
        </w:rPr>
        <w:t>ṇ</w:t>
      </w:r>
      <w:r>
        <w:rPr>
          <w:i/>
          <w:iCs/>
          <w:color w:val="000000"/>
          <w:szCs w:val="21"/>
        </w:rPr>
        <w:t>ācārya</w:t>
      </w:r>
      <w:r>
        <w:rPr>
          <w:color w:val="000000"/>
          <w:szCs w:val="21"/>
        </w:rPr>
        <w:t xml:space="preserve">, ed. by Rājendralāla Mitra, Bibliotheca Indica, Calcutta, 1862. The e-text edited by Makoto Fushimi, Ōsaka; TITUS version by Jost Gippert, </w:t>
      </w:r>
      <w:bookmarkStart w:id="97" w:name="textdescr"/>
      <w:bookmarkEnd w:id="97"/>
      <w:r>
        <w:rPr>
          <w:color w:val="000000"/>
          <w:szCs w:val="21"/>
        </w:rPr>
        <w:t xml:space="preserve">7.12.2008. TITUS text </w:t>
      </w:r>
      <w:r>
        <w:rPr>
          <w:color w:val="000000"/>
          <w:szCs w:val="21"/>
        </w:rPr>
        <w:lastRenderedPageBreak/>
        <w:t xml:space="preserve">collection (URL: </w:t>
      </w:r>
      <w:hyperlink r:id="rId26">
        <w:r>
          <w:rPr>
            <w:rStyle w:val="Hyperlink"/>
            <w:lang w:val="en-GB"/>
          </w:rPr>
          <w:t>http://titus.uni-</w:t>
        </w:r>
        <w:r>
          <w:rPr>
            <w:rStyle w:val="Hyperlink"/>
            <w:lang w:val="en-GB"/>
          </w:rPr>
          <w:t>frankfurt.de/indexd.htm</w:t>
        </w:r>
      </w:hyperlink>
      <w:r>
        <w:rPr>
          <w:color w:val="000000"/>
          <w:szCs w:val="21"/>
        </w:rPr>
        <w:t xml:space="preserve">) has been used also. </w:t>
      </w:r>
      <w:r>
        <w:rPr>
          <w:rFonts w:eastAsia="MS Mincho;ＭＳ 明朝" w:cs="Times Ext Roman"/>
          <w:color w:val="000000"/>
          <w:szCs w:val="18"/>
          <w:lang w:eastAsia="hi-IN" w:bidi="en-GB"/>
        </w:rPr>
        <w:t xml:space="preserve">The text of the </w:t>
      </w:r>
      <w:r>
        <w:rPr>
          <w:rFonts w:eastAsia="MS Mincho;ＭＳ 明朝" w:cs="Times Ext Roman"/>
          <w:i/>
          <w:iCs/>
          <w:color w:val="000000"/>
          <w:szCs w:val="18"/>
          <w:lang w:eastAsia="hi-IN" w:bidi="en-GB"/>
        </w:rPr>
        <w:t>Śatapatha Brāhma</w:t>
      </w:r>
      <w:r>
        <w:rPr>
          <w:rFonts w:eastAsia="MS Mincho;ＭＳ 明朝" w:cs="Times Ext Roman"/>
          <w:i/>
          <w:iCs/>
          <w:color w:val="000000"/>
          <w:szCs w:val="18"/>
          <w:lang w:eastAsia="hi-IN" w:bidi="en-GB"/>
        </w:rPr>
        <w:t>ṇ</w:t>
      </w:r>
      <w:r>
        <w:rPr>
          <w:rFonts w:eastAsia="MS Mincho;ＭＳ 明朝" w:cs="Times Ext Roman"/>
          <w:i/>
          <w:iCs/>
          <w:color w:val="000000"/>
          <w:szCs w:val="18"/>
          <w:lang w:eastAsia="hi-IN" w:bidi="en-GB"/>
        </w:rPr>
        <w:t xml:space="preserve">a </w:t>
      </w:r>
      <w:r>
        <w:rPr>
          <w:rFonts w:eastAsia="MS Mincho;ＭＳ 明朝" w:cs="Times Ext Roman"/>
          <w:color w:val="000000"/>
          <w:szCs w:val="18"/>
          <w:lang w:eastAsia="hi-IN" w:bidi="en-GB"/>
        </w:rPr>
        <w:t xml:space="preserve">is after Albrecht Weber, </w:t>
      </w:r>
      <w:r>
        <w:rPr>
          <w:rFonts w:eastAsia="Arial Unicode MS" w:cs="Times Ext Roman"/>
          <w:i/>
          <w:iCs/>
          <w:color w:val="000000"/>
          <w:szCs w:val="18"/>
          <w:lang w:eastAsia="hi-IN" w:bidi="en-GB"/>
        </w:rPr>
        <w:t>The Śatapatha Brāhma</w:t>
      </w:r>
      <w:r>
        <w:rPr>
          <w:rFonts w:eastAsia="Arial Unicode MS" w:cs="Times Ext Roman"/>
          <w:i/>
          <w:iCs/>
          <w:color w:val="000000"/>
          <w:szCs w:val="18"/>
          <w:lang w:eastAsia="hi-IN" w:bidi="en-GB"/>
        </w:rPr>
        <w:t>ṇ</w:t>
      </w:r>
      <w:r>
        <w:rPr>
          <w:rFonts w:eastAsia="Arial Unicode MS" w:cs="Times Ext Roman"/>
          <w:i/>
          <w:iCs/>
          <w:color w:val="000000"/>
          <w:szCs w:val="18"/>
          <w:lang w:eastAsia="hi-IN" w:bidi="en-GB"/>
        </w:rPr>
        <w:t>a in the Mādhyandina-Śākhā with extracts from the Commentaries of Sāya</w:t>
      </w:r>
      <w:r>
        <w:rPr>
          <w:rFonts w:eastAsia="Arial Unicode MS" w:cs="Times Ext Roman"/>
          <w:i/>
          <w:iCs/>
          <w:color w:val="000000"/>
          <w:szCs w:val="18"/>
          <w:lang w:eastAsia="hi-IN" w:bidi="en-GB"/>
        </w:rPr>
        <w:t>ṇ</w:t>
      </w:r>
      <w:r>
        <w:rPr>
          <w:rFonts w:eastAsia="Arial Unicode MS" w:cs="Times Ext Roman"/>
          <w:i/>
          <w:iCs/>
          <w:color w:val="000000"/>
          <w:szCs w:val="18"/>
          <w:lang w:eastAsia="hi-IN" w:bidi="en-GB"/>
        </w:rPr>
        <w:t>a, Harisvāmin and Dvivedaganga</w:t>
      </w:r>
      <w:r>
        <w:rPr>
          <w:rFonts w:eastAsia="Arial Unicode MS" w:cs="Times Ext Roman"/>
          <w:color w:val="000000"/>
          <w:szCs w:val="18"/>
          <w:lang w:eastAsia="hi-IN" w:bidi="en-GB"/>
        </w:rPr>
        <w:t>, Berlin 1855 / repr. Harrass</w:t>
      </w:r>
      <w:r>
        <w:rPr>
          <w:rFonts w:eastAsia="Arial Unicode MS" w:cs="Times Ext Roman"/>
          <w:color w:val="000000"/>
          <w:szCs w:val="18"/>
          <w:lang w:eastAsia="hi-IN" w:bidi="en-GB"/>
        </w:rPr>
        <w:t>owitz, Leipzig 1924.</w:t>
      </w:r>
    </w:p>
    <w:p w14:paraId="1A045B88" w14:textId="77777777" w:rsidR="00E53EB6" w:rsidRDefault="00E53EB6">
      <w:pPr>
        <w:pStyle w:val="HaupttextohneEinzug"/>
        <w:rPr>
          <w:color w:val="000000"/>
          <w:szCs w:val="21"/>
          <w:lang w:val="it-IT"/>
        </w:rPr>
      </w:pPr>
    </w:p>
    <w:p w14:paraId="34383F9B" w14:textId="77777777" w:rsidR="00E53EB6" w:rsidRDefault="006500F5">
      <w:pPr>
        <w:pStyle w:val="Heading5"/>
        <w:tabs>
          <w:tab w:val="left" w:pos="0"/>
        </w:tabs>
      </w:pPr>
      <w:r>
        <w:t>Taittirīya occurrences</w:t>
      </w:r>
    </w:p>
    <w:p w14:paraId="6CECF6EC" w14:textId="77777777" w:rsidR="00E53EB6" w:rsidRDefault="006500F5">
      <w:pPr>
        <w:pStyle w:val="Heading5"/>
        <w:tabs>
          <w:tab w:val="left" w:pos="0"/>
        </w:tabs>
      </w:pPr>
      <w:r>
        <w:rPr>
          <w:u w:val="single"/>
        </w:rPr>
        <w:t>TB 2.4.3.10-(11)</w:t>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p>
    <w:p w14:paraId="59C99EDD" w14:textId="77777777" w:rsidR="00E53EB6" w:rsidRDefault="006500F5">
      <w:pPr>
        <w:pStyle w:val="Zitat"/>
        <w:autoSpaceDE w:val="0"/>
        <w:rPr>
          <w:lang w:eastAsia="hi-IN"/>
        </w:rPr>
      </w:pPr>
      <w:r>
        <w:rPr>
          <w:lang w:eastAsia="hi-IN"/>
        </w:rPr>
        <w:t xml:space="preserve">2.4.3.10 </w:t>
      </w:r>
      <w:r>
        <w:rPr>
          <w:i/>
          <w:iCs/>
          <w:lang w:eastAsia="hi-IN"/>
        </w:rPr>
        <w:t>imā́ dhānā́ ghr</w:t>
      </w:r>
      <w:r>
        <w:rPr>
          <w:rFonts w:cs="Devanagari MT;Times New Roman"/>
          <w:lang w:eastAsia="hi-IN"/>
        </w:rPr>
        <w:t>̥</w:t>
      </w:r>
      <w:r>
        <w:rPr>
          <w:i/>
          <w:iCs/>
          <w:lang w:eastAsia="hi-IN"/>
        </w:rPr>
        <w:t>tasnúva</w:t>
      </w:r>
      <w:r>
        <w:rPr>
          <w:i/>
          <w:iCs/>
          <w:lang w:eastAsia="hi-IN"/>
        </w:rPr>
        <w:t>ḥ</w:t>
      </w:r>
      <w:r>
        <w:rPr>
          <w:i/>
          <w:iCs/>
          <w:lang w:eastAsia="hi-IN"/>
        </w:rPr>
        <w:t xml:space="preserve"> / hárī ihá úpavak</w:t>
      </w:r>
      <w:r>
        <w:rPr>
          <w:i/>
          <w:iCs/>
          <w:lang w:eastAsia="hi-IN"/>
        </w:rPr>
        <w:t>ṣ</w:t>
      </w:r>
      <w:r>
        <w:rPr>
          <w:i/>
          <w:iCs/>
          <w:lang w:eastAsia="hi-IN"/>
        </w:rPr>
        <w:t>ata</w:t>
      </w:r>
      <w:r>
        <w:rPr>
          <w:i/>
          <w:iCs/>
          <w:lang w:eastAsia="hi-IN"/>
        </w:rPr>
        <w:t>ḥ</w:t>
      </w:r>
      <w:r>
        <w:rPr>
          <w:i/>
          <w:iCs/>
          <w:lang w:eastAsia="hi-IN"/>
        </w:rPr>
        <w:t xml:space="preserve"> / índra</w:t>
      </w:r>
      <w:r>
        <w:rPr>
          <w:i/>
          <w:iCs/>
          <w:lang w:eastAsia="hi-IN"/>
        </w:rPr>
        <w:t>ṁ</w:t>
      </w:r>
      <w:r>
        <w:rPr>
          <w:i/>
          <w:iCs/>
          <w:lang w:eastAsia="hi-IN"/>
        </w:rPr>
        <w:t xml:space="preserve"> sukhátame ráthe</w:t>
      </w:r>
      <w:r>
        <w:rPr>
          <w:rStyle w:val="FootnoteAnchor"/>
          <w:rFonts w:cs="Devanagari MT;Times New Roman"/>
          <w:i/>
          <w:iCs/>
          <w:lang w:eastAsia="hi-IN"/>
        </w:rPr>
        <w:footnoteReference w:id="268"/>
      </w:r>
      <w:r>
        <w:rPr>
          <w:i/>
          <w:iCs/>
          <w:lang w:eastAsia="hi-IN"/>
        </w:rPr>
        <w:t xml:space="preserve"> // e</w:t>
      </w:r>
      <w:r>
        <w:rPr>
          <w:i/>
          <w:iCs/>
          <w:lang w:eastAsia="hi-IN"/>
        </w:rPr>
        <w:t>ṣ</w:t>
      </w:r>
      <w:r>
        <w:rPr>
          <w:i/>
          <w:iCs/>
          <w:lang w:eastAsia="hi-IN"/>
        </w:rPr>
        <w:t>á brahmā́ prá te mahé / vidáthe śa</w:t>
      </w:r>
      <w:r>
        <w:rPr>
          <w:i/>
          <w:iCs/>
          <w:lang w:eastAsia="hi-IN"/>
        </w:rPr>
        <w:t>ṁ</w:t>
      </w:r>
      <w:r>
        <w:rPr>
          <w:i/>
          <w:iCs/>
          <w:lang w:eastAsia="hi-IN"/>
        </w:rPr>
        <w:t>si</w:t>
      </w:r>
      <w:r>
        <w:rPr>
          <w:i/>
          <w:iCs/>
          <w:lang w:eastAsia="hi-IN"/>
        </w:rPr>
        <w:t>ṣ</w:t>
      </w:r>
      <w:r>
        <w:rPr>
          <w:i/>
          <w:iCs/>
          <w:lang w:eastAsia="hi-IN"/>
        </w:rPr>
        <w:t>a</w:t>
      </w:r>
      <w:r>
        <w:rPr>
          <w:i/>
          <w:iCs/>
          <w:lang w:eastAsia="hi-IN"/>
        </w:rPr>
        <w:t>ṁ</w:t>
      </w:r>
      <w:r>
        <w:rPr>
          <w:i/>
          <w:iCs/>
          <w:lang w:eastAsia="hi-IN"/>
        </w:rPr>
        <w:t xml:space="preserve"> hárī / yá r</w:t>
      </w:r>
      <w:r>
        <w:rPr>
          <w:rFonts w:cs="Devanagari MT;Times New Roman"/>
          <w:lang w:eastAsia="hi-IN"/>
        </w:rPr>
        <w:t>̥</w:t>
      </w:r>
      <w:r>
        <w:rPr>
          <w:i/>
          <w:iCs/>
          <w:lang w:eastAsia="hi-IN"/>
        </w:rPr>
        <w:t>tvíya</w:t>
      </w:r>
      <w:r>
        <w:rPr>
          <w:i/>
          <w:iCs/>
          <w:lang w:eastAsia="hi-IN"/>
        </w:rPr>
        <w:t>ḥ</w:t>
      </w:r>
      <w:r>
        <w:rPr>
          <w:i/>
          <w:iCs/>
          <w:lang w:eastAsia="hi-IN"/>
        </w:rPr>
        <w:t xml:space="preserve"> prá te vanve / vanú</w:t>
      </w:r>
      <w:r>
        <w:rPr>
          <w:i/>
          <w:iCs/>
          <w:lang w:eastAsia="hi-IN"/>
        </w:rPr>
        <w:t>ṣ</w:t>
      </w:r>
      <w:r>
        <w:rPr>
          <w:i/>
          <w:iCs/>
          <w:lang w:eastAsia="hi-IN"/>
        </w:rPr>
        <w:t>o haryatá</w:t>
      </w:r>
      <w:r>
        <w:rPr>
          <w:i/>
          <w:iCs/>
          <w:lang w:eastAsia="hi-IN"/>
        </w:rPr>
        <w:t>ṃ</w:t>
      </w:r>
      <w:r>
        <w:rPr>
          <w:i/>
          <w:iCs/>
          <w:lang w:eastAsia="hi-IN"/>
        </w:rPr>
        <w:t xml:space="preserve"> mádam / índro nā́ma ghr</w:t>
      </w:r>
      <w:r>
        <w:rPr>
          <w:rFonts w:cs="Devanagari MT;Times New Roman"/>
          <w:lang w:eastAsia="hi-IN"/>
        </w:rPr>
        <w:t>̥</w:t>
      </w:r>
      <w:r>
        <w:rPr>
          <w:i/>
          <w:iCs/>
          <w:lang w:eastAsia="hi-IN"/>
        </w:rPr>
        <w:t>tá</w:t>
      </w:r>
      <w:r>
        <w:rPr>
          <w:i/>
          <w:iCs/>
          <w:lang w:eastAsia="hi-IN"/>
        </w:rPr>
        <w:t>ṃ</w:t>
      </w:r>
      <w:r>
        <w:rPr>
          <w:i/>
          <w:iCs/>
          <w:lang w:eastAsia="hi-IN"/>
        </w:rPr>
        <w:t xml:space="preserve"> ná yá</w:t>
      </w:r>
      <w:r>
        <w:rPr>
          <w:i/>
          <w:iCs/>
          <w:lang w:eastAsia="hi-IN"/>
        </w:rPr>
        <w:t>ḥ</w:t>
      </w:r>
      <w:r>
        <w:rPr>
          <w:i/>
          <w:iCs/>
          <w:lang w:eastAsia="hi-IN"/>
        </w:rPr>
        <w:t xml:space="preserve"> / háribhiś cā́ru sécate / śrutó ga</w:t>
      </w:r>
      <w:r>
        <w:rPr>
          <w:i/>
          <w:iCs/>
          <w:lang w:eastAsia="hi-IN"/>
        </w:rPr>
        <w:t>ṇ</w:t>
      </w:r>
      <w:r>
        <w:rPr>
          <w:i/>
          <w:iCs/>
          <w:lang w:eastAsia="hi-IN"/>
        </w:rPr>
        <w:t xml:space="preserve">á ā́ tvā viśantu // </w:t>
      </w:r>
      <w:r>
        <w:rPr>
          <w:lang w:eastAsia="hi-IN"/>
        </w:rPr>
        <w:t>[</w:t>
      </w:r>
      <w:r>
        <w:rPr>
          <w:rFonts w:cs="Devanagari MT;Times New Roman"/>
          <w:lang w:eastAsia="hi-IN"/>
        </w:rPr>
        <w:t>.</w:t>
      </w:r>
      <w:r>
        <w:rPr>
          <w:lang w:eastAsia="hi-IN"/>
        </w:rPr>
        <w:t>11]</w:t>
      </w:r>
      <w:r>
        <w:rPr>
          <w:i/>
          <w:iCs/>
          <w:lang w:eastAsia="hi-IN"/>
        </w:rPr>
        <w:t xml:space="preserve"> hárivarpasa</w:t>
      </w:r>
      <w:r>
        <w:rPr>
          <w:i/>
          <w:iCs/>
          <w:lang w:eastAsia="hi-IN"/>
        </w:rPr>
        <w:t>ṃ</w:t>
      </w:r>
      <w:r>
        <w:rPr>
          <w:i/>
          <w:iCs/>
          <w:lang w:eastAsia="hi-IN"/>
        </w:rPr>
        <w:t xml:space="preserve"> gíra</w:t>
      </w:r>
      <w:r>
        <w:rPr>
          <w:i/>
          <w:iCs/>
          <w:lang w:eastAsia="hi-IN"/>
        </w:rPr>
        <w:t>ḥ</w:t>
      </w:r>
      <w:r>
        <w:rPr>
          <w:rStyle w:val="FootnoteAnchor"/>
          <w:rFonts w:cs="Devanagari MT;Times New Roman"/>
          <w:i/>
          <w:iCs/>
          <w:lang w:eastAsia="hi-IN"/>
        </w:rPr>
        <w:footnoteReference w:id="269"/>
      </w:r>
      <w:r>
        <w:rPr>
          <w:i/>
          <w:iCs/>
          <w:lang w:eastAsia="hi-IN"/>
        </w:rPr>
        <w:t xml:space="preserve"> //</w:t>
      </w:r>
    </w:p>
    <w:p w14:paraId="26E06A1D" w14:textId="77777777" w:rsidR="00E53EB6" w:rsidRDefault="006500F5">
      <w:pPr>
        <w:pStyle w:val="Zitat"/>
        <w:autoSpaceDE w:val="0"/>
      </w:pPr>
      <w:r>
        <w:rPr>
          <w:lang w:eastAsia="hi-IN"/>
        </w:rPr>
        <w:t>These grains are sprinkled with ghee on</w:t>
      </w:r>
      <w:r>
        <w:rPr>
          <w:lang w:eastAsia="hi-IN"/>
        </w:rPr>
        <w:t xml:space="preserve"> the surface, the two yellowish steeds convey here Indra on the most swiftly running</w:t>
      </w:r>
      <w:r>
        <w:rPr>
          <w:rStyle w:val="FootnoteAnchor"/>
          <w:rFonts w:cs="Devanagari MT;Times New Roman"/>
          <w:lang w:eastAsia="hi-IN"/>
        </w:rPr>
        <w:footnoteReference w:id="270"/>
      </w:r>
      <w:r>
        <w:rPr>
          <w:lang w:eastAsia="hi-IN"/>
        </w:rPr>
        <w:t xml:space="preserve"> chariot, this one here is the Brahmán, may I invoke</w:t>
      </w:r>
      <w:r>
        <w:rPr>
          <w:lang w:eastAsia="hi-IN"/>
        </w:rPr>
        <w:t xml:space="preserve"> in the great meeting [rite]</w:t>
      </w:r>
      <w:r>
        <w:rPr>
          <w:rStyle w:val="FootnoteAnchor"/>
          <w:rFonts w:cs="Devanagari MT;Times New Roman"/>
          <w:lang w:eastAsia="hi-IN"/>
        </w:rPr>
        <w:footnoteReference w:id="271"/>
      </w:r>
      <w:r>
        <w:rPr>
          <w:lang w:eastAsia="hi-IN"/>
        </w:rPr>
        <w:t xml:space="preserve"> your two steeds,  I </w:t>
      </w:r>
      <w:r>
        <w:rPr>
          <w:u w:val="single"/>
          <w:lang w:eastAsia="hi-IN"/>
        </w:rPr>
        <w:t>appropriate for my self</w:t>
      </w:r>
      <w:r>
        <w:rPr>
          <w:lang w:eastAsia="hi-IN"/>
        </w:rPr>
        <w:t xml:space="preserve"> the intoxicating drink dear to you who </w:t>
      </w:r>
      <w:r>
        <w:rPr>
          <w:u w:val="single"/>
          <w:lang w:eastAsia="hi-IN"/>
        </w:rPr>
        <w:t>desire to appropriate</w:t>
      </w:r>
      <w:r>
        <w:rPr>
          <w:lang w:eastAsia="hi-IN"/>
        </w:rPr>
        <w:t xml:space="preserve"> it, which is in proper time</w:t>
      </w:r>
      <w:r>
        <w:rPr>
          <w:rStyle w:val="FootnoteAnchor"/>
          <w:lang w:eastAsia="hi-IN"/>
        </w:rPr>
        <w:footnoteReference w:id="272"/>
      </w:r>
      <w:r>
        <w:rPr>
          <w:lang w:eastAsia="hi-IN"/>
        </w:rPr>
        <w:t>; Indra by name, famous in the troops, is the one who, together with the bays ones, pours out</w:t>
      </w:r>
      <w:r>
        <w:rPr>
          <w:rStyle w:val="FootnoteAnchor"/>
          <w:lang w:eastAsia="hi-IN"/>
        </w:rPr>
        <w:footnoteReference w:id="273"/>
      </w:r>
      <w:r>
        <w:rPr>
          <w:lang w:eastAsia="hi-IN"/>
        </w:rPr>
        <w:t xml:space="preserve"> what is pleasant as clarified butter; the chants should arrive to you who have the colour of gold.</w:t>
      </w:r>
    </w:p>
    <w:p w14:paraId="0A53AE9C" w14:textId="77777777" w:rsidR="00E53EB6" w:rsidRPr="00B80C6B" w:rsidRDefault="006500F5">
      <w:pPr>
        <w:pStyle w:val="Zitat"/>
        <w:autoSpaceDE w:val="0"/>
        <w:rPr>
          <w:lang w:val="de-DE" w:eastAsia="hi-IN"/>
        </w:rPr>
      </w:pPr>
      <w:r>
        <w:rPr>
          <w:i/>
          <w:iCs/>
          <w:lang w:eastAsia="hi-IN"/>
        </w:rPr>
        <w:t xml:space="preserve">prá vanve: </w:t>
      </w:r>
      <w:r>
        <w:rPr>
          <w:lang w:eastAsia="hi-IN"/>
        </w:rPr>
        <w:t>ind. pres. 1</w:t>
      </w:r>
      <w:r>
        <w:rPr>
          <w:vertAlign w:val="superscript"/>
          <w:lang w:eastAsia="hi-IN"/>
        </w:rPr>
        <w:t>st</w:t>
      </w:r>
      <w:r>
        <w:rPr>
          <w:lang w:eastAsia="hi-IN"/>
        </w:rPr>
        <w:t xml:space="preserve"> sing. </w:t>
      </w:r>
      <w:r w:rsidRPr="00B80C6B">
        <w:rPr>
          <w:lang w:val="de-DE" w:eastAsia="hi-IN"/>
        </w:rPr>
        <w:t>Ā VIII cl.</w:t>
      </w:r>
    </w:p>
    <w:p w14:paraId="475E4281" w14:textId="77777777" w:rsidR="00E53EB6" w:rsidRPr="00B80C6B" w:rsidRDefault="006500F5">
      <w:pPr>
        <w:pStyle w:val="ZitatmitEinzug"/>
        <w:rPr>
          <w:lang w:val="de-DE"/>
        </w:rPr>
      </w:pPr>
      <w:r w:rsidRPr="00B80C6B">
        <w:rPr>
          <w:rStyle w:val="biblio-authorGEN"/>
          <w:sz w:val="18"/>
          <w:szCs w:val="15"/>
          <w:lang w:val="de-DE"/>
        </w:rPr>
        <w:t>Geldner</w:t>
      </w:r>
      <w:r w:rsidRPr="00B80C6B">
        <w:rPr>
          <w:lang w:val="de-DE"/>
        </w:rPr>
        <w:t>: III 304 “habe Gewinn”</w:t>
      </w:r>
    </w:p>
    <w:p w14:paraId="062A32AC" w14:textId="77777777" w:rsidR="00E53EB6" w:rsidRDefault="006500F5">
      <w:pPr>
        <w:pStyle w:val="Zitat"/>
        <w:autoSpaceDE w:val="0"/>
        <w:rPr>
          <w:lang w:eastAsia="hi-IN"/>
        </w:rPr>
      </w:pPr>
      <w:r>
        <w:rPr>
          <w:i/>
          <w:iCs/>
          <w:lang w:eastAsia="hi-IN"/>
        </w:rPr>
        <w:t>vanú</w:t>
      </w:r>
      <w:r>
        <w:rPr>
          <w:i/>
          <w:iCs/>
          <w:lang w:eastAsia="hi-IN"/>
        </w:rPr>
        <w:t>ṣ</w:t>
      </w:r>
      <w:r>
        <w:rPr>
          <w:i/>
          <w:iCs/>
          <w:lang w:eastAsia="hi-IN"/>
        </w:rPr>
        <w:t>a</w:t>
      </w:r>
      <w:r>
        <w:rPr>
          <w:i/>
          <w:iCs/>
          <w:lang w:eastAsia="hi-IN"/>
        </w:rPr>
        <w:t>ḥ</w:t>
      </w:r>
      <w:r>
        <w:rPr>
          <w:i/>
          <w:iCs/>
          <w:lang w:eastAsia="hi-IN"/>
        </w:rPr>
        <w:t xml:space="preserve">: </w:t>
      </w:r>
      <w:r>
        <w:rPr>
          <w:lang w:eastAsia="hi-IN"/>
        </w:rPr>
        <w:t xml:space="preserve">gen. masc. sing. of </w:t>
      </w:r>
      <w:r>
        <w:rPr>
          <w:i/>
          <w:iCs/>
          <w:lang w:eastAsia="hi-IN"/>
        </w:rPr>
        <w:t>vanús</w:t>
      </w:r>
    </w:p>
    <w:p w14:paraId="1BE6A1DD" w14:textId="77777777" w:rsidR="00E53EB6" w:rsidRPr="00B80C6B" w:rsidRDefault="006500F5">
      <w:pPr>
        <w:pStyle w:val="ZitatmitEinzug"/>
        <w:rPr>
          <w:lang w:val="de-DE"/>
        </w:rPr>
      </w:pPr>
      <w:r w:rsidRPr="00B80C6B">
        <w:rPr>
          <w:rStyle w:val="biblio-authorGEN"/>
          <w:sz w:val="18"/>
          <w:szCs w:val="18"/>
          <w:lang w:val="de-DE"/>
        </w:rPr>
        <w:t>Geldner</w:t>
      </w:r>
      <w:r w:rsidRPr="00B80C6B">
        <w:rPr>
          <w:lang w:val="de-DE"/>
        </w:rPr>
        <w:t>: III 304 “Eifrigen”</w:t>
      </w:r>
    </w:p>
    <w:p w14:paraId="79DC69A8" w14:textId="77777777" w:rsidR="00E53EB6" w:rsidRPr="00B80C6B" w:rsidRDefault="006500F5">
      <w:pPr>
        <w:pStyle w:val="HaupttextnachZitat"/>
        <w:rPr>
          <w:lang w:val="de-DE"/>
        </w:rPr>
      </w:pPr>
      <w:r w:rsidRPr="00B80C6B">
        <w:rPr>
          <w:lang w:val="de-DE"/>
        </w:rPr>
        <w:t>Vedic Web</w:t>
      </w:r>
    </w:p>
    <w:p w14:paraId="17CE5216" w14:textId="77777777" w:rsidR="00E53EB6" w:rsidRPr="00B80C6B" w:rsidRDefault="006500F5">
      <w:pPr>
        <w:pStyle w:val="HaupttextohneEinzug"/>
        <w:rPr>
          <w:rFonts w:eastAsia="Arial" w:cs="Times Ext Roman"/>
          <w:szCs w:val="21"/>
          <w:lang w:val="de-DE" w:eastAsia="hi-IN" w:bidi="en-GB"/>
        </w:rPr>
      </w:pPr>
      <w:r w:rsidRPr="00B80C6B">
        <w:rPr>
          <w:rFonts w:eastAsia="Arial" w:cs="Times Ext Roman"/>
          <w:szCs w:val="21"/>
          <w:lang w:val="de-DE" w:eastAsia="hi-IN" w:bidi="en-GB"/>
        </w:rPr>
        <w:t xml:space="preserve">Mantra: </w:t>
      </w:r>
      <w:r w:rsidRPr="00B80C6B">
        <w:rPr>
          <w:rFonts w:eastAsia="Arial" w:cs="Times Ext Roman"/>
          <w:sz w:val="22"/>
          <w:szCs w:val="22"/>
          <w:lang w:val="de-DE" w:eastAsia="hi-IN" w:bidi="en-GB"/>
        </w:rPr>
        <w:t>R</w:t>
      </w:r>
      <w:r w:rsidRPr="00B80C6B">
        <w:rPr>
          <w:rFonts w:eastAsia="Arial" w:cs="Devanagari MT;Times New Roman"/>
          <w:sz w:val="22"/>
          <w:szCs w:val="22"/>
          <w:lang w:val="de-DE" w:eastAsia="hi-IN" w:bidi="en-GB"/>
        </w:rPr>
        <w:t>̥</w:t>
      </w:r>
      <w:r w:rsidRPr="00B80C6B">
        <w:rPr>
          <w:rFonts w:eastAsia="Arial" w:cs="Times Ext Roman"/>
          <w:sz w:val="22"/>
          <w:szCs w:val="22"/>
          <w:lang w:val="de-DE" w:eastAsia="hi-IN" w:bidi="en-GB"/>
        </w:rPr>
        <w:t>V</w:t>
      </w:r>
      <w:r w:rsidRPr="00B80C6B">
        <w:rPr>
          <w:rFonts w:eastAsia="Arial" w:cs="Times Ext Roman"/>
          <w:szCs w:val="21"/>
          <w:lang w:val="de-DE" w:eastAsia="hi-IN" w:bidi="en-GB"/>
        </w:rPr>
        <w:t xml:space="preserve"> 10.96.1; TB 3.7.9.6; AVŚ 20.30.1.</w:t>
      </w:r>
    </w:p>
    <w:p w14:paraId="612FD9CD" w14:textId="77777777" w:rsidR="00E53EB6" w:rsidRPr="00B80C6B" w:rsidRDefault="00E53EB6">
      <w:pPr>
        <w:pStyle w:val="HaupttextohneEinzug"/>
        <w:rPr>
          <w:rFonts w:eastAsia="Arial" w:cs="Times Ext Roman"/>
          <w:sz w:val="22"/>
          <w:szCs w:val="22"/>
          <w:lang w:val="de-DE" w:eastAsia="hi-IN" w:bidi="en-GB"/>
        </w:rPr>
      </w:pPr>
    </w:p>
    <w:p w14:paraId="03C37614" w14:textId="77777777" w:rsidR="00E53EB6" w:rsidRDefault="006500F5">
      <w:pPr>
        <w:pStyle w:val="HaupttextohneEinzug"/>
        <w:rPr>
          <w:rFonts w:eastAsia="Arial" w:cs="Times Ext Roman"/>
          <w:szCs w:val="21"/>
          <w:lang w:eastAsia="hi-IN" w:bidi="en-GB"/>
        </w:rPr>
      </w:pPr>
      <w:r>
        <w:rPr>
          <w:rFonts w:eastAsia="Arial" w:cs="Times Ext Roman"/>
          <w:szCs w:val="21"/>
          <w:lang w:eastAsia="hi-IN" w:bidi="en-GB"/>
        </w:rPr>
        <w:t>Rite</w:t>
      </w:r>
    </w:p>
    <w:p w14:paraId="7C958041" w14:textId="77777777" w:rsidR="00E53EB6" w:rsidRDefault="006500F5">
      <w:pPr>
        <w:pStyle w:val="HaupttextohneEinzug"/>
        <w:rPr>
          <w:szCs w:val="21"/>
        </w:rPr>
      </w:pPr>
      <w:r>
        <w:rPr>
          <w:rFonts w:eastAsia="Arial" w:cs="Times Ext Roman"/>
          <w:i/>
          <w:iCs/>
          <w:szCs w:val="21"/>
          <w:lang w:eastAsia="hi-IN" w:bidi="en-GB"/>
        </w:rPr>
        <w:t>Darśapūr</w:t>
      </w:r>
      <w:r>
        <w:rPr>
          <w:rFonts w:eastAsia="Arial" w:cs="Times Ext Roman"/>
          <w:i/>
          <w:iCs/>
          <w:szCs w:val="21"/>
          <w:lang w:eastAsia="hi-IN" w:bidi="en-GB"/>
        </w:rPr>
        <w:t>ṇ</w:t>
      </w:r>
      <w:r>
        <w:rPr>
          <w:rFonts w:eastAsia="Arial" w:cs="Times Ext Roman"/>
          <w:i/>
          <w:iCs/>
          <w:szCs w:val="21"/>
          <w:lang w:eastAsia="hi-IN" w:bidi="en-GB"/>
        </w:rPr>
        <w:t>amāse</w:t>
      </w:r>
      <w:r>
        <w:rPr>
          <w:rFonts w:eastAsia="Arial" w:cs="Times Ext Roman"/>
          <w:i/>
          <w:iCs/>
          <w:szCs w:val="21"/>
          <w:lang w:eastAsia="hi-IN" w:bidi="en-GB"/>
        </w:rPr>
        <w:t>ṣṭ</w:t>
      </w:r>
      <w:r>
        <w:rPr>
          <w:rFonts w:eastAsia="Arial" w:cs="Times Ext Roman"/>
          <w:i/>
          <w:iCs/>
          <w:szCs w:val="21"/>
          <w:lang w:eastAsia="hi-IN" w:bidi="en-GB"/>
        </w:rPr>
        <w:t>i</w:t>
      </w:r>
      <w:r>
        <w:rPr>
          <w:rFonts w:eastAsia="Arial" w:cs="Times Ext Roman"/>
          <w:szCs w:val="21"/>
          <w:lang w:eastAsia="hi-IN" w:bidi="en-GB"/>
        </w:rPr>
        <w:t xml:space="preserve">. </w:t>
      </w:r>
      <w:r>
        <w:rPr>
          <w:rFonts w:eastAsia="Arial" w:cs="Times Ext Roman"/>
          <w:i/>
          <w:iCs/>
          <w:szCs w:val="21"/>
          <w:lang w:eastAsia="hi-IN" w:bidi="en-GB"/>
        </w:rPr>
        <w:t>Upahoma</w:t>
      </w:r>
      <w:r>
        <w:rPr>
          <w:rFonts w:eastAsia="Arial" w:cs="Times Ext Roman"/>
          <w:szCs w:val="21"/>
          <w:lang w:eastAsia="hi-IN" w:bidi="en-GB"/>
        </w:rPr>
        <w:t xml:space="preserve"> (subsidiary) </w:t>
      </w:r>
      <w:r>
        <w:rPr>
          <w:rFonts w:eastAsia="Arial" w:cs="Times Ext Roman"/>
          <w:i/>
          <w:iCs/>
          <w:szCs w:val="21"/>
          <w:lang w:eastAsia="hi-IN" w:bidi="en-GB"/>
        </w:rPr>
        <w:t>mantra</w:t>
      </w:r>
      <w:r>
        <w:rPr>
          <w:rFonts w:eastAsia="Arial" w:cs="Times Ext Roman"/>
          <w:szCs w:val="21"/>
          <w:lang w:eastAsia="hi-IN" w:bidi="en-GB"/>
        </w:rPr>
        <w:t>s addressed to Indra, an additional offering within the Mitravinde</w:t>
      </w:r>
      <w:r>
        <w:rPr>
          <w:rFonts w:eastAsia="Arial" w:cs="Times Ext Roman"/>
          <w:szCs w:val="21"/>
          <w:lang w:eastAsia="hi-IN" w:bidi="en-GB"/>
        </w:rPr>
        <w:t>ṣṭ</w:t>
      </w:r>
      <w:r>
        <w:rPr>
          <w:rFonts w:eastAsia="Arial" w:cs="Times Ext Roman"/>
          <w:szCs w:val="21"/>
          <w:lang w:eastAsia="hi-IN" w:bidi="en-GB"/>
        </w:rPr>
        <w:t>i; cf. ŚB 11.4.3 -where is explained the myth connected with this rite, ŚB 11.4.3.20 “He finds Mitra, and his is the kingdom, he conquers the recurring death [...]”(trans. Eggeling) and cf</w:t>
      </w:r>
      <w:r>
        <w:rPr>
          <w:rFonts w:eastAsia="Arial" w:cs="Times Ext Roman"/>
          <w:szCs w:val="21"/>
          <w:lang w:eastAsia="hi-IN" w:bidi="en-GB"/>
        </w:rPr>
        <w:t xml:space="preserve">. also Āp II 21.2; Keith’s Summary </w:t>
      </w:r>
      <w:r>
        <w:rPr>
          <w:rStyle w:val="biblio-authorGEN"/>
          <w:rFonts w:eastAsia="Arial" w:cs="Times Ext Roman"/>
          <w:szCs w:val="21"/>
          <w:lang w:eastAsia="hi-IN" w:bidi="en-GB"/>
        </w:rPr>
        <w:t>(Keith</w:t>
      </w:r>
      <w:r>
        <w:rPr>
          <w:rFonts w:eastAsia="Arial" w:cs="Times Ext Roman"/>
          <w:szCs w:val="21"/>
          <w:lang w:eastAsia="hi-IN" w:bidi="en-GB"/>
        </w:rPr>
        <w:t xml:space="preserve"> 1914: 76-77) and </w:t>
      </w:r>
      <w:r>
        <w:rPr>
          <w:rStyle w:val="biblio-authorGEN"/>
          <w:rFonts w:eastAsia="Arial" w:cs="Times Ext Roman"/>
          <w:szCs w:val="21"/>
          <w:lang w:eastAsia="hi-IN" w:bidi="en-GB"/>
        </w:rPr>
        <w:t>Mylius</w:t>
      </w:r>
      <w:r>
        <w:rPr>
          <w:rFonts w:eastAsia="Arial" w:cs="Times Ext Roman"/>
          <w:szCs w:val="21"/>
          <w:lang w:eastAsia="hi-IN" w:bidi="en-GB"/>
        </w:rPr>
        <w:t xml:space="preserve"> (1995: 51).</w:t>
      </w:r>
    </w:p>
    <w:p w14:paraId="0E663726" w14:textId="77777777" w:rsidR="00E53EB6" w:rsidRDefault="00E53EB6">
      <w:pPr>
        <w:pStyle w:val="HaupttextohneEinzug"/>
        <w:rPr>
          <w:rFonts w:eastAsia="Arial" w:cs="Times Ext Roman"/>
          <w:szCs w:val="18"/>
          <w:lang w:eastAsia="hi-IN" w:bidi="en-GB"/>
        </w:rPr>
      </w:pPr>
    </w:p>
    <w:p w14:paraId="025E7843" w14:textId="77777777" w:rsidR="00E53EB6" w:rsidRDefault="006500F5">
      <w:pPr>
        <w:pStyle w:val="Heading5"/>
        <w:tabs>
          <w:tab w:val="left" w:pos="0"/>
        </w:tabs>
      </w:pPr>
      <w:r>
        <w:rPr>
          <w:u w:val="single"/>
        </w:rPr>
        <w:t xml:space="preserve">TB </w:t>
      </w:r>
      <w:r>
        <w:rPr>
          <w:rFonts w:eastAsia="MS Mincho;ＭＳ 明朝"/>
          <w:u w:val="single"/>
          <w:lang/>
        </w:rPr>
        <w:t>2.4.5.5</w:t>
      </w:r>
      <w:r>
        <w:rPr>
          <w:rFonts w:cs="Devanagari MT;Times New Roman"/>
          <w:color w:val="008000"/>
        </w:rPr>
        <w:tab/>
      </w:r>
      <w:r>
        <w:rPr>
          <w:rFonts w:cs="Devanagari MT;Times New Roman"/>
          <w:color w:val="008000"/>
        </w:rPr>
        <w:tab/>
      </w:r>
      <w:r>
        <w:rPr>
          <w:rFonts w:cs="Devanagari MT;Times New Roman"/>
          <w:color w:val="008000"/>
        </w:rPr>
        <w:tab/>
      </w:r>
      <w:r>
        <w:rPr>
          <w:rFonts w:cs="Devanagari MT;Times New Roman"/>
          <w:color w:val="008000"/>
        </w:rPr>
        <w:tab/>
      </w:r>
      <w:r>
        <w:rPr>
          <w:rFonts w:cs="Devanagari MT;Times New Roman"/>
          <w:color w:val="008000"/>
        </w:rPr>
        <w:tab/>
      </w:r>
      <w:r>
        <w:rPr>
          <w:rFonts w:cs="Devanagari MT;Times New Roman"/>
          <w:color w:val="008000"/>
        </w:rPr>
        <w:tab/>
      </w:r>
      <w:r>
        <w:rPr>
          <w:rFonts w:cs="Devanagari MT;Times New Roman"/>
          <w:color w:val="008000"/>
        </w:rPr>
        <w:tab/>
      </w:r>
      <w:r>
        <w:rPr>
          <w:rFonts w:cs="Devanagari MT;Times New Roman"/>
          <w:color w:val="008000"/>
        </w:rPr>
        <w:tab/>
      </w:r>
    </w:p>
    <w:p w14:paraId="7D385271" w14:textId="77777777" w:rsidR="00E53EB6" w:rsidRDefault="006500F5">
      <w:pPr>
        <w:pStyle w:val="Zitat"/>
        <w:autoSpaceDE w:val="0"/>
        <w:rPr>
          <w:lang w:eastAsia="hi-IN"/>
        </w:rPr>
      </w:pPr>
      <w:r>
        <w:rPr>
          <w:lang w:eastAsia="hi-IN"/>
        </w:rPr>
        <w:t>2.4.5.5</w:t>
      </w:r>
      <w:r>
        <w:rPr>
          <w:rFonts w:cs="Devanagari MT;Times New Roman"/>
          <w:lang w:eastAsia="hi-IN"/>
        </w:rPr>
        <w:t xml:space="preserve"> </w:t>
      </w:r>
      <w:r>
        <w:rPr>
          <w:rFonts w:cs="Devanagari MT;Times New Roman"/>
          <w:i/>
          <w:iCs/>
          <w:lang w:eastAsia="hi-IN"/>
        </w:rPr>
        <w:t>avavyáyann ásita</w:t>
      </w:r>
      <w:r>
        <w:rPr>
          <w:rFonts w:cs="Devanagari MT;Times New Roman"/>
          <w:i/>
          <w:iCs/>
          <w:lang w:eastAsia="hi-IN"/>
        </w:rPr>
        <w:t>ṃ</w:t>
      </w:r>
      <w:r>
        <w:rPr>
          <w:rFonts w:cs="Devanagari MT;Times New Roman"/>
          <w:i/>
          <w:iCs/>
          <w:lang w:eastAsia="hi-IN"/>
        </w:rPr>
        <w:t xml:space="preserve"> deva vásva</w:t>
      </w:r>
      <w:r>
        <w:rPr>
          <w:rFonts w:cs="Devanagari MT;Times New Roman"/>
          <w:i/>
          <w:iCs/>
          <w:lang w:eastAsia="hi-IN"/>
        </w:rPr>
        <w:t>ḥ</w:t>
      </w:r>
      <w:r>
        <w:rPr>
          <w:rFonts w:cs="Devanagari MT;Times New Roman"/>
          <w:i/>
          <w:iCs/>
          <w:lang w:eastAsia="hi-IN"/>
        </w:rPr>
        <w:t xml:space="preserve"> / dávidhvato raśmáya</w:t>
      </w:r>
      <w:r>
        <w:rPr>
          <w:rFonts w:cs="Devanagari MT;Times New Roman"/>
          <w:i/>
          <w:iCs/>
          <w:lang w:eastAsia="hi-IN"/>
        </w:rPr>
        <w:t>ḥ</w:t>
      </w:r>
      <w:r>
        <w:rPr>
          <w:rFonts w:cs="Devanagari MT;Times New Roman"/>
          <w:i/>
          <w:iCs/>
          <w:lang w:eastAsia="hi-IN"/>
        </w:rPr>
        <w:t xml:space="preserve"> sū́ryasya / cárma_iva_ávādhus támo apsvànta</w:t>
      </w:r>
      <w:r>
        <w:rPr>
          <w:rFonts w:cs="Devanagari MT;Times New Roman"/>
          <w:i/>
          <w:iCs/>
          <w:lang w:eastAsia="hi-IN"/>
        </w:rPr>
        <w:t>ḥ</w:t>
      </w:r>
      <w:r>
        <w:rPr>
          <w:rStyle w:val="FootnoteAnchor"/>
          <w:rFonts w:cs="Devanagari MT;Times New Roman"/>
          <w:i/>
          <w:iCs/>
          <w:lang w:eastAsia="hi-IN"/>
        </w:rPr>
        <w:footnoteReference w:id="274"/>
      </w:r>
      <w:r>
        <w:rPr>
          <w:rFonts w:cs="Devanagari MT;Times New Roman"/>
          <w:i/>
          <w:iCs/>
          <w:lang w:eastAsia="hi-IN"/>
        </w:rPr>
        <w:t xml:space="preserve"> //  parjányāya prágāyata / divás putrā́ya mī</w:t>
      </w:r>
      <w:r>
        <w:rPr>
          <w:rFonts w:cs="Devanagari MT;Times New Roman"/>
          <w:i/>
          <w:iCs/>
          <w:lang w:eastAsia="hi-IN"/>
        </w:rPr>
        <w:t>ḍ</w:t>
      </w:r>
      <w:r>
        <w:rPr>
          <w:rFonts w:cs="Devanagari MT;Times New Roman"/>
          <w:i/>
          <w:iCs/>
          <w:lang w:eastAsia="hi-IN"/>
        </w:rPr>
        <w:t>hú</w:t>
      </w:r>
      <w:r>
        <w:rPr>
          <w:rFonts w:cs="Devanagari MT;Times New Roman"/>
          <w:i/>
          <w:iCs/>
          <w:lang w:eastAsia="hi-IN"/>
        </w:rPr>
        <w:t>ṣ</w:t>
      </w:r>
      <w:r>
        <w:rPr>
          <w:rFonts w:cs="Devanagari MT;Times New Roman"/>
          <w:i/>
          <w:iCs/>
          <w:lang w:eastAsia="hi-IN"/>
        </w:rPr>
        <w:t>e / sá no yavásam icchatu //ácchā vada tavása</w:t>
      </w:r>
      <w:r>
        <w:rPr>
          <w:rFonts w:cs="Devanagari MT;Times New Roman"/>
          <w:i/>
          <w:iCs/>
          <w:lang w:eastAsia="hi-IN"/>
        </w:rPr>
        <w:t>ṃ</w:t>
      </w:r>
      <w:r>
        <w:rPr>
          <w:rFonts w:cs="Devanagari MT;Times New Roman"/>
          <w:i/>
          <w:iCs/>
          <w:lang w:eastAsia="hi-IN"/>
        </w:rPr>
        <w:t xml:space="preserve"> </w:t>
      </w:r>
      <w:r>
        <w:rPr>
          <w:rFonts w:cs="Devanagari MT;Times New Roman"/>
          <w:i/>
          <w:iCs/>
          <w:lang w:eastAsia="hi-IN"/>
        </w:rPr>
        <w:lastRenderedPageBreak/>
        <w:t>gīrbhír ābhí</w:t>
      </w:r>
      <w:r>
        <w:rPr>
          <w:rFonts w:cs="Devanagari MT;Times New Roman"/>
          <w:i/>
          <w:iCs/>
          <w:lang w:eastAsia="hi-IN"/>
        </w:rPr>
        <w:t>ḥ</w:t>
      </w:r>
      <w:r w:rsidRPr="00494885">
        <w:rPr>
          <w:rStyle w:val="FootnoteAnchor"/>
          <w:rFonts w:cs="Devanagari MT;Times New Roman"/>
          <w:i/>
          <w:iCs/>
          <w:lang w:eastAsia="hi-IN"/>
        </w:rPr>
        <w:footnoteReference w:id="275"/>
      </w:r>
      <w:r>
        <w:rPr>
          <w:rFonts w:cs="Devanagari MT;Times New Roman"/>
          <w:i/>
          <w:iCs/>
          <w:lang w:eastAsia="hi-IN"/>
        </w:rPr>
        <w:t xml:space="preserve"> / stuhí parjánya</w:t>
      </w:r>
      <w:r>
        <w:rPr>
          <w:rFonts w:cs="Devanagari MT;Times New Roman"/>
          <w:i/>
          <w:iCs/>
          <w:lang w:eastAsia="hi-IN"/>
        </w:rPr>
        <w:t>ṃ</w:t>
      </w:r>
      <w:r>
        <w:rPr>
          <w:rFonts w:cs="Devanagari MT;Times New Roman"/>
          <w:i/>
          <w:iCs/>
          <w:lang w:eastAsia="hi-IN"/>
        </w:rPr>
        <w:t xml:space="preserve"> námasā́ vivāsa / kánikradad vr</w:t>
      </w:r>
      <w:r>
        <w:rPr>
          <w:rFonts w:cs="Devanagari MT;Times New Roman"/>
          <w:lang w:eastAsia="hi-IN"/>
        </w:rPr>
        <w:t>̥</w:t>
      </w:r>
      <w:r>
        <w:rPr>
          <w:rFonts w:cs="Devanagari MT;Times New Roman"/>
          <w:i/>
          <w:iCs/>
          <w:lang w:eastAsia="hi-IN"/>
        </w:rPr>
        <w:t>ṣ</w:t>
      </w:r>
      <w:r>
        <w:rPr>
          <w:rFonts w:cs="Devanagari MT;Times New Roman"/>
          <w:i/>
          <w:iCs/>
          <w:lang w:eastAsia="hi-IN"/>
        </w:rPr>
        <w:t>abhó jīrádānu</w:t>
      </w:r>
      <w:r>
        <w:rPr>
          <w:rFonts w:cs="Devanagari MT;Times New Roman"/>
          <w:i/>
          <w:iCs/>
          <w:lang w:eastAsia="hi-IN"/>
        </w:rPr>
        <w:t>ḥ</w:t>
      </w:r>
      <w:r>
        <w:rPr>
          <w:rFonts w:cs="Devanagari MT;Times New Roman"/>
          <w:i/>
          <w:iCs/>
          <w:lang w:eastAsia="hi-IN"/>
        </w:rPr>
        <w:t xml:space="preserve"> / réto dadhātv ó</w:t>
      </w:r>
      <w:r>
        <w:rPr>
          <w:rFonts w:cs="Devanagari MT;Times New Roman"/>
          <w:i/>
          <w:iCs/>
          <w:lang w:eastAsia="hi-IN"/>
        </w:rPr>
        <w:t>ṣ</w:t>
      </w:r>
      <w:r>
        <w:rPr>
          <w:rFonts w:cs="Devanagari MT;Times New Roman"/>
          <w:i/>
          <w:iCs/>
          <w:lang w:eastAsia="hi-IN"/>
        </w:rPr>
        <w:t>adhī</w:t>
      </w:r>
      <w:r>
        <w:rPr>
          <w:rFonts w:cs="Devanagari MT;Times New Roman"/>
          <w:i/>
          <w:iCs/>
          <w:lang w:eastAsia="hi-IN"/>
        </w:rPr>
        <w:t>ṣ</w:t>
      </w:r>
      <w:r>
        <w:rPr>
          <w:rFonts w:cs="Devanagari MT;Times New Roman"/>
          <w:i/>
          <w:iCs/>
          <w:lang w:eastAsia="hi-IN"/>
        </w:rPr>
        <w:t>u gárbham</w:t>
      </w:r>
      <w:r>
        <w:rPr>
          <w:rStyle w:val="FootnoteAnchor"/>
          <w:rFonts w:cs="Devanagari MT;Times New Roman"/>
          <w:i/>
          <w:iCs/>
          <w:lang w:eastAsia="hi-IN"/>
        </w:rPr>
        <w:footnoteReference w:id="276"/>
      </w:r>
      <w:r>
        <w:rPr>
          <w:rFonts w:cs="Devanagari MT;Times New Roman"/>
          <w:i/>
          <w:iCs/>
          <w:lang w:eastAsia="hi-IN"/>
        </w:rPr>
        <w:t xml:space="preserve"> //</w:t>
      </w:r>
    </w:p>
    <w:p w14:paraId="74BFAA6B" w14:textId="77777777" w:rsidR="00E53EB6" w:rsidRDefault="006500F5">
      <w:pPr>
        <w:pStyle w:val="Zitat"/>
      </w:pPr>
      <w:r>
        <w:t xml:space="preserve">The good gods pull off the black, shaking </w:t>
      </w:r>
      <w:r>
        <w:t>violently the rays of light, the skin of the sun, they plunged the darkness into the water; would he begin to celebrate for Parjanya, son of the gods, generous bestower; he should desire for us a field of grass, salute the strong with these chants, extol P</w:t>
      </w:r>
      <w:r>
        <w:t xml:space="preserve">arjanya, </w:t>
      </w:r>
      <w:r>
        <w:rPr>
          <w:u w:val="single"/>
        </w:rPr>
        <w:t>desire to appropriate</w:t>
      </w:r>
      <w:r>
        <w:t xml:space="preserve"> him with homage; the bull, shouting continuously</w:t>
      </w:r>
      <w:r>
        <w:rPr>
          <w:rStyle w:val="FootnoteAnchor"/>
        </w:rPr>
        <w:footnoteReference w:id="277"/>
      </w:r>
      <w:r>
        <w:t>, dropping abundantly, should put his semen, the offspring, into the plants.</w:t>
      </w:r>
    </w:p>
    <w:p w14:paraId="77F9B4E4" w14:textId="77777777" w:rsidR="00E53EB6" w:rsidRDefault="006500F5">
      <w:pPr>
        <w:pStyle w:val="Zitat"/>
        <w:autoSpaceDE w:val="0"/>
        <w:rPr>
          <w:lang w:eastAsia="hi-IN"/>
        </w:rPr>
      </w:pPr>
      <w:r>
        <w:rPr>
          <w:rFonts w:cs="Devanagari MT;Times New Roman"/>
          <w:i/>
          <w:iCs/>
          <w:lang w:eastAsia="hi-IN"/>
        </w:rPr>
        <w:t>vivāsa:</w:t>
      </w:r>
      <w:r>
        <w:rPr>
          <w:rFonts w:cs="Devanagari MT;Times New Roman"/>
          <w:lang w:eastAsia="hi-IN"/>
        </w:rPr>
        <w:t xml:space="preserve"> impv. pres. 2</w:t>
      </w:r>
      <w:r>
        <w:rPr>
          <w:rFonts w:cs="Devanagari MT;Times New Roman"/>
          <w:vertAlign w:val="superscript"/>
          <w:lang w:eastAsia="hi-IN"/>
        </w:rPr>
        <w:t>nd</w:t>
      </w:r>
      <w:r>
        <w:rPr>
          <w:rFonts w:cs="Devanagari MT;Times New Roman"/>
          <w:lang w:eastAsia="hi-IN"/>
        </w:rPr>
        <w:t xml:space="preserve"> sing. I cl., </w:t>
      </w:r>
      <w:r>
        <w:rPr>
          <w:lang w:eastAsia="hi-IN"/>
        </w:rPr>
        <w:t xml:space="preserve">from desiderative stem </w:t>
      </w:r>
      <w:r>
        <w:rPr>
          <w:i/>
          <w:iCs/>
          <w:lang w:eastAsia="hi-IN"/>
        </w:rPr>
        <w:t>vivās</w:t>
      </w:r>
    </w:p>
    <w:p w14:paraId="419D8FEE" w14:textId="77777777" w:rsidR="00E53EB6" w:rsidRDefault="006500F5">
      <w:pPr>
        <w:pStyle w:val="ZitatmitEinzug"/>
        <w:rPr>
          <w:rFonts w:cs="Devanagari MT;Times New Roman"/>
        </w:rPr>
      </w:pPr>
      <w:r>
        <w:rPr>
          <w:rStyle w:val="biblio-authorGEN"/>
          <w:rFonts w:cs="Devanagari MT;Times New Roman"/>
          <w:sz w:val="18"/>
          <w:szCs w:val="15"/>
        </w:rPr>
        <w:t>Geldner</w:t>
      </w:r>
      <w:r>
        <w:rPr>
          <w:rFonts w:cs="Devanagari MT;Times New Roman"/>
        </w:rPr>
        <w:t xml:space="preserve">: II 86 “bitte her”  </w:t>
      </w:r>
    </w:p>
    <w:p w14:paraId="54A7761A" w14:textId="77777777" w:rsidR="00E53EB6" w:rsidRDefault="006500F5">
      <w:pPr>
        <w:pStyle w:val="HaupttextnachZitat"/>
      </w:pPr>
      <w:r>
        <w:t>Vedic Web</w:t>
      </w:r>
    </w:p>
    <w:p w14:paraId="376A98B7" w14:textId="77777777" w:rsidR="00E53EB6" w:rsidRDefault="006500F5">
      <w:pPr>
        <w:pStyle w:val="HaupttextohneEinzug"/>
      </w:pPr>
      <w:r>
        <w:t xml:space="preserve">Mantra: </w:t>
      </w:r>
      <w:r>
        <w:rPr>
          <w:szCs w:val="21"/>
        </w:rPr>
        <w:t>R</w:t>
      </w:r>
      <w:r>
        <w:rPr>
          <w:rFonts w:eastAsia="Arial" w:cs="Devanagari MT;Times New Roman"/>
          <w:szCs w:val="21"/>
          <w:lang w:eastAsia="hi-IN" w:bidi="en-GB"/>
        </w:rPr>
        <w:t>̥</w:t>
      </w:r>
      <w:r>
        <w:rPr>
          <w:szCs w:val="21"/>
        </w:rPr>
        <w:t>V</w:t>
      </w:r>
      <w:r>
        <w:t xml:space="preserve"> 4.13.4 Vamadeva; 5.83.1 Atri.</w:t>
      </w:r>
    </w:p>
    <w:p w14:paraId="0F717315" w14:textId="77777777" w:rsidR="00E53EB6" w:rsidRDefault="00E53EB6">
      <w:pPr>
        <w:pStyle w:val="HaupttextohneEinzug"/>
        <w:rPr>
          <w:rFonts w:eastAsia="MS Mincho;ＭＳ 明朝"/>
          <w:lang w:eastAsia="hi-IN"/>
        </w:rPr>
      </w:pPr>
    </w:p>
    <w:p w14:paraId="0E58B4DD" w14:textId="77777777" w:rsidR="00E53EB6" w:rsidRDefault="006500F5">
      <w:pPr>
        <w:pStyle w:val="HaupttextohneEinzug"/>
      </w:pPr>
      <w:r>
        <w:t>Rite</w:t>
      </w:r>
    </w:p>
    <w:p w14:paraId="7C1F39A7" w14:textId="77777777" w:rsidR="00E53EB6" w:rsidRDefault="006500F5">
      <w:pPr>
        <w:pStyle w:val="HaupttextohneEinzug"/>
        <w:rPr>
          <w:szCs w:val="21"/>
        </w:rPr>
      </w:pPr>
      <w:r>
        <w:rPr>
          <w:rFonts w:eastAsia="Arial" w:cs="Times Ext Roman"/>
          <w:i/>
          <w:iCs/>
          <w:szCs w:val="21"/>
          <w:lang w:eastAsia="hi-IN" w:bidi="en-GB"/>
        </w:rPr>
        <w:t>Darśapūr</w:t>
      </w:r>
      <w:r>
        <w:rPr>
          <w:rFonts w:eastAsia="Arial" w:cs="Times Ext Roman"/>
          <w:i/>
          <w:iCs/>
          <w:szCs w:val="21"/>
          <w:lang w:eastAsia="hi-IN" w:bidi="en-GB"/>
        </w:rPr>
        <w:t>ṇ</w:t>
      </w:r>
      <w:r>
        <w:rPr>
          <w:rFonts w:eastAsia="Arial" w:cs="Times Ext Roman"/>
          <w:i/>
          <w:iCs/>
          <w:szCs w:val="21"/>
          <w:lang w:eastAsia="hi-IN" w:bidi="en-GB"/>
        </w:rPr>
        <w:t>amāse</w:t>
      </w:r>
      <w:r>
        <w:rPr>
          <w:rFonts w:eastAsia="Arial" w:cs="Times Ext Roman"/>
          <w:i/>
          <w:iCs/>
          <w:szCs w:val="21"/>
          <w:lang w:eastAsia="hi-IN" w:bidi="en-GB"/>
        </w:rPr>
        <w:t>ṣṭ</w:t>
      </w:r>
      <w:r>
        <w:rPr>
          <w:rFonts w:eastAsia="Arial" w:cs="Times Ext Roman"/>
          <w:i/>
          <w:iCs/>
          <w:szCs w:val="21"/>
          <w:lang w:eastAsia="hi-IN" w:bidi="en-GB"/>
        </w:rPr>
        <w:t>i.</w:t>
      </w:r>
      <w:r>
        <w:rPr>
          <w:rFonts w:eastAsia="Arial" w:cs="Times Ext Roman"/>
          <w:szCs w:val="21"/>
          <w:lang w:eastAsia="hi-IN" w:bidi="en-GB"/>
        </w:rPr>
        <w:t xml:space="preserve"> </w:t>
      </w:r>
      <w:r>
        <w:rPr>
          <w:rFonts w:eastAsia="Arial" w:cs="Times Ext Roman"/>
          <w:i/>
          <w:iCs/>
          <w:szCs w:val="21"/>
          <w:lang w:eastAsia="hi-IN" w:bidi="en-GB"/>
        </w:rPr>
        <w:t>Upahoma</w:t>
      </w:r>
      <w:r>
        <w:rPr>
          <w:rFonts w:eastAsia="Arial" w:cs="Times Ext Roman"/>
          <w:szCs w:val="21"/>
          <w:lang w:eastAsia="hi-IN" w:bidi="en-GB"/>
        </w:rPr>
        <w:t xml:space="preserve"> (subsidiary) </w:t>
      </w:r>
      <w:r>
        <w:rPr>
          <w:rFonts w:eastAsia="Arial" w:cs="Times Ext Roman"/>
          <w:i/>
          <w:iCs/>
          <w:szCs w:val="21"/>
          <w:lang w:eastAsia="hi-IN" w:bidi="en-GB"/>
        </w:rPr>
        <w:t>mantra</w:t>
      </w:r>
      <w:r>
        <w:rPr>
          <w:rFonts w:eastAsia="Arial" w:cs="Times Ext Roman"/>
          <w:szCs w:val="21"/>
          <w:lang w:eastAsia="hi-IN" w:bidi="en-GB"/>
        </w:rPr>
        <w:t>s addressed to Parjanya, an additional offering within the Mitravinde</w:t>
      </w:r>
      <w:r>
        <w:rPr>
          <w:rFonts w:eastAsia="Arial" w:cs="Times Ext Roman"/>
          <w:szCs w:val="21"/>
          <w:lang w:eastAsia="hi-IN" w:bidi="en-GB"/>
        </w:rPr>
        <w:t>ṣṭ</w:t>
      </w:r>
      <w:r>
        <w:rPr>
          <w:rFonts w:eastAsia="Arial" w:cs="Times Ext Roman"/>
          <w:szCs w:val="21"/>
          <w:lang w:eastAsia="hi-IN" w:bidi="en-GB"/>
        </w:rPr>
        <w:t>i; cf. ŚB 11.4.3 -where is explained the myth connected wit</w:t>
      </w:r>
      <w:r>
        <w:rPr>
          <w:rFonts w:eastAsia="Arial" w:cs="Times Ext Roman"/>
          <w:szCs w:val="21"/>
          <w:lang w:eastAsia="hi-IN" w:bidi="en-GB"/>
        </w:rPr>
        <w:t>h this rite, ŚB 11.4.3.20 “He finds Mitra, and his is the kingdom, he conquers the recurring death [...]”(trans. Eggeling) and cf. also Āp II 21.2; Keith’s Summary (</w:t>
      </w:r>
      <w:r>
        <w:rPr>
          <w:rStyle w:val="biblio-authorGEN"/>
          <w:rFonts w:eastAsia="Arial" w:cs="Times Ext Roman"/>
          <w:szCs w:val="21"/>
          <w:lang w:eastAsia="hi-IN" w:bidi="en-GB"/>
        </w:rPr>
        <w:t>Keith</w:t>
      </w:r>
      <w:r>
        <w:rPr>
          <w:rFonts w:eastAsia="Arial" w:cs="Times Ext Roman"/>
          <w:szCs w:val="21"/>
          <w:lang w:eastAsia="hi-IN" w:bidi="en-GB"/>
        </w:rPr>
        <w:t xml:space="preserve"> 1914: 76-77) and </w:t>
      </w:r>
      <w:r>
        <w:rPr>
          <w:rStyle w:val="biblio-authorGEN"/>
          <w:rFonts w:eastAsia="Arial" w:cs="Times Ext Roman"/>
          <w:szCs w:val="21"/>
          <w:lang w:eastAsia="hi-IN" w:bidi="en-GB"/>
        </w:rPr>
        <w:t>Mylius</w:t>
      </w:r>
      <w:r>
        <w:rPr>
          <w:rFonts w:eastAsia="Arial" w:cs="Times Ext Roman"/>
          <w:szCs w:val="21"/>
          <w:lang w:eastAsia="hi-IN" w:bidi="en-GB"/>
        </w:rPr>
        <w:t xml:space="preserve"> 1995: 51.</w:t>
      </w:r>
    </w:p>
    <w:p w14:paraId="54F3C4C9" w14:textId="77777777" w:rsidR="00E53EB6" w:rsidRDefault="00E53EB6">
      <w:pPr>
        <w:pStyle w:val="Hauptext"/>
        <w:ind w:firstLine="0"/>
      </w:pPr>
    </w:p>
    <w:p w14:paraId="26D13C72" w14:textId="77777777" w:rsidR="00E53EB6" w:rsidRDefault="006500F5">
      <w:pPr>
        <w:pStyle w:val="Heading5"/>
        <w:numPr>
          <w:ilvl w:val="4"/>
          <w:numId w:val="2"/>
        </w:numPr>
        <w:tabs>
          <w:tab w:val="left" w:pos="0"/>
        </w:tabs>
      </w:pPr>
      <w:r>
        <w:rPr>
          <w:u w:val="single"/>
        </w:rPr>
        <w:t xml:space="preserve">TB 2.4.6.2 </w:t>
      </w:r>
      <w:r>
        <w:tab/>
      </w:r>
      <w:r>
        <w:tab/>
      </w:r>
      <w:r>
        <w:tab/>
      </w:r>
      <w:r>
        <w:tab/>
      </w:r>
      <w:r>
        <w:tab/>
      </w:r>
      <w:r>
        <w:tab/>
      </w:r>
      <w:r>
        <w:tab/>
      </w:r>
      <w:r>
        <w:tab/>
      </w:r>
      <w:r>
        <w:tab/>
      </w:r>
    </w:p>
    <w:p w14:paraId="4408AAB2" w14:textId="77777777" w:rsidR="00E53EB6" w:rsidRDefault="006500F5">
      <w:pPr>
        <w:pStyle w:val="Zitat"/>
        <w:rPr>
          <w:i/>
          <w:iCs/>
        </w:rPr>
      </w:pPr>
      <w:r>
        <w:rPr>
          <w:rFonts w:eastAsia="MS Mincho;ＭＳ 明朝"/>
          <w:lang w:eastAsia="hi-IN"/>
        </w:rPr>
        <w:t>2.6.4.2</w:t>
      </w:r>
      <w:r>
        <w:rPr>
          <w:rFonts w:eastAsia="MS Mincho;ＭＳ 明朝"/>
          <w:i/>
          <w:iCs/>
          <w:lang w:eastAsia="hi-IN"/>
        </w:rPr>
        <w:t xml:space="preserve"> tád asya priyám abhí pā́tho aśyām / náro yátra devayávo mádanti / urukramásya sá hí bándhur itthā́ / ví</w:t>
      </w:r>
      <w:r>
        <w:rPr>
          <w:rFonts w:eastAsia="MS Mincho;ＭＳ 明朝"/>
          <w:i/>
          <w:iCs/>
          <w:lang w:eastAsia="hi-IN"/>
        </w:rPr>
        <w:t>ṣṇ</w:t>
      </w:r>
      <w:r>
        <w:rPr>
          <w:rFonts w:eastAsia="MS Mincho;ＭＳ 明朝"/>
          <w:i/>
          <w:iCs/>
          <w:lang w:eastAsia="hi-IN"/>
        </w:rPr>
        <w:t>o</w:t>
      </w:r>
      <w:r>
        <w:rPr>
          <w:rFonts w:eastAsia="MS Mincho;ＭＳ 明朝"/>
          <w:i/>
          <w:iCs/>
          <w:lang w:eastAsia="hi-IN"/>
        </w:rPr>
        <w:t>ḥ</w:t>
      </w:r>
      <w:r>
        <w:rPr>
          <w:rFonts w:eastAsia="MS Mincho;ＭＳ 明朝"/>
          <w:i/>
          <w:iCs/>
          <w:lang w:eastAsia="hi-IN"/>
        </w:rPr>
        <w:t xml:space="preserve"> padé paramé mádhva útsa</w:t>
      </w:r>
      <w:r>
        <w:rPr>
          <w:rFonts w:eastAsia="MS Mincho;ＭＳ 明朝"/>
          <w:i/>
          <w:iCs/>
          <w:lang w:eastAsia="hi-IN"/>
        </w:rPr>
        <w:t>ḥ</w:t>
      </w:r>
      <w:r>
        <w:rPr>
          <w:rStyle w:val="FootnoteAnchor"/>
          <w:rFonts w:eastAsia="MS Mincho;ＭＳ 明朝"/>
          <w:lang w:eastAsia="hi-IN"/>
        </w:rPr>
        <w:footnoteReference w:id="278"/>
      </w:r>
      <w:r>
        <w:rPr>
          <w:rFonts w:eastAsia="MS Mincho;ＭＳ 明朝"/>
          <w:i/>
          <w:iCs/>
          <w:lang w:eastAsia="hi-IN"/>
        </w:rPr>
        <w:t xml:space="preserve"> // kratvā dā́ asthu śré</w:t>
      </w:r>
      <w:r>
        <w:rPr>
          <w:rFonts w:eastAsia="MS Mincho;ＭＳ 明朝"/>
          <w:i/>
          <w:iCs/>
          <w:lang w:eastAsia="hi-IN"/>
        </w:rPr>
        <w:t>ṣṭ</w:t>
      </w:r>
      <w:r>
        <w:rPr>
          <w:rFonts w:eastAsia="MS Mincho;ＭＳ 明朝"/>
          <w:i/>
          <w:iCs/>
          <w:lang w:eastAsia="hi-IN"/>
        </w:rPr>
        <w:t>ha</w:t>
      </w:r>
      <w:r>
        <w:rPr>
          <w:rFonts w:eastAsia="MS Mincho;ＭＳ 明朝"/>
          <w:i/>
          <w:iCs/>
          <w:lang w:eastAsia="hi-IN"/>
        </w:rPr>
        <w:t>ḥ</w:t>
      </w:r>
      <w:r>
        <w:rPr>
          <w:rFonts w:eastAsia="MS Mincho;ＭＳ 明朝"/>
          <w:i/>
          <w:iCs/>
          <w:lang w:eastAsia="hi-IN"/>
        </w:rPr>
        <w:t xml:space="preserve"> / adyá tvā vanvánt surék</w:t>
      </w:r>
      <w:r>
        <w:rPr>
          <w:rFonts w:eastAsia="MS Mincho;ＭＳ 明朝"/>
          <w:i/>
          <w:iCs/>
          <w:lang w:eastAsia="hi-IN"/>
        </w:rPr>
        <w:t>ṇ</w:t>
      </w:r>
      <w:r>
        <w:rPr>
          <w:rFonts w:eastAsia="MS Mincho;ＭＳ 明朝"/>
          <w:i/>
          <w:iCs/>
          <w:lang w:eastAsia="hi-IN"/>
        </w:rPr>
        <w:t>ā</w:t>
      </w:r>
      <w:r>
        <w:rPr>
          <w:rFonts w:eastAsia="MS Mincho;ＭＳ 明朝"/>
          <w:i/>
          <w:iCs/>
          <w:lang w:eastAsia="hi-IN"/>
        </w:rPr>
        <w:t>ḥ</w:t>
      </w:r>
      <w:r>
        <w:rPr>
          <w:rFonts w:eastAsia="MS Mincho;ＭＳ 明朝"/>
          <w:i/>
          <w:iCs/>
          <w:lang w:eastAsia="hi-IN"/>
        </w:rPr>
        <w:t xml:space="preserve"> / márta ānāśa suvr</w:t>
      </w:r>
      <w:r>
        <w:rPr>
          <w:rFonts w:cs="Devanagari MT;Times New Roman"/>
          <w:lang w:eastAsia="hi-IN"/>
        </w:rPr>
        <w:t>̥</w:t>
      </w:r>
      <w:r>
        <w:rPr>
          <w:rFonts w:eastAsia="MS Mincho;ＭＳ 明朝"/>
          <w:i/>
          <w:iCs/>
          <w:lang w:eastAsia="hi-IN"/>
        </w:rPr>
        <w:t>ktím</w:t>
      </w:r>
      <w:r>
        <w:rPr>
          <w:rStyle w:val="FootnoteAnchor"/>
          <w:rFonts w:eastAsia="MS Mincho;ＭＳ 明朝"/>
          <w:lang w:eastAsia="hi-IN"/>
        </w:rPr>
        <w:footnoteReference w:id="279"/>
      </w:r>
      <w:r>
        <w:rPr>
          <w:rFonts w:eastAsia="MS Mincho;ＭＳ 明朝"/>
          <w:i/>
          <w:iCs/>
          <w:lang w:eastAsia="hi-IN"/>
        </w:rPr>
        <w:t xml:space="preserve"> // imā́ brahma brahmavāha / priyā́ ta</w:t>
      </w:r>
      <w:r>
        <w:rPr>
          <w:rFonts w:eastAsia="MS Mincho;ＭＳ 明朝"/>
          <w:i/>
          <w:iCs/>
          <w:lang w:eastAsia="hi-IN"/>
        </w:rPr>
        <w:t xml:space="preserve"> ā́ barhí</w:t>
      </w:r>
      <w:r>
        <w:rPr>
          <w:rFonts w:eastAsia="MS Mincho;ＭＳ 明朝"/>
          <w:i/>
          <w:iCs/>
          <w:lang w:eastAsia="hi-IN"/>
        </w:rPr>
        <w:t>ḥ</w:t>
      </w:r>
      <w:r>
        <w:rPr>
          <w:rFonts w:eastAsia="MS Mincho;ＭＳ 明朝"/>
          <w:i/>
          <w:iCs/>
          <w:lang w:eastAsia="hi-IN"/>
        </w:rPr>
        <w:t xml:space="preserve"> sīda /  vīhí sūra puro</w:t>
      </w:r>
      <w:r>
        <w:rPr>
          <w:rFonts w:eastAsia="MS Mincho;ＭＳ 明朝"/>
          <w:i/>
          <w:iCs/>
          <w:lang w:eastAsia="hi-IN"/>
        </w:rPr>
        <w:t>ḍ</w:t>
      </w:r>
      <w:r>
        <w:rPr>
          <w:rFonts w:eastAsia="MS Mincho;ＭＳ 明朝"/>
          <w:i/>
          <w:iCs/>
          <w:lang w:eastAsia="hi-IN"/>
        </w:rPr>
        <w:t>ā́śam //</w:t>
      </w:r>
    </w:p>
    <w:p w14:paraId="1B893ADE" w14:textId="77777777" w:rsidR="00E53EB6" w:rsidRDefault="006500F5">
      <w:pPr>
        <w:pStyle w:val="Zitat"/>
      </w:pPr>
      <w:r>
        <w:rPr>
          <w:rFonts w:eastAsia="MS Mincho;ＭＳ 明朝"/>
          <w:lang w:eastAsia="hi-IN"/>
        </w:rPr>
        <w:t>May I, a man, attain this agreeable place of him, where men are exhilarated; for this is the true connection of Vi</w:t>
      </w:r>
      <w:r>
        <w:rPr>
          <w:rFonts w:eastAsia="MS Mincho;ＭＳ 明朝"/>
          <w:lang w:eastAsia="hi-IN"/>
        </w:rPr>
        <w:t>ṣṇ</w:t>
      </w:r>
      <w:r>
        <w:rPr>
          <w:rFonts w:eastAsia="MS Mincho;ＭＳ 明朝"/>
          <w:lang w:eastAsia="hi-IN"/>
        </w:rPr>
        <w:t>u of wide steps, a fountain of sweet in the foremost step; the giver should be</w:t>
      </w:r>
      <w:r>
        <w:rPr>
          <w:rStyle w:val="FootnoteAnchor"/>
          <w:rFonts w:eastAsia="MS Mincho;ＭＳ 明朝"/>
          <w:lang w:eastAsia="hi-IN"/>
        </w:rPr>
        <w:footnoteReference w:id="280"/>
      </w:r>
      <w:r>
        <w:rPr>
          <w:rFonts w:eastAsia="MS Mincho;ＭＳ 明朝"/>
          <w:lang w:eastAsia="hi-IN"/>
        </w:rPr>
        <w:t xml:space="preserve"> the best here du</w:t>
      </w:r>
      <w:r>
        <w:rPr>
          <w:rFonts w:eastAsia="MS Mincho;ＭＳ 明朝"/>
          <w:lang w:eastAsia="hi-IN"/>
        </w:rPr>
        <w:t xml:space="preserve">e to his skills, the mortal, rich in possession, </w:t>
      </w:r>
      <w:r>
        <w:rPr>
          <w:rFonts w:eastAsia="MS Mincho;ＭＳ 明朝"/>
          <w:u w:val="single"/>
          <w:lang w:eastAsia="hi-IN"/>
        </w:rPr>
        <w:t>appropriating</w:t>
      </w:r>
      <w:r>
        <w:rPr>
          <w:rFonts w:eastAsia="MS Mincho;ＭＳ 明朝"/>
          <w:lang w:eastAsia="hi-IN"/>
        </w:rPr>
        <w:t xml:space="preserve"> you, has gained an excellent praise. The formulas, o you to whom the sacrificial formulas are offered, be dear to you, sit on the sacrificial grass, crave for</w:t>
      </w:r>
      <w:r>
        <w:rPr>
          <w:rStyle w:val="FootnoteAnchor"/>
          <w:rFonts w:eastAsia="MS Mincho;ＭＳ 明朝"/>
          <w:lang w:eastAsia="hi-IN"/>
        </w:rPr>
        <w:footnoteReference w:id="281"/>
      </w:r>
      <w:r>
        <w:rPr>
          <w:rFonts w:eastAsia="MS Mincho;ＭＳ 明朝"/>
          <w:lang w:eastAsia="hi-IN"/>
        </w:rPr>
        <w:t xml:space="preserve"> the sacrificial cake.</w:t>
      </w:r>
    </w:p>
    <w:p w14:paraId="7AA42612" w14:textId="77777777" w:rsidR="00E53EB6" w:rsidRPr="00B80C6B" w:rsidRDefault="006500F5">
      <w:pPr>
        <w:pStyle w:val="Zitat"/>
        <w:rPr>
          <w:i/>
          <w:iCs/>
          <w:lang w:val="de-DE"/>
        </w:rPr>
      </w:pPr>
      <w:r>
        <w:rPr>
          <w:rFonts w:eastAsia="MS Mincho;ＭＳ 明朝"/>
          <w:i/>
          <w:iCs/>
          <w:lang w:eastAsia="hi-IN"/>
        </w:rPr>
        <w:t>vanvánt:</w:t>
      </w:r>
      <w:r>
        <w:rPr>
          <w:rFonts w:eastAsia="MS Mincho;ＭＳ 明朝"/>
          <w:lang w:eastAsia="hi-IN"/>
        </w:rPr>
        <w:t xml:space="preserve"> p</w:t>
      </w:r>
      <w:r>
        <w:rPr>
          <w:rFonts w:eastAsia="MS Mincho;ＭＳ 明朝"/>
          <w:lang w:eastAsia="hi-IN"/>
        </w:rPr>
        <w:t xml:space="preserve">art. pres. nom. masc. sing. </w:t>
      </w:r>
      <w:r w:rsidRPr="00B80C6B">
        <w:rPr>
          <w:rFonts w:eastAsia="MS Mincho;ＭＳ 明朝"/>
          <w:lang w:val="de-DE" w:eastAsia="hi-IN"/>
        </w:rPr>
        <w:t>VIII cl.</w:t>
      </w:r>
    </w:p>
    <w:p w14:paraId="06556F10" w14:textId="77777777" w:rsidR="00E53EB6" w:rsidRPr="00B80C6B" w:rsidRDefault="006500F5">
      <w:pPr>
        <w:pStyle w:val="ZitatmitEinzug"/>
        <w:rPr>
          <w:rFonts w:eastAsia="MS Mincho;ＭＳ 明朝"/>
          <w:lang w:val="de-DE" w:eastAsia="hi-IN"/>
        </w:rPr>
      </w:pPr>
      <w:r w:rsidRPr="00B80C6B">
        <w:rPr>
          <w:rStyle w:val="biblio-authorGEN"/>
          <w:rFonts w:eastAsia="MS Mincho;ＭＳ 明朝"/>
          <w:sz w:val="18"/>
          <w:szCs w:val="15"/>
          <w:lang w:val="de-DE" w:eastAsia="hi-IN"/>
        </w:rPr>
        <w:t>Geldner</w:t>
      </w:r>
      <w:r w:rsidRPr="00B80C6B">
        <w:rPr>
          <w:rFonts w:eastAsia="MS Mincho;ＭＳ 明朝"/>
          <w:lang w:val="de-DE" w:eastAsia="hi-IN"/>
        </w:rPr>
        <w:t>: II 111 “der […] gewinnt”</w:t>
      </w:r>
    </w:p>
    <w:p w14:paraId="1692694B" w14:textId="77777777" w:rsidR="00E53EB6" w:rsidRPr="00B80C6B" w:rsidRDefault="006500F5">
      <w:pPr>
        <w:pStyle w:val="ZitatmitEinzug"/>
        <w:rPr>
          <w:rFonts w:eastAsia="MS Mincho;ＭＳ 明朝"/>
          <w:lang w:val="de-DE" w:eastAsia="hi-IN"/>
        </w:rPr>
      </w:pPr>
      <w:r w:rsidRPr="00B80C6B">
        <w:rPr>
          <w:rStyle w:val="biblio-authorGEN"/>
          <w:rFonts w:eastAsia="MS Mincho;ＭＳ 明朝"/>
          <w:sz w:val="18"/>
          <w:szCs w:val="15"/>
          <w:lang w:val="de-DE" w:eastAsia="hi-IN"/>
        </w:rPr>
        <w:t>Renou</w:t>
      </w:r>
      <w:r w:rsidRPr="00B80C6B">
        <w:rPr>
          <w:rFonts w:eastAsia="MS Mincho;ＭＳ 明朝"/>
          <w:lang w:val="de-DE" w:eastAsia="hi-IN"/>
        </w:rPr>
        <w:t>: XIII 50 “gagnant”</w:t>
      </w:r>
    </w:p>
    <w:p w14:paraId="09DE29BB" w14:textId="77777777" w:rsidR="00E53EB6" w:rsidRPr="00B80C6B" w:rsidRDefault="006500F5">
      <w:pPr>
        <w:pStyle w:val="HaupttextnachZitat"/>
        <w:rPr>
          <w:lang w:val="de-DE"/>
        </w:rPr>
      </w:pPr>
      <w:r w:rsidRPr="00B80C6B">
        <w:rPr>
          <w:lang w:val="de-DE"/>
        </w:rPr>
        <w:t>Vedic Web</w:t>
      </w:r>
    </w:p>
    <w:p w14:paraId="2AF3A95A" w14:textId="77777777" w:rsidR="00E53EB6" w:rsidRPr="00B80C6B" w:rsidRDefault="006500F5">
      <w:pPr>
        <w:pStyle w:val="HaupttextohneEinzug"/>
        <w:rPr>
          <w:rFonts w:eastAsia="MS Mincho;ＭＳ 明朝"/>
          <w:lang w:val="de-DE" w:eastAsia="hi-IN"/>
        </w:rPr>
      </w:pPr>
      <w:r w:rsidRPr="00B80C6B">
        <w:rPr>
          <w:rFonts w:eastAsia="MS Mincho;ＭＳ 明朝"/>
          <w:lang w:val="de-DE" w:eastAsia="hi-IN"/>
        </w:rPr>
        <w:t xml:space="preserve">Mantra: </w:t>
      </w:r>
      <w:r w:rsidRPr="00B80C6B">
        <w:rPr>
          <w:rFonts w:eastAsia="MS Mincho;ＭＳ 明朝"/>
          <w:szCs w:val="21"/>
          <w:lang w:val="de-DE" w:eastAsia="hi-IN"/>
        </w:rPr>
        <w:t>R</w:t>
      </w:r>
      <w:r w:rsidRPr="00B80C6B">
        <w:rPr>
          <w:rFonts w:eastAsia="Arial" w:cs="Devanagari MT;Times New Roman"/>
          <w:szCs w:val="21"/>
          <w:lang w:val="de-DE" w:eastAsia="hi-IN" w:bidi="en-GB"/>
        </w:rPr>
        <w:t>̥</w:t>
      </w:r>
      <w:r w:rsidRPr="00B80C6B">
        <w:rPr>
          <w:rFonts w:eastAsia="MS Mincho;ＭＳ 明朝"/>
          <w:szCs w:val="21"/>
          <w:lang w:val="de-DE" w:eastAsia="hi-IN"/>
        </w:rPr>
        <w:t>V</w:t>
      </w:r>
      <w:r w:rsidRPr="00B80C6B">
        <w:rPr>
          <w:rFonts w:eastAsia="MS Mincho;ＭＳ 明朝"/>
          <w:lang w:val="de-DE" w:eastAsia="hi-IN"/>
        </w:rPr>
        <w:t xml:space="preserve"> 1.154.5 Dīrghatamas (</w:t>
      </w:r>
      <w:r w:rsidRPr="00B80C6B">
        <w:rPr>
          <w:rFonts w:eastAsia="MS Mincho;ＭＳ 明朝"/>
          <w:i/>
          <w:iCs/>
          <w:lang w:val="de-DE" w:eastAsia="hi-IN"/>
        </w:rPr>
        <w:t xml:space="preserve">devatatā </w:t>
      </w:r>
      <w:r w:rsidRPr="00B80C6B">
        <w:rPr>
          <w:rFonts w:eastAsia="MS Mincho;ＭＳ 明朝"/>
          <w:lang w:val="de-DE" w:eastAsia="hi-IN"/>
        </w:rPr>
        <w:t>Vi</w:t>
      </w:r>
      <w:r w:rsidRPr="00B80C6B">
        <w:rPr>
          <w:rFonts w:eastAsia="MS Mincho;ＭＳ 明朝"/>
          <w:lang w:val="de-DE" w:eastAsia="hi-IN"/>
        </w:rPr>
        <w:t>ṣṇ</w:t>
      </w:r>
      <w:r w:rsidRPr="00B80C6B">
        <w:rPr>
          <w:rFonts w:eastAsia="MS Mincho;ＭＳ 明朝"/>
          <w:lang w:val="de-DE" w:eastAsia="hi-IN"/>
        </w:rPr>
        <w:t>u); 6.16.26 Bharadvāja (</w:t>
      </w:r>
      <w:r w:rsidRPr="00B80C6B">
        <w:rPr>
          <w:rFonts w:eastAsia="MS Mincho;ＭＳ 明朝"/>
          <w:i/>
          <w:iCs/>
          <w:lang w:val="de-DE" w:eastAsia="hi-IN"/>
        </w:rPr>
        <w:t xml:space="preserve">devatatā </w:t>
      </w:r>
      <w:r w:rsidRPr="00B80C6B">
        <w:rPr>
          <w:rFonts w:eastAsia="MS Mincho;ＭＳ 明朝"/>
          <w:lang w:val="de-DE" w:eastAsia="hi-IN"/>
        </w:rPr>
        <w:t xml:space="preserve">Agni).  </w:t>
      </w:r>
    </w:p>
    <w:p w14:paraId="60B4A0EF" w14:textId="77777777" w:rsidR="00E53EB6" w:rsidRPr="00B80C6B" w:rsidRDefault="00E53EB6">
      <w:pPr>
        <w:pStyle w:val="HaupttextohneEinzug"/>
        <w:rPr>
          <w:rFonts w:eastAsia="MS Mincho;ＭＳ 明朝"/>
          <w:lang w:val="de-DE" w:eastAsia="hi-IN"/>
        </w:rPr>
      </w:pPr>
    </w:p>
    <w:p w14:paraId="0C8ED65B" w14:textId="77777777" w:rsidR="00E53EB6" w:rsidRDefault="006500F5">
      <w:pPr>
        <w:pStyle w:val="HaupttextohneEinzug"/>
        <w:rPr>
          <w:rFonts w:eastAsia="MS Mincho;ＭＳ 明朝"/>
          <w:lang w:eastAsia="hi-IN"/>
        </w:rPr>
      </w:pPr>
      <w:r>
        <w:rPr>
          <w:rFonts w:eastAsia="MS Mincho;ＭＳ 明朝"/>
          <w:lang w:eastAsia="hi-IN"/>
        </w:rPr>
        <w:t>Rite</w:t>
      </w:r>
    </w:p>
    <w:p w14:paraId="5EC21941" w14:textId="77777777" w:rsidR="00E53EB6" w:rsidRDefault="006500F5">
      <w:pPr>
        <w:pStyle w:val="HaupttextohneEinzug"/>
        <w:rPr>
          <w:rFonts w:eastAsia="MS Mincho;ＭＳ 明朝"/>
          <w:szCs w:val="21"/>
          <w:lang w:eastAsia="hi-IN"/>
        </w:rPr>
      </w:pPr>
      <w:r>
        <w:rPr>
          <w:rFonts w:eastAsia="Arial" w:cs="Times Ext Roman"/>
          <w:i/>
          <w:iCs/>
          <w:szCs w:val="21"/>
          <w:lang w:eastAsia="hi-IN" w:bidi="en-GB"/>
        </w:rPr>
        <w:t>Darśapūr</w:t>
      </w:r>
      <w:r>
        <w:rPr>
          <w:rFonts w:eastAsia="Arial" w:cs="Times Ext Roman"/>
          <w:i/>
          <w:iCs/>
          <w:szCs w:val="21"/>
          <w:lang w:eastAsia="hi-IN" w:bidi="en-GB"/>
        </w:rPr>
        <w:t>ṇ</w:t>
      </w:r>
      <w:r>
        <w:rPr>
          <w:rFonts w:eastAsia="Arial" w:cs="Times Ext Roman"/>
          <w:i/>
          <w:iCs/>
          <w:szCs w:val="21"/>
          <w:lang w:eastAsia="hi-IN" w:bidi="en-GB"/>
        </w:rPr>
        <w:t>amāse</w:t>
      </w:r>
      <w:r>
        <w:rPr>
          <w:rFonts w:eastAsia="Arial" w:cs="Times Ext Roman"/>
          <w:i/>
          <w:iCs/>
          <w:szCs w:val="21"/>
          <w:lang w:eastAsia="hi-IN" w:bidi="en-GB"/>
        </w:rPr>
        <w:t>ṣṭ</w:t>
      </w:r>
      <w:r>
        <w:rPr>
          <w:rFonts w:eastAsia="Arial" w:cs="Times Ext Roman"/>
          <w:i/>
          <w:iCs/>
          <w:szCs w:val="21"/>
          <w:lang w:eastAsia="hi-IN" w:bidi="en-GB"/>
        </w:rPr>
        <w:t>i</w:t>
      </w:r>
      <w:r>
        <w:rPr>
          <w:rFonts w:eastAsia="Arial" w:cs="Times Ext Roman"/>
          <w:szCs w:val="21"/>
          <w:lang w:eastAsia="hi-IN" w:bidi="en-GB"/>
        </w:rPr>
        <w:t xml:space="preserve">. </w:t>
      </w:r>
      <w:r>
        <w:rPr>
          <w:rFonts w:eastAsia="Arial" w:cs="Times Ext Roman"/>
          <w:i/>
          <w:iCs/>
          <w:szCs w:val="21"/>
          <w:lang w:eastAsia="hi-IN" w:bidi="en-GB"/>
        </w:rPr>
        <w:t>Upahoma</w:t>
      </w:r>
      <w:r>
        <w:rPr>
          <w:rFonts w:eastAsia="Arial" w:cs="Times Ext Roman"/>
          <w:szCs w:val="21"/>
          <w:lang w:eastAsia="hi-IN" w:bidi="en-GB"/>
        </w:rPr>
        <w:t xml:space="preserve"> (subsidiary) </w:t>
      </w:r>
      <w:r>
        <w:rPr>
          <w:rFonts w:eastAsia="Arial" w:cs="Times Ext Roman"/>
          <w:i/>
          <w:iCs/>
          <w:szCs w:val="21"/>
          <w:lang w:eastAsia="hi-IN" w:bidi="en-GB"/>
        </w:rPr>
        <w:t>mantra</w:t>
      </w:r>
      <w:r>
        <w:rPr>
          <w:rFonts w:eastAsia="Arial" w:cs="Times Ext Roman"/>
          <w:szCs w:val="21"/>
          <w:lang w:eastAsia="hi-IN" w:bidi="en-GB"/>
        </w:rPr>
        <w:t xml:space="preserve">s </w:t>
      </w:r>
      <w:r>
        <w:rPr>
          <w:rFonts w:eastAsia="Arial" w:cs="Times Ext Roman"/>
          <w:szCs w:val="21"/>
          <w:lang w:eastAsia="hi-IN" w:bidi="en-GB"/>
        </w:rPr>
        <w:t>addressed to Vi</w:t>
      </w:r>
      <w:r>
        <w:rPr>
          <w:rFonts w:eastAsia="Arial" w:cs="Times Ext Roman"/>
          <w:szCs w:val="21"/>
          <w:lang w:eastAsia="hi-IN" w:bidi="en-GB"/>
        </w:rPr>
        <w:t>ṣṇ</w:t>
      </w:r>
      <w:r>
        <w:rPr>
          <w:rFonts w:eastAsia="Arial" w:cs="Times Ext Roman"/>
          <w:szCs w:val="21"/>
          <w:lang w:eastAsia="hi-IN" w:bidi="en-GB"/>
        </w:rPr>
        <w:t>u, an additional offering within the Mitravinde</w:t>
      </w:r>
      <w:r>
        <w:rPr>
          <w:rFonts w:eastAsia="Arial" w:cs="Times Ext Roman"/>
          <w:szCs w:val="21"/>
          <w:lang w:eastAsia="hi-IN" w:bidi="en-GB"/>
        </w:rPr>
        <w:t>ṣṭ</w:t>
      </w:r>
      <w:r>
        <w:rPr>
          <w:rFonts w:eastAsia="Arial" w:cs="Times Ext Roman"/>
          <w:szCs w:val="21"/>
          <w:lang w:eastAsia="hi-IN" w:bidi="en-GB"/>
        </w:rPr>
        <w:t xml:space="preserve">i; cf. ŚB 11.4.3 -where is explained the myth connected with this rite, ŚB 11.4.3.20 “He finds Mitra, and his is the kingdom, he conquers the recurring death [...]”(trans. Eggeling) and cf. </w:t>
      </w:r>
      <w:r>
        <w:rPr>
          <w:rFonts w:eastAsia="Arial" w:cs="Times Ext Roman"/>
          <w:szCs w:val="21"/>
          <w:lang w:eastAsia="hi-IN" w:bidi="en-GB"/>
        </w:rPr>
        <w:t>also Āp II 21.2; Keith’s Summary (</w:t>
      </w:r>
      <w:r>
        <w:rPr>
          <w:rStyle w:val="biblio-authorGEN"/>
          <w:rFonts w:eastAsia="Arial" w:cs="Times Ext Roman"/>
          <w:szCs w:val="21"/>
          <w:lang w:eastAsia="hi-IN" w:bidi="en-GB"/>
        </w:rPr>
        <w:t>Keith</w:t>
      </w:r>
      <w:r>
        <w:rPr>
          <w:rFonts w:eastAsia="Arial" w:cs="Times Ext Roman"/>
          <w:szCs w:val="21"/>
          <w:lang w:eastAsia="hi-IN" w:bidi="en-GB"/>
        </w:rPr>
        <w:t xml:space="preserve"> 1914: 76-77) and </w:t>
      </w:r>
      <w:r>
        <w:rPr>
          <w:rStyle w:val="biblio-authorGEN"/>
          <w:rFonts w:eastAsia="Arial" w:cs="Times Ext Roman"/>
          <w:szCs w:val="21"/>
          <w:lang w:eastAsia="hi-IN" w:bidi="en-GB"/>
        </w:rPr>
        <w:t>Mylius</w:t>
      </w:r>
      <w:r>
        <w:rPr>
          <w:rFonts w:eastAsia="Arial" w:cs="Times Ext Roman"/>
          <w:szCs w:val="21"/>
          <w:lang w:eastAsia="hi-IN" w:bidi="en-GB"/>
        </w:rPr>
        <w:t xml:space="preserve"> 1995: 51.</w:t>
      </w:r>
    </w:p>
    <w:p w14:paraId="574FB54B" w14:textId="77777777" w:rsidR="00E53EB6" w:rsidRDefault="00E53EB6">
      <w:pPr>
        <w:pStyle w:val="HaupttextohneEinzug"/>
        <w:rPr>
          <w:rFonts w:eastAsia="Arial" w:cs="Times Ext Roman"/>
          <w:sz w:val="22"/>
          <w:szCs w:val="22"/>
          <w:lang w:eastAsia="hi-IN" w:bidi="en-GB"/>
        </w:rPr>
      </w:pPr>
    </w:p>
    <w:p w14:paraId="27EAE08E" w14:textId="77777777" w:rsidR="00E53EB6" w:rsidRDefault="006500F5">
      <w:pPr>
        <w:pStyle w:val="Heading5"/>
        <w:tabs>
          <w:tab w:val="left" w:pos="0"/>
        </w:tabs>
      </w:pPr>
      <w:r>
        <w:rPr>
          <w:rFonts w:eastAsia="Arial" w:cs="Times Ext Roman"/>
          <w:sz w:val="22"/>
          <w:szCs w:val="22"/>
          <w:u w:val="single"/>
          <w:lang w:bidi="en-GB"/>
        </w:rPr>
        <w:t>TB 2.4.8.1</w:t>
      </w:r>
      <w:r>
        <w:rPr>
          <w:rFonts w:eastAsia="Arial" w:cs="Times Ext Roman"/>
          <w:sz w:val="22"/>
          <w:szCs w:val="22"/>
          <w:lang w:bidi="en-GB"/>
        </w:rPr>
        <w:tab/>
      </w:r>
      <w:r>
        <w:rPr>
          <w:rFonts w:eastAsia="Arial" w:cs="Times Ext Roman"/>
          <w:sz w:val="22"/>
          <w:szCs w:val="22"/>
          <w:lang w:bidi="en-GB"/>
        </w:rPr>
        <w:tab/>
      </w:r>
      <w:r>
        <w:rPr>
          <w:rFonts w:eastAsia="Arial" w:cs="Times Ext Roman"/>
          <w:sz w:val="22"/>
          <w:szCs w:val="22"/>
          <w:lang w:bidi="en-GB"/>
        </w:rPr>
        <w:tab/>
      </w:r>
      <w:r>
        <w:rPr>
          <w:rFonts w:eastAsia="Arial" w:cs="Times Ext Roman"/>
          <w:sz w:val="22"/>
          <w:szCs w:val="22"/>
          <w:lang w:bidi="en-GB"/>
        </w:rPr>
        <w:tab/>
      </w:r>
      <w:r>
        <w:rPr>
          <w:rFonts w:eastAsia="Arial" w:cs="Times Ext Roman"/>
          <w:sz w:val="22"/>
          <w:szCs w:val="22"/>
          <w:lang w:bidi="en-GB"/>
        </w:rPr>
        <w:tab/>
      </w:r>
      <w:r>
        <w:rPr>
          <w:rFonts w:eastAsia="Arial" w:cs="Times Ext Roman"/>
          <w:sz w:val="22"/>
          <w:szCs w:val="22"/>
          <w:lang w:bidi="en-GB"/>
        </w:rPr>
        <w:tab/>
      </w:r>
      <w:r>
        <w:rPr>
          <w:rFonts w:eastAsia="Arial" w:cs="Times Ext Roman"/>
          <w:sz w:val="22"/>
          <w:szCs w:val="22"/>
          <w:lang w:bidi="en-GB"/>
        </w:rPr>
        <w:tab/>
      </w:r>
      <w:r>
        <w:rPr>
          <w:rFonts w:eastAsia="Arial" w:cs="Times Ext Roman"/>
          <w:sz w:val="22"/>
          <w:szCs w:val="22"/>
          <w:lang w:bidi="en-GB"/>
        </w:rPr>
        <w:tab/>
      </w:r>
    </w:p>
    <w:p w14:paraId="78B5670C" w14:textId="77777777" w:rsidR="00E53EB6" w:rsidRDefault="006500F5">
      <w:pPr>
        <w:pStyle w:val="Zitat"/>
        <w:numPr>
          <w:ilvl w:val="2"/>
          <w:numId w:val="2"/>
        </w:numPr>
        <w:tabs>
          <w:tab w:val="left" w:pos="260"/>
        </w:tabs>
        <w:ind w:left="260"/>
      </w:pPr>
      <w:r>
        <w:t xml:space="preserve">2.4.8.1 </w:t>
      </w:r>
      <w:r>
        <w:rPr>
          <w:i/>
          <w:iCs/>
        </w:rPr>
        <w:t>sá pratnaván návīyasā / ágne dyumnéna sa</w:t>
      </w:r>
      <w:r>
        <w:rPr>
          <w:i/>
          <w:iCs/>
        </w:rPr>
        <w:t>ṃ</w:t>
      </w:r>
      <w:r>
        <w:rPr>
          <w:i/>
          <w:iCs/>
        </w:rPr>
        <w:t>yátā / br</w:t>
      </w:r>
      <w:r>
        <w:rPr>
          <w:rFonts w:cs="Devanagari MT;Times New Roman"/>
          <w:lang w:eastAsia="hi-IN"/>
        </w:rPr>
        <w:t>̥</w:t>
      </w:r>
      <w:r>
        <w:rPr>
          <w:i/>
          <w:iCs/>
        </w:rPr>
        <w:t>hát tanantha bhānúnā</w:t>
      </w:r>
      <w:r>
        <w:rPr>
          <w:rStyle w:val="FootnoteAnchor"/>
          <w:i/>
          <w:iCs/>
        </w:rPr>
        <w:footnoteReference w:id="282"/>
      </w:r>
      <w:r>
        <w:rPr>
          <w:i/>
          <w:iCs/>
        </w:rPr>
        <w:t xml:space="preserve"> / náva</w:t>
      </w:r>
      <w:r>
        <w:rPr>
          <w:i/>
          <w:iCs/>
        </w:rPr>
        <w:t>ṃ</w:t>
      </w:r>
      <w:r>
        <w:rPr>
          <w:i/>
          <w:iCs/>
        </w:rPr>
        <w:t xml:space="preserve"> nú stómam agnáye / divá</w:t>
      </w:r>
      <w:r>
        <w:rPr>
          <w:i/>
          <w:iCs/>
        </w:rPr>
        <w:t>ḥ</w:t>
      </w:r>
      <w:r>
        <w:rPr>
          <w:i/>
          <w:iCs/>
        </w:rPr>
        <w:t xml:space="preserve"> śyenā́ya jījanam / váso</w:t>
      </w:r>
      <w:r>
        <w:rPr>
          <w:i/>
          <w:iCs/>
        </w:rPr>
        <w:t>ḥ</w:t>
      </w:r>
      <w:r>
        <w:rPr>
          <w:i/>
          <w:iCs/>
        </w:rPr>
        <w:t xml:space="preserve"> kuvíd vanā́ti na</w:t>
      </w:r>
      <w:r>
        <w:rPr>
          <w:i/>
          <w:iCs/>
        </w:rPr>
        <w:t>ḥ</w:t>
      </w:r>
      <w:r>
        <w:rPr>
          <w:rStyle w:val="FootnoteAnchor"/>
          <w:i/>
          <w:iCs/>
        </w:rPr>
        <w:footnoteReference w:id="283"/>
      </w:r>
      <w:r>
        <w:rPr>
          <w:i/>
          <w:iCs/>
        </w:rPr>
        <w:t xml:space="preserve"> / svāruhā́ yásya śríyo dr</w:t>
      </w:r>
      <w:r>
        <w:rPr>
          <w:rFonts w:cs="Devanagari MT;Times New Roman"/>
          <w:lang w:eastAsia="hi-IN"/>
        </w:rPr>
        <w:t>̥</w:t>
      </w:r>
      <w:r>
        <w:rPr>
          <w:i/>
          <w:iCs/>
        </w:rPr>
        <w:t>śé /  rayír vīrávato yathā / ágre yajñásya cétata</w:t>
      </w:r>
      <w:r>
        <w:rPr>
          <w:i/>
          <w:iCs/>
        </w:rPr>
        <w:t>ḥ</w:t>
      </w:r>
      <w:r>
        <w:rPr>
          <w:i/>
          <w:iCs/>
        </w:rPr>
        <w:t xml:space="preserve"> // </w:t>
      </w:r>
    </w:p>
    <w:p w14:paraId="623F31CA" w14:textId="77777777" w:rsidR="00E53EB6" w:rsidRDefault="006500F5">
      <w:pPr>
        <w:pStyle w:val="Zitat"/>
      </w:pPr>
      <w:r>
        <w:t>Indeed</w:t>
      </w:r>
      <w:r>
        <w:rPr>
          <w:rStyle w:val="FootnoteAnchor"/>
        </w:rPr>
        <w:footnoteReference w:id="284"/>
      </w:r>
      <w:r>
        <w:t xml:space="preserve">, o Agni, as formerly, with a new splendour tied together, you have stretched out high, </w:t>
      </w:r>
      <w:r>
        <w:t>with brightness; I want</w:t>
      </w:r>
      <w:r>
        <w:rPr>
          <w:rStyle w:val="FootnoteAnchor"/>
        </w:rPr>
        <w:footnoteReference w:id="285"/>
      </w:r>
      <w:r>
        <w:t xml:space="preserve"> to create a new laud for Agni, the eagle</w:t>
      </w:r>
      <w:r>
        <w:rPr>
          <w:rStyle w:val="FootnoteAnchor"/>
        </w:rPr>
        <w:footnoteReference w:id="286"/>
      </w:r>
      <w:r>
        <w:t xml:space="preserve"> of the sky, may it </w:t>
      </w:r>
      <w:r>
        <w:rPr>
          <w:u w:val="single"/>
        </w:rPr>
        <w:t>appropriate</w:t>
      </w:r>
      <w:r>
        <w:t xml:space="preserve"> something good</w:t>
      </w:r>
      <w:r>
        <w:rPr>
          <w:rStyle w:val="FootnoteAnchor"/>
        </w:rPr>
        <w:footnoteReference w:id="287"/>
      </w:r>
      <w:r>
        <w:t xml:space="preserve"> for us; the firm rooted lights of this appearing sacrifice may become visible</w:t>
      </w:r>
      <w:r>
        <w:rPr>
          <w:rStyle w:val="FootnoteAnchor"/>
        </w:rPr>
        <w:footnoteReference w:id="288"/>
      </w:r>
      <w:r>
        <w:t>, like a richness consisting of men.</w:t>
      </w:r>
    </w:p>
    <w:p w14:paraId="2D660B18" w14:textId="77777777" w:rsidR="00E53EB6" w:rsidRPr="00B80C6B" w:rsidRDefault="006500F5">
      <w:pPr>
        <w:pStyle w:val="Zitat"/>
        <w:rPr>
          <w:lang w:val="de-DE"/>
        </w:rPr>
      </w:pPr>
      <w:r>
        <w:rPr>
          <w:i/>
          <w:iCs/>
        </w:rPr>
        <w:t xml:space="preserve">vanā́ti: </w:t>
      </w:r>
      <w:r>
        <w:t xml:space="preserve">subj. </w:t>
      </w:r>
      <w:r>
        <w:t>pres. 3</w:t>
      </w:r>
      <w:r>
        <w:rPr>
          <w:vertAlign w:val="superscript"/>
        </w:rPr>
        <w:t>rd</w:t>
      </w:r>
      <w:r>
        <w:t xml:space="preserve"> sing. </w:t>
      </w:r>
      <w:r w:rsidRPr="00B80C6B">
        <w:rPr>
          <w:lang w:val="de-DE"/>
        </w:rPr>
        <w:t>I-VI cl.</w:t>
      </w:r>
    </w:p>
    <w:p w14:paraId="3EC46319" w14:textId="77777777" w:rsidR="00E53EB6" w:rsidRPr="00B80C6B" w:rsidRDefault="006500F5">
      <w:pPr>
        <w:pStyle w:val="ZitatmitEinzug"/>
        <w:rPr>
          <w:lang w:val="de-DE"/>
        </w:rPr>
      </w:pPr>
      <w:r w:rsidRPr="00B80C6B">
        <w:rPr>
          <w:rStyle w:val="biblio-authorGEN"/>
          <w:sz w:val="18"/>
          <w:szCs w:val="15"/>
          <w:lang w:val="de-DE"/>
        </w:rPr>
        <w:t>Geldner</w:t>
      </w:r>
      <w:r w:rsidRPr="00B80C6B">
        <w:rPr>
          <w:lang w:val="de-DE"/>
        </w:rPr>
        <w:t>: II 191 “wird erwirken”</w:t>
      </w:r>
    </w:p>
    <w:p w14:paraId="0F1A8596" w14:textId="77777777" w:rsidR="00E53EB6" w:rsidRPr="00B80C6B" w:rsidRDefault="006500F5">
      <w:pPr>
        <w:pStyle w:val="ZitatmitEinzug"/>
        <w:rPr>
          <w:lang w:val="it-IT"/>
        </w:rPr>
      </w:pPr>
      <w:r w:rsidRPr="00B80C6B">
        <w:rPr>
          <w:rStyle w:val="biblio-authorGEN"/>
          <w:sz w:val="18"/>
          <w:szCs w:val="15"/>
          <w:lang w:val="it-IT"/>
        </w:rPr>
        <w:t>Renou</w:t>
      </w:r>
      <w:r w:rsidRPr="00B80C6B">
        <w:rPr>
          <w:lang w:val="it-IT"/>
        </w:rPr>
        <w:t>: XIII 62 “gagnera-t-il”</w:t>
      </w:r>
    </w:p>
    <w:p w14:paraId="07837442" w14:textId="77777777" w:rsidR="00E53EB6" w:rsidRPr="00B80C6B" w:rsidRDefault="006500F5">
      <w:pPr>
        <w:pStyle w:val="ZitatmitEinzug"/>
        <w:rPr>
          <w:lang w:val="it-IT"/>
        </w:rPr>
      </w:pPr>
      <w:r w:rsidRPr="00B80C6B">
        <w:rPr>
          <w:rStyle w:val="biblio-authorGEN"/>
          <w:sz w:val="18"/>
          <w:szCs w:val="15"/>
          <w:lang w:val="it-IT"/>
        </w:rPr>
        <w:t>Gōto</w:t>
      </w:r>
      <w:r w:rsidRPr="00B80C6B">
        <w:rPr>
          <w:lang w:val="it-IT"/>
        </w:rPr>
        <w:t xml:space="preserve"> 1987: 284 “wird uns lieben”</w:t>
      </w:r>
    </w:p>
    <w:p w14:paraId="590FB442" w14:textId="77777777" w:rsidR="00E53EB6" w:rsidRPr="00B80C6B" w:rsidRDefault="006500F5">
      <w:pPr>
        <w:pStyle w:val="ZitatmitEinzug"/>
        <w:rPr>
          <w:lang w:val="it-IT"/>
        </w:rPr>
      </w:pPr>
      <w:r w:rsidRPr="00B80C6B">
        <w:rPr>
          <w:rFonts w:eastAsia="Arial Unicode MS"/>
          <w:lang w:val="it-IT"/>
        </w:rPr>
        <w:t>Bha</w:t>
      </w:r>
      <w:r w:rsidRPr="00B80C6B">
        <w:rPr>
          <w:rFonts w:eastAsia="Arial Unicode MS"/>
          <w:lang w:val="it-IT"/>
        </w:rPr>
        <w:t>ṭṭ</w:t>
      </w:r>
      <w:r w:rsidRPr="00B80C6B">
        <w:rPr>
          <w:rFonts w:eastAsia="Arial Unicode MS"/>
          <w:lang w:val="it-IT"/>
        </w:rPr>
        <w:t>a Bhāskara Miśra and Sāya</w:t>
      </w:r>
      <w:r w:rsidRPr="00B80C6B">
        <w:rPr>
          <w:rFonts w:eastAsia="Arial Unicode MS"/>
          <w:lang w:val="it-IT"/>
        </w:rPr>
        <w:t>ṇ</w:t>
      </w:r>
      <w:r w:rsidRPr="00B80C6B">
        <w:rPr>
          <w:rFonts w:eastAsia="Arial Unicode MS"/>
          <w:lang w:val="it-IT"/>
        </w:rPr>
        <w:t>a’s gloss: “</w:t>
      </w:r>
      <w:r>
        <w:rPr>
          <w:rFonts w:eastAsia="Arial Unicode MS"/>
        </w:rPr>
        <w:t>ददाति</w:t>
      </w:r>
      <w:r w:rsidRPr="00B80C6B">
        <w:rPr>
          <w:rFonts w:eastAsia="Arial Unicode MS" w:cs="Sabon Unicode"/>
          <w:szCs w:val="18"/>
          <w:lang w:val="it-IT"/>
        </w:rPr>
        <w:t>”</w:t>
      </w:r>
    </w:p>
    <w:p w14:paraId="4A832F3A" w14:textId="77777777" w:rsidR="00E53EB6" w:rsidRPr="00B80C6B" w:rsidRDefault="006500F5">
      <w:pPr>
        <w:pStyle w:val="HaupttextnachZitat"/>
        <w:rPr>
          <w:lang w:val="it-IT"/>
        </w:rPr>
      </w:pPr>
      <w:r w:rsidRPr="00B80C6B">
        <w:rPr>
          <w:rFonts w:eastAsia="Arial Unicode MS" w:cs="Sabon Unicode"/>
          <w:lang w:val="it-IT"/>
        </w:rPr>
        <w:t xml:space="preserve">Vedic </w:t>
      </w:r>
      <w:r w:rsidRPr="00B80C6B">
        <w:rPr>
          <w:rFonts w:eastAsia="MS Mincho;ＭＳ 明朝" w:cs="Sabon Unicode"/>
          <w:lang w:val="it-IT" w:eastAsia="hi-IN"/>
        </w:rPr>
        <w:t>Web</w:t>
      </w:r>
    </w:p>
    <w:p w14:paraId="25B7A973" w14:textId="77777777" w:rsidR="00E53EB6" w:rsidRPr="00B80C6B" w:rsidRDefault="006500F5">
      <w:pPr>
        <w:pStyle w:val="HaupttextohneEinzug"/>
        <w:rPr>
          <w:szCs w:val="21"/>
          <w:lang w:val="it-IT"/>
        </w:rPr>
      </w:pPr>
      <w:r w:rsidRPr="00B80C6B">
        <w:rPr>
          <w:rFonts w:eastAsia="Arial Unicode MS" w:cs="Sabon Unicode"/>
          <w:szCs w:val="21"/>
          <w:lang w:val="it-IT"/>
        </w:rPr>
        <w:t xml:space="preserve">Mantra: </w:t>
      </w:r>
      <w:r w:rsidRPr="00B80C6B">
        <w:rPr>
          <w:szCs w:val="21"/>
          <w:lang w:val="it-IT"/>
        </w:rPr>
        <w:t>R̥V</w:t>
      </w:r>
      <w:r w:rsidRPr="00B80C6B">
        <w:rPr>
          <w:rFonts w:eastAsia="Arial Unicode MS" w:cs="Sabon Unicode"/>
          <w:szCs w:val="21"/>
          <w:lang w:val="it-IT"/>
        </w:rPr>
        <w:t xml:space="preserve"> 7.15.4 Vasi</w:t>
      </w:r>
      <w:r w:rsidRPr="00B80C6B">
        <w:rPr>
          <w:rFonts w:eastAsia="Arial Unicode MS" w:cs="Sabon Unicode"/>
          <w:szCs w:val="21"/>
          <w:lang w:val="it-IT"/>
        </w:rPr>
        <w:t>ṣṭ</w:t>
      </w:r>
      <w:r w:rsidRPr="00B80C6B">
        <w:rPr>
          <w:rFonts w:eastAsia="Arial Unicode MS" w:cs="Sabon Unicode"/>
          <w:szCs w:val="21"/>
          <w:lang w:val="it-IT"/>
        </w:rPr>
        <w:t>ha; 6.16.21 Bharadvāja; KS 40.14.</w:t>
      </w:r>
    </w:p>
    <w:p w14:paraId="11EC7167" w14:textId="77777777" w:rsidR="00E53EB6" w:rsidRPr="00B80C6B" w:rsidRDefault="00E53EB6">
      <w:pPr>
        <w:pStyle w:val="HaupttextohneEinzug"/>
        <w:rPr>
          <w:rFonts w:eastAsia="Arial Unicode MS" w:cs="Sabon Unicode"/>
          <w:sz w:val="18"/>
          <w:szCs w:val="18"/>
          <w:lang w:val="it-IT"/>
        </w:rPr>
      </w:pPr>
    </w:p>
    <w:p w14:paraId="36C740FA" w14:textId="77777777" w:rsidR="00E53EB6" w:rsidRDefault="006500F5">
      <w:pPr>
        <w:pStyle w:val="HaupttextohneEinzug"/>
      </w:pPr>
      <w:r>
        <w:t>Rite</w:t>
      </w:r>
    </w:p>
    <w:p w14:paraId="15149861" w14:textId="77777777" w:rsidR="00E53EB6" w:rsidRDefault="006500F5">
      <w:pPr>
        <w:pStyle w:val="HaupttextohneEinzug"/>
        <w:rPr>
          <w:rFonts w:eastAsia="MS Mincho;ＭＳ 明朝"/>
          <w:szCs w:val="21"/>
          <w:lang w:eastAsia="hi-IN"/>
        </w:rPr>
      </w:pPr>
      <w:r>
        <w:rPr>
          <w:rFonts w:eastAsia="Arial" w:cs="Times Ext Roman"/>
          <w:i/>
          <w:iCs/>
          <w:szCs w:val="21"/>
          <w:lang w:eastAsia="hi-IN" w:bidi="en-GB"/>
        </w:rPr>
        <w:t>Darśapūr</w:t>
      </w:r>
      <w:r>
        <w:rPr>
          <w:rFonts w:eastAsia="Arial" w:cs="Times Ext Roman"/>
          <w:i/>
          <w:iCs/>
          <w:szCs w:val="21"/>
          <w:lang w:eastAsia="hi-IN" w:bidi="en-GB"/>
        </w:rPr>
        <w:t>ṇ</w:t>
      </w:r>
      <w:r>
        <w:rPr>
          <w:rFonts w:eastAsia="Arial" w:cs="Times Ext Roman"/>
          <w:i/>
          <w:iCs/>
          <w:szCs w:val="21"/>
          <w:lang w:eastAsia="hi-IN" w:bidi="en-GB"/>
        </w:rPr>
        <w:t>amāse</w:t>
      </w:r>
      <w:r>
        <w:rPr>
          <w:rFonts w:eastAsia="Arial" w:cs="Times Ext Roman"/>
          <w:i/>
          <w:iCs/>
          <w:szCs w:val="21"/>
          <w:lang w:eastAsia="hi-IN" w:bidi="en-GB"/>
        </w:rPr>
        <w:t>ṣṭ</w:t>
      </w:r>
      <w:r>
        <w:rPr>
          <w:rFonts w:eastAsia="Arial" w:cs="Times Ext Roman"/>
          <w:i/>
          <w:iCs/>
          <w:szCs w:val="21"/>
          <w:lang w:eastAsia="hi-IN" w:bidi="en-GB"/>
        </w:rPr>
        <w:t>i.</w:t>
      </w:r>
      <w:r>
        <w:rPr>
          <w:rFonts w:eastAsia="Arial" w:cs="Times Ext Roman"/>
          <w:szCs w:val="21"/>
          <w:lang w:eastAsia="hi-IN" w:bidi="en-GB"/>
        </w:rPr>
        <w:t xml:space="preserve"> </w:t>
      </w:r>
      <w:r>
        <w:rPr>
          <w:rFonts w:eastAsia="Arial" w:cs="Times Ext Roman"/>
          <w:i/>
          <w:iCs/>
          <w:szCs w:val="21"/>
          <w:lang w:eastAsia="hi-IN" w:bidi="en-GB"/>
        </w:rPr>
        <w:t>Upahoma</w:t>
      </w:r>
      <w:r>
        <w:rPr>
          <w:rFonts w:eastAsia="Arial" w:cs="Times Ext Roman"/>
          <w:szCs w:val="21"/>
          <w:lang w:eastAsia="hi-IN" w:bidi="en-GB"/>
        </w:rPr>
        <w:t xml:space="preserve"> (subsidiary) </w:t>
      </w:r>
      <w:r>
        <w:rPr>
          <w:rFonts w:eastAsia="Arial" w:cs="Times Ext Roman"/>
          <w:i/>
          <w:iCs/>
          <w:szCs w:val="21"/>
          <w:lang w:eastAsia="hi-IN" w:bidi="en-GB"/>
        </w:rPr>
        <w:t>mantra</w:t>
      </w:r>
      <w:r>
        <w:rPr>
          <w:rFonts w:eastAsia="Arial" w:cs="Times Ext Roman"/>
          <w:szCs w:val="21"/>
          <w:lang w:eastAsia="hi-IN" w:bidi="en-GB"/>
        </w:rPr>
        <w:t>s addressed to Agni, an additional offering within the Mitravinde</w:t>
      </w:r>
      <w:r>
        <w:rPr>
          <w:rFonts w:eastAsia="Arial" w:cs="Times Ext Roman"/>
          <w:szCs w:val="21"/>
          <w:lang w:eastAsia="hi-IN" w:bidi="en-GB"/>
        </w:rPr>
        <w:t>ṣṭ</w:t>
      </w:r>
      <w:r>
        <w:rPr>
          <w:rFonts w:eastAsia="Arial" w:cs="Times Ext Roman"/>
          <w:szCs w:val="21"/>
          <w:lang w:eastAsia="hi-IN" w:bidi="en-GB"/>
        </w:rPr>
        <w:t xml:space="preserve">i; cf. ŚB 11.4.3 -where is explained the myth connected with this rite, ŚB 11.4.3.20 “He </w:t>
      </w:r>
      <w:r>
        <w:rPr>
          <w:rFonts w:eastAsia="Arial" w:cs="Times Ext Roman"/>
          <w:szCs w:val="21"/>
          <w:lang w:eastAsia="hi-IN" w:bidi="en-GB"/>
        </w:rPr>
        <w:t xml:space="preserve">finds Mitra, and his is the kingdom, he conquers the recurring death [...]”(trans. Eggeling) and cf. also ĀpŚS 2.21.2; Keith’s Summary </w:t>
      </w:r>
      <w:r>
        <w:rPr>
          <w:rStyle w:val="biblio-authorGEN"/>
          <w:rFonts w:eastAsia="Arial" w:cs="Times Ext Roman"/>
          <w:szCs w:val="21"/>
          <w:lang w:eastAsia="hi-IN" w:bidi="en-GB"/>
        </w:rPr>
        <w:t>(Keith</w:t>
      </w:r>
      <w:r>
        <w:rPr>
          <w:rFonts w:eastAsia="Arial" w:cs="Times Ext Roman"/>
          <w:szCs w:val="21"/>
          <w:lang w:eastAsia="hi-IN" w:bidi="en-GB"/>
        </w:rPr>
        <w:t xml:space="preserve"> 1914: 76-77) and </w:t>
      </w:r>
      <w:r>
        <w:rPr>
          <w:rStyle w:val="biblio-authorGEN"/>
          <w:rFonts w:eastAsia="Arial" w:cs="Times Ext Roman"/>
          <w:szCs w:val="21"/>
          <w:lang w:eastAsia="hi-IN" w:bidi="en-GB"/>
        </w:rPr>
        <w:t>Mylius</w:t>
      </w:r>
      <w:r>
        <w:rPr>
          <w:rFonts w:eastAsia="Arial" w:cs="Times Ext Roman"/>
          <w:szCs w:val="21"/>
          <w:lang w:eastAsia="hi-IN" w:bidi="en-GB"/>
        </w:rPr>
        <w:t xml:space="preserve"> 1995: 51.</w:t>
      </w:r>
    </w:p>
    <w:p w14:paraId="522687BF" w14:textId="77777777" w:rsidR="00E53EB6" w:rsidRDefault="006500F5">
      <w:pPr>
        <w:pStyle w:val="HaupttextohneEinzug"/>
        <w:autoSpaceDE w:val="0"/>
        <w:rPr>
          <w:rFonts w:eastAsia="MS Mincho;ＭＳ 明朝" w:cs="Times Ext Roman"/>
          <w:szCs w:val="21"/>
          <w:lang w:eastAsia="hi-IN" w:bidi="en-GB"/>
        </w:rPr>
      </w:pPr>
      <w:r>
        <w:rPr>
          <w:rFonts w:eastAsia="Arial" w:cs="Times Ext Roman"/>
          <w:color w:val="000000"/>
          <w:szCs w:val="21"/>
          <w:lang w:eastAsia="hi-IN" w:bidi="en-GB"/>
        </w:rPr>
        <w:t>Bha</w:t>
      </w:r>
      <w:r>
        <w:rPr>
          <w:rFonts w:eastAsia="Arial" w:cs="Times Ext Roman"/>
          <w:color w:val="000000"/>
          <w:szCs w:val="21"/>
          <w:lang w:eastAsia="hi-IN" w:bidi="en-GB"/>
        </w:rPr>
        <w:t>ṭṭ</w:t>
      </w:r>
      <w:r>
        <w:rPr>
          <w:rFonts w:eastAsia="Arial" w:cs="Times Ext Roman"/>
          <w:color w:val="000000"/>
          <w:szCs w:val="21"/>
          <w:lang w:eastAsia="hi-IN" w:bidi="en-GB"/>
        </w:rPr>
        <w:t xml:space="preserve">a Bhāskara Miśra commentary: </w:t>
      </w:r>
      <w:r>
        <w:rPr>
          <w:rFonts w:eastAsia="Arial" w:cs="Times Ext Roman"/>
          <w:i/>
          <w:iCs/>
          <w:color w:val="000000"/>
          <w:szCs w:val="21"/>
          <w:lang w:eastAsia="hi-IN" w:bidi="en-GB"/>
        </w:rPr>
        <w:t>a</w:t>
      </w:r>
      <w:r>
        <w:rPr>
          <w:rFonts w:eastAsia="Arial" w:cs="Times Ext Roman"/>
          <w:i/>
          <w:iCs/>
          <w:color w:val="000000"/>
          <w:szCs w:val="21"/>
          <w:lang w:eastAsia="hi-IN" w:bidi="en-GB"/>
        </w:rPr>
        <w:t>ṣṭ</w:t>
      </w:r>
      <w:r>
        <w:rPr>
          <w:rFonts w:eastAsia="Arial" w:cs="Times Ext Roman"/>
          <w:i/>
          <w:iCs/>
          <w:color w:val="000000"/>
          <w:szCs w:val="21"/>
          <w:lang w:eastAsia="hi-IN" w:bidi="en-GB"/>
        </w:rPr>
        <w:t>ame‘nuvāke</w:t>
      </w:r>
      <w:r>
        <w:rPr>
          <w:rFonts w:eastAsia="Arial" w:cs="Times Ext Roman"/>
          <w:color w:val="000000"/>
          <w:szCs w:val="21"/>
          <w:lang w:eastAsia="hi-IN" w:bidi="en-GB"/>
        </w:rPr>
        <w:t xml:space="preserve"> </w:t>
      </w:r>
      <w:r>
        <w:rPr>
          <w:rFonts w:eastAsia="Arial" w:cs="Times Ext Roman"/>
          <w:i/>
          <w:iCs/>
          <w:color w:val="000000"/>
          <w:szCs w:val="21"/>
          <w:lang w:eastAsia="hi-IN" w:bidi="en-GB"/>
        </w:rPr>
        <w:t>sarvamapyāgraya</w:t>
      </w:r>
      <w:r>
        <w:rPr>
          <w:rFonts w:eastAsia="Arial" w:cs="Times Ext Roman"/>
          <w:i/>
          <w:iCs/>
          <w:color w:val="000000"/>
          <w:szCs w:val="21"/>
          <w:lang w:eastAsia="hi-IN" w:bidi="en-GB"/>
        </w:rPr>
        <w:t>ṇ</w:t>
      </w:r>
      <w:r>
        <w:rPr>
          <w:rFonts w:eastAsia="Arial" w:cs="Times Ext Roman"/>
          <w:i/>
          <w:iCs/>
          <w:color w:val="000000"/>
          <w:szCs w:val="21"/>
          <w:lang w:eastAsia="hi-IN" w:bidi="en-GB"/>
        </w:rPr>
        <w:t xml:space="preserve">sūktam. </w:t>
      </w:r>
      <w:r>
        <w:rPr>
          <w:rFonts w:eastAsia="Arial" w:cs="Times Ext Roman"/>
          <w:color w:val="000000"/>
          <w:szCs w:val="21"/>
          <w:lang w:eastAsia="hi-IN" w:bidi="en-GB"/>
        </w:rPr>
        <w:t xml:space="preserve">The </w:t>
      </w:r>
      <w:r>
        <w:rPr>
          <w:rFonts w:eastAsia="Arial" w:cs="Times Ext Roman"/>
          <w:i/>
          <w:iCs/>
          <w:color w:val="000000"/>
          <w:szCs w:val="21"/>
          <w:lang w:eastAsia="hi-IN" w:bidi="en-GB"/>
        </w:rPr>
        <w:t>āgraya</w:t>
      </w:r>
      <w:r>
        <w:rPr>
          <w:rFonts w:eastAsia="Arial" w:cs="Times Ext Roman"/>
          <w:i/>
          <w:iCs/>
          <w:color w:val="000000"/>
          <w:szCs w:val="21"/>
          <w:lang w:eastAsia="hi-IN" w:bidi="en-GB"/>
        </w:rPr>
        <w:t>ṇ</w:t>
      </w:r>
      <w:r>
        <w:rPr>
          <w:rFonts w:eastAsia="Arial" w:cs="Times Ext Roman"/>
          <w:i/>
          <w:iCs/>
          <w:color w:val="000000"/>
          <w:szCs w:val="21"/>
          <w:lang w:eastAsia="hi-IN" w:bidi="en-GB"/>
        </w:rPr>
        <w:t xml:space="preserve">a </w:t>
      </w:r>
      <w:r>
        <w:rPr>
          <w:rFonts w:eastAsia="Arial" w:cs="Times Ext Roman"/>
          <w:color w:val="000000"/>
          <w:szCs w:val="21"/>
          <w:lang w:eastAsia="hi-IN" w:bidi="en-GB"/>
        </w:rPr>
        <w:t>is the first libation of the evening Soma-pressure.</w:t>
      </w:r>
    </w:p>
    <w:p w14:paraId="2B32814E" w14:textId="77777777" w:rsidR="00E53EB6" w:rsidRDefault="00E53EB6">
      <w:pPr>
        <w:pStyle w:val="HaupttextohneEinzug"/>
        <w:rPr>
          <w:rFonts w:eastAsia="Arial" w:cs="Times Ext Roman"/>
          <w:szCs w:val="21"/>
          <w:lang w:eastAsia="hi-IN" w:bidi="en-GB"/>
        </w:rPr>
      </w:pPr>
    </w:p>
    <w:p w14:paraId="4B975BC9" w14:textId="77777777" w:rsidR="00E53EB6" w:rsidRDefault="006500F5">
      <w:pPr>
        <w:pStyle w:val="Heading5"/>
        <w:numPr>
          <w:ilvl w:val="4"/>
          <w:numId w:val="2"/>
        </w:numPr>
        <w:tabs>
          <w:tab w:val="left" w:pos="0"/>
        </w:tabs>
      </w:pPr>
      <w:r>
        <w:rPr>
          <w:u w:val="single"/>
        </w:rPr>
        <w:t>TB 2.8.5.2-3</w:t>
      </w:r>
      <w:r>
        <w:tab/>
      </w:r>
      <w:r>
        <w:tab/>
      </w:r>
      <w:r>
        <w:tab/>
      </w:r>
      <w:r>
        <w:tab/>
      </w:r>
      <w:r>
        <w:tab/>
      </w:r>
      <w:r>
        <w:tab/>
      </w:r>
      <w:r>
        <w:tab/>
      </w:r>
      <w:r>
        <w:tab/>
      </w:r>
    </w:p>
    <w:p w14:paraId="08A90EAE" w14:textId="77777777" w:rsidR="00E53EB6" w:rsidRDefault="006500F5">
      <w:pPr>
        <w:pStyle w:val="Zitat"/>
        <w:numPr>
          <w:ilvl w:val="2"/>
          <w:numId w:val="2"/>
        </w:numPr>
        <w:tabs>
          <w:tab w:val="left" w:pos="260"/>
        </w:tabs>
        <w:ind w:left="260"/>
      </w:pPr>
      <w:r>
        <w:rPr>
          <w:rFonts w:eastAsia="MS Mincho;ＭＳ 明朝"/>
          <w:lang w:eastAsia="hi-IN"/>
        </w:rPr>
        <w:t xml:space="preserve">2.8.5.2 </w:t>
      </w:r>
      <w:r>
        <w:rPr>
          <w:rFonts w:eastAsia="MS Mincho;ＭＳ 明朝"/>
          <w:i/>
          <w:iCs/>
          <w:lang w:eastAsia="hi-IN"/>
        </w:rPr>
        <w:t>gharmásvedobhir drávi</w:t>
      </w:r>
      <w:r>
        <w:rPr>
          <w:rFonts w:eastAsia="MS Mincho;ＭＳ 明朝"/>
          <w:i/>
          <w:iCs/>
          <w:lang w:eastAsia="hi-IN"/>
        </w:rPr>
        <w:t>ṇ</w:t>
      </w:r>
      <w:r>
        <w:rPr>
          <w:rFonts w:eastAsia="MS Mincho;ＭＳ 明朝"/>
          <w:i/>
          <w:iCs/>
          <w:lang w:eastAsia="hi-IN"/>
        </w:rPr>
        <w:t>a</w:t>
      </w:r>
      <w:r>
        <w:rPr>
          <w:rFonts w:eastAsia="MS Mincho;ＭＳ 明朝"/>
          <w:i/>
          <w:iCs/>
          <w:lang w:eastAsia="hi-IN"/>
        </w:rPr>
        <w:t>ṃ</w:t>
      </w:r>
      <w:r>
        <w:rPr>
          <w:rFonts w:eastAsia="MS Mincho;ＭＳ 明朝"/>
          <w:i/>
          <w:iCs/>
          <w:lang w:eastAsia="hi-IN"/>
        </w:rPr>
        <w:t xml:space="preserve"> vyā̀na</w:t>
      </w:r>
      <w:r>
        <w:rPr>
          <w:rFonts w:eastAsia="MS Mincho;ＭＳ 明朝"/>
          <w:i/>
          <w:iCs/>
          <w:lang w:eastAsia="hi-IN"/>
        </w:rPr>
        <w:t>ṭ</w:t>
      </w:r>
      <w:r>
        <w:rPr>
          <w:rStyle w:val="FootnoteAnchor"/>
          <w:rFonts w:eastAsia="MS Mincho;ＭＳ 明朝"/>
          <w:i/>
          <w:iCs/>
          <w:lang w:eastAsia="hi-IN"/>
        </w:rPr>
        <w:footnoteReference w:id="289"/>
      </w:r>
      <w:r>
        <w:rPr>
          <w:rFonts w:eastAsia="MS Mincho;ＭＳ 明朝"/>
          <w:i/>
          <w:iCs/>
          <w:lang w:eastAsia="hi-IN"/>
        </w:rPr>
        <w:t xml:space="preserve"> / bráhma</w:t>
      </w:r>
      <w:r>
        <w:rPr>
          <w:rFonts w:eastAsia="MS Mincho;ＭＳ 明朝"/>
          <w:i/>
          <w:iCs/>
          <w:lang w:eastAsia="hi-IN"/>
        </w:rPr>
        <w:t>ṇ</w:t>
      </w:r>
      <w:r>
        <w:rPr>
          <w:rFonts w:eastAsia="MS Mincho;ＭＳ 明朝"/>
          <w:i/>
          <w:iCs/>
          <w:lang w:eastAsia="hi-IN"/>
        </w:rPr>
        <w:t>aspáter abhavad yathāvaśám / sat</w:t>
      </w:r>
      <w:r>
        <w:rPr>
          <w:i/>
          <w:iCs/>
        </w:rPr>
        <w:t>yó manyúr máhi kármā kari</w:t>
      </w:r>
      <w:r>
        <w:rPr>
          <w:i/>
          <w:iCs/>
        </w:rPr>
        <w:t>ṣ</w:t>
      </w:r>
      <w:r>
        <w:rPr>
          <w:i/>
          <w:iCs/>
        </w:rPr>
        <w:t>yatá</w:t>
      </w:r>
      <w:r>
        <w:rPr>
          <w:i/>
          <w:iCs/>
        </w:rPr>
        <w:t>ḥ</w:t>
      </w:r>
      <w:r>
        <w:rPr>
          <w:i/>
          <w:iCs/>
        </w:rPr>
        <w:t xml:space="preserve"> / yó gā́ udā́jat sá divé ví c</w:t>
      </w:r>
      <w:r>
        <w:rPr>
          <w:i/>
          <w:iCs/>
        </w:rPr>
        <w:t>a abhajat / mahí iva rītí</w:t>
      </w:r>
      <w:r>
        <w:rPr>
          <w:i/>
          <w:iCs/>
        </w:rPr>
        <w:t>ḥ</w:t>
      </w:r>
      <w:r>
        <w:rPr>
          <w:i/>
          <w:iCs/>
        </w:rPr>
        <w:t xml:space="preserve"> śávasā sarat</w:t>
      </w:r>
      <w:r>
        <w:rPr>
          <w:rStyle w:val="FootnoteAnchor"/>
          <w:i/>
          <w:iCs/>
        </w:rPr>
        <w:footnoteReference w:id="290"/>
      </w:r>
      <w:r>
        <w:rPr>
          <w:i/>
          <w:iCs/>
        </w:rPr>
        <w:t xml:space="preserve"> pŕ</w:t>
      </w:r>
      <w:r>
        <w:rPr>
          <w:rFonts w:cs="Devanagari MT;Times New Roman"/>
          <w:lang w:eastAsia="hi-IN"/>
        </w:rPr>
        <w:t>̥</w:t>
      </w:r>
      <w:r>
        <w:rPr>
          <w:i/>
          <w:iCs/>
        </w:rPr>
        <w:t>thak</w:t>
      </w:r>
      <w:r>
        <w:rPr>
          <w:rStyle w:val="FootnoteAnchor"/>
          <w:i/>
          <w:iCs/>
        </w:rPr>
        <w:footnoteReference w:id="291"/>
      </w:r>
      <w:r>
        <w:rPr>
          <w:i/>
          <w:iCs/>
        </w:rPr>
        <w:t xml:space="preserve"> / índhāno agní</w:t>
      </w:r>
      <w:r>
        <w:rPr>
          <w:i/>
          <w:iCs/>
        </w:rPr>
        <w:t>ṃ</w:t>
      </w:r>
      <w:r>
        <w:rPr>
          <w:i/>
          <w:iCs/>
        </w:rPr>
        <w:t xml:space="preserve"> vanavad vanu</w:t>
      </w:r>
      <w:r>
        <w:rPr>
          <w:i/>
          <w:iCs/>
        </w:rPr>
        <w:t>ṣ</w:t>
      </w:r>
      <w:r>
        <w:rPr>
          <w:i/>
          <w:iCs/>
        </w:rPr>
        <w:t>yatá</w:t>
      </w:r>
      <w:r>
        <w:rPr>
          <w:i/>
          <w:iCs/>
        </w:rPr>
        <w:t>ḥ</w:t>
      </w:r>
      <w:r>
        <w:rPr>
          <w:i/>
          <w:iCs/>
        </w:rPr>
        <w:t xml:space="preserve"> / kr</w:t>
      </w:r>
      <w:r>
        <w:rPr>
          <w:rFonts w:cs="Devanagari MT;Times New Roman"/>
          <w:lang w:eastAsia="hi-IN"/>
        </w:rPr>
        <w:t>̥</w:t>
      </w:r>
      <w:r>
        <w:rPr>
          <w:i/>
          <w:iCs/>
        </w:rPr>
        <w:t>tábrahmā śūśuvad rātáhavya ít / jāténa jātám áti sŕ</w:t>
      </w:r>
      <w:r>
        <w:rPr>
          <w:rFonts w:cs="Devanagari MT;Times New Roman"/>
          <w:lang w:eastAsia="hi-IN"/>
        </w:rPr>
        <w:t>̥</w:t>
      </w:r>
      <w:r>
        <w:rPr>
          <w:i/>
          <w:iCs/>
        </w:rPr>
        <w:t>t prásr</w:t>
      </w:r>
      <w:r>
        <w:rPr>
          <w:rFonts w:cs="Devanagari MT;Times New Roman"/>
          <w:lang w:eastAsia="hi-IN"/>
        </w:rPr>
        <w:t>̥</w:t>
      </w:r>
      <w:r>
        <w:rPr>
          <w:i/>
          <w:iCs/>
        </w:rPr>
        <w:t>m̐sate</w:t>
      </w:r>
      <w:r>
        <w:rPr>
          <w:rStyle w:val="FootnoteAnchor"/>
          <w:i/>
          <w:iCs/>
        </w:rPr>
        <w:footnoteReference w:id="292"/>
      </w:r>
      <w:r>
        <w:rPr>
          <w:i/>
          <w:iCs/>
        </w:rPr>
        <w:t xml:space="preserve"> / yá</w:t>
      </w:r>
      <w:r>
        <w:rPr>
          <w:i/>
          <w:iCs/>
        </w:rPr>
        <w:t>ṃ</w:t>
      </w:r>
      <w:r>
        <w:rPr>
          <w:i/>
          <w:iCs/>
        </w:rPr>
        <w:t xml:space="preserve"> ya</w:t>
      </w:r>
      <w:r>
        <w:rPr>
          <w:i/>
          <w:iCs/>
        </w:rPr>
        <w:t>ṃ</w:t>
      </w:r>
      <w:r>
        <w:rPr>
          <w:i/>
          <w:iCs/>
        </w:rPr>
        <w:t xml:space="preserve"> yúja</w:t>
      </w:r>
      <w:r>
        <w:rPr>
          <w:i/>
          <w:iCs/>
        </w:rPr>
        <w:t>ṃ</w:t>
      </w:r>
      <w:r>
        <w:rPr>
          <w:i/>
          <w:iCs/>
        </w:rPr>
        <w:t xml:space="preserve"> kr</w:t>
      </w:r>
      <w:r>
        <w:rPr>
          <w:rFonts w:cs="Devanagari MT;Times New Roman"/>
          <w:lang w:eastAsia="hi-IN"/>
        </w:rPr>
        <w:t>̥</w:t>
      </w:r>
      <w:r>
        <w:rPr>
          <w:i/>
          <w:iCs/>
        </w:rPr>
        <w:t>ṇ</w:t>
      </w:r>
      <w:r>
        <w:rPr>
          <w:i/>
          <w:iCs/>
        </w:rPr>
        <w:t>uté bráhma</w:t>
      </w:r>
      <w:r>
        <w:rPr>
          <w:i/>
          <w:iCs/>
        </w:rPr>
        <w:t>ṇ</w:t>
      </w:r>
      <w:r>
        <w:rPr>
          <w:i/>
          <w:iCs/>
        </w:rPr>
        <w:t>aspáti</w:t>
      </w:r>
      <w:r>
        <w:rPr>
          <w:i/>
          <w:iCs/>
        </w:rPr>
        <w:t>ḥ</w:t>
      </w:r>
      <w:r>
        <w:rPr>
          <w:rStyle w:val="FootnoteAnchor"/>
          <w:i/>
          <w:iCs/>
        </w:rPr>
        <w:footnoteReference w:id="293"/>
      </w:r>
      <w:r>
        <w:rPr>
          <w:i/>
          <w:iCs/>
        </w:rPr>
        <w:t xml:space="preserve"> / bráhma</w:t>
      </w:r>
      <w:r>
        <w:rPr>
          <w:i/>
          <w:iCs/>
        </w:rPr>
        <w:t>ṇ</w:t>
      </w:r>
      <w:r>
        <w:rPr>
          <w:i/>
          <w:iCs/>
        </w:rPr>
        <w:t xml:space="preserve">aspate suyámasya viśváhā //  </w:t>
      </w:r>
      <w:r>
        <w:t xml:space="preserve">[.3] </w:t>
      </w:r>
      <w:r>
        <w:rPr>
          <w:i/>
          <w:iCs/>
        </w:rPr>
        <w:t>rāyá</w:t>
      </w:r>
      <w:r>
        <w:rPr>
          <w:i/>
          <w:iCs/>
        </w:rPr>
        <w:t>ḥ</w:t>
      </w:r>
      <w:r>
        <w:rPr>
          <w:i/>
          <w:iCs/>
        </w:rPr>
        <w:t xml:space="preserve"> syāma rathyò vívasvata</w:t>
      </w:r>
      <w:r>
        <w:rPr>
          <w:i/>
          <w:iCs/>
        </w:rPr>
        <w:t>ḥ</w:t>
      </w:r>
      <w:r>
        <w:rPr>
          <w:i/>
          <w:iCs/>
        </w:rPr>
        <w:t xml:space="preserve"> / vīré</w:t>
      </w:r>
      <w:r>
        <w:rPr>
          <w:i/>
          <w:iCs/>
        </w:rPr>
        <w:t>ṣ</w:t>
      </w:r>
      <w:r>
        <w:rPr>
          <w:i/>
          <w:iCs/>
        </w:rPr>
        <w:t>u vīrā́m̐ úpapr</w:t>
      </w:r>
      <w:r>
        <w:rPr>
          <w:rFonts w:cs="Devanagari MT;Times New Roman"/>
          <w:lang w:eastAsia="hi-IN"/>
        </w:rPr>
        <w:t>̥</w:t>
      </w:r>
      <w:r>
        <w:rPr>
          <w:i/>
          <w:iCs/>
        </w:rPr>
        <w:t>ṅ</w:t>
      </w:r>
      <w:r>
        <w:rPr>
          <w:i/>
          <w:iCs/>
        </w:rPr>
        <w:t>gdhi nas tvám / yád ī́śāno bráhma</w:t>
      </w:r>
      <w:r>
        <w:rPr>
          <w:i/>
          <w:iCs/>
        </w:rPr>
        <w:t>ṇ</w:t>
      </w:r>
      <w:r>
        <w:rPr>
          <w:i/>
          <w:iCs/>
        </w:rPr>
        <w:t>ā vé</w:t>
      </w:r>
      <w:r>
        <w:rPr>
          <w:i/>
          <w:iCs/>
        </w:rPr>
        <w:t>ṣ</w:t>
      </w:r>
      <w:r>
        <w:rPr>
          <w:i/>
          <w:iCs/>
        </w:rPr>
        <w:t>i me hávam</w:t>
      </w:r>
      <w:r>
        <w:rPr>
          <w:rStyle w:val="FootnoteAnchor"/>
          <w:i/>
          <w:iCs/>
        </w:rPr>
        <w:footnoteReference w:id="294"/>
      </w:r>
      <w:r>
        <w:rPr>
          <w:i/>
          <w:iCs/>
        </w:rPr>
        <w:t xml:space="preserve"> / sá íj jánena sá viśā́ sá jánmanā / sá putráir </w:t>
      </w:r>
      <w:r>
        <w:rPr>
          <w:i/>
          <w:iCs/>
        </w:rPr>
        <w:lastRenderedPageBreak/>
        <w:t>vā́ja</w:t>
      </w:r>
      <w:r>
        <w:rPr>
          <w:i/>
          <w:iCs/>
        </w:rPr>
        <w:t>ṃ</w:t>
      </w:r>
      <w:r>
        <w:rPr>
          <w:i/>
          <w:iCs/>
        </w:rPr>
        <w:t xml:space="preserve"> bharate dhánā nŕ</w:t>
      </w:r>
      <w:r>
        <w:rPr>
          <w:rFonts w:cs="Devanagari MT;Times New Roman"/>
          <w:lang w:eastAsia="hi-IN"/>
        </w:rPr>
        <w:t>̥</w:t>
      </w:r>
      <w:r>
        <w:rPr>
          <w:i/>
          <w:iCs/>
        </w:rPr>
        <w:t>bhi</w:t>
      </w:r>
      <w:r>
        <w:rPr>
          <w:i/>
          <w:iCs/>
        </w:rPr>
        <w:t>ḥ</w:t>
      </w:r>
      <w:r>
        <w:rPr>
          <w:i/>
          <w:iCs/>
        </w:rPr>
        <w:t xml:space="preserve"> / devā́nā</w:t>
      </w:r>
      <w:r>
        <w:rPr>
          <w:i/>
          <w:iCs/>
        </w:rPr>
        <w:t>ṃ</w:t>
      </w:r>
      <w:r>
        <w:rPr>
          <w:i/>
          <w:iCs/>
        </w:rPr>
        <w:t xml:space="preserve"> yá</w:t>
      </w:r>
      <w:r>
        <w:rPr>
          <w:i/>
          <w:iCs/>
        </w:rPr>
        <w:t>ḥ</w:t>
      </w:r>
      <w:r>
        <w:rPr>
          <w:i/>
          <w:iCs/>
        </w:rPr>
        <w:t xml:space="preserve"> pitáram āvívās</w:t>
      </w:r>
      <w:r>
        <w:rPr>
          <w:i/>
          <w:iCs/>
        </w:rPr>
        <w:t>ati / śraddhā́manā haví</w:t>
      </w:r>
      <w:r>
        <w:rPr>
          <w:i/>
          <w:iCs/>
        </w:rPr>
        <w:t>ṣ</w:t>
      </w:r>
      <w:r>
        <w:rPr>
          <w:i/>
          <w:iCs/>
        </w:rPr>
        <w:t>ā bráhma</w:t>
      </w:r>
      <w:r>
        <w:rPr>
          <w:i/>
          <w:iCs/>
        </w:rPr>
        <w:t>ṇ</w:t>
      </w:r>
      <w:r>
        <w:rPr>
          <w:i/>
          <w:iCs/>
        </w:rPr>
        <w:t>aspátim</w:t>
      </w:r>
      <w:r>
        <w:rPr>
          <w:rStyle w:val="FootnoteAnchor"/>
          <w:i/>
          <w:iCs/>
        </w:rPr>
        <w:footnoteReference w:id="295"/>
      </w:r>
      <w:r>
        <w:rPr>
          <w:i/>
          <w:iCs/>
        </w:rPr>
        <w:t xml:space="preserve"> / yás te pū</w:t>
      </w:r>
      <w:r>
        <w:rPr>
          <w:i/>
          <w:iCs/>
        </w:rPr>
        <w:t>ṣ</w:t>
      </w:r>
      <w:r>
        <w:rPr>
          <w:i/>
          <w:iCs/>
        </w:rPr>
        <w:t>an nā́vo antá</w:t>
      </w:r>
      <w:r>
        <w:rPr>
          <w:i/>
          <w:iCs/>
        </w:rPr>
        <w:t>ḥ</w:t>
      </w:r>
      <w:r>
        <w:rPr>
          <w:rStyle w:val="FootnoteAnchor"/>
          <w:i/>
          <w:iCs/>
        </w:rPr>
        <w:footnoteReference w:id="296"/>
      </w:r>
      <w:r>
        <w:rPr>
          <w:i/>
          <w:iCs/>
        </w:rPr>
        <w:t xml:space="preserve"> / śukrá</w:t>
      </w:r>
      <w:r>
        <w:rPr>
          <w:i/>
          <w:iCs/>
        </w:rPr>
        <w:t>ṃ</w:t>
      </w:r>
      <w:r>
        <w:rPr>
          <w:i/>
          <w:iCs/>
        </w:rPr>
        <w:t xml:space="preserve"> te anyát</w:t>
      </w:r>
      <w:r>
        <w:rPr>
          <w:rStyle w:val="FootnoteAnchor"/>
          <w:i/>
          <w:iCs/>
        </w:rPr>
        <w:footnoteReference w:id="297"/>
      </w:r>
      <w:r>
        <w:rPr>
          <w:i/>
          <w:iCs/>
        </w:rPr>
        <w:t xml:space="preserve"> pū</w:t>
      </w:r>
      <w:r>
        <w:rPr>
          <w:i/>
          <w:iCs/>
        </w:rPr>
        <w:t>ṣ</w:t>
      </w:r>
      <w:r>
        <w:rPr>
          <w:i/>
          <w:iCs/>
        </w:rPr>
        <w:t>ā́ imā́ ā́śā</w:t>
      </w:r>
      <w:r>
        <w:rPr>
          <w:i/>
          <w:iCs/>
        </w:rPr>
        <w:t>ḥ</w:t>
      </w:r>
      <w:r>
        <w:rPr>
          <w:rStyle w:val="FootnoteAnchor"/>
          <w:i/>
          <w:iCs/>
        </w:rPr>
        <w:footnoteReference w:id="298"/>
      </w:r>
      <w:r>
        <w:rPr>
          <w:i/>
          <w:iCs/>
        </w:rPr>
        <w:t xml:space="preserve"> / prápathe pathā́m ajani</w:t>
      </w:r>
      <w:r>
        <w:rPr>
          <w:i/>
          <w:iCs/>
        </w:rPr>
        <w:t>ṣṭ</w:t>
      </w:r>
      <w:r>
        <w:rPr>
          <w:i/>
          <w:iCs/>
        </w:rPr>
        <w:t>a pū</w:t>
      </w:r>
      <w:r>
        <w:rPr>
          <w:i/>
          <w:iCs/>
        </w:rPr>
        <w:t>ṣ</w:t>
      </w:r>
      <w:r>
        <w:rPr>
          <w:i/>
          <w:iCs/>
        </w:rPr>
        <w:t>ā́</w:t>
      </w:r>
      <w:r>
        <w:rPr>
          <w:rStyle w:val="FootnoteAnchor"/>
          <w:i/>
          <w:iCs/>
        </w:rPr>
        <w:footnoteReference w:id="299"/>
      </w:r>
      <w:r>
        <w:rPr>
          <w:i/>
          <w:iCs/>
        </w:rPr>
        <w:t xml:space="preserve"> //</w:t>
      </w:r>
    </w:p>
    <w:p w14:paraId="58A4E8D3" w14:textId="77777777" w:rsidR="00E53EB6" w:rsidRDefault="006500F5">
      <w:pPr>
        <w:pStyle w:val="Zitat"/>
      </w:pPr>
      <w:r>
        <w:t>With those perspiring with heat he</w:t>
      </w:r>
      <w:r>
        <w:rPr>
          <w:rStyle w:val="FootnoteAnchor"/>
        </w:rPr>
        <w:footnoteReference w:id="300"/>
      </w:r>
      <w:r>
        <w:t xml:space="preserve"> attained (movable) goods”  “the ardour</w:t>
      </w:r>
      <w:r>
        <w:rPr>
          <w:rStyle w:val="FootnoteAnchor"/>
        </w:rPr>
        <w:footnoteReference w:id="301"/>
      </w:r>
      <w:r>
        <w:t xml:space="preserve"> of Brahmanaspati,                                                                     who is going to do a great sacrifice, as a desire</w:t>
      </w:r>
      <w:r>
        <w:rPr>
          <w:rStyle w:val="FootnoteAnchor"/>
        </w:rPr>
        <w:footnoteReference w:id="302"/>
      </w:r>
      <w:r>
        <w:t>, became effective, he who expelled the cows, distributed to the sky, as an a</w:t>
      </w:r>
      <w:r>
        <w:t xml:space="preserve">bundant stream flows apart mightily” “the one who kindles the fire </w:t>
      </w:r>
      <w:r>
        <w:rPr>
          <w:u w:val="single"/>
        </w:rPr>
        <w:t xml:space="preserve">would appropriate </w:t>
      </w:r>
      <w:r>
        <w:t xml:space="preserve">those who </w:t>
      </w:r>
      <w:r>
        <w:rPr>
          <w:u w:val="single"/>
        </w:rPr>
        <w:t>are eager to appropriate</w:t>
      </w:r>
      <w:r>
        <w:t xml:space="preserve"> him; having performed the formula, he who offer the oblation</w:t>
      </w:r>
      <w:r>
        <w:rPr>
          <w:rStyle w:val="FootnoteAnchor"/>
        </w:rPr>
        <w:footnoteReference w:id="303"/>
      </w:r>
      <w:r>
        <w:t xml:space="preserve"> may get swollen, over the son born from the son survives</w:t>
      </w:r>
      <w:r>
        <w:rPr>
          <w:rStyle w:val="FootnoteAnchor"/>
        </w:rPr>
        <w:footnoteReference w:id="304"/>
      </w:r>
      <w:r>
        <w:t xml:space="preserve"> whoever Brahma</w:t>
      </w:r>
      <w:r>
        <w:t>naspati takes as</w:t>
      </w:r>
      <w:r>
        <w:t xml:space="preserve"> an ally”</w:t>
      </w:r>
      <w:r>
        <w:t xml:space="preserve"> “of that easy to guide, o Brahmanaspati, always [.3] may we be the drivers of a chariot of shining</w:t>
      </w:r>
      <w:r>
        <w:rPr>
          <w:rStyle w:val="FootnoteAnchor"/>
        </w:rPr>
        <w:footnoteReference w:id="305"/>
      </w:r>
      <w:r>
        <w:t xml:space="preserve"> wealth, add heroes after heroes for us, if you, master through the formula, enjoy the oblation of mine” “this one, indeed, with t</w:t>
      </w:r>
      <w:r>
        <w:t>he people, this with the tribe, this through births, this with sons brings the victory</w:t>
      </w:r>
      <w:r>
        <w:rPr>
          <w:rStyle w:val="FootnoteAnchor"/>
        </w:rPr>
        <w:footnoteReference w:id="306"/>
      </w:r>
      <w:r>
        <w:t xml:space="preserve">, prize of goods, to the men; this who, faithful, </w:t>
      </w:r>
      <w:r>
        <w:rPr>
          <w:u w:val="single"/>
        </w:rPr>
        <w:t>wants to appropriate</w:t>
      </w:r>
      <w:r>
        <w:t xml:space="preserve"> Brahmanaspati, the father of gods, with the oblation” “o Pu</w:t>
      </w:r>
      <w:r>
        <w:t>ṣ</w:t>
      </w:r>
      <w:r>
        <w:t>an, the navel of you which (goes) amongst” “brightness (</w:t>
      </w:r>
      <w:r>
        <w:rPr>
          <w:i/>
          <w:iCs/>
        </w:rPr>
        <w:t>śukra</w:t>
      </w:r>
      <w:r>
        <w:t>) one of your” “Pu</w:t>
      </w:r>
      <w:r>
        <w:t>ṣ</w:t>
      </w:r>
      <w:r>
        <w:t>an these regions of the sky (</w:t>
      </w:r>
      <w:r>
        <w:rPr>
          <w:i/>
          <w:iCs/>
        </w:rPr>
        <w:t>āśā</w:t>
      </w:r>
      <w:r>
        <w:t>)</w:t>
      </w:r>
      <w:r>
        <w:rPr>
          <w:rStyle w:val="FootnoteAnchor"/>
        </w:rPr>
        <w:footnoteReference w:id="307"/>
      </w:r>
      <w:r>
        <w:t>” “Pu</w:t>
      </w:r>
      <w:r>
        <w:t>ṣ</w:t>
      </w:r>
      <w:r>
        <w:t>an was born in the distance</w:t>
      </w:r>
      <w:r>
        <w:rPr>
          <w:rStyle w:val="FootnoteAnchor"/>
        </w:rPr>
        <w:footnoteReference w:id="308"/>
      </w:r>
      <w:r>
        <w:t xml:space="preserve"> of paths.</w:t>
      </w:r>
    </w:p>
    <w:p w14:paraId="4984C8A9" w14:textId="77777777" w:rsidR="00E53EB6" w:rsidRPr="00B80C6B" w:rsidRDefault="006500F5">
      <w:pPr>
        <w:pStyle w:val="Zitat"/>
        <w:rPr>
          <w:lang w:val="de-DE"/>
        </w:rPr>
      </w:pPr>
      <w:r>
        <w:rPr>
          <w:i/>
          <w:iCs/>
        </w:rPr>
        <w:t>vanavat:</w:t>
      </w:r>
      <w:r>
        <w:t xml:space="preserve"> subj. pres. 3</w:t>
      </w:r>
      <w:r>
        <w:rPr>
          <w:vertAlign w:val="superscript"/>
        </w:rPr>
        <w:t>rd</w:t>
      </w:r>
      <w:r>
        <w:t xml:space="preserve"> sing. </w:t>
      </w:r>
      <w:r w:rsidRPr="00B80C6B">
        <w:rPr>
          <w:lang w:val="de-DE"/>
        </w:rPr>
        <w:t>VII</w:t>
      </w:r>
      <w:r w:rsidRPr="00B80C6B">
        <w:rPr>
          <w:lang w:val="de-DE"/>
        </w:rPr>
        <w:t>I cl.</w:t>
      </w:r>
    </w:p>
    <w:p w14:paraId="0612C55A" w14:textId="77777777" w:rsidR="00E53EB6" w:rsidRPr="00B80C6B" w:rsidRDefault="006500F5">
      <w:pPr>
        <w:pStyle w:val="ZitatmitEinzug"/>
        <w:rPr>
          <w:lang w:val="de-DE"/>
        </w:rPr>
      </w:pPr>
      <w:r w:rsidRPr="00B80C6B">
        <w:rPr>
          <w:rStyle w:val="biblio-authorGEN"/>
          <w:sz w:val="18"/>
          <w:szCs w:val="15"/>
          <w:lang w:val="de-DE"/>
        </w:rPr>
        <w:t>Geldner</w:t>
      </w:r>
      <w:r w:rsidRPr="00B80C6B">
        <w:rPr>
          <w:lang w:val="de-DE"/>
        </w:rPr>
        <w:t>: I 308 “überwinden”</w:t>
      </w:r>
    </w:p>
    <w:p w14:paraId="1929CBE3" w14:textId="77777777" w:rsidR="00E53EB6" w:rsidRPr="00B80C6B" w:rsidRDefault="006500F5">
      <w:pPr>
        <w:pStyle w:val="ZitatmitEinzug"/>
        <w:rPr>
          <w:lang w:val="de-DE"/>
        </w:rPr>
      </w:pPr>
      <w:r w:rsidRPr="00B80C6B">
        <w:rPr>
          <w:rStyle w:val="biblio-authorGEN"/>
          <w:sz w:val="18"/>
          <w:szCs w:val="15"/>
          <w:lang w:val="de-DE"/>
        </w:rPr>
        <w:t>Renou</w:t>
      </w:r>
      <w:r w:rsidRPr="00B80C6B">
        <w:rPr>
          <w:lang w:val="de-DE"/>
        </w:rPr>
        <w:t>: XV 60 “vaincra”</w:t>
      </w:r>
    </w:p>
    <w:p w14:paraId="737F9429" w14:textId="77777777" w:rsidR="00E53EB6" w:rsidRPr="00B80C6B" w:rsidRDefault="006500F5">
      <w:pPr>
        <w:pStyle w:val="ZitatmitEinzug"/>
        <w:rPr>
          <w:lang w:val="de-DE"/>
        </w:rPr>
      </w:pPr>
      <w:r w:rsidRPr="00B80C6B">
        <w:rPr>
          <w:rStyle w:val="biblio-authorGEN"/>
          <w:sz w:val="18"/>
          <w:szCs w:val="18"/>
          <w:lang w:val="de-DE"/>
        </w:rPr>
        <w:t xml:space="preserve">Witzel-Gotō </w:t>
      </w:r>
      <w:r w:rsidRPr="00B80C6B">
        <w:rPr>
          <w:lang w:val="de-DE"/>
        </w:rPr>
        <w:t>2007: 392 “wird besiegen”</w:t>
      </w:r>
    </w:p>
    <w:p w14:paraId="0063DACA" w14:textId="77777777" w:rsidR="00E53EB6" w:rsidRDefault="006500F5">
      <w:pPr>
        <w:pStyle w:val="Zitat"/>
        <w:rPr>
          <w:i/>
          <w:iCs/>
        </w:rPr>
      </w:pPr>
      <w:r>
        <w:rPr>
          <w:i/>
          <w:iCs/>
        </w:rPr>
        <w:t>vanu</w:t>
      </w:r>
      <w:r>
        <w:rPr>
          <w:i/>
          <w:iCs/>
        </w:rPr>
        <w:t>ṣ</w:t>
      </w:r>
      <w:r>
        <w:rPr>
          <w:i/>
          <w:iCs/>
        </w:rPr>
        <w:t>yatá</w:t>
      </w:r>
      <w:r>
        <w:rPr>
          <w:i/>
          <w:iCs/>
        </w:rPr>
        <w:t>ḥ</w:t>
      </w:r>
      <w:r>
        <w:rPr>
          <w:i/>
          <w:iCs/>
        </w:rPr>
        <w:t xml:space="preserve">: </w:t>
      </w:r>
      <w:r>
        <w:t xml:space="preserve">part. pres. acc. masc. pl. from </w:t>
      </w:r>
      <w:r>
        <w:rPr>
          <w:i/>
          <w:iCs/>
        </w:rPr>
        <w:t>vanu</w:t>
      </w:r>
      <w:r>
        <w:rPr>
          <w:i/>
          <w:iCs/>
        </w:rPr>
        <w:t>ṣ</w:t>
      </w:r>
      <w:r>
        <w:rPr>
          <w:i/>
          <w:iCs/>
        </w:rPr>
        <w:t xml:space="preserve">ya </w:t>
      </w:r>
      <w:r>
        <w:t xml:space="preserve">denominative of </w:t>
      </w:r>
      <w:r>
        <w:rPr>
          <w:i/>
          <w:iCs/>
        </w:rPr>
        <w:t>vanús</w:t>
      </w:r>
    </w:p>
    <w:p w14:paraId="11CD2E75" w14:textId="77777777" w:rsidR="00E53EB6" w:rsidRDefault="006500F5">
      <w:pPr>
        <w:pStyle w:val="ZitatmitEinzug"/>
      </w:pPr>
      <w:r>
        <w:rPr>
          <w:rStyle w:val="biblio-authorGEN"/>
          <w:sz w:val="18"/>
          <w:szCs w:val="15"/>
        </w:rPr>
        <w:t>Geldner</w:t>
      </w:r>
      <w:r>
        <w:t>: I 308 “das Neider”</w:t>
      </w:r>
    </w:p>
    <w:p w14:paraId="077C0564" w14:textId="77777777" w:rsidR="00E53EB6" w:rsidRDefault="006500F5">
      <w:pPr>
        <w:pStyle w:val="ZitatmitEinzug"/>
      </w:pPr>
      <w:r>
        <w:rPr>
          <w:rStyle w:val="biblio-authorGEN"/>
          <w:sz w:val="18"/>
          <w:szCs w:val="15"/>
        </w:rPr>
        <w:t>Renou</w:t>
      </w:r>
      <w:r>
        <w:t>: XV 60 “les (adversaires) cherchant-à-vaincre”</w:t>
      </w:r>
    </w:p>
    <w:p w14:paraId="3BE788BA" w14:textId="77777777" w:rsidR="00E53EB6" w:rsidRPr="00B80C6B" w:rsidRDefault="006500F5">
      <w:pPr>
        <w:pStyle w:val="ZitatmitEinzug"/>
        <w:rPr>
          <w:lang w:val="de-DE"/>
        </w:rPr>
      </w:pPr>
      <w:r w:rsidRPr="00B80C6B">
        <w:rPr>
          <w:rStyle w:val="biblio-authorGEN"/>
          <w:sz w:val="18"/>
          <w:szCs w:val="18"/>
          <w:lang w:val="de-DE"/>
        </w:rPr>
        <w:t>Witzel</w:t>
      </w:r>
      <w:r w:rsidRPr="00B80C6B">
        <w:rPr>
          <w:rStyle w:val="biblio-authorGEN"/>
          <w:sz w:val="18"/>
          <w:szCs w:val="18"/>
          <w:lang w:val="de-DE"/>
        </w:rPr>
        <w:t xml:space="preserve">-Gotō </w:t>
      </w:r>
      <w:r w:rsidRPr="00B80C6B">
        <w:rPr>
          <w:lang w:val="de-DE"/>
        </w:rPr>
        <w:t>2007: 392 “die Angreifenden”</w:t>
      </w:r>
    </w:p>
    <w:p w14:paraId="3C752AD5" w14:textId="77777777" w:rsidR="00E53EB6" w:rsidRPr="00B80C6B" w:rsidRDefault="006500F5">
      <w:pPr>
        <w:pStyle w:val="Zitat"/>
        <w:rPr>
          <w:i/>
          <w:iCs/>
          <w:lang w:val="de-DE"/>
        </w:rPr>
      </w:pPr>
      <w:r w:rsidRPr="00B80C6B">
        <w:rPr>
          <w:i/>
          <w:iCs/>
          <w:lang w:val="de-DE"/>
        </w:rPr>
        <w:t>ā vívāsati:</w:t>
      </w:r>
      <w:r w:rsidRPr="00B80C6B">
        <w:rPr>
          <w:lang w:val="de-DE"/>
        </w:rPr>
        <w:t xml:space="preserve"> ind. pres. 3</w:t>
      </w:r>
      <w:r w:rsidRPr="00B80C6B">
        <w:rPr>
          <w:vertAlign w:val="superscript"/>
          <w:lang w:val="de-DE"/>
        </w:rPr>
        <w:t>rd</w:t>
      </w:r>
      <w:r w:rsidRPr="00B80C6B">
        <w:rPr>
          <w:lang w:val="de-DE"/>
        </w:rPr>
        <w:t xml:space="preserve"> sing. form desiderative stem </w:t>
      </w:r>
      <w:r w:rsidRPr="00B80C6B">
        <w:rPr>
          <w:i/>
          <w:iCs/>
          <w:lang w:val="de-DE"/>
        </w:rPr>
        <w:t>vivās</w:t>
      </w:r>
    </w:p>
    <w:p w14:paraId="75F90292" w14:textId="77777777" w:rsidR="00E53EB6" w:rsidRPr="00B80C6B" w:rsidRDefault="006500F5">
      <w:pPr>
        <w:pStyle w:val="ZitatmitEinzug"/>
        <w:rPr>
          <w:lang w:val="de-DE"/>
        </w:rPr>
      </w:pPr>
      <w:r w:rsidRPr="00B80C6B">
        <w:rPr>
          <w:rStyle w:val="biblio-authorGEN"/>
          <w:sz w:val="18"/>
          <w:szCs w:val="15"/>
          <w:lang w:val="de-DE"/>
        </w:rPr>
        <w:t>Geldner</w:t>
      </w:r>
      <w:r w:rsidRPr="00B80C6B">
        <w:rPr>
          <w:lang w:val="de-DE"/>
        </w:rPr>
        <w:t>:</w:t>
      </w:r>
      <w:r w:rsidRPr="00B80C6B">
        <w:rPr>
          <w:lang w:val="de-DE"/>
        </w:rPr>
        <w:t xml:space="preserve"> I 309 “zu gewinnen sucht”</w:t>
      </w:r>
    </w:p>
    <w:p w14:paraId="6CE48908" w14:textId="77777777" w:rsidR="00E53EB6" w:rsidRPr="00B80C6B" w:rsidRDefault="006500F5">
      <w:pPr>
        <w:pStyle w:val="ZitatmitEinzug"/>
        <w:rPr>
          <w:lang w:val="it-IT"/>
        </w:rPr>
      </w:pPr>
      <w:r w:rsidRPr="00B80C6B">
        <w:rPr>
          <w:rStyle w:val="biblio-authorGEN"/>
          <w:sz w:val="18"/>
          <w:szCs w:val="15"/>
          <w:lang w:val="it-IT"/>
        </w:rPr>
        <w:t>Renou</w:t>
      </w:r>
      <w:r w:rsidRPr="00B80C6B">
        <w:rPr>
          <w:lang w:val="it-IT"/>
        </w:rPr>
        <w:t xml:space="preserve">: XV 61 </w:t>
      </w:r>
      <w:r w:rsidRPr="00B80C6B">
        <w:rPr>
          <w:lang w:val="it-IT"/>
        </w:rPr>
        <w:t>“cherche à gagner à soi”</w:t>
      </w:r>
    </w:p>
    <w:p w14:paraId="1669EAA0" w14:textId="77777777" w:rsidR="00E53EB6" w:rsidRPr="00B80C6B" w:rsidRDefault="006500F5">
      <w:pPr>
        <w:pStyle w:val="ZitatmitEinzug"/>
        <w:rPr>
          <w:lang w:val="de-DE"/>
        </w:rPr>
      </w:pPr>
      <w:r w:rsidRPr="00B80C6B">
        <w:rPr>
          <w:rStyle w:val="biblio-authorGEN"/>
          <w:sz w:val="18"/>
          <w:szCs w:val="18"/>
          <w:lang w:val="de-DE"/>
        </w:rPr>
        <w:t xml:space="preserve">Witzel-Gotō </w:t>
      </w:r>
      <w:r w:rsidRPr="00B80C6B">
        <w:rPr>
          <w:lang w:val="de-DE"/>
        </w:rPr>
        <w:t>2007: 393 “zu gewinnen sucht”</w:t>
      </w:r>
    </w:p>
    <w:p w14:paraId="785AB332" w14:textId="77777777" w:rsidR="00E53EB6" w:rsidRPr="00B80C6B" w:rsidRDefault="006500F5">
      <w:pPr>
        <w:pStyle w:val="HaupttextnachZitat"/>
        <w:rPr>
          <w:lang w:val="de-DE"/>
        </w:rPr>
      </w:pPr>
      <w:r w:rsidRPr="00B80C6B">
        <w:rPr>
          <w:lang w:val="de-DE"/>
        </w:rPr>
        <w:t>Vedic Web</w:t>
      </w:r>
    </w:p>
    <w:p w14:paraId="4A997269" w14:textId="77777777" w:rsidR="00E53EB6" w:rsidRPr="00B80C6B" w:rsidRDefault="006500F5">
      <w:pPr>
        <w:pStyle w:val="HaupttextohneEinzug"/>
        <w:rPr>
          <w:lang w:val="de-DE"/>
        </w:rPr>
      </w:pPr>
      <w:r w:rsidRPr="00B80C6B">
        <w:rPr>
          <w:lang w:val="de-DE"/>
        </w:rPr>
        <w:t xml:space="preserve">Mantra: </w:t>
      </w:r>
      <w:r w:rsidRPr="00B80C6B">
        <w:rPr>
          <w:szCs w:val="21"/>
          <w:lang w:val="de-DE"/>
        </w:rPr>
        <w:t>R</w:t>
      </w:r>
      <w:r w:rsidRPr="00B80C6B">
        <w:rPr>
          <w:rFonts w:eastAsia="Arial" w:cs="Devanagari MT;Times New Roman"/>
          <w:szCs w:val="21"/>
          <w:lang w:val="de-DE" w:eastAsia="hi-IN" w:bidi="en-GB"/>
        </w:rPr>
        <w:t>̥</w:t>
      </w:r>
      <w:r w:rsidRPr="00B80C6B">
        <w:rPr>
          <w:szCs w:val="21"/>
          <w:lang w:val="de-DE"/>
        </w:rPr>
        <w:t>V</w:t>
      </w:r>
      <w:r w:rsidRPr="00B80C6B">
        <w:rPr>
          <w:lang w:val="de-DE"/>
        </w:rPr>
        <w:t xml:space="preserve"> 10.67.7; 2.24.14; 2.25.1; 2.24.15; MS 4.14.10; R̥V 2.26.3; R̥V 6.58.3; .1; R̥V 10.17.6a.</w:t>
      </w:r>
    </w:p>
    <w:p w14:paraId="7BC6F9B0" w14:textId="77777777" w:rsidR="00E53EB6" w:rsidRPr="00B80C6B" w:rsidRDefault="00E53EB6">
      <w:pPr>
        <w:pStyle w:val="HaupttextohneEinzug"/>
        <w:rPr>
          <w:lang w:val="de-DE"/>
        </w:rPr>
      </w:pPr>
    </w:p>
    <w:p w14:paraId="1B65C316" w14:textId="77777777" w:rsidR="00E53EB6" w:rsidRDefault="006500F5">
      <w:pPr>
        <w:pStyle w:val="HaupttextohneEinzug"/>
      </w:pPr>
      <w:r>
        <w:t>Rite</w:t>
      </w:r>
    </w:p>
    <w:p w14:paraId="29F9D712" w14:textId="77777777" w:rsidR="00E53EB6" w:rsidRDefault="006500F5">
      <w:pPr>
        <w:pStyle w:val="HaupttextohneEinzug"/>
      </w:pPr>
      <w:r>
        <w:t>Animal sacrifices with special prayers (</w:t>
      </w:r>
      <w:r>
        <w:rPr>
          <w:i/>
          <w:iCs/>
        </w:rPr>
        <w:t>kāmya</w:t>
      </w:r>
      <w:r>
        <w:t>).</w:t>
      </w:r>
    </w:p>
    <w:p w14:paraId="70BC8A3A" w14:textId="77777777" w:rsidR="00E53EB6" w:rsidRDefault="006500F5">
      <w:pPr>
        <w:pStyle w:val="HaupttextohneEinzug"/>
      </w:pPr>
      <w:r>
        <w:t>As to 2.8.5.2, it consists of the</w:t>
      </w:r>
      <w:r>
        <w:rPr>
          <w:rFonts w:eastAsia="MS Mincho;ＭＳ 明朝" w:cs="Times Ext Roman"/>
          <w:szCs w:val="21"/>
          <w:lang w:eastAsia="hi-IN" w:bidi="en-GB"/>
        </w:rPr>
        <w:t xml:space="preserve"> </w:t>
      </w:r>
      <w:r>
        <w:rPr>
          <w:rFonts w:eastAsia="MS Mincho;ＭＳ 明朝" w:cs="Times Ext Roman"/>
          <w:i/>
          <w:iCs/>
          <w:szCs w:val="21"/>
          <w:lang w:eastAsia="hi-IN" w:bidi="en-GB"/>
        </w:rPr>
        <w:t>mantra</w:t>
      </w:r>
      <w:r>
        <w:rPr>
          <w:rFonts w:eastAsia="MS Mincho;ＭＳ 明朝" w:cs="Times Ext Roman"/>
          <w:szCs w:val="21"/>
          <w:lang w:eastAsia="hi-IN" w:bidi="en-GB"/>
        </w:rPr>
        <w:t xml:space="preserve">s to be recited during the sacrifice of a polled ox to </w:t>
      </w:r>
      <w:r>
        <w:rPr>
          <w:rFonts w:eastAsia="MS Mincho;ＭＳ 明朝" w:cs="Times Ext Roman"/>
          <w:szCs w:val="21"/>
          <w:lang w:eastAsia="hi-IN" w:bidi="en-GB"/>
        </w:rPr>
        <w:lastRenderedPageBreak/>
        <w:t>Brahma</w:t>
      </w:r>
      <w:r>
        <w:rPr>
          <w:rFonts w:eastAsia="MS Mincho;ＭＳ 明朝" w:cs="Times Ext Roman"/>
          <w:szCs w:val="21"/>
          <w:lang w:eastAsia="hi-IN" w:bidi="en-GB"/>
        </w:rPr>
        <w:t>ṇ</w:t>
      </w:r>
      <w:r>
        <w:rPr>
          <w:rFonts w:eastAsia="MS Mincho;ＭＳ 明朝" w:cs="Times Ext Roman"/>
          <w:szCs w:val="21"/>
          <w:lang w:eastAsia="hi-IN" w:bidi="en-GB"/>
        </w:rPr>
        <w:t xml:space="preserve">aspati. </w:t>
      </w:r>
    </w:p>
    <w:p w14:paraId="0C0FD839" w14:textId="77777777" w:rsidR="00E53EB6" w:rsidRDefault="006500F5">
      <w:pPr>
        <w:pStyle w:val="HaupttextohneEinzug"/>
        <w:rPr>
          <w:rFonts w:eastAsia="MS Mincho;ＭＳ 明朝" w:cs="Times Ext Roman"/>
          <w:szCs w:val="21"/>
          <w:lang w:eastAsia="hi-IN" w:bidi="en-GB"/>
        </w:rPr>
      </w:pPr>
      <w:r>
        <w:rPr>
          <w:rFonts w:eastAsia="MS Mincho;ＭＳ 明朝" w:cs="Times Ext Roman"/>
          <w:szCs w:val="21"/>
          <w:lang w:eastAsia="hi-IN" w:bidi="en-GB"/>
        </w:rPr>
        <w:t xml:space="preserve">As to 2.8.5.3 it consists of initial words or entire </w:t>
      </w:r>
      <w:r>
        <w:rPr>
          <w:rFonts w:eastAsia="MS Mincho;ＭＳ 明朝" w:cs="Times Ext Roman"/>
          <w:i/>
          <w:iCs/>
          <w:szCs w:val="21"/>
          <w:lang w:eastAsia="hi-IN" w:bidi="en-GB"/>
        </w:rPr>
        <w:t>mantra</w:t>
      </w:r>
      <w:r>
        <w:rPr>
          <w:rFonts w:eastAsia="MS Mincho;ＭＳ 明朝" w:cs="Times Ext Roman"/>
          <w:szCs w:val="21"/>
          <w:lang w:eastAsia="hi-IN" w:bidi="en-GB"/>
        </w:rPr>
        <w:t>s to be recited during the sacrifice of a black or a lean cow (the comment says only that has to be a female) to Pu</w:t>
      </w:r>
      <w:r>
        <w:rPr>
          <w:rFonts w:eastAsia="MS Mincho;ＭＳ 明朝" w:cs="Times Ext Roman"/>
          <w:szCs w:val="21"/>
          <w:lang w:eastAsia="hi-IN" w:bidi="en-GB"/>
        </w:rPr>
        <w:t>ṣ</w:t>
      </w:r>
      <w:r>
        <w:rPr>
          <w:rFonts w:eastAsia="MS Mincho;ＭＳ 明朝" w:cs="Times Ext Roman"/>
          <w:szCs w:val="21"/>
          <w:lang w:eastAsia="hi-IN" w:bidi="en-GB"/>
        </w:rPr>
        <w:t xml:space="preserve">an. </w:t>
      </w:r>
    </w:p>
    <w:p w14:paraId="56E6ADA4" w14:textId="77777777" w:rsidR="00E53EB6" w:rsidRDefault="00E53EB6">
      <w:pPr>
        <w:pStyle w:val="HaupttextohneEinzug"/>
        <w:rPr>
          <w:rFonts w:eastAsia="Arial" w:cs="Times Ext Roman"/>
          <w:szCs w:val="21"/>
          <w:lang w:eastAsia="hi-IN" w:bidi="en-GB"/>
        </w:rPr>
      </w:pPr>
    </w:p>
    <w:p w14:paraId="6AA0497D" w14:textId="77777777" w:rsidR="00E53EB6" w:rsidRDefault="006500F5">
      <w:pPr>
        <w:pStyle w:val="Heading5"/>
        <w:tabs>
          <w:tab w:val="left" w:pos="0"/>
        </w:tabs>
      </w:pPr>
      <w:r>
        <w:rPr>
          <w:u w:val="single"/>
        </w:rPr>
        <w:t>TB 2</w:t>
      </w:r>
      <w:r>
        <w:rPr>
          <w:u w:val="single"/>
        </w:rPr>
        <w:t>.8.5.[7]-8-[9]</w:t>
      </w:r>
      <w:r>
        <w:tab/>
      </w:r>
      <w:r>
        <w:tab/>
      </w:r>
      <w:r>
        <w:tab/>
      </w:r>
      <w:r>
        <w:tab/>
      </w:r>
      <w:r>
        <w:tab/>
      </w:r>
      <w:r>
        <w:tab/>
      </w:r>
      <w:r>
        <w:tab/>
      </w:r>
      <w:r>
        <w:tab/>
      </w:r>
    </w:p>
    <w:p w14:paraId="2230233E" w14:textId="77777777" w:rsidR="00E53EB6" w:rsidRDefault="006500F5">
      <w:pPr>
        <w:pStyle w:val="Zitat"/>
        <w:rPr>
          <w:i/>
          <w:iCs/>
        </w:rPr>
      </w:pPr>
      <w:r>
        <w:t xml:space="preserve">2.8.5.7 </w:t>
      </w:r>
      <w:r>
        <w:rPr>
          <w:i/>
          <w:iCs/>
        </w:rPr>
        <w:t>yá índra śú</w:t>
      </w:r>
      <w:r>
        <w:rPr>
          <w:i/>
          <w:iCs/>
        </w:rPr>
        <w:t>ṣ</w:t>
      </w:r>
      <w:r>
        <w:rPr>
          <w:i/>
          <w:iCs/>
        </w:rPr>
        <w:t>mo maghavan te ásti //</w:t>
      </w:r>
      <w:r>
        <w:t xml:space="preserve"> [.8]</w:t>
      </w:r>
      <w:r>
        <w:rPr>
          <w:i/>
          <w:iCs/>
        </w:rPr>
        <w:t>śík</w:t>
      </w:r>
      <w:r>
        <w:rPr>
          <w:i/>
          <w:iCs/>
        </w:rPr>
        <w:t>ṣ</w:t>
      </w:r>
      <w:r>
        <w:rPr>
          <w:i/>
          <w:iCs/>
        </w:rPr>
        <w:t>ā sákhibhya</w:t>
      </w:r>
      <w:r>
        <w:rPr>
          <w:i/>
          <w:iCs/>
        </w:rPr>
        <w:t>ḥ</w:t>
      </w:r>
      <w:r>
        <w:rPr>
          <w:i/>
          <w:iCs/>
        </w:rPr>
        <w:t xml:space="preserve"> puruhūta nŕ</w:t>
      </w:r>
      <w:r>
        <w:rPr>
          <w:rFonts w:cs="Devanagari MT;Times New Roman"/>
          <w:lang w:eastAsia="hi-IN"/>
        </w:rPr>
        <w:t>̥</w:t>
      </w:r>
      <w:r>
        <w:rPr>
          <w:i/>
          <w:iCs/>
        </w:rPr>
        <w:t>bhya</w:t>
      </w:r>
      <w:r>
        <w:rPr>
          <w:i/>
          <w:iCs/>
        </w:rPr>
        <w:t>ḥ</w:t>
      </w:r>
      <w:r>
        <w:rPr>
          <w:i/>
          <w:iCs/>
        </w:rPr>
        <w:t xml:space="preserve"> / tvám̐ hí dr</w:t>
      </w:r>
      <w:r>
        <w:rPr>
          <w:rFonts w:cs="Devanagari MT;Times New Roman"/>
          <w:lang w:eastAsia="hi-IN"/>
        </w:rPr>
        <w:t>̥</w:t>
      </w:r>
      <w:r>
        <w:rPr>
          <w:i/>
          <w:iCs/>
        </w:rPr>
        <w:t>ḍ</w:t>
      </w:r>
      <w:r>
        <w:rPr>
          <w:i/>
          <w:iCs/>
        </w:rPr>
        <w:t>hā́ maghavan vícetā</w:t>
      </w:r>
      <w:r>
        <w:rPr>
          <w:i/>
          <w:iCs/>
        </w:rPr>
        <w:t>ḥ</w:t>
      </w:r>
      <w:r>
        <w:rPr>
          <w:i/>
          <w:iCs/>
        </w:rPr>
        <w:t xml:space="preserve"> /  ápāvr</w:t>
      </w:r>
      <w:r>
        <w:rPr>
          <w:rFonts w:cs="Devanagari MT;Times New Roman"/>
          <w:lang w:eastAsia="hi-IN"/>
        </w:rPr>
        <w:t>̥</w:t>
      </w:r>
      <w:r>
        <w:rPr>
          <w:i/>
          <w:iCs/>
        </w:rPr>
        <w:t>dhi párivr</w:t>
      </w:r>
      <w:r>
        <w:rPr>
          <w:rFonts w:cs="Devanagari MT;Times New Roman"/>
          <w:lang w:eastAsia="hi-IN"/>
        </w:rPr>
        <w:t>̥</w:t>
      </w:r>
      <w:r>
        <w:rPr>
          <w:i/>
          <w:iCs/>
        </w:rPr>
        <w:t>ti</w:t>
      </w:r>
      <w:r>
        <w:rPr>
          <w:i/>
          <w:iCs/>
        </w:rPr>
        <w:t>ṃ</w:t>
      </w:r>
      <w:r>
        <w:rPr>
          <w:i/>
          <w:iCs/>
        </w:rPr>
        <w:t xml:space="preserve"> ná rā́dha</w:t>
      </w:r>
      <w:r>
        <w:rPr>
          <w:i/>
          <w:iCs/>
        </w:rPr>
        <w:t>ḥ</w:t>
      </w:r>
      <w:r>
        <w:rPr>
          <w:rStyle w:val="FootnoteAnchor"/>
          <w:i/>
          <w:iCs/>
        </w:rPr>
        <w:footnoteReference w:id="309"/>
      </w:r>
      <w:r>
        <w:rPr>
          <w:i/>
          <w:iCs/>
        </w:rPr>
        <w:t xml:space="preserve"> / índro rā́jā jágataś car</w:t>
      </w:r>
      <w:r>
        <w:rPr>
          <w:i/>
          <w:iCs/>
        </w:rPr>
        <w:t>ṣ</w:t>
      </w:r>
      <w:r>
        <w:rPr>
          <w:i/>
          <w:iCs/>
        </w:rPr>
        <w:t>a</w:t>
      </w:r>
      <w:r>
        <w:rPr>
          <w:i/>
          <w:iCs/>
        </w:rPr>
        <w:t>ṇ</w:t>
      </w:r>
      <w:r>
        <w:rPr>
          <w:i/>
          <w:iCs/>
        </w:rPr>
        <w:t>īnā́m / ádhi k</w:t>
      </w:r>
      <w:r>
        <w:rPr>
          <w:i/>
          <w:iCs/>
        </w:rPr>
        <w:t>ṣ</w:t>
      </w:r>
      <w:r>
        <w:rPr>
          <w:i/>
          <w:iCs/>
        </w:rPr>
        <w:t>ámi ví</w:t>
      </w:r>
      <w:r>
        <w:rPr>
          <w:i/>
          <w:iCs/>
        </w:rPr>
        <w:t>ṣ</w:t>
      </w:r>
      <w:r>
        <w:rPr>
          <w:i/>
          <w:iCs/>
        </w:rPr>
        <w:t>urūpa</w:t>
      </w:r>
      <w:r>
        <w:rPr>
          <w:i/>
          <w:iCs/>
        </w:rPr>
        <w:t>ṃ</w:t>
      </w:r>
      <w:r>
        <w:rPr>
          <w:i/>
          <w:iCs/>
        </w:rPr>
        <w:t xml:space="preserve"> yád ásti / táto dadātu dāśú</w:t>
      </w:r>
      <w:r>
        <w:rPr>
          <w:i/>
          <w:iCs/>
        </w:rPr>
        <w:t>ṣ</w:t>
      </w:r>
      <w:r>
        <w:rPr>
          <w:i/>
          <w:iCs/>
        </w:rPr>
        <w:t>e vásūni / códad rā́dha úpastutaś cid arvā́k</w:t>
      </w:r>
      <w:r>
        <w:rPr>
          <w:rStyle w:val="FootnoteAnchor"/>
          <w:i/>
          <w:iCs/>
        </w:rPr>
        <w:footnoteReference w:id="310"/>
      </w:r>
      <w:r>
        <w:rPr>
          <w:i/>
          <w:iCs/>
        </w:rPr>
        <w:t xml:space="preserve"> / tám u </w:t>
      </w:r>
      <w:r>
        <w:rPr>
          <w:i/>
          <w:iCs/>
        </w:rPr>
        <w:t>ṣṭ</w:t>
      </w:r>
      <w:r>
        <w:rPr>
          <w:i/>
          <w:iCs/>
        </w:rPr>
        <w:t>uhi yó abhíbhūtyojā</w:t>
      </w:r>
      <w:r>
        <w:rPr>
          <w:i/>
          <w:iCs/>
        </w:rPr>
        <w:t>ḥ</w:t>
      </w:r>
      <w:r>
        <w:rPr>
          <w:i/>
          <w:iCs/>
        </w:rPr>
        <w:t xml:space="preserve"> / vanvánn ávāta</w:t>
      </w:r>
      <w:r>
        <w:rPr>
          <w:i/>
          <w:iCs/>
        </w:rPr>
        <w:t>ḥ</w:t>
      </w:r>
      <w:r>
        <w:rPr>
          <w:i/>
          <w:iCs/>
        </w:rPr>
        <w:t xml:space="preserve"> puruhūtá índra</w:t>
      </w:r>
      <w:r>
        <w:rPr>
          <w:i/>
          <w:iCs/>
        </w:rPr>
        <w:t>ḥ</w:t>
      </w:r>
      <w:r>
        <w:rPr>
          <w:i/>
          <w:iCs/>
        </w:rPr>
        <w:t xml:space="preserve"> / á</w:t>
      </w:r>
      <w:r>
        <w:rPr>
          <w:i/>
          <w:iCs/>
        </w:rPr>
        <w:t>ṣ</w:t>
      </w:r>
      <w:r>
        <w:rPr>
          <w:i/>
          <w:iCs/>
        </w:rPr>
        <w:t>ā</w:t>
      </w:r>
      <w:r>
        <w:rPr>
          <w:i/>
          <w:iCs/>
        </w:rPr>
        <w:t>ḍ</w:t>
      </w:r>
      <w:r>
        <w:rPr>
          <w:i/>
          <w:iCs/>
        </w:rPr>
        <w:t>ham ugrám̐ sáhamānam ābhí</w:t>
      </w:r>
      <w:r>
        <w:rPr>
          <w:i/>
          <w:iCs/>
        </w:rPr>
        <w:t>ḥ</w:t>
      </w:r>
      <w:r>
        <w:rPr>
          <w:i/>
          <w:iCs/>
        </w:rPr>
        <w:t xml:space="preserve"> // </w:t>
      </w:r>
      <w:r>
        <w:t>[.9]</w:t>
      </w:r>
      <w:r>
        <w:rPr>
          <w:i/>
          <w:iCs/>
        </w:rPr>
        <w:t>gīrbhír vardha vr</w:t>
      </w:r>
      <w:r>
        <w:rPr>
          <w:rFonts w:cs="Devanagari MT;Times New Roman"/>
          <w:lang w:eastAsia="hi-IN"/>
        </w:rPr>
        <w:t>̥</w:t>
      </w:r>
      <w:r>
        <w:rPr>
          <w:i/>
          <w:iCs/>
        </w:rPr>
        <w:t>ṣ</w:t>
      </w:r>
      <w:r>
        <w:rPr>
          <w:i/>
          <w:iCs/>
        </w:rPr>
        <w:t>abhá</w:t>
      </w:r>
      <w:r>
        <w:rPr>
          <w:i/>
          <w:iCs/>
        </w:rPr>
        <w:t>ṃ</w:t>
      </w:r>
      <w:r>
        <w:rPr>
          <w:i/>
          <w:iCs/>
        </w:rPr>
        <w:t xml:space="preserve"> car</w:t>
      </w:r>
      <w:r>
        <w:rPr>
          <w:i/>
          <w:iCs/>
        </w:rPr>
        <w:t>ṣ</w:t>
      </w:r>
      <w:r>
        <w:rPr>
          <w:i/>
          <w:iCs/>
        </w:rPr>
        <w:t>a</w:t>
      </w:r>
      <w:r>
        <w:rPr>
          <w:i/>
          <w:iCs/>
        </w:rPr>
        <w:t>ṇ</w:t>
      </w:r>
      <w:r>
        <w:rPr>
          <w:i/>
          <w:iCs/>
        </w:rPr>
        <w:t>īnā́m</w:t>
      </w:r>
      <w:r>
        <w:rPr>
          <w:rStyle w:val="FootnoteAnchor"/>
          <w:i/>
          <w:iCs/>
        </w:rPr>
        <w:footnoteReference w:id="311"/>
      </w:r>
      <w:r>
        <w:rPr>
          <w:i/>
          <w:iCs/>
        </w:rPr>
        <w:t xml:space="preserve"> /</w:t>
      </w:r>
    </w:p>
    <w:p w14:paraId="2BC4CB67" w14:textId="77777777" w:rsidR="00E53EB6" w:rsidRDefault="006500F5">
      <w:pPr>
        <w:pStyle w:val="Zitat"/>
      </w:pPr>
      <w:r>
        <w:t>The bosterousness</w:t>
      </w:r>
      <w:r>
        <w:rPr>
          <w:rStyle w:val="FootnoteAnchor"/>
        </w:rPr>
        <w:footnoteReference w:id="312"/>
      </w:r>
      <w:r>
        <w:t xml:space="preserve"> that you have, o Indra, Maghavan, [.8]bestow on the friends, o much invoked, to the men for you the fixed, o wise, o Maghavan, reveal the gift somehow covered</w:t>
      </w:r>
      <w:r>
        <w:rPr>
          <w:rStyle w:val="FootnoteAnchor"/>
        </w:rPr>
        <w:footnoteReference w:id="313"/>
      </w:r>
      <w:r>
        <w:t>; Indra, king of the world, of the people and of which</w:t>
      </w:r>
      <w:r>
        <w:t xml:space="preserve"> is manifold in this earth, then, shall he give goods to the worshipper, he impels the favour in our direction after being praised; praise at him who has a superior power, Indra, who </w:t>
      </w:r>
      <w:r>
        <w:rPr>
          <w:u w:val="single"/>
        </w:rPr>
        <w:t>appropriates</w:t>
      </w:r>
      <w:r>
        <w:t xml:space="preserve">, </w:t>
      </w:r>
      <w:r>
        <w:rPr>
          <w:u w:val="single"/>
        </w:rPr>
        <w:t>without being appropriated</w:t>
      </w:r>
      <w:r>
        <w:t>, the much invoked, the invincibl</w:t>
      </w:r>
      <w:r>
        <w:t>e, vigorous</w:t>
      </w:r>
      <w:r>
        <w:rPr>
          <w:rStyle w:val="FootnoteAnchor"/>
        </w:rPr>
        <w:footnoteReference w:id="314"/>
      </w:r>
      <w:r>
        <w:t>, victorious</w:t>
      </w:r>
      <w:r>
        <w:rPr>
          <w:rStyle w:val="FootnoteAnchor"/>
        </w:rPr>
        <w:footnoteReference w:id="315"/>
      </w:r>
      <w:r>
        <w:t xml:space="preserve"> [.9] bull of the people increase with these chants.</w:t>
      </w:r>
    </w:p>
    <w:p w14:paraId="37BC0C01" w14:textId="77777777" w:rsidR="00E53EB6" w:rsidRPr="00B80C6B" w:rsidRDefault="006500F5">
      <w:pPr>
        <w:pStyle w:val="Zitat"/>
        <w:rPr>
          <w:i/>
          <w:iCs/>
          <w:lang w:val="de-DE"/>
        </w:rPr>
      </w:pPr>
      <w:r>
        <w:rPr>
          <w:i/>
          <w:iCs/>
        </w:rPr>
        <w:t xml:space="preserve">vanvánn: </w:t>
      </w:r>
      <w:r>
        <w:t xml:space="preserve">part. pres. nom. masc. sing. </w:t>
      </w:r>
      <w:r w:rsidRPr="00B80C6B">
        <w:rPr>
          <w:lang w:val="de-DE"/>
        </w:rPr>
        <w:t>VIII cl.</w:t>
      </w:r>
    </w:p>
    <w:p w14:paraId="4425572F" w14:textId="77777777" w:rsidR="00E53EB6" w:rsidRPr="00B80C6B" w:rsidRDefault="006500F5">
      <w:pPr>
        <w:pStyle w:val="ZitatmitEinzug"/>
        <w:rPr>
          <w:lang w:val="de-DE"/>
        </w:rPr>
      </w:pPr>
      <w:r w:rsidRPr="00B80C6B">
        <w:rPr>
          <w:rStyle w:val="biblio-authorGEN"/>
          <w:sz w:val="18"/>
          <w:szCs w:val="15"/>
          <w:lang w:val="de-DE"/>
        </w:rPr>
        <w:t>Geldner</w:t>
      </w:r>
      <w:r w:rsidRPr="00B80C6B">
        <w:rPr>
          <w:lang w:val="de-DE"/>
        </w:rPr>
        <w:t>: II 115 “Sieger”</w:t>
      </w:r>
    </w:p>
    <w:p w14:paraId="678E713A" w14:textId="77777777" w:rsidR="00E53EB6" w:rsidRDefault="006500F5">
      <w:pPr>
        <w:pStyle w:val="Zitat"/>
        <w:rPr>
          <w:i/>
          <w:iCs/>
        </w:rPr>
      </w:pPr>
      <w:r>
        <w:rPr>
          <w:i/>
          <w:iCs/>
        </w:rPr>
        <w:t>ávāta</w:t>
      </w:r>
      <w:r>
        <w:rPr>
          <w:i/>
          <w:iCs/>
        </w:rPr>
        <w:t>ḥ</w:t>
      </w:r>
      <w:r>
        <w:rPr>
          <w:i/>
          <w:iCs/>
        </w:rPr>
        <w:t>:</w:t>
      </w:r>
      <w:r>
        <w:t xml:space="preserve"> nom. masc. sing. from </w:t>
      </w:r>
      <w:r>
        <w:rPr>
          <w:i/>
          <w:iCs/>
        </w:rPr>
        <w:t>ávāta</w:t>
      </w:r>
    </w:p>
    <w:p w14:paraId="5E9A9F07" w14:textId="77777777" w:rsidR="00E53EB6" w:rsidRPr="00B80C6B" w:rsidRDefault="006500F5">
      <w:pPr>
        <w:pStyle w:val="ZitatmitEinzug"/>
        <w:rPr>
          <w:lang w:val="de-DE"/>
        </w:rPr>
      </w:pPr>
      <w:r w:rsidRPr="00B80C6B">
        <w:rPr>
          <w:rStyle w:val="biblio-authorGEN"/>
          <w:sz w:val="18"/>
          <w:szCs w:val="15"/>
          <w:lang w:val="de-DE"/>
        </w:rPr>
        <w:t>Geldner</w:t>
      </w:r>
      <w:r w:rsidRPr="00B80C6B">
        <w:rPr>
          <w:lang w:val="de-DE"/>
        </w:rPr>
        <w:t>: II 115 “unbesiegte”</w:t>
      </w:r>
    </w:p>
    <w:p w14:paraId="6CD3AB07" w14:textId="77777777" w:rsidR="00E53EB6" w:rsidRPr="00B80C6B" w:rsidRDefault="006500F5">
      <w:pPr>
        <w:pStyle w:val="HaupttextnachZitat"/>
        <w:rPr>
          <w:lang w:val="de-DE"/>
        </w:rPr>
      </w:pPr>
      <w:r w:rsidRPr="00B80C6B">
        <w:rPr>
          <w:lang w:val="de-DE"/>
        </w:rPr>
        <w:t>Vedic Web</w:t>
      </w:r>
    </w:p>
    <w:p w14:paraId="0F55236E" w14:textId="77777777" w:rsidR="00E53EB6" w:rsidRPr="00B80C6B" w:rsidRDefault="006500F5">
      <w:pPr>
        <w:pStyle w:val="HaupttextohneEinzug"/>
        <w:rPr>
          <w:lang w:val="de-DE"/>
        </w:rPr>
      </w:pPr>
      <w:r w:rsidRPr="00B80C6B">
        <w:rPr>
          <w:lang w:val="de-DE"/>
        </w:rPr>
        <w:t xml:space="preserve">Mantra: </w:t>
      </w:r>
      <w:r w:rsidRPr="00B80C6B">
        <w:rPr>
          <w:szCs w:val="21"/>
          <w:lang w:val="de-DE"/>
        </w:rPr>
        <w:t>R</w:t>
      </w:r>
      <w:r w:rsidRPr="00B80C6B">
        <w:rPr>
          <w:rFonts w:eastAsia="Arial" w:cs="Devanagari MT;Times New Roman"/>
          <w:szCs w:val="21"/>
          <w:lang w:val="de-DE" w:eastAsia="hi-IN" w:bidi="en-GB"/>
        </w:rPr>
        <w:t>̥</w:t>
      </w:r>
      <w:r w:rsidRPr="00B80C6B">
        <w:rPr>
          <w:szCs w:val="21"/>
          <w:lang w:val="de-DE"/>
        </w:rPr>
        <w:t>V</w:t>
      </w:r>
      <w:r w:rsidRPr="00B80C6B">
        <w:rPr>
          <w:lang w:val="de-DE"/>
        </w:rPr>
        <w:t xml:space="preserve"> 7.27.2; 7.27.3; 6.18.1.</w:t>
      </w:r>
    </w:p>
    <w:p w14:paraId="503CFE6A" w14:textId="77777777" w:rsidR="00E53EB6" w:rsidRPr="00B80C6B" w:rsidRDefault="00E53EB6">
      <w:pPr>
        <w:pStyle w:val="HaupttextohneEinzug"/>
        <w:rPr>
          <w:lang w:val="de-DE"/>
        </w:rPr>
      </w:pPr>
    </w:p>
    <w:p w14:paraId="4EF8FEF9" w14:textId="77777777" w:rsidR="00E53EB6" w:rsidRDefault="006500F5">
      <w:pPr>
        <w:pStyle w:val="HaupttextohneEinzug"/>
      </w:pPr>
      <w:r>
        <w:t>Rite</w:t>
      </w:r>
    </w:p>
    <w:p w14:paraId="415A87D3" w14:textId="77777777" w:rsidR="00E53EB6" w:rsidRDefault="006500F5">
      <w:pPr>
        <w:pStyle w:val="HaupttextohneEinzug"/>
      </w:pPr>
      <w:r>
        <w:t>Animal sacrifices with special prayer (</w:t>
      </w:r>
      <w:r>
        <w:rPr>
          <w:i/>
          <w:iCs/>
        </w:rPr>
        <w:t>kāmya</w:t>
      </w:r>
      <w:r>
        <w:t>).</w:t>
      </w:r>
    </w:p>
    <w:p w14:paraId="49197CAC" w14:textId="77777777" w:rsidR="00E53EB6" w:rsidRDefault="006500F5">
      <w:pPr>
        <w:pStyle w:val="HaupttextohneEinzug"/>
        <w:rPr>
          <w:i/>
          <w:iCs/>
        </w:rPr>
      </w:pPr>
      <w:r>
        <w:rPr>
          <w:i/>
          <w:iCs/>
        </w:rPr>
        <w:t>Mantra</w:t>
      </w:r>
      <w:r>
        <w:t>s to be recited for the sacrifice to Indra of a brown ox, for invigorating the faculties.</w:t>
      </w:r>
    </w:p>
    <w:p w14:paraId="71D0B636" w14:textId="77777777" w:rsidR="00E53EB6" w:rsidRDefault="00E53EB6">
      <w:pPr>
        <w:pStyle w:val="HaupttextohneEinzug"/>
        <w:rPr>
          <w:shd w:val="clear" w:color="auto" w:fill="FFFF00"/>
        </w:rPr>
      </w:pPr>
    </w:p>
    <w:p w14:paraId="6EEB2CC0" w14:textId="77777777" w:rsidR="00E53EB6" w:rsidRDefault="006500F5">
      <w:pPr>
        <w:pStyle w:val="Heading5"/>
        <w:tabs>
          <w:tab w:val="left" w:pos="0"/>
        </w:tabs>
      </w:pPr>
      <w:r>
        <w:rPr>
          <w:u w:val="single"/>
        </w:rPr>
        <w:t xml:space="preserve">TB </w:t>
      </w:r>
      <w:r>
        <w:rPr>
          <w:bCs w:val="0"/>
          <w:u w:val="single"/>
        </w:rPr>
        <w:t>3.5.7.2</w:t>
      </w:r>
      <w:r>
        <w:tab/>
      </w:r>
      <w:r>
        <w:tab/>
      </w:r>
      <w:r>
        <w:tab/>
      </w:r>
      <w:r>
        <w:tab/>
      </w:r>
      <w:r>
        <w:tab/>
      </w:r>
      <w:r>
        <w:tab/>
      </w:r>
      <w:r>
        <w:tab/>
      </w:r>
      <w:r>
        <w:tab/>
      </w:r>
      <w:r>
        <w:tab/>
      </w:r>
    </w:p>
    <w:p w14:paraId="4F20BAC2" w14:textId="77777777" w:rsidR="00E53EB6" w:rsidRDefault="006500F5">
      <w:pPr>
        <w:pStyle w:val="Zitat"/>
      </w:pPr>
      <w:r>
        <w:rPr>
          <w:color w:val="008000"/>
        </w:rPr>
        <w:t xml:space="preserve"> </w:t>
      </w:r>
      <w:r>
        <w:rPr>
          <w:color w:val="000000"/>
        </w:rPr>
        <w:t xml:space="preserve">3.5.7.2 </w:t>
      </w:r>
      <w:r>
        <w:rPr>
          <w:i/>
          <w:iCs/>
          <w:color w:val="000000"/>
        </w:rPr>
        <w:t>vayám̐ syāma pátayo rayī</w:t>
      </w:r>
      <w:r>
        <w:rPr>
          <w:i/>
          <w:iCs/>
          <w:color w:val="000000"/>
        </w:rPr>
        <w:t>ṇ</w:t>
      </w:r>
      <w:r>
        <w:rPr>
          <w:i/>
          <w:iCs/>
          <w:color w:val="000000"/>
        </w:rPr>
        <w:t>ā́m</w:t>
      </w:r>
      <w:r>
        <w:rPr>
          <w:rStyle w:val="FootnoteAnchor"/>
          <w:i/>
          <w:iCs/>
          <w:color w:val="000000"/>
        </w:rPr>
        <w:footnoteReference w:id="316"/>
      </w:r>
      <w:r>
        <w:rPr>
          <w:i/>
          <w:iCs/>
          <w:color w:val="000000"/>
        </w:rPr>
        <w:t xml:space="preserve"> / sá veda putrá</w:t>
      </w:r>
      <w:r>
        <w:rPr>
          <w:i/>
          <w:iCs/>
          <w:color w:val="000000"/>
        </w:rPr>
        <w:t>ḥ</w:t>
      </w:r>
      <w:r>
        <w:rPr>
          <w:i/>
          <w:iCs/>
          <w:color w:val="000000"/>
        </w:rPr>
        <w:t xml:space="preserve"> pitá</w:t>
      </w:r>
      <w:r>
        <w:rPr>
          <w:i/>
          <w:iCs/>
          <w:color w:val="000000"/>
        </w:rPr>
        <w:t>ram̐ sá mātáram / sá sūnúr bhuvat sá bhuvat púnarmagha</w:t>
      </w:r>
      <w:r>
        <w:rPr>
          <w:i/>
          <w:iCs/>
          <w:color w:val="000000"/>
        </w:rPr>
        <w:t>ḥ</w:t>
      </w:r>
      <w:r>
        <w:rPr>
          <w:i/>
          <w:iCs/>
          <w:color w:val="000000"/>
        </w:rPr>
        <w:t xml:space="preserve"> / sá dyā́m áur</w:t>
      </w:r>
      <w:r>
        <w:rPr>
          <w:i/>
          <w:iCs/>
          <w:color w:val="000000"/>
        </w:rPr>
        <w:t>ṇ</w:t>
      </w:r>
      <w:r>
        <w:rPr>
          <w:i/>
          <w:iCs/>
          <w:color w:val="000000"/>
        </w:rPr>
        <w:t>od antárik</w:t>
      </w:r>
      <w:r>
        <w:rPr>
          <w:i/>
          <w:iCs/>
          <w:color w:val="000000"/>
        </w:rPr>
        <w:t>ṣ</w:t>
      </w:r>
      <w:r>
        <w:rPr>
          <w:i/>
          <w:iCs/>
          <w:color w:val="000000"/>
        </w:rPr>
        <w:t>am̐ sá súva</w:t>
      </w:r>
      <w:r>
        <w:rPr>
          <w:i/>
          <w:iCs/>
          <w:color w:val="000000"/>
        </w:rPr>
        <w:t>ḥ</w:t>
      </w:r>
      <w:r>
        <w:rPr>
          <w:i/>
          <w:iCs/>
          <w:color w:val="000000"/>
        </w:rPr>
        <w:t xml:space="preserve"> / sá viśvā bhúvo abhavat sá ā́bhavat</w:t>
      </w:r>
      <w:r>
        <w:rPr>
          <w:rStyle w:val="FootnoteAnchor"/>
          <w:i/>
          <w:iCs/>
          <w:color w:val="000000"/>
        </w:rPr>
        <w:footnoteReference w:id="317"/>
      </w:r>
      <w:r>
        <w:rPr>
          <w:i/>
          <w:iCs/>
          <w:color w:val="000000"/>
        </w:rPr>
        <w:t xml:space="preserve"> / ágnī</w:t>
      </w:r>
      <w:r>
        <w:rPr>
          <w:i/>
          <w:iCs/>
          <w:color w:val="000000"/>
        </w:rPr>
        <w:t>ṣ</w:t>
      </w:r>
      <w:r>
        <w:rPr>
          <w:i/>
          <w:iCs/>
          <w:color w:val="000000"/>
        </w:rPr>
        <w:t>omā sávedasā / sáhūtī vanata</w:t>
      </w:r>
      <w:r>
        <w:rPr>
          <w:i/>
          <w:iCs/>
          <w:color w:val="000000"/>
        </w:rPr>
        <w:t>ṃ</w:t>
      </w:r>
      <w:r>
        <w:rPr>
          <w:i/>
          <w:iCs/>
          <w:color w:val="000000"/>
        </w:rPr>
        <w:t xml:space="preserve"> gíra</w:t>
      </w:r>
      <w:r>
        <w:rPr>
          <w:i/>
          <w:iCs/>
          <w:color w:val="000000"/>
        </w:rPr>
        <w:t>ḥ</w:t>
      </w:r>
      <w:r>
        <w:rPr>
          <w:i/>
          <w:iCs/>
          <w:color w:val="000000"/>
        </w:rPr>
        <w:t xml:space="preserve"> / sá</w:t>
      </w:r>
      <w:r>
        <w:rPr>
          <w:i/>
          <w:iCs/>
          <w:color w:val="000000"/>
        </w:rPr>
        <w:t>ṃ</w:t>
      </w:r>
      <w:r>
        <w:rPr>
          <w:i/>
          <w:iCs/>
          <w:color w:val="000000"/>
        </w:rPr>
        <w:t xml:space="preserve"> devatrā́ babhūvathu</w:t>
      </w:r>
      <w:r>
        <w:rPr>
          <w:i/>
          <w:iCs/>
          <w:color w:val="000000"/>
        </w:rPr>
        <w:t>ḥ</w:t>
      </w:r>
      <w:r>
        <w:rPr>
          <w:rStyle w:val="FootnoteAnchor"/>
          <w:i/>
          <w:iCs/>
          <w:color w:val="000000"/>
        </w:rPr>
        <w:footnoteReference w:id="318"/>
      </w:r>
      <w:r>
        <w:rPr>
          <w:i/>
          <w:iCs/>
          <w:color w:val="000000"/>
        </w:rPr>
        <w:t xml:space="preserve"> / yuvám etā́ni diví rocanā́ni / agníś ca soma sákratū adhattam</w:t>
      </w:r>
      <w:r>
        <w:rPr>
          <w:rStyle w:val="FootnoteAnchor"/>
          <w:i/>
          <w:iCs/>
          <w:color w:val="000000"/>
        </w:rPr>
        <w:footnoteReference w:id="319"/>
      </w:r>
      <w:r>
        <w:rPr>
          <w:i/>
          <w:iCs/>
          <w:color w:val="000000"/>
        </w:rPr>
        <w:t xml:space="preserve"> //</w:t>
      </w:r>
    </w:p>
    <w:p w14:paraId="35A98BCE" w14:textId="77777777" w:rsidR="00E53EB6" w:rsidRDefault="006500F5">
      <w:pPr>
        <w:pStyle w:val="Zitat"/>
      </w:pPr>
      <w:r>
        <w:lastRenderedPageBreak/>
        <w:t xml:space="preserve">May we be master over goods, he, the son, knows the father, he knows the mother, he shall become son, this </w:t>
      </w:r>
      <w:r>
        <w:t>shall repeatedly grant gifts, he covered the sky, the atmosphere in between, he covered the sun, he became the whole air, he existed</w:t>
      </w:r>
      <w:r>
        <w:rPr>
          <w:rStyle w:val="FootnoteAnchor"/>
        </w:rPr>
        <w:footnoteReference w:id="320"/>
      </w:r>
      <w:r>
        <w:t xml:space="preserve">; o Agni and Soma of equal knowledge, together invoked, </w:t>
      </w:r>
      <w:r>
        <w:rPr>
          <w:u w:val="single"/>
        </w:rPr>
        <w:t>appropriate</w:t>
      </w:r>
      <w:r>
        <w:t xml:space="preserve"> the chants; you have become together in the divine wor</w:t>
      </w:r>
      <w:r>
        <w:t>ld, you two put those lights in the sky, o Agni and Soma, you with the same intention.</w:t>
      </w:r>
    </w:p>
    <w:p w14:paraId="446523D2" w14:textId="77777777" w:rsidR="00E53EB6" w:rsidRPr="00B80C6B" w:rsidRDefault="006500F5">
      <w:pPr>
        <w:pStyle w:val="Zitat"/>
        <w:rPr>
          <w:i/>
          <w:iCs/>
          <w:lang w:val="de-DE"/>
        </w:rPr>
      </w:pPr>
      <w:r w:rsidRPr="00B80C6B">
        <w:rPr>
          <w:i/>
          <w:iCs/>
          <w:lang w:val="de-DE"/>
        </w:rPr>
        <w:t>vanatam:</w:t>
      </w:r>
      <w:r w:rsidRPr="00B80C6B">
        <w:rPr>
          <w:lang w:val="de-DE"/>
        </w:rPr>
        <w:t xml:space="preserve"> impv. pres. 2</w:t>
      </w:r>
      <w:r w:rsidRPr="00B80C6B">
        <w:rPr>
          <w:vertAlign w:val="superscript"/>
          <w:lang w:val="de-DE"/>
        </w:rPr>
        <w:t>nd</w:t>
      </w:r>
      <w:r w:rsidRPr="00B80C6B">
        <w:rPr>
          <w:lang w:val="de-DE"/>
        </w:rPr>
        <w:t xml:space="preserve"> du. I-VI cl.</w:t>
      </w:r>
    </w:p>
    <w:p w14:paraId="771BFBCA" w14:textId="77777777" w:rsidR="00E53EB6" w:rsidRPr="00B80C6B" w:rsidRDefault="006500F5">
      <w:pPr>
        <w:pStyle w:val="ZitatmitEinzug"/>
        <w:rPr>
          <w:lang w:val="de-DE"/>
        </w:rPr>
      </w:pPr>
      <w:r w:rsidRPr="00B80C6B">
        <w:rPr>
          <w:rStyle w:val="biblio-authorGEN"/>
          <w:sz w:val="18"/>
          <w:szCs w:val="15"/>
          <w:lang w:val="de-DE"/>
        </w:rPr>
        <w:t>Geldner</w:t>
      </w:r>
      <w:r w:rsidRPr="00B80C6B">
        <w:rPr>
          <w:lang w:val="de-DE"/>
        </w:rPr>
        <w:t>: I 120 “nehmet gut auf”</w:t>
      </w:r>
    </w:p>
    <w:p w14:paraId="07975FAF" w14:textId="77777777" w:rsidR="00E53EB6" w:rsidRDefault="006500F5">
      <w:pPr>
        <w:pStyle w:val="ZitatmitEinzug"/>
      </w:pPr>
      <w:r>
        <w:rPr>
          <w:rStyle w:val="biblio-authorGEN"/>
          <w:sz w:val="18"/>
          <w:szCs w:val="15"/>
        </w:rPr>
        <w:t>Renou</w:t>
      </w:r>
      <w:r>
        <w:t>: IX 73 “trouvez agréable”</w:t>
      </w:r>
    </w:p>
    <w:p w14:paraId="553E743F" w14:textId="77777777" w:rsidR="00E53EB6" w:rsidRDefault="006500F5">
      <w:pPr>
        <w:pStyle w:val="ZitatmitEinzug"/>
      </w:pPr>
      <w:r>
        <w:rPr>
          <w:rStyle w:val="biblio-authorGEN"/>
          <w:sz w:val="18"/>
          <w:szCs w:val="15"/>
        </w:rPr>
        <w:t xml:space="preserve">Dumont </w:t>
      </w:r>
      <w:r>
        <w:t xml:space="preserve">1960: 5 </w:t>
      </w:r>
      <w:r>
        <w:t>“do you accept”</w:t>
      </w:r>
    </w:p>
    <w:p w14:paraId="57FE6D27" w14:textId="77777777" w:rsidR="00E53EB6" w:rsidRDefault="006500F5">
      <w:pPr>
        <w:pStyle w:val="ZitatmitEinzug"/>
        <w:autoSpaceDE w:val="0"/>
        <w:rPr>
          <w:rFonts w:eastAsia="Arial" w:cs="Times Ext Roman"/>
          <w:szCs w:val="18"/>
          <w:lang w:eastAsia="hi-IN" w:bidi="en-GB"/>
        </w:rPr>
      </w:pPr>
      <w:r>
        <w:rPr>
          <w:rStyle w:val="biblio-authorGEN"/>
          <w:rFonts w:eastAsia="Arial" w:cs="Times Ext Roman"/>
          <w:sz w:val="18"/>
          <w:szCs w:val="15"/>
          <w:lang w:eastAsia="hi-IN" w:bidi="en-GB"/>
        </w:rPr>
        <w:t>Witzel-Gotō</w:t>
      </w:r>
      <w:r>
        <w:rPr>
          <w:rFonts w:eastAsia="Arial" w:cs="Times Ext Roman"/>
          <w:szCs w:val="18"/>
          <w:lang w:eastAsia="hi-IN" w:bidi="en-GB"/>
        </w:rPr>
        <w:t xml:space="preserve"> 2007: 166 “liebt”</w:t>
      </w:r>
    </w:p>
    <w:p w14:paraId="56AE49F5" w14:textId="77777777" w:rsidR="00E53EB6" w:rsidRDefault="006500F5">
      <w:pPr>
        <w:pStyle w:val="HaupttextnachZitat"/>
      </w:pPr>
      <w:r>
        <w:t xml:space="preserve">Vedic </w:t>
      </w:r>
      <w:r>
        <w:t>Web</w:t>
      </w:r>
    </w:p>
    <w:p w14:paraId="77581F35" w14:textId="77777777" w:rsidR="00E53EB6" w:rsidRDefault="006500F5">
      <w:pPr>
        <w:pStyle w:val="HaupttextohneEinzug"/>
      </w:pPr>
      <w:r>
        <w:t xml:space="preserve">Mantra: </w:t>
      </w:r>
      <w:r>
        <w:rPr>
          <w:szCs w:val="21"/>
        </w:rPr>
        <w:t>R</w:t>
      </w:r>
      <w:r>
        <w:rPr>
          <w:rFonts w:eastAsia="Arial" w:cs="Devanagari MT;Times New Roman"/>
          <w:szCs w:val="21"/>
          <w:lang w:eastAsia="hi-IN" w:bidi="en-GB"/>
        </w:rPr>
        <w:t>̥</w:t>
      </w:r>
      <w:r>
        <w:rPr>
          <w:szCs w:val="21"/>
        </w:rPr>
        <w:t>V</w:t>
      </w:r>
      <w:r>
        <w:t xml:space="preserve"> 4.50.6d</w:t>
      </w:r>
      <w:r>
        <w:rPr>
          <w:rStyle w:val="FootnoteAnchor"/>
        </w:rPr>
        <w:footnoteReference w:id="321"/>
      </w:r>
      <w:r>
        <w:t xml:space="preserve">; TS 2.2.12.1a-d; AVŚ 7.1.2; </w:t>
      </w:r>
      <w:r>
        <w:rPr>
          <w:szCs w:val="21"/>
        </w:rPr>
        <w:t>R</w:t>
      </w:r>
      <w:r>
        <w:rPr>
          <w:rFonts w:eastAsia="Arial" w:cs="Devanagari MT;Times New Roman"/>
          <w:szCs w:val="21"/>
          <w:lang w:eastAsia="hi-IN" w:bidi="en-GB"/>
        </w:rPr>
        <w:t>̥</w:t>
      </w:r>
      <w:r>
        <w:rPr>
          <w:szCs w:val="21"/>
        </w:rPr>
        <w:t>V</w:t>
      </w:r>
      <w:r>
        <w:t xml:space="preserve"> 1.93.9; .5; TS 2.3.14.1g-2h; </w:t>
      </w:r>
      <w:r>
        <w:t>MS 4.10.1</w:t>
      </w:r>
      <w:r>
        <w:t>: 144,12-15</w:t>
      </w:r>
      <w:r>
        <w:t xml:space="preserve">; </w:t>
      </w:r>
      <w:r>
        <w:t>KS 4.16: 42,20-21; 43,1-2.</w:t>
      </w:r>
    </w:p>
    <w:p w14:paraId="0AB220FA" w14:textId="77777777" w:rsidR="00E53EB6" w:rsidRDefault="00E53EB6">
      <w:pPr>
        <w:pStyle w:val="HaupttextohneEinzug"/>
      </w:pPr>
    </w:p>
    <w:p w14:paraId="6EA7DFDF" w14:textId="77777777" w:rsidR="00E53EB6" w:rsidRDefault="006500F5">
      <w:pPr>
        <w:pStyle w:val="HaupttextohneEinzug"/>
      </w:pPr>
      <w:r>
        <w:t>Rite</w:t>
      </w:r>
    </w:p>
    <w:p w14:paraId="39447209" w14:textId="77777777" w:rsidR="00E53EB6" w:rsidRDefault="006500F5">
      <w:pPr>
        <w:pStyle w:val="HaupttextohneEinzug"/>
      </w:pPr>
      <w:r>
        <w:t>Darśapur</w:t>
      </w:r>
      <w:r>
        <w:t>ṇ</w:t>
      </w:r>
      <w:r>
        <w:t>amāse</w:t>
      </w:r>
      <w:r>
        <w:t>ṣṭ</w:t>
      </w:r>
      <w:r>
        <w:t xml:space="preserve">i. Special Offerings, </w:t>
      </w:r>
      <w:r>
        <w:rPr>
          <w:i/>
          <w:iCs/>
        </w:rPr>
        <w:t>mantra</w:t>
      </w:r>
      <w:r>
        <w:t xml:space="preserve">s of the </w:t>
      </w:r>
      <w:r>
        <w:rPr>
          <w:i/>
          <w:iCs/>
        </w:rPr>
        <w:t xml:space="preserve">hotr̥: yājyā </w:t>
      </w:r>
      <w:r>
        <w:t xml:space="preserve">for the oblation of clarified butter to Prajāpati and </w:t>
      </w:r>
      <w:r>
        <w:rPr>
          <w:i/>
          <w:iCs/>
        </w:rPr>
        <w:t>puronuvākyā</w:t>
      </w:r>
      <w:r>
        <w:t xml:space="preserve"> of the </w:t>
      </w:r>
      <w:r>
        <w:rPr>
          <w:i/>
          <w:iCs/>
        </w:rPr>
        <w:t>hotr</w:t>
      </w:r>
      <w:r>
        <w:rPr>
          <w:rFonts w:eastAsia="Arial" w:cs="Devanagari MT;Times New Roman"/>
          <w:sz w:val="18"/>
          <w:szCs w:val="18"/>
          <w:lang w:eastAsia="hi-IN" w:bidi="en-GB"/>
        </w:rPr>
        <w:t>̥</w:t>
      </w:r>
      <w:r>
        <w:rPr>
          <w:rFonts w:eastAsia="Arial" w:cs="Devanagari MT;Times New Roman"/>
          <w:i/>
          <w:iCs/>
          <w:sz w:val="18"/>
          <w:szCs w:val="18"/>
          <w:lang w:eastAsia="hi-IN" w:bidi="en-GB"/>
        </w:rPr>
        <w:t xml:space="preserve"> </w:t>
      </w:r>
      <w:r>
        <w:t xml:space="preserve">for the second offering of the rice cake to Agni and Soma. </w:t>
      </w:r>
    </w:p>
    <w:p w14:paraId="11D79F36" w14:textId="77777777" w:rsidR="00E53EB6" w:rsidRDefault="00E53EB6">
      <w:pPr>
        <w:pStyle w:val="HaupttextohneEinzug"/>
        <w:rPr>
          <w:i/>
          <w:iCs/>
          <w:shd w:val="clear" w:color="auto" w:fill="FF6633"/>
        </w:rPr>
      </w:pPr>
    </w:p>
    <w:p w14:paraId="1803893A" w14:textId="77777777" w:rsidR="00E53EB6" w:rsidRDefault="006500F5">
      <w:pPr>
        <w:pStyle w:val="Heading5"/>
        <w:tabs>
          <w:tab w:val="left" w:pos="0"/>
        </w:tabs>
      </w:pPr>
      <w:r>
        <w:rPr>
          <w:u w:val="single"/>
        </w:rPr>
        <w:t>TB 3.6.1.1-(2)</w:t>
      </w:r>
      <w:r>
        <w:rPr>
          <w:u w:val="single"/>
        </w:rPr>
        <w:tab/>
      </w:r>
      <w:r>
        <w:tab/>
      </w:r>
      <w:r>
        <w:tab/>
      </w:r>
      <w:r>
        <w:tab/>
      </w:r>
      <w:r>
        <w:tab/>
      </w:r>
      <w:r>
        <w:tab/>
      </w:r>
      <w:r>
        <w:tab/>
      </w:r>
      <w:r>
        <w:tab/>
      </w:r>
      <w:r>
        <w:tab/>
      </w:r>
      <w:r>
        <w:tab/>
      </w:r>
    </w:p>
    <w:p w14:paraId="5AB428CC" w14:textId="77777777" w:rsidR="00E53EB6" w:rsidRDefault="006500F5">
      <w:pPr>
        <w:pStyle w:val="Zitat"/>
      </w:pPr>
      <w:r>
        <w:t xml:space="preserve">3.6.1.1 </w:t>
      </w:r>
      <w:r>
        <w:rPr>
          <w:i/>
          <w:iCs/>
        </w:rPr>
        <w:t>añjánti tvā́m adhvaré devayánta</w:t>
      </w:r>
      <w:r>
        <w:rPr>
          <w:i/>
          <w:iCs/>
        </w:rPr>
        <w:t>ḥ</w:t>
      </w:r>
      <w:r>
        <w:rPr>
          <w:i/>
          <w:iCs/>
        </w:rPr>
        <w:t xml:space="preserve"> / vánaspate mádhunā</w:t>
      </w:r>
      <w:r>
        <w:rPr>
          <w:rStyle w:val="FootnoteAnchor"/>
          <w:i/>
          <w:iCs/>
        </w:rPr>
        <w:footnoteReference w:id="322"/>
      </w:r>
      <w:r>
        <w:rPr>
          <w:i/>
          <w:iCs/>
        </w:rPr>
        <w:t xml:space="preserve">  dáivyena / yád ūrdhvás ti</w:t>
      </w:r>
      <w:r>
        <w:rPr>
          <w:i/>
          <w:iCs/>
        </w:rPr>
        <w:t>ṣṭ</w:t>
      </w:r>
      <w:r>
        <w:rPr>
          <w:i/>
          <w:iCs/>
        </w:rPr>
        <w:t>hād</w:t>
      </w:r>
      <w:r>
        <w:rPr>
          <w:rStyle w:val="FootnoteAnchor"/>
          <w:i/>
          <w:iCs/>
        </w:rPr>
        <w:footnoteReference w:id="323"/>
      </w:r>
      <w:r>
        <w:rPr>
          <w:i/>
          <w:iCs/>
        </w:rPr>
        <w:t xml:space="preserve"> drávi</w:t>
      </w:r>
      <w:r>
        <w:rPr>
          <w:i/>
          <w:iCs/>
        </w:rPr>
        <w:t>ṇ</w:t>
      </w:r>
      <w:r>
        <w:rPr>
          <w:i/>
          <w:iCs/>
        </w:rPr>
        <w:t>ā_ihá dhattāt / yád vā k</w:t>
      </w:r>
      <w:r>
        <w:rPr>
          <w:i/>
          <w:iCs/>
        </w:rPr>
        <w:t>ṣ</w:t>
      </w:r>
      <w:r>
        <w:rPr>
          <w:i/>
          <w:iCs/>
        </w:rPr>
        <w:t>áyo mātúr asyā́ upásthe</w:t>
      </w:r>
      <w:r>
        <w:rPr>
          <w:rStyle w:val="FootnoteAnchor"/>
          <w:i/>
          <w:iCs/>
        </w:rPr>
        <w:footnoteReference w:id="324"/>
      </w:r>
      <w:r>
        <w:rPr>
          <w:i/>
          <w:iCs/>
        </w:rPr>
        <w:t xml:space="preserve"> / úcchrayasva vanaspate / vár</w:t>
      </w:r>
      <w:r>
        <w:rPr>
          <w:i/>
          <w:iCs/>
        </w:rPr>
        <w:t>ṣ</w:t>
      </w:r>
      <w:r>
        <w:rPr>
          <w:i/>
          <w:iCs/>
        </w:rPr>
        <w:t>aman pr̥thivyā́ ádhi / súmitī mīyámāna</w:t>
      </w:r>
      <w:r>
        <w:rPr>
          <w:i/>
          <w:iCs/>
        </w:rPr>
        <w:t>ḥ</w:t>
      </w:r>
      <w:r>
        <w:rPr>
          <w:i/>
          <w:iCs/>
        </w:rPr>
        <w:t xml:space="preserve"> / várco dhā yajñávāhase</w:t>
      </w:r>
      <w:r>
        <w:rPr>
          <w:rStyle w:val="FootnoteAnchor"/>
          <w:i/>
          <w:iCs/>
        </w:rPr>
        <w:footnoteReference w:id="325"/>
      </w:r>
      <w:r>
        <w:rPr>
          <w:i/>
          <w:iCs/>
        </w:rPr>
        <w:t xml:space="preserve"> / sámiddhasya śráyamā</w:t>
      </w:r>
      <w:r>
        <w:rPr>
          <w:i/>
          <w:iCs/>
        </w:rPr>
        <w:t>ṇ</w:t>
      </w:r>
      <w:r>
        <w:rPr>
          <w:i/>
          <w:iCs/>
        </w:rPr>
        <w:t>a</w:t>
      </w:r>
      <w:r>
        <w:rPr>
          <w:i/>
          <w:iCs/>
        </w:rPr>
        <w:t>ḥ</w:t>
      </w:r>
      <w:r>
        <w:rPr>
          <w:i/>
          <w:iCs/>
        </w:rPr>
        <w:t xml:space="preserve"> purástāt / bráhma vanvānó ajáram̐ suvī́ram </w:t>
      </w:r>
      <w:r>
        <w:rPr>
          <w:i/>
          <w:iCs/>
        </w:rPr>
        <w:t xml:space="preserve">// </w:t>
      </w:r>
      <w:r>
        <w:t>[.2]</w:t>
      </w:r>
      <w:r>
        <w:rPr>
          <w:i/>
          <w:iCs/>
        </w:rPr>
        <w:t xml:space="preserve"> āré asmád ámati</w:t>
      </w:r>
      <w:r>
        <w:rPr>
          <w:i/>
          <w:iCs/>
        </w:rPr>
        <w:t>ṃ</w:t>
      </w:r>
      <w:r>
        <w:rPr>
          <w:i/>
          <w:iCs/>
        </w:rPr>
        <w:t xml:space="preserve"> bā́dhamāna</w:t>
      </w:r>
      <w:r>
        <w:rPr>
          <w:i/>
          <w:iCs/>
        </w:rPr>
        <w:t>ḥ</w:t>
      </w:r>
      <w:r>
        <w:rPr>
          <w:i/>
          <w:iCs/>
        </w:rPr>
        <w:t xml:space="preserve"> / úcchrayasva mahaté sáubhagāya</w:t>
      </w:r>
      <w:r>
        <w:rPr>
          <w:rStyle w:val="FootnoteAnchor"/>
          <w:i/>
          <w:iCs/>
        </w:rPr>
        <w:footnoteReference w:id="326"/>
      </w:r>
      <w:r>
        <w:rPr>
          <w:i/>
          <w:iCs/>
        </w:rPr>
        <w:t xml:space="preserve"> /</w:t>
      </w:r>
    </w:p>
    <w:p w14:paraId="4C8DF2D3" w14:textId="77777777" w:rsidR="00E53EB6" w:rsidRDefault="006500F5">
      <w:pPr>
        <w:pStyle w:val="Zitat"/>
      </w:pPr>
      <w:r>
        <w:t>Those seeking for the gods</w:t>
      </w:r>
      <w:r>
        <w:rPr>
          <w:rStyle w:val="FootnoteAnchor"/>
        </w:rPr>
        <w:footnoteReference w:id="327"/>
      </w:r>
      <w:r>
        <w:t xml:space="preserve"> anoint you in the sacrifice, o Vanaspati</w:t>
      </w:r>
      <w:r>
        <w:rPr>
          <w:rStyle w:val="FootnoteAnchor"/>
        </w:rPr>
        <w:footnoteReference w:id="328"/>
      </w:r>
      <w:r>
        <w:t>, with divine sweetness</w:t>
      </w:r>
      <w:r>
        <w:rPr>
          <w:rStyle w:val="FootnoteAnchor"/>
        </w:rPr>
        <w:footnoteReference w:id="329"/>
      </w:r>
      <w:r>
        <w:t xml:space="preserve">, when you would stay erect, then bring here movable goods, or when you rest in the </w:t>
      </w:r>
      <w:r>
        <w:t>lap of this mother; incline upwards, o Vanaspati, over the top of the earth, founded with a good founding</w:t>
      </w:r>
      <w:r>
        <w:rPr>
          <w:rStyle w:val="FootnoteAnchor"/>
        </w:rPr>
        <w:footnoteReference w:id="330"/>
      </w:r>
      <w:r>
        <w:t>, bestow the radiance</w:t>
      </w:r>
      <w:r>
        <w:rPr>
          <w:rStyle w:val="FootnoteAnchor"/>
        </w:rPr>
        <w:footnoteReference w:id="331"/>
      </w:r>
      <w:r>
        <w:t xml:space="preserve"> to the one who carries the sacrifice; reclining in front of the kindled one</w:t>
      </w:r>
      <w:r>
        <w:rPr>
          <w:rStyle w:val="FootnoteAnchor"/>
        </w:rPr>
        <w:footnoteReference w:id="332"/>
      </w:r>
      <w:r>
        <w:t xml:space="preserve">, </w:t>
      </w:r>
      <w:r>
        <w:rPr>
          <w:u w:val="single"/>
        </w:rPr>
        <w:t>appropriating</w:t>
      </w:r>
      <w:r>
        <w:t xml:space="preserve"> for yourself the sacrificial for</w:t>
      </w:r>
      <w:r>
        <w:t>mula</w:t>
      </w:r>
      <w:r>
        <w:rPr>
          <w:rStyle w:val="FootnoteAnchor"/>
        </w:rPr>
        <w:footnoteReference w:id="333"/>
      </w:r>
      <w:r>
        <w:t xml:space="preserve"> </w:t>
      </w:r>
      <w:r>
        <w:lastRenderedPageBreak/>
        <w:t>that never gets old, full of warriors, [.2] pulling away from us the lack of inspiration</w:t>
      </w:r>
      <w:r>
        <w:rPr>
          <w:rStyle w:val="FootnoteAnchor"/>
        </w:rPr>
        <w:footnoteReference w:id="334"/>
      </w:r>
      <w:r>
        <w:t>, incline upwards, to a good great fortune.</w:t>
      </w:r>
    </w:p>
    <w:p w14:paraId="7CA964E3" w14:textId="77777777" w:rsidR="00E53EB6" w:rsidRPr="00B80C6B" w:rsidRDefault="006500F5">
      <w:pPr>
        <w:pStyle w:val="Zitat"/>
        <w:rPr>
          <w:lang w:val="de-DE"/>
        </w:rPr>
      </w:pPr>
      <w:r>
        <w:rPr>
          <w:i/>
          <w:iCs/>
        </w:rPr>
        <w:t>vanvāná</w:t>
      </w:r>
      <w:r>
        <w:rPr>
          <w:i/>
          <w:iCs/>
        </w:rPr>
        <w:t>ḥ</w:t>
      </w:r>
      <w:r>
        <w:rPr>
          <w:i/>
          <w:iCs/>
        </w:rPr>
        <w:t>:</w:t>
      </w:r>
      <w:r>
        <w:t xml:space="preserve"> part. pres. nom. masc. sing. </w:t>
      </w:r>
      <w:r w:rsidRPr="00B80C6B">
        <w:rPr>
          <w:lang w:val="de-DE"/>
        </w:rPr>
        <w:t>Ā VIII cl.</w:t>
      </w:r>
    </w:p>
    <w:p w14:paraId="0990494F" w14:textId="77777777" w:rsidR="00E53EB6" w:rsidRPr="00B80C6B" w:rsidRDefault="006500F5">
      <w:pPr>
        <w:pStyle w:val="ZitatmitEinzug"/>
        <w:rPr>
          <w:szCs w:val="18"/>
          <w:lang w:val="de-DE"/>
        </w:rPr>
      </w:pPr>
      <w:r w:rsidRPr="00B80C6B">
        <w:rPr>
          <w:smallCaps/>
          <w:szCs w:val="18"/>
          <w:lang w:val="de-DE"/>
        </w:rPr>
        <w:t xml:space="preserve">Geldner: </w:t>
      </w:r>
      <w:r w:rsidRPr="00B80C6B">
        <w:rPr>
          <w:szCs w:val="18"/>
          <w:lang w:val="de-DE"/>
        </w:rPr>
        <w:t xml:space="preserve">I 345 </w:t>
      </w:r>
      <w:r w:rsidRPr="00B80C6B">
        <w:rPr>
          <w:szCs w:val="18"/>
          <w:lang w:val="de-DE"/>
        </w:rPr>
        <w:t>“gewinnst”</w:t>
      </w:r>
    </w:p>
    <w:p w14:paraId="7F592473" w14:textId="77777777" w:rsidR="00E53EB6" w:rsidRDefault="006500F5">
      <w:pPr>
        <w:pStyle w:val="ZitatmitEinzug"/>
        <w:rPr>
          <w:szCs w:val="18"/>
        </w:rPr>
      </w:pPr>
      <w:r w:rsidRPr="00B80C6B">
        <w:rPr>
          <w:rStyle w:val="biblio-authorGEN"/>
          <w:sz w:val="18"/>
          <w:szCs w:val="15"/>
          <w:lang w:val="en-US"/>
        </w:rPr>
        <w:t>Dumont</w:t>
      </w:r>
      <w:r>
        <w:rPr>
          <w:szCs w:val="18"/>
        </w:rPr>
        <w:t xml:space="preserve"> 1962: 249 </w:t>
      </w:r>
      <w:r>
        <w:rPr>
          <w:szCs w:val="18"/>
        </w:rPr>
        <w:t>“winning”</w:t>
      </w:r>
    </w:p>
    <w:p w14:paraId="19D85E4B" w14:textId="77777777" w:rsidR="00E53EB6" w:rsidRDefault="006500F5">
      <w:pPr>
        <w:pStyle w:val="HaupttextnachZitat"/>
      </w:pPr>
      <w:r>
        <w:t>Vedic Web</w:t>
      </w:r>
    </w:p>
    <w:p w14:paraId="1CA6294E" w14:textId="77777777" w:rsidR="00E53EB6" w:rsidRDefault="006500F5">
      <w:pPr>
        <w:pStyle w:val="HaupttextohneEinzug"/>
      </w:pPr>
      <w:r>
        <w:t xml:space="preserve">Mantra: </w:t>
      </w:r>
      <w:r>
        <w:rPr>
          <w:rFonts w:eastAsia="MS Mincho;ＭＳ 明朝"/>
          <w:szCs w:val="21"/>
          <w:lang w:eastAsia="hi-IN"/>
        </w:rPr>
        <w:t>R</w:t>
      </w:r>
      <w:r>
        <w:rPr>
          <w:rFonts w:eastAsia="Arial" w:cs="Devanagari MT;Times New Roman"/>
          <w:szCs w:val="21"/>
          <w:lang w:eastAsia="hi-IN" w:bidi="en-GB"/>
        </w:rPr>
        <w:t>̥</w:t>
      </w:r>
      <w:r>
        <w:rPr>
          <w:rFonts w:eastAsia="MS Mincho;ＭＳ 明朝"/>
          <w:szCs w:val="21"/>
          <w:lang w:eastAsia="hi-IN"/>
        </w:rPr>
        <w:t>V 3.8.1-3; MS 4.13.1: 199,2-7; KS 15.12: 218,12-17.</w:t>
      </w:r>
    </w:p>
    <w:p w14:paraId="2D8B68CF" w14:textId="77777777" w:rsidR="00E53EB6" w:rsidRDefault="006500F5">
      <w:pPr>
        <w:pStyle w:val="HaupttextohneEinzug"/>
        <w:rPr>
          <w:rFonts w:eastAsia="MS Mincho;ＭＳ 明朝"/>
          <w:szCs w:val="21"/>
          <w:lang w:eastAsia="hi-IN"/>
        </w:rPr>
      </w:pPr>
      <w:r>
        <w:rPr>
          <w:rFonts w:eastAsia="MS Mincho;ＭＳ 明朝"/>
          <w:szCs w:val="21"/>
          <w:lang w:eastAsia="hi-IN"/>
        </w:rPr>
        <w:t>Mantra and Prose: AB 2.2.</w:t>
      </w:r>
    </w:p>
    <w:p w14:paraId="58408E03" w14:textId="77777777" w:rsidR="00E53EB6" w:rsidRDefault="00E53EB6">
      <w:pPr>
        <w:pStyle w:val="HaupttextohneEinzug"/>
        <w:rPr>
          <w:rFonts w:eastAsia="MS Mincho;ＭＳ 明朝"/>
          <w:szCs w:val="21"/>
          <w:lang w:eastAsia="hi-IN"/>
        </w:rPr>
      </w:pPr>
    </w:p>
    <w:p w14:paraId="3F94E780" w14:textId="77777777" w:rsidR="00E53EB6" w:rsidRDefault="006500F5">
      <w:pPr>
        <w:pStyle w:val="HaupttextohneEinzug"/>
        <w:rPr>
          <w:rFonts w:eastAsia="MS Mincho;ＭＳ 明朝"/>
          <w:szCs w:val="21"/>
          <w:lang w:eastAsia="hi-IN"/>
        </w:rPr>
      </w:pPr>
      <w:r>
        <w:rPr>
          <w:rFonts w:eastAsia="MS Mincho;ＭＳ 明朝"/>
          <w:szCs w:val="21"/>
          <w:lang w:eastAsia="hi-IN"/>
        </w:rPr>
        <w:t>Rite</w:t>
      </w:r>
    </w:p>
    <w:p w14:paraId="4E81EE3E" w14:textId="77777777" w:rsidR="00E53EB6" w:rsidRDefault="006500F5">
      <w:pPr>
        <w:pStyle w:val="HaupttextohneEinzug"/>
        <w:rPr>
          <w:rFonts w:eastAsia="MS Mincho;ＭＳ 明朝"/>
          <w:i/>
          <w:iCs/>
          <w:szCs w:val="21"/>
          <w:lang w:eastAsia="hi-IN"/>
        </w:rPr>
      </w:pPr>
      <w:r>
        <w:rPr>
          <w:rFonts w:eastAsia="MS Mincho;ＭＳ 明朝"/>
          <w:i/>
          <w:iCs/>
          <w:szCs w:val="21"/>
          <w:lang w:eastAsia="hi-IN"/>
        </w:rPr>
        <w:t>Mantra</w:t>
      </w:r>
      <w:r>
        <w:rPr>
          <w:rFonts w:eastAsia="MS Mincho;ＭＳ 明朝"/>
          <w:szCs w:val="21"/>
          <w:lang w:eastAsia="hi-IN"/>
        </w:rPr>
        <w:t xml:space="preserve">s for the </w:t>
      </w:r>
      <w:r>
        <w:rPr>
          <w:rFonts w:eastAsia="MS Mincho;ＭＳ 明朝"/>
          <w:i/>
          <w:iCs/>
          <w:szCs w:val="21"/>
          <w:lang w:eastAsia="hi-IN"/>
        </w:rPr>
        <w:t xml:space="preserve">hotr̥ </w:t>
      </w:r>
      <w:r>
        <w:rPr>
          <w:rFonts w:eastAsia="MS Mincho;ＭＳ 明朝"/>
          <w:szCs w:val="21"/>
          <w:lang w:eastAsia="hi-IN"/>
        </w:rPr>
        <w:t xml:space="preserve">in the animal sacrifice, </w:t>
      </w:r>
      <w:r>
        <w:rPr>
          <w:rFonts w:eastAsia="MS Mincho;ＭＳ 明朝"/>
          <w:i/>
          <w:iCs/>
          <w:szCs w:val="21"/>
          <w:lang w:eastAsia="hi-IN"/>
        </w:rPr>
        <w:t>paśukahotranirukti</w:t>
      </w:r>
      <w:r>
        <w:rPr>
          <w:rFonts w:eastAsia="MS Mincho;ＭＳ 明朝"/>
          <w:i/>
          <w:iCs/>
          <w:szCs w:val="21"/>
          <w:lang w:eastAsia="hi-IN"/>
        </w:rPr>
        <w:t>ḥ</w:t>
      </w:r>
      <w:r>
        <w:rPr>
          <w:rFonts w:eastAsia="MS Mincho;ＭＳ 明朝"/>
          <w:i/>
          <w:iCs/>
          <w:szCs w:val="21"/>
          <w:lang w:eastAsia="hi-IN"/>
        </w:rPr>
        <w:t>, yūpasa</w:t>
      </w:r>
      <w:r>
        <w:rPr>
          <w:rFonts w:eastAsia="MS Mincho;ＭＳ 明朝"/>
          <w:i/>
          <w:iCs/>
          <w:szCs w:val="21"/>
          <w:lang w:eastAsia="hi-IN"/>
        </w:rPr>
        <w:t>ṃ</w:t>
      </w:r>
      <w:r>
        <w:rPr>
          <w:rFonts w:eastAsia="MS Mincho;ＭＳ 明朝"/>
          <w:i/>
          <w:iCs/>
          <w:szCs w:val="21"/>
          <w:lang w:eastAsia="hi-IN"/>
        </w:rPr>
        <w:t>skāra</w:t>
      </w:r>
      <w:r>
        <w:rPr>
          <w:rFonts w:eastAsia="MS Mincho;ＭＳ 明朝"/>
          <w:i/>
          <w:iCs/>
          <w:szCs w:val="21"/>
          <w:lang w:eastAsia="hi-IN"/>
        </w:rPr>
        <w:t>ḥ</w:t>
      </w:r>
      <w:r>
        <w:rPr>
          <w:rFonts w:eastAsia="MS Mincho;ＭＳ 明朝"/>
          <w:szCs w:val="21"/>
          <w:lang w:eastAsia="hi-IN"/>
        </w:rPr>
        <w:t>.</w:t>
      </w:r>
      <w:r>
        <w:rPr>
          <w:rFonts w:eastAsia="MS Mincho;ＭＳ 明朝"/>
          <w:i/>
          <w:iCs/>
          <w:szCs w:val="21"/>
          <w:lang w:eastAsia="hi-IN"/>
        </w:rPr>
        <w:t xml:space="preserve"> Mantra</w:t>
      </w:r>
      <w:r>
        <w:rPr>
          <w:rFonts w:eastAsia="MS Mincho;ＭＳ 明朝"/>
          <w:szCs w:val="21"/>
          <w:lang w:eastAsia="hi-IN"/>
        </w:rPr>
        <w:t>s</w:t>
      </w:r>
      <w:r>
        <w:rPr>
          <w:rFonts w:eastAsia="MS Mincho;ＭＳ 明朝"/>
          <w:i/>
          <w:iCs/>
          <w:szCs w:val="21"/>
          <w:lang w:eastAsia="hi-IN"/>
        </w:rPr>
        <w:t xml:space="preserve"> </w:t>
      </w:r>
      <w:r>
        <w:rPr>
          <w:rFonts w:eastAsia="MS Mincho;ＭＳ 明朝"/>
          <w:szCs w:val="21"/>
          <w:lang w:eastAsia="hi-IN"/>
        </w:rPr>
        <w:t>to be recited when anointing and erecting the sacrificial post. Accordi</w:t>
      </w:r>
      <w:r>
        <w:rPr>
          <w:rFonts w:eastAsia="MS Mincho;ＭＳ 明朝"/>
          <w:szCs w:val="21"/>
          <w:lang w:eastAsia="hi-IN"/>
        </w:rPr>
        <w:t xml:space="preserve">ng to </w:t>
      </w:r>
      <w:r>
        <w:rPr>
          <w:rStyle w:val="biblio-authorGEN"/>
          <w:rFonts w:eastAsia="MS Mincho;ＭＳ 明朝"/>
          <w:szCs w:val="21"/>
          <w:lang w:eastAsia="hi-IN"/>
        </w:rPr>
        <w:t>Proferes</w:t>
      </w:r>
      <w:r>
        <w:rPr>
          <w:rFonts w:eastAsia="MS Mincho;ＭＳ 明朝"/>
          <w:szCs w:val="21"/>
          <w:lang w:eastAsia="hi-IN"/>
        </w:rPr>
        <w:t xml:space="preserve"> (2003a: 322-329), the R̥V stanzas 3.8.1-5 are used for the rite requiring a single post, while the following one are recited when more posts are to be displayed.</w:t>
      </w:r>
    </w:p>
    <w:p w14:paraId="699DAB12" w14:textId="77777777" w:rsidR="00E53EB6" w:rsidRDefault="00E53EB6">
      <w:pPr>
        <w:pStyle w:val="HaupttextohneEinzug"/>
        <w:rPr>
          <w:rFonts w:eastAsia="MS Mincho;ＭＳ 明朝"/>
          <w:szCs w:val="21"/>
          <w:lang w:eastAsia="hi-IN"/>
        </w:rPr>
      </w:pPr>
    </w:p>
    <w:p w14:paraId="60B8B69E" w14:textId="77777777" w:rsidR="00E53EB6" w:rsidRDefault="006500F5">
      <w:pPr>
        <w:pStyle w:val="Heading5"/>
        <w:tabs>
          <w:tab w:val="left" w:pos="0"/>
        </w:tabs>
      </w:pPr>
      <w:r>
        <w:rPr>
          <w:u w:val="single"/>
        </w:rPr>
        <w:t>TB 3.7.9.6</w:t>
      </w:r>
      <w:r>
        <w:tab/>
      </w:r>
      <w:r>
        <w:tab/>
      </w:r>
      <w:r>
        <w:tab/>
      </w:r>
      <w:r>
        <w:tab/>
      </w:r>
      <w:r>
        <w:tab/>
      </w:r>
      <w:r>
        <w:tab/>
      </w:r>
      <w:r>
        <w:tab/>
      </w:r>
      <w:r>
        <w:tab/>
      </w:r>
      <w:r>
        <w:tab/>
      </w:r>
    </w:p>
    <w:p w14:paraId="2942A683" w14:textId="77777777" w:rsidR="00E53EB6" w:rsidRDefault="006500F5">
      <w:pPr>
        <w:pStyle w:val="Zitat"/>
      </w:pPr>
      <w:r>
        <w:t xml:space="preserve">3.7.9.6 </w:t>
      </w:r>
      <w:r>
        <w:rPr>
          <w:i/>
          <w:iCs/>
        </w:rPr>
        <w:t>prá te mahé vidáthe 'śam̐si</w:t>
      </w:r>
      <w:r>
        <w:rPr>
          <w:i/>
          <w:iCs/>
        </w:rPr>
        <w:t>ṣ</w:t>
      </w:r>
      <w:r>
        <w:rPr>
          <w:i/>
          <w:iCs/>
        </w:rPr>
        <w:t>am̐ hárī / yá r̥tvíya</w:t>
      </w:r>
      <w:r>
        <w:rPr>
          <w:i/>
          <w:iCs/>
        </w:rPr>
        <w:t>ḥ</w:t>
      </w:r>
      <w:r>
        <w:rPr>
          <w:i/>
          <w:iCs/>
        </w:rPr>
        <w:t xml:space="preserve"> prá te vanve / vanú</w:t>
      </w:r>
      <w:r>
        <w:rPr>
          <w:i/>
          <w:iCs/>
        </w:rPr>
        <w:t>ṣ</w:t>
      </w:r>
      <w:r>
        <w:rPr>
          <w:i/>
          <w:iCs/>
        </w:rPr>
        <w:t>o haryatá</w:t>
      </w:r>
      <w:r>
        <w:rPr>
          <w:i/>
          <w:iCs/>
        </w:rPr>
        <w:t>ṃ</w:t>
      </w:r>
      <w:r>
        <w:rPr>
          <w:i/>
          <w:iCs/>
        </w:rPr>
        <w:t xml:space="preserve"> mádam / índro nā́ma ghr̥tá</w:t>
      </w:r>
      <w:r>
        <w:rPr>
          <w:i/>
          <w:iCs/>
        </w:rPr>
        <w:t>ṃ</w:t>
      </w:r>
      <w:r>
        <w:rPr>
          <w:i/>
          <w:iCs/>
        </w:rPr>
        <w:t xml:space="preserve"> ná yá</w:t>
      </w:r>
      <w:r>
        <w:rPr>
          <w:i/>
          <w:iCs/>
        </w:rPr>
        <w:t>ḥ</w:t>
      </w:r>
      <w:r>
        <w:rPr>
          <w:i/>
          <w:iCs/>
        </w:rPr>
        <w:t xml:space="preserve"> / háribhiś cā́ru sécate / śrutó ga</w:t>
      </w:r>
      <w:r>
        <w:rPr>
          <w:i/>
          <w:iCs/>
        </w:rPr>
        <w:t>ṇ</w:t>
      </w:r>
      <w:r>
        <w:rPr>
          <w:i/>
          <w:iCs/>
        </w:rPr>
        <w:t>á ā́ tvā viśantu / hárivarpasa</w:t>
      </w:r>
      <w:r>
        <w:rPr>
          <w:i/>
          <w:iCs/>
        </w:rPr>
        <w:t>ṃ</w:t>
      </w:r>
      <w:r>
        <w:rPr>
          <w:i/>
          <w:iCs/>
        </w:rPr>
        <w:t xml:space="preserve"> </w:t>
      </w:r>
      <w:r>
        <w:rPr>
          <w:i/>
          <w:iCs/>
          <w:lang w:eastAsia="hi-IN"/>
        </w:rPr>
        <w:t>gíra</w:t>
      </w:r>
      <w:r>
        <w:rPr>
          <w:i/>
          <w:iCs/>
          <w:lang w:eastAsia="hi-IN"/>
        </w:rPr>
        <w:t>ḥ</w:t>
      </w:r>
      <w:r>
        <w:rPr>
          <w:rStyle w:val="FootnoteAnchor"/>
          <w:rFonts w:cs="Devanagari MT;Times New Roman"/>
          <w:i/>
          <w:iCs/>
          <w:lang w:eastAsia="hi-IN"/>
        </w:rPr>
        <w:footnoteReference w:id="335"/>
      </w:r>
      <w:r>
        <w:rPr>
          <w:i/>
          <w:iCs/>
        </w:rPr>
        <w:t xml:space="preserve"> / índrā́dhipaté 'dhipatis tvá</w:t>
      </w:r>
      <w:r>
        <w:rPr>
          <w:i/>
          <w:iCs/>
        </w:rPr>
        <w:t>ṃ</w:t>
      </w:r>
      <w:r>
        <w:rPr>
          <w:i/>
          <w:iCs/>
        </w:rPr>
        <w:t xml:space="preserve"> devā́nām asi / ádhipati</w:t>
      </w:r>
      <w:r>
        <w:rPr>
          <w:i/>
          <w:iCs/>
        </w:rPr>
        <w:t>ṃ</w:t>
      </w:r>
      <w:r>
        <w:rPr>
          <w:i/>
          <w:iCs/>
        </w:rPr>
        <w:t xml:space="preserve"> mā́m / ā́yu</w:t>
      </w:r>
      <w:r>
        <w:rPr>
          <w:i/>
          <w:iCs/>
        </w:rPr>
        <w:t>ṣ</w:t>
      </w:r>
      <w:r>
        <w:rPr>
          <w:i/>
          <w:iCs/>
        </w:rPr>
        <w:t>manta</w:t>
      </w:r>
      <w:r>
        <w:rPr>
          <w:i/>
          <w:iCs/>
        </w:rPr>
        <w:t>ṃ</w:t>
      </w:r>
      <w:r>
        <w:rPr>
          <w:i/>
          <w:iCs/>
        </w:rPr>
        <w:t xml:space="preserve"> várcasvanta</w:t>
      </w:r>
      <w:r>
        <w:rPr>
          <w:i/>
          <w:iCs/>
        </w:rPr>
        <w:t>ṃ</w:t>
      </w:r>
      <w:r>
        <w:rPr>
          <w:i/>
          <w:iCs/>
        </w:rPr>
        <w:t xml:space="preserve"> manu</w:t>
      </w:r>
      <w:r>
        <w:rPr>
          <w:i/>
          <w:iCs/>
        </w:rPr>
        <w:t>ṣ</w:t>
      </w:r>
      <w:r>
        <w:rPr>
          <w:i/>
          <w:iCs/>
        </w:rPr>
        <w:t>yè</w:t>
      </w:r>
      <w:r>
        <w:rPr>
          <w:i/>
          <w:iCs/>
        </w:rPr>
        <w:t>ṣ</w:t>
      </w:r>
      <w:r>
        <w:rPr>
          <w:i/>
          <w:iCs/>
        </w:rPr>
        <w:t>u kuru</w:t>
      </w:r>
      <w:r>
        <w:rPr>
          <w:rStyle w:val="FootnoteAnchor"/>
          <w:i/>
          <w:iCs/>
        </w:rPr>
        <w:footnoteReference w:id="336"/>
      </w:r>
      <w:r>
        <w:rPr>
          <w:i/>
          <w:iCs/>
        </w:rPr>
        <w:t xml:space="preserve"> //</w:t>
      </w:r>
    </w:p>
    <w:p w14:paraId="7CFAC4A1" w14:textId="77777777" w:rsidR="00E53EB6" w:rsidRDefault="006500F5">
      <w:pPr>
        <w:pStyle w:val="Zitat"/>
      </w:pPr>
      <w:r>
        <w:rPr>
          <w:lang w:eastAsia="hi-IN"/>
        </w:rPr>
        <w:t>I invoked</w:t>
      </w:r>
      <w:r>
        <w:rPr>
          <w:rStyle w:val="FootnoteAnchor"/>
          <w:lang w:eastAsia="hi-IN"/>
        </w:rPr>
        <w:footnoteReference w:id="337"/>
      </w:r>
      <w:r>
        <w:rPr>
          <w:lang w:eastAsia="hi-IN"/>
        </w:rPr>
        <w:t xml:space="preserve"> in the great meeting [rite]</w:t>
      </w:r>
      <w:r>
        <w:rPr>
          <w:rStyle w:val="FootnoteAnchor"/>
          <w:rFonts w:cs="Devanagari MT;Times New Roman"/>
          <w:lang w:eastAsia="hi-IN"/>
        </w:rPr>
        <w:footnoteReference w:id="338"/>
      </w:r>
      <w:r>
        <w:rPr>
          <w:lang w:eastAsia="hi-IN"/>
        </w:rPr>
        <w:t xml:space="preserve"> your two steeds,  I </w:t>
      </w:r>
      <w:r>
        <w:rPr>
          <w:u w:val="single"/>
          <w:lang w:eastAsia="hi-IN"/>
        </w:rPr>
        <w:t>appropriate for my self</w:t>
      </w:r>
      <w:r>
        <w:rPr>
          <w:lang w:eastAsia="hi-IN"/>
        </w:rPr>
        <w:t xml:space="preserve"> the intoxicating drink dear to you who </w:t>
      </w:r>
      <w:r>
        <w:rPr>
          <w:u w:val="single"/>
          <w:lang w:eastAsia="hi-IN"/>
        </w:rPr>
        <w:t>desire to appropriate</w:t>
      </w:r>
      <w:r>
        <w:rPr>
          <w:lang w:eastAsia="hi-IN"/>
        </w:rPr>
        <w:t xml:space="preserve"> </w:t>
      </w:r>
      <w:r>
        <w:rPr>
          <w:lang w:eastAsia="hi-IN"/>
        </w:rPr>
        <w:t>it, which is in proper time</w:t>
      </w:r>
      <w:r>
        <w:rPr>
          <w:rStyle w:val="FootnoteAnchor"/>
          <w:lang w:eastAsia="hi-IN"/>
        </w:rPr>
        <w:footnoteReference w:id="339"/>
      </w:r>
      <w:r>
        <w:rPr>
          <w:lang w:eastAsia="hi-IN"/>
        </w:rPr>
        <w:t>; Indra by name, famous in the troops, is the one who, together with the bays ones, pours out</w:t>
      </w:r>
      <w:r>
        <w:rPr>
          <w:rStyle w:val="FootnoteAnchor"/>
          <w:lang w:eastAsia="hi-IN"/>
        </w:rPr>
        <w:footnoteReference w:id="340"/>
      </w:r>
      <w:r>
        <w:rPr>
          <w:lang w:eastAsia="hi-IN"/>
        </w:rPr>
        <w:t xml:space="preserve"> what is pleasant as clarified butter,  the chants should arrive to you who have the colour of gold; O Indra, o ruler, you are the ruler of gods, make me life and bright-energy possessing</w:t>
      </w:r>
      <w:r>
        <w:rPr>
          <w:rStyle w:val="FootnoteAnchor"/>
          <w:lang w:eastAsia="hi-IN"/>
        </w:rPr>
        <w:footnoteReference w:id="341"/>
      </w:r>
      <w:r>
        <w:rPr>
          <w:lang w:eastAsia="hi-IN"/>
        </w:rPr>
        <w:t xml:space="preserve"> ruler among the human beings.</w:t>
      </w:r>
    </w:p>
    <w:p w14:paraId="3B565AE9" w14:textId="77777777" w:rsidR="00E53EB6" w:rsidRPr="00B80C6B" w:rsidRDefault="006500F5">
      <w:pPr>
        <w:pStyle w:val="Zitat"/>
        <w:rPr>
          <w:i/>
          <w:iCs/>
          <w:lang w:val="de-DE"/>
        </w:rPr>
      </w:pPr>
      <w:r>
        <w:rPr>
          <w:i/>
          <w:iCs/>
          <w:lang w:eastAsia="hi-IN"/>
        </w:rPr>
        <w:t>prá  vanve:</w:t>
      </w:r>
      <w:r>
        <w:rPr>
          <w:lang w:eastAsia="hi-IN"/>
        </w:rPr>
        <w:t xml:space="preserve"> ind. pres. 1</w:t>
      </w:r>
      <w:r>
        <w:rPr>
          <w:vertAlign w:val="superscript"/>
          <w:lang w:eastAsia="hi-IN"/>
        </w:rPr>
        <w:t>st</w:t>
      </w:r>
      <w:r>
        <w:rPr>
          <w:lang w:eastAsia="hi-IN"/>
        </w:rPr>
        <w:t xml:space="preserve"> sing. </w:t>
      </w:r>
      <w:r w:rsidRPr="00B80C6B">
        <w:rPr>
          <w:lang w:val="de-DE" w:eastAsia="hi-IN"/>
        </w:rPr>
        <w:t>Ā V</w:t>
      </w:r>
      <w:r w:rsidRPr="00B80C6B">
        <w:rPr>
          <w:lang w:val="de-DE" w:eastAsia="hi-IN"/>
        </w:rPr>
        <w:t>III cl.</w:t>
      </w:r>
    </w:p>
    <w:p w14:paraId="7AEA7163" w14:textId="77777777" w:rsidR="00E53EB6" w:rsidRPr="00B80C6B" w:rsidRDefault="006500F5">
      <w:pPr>
        <w:pStyle w:val="ZitatmitEinzug"/>
        <w:rPr>
          <w:rFonts w:eastAsia="Arial" w:cs="Times Ext Roman"/>
          <w:szCs w:val="18"/>
          <w:lang w:val="de-DE" w:eastAsia="hi-IN" w:bidi="en-GB"/>
        </w:rPr>
      </w:pPr>
      <w:r w:rsidRPr="00B80C6B">
        <w:rPr>
          <w:rStyle w:val="biblio-authorGEN"/>
          <w:rFonts w:eastAsia="Arial" w:cs="Times Ext Roman"/>
          <w:sz w:val="18"/>
          <w:szCs w:val="15"/>
          <w:lang w:val="de-DE" w:eastAsia="hi-IN" w:bidi="en-GB"/>
        </w:rPr>
        <w:t>Geldner</w:t>
      </w:r>
      <w:r w:rsidRPr="00B80C6B">
        <w:rPr>
          <w:rFonts w:eastAsia="Arial" w:cs="Times Ext Roman"/>
          <w:szCs w:val="18"/>
          <w:lang w:val="de-DE" w:eastAsia="hi-IN" w:bidi="en-GB"/>
        </w:rPr>
        <w:t>: III 304 “habe Gewinn”</w:t>
      </w:r>
    </w:p>
    <w:p w14:paraId="0F0CCD84" w14:textId="77777777" w:rsidR="00E53EB6" w:rsidRPr="00B80C6B" w:rsidRDefault="006500F5">
      <w:pPr>
        <w:pStyle w:val="ZitatmitEinzug"/>
        <w:rPr>
          <w:rFonts w:eastAsia="Arial" w:cs="Times Ext Roman"/>
          <w:szCs w:val="18"/>
          <w:lang w:val="de-DE" w:eastAsia="hi-IN" w:bidi="en-GB"/>
        </w:rPr>
      </w:pPr>
      <w:r w:rsidRPr="00B80C6B">
        <w:rPr>
          <w:rStyle w:val="biblio-authorGEN"/>
          <w:rFonts w:eastAsia="Arial" w:cs="Times Ext Roman"/>
          <w:sz w:val="18"/>
          <w:szCs w:val="15"/>
          <w:lang w:val="de-DE" w:eastAsia="hi-IN" w:bidi="en-GB"/>
        </w:rPr>
        <w:lastRenderedPageBreak/>
        <w:t xml:space="preserve">Dumont </w:t>
      </w:r>
      <w:r w:rsidRPr="00B80C6B">
        <w:rPr>
          <w:rFonts w:eastAsia="Arial" w:cs="Times Ext Roman"/>
          <w:szCs w:val="18"/>
          <w:lang w:val="de-DE" w:eastAsia="hi-IN" w:bidi="en-GB"/>
        </w:rPr>
        <w:t>1963: 453 “conquer”</w:t>
      </w:r>
    </w:p>
    <w:p w14:paraId="7934FFD1" w14:textId="77777777" w:rsidR="00E53EB6" w:rsidRPr="00B80C6B" w:rsidRDefault="006500F5">
      <w:pPr>
        <w:pStyle w:val="Zitat"/>
        <w:rPr>
          <w:lang w:val="de-DE"/>
        </w:rPr>
      </w:pPr>
      <w:r w:rsidRPr="00B80C6B">
        <w:rPr>
          <w:i/>
          <w:iCs/>
          <w:lang w:val="de-DE" w:eastAsia="hi-IN"/>
        </w:rPr>
        <w:t>vanú</w:t>
      </w:r>
      <w:r w:rsidRPr="00B80C6B">
        <w:rPr>
          <w:i/>
          <w:iCs/>
          <w:lang w:val="de-DE" w:eastAsia="hi-IN"/>
        </w:rPr>
        <w:t>ṣ</w:t>
      </w:r>
      <w:r w:rsidRPr="00B80C6B">
        <w:rPr>
          <w:i/>
          <w:iCs/>
          <w:lang w:val="de-DE" w:eastAsia="hi-IN"/>
        </w:rPr>
        <w:t>a</w:t>
      </w:r>
      <w:r w:rsidRPr="00B80C6B">
        <w:rPr>
          <w:i/>
          <w:iCs/>
          <w:lang w:val="de-DE" w:eastAsia="hi-IN"/>
        </w:rPr>
        <w:t>ḥ</w:t>
      </w:r>
      <w:r w:rsidRPr="00B80C6B">
        <w:rPr>
          <w:i/>
          <w:iCs/>
          <w:lang w:val="de-DE" w:eastAsia="hi-IN"/>
        </w:rPr>
        <w:t>:</w:t>
      </w:r>
      <w:r w:rsidRPr="00B80C6B">
        <w:rPr>
          <w:lang w:val="de-DE" w:eastAsia="hi-IN"/>
        </w:rPr>
        <w:t xml:space="preserve"> abl. masc. sing. </w:t>
      </w:r>
      <w:r w:rsidRPr="00B80C6B">
        <w:rPr>
          <w:i/>
          <w:iCs/>
          <w:lang w:val="de-DE" w:eastAsia="hi-IN"/>
        </w:rPr>
        <w:t>vanús-</w:t>
      </w:r>
    </w:p>
    <w:p w14:paraId="0146DDFB" w14:textId="77777777" w:rsidR="00E53EB6" w:rsidRPr="00B80C6B" w:rsidRDefault="006500F5">
      <w:pPr>
        <w:pStyle w:val="ZitatmitEinzug"/>
        <w:rPr>
          <w:rFonts w:eastAsia="Arial" w:cs="Times Ext Roman"/>
          <w:szCs w:val="18"/>
          <w:lang w:val="de-DE" w:eastAsia="hi-IN" w:bidi="en-GB"/>
        </w:rPr>
      </w:pPr>
      <w:r w:rsidRPr="00B80C6B">
        <w:rPr>
          <w:rStyle w:val="biblio-authorGEN"/>
          <w:rFonts w:eastAsia="Arial" w:cs="Times Ext Roman"/>
          <w:sz w:val="18"/>
          <w:szCs w:val="15"/>
          <w:lang w:val="de-DE" w:eastAsia="hi-IN" w:bidi="en-GB"/>
        </w:rPr>
        <w:t>Geldner</w:t>
      </w:r>
      <w:r w:rsidRPr="00B80C6B">
        <w:rPr>
          <w:rFonts w:eastAsia="Arial" w:cs="Times Ext Roman"/>
          <w:szCs w:val="18"/>
          <w:lang w:val="de-DE" w:eastAsia="hi-IN" w:bidi="en-GB"/>
        </w:rPr>
        <w:t>: III 304 “Eifrigen”</w:t>
      </w:r>
    </w:p>
    <w:p w14:paraId="16BE8CC6" w14:textId="77777777" w:rsidR="00E53EB6" w:rsidRDefault="006500F5">
      <w:pPr>
        <w:pStyle w:val="ZitatmitEinzug"/>
        <w:rPr>
          <w:rFonts w:eastAsia="Arial" w:cs="Times Ext Roman"/>
          <w:szCs w:val="18"/>
          <w:lang w:eastAsia="hi-IN" w:bidi="en-GB"/>
        </w:rPr>
      </w:pPr>
      <w:r>
        <w:rPr>
          <w:rStyle w:val="biblio-authorGEN"/>
          <w:rFonts w:eastAsia="Arial" w:cs="Times Ext Roman"/>
          <w:sz w:val="18"/>
          <w:szCs w:val="15"/>
          <w:lang w:eastAsia="hi-IN" w:bidi="en-GB"/>
        </w:rPr>
        <w:t xml:space="preserve">Dumont </w:t>
      </w:r>
      <w:r>
        <w:rPr>
          <w:rFonts w:eastAsia="Arial" w:cs="Times Ext Roman"/>
          <w:szCs w:val="18"/>
          <w:lang w:eastAsia="hi-IN" w:bidi="en-GB"/>
        </w:rPr>
        <w:t>1963: 453 “the conquerer”</w:t>
      </w:r>
    </w:p>
    <w:p w14:paraId="272B5050" w14:textId="77777777" w:rsidR="00E53EB6" w:rsidRDefault="006500F5">
      <w:pPr>
        <w:pStyle w:val="HaupttextnachZitat"/>
        <w:rPr>
          <w:rFonts w:eastAsia="Arial" w:cs="Times Ext Roman"/>
          <w:lang w:eastAsia="hi-IN" w:bidi="en-GB"/>
        </w:rPr>
      </w:pPr>
      <w:r>
        <w:rPr>
          <w:rFonts w:eastAsia="Arial" w:cs="Times Ext Roman"/>
          <w:lang w:eastAsia="hi-IN" w:bidi="en-GB"/>
        </w:rPr>
        <w:t>Vedic Web</w:t>
      </w:r>
    </w:p>
    <w:p w14:paraId="43B4DDDF" w14:textId="77777777" w:rsidR="00E53EB6" w:rsidRDefault="006500F5">
      <w:pPr>
        <w:pStyle w:val="HaupttextohneEinzug"/>
      </w:pPr>
      <w:r>
        <w:t xml:space="preserve">Mantra: R̥V 10.96.1; TB 2.4.3.10; </w:t>
      </w:r>
      <w:r>
        <w:rPr>
          <w:rFonts w:eastAsia="Arial" w:cs="Times Ext Roman"/>
          <w:szCs w:val="21"/>
          <w:lang w:eastAsia="hi-IN" w:bidi="en-GB"/>
        </w:rPr>
        <w:t>AVŚ 20.30.1;</w:t>
      </w:r>
      <w:r>
        <w:t xml:space="preserve"> </w:t>
      </w:r>
      <w:r>
        <w:t xml:space="preserve">as to the final </w:t>
      </w:r>
      <w:r>
        <w:rPr>
          <w:i/>
          <w:iCs/>
        </w:rPr>
        <w:t xml:space="preserve">mantra </w:t>
      </w:r>
      <w:r>
        <w:t>Ā</w:t>
      </w:r>
      <w:r>
        <w:t xml:space="preserve">pŚS 14.3.5, and see also similar verses in TS 7.4.16.1; TB 3.9.16.2; KS 4.5 – </w:t>
      </w:r>
      <w:r>
        <w:t>Aśvamedhagrantha.</w:t>
      </w:r>
    </w:p>
    <w:p w14:paraId="0CB09D2D" w14:textId="77777777" w:rsidR="00E53EB6" w:rsidRDefault="00E53EB6">
      <w:pPr>
        <w:pStyle w:val="HaupttextohneEinzug"/>
        <w:rPr>
          <w:rFonts w:eastAsia="Arial" w:cs="Times Ext Roman"/>
          <w:szCs w:val="21"/>
          <w:lang w:eastAsia="hi-IN" w:bidi="en-GB"/>
        </w:rPr>
      </w:pPr>
    </w:p>
    <w:p w14:paraId="6E8A8B61" w14:textId="77777777" w:rsidR="00E53EB6" w:rsidRDefault="006500F5">
      <w:pPr>
        <w:pStyle w:val="HaupttextohneEinzug"/>
        <w:rPr>
          <w:rFonts w:eastAsia="Arial" w:cs="Times Ext Roman"/>
          <w:szCs w:val="21"/>
          <w:lang w:eastAsia="hi-IN" w:bidi="en-GB"/>
        </w:rPr>
      </w:pPr>
      <w:r>
        <w:rPr>
          <w:rFonts w:eastAsia="Arial" w:cs="Times Ext Roman"/>
          <w:szCs w:val="21"/>
          <w:lang w:eastAsia="hi-IN" w:bidi="en-GB"/>
        </w:rPr>
        <w:t>Rite</w:t>
      </w:r>
    </w:p>
    <w:p w14:paraId="541205BE" w14:textId="77777777" w:rsidR="00E53EB6" w:rsidRDefault="006500F5">
      <w:pPr>
        <w:pStyle w:val="HaupttextohneEinzug"/>
        <w:rPr>
          <w:rFonts w:eastAsia="Arial" w:cs="Times Ext Roman"/>
          <w:szCs w:val="21"/>
          <w:lang w:eastAsia="hi-IN" w:bidi="en-GB"/>
        </w:rPr>
      </w:pPr>
      <w:r>
        <w:rPr>
          <w:rFonts w:eastAsia="Arial" w:cs="Times Ext Roman"/>
          <w:szCs w:val="21"/>
          <w:lang w:eastAsia="hi-IN" w:bidi="en-GB"/>
        </w:rPr>
        <w:t xml:space="preserve">Soma offerings. Stanzas and formulas concerning the </w:t>
      </w:r>
      <w:r>
        <w:rPr>
          <w:rFonts w:eastAsia="Arial" w:cs="Times Ext Roman"/>
          <w:i/>
          <w:iCs/>
          <w:szCs w:val="21"/>
          <w:lang w:eastAsia="hi-IN" w:bidi="en-GB"/>
        </w:rPr>
        <w:t>ṣ</w:t>
      </w:r>
      <w:r>
        <w:rPr>
          <w:rFonts w:eastAsia="Arial" w:cs="Times Ext Roman"/>
          <w:i/>
          <w:iCs/>
          <w:szCs w:val="21"/>
          <w:lang w:eastAsia="hi-IN" w:bidi="en-GB"/>
        </w:rPr>
        <w:t>odaśin</w:t>
      </w:r>
      <w:r>
        <w:rPr>
          <w:rFonts w:eastAsia="Arial" w:cs="Times Ext Roman"/>
          <w:szCs w:val="21"/>
          <w:lang w:eastAsia="hi-IN" w:bidi="en-GB"/>
        </w:rPr>
        <w:t xml:space="preserve"> cup of the </w:t>
      </w:r>
      <w:r>
        <w:rPr>
          <w:rFonts w:eastAsia="Arial" w:cs="Times Ext Roman"/>
          <w:szCs w:val="21"/>
          <w:lang w:eastAsia="hi-IN" w:bidi="en-GB"/>
        </w:rPr>
        <w:t>Ṣ</w:t>
      </w:r>
      <w:r>
        <w:rPr>
          <w:rFonts w:eastAsia="Arial" w:cs="Times Ext Roman"/>
          <w:szCs w:val="21"/>
          <w:lang w:eastAsia="hi-IN" w:bidi="en-GB"/>
        </w:rPr>
        <w:t>odaśin form of Jyoti</w:t>
      </w:r>
      <w:r>
        <w:rPr>
          <w:rFonts w:eastAsia="Arial" w:cs="Times Ext Roman"/>
          <w:szCs w:val="21"/>
          <w:lang w:eastAsia="hi-IN" w:bidi="en-GB"/>
        </w:rPr>
        <w:t>ṣ</w:t>
      </w:r>
      <w:r>
        <w:rPr>
          <w:rFonts w:eastAsia="Arial" w:cs="Times Ext Roman"/>
          <w:szCs w:val="21"/>
          <w:lang w:eastAsia="hi-IN" w:bidi="en-GB"/>
        </w:rPr>
        <w:t xml:space="preserve">toma, a one-day sacrifice to Indra, consisting </w:t>
      </w:r>
      <w:r>
        <w:rPr>
          <w:rFonts w:eastAsia="Arial" w:cs="Times Ext Roman"/>
          <w:i/>
          <w:iCs/>
          <w:szCs w:val="21"/>
          <w:lang w:eastAsia="hi-IN" w:bidi="en-GB"/>
        </w:rPr>
        <w:t xml:space="preserve">inter alia </w:t>
      </w:r>
      <w:r>
        <w:rPr>
          <w:rFonts w:eastAsia="Arial" w:cs="Times Ext Roman"/>
          <w:szCs w:val="21"/>
          <w:lang w:eastAsia="hi-IN" w:bidi="en-GB"/>
        </w:rPr>
        <w:t>of the sacrifices of two he-goats and a ram.</w:t>
      </w:r>
    </w:p>
    <w:p w14:paraId="52732D74" w14:textId="77777777" w:rsidR="00E53EB6" w:rsidRDefault="00E53EB6">
      <w:pPr>
        <w:pStyle w:val="HaupttextohneEinzug"/>
        <w:rPr>
          <w:u w:val="single"/>
        </w:rPr>
      </w:pPr>
    </w:p>
    <w:p w14:paraId="27A39668" w14:textId="77777777" w:rsidR="00E53EB6" w:rsidRDefault="00E53EB6">
      <w:pPr>
        <w:pStyle w:val="HaupttextohneEinzug"/>
        <w:rPr>
          <w:u w:val="single"/>
        </w:rPr>
      </w:pPr>
    </w:p>
    <w:p w14:paraId="49CDD066" w14:textId="77777777" w:rsidR="00E53EB6" w:rsidRDefault="006500F5">
      <w:pPr>
        <w:pStyle w:val="Heading5"/>
        <w:tabs>
          <w:tab w:val="left" w:pos="0"/>
        </w:tabs>
      </w:pPr>
      <w:r>
        <w:t>Śatapatha occurrences (Mādhya</w:t>
      </w:r>
      <w:r>
        <w:t>ṃ</w:t>
      </w:r>
      <w:r>
        <w:t>dina recension)</w:t>
      </w:r>
    </w:p>
    <w:p w14:paraId="77C0B0DE" w14:textId="77777777" w:rsidR="00E53EB6" w:rsidRDefault="006500F5">
      <w:pPr>
        <w:pStyle w:val="Heading5"/>
        <w:tabs>
          <w:tab w:val="left" w:pos="0"/>
        </w:tabs>
      </w:pPr>
      <w:r>
        <w:rPr>
          <w:u w:val="single"/>
        </w:rPr>
        <w:t>ŚB 4.2.1.12</w:t>
      </w:r>
      <w:r>
        <w:tab/>
      </w:r>
      <w:r>
        <w:tab/>
      </w:r>
      <w:r>
        <w:tab/>
      </w:r>
      <w:r>
        <w:tab/>
      </w:r>
      <w:r>
        <w:tab/>
      </w:r>
      <w:r>
        <w:tab/>
      </w:r>
      <w:r>
        <w:tab/>
      </w:r>
      <w:r>
        <w:tab/>
      </w:r>
      <w:r>
        <w:tab/>
      </w:r>
    </w:p>
    <w:p w14:paraId="364E305B" w14:textId="77777777" w:rsidR="00E53EB6" w:rsidRDefault="006500F5">
      <w:pPr>
        <w:pStyle w:val="Zitat"/>
      </w:pPr>
      <w:r>
        <w:rPr>
          <w:rFonts w:eastAsia="MS Mincho;ＭＳ 明朝"/>
          <w:lang w:eastAsia="hi-IN"/>
        </w:rPr>
        <w:t xml:space="preserve">4.2.1.12 </w:t>
      </w:r>
      <w:r>
        <w:rPr>
          <w:rFonts w:eastAsia="MS Mincho;ＭＳ 明朝"/>
          <w:i/>
          <w:iCs/>
          <w:lang w:eastAsia="hi-IN"/>
        </w:rPr>
        <w:t>sá śrī</w:t>
      </w:r>
      <w:r>
        <w:rPr>
          <w:rFonts w:eastAsia="MS Mincho;ＭＳ 明朝"/>
          <w:i/>
          <w:iCs/>
          <w:lang w:eastAsia="hi-IN"/>
        </w:rPr>
        <w:t>ṇ</w:t>
      </w:r>
      <w:r>
        <w:rPr>
          <w:rFonts w:eastAsia="MS Mincho;ＭＳ 明朝"/>
          <w:i/>
          <w:iCs/>
          <w:lang w:eastAsia="hi-IN"/>
        </w:rPr>
        <w:t>āti / máno na yé</w:t>
      </w:r>
      <w:r>
        <w:rPr>
          <w:rFonts w:eastAsia="MS Mincho;ＭＳ 明朝"/>
          <w:i/>
          <w:iCs/>
          <w:lang w:eastAsia="hi-IN"/>
        </w:rPr>
        <w:t>ṣ</w:t>
      </w:r>
      <w:r>
        <w:rPr>
          <w:rFonts w:eastAsia="MS Mincho;ＭＳ 明朝"/>
          <w:i/>
          <w:iCs/>
          <w:lang w:eastAsia="hi-IN"/>
        </w:rPr>
        <w:t>u hávane</w:t>
      </w:r>
      <w:r>
        <w:rPr>
          <w:rFonts w:eastAsia="MS Mincho;ＭＳ 明朝"/>
          <w:i/>
          <w:iCs/>
          <w:lang w:eastAsia="hi-IN"/>
        </w:rPr>
        <w:t>ṣ</w:t>
      </w:r>
      <w:r>
        <w:rPr>
          <w:rFonts w:eastAsia="MS Mincho;ＭＳ 明朝"/>
          <w:i/>
          <w:iCs/>
          <w:lang w:eastAsia="hi-IN"/>
        </w:rPr>
        <w:t>u tigma</w:t>
      </w:r>
      <w:r>
        <w:rPr>
          <w:rFonts w:eastAsia="MS Mincho;ＭＳ 明朝"/>
          <w:i/>
          <w:iCs/>
          <w:lang w:eastAsia="hi-IN"/>
        </w:rPr>
        <w:t>ṃ</w:t>
      </w:r>
      <w:r>
        <w:rPr>
          <w:rFonts w:eastAsia="MS Mincho;ＭＳ 明朝"/>
          <w:i/>
          <w:iCs/>
          <w:lang w:eastAsia="hi-IN"/>
        </w:rPr>
        <w:t xml:space="preserve"> vípa</w:t>
      </w:r>
      <w:r>
        <w:rPr>
          <w:rFonts w:eastAsia="MS Mincho;ＭＳ 明朝"/>
          <w:i/>
          <w:iCs/>
          <w:lang w:eastAsia="hi-IN"/>
        </w:rPr>
        <w:t>ḥ</w:t>
      </w:r>
      <w:r>
        <w:rPr>
          <w:rFonts w:eastAsia="MS Mincho;ＭＳ 明朝"/>
          <w:i/>
          <w:iCs/>
          <w:lang w:eastAsia="hi-IN"/>
        </w:rPr>
        <w:t xml:space="preserve"> śácyā vanutho drávantā ā ya</w:t>
      </w:r>
      <w:r>
        <w:rPr>
          <w:rFonts w:eastAsia="MS Mincho;ＭＳ 明朝"/>
          <w:i/>
          <w:iCs/>
          <w:lang w:eastAsia="hi-IN"/>
        </w:rPr>
        <w:t>ḥ</w:t>
      </w:r>
      <w:r>
        <w:rPr>
          <w:rFonts w:eastAsia="MS Mincho;ＭＳ 明朝"/>
          <w:i/>
          <w:iCs/>
          <w:lang w:eastAsia="hi-IN"/>
        </w:rPr>
        <w:t xml:space="preserve"> śáryābhistuvinr̥m</w:t>
      </w:r>
      <w:r>
        <w:rPr>
          <w:rFonts w:eastAsia="MS Mincho;ＭＳ 明朝"/>
          <w:i/>
          <w:iCs/>
          <w:lang w:eastAsia="hi-IN"/>
        </w:rPr>
        <w:t>ṇ</w:t>
      </w:r>
      <w:r>
        <w:rPr>
          <w:rFonts w:eastAsia="MS Mincho;ＭＳ 明朝"/>
          <w:i/>
          <w:iCs/>
          <w:lang w:eastAsia="hi-IN"/>
        </w:rPr>
        <w:t>ó asyā́śrī</w:t>
      </w:r>
      <w:r>
        <w:rPr>
          <w:rFonts w:eastAsia="MS Mincho;ＭＳ 明朝"/>
          <w:i/>
          <w:iCs/>
          <w:lang w:eastAsia="hi-IN"/>
        </w:rPr>
        <w:t>ṇ</w:t>
      </w:r>
      <w:r>
        <w:rPr>
          <w:rFonts w:eastAsia="MS Mincho;ＭＳ 明朝"/>
          <w:i/>
          <w:iCs/>
          <w:lang w:eastAsia="hi-IN"/>
        </w:rPr>
        <w:t>ītādíśa</w:t>
      </w:r>
      <w:r>
        <w:rPr>
          <w:rFonts w:eastAsia="MS Mincho;ＭＳ 明朝"/>
          <w:i/>
          <w:iCs/>
          <w:lang w:eastAsia="hi-IN"/>
        </w:rPr>
        <w:t>ṃ</w:t>
      </w:r>
      <w:r>
        <w:rPr>
          <w:rFonts w:eastAsia="MS Mincho;ＭＳ 明朝"/>
          <w:i/>
          <w:iCs/>
          <w:lang w:eastAsia="hi-IN"/>
        </w:rPr>
        <w:t xml:space="preserve"> gábhastāv</w:t>
      </w:r>
      <w:r>
        <w:rPr>
          <w:rStyle w:val="FootnoteAnchor"/>
          <w:rFonts w:eastAsia="MS Mincho;ＭＳ 明朝"/>
          <w:i/>
          <w:iCs/>
          <w:lang w:eastAsia="hi-IN"/>
        </w:rPr>
        <w:footnoteReference w:id="342"/>
      </w:r>
      <w:r>
        <w:rPr>
          <w:rFonts w:eastAsia="MS Mincho;ＭＳ 明朝"/>
          <w:i/>
          <w:iCs/>
          <w:lang w:eastAsia="hi-IN"/>
        </w:rPr>
        <w:t>e</w:t>
      </w:r>
      <w:r>
        <w:rPr>
          <w:rFonts w:eastAsia="MS Mincho;ＭＳ 明朝"/>
          <w:i/>
          <w:iCs/>
          <w:lang w:eastAsia="hi-IN"/>
        </w:rPr>
        <w:t>ṣ</w:t>
      </w:r>
      <w:r>
        <w:rPr>
          <w:rFonts w:eastAsia="MS Mincho;ＭＳ 明朝"/>
          <w:i/>
          <w:iCs/>
          <w:lang w:eastAsia="hi-IN"/>
        </w:rPr>
        <w:t>á te yóni</w:t>
      </w:r>
      <w:r>
        <w:rPr>
          <w:rFonts w:eastAsia="MS Mincho;ＭＳ 明朝"/>
          <w:i/>
          <w:iCs/>
          <w:lang w:eastAsia="hi-IN"/>
        </w:rPr>
        <w:t>ḥ</w:t>
      </w:r>
      <w:r>
        <w:rPr>
          <w:rFonts w:eastAsia="MS Mincho;ＭＳ 明朝"/>
          <w:i/>
          <w:iCs/>
          <w:lang w:eastAsia="hi-IN"/>
        </w:rPr>
        <w:t xml:space="preserve"> prajā́</w:t>
      </w:r>
      <w:r>
        <w:rPr>
          <w:rFonts w:eastAsia="MS Mincho;ＭＳ 明朝"/>
          <w:i/>
          <w:iCs/>
          <w:lang w:eastAsia="hi-IN"/>
        </w:rPr>
        <w:t>ḥ</w:t>
      </w:r>
      <w:r>
        <w:rPr>
          <w:rFonts w:eastAsia="MS Mincho;ＭＳ 明朝"/>
          <w:i/>
          <w:iCs/>
          <w:lang w:eastAsia="hi-IN"/>
        </w:rPr>
        <w:t xml:space="preserve"> pāhī́ti</w:t>
      </w:r>
      <w:r>
        <w:rPr>
          <w:rStyle w:val="FootnoteAnchor"/>
          <w:rFonts w:eastAsia="MS Mincho;ＭＳ 明朝"/>
          <w:i/>
          <w:iCs/>
          <w:lang w:eastAsia="hi-IN"/>
        </w:rPr>
        <w:footnoteReference w:id="343"/>
      </w:r>
      <w:r>
        <w:rPr>
          <w:rFonts w:eastAsia="MS Mincho;ＭＳ 明朝"/>
          <w:i/>
          <w:iCs/>
          <w:lang w:eastAsia="hi-IN"/>
        </w:rPr>
        <w:t xml:space="preserve"> sādayatyādyò hyetamánvādyā̀ hī̀mā́</w:t>
      </w:r>
      <w:r>
        <w:rPr>
          <w:rFonts w:eastAsia="MS Mincho;ＭＳ 明朝"/>
          <w:i/>
          <w:iCs/>
          <w:lang w:eastAsia="hi-IN"/>
        </w:rPr>
        <w:t>ḥ</w:t>
      </w:r>
      <w:r>
        <w:rPr>
          <w:rFonts w:eastAsia="MS Mincho;ＭＳ 明朝"/>
          <w:i/>
          <w:iCs/>
          <w:lang w:eastAsia="hi-IN"/>
        </w:rPr>
        <w:t xml:space="preserve"> prajā víśastásmādāhai</w:t>
      </w:r>
      <w:r>
        <w:rPr>
          <w:rFonts w:eastAsia="MS Mincho;ＭＳ 明朝"/>
          <w:i/>
          <w:iCs/>
          <w:lang w:eastAsia="hi-IN"/>
        </w:rPr>
        <w:t>ṣ</w:t>
      </w:r>
      <w:r>
        <w:rPr>
          <w:rFonts w:eastAsia="MS Mincho;ＭＳ 明朝"/>
          <w:i/>
          <w:iCs/>
          <w:lang w:eastAsia="hi-IN"/>
        </w:rPr>
        <w:t>á te yóni</w:t>
      </w:r>
      <w:r>
        <w:rPr>
          <w:rFonts w:eastAsia="MS Mincho;ＭＳ 明朝"/>
          <w:i/>
          <w:iCs/>
          <w:lang w:eastAsia="hi-IN"/>
        </w:rPr>
        <w:t>ḥ</w:t>
      </w:r>
      <w:r>
        <w:rPr>
          <w:rFonts w:eastAsia="MS Mincho;ＭＳ 明朝"/>
          <w:i/>
          <w:iCs/>
          <w:lang w:eastAsia="hi-IN"/>
        </w:rPr>
        <w:t xml:space="preserve"> prajā́</w:t>
      </w:r>
      <w:r>
        <w:rPr>
          <w:rFonts w:eastAsia="MS Mincho;ＭＳ 明朝"/>
          <w:i/>
          <w:iCs/>
          <w:lang w:eastAsia="hi-IN"/>
        </w:rPr>
        <w:t>ḥ</w:t>
      </w:r>
      <w:r>
        <w:rPr>
          <w:rFonts w:eastAsia="MS Mincho;ＭＳ 明朝"/>
          <w:i/>
          <w:iCs/>
          <w:lang w:eastAsia="hi-IN"/>
        </w:rPr>
        <w:t xml:space="preserve"> pāhī́ti</w:t>
      </w:r>
    </w:p>
    <w:p w14:paraId="70A1E8B3" w14:textId="77777777" w:rsidR="00E53EB6" w:rsidRDefault="006500F5">
      <w:pPr>
        <w:pStyle w:val="Zitat"/>
      </w:pPr>
      <w:r>
        <w:rPr>
          <w:rFonts w:eastAsia="MS Mincho;ＭＳ 明朝"/>
          <w:lang w:eastAsia="hi-IN"/>
        </w:rPr>
        <w:t xml:space="preserve">He mixes </w:t>
      </w:r>
      <w:r>
        <w:t>‘In the invocations of whom you both</w:t>
      </w:r>
      <w:r>
        <w:rPr>
          <w:rStyle w:val="FootnoteAnchor"/>
        </w:rPr>
        <w:footnoteReference w:id="344"/>
      </w:r>
      <w:r>
        <w:t xml:space="preserve">, swift as mind, rushing to help, </w:t>
      </w:r>
      <w:r>
        <w:rPr>
          <w:u w:val="single"/>
        </w:rPr>
        <w:t>appropriate</w:t>
      </w:r>
      <w:r>
        <w:t xml:space="preserve"> the inspired speech; the one who is very manly with arrows in his hand may burn the intention of this;</w:t>
      </w:r>
      <w:r>
        <w:rPr>
          <w:rStyle w:val="FootnoteAnchor"/>
        </w:rPr>
        <w:footnoteReference w:id="345"/>
      </w:r>
      <w:r>
        <w:t>’ ‘This is your womb, protect the creatures’ he places it down; because the food correspond to this</w:t>
      </w:r>
      <w:r>
        <w:rPr>
          <w:rStyle w:val="FootnoteAnchor"/>
        </w:rPr>
        <w:footnoteReference w:id="346"/>
      </w:r>
      <w:r>
        <w:t>, bec</w:t>
      </w:r>
      <w:r>
        <w:t>ause these creatures, the people, are food, therefore he says ‘This is your womb, protect the creatures’.</w:t>
      </w:r>
    </w:p>
    <w:p w14:paraId="0E690C79" w14:textId="77777777" w:rsidR="00E53EB6" w:rsidRPr="00B80C6B" w:rsidRDefault="006500F5">
      <w:pPr>
        <w:pStyle w:val="Zitat"/>
        <w:rPr>
          <w:lang w:val="de-DE"/>
        </w:rPr>
      </w:pPr>
      <w:r w:rsidRPr="00B80C6B">
        <w:rPr>
          <w:i/>
          <w:iCs/>
          <w:lang w:val="de-DE"/>
        </w:rPr>
        <w:t>v</w:t>
      </w:r>
      <w:r w:rsidRPr="00B80C6B">
        <w:rPr>
          <w:i/>
          <w:iCs/>
          <w:lang w:val="de-DE"/>
        </w:rPr>
        <w:t>anutha</w:t>
      </w:r>
      <w:r w:rsidRPr="00B80C6B">
        <w:rPr>
          <w:i/>
          <w:iCs/>
          <w:lang w:val="de-DE"/>
        </w:rPr>
        <w:t>ḥ</w:t>
      </w:r>
      <w:r w:rsidRPr="00B80C6B">
        <w:rPr>
          <w:lang w:val="de-DE"/>
        </w:rPr>
        <w:t>: ind. pres. 2</w:t>
      </w:r>
      <w:r w:rsidRPr="00B80C6B">
        <w:rPr>
          <w:vertAlign w:val="superscript"/>
          <w:lang w:val="de-DE"/>
        </w:rPr>
        <w:t>nd</w:t>
      </w:r>
      <w:r w:rsidRPr="00B80C6B">
        <w:rPr>
          <w:lang w:val="de-DE"/>
        </w:rPr>
        <w:t xml:space="preserve"> du. VIII cl.</w:t>
      </w:r>
    </w:p>
    <w:p w14:paraId="6F1031BB" w14:textId="77777777" w:rsidR="00E53EB6" w:rsidRPr="00B80C6B" w:rsidRDefault="006500F5">
      <w:pPr>
        <w:pStyle w:val="ZitatmitEinzug"/>
        <w:rPr>
          <w:szCs w:val="18"/>
          <w:lang w:val="de-DE"/>
        </w:rPr>
      </w:pPr>
      <w:r w:rsidRPr="00B80C6B">
        <w:rPr>
          <w:rStyle w:val="biblio-authorGEN"/>
          <w:sz w:val="18"/>
          <w:szCs w:val="15"/>
          <w:lang w:val="de-DE"/>
        </w:rPr>
        <w:t>Geldner</w:t>
      </w:r>
      <w:r w:rsidRPr="00B80C6B">
        <w:rPr>
          <w:szCs w:val="18"/>
          <w:lang w:val="de-DE"/>
        </w:rPr>
        <w:t>: III 227 “gut aufnehmet”</w:t>
      </w:r>
    </w:p>
    <w:p w14:paraId="5B50C07A" w14:textId="77777777" w:rsidR="00E53EB6" w:rsidRPr="00B80C6B" w:rsidRDefault="006500F5">
      <w:pPr>
        <w:pStyle w:val="ZitatmitEinzug"/>
        <w:rPr>
          <w:szCs w:val="18"/>
          <w:lang w:val="de-DE"/>
        </w:rPr>
      </w:pPr>
      <w:r w:rsidRPr="00B80C6B">
        <w:rPr>
          <w:szCs w:val="18"/>
          <w:lang w:val="de-DE"/>
        </w:rPr>
        <w:t xml:space="preserve">Pischel in </w:t>
      </w:r>
      <w:r w:rsidRPr="00B80C6B">
        <w:rPr>
          <w:rStyle w:val="biblio-authorGEN"/>
          <w:sz w:val="18"/>
          <w:szCs w:val="18"/>
          <w:lang w:val="de-DE"/>
        </w:rPr>
        <w:t>Pischel-Geldner</w:t>
      </w:r>
      <w:r w:rsidRPr="00B80C6B">
        <w:rPr>
          <w:szCs w:val="18"/>
          <w:lang w:val="de-DE"/>
        </w:rPr>
        <w:t xml:space="preserve"> 1889-1901: I 74 “nahmet ihr” </w:t>
      </w:r>
    </w:p>
    <w:p w14:paraId="43F4F7BD" w14:textId="77777777" w:rsidR="00E53EB6" w:rsidRDefault="006500F5">
      <w:pPr>
        <w:pStyle w:val="ZitatmitEinzug"/>
        <w:rPr>
          <w:szCs w:val="18"/>
        </w:rPr>
      </w:pPr>
      <w:r>
        <w:rPr>
          <w:rStyle w:val="biblio-authorGEN"/>
          <w:sz w:val="18"/>
          <w:szCs w:val="15"/>
        </w:rPr>
        <w:t>Eggeling</w:t>
      </w:r>
      <w:r>
        <w:rPr>
          <w:szCs w:val="18"/>
        </w:rPr>
        <w:t xml:space="preserve"> 1882-1900: II</w:t>
      </w:r>
      <w:r>
        <w:rPr>
          <w:szCs w:val="18"/>
        </w:rPr>
        <w:t xml:space="preserve"> 281 “accept with favour”</w:t>
      </w:r>
    </w:p>
    <w:p w14:paraId="27D0EB53" w14:textId="77777777" w:rsidR="00E53EB6" w:rsidRPr="00B80C6B" w:rsidRDefault="006500F5">
      <w:pPr>
        <w:pStyle w:val="HaupttextnachZitat"/>
        <w:rPr>
          <w:lang w:val="it-IT"/>
        </w:rPr>
      </w:pPr>
      <w:r w:rsidRPr="00B80C6B">
        <w:rPr>
          <w:lang w:val="it-IT"/>
        </w:rPr>
        <w:t>Vedic Web</w:t>
      </w:r>
    </w:p>
    <w:p w14:paraId="14E08494" w14:textId="77777777" w:rsidR="00E53EB6" w:rsidRPr="00B80C6B" w:rsidRDefault="006500F5">
      <w:pPr>
        <w:pStyle w:val="HaupttextohneEinzug"/>
        <w:rPr>
          <w:szCs w:val="18"/>
          <w:lang w:val="it-IT"/>
        </w:rPr>
      </w:pPr>
      <w:r w:rsidRPr="00B80C6B">
        <w:rPr>
          <w:szCs w:val="18"/>
          <w:lang w:val="it-IT"/>
        </w:rPr>
        <w:t>Mantra: R̥V 10.61.3; VS 7.17.</w:t>
      </w:r>
    </w:p>
    <w:p w14:paraId="044AE8CD" w14:textId="77777777" w:rsidR="00E53EB6" w:rsidRPr="00B80C6B" w:rsidRDefault="00E53EB6">
      <w:pPr>
        <w:pStyle w:val="HaupttextohneEinzug"/>
        <w:rPr>
          <w:szCs w:val="18"/>
          <w:lang w:val="it-IT"/>
        </w:rPr>
      </w:pPr>
    </w:p>
    <w:p w14:paraId="48D1BB71" w14:textId="77777777" w:rsidR="00E53EB6" w:rsidRDefault="006500F5">
      <w:pPr>
        <w:pStyle w:val="HaupttextohneEinzug"/>
        <w:rPr>
          <w:szCs w:val="18"/>
        </w:rPr>
      </w:pPr>
      <w:r>
        <w:rPr>
          <w:szCs w:val="18"/>
        </w:rPr>
        <w:t>Rite</w:t>
      </w:r>
    </w:p>
    <w:p w14:paraId="3110B605" w14:textId="77777777" w:rsidR="00E53EB6" w:rsidRDefault="006500F5">
      <w:pPr>
        <w:pStyle w:val="HaupttextohneEinzug"/>
      </w:pPr>
      <w:r>
        <w:t>Agni</w:t>
      </w:r>
      <w:r>
        <w:t>ṣṭ</w:t>
      </w:r>
      <w:r>
        <w:t>oma. During the Great Pressing (Mahābhi</w:t>
      </w:r>
      <w:r>
        <w:t>ṣ</w:t>
      </w:r>
      <w:r>
        <w:t>ava), two cups, Sukra -representing the sun- and Manthi -representing the moon-, are drawn for two Asura-Rak</w:t>
      </w:r>
      <w:r>
        <w:t>ṣ</w:t>
      </w:r>
      <w:r>
        <w:t>as, Sa</w:t>
      </w:r>
      <w:r>
        <w:t>ṇḍ</w:t>
      </w:r>
      <w:r>
        <w:t xml:space="preserve">a and Marka, but </w:t>
      </w:r>
      <w:r>
        <w:t>then offered to gods for the libation (cf. ŚB 4.2.1-1-7). The Manthi cup, drawn for Marka, is mixed with barley meal and with these verses.</w:t>
      </w:r>
    </w:p>
    <w:p w14:paraId="69239ABB" w14:textId="77777777" w:rsidR="00E53EB6" w:rsidRDefault="006500F5">
      <w:pPr>
        <w:pStyle w:val="HaupttextohneEinzug"/>
      </w:pPr>
      <w:r>
        <w:lastRenderedPageBreak/>
        <w:t xml:space="preserve">A legend about Cyavana where the Aśvin are also involved is recalled at the end of the preceding </w:t>
      </w:r>
      <w:r>
        <w:rPr>
          <w:i/>
          <w:iCs/>
        </w:rPr>
        <w:t>adhyāya</w:t>
      </w:r>
      <w:r>
        <w:t xml:space="preserve"> (ŚB 4.1.5.1-13).</w:t>
      </w:r>
    </w:p>
    <w:p w14:paraId="15F3EBA0" w14:textId="77777777" w:rsidR="00E53EB6" w:rsidRDefault="00E53EB6">
      <w:pPr>
        <w:pStyle w:val="HaupttextohneEinzug"/>
        <w:rPr>
          <w:szCs w:val="18"/>
        </w:rPr>
      </w:pPr>
    </w:p>
    <w:p w14:paraId="49A31DFC" w14:textId="77777777" w:rsidR="00E53EB6" w:rsidRDefault="006500F5">
      <w:pPr>
        <w:pStyle w:val="Heading5"/>
        <w:tabs>
          <w:tab w:val="left" w:pos="0"/>
        </w:tabs>
      </w:pPr>
      <w:r>
        <w:rPr>
          <w:u w:val="single"/>
        </w:rPr>
        <w:t>ŚB 10.1.1.10</w:t>
      </w:r>
      <w:r>
        <w:tab/>
      </w:r>
      <w:r>
        <w:tab/>
      </w:r>
      <w:r>
        <w:tab/>
      </w:r>
      <w:r>
        <w:tab/>
      </w:r>
      <w:r>
        <w:tab/>
      </w:r>
      <w:r>
        <w:tab/>
      </w:r>
      <w:r>
        <w:tab/>
      </w:r>
      <w:r>
        <w:tab/>
      </w:r>
      <w:r>
        <w:tab/>
      </w:r>
    </w:p>
    <w:p w14:paraId="11C2239E" w14:textId="77777777" w:rsidR="00E53EB6" w:rsidRDefault="006500F5">
      <w:pPr>
        <w:pStyle w:val="Zitat"/>
        <w:rPr>
          <w:rFonts w:eastAsia="MS Mincho;ＭＳ 明朝"/>
          <w:i/>
          <w:iCs/>
          <w:lang w:eastAsia="hi-IN"/>
        </w:rPr>
      </w:pPr>
      <w:r>
        <w:rPr>
          <w:rFonts w:eastAsia="MS Mincho;ＭＳ 明朝"/>
          <w:lang w:eastAsia="hi-IN"/>
        </w:rPr>
        <w:t xml:space="preserve">10.1.1.10 </w:t>
      </w:r>
      <w:r>
        <w:rPr>
          <w:rFonts w:eastAsia="MS Mincho;ＭＳ 明朝"/>
          <w:i/>
          <w:iCs/>
          <w:lang w:eastAsia="hi-IN"/>
        </w:rPr>
        <w:t>e</w:t>
      </w:r>
      <w:r>
        <w:rPr>
          <w:rFonts w:eastAsia="MS Mincho;ＭＳ 明朝"/>
          <w:i/>
          <w:iCs/>
          <w:lang w:eastAsia="hi-IN"/>
        </w:rPr>
        <w:t>ṣ</w:t>
      </w:r>
      <w:r>
        <w:rPr>
          <w:rFonts w:eastAsia="MS Mincho;ＭＳ 明朝"/>
          <w:i/>
          <w:iCs/>
          <w:lang w:eastAsia="hi-IN"/>
        </w:rPr>
        <w:t>ò atrā́pīti</w:t>
      </w:r>
      <w:r>
        <w:rPr>
          <w:rFonts w:eastAsia="MS Mincho;ＭＳ 明朝"/>
          <w:i/>
          <w:iCs/>
          <w:lang w:eastAsia="hi-IN"/>
        </w:rPr>
        <w:t>ḥ</w:t>
      </w:r>
      <w:r>
        <w:rPr>
          <w:rFonts w:eastAsia="MS Mincho;ＭＳ 明朝"/>
          <w:i/>
          <w:iCs/>
          <w:lang w:eastAsia="hi-IN"/>
        </w:rPr>
        <w:t xml:space="preserve"> / ná ha vā́ asyāputrátāyai kā́ caná śa</w:t>
      </w:r>
      <w:r>
        <w:rPr>
          <w:rFonts w:eastAsia="MS Mincho;ＭＳ 明朝"/>
          <w:i/>
          <w:iCs/>
          <w:lang w:eastAsia="hi-IN"/>
        </w:rPr>
        <w:t>ṅ</w:t>
      </w:r>
      <w:r>
        <w:rPr>
          <w:rFonts w:eastAsia="MS Mincho;ＭＳ 明朝"/>
          <w:i/>
          <w:iCs/>
          <w:lang w:eastAsia="hi-IN"/>
        </w:rPr>
        <w:t>kā́ bhavati yá evámetaú mithunā́vātmā́na</w:t>
      </w:r>
      <w:r>
        <w:rPr>
          <w:rFonts w:eastAsia="MS Mincho;ＭＳ 明朝"/>
          <w:i/>
          <w:iCs/>
          <w:lang w:eastAsia="hi-IN"/>
        </w:rPr>
        <w:t>ṃ</w:t>
      </w:r>
      <w:r>
        <w:rPr>
          <w:rFonts w:eastAsia="MS Mincho;ＭＳ 明朝"/>
          <w:i/>
          <w:iCs/>
          <w:lang w:eastAsia="hi-IN"/>
        </w:rPr>
        <w:t xml:space="preserve"> cāgní</w:t>
      </w:r>
      <w:r>
        <w:rPr>
          <w:rFonts w:eastAsia="MS Mincho;ＭＳ 明朝"/>
          <w:i/>
          <w:iCs/>
          <w:lang w:eastAsia="hi-IN"/>
        </w:rPr>
        <w:t>ṃ</w:t>
      </w:r>
      <w:r>
        <w:rPr>
          <w:rFonts w:eastAsia="MS Mincho;ＭＳ 明朝"/>
          <w:i/>
          <w:iCs/>
          <w:lang w:eastAsia="hi-IN"/>
        </w:rPr>
        <w:t xml:space="preserve"> ca vedā́nna</w:t>
      </w:r>
      <w:r>
        <w:rPr>
          <w:rFonts w:eastAsia="MS Mincho;ＭＳ 明朝"/>
          <w:i/>
          <w:iCs/>
          <w:lang w:eastAsia="hi-IN"/>
        </w:rPr>
        <w:t>ṃ</w:t>
      </w:r>
      <w:r>
        <w:rPr>
          <w:rFonts w:eastAsia="MS Mincho;ＭＳ 明朝"/>
          <w:i/>
          <w:iCs/>
          <w:lang w:eastAsia="hi-IN"/>
        </w:rPr>
        <w:t xml:space="preserve"> ha tvèvā̀yámātmā dák</w:t>
      </w:r>
      <w:r>
        <w:rPr>
          <w:rFonts w:eastAsia="MS Mincho;ＭＳ 明朝"/>
          <w:i/>
          <w:iCs/>
          <w:lang w:eastAsia="hi-IN"/>
        </w:rPr>
        <w:t>ṣ</w:t>
      </w:r>
      <w:r>
        <w:rPr>
          <w:rFonts w:eastAsia="MS Mincho;ＭＳ 明朝"/>
          <w:i/>
          <w:iCs/>
          <w:lang w:eastAsia="hi-IN"/>
        </w:rPr>
        <w:t>i</w:t>
      </w:r>
      <w:r>
        <w:rPr>
          <w:rFonts w:eastAsia="MS Mincho;ＭＳ 明朝"/>
          <w:i/>
          <w:iCs/>
          <w:lang w:eastAsia="hi-IN"/>
        </w:rPr>
        <w:t>ṇ</w:t>
      </w:r>
      <w:r>
        <w:rPr>
          <w:rFonts w:eastAsia="MS Mincho;ＭＳ 明朝"/>
          <w:i/>
          <w:iCs/>
          <w:lang w:eastAsia="hi-IN"/>
        </w:rPr>
        <w:t>ā́nna</w:t>
      </w:r>
      <w:r>
        <w:rPr>
          <w:rFonts w:eastAsia="MS Mincho;ＭＳ 明朝"/>
          <w:i/>
          <w:iCs/>
          <w:lang w:eastAsia="hi-IN"/>
        </w:rPr>
        <w:t>ṃ</w:t>
      </w:r>
      <w:r>
        <w:rPr>
          <w:rFonts w:eastAsia="MS Mincho;ＭＳ 明朝"/>
          <w:i/>
          <w:iCs/>
          <w:lang w:eastAsia="hi-IN"/>
        </w:rPr>
        <w:t xml:space="preserve"> vanute yó na ātméti hyapyŕ̥</w:t>
      </w:r>
      <w:r>
        <w:rPr>
          <w:rFonts w:eastAsia="MS Mincho;ＭＳ 明朝"/>
          <w:i/>
          <w:iCs/>
          <w:lang w:eastAsia="hi-IN"/>
        </w:rPr>
        <w:t>ṣ</w:t>
      </w:r>
      <w:r>
        <w:rPr>
          <w:rFonts w:eastAsia="MS Mincho;ＭＳ 明朝"/>
          <w:i/>
          <w:iCs/>
          <w:lang w:eastAsia="hi-IN"/>
        </w:rPr>
        <w:t>i</w:t>
      </w:r>
      <w:r>
        <w:rPr>
          <w:rFonts w:eastAsia="MS Mincho;ＭＳ 明朝"/>
          <w:i/>
          <w:iCs/>
          <w:lang w:eastAsia="hi-IN"/>
        </w:rPr>
        <w:t>ṇ</w:t>
      </w:r>
      <w:r>
        <w:rPr>
          <w:rFonts w:eastAsia="MS Mincho;ＭＳ 明朝"/>
          <w:i/>
          <w:iCs/>
          <w:lang w:eastAsia="hi-IN"/>
        </w:rPr>
        <w:t>ābhyùktam</w:t>
      </w:r>
    </w:p>
    <w:p w14:paraId="5FDD1A6C" w14:textId="77777777" w:rsidR="00E53EB6" w:rsidRDefault="006500F5">
      <w:pPr>
        <w:pStyle w:val="Zitat"/>
      </w:pPr>
      <w:r>
        <w:t>This</w:t>
      </w:r>
      <w:r>
        <w:rPr>
          <w:rStyle w:val="FootnoteAnchor"/>
        </w:rPr>
        <w:footnoteReference w:id="347"/>
      </w:r>
      <w:r>
        <w:t xml:space="preserve"> is also here</w:t>
      </w:r>
      <w:r>
        <w:t xml:space="preserve"> indeed, there is absolutely no fear of him</w:t>
      </w:r>
      <w:r>
        <w:rPr>
          <w:rStyle w:val="FootnoteAnchor"/>
        </w:rPr>
        <w:footnoteReference w:id="348"/>
      </w:r>
      <w:r>
        <w:t xml:space="preserve"> for the lack of offspring, for the one who knows indeed these two,</w:t>
      </w:r>
      <w:r>
        <w:rPr>
          <w:i/>
          <w:iCs/>
        </w:rPr>
        <w:t xml:space="preserve"> </w:t>
      </w:r>
      <w:r>
        <w:t>the body (</w:t>
      </w:r>
      <w:r>
        <w:rPr>
          <w:i/>
          <w:iCs/>
        </w:rPr>
        <w:t>ātmán</w:t>
      </w:r>
      <w:r>
        <w:rPr>
          <w:rStyle w:val="FootnoteAnchor"/>
        </w:rPr>
        <w:footnoteReference w:id="349"/>
      </w:r>
      <w:r>
        <w:t>) and Agni being in pairs, but also the body</w:t>
      </w:r>
      <w:r>
        <w:rPr>
          <w:i/>
          <w:iCs/>
        </w:rPr>
        <w:t xml:space="preserve"> </w:t>
      </w:r>
      <w:r>
        <w:t>is the food “Dak</w:t>
      </w:r>
      <w:r>
        <w:t>ṣ</w:t>
      </w:r>
      <w:r>
        <w:t>i</w:t>
      </w:r>
      <w:r>
        <w:t>ṇ</w:t>
      </w:r>
      <w:r>
        <w:t xml:space="preserve">a </w:t>
      </w:r>
      <w:r>
        <w:rPr>
          <w:u w:val="single"/>
        </w:rPr>
        <w:t>appropriates</w:t>
      </w:r>
      <w:r>
        <w:t xml:space="preserve"> the food that is our vital breath (</w:t>
      </w:r>
      <w:r>
        <w:rPr>
          <w:i/>
          <w:iCs/>
        </w:rPr>
        <w:t>ātman</w:t>
      </w:r>
      <w:r>
        <w:t>)” inde</w:t>
      </w:r>
      <w:r>
        <w:t>ed it has beed said by a seer.</w:t>
      </w:r>
      <w:r>
        <w:t xml:space="preserve"> </w:t>
      </w:r>
    </w:p>
    <w:p w14:paraId="404B79A6" w14:textId="77777777" w:rsidR="00E53EB6" w:rsidRPr="00B80C6B" w:rsidRDefault="006500F5">
      <w:pPr>
        <w:pStyle w:val="Zitat"/>
        <w:rPr>
          <w:rFonts w:eastAsia="MS Mincho;ＭＳ 明朝"/>
          <w:i/>
          <w:iCs/>
          <w:lang w:val="de-DE" w:eastAsia="hi-IN"/>
        </w:rPr>
      </w:pPr>
      <w:r w:rsidRPr="00B80C6B">
        <w:rPr>
          <w:rFonts w:eastAsia="MS Mincho;ＭＳ 明朝"/>
          <w:i/>
          <w:iCs/>
          <w:lang w:val="de-DE" w:eastAsia="hi-IN"/>
        </w:rPr>
        <w:t xml:space="preserve">vanute: </w:t>
      </w:r>
      <w:r w:rsidRPr="00B80C6B">
        <w:rPr>
          <w:rFonts w:eastAsia="MS Mincho;ＭＳ 明朝"/>
          <w:lang w:val="de-DE" w:eastAsia="hi-IN"/>
        </w:rPr>
        <w:t>ind. pres. 3</w:t>
      </w:r>
      <w:r w:rsidRPr="00B80C6B">
        <w:rPr>
          <w:rFonts w:eastAsia="MS Mincho;ＭＳ 明朝"/>
          <w:vertAlign w:val="superscript"/>
          <w:lang w:val="de-DE" w:eastAsia="hi-IN"/>
        </w:rPr>
        <w:t>rd</w:t>
      </w:r>
      <w:r w:rsidRPr="00B80C6B">
        <w:rPr>
          <w:rFonts w:eastAsia="MS Mincho;ＭＳ 明朝"/>
          <w:lang w:val="de-DE" w:eastAsia="hi-IN"/>
        </w:rPr>
        <w:t xml:space="preserve"> Ā VIII cl.</w:t>
      </w:r>
    </w:p>
    <w:p w14:paraId="2A86BC08" w14:textId="77777777" w:rsidR="00E53EB6" w:rsidRPr="00B80C6B" w:rsidRDefault="006500F5">
      <w:pPr>
        <w:pStyle w:val="ZitatmitEinzug"/>
        <w:rPr>
          <w:szCs w:val="18"/>
          <w:lang w:val="de-DE"/>
        </w:rPr>
      </w:pPr>
      <w:r w:rsidRPr="00B80C6B">
        <w:rPr>
          <w:rStyle w:val="biblio-authorGEN"/>
          <w:sz w:val="18"/>
          <w:szCs w:val="15"/>
          <w:lang w:val="de-DE"/>
        </w:rPr>
        <w:t>Geldner</w:t>
      </w:r>
      <w:r w:rsidRPr="00B80C6B">
        <w:rPr>
          <w:szCs w:val="18"/>
          <w:lang w:val="de-DE"/>
        </w:rPr>
        <w:t xml:space="preserve">: </w:t>
      </w:r>
      <w:r w:rsidRPr="00B80C6B">
        <w:rPr>
          <w:szCs w:val="18"/>
          <w:lang w:val="de-DE"/>
        </w:rPr>
        <w:t>III 327 “bringt</w:t>
      </w:r>
      <w:r w:rsidRPr="00B80C6B">
        <w:rPr>
          <w:i/>
          <w:szCs w:val="18"/>
          <w:lang w:val="de-DE"/>
        </w:rPr>
        <w:t xml:space="preserve"> </w:t>
      </w:r>
      <w:r w:rsidRPr="00B80C6B">
        <w:rPr>
          <w:szCs w:val="18"/>
          <w:lang w:val="de-DE"/>
        </w:rPr>
        <w:t>ein”</w:t>
      </w:r>
    </w:p>
    <w:p w14:paraId="0DE859DF" w14:textId="77777777" w:rsidR="00E53EB6" w:rsidRPr="00B80C6B" w:rsidRDefault="006500F5">
      <w:pPr>
        <w:pStyle w:val="ZitatmitEinzug"/>
        <w:rPr>
          <w:szCs w:val="18"/>
          <w:lang w:val="de-DE"/>
        </w:rPr>
      </w:pPr>
      <w:r w:rsidRPr="00B80C6B">
        <w:rPr>
          <w:rStyle w:val="biblio-authorGEN"/>
          <w:sz w:val="18"/>
          <w:szCs w:val="15"/>
          <w:lang w:val="de-DE"/>
        </w:rPr>
        <w:t>Eggeling</w:t>
      </w:r>
      <w:r w:rsidRPr="00B80C6B">
        <w:rPr>
          <w:szCs w:val="18"/>
          <w:lang w:val="de-DE"/>
        </w:rPr>
        <w:t xml:space="preserve"> 1882-1900: IV 285 “winneth”</w:t>
      </w:r>
    </w:p>
    <w:p w14:paraId="25CC871F" w14:textId="77777777" w:rsidR="00E53EB6" w:rsidRPr="00B80C6B" w:rsidRDefault="006500F5">
      <w:pPr>
        <w:pStyle w:val="HaupttextnachZitat"/>
        <w:rPr>
          <w:lang w:val="de-DE"/>
        </w:rPr>
      </w:pPr>
      <w:r w:rsidRPr="00B80C6B">
        <w:rPr>
          <w:lang w:val="de-DE"/>
        </w:rPr>
        <w:t>Vedic Web</w:t>
      </w:r>
    </w:p>
    <w:p w14:paraId="32687233" w14:textId="77777777" w:rsidR="00E53EB6" w:rsidRPr="00B80C6B" w:rsidRDefault="006500F5">
      <w:pPr>
        <w:pStyle w:val="HaupttextohneEinzug"/>
        <w:rPr>
          <w:lang w:val="de-DE"/>
        </w:rPr>
      </w:pPr>
      <w:r w:rsidRPr="00B80C6B">
        <w:rPr>
          <w:lang w:val="de-DE"/>
        </w:rPr>
        <w:t>Mantra: R̥V 10.107.7c</w:t>
      </w:r>
    </w:p>
    <w:p w14:paraId="6BF1E25F" w14:textId="77777777" w:rsidR="00E53EB6" w:rsidRPr="00B80C6B" w:rsidRDefault="00E53EB6">
      <w:pPr>
        <w:pStyle w:val="HaupttextohneEinzug"/>
        <w:rPr>
          <w:lang w:val="de-DE"/>
        </w:rPr>
      </w:pPr>
    </w:p>
    <w:p w14:paraId="39863A2B" w14:textId="77777777" w:rsidR="00E53EB6" w:rsidRDefault="006500F5">
      <w:pPr>
        <w:pStyle w:val="HaupttextohneEinzug"/>
      </w:pPr>
      <w:r>
        <w:t>Rite</w:t>
      </w:r>
    </w:p>
    <w:p w14:paraId="6D724D93" w14:textId="77777777" w:rsidR="00E53EB6" w:rsidRDefault="006500F5">
      <w:pPr>
        <w:pStyle w:val="HaupttextohneEinzug"/>
      </w:pPr>
      <w:r>
        <w:t>Agnicayana</w:t>
      </w:r>
      <w:r>
        <w:t xml:space="preserve">. In the construction of the Fire Altar the concept of </w:t>
      </w:r>
      <w:r>
        <w:rPr>
          <w:i/>
          <w:iCs/>
        </w:rPr>
        <w:t>mithuna “</w:t>
      </w:r>
      <w:r>
        <w:t>couple” plays an important role. Here this idea is deployed also to create the</w:t>
      </w:r>
      <w:r>
        <w:rPr>
          <w:i/>
          <w:iCs/>
        </w:rPr>
        <w:t xml:space="preserve"> bandhu</w:t>
      </w:r>
      <w:r>
        <w:t>s which will explain the reason of the building itself. An example could be the triad “year-Prajāpati-Altar</w:t>
      </w:r>
      <w:r>
        <w:t>” corresponding to “days-those joint with him-bricks”.</w:t>
      </w:r>
    </w:p>
    <w:p w14:paraId="5516E4F5" w14:textId="77777777" w:rsidR="00E53EB6" w:rsidRDefault="006500F5">
      <w:pPr>
        <w:pStyle w:val="HaupttextohneEinzug"/>
      </w:pPr>
      <w:r>
        <w:t xml:space="preserve">In this part the vital fluid (made of </w:t>
      </w:r>
      <w:r>
        <w:rPr>
          <w:i/>
          <w:iCs/>
        </w:rPr>
        <w:t xml:space="preserve">r̥c </w:t>
      </w:r>
      <w:r>
        <w:t xml:space="preserve">and </w:t>
      </w:r>
      <w:r>
        <w:rPr>
          <w:i/>
          <w:iCs/>
        </w:rPr>
        <w:t>sāman</w:t>
      </w:r>
      <w:r>
        <w:t>) enters in the Fire Altar, which is Agni, itself consisting of many pairs (</w:t>
      </w:r>
      <w:r>
        <w:rPr>
          <w:i/>
          <w:iCs/>
        </w:rPr>
        <w:t>mithuna</w:t>
      </w:r>
      <w:r>
        <w:t>). The body of the vital fluid is also a pair, being the</w:t>
      </w:r>
      <w:r>
        <w:rPr>
          <w:i/>
          <w:iCs/>
        </w:rPr>
        <w:t xml:space="preserve"> mithuna </w:t>
      </w:r>
      <w:r>
        <w:t>of</w:t>
      </w:r>
      <w:r>
        <w:t xml:space="preserve"> </w:t>
      </w:r>
      <w:r>
        <w:rPr>
          <w:i/>
          <w:iCs/>
        </w:rPr>
        <w:t xml:space="preserve">vāc </w:t>
      </w:r>
      <w:r>
        <w:t xml:space="preserve">(f.) and </w:t>
      </w:r>
      <w:r>
        <w:rPr>
          <w:i/>
          <w:iCs/>
        </w:rPr>
        <w:t>prā</w:t>
      </w:r>
      <w:r>
        <w:rPr>
          <w:i/>
          <w:iCs/>
        </w:rPr>
        <w:t>ṇ</w:t>
      </w:r>
      <w:r>
        <w:rPr>
          <w:i/>
          <w:iCs/>
        </w:rPr>
        <w:t xml:space="preserve">a </w:t>
      </w:r>
      <w:r>
        <w:t>(m.).</w:t>
      </w:r>
    </w:p>
    <w:p w14:paraId="6A5A5BD9" w14:textId="77777777" w:rsidR="00E53EB6" w:rsidRPr="00B80C6B" w:rsidRDefault="00E53EB6">
      <w:pPr>
        <w:pStyle w:val="HaupttextohneEinzug"/>
        <w:rPr>
          <w:lang w:val="en-US"/>
        </w:rPr>
      </w:pPr>
    </w:p>
    <w:p w14:paraId="278293A9" w14:textId="77777777" w:rsidR="00E53EB6" w:rsidRDefault="006500F5">
      <w:pPr>
        <w:pStyle w:val="Heading5"/>
        <w:tabs>
          <w:tab w:val="left" w:pos="0"/>
        </w:tabs>
      </w:pPr>
      <w:r>
        <w:rPr>
          <w:u w:val="single"/>
          <w:lang w:val="it-IT"/>
        </w:rPr>
        <w:t>ŚB 12.4.4.2</w:t>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p>
    <w:p w14:paraId="57678F96" w14:textId="77777777" w:rsidR="00E53EB6" w:rsidRDefault="006500F5">
      <w:pPr>
        <w:pStyle w:val="Zitat"/>
        <w:tabs>
          <w:tab w:val="left" w:pos="1310"/>
        </w:tabs>
        <w:rPr>
          <w:i/>
          <w:iCs/>
        </w:rPr>
      </w:pPr>
      <w:r>
        <w:rPr>
          <w:rFonts w:eastAsia="MS Mincho;ＭＳ 明朝"/>
          <w:i/>
          <w:iCs/>
          <w:lang w:eastAsia="hi-IN"/>
        </w:rPr>
        <w:t>tád ā́hu</w:t>
      </w:r>
      <w:r>
        <w:rPr>
          <w:rFonts w:eastAsia="MS Mincho;ＭＳ 明朝"/>
          <w:i/>
          <w:iCs/>
          <w:lang w:eastAsia="hi-IN"/>
        </w:rPr>
        <w:t>ḥ</w:t>
      </w:r>
      <w:r>
        <w:rPr>
          <w:rFonts w:eastAsia="MS Mincho;ＭＳ 明朝"/>
          <w:i/>
          <w:iCs/>
          <w:lang w:eastAsia="hi-IN"/>
        </w:rPr>
        <w:t xml:space="preserve"> / yásyā́gnáya</w:t>
      </w:r>
      <w:r>
        <w:rPr>
          <w:rFonts w:eastAsia="MS Mincho;ＭＳ 明朝"/>
          <w:i/>
          <w:iCs/>
          <w:lang w:eastAsia="hi-IN"/>
        </w:rPr>
        <w:t>ḥ</w:t>
      </w:r>
      <w:r>
        <w:rPr>
          <w:rFonts w:eastAsia="MS Mincho;ＭＳ 明朝"/>
          <w:i/>
          <w:iCs/>
          <w:lang w:eastAsia="hi-IN"/>
        </w:rPr>
        <w:t xml:space="preserve"> sa</w:t>
      </w:r>
      <w:r>
        <w:rPr>
          <w:rFonts w:eastAsia="MS Mincho;ＭＳ 明朝"/>
          <w:i/>
          <w:iCs/>
          <w:lang w:eastAsia="hi-IN"/>
        </w:rPr>
        <w:t>ṁ</w:t>
      </w:r>
      <w:r>
        <w:rPr>
          <w:rFonts w:eastAsia="MS Mincho;ＭＳ 明朝"/>
          <w:i/>
          <w:iCs/>
          <w:lang w:eastAsia="hi-IN"/>
        </w:rPr>
        <w:t>sr̥jyéran kí</w:t>
      </w:r>
      <w:r>
        <w:rPr>
          <w:rFonts w:eastAsia="MS Mincho;ＭＳ 明朝"/>
          <w:i/>
          <w:iCs/>
          <w:lang w:eastAsia="hi-IN"/>
        </w:rPr>
        <w:t>ṃ</w:t>
      </w:r>
      <w:r>
        <w:rPr>
          <w:rFonts w:eastAsia="MS Mincho;ＭＳ 明朝"/>
          <w:i/>
          <w:iCs/>
          <w:lang w:eastAsia="hi-IN"/>
        </w:rPr>
        <w:t xml:space="preserve"> tátra kárma kā́ prā́yaścittir íti sá yádi parástā́d dáhann abhīyā́t tád vidyā́t parástā́n mā́ śukrám ā́gann úpa mā́</w:t>
      </w:r>
      <w:r>
        <w:rPr>
          <w:rFonts w:eastAsia="MS Mincho;ＭＳ 明朝"/>
          <w:i/>
          <w:iCs/>
          <w:lang w:eastAsia="hi-IN"/>
        </w:rPr>
        <w:t>ṃ</w:t>
      </w:r>
      <w:r>
        <w:rPr>
          <w:rFonts w:eastAsia="MS Mincho;ＭＳ 明朝"/>
          <w:i/>
          <w:iCs/>
          <w:lang w:eastAsia="hi-IN"/>
        </w:rPr>
        <w:t xml:space="preserve"> devā́</w:t>
      </w:r>
      <w:r>
        <w:rPr>
          <w:rFonts w:eastAsia="MS Mincho;ＭＳ 明朝"/>
          <w:i/>
          <w:iCs/>
          <w:lang w:eastAsia="hi-IN"/>
        </w:rPr>
        <w:t>ḥ</w:t>
      </w:r>
      <w:r>
        <w:rPr>
          <w:rFonts w:eastAsia="MS Mincho;ＭＳ 明朝"/>
          <w:i/>
          <w:iCs/>
          <w:lang w:eastAsia="hi-IN"/>
        </w:rPr>
        <w:t xml:space="preserve"> prā́bhūvañ chréyā́n bhavi</w:t>
      </w:r>
      <w:r>
        <w:rPr>
          <w:rFonts w:eastAsia="MS Mincho;ＭＳ 明朝"/>
          <w:i/>
          <w:iCs/>
          <w:lang w:eastAsia="hi-IN"/>
        </w:rPr>
        <w:t>ṣ</w:t>
      </w:r>
      <w:r>
        <w:rPr>
          <w:rFonts w:eastAsia="MS Mincho;ＭＳ 明朝"/>
          <w:i/>
          <w:iCs/>
          <w:lang w:eastAsia="hi-IN"/>
        </w:rPr>
        <w:t>yā́mī́ti yády u</w:t>
      </w:r>
      <w:r>
        <w:rPr>
          <w:rFonts w:eastAsia="MS Mincho;ＭＳ 明朝"/>
          <w:i/>
          <w:iCs/>
          <w:lang w:eastAsia="hi-IN"/>
        </w:rPr>
        <w:t xml:space="preserve"> asya hŕ̥daya</w:t>
      </w:r>
      <w:r>
        <w:rPr>
          <w:rFonts w:eastAsia="MS Mincho;ＭＳ 明朝"/>
          <w:i/>
          <w:iCs/>
          <w:lang w:eastAsia="hi-IN"/>
        </w:rPr>
        <w:t>ṃ</w:t>
      </w:r>
      <w:r>
        <w:rPr>
          <w:rFonts w:eastAsia="MS Mincho;ＭＳ 明朝"/>
          <w:i/>
          <w:iCs/>
          <w:lang w:eastAsia="hi-IN"/>
        </w:rPr>
        <w:t xml:space="preserve"> vy èvá likhéd agnáye vívicaye '</w:t>
      </w:r>
      <w:r>
        <w:rPr>
          <w:rFonts w:eastAsia="MS Mincho;ＭＳ 明朝"/>
          <w:i/>
          <w:iCs/>
          <w:lang w:eastAsia="hi-IN"/>
        </w:rPr>
        <w:t>ṣṭ</w:t>
      </w:r>
      <w:r>
        <w:rPr>
          <w:rFonts w:eastAsia="MS Mincho;ＭＳ 明朝"/>
          <w:i/>
          <w:iCs/>
          <w:lang w:eastAsia="hi-IN"/>
        </w:rPr>
        <w:t>ā́kapā́la</w:t>
      </w:r>
      <w:r>
        <w:rPr>
          <w:rFonts w:eastAsia="MS Mincho;ＭＳ 明朝"/>
          <w:i/>
          <w:iCs/>
          <w:lang w:eastAsia="hi-IN"/>
        </w:rPr>
        <w:t>ṃ</w:t>
      </w:r>
      <w:r>
        <w:rPr>
          <w:rFonts w:eastAsia="MS Mincho;ＭＳ 明朝"/>
          <w:i/>
          <w:iCs/>
          <w:lang w:eastAsia="hi-IN"/>
        </w:rPr>
        <w:t xml:space="preserve"> puro</w:t>
      </w:r>
      <w:r>
        <w:rPr>
          <w:rFonts w:eastAsia="MS Mincho;ＭＳ 明朝"/>
          <w:i/>
          <w:iCs/>
          <w:lang w:eastAsia="hi-IN"/>
        </w:rPr>
        <w:t>ḍ</w:t>
      </w:r>
      <w:r>
        <w:rPr>
          <w:rFonts w:eastAsia="MS Mincho;ＭＳ 明朝"/>
          <w:i/>
          <w:iCs/>
          <w:lang w:eastAsia="hi-IN"/>
        </w:rPr>
        <w:t>ā́śa</w:t>
      </w:r>
      <w:r>
        <w:rPr>
          <w:rFonts w:eastAsia="MS Mincho;ＭＳ 明朝"/>
          <w:i/>
          <w:iCs/>
          <w:lang w:eastAsia="hi-IN"/>
        </w:rPr>
        <w:t>ṃ</w:t>
      </w:r>
      <w:r>
        <w:rPr>
          <w:rFonts w:eastAsia="MS Mincho;ＭＳ 明朝"/>
          <w:i/>
          <w:iCs/>
          <w:lang w:eastAsia="hi-IN"/>
        </w:rPr>
        <w:t xml:space="preserve"> nírvapet tásyā́vŕ̥ttā́ evá saptádaśa sā́midhenī́r ánubrūyā́d vā́rtraghnā́v ā́jyabhā́gau virā́jau sa</w:t>
      </w:r>
      <w:r>
        <w:rPr>
          <w:rFonts w:eastAsia="MS Mincho;ＭＳ 明朝"/>
          <w:i/>
          <w:iCs/>
          <w:lang w:eastAsia="hi-IN"/>
        </w:rPr>
        <w:t>ṃ</w:t>
      </w:r>
      <w:r>
        <w:rPr>
          <w:rFonts w:eastAsia="MS Mincho;ＭＳ 明朝"/>
          <w:i/>
          <w:iCs/>
          <w:lang w:eastAsia="hi-IN"/>
        </w:rPr>
        <w:t>yā́jyè áthaité yā́jyā́nuvā́kyè ví te ví</w:t>
      </w:r>
      <w:r>
        <w:rPr>
          <w:rFonts w:eastAsia="MS Mincho;ＭＳ 明朝"/>
          <w:i/>
          <w:iCs/>
          <w:lang w:eastAsia="hi-IN"/>
        </w:rPr>
        <w:t>ṣ</w:t>
      </w:r>
      <w:r>
        <w:rPr>
          <w:rFonts w:eastAsia="MS Mincho;ＭＳ 明朝"/>
          <w:i/>
          <w:iCs/>
          <w:lang w:eastAsia="hi-IN"/>
        </w:rPr>
        <w:t>vag vā́tā́jūtā́so agne bhā́mā́sa</w:t>
      </w:r>
      <w:r>
        <w:rPr>
          <w:rFonts w:eastAsia="MS Mincho;ＭＳ 明朝"/>
          <w:i/>
          <w:iCs/>
          <w:lang w:eastAsia="hi-IN"/>
        </w:rPr>
        <w:t>ḥ</w:t>
      </w:r>
      <w:r>
        <w:rPr>
          <w:rFonts w:eastAsia="MS Mincho;ＭＳ 明朝"/>
          <w:i/>
          <w:iCs/>
          <w:lang w:eastAsia="hi-IN"/>
        </w:rPr>
        <w:t xml:space="preserve"> śuce śucaya</w:t>
      </w:r>
      <w:r>
        <w:rPr>
          <w:rFonts w:eastAsia="MS Mincho;ＭＳ 明朝"/>
          <w:i/>
          <w:iCs/>
          <w:lang w:eastAsia="hi-IN"/>
        </w:rPr>
        <w:t>ś caranti tuvimrak</w:t>
      </w:r>
      <w:r>
        <w:rPr>
          <w:rFonts w:eastAsia="MS Mincho;ＭＳ 明朝"/>
          <w:i/>
          <w:iCs/>
          <w:lang w:eastAsia="hi-IN"/>
        </w:rPr>
        <w:t>ṣ</w:t>
      </w:r>
      <w:r>
        <w:rPr>
          <w:rFonts w:eastAsia="MS Mincho;ＭＳ 明朝"/>
          <w:i/>
          <w:iCs/>
          <w:lang w:eastAsia="hi-IN"/>
        </w:rPr>
        <w:t>ā́so divyā́ návagvā́ vánā́vananti dhr̥</w:t>
      </w:r>
      <w:r>
        <w:rPr>
          <w:rFonts w:eastAsia="MS Mincho;ＭＳ 明朝"/>
          <w:i/>
          <w:iCs/>
          <w:lang w:eastAsia="hi-IN"/>
        </w:rPr>
        <w:t>ṣ</w:t>
      </w:r>
      <w:r>
        <w:rPr>
          <w:rFonts w:eastAsia="MS Mincho;ＭＳ 明朝"/>
          <w:i/>
          <w:iCs/>
          <w:lang w:eastAsia="hi-IN"/>
        </w:rPr>
        <w:t>atā́ rujánta</w:t>
      </w:r>
      <w:r>
        <w:rPr>
          <w:rStyle w:val="FootnoteAnchor"/>
          <w:rFonts w:eastAsia="MS Mincho;ＭＳ 明朝"/>
          <w:i/>
          <w:iCs/>
          <w:lang w:eastAsia="hi-IN"/>
        </w:rPr>
        <w:footnoteReference w:id="350"/>
      </w:r>
      <w:r>
        <w:rPr>
          <w:rFonts w:eastAsia="MS Mincho;ＭＳ 明朝"/>
          <w:i/>
          <w:iCs/>
          <w:lang w:eastAsia="hi-IN"/>
        </w:rPr>
        <w:t xml:space="preserve"> íty átha yā́jyā̀ tvā́m agne mā́nu</w:t>
      </w:r>
      <w:r>
        <w:rPr>
          <w:rFonts w:eastAsia="MS Mincho;ＭＳ 明朝"/>
          <w:i/>
          <w:iCs/>
          <w:lang w:eastAsia="hi-IN"/>
        </w:rPr>
        <w:t>ṣ</w:t>
      </w:r>
      <w:r>
        <w:rPr>
          <w:rFonts w:eastAsia="MS Mincho;ＭＳ 明朝"/>
          <w:i/>
          <w:iCs/>
          <w:lang w:eastAsia="hi-IN"/>
        </w:rPr>
        <w:t>īr ī</w:t>
      </w:r>
      <w:r>
        <w:rPr>
          <w:rFonts w:eastAsia="MS Mincho;ＭＳ 明朝"/>
          <w:i/>
          <w:iCs/>
          <w:lang w:eastAsia="hi-IN"/>
        </w:rPr>
        <w:t>ḍ</w:t>
      </w:r>
      <w:r>
        <w:rPr>
          <w:rFonts w:eastAsia="MS Mincho;ＭＳ 明朝"/>
          <w:i/>
          <w:iCs/>
          <w:lang w:eastAsia="hi-IN"/>
        </w:rPr>
        <w:t>ate víśo hotrā́vída</w:t>
      </w:r>
      <w:r>
        <w:rPr>
          <w:rFonts w:eastAsia="MS Mincho;ＭＳ 明朝"/>
          <w:i/>
          <w:iCs/>
          <w:lang w:eastAsia="hi-IN"/>
        </w:rPr>
        <w:t>ṃ</w:t>
      </w:r>
      <w:r>
        <w:rPr>
          <w:rFonts w:eastAsia="MS Mincho;ＭＳ 明朝"/>
          <w:i/>
          <w:iCs/>
          <w:lang w:eastAsia="hi-IN"/>
        </w:rPr>
        <w:t xml:space="preserve"> vívici</w:t>
      </w:r>
      <w:r>
        <w:rPr>
          <w:rFonts w:eastAsia="MS Mincho;ＭＳ 明朝"/>
          <w:i/>
          <w:iCs/>
          <w:lang w:eastAsia="hi-IN"/>
        </w:rPr>
        <w:t>ṁ</w:t>
      </w:r>
      <w:r>
        <w:rPr>
          <w:rFonts w:eastAsia="MS Mincho;ＭＳ 明朝"/>
          <w:i/>
          <w:iCs/>
          <w:lang w:eastAsia="hi-IN"/>
        </w:rPr>
        <w:t xml:space="preserve"> ratnadhā́tamam gúhā́ sánta</w:t>
      </w:r>
      <w:r>
        <w:rPr>
          <w:rFonts w:eastAsia="MS Mincho;ＭＳ 明朝"/>
          <w:i/>
          <w:iCs/>
          <w:lang w:eastAsia="hi-IN"/>
        </w:rPr>
        <w:t>ṁ</w:t>
      </w:r>
      <w:r>
        <w:rPr>
          <w:rFonts w:eastAsia="MS Mincho;ＭＳ 明朝"/>
          <w:i/>
          <w:iCs/>
          <w:lang w:eastAsia="hi-IN"/>
        </w:rPr>
        <w:t xml:space="preserve"> subhaga viśvádarśata</w:t>
      </w:r>
      <w:r>
        <w:rPr>
          <w:rFonts w:eastAsia="MS Mincho;ＭＳ 明朝"/>
          <w:i/>
          <w:iCs/>
          <w:lang w:eastAsia="hi-IN"/>
        </w:rPr>
        <w:t>ṃ</w:t>
      </w:r>
      <w:r>
        <w:rPr>
          <w:rFonts w:eastAsia="MS Mincho;ＭＳ 明朝"/>
          <w:i/>
          <w:iCs/>
          <w:lang w:eastAsia="hi-IN"/>
        </w:rPr>
        <w:t xml:space="preserve"> tuvi</w:t>
      </w:r>
      <w:r>
        <w:rPr>
          <w:rFonts w:eastAsia="MS Mincho;ＭＳ 明朝"/>
          <w:i/>
          <w:iCs/>
          <w:lang w:eastAsia="hi-IN"/>
        </w:rPr>
        <w:t>ṣ</w:t>
      </w:r>
      <w:r>
        <w:rPr>
          <w:rFonts w:eastAsia="MS Mincho;ＭＳ 明朝"/>
          <w:i/>
          <w:iCs/>
          <w:lang w:eastAsia="hi-IN"/>
        </w:rPr>
        <w:t>va</w:t>
      </w:r>
      <w:r>
        <w:rPr>
          <w:rFonts w:eastAsia="MS Mincho;ＭＳ 明朝"/>
          <w:i/>
          <w:iCs/>
          <w:lang w:eastAsia="hi-IN"/>
        </w:rPr>
        <w:t>ṇ</w:t>
      </w:r>
      <w:r>
        <w:rPr>
          <w:rFonts w:eastAsia="MS Mincho;ＭＳ 明朝"/>
          <w:i/>
          <w:iCs/>
          <w:lang w:eastAsia="hi-IN"/>
        </w:rPr>
        <w:t>ása</w:t>
      </w:r>
      <w:r>
        <w:rPr>
          <w:rFonts w:eastAsia="MS Mincho;ＭＳ 明朝"/>
          <w:i/>
          <w:iCs/>
          <w:lang w:eastAsia="hi-IN"/>
        </w:rPr>
        <w:t>ṁ</w:t>
      </w:r>
      <w:r>
        <w:rPr>
          <w:rFonts w:eastAsia="MS Mincho;ＭＳ 明朝"/>
          <w:i/>
          <w:iCs/>
          <w:lang w:eastAsia="hi-IN"/>
        </w:rPr>
        <w:t xml:space="preserve"> suyája</w:t>
      </w:r>
      <w:r>
        <w:rPr>
          <w:rFonts w:eastAsia="MS Mincho;ＭＳ 明朝"/>
          <w:i/>
          <w:iCs/>
          <w:lang w:eastAsia="hi-IN"/>
        </w:rPr>
        <w:t>ṃ</w:t>
      </w:r>
      <w:r>
        <w:rPr>
          <w:rFonts w:eastAsia="MS Mincho;ＭＳ 明朝"/>
          <w:i/>
          <w:iCs/>
          <w:lang w:eastAsia="hi-IN"/>
        </w:rPr>
        <w:t xml:space="preserve"> ghr̥taśríyam íty átho ha yó dvi</w:t>
      </w:r>
      <w:r>
        <w:rPr>
          <w:rFonts w:eastAsia="MS Mincho;ＭＳ 明朝"/>
          <w:i/>
          <w:iCs/>
          <w:lang w:eastAsia="hi-IN"/>
        </w:rPr>
        <w:t>ṣ</w:t>
      </w:r>
      <w:r>
        <w:rPr>
          <w:rFonts w:eastAsia="MS Mincho;ＭＳ 明朝"/>
          <w:i/>
          <w:iCs/>
          <w:lang w:eastAsia="hi-IN"/>
        </w:rPr>
        <w:t>ató bhrā́tr̥</w:t>
      </w:r>
      <w:r>
        <w:rPr>
          <w:rFonts w:eastAsia="MS Mincho;ＭＳ 明朝"/>
          <w:i/>
          <w:iCs/>
          <w:lang w:eastAsia="hi-IN"/>
        </w:rPr>
        <w:t>vyā́d vyā́vívr̥tseta tátkā́ma etáyā́ yajeta ví haivā̀smā́d vartata etád evá tátra kárma //</w:t>
      </w:r>
    </w:p>
    <w:p w14:paraId="3AFC5B7D" w14:textId="77777777" w:rsidR="00E53EB6" w:rsidRDefault="006500F5">
      <w:pPr>
        <w:pStyle w:val="Zitat"/>
        <w:autoSpaceDE w:val="0"/>
        <w:rPr>
          <w:rFonts w:ascii="Times Ext Roman" w:hAnsi="Times Ext Roman"/>
          <w:lang w:eastAsia="hi-IN"/>
        </w:rPr>
      </w:pPr>
      <w:r>
        <w:rPr>
          <w:lang w:eastAsia="hi-IN"/>
        </w:rPr>
        <w:t>They say ‘If one’s fires may mingle, in that case which sacrifice, which expiation?’ If it comes burning from behind, he should know this ‘The light did not come fro</w:t>
      </w:r>
      <w:r>
        <w:rPr>
          <w:lang w:eastAsia="hi-IN"/>
        </w:rPr>
        <w:t>m behind, the gods were there to help me, I will get more glorious’, if  it wounds his heart, he should sacrifice a cake on eight potsherds to Agni Vivici, the</w:t>
      </w:r>
      <w:r>
        <w:rPr>
          <w:color w:val="000000"/>
          <w:lang w:eastAsia="hi-IN"/>
        </w:rPr>
        <w:t xml:space="preserve"> procedure of </w:t>
      </w:r>
      <w:r>
        <w:rPr>
          <w:lang w:eastAsia="hi-IN"/>
        </w:rPr>
        <w:t xml:space="preserve">this is: he should recite these seventeen </w:t>
      </w:r>
      <w:r>
        <w:rPr>
          <w:i/>
          <w:iCs/>
          <w:lang w:eastAsia="hi-IN"/>
        </w:rPr>
        <w:t>sāmidhenī</w:t>
      </w:r>
      <w:r>
        <w:rPr>
          <w:rStyle w:val="FootnoteAnchor"/>
          <w:i/>
          <w:iCs/>
          <w:lang w:eastAsia="hi-IN"/>
        </w:rPr>
        <w:footnoteReference w:id="351"/>
      </w:r>
      <w:r>
        <w:rPr>
          <w:i/>
          <w:iCs/>
          <w:lang w:eastAsia="hi-IN"/>
        </w:rPr>
        <w:t xml:space="preserve"> </w:t>
      </w:r>
      <w:r>
        <w:rPr>
          <w:lang w:eastAsia="hi-IN"/>
        </w:rPr>
        <w:t xml:space="preserve">verses, the two </w:t>
      </w:r>
      <w:r>
        <w:rPr>
          <w:lang w:eastAsia="hi-IN"/>
        </w:rPr>
        <w:t xml:space="preserve">portion of clarified butter are related to </w:t>
      </w:r>
      <w:r>
        <w:rPr>
          <w:lang w:eastAsia="hi-IN"/>
        </w:rPr>
        <w:lastRenderedPageBreak/>
        <w:t>the slaying of Vr̥tra, the two formulas (</w:t>
      </w:r>
      <w:r>
        <w:rPr>
          <w:i/>
          <w:iCs/>
          <w:lang w:eastAsia="hi-IN"/>
        </w:rPr>
        <w:t>sa</w:t>
      </w:r>
      <w:r>
        <w:rPr>
          <w:i/>
          <w:iCs/>
          <w:lang w:eastAsia="hi-IN"/>
        </w:rPr>
        <w:t>ṃ</w:t>
      </w:r>
      <w:r>
        <w:rPr>
          <w:i/>
          <w:iCs/>
          <w:lang w:eastAsia="hi-IN"/>
        </w:rPr>
        <w:t>yājyā</w:t>
      </w:r>
      <w:r>
        <w:rPr>
          <w:rStyle w:val="FootnoteAnchor"/>
          <w:i/>
          <w:iCs/>
          <w:lang w:eastAsia="hi-IN"/>
        </w:rPr>
        <w:footnoteReference w:id="352"/>
      </w:r>
      <w:r>
        <w:rPr>
          <w:lang w:eastAsia="hi-IN"/>
        </w:rPr>
        <w:t xml:space="preserve">) are two </w:t>
      </w:r>
      <w:r>
        <w:rPr>
          <w:i/>
          <w:iCs/>
          <w:lang w:eastAsia="hi-IN"/>
        </w:rPr>
        <w:t>virāj</w:t>
      </w:r>
      <w:r>
        <w:rPr>
          <w:rStyle w:val="FootnoteAnchor"/>
          <w:i/>
          <w:iCs/>
          <w:lang w:eastAsia="hi-IN"/>
        </w:rPr>
        <w:footnoteReference w:id="353"/>
      </w:r>
      <w:r>
        <w:rPr>
          <w:i/>
          <w:iCs/>
          <w:lang w:eastAsia="hi-IN"/>
        </w:rPr>
        <w:t xml:space="preserve"> </w:t>
      </w:r>
      <w:r>
        <w:rPr>
          <w:lang w:eastAsia="hi-IN"/>
        </w:rPr>
        <w:t>verses and these are the invitatory (</w:t>
      </w:r>
      <w:r>
        <w:rPr>
          <w:i/>
          <w:iCs/>
          <w:lang w:eastAsia="hi-IN"/>
        </w:rPr>
        <w:t>yājyā</w:t>
      </w:r>
      <w:r>
        <w:rPr>
          <w:lang w:eastAsia="hi-IN"/>
        </w:rPr>
        <w:t xml:space="preserve">) and offering </w:t>
      </w:r>
      <w:r>
        <w:rPr>
          <w:i/>
          <w:iCs/>
          <w:lang w:eastAsia="hi-IN"/>
        </w:rPr>
        <w:t xml:space="preserve">(anuvākyā) </w:t>
      </w:r>
      <w:r>
        <w:rPr>
          <w:lang w:eastAsia="hi-IN"/>
        </w:rPr>
        <w:t xml:space="preserve">formulas </w:t>
      </w:r>
      <w:r>
        <w:rPr>
          <w:lang w:eastAsia="hi-IN"/>
        </w:rPr>
        <w:t>‘Shaken everywhere by the wind</w:t>
      </w:r>
      <w:r>
        <w:rPr>
          <w:rStyle w:val="FootnoteAnchor"/>
          <w:rFonts w:cs="Devanagari MT;Times New Roman"/>
          <w:lang w:eastAsia="hi-IN"/>
        </w:rPr>
        <w:footnoteReference w:id="354"/>
      </w:r>
      <w:r>
        <w:rPr>
          <w:lang w:eastAsia="hi-IN"/>
        </w:rPr>
        <w:t xml:space="preserve">, your </w:t>
      </w:r>
      <w:r>
        <w:rPr>
          <w:lang w:eastAsia="hi-IN"/>
        </w:rPr>
        <w:t>gleaming/glowing flames, o gleaming/glowing Agni, are moving in every direction,  big destroyers</w:t>
      </w:r>
      <w:r>
        <w:rPr>
          <w:rStyle w:val="FootnoteAnchor"/>
          <w:rFonts w:cs="Devanagari MT;Times New Roman"/>
          <w:lang w:eastAsia="hi-IN"/>
        </w:rPr>
        <w:footnoteReference w:id="355"/>
      </w:r>
      <w:r>
        <w:rPr>
          <w:lang w:eastAsia="hi-IN"/>
        </w:rPr>
        <w:t>, like the divine Navagva</w:t>
      </w:r>
      <w:r>
        <w:rPr>
          <w:rStyle w:val="FootnoteAnchor"/>
          <w:rFonts w:cs="Devanagari MT;Times New Roman"/>
          <w:lang w:eastAsia="hi-IN"/>
        </w:rPr>
        <w:footnoteReference w:id="356"/>
      </w:r>
      <w:r>
        <w:rPr>
          <w:lang w:eastAsia="hi-IN"/>
        </w:rPr>
        <w:t xml:space="preserve">, they </w:t>
      </w:r>
      <w:r>
        <w:rPr>
          <w:u w:val="single"/>
          <w:lang w:eastAsia="hi-IN"/>
        </w:rPr>
        <w:t xml:space="preserve">appropriate </w:t>
      </w:r>
      <w:r>
        <w:rPr>
          <w:lang w:eastAsia="hi-IN"/>
        </w:rPr>
        <w:t xml:space="preserve"> the wood breaking them boldly’ then the invitatory formula ‘You , o Agni, the human tribes invoke as the one wh</w:t>
      </w:r>
      <w:r>
        <w:rPr>
          <w:lang w:eastAsia="hi-IN"/>
        </w:rPr>
        <w:t>o knows the sacrifice, who discerns, gives the greatest treasures,  you who are secret and always visible giving good fortune, who resounds loud, sacrifices well and splendid of ghee’</w:t>
      </w:r>
      <w:r>
        <w:rPr>
          <w:rStyle w:val="FootnoteAnchor"/>
          <w:lang w:eastAsia="hi-IN"/>
        </w:rPr>
        <w:footnoteReference w:id="357"/>
      </w:r>
      <w:r>
        <w:rPr>
          <w:lang w:eastAsia="hi-IN"/>
        </w:rPr>
        <w:t xml:space="preserve"> moreover one who wants to get rid of the hostile rival</w:t>
      </w:r>
      <w:r>
        <w:rPr>
          <w:rStyle w:val="FootnoteAnchor"/>
          <w:lang w:eastAsia="hi-IN"/>
        </w:rPr>
        <w:footnoteReference w:id="358"/>
      </w:r>
      <w:r>
        <w:rPr>
          <w:lang w:eastAsia="hi-IN"/>
        </w:rPr>
        <w:t xml:space="preserve"> should sacrifice with this (formula), having this as desire, indeed he will turn away from him; this indeed is the sacrifice in that case.</w:t>
      </w:r>
    </w:p>
    <w:p w14:paraId="7E4E96C2" w14:textId="77777777" w:rsidR="00E53EB6" w:rsidRPr="00B80C6B" w:rsidRDefault="006500F5">
      <w:pPr>
        <w:pStyle w:val="Zitat"/>
        <w:autoSpaceDE w:val="0"/>
        <w:rPr>
          <w:lang w:val="it-IT" w:eastAsia="hi-IN"/>
        </w:rPr>
      </w:pPr>
      <w:r w:rsidRPr="00B80C6B">
        <w:rPr>
          <w:i/>
          <w:iCs/>
          <w:lang w:val="it-IT" w:eastAsia="hi-IN"/>
        </w:rPr>
        <w:t xml:space="preserve">vananti: </w:t>
      </w:r>
      <w:r w:rsidRPr="00B80C6B">
        <w:rPr>
          <w:lang w:val="it-IT" w:eastAsia="hi-IN"/>
        </w:rPr>
        <w:t>ind. pres. 3</w:t>
      </w:r>
      <w:r w:rsidRPr="00B80C6B">
        <w:rPr>
          <w:vertAlign w:val="superscript"/>
          <w:lang w:val="it-IT" w:eastAsia="hi-IN"/>
        </w:rPr>
        <w:t>rd</w:t>
      </w:r>
      <w:r w:rsidRPr="00B80C6B">
        <w:rPr>
          <w:lang w:val="it-IT" w:eastAsia="hi-IN"/>
        </w:rPr>
        <w:t xml:space="preserve"> pl. I-VI cl.</w:t>
      </w:r>
    </w:p>
    <w:p w14:paraId="27FA9434" w14:textId="77777777" w:rsidR="00E53EB6" w:rsidRPr="00B80C6B" w:rsidRDefault="006500F5">
      <w:pPr>
        <w:pStyle w:val="ZitatmitEinzug"/>
        <w:autoSpaceDE w:val="0"/>
        <w:rPr>
          <w:rFonts w:eastAsia="Arial" w:cs="Times Ext Roman"/>
          <w:szCs w:val="18"/>
          <w:lang w:val="de-DE" w:eastAsia="hi-IN" w:bidi="en-GB"/>
        </w:rPr>
      </w:pPr>
      <w:r w:rsidRPr="00B80C6B">
        <w:rPr>
          <w:rStyle w:val="biblio-authorGEN"/>
          <w:rFonts w:eastAsia="Arial" w:cs="Times Ext Roman"/>
          <w:sz w:val="18"/>
          <w:szCs w:val="15"/>
          <w:lang w:val="de-DE" w:eastAsia="hi-IN" w:bidi="en-GB"/>
        </w:rPr>
        <w:t>Geldner</w:t>
      </w:r>
      <w:r w:rsidRPr="00B80C6B">
        <w:rPr>
          <w:rFonts w:eastAsia="Arial" w:cs="Times Ext Roman"/>
          <w:szCs w:val="18"/>
          <w:lang w:val="de-DE" w:eastAsia="hi-IN" w:bidi="en-GB"/>
        </w:rPr>
        <w:t>: II 98 “überwi</w:t>
      </w:r>
      <w:r w:rsidRPr="00B80C6B">
        <w:rPr>
          <w:rFonts w:eastAsia="Arial" w:cs="Times Ext Roman"/>
          <w:szCs w:val="18"/>
          <w:lang w:val="de-DE" w:eastAsia="hi-IN" w:bidi="en-GB"/>
        </w:rPr>
        <w:t>nden”</w:t>
      </w:r>
    </w:p>
    <w:p w14:paraId="53144EF4" w14:textId="77777777" w:rsidR="00E53EB6" w:rsidRPr="00B80C6B" w:rsidRDefault="006500F5">
      <w:pPr>
        <w:pStyle w:val="ZitatmitEinzug"/>
        <w:autoSpaceDE w:val="0"/>
        <w:rPr>
          <w:rFonts w:eastAsia="Arial" w:cs="Times Ext Roman"/>
          <w:szCs w:val="18"/>
          <w:lang w:val="de-DE" w:eastAsia="hi-IN" w:bidi="en-GB"/>
        </w:rPr>
      </w:pPr>
      <w:r w:rsidRPr="00B80C6B">
        <w:rPr>
          <w:rStyle w:val="biblio-authorGEN"/>
          <w:rFonts w:eastAsia="Arial" w:cs="Times Ext Roman"/>
          <w:sz w:val="18"/>
          <w:szCs w:val="15"/>
          <w:lang w:val="de-DE" w:eastAsia="hi-IN" w:bidi="en-GB"/>
        </w:rPr>
        <w:t>Renou</w:t>
      </w:r>
      <w:r w:rsidRPr="00B80C6B">
        <w:rPr>
          <w:rFonts w:eastAsia="Arial" w:cs="Times Ext Roman"/>
          <w:szCs w:val="18"/>
          <w:lang w:val="de-DE" w:eastAsia="hi-IN" w:bidi="en-GB"/>
        </w:rPr>
        <w:t>: XIII 40 “triomphent”</w:t>
      </w:r>
    </w:p>
    <w:p w14:paraId="4D25CC18" w14:textId="77777777" w:rsidR="00E53EB6" w:rsidRDefault="006500F5">
      <w:pPr>
        <w:pStyle w:val="ZitatmitEinzug"/>
        <w:autoSpaceDE w:val="0"/>
        <w:rPr>
          <w:rFonts w:eastAsia="Arial" w:cs="Times Ext Roman"/>
          <w:szCs w:val="18"/>
          <w:lang w:eastAsia="hi-IN" w:bidi="en-GB"/>
        </w:rPr>
      </w:pPr>
      <w:r>
        <w:rPr>
          <w:rStyle w:val="biblio-authorGEN"/>
          <w:rFonts w:eastAsia="Arial" w:cs="Times Ext Roman"/>
          <w:sz w:val="18"/>
          <w:szCs w:val="15"/>
          <w:lang w:eastAsia="hi-IN" w:bidi="en-GB"/>
        </w:rPr>
        <w:t>Eggeling</w:t>
      </w:r>
      <w:r>
        <w:rPr>
          <w:rFonts w:eastAsia="Arial" w:cs="Times Ext Roman"/>
          <w:szCs w:val="18"/>
          <w:lang w:eastAsia="hi-IN" w:bidi="en-GB"/>
        </w:rPr>
        <w:t xml:space="preserve"> 1882-1900: V 192 “overpower”</w:t>
      </w:r>
    </w:p>
    <w:p w14:paraId="3E138C4F" w14:textId="77777777" w:rsidR="00E53EB6" w:rsidRDefault="006500F5">
      <w:pPr>
        <w:pStyle w:val="HaupttextnachZitat"/>
        <w:numPr>
          <w:ilvl w:val="2"/>
          <w:numId w:val="2"/>
        </w:numPr>
        <w:tabs>
          <w:tab w:val="left" w:pos="0"/>
        </w:tabs>
      </w:pPr>
      <w:r>
        <w:t>Vedic Web</w:t>
      </w:r>
    </w:p>
    <w:p w14:paraId="0EFA9981" w14:textId="77777777" w:rsidR="00E53EB6" w:rsidRDefault="006500F5">
      <w:pPr>
        <w:pStyle w:val="HaupttextohneEinzug"/>
      </w:pPr>
      <w:r>
        <w:t>Mantra: R</w:t>
      </w:r>
      <w:r>
        <w:rPr>
          <w:rFonts w:eastAsia="Arial" w:cs="Devanagari MT;Times New Roman"/>
          <w:sz w:val="18"/>
          <w:szCs w:val="18"/>
          <w:lang w:eastAsia="hi-IN" w:bidi="en-GB"/>
        </w:rPr>
        <w:t>̥</w:t>
      </w:r>
      <w:r>
        <w:t>V 6.6.3; TS 3.3.11.2e.</w:t>
      </w:r>
    </w:p>
    <w:p w14:paraId="3EDFA56F" w14:textId="77777777" w:rsidR="00E53EB6" w:rsidRDefault="006500F5">
      <w:pPr>
        <w:pStyle w:val="HaupttextohneEinzug"/>
      </w:pPr>
      <w:r>
        <w:t>Brāhma</w:t>
      </w:r>
      <w:r>
        <w:t>ṇ</w:t>
      </w:r>
      <w:r>
        <w:t>a: TB 3.7.3.5</w:t>
      </w:r>
      <w:r>
        <w:rPr>
          <w:i/>
          <w:iCs/>
        </w:rPr>
        <w:t>.</w:t>
      </w:r>
    </w:p>
    <w:p w14:paraId="24DA5650" w14:textId="77777777" w:rsidR="00E53EB6" w:rsidRDefault="00E53EB6">
      <w:pPr>
        <w:pStyle w:val="HaupttextohneEinzug"/>
      </w:pPr>
    </w:p>
    <w:p w14:paraId="672DFD5F" w14:textId="77777777" w:rsidR="00E53EB6" w:rsidRDefault="006500F5">
      <w:pPr>
        <w:pStyle w:val="HaupttextohneEinzug"/>
      </w:pPr>
      <w:r>
        <w:t>Rite</w:t>
      </w:r>
    </w:p>
    <w:p w14:paraId="6A5E1C32" w14:textId="77777777" w:rsidR="00E53EB6" w:rsidRDefault="006500F5">
      <w:pPr>
        <w:pStyle w:val="HaupttextohneEinzug"/>
        <w:rPr>
          <w:szCs w:val="21"/>
        </w:rPr>
      </w:pPr>
      <w:r>
        <w:rPr>
          <w:rFonts w:eastAsia="MS Mincho;ＭＳ 明朝" w:cs="Times Ext Roman"/>
          <w:szCs w:val="21"/>
          <w:lang w:eastAsia="hi-IN" w:bidi="en-GB"/>
        </w:rPr>
        <w:t xml:space="preserve">Within </w:t>
      </w:r>
      <w:r>
        <w:rPr>
          <w:rFonts w:eastAsia="MS Mincho;ＭＳ 明朝" w:cs="Times Ext Roman"/>
          <w:i/>
          <w:iCs/>
          <w:szCs w:val="21"/>
          <w:lang w:eastAsia="hi-IN" w:bidi="en-GB"/>
        </w:rPr>
        <w:t>sattra</w:t>
      </w:r>
      <w:r>
        <w:rPr>
          <w:rFonts w:eastAsia="MS Mincho;ＭＳ 明朝" w:cs="Times Ext Roman"/>
          <w:szCs w:val="21"/>
          <w:lang w:eastAsia="hi-IN" w:bidi="en-GB"/>
        </w:rPr>
        <w:t xml:space="preserve"> sacrifices (</w:t>
      </w:r>
      <w:r>
        <w:rPr>
          <w:rFonts w:eastAsia="MS Mincho;ＭＳ 明朝" w:cs="Times Ext Roman"/>
          <w:i/>
          <w:iCs/>
          <w:szCs w:val="21"/>
          <w:lang w:eastAsia="hi-IN" w:bidi="en-GB"/>
        </w:rPr>
        <w:t>soma</w:t>
      </w:r>
      <w:r>
        <w:rPr>
          <w:rFonts w:eastAsia="MS Mincho;ＭＳ 明朝" w:cs="Times Ext Roman"/>
          <w:szCs w:val="21"/>
          <w:lang w:eastAsia="hi-IN" w:bidi="en-GB"/>
        </w:rPr>
        <w:t xml:space="preserve"> sacrifices of 12 or more pressing days), the Agnihotra. Invitatory and offering formulas for an expiatory sacrifice to Agni </w:t>
      </w:r>
      <w:r>
        <w:rPr>
          <w:rFonts w:eastAsia="MS Mincho;ＭＳ 明朝" w:cs="Times Ext Roman"/>
          <w:i/>
          <w:iCs/>
          <w:szCs w:val="21"/>
          <w:lang w:eastAsia="hi-IN" w:bidi="en-GB"/>
        </w:rPr>
        <w:t>vivici</w:t>
      </w:r>
      <w:r>
        <w:rPr>
          <w:rFonts w:eastAsia="MS Mincho;ＭＳ 明朝" w:cs="Times Ext Roman"/>
          <w:szCs w:val="21"/>
          <w:lang w:eastAsia="hi-IN" w:bidi="en-GB"/>
        </w:rPr>
        <w:t xml:space="preserve"> (“the discerner”), to be done in case two fires get mixed. </w:t>
      </w:r>
    </w:p>
    <w:p w14:paraId="376C9F94" w14:textId="77777777" w:rsidR="00E53EB6" w:rsidRDefault="00E53EB6">
      <w:pPr>
        <w:pStyle w:val="HaupttextohneEinzug"/>
        <w:rPr>
          <w:rFonts w:eastAsia="MS Mincho;ＭＳ 明朝" w:cs="Times Ext Roman"/>
          <w:szCs w:val="21"/>
          <w:lang w:eastAsia="hi-IN" w:bidi="en-GB"/>
        </w:rPr>
      </w:pPr>
    </w:p>
    <w:p w14:paraId="5D32BC71" w14:textId="77777777" w:rsidR="00E53EB6" w:rsidRDefault="00E53EB6">
      <w:pPr>
        <w:pStyle w:val="HaupttextohneEinzug"/>
        <w:rPr>
          <w:rFonts w:eastAsia="MS Mincho;ＭＳ 明朝" w:cs="Times Ext Roman"/>
          <w:szCs w:val="21"/>
          <w:lang w:eastAsia="hi-IN" w:bidi="en-GB"/>
        </w:rPr>
      </w:pPr>
    </w:p>
    <w:p w14:paraId="7E74266B" w14:textId="77777777" w:rsidR="00E53EB6" w:rsidRDefault="006500F5">
      <w:pPr>
        <w:pStyle w:val="Heading4"/>
        <w:tabs>
          <w:tab w:val="left" w:pos="0"/>
        </w:tabs>
      </w:pPr>
      <w:r>
        <w:t xml:space="preserve">Non-R̥V </w:t>
      </w:r>
      <w:r>
        <w:rPr>
          <w:i/>
        </w:rPr>
        <w:t>mantra</w:t>
      </w:r>
      <w:r>
        <w:rPr>
          <w:iCs w:val="0"/>
        </w:rPr>
        <w:t>s – Brāhma</w:t>
      </w:r>
      <w:r>
        <w:rPr>
          <w:iCs w:val="0"/>
        </w:rPr>
        <w:t>ṇ</w:t>
      </w:r>
      <w:r>
        <w:rPr>
          <w:iCs w:val="0"/>
        </w:rPr>
        <w:t>a prose</w:t>
      </w:r>
    </w:p>
    <w:p w14:paraId="48F2E23D" w14:textId="77777777" w:rsidR="00E53EB6" w:rsidRDefault="006500F5">
      <w:pPr>
        <w:pStyle w:val="Heading4"/>
        <w:tabs>
          <w:tab w:val="left" w:pos="0"/>
        </w:tabs>
      </w:pPr>
      <w:r>
        <w:t>YV Brāhma</w:t>
      </w:r>
      <w:r>
        <w:t>ṇ</w:t>
      </w:r>
      <w:r>
        <w:t>a occurrences</w:t>
      </w:r>
    </w:p>
    <w:p w14:paraId="28DE124E" w14:textId="77777777" w:rsidR="00E53EB6" w:rsidRDefault="006500F5">
      <w:pPr>
        <w:pStyle w:val="Heading5"/>
        <w:tabs>
          <w:tab w:val="left" w:pos="0"/>
        </w:tabs>
      </w:pPr>
      <w:r>
        <w:t>Taitt</w:t>
      </w:r>
      <w:r>
        <w:t>irīya occurrences</w:t>
      </w:r>
    </w:p>
    <w:p w14:paraId="6A711380" w14:textId="77777777" w:rsidR="00E53EB6" w:rsidRPr="00B80C6B" w:rsidRDefault="006500F5">
      <w:pPr>
        <w:pStyle w:val="Heading5"/>
        <w:tabs>
          <w:tab w:val="left" w:pos="0"/>
        </w:tabs>
        <w:rPr>
          <w:lang w:val="it-IT"/>
        </w:rPr>
      </w:pPr>
      <w:r w:rsidRPr="00B80C6B">
        <w:rPr>
          <w:u w:val="single"/>
          <w:lang w:val="it-IT"/>
        </w:rPr>
        <w:t>TB 2.4.3.4-5</w:t>
      </w:r>
      <w:r w:rsidRPr="00B80C6B">
        <w:rPr>
          <w:rFonts w:cs="Devanagari MT;Times New Roman"/>
          <w:lang w:val="it-IT"/>
        </w:rPr>
        <w:tab/>
      </w:r>
      <w:r w:rsidRPr="00B80C6B">
        <w:rPr>
          <w:rFonts w:cs="Devanagari MT;Times New Roman"/>
          <w:lang w:val="it-IT"/>
        </w:rPr>
        <w:tab/>
      </w:r>
      <w:r w:rsidRPr="00B80C6B">
        <w:rPr>
          <w:rFonts w:cs="Devanagari MT;Times New Roman"/>
          <w:lang w:val="it-IT"/>
        </w:rPr>
        <w:tab/>
      </w:r>
      <w:r w:rsidRPr="00B80C6B">
        <w:rPr>
          <w:rFonts w:cs="Devanagari MT;Times New Roman"/>
          <w:lang w:val="it-IT"/>
        </w:rPr>
        <w:tab/>
      </w:r>
      <w:r w:rsidRPr="00B80C6B">
        <w:rPr>
          <w:rFonts w:cs="Devanagari MT;Times New Roman"/>
          <w:lang w:val="it-IT"/>
        </w:rPr>
        <w:tab/>
      </w:r>
      <w:r w:rsidRPr="00B80C6B">
        <w:rPr>
          <w:rFonts w:cs="Devanagari MT;Times New Roman"/>
          <w:lang w:val="it-IT"/>
        </w:rPr>
        <w:tab/>
      </w:r>
      <w:r w:rsidRPr="00B80C6B">
        <w:rPr>
          <w:rFonts w:cs="Devanagari MT;Times New Roman"/>
          <w:lang w:val="it-IT"/>
        </w:rPr>
        <w:tab/>
        <w:t>non-R̥V mantra and R̥V mantra</w:t>
      </w:r>
    </w:p>
    <w:p w14:paraId="0F05F530" w14:textId="77777777" w:rsidR="00E53EB6" w:rsidRPr="00B80C6B" w:rsidRDefault="006500F5">
      <w:pPr>
        <w:pStyle w:val="Zitat"/>
        <w:autoSpaceDE w:val="0"/>
        <w:rPr>
          <w:lang w:val="it-IT"/>
        </w:rPr>
      </w:pPr>
      <w:r w:rsidRPr="00B80C6B">
        <w:rPr>
          <w:lang w:val="it-IT" w:eastAsia="hi-IN"/>
        </w:rPr>
        <w:t xml:space="preserve">2.4.3.4 </w:t>
      </w:r>
      <w:r w:rsidRPr="00B80C6B">
        <w:rPr>
          <w:i/>
          <w:iCs/>
          <w:lang w:val="it-IT" w:eastAsia="hi-IN"/>
        </w:rPr>
        <w:t>agníś ca vi</w:t>
      </w:r>
      <w:r w:rsidRPr="00B80C6B">
        <w:rPr>
          <w:i/>
          <w:iCs/>
          <w:lang w:val="it-IT" w:eastAsia="hi-IN"/>
        </w:rPr>
        <w:t>ṣṇ</w:t>
      </w:r>
      <w:r w:rsidRPr="00B80C6B">
        <w:rPr>
          <w:i/>
          <w:iCs/>
          <w:lang w:val="it-IT" w:eastAsia="hi-IN"/>
        </w:rPr>
        <w:t>o tápa uttamá</w:t>
      </w:r>
      <w:r w:rsidRPr="00B80C6B">
        <w:rPr>
          <w:i/>
          <w:iCs/>
          <w:lang w:val="it-IT" w:eastAsia="hi-IN"/>
        </w:rPr>
        <w:t>ṃ</w:t>
      </w:r>
      <w:r w:rsidRPr="00B80C6B">
        <w:rPr>
          <w:i/>
          <w:iCs/>
          <w:lang w:val="it-IT" w:eastAsia="hi-IN"/>
        </w:rPr>
        <w:t xml:space="preserve"> mahá</w:t>
      </w:r>
      <w:r w:rsidRPr="00B80C6B">
        <w:rPr>
          <w:i/>
          <w:iCs/>
          <w:lang w:val="it-IT" w:eastAsia="hi-IN"/>
        </w:rPr>
        <w:t>ḥ</w:t>
      </w:r>
      <w:r>
        <w:rPr>
          <w:rStyle w:val="FootnoteAnchor"/>
          <w:i/>
          <w:iCs/>
          <w:lang w:eastAsia="hi-IN"/>
        </w:rPr>
        <w:footnoteReference w:id="359"/>
      </w:r>
      <w:r w:rsidRPr="00B80C6B">
        <w:rPr>
          <w:i/>
          <w:iCs/>
          <w:lang w:val="it-IT" w:eastAsia="hi-IN"/>
        </w:rPr>
        <w:t xml:space="preserve"> / dīk</w:t>
      </w:r>
      <w:r w:rsidRPr="00B80C6B">
        <w:rPr>
          <w:i/>
          <w:iCs/>
          <w:lang w:val="it-IT" w:eastAsia="hi-IN"/>
        </w:rPr>
        <w:t>ṣ</w:t>
      </w:r>
      <w:r w:rsidRPr="00B80C6B">
        <w:rPr>
          <w:i/>
          <w:iCs/>
          <w:lang w:val="it-IT" w:eastAsia="hi-IN"/>
        </w:rPr>
        <w:t>āpāléb</w:t>
      </w:r>
      <w:r w:rsidRPr="00B80C6B">
        <w:rPr>
          <w:lang w:val="it-IT"/>
        </w:rPr>
        <w:t>h</w:t>
      </w:r>
      <w:r w:rsidRPr="00B80C6B">
        <w:rPr>
          <w:i/>
          <w:iCs/>
          <w:lang w:val="it-IT" w:eastAsia="hi-IN"/>
        </w:rPr>
        <w:t>yo vánata</w:t>
      </w:r>
      <w:r w:rsidRPr="00B80C6B">
        <w:rPr>
          <w:i/>
          <w:iCs/>
          <w:lang w:val="it-IT" w:eastAsia="hi-IN"/>
        </w:rPr>
        <w:t>ṁ</w:t>
      </w:r>
      <w:r w:rsidRPr="00B80C6B">
        <w:rPr>
          <w:i/>
          <w:iCs/>
          <w:lang w:val="it-IT" w:eastAsia="hi-IN"/>
        </w:rPr>
        <w:t xml:space="preserve"> hí śakrā́ / víśvair deváir yajñíyai</w:t>
      </w:r>
      <w:r w:rsidRPr="00B80C6B">
        <w:rPr>
          <w:i/>
          <w:iCs/>
          <w:lang w:val="it-IT" w:eastAsia="hi-IN"/>
        </w:rPr>
        <w:t>ḥ</w:t>
      </w:r>
      <w:r w:rsidRPr="00B80C6B">
        <w:rPr>
          <w:i/>
          <w:iCs/>
          <w:lang w:val="it-IT" w:eastAsia="hi-IN"/>
        </w:rPr>
        <w:t xml:space="preserve"> sa</w:t>
      </w:r>
      <w:r w:rsidRPr="00B80C6B">
        <w:rPr>
          <w:i/>
          <w:iCs/>
          <w:lang w:val="it-IT" w:eastAsia="hi-IN"/>
        </w:rPr>
        <w:t>ṃ</w:t>
      </w:r>
      <w:r w:rsidRPr="00B80C6B">
        <w:rPr>
          <w:i/>
          <w:iCs/>
          <w:lang w:val="it-IT" w:eastAsia="hi-IN"/>
        </w:rPr>
        <w:t>vidānáu / dīk</w:t>
      </w:r>
      <w:r w:rsidRPr="00B80C6B">
        <w:rPr>
          <w:i/>
          <w:iCs/>
          <w:lang w:val="it-IT" w:eastAsia="hi-IN"/>
        </w:rPr>
        <w:t>ṣ</w:t>
      </w:r>
      <w:r w:rsidRPr="00B80C6B">
        <w:rPr>
          <w:i/>
          <w:iCs/>
          <w:lang w:val="it-IT" w:eastAsia="hi-IN"/>
        </w:rPr>
        <w:t>ā́m asmái yájamānāya d</w:t>
      </w:r>
      <w:r w:rsidRPr="00B80C6B">
        <w:rPr>
          <w:lang w:val="it-IT"/>
        </w:rPr>
        <w:t>h</w:t>
      </w:r>
      <w:r w:rsidRPr="00B80C6B">
        <w:rPr>
          <w:i/>
          <w:iCs/>
          <w:lang w:val="it-IT" w:eastAsia="hi-IN"/>
        </w:rPr>
        <w:t>attam // prá tád ví</w:t>
      </w:r>
      <w:r w:rsidRPr="00B80C6B">
        <w:rPr>
          <w:i/>
          <w:iCs/>
          <w:lang w:val="it-IT" w:eastAsia="hi-IN"/>
        </w:rPr>
        <w:t>ṣṇ</w:t>
      </w:r>
      <w:r w:rsidRPr="00B80C6B">
        <w:rPr>
          <w:i/>
          <w:iCs/>
          <w:lang w:val="it-IT" w:eastAsia="hi-IN"/>
        </w:rPr>
        <w:t>u</w:t>
      </w:r>
      <w:r w:rsidRPr="00B80C6B">
        <w:rPr>
          <w:i/>
          <w:iCs/>
          <w:lang w:val="it-IT" w:eastAsia="hi-IN"/>
        </w:rPr>
        <w:t>ḥ</w:t>
      </w:r>
      <w:r w:rsidRPr="00B80C6B">
        <w:rPr>
          <w:i/>
          <w:iCs/>
          <w:lang w:val="it-IT" w:eastAsia="hi-IN"/>
        </w:rPr>
        <w:t xml:space="preserve"> stavate </w:t>
      </w:r>
      <w:r w:rsidRPr="00B80C6B">
        <w:rPr>
          <w:i/>
          <w:iCs/>
          <w:lang w:val="it-IT" w:eastAsia="hi-IN"/>
        </w:rPr>
        <w:t>vīryā̀ya / mr</w:t>
      </w:r>
      <w:r w:rsidRPr="00B80C6B">
        <w:rPr>
          <w:rFonts w:cs="Devanagari MT;Times New Roman"/>
          <w:lang w:val="it-IT" w:eastAsia="hi-IN"/>
        </w:rPr>
        <w:t>̥</w:t>
      </w:r>
      <w:r w:rsidRPr="00B80C6B">
        <w:rPr>
          <w:i/>
          <w:iCs/>
          <w:lang w:val="it-IT" w:eastAsia="hi-IN"/>
        </w:rPr>
        <w:t>gó ná b</w:t>
      </w:r>
      <w:r w:rsidRPr="00B80C6B">
        <w:rPr>
          <w:lang w:val="it-IT"/>
        </w:rPr>
        <w:t>h</w:t>
      </w:r>
      <w:r w:rsidRPr="00B80C6B">
        <w:rPr>
          <w:i/>
          <w:iCs/>
          <w:lang w:val="it-IT" w:eastAsia="hi-IN"/>
        </w:rPr>
        <w:t>īmá</w:t>
      </w:r>
      <w:r w:rsidRPr="00B80C6B">
        <w:rPr>
          <w:i/>
          <w:iCs/>
          <w:lang w:val="it-IT" w:eastAsia="hi-IN"/>
        </w:rPr>
        <w:t>ḥ</w:t>
      </w:r>
      <w:r w:rsidRPr="00B80C6B">
        <w:rPr>
          <w:i/>
          <w:iCs/>
          <w:lang w:val="it-IT" w:eastAsia="hi-IN"/>
        </w:rPr>
        <w:t xml:space="preserve"> kucaró giri</w:t>
      </w:r>
      <w:r w:rsidRPr="00B80C6B">
        <w:rPr>
          <w:i/>
          <w:iCs/>
          <w:lang w:val="it-IT" w:eastAsia="hi-IN"/>
        </w:rPr>
        <w:t>ṣṭ</w:t>
      </w:r>
      <w:r w:rsidRPr="00B80C6B">
        <w:rPr>
          <w:i/>
          <w:iCs/>
          <w:lang w:val="it-IT" w:eastAsia="hi-IN"/>
        </w:rPr>
        <w:t>hā́</w:t>
      </w:r>
      <w:r w:rsidRPr="00B80C6B">
        <w:rPr>
          <w:i/>
          <w:iCs/>
          <w:lang w:val="it-IT" w:eastAsia="hi-IN"/>
        </w:rPr>
        <w:t>ḥ</w:t>
      </w:r>
      <w:r w:rsidRPr="00B80C6B">
        <w:rPr>
          <w:i/>
          <w:iCs/>
          <w:lang w:val="it-IT" w:eastAsia="hi-IN"/>
        </w:rPr>
        <w:t xml:space="preserve"> / yásya ūrú</w:t>
      </w:r>
      <w:r w:rsidRPr="00B80C6B">
        <w:rPr>
          <w:i/>
          <w:iCs/>
          <w:lang w:val="it-IT" w:eastAsia="hi-IN"/>
        </w:rPr>
        <w:t>ṣ</w:t>
      </w:r>
      <w:r w:rsidRPr="00B80C6B">
        <w:rPr>
          <w:i/>
          <w:iCs/>
          <w:lang w:val="it-IT" w:eastAsia="hi-IN"/>
        </w:rPr>
        <w:t>u tri</w:t>
      </w:r>
      <w:r w:rsidRPr="00B80C6B">
        <w:rPr>
          <w:i/>
          <w:iCs/>
          <w:lang w:val="it-IT" w:eastAsia="hi-IN"/>
        </w:rPr>
        <w:t>ṣ</w:t>
      </w:r>
      <w:r w:rsidRPr="00B80C6B">
        <w:rPr>
          <w:i/>
          <w:iCs/>
          <w:lang w:val="it-IT" w:eastAsia="hi-IN"/>
        </w:rPr>
        <w:t>ú vikráma</w:t>
      </w:r>
      <w:r w:rsidRPr="00B80C6B">
        <w:rPr>
          <w:i/>
          <w:iCs/>
          <w:lang w:val="it-IT" w:eastAsia="hi-IN"/>
        </w:rPr>
        <w:t>ṇ</w:t>
      </w:r>
      <w:r w:rsidRPr="00B80C6B">
        <w:rPr>
          <w:i/>
          <w:iCs/>
          <w:lang w:val="it-IT" w:eastAsia="hi-IN"/>
        </w:rPr>
        <w:t>e</w:t>
      </w:r>
      <w:r w:rsidRPr="00B80C6B">
        <w:rPr>
          <w:i/>
          <w:iCs/>
          <w:lang w:val="it-IT" w:eastAsia="hi-IN"/>
        </w:rPr>
        <w:t>ṣ</w:t>
      </w:r>
      <w:r w:rsidRPr="00B80C6B">
        <w:rPr>
          <w:i/>
          <w:iCs/>
          <w:lang w:val="it-IT" w:eastAsia="hi-IN"/>
        </w:rPr>
        <w:t>u / ád</w:t>
      </w:r>
      <w:r w:rsidRPr="00B80C6B">
        <w:rPr>
          <w:lang w:val="it-IT"/>
        </w:rPr>
        <w:t>h</w:t>
      </w:r>
      <w:r w:rsidRPr="00B80C6B">
        <w:rPr>
          <w:i/>
          <w:iCs/>
          <w:lang w:val="it-IT" w:eastAsia="hi-IN"/>
        </w:rPr>
        <w:t>ik</w:t>
      </w:r>
      <w:r w:rsidRPr="00B80C6B">
        <w:rPr>
          <w:i/>
          <w:iCs/>
          <w:lang w:val="it-IT" w:eastAsia="hi-IN"/>
        </w:rPr>
        <w:t>ṣ</w:t>
      </w:r>
      <w:r w:rsidRPr="00B80C6B">
        <w:rPr>
          <w:i/>
          <w:iCs/>
          <w:lang w:val="it-IT" w:eastAsia="hi-IN"/>
        </w:rPr>
        <w:t>iyánti b</w:t>
      </w:r>
      <w:r w:rsidRPr="00B80C6B">
        <w:rPr>
          <w:lang w:val="it-IT"/>
        </w:rPr>
        <w:t>h</w:t>
      </w:r>
      <w:r w:rsidRPr="00B80C6B">
        <w:rPr>
          <w:i/>
          <w:iCs/>
          <w:lang w:val="it-IT" w:eastAsia="hi-IN"/>
        </w:rPr>
        <w:t>úvanāni víśvā</w:t>
      </w:r>
      <w:r>
        <w:rPr>
          <w:rStyle w:val="FootnoteAnchor"/>
          <w:rFonts w:cs="Devanagari MT;Times New Roman"/>
          <w:i/>
          <w:iCs/>
          <w:lang w:eastAsia="hi-IN"/>
        </w:rPr>
        <w:footnoteReference w:id="360"/>
      </w:r>
      <w:r w:rsidRPr="00B80C6B">
        <w:rPr>
          <w:i/>
          <w:iCs/>
          <w:lang w:val="it-IT" w:eastAsia="hi-IN"/>
        </w:rPr>
        <w:t xml:space="preserve"> // nū́ márto dayate sani</w:t>
      </w:r>
      <w:r w:rsidRPr="00B80C6B">
        <w:rPr>
          <w:i/>
          <w:iCs/>
          <w:lang w:val="it-IT" w:eastAsia="hi-IN"/>
        </w:rPr>
        <w:t>ṣ</w:t>
      </w:r>
      <w:r w:rsidRPr="00B80C6B">
        <w:rPr>
          <w:i/>
          <w:iCs/>
          <w:lang w:val="it-IT" w:eastAsia="hi-IN"/>
        </w:rPr>
        <w:t>yán yá</w:t>
      </w:r>
      <w:r w:rsidRPr="00B80C6B">
        <w:rPr>
          <w:i/>
          <w:iCs/>
          <w:lang w:val="it-IT" w:eastAsia="hi-IN"/>
        </w:rPr>
        <w:t>ḥ</w:t>
      </w:r>
      <w:r w:rsidRPr="00B80C6B">
        <w:rPr>
          <w:i/>
          <w:iCs/>
          <w:lang w:val="it-IT" w:eastAsia="hi-IN"/>
        </w:rPr>
        <w:t xml:space="preserve"> / ví</w:t>
      </w:r>
      <w:r w:rsidRPr="00B80C6B">
        <w:rPr>
          <w:i/>
          <w:iCs/>
          <w:lang w:val="it-IT" w:eastAsia="hi-IN"/>
        </w:rPr>
        <w:t>ṣṇ</w:t>
      </w:r>
      <w:r w:rsidRPr="00B80C6B">
        <w:rPr>
          <w:i/>
          <w:iCs/>
          <w:lang w:val="it-IT" w:eastAsia="hi-IN"/>
        </w:rPr>
        <w:t xml:space="preserve">ava urugāyā́ya dā́śat // </w:t>
      </w:r>
      <w:r w:rsidRPr="00B80C6B">
        <w:rPr>
          <w:lang w:val="it-IT" w:eastAsia="hi-IN"/>
        </w:rPr>
        <w:t>[</w:t>
      </w:r>
      <w:r w:rsidRPr="00B80C6B">
        <w:rPr>
          <w:lang w:val="it-IT" w:eastAsia="hi-IN"/>
        </w:rPr>
        <w:t xml:space="preserve">.5] </w:t>
      </w:r>
      <w:r w:rsidRPr="00B80C6B">
        <w:rPr>
          <w:i/>
          <w:iCs/>
          <w:lang w:val="it-IT" w:eastAsia="hi-IN"/>
        </w:rPr>
        <w:t>prá yá</w:t>
      </w:r>
      <w:r w:rsidRPr="00B80C6B">
        <w:rPr>
          <w:i/>
          <w:iCs/>
          <w:lang w:val="it-IT" w:eastAsia="hi-IN"/>
        </w:rPr>
        <w:t>ḥ</w:t>
      </w:r>
      <w:r w:rsidRPr="00B80C6B">
        <w:rPr>
          <w:i/>
          <w:iCs/>
          <w:lang w:val="it-IT" w:eastAsia="hi-IN"/>
        </w:rPr>
        <w:t xml:space="preserve"> satrā́cā mánasā yájātai / etā́vanta</w:t>
      </w:r>
      <w:r w:rsidRPr="00B80C6B">
        <w:rPr>
          <w:i/>
          <w:iCs/>
          <w:lang w:val="it-IT" w:eastAsia="hi-IN"/>
        </w:rPr>
        <w:t>ṃ</w:t>
      </w:r>
      <w:r w:rsidRPr="00B80C6B">
        <w:rPr>
          <w:i/>
          <w:iCs/>
          <w:lang w:val="it-IT" w:eastAsia="hi-IN"/>
        </w:rPr>
        <w:t xml:space="preserve"> náryam āvívāsāt</w:t>
      </w:r>
      <w:r>
        <w:rPr>
          <w:rStyle w:val="FootnoteAnchor"/>
          <w:rFonts w:cs="Devanagari MT;Times New Roman"/>
          <w:i/>
          <w:iCs/>
          <w:lang w:eastAsia="hi-IN"/>
        </w:rPr>
        <w:footnoteReference w:id="361"/>
      </w:r>
      <w:r w:rsidRPr="00B80C6B">
        <w:rPr>
          <w:i/>
          <w:iCs/>
          <w:lang w:val="it-IT" w:eastAsia="hi-IN"/>
        </w:rPr>
        <w:t xml:space="preserve"> // vícakrame pr</w:t>
      </w:r>
      <w:r w:rsidRPr="00B80C6B">
        <w:rPr>
          <w:rFonts w:cs="Devanagari MT;Times New Roman"/>
          <w:lang w:val="it-IT" w:eastAsia="hi-IN"/>
        </w:rPr>
        <w:t>̥</w:t>
      </w:r>
      <w:r w:rsidRPr="00B80C6B">
        <w:rPr>
          <w:i/>
          <w:iCs/>
          <w:lang w:val="it-IT" w:eastAsia="hi-IN"/>
        </w:rPr>
        <w:t>thivī́m e</w:t>
      </w:r>
      <w:r w:rsidRPr="00B80C6B">
        <w:rPr>
          <w:i/>
          <w:iCs/>
          <w:lang w:val="it-IT" w:eastAsia="hi-IN"/>
        </w:rPr>
        <w:t>ṣ</w:t>
      </w:r>
      <w:r w:rsidRPr="00B80C6B">
        <w:rPr>
          <w:i/>
          <w:iCs/>
          <w:lang w:val="it-IT" w:eastAsia="hi-IN"/>
        </w:rPr>
        <w:t>á etā́m / k</w:t>
      </w:r>
      <w:r w:rsidRPr="00B80C6B">
        <w:rPr>
          <w:i/>
          <w:iCs/>
          <w:lang w:val="it-IT" w:eastAsia="hi-IN"/>
        </w:rPr>
        <w:t>ṣ</w:t>
      </w:r>
      <w:r w:rsidRPr="00B80C6B">
        <w:rPr>
          <w:i/>
          <w:iCs/>
          <w:lang w:val="it-IT" w:eastAsia="hi-IN"/>
        </w:rPr>
        <w:t>étrāya ví</w:t>
      </w:r>
      <w:r w:rsidRPr="00B80C6B">
        <w:rPr>
          <w:i/>
          <w:iCs/>
          <w:lang w:val="it-IT" w:eastAsia="hi-IN"/>
        </w:rPr>
        <w:t>ṣṇ</w:t>
      </w:r>
      <w:r w:rsidRPr="00B80C6B">
        <w:rPr>
          <w:i/>
          <w:iCs/>
          <w:lang w:val="it-IT" w:eastAsia="hi-IN"/>
        </w:rPr>
        <w:t>ur mánu</w:t>
      </w:r>
      <w:r w:rsidRPr="00B80C6B">
        <w:rPr>
          <w:i/>
          <w:iCs/>
          <w:lang w:val="it-IT" w:eastAsia="hi-IN"/>
        </w:rPr>
        <w:t>ṣ</w:t>
      </w:r>
      <w:r w:rsidRPr="00B80C6B">
        <w:rPr>
          <w:i/>
          <w:iCs/>
          <w:lang w:val="it-IT" w:eastAsia="hi-IN"/>
        </w:rPr>
        <w:t>e daśasyán / dhruvā́so asya kīráyo jánāsa</w:t>
      </w:r>
      <w:r w:rsidRPr="00B80C6B">
        <w:rPr>
          <w:i/>
          <w:iCs/>
          <w:lang w:val="it-IT" w:eastAsia="hi-IN"/>
        </w:rPr>
        <w:t>ḥ</w:t>
      </w:r>
      <w:r w:rsidRPr="00B80C6B">
        <w:rPr>
          <w:i/>
          <w:iCs/>
          <w:lang w:val="it-IT" w:eastAsia="hi-IN"/>
        </w:rPr>
        <w:t xml:space="preserve"> / uruk</w:t>
      </w:r>
      <w:r w:rsidRPr="00B80C6B">
        <w:rPr>
          <w:i/>
          <w:iCs/>
          <w:lang w:val="it-IT" w:eastAsia="hi-IN"/>
        </w:rPr>
        <w:t>ṣ</w:t>
      </w:r>
      <w:r w:rsidRPr="00B80C6B">
        <w:rPr>
          <w:i/>
          <w:iCs/>
          <w:lang w:val="it-IT" w:eastAsia="hi-IN"/>
        </w:rPr>
        <w:t>ití</w:t>
      </w:r>
      <w:r w:rsidRPr="00B80C6B">
        <w:rPr>
          <w:i/>
          <w:iCs/>
          <w:lang w:val="it-IT" w:eastAsia="hi-IN"/>
        </w:rPr>
        <w:t>ṁ</w:t>
      </w:r>
      <w:r w:rsidRPr="00B80C6B">
        <w:rPr>
          <w:i/>
          <w:iCs/>
          <w:lang w:val="it-IT" w:eastAsia="hi-IN"/>
        </w:rPr>
        <w:t xml:space="preserve"> sujánimā cakāra</w:t>
      </w:r>
      <w:r>
        <w:rPr>
          <w:rStyle w:val="FootnoteAnchor"/>
          <w:rFonts w:cs="Devanagari MT;Times New Roman"/>
          <w:i/>
          <w:iCs/>
          <w:lang w:eastAsia="hi-IN"/>
        </w:rPr>
        <w:footnoteReference w:id="362"/>
      </w:r>
      <w:r w:rsidRPr="00B80C6B">
        <w:rPr>
          <w:i/>
          <w:iCs/>
          <w:lang w:val="it-IT" w:eastAsia="hi-IN"/>
        </w:rPr>
        <w:t xml:space="preserve"> // trír devá</w:t>
      </w:r>
      <w:r w:rsidRPr="00B80C6B">
        <w:rPr>
          <w:i/>
          <w:iCs/>
          <w:lang w:val="it-IT" w:eastAsia="hi-IN"/>
        </w:rPr>
        <w:t>ḥ</w:t>
      </w:r>
      <w:r w:rsidRPr="00B80C6B">
        <w:rPr>
          <w:i/>
          <w:iCs/>
          <w:lang w:val="it-IT" w:eastAsia="hi-IN"/>
        </w:rPr>
        <w:t xml:space="preserve"> pr</w:t>
      </w:r>
      <w:r w:rsidRPr="00B80C6B">
        <w:rPr>
          <w:rFonts w:cs="Devanagari MT;Times New Roman"/>
          <w:lang w:val="it-IT" w:eastAsia="hi-IN"/>
        </w:rPr>
        <w:t>̥</w:t>
      </w:r>
      <w:r w:rsidRPr="00B80C6B">
        <w:rPr>
          <w:i/>
          <w:iCs/>
          <w:lang w:val="it-IT" w:eastAsia="hi-IN"/>
        </w:rPr>
        <w:t>thivī́m e</w:t>
      </w:r>
      <w:r w:rsidRPr="00B80C6B">
        <w:rPr>
          <w:i/>
          <w:iCs/>
          <w:lang w:val="it-IT" w:eastAsia="hi-IN"/>
        </w:rPr>
        <w:t>ṣ</w:t>
      </w:r>
      <w:r w:rsidRPr="00B80C6B">
        <w:rPr>
          <w:i/>
          <w:iCs/>
          <w:lang w:val="it-IT" w:eastAsia="hi-IN"/>
        </w:rPr>
        <w:t>á etā́m / vícakrame śatárcasa</w:t>
      </w:r>
      <w:r w:rsidRPr="00B80C6B">
        <w:rPr>
          <w:i/>
          <w:iCs/>
          <w:lang w:val="it-IT" w:eastAsia="hi-IN"/>
        </w:rPr>
        <w:t>ṃ</w:t>
      </w:r>
      <w:r w:rsidRPr="00B80C6B">
        <w:rPr>
          <w:i/>
          <w:iCs/>
          <w:lang w:val="it-IT" w:eastAsia="hi-IN"/>
        </w:rPr>
        <w:t xml:space="preserve"> mahitvā́ / prá ví</w:t>
      </w:r>
      <w:r w:rsidRPr="00B80C6B">
        <w:rPr>
          <w:i/>
          <w:iCs/>
          <w:lang w:val="it-IT" w:eastAsia="hi-IN"/>
        </w:rPr>
        <w:t>ṣṇ</w:t>
      </w:r>
      <w:r w:rsidRPr="00B80C6B">
        <w:rPr>
          <w:i/>
          <w:iCs/>
          <w:lang w:val="it-IT" w:eastAsia="hi-IN"/>
        </w:rPr>
        <w:t xml:space="preserve">ur astu tavásas távīyān / </w:t>
      </w:r>
      <w:r w:rsidRPr="00B80C6B">
        <w:rPr>
          <w:i/>
          <w:iCs/>
          <w:lang w:val="it-IT" w:eastAsia="hi-IN"/>
        </w:rPr>
        <w:lastRenderedPageBreak/>
        <w:t>tve</w:t>
      </w:r>
      <w:r w:rsidRPr="00B80C6B">
        <w:rPr>
          <w:i/>
          <w:iCs/>
          <w:lang w:val="it-IT" w:eastAsia="hi-IN"/>
        </w:rPr>
        <w:t>ṣ</w:t>
      </w:r>
      <w:r w:rsidRPr="00B80C6B">
        <w:rPr>
          <w:i/>
          <w:iCs/>
          <w:lang w:val="it-IT" w:eastAsia="hi-IN"/>
        </w:rPr>
        <w:t>á</w:t>
      </w:r>
      <w:r w:rsidRPr="00B80C6B">
        <w:rPr>
          <w:i/>
          <w:iCs/>
          <w:lang w:val="it-IT" w:eastAsia="hi-IN"/>
        </w:rPr>
        <w:t>ṃ</w:t>
      </w:r>
      <w:r w:rsidRPr="00B80C6B">
        <w:rPr>
          <w:i/>
          <w:iCs/>
          <w:lang w:val="it-IT" w:eastAsia="hi-IN"/>
        </w:rPr>
        <w:t xml:space="preserve"> hy asya sthávir</w:t>
      </w:r>
      <w:r w:rsidRPr="00B80C6B">
        <w:rPr>
          <w:i/>
          <w:iCs/>
          <w:lang w:val="it-IT" w:eastAsia="hi-IN"/>
        </w:rPr>
        <w:t>asya nā́ma</w:t>
      </w:r>
      <w:r>
        <w:rPr>
          <w:rStyle w:val="FootnoteAnchor"/>
          <w:rFonts w:cs="Devanagari MT;Times New Roman"/>
          <w:i/>
          <w:iCs/>
          <w:lang w:eastAsia="hi-IN"/>
        </w:rPr>
        <w:footnoteReference w:id="363"/>
      </w:r>
      <w:r w:rsidRPr="00B80C6B">
        <w:rPr>
          <w:i/>
          <w:iCs/>
          <w:lang w:val="it-IT" w:eastAsia="hi-IN"/>
        </w:rPr>
        <w:t xml:space="preserve"> //</w:t>
      </w:r>
    </w:p>
    <w:p w14:paraId="729BE430" w14:textId="77777777" w:rsidR="00E53EB6" w:rsidRDefault="006500F5">
      <w:pPr>
        <w:pStyle w:val="Zitat"/>
        <w:autoSpaceDE w:val="0"/>
        <w:rPr>
          <w:rFonts w:ascii="Times Ext Roman" w:hAnsi="Times Ext Roman"/>
          <w:lang w:eastAsia="hi-IN"/>
        </w:rPr>
      </w:pPr>
      <w:r>
        <w:rPr>
          <w:lang w:eastAsia="hi-IN"/>
        </w:rPr>
        <w:t>O Vi</w:t>
      </w:r>
      <w:r>
        <w:rPr>
          <w:lang w:eastAsia="hi-IN"/>
        </w:rPr>
        <w:t>ṣṇ</w:t>
      </w:r>
      <w:r>
        <w:rPr>
          <w:lang w:eastAsia="hi-IN"/>
        </w:rPr>
        <w:t xml:space="preserve">u, and Agni, </w:t>
      </w:r>
      <w:r>
        <w:rPr>
          <w:u w:val="single"/>
          <w:lang w:eastAsia="hi-IN"/>
        </w:rPr>
        <w:t xml:space="preserve">appropriate </w:t>
      </w:r>
      <w:r>
        <w:rPr>
          <w:lang w:eastAsia="hi-IN"/>
        </w:rPr>
        <w:t xml:space="preserve"> </w:t>
      </w:r>
      <w:r>
        <w:rPr>
          <w:lang w:eastAsia="hi-IN"/>
        </w:rPr>
        <w:t xml:space="preserve">for </w:t>
      </w:r>
      <w:r>
        <w:rPr>
          <w:lang w:eastAsia="hi-IN"/>
        </w:rPr>
        <w:t xml:space="preserve">the protectors of the </w:t>
      </w:r>
      <w:r>
        <w:rPr>
          <w:i/>
          <w:iCs/>
          <w:lang w:eastAsia="hi-IN"/>
        </w:rPr>
        <w:t>dik</w:t>
      </w:r>
      <w:r>
        <w:rPr>
          <w:i/>
          <w:iCs/>
          <w:lang w:eastAsia="hi-IN"/>
        </w:rPr>
        <w:t>ṣ</w:t>
      </w:r>
      <w:r>
        <w:rPr>
          <w:i/>
          <w:iCs/>
          <w:lang w:eastAsia="hi-IN"/>
        </w:rPr>
        <w:t>a</w:t>
      </w:r>
      <w:r>
        <w:rPr>
          <w:rStyle w:val="FootnoteAnchor"/>
          <w:rFonts w:cs="Devanagari MT;Times New Roman"/>
          <w:i/>
          <w:iCs/>
          <w:lang w:eastAsia="hi-IN"/>
        </w:rPr>
        <w:footnoteReference w:id="364"/>
      </w:r>
      <w:r>
        <w:rPr>
          <w:lang w:eastAsia="hi-IN"/>
        </w:rPr>
        <w:t xml:space="preserve"> the great highest heat, o you two indeed powerful</w:t>
      </w:r>
      <w:r>
        <w:rPr>
          <w:rStyle w:val="FootnoteAnchor"/>
          <w:rFonts w:cs="Devanagari MT;Times New Roman"/>
          <w:lang w:eastAsia="hi-IN"/>
        </w:rPr>
        <w:footnoteReference w:id="365"/>
      </w:r>
      <w:r>
        <w:rPr>
          <w:lang w:eastAsia="hi-IN"/>
        </w:rPr>
        <w:t>, jointed with the sacrifices to all gods, give the dik</w:t>
      </w:r>
      <w:r>
        <w:rPr>
          <w:lang w:eastAsia="hi-IN"/>
        </w:rPr>
        <w:t>ṣ</w:t>
      </w:r>
      <w:r>
        <w:rPr>
          <w:lang w:eastAsia="hi-IN"/>
        </w:rPr>
        <w:t>a to the sacrificer; Vi</w:t>
      </w:r>
      <w:r>
        <w:rPr>
          <w:lang w:eastAsia="hi-IN"/>
        </w:rPr>
        <w:t>ṣṇ</w:t>
      </w:r>
      <w:r>
        <w:rPr>
          <w:lang w:eastAsia="hi-IN"/>
        </w:rPr>
        <w:t>u is praised for the heroic deed</w:t>
      </w:r>
      <w:r>
        <w:rPr>
          <w:rStyle w:val="FootnoteAnchor"/>
          <w:rFonts w:cs="Devanagari MT;Times New Roman"/>
          <w:lang w:eastAsia="hi-IN"/>
        </w:rPr>
        <w:footnoteReference w:id="366"/>
      </w:r>
      <w:r>
        <w:rPr>
          <w:lang w:eastAsia="hi-IN"/>
        </w:rPr>
        <w:t>, he, like the terrific antelope who walks around and lives in the mountain, in whose three wide strides all the creatures are settled; the mortal, willing to win, now shares, he who offers to Vi</w:t>
      </w:r>
      <w:r>
        <w:rPr>
          <w:lang w:eastAsia="hi-IN"/>
        </w:rPr>
        <w:t>ṣṇ</w:t>
      </w:r>
      <w:r>
        <w:rPr>
          <w:lang w:eastAsia="hi-IN"/>
        </w:rPr>
        <w:t xml:space="preserve">u of wide strides, [.5] who </w:t>
      </w:r>
      <w:r>
        <w:rPr>
          <w:u w:val="single"/>
          <w:lang w:eastAsia="hi-IN"/>
        </w:rPr>
        <w:t>wants to appropriate</w:t>
      </w:r>
      <w:r>
        <w:rPr>
          <w:lang w:eastAsia="hi-IN"/>
        </w:rPr>
        <w:t xml:space="preserve"> a powerful</w:t>
      </w:r>
      <w:r>
        <w:rPr>
          <w:lang w:eastAsia="hi-IN"/>
        </w:rPr>
        <w:t>ness</w:t>
      </w:r>
      <w:r>
        <w:rPr>
          <w:rStyle w:val="FootnoteAnchor"/>
          <w:rFonts w:cs="Devanagari MT;Times New Roman"/>
          <w:lang w:eastAsia="hi-IN"/>
        </w:rPr>
        <w:footnoteReference w:id="367"/>
      </w:r>
      <w:r>
        <w:rPr>
          <w:lang w:eastAsia="hi-IN"/>
        </w:rPr>
        <w:t xml:space="preserve"> of such an extent, who will sacrifice with the whole spirit. This here strode through this earth, according it as land for Manu</w:t>
      </w:r>
      <w:r>
        <w:rPr>
          <w:rStyle w:val="FootnoteAnchor"/>
          <w:rFonts w:cs="Devanagari MT;Times New Roman"/>
          <w:lang w:eastAsia="hi-IN"/>
        </w:rPr>
        <w:footnoteReference w:id="368"/>
      </w:r>
      <w:r>
        <w:rPr>
          <w:lang w:eastAsia="hi-IN"/>
        </w:rPr>
        <w:t>, the people of this one, weak</w:t>
      </w:r>
      <w:r>
        <w:rPr>
          <w:rStyle w:val="FootnoteAnchor"/>
          <w:rFonts w:cs="Devanagari MT;Times New Roman"/>
          <w:lang w:eastAsia="hi-IN"/>
        </w:rPr>
        <w:footnoteReference w:id="369"/>
      </w:r>
      <w:r>
        <w:rPr>
          <w:lang w:eastAsia="hi-IN"/>
        </w:rPr>
        <w:t>, became steady, he, creating good things, made a spacious dwelling. Three times the god</w:t>
      </w:r>
      <w:r>
        <w:rPr>
          <w:lang w:eastAsia="hi-IN"/>
        </w:rPr>
        <w:t xml:space="preserve"> strode through this earth endowed with one hundred verses</w:t>
      </w:r>
      <w:r>
        <w:rPr>
          <w:rStyle w:val="FootnoteAnchor"/>
          <w:rFonts w:cs="Devanagari MT;Times New Roman"/>
          <w:lang w:eastAsia="hi-IN"/>
        </w:rPr>
        <w:footnoteReference w:id="370"/>
      </w:r>
      <w:r>
        <w:rPr>
          <w:lang w:eastAsia="hi-IN"/>
        </w:rPr>
        <w:t>, mighty, should Vi</w:t>
      </w:r>
      <w:r>
        <w:rPr>
          <w:lang w:eastAsia="hi-IN"/>
        </w:rPr>
        <w:t>ṣṇ</w:t>
      </w:r>
      <w:r>
        <w:rPr>
          <w:lang w:eastAsia="hi-IN"/>
        </w:rPr>
        <w:t>u be superior, stronger than the strong, for the name of him, powerful-solid, is vehement</w:t>
      </w:r>
      <w:r>
        <w:rPr>
          <w:rStyle w:val="FootnoteAnchor"/>
          <w:rFonts w:cs="Devanagari MT;Times New Roman"/>
          <w:lang w:eastAsia="hi-IN"/>
        </w:rPr>
        <w:footnoteReference w:id="371"/>
      </w:r>
      <w:r>
        <w:rPr>
          <w:lang w:eastAsia="hi-IN"/>
        </w:rPr>
        <w:t>.</w:t>
      </w:r>
    </w:p>
    <w:p w14:paraId="618DF6A7" w14:textId="77777777" w:rsidR="00E53EB6" w:rsidRPr="00B80C6B" w:rsidRDefault="006500F5">
      <w:pPr>
        <w:pStyle w:val="Zitat"/>
        <w:autoSpaceDE w:val="0"/>
        <w:rPr>
          <w:lang w:val="de-DE" w:eastAsia="hi-IN"/>
        </w:rPr>
      </w:pPr>
      <w:r w:rsidRPr="00B80C6B">
        <w:rPr>
          <w:i/>
          <w:iCs/>
          <w:lang w:val="de-DE" w:eastAsia="hi-IN"/>
        </w:rPr>
        <w:t>vánatam:</w:t>
      </w:r>
      <w:r w:rsidRPr="00B80C6B">
        <w:rPr>
          <w:lang w:val="de-DE" w:eastAsia="hi-IN"/>
        </w:rPr>
        <w:t xml:space="preserve"> impv. pres. 2</w:t>
      </w:r>
      <w:r w:rsidRPr="00B80C6B">
        <w:rPr>
          <w:vertAlign w:val="superscript"/>
          <w:lang w:val="de-DE" w:eastAsia="hi-IN"/>
        </w:rPr>
        <w:t>nd</w:t>
      </w:r>
      <w:r w:rsidRPr="00B80C6B">
        <w:rPr>
          <w:lang w:val="de-DE" w:eastAsia="hi-IN"/>
        </w:rPr>
        <w:t xml:space="preserve"> du. I-VI cl.</w:t>
      </w:r>
    </w:p>
    <w:p w14:paraId="1E3C5031" w14:textId="77777777" w:rsidR="00E53EB6" w:rsidRPr="00B80C6B" w:rsidRDefault="006500F5">
      <w:pPr>
        <w:pStyle w:val="ZitatmitEinzug"/>
        <w:rPr>
          <w:lang w:val="de-DE"/>
        </w:rPr>
      </w:pPr>
      <w:r w:rsidRPr="00B80C6B">
        <w:rPr>
          <w:rFonts w:eastAsia="Arial Unicode MS"/>
          <w:lang w:val="de-DE"/>
        </w:rPr>
        <w:t>Bha</w:t>
      </w:r>
      <w:r w:rsidRPr="00B80C6B">
        <w:rPr>
          <w:rFonts w:eastAsia="Arial Unicode MS"/>
          <w:lang w:val="de-DE"/>
        </w:rPr>
        <w:t>ṭṭ</w:t>
      </w:r>
      <w:r w:rsidRPr="00B80C6B">
        <w:rPr>
          <w:rFonts w:eastAsia="Arial Unicode MS"/>
          <w:lang w:val="de-DE"/>
        </w:rPr>
        <w:t>a Bhāskara Miśra’s gloss: “</w:t>
      </w:r>
      <w:r>
        <w:rPr>
          <w:rFonts w:eastAsia="Arial Unicode MS"/>
        </w:rPr>
        <w:t>याचतम्</w:t>
      </w:r>
      <w:r w:rsidRPr="00B80C6B">
        <w:rPr>
          <w:rFonts w:eastAsia="Arial Unicode MS" w:cs="Sabon Unicode"/>
          <w:szCs w:val="18"/>
          <w:lang w:val="de-DE"/>
        </w:rPr>
        <w:t>”</w:t>
      </w:r>
    </w:p>
    <w:p w14:paraId="0ADD3462" w14:textId="77777777" w:rsidR="00E53EB6" w:rsidRPr="00B80C6B" w:rsidRDefault="006500F5">
      <w:pPr>
        <w:pStyle w:val="ZitatmitEinzug"/>
        <w:rPr>
          <w:lang w:val="de-DE"/>
        </w:rPr>
      </w:pPr>
      <w:r w:rsidRPr="00B80C6B">
        <w:rPr>
          <w:rFonts w:eastAsia="Arial Unicode MS" w:cs="Sabon Unicode"/>
          <w:lang w:val="de-DE"/>
        </w:rPr>
        <w:t>Mitra’s edition: “</w:t>
      </w:r>
      <w:r>
        <w:rPr>
          <w:rFonts w:eastAsia="Arial Unicode MS"/>
        </w:rPr>
        <w:t>दीक्षापालेभ्योऽवनतँ</w:t>
      </w:r>
      <w:r w:rsidRPr="00B80C6B">
        <w:rPr>
          <w:rFonts w:eastAsia="Arial Unicode MS"/>
          <w:lang w:val="de-DE"/>
        </w:rPr>
        <w:t xml:space="preserve"> </w:t>
      </w:r>
      <w:r w:rsidRPr="00B80C6B">
        <w:rPr>
          <w:rFonts w:eastAsia="Arial Unicode MS"/>
          <w:lang w:val="de-DE"/>
        </w:rPr>
        <w:t>- Sāya</w:t>
      </w:r>
      <w:r w:rsidRPr="00B80C6B">
        <w:rPr>
          <w:rFonts w:eastAsia="Arial Unicode MS"/>
          <w:lang w:val="de-DE"/>
        </w:rPr>
        <w:t>ṇ</w:t>
      </w:r>
      <w:r w:rsidRPr="00B80C6B">
        <w:rPr>
          <w:rFonts w:eastAsia="Arial Unicode MS"/>
          <w:lang w:val="de-DE"/>
        </w:rPr>
        <w:t>a’s gloss: “</w:t>
      </w:r>
      <w:r>
        <w:rPr>
          <w:rFonts w:eastAsia="Arial Unicode MS"/>
        </w:rPr>
        <w:t>अवनतं</w:t>
      </w:r>
      <w:r w:rsidRPr="00B80C6B">
        <w:rPr>
          <w:rFonts w:eastAsia="Arial Unicode MS"/>
          <w:lang w:val="de-DE"/>
        </w:rPr>
        <w:t xml:space="preserve"> </w:t>
      </w:r>
      <w:r>
        <w:rPr>
          <w:rFonts w:eastAsia="Arial Unicode MS"/>
        </w:rPr>
        <w:t>याचतम्</w:t>
      </w:r>
      <w:r w:rsidRPr="00B80C6B">
        <w:rPr>
          <w:rFonts w:eastAsia="Arial Unicode MS" w:cs="Sabon Unicode"/>
          <w:szCs w:val="18"/>
          <w:lang w:val="de-DE"/>
        </w:rPr>
        <w:t>”</w:t>
      </w:r>
      <w:r w:rsidRPr="00B80C6B">
        <w:rPr>
          <w:rFonts w:eastAsia="Arial Unicode MS"/>
          <w:lang w:val="de-DE"/>
        </w:rPr>
        <w:t xml:space="preserve"> </w:t>
      </w:r>
    </w:p>
    <w:p w14:paraId="632F3924" w14:textId="77777777" w:rsidR="00E53EB6" w:rsidRPr="00B80C6B" w:rsidRDefault="006500F5">
      <w:pPr>
        <w:pStyle w:val="Zitat"/>
        <w:autoSpaceDE w:val="0"/>
        <w:rPr>
          <w:lang w:val="de-DE" w:eastAsia="hi-IN"/>
        </w:rPr>
      </w:pPr>
      <w:r>
        <w:rPr>
          <w:i/>
          <w:iCs/>
          <w:lang w:eastAsia="hi-IN"/>
        </w:rPr>
        <w:t xml:space="preserve">ā vívāsāt, </w:t>
      </w:r>
      <w:r>
        <w:rPr>
          <w:lang w:eastAsia="hi-IN"/>
        </w:rPr>
        <w:t>subj. pres. 3</w:t>
      </w:r>
      <w:r>
        <w:rPr>
          <w:vertAlign w:val="superscript"/>
          <w:lang w:eastAsia="hi-IN"/>
        </w:rPr>
        <w:t>rd</w:t>
      </w:r>
      <w:r>
        <w:rPr>
          <w:lang w:eastAsia="hi-IN"/>
        </w:rPr>
        <w:t xml:space="preserve"> sing. </w:t>
      </w:r>
      <w:r w:rsidRPr="00B80C6B">
        <w:rPr>
          <w:lang w:val="de-DE" w:eastAsia="hi-IN"/>
        </w:rPr>
        <w:t xml:space="preserve">I cl., from desiderative stem </w:t>
      </w:r>
      <w:r w:rsidRPr="00B80C6B">
        <w:rPr>
          <w:i/>
          <w:iCs/>
          <w:lang w:val="de-DE" w:eastAsia="hi-IN"/>
        </w:rPr>
        <w:t>vivās</w:t>
      </w:r>
    </w:p>
    <w:p w14:paraId="25AFF3FE" w14:textId="77777777" w:rsidR="00E53EB6" w:rsidRPr="00B80C6B" w:rsidRDefault="006500F5">
      <w:pPr>
        <w:pStyle w:val="ZitatmitEinzug"/>
        <w:autoSpaceDE w:val="0"/>
        <w:rPr>
          <w:rFonts w:eastAsia="Arial" w:cs="Times Ext Roman"/>
          <w:szCs w:val="18"/>
          <w:lang w:val="de-DE" w:eastAsia="hi-IN" w:bidi="en-GB"/>
        </w:rPr>
      </w:pPr>
      <w:r w:rsidRPr="00B80C6B">
        <w:rPr>
          <w:rStyle w:val="biblio-authorGEN"/>
          <w:rFonts w:eastAsia="Arial" w:cs="Times Ext Roman"/>
          <w:sz w:val="18"/>
          <w:szCs w:val="15"/>
          <w:lang w:val="de-DE" w:eastAsia="hi-IN" w:bidi="en-GB"/>
        </w:rPr>
        <w:t>Geldner</w:t>
      </w:r>
      <w:r w:rsidRPr="00B80C6B">
        <w:rPr>
          <w:rFonts w:eastAsia="Arial" w:cs="Times Ext Roman"/>
          <w:szCs w:val="18"/>
          <w:lang w:val="de-DE" w:eastAsia="hi-IN" w:bidi="en-GB"/>
        </w:rPr>
        <w:t>: II 269 “gewinnen möchte”</w:t>
      </w:r>
    </w:p>
    <w:p w14:paraId="6A302FE9" w14:textId="77777777" w:rsidR="00E53EB6" w:rsidRPr="00B80C6B" w:rsidRDefault="006500F5">
      <w:pPr>
        <w:pStyle w:val="HaupttextnachZitat"/>
        <w:rPr>
          <w:lang w:val="de-DE"/>
        </w:rPr>
      </w:pPr>
      <w:r w:rsidRPr="00B80C6B">
        <w:rPr>
          <w:lang w:val="de-DE"/>
        </w:rPr>
        <w:t>Vedic Web</w:t>
      </w:r>
    </w:p>
    <w:p w14:paraId="55AAF946" w14:textId="77777777" w:rsidR="00E53EB6" w:rsidRPr="00B80C6B" w:rsidRDefault="006500F5">
      <w:pPr>
        <w:pStyle w:val="HaupttextohneEinzug"/>
        <w:rPr>
          <w:lang w:val="de-DE"/>
        </w:rPr>
      </w:pPr>
      <w:r w:rsidRPr="00B80C6B">
        <w:rPr>
          <w:lang w:val="de-DE"/>
        </w:rPr>
        <w:t xml:space="preserve">Mantra: </w:t>
      </w:r>
      <w:r w:rsidRPr="00B80C6B">
        <w:rPr>
          <w:szCs w:val="21"/>
          <w:lang w:val="de-DE"/>
        </w:rPr>
        <w:t>R</w:t>
      </w:r>
      <w:r w:rsidRPr="00B80C6B">
        <w:rPr>
          <w:rFonts w:eastAsia="Arial" w:cs="Devanagari MT;Times New Roman"/>
          <w:szCs w:val="21"/>
          <w:lang w:val="de-DE" w:eastAsia="hi-IN" w:bidi="en-GB"/>
        </w:rPr>
        <w:t>̥</w:t>
      </w:r>
      <w:r w:rsidRPr="00B80C6B">
        <w:rPr>
          <w:szCs w:val="21"/>
          <w:lang w:val="de-DE"/>
        </w:rPr>
        <w:t>V</w:t>
      </w:r>
      <w:r w:rsidRPr="00B80C6B">
        <w:rPr>
          <w:lang w:val="de-DE"/>
        </w:rPr>
        <w:t xml:space="preserve"> 1.154.2 Dīrghatamas; </w:t>
      </w:r>
      <w:r w:rsidRPr="00B80C6B">
        <w:rPr>
          <w:szCs w:val="21"/>
          <w:lang w:val="de-DE"/>
        </w:rPr>
        <w:t>R</w:t>
      </w:r>
      <w:r w:rsidRPr="00B80C6B">
        <w:rPr>
          <w:rFonts w:eastAsia="Arial" w:cs="Devanagari MT;Times New Roman"/>
          <w:szCs w:val="21"/>
          <w:lang w:val="de-DE" w:eastAsia="hi-IN" w:bidi="en-GB"/>
        </w:rPr>
        <w:t>̥</w:t>
      </w:r>
      <w:r w:rsidRPr="00B80C6B">
        <w:rPr>
          <w:szCs w:val="21"/>
          <w:lang w:val="de-DE"/>
        </w:rPr>
        <w:t>V</w:t>
      </w:r>
      <w:r w:rsidRPr="00B80C6B">
        <w:rPr>
          <w:lang w:val="de-DE"/>
        </w:rPr>
        <w:t xml:space="preserve"> 7.100.1ab Vasi</w:t>
      </w:r>
      <w:r w:rsidRPr="00B80C6B">
        <w:rPr>
          <w:lang w:val="de-DE"/>
        </w:rPr>
        <w:t>ṣṭ</w:t>
      </w:r>
      <w:r w:rsidRPr="00B80C6B">
        <w:rPr>
          <w:lang w:val="de-DE"/>
        </w:rPr>
        <w:t>ha (</w:t>
      </w:r>
      <w:r w:rsidRPr="00B80C6B">
        <w:rPr>
          <w:i/>
          <w:iCs/>
          <w:lang w:val="de-DE"/>
        </w:rPr>
        <w:t>devatatā</w:t>
      </w:r>
      <w:r w:rsidRPr="00B80C6B">
        <w:rPr>
          <w:lang w:val="de-DE"/>
        </w:rPr>
        <w:t xml:space="preserve"> of both hymns is Vi</w:t>
      </w:r>
      <w:r w:rsidRPr="00B80C6B">
        <w:rPr>
          <w:lang w:val="de-DE"/>
        </w:rPr>
        <w:t>ṣṇ</w:t>
      </w:r>
      <w:r w:rsidRPr="00B80C6B">
        <w:rPr>
          <w:lang w:val="de-DE"/>
        </w:rPr>
        <w:t>u).</w:t>
      </w:r>
    </w:p>
    <w:p w14:paraId="1B29E765" w14:textId="77777777" w:rsidR="00E53EB6" w:rsidRPr="00B80C6B" w:rsidRDefault="00E53EB6">
      <w:pPr>
        <w:pStyle w:val="HaupttextohneEinzug"/>
        <w:autoSpaceDE w:val="0"/>
        <w:rPr>
          <w:rFonts w:eastAsia="Arial" w:cs="Devanagari MT;Times New Roman"/>
          <w:sz w:val="22"/>
          <w:szCs w:val="22"/>
          <w:lang w:val="de-DE" w:eastAsia="hi-IN" w:bidi="en-GB"/>
        </w:rPr>
      </w:pPr>
    </w:p>
    <w:p w14:paraId="319ED5EC" w14:textId="77777777" w:rsidR="00E53EB6" w:rsidRDefault="006500F5">
      <w:pPr>
        <w:pStyle w:val="HaupttextohneEinzug"/>
        <w:rPr>
          <w:szCs w:val="21"/>
        </w:rPr>
      </w:pPr>
      <w:r>
        <w:rPr>
          <w:szCs w:val="21"/>
        </w:rPr>
        <w:t>Rite</w:t>
      </w:r>
    </w:p>
    <w:p w14:paraId="35819C78" w14:textId="77777777" w:rsidR="00E53EB6" w:rsidRDefault="006500F5">
      <w:pPr>
        <w:pStyle w:val="HaupttextohneEinzug"/>
        <w:rPr>
          <w:szCs w:val="21"/>
        </w:rPr>
      </w:pPr>
      <w:r>
        <w:rPr>
          <w:rFonts w:eastAsia="Arial" w:cs="Times Ext Roman"/>
          <w:i/>
          <w:iCs/>
          <w:szCs w:val="21"/>
          <w:lang w:eastAsia="hi-IN" w:bidi="en-GB"/>
        </w:rPr>
        <w:t>Darśapūr</w:t>
      </w:r>
      <w:r>
        <w:rPr>
          <w:rFonts w:eastAsia="Arial" w:cs="Times Ext Roman"/>
          <w:i/>
          <w:iCs/>
          <w:szCs w:val="21"/>
          <w:lang w:eastAsia="hi-IN" w:bidi="en-GB"/>
        </w:rPr>
        <w:t>ṇ</w:t>
      </w:r>
      <w:r>
        <w:rPr>
          <w:rFonts w:eastAsia="Arial" w:cs="Times Ext Roman"/>
          <w:i/>
          <w:iCs/>
          <w:szCs w:val="21"/>
          <w:lang w:eastAsia="hi-IN" w:bidi="en-GB"/>
        </w:rPr>
        <w:t>amāse</w:t>
      </w:r>
      <w:r>
        <w:rPr>
          <w:rFonts w:eastAsia="Arial" w:cs="Times Ext Roman"/>
          <w:i/>
          <w:iCs/>
          <w:szCs w:val="21"/>
          <w:lang w:eastAsia="hi-IN" w:bidi="en-GB"/>
        </w:rPr>
        <w:t>ṣṭ</w:t>
      </w:r>
      <w:r>
        <w:rPr>
          <w:rFonts w:eastAsia="Arial" w:cs="Times Ext Roman"/>
          <w:i/>
          <w:iCs/>
          <w:szCs w:val="21"/>
          <w:lang w:eastAsia="hi-IN" w:bidi="en-GB"/>
        </w:rPr>
        <w:t>i.</w:t>
      </w:r>
      <w:r>
        <w:rPr>
          <w:rFonts w:eastAsia="Arial" w:cs="Times Ext Roman"/>
          <w:szCs w:val="21"/>
          <w:lang w:eastAsia="hi-IN" w:bidi="en-GB"/>
        </w:rPr>
        <w:t xml:space="preserve"> </w:t>
      </w:r>
      <w:r>
        <w:rPr>
          <w:rFonts w:eastAsia="Arial" w:cs="Times Ext Roman"/>
          <w:i/>
          <w:iCs/>
          <w:szCs w:val="21"/>
          <w:lang w:eastAsia="hi-IN" w:bidi="en-GB"/>
        </w:rPr>
        <w:t>Upahoma</w:t>
      </w:r>
      <w:r>
        <w:rPr>
          <w:rFonts w:eastAsia="Arial" w:cs="Times Ext Roman"/>
          <w:szCs w:val="21"/>
          <w:lang w:eastAsia="hi-IN" w:bidi="en-GB"/>
        </w:rPr>
        <w:t xml:space="preserve"> (subsidiary) </w:t>
      </w:r>
      <w:r>
        <w:rPr>
          <w:rFonts w:eastAsia="Arial" w:cs="Times Ext Roman"/>
          <w:i/>
          <w:iCs/>
          <w:szCs w:val="21"/>
          <w:lang w:eastAsia="hi-IN" w:bidi="en-GB"/>
        </w:rPr>
        <w:t>mantra</w:t>
      </w:r>
      <w:r>
        <w:rPr>
          <w:rFonts w:eastAsia="Arial" w:cs="Times Ext Roman"/>
          <w:szCs w:val="21"/>
          <w:lang w:eastAsia="hi-IN" w:bidi="en-GB"/>
        </w:rPr>
        <w:t>s addressed to Agni and Vi</w:t>
      </w:r>
      <w:r>
        <w:rPr>
          <w:rFonts w:eastAsia="Arial" w:cs="Times Ext Roman"/>
          <w:szCs w:val="21"/>
          <w:lang w:eastAsia="hi-IN" w:bidi="en-GB"/>
        </w:rPr>
        <w:t>ṣ</w:t>
      </w:r>
      <w:r>
        <w:rPr>
          <w:rFonts w:eastAsia="Arial" w:cs="Times Ext Roman"/>
          <w:szCs w:val="21"/>
          <w:lang w:eastAsia="hi-IN" w:bidi="en-GB"/>
        </w:rPr>
        <w:t>nu, an additional offering within the Mitravinde</w:t>
      </w:r>
      <w:r>
        <w:rPr>
          <w:rFonts w:eastAsia="Arial" w:cs="Times Ext Roman"/>
          <w:szCs w:val="21"/>
          <w:lang w:eastAsia="hi-IN" w:bidi="en-GB"/>
        </w:rPr>
        <w:t>ṣṭ</w:t>
      </w:r>
      <w:r>
        <w:rPr>
          <w:rFonts w:eastAsia="Arial" w:cs="Times Ext Roman"/>
          <w:szCs w:val="21"/>
          <w:lang w:eastAsia="hi-IN" w:bidi="en-GB"/>
        </w:rPr>
        <w:t xml:space="preserve">i; cf. ŚB 11.4.3 -where is explained the myth connected with this rite, </w:t>
      </w:r>
      <w:r>
        <w:rPr>
          <w:rFonts w:eastAsia="Arial" w:cs="Times Ext Roman"/>
          <w:szCs w:val="21"/>
          <w:lang w:eastAsia="hi-IN" w:bidi="en-GB"/>
        </w:rPr>
        <w:t xml:space="preserve">ŚB 11.4.3.20 “He finds Mitra, and his is the kingdom, he conquers the recurring death [...]”(trans. Eggeling) and cf. also Āp II 21.2; Keith’s Summary </w:t>
      </w:r>
      <w:r>
        <w:rPr>
          <w:rStyle w:val="biblio-authorGEN"/>
          <w:rFonts w:eastAsia="Arial" w:cs="Times Ext Roman"/>
          <w:szCs w:val="21"/>
          <w:lang w:eastAsia="hi-IN" w:bidi="en-GB"/>
        </w:rPr>
        <w:t>(Keith 1914:</w:t>
      </w:r>
      <w:r>
        <w:rPr>
          <w:rFonts w:eastAsia="Arial" w:cs="Times Ext Roman"/>
          <w:szCs w:val="21"/>
          <w:lang w:eastAsia="hi-IN" w:bidi="en-GB"/>
        </w:rPr>
        <w:t xml:space="preserve"> 76-77) and </w:t>
      </w:r>
      <w:r>
        <w:rPr>
          <w:rStyle w:val="biblio-authorGEN"/>
          <w:rFonts w:eastAsia="Arial" w:cs="Times Ext Roman"/>
          <w:szCs w:val="21"/>
          <w:lang w:eastAsia="hi-IN" w:bidi="en-GB"/>
        </w:rPr>
        <w:t>Mylius</w:t>
      </w:r>
      <w:r>
        <w:rPr>
          <w:rFonts w:eastAsia="Arial" w:cs="Times Ext Roman"/>
          <w:szCs w:val="21"/>
          <w:lang w:eastAsia="hi-IN" w:bidi="en-GB"/>
        </w:rPr>
        <w:t xml:space="preserve"> 1995: 51. The </w:t>
      </w:r>
      <w:r>
        <w:rPr>
          <w:rFonts w:eastAsia="Arial" w:cs="Times Ext Roman"/>
          <w:i/>
          <w:iCs/>
          <w:szCs w:val="21"/>
          <w:lang w:eastAsia="hi-IN" w:bidi="en-GB"/>
        </w:rPr>
        <w:t>mantra</w:t>
      </w:r>
      <w:r>
        <w:rPr>
          <w:rFonts w:eastAsia="Arial" w:cs="Times Ext Roman"/>
          <w:szCs w:val="21"/>
          <w:lang w:eastAsia="hi-IN" w:bidi="en-GB"/>
        </w:rPr>
        <w:t xml:space="preserve"> 2.4.3.5 is applicable in the </w:t>
      </w:r>
      <w:r>
        <w:rPr>
          <w:rFonts w:eastAsia="Arial" w:cs="Times Ext Roman"/>
          <w:i/>
          <w:iCs/>
          <w:szCs w:val="21"/>
          <w:lang w:eastAsia="hi-IN" w:bidi="en-GB"/>
        </w:rPr>
        <w:t>yājamānajapa</w:t>
      </w:r>
      <w:r>
        <w:rPr>
          <w:rFonts w:eastAsia="Arial" w:cs="Times Ext Roman"/>
          <w:szCs w:val="21"/>
          <w:lang w:eastAsia="hi-IN" w:bidi="en-GB"/>
        </w:rPr>
        <w:t xml:space="preserve"> (</w:t>
      </w:r>
      <w:r>
        <w:rPr>
          <w:rFonts w:eastAsia="Arial" w:cs="Times Ext Roman"/>
          <w:i/>
          <w:iCs/>
          <w:szCs w:val="21"/>
          <w:lang w:eastAsia="hi-IN" w:bidi="en-GB"/>
        </w:rPr>
        <w:t>japa</w:t>
      </w:r>
      <w:r>
        <w:rPr>
          <w:rFonts w:eastAsia="Arial" w:cs="Times Ext Roman"/>
          <w:szCs w:val="21"/>
          <w:lang w:eastAsia="hi-IN" w:bidi="en-GB"/>
        </w:rPr>
        <w:t>: “mut</w:t>
      </w:r>
      <w:r>
        <w:rPr>
          <w:rFonts w:eastAsia="Arial" w:cs="Times Ext Roman"/>
          <w:szCs w:val="21"/>
          <w:lang w:eastAsia="hi-IN" w:bidi="en-GB"/>
        </w:rPr>
        <w:t>tering, whispering”).</w:t>
      </w:r>
    </w:p>
    <w:p w14:paraId="485C8A59" w14:textId="77777777" w:rsidR="00E53EB6" w:rsidRDefault="00E53EB6">
      <w:pPr>
        <w:pStyle w:val="HaupttextohneEinzug"/>
        <w:rPr>
          <w:rFonts w:eastAsia="Arial" w:cs="Times Ext Roman"/>
          <w:szCs w:val="21"/>
          <w:lang w:eastAsia="hi-IN" w:bidi="en-GB"/>
        </w:rPr>
      </w:pPr>
    </w:p>
    <w:p w14:paraId="2134619C" w14:textId="77777777" w:rsidR="00E53EB6" w:rsidRDefault="006500F5">
      <w:pPr>
        <w:pStyle w:val="Heading5"/>
        <w:tabs>
          <w:tab w:val="left" w:pos="0"/>
        </w:tabs>
      </w:pPr>
      <w:r>
        <w:rPr>
          <w:u w:val="single"/>
        </w:rPr>
        <w:t>TB 3.5.10.5</w:t>
      </w:r>
      <w:r>
        <w:tab/>
      </w:r>
      <w:r>
        <w:tab/>
      </w:r>
      <w:r>
        <w:tab/>
      </w:r>
      <w:r>
        <w:tab/>
      </w:r>
      <w:r>
        <w:tab/>
      </w:r>
      <w:r>
        <w:tab/>
      </w:r>
      <w:r>
        <w:tab/>
      </w:r>
      <w:r>
        <w:tab/>
      </w:r>
      <w:r>
        <w:tab/>
      </w:r>
      <w:r>
        <w:tab/>
      </w:r>
    </w:p>
    <w:p w14:paraId="71915903" w14:textId="77777777" w:rsidR="00E53EB6" w:rsidRDefault="006500F5">
      <w:pPr>
        <w:pStyle w:val="Zitat"/>
        <w:rPr>
          <w:i/>
          <w:iCs/>
        </w:rPr>
      </w:pPr>
      <w:r>
        <w:t xml:space="preserve">3.5.10.5 </w:t>
      </w:r>
      <w:r>
        <w:rPr>
          <w:i/>
          <w:iCs/>
        </w:rPr>
        <w:t>úttarā</w:t>
      </w:r>
      <w:r>
        <w:rPr>
          <w:i/>
          <w:iCs/>
        </w:rPr>
        <w:t>ṃ</w:t>
      </w:r>
      <w:r>
        <w:rPr>
          <w:i/>
          <w:iCs/>
        </w:rPr>
        <w:t xml:space="preserve"> devayajyā́m ā́śāste / bhū́yo havi</w:t>
      </w:r>
      <w:r>
        <w:rPr>
          <w:i/>
          <w:iCs/>
        </w:rPr>
        <w:t>ṣ</w:t>
      </w:r>
      <w:r>
        <w:rPr>
          <w:i/>
          <w:iCs/>
        </w:rPr>
        <w:t>kára</w:t>
      </w:r>
      <w:r>
        <w:rPr>
          <w:i/>
          <w:iCs/>
        </w:rPr>
        <w:t>ṇ</w:t>
      </w:r>
      <w:r>
        <w:rPr>
          <w:i/>
          <w:iCs/>
        </w:rPr>
        <w:t>am ā́śāste / divyá</w:t>
      </w:r>
      <w:r>
        <w:rPr>
          <w:i/>
          <w:iCs/>
        </w:rPr>
        <w:t>ṃ</w:t>
      </w:r>
      <w:r>
        <w:rPr>
          <w:i/>
          <w:iCs/>
        </w:rPr>
        <w:t xml:space="preserve"> dhā́ma ā́śāste</w:t>
      </w:r>
      <w:r>
        <w:rPr>
          <w:rStyle w:val="FootnoteAnchor"/>
          <w:i/>
          <w:iCs/>
        </w:rPr>
        <w:footnoteReference w:id="372"/>
      </w:r>
      <w:r>
        <w:rPr>
          <w:i/>
          <w:iCs/>
        </w:rPr>
        <w:t xml:space="preserve"> / víśva</w:t>
      </w:r>
      <w:r>
        <w:rPr>
          <w:i/>
          <w:iCs/>
        </w:rPr>
        <w:t>ṃ</w:t>
      </w:r>
      <w:r>
        <w:rPr>
          <w:i/>
          <w:iCs/>
        </w:rPr>
        <w:t xml:space="preserve"> priyám ā́śāste / yád anéna haví</w:t>
      </w:r>
      <w:r>
        <w:rPr>
          <w:i/>
          <w:iCs/>
        </w:rPr>
        <w:t>ṣ</w:t>
      </w:r>
      <w:r>
        <w:rPr>
          <w:i/>
          <w:iCs/>
        </w:rPr>
        <w:t xml:space="preserve">ā ā́śāste / tád aśyāt tád r̥dhyāt / tád asmai devā́ rāsantām / tád agnír devó devébhyo </w:t>
      </w:r>
      <w:r>
        <w:rPr>
          <w:i/>
          <w:iCs/>
        </w:rPr>
        <w:lastRenderedPageBreak/>
        <w:t>vánate / vayám agnér mā́nu</w:t>
      </w:r>
      <w:r>
        <w:rPr>
          <w:i/>
          <w:iCs/>
        </w:rPr>
        <w:t>ṣ</w:t>
      </w:r>
      <w:r>
        <w:rPr>
          <w:i/>
          <w:iCs/>
        </w:rPr>
        <w:t>ā</w:t>
      </w:r>
      <w:r>
        <w:rPr>
          <w:i/>
          <w:iCs/>
        </w:rPr>
        <w:t>ḥ</w:t>
      </w:r>
      <w:r>
        <w:rPr>
          <w:i/>
          <w:iCs/>
        </w:rPr>
        <w:t xml:space="preserve"> / i</w:t>
      </w:r>
      <w:r>
        <w:rPr>
          <w:i/>
          <w:iCs/>
        </w:rPr>
        <w:t>ṣṭ</w:t>
      </w:r>
      <w:r>
        <w:rPr>
          <w:i/>
          <w:iCs/>
        </w:rPr>
        <w:t>á</w:t>
      </w:r>
      <w:r>
        <w:rPr>
          <w:i/>
          <w:iCs/>
        </w:rPr>
        <w:t>ṃ</w:t>
      </w:r>
      <w:r>
        <w:rPr>
          <w:i/>
          <w:iCs/>
        </w:rPr>
        <w:t xml:space="preserve"> ca vītá</w:t>
      </w:r>
      <w:r>
        <w:rPr>
          <w:i/>
          <w:iCs/>
        </w:rPr>
        <w:t>ṃ</w:t>
      </w:r>
      <w:r>
        <w:rPr>
          <w:i/>
          <w:iCs/>
        </w:rPr>
        <w:t xml:space="preserve"> ca / ubhé ca no dyā́vāpr̥thivī́ ám̐hasa</w:t>
      </w:r>
      <w:r>
        <w:rPr>
          <w:i/>
          <w:iCs/>
        </w:rPr>
        <w:t>ḥ</w:t>
      </w:r>
      <w:r>
        <w:rPr>
          <w:i/>
          <w:iCs/>
        </w:rPr>
        <w:t xml:space="preserve"> pātām</w:t>
      </w:r>
      <w:r>
        <w:rPr>
          <w:rStyle w:val="FootnoteAnchor"/>
          <w:i/>
          <w:iCs/>
        </w:rPr>
        <w:footnoteReference w:id="373"/>
      </w:r>
      <w:r>
        <w:rPr>
          <w:i/>
          <w:iCs/>
        </w:rPr>
        <w:t xml:space="preserve"> / ihá gatir vāmásya idá</w:t>
      </w:r>
      <w:r>
        <w:rPr>
          <w:i/>
          <w:iCs/>
        </w:rPr>
        <w:t>ṃ</w:t>
      </w:r>
      <w:r>
        <w:rPr>
          <w:i/>
          <w:iCs/>
        </w:rPr>
        <w:t xml:space="preserve"> ca / námo devébhya</w:t>
      </w:r>
      <w:r>
        <w:rPr>
          <w:i/>
          <w:iCs/>
        </w:rPr>
        <w:t>ḥ</w:t>
      </w:r>
      <w:r>
        <w:rPr>
          <w:rStyle w:val="FootnoteAnchor"/>
          <w:i/>
          <w:iCs/>
        </w:rPr>
        <w:footnoteReference w:id="374"/>
      </w:r>
      <w:r>
        <w:rPr>
          <w:i/>
          <w:iCs/>
        </w:rPr>
        <w:t xml:space="preserve"> //</w:t>
      </w:r>
    </w:p>
    <w:p w14:paraId="7010C2E5" w14:textId="77777777" w:rsidR="00E53EB6" w:rsidRDefault="006500F5">
      <w:pPr>
        <w:pStyle w:val="Zitat"/>
      </w:pPr>
      <w:r>
        <w:t>He</w:t>
      </w:r>
      <w:r>
        <w:rPr>
          <w:rStyle w:val="FootnoteAnchor"/>
        </w:rPr>
        <w:footnoteReference w:id="375"/>
      </w:r>
      <w:r>
        <w:t xml:space="preserve"> prays</w:t>
      </w:r>
      <w:r>
        <w:rPr>
          <w:rStyle w:val="FootnoteAnchor"/>
        </w:rPr>
        <w:footnoteReference w:id="376"/>
      </w:r>
      <w:r>
        <w:t xml:space="preserve"> for a future worship to the gods, he prays for a bigger preparation of the oblation, he prays for a heavenly abode, he prays for all that is dear; may he attain this, this he wants to accompli</w:t>
      </w:r>
      <w:r>
        <w:t>sh</w:t>
      </w:r>
      <w:r>
        <w:rPr>
          <w:rStyle w:val="FootnoteAnchor"/>
        </w:rPr>
        <w:footnoteReference w:id="377"/>
      </w:r>
      <w:r>
        <w:t xml:space="preserve">, which he prays for through this oblation, may the gods give this to him, may the god Agni </w:t>
      </w:r>
      <w:r>
        <w:rPr>
          <w:u w:val="single"/>
        </w:rPr>
        <w:t>appropriates</w:t>
      </w:r>
      <w:r>
        <w:t xml:space="preserve"> this from the gods, we, man, from Agni; that which has been offered, that which has been craved for</w:t>
      </w:r>
      <w:r>
        <w:rPr>
          <w:rStyle w:val="FootnoteAnchor"/>
        </w:rPr>
        <w:footnoteReference w:id="378"/>
      </w:r>
      <w:r>
        <w:t>, and let both the heaven and the earth protec</w:t>
      </w:r>
      <w:r>
        <w:t>t us from the enclosure; here and this</w:t>
      </w:r>
      <w:r>
        <w:rPr>
          <w:rStyle w:val="FootnoteAnchor"/>
        </w:rPr>
        <w:footnoteReference w:id="379"/>
      </w:r>
      <w:r>
        <w:t xml:space="preserve"> is the procedure for what is desirable , honour to the gods.</w:t>
      </w:r>
    </w:p>
    <w:p w14:paraId="4E11C04E" w14:textId="77777777" w:rsidR="00E53EB6" w:rsidRPr="00B80C6B" w:rsidRDefault="006500F5">
      <w:pPr>
        <w:pStyle w:val="Zitat"/>
        <w:rPr>
          <w:lang w:val="it-IT"/>
        </w:rPr>
      </w:pPr>
      <w:r>
        <w:rPr>
          <w:i/>
          <w:iCs/>
        </w:rPr>
        <w:t>vánate:</w:t>
      </w:r>
      <w:r>
        <w:t xml:space="preserve"> subj. aor. 3</w:t>
      </w:r>
      <w:r>
        <w:rPr>
          <w:vertAlign w:val="superscript"/>
        </w:rPr>
        <w:t>rd</w:t>
      </w:r>
      <w:r>
        <w:t xml:space="preserve"> sing. </w:t>
      </w:r>
      <w:r w:rsidRPr="00B80C6B">
        <w:rPr>
          <w:lang w:val="it-IT"/>
        </w:rPr>
        <w:t>Ā I-VI cl.</w:t>
      </w:r>
    </w:p>
    <w:p w14:paraId="1A0B4695" w14:textId="77777777" w:rsidR="00E53EB6" w:rsidRPr="00B80C6B" w:rsidRDefault="006500F5">
      <w:pPr>
        <w:pStyle w:val="ZitatmitEinzug"/>
        <w:rPr>
          <w:lang w:val="it-IT"/>
        </w:rPr>
      </w:pPr>
      <w:r w:rsidRPr="00B80C6B">
        <w:rPr>
          <w:rStyle w:val="biblio-authorGEN"/>
          <w:sz w:val="18"/>
          <w:szCs w:val="15"/>
          <w:lang w:val="it-IT"/>
        </w:rPr>
        <w:t>Eggeling</w:t>
      </w:r>
      <w:r w:rsidRPr="00B80C6B">
        <w:rPr>
          <w:lang w:val="it-IT"/>
        </w:rPr>
        <w:t xml:space="preserve"> 1882-1900: XII 253 “may solicit”</w:t>
      </w:r>
    </w:p>
    <w:p w14:paraId="3D9F783A" w14:textId="77777777" w:rsidR="00E53EB6" w:rsidRPr="00B80C6B" w:rsidRDefault="006500F5">
      <w:pPr>
        <w:pStyle w:val="ZitatmitEinzug"/>
        <w:rPr>
          <w:lang w:val="it-IT"/>
        </w:rPr>
      </w:pPr>
      <w:r w:rsidRPr="00B80C6B">
        <w:rPr>
          <w:rStyle w:val="biblio-authorGEN"/>
          <w:sz w:val="18"/>
          <w:szCs w:val="15"/>
          <w:lang w:val="it-IT"/>
        </w:rPr>
        <w:t xml:space="preserve">Dumont </w:t>
      </w:r>
      <w:r w:rsidRPr="00B80C6B">
        <w:rPr>
          <w:lang w:val="it-IT"/>
        </w:rPr>
        <w:t xml:space="preserve">1960: 9 </w:t>
      </w:r>
      <w:r w:rsidRPr="00B80C6B">
        <w:rPr>
          <w:lang w:val="it-IT"/>
        </w:rPr>
        <w:t>“obtains”</w:t>
      </w:r>
    </w:p>
    <w:p w14:paraId="29D42875" w14:textId="77777777" w:rsidR="00E53EB6" w:rsidRPr="00B80C6B" w:rsidRDefault="006500F5">
      <w:pPr>
        <w:pStyle w:val="ZitatmitEinzug"/>
        <w:rPr>
          <w:lang w:val="it-IT"/>
        </w:rPr>
      </w:pPr>
      <w:r w:rsidRPr="00B80C6B">
        <w:rPr>
          <w:rFonts w:eastAsia="Arial Unicode MS"/>
          <w:szCs w:val="15"/>
          <w:lang w:val="it-IT" w:bidi="hi-IN"/>
        </w:rPr>
        <w:t>Bha</w:t>
      </w:r>
      <w:r w:rsidRPr="00B80C6B">
        <w:rPr>
          <w:rFonts w:eastAsia="Arial Unicode MS"/>
          <w:szCs w:val="15"/>
          <w:lang w:val="it-IT" w:bidi="hi-IN"/>
        </w:rPr>
        <w:t>ṭṭ</w:t>
      </w:r>
      <w:r w:rsidRPr="00B80C6B">
        <w:rPr>
          <w:rFonts w:eastAsia="Arial Unicode MS"/>
          <w:szCs w:val="15"/>
          <w:lang w:val="it-IT" w:bidi="hi-IN"/>
        </w:rPr>
        <w:t>a Bhāskara Miśra’s gloss: “</w:t>
      </w:r>
      <w:r>
        <w:rPr>
          <w:rFonts w:eastAsia="Arial Unicode MS"/>
          <w:szCs w:val="15"/>
          <w:lang w:bidi="hi-IN"/>
        </w:rPr>
        <w:t>संभजते</w:t>
      </w:r>
      <w:r w:rsidRPr="00B80C6B">
        <w:rPr>
          <w:rFonts w:eastAsia="Arial Unicode MS" w:cs="Sabon Unicode"/>
          <w:szCs w:val="18"/>
          <w:lang w:val="it-IT" w:bidi="hi-IN"/>
        </w:rPr>
        <w:t>”</w:t>
      </w:r>
    </w:p>
    <w:p w14:paraId="4B20CCBF" w14:textId="77777777" w:rsidR="00E53EB6" w:rsidRDefault="006500F5">
      <w:pPr>
        <w:pStyle w:val="HaupttextnachZitat"/>
      </w:pPr>
      <w:r>
        <w:t>Vedic Web</w:t>
      </w:r>
    </w:p>
    <w:p w14:paraId="445B96B9" w14:textId="77777777" w:rsidR="00E53EB6" w:rsidRDefault="006500F5">
      <w:pPr>
        <w:pStyle w:val="HaupttextohneEinzug"/>
      </w:pPr>
      <w:r>
        <w:t>Mantra: ŚB 1.9.1.14-16; .19-20; MS 4.13.9 (</w:t>
      </w:r>
      <w:r>
        <w:rPr>
          <w:i/>
          <w:iCs/>
        </w:rPr>
        <w:t>vanutā</w:t>
      </w:r>
      <w:r>
        <w:rPr>
          <w:i/>
          <w:iCs/>
        </w:rPr>
        <w:t>ṃ</w:t>
      </w:r>
      <w:r>
        <w:t xml:space="preserve"> – impv. pres. 3</w:t>
      </w:r>
      <w:r>
        <w:rPr>
          <w:vertAlign w:val="superscript"/>
        </w:rPr>
        <w:t>rd</w:t>
      </w:r>
      <w:r>
        <w:t xml:space="preserve"> sing. Ā - </w:t>
      </w:r>
      <w:r>
        <w:rPr>
          <w:i/>
          <w:iCs/>
        </w:rPr>
        <w:t xml:space="preserve">idám </w:t>
      </w:r>
      <w:r>
        <w:t xml:space="preserve">instead of </w:t>
      </w:r>
      <w:r>
        <w:rPr>
          <w:i/>
          <w:iCs/>
        </w:rPr>
        <w:t>idám ca</w:t>
      </w:r>
      <w:r>
        <w:t>).</w:t>
      </w:r>
    </w:p>
    <w:p w14:paraId="08B22129" w14:textId="77777777" w:rsidR="00E53EB6" w:rsidRDefault="00E53EB6">
      <w:pPr>
        <w:pStyle w:val="HaupttextohneEinzug"/>
      </w:pPr>
    </w:p>
    <w:p w14:paraId="34AECF3A" w14:textId="77777777" w:rsidR="00E53EB6" w:rsidRDefault="006500F5">
      <w:pPr>
        <w:pStyle w:val="HaupttextohneEinzug"/>
      </w:pPr>
      <w:r>
        <w:t>Rite</w:t>
      </w:r>
    </w:p>
    <w:p w14:paraId="3150B9CA" w14:textId="77777777" w:rsidR="00E53EB6" w:rsidRDefault="006500F5">
      <w:pPr>
        <w:pStyle w:val="HaupttextohneEinzug"/>
      </w:pPr>
      <w:r>
        <w:t>Darśapur</w:t>
      </w:r>
      <w:r>
        <w:t>ṇ</w:t>
      </w:r>
      <w:r>
        <w:t>amāse</w:t>
      </w:r>
      <w:r>
        <w:t>ṣṭ</w:t>
      </w:r>
      <w:r>
        <w:t xml:space="preserve">i. The after offering formulas, </w:t>
      </w:r>
      <w:r>
        <w:rPr>
          <w:i/>
          <w:iCs/>
        </w:rPr>
        <w:t>anuyāja</w:t>
      </w:r>
      <w:r>
        <w:t xml:space="preserve">s of the </w:t>
      </w:r>
      <w:r>
        <w:rPr>
          <w:i/>
          <w:iCs/>
        </w:rPr>
        <w:t>hotr</w:t>
      </w:r>
      <w:r>
        <w:rPr>
          <w:rFonts w:eastAsia="Arial" w:cs="Devanagari MT;Times New Roman"/>
          <w:sz w:val="18"/>
          <w:szCs w:val="18"/>
          <w:lang w:eastAsia="hi-IN" w:bidi="en-GB"/>
        </w:rPr>
        <w:t>̥</w:t>
      </w:r>
      <w:r>
        <w:rPr>
          <w:rFonts w:eastAsia="Arial" w:cs="Devanagari MT;Times New Roman"/>
          <w:i/>
          <w:iCs/>
          <w:sz w:val="18"/>
          <w:szCs w:val="18"/>
          <w:lang w:eastAsia="hi-IN" w:bidi="en-GB"/>
        </w:rPr>
        <w:t xml:space="preserve"> </w:t>
      </w:r>
      <w:r>
        <w:t xml:space="preserve">for the Suktāvāka, evocation of blessing. </w:t>
      </w:r>
      <w:r>
        <w:rPr>
          <w:i/>
          <w:iCs/>
        </w:rPr>
        <w:t>Mantra</w:t>
      </w:r>
      <w:r>
        <w:t xml:space="preserve">s to be repeated </w:t>
      </w:r>
      <w:r>
        <w:t xml:space="preserve">by the </w:t>
      </w:r>
      <w:r>
        <w:rPr>
          <w:i/>
          <w:iCs/>
        </w:rPr>
        <w:t xml:space="preserve">hotr̥ </w:t>
      </w:r>
      <w:r>
        <w:t xml:space="preserve">when the </w:t>
      </w:r>
      <w:r>
        <w:rPr>
          <w:i/>
          <w:iCs/>
        </w:rPr>
        <w:t xml:space="preserve">adhvaryu </w:t>
      </w:r>
      <w:r>
        <w:t>is about to throw the Darbha grass into the fire.</w:t>
      </w:r>
    </w:p>
    <w:p w14:paraId="00F44C6F" w14:textId="77777777" w:rsidR="00E53EB6" w:rsidRDefault="00E53EB6">
      <w:pPr>
        <w:pStyle w:val="HaupttextohneEinzug"/>
        <w:rPr>
          <w:rFonts w:eastAsia="Arial" w:cs="Times Ext Roman"/>
          <w:szCs w:val="21"/>
          <w:shd w:val="clear" w:color="auto" w:fill="FF6633"/>
          <w:lang w:eastAsia="hi-IN" w:bidi="en-GB"/>
        </w:rPr>
      </w:pPr>
    </w:p>
    <w:p w14:paraId="3724EDD4" w14:textId="77777777" w:rsidR="00E53EB6" w:rsidRDefault="00E53EB6">
      <w:pPr>
        <w:pStyle w:val="HaupttextohneEinzug"/>
        <w:rPr>
          <w:rFonts w:eastAsia="Arial" w:cs="Times Ext Roman"/>
          <w:szCs w:val="21"/>
          <w:shd w:val="clear" w:color="auto" w:fill="FF6633"/>
          <w:lang w:eastAsia="hi-IN" w:bidi="en-GB"/>
        </w:rPr>
      </w:pPr>
    </w:p>
    <w:p w14:paraId="1EC4BE01" w14:textId="77777777" w:rsidR="00E53EB6" w:rsidRDefault="006500F5">
      <w:pPr>
        <w:pStyle w:val="Heading5"/>
        <w:tabs>
          <w:tab w:val="left" w:pos="0"/>
        </w:tabs>
      </w:pPr>
      <w:r>
        <w:t>Śatapatha occurrences (Mādhya</w:t>
      </w:r>
      <w:r>
        <w:t>ṃ</w:t>
      </w:r>
      <w:r>
        <w:t>dina recension)</w:t>
      </w:r>
    </w:p>
    <w:p w14:paraId="7CB9DF16" w14:textId="77777777" w:rsidR="00E53EB6" w:rsidRDefault="006500F5">
      <w:pPr>
        <w:pStyle w:val="Heading5"/>
        <w:tabs>
          <w:tab w:val="left" w:pos="0"/>
        </w:tabs>
      </w:pPr>
      <w:r>
        <w:rPr>
          <w:u w:val="single"/>
        </w:rPr>
        <w:t>ŚB 1.9.1.19</w:t>
      </w:r>
      <w:r>
        <w:tab/>
      </w:r>
      <w:r>
        <w:tab/>
      </w:r>
      <w:r>
        <w:tab/>
      </w:r>
      <w:r>
        <w:tab/>
      </w:r>
      <w:r>
        <w:tab/>
      </w:r>
      <w:r>
        <w:tab/>
      </w:r>
      <w:r>
        <w:tab/>
      </w:r>
      <w:r>
        <w:tab/>
      </w:r>
      <w:r>
        <w:tab/>
      </w:r>
      <w:r>
        <w:tab/>
      </w:r>
      <w:r>
        <w:rPr>
          <w:rFonts w:eastAsia="MS Mincho;ＭＳ 明朝" w:cs="Times Ext Roman"/>
          <w:color w:val="800080"/>
          <w:sz w:val="22"/>
          <w:szCs w:val="22"/>
          <w:lang w:eastAsia="hi-IN" w:bidi="en-GB"/>
        </w:rPr>
        <w:t xml:space="preserve"> </w:t>
      </w:r>
    </w:p>
    <w:p w14:paraId="01B04E13" w14:textId="77777777" w:rsidR="00E53EB6" w:rsidRDefault="006500F5">
      <w:pPr>
        <w:pStyle w:val="Zitat"/>
        <w:rPr>
          <w:rFonts w:eastAsia="MS Mincho;ＭＳ 明朝"/>
          <w:i/>
          <w:iCs/>
          <w:lang w:eastAsia="hi-IN"/>
        </w:rPr>
      </w:pPr>
      <w:r>
        <w:rPr>
          <w:rFonts w:eastAsia="MS Mincho;ＭＳ 明朝"/>
          <w:lang w:eastAsia="hi-IN"/>
        </w:rPr>
        <w:t xml:space="preserve">1.9.1.19 </w:t>
      </w:r>
      <w:r>
        <w:rPr>
          <w:rFonts w:eastAsia="MS Mincho;ＭＳ 明朝"/>
          <w:i/>
          <w:iCs/>
          <w:lang w:eastAsia="hi-IN"/>
        </w:rPr>
        <w:t>apīdvai kánīyasī</w:t>
      </w:r>
      <w:r>
        <w:rPr>
          <w:rFonts w:eastAsia="MS Mincho;ＭＳ 明朝"/>
          <w:i/>
          <w:iCs/>
          <w:lang w:eastAsia="hi-IN"/>
        </w:rPr>
        <w:t>ḥ</w:t>
      </w:r>
      <w:r>
        <w:rPr>
          <w:rFonts w:eastAsia="MS Mincho;ＭＳ 明朝"/>
          <w:i/>
          <w:iCs/>
          <w:lang w:eastAsia="hi-IN"/>
        </w:rPr>
        <w:t xml:space="preserve"> sapta / tádasmai devā́ rāsantāmíti tádasmai devā </w:t>
      </w:r>
      <w:r>
        <w:rPr>
          <w:rFonts w:eastAsia="MS Mincho;ＭＳ 明朝"/>
          <w:i/>
          <w:iCs/>
          <w:lang w:eastAsia="hi-IN"/>
        </w:rPr>
        <w:t>ánumanyantāmítyevaìtádāha tádāgnírdevó devébhyo vanutā</w:t>
      </w:r>
      <w:r>
        <w:rPr>
          <w:rFonts w:eastAsia="MS Mincho;ＭＳ 明朝"/>
          <w:i/>
          <w:iCs/>
          <w:lang w:eastAsia="hi-IN"/>
        </w:rPr>
        <w:t>ṃ</w:t>
      </w:r>
      <w:r>
        <w:rPr>
          <w:rFonts w:eastAsia="MS Mincho;ＭＳ 明朝"/>
          <w:i/>
          <w:iCs/>
          <w:lang w:eastAsia="hi-IN"/>
        </w:rPr>
        <w:t xml:space="preserve"> vayámagne</w:t>
      </w:r>
      <w:r>
        <w:rPr>
          <w:rFonts w:eastAsia="MS Mincho;ＭＳ 明朝"/>
          <w:i/>
          <w:iCs/>
          <w:lang w:eastAsia="hi-IN"/>
        </w:rPr>
        <w:t>ḥ</w:t>
      </w:r>
      <w:r>
        <w:rPr>
          <w:rFonts w:eastAsia="MS Mincho;ＭＳ 明朝"/>
          <w:i/>
          <w:iCs/>
          <w:lang w:eastAsia="hi-IN"/>
        </w:rPr>
        <w:t xml:space="preserve"> pári mā́nu</w:t>
      </w:r>
      <w:r>
        <w:rPr>
          <w:rFonts w:eastAsia="MS Mincho;ＭＳ 明朝"/>
          <w:i/>
          <w:iCs/>
          <w:lang w:eastAsia="hi-IN"/>
        </w:rPr>
        <w:t>ṣ</w:t>
      </w:r>
      <w:r>
        <w:rPr>
          <w:rFonts w:eastAsia="MS Mincho;ＭＳ 明朝"/>
          <w:i/>
          <w:iCs/>
          <w:lang w:eastAsia="hi-IN"/>
        </w:rPr>
        <w:t>ā iti tádagnírdevó devébhyo vanutā</w:t>
      </w:r>
      <w:r>
        <w:rPr>
          <w:rFonts w:eastAsia="MS Mincho;ＭＳ 明朝"/>
          <w:i/>
          <w:iCs/>
          <w:lang w:eastAsia="hi-IN"/>
        </w:rPr>
        <w:t>ṃ</w:t>
      </w:r>
      <w:r>
        <w:rPr>
          <w:rFonts w:eastAsia="MS Mincho;ＭＳ 明朝"/>
          <w:i/>
          <w:iCs/>
          <w:lang w:eastAsia="hi-IN"/>
        </w:rPr>
        <w:t xml:space="preserve"> vayámagnerádhyasmā etádvanavāmahā</w:t>
      </w:r>
      <w:r>
        <w:rPr>
          <w:rStyle w:val="FootnoteAnchor"/>
          <w:rFonts w:eastAsia="MS Mincho;ＭＳ 明朝"/>
          <w:i/>
          <w:iCs/>
          <w:lang w:eastAsia="hi-IN"/>
        </w:rPr>
        <w:footnoteReference w:id="380"/>
      </w:r>
      <w:r>
        <w:rPr>
          <w:rFonts w:eastAsia="MS Mincho;ＭＳ 明朝"/>
          <w:i/>
          <w:iCs/>
          <w:lang w:eastAsia="hi-IN"/>
        </w:rPr>
        <w:t xml:space="preserve"> ítyevaìtádāha</w:t>
      </w:r>
    </w:p>
    <w:p w14:paraId="63AFE4C6" w14:textId="77777777" w:rsidR="00E53EB6" w:rsidRDefault="006500F5">
      <w:pPr>
        <w:pStyle w:val="Zitat"/>
      </w:pPr>
      <w:r>
        <w:rPr>
          <w:rFonts w:eastAsia="MS Mincho;ＭＳ 明朝"/>
          <w:color w:val="000000"/>
          <w:lang w:eastAsia="hi-IN"/>
        </w:rPr>
        <w:t>Even less</w:t>
      </w:r>
      <w:r>
        <w:rPr>
          <w:rStyle w:val="FootnoteAnchor"/>
          <w:rFonts w:eastAsia="MS Mincho;ＭＳ 明朝"/>
          <w:i/>
          <w:iCs/>
          <w:color w:val="000000"/>
          <w:lang w:eastAsia="hi-IN"/>
        </w:rPr>
        <w:footnoteReference w:id="381"/>
      </w:r>
      <w:r>
        <w:rPr>
          <w:rFonts w:eastAsia="MS Mincho;ＭＳ 明朝"/>
          <w:color w:val="000000"/>
          <w:lang w:eastAsia="hi-IN"/>
        </w:rPr>
        <w:t xml:space="preserve"> indeed, seven</w:t>
      </w:r>
      <w:r>
        <w:rPr>
          <w:rFonts w:eastAsia="MS Mincho;ＭＳ 明朝"/>
          <w:lang w:eastAsia="hi-IN"/>
        </w:rPr>
        <w:t>. “May the gods give this to him” “May the gods grant</w:t>
      </w:r>
      <w:r>
        <w:rPr>
          <w:rFonts w:eastAsia="MS Mincho;ＭＳ 明朝"/>
          <w:color w:val="000000"/>
          <w:lang w:eastAsia="hi-IN"/>
        </w:rPr>
        <w:t xml:space="preserve"> </w:t>
      </w:r>
      <w:r>
        <w:rPr>
          <w:rFonts w:eastAsia="MS Mincho;ＭＳ 明朝"/>
          <w:lang w:eastAsia="hi-IN"/>
        </w:rPr>
        <w:t xml:space="preserve">this to him” “May Agni, as god, </w:t>
      </w:r>
      <w:r>
        <w:rPr>
          <w:rFonts w:eastAsia="MS Mincho;ＭＳ 明朝"/>
          <w:u w:val="single"/>
          <w:lang w:eastAsia="hi-IN"/>
        </w:rPr>
        <w:t>appropriate</w:t>
      </w:r>
      <w:r>
        <w:rPr>
          <w:rFonts w:eastAsia="MS Mincho;ＭＳ 明朝"/>
          <w:lang w:eastAsia="hi-IN"/>
        </w:rPr>
        <w:t xml:space="preserve"> this from the gods, we, as men, from Agni” “May Agni, as god, </w:t>
      </w:r>
      <w:r>
        <w:rPr>
          <w:rFonts w:eastAsia="MS Mincho;ＭＳ 明朝"/>
          <w:u w:val="single"/>
          <w:lang w:eastAsia="hi-IN"/>
        </w:rPr>
        <w:t>appropriate</w:t>
      </w:r>
      <w:r>
        <w:rPr>
          <w:rFonts w:eastAsia="MS Mincho;ＭＳ 明朝"/>
          <w:lang w:eastAsia="hi-IN"/>
        </w:rPr>
        <w:t xml:space="preserve"> this from the gods, we would then </w:t>
      </w:r>
      <w:r>
        <w:rPr>
          <w:rFonts w:eastAsia="MS Mincho;ＭＳ 明朝"/>
          <w:u w:val="single"/>
          <w:lang w:eastAsia="hi-IN"/>
        </w:rPr>
        <w:t>appropriate</w:t>
      </w:r>
      <w:r>
        <w:rPr>
          <w:rFonts w:eastAsia="MS Mincho;ＭＳ 明朝"/>
          <w:lang w:eastAsia="hi-IN"/>
        </w:rPr>
        <w:t xml:space="preserve"> it for this one from Agni” this he says.</w:t>
      </w:r>
    </w:p>
    <w:p w14:paraId="6DE870C6" w14:textId="77777777" w:rsidR="00E53EB6" w:rsidRDefault="006500F5">
      <w:pPr>
        <w:pStyle w:val="Zitat"/>
        <w:rPr>
          <w:i/>
          <w:iCs/>
        </w:rPr>
      </w:pPr>
      <w:r>
        <w:rPr>
          <w:rFonts w:eastAsia="MS Mincho;ＭＳ 明朝"/>
          <w:lang w:eastAsia="hi-IN"/>
        </w:rPr>
        <w:lastRenderedPageBreak/>
        <w:t xml:space="preserve">2x </w:t>
      </w:r>
      <w:r>
        <w:rPr>
          <w:rFonts w:eastAsia="MS Mincho;ＭＳ 明朝"/>
          <w:i/>
          <w:iCs/>
          <w:lang w:eastAsia="hi-IN"/>
        </w:rPr>
        <w:t>vanutā</w:t>
      </w:r>
      <w:r>
        <w:rPr>
          <w:rFonts w:eastAsia="MS Mincho;ＭＳ 明朝"/>
          <w:i/>
          <w:iCs/>
          <w:lang w:eastAsia="hi-IN"/>
        </w:rPr>
        <w:t>ṃ</w:t>
      </w:r>
      <w:r>
        <w:rPr>
          <w:rFonts w:eastAsia="MS Mincho;ＭＳ 明朝"/>
          <w:i/>
          <w:iCs/>
          <w:lang w:eastAsia="hi-IN"/>
        </w:rPr>
        <w:t>:</w:t>
      </w:r>
      <w:r>
        <w:rPr>
          <w:rFonts w:eastAsia="MS Mincho;ＭＳ 明朝"/>
          <w:lang w:eastAsia="hi-IN"/>
        </w:rPr>
        <w:t xml:space="preserve"> impv. pres. 3</w:t>
      </w:r>
      <w:r>
        <w:rPr>
          <w:rFonts w:eastAsia="MS Mincho;ＭＳ 明朝"/>
          <w:vertAlign w:val="superscript"/>
          <w:lang w:eastAsia="hi-IN"/>
        </w:rPr>
        <w:t>rd</w:t>
      </w:r>
      <w:r>
        <w:rPr>
          <w:rFonts w:eastAsia="MS Mincho;ＭＳ 明朝"/>
          <w:lang w:eastAsia="hi-IN"/>
        </w:rPr>
        <w:t xml:space="preserve"> sing. Ā VIII cl.</w:t>
      </w:r>
    </w:p>
    <w:p w14:paraId="093B3B8B" w14:textId="77777777" w:rsidR="00E53EB6" w:rsidRDefault="006500F5">
      <w:pPr>
        <w:pStyle w:val="ZitatmitEinzug"/>
        <w:rPr>
          <w:rFonts w:eastAsia="MS Mincho;ＭＳ 明朝" w:cs="Times Ext Roman"/>
          <w:lang w:eastAsia="hi-IN" w:bidi="en-GB"/>
        </w:rPr>
      </w:pPr>
      <w:r>
        <w:rPr>
          <w:rStyle w:val="biblio-authorGEN"/>
          <w:rFonts w:eastAsia="MS Mincho;ＭＳ 明朝" w:cs="Times Ext Roman"/>
          <w:sz w:val="18"/>
          <w:szCs w:val="15"/>
          <w:lang w:eastAsia="hi-IN" w:bidi="en-GB"/>
        </w:rPr>
        <w:t>Eggeling</w:t>
      </w:r>
      <w:r>
        <w:rPr>
          <w:rFonts w:eastAsia="MS Mincho;ＭＳ 明朝" w:cs="Times Ext Roman"/>
          <w:lang w:eastAsia="hi-IN" w:bidi="en-GB"/>
        </w:rPr>
        <w:t xml:space="preserve"> 1882-1900: I 253 “may solicit” </w:t>
      </w:r>
    </w:p>
    <w:p w14:paraId="4067EE48" w14:textId="77777777" w:rsidR="00E53EB6" w:rsidRDefault="006500F5">
      <w:pPr>
        <w:pStyle w:val="Zitat"/>
        <w:rPr>
          <w:rFonts w:eastAsia="MS Mincho;ＭＳ 明朝"/>
          <w:i/>
          <w:iCs/>
          <w:lang w:eastAsia="hi-IN"/>
        </w:rPr>
      </w:pPr>
      <w:r>
        <w:rPr>
          <w:rFonts w:eastAsia="MS Mincho;ＭＳ 明朝"/>
          <w:i/>
          <w:iCs/>
          <w:lang w:eastAsia="hi-IN"/>
        </w:rPr>
        <w:t xml:space="preserve">vanavāmahai: </w:t>
      </w:r>
      <w:r>
        <w:rPr>
          <w:rFonts w:eastAsia="MS Mincho;ＭＳ 明朝"/>
          <w:lang w:eastAsia="hi-IN"/>
        </w:rPr>
        <w:t>subj. pres. 1</w:t>
      </w:r>
      <w:r>
        <w:rPr>
          <w:rFonts w:eastAsia="MS Mincho;ＭＳ 明朝"/>
          <w:vertAlign w:val="superscript"/>
          <w:lang w:eastAsia="hi-IN"/>
        </w:rPr>
        <w:t>st</w:t>
      </w:r>
      <w:r>
        <w:rPr>
          <w:rFonts w:eastAsia="MS Mincho;ＭＳ 明朝"/>
          <w:lang w:eastAsia="hi-IN"/>
        </w:rPr>
        <w:t xml:space="preserve"> pl. Ā VIII cl.</w:t>
      </w:r>
    </w:p>
    <w:p w14:paraId="6E2D0F21" w14:textId="77777777" w:rsidR="00E53EB6" w:rsidRDefault="006500F5">
      <w:pPr>
        <w:pStyle w:val="ZitatmitEinzug"/>
      </w:pPr>
      <w:r>
        <w:rPr>
          <w:rStyle w:val="biblio-authorGEN"/>
          <w:sz w:val="18"/>
          <w:szCs w:val="15"/>
        </w:rPr>
        <w:t>Eggeling</w:t>
      </w:r>
      <w:r>
        <w:t xml:space="preserve"> 1882-1900: I 253 “will solicit”</w:t>
      </w:r>
    </w:p>
    <w:p w14:paraId="51AA500F" w14:textId="77777777" w:rsidR="00E53EB6" w:rsidRDefault="006500F5">
      <w:pPr>
        <w:pStyle w:val="HaupttextnachZitat"/>
      </w:pPr>
      <w:r>
        <w:t>Vedic Web</w:t>
      </w:r>
    </w:p>
    <w:p w14:paraId="0DCE3F05" w14:textId="77777777" w:rsidR="00E53EB6" w:rsidRDefault="006500F5">
      <w:pPr>
        <w:pStyle w:val="HaupttextohneEinzug"/>
      </w:pPr>
      <w:r>
        <w:t xml:space="preserve">Mantra: TB 3.5.10.5; MS 4.13.9: </w:t>
      </w:r>
      <w:r>
        <w:t>212,10-13</w:t>
      </w:r>
      <w:r>
        <w:t>; TS 2.6.9.8.</w:t>
      </w:r>
    </w:p>
    <w:p w14:paraId="3C54680D" w14:textId="77777777" w:rsidR="00E53EB6" w:rsidRDefault="00E53EB6">
      <w:pPr>
        <w:pStyle w:val="HaupttextohneEinzug"/>
      </w:pPr>
    </w:p>
    <w:p w14:paraId="0D288E45" w14:textId="77777777" w:rsidR="00E53EB6" w:rsidRDefault="006500F5">
      <w:pPr>
        <w:pStyle w:val="HaupttextohneEinzug"/>
      </w:pPr>
      <w:r>
        <w:t>Rite</w:t>
      </w:r>
    </w:p>
    <w:p w14:paraId="67E6B4D8" w14:textId="77777777" w:rsidR="00E53EB6" w:rsidRDefault="006500F5">
      <w:pPr>
        <w:pStyle w:val="HaupttextohneEinzug"/>
      </w:pPr>
      <w:r>
        <w:t>Darśapūr</w:t>
      </w:r>
      <w:r>
        <w:t>ṇ</w:t>
      </w:r>
      <w:r>
        <w:t>amāse</w:t>
      </w:r>
      <w:r>
        <w:t>ṣṭ</w:t>
      </w:r>
      <w:r>
        <w:t>ī. T</w:t>
      </w:r>
      <w:r>
        <w:t xml:space="preserve">he after offering formulas, Anuyāja, of the </w:t>
      </w:r>
      <w:r>
        <w:rPr>
          <w:i/>
          <w:iCs/>
        </w:rPr>
        <w:t>hotr</w:t>
      </w:r>
      <w:r>
        <w:rPr>
          <w:rFonts w:eastAsia="Arial" w:cs="Devanagari MT;Times New Roman"/>
          <w:sz w:val="18"/>
          <w:szCs w:val="18"/>
          <w:lang w:eastAsia="hi-IN" w:bidi="en-GB"/>
        </w:rPr>
        <w:t>̥</w:t>
      </w:r>
      <w:r>
        <w:rPr>
          <w:rFonts w:eastAsia="Arial" w:cs="Devanagari MT;Times New Roman"/>
          <w:i/>
          <w:iCs/>
          <w:sz w:val="18"/>
          <w:szCs w:val="18"/>
          <w:lang w:eastAsia="hi-IN" w:bidi="en-GB"/>
        </w:rPr>
        <w:t xml:space="preserve"> </w:t>
      </w:r>
      <w:r>
        <w:t>for the Suktāvāka, evocation of blessing.</w:t>
      </w:r>
    </w:p>
    <w:p w14:paraId="18B4C320" w14:textId="77777777" w:rsidR="00E53EB6" w:rsidRDefault="00E53EB6">
      <w:pPr>
        <w:pStyle w:val="HaupttextohneEinzug"/>
      </w:pPr>
    </w:p>
    <w:p w14:paraId="69AE5161" w14:textId="77777777" w:rsidR="00E53EB6" w:rsidRDefault="006500F5">
      <w:pPr>
        <w:pStyle w:val="Heading5"/>
        <w:tabs>
          <w:tab w:val="left" w:pos="0"/>
        </w:tabs>
      </w:pPr>
      <w:r>
        <w:rPr>
          <w:u w:val="single"/>
        </w:rPr>
        <w:t>ŚB 3.8.2.22</w:t>
      </w:r>
      <w:r>
        <w:tab/>
      </w:r>
      <w:r>
        <w:tab/>
      </w:r>
      <w:r>
        <w:tab/>
      </w:r>
      <w:r>
        <w:tab/>
      </w:r>
      <w:r>
        <w:tab/>
      </w:r>
      <w:r>
        <w:tab/>
      </w:r>
      <w:r>
        <w:tab/>
      </w:r>
      <w:r>
        <w:tab/>
      </w:r>
      <w:r>
        <w:tab/>
      </w:r>
    </w:p>
    <w:p w14:paraId="5F74DD43" w14:textId="77777777" w:rsidR="00E53EB6" w:rsidRDefault="006500F5">
      <w:pPr>
        <w:pStyle w:val="Zitat"/>
        <w:rPr>
          <w:i/>
          <w:iCs/>
        </w:rPr>
      </w:pPr>
      <w:r>
        <w:t>3.8.2.22</w:t>
      </w:r>
      <w:r>
        <w:rPr>
          <w:i/>
          <w:iCs/>
        </w:rPr>
        <w:t xml:space="preserve"> áthāha stokebhyó 'nubrūhī́ti / sá āgneyī stokebhyó 'nvāha tadyádāgneyī́ stokébhyo 'nvā́hetá</w:t>
      </w:r>
      <w:r>
        <w:rPr>
          <w:i/>
          <w:iCs/>
        </w:rPr>
        <w:t>ḥ</w:t>
      </w:r>
      <w:r>
        <w:rPr>
          <w:i/>
          <w:iCs/>
        </w:rPr>
        <w:t>pradānā vai vŕ̥</w:t>
      </w:r>
      <w:r>
        <w:rPr>
          <w:i/>
          <w:iCs/>
        </w:rPr>
        <w:t>ṣṭ</w:t>
      </w:r>
      <w:r>
        <w:rPr>
          <w:i/>
          <w:iCs/>
        </w:rPr>
        <w:t>irito hyagnirvŕ̥</w:t>
      </w:r>
      <w:r>
        <w:rPr>
          <w:i/>
          <w:iCs/>
        </w:rPr>
        <w:t>ṣṭ</w:t>
      </w:r>
      <w:r>
        <w:rPr>
          <w:i/>
          <w:iCs/>
        </w:rPr>
        <w:t>i</w:t>
      </w:r>
      <w:r>
        <w:rPr>
          <w:i/>
          <w:iCs/>
        </w:rPr>
        <w:t>ṃ</w:t>
      </w:r>
      <w:r>
        <w:rPr>
          <w:i/>
          <w:iCs/>
        </w:rPr>
        <w:t xml:space="preserve"> van</w:t>
      </w:r>
      <w:r>
        <w:rPr>
          <w:i/>
          <w:iCs/>
        </w:rPr>
        <w:t>ute sá etaí stokaíretā́ntstokā́nvanute tá eté stokā́ var</w:t>
      </w:r>
      <w:r>
        <w:rPr>
          <w:i/>
          <w:iCs/>
        </w:rPr>
        <w:t>ṣ</w:t>
      </w:r>
      <w:r>
        <w:rPr>
          <w:i/>
          <w:iCs/>
        </w:rPr>
        <w:t>anti tásmādāgneyī́ stokebhyó 'nvāha yadā́ śr̥tā bhávati</w:t>
      </w:r>
    </w:p>
    <w:p w14:paraId="21594A2E" w14:textId="77777777" w:rsidR="00E53EB6" w:rsidRDefault="006500F5">
      <w:pPr>
        <w:pStyle w:val="Zitat"/>
      </w:pPr>
      <w:r>
        <w:t>Then he says “Recite at the two drops” he recites at the two drops verses addressed to Agni</w:t>
      </w:r>
      <w:r>
        <w:rPr>
          <w:rStyle w:val="FootnoteAnchor"/>
        </w:rPr>
        <w:footnoteReference w:id="382"/>
      </w:r>
      <w:r>
        <w:t>; the reason why he recites verses for Agni at the</w:t>
      </w:r>
      <w:r>
        <w:t xml:space="preserve"> two drops is that the rain exists through the oblation from this world</w:t>
      </w:r>
      <w:r>
        <w:rPr>
          <w:rStyle w:val="FootnoteAnchor"/>
        </w:rPr>
        <w:footnoteReference w:id="383"/>
      </w:r>
      <w:r>
        <w:t xml:space="preserve">, for from here Agni </w:t>
      </w:r>
      <w:r>
        <w:rPr>
          <w:u w:val="single"/>
        </w:rPr>
        <w:t xml:space="preserve"> appropriates</w:t>
      </w:r>
      <w:r>
        <w:t xml:space="preserve"> the rain, he </w:t>
      </w:r>
      <w:r>
        <w:rPr>
          <w:u w:val="single"/>
        </w:rPr>
        <w:t>appropriates</w:t>
      </w:r>
      <w:r>
        <w:t xml:space="preserve"> those drops with these two drops, and those drops rain down. For this reason he recites at the two drops verses addressed </w:t>
      </w:r>
      <w:r>
        <w:t>to Agni, when it</w:t>
      </w:r>
      <w:r>
        <w:rPr>
          <w:rStyle w:val="FootnoteAnchor"/>
        </w:rPr>
        <w:footnoteReference w:id="384"/>
      </w:r>
      <w:r>
        <w:t xml:space="preserve"> becomes cooked / roasted.</w:t>
      </w:r>
    </w:p>
    <w:p w14:paraId="797F7D55" w14:textId="77777777" w:rsidR="00E53EB6" w:rsidRDefault="006500F5">
      <w:pPr>
        <w:pStyle w:val="Zitat"/>
      </w:pPr>
      <w:r>
        <w:t xml:space="preserve">2x </w:t>
      </w:r>
      <w:r>
        <w:rPr>
          <w:i/>
          <w:iCs/>
        </w:rPr>
        <w:t xml:space="preserve">vanute: </w:t>
      </w:r>
      <w:r>
        <w:t xml:space="preserve"> ind. pres. 3</w:t>
      </w:r>
      <w:r>
        <w:rPr>
          <w:vertAlign w:val="superscript"/>
        </w:rPr>
        <w:t>rd</w:t>
      </w:r>
      <w:r>
        <w:t xml:space="preserve"> sing. Ā VIII cl.</w:t>
      </w:r>
    </w:p>
    <w:p w14:paraId="2AF80FAE" w14:textId="77777777" w:rsidR="00E53EB6" w:rsidRDefault="006500F5">
      <w:pPr>
        <w:pStyle w:val="ZitatmitEinzug"/>
      </w:pPr>
      <w:r>
        <w:rPr>
          <w:rStyle w:val="biblio-authorGEN"/>
          <w:sz w:val="18"/>
          <w:szCs w:val="15"/>
        </w:rPr>
        <w:t>Eggeling</w:t>
      </w:r>
      <w:r>
        <w:t xml:space="preserve"> 1882-1900: II 196 “</w:t>
      </w:r>
      <w:r>
        <w:t>obtains”</w:t>
      </w:r>
    </w:p>
    <w:p w14:paraId="097E4BF9" w14:textId="77777777" w:rsidR="00E53EB6" w:rsidRDefault="006500F5">
      <w:pPr>
        <w:pStyle w:val="HaupttextnachZitat"/>
      </w:pPr>
      <w:r>
        <w:t>Vedic Web</w:t>
      </w:r>
    </w:p>
    <w:p w14:paraId="4D35470E" w14:textId="77777777" w:rsidR="00E53EB6" w:rsidRDefault="006500F5">
      <w:pPr>
        <w:pStyle w:val="HaupttextohneEinzug"/>
      </w:pPr>
      <w:r>
        <w:t xml:space="preserve"> ∅</w:t>
      </w:r>
    </w:p>
    <w:p w14:paraId="0FF3B563" w14:textId="77777777" w:rsidR="00E53EB6" w:rsidRDefault="006500F5">
      <w:pPr>
        <w:pStyle w:val="HaupttextohneEinzug"/>
      </w:pPr>
      <w:r>
        <w:rPr>
          <w:i/>
          <w:iCs/>
        </w:rPr>
        <w:t xml:space="preserve">van- </w:t>
      </w:r>
      <w:r>
        <w:t>is used in connection with the rain only once in R̥V 10.98.3 where Devāpi is asking for the rain to come (</w:t>
      </w:r>
      <w:r>
        <w:rPr>
          <w:i/>
          <w:iCs/>
        </w:rPr>
        <w:t>vr̥</w:t>
      </w:r>
      <w:r>
        <w:rPr>
          <w:i/>
          <w:iCs/>
        </w:rPr>
        <w:t>ṣṭ</w:t>
      </w:r>
      <w:r>
        <w:rPr>
          <w:i/>
          <w:iCs/>
        </w:rPr>
        <w:t>í</w:t>
      </w:r>
      <w:r>
        <w:rPr>
          <w:i/>
          <w:iCs/>
        </w:rPr>
        <w:t>ṃ</w:t>
      </w:r>
      <w:r>
        <w:rPr>
          <w:i/>
          <w:iCs/>
        </w:rPr>
        <w:t xml:space="preserve"> śá</w:t>
      </w:r>
      <w:r>
        <w:rPr>
          <w:i/>
          <w:iCs/>
        </w:rPr>
        <w:t>ṃ</w:t>
      </w:r>
      <w:r>
        <w:rPr>
          <w:i/>
          <w:iCs/>
        </w:rPr>
        <w:t>tanave vánāva</w:t>
      </w:r>
      <w:r>
        <w:t>).</w:t>
      </w:r>
    </w:p>
    <w:p w14:paraId="13824D84" w14:textId="77777777" w:rsidR="00E53EB6" w:rsidRDefault="006500F5">
      <w:pPr>
        <w:pStyle w:val="HaupttextohneEinzug"/>
      </w:pPr>
      <w:r>
        <w:t xml:space="preserve">                                                                                                                                                                                                                                     </w:t>
      </w:r>
      <w:r>
        <w:t xml:space="preserve">                                                                                                          </w:t>
      </w:r>
    </w:p>
    <w:p w14:paraId="08E47D6D" w14:textId="77777777" w:rsidR="00E53EB6" w:rsidRDefault="006500F5">
      <w:pPr>
        <w:pStyle w:val="HaupttextohneEinzug"/>
      </w:pPr>
      <w:r>
        <w:t>Rite</w:t>
      </w:r>
    </w:p>
    <w:p w14:paraId="40AC621D" w14:textId="77777777" w:rsidR="00E53EB6" w:rsidRDefault="006500F5">
      <w:pPr>
        <w:pStyle w:val="HaupttextohneEinzug"/>
        <w:rPr>
          <w:szCs w:val="21"/>
        </w:rPr>
      </w:pPr>
      <w:r>
        <w:rPr>
          <w:rFonts w:eastAsia="Arial" w:cs="Times Ext Roman"/>
          <w:color w:val="000000"/>
          <w:szCs w:val="21"/>
          <w:lang w:eastAsia="hi-IN" w:bidi="en-GB"/>
        </w:rPr>
        <w:t>Agni</w:t>
      </w:r>
      <w:r>
        <w:rPr>
          <w:rFonts w:eastAsia="Arial" w:cs="Times Ext Roman"/>
          <w:color w:val="000000"/>
          <w:szCs w:val="21"/>
          <w:lang w:eastAsia="hi-IN" w:bidi="en-GB"/>
        </w:rPr>
        <w:t>ṣṭ</w:t>
      </w:r>
      <w:r>
        <w:rPr>
          <w:rFonts w:eastAsia="Arial" w:cs="Times Ext Roman"/>
          <w:color w:val="000000"/>
          <w:szCs w:val="21"/>
          <w:lang w:eastAsia="hi-IN" w:bidi="en-GB"/>
        </w:rPr>
        <w:t xml:space="preserve">oma. Offering of the </w:t>
      </w:r>
      <w:r>
        <w:rPr>
          <w:rFonts w:eastAsia="Arial" w:cs="Times Ext Roman"/>
          <w:i/>
          <w:iCs/>
          <w:color w:val="000000"/>
          <w:szCs w:val="21"/>
          <w:lang w:eastAsia="hi-IN" w:bidi="en-GB"/>
        </w:rPr>
        <w:t>omentum</w:t>
      </w:r>
      <w:r>
        <w:rPr>
          <w:rFonts w:eastAsia="Arial" w:cs="Times Ext Roman"/>
          <w:color w:val="000000"/>
          <w:szCs w:val="21"/>
          <w:lang w:eastAsia="hi-IN" w:bidi="en-GB"/>
        </w:rPr>
        <w:t xml:space="preserve"> (</w:t>
      </w:r>
      <w:r>
        <w:rPr>
          <w:rFonts w:eastAsia="Arial" w:cs="Times Ext Roman"/>
          <w:i/>
          <w:iCs/>
          <w:color w:val="000000"/>
          <w:szCs w:val="21"/>
          <w:lang w:eastAsia="hi-IN" w:bidi="en-GB"/>
        </w:rPr>
        <w:t>vapā</w:t>
      </w:r>
      <w:r>
        <w:rPr>
          <w:rFonts w:eastAsia="Arial" w:cs="Times Ext Roman"/>
          <w:color w:val="000000"/>
          <w:szCs w:val="21"/>
          <w:lang w:eastAsia="hi-IN" w:bidi="en-GB"/>
        </w:rPr>
        <w:t>) during the Animal Sacrifice (to Agni and Soma), cf. TS  1.3 and specially 1.3.9, which is about the cu</w:t>
      </w:r>
      <w:r>
        <w:rPr>
          <w:rFonts w:eastAsia="Arial" w:cs="Times Ext Roman"/>
          <w:color w:val="000000"/>
          <w:szCs w:val="21"/>
          <w:lang w:eastAsia="hi-IN" w:bidi="en-GB"/>
        </w:rPr>
        <w:t xml:space="preserve">tting of the </w:t>
      </w:r>
      <w:r>
        <w:rPr>
          <w:rFonts w:eastAsia="Arial" w:cs="Times Ext Roman"/>
          <w:i/>
          <w:iCs/>
          <w:color w:val="000000"/>
          <w:szCs w:val="21"/>
          <w:lang w:eastAsia="hi-IN" w:bidi="en-GB"/>
        </w:rPr>
        <w:t>omentum</w:t>
      </w:r>
      <w:r>
        <w:rPr>
          <w:rFonts w:eastAsia="Arial" w:cs="Times Ext Roman"/>
          <w:color w:val="000000"/>
          <w:szCs w:val="21"/>
          <w:lang w:eastAsia="hi-IN" w:bidi="en-GB"/>
        </w:rPr>
        <w:t>; ĀŚS 3.4.1 and AB 2.12.</w:t>
      </w:r>
    </w:p>
    <w:p w14:paraId="303CD01F" w14:textId="77777777" w:rsidR="00E53EB6" w:rsidRDefault="00E53EB6">
      <w:pPr>
        <w:pStyle w:val="HaupttextohneEinzug"/>
        <w:rPr>
          <w:rFonts w:eastAsia="Arial" w:cs="Times Ext Roman"/>
          <w:szCs w:val="21"/>
          <w:shd w:val="clear" w:color="auto" w:fill="FF6633"/>
          <w:lang w:eastAsia="hi-IN" w:bidi="en-GB"/>
        </w:rPr>
      </w:pPr>
    </w:p>
    <w:p w14:paraId="28090A15" w14:textId="77777777" w:rsidR="00E53EB6" w:rsidRDefault="006500F5">
      <w:pPr>
        <w:pStyle w:val="Heading5"/>
        <w:tabs>
          <w:tab w:val="left" w:pos="0"/>
        </w:tabs>
      </w:pPr>
      <w:r>
        <w:rPr>
          <w:u w:val="single"/>
        </w:rPr>
        <w:t>ŚB 5.3.4.27</w:t>
      </w:r>
      <w:r>
        <w:tab/>
      </w:r>
      <w:r>
        <w:tab/>
      </w:r>
      <w:r>
        <w:tab/>
      </w:r>
      <w:r>
        <w:tab/>
      </w:r>
      <w:r>
        <w:tab/>
      </w:r>
      <w:r>
        <w:tab/>
      </w:r>
      <w:r>
        <w:tab/>
      </w:r>
      <w:r>
        <w:tab/>
      </w:r>
      <w:r>
        <w:tab/>
      </w:r>
      <w:r>
        <w:tab/>
      </w:r>
    </w:p>
    <w:p w14:paraId="7DD492C7" w14:textId="77777777" w:rsidR="00E53EB6" w:rsidRDefault="006500F5">
      <w:pPr>
        <w:pStyle w:val="Zitat"/>
        <w:rPr>
          <w:rFonts w:eastAsia="MS Mincho;ＭＳ 明朝"/>
          <w:i/>
          <w:iCs/>
          <w:lang w:eastAsia="hi-IN"/>
        </w:rPr>
      </w:pPr>
      <w:r>
        <w:rPr>
          <w:rFonts w:eastAsia="MS Mincho;ＭＳ 明朝"/>
          <w:i/>
          <w:iCs/>
          <w:lang w:eastAsia="hi-IN"/>
        </w:rPr>
        <w:t>tā́</w:t>
      </w:r>
      <w:r>
        <w:rPr>
          <w:rFonts w:eastAsia="MS Mincho;ＭＳ 明朝"/>
          <w:i/>
          <w:iCs/>
          <w:lang w:eastAsia="hi-IN"/>
        </w:rPr>
        <w:t>ḥ</w:t>
      </w:r>
      <w:r>
        <w:rPr>
          <w:rFonts w:eastAsia="MS Mincho;ＭＳ 明朝"/>
          <w:i/>
          <w:iCs/>
          <w:lang w:eastAsia="hi-IN"/>
        </w:rPr>
        <w:t xml:space="preserve"> sārdhamaúdumbare  pātre samávanayati / mádhumatīrmádhumatībhi</w:t>
      </w:r>
      <w:r>
        <w:rPr>
          <w:rFonts w:eastAsia="MS Mincho;ＭＳ 明朝"/>
          <w:i/>
          <w:iCs/>
          <w:lang w:eastAsia="hi-IN"/>
        </w:rPr>
        <w:t>ḥ</w:t>
      </w:r>
      <w:r>
        <w:rPr>
          <w:rFonts w:eastAsia="MS Mincho;ＭＳ 明朝"/>
          <w:i/>
          <w:iCs/>
          <w:lang w:eastAsia="hi-IN"/>
        </w:rPr>
        <w:t xml:space="preserve"> pr̥cyantāmíti rásavatī rásavatībhi</w:t>
      </w:r>
      <w:r>
        <w:rPr>
          <w:rFonts w:eastAsia="MS Mincho;ＭＳ 明朝"/>
          <w:i/>
          <w:iCs/>
          <w:lang w:eastAsia="hi-IN"/>
        </w:rPr>
        <w:t>ḥ</w:t>
      </w:r>
      <w:r>
        <w:rPr>
          <w:rFonts w:eastAsia="MS Mincho;ＭＳ 明朝"/>
          <w:i/>
          <w:iCs/>
          <w:lang w:eastAsia="hi-IN"/>
        </w:rPr>
        <w:t xml:space="preserve"> pr̥cyantāmítyevaìtádāha máhi k</w:t>
      </w:r>
      <w:r>
        <w:rPr>
          <w:rFonts w:eastAsia="MS Mincho;ＭＳ 明朝"/>
          <w:i/>
          <w:iCs/>
          <w:lang w:eastAsia="hi-IN"/>
        </w:rPr>
        <w:t>ṣ</w:t>
      </w:r>
      <w:r>
        <w:rPr>
          <w:rFonts w:eastAsia="MS Mincho;ＭＳ 明朝"/>
          <w:i/>
          <w:iCs/>
          <w:lang w:eastAsia="hi-IN"/>
        </w:rPr>
        <w:t>atrá</w:t>
      </w:r>
      <w:r>
        <w:rPr>
          <w:rFonts w:eastAsia="MS Mincho;ＭＳ 明朝"/>
          <w:i/>
          <w:iCs/>
          <w:lang w:eastAsia="hi-IN"/>
        </w:rPr>
        <w:t>ṃ</w:t>
      </w:r>
      <w:r>
        <w:rPr>
          <w:rFonts w:eastAsia="MS Mincho;ＭＳ 明朝"/>
          <w:i/>
          <w:iCs/>
          <w:lang w:eastAsia="hi-IN"/>
        </w:rPr>
        <w:t xml:space="preserve"> k</w:t>
      </w:r>
      <w:r>
        <w:rPr>
          <w:rFonts w:eastAsia="MS Mincho;ＭＳ 明朝"/>
          <w:i/>
          <w:iCs/>
          <w:lang w:eastAsia="hi-IN"/>
        </w:rPr>
        <w:t>ṣ</w:t>
      </w:r>
      <w:r>
        <w:rPr>
          <w:rFonts w:eastAsia="MS Mincho;ＭＳ 明朝"/>
          <w:i/>
          <w:iCs/>
          <w:lang w:eastAsia="hi-IN"/>
        </w:rPr>
        <w:t>atríyāya vanvānā íti tátparó 'k</w:t>
      </w:r>
      <w:r>
        <w:rPr>
          <w:rFonts w:eastAsia="MS Mincho;ＭＳ 明朝"/>
          <w:i/>
          <w:iCs/>
          <w:lang w:eastAsia="hi-IN"/>
        </w:rPr>
        <w:t>ṣ</w:t>
      </w:r>
      <w:r>
        <w:rPr>
          <w:rFonts w:eastAsia="MS Mincho;ＭＳ 明朝"/>
          <w:i/>
          <w:iCs/>
          <w:lang w:eastAsia="hi-IN"/>
        </w:rPr>
        <w:t>a</w:t>
      </w:r>
      <w:r>
        <w:rPr>
          <w:rFonts w:eastAsia="MS Mincho;ＭＳ 明朝"/>
          <w:i/>
          <w:iCs/>
          <w:lang w:eastAsia="hi-IN"/>
        </w:rPr>
        <w:t>ṃ</w:t>
      </w:r>
      <w:r>
        <w:rPr>
          <w:rFonts w:eastAsia="MS Mincho;ＭＳ 明朝"/>
          <w:i/>
          <w:iCs/>
          <w:lang w:eastAsia="hi-IN"/>
        </w:rPr>
        <w:t xml:space="preserve"> yájamānāyā</w:t>
      </w:r>
      <w:r>
        <w:rPr>
          <w:rFonts w:eastAsia="MS Mincho;ＭＳ 明朝"/>
          <w:i/>
          <w:iCs/>
          <w:lang w:eastAsia="hi-IN"/>
        </w:rPr>
        <w:t>śí</w:t>
      </w:r>
      <w:r>
        <w:rPr>
          <w:rFonts w:eastAsia="MS Mincho;ＭＳ 明朝"/>
          <w:i/>
          <w:iCs/>
          <w:lang w:eastAsia="hi-IN"/>
        </w:rPr>
        <w:t>ṣ</w:t>
      </w:r>
      <w:r>
        <w:rPr>
          <w:rFonts w:eastAsia="MS Mincho;ＭＳ 明朝"/>
          <w:i/>
          <w:iCs/>
          <w:lang w:eastAsia="hi-IN"/>
        </w:rPr>
        <w:t>amā́śāste yadā́ha máhi k</w:t>
      </w:r>
      <w:r>
        <w:rPr>
          <w:rFonts w:eastAsia="MS Mincho;ＭＳ 明朝"/>
          <w:i/>
          <w:iCs/>
          <w:lang w:eastAsia="hi-IN"/>
        </w:rPr>
        <w:t>ṣ</w:t>
      </w:r>
      <w:r>
        <w:rPr>
          <w:rFonts w:eastAsia="MS Mincho;ＭＳ 明朝"/>
          <w:i/>
          <w:iCs/>
          <w:lang w:eastAsia="hi-IN"/>
        </w:rPr>
        <w:t>atrá</w:t>
      </w:r>
      <w:r>
        <w:rPr>
          <w:rFonts w:eastAsia="MS Mincho;ＭＳ 明朝"/>
          <w:i/>
          <w:iCs/>
          <w:lang w:eastAsia="hi-IN"/>
        </w:rPr>
        <w:t>ṃ</w:t>
      </w:r>
      <w:r>
        <w:rPr>
          <w:rFonts w:eastAsia="MS Mincho;ＭＳ 明朝"/>
          <w:i/>
          <w:iCs/>
          <w:lang w:eastAsia="hi-IN"/>
        </w:rPr>
        <w:t xml:space="preserve"> k</w:t>
      </w:r>
      <w:r>
        <w:rPr>
          <w:rFonts w:eastAsia="MS Mincho;ＭＳ 明朝"/>
          <w:i/>
          <w:iCs/>
          <w:lang w:eastAsia="hi-IN"/>
        </w:rPr>
        <w:t>ṣ</w:t>
      </w:r>
      <w:r>
        <w:rPr>
          <w:rFonts w:eastAsia="MS Mincho;ＭＳ 明朝"/>
          <w:i/>
          <w:iCs/>
          <w:lang w:eastAsia="hi-IN"/>
        </w:rPr>
        <w:t>atríyāya vanvānā íti</w:t>
      </w:r>
    </w:p>
    <w:p w14:paraId="5F0FE39D" w14:textId="77777777" w:rsidR="00E53EB6" w:rsidRDefault="006500F5">
      <w:pPr>
        <w:pStyle w:val="Zitat"/>
      </w:pPr>
      <w:r>
        <w:rPr>
          <w:rFonts w:eastAsia="MS Mincho;ＭＳ 明朝"/>
          <w:lang w:eastAsia="hi-IN"/>
        </w:rPr>
        <w:t>He pours them</w:t>
      </w:r>
      <w:r>
        <w:rPr>
          <w:rStyle w:val="FootnoteAnchor"/>
          <w:rFonts w:eastAsia="MS Mincho;ＭＳ 明朝"/>
          <w:lang w:eastAsia="hi-IN"/>
        </w:rPr>
        <w:footnoteReference w:id="385"/>
      </w:r>
      <w:r>
        <w:rPr>
          <w:rFonts w:eastAsia="MS Mincho;ＭＳ 明朝"/>
          <w:lang w:eastAsia="hi-IN"/>
        </w:rPr>
        <w:t xml:space="preserve"> together in equal share into an </w:t>
      </w:r>
      <w:r>
        <w:rPr>
          <w:rFonts w:eastAsia="MS Mincho;ＭＳ 明朝"/>
          <w:i/>
          <w:iCs/>
          <w:lang w:eastAsia="hi-IN"/>
        </w:rPr>
        <w:t>udumbara</w:t>
      </w:r>
      <w:r>
        <w:rPr>
          <w:rStyle w:val="FootnoteAnchor"/>
          <w:rFonts w:eastAsia="MS Mincho;ＭＳ 明朝"/>
          <w:i/>
          <w:iCs/>
          <w:lang w:eastAsia="hi-IN"/>
        </w:rPr>
        <w:footnoteReference w:id="386"/>
      </w:r>
      <w:r>
        <w:rPr>
          <w:rFonts w:eastAsia="MS Mincho;ＭＳ 明朝"/>
          <w:lang w:eastAsia="hi-IN"/>
        </w:rPr>
        <w:t xml:space="preserve"> vessel ‘The full of sweet be mixed with the full of sweet’ ‘The full of sap</w:t>
      </w:r>
      <w:r>
        <w:rPr>
          <w:rStyle w:val="FootnoteAnchor"/>
          <w:rFonts w:eastAsia="MS Mincho;ＭＳ 明朝"/>
          <w:lang w:eastAsia="hi-IN"/>
        </w:rPr>
        <w:footnoteReference w:id="387"/>
      </w:r>
      <w:r>
        <w:rPr>
          <w:rFonts w:eastAsia="MS Mincho;ＭＳ 明朝"/>
          <w:lang w:eastAsia="hi-IN"/>
        </w:rPr>
        <w:t xml:space="preserve"> be mixed with the full of sap’ so he says ‘</w:t>
      </w:r>
      <w:r>
        <w:rPr>
          <w:rFonts w:eastAsia="MS Mincho;ＭＳ 明朝"/>
          <w:u w:val="single"/>
          <w:lang w:eastAsia="hi-IN"/>
        </w:rPr>
        <w:t>Appropriating</w:t>
      </w:r>
      <w:r>
        <w:rPr>
          <w:rFonts w:eastAsia="MS Mincho;ＭＳ 明朝"/>
          <w:lang w:eastAsia="hi-IN"/>
        </w:rPr>
        <w:t xml:space="preserve"> a great regal power for the </w:t>
      </w:r>
      <w:r>
        <w:rPr>
          <w:rFonts w:eastAsia="MS Mincho;ＭＳ 明朝"/>
          <w:lang w:eastAsia="hi-IN"/>
        </w:rPr>
        <w:lastRenderedPageBreak/>
        <w:t>king</w:t>
      </w:r>
      <w:r>
        <w:rPr>
          <w:rStyle w:val="FootnoteAnchor"/>
          <w:rFonts w:eastAsia="MS Mincho;ＭＳ 明朝"/>
          <w:lang w:eastAsia="hi-IN"/>
        </w:rPr>
        <w:footnoteReference w:id="388"/>
      </w:r>
      <w:r>
        <w:rPr>
          <w:rFonts w:eastAsia="MS Mincho;ＭＳ 明朝"/>
          <w:lang w:eastAsia="hi-IN"/>
        </w:rPr>
        <w:t>’ out of sight he prays a prayer asking</w:t>
      </w:r>
      <w:r>
        <w:rPr>
          <w:rStyle w:val="FootnoteAnchor"/>
          <w:rFonts w:eastAsia="MS Mincho;ＭＳ 明朝"/>
          <w:lang w:eastAsia="hi-IN"/>
        </w:rPr>
        <w:footnoteReference w:id="389"/>
      </w:r>
      <w:r>
        <w:rPr>
          <w:rFonts w:eastAsia="MS Mincho;ＭＳ 明朝"/>
          <w:lang w:eastAsia="hi-IN"/>
        </w:rPr>
        <w:t xml:space="preserve"> this for the sacrificer when he says ‘</w:t>
      </w:r>
      <w:r>
        <w:rPr>
          <w:rFonts w:eastAsia="MS Mincho;ＭＳ 明朝"/>
          <w:u w:val="single"/>
          <w:lang w:eastAsia="hi-IN"/>
        </w:rPr>
        <w:t>Approp</w:t>
      </w:r>
      <w:r>
        <w:rPr>
          <w:rFonts w:eastAsia="MS Mincho;ＭＳ 明朝"/>
          <w:u w:val="single"/>
          <w:lang w:eastAsia="hi-IN"/>
        </w:rPr>
        <w:t>riating</w:t>
      </w:r>
      <w:r>
        <w:rPr>
          <w:rFonts w:eastAsia="MS Mincho;ＭＳ 明朝"/>
          <w:lang w:eastAsia="hi-IN"/>
        </w:rPr>
        <w:t xml:space="preserve"> a great regal power for the king’.</w:t>
      </w:r>
    </w:p>
    <w:p w14:paraId="7F9BD9AB" w14:textId="77777777" w:rsidR="00E53EB6" w:rsidRDefault="006500F5">
      <w:pPr>
        <w:pStyle w:val="Zitat"/>
        <w:rPr>
          <w:i/>
          <w:iCs/>
        </w:rPr>
      </w:pPr>
      <w:r>
        <w:rPr>
          <w:rFonts w:eastAsia="MS Mincho;ＭＳ 明朝"/>
          <w:i/>
          <w:iCs/>
          <w:lang w:eastAsia="hi-IN"/>
        </w:rPr>
        <w:t>vanvānā</w:t>
      </w:r>
      <w:r>
        <w:rPr>
          <w:rFonts w:eastAsia="MS Mincho;ＭＳ 明朝"/>
          <w:i/>
          <w:iCs/>
          <w:lang w:eastAsia="hi-IN"/>
        </w:rPr>
        <w:t>ḥ</w:t>
      </w:r>
      <w:r>
        <w:rPr>
          <w:rFonts w:eastAsia="MS Mincho;ＭＳ 明朝"/>
          <w:i/>
          <w:iCs/>
          <w:lang w:eastAsia="hi-IN"/>
        </w:rPr>
        <w:t>:</w:t>
      </w:r>
      <w:r>
        <w:rPr>
          <w:rFonts w:eastAsia="MS Mincho;ＭＳ 明朝"/>
          <w:lang w:eastAsia="hi-IN"/>
        </w:rPr>
        <w:t xml:space="preserve"> part. pres. nom. f. pl. Ā VIII cl.</w:t>
      </w:r>
    </w:p>
    <w:p w14:paraId="18FA7AF2" w14:textId="77777777" w:rsidR="00E53EB6" w:rsidRDefault="006500F5">
      <w:pPr>
        <w:pStyle w:val="ZitatmitEinzug"/>
        <w:rPr>
          <w:rFonts w:eastAsia="MS Mincho;ＭＳ 明朝" w:cs="Times Ext Roman"/>
          <w:lang w:eastAsia="hi-IN" w:bidi="en-GB"/>
        </w:rPr>
      </w:pPr>
      <w:r>
        <w:rPr>
          <w:rStyle w:val="biblio-authorGEN"/>
          <w:rFonts w:eastAsia="MS Mincho;ＭＳ 明朝" w:cs="Times Ext Roman"/>
          <w:sz w:val="18"/>
          <w:szCs w:val="15"/>
          <w:lang w:eastAsia="hi-IN" w:bidi="en-GB"/>
        </w:rPr>
        <w:t>Eggeling</w:t>
      </w:r>
      <w:r>
        <w:rPr>
          <w:rFonts w:eastAsia="MS Mincho;ＭＳ 明朝" w:cs="Times Ext Roman"/>
          <w:lang w:eastAsia="hi-IN" w:bidi="en-GB"/>
        </w:rPr>
        <w:t xml:space="preserve"> 1882-1900: III 80 “winning”</w:t>
      </w:r>
    </w:p>
    <w:p w14:paraId="5C4B5946" w14:textId="77777777" w:rsidR="00E53EB6" w:rsidRDefault="006500F5">
      <w:pPr>
        <w:pStyle w:val="HaupttextnachZitat"/>
        <w:numPr>
          <w:ilvl w:val="2"/>
          <w:numId w:val="2"/>
        </w:numPr>
        <w:tabs>
          <w:tab w:val="left" w:pos="0"/>
        </w:tabs>
      </w:pPr>
      <w:r>
        <w:t>Vedic Web</w:t>
      </w:r>
    </w:p>
    <w:p w14:paraId="51ACB795" w14:textId="77777777" w:rsidR="00E53EB6" w:rsidRDefault="006500F5">
      <w:pPr>
        <w:pStyle w:val="HaupttextohneEinzug"/>
      </w:pPr>
      <w:r>
        <w:t>Mantra: TS 1.8.12.1a-b;</w:t>
      </w:r>
      <w:r>
        <w:rPr>
          <w:szCs w:val="21"/>
        </w:rPr>
        <w:t xml:space="preserve"> </w:t>
      </w:r>
      <w:r>
        <w:rPr>
          <w:rFonts w:eastAsia="MS Mincho;ＭＳ 明朝" w:cs="Times Ext Roman"/>
          <w:szCs w:val="21"/>
          <w:lang w:eastAsia="hi-IN" w:bidi="en-GB"/>
        </w:rPr>
        <w:t xml:space="preserve">MS 2.6.8: 68,6-8; </w:t>
      </w:r>
      <w:r>
        <w:rPr>
          <w:szCs w:val="21"/>
        </w:rPr>
        <w:t>MS 4.4.</w:t>
      </w:r>
      <w:r>
        <w:t xml:space="preserve">2: </w:t>
      </w:r>
      <w:r>
        <w:t>51,8-10</w:t>
      </w:r>
      <w:r>
        <w:t>; KS 15.6: 213,9-10; VS 10.4.</w:t>
      </w:r>
      <w:r>
        <w:t xml:space="preserve"> </w:t>
      </w:r>
    </w:p>
    <w:p w14:paraId="6A0BB135" w14:textId="77777777" w:rsidR="00E53EB6" w:rsidRDefault="006500F5">
      <w:pPr>
        <w:pStyle w:val="HaupttextohneEinzug"/>
      </w:pPr>
      <w:r>
        <w:t xml:space="preserve">Mantra and Prose: ŚB </w:t>
      </w:r>
      <w:r>
        <w:t>5.3.4.27.</w:t>
      </w:r>
    </w:p>
    <w:p w14:paraId="5D9A358A" w14:textId="77777777" w:rsidR="00E53EB6" w:rsidRDefault="006500F5">
      <w:pPr>
        <w:pStyle w:val="HaupttextohneEinzug"/>
      </w:pPr>
      <w:r>
        <w:t>Prose: ŚB 5.16-37; 4.1.15.</w:t>
      </w:r>
    </w:p>
    <w:p w14:paraId="0004CF92" w14:textId="77777777" w:rsidR="00E53EB6" w:rsidRDefault="00E53EB6">
      <w:pPr>
        <w:pStyle w:val="HaupttextohneEinzug"/>
      </w:pPr>
    </w:p>
    <w:p w14:paraId="539BBEBF" w14:textId="77777777" w:rsidR="00E53EB6" w:rsidRDefault="006500F5">
      <w:pPr>
        <w:pStyle w:val="HaupttextohneEinzug"/>
      </w:pPr>
      <w:r>
        <w:t>Rite</w:t>
      </w:r>
    </w:p>
    <w:p w14:paraId="18F193C3" w14:textId="77777777" w:rsidR="00E53EB6" w:rsidRDefault="006500F5">
      <w:pPr>
        <w:pStyle w:val="HaupttextohneEinzug"/>
      </w:pPr>
      <w:r>
        <w:t>Rājasūya, the Abhi</w:t>
      </w:r>
      <w:r>
        <w:t>ṣ</w:t>
      </w:r>
      <w:r>
        <w:t>eka –the unction of the king during his consecration. This section deals with the preparation of the waters, t</w:t>
      </w:r>
      <w:r>
        <w:rPr>
          <w:rFonts w:eastAsia="MS Mincho;ＭＳ 明朝" w:cs="Times Ext Roman"/>
          <w:color w:val="000000"/>
          <w:szCs w:val="21"/>
          <w:lang w:eastAsia="hi-IN" w:bidi="en-GB"/>
        </w:rPr>
        <w:t>he collection and mixing of the waters.</w:t>
      </w:r>
    </w:p>
    <w:p w14:paraId="06BE502C" w14:textId="77777777" w:rsidR="00E53EB6" w:rsidRDefault="006500F5">
      <w:pPr>
        <w:pStyle w:val="HaupttextohneEinzug"/>
      </w:pPr>
      <w:r>
        <w:t xml:space="preserve">Waters from diverse sources are poured together into a single vessel. The </w:t>
      </w:r>
      <w:r>
        <w:rPr>
          <w:i/>
          <w:iCs/>
        </w:rPr>
        <w:t>mantra</w:t>
      </w:r>
      <w:r>
        <w:t xml:space="preserve"> credits the waters with winning for the anointed on the power to rule –</w:t>
      </w:r>
      <w:r>
        <w:rPr>
          <w:i/>
          <w:iCs/>
        </w:rPr>
        <w:t>varcás-</w:t>
      </w:r>
      <w:r>
        <w:t xml:space="preserve"> “splendour”, cf. </w:t>
      </w:r>
      <w:r>
        <w:rPr>
          <w:rStyle w:val="biblio-authorGEN"/>
        </w:rPr>
        <w:t>Proferes</w:t>
      </w:r>
      <w:r>
        <w:t xml:space="preserve"> 2007 p. 80ff; </w:t>
      </w:r>
      <w:r>
        <w:rPr>
          <w:rStyle w:val="biblio-authorGEN"/>
        </w:rPr>
        <w:t>Heesterman</w:t>
      </w:r>
      <w:r>
        <w:t xml:space="preserve"> 1975 p.74-70 and 114-22; see also </w:t>
      </w:r>
      <w:r>
        <w:rPr>
          <w:rStyle w:val="biblio-authorGEN"/>
        </w:rPr>
        <w:t>Tsuchiyama</w:t>
      </w:r>
      <w:r>
        <w:t xml:space="preserve"> </w:t>
      </w:r>
      <w:r>
        <w:t>2005 for the Abhi</w:t>
      </w:r>
      <w:r>
        <w:t>ṣ</w:t>
      </w:r>
      <w:r>
        <w:t xml:space="preserve">eka in general and his post-Vedic development. </w:t>
      </w:r>
    </w:p>
    <w:p w14:paraId="4E166187" w14:textId="77777777" w:rsidR="00E53EB6" w:rsidRDefault="00E53EB6">
      <w:pPr>
        <w:pStyle w:val="HaupttextohneEinzug"/>
        <w:rPr>
          <w:sz w:val="24"/>
          <w:szCs w:val="24"/>
          <w:lang w:bidi="it-IT"/>
        </w:rPr>
      </w:pPr>
    </w:p>
    <w:p w14:paraId="4BA86510" w14:textId="77777777" w:rsidR="00E53EB6" w:rsidRDefault="00E53EB6">
      <w:pPr>
        <w:pStyle w:val="HaupttextohneEinzug"/>
      </w:pPr>
    </w:p>
    <w:p w14:paraId="1639FBAB" w14:textId="77777777" w:rsidR="00E53EB6" w:rsidRDefault="00E53EB6">
      <w:pPr>
        <w:pStyle w:val="Hauptext"/>
        <w:sectPr w:rsidR="00E53EB6">
          <w:headerReference w:type="even" r:id="rId27"/>
          <w:headerReference w:type="default" r:id="rId28"/>
          <w:footerReference w:type="even" r:id="rId29"/>
          <w:footerReference w:type="default" r:id="rId30"/>
          <w:pgSz w:w="11906" w:h="16838"/>
          <w:pgMar w:top="1917" w:right="1418" w:bottom="2235" w:left="1700" w:header="1418" w:footer="1700" w:gutter="0"/>
          <w:cols w:space="720"/>
          <w:formProt w:val="0"/>
          <w:docGrid w:linePitch="600" w:charSpace="38911"/>
        </w:sectPr>
      </w:pPr>
    </w:p>
    <w:p w14:paraId="49789554" w14:textId="77777777" w:rsidR="00E53EB6" w:rsidRDefault="006500F5">
      <w:pPr>
        <w:pStyle w:val="Heading2"/>
        <w:tabs>
          <w:tab w:val="left" w:pos="0"/>
        </w:tabs>
      </w:pPr>
      <w:r>
        <w:lastRenderedPageBreak/>
        <w:t>III.3 Analysis of the Occurrences</w:t>
      </w:r>
    </w:p>
    <w:p w14:paraId="320598EC" w14:textId="77777777" w:rsidR="00E53EB6" w:rsidRDefault="006500F5">
      <w:pPr>
        <w:pStyle w:val="Heading3"/>
        <w:tabs>
          <w:tab w:val="left" w:pos="0"/>
        </w:tabs>
      </w:pPr>
      <w:r>
        <w:t xml:space="preserve">III.3.1 The </w:t>
      </w:r>
      <w:r>
        <w:t>Development of the Nuclear and Ritual Meanings</w:t>
      </w:r>
    </w:p>
    <w:p w14:paraId="1BC874AC" w14:textId="77777777" w:rsidR="00E53EB6" w:rsidRDefault="006500F5">
      <w:pPr>
        <w:pStyle w:val="Hauptext"/>
      </w:pPr>
      <w:r>
        <w:rPr>
          <w:rFonts w:eastAsia="Arial Unicode MS"/>
          <w:lang w:eastAsia="it-IT" w:bidi="en-GB"/>
        </w:rPr>
        <w:t xml:space="preserve">A first clue of the history of </w:t>
      </w:r>
      <w:r>
        <w:rPr>
          <w:rFonts w:eastAsia="Arial Unicode MS"/>
          <w:i/>
          <w:iCs/>
          <w:lang w:eastAsia="it-IT" w:bidi="en-GB"/>
        </w:rPr>
        <w:t>van- / van</w:t>
      </w:r>
      <w:r>
        <w:rPr>
          <w:rFonts w:eastAsia="Arial Unicode MS"/>
          <w:i/>
          <w:iCs/>
          <w:position w:val="5"/>
          <w:sz w:val="12"/>
          <w:lang w:eastAsia="it-IT" w:bidi="en-GB"/>
        </w:rPr>
        <w:t>i</w:t>
      </w:r>
      <w:r>
        <w:rPr>
          <w:rFonts w:eastAsia="Arial Unicode MS"/>
          <w:i/>
          <w:iCs/>
          <w:lang w:eastAsia="it-IT" w:bidi="en-GB"/>
        </w:rPr>
        <w:t>-</w:t>
      </w:r>
      <w:r>
        <w:rPr>
          <w:rFonts w:eastAsia="Arial Unicode MS"/>
          <w:lang w:eastAsia="it-IT" w:bidi="en-GB"/>
        </w:rPr>
        <w:t xml:space="preserve"> appears at a first glance already after gathering the occurrences in the Sa</w:t>
      </w:r>
      <w:r>
        <w:rPr>
          <w:rFonts w:eastAsia="Arial Unicode MS"/>
          <w:lang w:eastAsia="it-IT" w:bidi="en-GB"/>
        </w:rPr>
        <w:t>ṃ</w:t>
      </w:r>
      <w:r>
        <w:rPr>
          <w:rFonts w:eastAsia="Arial Unicode MS"/>
          <w:lang w:eastAsia="it-IT" w:bidi="en-GB"/>
        </w:rPr>
        <w:t>hitās and Brāhma</w:t>
      </w:r>
      <w:r>
        <w:rPr>
          <w:rFonts w:eastAsia="Arial Unicode MS"/>
          <w:lang w:eastAsia="it-IT" w:bidi="en-GB"/>
        </w:rPr>
        <w:t>ṇ</w:t>
      </w:r>
      <w:r>
        <w:rPr>
          <w:rFonts w:eastAsia="Arial Unicode MS"/>
          <w:lang w:eastAsia="it-IT" w:bidi="en-GB"/>
        </w:rPr>
        <w:t>as. Here is a short list, the occurrences of derivatives are given in brackets:</w:t>
      </w:r>
    </w:p>
    <w:p w14:paraId="7430A347" w14:textId="77777777" w:rsidR="00E53EB6" w:rsidRDefault="00E53EB6">
      <w:pPr>
        <w:pStyle w:val="HaupttextohneEinzug"/>
        <w:rPr>
          <w:rFonts w:eastAsia="Arial Unicode MS"/>
          <w:lang w:eastAsia="it-IT" w:bidi="en-GB"/>
        </w:rPr>
      </w:pPr>
    </w:p>
    <w:p w14:paraId="08F4CEDC" w14:textId="77777777" w:rsidR="00E53EB6" w:rsidRDefault="006500F5">
      <w:pPr>
        <w:pStyle w:val="HaupttextohneEinzug"/>
      </w:pPr>
      <w:r>
        <w:t>R̥gveda schools</w:t>
      </w:r>
      <w:r>
        <w:rPr>
          <w:iCs/>
        </w:rPr>
        <w:t>:</w:t>
      </w:r>
      <w:r>
        <w:rPr>
          <w:i/>
          <w:iCs/>
        </w:rPr>
        <w:t xml:space="preserve"> Aitareya Brāhma</w:t>
      </w:r>
      <w:r>
        <w:rPr>
          <w:i/>
          <w:iCs/>
        </w:rPr>
        <w:t>ṇ</w:t>
      </w:r>
      <w:r>
        <w:rPr>
          <w:i/>
          <w:iCs/>
        </w:rPr>
        <w:t>a:</w:t>
      </w:r>
      <w:r>
        <w:t xml:space="preserve"> 2 (1); </w:t>
      </w:r>
      <w:r>
        <w:rPr>
          <w:i/>
          <w:iCs/>
        </w:rPr>
        <w:t>Kausitaki Brāhma</w:t>
      </w:r>
      <w:r>
        <w:rPr>
          <w:i/>
          <w:iCs/>
        </w:rPr>
        <w:t>ṇ</w:t>
      </w:r>
      <w:r>
        <w:rPr>
          <w:i/>
          <w:iCs/>
        </w:rPr>
        <w:t>a</w:t>
      </w:r>
      <w:r>
        <w:t>: (1).</w:t>
      </w:r>
    </w:p>
    <w:p w14:paraId="32B08F56" w14:textId="77777777" w:rsidR="00E53EB6" w:rsidRDefault="006500F5">
      <w:pPr>
        <w:pStyle w:val="HaupttextohneEinzug"/>
      </w:pPr>
      <w:r>
        <w:t>Śuklayajurved</w:t>
      </w:r>
      <w:r>
        <w:t>ic school:</w:t>
      </w:r>
      <w:r>
        <w:rPr>
          <w:i/>
          <w:iCs/>
        </w:rPr>
        <w:t xml:space="preserve"> Vājasaneya Sa</w:t>
      </w:r>
      <w:r>
        <w:rPr>
          <w:i/>
          <w:iCs/>
        </w:rPr>
        <w:t>ṃ</w:t>
      </w:r>
      <w:r>
        <w:rPr>
          <w:i/>
          <w:iCs/>
        </w:rPr>
        <w:t>hitā–mādhya</w:t>
      </w:r>
      <w:r>
        <w:rPr>
          <w:i/>
          <w:iCs/>
        </w:rPr>
        <w:t>ṃ</w:t>
      </w:r>
      <w:r>
        <w:rPr>
          <w:i/>
          <w:iCs/>
        </w:rPr>
        <w:t xml:space="preserve">dina </w:t>
      </w:r>
      <w:r>
        <w:t>rec.</w:t>
      </w:r>
      <w:r>
        <w:t>:7; –</w:t>
      </w:r>
      <w:r>
        <w:rPr>
          <w:i/>
          <w:iCs/>
        </w:rPr>
        <w:t xml:space="preserve">kānvya </w:t>
      </w:r>
      <w:r>
        <w:t xml:space="preserve">rec.: </w:t>
      </w:r>
      <w:r>
        <w:t xml:space="preserve">6;  </w:t>
      </w:r>
      <w:r>
        <w:rPr>
          <w:i/>
          <w:iCs/>
        </w:rPr>
        <w:t>Śatapatha Brāhma</w:t>
      </w:r>
      <w:r>
        <w:rPr>
          <w:i/>
          <w:iCs/>
        </w:rPr>
        <w:t>ṇ</w:t>
      </w:r>
      <w:r>
        <w:rPr>
          <w:i/>
          <w:iCs/>
        </w:rPr>
        <w:t>a</w:t>
      </w:r>
      <w:r>
        <w:t>: 6.</w:t>
      </w:r>
    </w:p>
    <w:p w14:paraId="3A779FAC" w14:textId="77777777" w:rsidR="00E53EB6" w:rsidRDefault="006500F5">
      <w:pPr>
        <w:pStyle w:val="HaupttextohneEinzug"/>
      </w:pPr>
      <w:r>
        <w:t>Kr̥</w:t>
      </w:r>
      <w:r>
        <w:t>ṣṇ</w:t>
      </w:r>
      <w:r>
        <w:t xml:space="preserve">ayajurveda schools: </w:t>
      </w:r>
      <w:r>
        <w:rPr>
          <w:i/>
          <w:iCs/>
        </w:rPr>
        <w:t>Taittirīya Sa</w:t>
      </w:r>
      <w:r>
        <w:rPr>
          <w:i/>
          <w:iCs/>
        </w:rPr>
        <w:t>ṃ</w:t>
      </w:r>
      <w:r>
        <w:rPr>
          <w:i/>
          <w:iCs/>
        </w:rPr>
        <w:t>hitā</w:t>
      </w:r>
      <w:r>
        <w:t xml:space="preserve">: 15; </w:t>
      </w:r>
      <w:r>
        <w:rPr>
          <w:i/>
          <w:iCs/>
        </w:rPr>
        <w:t>Taittirīya Brāhma</w:t>
      </w:r>
      <w:r>
        <w:rPr>
          <w:i/>
          <w:iCs/>
        </w:rPr>
        <w:t>ṇ</w:t>
      </w:r>
      <w:r>
        <w:rPr>
          <w:i/>
          <w:iCs/>
        </w:rPr>
        <w:t>a</w:t>
      </w:r>
      <w:r>
        <w:t xml:space="preserve">: 17; </w:t>
      </w:r>
      <w:r>
        <w:rPr>
          <w:i/>
          <w:iCs/>
        </w:rPr>
        <w:t>Maitrāya</w:t>
      </w:r>
      <w:r>
        <w:rPr>
          <w:i/>
          <w:iCs/>
        </w:rPr>
        <w:t>ṇ</w:t>
      </w:r>
      <w:r>
        <w:rPr>
          <w:i/>
          <w:iCs/>
        </w:rPr>
        <w:t>ī Sa</w:t>
      </w:r>
      <w:r>
        <w:rPr>
          <w:i/>
          <w:iCs/>
        </w:rPr>
        <w:t>ṃ</w:t>
      </w:r>
      <w:r>
        <w:rPr>
          <w:i/>
          <w:iCs/>
        </w:rPr>
        <w:t>hitā</w:t>
      </w:r>
      <w:r>
        <w:t xml:space="preserve">: 18; </w:t>
      </w:r>
      <w:r>
        <w:rPr>
          <w:i/>
          <w:iCs/>
        </w:rPr>
        <w:t>Kapi</w:t>
      </w:r>
      <w:r>
        <w:rPr>
          <w:i/>
          <w:iCs/>
        </w:rPr>
        <w:t>ṣṭ</w:t>
      </w:r>
      <w:r>
        <w:rPr>
          <w:i/>
          <w:iCs/>
        </w:rPr>
        <w:t>halaka</w:t>
      </w:r>
      <w:r>
        <w:rPr>
          <w:i/>
          <w:iCs/>
        </w:rPr>
        <w:t>ṭ</w:t>
      </w:r>
      <w:r>
        <w:rPr>
          <w:i/>
          <w:iCs/>
        </w:rPr>
        <w:t>ha Sa</w:t>
      </w:r>
      <w:r>
        <w:rPr>
          <w:i/>
          <w:iCs/>
        </w:rPr>
        <w:t>ṃ</w:t>
      </w:r>
      <w:r>
        <w:rPr>
          <w:i/>
          <w:iCs/>
        </w:rPr>
        <w:t>hitā</w:t>
      </w:r>
      <w:r>
        <w:t xml:space="preserve">: 1(2); </w:t>
      </w:r>
      <w:r>
        <w:rPr>
          <w:i/>
          <w:iCs/>
        </w:rPr>
        <w:t>Ka</w:t>
      </w:r>
      <w:r>
        <w:rPr>
          <w:i/>
          <w:iCs/>
        </w:rPr>
        <w:t>ṭ</w:t>
      </w:r>
      <w:r>
        <w:rPr>
          <w:i/>
          <w:iCs/>
        </w:rPr>
        <w:t>ha Sa</w:t>
      </w:r>
      <w:r>
        <w:rPr>
          <w:i/>
          <w:iCs/>
        </w:rPr>
        <w:t>ṃ</w:t>
      </w:r>
      <w:r>
        <w:rPr>
          <w:i/>
          <w:iCs/>
        </w:rPr>
        <w:t>hitā</w:t>
      </w:r>
      <w:r>
        <w:t>: 17.</w:t>
      </w:r>
    </w:p>
    <w:p w14:paraId="1A3563A0" w14:textId="77777777" w:rsidR="00E53EB6" w:rsidRDefault="006500F5">
      <w:pPr>
        <w:pStyle w:val="HaupttextohneEinzug"/>
      </w:pPr>
      <w:r>
        <w:t>Sāmaveda schools:</w:t>
      </w:r>
      <w:r>
        <w:t xml:space="preserve"> </w:t>
      </w:r>
      <w:r>
        <w:rPr>
          <w:i/>
          <w:iCs/>
        </w:rPr>
        <w:t>Kauthuma Sa</w:t>
      </w:r>
      <w:r>
        <w:rPr>
          <w:i/>
          <w:iCs/>
        </w:rPr>
        <w:t>ṃ</w:t>
      </w:r>
      <w:r>
        <w:rPr>
          <w:i/>
          <w:iCs/>
        </w:rPr>
        <w:t xml:space="preserve">hitā: </w:t>
      </w:r>
      <w:r>
        <w:t>13 (4)</w:t>
      </w:r>
      <w:r>
        <w:t xml:space="preserve">; </w:t>
      </w:r>
      <w:r>
        <w:rPr>
          <w:i/>
          <w:iCs/>
        </w:rPr>
        <w:t>Jaiminīya Sa</w:t>
      </w:r>
      <w:r>
        <w:rPr>
          <w:i/>
          <w:iCs/>
        </w:rPr>
        <w:t>ṃ</w:t>
      </w:r>
      <w:r>
        <w:rPr>
          <w:i/>
          <w:iCs/>
        </w:rPr>
        <w:t>hitā</w:t>
      </w:r>
      <w:r>
        <w:t>: 17 (4).</w:t>
      </w:r>
    </w:p>
    <w:p w14:paraId="0D3BB84F" w14:textId="77777777" w:rsidR="00E53EB6" w:rsidRDefault="006500F5">
      <w:pPr>
        <w:pStyle w:val="HaupttextohneEinzug"/>
      </w:pPr>
      <w:r>
        <w:rPr>
          <w:rFonts w:eastAsia="Arial Unicode MS" w:cs="Sabon Unicode"/>
          <w:color w:val="000000"/>
          <w:szCs w:val="21"/>
          <w:lang w:eastAsia="it-IT" w:bidi="en-GB"/>
        </w:rPr>
        <w:t xml:space="preserve">Atharvavedic schools: </w:t>
      </w:r>
      <w:r>
        <w:rPr>
          <w:rFonts w:eastAsia="Arial Unicode MS" w:cs="Sabon Unicode"/>
          <w:i/>
          <w:iCs/>
          <w:color w:val="000000"/>
          <w:szCs w:val="21"/>
          <w:lang w:eastAsia="it-IT" w:bidi="en-GB"/>
        </w:rPr>
        <w:t>Śaunakīya Sa</w:t>
      </w:r>
      <w:r>
        <w:rPr>
          <w:rFonts w:eastAsia="Arial Unicode MS" w:cs="Sabon Unicode"/>
          <w:i/>
          <w:iCs/>
          <w:color w:val="000000"/>
          <w:szCs w:val="21"/>
          <w:lang w:eastAsia="it-IT" w:bidi="en-GB"/>
        </w:rPr>
        <w:t>ṃ</w:t>
      </w:r>
      <w:r>
        <w:rPr>
          <w:rFonts w:eastAsia="Arial Unicode MS" w:cs="Sabon Unicode"/>
          <w:i/>
          <w:iCs/>
          <w:color w:val="000000"/>
          <w:szCs w:val="21"/>
          <w:lang w:eastAsia="it-IT" w:bidi="en-GB"/>
        </w:rPr>
        <w:t>hitā</w:t>
      </w:r>
      <w:r>
        <w:rPr>
          <w:rFonts w:eastAsia="Arial Unicode MS" w:cs="Sabon Unicode"/>
          <w:color w:val="000000"/>
          <w:szCs w:val="21"/>
          <w:lang w:eastAsia="it-IT" w:bidi="en-GB"/>
        </w:rPr>
        <w:t xml:space="preserve">: 33; </w:t>
      </w:r>
      <w:r>
        <w:rPr>
          <w:rFonts w:eastAsia="Arial Unicode MS" w:cs="Sabon Unicode"/>
          <w:i/>
          <w:iCs/>
          <w:color w:val="000000"/>
          <w:szCs w:val="21"/>
          <w:lang w:eastAsia="it-IT" w:bidi="en-GB"/>
        </w:rPr>
        <w:t>Paippalāda Sa</w:t>
      </w:r>
      <w:r>
        <w:rPr>
          <w:rFonts w:eastAsia="Arial Unicode MS" w:cs="Sabon Unicode"/>
          <w:i/>
          <w:iCs/>
          <w:color w:val="000000"/>
          <w:szCs w:val="21"/>
          <w:lang w:eastAsia="it-IT" w:bidi="en-GB"/>
        </w:rPr>
        <w:t>ṃ</w:t>
      </w:r>
      <w:r>
        <w:rPr>
          <w:rFonts w:eastAsia="Arial Unicode MS" w:cs="Sabon Unicode"/>
          <w:i/>
          <w:iCs/>
          <w:color w:val="000000"/>
          <w:szCs w:val="21"/>
          <w:lang w:eastAsia="it-IT" w:bidi="en-GB"/>
        </w:rPr>
        <w:t>hitā</w:t>
      </w:r>
      <w:r>
        <w:rPr>
          <w:rFonts w:eastAsia="Arial Unicode MS" w:cs="Sabon Unicode"/>
          <w:color w:val="000000"/>
          <w:szCs w:val="21"/>
          <w:lang w:eastAsia="it-IT" w:bidi="en-GB"/>
        </w:rPr>
        <w:t>: 27.</w:t>
      </w:r>
    </w:p>
    <w:p w14:paraId="471A779B" w14:textId="77777777" w:rsidR="00E53EB6" w:rsidRDefault="00E53EB6">
      <w:pPr>
        <w:pStyle w:val="HaupttextohneEinzug"/>
        <w:rPr>
          <w:rFonts w:eastAsia="Arial Unicode MS" w:cs="Sabon Unicode"/>
          <w:color w:val="000000"/>
          <w:szCs w:val="21"/>
          <w:lang w:eastAsia="it-IT" w:bidi="en-GB"/>
        </w:rPr>
      </w:pPr>
    </w:p>
    <w:p w14:paraId="5D6B4508" w14:textId="77777777" w:rsidR="00E53EB6" w:rsidRDefault="006500F5">
      <w:pPr>
        <w:pStyle w:val="Hauptext"/>
      </w:pPr>
      <w:r>
        <w:t xml:space="preserve">Out of 95 attestations (63 YV; 30 SV; 2 R̥V) in the liturgical Saṃhitās and Brāhmaṇas there are 71 R̥V </w:t>
      </w:r>
      <w:r>
        <w:rPr>
          <w:i/>
          <w:iCs/>
        </w:rPr>
        <w:t>mantra</w:t>
      </w:r>
      <w:r>
        <w:t xml:space="preserve">s and 24 non-R̥V </w:t>
      </w:r>
      <w:r>
        <w:rPr>
          <w:i/>
          <w:iCs/>
        </w:rPr>
        <w:t>mantra</w:t>
      </w:r>
      <w:r>
        <w:t>s or prose. The first thing worth noticing is the striking exiguity of the occurrences of the verb, especially as to the</w:t>
      </w:r>
      <w:r>
        <w:t xml:space="preserve"> Brāhma</w:t>
      </w:r>
      <w:r>
        <w:t>ṇ</w:t>
      </w:r>
      <w:r>
        <w:t>as texts. Furthermore, a large majority of these cases are quotations of R̥gvedic stanzas or verses apportioned in different rites and in some point or other manipulated; this situation is partially due to the structure and the way those texts were</w:t>
      </w:r>
      <w:r>
        <w:t xml:space="preserve"> composed as we said in the paragraphs above, and we have already analysed some interesting examples of this redactional work in what we named the “Vedic web” (§III.1.3). Nonetheless, the case of </w:t>
      </w:r>
      <w:r>
        <w:rPr>
          <w:i/>
          <w:iCs/>
        </w:rPr>
        <w:t>van- /</w:t>
      </w:r>
      <w:r>
        <w:rPr>
          <w:i/>
          <w:iCs/>
        </w:rPr>
        <w:t xml:space="preserve"> van</w:t>
      </w:r>
      <w:r>
        <w:rPr>
          <w:i/>
          <w:iCs/>
          <w:vertAlign w:val="superscript"/>
        </w:rPr>
        <w:t>i</w:t>
      </w:r>
      <w:r>
        <w:rPr>
          <w:i/>
          <w:iCs/>
        </w:rPr>
        <w:t>-</w:t>
      </w:r>
      <w:r>
        <w:rPr>
          <w:i/>
          <w:iCs/>
        </w:rPr>
        <w:t xml:space="preserve"> </w:t>
      </w:r>
      <w:r>
        <w:t xml:space="preserve">presents it at a very high degree. </w:t>
      </w:r>
    </w:p>
    <w:p w14:paraId="774427EF" w14:textId="77777777" w:rsidR="00E53EB6" w:rsidRDefault="006500F5">
      <w:pPr>
        <w:pStyle w:val="HaupttextohneEinzug"/>
      </w:pPr>
      <w:r>
        <w:rPr>
          <w:rFonts w:eastAsia="Arial Unicode MS" w:cs="Sabon Unicode"/>
          <w:color w:val="000000"/>
          <w:szCs w:val="21"/>
          <w:lang w:eastAsia="it-IT" w:bidi="en-GB"/>
        </w:rPr>
        <w:t>Within this</w:t>
      </w:r>
      <w:r>
        <w:rPr>
          <w:rFonts w:eastAsia="Arial Unicode MS" w:cs="Sabon Unicode"/>
          <w:color w:val="000000"/>
          <w:szCs w:val="21"/>
          <w:lang w:eastAsia="it-IT" w:bidi="en-GB"/>
        </w:rPr>
        <w:t xml:space="preserve"> particular settlement, the two meanings of the verb have a slightly different development, although they both undergo a gradual vanishing that ends up in the absence of </w:t>
      </w:r>
      <w:r>
        <w:rPr>
          <w:rFonts w:eastAsia="Arial Unicode MS" w:cs="Sabon Unicode"/>
          <w:i/>
          <w:iCs/>
          <w:color w:val="000000"/>
          <w:szCs w:val="21"/>
          <w:lang w:eastAsia="it-IT" w:bidi="en-GB"/>
        </w:rPr>
        <w:t>van- / van</w:t>
      </w:r>
      <w:r>
        <w:rPr>
          <w:rFonts w:eastAsia="Arial Unicode MS" w:cs="Sabon Unicode"/>
          <w:i/>
          <w:iCs/>
          <w:color w:val="000000"/>
          <w:szCs w:val="21"/>
          <w:vertAlign w:val="superscript"/>
          <w:lang w:eastAsia="it-IT" w:bidi="en-GB"/>
        </w:rPr>
        <w:t>i</w:t>
      </w:r>
      <w:r>
        <w:rPr>
          <w:rFonts w:eastAsia="Arial Unicode MS" w:cs="Sabon Unicode"/>
          <w:i/>
          <w:iCs/>
          <w:color w:val="000000"/>
          <w:szCs w:val="21"/>
          <w:lang w:eastAsia="it-IT" w:bidi="en-GB"/>
        </w:rPr>
        <w:t>-</w:t>
      </w:r>
      <w:r>
        <w:rPr>
          <w:rFonts w:eastAsia="Arial Unicode MS" w:cs="Sabon Unicode"/>
          <w:color w:val="000000"/>
          <w:szCs w:val="21"/>
          <w:lang w:eastAsia="it-IT" w:bidi="en-GB"/>
        </w:rPr>
        <w:t xml:space="preserve"> in the Upani</w:t>
      </w:r>
      <w:r>
        <w:rPr>
          <w:rFonts w:eastAsia="Arial Unicode MS" w:cs="Sabon Unicode"/>
          <w:color w:val="000000"/>
          <w:szCs w:val="21"/>
          <w:lang w:eastAsia="it-IT" w:bidi="en-GB"/>
        </w:rPr>
        <w:t>ṣ</w:t>
      </w:r>
      <w:r>
        <w:rPr>
          <w:rFonts w:eastAsia="Arial Unicode MS" w:cs="Sabon Unicode"/>
          <w:color w:val="000000"/>
          <w:szCs w:val="21"/>
          <w:lang w:eastAsia="it-IT" w:bidi="en-GB"/>
        </w:rPr>
        <w:t>ads. The ritual meaning, “to make someone enter the circle o</w:t>
      </w:r>
      <w:r>
        <w:rPr>
          <w:rFonts w:eastAsia="Arial Unicode MS" w:cs="Sabon Unicode"/>
          <w:color w:val="000000"/>
          <w:szCs w:val="21"/>
          <w:lang w:eastAsia="it-IT" w:bidi="en-GB"/>
        </w:rPr>
        <w:t xml:space="preserve">f sacrifice”, can be found actually only in the R̥gvedic </w:t>
      </w:r>
      <w:r>
        <w:rPr>
          <w:rFonts w:eastAsia="Arial Unicode MS" w:cs="Sabon Unicode"/>
          <w:i/>
          <w:iCs/>
          <w:color w:val="000000"/>
          <w:szCs w:val="21"/>
          <w:lang w:eastAsia="it-IT" w:bidi="en-GB"/>
        </w:rPr>
        <w:t>mantra</w:t>
      </w:r>
      <w:r>
        <w:rPr>
          <w:rFonts w:eastAsia="Arial Unicode MS" w:cs="Sabon Unicode"/>
          <w:color w:val="000000"/>
          <w:szCs w:val="21"/>
          <w:lang w:eastAsia="it-IT" w:bidi="en-GB"/>
        </w:rPr>
        <w:t xml:space="preserve">s, as we will see later, while the nuclear meaning, “to appropriate”, is used also in the prose passages and in the </w:t>
      </w:r>
      <w:r>
        <w:rPr>
          <w:rFonts w:eastAsia="Arial Unicode MS" w:cs="Sabon Unicode"/>
          <w:i/>
          <w:iCs/>
          <w:color w:val="000000"/>
          <w:szCs w:val="21"/>
          <w:lang w:eastAsia="it-IT" w:bidi="en-GB"/>
        </w:rPr>
        <w:t xml:space="preserve">yajus </w:t>
      </w:r>
      <w:r>
        <w:rPr>
          <w:rFonts w:eastAsia="Arial Unicode MS" w:cs="Sabon Unicode"/>
          <w:color w:val="000000"/>
          <w:szCs w:val="21"/>
          <w:lang w:eastAsia="it-IT" w:bidi="en-GB"/>
        </w:rPr>
        <w:t xml:space="preserve">as well. As to the latter meaning we find the same functional patterns we noticed in the </w:t>
      </w:r>
      <w:r>
        <w:rPr>
          <w:rFonts w:eastAsia="Arial Unicode MS" w:cs="Sabon Unicode"/>
          <w:i/>
          <w:iCs/>
          <w:color w:val="000000"/>
          <w:szCs w:val="21"/>
          <w:lang w:eastAsia="it-IT" w:bidi="en-GB"/>
        </w:rPr>
        <w:t>R̥gveda Sa</w:t>
      </w:r>
      <w:r>
        <w:rPr>
          <w:rFonts w:eastAsia="Arial Unicode MS" w:cs="Sabon Unicode"/>
          <w:i/>
          <w:iCs/>
          <w:color w:val="000000"/>
          <w:szCs w:val="21"/>
          <w:lang w:eastAsia="it-IT" w:bidi="en-GB"/>
        </w:rPr>
        <w:t>ṃ</w:t>
      </w:r>
      <w:r>
        <w:rPr>
          <w:rFonts w:eastAsia="Arial Unicode MS" w:cs="Sabon Unicode"/>
          <w:i/>
          <w:iCs/>
          <w:color w:val="000000"/>
          <w:szCs w:val="21"/>
          <w:lang w:eastAsia="it-IT" w:bidi="en-GB"/>
        </w:rPr>
        <w:t xml:space="preserve">hitā, </w:t>
      </w:r>
      <w:r>
        <w:rPr>
          <w:rFonts w:eastAsia="Arial Unicode MS" w:cs="Sabon Unicode"/>
          <w:color w:val="000000"/>
          <w:szCs w:val="21"/>
          <w:lang w:eastAsia="it-IT" w:bidi="en-GB"/>
        </w:rPr>
        <w:t>and we will use the same letters we used in §II.1 to indicate the same patterns and keep it along the Data-Base in the Appendix (§VI.2):</w:t>
      </w:r>
    </w:p>
    <w:p w14:paraId="0CBCE879" w14:textId="77777777" w:rsidR="00E53EB6" w:rsidRDefault="006500F5">
      <w:pPr>
        <w:pStyle w:val="Hauptext"/>
      </w:pPr>
      <w:r>
        <w:rPr>
          <w:rFonts w:eastAsia="Arial Unicode MS" w:cs="Sabon Unicode"/>
          <w:b/>
          <w:bCs/>
          <w:color w:val="000000"/>
          <w:sz w:val="24"/>
          <w:szCs w:val="24"/>
          <w:lang w:eastAsia="it-IT" w:bidi="en-GB"/>
        </w:rPr>
        <w:t xml:space="preserve">a- </w:t>
      </w:r>
      <w:r>
        <w:rPr>
          <w:rFonts w:eastAsia="Arial Unicode MS" w:cs="Sabon Unicode"/>
          <w:color w:val="000000"/>
          <w:szCs w:val="21"/>
          <w:lang w:eastAsia="it-IT" w:bidi="en-GB"/>
        </w:rPr>
        <w:t xml:space="preserve">The first </w:t>
      </w:r>
      <w:r>
        <w:rPr>
          <w:rFonts w:eastAsia="Arial Unicode MS" w:cs="Sabon Unicode"/>
          <w:color w:val="000000"/>
          <w:szCs w:val="21"/>
          <w:lang w:eastAsia="it-IT" w:bidi="en-GB"/>
        </w:rPr>
        <w:t xml:space="preserve">use of the verb we singled out in the R̥gvedic hymns was that most overlapping with the value “to possess”. The man </w:t>
      </w:r>
      <w:r>
        <w:rPr>
          <w:rFonts w:eastAsia="Arial Unicode MS" w:cs="Sabon Unicode"/>
          <w:i/>
          <w:iCs/>
          <w:color w:val="000000"/>
          <w:szCs w:val="21"/>
          <w:lang w:eastAsia="it-IT" w:bidi="en-GB"/>
        </w:rPr>
        <w:t>van-</w:t>
      </w:r>
      <w:r>
        <w:rPr>
          <w:rFonts w:eastAsia="Arial Unicode MS" w:cs="Sabon Unicode"/>
          <w:color w:val="000000"/>
          <w:szCs w:val="21"/>
          <w:lang w:eastAsia="it-IT" w:bidi="en-GB"/>
        </w:rPr>
        <w:t xml:space="preserve"> goods, and mostly very </w:t>
      </w:r>
      <w:r>
        <w:rPr>
          <w:rFonts w:eastAsia="Arial Unicode MS" w:cs="Sabon Unicode"/>
          <w:b/>
          <w:bCs/>
          <w:color w:val="000000"/>
          <w:szCs w:val="21"/>
          <w:lang w:eastAsia="it-IT" w:bidi="en-GB"/>
        </w:rPr>
        <w:t>concrete</w:t>
      </w:r>
      <w:r>
        <w:rPr>
          <w:rFonts w:eastAsia="Arial Unicode MS" w:cs="Sabon Unicode"/>
          <w:color w:val="000000"/>
          <w:szCs w:val="21"/>
          <w:lang w:eastAsia="it-IT" w:bidi="en-GB"/>
        </w:rPr>
        <w:t xml:space="preserve"> ones like </w:t>
      </w:r>
      <w:r>
        <w:rPr>
          <w:rFonts w:eastAsia="Arial Unicode MS" w:cs="Sabon Unicode"/>
          <w:b/>
          <w:bCs/>
          <w:i/>
          <w:iCs/>
          <w:color w:val="000000"/>
          <w:szCs w:val="21"/>
          <w:lang w:eastAsia="it-IT" w:bidi="en-GB"/>
        </w:rPr>
        <w:t>rayi-</w:t>
      </w:r>
      <w:r>
        <w:rPr>
          <w:rFonts w:eastAsia="Arial Unicode MS" w:cs="Sabon Unicode"/>
          <w:i/>
          <w:iCs/>
          <w:color w:val="000000"/>
          <w:szCs w:val="21"/>
          <w:lang w:eastAsia="it-IT" w:bidi="en-GB"/>
        </w:rPr>
        <w:t xml:space="preserve"> </w:t>
      </w:r>
      <w:r>
        <w:rPr>
          <w:rFonts w:eastAsia="Arial Unicode MS" w:cs="Sabon Unicode"/>
          <w:color w:val="000000"/>
          <w:szCs w:val="21"/>
          <w:lang w:eastAsia="it-IT" w:bidi="en-GB"/>
        </w:rPr>
        <w:t>as it is the R̥V stanza 6.16.28 that is used five times in TS 4.6.1.5; MS 2.10.2; KS 18</w:t>
      </w:r>
      <w:r>
        <w:rPr>
          <w:rFonts w:eastAsia="Arial Unicode MS" w:cs="Sabon Unicode"/>
          <w:color w:val="000000"/>
          <w:szCs w:val="21"/>
          <w:lang w:eastAsia="it-IT" w:bidi="en-GB"/>
        </w:rPr>
        <w:t xml:space="preserve">.1; KpS 28.2 and VS 17.16. </w:t>
      </w:r>
    </w:p>
    <w:p w14:paraId="462F2C1E" w14:textId="77777777" w:rsidR="00E53EB6" w:rsidRDefault="006500F5">
      <w:pPr>
        <w:pStyle w:val="Zitat"/>
      </w:pPr>
      <w:r>
        <w:rPr>
          <w:rFonts w:eastAsia="MS Mincho;ＭＳ 明朝"/>
          <w:lang w:eastAsia="hi-IN"/>
        </w:rPr>
        <w:t xml:space="preserve">R̥V 6.16.28 </w:t>
      </w:r>
      <w:r>
        <w:rPr>
          <w:rFonts w:eastAsia="MS Mincho;ＭＳ 明朝"/>
          <w:i/>
          <w:iCs/>
          <w:lang w:eastAsia="hi-IN"/>
        </w:rPr>
        <w:t>agnís tigména śocí</w:t>
      </w:r>
      <w:r>
        <w:rPr>
          <w:rFonts w:eastAsia="MS Mincho;ＭＳ 明朝"/>
          <w:i/>
          <w:iCs/>
          <w:lang w:eastAsia="hi-IN"/>
        </w:rPr>
        <w:t>ṣ</w:t>
      </w:r>
      <w:r>
        <w:rPr>
          <w:rFonts w:eastAsia="MS Mincho;ＭＳ 明朝"/>
          <w:i/>
          <w:iCs/>
          <w:lang w:eastAsia="hi-IN"/>
        </w:rPr>
        <w:t>ā yā́sad víśva</w:t>
      </w:r>
      <w:r>
        <w:rPr>
          <w:rFonts w:eastAsia="MS Mincho;ＭＳ 明朝"/>
          <w:i/>
          <w:iCs/>
          <w:lang w:eastAsia="hi-IN"/>
        </w:rPr>
        <w:t>ṃ</w:t>
      </w:r>
      <w:r>
        <w:rPr>
          <w:rFonts w:eastAsia="MS Mincho;ＭＳ 明朝"/>
          <w:i/>
          <w:iCs/>
          <w:lang w:eastAsia="hi-IN"/>
        </w:rPr>
        <w:t xml:space="preserve"> ny àtrí</w:t>
      </w:r>
      <w:r>
        <w:rPr>
          <w:rFonts w:eastAsia="MS Mincho;ＭＳ 明朝"/>
          <w:i/>
          <w:iCs/>
          <w:lang w:eastAsia="hi-IN"/>
        </w:rPr>
        <w:t>ṇ</w:t>
      </w:r>
      <w:r>
        <w:rPr>
          <w:rFonts w:eastAsia="MS Mincho;ＭＳ 明朝"/>
          <w:i/>
          <w:iCs/>
          <w:lang w:eastAsia="hi-IN"/>
        </w:rPr>
        <w:t>am \ agnír no vanate rayím \\</w:t>
      </w:r>
    </w:p>
    <w:p w14:paraId="1ABC63A7" w14:textId="77777777" w:rsidR="00E53EB6" w:rsidRDefault="006500F5">
      <w:pPr>
        <w:pStyle w:val="Zitat"/>
      </w:pPr>
      <w:r>
        <w:rPr>
          <w:rFonts w:eastAsia="Arial Unicode MS" w:cs="Sabon Unicode"/>
          <w:color w:val="000000"/>
          <w:lang w:eastAsia="it-IT"/>
        </w:rPr>
        <w:t>Agni with the sharpened flame may pass over</w:t>
      </w:r>
      <w:r>
        <w:rPr>
          <w:rStyle w:val="FootnoteAnchor"/>
          <w:rFonts w:eastAsia="Arial Unicode MS" w:cs="Sabon Unicode"/>
          <w:color w:val="000000"/>
          <w:lang w:eastAsia="it-IT"/>
        </w:rPr>
        <w:footnoteReference w:id="390"/>
      </w:r>
      <w:r>
        <w:rPr>
          <w:rFonts w:eastAsia="Arial Unicode MS" w:cs="Sabon Unicode"/>
          <w:color w:val="000000"/>
          <w:lang w:eastAsia="it-IT"/>
        </w:rPr>
        <w:t xml:space="preserve"> all evil, may Agni </w:t>
      </w:r>
      <w:r>
        <w:rPr>
          <w:rFonts w:eastAsia="Arial Unicode MS" w:cs="Sabon Unicode"/>
          <w:color w:val="000000"/>
          <w:u w:val="single"/>
          <w:lang w:eastAsia="it-IT"/>
        </w:rPr>
        <w:t>appropriate</w:t>
      </w:r>
      <w:r>
        <w:rPr>
          <w:rFonts w:eastAsia="Arial Unicode MS" w:cs="Sabon Unicode"/>
          <w:color w:val="000000"/>
          <w:lang w:eastAsia="it-IT"/>
        </w:rPr>
        <w:t xml:space="preserve"> the richness for us.</w:t>
      </w:r>
    </w:p>
    <w:p w14:paraId="4847AE99" w14:textId="77777777" w:rsidR="00E53EB6" w:rsidRDefault="006500F5">
      <w:pPr>
        <w:pStyle w:val="HaupttextnachZitat"/>
      </w:pPr>
      <w:r>
        <w:rPr>
          <w:rFonts w:eastAsia="Arial Unicode MS" w:cs="Sabon Unicode"/>
          <w:color w:val="000000"/>
          <w:szCs w:val="21"/>
          <w:lang w:eastAsia="it-IT" w:bidi="en-GB"/>
        </w:rPr>
        <w:t xml:space="preserve">Another </w:t>
      </w:r>
      <w:r>
        <w:rPr>
          <w:rFonts w:eastAsia="Arial Unicode MS" w:cs="Sabon Unicode"/>
          <w:i/>
          <w:iCs/>
          <w:color w:val="000000"/>
          <w:szCs w:val="21"/>
          <w:lang w:eastAsia="it-IT" w:bidi="en-GB"/>
        </w:rPr>
        <w:t xml:space="preserve">mantra </w:t>
      </w:r>
      <w:r>
        <w:rPr>
          <w:rFonts w:eastAsia="Arial Unicode MS" w:cs="Sabon Unicode"/>
          <w:color w:val="000000"/>
          <w:szCs w:val="21"/>
          <w:lang w:eastAsia="it-IT" w:bidi="en-GB"/>
        </w:rPr>
        <w:t xml:space="preserve">quite often used is R̥V 1.162.22 quoted in TS 4.6.9; KSAśv. 6.5 and VS 25.45, all concerning the </w:t>
      </w:r>
      <w:r>
        <w:rPr>
          <w:rFonts w:eastAsia="Arial Unicode MS" w:cs="Sabon Unicode"/>
          <w:i/>
          <w:iCs/>
          <w:color w:val="000000"/>
          <w:szCs w:val="21"/>
          <w:lang w:eastAsia="it-IT" w:bidi="en-GB"/>
        </w:rPr>
        <w:t>Aśvamedha</w:t>
      </w:r>
      <w:r>
        <w:rPr>
          <w:rFonts w:eastAsia="Arial Unicode MS" w:cs="Sabon Unicode"/>
          <w:color w:val="000000"/>
          <w:szCs w:val="21"/>
          <w:lang w:eastAsia="it-IT" w:bidi="en-GB"/>
        </w:rPr>
        <w:t xml:space="preserve"> ritual: </w:t>
      </w:r>
    </w:p>
    <w:p w14:paraId="0101EE84" w14:textId="77777777" w:rsidR="00E53EB6" w:rsidRDefault="006500F5">
      <w:pPr>
        <w:pStyle w:val="Zitat"/>
        <w:autoSpaceDE w:val="0"/>
        <w:rPr>
          <w:rFonts w:ascii="Times Ext Roman" w:hAnsi="Times Ext Roman"/>
          <w:i/>
          <w:iCs/>
          <w:lang w:eastAsia="hi-IN"/>
        </w:rPr>
      </w:pPr>
      <w:r>
        <w:rPr>
          <w:lang w:eastAsia="hi-IN"/>
        </w:rPr>
        <w:t xml:space="preserve">R̥V 1.162.22 </w:t>
      </w:r>
      <w:r>
        <w:rPr>
          <w:i/>
          <w:iCs/>
          <w:lang w:eastAsia="hi-IN"/>
        </w:rPr>
        <w:t>sugávya</w:t>
      </w:r>
      <w:r>
        <w:rPr>
          <w:i/>
          <w:iCs/>
          <w:lang w:eastAsia="hi-IN"/>
        </w:rPr>
        <w:t>ṃ</w:t>
      </w:r>
      <w:r>
        <w:rPr>
          <w:i/>
          <w:iCs/>
          <w:lang w:eastAsia="hi-IN"/>
        </w:rPr>
        <w:t xml:space="preserve"> no vājī́ sváśvya</w:t>
      </w:r>
      <w:r>
        <w:rPr>
          <w:i/>
          <w:iCs/>
          <w:lang w:eastAsia="hi-IN"/>
        </w:rPr>
        <w:t>ṃ</w:t>
      </w:r>
      <w:r>
        <w:rPr>
          <w:i/>
          <w:iCs/>
          <w:lang w:eastAsia="hi-IN"/>
        </w:rPr>
        <w:t xml:space="preserve"> pum̐sá</w:t>
      </w:r>
      <w:r>
        <w:rPr>
          <w:i/>
          <w:iCs/>
          <w:lang w:eastAsia="hi-IN"/>
        </w:rPr>
        <w:t>ḥ</w:t>
      </w:r>
      <w:r>
        <w:rPr>
          <w:i/>
          <w:iCs/>
          <w:lang w:eastAsia="hi-IN"/>
        </w:rPr>
        <w:t xml:space="preserve"> putrā́m̐ utá viśvāpú</w:t>
      </w:r>
      <w:r>
        <w:rPr>
          <w:i/>
          <w:iCs/>
          <w:lang w:eastAsia="hi-IN"/>
        </w:rPr>
        <w:t>ṣ</w:t>
      </w:r>
      <w:r>
        <w:rPr>
          <w:i/>
          <w:iCs/>
          <w:lang w:eastAsia="hi-IN"/>
        </w:rPr>
        <w:t>am̐  rayím \ anāgāstvá</w:t>
      </w:r>
      <w:r>
        <w:rPr>
          <w:i/>
          <w:iCs/>
          <w:lang w:eastAsia="hi-IN"/>
        </w:rPr>
        <w:t>ṃ</w:t>
      </w:r>
      <w:r>
        <w:rPr>
          <w:i/>
          <w:iCs/>
          <w:lang w:eastAsia="hi-IN"/>
        </w:rPr>
        <w:t xml:space="preserve"> no áditi</w:t>
      </w:r>
      <w:r>
        <w:rPr>
          <w:i/>
          <w:iCs/>
          <w:lang w:eastAsia="hi-IN"/>
        </w:rPr>
        <w:t>ḥ</w:t>
      </w:r>
      <w:r>
        <w:rPr>
          <w:i/>
          <w:iCs/>
          <w:lang w:eastAsia="hi-IN"/>
        </w:rPr>
        <w:t xml:space="preserve"> kr̥</w:t>
      </w:r>
      <w:r>
        <w:rPr>
          <w:i/>
          <w:iCs/>
          <w:lang w:eastAsia="hi-IN"/>
        </w:rPr>
        <w:t>ṇ</w:t>
      </w:r>
      <w:r>
        <w:rPr>
          <w:i/>
          <w:iCs/>
          <w:lang w:eastAsia="hi-IN"/>
        </w:rPr>
        <w:t>otu k</w:t>
      </w:r>
      <w:r>
        <w:rPr>
          <w:i/>
          <w:iCs/>
          <w:lang w:eastAsia="hi-IN"/>
        </w:rPr>
        <w:t>ṣ</w:t>
      </w:r>
      <w:r>
        <w:rPr>
          <w:i/>
          <w:iCs/>
          <w:lang w:eastAsia="hi-IN"/>
        </w:rPr>
        <w:t>atrá</w:t>
      </w:r>
      <w:r>
        <w:rPr>
          <w:i/>
          <w:iCs/>
          <w:lang w:eastAsia="hi-IN"/>
        </w:rPr>
        <w:t>ṃ</w:t>
      </w:r>
      <w:r>
        <w:rPr>
          <w:i/>
          <w:iCs/>
          <w:lang w:eastAsia="hi-IN"/>
        </w:rPr>
        <w:t xml:space="preserve"> no áśvo </w:t>
      </w:r>
      <w:r>
        <w:rPr>
          <w:i/>
          <w:iCs/>
          <w:lang w:eastAsia="hi-IN"/>
        </w:rPr>
        <w:t>vanatām̐ haví</w:t>
      </w:r>
      <w:r>
        <w:rPr>
          <w:i/>
          <w:iCs/>
          <w:lang w:eastAsia="hi-IN"/>
        </w:rPr>
        <w:t>ṣ</w:t>
      </w:r>
      <w:r>
        <w:rPr>
          <w:i/>
          <w:iCs/>
          <w:lang w:eastAsia="hi-IN"/>
        </w:rPr>
        <w:t>mān \\</w:t>
      </w:r>
    </w:p>
    <w:p w14:paraId="4227E3A4" w14:textId="77777777" w:rsidR="00E53EB6" w:rsidRDefault="006500F5">
      <w:pPr>
        <w:pStyle w:val="Zitat"/>
        <w:autoSpaceDE w:val="0"/>
        <w:rPr>
          <w:rFonts w:ascii="Times Ext Roman" w:hAnsi="Times Ext Roman"/>
          <w:lang w:eastAsia="hi-IN"/>
        </w:rPr>
      </w:pPr>
      <w:r>
        <w:rPr>
          <w:rFonts w:eastAsia="Arial Unicode MS" w:cs="Sabon Unicode"/>
          <w:color w:val="000000"/>
          <w:lang w:eastAsia="it-IT"/>
        </w:rPr>
        <w:lastRenderedPageBreak/>
        <w:t>Wealth of cattle may the steed / price-winner</w:t>
      </w:r>
      <w:r>
        <w:rPr>
          <w:rStyle w:val="FootnoteAnchor"/>
          <w:rFonts w:eastAsia="Arial Unicode MS" w:cs="Sabon Unicode"/>
          <w:color w:val="000000"/>
          <w:lang w:eastAsia="it-IT"/>
        </w:rPr>
        <w:footnoteReference w:id="391"/>
      </w:r>
      <w:r>
        <w:rPr>
          <w:rFonts w:eastAsia="Arial Unicode MS" w:cs="Sabon Unicode"/>
          <w:color w:val="000000"/>
          <w:lang w:eastAsia="it-IT"/>
        </w:rPr>
        <w:t xml:space="preserve">  bring us, wealth of horses, sons and all sustaining riches; may Aditi make us free from sin</w:t>
      </w:r>
      <w:r>
        <w:rPr>
          <w:rStyle w:val="FootnoteAnchor"/>
          <w:rFonts w:eastAsia="Arial Unicode MS" w:cs="Devanagari MT;Times New Roman"/>
          <w:color w:val="000000"/>
          <w:lang w:eastAsia="it-IT"/>
        </w:rPr>
        <w:footnoteReference w:id="392"/>
      </w:r>
      <w:r>
        <w:rPr>
          <w:rFonts w:eastAsia="Arial Unicode MS" w:cs="Sabon Unicode"/>
          <w:color w:val="000000"/>
          <w:lang w:eastAsia="it-IT"/>
        </w:rPr>
        <w:t xml:space="preserve">, let the horse endowed with oblations </w:t>
      </w:r>
      <w:r>
        <w:rPr>
          <w:rFonts w:eastAsia="Arial Unicode MS" w:cs="Sabon Unicode"/>
          <w:color w:val="000000"/>
          <w:u w:val="single"/>
          <w:lang w:eastAsia="it-IT"/>
        </w:rPr>
        <w:t xml:space="preserve">appropriate </w:t>
      </w:r>
      <w:r>
        <w:rPr>
          <w:rFonts w:eastAsia="Arial Unicode MS" w:cs="Sabon Unicode"/>
          <w:color w:val="000000"/>
          <w:lang w:eastAsia="it-IT"/>
        </w:rPr>
        <w:t xml:space="preserve">for us </w:t>
      </w:r>
      <w:r>
        <w:rPr>
          <w:rFonts w:eastAsia="Arial Unicode MS" w:cs="Sabon Unicode"/>
          <w:color w:val="000000"/>
          <w:lang w:eastAsia="it-IT"/>
        </w:rPr>
        <w:t>the lordship.</w:t>
      </w:r>
    </w:p>
    <w:p w14:paraId="0F54F26F" w14:textId="77777777" w:rsidR="00E53EB6" w:rsidRDefault="006500F5">
      <w:pPr>
        <w:pStyle w:val="HaupttextnachZitat"/>
      </w:pPr>
      <w:r>
        <w:rPr>
          <w:rFonts w:eastAsia="Arial Unicode MS" w:cs="Sabon Unicode"/>
          <w:color w:val="000000"/>
          <w:szCs w:val="21"/>
          <w:lang w:eastAsia="it-IT" w:bidi="en-GB"/>
        </w:rPr>
        <w:t xml:space="preserve">In this occurrence the object of </w:t>
      </w:r>
      <w:r>
        <w:rPr>
          <w:rFonts w:eastAsia="Arial Unicode MS" w:cs="Sabon Unicode"/>
          <w:i/>
          <w:iCs/>
          <w:color w:val="000000"/>
          <w:szCs w:val="21"/>
          <w:lang w:eastAsia="it-IT" w:bidi="en-GB"/>
        </w:rPr>
        <w:t>van-</w:t>
      </w:r>
      <w:r>
        <w:rPr>
          <w:rFonts w:eastAsia="Arial Unicode MS" w:cs="Sabon Unicode"/>
          <w:color w:val="000000"/>
          <w:szCs w:val="21"/>
          <w:lang w:eastAsia="it-IT" w:bidi="en-GB"/>
        </w:rPr>
        <w:t xml:space="preserve"> is the </w:t>
      </w:r>
      <w:r>
        <w:rPr>
          <w:rFonts w:eastAsia="Arial Unicode MS" w:cs="Sabon Unicode"/>
          <w:b/>
          <w:bCs/>
          <w:i/>
          <w:iCs/>
          <w:color w:val="000000"/>
          <w:szCs w:val="21"/>
          <w:lang w:eastAsia="it-IT" w:bidi="en-GB"/>
        </w:rPr>
        <w:t>k</w:t>
      </w:r>
      <w:r>
        <w:rPr>
          <w:rFonts w:eastAsia="Arial Unicode MS" w:cs="Sabon Unicode"/>
          <w:b/>
          <w:bCs/>
          <w:i/>
          <w:iCs/>
          <w:color w:val="000000"/>
          <w:szCs w:val="21"/>
          <w:lang w:eastAsia="it-IT" w:bidi="en-GB"/>
        </w:rPr>
        <w:t>ṣ</w:t>
      </w:r>
      <w:r>
        <w:rPr>
          <w:rFonts w:eastAsia="Arial Unicode MS" w:cs="Sabon Unicode"/>
          <w:b/>
          <w:bCs/>
          <w:i/>
          <w:iCs/>
          <w:color w:val="000000"/>
          <w:szCs w:val="21"/>
          <w:lang w:eastAsia="it-IT" w:bidi="en-GB"/>
        </w:rPr>
        <w:t>atra</w:t>
      </w:r>
      <w:r>
        <w:rPr>
          <w:rFonts w:eastAsia="Arial Unicode MS" w:cs="Sabon Unicode"/>
          <w:i/>
          <w:iCs/>
          <w:color w:val="000000"/>
          <w:szCs w:val="21"/>
          <w:lang w:eastAsia="it-IT" w:bidi="en-GB"/>
        </w:rPr>
        <w:t>-</w:t>
      </w:r>
      <w:r>
        <w:rPr>
          <w:rFonts w:eastAsia="Arial Unicode MS" w:cs="Sabon Unicode"/>
          <w:i/>
          <w:iCs/>
          <w:color w:val="000000"/>
          <w:szCs w:val="21"/>
          <w:lang w:eastAsia="it-IT" w:bidi="en-GB"/>
        </w:rPr>
        <w:t xml:space="preserve"> </w:t>
      </w:r>
      <w:r>
        <w:rPr>
          <w:rFonts w:eastAsia="Arial Unicode MS" w:cs="Sabon Unicode"/>
          <w:color w:val="000000"/>
          <w:szCs w:val="21"/>
          <w:lang w:eastAsia="it-IT" w:bidi="en-GB"/>
        </w:rPr>
        <w:t xml:space="preserve">which is one of the most recurring object of this verb. We will find this word also in non-R̥V </w:t>
      </w:r>
      <w:r>
        <w:rPr>
          <w:rFonts w:eastAsia="Arial Unicode MS" w:cs="Sabon Unicode"/>
          <w:i/>
          <w:iCs/>
          <w:color w:val="000000"/>
          <w:szCs w:val="21"/>
          <w:lang w:eastAsia="it-IT" w:bidi="en-GB"/>
        </w:rPr>
        <w:t>mantra</w:t>
      </w:r>
      <w:r>
        <w:rPr>
          <w:rFonts w:eastAsia="Arial Unicode MS" w:cs="Sabon Unicode"/>
          <w:color w:val="000000"/>
          <w:szCs w:val="21"/>
          <w:lang w:eastAsia="it-IT" w:bidi="en-GB"/>
        </w:rPr>
        <w:t xml:space="preserve">s concerning the </w:t>
      </w:r>
      <w:r>
        <w:rPr>
          <w:rFonts w:eastAsia="Arial Unicode MS" w:cs="Sabon Unicode"/>
          <w:i/>
          <w:iCs/>
          <w:color w:val="000000"/>
          <w:szCs w:val="21"/>
          <w:lang w:eastAsia="it-IT" w:bidi="en-GB"/>
        </w:rPr>
        <w:t>Abhi</w:t>
      </w:r>
      <w:r>
        <w:rPr>
          <w:rFonts w:eastAsia="Arial Unicode MS" w:cs="Sabon Unicode"/>
          <w:i/>
          <w:iCs/>
          <w:color w:val="000000"/>
          <w:szCs w:val="21"/>
          <w:lang w:eastAsia="it-IT" w:bidi="en-GB"/>
        </w:rPr>
        <w:t>ṣ</w:t>
      </w:r>
      <w:r>
        <w:rPr>
          <w:rFonts w:eastAsia="Arial Unicode MS" w:cs="Sabon Unicode"/>
          <w:i/>
          <w:iCs/>
          <w:color w:val="000000"/>
          <w:szCs w:val="21"/>
          <w:lang w:eastAsia="it-IT" w:bidi="en-GB"/>
        </w:rPr>
        <w:t>eka</w:t>
      </w:r>
      <w:r>
        <w:rPr>
          <w:rFonts w:eastAsia="Arial Unicode MS" w:cs="Sabon Unicode"/>
          <w:color w:val="000000"/>
          <w:szCs w:val="21"/>
          <w:lang w:eastAsia="it-IT" w:bidi="en-GB"/>
        </w:rPr>
        <w:t xml:space="preserve"> rite and it is used five times, namely in MS 2.6.8; MS 4.4.2; KS 15.6; VS 10</w:t>
      </w:r>
      <w:r>
        <w:rPr>
          <w:rFonts w:eastAsia="Arial Unicode MS" w:cs="Sabon Unicode"/>
          <w:color w:val="000000"/>
          <w:szCs w:val="21"/>
          <w:lang w:eastAsia="it-IT" w:bidi="en-GB"/>
        </w:rPr>
        <w:t xml:space="preserve">.4 and ŚB 5.3.4.27. To this stanza also TS 1.8.12.1 is connected, where the object is </w:t>
      </w:r>
      <w:r>
        <w:rPr>
          <w:rFonts w:eastAsia="Arial Unicode MS" w:cs="Sabon Unicode"/>
          <w:b/>
          <w:bCs/>
          <w:i/>
          <w:iCs/>
          <w:color w:val="000000"/>
          <w:szCs w:val="21"/>
          <w:lang w:eastAsia="it-IT" w:bidi="en-GB"/>
        </w:rPr>
        <w:t>varcas</w:t>
      </w:r>
      <w:r>
        <w:rPr>
          <w:rFonts w:eastAsia="Arial Unicode MS" w:cs="Sabon Unicode"/>
          <w:i/>
          <w:iCs/>
          <w:color w:val="000000"/>
          <w:szCs w:val="21"/>
          <w:lang w:eastAsia="it-IT" w:bidi="en-GB"/>
        </w:rPr>
        <w:t>-</w:t>
      </w:r>
      <w:r>
        <w:rPr>
          <w:rFonts w:eastAsia="Arial Unicode MS" w:cs="Sabon Unicode"/>
          <w:color w:val="000000"/>
          <w:szCs w:val="21"/>
          <w:lang w:eastAsia="it-IT" w:bidi="en-GB"/>
        </w:rPr>
        <w:t xml:space="preserve"> the splendour, the vital power conceptually overlapping with the idea of “power to rule”. </w:t>
      </w:r>
      <w:r>
        <w:rPr>
          <w:rFonts w:eastAsia="MS Mincho;ＭＳ 明朝" w:cs="Times Ext Roman"/>
          <w:szCs w:val="21"/>
          <w:lang w:eastAsia="hi-IN" w:bidi="en-GB"/>
        </w:rPr>
        <w:t xml:space="preserve">Together with </w:t>
      </w:r>
      <w:r>
        <w:rPr>
          <w:rFonts w:eastAsia="MS Mincho;ＭＳ 明朝" w:cs="Times Ext Roman"/>
          <w:b/>
          <w:bCs/>
          <w:i/>
          <w:iCs/>
          <w:szCs w:val="21"/>
          <w:lang w:eastAsia="hi-IN" w:bidi="en-GB"/>
        </w:rPr>
        <w:t>nárya</w:t>
      </w:r>
      <w:r>
        <w:rPr>
          <w:rFonts w:eastAsia="MS Mincho;ＭＳ 明朝" w:cs="Times Ext Roman"/>
          <w:szCs w:val="21"/>
          <w:lang w:eastAsia="hi-IN" w:bidi="en-GB"/>
        </w:rPr>
        <w:t>- (see TB 2.4.3.5 quoting R̥V 7.100.1),</w:t>
      </w:r>
      <w:r>
        <w:rPr>
          <w:rFonts w:eastAsia="MS Mincho;ＭＳ 明朝" w:cs="Times Ext Roman"/>
          <w:szCs w:val="21"/>
          <w:lang w:eastAsia="hi-IN" w:bidi="en-GB"/>
        </w:rPr>
        <w:t xml:space="preserve"> all these 3 objects can be grouped together within the semantic field of power and the Vedic ideals for sovereignty, that, as said before, was one of the salient aspects within the poetical production too (see </w:t>
      </w:r>
      <w:r>
        <w:rPr>
          <w:rStyle w:val="biblio-authorGEN"/>
          <w:rFonts w:eastAsia="MS Mincho;ＭＳ 明朝" w:cs="Times Ext Roman"/>
          <w:szCs w:val="21"/>
          <w:lang w:eastAsia="hi-IN" w:bidi="en-GB"/>
        </w:rPr>
        <w:t>Proferes</w:t>
      </w:r>
      <w:r>
        <w:rPr>
          <w:rFonts w:eastAsia="MS Mincho;ＭＳ 明朝" w:cs="Times Ext Roman"/>
          <w:szCs w:val="21"/>
          <w:lang w:eastAsia="hi-IN" w:bidi="en-GB"/>
        </w:rPr>
        <w:t xml:space="preserve"> 2007).</w:t>
      </w:r>
    </w:p>
    <w:p w14:paraId="48E541D3" w14:textId="77777777" w:rsidR="00E53EB6" w:rsidRDefault="006500F5">
      <w:pPr>
        <w:pStyle w:val="HaupttextohneEinzug"/>
      </w:pPr>
      <w:r>
        <w:rPr>
          <w:rFonts w:eastAsia="Arial Unicode MS" w:cs="Sabon Unicode"/>
          <w:color w:val="000000"/>
          <w:szCs w:val="21"/>
          <w:lang w:eastAsia="it-IT" w:bidi="en-GB"/>
        </w:rPr>
        <w:t xml:space="preserve">Two times we find </w:t>
      </w:r>
      <w:r>
        <w:rPr>
          <w:rFonts w:eastAsia="Arial Unicode MS" w:cs="Sabon Unicode"/>
          <w:b/>
          <w:bCs/>
          <w:i/>
          <w:iCs/>
          <w:color w:val="000000"/>
          <w:szCs w:val="21"/>
          <w:lang w:eastAsia="it-IT" w:bidi="en-GB"/>
        </w:rPr>
        <w:t>vasu-</w:t>
      </w:r>
      <w:r>
        <w:rPr>
          <w:rFonts w:eastAsia="Arial Unicode MS" w:cs="Sabon Unicode"/>
          <w:color w:val="000000"/>
          <w:szCs w:val="21"/>
          <w:lang w:eastAsia="it-IT" w:bidi="en-GB"/>
        </w:rPr>
        <w:t xml:space="preserve"> not u</w:t>
      </w:r>
      <w:r>
        <w:rPr>
          <w:rFonts w:eastAsia="Arial Unicode MS" w:cs="Sabon Unicode"/>
          <w:color w:val="000000"/>
          <w:szCs w:val="21"/>
          <w:lang w:eastAsia="it-IT" w:bidi="en-GB"/>
        </w:rPr>
        <w:t>nderstood as the group of gods but simply as the wealth, something good as in R̥V 7.15.4 quoted in KS 40.14 and in TB 2.4.8.1, as well as in R̥V 7.94.9 quoted in KS 4.15:</w:t>
      </w:r>
    </w:p>
    <w:p w14:paraId="1E1B09A8" w14:textId="77777777" w:rsidR="00E53EB6" w:rsidRDefault="006500F5">
      <w:pPr>
        <w:pStyle w:val="Zitat"/>
      </w:pPr>
      <w:r>
        <w:rPr>
          <w:rFonts w:eastAsia="MS Mincho" w:cs="Devanagari MT"/>
        </w:rPr>
        <w:t>R̥V 7.94.9</w:t>
      </w:r>
      <w:r>
        <w:rPr>
          <w:rFonts w:eastAsia="MS Mincho" w:cs="Devanagari MT"/>
          <w:i/>
          <w:iCs/>
        </w:rPr>
        <w:t xml:space="preserve"> gómad dhíra</w:t>
      </w:r>
      <w:r>
        <w:rPr>
          <w:rFonts w:eastAsia="MS Mincho" w:cs="Devanagari MT"/>
          <w:i/>
          <w:iCs/>
        </w:rPr>
        <w:t>ṇ</w:t>
      </w:r>
      <w:r>
        <w:rPr>
          <w:rFonts w:eastAsia="MS Mincho" w:cs="Devanagari MT"/>
          <w:i/>
          <w:iCs/>
        </w:rPr>
        <w:t>yavad  vásu yád vām áśvāvad ī́mahe /  índrāgnī tád vanemahi //</w:t>
      </w:r>
    </w:p>
    <w:p w14:paraId="0E4E28E2" w14:textId="77777777" w:rsidR="00E53EB6" w:rsidRDefault="006500F5">
      <w:pPr>
        <w:pStyle w:val="Zitat"/>
      </w:pPr>
      <w:r>
        <w:rPr>
          <w:rFonts w:eastAsia="MS Mincho" w:cs="Devanagari MT"/>
          <w:color w:val="000000"/>
          <w:lang w:eastAsia="it-IT"/>
        </w:rPr>
        <w:t xml:space="preserve">This wealth made of cattle, gold and horses, we come to you praying for, o Indra and Agni, may we </w:t>
      </w:r>
      <w:r>
        <w:rPr>
          <w:rFonts w:eastAsia="MS Mincho" w:cs="Devanagari MT"/>
          <w:color w:val="000000"/>
          <w:u w:val="single"/>
          <w:lang w:eastAsia="it-IT"/>
        </w:rPr>
        <w:t>appropriate</w:t>
      </w:r>
      <w:r>
        <w:rPr>
          <w:rFonts w:eastAsia="MS Mincho" w:cs="Devanagari MT"/>
          <w:color w:val="000000"/>
          <w:lang w:eastAsia="it-IT"/>
        </w:rPr>
        <w:t xml:space="preserve"> it for ourselves.</w:t>
      </w:r>
    </w:p>
    <w:p w14:paraId="67831814" w14:textId="77777777" w:rsidR="00E53EB6" w:rsidRDefault="006500F5">
      <w:pPr>
        <w:pStyle w:val="HaupttextnachZitat"/>
      </w:pPr>
      <w:r>
        <w:rPr>
          <w:rFonts w:eastAsia="Arial Unicode MS" w:cs="Sabon Unicode"/>
          <w:color w:val="000000"/>
          <w:szCs w:val="21"/>
          <w:lang w:eastAsia="it-IT" w:bidi="en-GB"/>
        </w:rPr>
        <w:t xml:space="preserve">Finally, the stanza R̥V 6.6.3, used in TS 3.3.11.1 as well as in ŚB 12.4.4.2, is a clear “para-etymological pun” with the word for wood </w:t>
      </w:r>
      <w:r>
        <w:rPr>
          <w:rFonts w:eastAsia="Arial Unicode MS" w:cs="Sabon Unicode"/>
          <w:b/>
          <w:bCs/>
          <w:i/>
          <w:iCs/>
          <w:color w:val="000000"/>
          <w:szCs w:val="21"/>
          <w:lang w:eastAsia="it-IT" w:bidi="en-GB"/>
        </w:rPr>
        <w:t>vana</w:t>
      </w:r>
      <w:r>
        <w:rPr>
          <w:rFonts w:eastAsia="Arial Unicode MS" w:cs="Sabon Unicode"/>
          <w:i/>
          <w:iCs/>
          <w:color w:val="000000"/>
          <w:szCs w:val="21"/>
          <w:lang w:eastAsia="it-IT" w:bidi="en-GB"/>
        </w:rPr>
        <w:t xml:space="preserve">-: </w:t>
      </w:r>
    </w:p>
    <w:p w14:paraId="2B3F9707" w14:textId="77777777" w:rsidR="00E53EB6" w:rsidRDefault="006500F5">
      <w:pPr>
        <w:pStyle w:val="Zitat"/>
      </w:pPr>
      <w:r>
        <w:rPr>
          <w:i/>
          <w:iCs/>
          <w:color w:val="000000"/>
          <w:lang w:eastAsia="hi-IN"/>
        </w:rPr>
        <w:t>ví te ví</w:t>
      </w:r>
      <w:r>
        <w:rPr>
          <w:i/>
          <w:iCs/>
          <w:color w:val="000000"/>
          <w:lang w:eastAsia="hi-IN"/>
        </w:rPr>
        <w:t>ṣ</w:t>
      </w:r>
      <w:r>
        <w:rPr>
          <w:i/>
          <w:iCs/>
          <w:color w:val="000000"/>
          <w:lang w:eastAsia="hi-IN"/>
        </w:rPr>
        <w:t>vag vā́tajūtāso agne bhā́māsa</w:t>
      </w:r>
      <w:r>
        <w:rPr>
          <w:i/>
          <w:iCs/>
          <w:color w:val="000000"/>
          <w:lang w:eastAsia="hi-IN"/>
        </w:rPr>
        <w:t>ḥ</w:t>
      </w:r>
      <w:r>
        <w:rPr>
          <w:i/>
          <w:iCs/>
          <w:color w:val="000000"/>
          <w:lang w:eastAsia="hi-IN"/>
        </w:rPr>
        <w:t xml:space="preserve"> /</w:t>
      </w:r>
      <w:r>
        <w:rPr>
          <w:rFonts w:eastAsia="Arial Unicode MS" w:cs="Sabon Unicode"/>
          <w:i/>
          <w:iCs/>
          <w:color w:val="000000"/>
          <w:lang w:eastAsia="it-IT"/>
        </w:rPr>
        <w:t xml:space="preserve"> śuce śúcayaś caranti / tuvimrak</w:t>
      </w:r>
      <w:r>
        <w:rPr>
          <w:rFonts w:eastAsia="Arial Unicode MS" w:cs="Sabon Unicode"/>
          <w:i/>
          <w:iCs/>
          <w:color w:val="000000"/>
          <w:lang w:eastAsia="it-IT"/>
        </w:rPr>
        <w:t>ṣ</w:t>
      </w:r>
      <w:r>
        <w:rPr>
          <w:rFonts w:eastAsia="Arial Unicode MS" w:cs="Sabon Unicode"/>
          <w:i/>
          <w:iCs/>
          <w:color w:val="000000"/>
          <w:lang w:eastAsia="it-IT"/>
        </w:rPr>
        <w:t>ā́so divyā́ návagvā vánā vananti dh</w:t>
      </w:r>
      <w:r>
        <w:rPr>
          <w:rFonts w:eastAsia="Arial Unicode MS" w:cs="Sabon Unicode"/>
          <w:i/>
          <w:iCs/>
          <w:color w:val="000000"/>
          <w:lang w:eastAsia="it-IT" w:bidi="en-US"/>
        </w:rPr>
        <w:t>r</w:t>
      </w:r>
      <w:r>
        <w:rPr>
          <w:rFonts w:eastAsia="Arial Unicode MS" w:cs="Devanagari MT;Times New Roman"/>
          <w:color w:val="000000"/>
          <w:lang w:eastAsia="it-IT"/>
        </w:rPr>
        <w:t>̥</w:t>
      </w:r>
      <w:r>
        <w:rPr>
          <w:rFonts w:eastAsia="Arial Unicode MS" w:cs="Sabon Unicode"/>
          <w:i/>
          <w:iCs/>
          <w:color w:val="000000"/>
          <w:lang w:eastAsia="it-IT"/>
        </w:rPr>
        <w:t>ṣ</w:t>
      </w:r>
      <w:r>
        <w:rPr>
          <w:rFonts w:eastAsia="Arial Unicode MS" w:cs="Sabon Unicode"/>
          <w:i/>
          <w:iCs/>
          <w:color w:val="000000"/>
          <w:lang w:eastAsia="it-IT"/>
        </w:rPr>
        <w:t>atā́ rujánta</w:t>
      </w:r>
      <w:r>
        <w:rPr>
          <w:rFonts w:eastAsia="Arial Unicode MS" w:cs="Sabon Unicode"/>
          <w:i/>
          <w:iCs/>
          <w:color w:val="000000"/>
          <w:lang w:eastAsia="it-IT"/>
        </w:rPr>
        <w:t>ḥ</w:t>
      </w:r>
    </w:p>
    <w:p w14:paraId="4191A044" w14:textId="77777777" w:rsidR="00E53EB6" w:rsidRDefault="006500F5">
      <w:pPr>
        <w:pStyle w:val="Zitat"/>
      </w:pPr>
      <w:r>
        <w:rPr>
          <w:rFonts w:eastAsia="Arial Unicode MS" w:cs="Sabon Unicode"/>
          <w:color w:val="000000"/>
          <w:lang w:eastAsia="it-IT"/>
        </w:rPr>
        <w:t>Shaken everywhere by the wind, yo</w:t>
      </w:r>
      <w:r>
        <w:rPr>
          <w:rFonts w:eastAsia="Arial Unicode MS" w:cs="Sabon Unicode"/>
          <w:color w:val="000000"/>
          <w:lang w:eastAsia="it-IT"/>
        </w:rPr>
        <w:t xml:space="preserve">ur gleaming/glowing flames, o gleaming/glowing Agni, are moving in every direction,  big destroyers like the divine Navagva, they </w:t>
      </w:r>
      <w:r>
        <w:rPr>
          <w:rFonts w:eastAsia="Arial Unicode MS" w:cs="Sabon Unicode"/>
          <w:color w:val="000000"/>
          <w:u w:val="single"/>
          <w:lang w:eastAsia="it-IT"/>
        </w:rPr>
        <w:t>appropriate</w:t>
      </w:r>
      <w:r>
        <w:rPr>
          <w:rFonts w:eastAsia="Arial Unicode MS" w:cs="Sabon Unicode"/>
          <w:color w:val="000000"/>
          <w:lang w:eastAsia="it-IT"/>
        </w:rPr>
        <w:t xml:space="preserve">  the</w:t>
      </w:r>
      <w:r>
        <w:rPr>
          <w:rFonts w:eastAsia="Arial Unicode MS" w:cs="Sabon Unicode"/>
          <w:color w:val="000000"/>
          <w:lang w:eastAsia="it-IT"/>
        </w:rPr>
        <w:t xml:space="preserve"> wood breaking them boldly.</w:t>
      </w:r>
    </w:p>
    <w:p w14:paraId="0ABE1770" w14:textId="77777777" w:rsidR="00E53EB6" w:rsidRDefault="006500F5">
      <w:pPr>
        <w:pStyle w:val="HaupttextnachZitat"/>
      </w:pPr>
      <w:r>
        <w:rPr>
          <w:rFonts w:eastAsia="Arial Unicode MS" w:cs="Sabon Unicode"/>
          <w:color w:val="000000"/>
          <w:szCs w:val="21"/>
          <w:lang w:eastAsia="it-IT" w:bidi="en-GB"/>
        </w:rPr>
        <w:t>In the Brāhma</w:t>
      </w:r>
      <w:r>
        <w:rPr>
          <w:rFonts w:eastAsia="Arial Unicode MS" w:cs="Sabon Unicode"/>
          <w:color w:val="000000"/>
          <w:szCs w:val="21"/>
          <w:lang w:eastAsia="it-IT" w:bidi="en-GB"/>
        </w:rPr>
        <w:t>ṇ</w:t>
      </w:r>
      <w:r>
        <w:rPr>
          <w:rFonts w:eastAsia="Arial Unicode MS" w:cs="Sabon Unicode"/>
          <w:color w:val="000000"/>
          <w:szCs w:val="21"/>
          <w:lang w:eastAsia="it-IT" w:bidi="en-GB"/>
        </w:rPr>
        <w:t>as we find again the very same concrete objects as the Sa</w:t>
      </w:r>
      <w:r>
        <w:rPr>
          <w:rFonts w:eastAsia="Arial Unicode MS" w:cs="Sabon Unicode"/>
          <w:color w:val="000000"/>
          <w:szCs w:val="21"/>
          <w:lang w:eastAsia="it-IT" w:bidi="en-GB"/>
        </w:rPr>
        <w:t>ṃ</w:t>
      </w:r>
      <w:r>
        <w:rPr>
          <w:rFonts w:eastAsia="Arial Unicode MS" w:cs="Sabon Unicode"/>
          <w:color w:val="000000"/>
          <w:szCs w:val="21"/>
          <w:lang w:eastAsia="it-IT" w:bidi="en-GB"/>
        </w:rPr>
        <w:t xml:space="preserve">hitās: in </w:t>
      </w:r>
      <w:r>
        <w:rPr>
          <w:rFonts w:eastAsia="Arial Unicode MS" w:cs="Sabon Unicode"/>
          <w:color w:val="000000"/>
          <w:szCs w:val="21"/>
          <w:lang w:eastAsia="it-IT" w:bidi="en-GB"/>
        </w:rPr>
        <w:t xml:space="preserve">TB 2.4.3.10 and TB 3.7.9.6 quoting the R̥V </w:t>
      </w:r>
      <w:r>
        <w:rPr>
          <w:rFonts w:eastAsia="Arial Unicode MS" w:cs="Sabon Unicode"/>
          <w:i/>
          <w:iCs/>
          <w:color w:val="000000"/>
          <w:szCs w:val="21"/>
          <w:lang w:eastAsia="it-IT" w:bidi="en-GB"/>
        </w:rPr>
        <w:t xml:space="preserve">mantra </w:t>
      </w:r>
      <w:r>
        <w:rPr>
          <w:rFonts w:eastAsia="Arial Unicode MS" w:cs="Sabon Unicode"/>
          <w:color w:val="000000"/>
          <w:szCs w:val="21"/>
          <w:lang w:eastAsia="it-IT" w:bidi="en-GB"/>
        </w:rPr>
        <w:t>10.96.1 the intoxicating drink (</w:t>
      </w:r>
      <w:r>
        <w:rPr>
          <w:rFonts w:eastAsia="Arial Unicode MS" w:cs="Sabon Unicode"/>
          <w:b/>
          <w:bCs/>
          <w:i/>
          <w:iCs/>
          <w:color w:val="000000"/>
          <w:szCs w:val="21"/>
          <w:lang w:eastAsia="it-IT" w:bidi="en-GB"/>
        </w:rPr>
        <w:t>máda</w:t>
      </w:r>
      <w:r>
        <w:rPr>
          <w:rFonts w:eastAsia="Arial Unicode MS" w:cs="Sabon Unicode"/>
          <w:i/>
          <w:iCs/>
          <w:color w:val="000000"/>
          <w:szCs w:val="21"/>
          <w:lang w:eastAsia="it-IT" w:bidi="en-GB"/>
        </w:rPr>
        <w:t>-</w:t>
      </w:r>
      <w:r>
        <w:rPr>
          <w:rFonts w:eastAsia="Arial Unicode MS" w:cs="Sabon Unicode"/>
          <w:color w:val="000000"/>
          <w:szCs w:val="21"/>
          <w:lang w:eastAsia="it-IT" w:bidi="en-GB"/>
        </w:rPr>
        <w:t>) of which Indra is so eager is the object of this verses, that we have already analysed for the interpolation it has undergone (cf. § III.1.3).</w:t>
      </w:r>
    </w:p>
    <w:p w14:paraId="3995E926" w14:textId="77777777" w:rsidR="00E53EB6" w:rsidRDefault="006500F5">
      <w:pPr>
        <w:pStyle w:val="HaupttextohneEinzug"/>
      </w:pPr>
      <w:r>
        <w:rPr>
          <w:rFonts w:eastAsia="Arial Unicode MS" w:cs="Sabon Unicode"/>
          <w:color w:val="000000"/>
          <w:szCs w:val="21"/>
          <w:lang w:eastAsia="it-IT" w:bidi="en-GB"/>
        </w:rPr>
        <w:t xml:space="preserve">In the same way, in ŚB </w:t>
      </w:r>
      <w:r>
        <w:rPr>
          <w:rFonts w:eastAsia="Arial Unicode MS" w:cs="Sabon Unicode"/>
          <w:color w:val="000000"/>
          <w:szCs w:val="21"/>
          <w:lang w:eastAsia="it-IT" w:bidi="en-GB"/>
        </w:rPr>
        <w:t>10.1.1.10 quoting R̥V 10.107.7 the object of the verb is the food (</w:t>
      </w:r>
      <w:r>
        <w:rPr>
          <w:rFonts w:eastAsia="Arial Unicode MS" w:cs="Sabon Unicode"/>
          <w:b/>
          <w:bCs/>
          <w:i/>
          <w:iCs/>
          <w:color w:val="000000"/>
          <w:szCs w:val="21"/>
          <w:lang w:eastAsia="it-IT" w:bidi="en-GB"/>
        </w:rPr>
        <w:t>anna</w:t>
      </w:r>
      <w:r>
        <w:rPr>
          <w:rFonts w:eastAsia="Arial Unicode MS" w:cs="Sabon Unicode"/>
          <w:i/>
          <w:iCs/>
          <w:color w:val="000000"/>
          <w:szCs w:val="21"/>
          <w:lang w:eastAsia="it-IT" w:bidi="en-GB"/>
        </w:rPr>
        <w:t>-</w:t>
      </w:r>
      <w:r>
        <w:rPr>
          <w:rFonts w:eastAsia="Arial Unicode MS" w:cs="Sabon Unicode"/>
          <w:color w:val="000000"/>
          <w:szCs w:val="21"/>
          <w:lang w:eastAsia="it-IT" w:bidi="en-GB"/>
        </w:rPr>
        <w:t xml:space="preserve">), whereas it is clearly connected with the central idea of the </w:t>
      </w:r>
      <w:r>
        <w:rPr>
          <w:rFonts w:eastAsia="Arial Unicode MS" w:cs="Sabon Unicode"/>
          <w:i/>
          <w:iCs/>
          <w:color w:val="000000"/>
          <w:szCs w:val="21"/>
          <w:lang w:eastAsia="it-IT" w:bidi="en-GB"/>
        </w:rPr>
        <w:t xml:space="preserve">ātmán </w:t>
      </w:r>
      <w:r>
        <w:rPr>
          <w:rFonts w:eastAsia="Arial Unicode MS" w:cs="Sabon Unicode"/>
          <w:color w:val="000000"/>
          <w:szCs w:val="21"/>
          <w:lang w:eastAsia="it-IT" w:bidi="en-GB"/>
        </w:rPr>
        <w:t>as the breath and the self:</w:t>
      </w:r>
      <w:r>
        <w:rPr>
          <w:rFonts w:eastAsia="Arial Unicode MS" w:cs="Sabon Unicode"/>
          <w:color w:val="000000"/>
          <w:szCs w:val="21"/>
          <w:lang w:eastAsia="it-IT" w:bidi="en-GB"/>
        </w:rPr>
        <w:t xml:space="preserve"> </w:t>
      </w:r>
    </w:p>
    <w:p w14:paraId="471E18E4" w14:textId="77777777" w:rsidR="00E53EB6" w:rsidRDefault="006500F5">
      <w:pPr>
        <w:pStyle w:val="Zitat"/>
      </w:pPr>
      <w:r>
        <w:t xml:space="preserve">10.1.1.10 </w:t>
      </w:r>
      <w:r>
        <w:rPr>
          <w:i/>
          <w:iCs/>
        </w:rPr>
        <w:t>e</w:t>
      </w:r>
      <w:r>
        <w:rPr>
          <w:i/>
          <w:iCs/>
        </w:rPr>
        <w:t>ṣ</w:t>
      </w:r>
      <w:r>
        <w:rPr>
          <w:i/>
          <w:iCs/>
        </w:rPr>
        <w:t>ò atrā́pīti</w:t>
      </w:r>
      <w:r>
        <w:rPr>
          <w:i/>
          <w:iCs/>
        </w:rPr>
        <w:t>ḥ</w:t>
      </w:r>
      <w:r>
        <w:rPr>
          <w:i/>
          <w:iCs/>
        </w:rPr>
        <w:t xml:space="preserve"> / ná ha vā́ asyāputrátāyai kā́ caná śa</w:t>
      </w:r>
      <w:r>
        <w:rPr>
          <w:i/>
          <w:iCs/>
        </w:rPr>
        <w:t>ṅ</w:t>
      </w:r>
      <w:r>
        <w:rPr>
          <w:i/>
          <w:iCs/>
        </w:rPr>
        <w:t>kā́ bhavati yá evámet</w:t>
      </w:r>
      <w:r>
        <w:rPr>
          <w:i/>
          <w:iCs/>
        </w:rPr>
        <w:t>aú mithunā́vātmā́na</w:t>
      </w:r>
      <w:r>
        <w:rPr>
          <w:i/>
          <w:iCs/>
        </w:rPr>
        <w:t>ṃ</w:t>
      </w:r>
      <w:r>
        <w:rPr>
          <w:i/>
          <w:iCs/>
        </w:rPr>
        <w:t xml:space="preserve"> cāgní</w:t>
      </w:r>
      <w:r>
        <w:rPr>
          <w:i/>
          <w:iCs/>
        </w:rPr>
        <w:t>ṃ</w:t>
      </w:r>
      <w:r>
        <w:rPr>
          <w:i/>
          <w:iCs/>
        </w:rPr>
        <w:t xml:space="preserve"> ca vedā́nna</w:t>
      </w:r>
      <w:r>
        <w:rPr>
          <w:i/>
          <w:iCs/>
        </w:rPr>
        <w:t>ṃ</w:t>
      </w:r>
      <w:r>
        <w:rPr>
          <w:i/>
          <w:iCs/>
        </w:rPr>
        <w:t xml:space="preserve"> ha tvèvā̀yámātmā dák</w:t>
      </w:r>
      <w:r>
        <w:rPr>
          <w:i/>
          <w:iCs/>
        </w:rPr>
        <w:t>ṣ</w:t>
      </w:r>
      <w:r>
        <w:rPr>
          <w:i/>
          <w:iCs/>
        </w:rPr>
        <w:t>i</w:t>
      </w:r>
      <w:r>
        <w:rPr>
          <w:i/>
          <w:iCs/>
        </w:rPr>
        <w:t>ṇ</w:t>
      </w:r>
      <w:r>
        <w:rPr>
          <w:i/>
          <w:iCs/>
        </w:rPr>
        <w:t>ā́nna</w:t>
      </w:r>
      <w:r>
        <w:rPr>
          <w:i/>
          <w:iCs/>
        </w:rPr>
        <w:t>ṃ</w:t>
      </w:r>
      <w:r>
        <w:rPr>
          <w:i/>
          <w:iCs/>
        </w:rPr>
        <w:t xml:space="preserve"> vanute yó na ātméti hyapyŕ̥</w:t>
      </w:r>
      <w:r>
        <w:rPr>
          <w:i/>
          <w:iCs/>
        </w:rPr>
        <w:t>ṣ</w:t>
      </w:r>
      <w:r>
        <w:rPr>
          <w:i/>
          <w:iCs/>
        </w:rPr>
        <w:t>i</w:t>
      </w:r>
      <w:r>
        <w:rPr>
          <w:i/>
          <w:iCs/>
        </w:rPr>
        <w:t>ṇ</w:t>
      </w:r>
      <w:r>
        <w:rPr>
          <w:i/>
          <w:iCs/>
        </w:rPr>
        <w:t>ābhyùktam</w:t>
      </w:r>
    </w:p>
    <w:p w14:paraId="68ADC49B" w14:textId="77777777" w:rsidR="00E53EB6" w:rsidRDefault="006500F5">
      <w:pPr>
        <w:pStyle w:val="Zitat"/>
      </w:pPr>
      <w:r>
        <w:rPr>
          <w:rFonts w:eastAsia="MS Mincho;ＭＳ 明朝"/>
          <w:lang w:eastAsia="hi-IN"/>
        </w:rPr>
        <w:t>This</w:t>
      </w:r>
      <w:r>
        <w:rPr>
          <w:rStyle w:val="FootnoteAnchor"/>
          <w:rFonts w:eastAsia="MS Mincho;ＭＳ 明朝"/>
          <w:lang w:eastAsia="hi-IN"/>
        </w:rPr>
        <w:footnoteReference w:id="393"/>
      </w:r>
      <w:r>
        <w:rPr>
          <w:rFonts w:eastAsia="MS Mincho;ＭＳ 明朝"/>
          <w:lang w:eastAsia="hi-IN"/>
        </w:rPr>
        <w:t xml:space="preserve"> is also here indeed, there is absolutely no fear of him</w:t>
      </w:r>
      <w:r>
        <w:rPr>
          <w:rStyle w:val="FootnoteAnchor"/>
          <w:rFonts w:eastAsia="MS Mincho;ＭＳ 明朝"/>
          <w:lang w:eastAsia="hi-IN"/>
        </w:rPr>
        <w:footnoteReference w:id="394"/>
      </w:r>
      <w:r>
        <w:rPr>
          <w:rFonts w:eastAsia="MS Mincho;ＭＳ 明朝"/>
          <w:lang w:eastAsia="hi-IN"/>
        </w:rPr>
        <w:t xml:space="preserve"> for the lack of offspring, for the one who knows indeed these two,</w:t>
      </w:r>
      <w:r>
        <w:rPr>
          <w:rFonts w:eastAsia="MS Mincho;ＭＳ 明朝"/>
          <w:i/>
          <w:iCs/>
          <w:lang w:eastAsia="hi-IN"/>
        </w:rPr>
        <w:t xml:space="preserve"> </w:t>
      </w:r>
      <w:r>
        <w:rPr>
          <w:rFonts w:eastAsia="MS Mincho;ＭＳ 明朝"/>
          <w:lang w:eastAsia="hi-IN"/>
        </w:rPr>
        <w:t>the body (</w:t>
      </w:r>
      <w:r>
        <w:rPr>
          <w:rFonts w:eastAsia="MS Mincho;ＭＳ 明朝"/>
          <w:i/>
          <w:iCs/>
          <w:lang w:eastAsia="hi-IN"/>
        </w:rPr>
        <w:t>ātmán</w:t>
      </w:r>
      <w:r>
        <w:rPr>
          <w:rStyle w:val="FootnoteAnchor"/>
          <w:rFonts w:eastAsia="MS Mincho;ＭＳ 明朝"/>
          <w:lang w:eastAsia="hi-IN"/>
        </w:rPr>
        <w:footnoteReference w:id="395"/>
      </w:r>
      <w:r>
        <w:rPr>
          <w:rFonts w:eastAsia="MS Mincho;ＭＳ 明朝"/>
          <w:lang w:eastAsia="hi-IN"/>
        </w:rPr>
        <w:t>) and Agni being in pairs, but also the body</w:t>
      </w:r>
      <w:r>
        <w:rPr>
          <w:rFonts w:eastAsia="MS Mincho;ＭＳ 明朝"/>
          <w:i/>
          <w:iCs/>
          <w:lang w:eastAsia="hi-IN"/>
        </w:rPr>
        <w:t xml:space="preserve"> </w:t>
      </w:r>
      <w:r>
        <w:rPr>
          <w:rFonts w:eastAsia="MS Mincho;ＭＳ 明朝"/>
          <w:lang w:eastAsia="hi-IN"/>
        </w:rPr>
        <w:t>is the food “Dak</w:t>
      </w:r>
      <w:r>
        <w:rPr>
          <w:rFonts w:eastAsia="MS Mincho;ＭＳ 明朝"/>
          <w:lang w:eastAsia="hi-IN"/>
        </w:rPr>
        <w:t>ṣ</w:t>
      </w:r>
      <w:r>
        <w:rPr>
          <w:rFonts w:eastAsia="MS Mincho;ＭＳ 明朝"/>
          <w:lang w:eastAsia="hi-IN"/>
        </w:rPr>
        <w:t>i</w:t>
      </w:r>
      <w:r>
        <w:rPr>
          <w:rFonts w:eastAsia="MS Mincho;ＭＳ 明朝"/>
          <w:lang w:eastAsia="hi-IN"/>
        </w:rPr>
        <w:t>ṇ</w:t>
      </w:r>
      <w:r>
        <w:rPr>
          <w:rFonts w:eastAsia="MS Mincho;ＭＳ 明朝"/>
          <w:lang w:eastAsia="hi-IN"/>
        </w:rPr>
        <w:t xml:space="preserve">a </w:t>
      </w:r>
      <w:r>
        <w:rPr>
          <w:rFonts w:eastAsia="MS Mincho;ＭＳ 明朝"/>
          <w:u w:val="single"/>
          <w:lang w:eastAsia="hi-IN"/>
        </w:rPr>
        <w:lastRenderedPageBreak/>
        <w:t>appropriates</w:t>
      </w:r>
      <w:r>
        <w:rPr>
          <w:rFonts w:eastAsia="MS Mincho;ＭＳ 明朝"/>
          <w:lang w:eastAsia="hi-IN"/>
        </w:rPr>
        <w:t xml:space="preserve"> the food that is our vital breath (</w:t>
      </w:r>
      <w:r>
        <w:rPr>
          <w:rFonts w:eastAsia="MS Mincho;ＭＳ 明朝"/>
          <w:i/>
          <w:iCs/>
          <w:lang w:eastAsia="hi-IN"/>
        </w:rPr>
        <w:t>ātman</w:t>
      </w:r>
      <w:r>
        <w:rPr>
          <w:rFonts w:eastAsia="MS Mincho;ＭＳ 明朝"/>
          <w:lang w:eastAsia="hi-IN"/>
        </w:rPr>
        <w:t xml:space="preserve">)” indeed it has beed said by a seer. </w:t>
      </w:r>
    </w:p>
    <w:p w14:paraId="6D5C7015" w14:textId="77777777" w:rsidR="00E53EB6" w:rsidRDefault="00E53EB6">
      <w:pPr>
        <w:pStyle w:val="HaupttextohneEinzug"/>
        <w:rPr>
          <w:rFonts w:eastAsia="MS Mincho;ＭＳ 明朝" w:cs="Times Ext Roman"/>
          <w:szCs w:val="21"/>
          <w:lang w:eastAsia="hi-IN" w:bidi="en-GB"/>
        </w:rPr>
      </w:pPr>
    </w:p>
    <w:p w14:paraId="0E44C68D" w14:textId="77777777" w:rsidR="00E53EB6" w:rsidRDefault="006500F5">
      <w:pPr>
        <w:pStyle w:val="Hauptext"/>
      </w:pPr>
      <w:r>
        <w:rPr>
          <w:rFonts w:eastAsia="Arial Unicode MS" w:cs="Sabon Unicode"/>
          <w:b/>
          <w:bCs/>
          <w:color w:val="000000"/>
          <w:sz w:val="24"/>
          <w:szCs w:val="24"/>
          <w:lang w:eastAsia="it-IT" w:bidi="en-GB"/>
        </w:rPr>
        <w:t xml:space="preserve">b /c- </w:t>
      </w:r>
      <w:r>
        <w:rPr>
          <w:rFonts w:eastAsia="Arial Unicode MS" w:cs="Sabon Unicode"/>
          <w:color w:val="000000"/>
          <w:szCs w:val="21"/>
          <w:lang w:eastAsia="it-IT" w:bidi="en-GB"/>
        </w:rPr>
        <w:t xml:space="preserve">As we </w:t>
      </w:r>
      <w:r>
        <w:rPr>
          <w:rFonts w:eastAsia="Arial Unicode MS" w:cs="Sabon Unicode"/>
          <w:color w:val="000000"/>
          <w:szCs w:val="21"/>
          <w:lang w:eastAsia="it-IT" w:bidi="en-GB"/>
        </w:rPr>
        <w:t>discovered in</w:t>
      </w:r>
      <w:r>
        <w:rPr>
          <w:rFonts w:eastAsia="Arial Unicode MS" w:cs="Sabon Unicode"/>
          <w:color w:val="000000"/>
          <w:szCs w:val="21"/>
          <w:lang w:eastAsia="it-IT" w:bidi="en-GB"/>
        </w:rPr>
        <w:t xml:space="preserve"> the functional analysis of the R̥gvedic passages, there are occurrences where the man </w:t>
      </w:r>
      <w:r>
        <w:rPr>
          <w:rFonts w:eastAsia="Arial Unicode MS" w:cs="Sabon Unicode"/>
          <w:i/>
          <w:iCs/>
          <w:color w:val="000000"/>
          <w:szCs w:val="21"/>
          <w:lang w:eastAsia="it-IT" w:bidi="en-GB"/>
        </w:rPr>
        <w:t xml:space="preserve">van- </w:t>
      </w:r>
      <w:r>
        <w:rPr>
          <w:rFonts w:eastAsia="Arial Unicode MS" w:cs="Sabon Unicode"/>
          <w:color w:val="000000"/>
          <w:szCs w:val="21"/>
          <w:lang w:eastAsia="it-IT" w:bidi="en-GB"/>
        </w:rPr>
        <w:t xml:space="preserve">the </w:t>
      </w:r>
      <w:r>
        <w:rPr>
          <w:rFonts w:eastAsia="Arial Unicode MS" w:cs="Sabon Unicode"/>
          <w:b/>
          <w:bCs/>
          <w:color w:val="000000"/>
          <w:szCs w:val="21"/>
          <w:lang w:eastAsia="it-IT" w:bidi="en-GB"/>
        </w:rPr>
        <w:t xml:space="preserve">enemy; </w:t>
      </w:r>
      <w:r>
        <w:rPr>
          <w:rFonts w:eastAsia="Arial Unicode MS" w:cs="Sabon Unicode"/>
          <w:color w:val="000000"/>
          <w:szCs w:val="21"/>
          <w:lang w:eastAsia="it-IT" w:bidi="en-GB"/>
        </w:rPr>
        <w:t>in the later Sa</w:t>
      </w:r>
      <w:r>
        <w:rPr>
          <w:rFonts w:eastAsia="Arial Unicode MS" w:cs="Sabon Unicode"/>
          <w:color w:val="000000"/>
          <w:szCs w:val="21"/>
          <w:lang w:eastAsia="it-IT" w:bidi="en-GB"/>
        </w:rPr>
        <w:t>ṃ</w:t>
      </w:r>
      <w:r>
        <w:rPr>
          <w:rFonts w:eastAsia="Arial Unicode MS" w:cs="Sabon Unicode"/>
          <w:color w:val="000000"/>
          <w:szCs w:val="21"/>
          <w:lang w:eastAsia="it-IT" w:bidi="en-GB"/>
        </w:rPr>
        <w:t>hitās and in the Brāhma</w:t>
      </w:r>
      <w:r>
        <w:rPr>
          <w:rFonts w:eastAsia="Arial Unicode MS" w:cs="Sabon Unicode"/>
          <w:color w:val="000000"/>
          <w:szCs w:val="21"/>
          <w:lang w:eastAsia="it-IT" w:bidi="en-GB"/>
        </w:rPr>
        <w:t>ṇ</w:t>
      </w:r>
      <w:r>
        <w:rPr>
          <w:rFonts w:eastAsia="Arial Unicode MS" w:cs="Sabon Unicode"/>
          <w:color w:val="000000"/>
          <w:szCs w:val="21"/>
          <w:lang w:eastAsia="it-IT" w:bidi="en-GB"/>
        </w:rPr>
        <w:t>as this function of the nuclear meaning is the one the most decreasing one. In the R̥gvedic text this idea is deployed in two ways: the first one involves the simple verb and the direct object, that is the enemy, “th</w:t>
      </w:r>
      <w:r>
        <w:rPr>
          <w:rFonts w:eastAsia="Arial Unicode MS" w:cs="Sabon Unicode"/>
          <w:color w:val="000000"/>
          <w:szCs w:val="21"/>
          <w:lang w:eastAsia="it-IT" w:bidi="en-GB"/>
        </w:rPr>
        <w:t xml:space="preserve">e other”; we find it in VS 15.39-40 quoting R̥V 8.19.20  as well as in MS 4.14.10; TB 2.8.5.2 both quoting R̥V 2.25.1. </w:t>
      </w:r>
    </w:p>
    <w:p w14:paraId="7F81B881" w14:textId="77777777" w:rsidR="00E53EB6" w:rsidRDefault="006500F5">
      <w:pPr>
        <w:pStyle w:val="Zitat"/>
      </w:pPr>
      <w:r>
        <w:t xml:space="preserve">R̥V 2.25.1 </w:t>
      </w:r>
      <w:r>
        <w:rPr>
          <w:i/>
          <w:iCs/>
        </w:rPr>
        <w:t>índhāno agní</w:t>
      </w:r>
      <w:r>
        <w:rPr>
          <w:i/>
          <w:iCs/>
        </w:rPr>
        <w:t>ṃ</w:t>
      </w:r>
      <w:r>
        <w:rPr>
          <w:i/>
          <w:iCs/>
        </w:rPr>
        <w:t xml:space="preserve"> vanavad vanu</w:t>
      </w:r>
      <w:r>
        <w:rPr>
          <w:i/>
          <w:iCs/>
        </w:rPr>
        <w:t>ṣ</w:t>
      </w:r>
      <w:r>
        <w:rPr>
          <w:i/>
          <w:iCs/>
        </w:rPr>
        <w:t>yatá</w:t>
      </w:r>
      <w:r>
        <w:rPr>
          <w:i/>
          <w:iCs/>
        </w:rPr>
        <w:t>ḥ</w:t>
      </w:r>
      <w:r>
        <w:rPr>
          <w:i/>
          <w:iCs/>
        </w:rPr>
        <w:t xml:space="preserve"> / kr</w:t>
      </w:r>
      <w:r>
        <w:rPr>
          <w:rFonts w:cs="Devanagari MT;Times New Roman"/>
          <w:lang w:eastAsia="hi-IN"/>
        </w:rPr>
        <w:t>̥</w:t>
      </w:r>
      <w:r>
        <w:rPr>
          <w:i/>
          <w:iCs/>
        </w:rPr>
        <w:t>tábrahmā śūśuvad rātáhavya ít / jāténa jātám</w:t>
      </w:r>
      <w:r>
        <w:t xml:space="preserve"> </w:t>
      </w:r>
      <w:r>
        <w:rPr>
          <w:i/>
          <w:iCs/>
        </w:rPr>
        <w:t>áti sá prásarsr</w:t>
      </w:r>
      <w:r>
        <w:rPr>
          <w:rFonts w:cs="Devanagari MT;Times New Roman"/>
          <w:lang w:eastAsia="hi-IN"/>
        </w:rPr>
        <w:t>̥</w:t>
      </w:r>
      <w:r>
        <w:rPr>
          <w:i/>
          <w:iCs/>
        </w:rPr>
        <w:t>te / yá</w:t>
      </w:r>
      <w:r>
        <w:rPr>
          <w:i/>
          <w:iCs/>
        </w:rPr>
        <w:t>ṃ</w:t>
      </w:r>
      <w:r>
        <w:rPr>
          <w:i/>
          <w:iCs/>
        </w:rPr>
        <w:t xml:space="preserve"> ya</w:t>
      </w:r>
      <w:r>
        <w:rPr>
          <w:i/>
          <w:iCs/>
        </w:rPr>
        <w:t>ṃ</w:t>
      </w:r>
      <w:r>
        <w:rPr>
          <w:i/>
          <w:iCs/>
        </w:rPr>
        <w:t xml:space="preserve"> yúja</w:t>
      </w:r>
      <w:r>
        <w:rPr>
          <w:i/>
          <w:iCs/>
        </w:rPr>
        <w:t>ṃ</w:t>
      </w:r>
      <w:r>
        <w:rPr>
          <w:i/>
          <w:iCs/>
        </w:rPr>
        <w:t xml:space="preserve"> kr</w:t>
      </w:r>
      <w:r>
        <w:rPr>
          <w:rFonts w:cs="Devanagari MT;Times New Roman"/>
          <w:lang w:eastAsia="hi-IN"/>
        </w:rPr>
        <w:t>̥</w:t>
      </w:r>
      <w:r>
        <w:rPr>
          <w:i/>
          <w:iCs/>
        </w:rPr>
        <w:t>ṇ</w:t>
      </w:r>
      <w:r>
        <w:rPr>
          <w:i/>
          <w:iCs/>
        </w:rPr>
        <w:t>uté</w:t>
      </w:r>
      <w:r>
        <w:rPr>
          <w:i/>
          <w:iCs/>
        </w:rPr>
        <w:t xml:space="preserve"> bráhma</w:t>
      </w:r>
      <w:r>
        <w:rPr>
          <w:i/>
          <w:iCs/>
        </w:rPr>
        <w:t>ṇ</w:t>
      </w:r>
      <w:r>
        <w:rPr>
          <w:i/>
          <w:iCs/>
        </w:rPr>
        <w:t>aspáti</w:t>
      </w:r>
      <w:r>
        <w:rPr>
          <w:i/>
          <w:iCs/>
        </w:rPr>
        <w:t>ḥ</w:t>
      </w:r>
      <w:r>
        <w:rPr>
          <w:i/>
          <w:iCs/>
        </w:rPr>
        <w:t>.</w:t>
      </w:r>
    </w:p>
    <w:p w14:paraId="2E90304A" w14:textId="77777777" w:rsidR="00E53EB6" w:rsidRDefault="006500F5">
      <w:pPr>
        <w:pStyle w:val="Zitat"/>
      </w:pPr>
      <w:r>
        <w:rPr>
          <w:rFonts w:eastAsia="Arial Unicode MS" w:cs="Sabon Unicode"/>
          <w:lang w:eastAsia="it-IT"/>
        </w:rPr>
        <w:t xml:space="preserve">The one who kindles the fire </w:t>
      </w:r>
      <w:r>
        <w:rPr>
          <w:rFonts w:eastAsia="Arial Unicode MS" w:cs="Sabon Unicode"/>
          <w:u w:val="single"/>
          <w:lang w:eastAsia="it-IT"/>
        </w:rPr>
        <w:t xml:space="preserve">would appropriate </w:t>
      </w:r>
      <w:r>
        <w:rPr>
          <w:rFonts w:eastAsia="Arial Unicode MS" w:cs="Sabon Unicode"/>
          <w:lang w:eastAsia="it-IT"/>
        </w:rPr>
        <w:t xml:space="preserve">those who </w:t>
      </w:r>
      <w:r>
        <w:rPr>
          <w:rFonts w:eastAsia="Arial Unicode MS" w:cs="Sabon Unicode"/>
          <w:u w:val="single"/>
          <w:lang w:eastAsia="it-IT"/>
        </w:rPr>
        <w:t>are eager to appropriate</w:t>
      </w:r>
      <w:r>
        <w:rPr>
          <w:rFonts w:eastAsia="Arial Unicode MS" w:cs="Sabon Unicode"/>
          <w:lang w:eastAsia="it-IT"/>
        </w:rPr>
        <w:t xml:space="preserve"> him; having performed the formula, he who offer the oblation</w:t>
      </w:r>
      <w:r>
        <w:rPr>
          <w:rStyle w:val="FootnoteAnchor"/>
          <w:rFonts w:eastAsia="Arial Unicode MS" w:cs="Sabon Unicode"/>
          <w:lang w:eastAsia="it-IT"/>
        </w:rPr>
        <w:footnoteReference w:id="396"/>
      </w:r>
      <w:r>
        <w:rPr>
          <w:rFonts w:eastAsia="Arial Unicode MS" w:cs="Sabon Unicode"/>
          <w:lang w:eastAsia="it-IT"/>
        </w:rPr>
        <w:t xml:space="preserve"> may get swollen, over the son born from the son survives whoever Brahmanaspati takes as an ally.</w:t>
      </w:r>
    </w:p>
    <w:p w14:paraId="6C99516F" w14:textId="77777777" w:rsidR="00E53EB6" w:rsidRDefault="006500F5">
      <w:pPr>
        <w:pStyle w:val="HaupttextnachZitat"/>
      </w:pPr>
      <w:r>
        <w:rPr>
          <w:rFonts w:eastAsia="Arial Unicode MS" w:cs="Sabon Unicode"/>
          <w:color w:val="000000"/>
          <w:szCs w:val="21"/>
          <w:lang w:eastAsia="it-IT" w:bidi="en-GB"/>
        </w:rPr>
        <w:t xml:space="preserve">The other way is the use of the syntagma </w:t>
      </w:r>
      <w:r>
        <w:rPr>
          <w:rFonts w:eastAsia="Arial Unicode MS" w:cs="Sabon Unicode"/>
          <w:i/>
          <w:iCs/>
          <w:color w:val="000000"/>
          <w:szCs w:val="21"/>
          <w:lang w:eastAsia="it-IT" w:bidi="en-GB"/>
        </w:rPr>
        <w:t xml:space="preserve">vanvan avāta- </w:t>
      </w:r>
      <w:r>
        <w:rPr>
          <w:rFonts w:eastAsia="Arial Unicode MS" w:cs="Sabon Unicode"/>
          <w:color w:val="000000"/>
          <w:szCs w:val="21"/>
          <w:lang w:eastAsia="it-IT" w:bidi="en-GB"/>
        </w:rPr>
        <w:t xml:space="preserve">as divine attribute, a structure conveying both the idea of a conquest against someone and the gaining </w:t>
      </w:r>
      <w:r>
        <w:rPr>
          <w:rFonts w:eastAsia="Arial Unicode MS" w:cs="Sabon Unicode"/>
          <w:color w:val="000000"/>
          <w:szCs w:val="21"/>
          <w:lang w:eastAsia="it-IT" w:bidi="en-GB"/>
        </w:rPr>
        <w:t>of some goods; it is so in R̥V 6.18.1 that we find in TB 2.8.5.7-8; in R̥V 6.16.20 quoted by KS 20.14 and in R̥V</w:t>
      </w:r>
      <w:r>
        <w:rPr>
          <w:rFonts w:eastAsia="Arial Unicode MS" w:cs="Sabon Unicode"/>
          <w:i/>
          <w:iCs/>
          <w:color w:val="000000"/>
          <w:szCs w:val="21"/>
          <w:lang w:eastAsia="it-IT" w:bidi="en-GB"/>
        </w:rPr>
        <w:t xml:space="preserve"> </w:t>
      </w:r>
      <w:r>
        <w:rPr>
          <w:rFonts w:eastAsia="Arial Unicode MS" w:cs="Sabon Unicode"/>
          <w:color w:val="000000"/>
          <w:szCs w:val="21"/>
          <w:lang w:eastAsia="it-IT" w:bidi="en-GB"/>
        </w:rPr>
        <w:t>9.96.11 which is used four times: in TS 2.6.12.1-2; MS 4.10.6; KS 21.14; VS 19.53. It is worth noticing that both these uses of the verb, appro</w:t>
      </w:r>
      <w:r>
        <w:rPr>
          <w:rFonts w:eastAsia="Arial Unicode MS" w:cs="Sabon Unicode"/>
          <w:color w:val="000000"/>
          <w:szCs w:val="21"/>
          <w:lang w:eastAsia="it-IT" w:bidi="en-GB"/>
        </w:rPr>
        <w:t>ximating the idea of a conquest, of a war-like appropriation, though quite frequent in the hymns, are rarely used in the liturgical texts and are to be found in R̥gvedic quotations only.</w:t>
      </w:r>
    </w:p>
    <w:p w14:paraId="50D60543" w14:textId="77777777" w:rsidR="00E53EB6" w:rsidRDefault="00E53EB6">
      <w:pPr>
        <w:pStyle w:val="HaupttextohneEinzug"/>
        <w:rPr>
          <w:rFonts w:eastAsia="Arial Unicode MS" w:cs="Sabon Unicode"/>
          <w:color w:val="000000"/>
          <w:szCs w:val="21"/>
          <w:lang w:eastAsia="it-IT" w:bidi="en-GB"/>
        </w:rPr>
      </w:pPr>
    </w:p>
    <w:p w14:paraId="3D94B195" w14:textId="77777777" w:rsidR="00E53EB6" w:rsidRDefault="006500F5">
      <w:pPr>
        <w:pStyle w:val="Hauptext"/>
      </w:pPr>
      <w:r>
        <w:rPr>
          <w:b/>
          <w:bCs/>
          <w:sz w:val="24"/>
          <w:szCs w:val="24"/>
        </w:rPr>
        <w:t>d-</w:t>
      </w:r>
      <w:r>
        <w:rPr>
          <w:sz w:val="24"/>
          <w:szCs w:val="24"/>
        </w:rPr>
        <w:t xml:space="preserve"> </w:t>
      </w:r>
      <w:r>
        <w:t xml:space="preserve">The fourth group, represent those occurrences where the men </w:t>
      </w:r>
      <w:r>
        <w:rPr>
          <w:i/>
          <w:iCs/>
        </w:rPr>
        <w:t>van-</w:t>
      </w:r>
      <w:r>
        <w:t xml:space="preserve"> an </w:t>
      </w:r>
      <w:r>
        <w:rPr>
          <w:b/>
          <w:bCs/>
        </w:rPr>
        <w:t>element of the rite</w:t>
      </w:r>
      <w:r>
        <w:t xml:space="preserve">: the most frequent word is still </w:t>
      </w:r>
      <w:r>
        <w:rPr>
          <w:b/>
          <w:bCs/>
          <w:i/>
          <w:iCs/>
        </w:rPr>
        <w:t>gíra</w:t>
      </w:r>
      <w:r>
        <w:rPr>
          <w:i/>
          <w:iCs/>
        </w:rPr>
        <w:t xml:space="preserve">-, </w:t>
      </w:r>
      <w:r>
        <w:t>the chant -often related to Agni: the R̥V stanzas</w:t>
      </w:r>
      <w:r>
        <w:rPr>
          <w:i/>
          <w:iCs/>
        </w:rPr>
        <w:t xml:space="preserve"> </w:t>
      </w:r>
      <w:r>
        <w:t>1.93.9 and 5 are quoted four times in KS 4.16; MS 4.10.1; TS 2.3.14.1 and in TB 3.5.7.2 (TS and KS use also stanzas 1, 6 and 7 of the same hym</w:t>
      </w:r>
      <w:r>
        <w:t>n):</w:t>
      </w:r>
    </w:p>
    <w:p w14:paraId="0C6D7D98" w14:textId="77777777" w:rsidR="00E53EB6" w:rsidRDefault="006500F5">
      <w:pPr>
        <w:pStyle w:val="Zitat"/>
      </w:pPr>
      <w:r>
        <w:rPr>
          <w:lang w:eastAsia="hi-IN"/>
        </w:rPr>
        <w:t>R̥V 1.93.9</w:t>
      </w:r>
      <w:r>
        <w:rPr>
          <w:i/>
          <w:iCs/>
          <w:lang w:eastAsia="hi-IN"/>
        </w:rPr>
        <w:t xml:space="preserve"> ágnī</w:t>
      </w:r>
      <w:r>
        <w:rPr>
          <w:i/>
          <w:iCs/>
          <w:lang w:eastAsia="hi-IN"/>
        </w:rPr>
        <w:t>ṣ</w:t>
      </w:r>
      <w:r>
        <w:rPr>
          <w:i/>
          <w:iCs/>
          <w:lang w:eastAsia="hi-IN"/>
        </w:rPr>
        <w:t>omā sávedasā sáhūtī vanata</w:t>
      </w:r>
      <w:r>
        <w:rPr>
          <w:i/>
          <w:iCs/>
          <w:lang w:eastAsia="hi-IN"/>
        </w:rPr>
        <w:t>ṃ</w:t>
      </w:r>
      <w:r>
        <w:rPr>
          <w:i/>
          <w:iCs/>
          <w:lang w:eastAsia="hi-IN"/>
        </w:rPr>
        <w:t xml:space="preserve"> gíra</w:t>
      </w:r>
      <w:r>
        <w:rPr>
          <w:i/>
          <w:iCs/>
          <w:lang w:eastAsia="hi-IN"/>
        </w:rPr>
        <w:t>ḥ</w:t>
      </w:r>
      <w:r>
        <w:rPr>
          <w:i/>
          <w:iCs/>
          <w:lang w:eastAsia="hi-IN"/>
        </w:rPr>
        <w:t xml:space="preserve"> / sá</w:t>
      </w:r>
      <w:r>
        <w:rPr>
          <w:i/>
          <w:iCs/>
          <w:lang w:eastAsia="hi-IN"/>
        </w:rPr>
        <w:t>ṃ</w:t>
      </w:r>
      <w:r>
        <w:rPr>
          <w:i/>
          <w:iCs/>
          <w:lang w:eastAsia="hi-IN"/>
        </w:rPr>
        <w:t xml:space="preserve"> devatrā́ babhūvathu</w:t>
      </w:r>
      <w:r>
        <w:rPr>
          <w:i/>
          <w:iCs/>
          <w:lang w:eastAsia="hi-IN"/>
        </w:rPr>
        <w:t>ḥ</w:t>
      </w:r>
      <w:r>
        <w:rPr>
          <w:i/>
          <w:iCs/>
          <w:lang w:eastAsia="hi-IN"/>
        </w:rPr>
        <w:t xml:space="preserve"> //</w:t>
      </w:r>
      <w:r>
        <w:rPr>
          <w:lang w:eastAsia="hi-IN"/>
        </w:rPr>
        <w:t xml:space="preserve"> </w:t>
      </w:r>
      <w:r>
        <w:rPr>
          <w:i/>
          <w:iCs/>
          <w:lang w:eastAsia="hi-IN"/>
        </w:rPr>
        <w:t>yuvámetā́ni diví rocanā́nyagníśca soma sákratū adhattam / yuvá</w:t>
      </w:r>
      <w:r>
        <w:rPr>
          <w:i/>
          <w:iCs/>
          <w:lang w:eastAsia="hi-IN"/>
        </w:rPr>
        <w:t>ṁ</w:t>
      </w:r>
      <w:r>
        <w:rPr>
          <w:i/>
          <w:iCs/>
          <w:lang w:eastAsia="hi-IN"/>
        </w:rPr>
        <w:t xml:space="preserve"> síndhū</w:t>
      </w:r>
      <w:r>
        <w:rPr>
          <w:i/>
          <w:iCs/>
          <w:lang w:eastAsia="hi-IN"/>
        </w:rPr>
        <w:t>ṁ</w:t>
      </w:r>
      <w:r>
        <w:rPr>
          <w:i/>
          <w:iCs/>
          <w:lang w:eastAsia="hi-IN"/>
        </w:rPr>
        <w:t>rabhíśasteravadyā́dágnī</w:t>
      </w:r>
      <w:r>
        <w:rPr>
          <w:i/>
          <w:iCs/>
          <w:lang w:eastAsia="hi-IN"/>
        </w:rPr>
        <w:t>ṣ</w:t>
      </w:r>
      <w:r>
        <w:rPr>
          <w:i/>
          <w:iCs/>
          <w:lang w:eastAsia="hi-IN"/>
        </w:rPr>
        <w:t>omā amuñcata</w:t>
      </w:r>
      <w:r>
        <w:rPr>
          <w:i/>
          <w:iCs/>
          <w:lang w:eastAsia="hi-IN"/>
        </w:rPr>
        <w:t>ṃ</w:t>
      </w:r>
      <w:r>
        <w:rPr>
          <w:i/>
          <w:iCs/>
          <w:lang w:eastAsia="hi-IN"/>
        </w:rPr>
        <w:t xml:space="preserve"> gr̥bhītā́n //</w:t>
      </w:r>
    </w:p>
    <w:p w14:paraId="5F77E93D" w14:textId="77777777" w:rsidR="00E53EB6" w:rsidRDefault="006500F5">
      <w:pPr>
        <w:pStyle w:val="Zitat"/>
        <w:autoSpaceDE w:val="0"/>
        <w:rPr>
          <w:rFonts w:ascii="Times Ext Roman" w:hAnsi="Times Ext Roman"/>
          <w:lang w:eastAsia="hi-IN"/>
        </w:rPr>
      </w:pPr>
      <w:r>
        <w:rPr>
          <w:lang w:eastAsia="hi-IN"/>
        </w:rPr>
        <w:t>O Agni and Soma, together invoked, having the sam</w:t>
      </w:r>
      <w:r>
        <w:rPr>
          <w:lang w:eastAsia="hi-IN"/>
        </w:rPr>
        <w:t xml:space="preserve">e knowledge, </w:t>
      </w:r>
      <w:r>
        <w:rPr>
          <w:u w:val="single"/>
          <w:lang w:eastAsia="hi-IN"/>
        </w:rPr>
        <w:t>appropriate</w:t>
      </w:r>
      <w:r>
        <w:rPr>
          <w:lang w:eastAsia="hi-IN"/>
        </w:rPr>
        <w:t xml:space="preserve"> the chants, you are</w:t>
      </w:r>
      <w:r>
        <w:rPr>
          <w:rStyle w:val="FootnoteAnchor"/>
          <w:rFonts w:cs="Devanagari MT;Times New Roman"/>
          <w:lang w:eastAsia="hi-IN"/>
        </w:rPr>
        <w:footnoteReference w:id="397"/>
      </w:r>
      <w:r>
        <w:rPr>
          <w:lang w:eastAsia="hi-IN"/>
        </w:rPr>
        <w:t xml:space="preserve"> together in the divine world. You two put those lights in the sky, o Agni and Soma, you, with the same intention; you two, o Agni and Soma, released from curse (misfortune-</w:t>
      </w:r>
      <w:r>
        <w:rPr>
          <w:i/>
          <w:iCs/>
          <w:lang w:eastAsia="hi-IN"/>
        </w:rPr>
        <w:t>abhiśasti-</w:t>
      </w:r>
      <w:r>
        <w:rPr>
          <w:lang w:eastAsia="hi-IN"/>
        </w:rPr>
        <w:t xml:space="preserve">) and disgrace the </w:t>
      </w:r>
      <w:r>
        <w:rPr>
          <w:lang w:eastAsia="hi-IN"/>
        </w:rPr>
        <w:t>rivers which were held back.</w:t>
      </w:r>
    </w:p>
    <w:p w14:paraId="163BABC5" w14:textId="77777777" w:rsidR="00E53EB6" w:rsidRDefault="006500F5">
      <w:pPr>
        <w:pStyle w:val="HaupttextnachZitat"/>
      </w:pPr>
      <w:r>
        <w:t xml:space="preserve">Here Agni and Soma are asked to appropriate the chants, and the great deeds of the two deities together are evoked. It is worth noticing that the syntagma </w:t>
      </w:r>
      <w:r>
        <w:rPr>
          <w:i/>
          <w:iCs/>
        </w:rPr>
        <w:t xml:space="preserve">van- girah, </w:t>
      </w:r>
      <w:r>
        <w:t>frequently used in the R̥gvedic text, is strikingly decreasi</w:t>
      </w:r>
      <w:r>
        <w:t xml:space="preserve">ng in the post R̥gvedic attestations: in the R̥V it occurs 6 times, while only </w:t>
      </w:r>
      <w:r>
        <w:rPr>
          <w:i/>
          <w:iCs/>
        </w:rPr>
        <w:t>rayím</w:t>
      </w:r>
      <w:r>
        <w:t xml:space="preserve"> and </w:t>
      </w:r>
      <w:r>
        <w:rPr>
          <w:i/>
          <w:iCs/>
        </w:rPr>
        <w:t>vā́ryāni</w:t>
      </w:r>
      <w:r>
        <w:t xml:space="preserve"> -both concrete objects- are more frequent, occurring 7 and 6 times each (cf. Data-base in §VI.2). While </w:t>
      </w:r>
      <w:r>
        <w:rPr>
          <w:b/>
          <w:bCs/>
          <w:i/>
          <w:iCs/>
        </w:rPr>
        <w:t>dúvas</w:t>
      </w:r>
      <w:r>
        <w:t xml:space="preserve"> as a metaphor for the oblation though it is the </w:t>
      </w:r>
      <w:r>
        <w:t xml:space="preserve">object of </w:t>
      </w:r>
      <w:r>
        <w:rPr>
          <w:i/>
          <w:iCs/>
        </w:rPr>
        <w:t xml:space="preserve">van- </w:t>
      </w:r>
      <w:r>
        <w:t>only in R̥V 6.16.18, nonetheless it is to be found quoted in KS 20.14:</w:t>
      </w:r>
    </w:p>
    <w:p w14:paraId="0A39598B" w14:textId="77777777" w:rsidR="00E53EB6" w:rsidRDefault="006500F5">
      <w:pPr>
        <w:pStyle w:val="Zitat"/>
      </w:pPr>
      <w:r>
        <w:t xml:space="preserve">20.14 </w:t>
      </w:r>
      <w:r>
        <w:rPr>
          <w:i/>
          <w:iCs/>
        </w:rPr>
        <w:t>nahí te pūrtám ak</w:t>
      </w:r>
      <w:r>
        <w:rPr>
          <w:i/>
          <w:iCs/>
        </w:rPr>
        <w:t>ṣ</w:t>
      </w:r>
      <w:r>
        <w:rPr>
          <w:i/>
          <w:iCs/>
        </w:rPr>
        <w:t>ipád bhúvan nemānā</w:t>
      </w:r>
      <w:r>
        <w:rPr>
          <w:i/>
          <w:iCs/>
        </w:rPr>
        <w:t>ṃ</w:t>
      </w:r>
      <w:r>
        <w:rPr>
          <w:i/>
          <w:iCs/>
        </w:rPr>
        <w:t xml:space="preserve"> vaso / áthā dúvo vanavase </w:t>
      </w:r>
      <w:r>
        <w:rPr>
          <w:rStyle w:val="FootnoteAnchor"/>
          <w:i/>
          <w:iCs/>
        </w:rPr>
        <w:footnoteReference w:id="398"/>
      </w:r>
      <w:r>
        <w:rPr>
          <w:i/>
          <w:iCs/>
        </w:rPr>
        <w:t xml:space="preserve">// āgniragāmi bhārato vr̥trahā </w:t>
      </w:r>
      <w:r>
        <w:rPr>
          <w:i/>
          <w:iCs/>
        </w:rPr>
        <w:lastRenderedPageBreak/>
        <w:t>purucetana</w:t>
      </w:r>
      <w:r>
        <w:rPr>
          <w:i/>
          <w:iCs/>
        </w:rPr>
        <w:t>ḥ</w:t>
      </w:r>
      <w:r>
        <w:rPr>
          <w:i/>
          <w:iCs/>
        </w:rPr>
        <w:t xml:space="preserve"> divodāsasya sapati</w:t>
      </w:r>
      <w:r>
        <w:rPr>
          <w:i/>
          <w:iCs/>
        </w:rPr>
        <w:t>ḥ</w:t>
      </w:r>
      <w:r>
        <w:rPr>
          <w:i/>
          <w:iCs/>
        </w:rPr>
        <w:t xml:space="preserve"> // sá hí víśvā́ti pā́rthivā rayí</w:t>
      </w:r>
      <w:r>
        <w:rPr>
          <w:i/>
          <w:iCs/>
        </w:rPr>
        <w:t>ṃ</w:t>
      </w:r>
      <w:r>
        <w:rPr>
          <w:i/>
          <w:iCs/>
        </w:rPr>
        <w:t xml:space="preserve"> d</w:t>
      </w:r>
      <w:r>
        <w:rPr>
          <w:i/>
          <w:iCs/>
        </w:rPr>
        <w:t>ā́śan mahitvanā́ / vanvánn ávāto ástr̥ta</w:t>
      </w:r>
      <w:r>
        <w:rPr>
          <w:i/>
          <w:iCs/>
        </w:rPr>
        <w:t>ḥ</w:t>
      </w:r>
      <w:r>
        <w:rPr>
          <w:rStyle w:val="FootnoteAnchor"/>
          <w:i/>
          <w:iCs/>
        </w:rPr>
        <w:footnoteReference w:id="399"/>
      </w:r>
      <w:r>
        <w:rPr>
          <w:i/>
          <w:iCs/>
        </w:rPr>
        <w:t>//</w:t>
      </w:r>
    </w:p>
    <w:p w14:paraId="552CED15" w14:textId="77777777" w:rsidR="00E53EB6" w:rsidRDefault="006500F5">
      <w:pPr>
        <w:pStyle w:val="Zitat"/>
      </w:pPr>
      <w:r>
        <w:t>Be your reward not such that can fall into an eye, o Lord of someone</w:t>
      </w:r>
      <w:r>
        <w:rPr>
          <w:rStyle w:val="FootnoteAnchor"/>
        </w:rPr>
        <w:footnoteReference w:id="400"/>
      </w:r>
      <w:r>
        <w:t xml:space="preserve">, in this way may you </w:t>
      </w:r>
      <w:r>
        <w:rPr>
          <w:u w:val="single"/>
        </w:rPr>
        <w:t>appropriate</w:t>
      </w:r>
      <w:r>
        <w:t xml:space="preserve"> the homage; Agni, descended from the Bharata</w:t>
      </w:r>
      <w:r>
        <w:rPr>
          <w:rStyle w:val="FootnoteAnchor"/>
        </w:rPr>
        <w:footnoteReference w:id="401"/>
      </w:r>
      <w:r>
        <w:t>, has arrived, the famous killer of Vr̥tra, the great protec</w:t>
      </w:r>
      <w:r>
        <w:t>tor of Divodāsa</w:t>
      </w:r>
      <w:r>
        <w:rPr>
          <w:rStyle w:val="FootnoteAnchor"/>
        </w:rPr>
        <w:footnoteReference w:id="402"/>
      </w:r>
      <w:r>
        <w:t>; indeed may he grant rich to all terrestrial things</w:t>
      </w:r>
      <w:r>
        <w:rPr>
          <w:rStyle w:val="FootnoteAnchor"/>
        </w:rPr>
        <w:footnoteReference w:id="403"/>
      </w:r>
      <w:r>
        <w:t xml:space="preserve"> through his greatness, he who </w:t>
      </w:r>
      <w:r>
        <w:rPr>
          <w:u w:val="single"/>
        </w:rPr>
        <w:t>appropriates</w:t>
      </w:r>
      <w:r>
        <w:t xml:space="preserve"> without being </w:t>
      </w:r>
      <w:r>
        <w:rPr>
          <w:u w:val="single"/>
        </w:rPr>
        <w:t>appropriated</w:t>
      </w:r>
      <w:r>
        <w:t>, never beaten.</w:t>
      </w:r>
    </w:p>
    <w:p w14:paraId="37901253" w14:textId="77777777" w:rsidR="00E53EB6" w:rsidRDefault="006500F5">
      <w:pPr>
        <w:pStyle w:val="HaupttextnachZitat"/>
      </w:pPr>
      <w:r>
        <w:t xml:space="preserve">Interestingly enough, we are often presented with R̥gvedic stanzas where the word standing as object of </w:t>
      </w:r>
      <w:r>
        <w:rPr>
          <w:i/>
          <w:iCs/>
        </w:rPr>
        <w:t xml:space="preserve">van- </w:t>
      </w:r>
      <w:r>
        <w:t xml:space="preserve">is used only once as object of </w:t>
      </w:r>
      <w:r>
        <w:rPr>
          <w:i/>
          <w:iCs/>
        </w:rPr>
        <w:t xml:space="preserve">van- </w:t>
      </w:r>
      <w:r>
        <w:t>in the original anthology of hymns, while the very stanza is quoted quite few times in the liturgical texts. Th</w:t>
      </w:r>
      <w:r>
        <w:t xml:space="preserve">is happens with </w:t>
      </w:r>
      <w:r>
        <w:rPr>
          <w:b/>
          <w:bCs/>
          <w:i/>
          <w:iCs/>
        </w:rPr>
        <w:t>bráhman</w:t>
      </w:r>
      <w:r>
        <w:rPr>
          <w:i/>
          <w:iCs/>
        </w:rPr>
        <w:t>-</w:t>
      </w:r>
      <w:r>
        <w:t xml:space="preserve"> that is used only once in the R̥V 3.8.2</w:t>
      </w:r>
      <w:r>
        <w:rPr>
          <w:i/>
          <w:iCs/>
        </w:rPr>
        <w:t xml:space="preserve">, </w:t>
      </w:r>
      <w:r>
        <w:t xml:space="preserve">but this same stanza is quoted four times in MS 4.13.1; KS 15.12; AB 2.2 and in TB 3.6.1.1, all concerning the Sacrificial Post in the animal sacrifice. </w:t>
      </w:r>
      <w:r>
        <w:rPr>
          <w:b/>
          <w:bCs/>
          <w:i/>
          <w:iCs/>
        </w:rPr>
        <w:t>Vípas</w:t>
      </w:r>
      <w:r>
        <w:t xml:space="preserve"> also occurs only once in R̥V an</w:t>
      </w:r>
      <w:r>
        <w:t>d the related stanza, 10.61.3, addressed to the Aśvin, is quoted two times, in VS 7.17 and in the cognate Brāhma</w:t>
      </w:r>
      <w:r>
        <w:t>ṇ</w:t>
      </w:r>
      <w:r>
        <w:t>a, ŚB 4.2.1.12.</w:t>
      </w:r>
    </w:p>
    <w:p w14:paraId="2D1BCFDF" w14:textId="77777777" w:rsidR="00E53EB6" w:rsidRDefault="006500F5">
      <w:pPr>
        <w:pStyle w:val="HaupttextohneEinzug"/>
      </w:pPr>
      <w:r>
        <w:t xml:space="preserve">Also </w:t>
      </w:r>
      <w:r>
        <w:rPr>
          <w:b/>
          <w:bCs/>
          <w:i/>
          <w:iCs/>
        </w:rPr>
        <w:t>samídha</w:t>
      </w:r>
      <w:r>
        <w:rPr>
          <w:i/>
          <w:iCs/>
        </w:rPr>
        <w:t xml:space="preserve"> </w:t>
      </w:r>
      <w:r>
        <w:t xml:space="preserve">together with </w:t>
      </w:r>
      <w:r>
        <w:rPr>
          <w:b/>
          <w:bCs/>
          <w:i/>
          <w:iCs/>
        </w:rPr>
        <w:t>upasáda</w:t>
      </w:r>
      <w:r>
        <w:t xml:space="preserve"> appears</w:t>
      </w:r>
      <w:r>
        <w:rPr>
          <w:i/>
          <w:iCs/>
        </w:rPr>
        <w:t xml:space="preserve"> </w:t>
      </w:r>
      <w:r>
        <w:t xml:space="preserve">only once in R̥V 2.6.1a-b and is used in AB 1.25.7 for the </w:t>
      </w:r>
      <w:r>
        <w:rPr>
          <w:i/>
          <w:iCs/>
        </w:rPr>
        <w:t>Upasad</w:t>
      </w:r>
      <w:r>
        <w:rPr>
          <w:rStyle w:val="FootnoteAnchor"/>
        </w:rPr>
        <w:footnoteReference w:id="404"/>
      </w:r>
      <w:r>
        <w:t xml:space="preserve"> in the Soma sacr</w:t>
      </w:r>
      <w:r>
        <w:t>ifice</w:t>
      </w:r>
      <w:r>
        <w:t xml:space="preserve"> </w:t>
      </w:r>
      <w:r>
        <w:rPr>
          <w:color w:val="000000"/>
          <w:szCs w:val="18"/>
        </w:rPr>
        <w:t>(</w:t>
      </w:r>
      <w:r>
        <w:rPr>
          <w:i/>
          <w:iCs/>
        </w:rPr>
        <w:t>samidham</w:t>
      </w:r>
      <w:r>
        <w:rPr>
          <w:i/>
          <w:iCs/>
          <w:color w:val="000000"/>
          <w:szCs w:val="18"/>
        </w:rPr>
        <w:t xml:space="preserve"> </w:t>
      </w:r>
      <w:r>
        <w:rPr>
          <w:i/>
          <w:iCs/>
        </w:rPr>
        <w:t>imām upasada</w:t>
      </w:r>
      <w:r>
        <w:rPr>
          <w:i/>
          <w:iCs/>
        </w:rPr>
        <w:t>ṃ</w:t>
      </w:r>
      <w:r>
        <w:rPr>
          <w:i/>
          <w:iCs/>
        </w:rPr>
        <w:t xml:space="preserve"> vane</w:t>
      </w:r>
      <w:r>
        <w:rPr>
          <w:i/>
          <w:iCs/>
        </w:rPr>
        <w:t>ḥ</w:t>
      </w:r>
      <w:r>
        <w:rPr>
          <w:color w:val="000000"/>
          <w:szCs w:val="21"/>
        </w:rPr>
        <w:t>).</w:t>
      </w:r>
    </w:p>
    <w:p w14:paraId="1F02700F" w14:textId="77777777" w:rsidR="00E53EB6" w:rsidRDefault="006500F5">
      <w:pPr>
        <w:pStyle w:val="HaupttextohneEinzug"/>
      </w:pPr>
      <w:r>
        <w:t>To sum up, if we confront the features of this group with the corresponding one in the R̥gvedic functional analysis, we may notice that it is possible to outline the same patterns as in the R̥gvedic text, although some are strikingly decreasing, namely jus</w:t>
      </w:r>
      <w:r>
        <w:t xml:space="preserve">t those connected with the semantic field of chanting, of the inspired world -a fundamental tool of the sacrifice, being it </w:t>
      </w:r>
      <w:r>
        <w:rPr>
          <w:i/>
          <w:iCs/>
        </w:rPr>
        <w:t>hava-,</w:t>
      </w:r>
      <w:r>
        <w:t xml:space="preserve"> </w:t>
      </w:r>
      <w:r>
        <w:rPr>
          <w:i/>
          <w:iCs/>
        </w:rPr>
        <w:t>mantra-</w:t>
      </w:r>
      <w:r>
        <w:t xml:space="preserve"> </w:t>
      </w:r>
      <w:r>
        <w:rPr>
          <w:i/>
          <w:iCs/>
        </w:rPr>
        <w:t xml:space="preserve">manma- </w:t>
      </w:r>
      <w:r>
        <w:t xml:space="preserve">or </w:t>
      </w:r>
      <w:r>
        <w:rPr>
          <w:i/>
          <w:iCs/>
        </w:rPr>
        <w:t>prati</w:t>
      </w:r>
      <w:r>
        <w:rPr>
          <w:i/>
          <w:iCs/>
        </w:rPr>
        <w:t>ṣṭ</w:t>
      </w:r>
      <w:r>
        <w:rPr>
          <w:i/>
          <w:iCs/>
        </w:rPr>
        <w:t xml:space="preserve">uti-. </w:t>
      </w:r>
      <w:r>
        <w:t>Moreover, an important feature is almost missing: the idea of a passage, which will though com</w:t>
      </w:r>
      <w:r>
        <w:t>e up again quite clearly among the occurrences which are non-R̥gvedic quotations.</w:t>
      </w:r>
    </w:p>
    <w:p w14:paraId="3B91C551" w14:textId="77777777" w:rsidR="00E53EB6" w:rsidRDefault="00E53EB6">
      <w:pPr>
        <w:pStyle w:val="HaupttextohneEinzug"/>
      </w:pPr>
    </w:p>
    <w:p w14:paraId="624B9468" w14:textId="77777777" w:rsidR="00E53EB6" w:rsidRDefault="006500F5">
      <w:pPr>
        <w:pStyle w:val="Hauptext"/>
      </w:pPr>
      <w:r>
        <w:rPr>
          <w:rFonts w:eastAsia="CharisSIL" w:cs="CharisSIL"/>
          <w:b/>
          <w:bCs/>
          <w:color w:val="000000"/>
          <w:sz w:val="24"/>
          <w:szCs w:val="24"/>
        </w:rPr>
        <w:t>e-</w:t>
      </w:r>
      <w:r>
        <w:rPr>
          <w:rFonts w:eastAsia="CharisSIL" w:cs="CharisSIL"/>
          <w:color w:val="000000"/>
          <w:sz w:val="24"/>
          <w:szCs w:val="24"/>
        </w:rPr>
        <w:t xml:space="preserve"> </w:t>
      </w:r>
      <w:r>
        <w:rPr>
          <w:rFonts w:eastAsia="CharisSIL" w:cs="CharisSIL"/>
          <w:color w:val="000000"/>
          <w:szCs w:val="21"/>
        </w:rPr>
        <w:t>While the non-ritual meaning continues, as we have seen, through the Sa</w:t>
      </w:r>
      <w:r>
        <w:rPr>
          <w:rFonts w:eastAsia="CharisSIL" w:cs="CharisSIL"/>
          <w:color w:val="000000"/>
          <w:szCs w:val="21"/>
        </w:rPr>
        <w:t>ṃ</w:t>
      </w:r>
      <w:r>
        <w:rPr>
          <w:rFonts w:eastAsia="CharisSIL" w:cs="CharisSIL"/>
          <w:color w:val="000000"/>
          <w:szCs w:val="21"/>
        </w:rPr>
        <w:t>hitās and the Brāhma</w:t>
      </w:r>
      <w:r>
        <w:rPr>
          <w:rFonts w:eastAsia="CharisSIL" w:cs="CharisSIL"/>
          <w:color w:val="000000"/>
          <w:szCs w:val="21"/>
        </w:rPr>
        <w:t>ṇ</w:t>
      </w:r>
      <w:r>
        <w:rPr>
          <w:rFonts w:eastAsia="CharisSIL" w:cs="CharisSIL"/>
          <w:color w:val="000000"/>
          <w:szCs w:val="21"/>
        </w:rPr>
        <w:t xml:space="preserve">as, both in R̥V </w:t>
      </w:r>
      <w:r>
        <w:rPr>
          <w:rFonts w:eastAsia="CharisSIL" w:cs="CharisSIL"/>
          <w:i/>
          <w:iCs/>
          <w:color w:val="000000"/>
          <w:szCs w:val="21"/>
        </w:rPr>
        <w:t>mantra</w:t>
      </w:r>
      <w:r>
        <w:rPr>
          <w:rFonts w:eastAsia="CharisSIL" w:cs="CharisSIL"/>
          <w:color w:val="000000"/>
          <w:szCs w:val="21"/>
        </w:rPr>
        <w:t xml:space="preserve">s as well as in non-R̥V </w:t>
      </w:r>
      <w:r>
        <w:rPr>
          <w:rFonts w:eastAsia="CharisSIL" w:cs="CharisSIL"/>
          <w:i/>
          <w:iCs/>
          <w:color w:val="000000"/>
          <w:szCs w:val="21"/>
        </w:rPr>
        <w:t>mantra</w:t>
      </w:r>
      <w:r>
        <w:rPr>
          <w:rFonts w:eastAsia="CharisSIL" w:cs="CharisSIL"/>
          <w:color w:val="000000"/>
          <w:szCs w:val="21"/>
        </w:rPr>
        <w:t>s and prose, the ritual m</w:t>
      </w:r>
      <w:r>
        <w:rPr>
          <w:rFonts w:eastAsia="CharisSIL" w:cs="CharisSIL"/>
          <w:color w:val="000000"/>
          <w:szCs w:val="21"/>
        </w:rPr>
        <w:t xml:space="preserve">eaning vanishes. </w:t>
      </w:r>
    </w:p>
    <w:p w14:paraId="08894DC6" w14:textId="77777777" w:rsidR="00E53EB6" w:rsidRDefault="006500F5">
      <w:pPr>
        <w:pStyle w:val="Hauptext"/>
        <w:rPr>
          <w:szCs w:val="21"/>
        </w:rPr>
      </w:pPr>
      <w:r>
        <w:rPr>
          <w:rFonts w:eastAsia="CharisSIL" w:cs="CharisSIL"/>
          <w:b/>
          <w:bCs/>
          <w:color w:val="000000"/>
          <w:szCs w:val="21"/>
        </w:rPr>
        <w:t>Out of 71 R̥V-mantras (</w:t>
      </w:r>
      <w:r>
        <w:rPr>
          <w:rFonts w:eastAsia="CharisSIL" w:cs="CharisSIL"/>
          <w:color w:val="000000"/>
          <w:szCs w:val="21"/>
        </w:rPr>
        <w:t>56 Sa</w:t>
      </w:r>
      <w:r>
        <w:rPr>
          <w:rFonts w:eastAsia="CharisSIL" w:cs="CharisSIL"/>
          <w:color w:val="000000"/>
          <w:szCs w:val="21"/>
        </w:rPr>
        <w:t>ṃ</w:t>
      </w:r>
      <w:r>
        <w:rPr>
          <w:rFonts w:eastAsia="CharisSIL" w:cs="CharisSIL"/>
          <w:color w:val="000000"/>
          <w:szCs w:val="21"/>
        </w:rPr>
        <w:t>hitās [30 SV; 26 YV] - 15 Brāhmaṇas):</w:t>
      </w:r>
    </w:p>
    <w:p w14:paraId="16795F4D" w14:textId="77777777" w:rsidR="00E53EB6" w:rsidRDefault="006500F5">
      <w:pPr>
        <w:pStyle w:val="HaupttextohneEinzug"/>
      </w:pPr>
      <w:r>
        <w:t>Ritual meaning: 6</w:t>
      </w:r>
      <w:r>
        <w:tab/>
      </w:r>
      <w:r>
        <w:tab/>
      </w:r>
      <w:r>
        <w:tab/>
      </w:r>
      <w:r>
        <w:tab/>
      </w:r>
      <w:r>
        <w:tab/>
      </w:r>
      <w:r>
        <w:tab/>
      </w:r>
      <w:r>
        <w:tab/>
        <w:t xml:space="preserve">Non-ritual meaning: 65 </w:t>
      </w:r>
    </w:p>
    <w:p w14:paraId="4949D38E" w14:textId="77777777" w:rsidR="00E53EB6" w:rsidRDefault="006500F5">
      <w:pPr>
        <w:pStyle w:val="Hauptext"/>
        <w:rPr>
          <w:rFonts w:eastAsia="CharisSIL" w:cs="CharisSIL"/>
          <w:i/>
          <w:iCs/>
          <w:color w:val="000000"/>
          <w:szCs w:val="21"/>
        </w:rPr>
      </w:pPr>
      <w:r>
        <w:rPr>
          <w:rFonts w:eastAsia="CharisSIL" w:cs="CharisSIL"/>
          <w:i/>
          <w:iCs/>
          <w:color w:val="000000"/>
          <w:szCs w:val="21"/>
        </w:rPr>
        <w:t>Sa</w:t>
      </w:r>
      <w:r>
        <w:rPr>
          <w:rFonts w:eastAsia="CharisSIL" w:cs="CharisSIL"/>
          <w:i/>
          <w:iCs/>
          <w:color w:val="000000"/>
          <w:szCs w:val="21"/>
        </w:rPr>
        <w:t>ṃ</w:t>
      </w:r>
      <w:r>
        <w:rPr>
          <w:rFonts w:eastAsia="CharisSIL" w:cs="CharisSIL"/>
          <w:i/>
          <w:iCs/>
          <w:color w:val="000000"/>
          <w:szCs w:val="21"/>
        </w:rPr>
        <w:t>hitās:</w:t>
      </w:r>
    </w:p>
    <w:p w14:paraId="3045CC79" w14:textId="77777777" w:rsidR="00E53EB6" w:rsidRDefault="006500F5">
      <w:pPr>
        <w:pStyle w:val="Hauptext"/>
        <w:rPr>
          <w:szCs w:val="21"/>
        </w:rPr>
      </w:pPr>
      <w:r>
        <w:rPr>
          <w:rFonts w:eastAsia="CharisSIL" w:cs="CharisSIL"/>
          <w:b/>
          <w:bCs/>
          <w:color w:val="000000"/>
          <w:szCs w:val="21"/>
        </w:rPr>
        <w:t xml:space="preserve">JS 3.8.8 </w:t>
      </w:r>
      <w:r>
        <w:rPr>
          <w:rFonts w:eastAsia="CharisSIL" w:cs="CharisSIL"/>
          <w:color w:val="000000"/>
          <w:szCs w:val="21"/>
        </w:rPr>
        <w:t xml:space="preserve">(R̥V 8.45.23) </w:t>
      </w:r>
      <w:r>
        <w:rPr>
          <w:rFonts w:eastAsia="CharisSIL" w:cs="CharisSIL"/>
          <w:i/>
          <w:iCs/>
          <w:color w:val="000000"/>
          <w:szCs w:val="21"/>
        </w:rPr>
        <w:t xml:space="preserve">van- </w:t>
      </w:r>
      <w:r>
        <w:rPr>
          <w:rFonts w:eastAsia="CharisSIL" w:cs="CharisSIL"/>
          <w:color w:val="000000"/>
          <w:szCs w:val="21"/>
        </w:rPr>
        <w:t xml:space="preserve">without object  - not significantly modified </w:t>
      </w:r>
    </w:p>
    <w:p w14:paraId="00C2084A" w14:textId="77777777" w:rsidR="00E53EB6" w:rsidRDefault="006500F5">
      <w:pPr>
        <w:pStyle w:val="Hauptext"/>
        <w:rPr>
          <w:szCs w:val="21"/>
        </w:rPr>
      </w:pPr>
      <w:r>
        <w:rPr>
          <w:rFonts w:eastAsia="CharisSIL" w:cs="CharisSIL"/>
          <w:color w:val="000000"/>
          <w:szCs w:val="21"/>
        </w:rPr>
        <w:tab/>
      </w:r>
      <w:r>
        <w:rPr>
          <w:rFonts w:eastAsia="CharisSIL" w:cs="CharisSIL"/>
          <w:color w:val="000000"/>
          <w:szCs w:val="21"/>
        </w:rPr>
        <w:tab/>
      </w:r>
      <w:r>
        <w:rPr>
          <w:rFonts w:eastAsia="CharisSIL" w:cs="CharisSIL"/>
          <w:color w:val="000000"/>
          <w:szCs w:val="21"/>
        </w:rPr>
        <w:tab/>
        <w:t>(</w:t>
      </w:r>
      <w:r>
        <w:rPr>
          <w:rFonts w:eastAsia="CharisSIL" w:cs="CharisSIL"/>
          <w:i/>
          <w:iCs/>
          <w:color w:val="000000"/>
          <w:szCs w:val="21"/>
        </w:rPr>
        <w:t>brahmādvi</w:t>
      </w:r>
      <w:r>
        <w:rPr>
          <w:rFonts w:eastAsia="CharisSIL" w:cs="CharisSIL"/>
          <w:i/>
          <w:iCs/>
          <w:color w:val="000000"/>
          <w:szCs w:val="21"/>
        </w:rPr>
        <w:t>ṣ</w:t>
      </w:r>
      <w:r>
        <w:rPr>
          <w:rFonts w:eastAsia="CharisSIL" w:cs="CharisSIL"/>
          <w:i/>
          <w:iCs/>
          <w:color w:val="000000"/>
          <w:szCs w:val="21"/>
        </w:rPr>
        <w:t>am</w:t>
      </w:r>
      <w:r>
        <w:rPr>
          <w:rFonts w:eastAsia="CharisSIL" w:cs="CharisSIL"/>
          <w:color w:val="000000"/>
          <w:szCs w:val="21"/>
        </w:rPr>
        <w:t xml:space="preserve"> ^ </w:t>
      </w:r>
      <w:r>
        <w:rPr>
          <w:rFonts w:eastAsia="CharisSIL" w:cs="CharisSIL"/>
          <w:i/>
          <w:iCs/>
          <w:color w:val="000000"/>
          <w:szCs w:val="21"/>
        </w:rPr>
        <w:t>brahmādvi</w:t>
      </w:r>
      <w:r>
        <w:rPr>
          <w:rFonts w:eastAsia="CharisSIL" w:cs="CharisSIL"/>
          <w:i/>
          <w:iCs/>
          <w:color w:val="000000"/>
          <w:szCs w:val="21"/>
        </w:rPr>
        <w:t>ṣ</w:t>
      </w:r>
      <w:r>
        <w:rPr>
          <w:rFonts w:eastAsia="CharisSIL" w:cs="CharisSIL"/>
          <w:i/>
          <w:iCs/>
          <w:color w:val="000000"/>
          <w:szCs w:val="21"/>
        </w:rPr>
        <w:t>a</w:t>
      </w:r>
      <w:r>
        <w:rPr>
          <w:rFonts w:eastAsia="CharisSIL" w:cs="CharisSIL"/>
          <w:i/>
          <w:iCs/>
          <w:color w:val="000000"/>
          <w:szCs w:val="21"/>
        </w:rPr>
        <w:t>ḥ</w:t>
      </w:r>
      <w:r>
        <w:rPr>
          <w:rFonts w:eastAsia="CharisSIL" w:cs="CharisSIL"/>
          <w:i/>
          <w:iCs/>
          <w:color w:val="000000"/>
          <w:szCs w:val="21"/>
        </w:rPr>
        <w:t>)</w:t>
      </w:r>
    </w:p>
    <w:p w14:paraId="2EC4B98E" w14:textId="77777777" w:rsidR="00E53EB6" w:rsidRDefault="006500F5">
      <w:pPr>
        <w:pStyle w:val="Hauptext"/>
        <w:rPr>
          <w:szCs w:val="21"/>
        </w:rPr>
      </w:pPr>
      <w:r>
        <w:rPr>
          <w:rFonts w:eastAsia="CharisSIL" w:cs="CharisSIL"/>
          <w:b/>
          <w:bCs/>
          <w:color w:val="000000"/>
          <w:szCs w:val="21"/>
        </w:rPr>
        <w:t>KS 40.10</w:t>
      </w:r>
      <w:r>
        <w:rPr>
          <w:rFonts w:eastAsia="CharisSIL" w:cs="CharisSIL"/>
          <w:b/>
          <w:bCs/>
          <w:color w:val="000000"/>
          <w:szCs w:val="21"/>
        </w:rPr>
        <w:tab/>
      </w:r>
      <w:r>
        <w:rPr>
          <w:rFonts w:eastAsia="CharisSIL" w:cs="CharisSIL"/>
          <w:color w:val="000000"/>
          <w:szCs w:val="21"/>
        </w:rPr>
        <w:t xml:space="preserve">(R̥V 10.128.3) </w:t>
      </w:r>
      <w:r>
        <w:rPr>
          <w:rFonts w:eastAsia="CharisSIL" w:cs="CharisSIL"/>
          <w:i/>
          <w:iCs/>
          <w:color w:val="000000"/>
          <w:szCs w:val="21"/>
        </w:rPr>
        <w:t xml:space="preserve">van- </w:t>
      </w:r>
      <w:r>
        <w:rPr>
          <w:rFonts w:eastAsia="CharisSIL" w:cs="CharisSIL"/>
          <w:color w:val="000000"/>
          <w:szCs w:val="21"/>
        </w:rPr>
        <w:t xml:space="preserve">without object, modified </w:t>
      </w:r>
    </w:p>
    <w:p w14:paraId="4C0F38AE" w14:textId="77777777" w:rsidR="00E53EB6" w:rsidRDefault="006500F5">
      <w:pPr>
        <w:pStyle w:val="Hauptext"/>
        <w:rPr>
          <w:szCs w:val="21"/>
        </w:rPr>
      </w:pPr>
      <w:r>
        <w:rPr>
          <w:rFonts w:eastAsia="CharisSIL" w:cs="CharisSIL"/>
          <w:b/>
          <w:bCs/>
          <w:color w:val="000000"/>
          <w:szCs w:val="21"/>
        </w:rPr>
        <w:t>TS 4.7.14.1</w:t>
      </w:r>
      <w:r>
        <w:rPr>
          <w:rFonts w:eastAsia="CharisSIL" w:cs="CharisSIL"/>
          <w:b/>
          <w:bCs/>
          <w:color w:val="000000"/>
          <w:szCs w:val="21"/>
        </w:rPr>
        <w:tab/>
      </w:r>
      <w:r>
        <w:rPr>
          <w:rFonts w:eastAsia="CharisSIL" w:cs="CharisSIL"/>
          <w:color w:val="000000"/>
          <w:szCs w:val="21"/>
        </w:rPr>
        <w:t xml:space="preserve">(R̥V 10.128.3) </w:t>
      </w:r>
      <w:r>
        <w:rPr>
          <w:rFonts w:eastAsia="CharisSIL" w:cs="CharisSIL"/>
          <w:i/>
          <w:iCs/>
          <w:color w:val="000000"/>
          <w:szCs w:val="21"/>
        </w:rPr>
        <w:t xml:space="preserve">van- </w:t>
      </w:r>
      <w:r>
        <w:rPr>
          <w:rFonts w:eastAsia="CharisSIL" w:cs="CharisSIL"/>
          <w:color w:val="000000"/>
          <w:szCs w:val="21"/>
        </w:rPr>
        <w:t xml:space="preserve">without object, not modified </w:t>
      </w:r>
    </w:p>
    <w:p w14:paraId="7EFE441C" w14:textId="77777777" w:rsidR="00E53EB6" w:rsidRDefault="00E53EB6">
      <w:pPr>
        <w:pStyle w:val="HaupttextohneEinzug"/>
        <w:rPr>
          <w:rFonts w:eastAsia="CharisSIL" w:cs="CharisSIL"/>
          <w:color w:val="000000"/>
          <w:szCs w:val="21"/>
        </w:rPr>
      </w:pPr>
    </w:p>
    <w:p w14:paraId="7B87E70C" w14:textId="77777777" w:rsidR="00E53EB6" w:rsidRDefault="006500F5">
      <w:pPr>
        <w:pStyle w:val="Hauptext"/>
        <w:rPr>
          <w:rFonts w:eastAsia="CharisSIL" w:cs="CharisSIL"/>
          <w:i/>
          <w:iCs/>
          <w:color w:val="000000"/>
          <w:szCs w:val="21"/>
        </w:rPr>
      </w:pPr>
      <w:r>
        <w:rPr>
          <w:rFonts w:eastAsia="CharisSIL" w:cs="CharisSIL"/>
          <w:i/>
          <w:iCs/>
          <w:color w:val="000000"/>
          <w:szCs w:val="21"/>
        </w:rPr>
        <w:t>Brāhma</w:t>
      </w:r>
      <w:r>
        <w:rPr>
          <w:rFonts w:eastAsia="CharisSIL" w:cs="CharisSIL"/>
          <w:i/>
          <w:iCs/>
          <w:color w:val="000000"/>
          <w:szCs w:val="21"/>
        </w:rPr>
        <w:t>ṇ</w:t>
      </w:r>
      <w:r>
        <w:rPr>
          <w:rFonts w:eastAsia="CharisSIL" w:cs="CharisSIL"/>
          <w:i/>
          <w:iCs/>
          <w:color w:val="000000"/>
          <w:szCs w:val="21"/>
        </w:rPr>
        <w:t>as:</w:t>
      </w:r>
    </w:p>
    <w:p w14:paraId="27B7A162" w14:textId="77777777" w:rsidR="00E53EB6" w:rsidRDefault="006500F5">
      <w:pPr>
        <w:pStyle w:val="Hauptext"/>
        <w:rPr>
          <w:szCs w:val="21"/>
        </w:rPr>
      </w:pPr>
      <w:r>
        <w:rPr>
          <w:rFonts w:eastAsia="CharisSIL" w:cs="CharisSIL"/>
          <w:b/>
          <w:bCs/>
          <w:color w:val="000000"/>
          <w:szCs w:val="21"/>
        </w:rPr>
        <w:t>TB 2.4.6.2</w:t>
      </w:r>
      <w:r>
        <w:rPr>
          <w:rFonts w:eastAsia="CharisSIL" w:cs="CharisSIL"/>
          <w:b/>
          <w:bCs/>
          <w:color w:val="000000"/>
          <w:szCs w:val="21"/>
        </w:rPr>
        <w:tab/>
      </w:r>
      <w:r>
        <w:rPr>
          <w:rFonts w:eastAsia="CharisSIL" w:cs="CharisSIL"/>
          <w:color w:val="000000"/>
          <w:szCs w:val="21"/>
        </w:rPr>
        <w:t xml:space="preserve">(R̥V 6.16.26) </w:t>
      </w:r>
      <w:r>
        <w:rPr>
          <w:rFonts w:eastAsia="CharisSIL" w:cs="CharisSIL"/>
          <w:i/>
          <w:iCs/>
          <w:color w:val="000000"/>
          <w:szCs w:val="21"/>
        </w:rPr>
        <w:t xml:space="preserve">van- </w:t>
      </w:r>
      <w:r>
        <w:rPr>
          <w:rFonts w:eastAsia="CharisSIL" w:cs="CharisSIL"/>
          <w:color w:val="000000"/>
          <w:szCs w:val="21"/>
        </w:rPr>
        <w:t>the god</w:t>
      </w:r>
    </w:p>
    <w:p w14:paraId="4AB70757" w14:textId="77777777" w:rsidR="00E53EB6" w:rsidRDefault="006500F5">
      <w:pPr>
        <w:pStyle w:val="Hauptext"/>
        <w:rPr>
          <w:szCs w:val="21"/>
        </w:rPr>
      </w:pPr>
      <w:r>
        <w:rPr>
          <w:rFonts w:eastAsia="CharisSIL" w:cs="CharisSIL"/>
          <w:b/>
          <w:bCs/>
          <w:color w:val="000000"/>
          <w:szCs w:val="21"/>
        </w:rPr>
        <w:t>TB 2.8.5.3</w:t>
      </w:r>
      <w:r>
        <w:rPr>
          <w:rFonts w:eastAsia="CharisSIL" w:cs="CharisSIL"/>
          <w:b/>
          <w:bCs/>
          <w:color w:val="000000"/>
          <w:szCs w:val="21"/>
        </w:rPr>
        <w:t xml:space="preserve"> </w:t>
      </w:r>
      <w:r>
        <w:rPr>
          <w:rFonts w:eastAsia="CharisSIL" w:cs="CharisSIL"/>
          <w:color w:val="000000"/>
          <w:szCs w:val="21"/>
        </w:rPr>
        <w:t xml:space="preserve">(R̥V 2.26.3) </w:t>
      </w:r>
      <w:r>
        <w:rPr>
          <w:rFonts w:eastAsia="CharisSIL" w:cs="CharisSIL"/>
          <w:i/>
          <w:iCs/>
          <w:color w:val="000000"/>
          <w:szCs w:val="21"/>
        </w:rPr>
        <w:t xml:space="preserve">ā vivās- </w:t>
      </w:r>
      <w:r>
        <w:rPr>
          <w:rFonts w:eastAsia="CharisSIL" w:cs="CharisSIL"/>
          <w:color w:val="000000"/>
          <w:szCs w:val="21"/>
        </w:rPr>
        <w:t xml:space="preserve">the god </w:t>
      </w:r>
    </w:p>
    <w:p w14:paraId="6AA16D2B" w14:textId="77777777" w:rsidR="00E53EB6" w:rsidRDefault="006500F5">
      <w:pPr>
        <w:pStyle w:val="Hauptext"/>
        <w:rPr>
          <w:szCs w:val="21"/>
        </w:rPr>
      </w:pPr>
      <w:r>
        <w:rPr>
          <w:rFonts w:eastAsia="CharisSIL" w:cs="CharisSIL"/>
          <w:b/>
          <w:bCs/>
          <w:color w:val="000000"/>
          <w:szCs w:val="21"/>
        </w:rPr>
        <w:t>TB 2.4.5.5</w:t>
      </w:r>
      <w:r>
        <w:rPr>
          <w:rFonts w:eastAsia="CharisSIL" w:cs="CharisSIL"/>
          <w:b/>
          <w:bCs/>
          <w:color w:val="000000"/>
          <w:szCs w:val="21"/>
        </w:rPr>
        <w:tab/>
      </w:r>
      <w:r>
        <w:rPr>
          <w:rFonts w:eastAsia="CharisSIL" w:cs="CharisSIL"/>
          <w:color w:val="000000"/>
          <w:szCs w:val="21"/>
        </w:rPr>
        <w:t xml:space="preserve">(R̥V 5.83.1) </w:t>
      </w:r>
      <w:r>
        <w:rPr>
          <w:rFonts w:eastAsia="CharisSIL" w:cs="CharisSIL"/>
          <w:i/>
          <w:iCs/>
          <w:color w:val="000000"/>
          <w:szCs w:val="21"/>
        </w:rPr>
        <w:t>vivās-</w:t>
      </w:r>
      <w:r>
        <w:rPr>
          <w:rFonts w:eastAsia="CharisSIL" w:cs="CharisSIL"/>
          <w:color w:val="000000"/>
          <w:szCs w:val="21"/>
        </w:rPr>
        <w:t xml:space="preserve"> the god </w:t>
      </w:r>
    </w:p>
    <w:p w14:paraId="4DE5FF49" w14:textId="77777777" w:rsidR="00E53EB6" w:rsidRDefault="00E53EB6">
      <w:pPr>
        <w:pStyle w:val="Hauptext"/>
        <w:rPr>
          <w:rFonts w:eastAsia="CharisSIL" w:cs="CharisSIL"/>
          <w:color w:val="000000"/>
          <w:szCs w:val="21"/>
        </w:rPr>
      </w:pPr>
    </w:p>
    <w:p w14:paraId="0B7F663E" w14:textId="77777777" w:rsidR="00E53EB6" w:rsidRDefault="006500F5">
      <w:pPr>
        <w:pStyle w:val="Hauptext"/>
        <w:rPr>
          <w:szCs w:val="21"/>
        </w:rPr>
      </w:pPr>
      <w:r>
        <w:rPr>
          <w:rFonts w:eastAsia="CharisSIL" w:cs="CharisSIL"/>
          <w:b/>
          <w:bCs/>
          <w:color w:val="000000"/>
          <w:szCs w:val="21"/>
        </w:rPr>
        <w:t>Out of 24 non-R̥V mantras or prose</w:t>
      </w:r>
      <w:r>
        <w:rPr>
          <w:rFonts w:eastAsia="CharisSIL" w:cs="CharisSIL"/>
          <w:color w:val="000000"/>
          <w:szCs w:val="21"/>
        </w:rPr>
        <w:t xml:space="preserve"> (19 Sa</w:t>
      </w:r>
      <w:r>
        <w:rPr>
          <w:rFonts w:eastAsia="CharisSIL" w:cs="CharisSIL"/>
          <w:color w:val="000000"/>
          <w:szCs w:val="21"/>
        </w:rPr>
        <w:t>ṃ</w:t>
      </w:r>
      <w:r>
        <w:rPr>
          <w:rFonts w:eastAsia="CharisSIL" w:cs="CharisSIL"/>
          <w:color w:val="000000"/>
          <w:szCs w:val="21"/>
        </w:rPr>
        <w:t>hitās - 5 Brāhmaṇas):</w:t>
      </w:r>
    </w:p>
    <w:p w14:paraId="31822062" w14:textId="77777777" w:rsidR="00E53EB6" w:rsidRDefault="006500F5">
      <w:pPr>
        <w:pStyle w:val="HaupttextohneEinzug"/>
      </w:pPr>
      <w:r>
        <w:t>Ritual meaning: 2</w:t>
      </w:r>
      <w:r>
        <w:tab/>
      </w:r>
      <w:r>
        <w:tab/>
      </w:r>
      <w:r>
        <w:tab/>
      </w:r>
      <w:r>
        <w:tab/>
      </w:r>
      <w:r>
        <w:tab/>
      </w:r>
      <w:r>
        <w:tab/>
      </w:r>
      <w:r>
        <w:tab/>
        <w:t xml:space="preserve">Non-ritual meaning: 22 </w:t>
      </w:r>
    </w:p>
    <w:p w14:paraId="68210A7E" w14:textId="77777777" w:rsidR="00E53EB6" w:rsidRDefault="006500F5">
      <w:pPr>
        <w:pStyle w:val="Hauptext"/>
        <w:rPr>
          <w:szCs w:val="21"/>
        </w:rPr>
      </w:pPr>
      <w:r>
        <w:rPr>
          <w:rFonts w:eastAsia="CharisSIL" w:cs="CharisSIL"/>
          <w:b/>
          <w:bCs/>
          <w:color w:val="000000"/>
          <w:szCs w:val="21"/>
        </w:rPr>
        <w:t xml:space="preserve">TS 1.6.4.2; .3: </w:t>
      </w:r>
      <w:r>
        <w:rPr>
          <w:rFonts w:eastAsia="CharisSIL" w:cs="CharisSIL"/>
          <w:color w:val="000000"/>
          <w:szCs w:val="21"/>
        </w:rPr>
        <w:t xml:space="preserve">non-R̥V mantra in YV-Level </w:t>
      </w:r>
    </w:p>
    <w:p w14:paraId="569C7B22" w14:textId="77777777" w:rsidR="00E53EB6" w:rsidRDefault="006500F5">
      <w:pPr>
        <w:pStyle w:val="Hauptext"/>
        <w:rPr>
          <w:szCs w:val="21"/>
        </w:rPr>
      </w:pPr>
      <w:r>
        <w:rPr>
          <w:rFonts w:eastAsia="CharisSIL" w:cs="CharisSIL"/>
          <w:b/>
          <w:bCs/>
          <w:color w:val="000000"/>
          <w:szCs w:val="21"/>
        </w:rPr>
        <w:t xml:space="preserve">TS 3.2.7.2 </w:t>
      </w:r>
      <w:r>
        <w:rPr>
          <w:rFonts w:eastAsia="CharisSIL" w:cs="CharisSIL"/>
          <w:color w:val="000000"/>
          <w:szCs w:val="21"/>
        </w:rPr>
        <w:t>= TS 1.6.4.2</w:t>
      </w:r>
      <w:r>
        <w:rPr>
          <w:rFonts w:eastAsia="CharisSIL" w:cs="CharisSIL"/>
          <w:color w:val="000000"/>
          <w:szCs w:val="21"/>
        </w:rPr>
        <w:t>; .3</w:t>
      </w:r>
    </w:p>
    <w:p w14:paraId="4C2CAEC1" w14:textId="77777777" w:rsidR="00E53EB6" w:rsidRDefault="00E53EB6">
      <w:pPr>
        <w:pStyle w:val="Hauptext"/>
        <w:rPr>
          <w:rFonts w:eastAsia="CharisSIL" w:cs="CharisSIL"/>
          <w:color w:val="000000"/>
          <w:szCs w:val="21"/>
        </w:rPr>
      </w:pPr>
    </w:p>
    <w:p w14:paraId="6938EF10" w14:textId="77777777" w:rsidR="00E53EB6" w:rsidRDefault="006500F5">
      <w:pPr>
        <w:pStyle w:val="Hauptext"/>
      </w:pPr>
      <w:r>
        <w:rPr>
          <w:rFonts w:eastAsia="CharisSIL" w:cs="CharisSIL"/>
          <w:color w:val="000000"/>
        </w:rPr>
        <w:t>As to the Sa</w:t>
      </w:r>
      <w:r>
        <w:rPr>
          <w:rFonts w:eastAsia="CharisSIL" w:cs="CharisSIL"/>
          <w:color w:val="000000"/>
        </w:rPr>
        <w:t>ṃ</w:t>
      </w:r>
      <w:r>
        <w:rPr>
          <w:rFonts w:eastAsia="CharisSIL" w:cs="CharisSIL"/>
          <w:color w:val="000000"/>
        </w:rPr>
        <w:t xml:space="preserve">hitās’ texts, we can find the ritual meaning in the quotations of the R̥V </w:t>
      </w:r>
      <w:r>
        <w:rPr>
          <w:rFonts w:eastAsia="CharisSIL" w:cs="CharisSIL"/>
          <w:i/>
          <w:iCs/>
          <w:color w:val="000000"/>
        </w:rPr>
        <w:t>mantra</w:t>
      </w:r>
      <w:r>
        <w:rPr>
          <w:rFonts w:eastAsia="CharisSIL" w:cs="CharisSIL"/>
          <w:color w:val="000000"/>
        </w:rPr>
        <w:t xml:space="preserve"> </w:t>
      </w:r>
      <w:r>
        <w:rPr>
          <w:rFonts w:eastAsia="CharisSIL" w:cs="CharisSIL"/>
          <w:color w:val="000000"/>
        </w:rPr>
        <w:t>8.45.23</w:t>
      </w:r>
      <w:r>
        <w:rPr>
          <w:rFonts w:eastAsia="CharisSIL" w:cs="CharisSIL"/>
          <w:i/>
          <w:iCs/>
          <w:color w:val="000000"/>
        </w:rPr>
        <w:t>,</w:t>
      </w:r>
      <w:r>
        <w:rPr>
          <w:rFonts w:eastAsia="CharisSIL" w:cs="CharisSIL"/>
          <w:color w:val="000000"/>
        </w:rPr>
        <w:t xml:space="preserve"> which indeed is a very important one, but we find it only in JS 3.8.8: it is, thus, a “pure” quotation of a </w:t>
      </w:r>
      <w:r>
        <w:rPr>
          <w:rFonts w:eastAsia="CharisSIL" w:cs="CharisSIL"/>
          <w:i/>
          <w:iCs/>
          <w:color w:val="000000"/>
        </w:rPr>
        <w:t xml:space="preserve">mantra </w:t>
      </w:r>
      <w:r>
        <w:rPr>
          <w:rFonts w:eastAsia="CharisSIL" w:cs="CharisSIL"/>
          <w:color w:val="000000"/>
        </w:rPr>
        <w:t xml:space="preserve">that has to be chanted and this occurrence does not tell us much as to the level of the language. </w:t>
      </w:r>
    </w:p>
    <w:p w14:paraId="4838278E" w14:textId="77777777" w:rsidR="00E53EB6" w:rsidRDefault="006500F5">
      <w:pPr>
        <w:pStyle w:val="Hauptext"/>
      </w:pPr>
      <w:r>
        <w:rPr>
          <w:rFonts w:eastAsia="CharisSIL" w:cs="CharisSIL"/>
          <w:color w:val="000000"/>
        </w:rPr>
        <w:t xml:space="preserve">The other quotation is from </w:t>
      </w:r>
      <w:r>
        <w:rPr>
          <w:rFonts w:eastAsia="CharisSIL" w:cs="CharisSIL"/>
          <w:color w:val="000000"/>
        </w:rPr>
        <w:t>R̥V 10.128, a</w:t>
      </w:r>
      <w:r>
        <w:rPr>
          <w:rFonts w:eastAsia="CharisSIL" w:cs="CharisSIL"/>
          <w:color w:val="000000"/>
        </w:rPr>
        <w:t xml:space="preserve"> hymn that we have already analysed as a whole in §III.1.3 a</w:t>
      </w:r>
      <w:r>
        <w:rPr>
          <w:rFonts w:eastAsia="CharisSIL" w:cs="CharisSIL"/>
          <w:color w:val="000000"/>
        </w:rPr>
        <w:t xml:space="preserve">nd it gives us quite interesting informations: we know that it is used three times, in TS 4.7.14.1, </w:t>
      </w:r>
      <w:r>
        <w:rPr>
          <w:rFonts w:eastAsia="CharisSIL" w:cs="CharisSIL"/>
          <w:color w:val="000000"/>
        </w:rPr>
        <w:t>in KS 10.40 a</w:t>
      </w:r>
      <w:r>
        <w:rPr>
          <w:rFonts w:eastAsia="CharisSIL" w:cs="CharisSIL"/>
          <w:color w:val="000000"/>
        </w:rPr>
        <w:t>nd in AVŚ 5.3. Besides all the variations we outlined in the previous paragraph, we</w:t>
      </w:r>
      <w:r>
        <w:rPr>
          <w:rFonts w:eastAsia="CharisSIL" w:cs="CharisSIL"/>
          <w:color w:val="000000"/>
        </w:rPr>
        <w:t xml:space="preserve"> will consider here only one </w:t>
      </w:r>
      <w:r>
        <w:rPr>
          <w:rFonts w:eastAsia="CharisSIL" w:cs="CharisSIL"/>
          <w:i/>
          <w:iCs/>
          <w:color w:val="000000"/>
        </w:rPr>
        <w:t>mantra</w:t>
      </w:r>
      <w:r>
        <w:rPr>
          <w:rFonts w:eastAsia="CharisSIL" w:cs="CharisSIL"/>
          <w:color w:val="000000"/>
        </w:rPr>
        <w:t xml:space="preserve"> in particular which undergoes slight but significant modifications. </w:t>
      </w:r>
    </w:p>
    <w:p w14:paraId="2D525E42" w14:textId="77777777" w:rsidR="00E53EB6" w:rsidRDefault="006500F5">
      <w:pPr>
        <w:pStyle w:val="HaupttextohneEinzug"/>
        <w:rPr>
          <w:rFonts w:eastAsia="CharisSIL" w:cs="CharisSIL"/>
          <w:color w:val="000000"/>
        </w:rPr>
      </w:pPr>
      <w:r>
        <w:rPr>
          <w:rFonts w:eastAsia="CharisSIL" w:cs="CharisSIL"/>
          <w:color w:val="000000"/>
        </w:rPr>
        <w:t xml:space="preserve">The stanza 3 of the hymn 10.128, addressed to all gods, reads as follows: </w:t>
      </w:r>
    </w:p>
    <w:p w14:paraId="4BF6E47D" w14:textId="77777777" w:rsidR="00E53EB6" w:rsidRDefault="006500F5">
      <w:pPr>
        <w:pStyle w:val="Zitat"/>
      </w:pPr>
      <w:r>
        <w:rPr>
          <w:rFonts w:eastAsia="CharisSIL" w:cs="CharisSIL"/>
          <w:color w:val="000000"/>
        </w:rPr>
        <w:t xml:space="preserve">10.128.3 </w:t>
      </w:r>
      <w:r>
        <w:rPr>
          <w:rFonts w:eastAsia="CharisSIL" w:cs="CharisSIL"/>
          <w:i/>
          <w:iCs/>
          <w:color w:val="000000"/>
        </w:rPr>
        <w:t>máyi devā́ drávi</w:t>
      </w:r>
      <w:r>
        <w:rPr>
          <w:rFonts w:eastAsia="CharisSIL" w:cs="CharisSIL"/>
          <w:i/>
          <w:iCs/>
          <w:color w:val="000000"/>
        </w:rPr>
        <w:t>ṇ</w:t>
      </w:r>
      <w:r>
        <w:rPr>
          <w:rFonts w:eastAsia="CharisSIL" w:cs="CharisSIL"/>
          <w:i/>
          <w:iCs/>
          <w:color w:val="000000"/>
        </w:rPr>
        <w:t xml:space="preserve">am ā́yajantām </w:t>
      </w:r>
    </w:p>
    <w:p w14:paraId="59A8796F" w14:textId="77777777" w:rsidR="00E53EB6" w:rsidRDefault="006500F5">
      <w:pPr>
        <w:pStyle w:val="ZitatnachZitat"/>
        <w:rPr>
          <w:rFonts w:eastAsia="CharisSIL" w:cs="CharisSIL"/>
          <w:i/>
          <w:iCs/>
          <w:color w:val="000000"/>
        </w:rPr>
      </w:pPr>
      <w:r>
        <w:rPr>
          <w:rFonts w:eastAsia="CharisSIL" w:cs="CharisSIL"/>
          <w:i/>
          <w:iCs/>
          <w:color w:val="000000"/>
        </w:rPr>
        <w:t xml:space="preserve">máyy āśī́r astu máyi </w:t>
      </w:r>
      <w:r>
        <w:rPr>
          <w:rFonts w:eastAsia="CharisSIL" w:cs="CharisSIL"/>
          <w:i/>
          <w:iCs/>
          <w:color w:val="000000"/>
        </w:rPr>
        <w:t>deváhūti</w:t>
      </w:r>
      <w:r>
        <w:rPr>
          <w:rFonts w:eastAsia="CharisSIL" w:cs="CharisSIL"/>
          <w:i/>
          <w:iCs/>
          <w:color w:val="000000"/>
        </w:rPr>
        <w:t>ḥ</w:t>
      </w:r>
    </w:p>
    <w:p w14:paraId="2F4771FD" w14:textId="77777777" w:rsidR="00E53EB6" w:rsidRDefault="006500F5">
      <w:pPr>
        <w:pStyle w:val="ZitatnachZitat"/>
        <w:rPr>
          <w:rFonts w:eastAsia="CharisSIL" w:cs="CharisSIL"/>
          <w:i/>
          <w:iCs/>
          <w:color w:val="000000"/>
        </w:rPr>
      </w:pPr>
      <w:r>
        <w:rPr>
          <w:rFonts w:eastAsia="CharisSIL" w:cs="CharisSIL"/>
          <w:i/>
          <w:iCs/>
          <w:color w:val="000000"/>
        </w:rPr>
        <w:t>daívyā hótāro vanu</w:t>
      </w:r>
      <w:r>
        <w:rPr>
          <w:rFonts w:eastAsia="CharisSIL" w:cs="CharisSIL"/>
          <w:i/>
          <w:iCs/>
          <w:color w:val="000000"/>
        </w:rPr>
        <w:t>ṣ</w:t>
      </w:r>
      <w:r>
        <w:rPr>
          <w:rFonts w:eastAsia="CharisSIL" w:cs="CharisSIL"/>
          <w:i/>
          <w:iCs/>
          <w:color w:val="000000"/>
        </w:rPr>
        <w:t>anta pū́rve</w:t>
      </w:r>
    </w:p>
    <w:p w14:paraId="62ECC881" w14:textId="77777777" w:rsidR="00E53EB6" w:rsidRDefault="006500F5">
      <w:pPr>
        <w:pStyle w:val="ZitatnachZitat"/>
      </w:pPr>
      <w:r>
        <w:rPr>
          <w:rFonts w:eastAsia="CharisSIL" w:cs="CharisSIL"/>
          <w:i/>
          <w:iCs/>
          <w:color w:val="000000"/>
        </w:rPr>
        <w:t>ári</w:t>
      </w:r>
      <w:r>
        <w:rPr>
          <w:rFonts w:eastAsia="CharisSIL" w:cs="CharisSIL"/>
          <w:i/>
          <w:iCs/>
          <w:color w:val="000000"/>
        </w:rPr>
        <w:t>ṣṭ</w:t>
      </w:r>
      <w:r>
        <w:rPr>
          <w:rFonts w:eastAsia="CharisSIL" w:cs="CharisSIL"/>
          <w:i/>
          <w:iCs/>
          <w:color w:val="000000"/>
        </w:rPr>
        <w:t>ā</w:t>
      </w:r>
      <w:r>
        <w:rPr>
          <w:rFonts w:eastAsia="CharisSIL" w:cs="CharisSIL"/>
          <w:i/>
          <w:iCs/>
          <w:color w:val="000000"/>
        </w:rPr>
        <w:t>ḥ</w:t>
      </w:r>
      <w:r>
        <w:rPr>
          <w:rFonts w:eastAsia="CharisSIL" w:cs="CharisSIL"/>
          <w:i/>
          <w:iCs/>
          <w:color w:val="000000"/>
        </w:rPr>
        <w:t xml:space="preserve"> syāma tanúvā suvī́rā</w:t>
      </w:r>
      <w:r>
        <w:rPr>
          <w:rFonts w:eastAsia="CharisSIL" w:cs="CharisSIL"/>
          <w:i/>
          <w:iCs/>
          <w:color w:val="000000"/>
        </w:rPr>
        <w:t>ḥ</w:t>
      </w:r>
      <w:r>
        <w:rPr>
          <w:rFonts w:eastAsia="CharisSIL" w:cs="CharisSIL"/>
          <w:color w:val="000000"/>
        </w:rPr>
        <w:t xml:space="preserve"> </w:t>
      </w:r>
    </w:p>
    <w:p w14:paraId="30D4F5A6" w14:textId="77777777" w:rsidR="00E53EB6" w:rsidRDefault="006500F5">
      <w:pPr>
        <w:pStyle w:val="Zitat"/>
        <w:autoSpaceDE w:val="0"/>
        <w:rPr>
          <w:rFonts w:ascii="Times Ext Roman" w:hAnsi="Times Ext Roman"/>
          <w:color w:val="000000"/>
          <w:lang w:eastAsia="hi-IN"/>
        </w:rPr>
      </w:pPr>
      <w:r>
        <w:rPr>
          <w:color w:val="000000"/>
          <w:lang w:eastAsia="hi-IN"/>
        </w:rPr>
        <w:t>May the gods bestow on me through sacrifice movable goods, may the prayer</w:t>
      </w:r>
      <w:r>
        <w:rPr>
          <w:rStyle w:val="FootnoteAnchor"/>
          <w:rFonts w:cs="Devanagari MT;Times New Roman"/>
          <w:color w:val="000000"/>
          <w:lang w:eastAsia="hi-IN"/>
        </w:rPr>
        <w:footnoteReference w:id="405"/>
      </w:r>
      <w:r>
        <w:rPr>
          <w:color w:val="000000"/>
          <w:lang w:eastAsia="hi-IN"/>
        </w:rPr>
        <w:t xml:space="preserve"> be in me, may be in me the divine invocation; may the two former divine </w:t>
      </w:r>
      <w:r>
        <w:rPr>
          <w:i/>
          <w:iCs/>
          <w:color w:val="000000"/>
          <w:lang w:eastAsia="hi-IN"/>
        </w:rPr>
        <w:t>hotr</w:t>
      </w:r>
      <w:r>
        <w:rPr>
          <w:rFonts w:cs="Devanagari MT;Times New Roman"/>
          <w:i/>
          <w:iCs/>
          <w:color w:val="000000"/>
          <w:lang w:eastAsia="hi-IN"/>
        </w:rPr>
        <w:t>̥</w:t>
      </w:r>
      <w:r>
        <w:rPr>
          <w:color w:val="000000"/>
          <w:lang w:eastAsia="hi-IN"/>
        </w:rPr>
        <w:t xml:space="preserve"> </w:t>
      </w:r>
      <w:r>
        <w:rPr>
          <w:color w:val="000000"/>
          <w:u w:val="single"/>
          <w:lang w:eastAsia="hi-IN"/>
        </w:rPr>
        <w:t>appropriate for themselves</w:t>
      </w:r>
      <w:r>
        <w:rPr>
          <w:color w:val="000000"/>
          <w:lang w:eastAsia="hi-IN"/>
        </w:rPr>
        <w:t xml:space="preserve">, </w:t>
      </w:r>
      <w:r>
        <w:rPr>
          <w:color w:val="000000"/>
          <w:lang w:eastAsia="hi-IN"/>
        </w:rPr>
        <w:t>may we, through ourselves, be safe, rich of heroes.</w:t>
      </w:r>
    </w:p>
    <w:p w14:paraId="74E0B3A6" w14:textId="77777777" w:rsidR="00E53EB6" w:rsidRDefault="006500F5">
      <w:pPr>
        <w:pStyle w:val="HaupttextnachZitat"/>
      </w:pPr>
      <w:r>
        <w:rPr>
          <w:rFonts w:eastAsia="CharisSIL" w:cs="CharisSIL"/>
          <w:color w:val="000000"/>
        </w:rPr>
        <w:t xml:space="preserve">In KS 40.10, where many of the stanzas of 10.128 are quoted as </w:t>
      </w:r>
      <w:r>
        <w:rPr>
          <w:rFonts w:eastAsia="CharisSIL" w:cs="CharisSIL"/>
          <w:i/>
          <w:iCs/>
          <w:color w:val="000000"/>
        </w:rPr>
        <w:t>mantra</w:t>
      </w:r>
      <w:r>
        <w:rPr>
          <w:rFonts w:eastAsia="CharisSIL" w:cs="CharisSIL"/>
          <w:color w:val="000000"/>
        </w:rPr>
        <w:t xml:space="preserve">s during the construction of the altar, namely during the laying down of the bricks on the </w:t>
      </w:r>
      <w:r>
        <w:rPr>
          <w:rFonts w:eastAsia="CharisSIL" w:cs="CharisSIL"/>
          <w:i/>
          <w:iCs/>
          <w:color w:val="000000"/>
        </w:rPr>
        <w:t>dhi</w:t>
      </w:r>
      <w:r>
        <w:rPr>
          <w:rFonts w:eastAsia="CharisSIL" w:cs="CharisSIL"/>
          <w:i/>
          <w:iCs/>
          <w:color w:val="000000"/>
        </w:rPr>
        <w:t>ṣ</w:t>
      </w:r>
      <w:r>
        <w:rPr>
          <w:rFonts w:eastAsia="CharisSIL" w:cs="CharisSIL"/>
          <w:i/>
          <w:iCs/>
          <w:color w:val="000000"/>
        </w:rPr>
        <w:t>nya</w:t>
      </w:r>
      <w:r>
        <w:rPr>
          <w:rFonts w:eastAsia="CharisSIL" w:cs="CharisSIL"/>
          <w:color w:val="000000"/>
        </w:rPr>
        <w:t xml:space="preserve"> altar, the stanza 3, right at the be</w:t>
      </w:r>
      <w:r>
        <w:rPr>
          <w:rFonts w:eastAsia="CharisSIL" w:cs="CharisSIL"/>
          <w:color w:val="000000"/>
        </w:rPr>
        <w:t xml:space="preserve">ginning of this section, undergoes two variations: the first is the substitution of </w:t>
      </w:r>
      <w:r>
        <w:rPr>
          <w:rFonts w:eastAsia="CharisSIL" w:cs="CharisSIL"/>
          <w:i/>
          <w:iCs/>
          <w:color w:val="000000"/>
        </w:rPr>
        <w:t>vanu</w:t>
      </w:r>
      <w:r>
        <w:rPr>
          <w:rFonts w:eastAsia="CharisSIL" w:cs="CharisSIL"/>
          <w:i/>
          <w:iCs/>
          <w:color w:val="000000"/>
        </w:rPr>
        <w:t>ṣ</w:t>
      </w:r>
      <w:r>
        <w:rPr>
          <w:rFonts w:eastAsia="CharisSIL" w:cs="CharisSIL"/>
          <w:i/>
          <w:iCs/>
          <w:color w:val="000000"/>
        </w:rPr>
        <w:t>anta</w:t>
      </w:r>
      <w:r>
        <w:rPr>
          <w:rFonts w:eastAsia="CharisSIL" w:cs="CharisSIL"/>
          <w:color w:val="000000"/>
        </w:rPr>
        <w:t xml:space="preserve"> with </w:t>
      </w:r>
      <w:r>
        <w:rPr>
          <w:rFonts w:eastAsia="CharisSIL" w:cs="CharisSIL"/>
          <w:i/>
          <w:iCs/>
          <w:color w:val="000000"/>
        </w:rPr>
        <w:t>vani</w:t>
      </w:r>
      <w:r>
        <w:rPr>
          <w:rFonts w:eastAsia="CharisSIL" w:cs="CharisSIL"/>
          <w:i/>
          <w:iCs/>
          <w:color w:val="000000"/>
        </w:rPr>
        <w:t>ṣ</w:t>
      </w:r>
      <w:r>
        <w:rPr>
          <w:rFonts w:eastAsia="CharisSIL" w:cs="CharisSIL"/>
          <w:i/>
          <w:iCs/>
          <w:color w:val="000000"/>
        </w:rPr>
        <w:t>an</w:t>
      </w:r>
      <w:r>
        <w:rPr>
          <w:rFonts w:eastAsia="CharisSIL" w:cs="CharisSIL"/>
          <w:color w:val="000000"/>
        </w:rPr>
        <w:t xml:space="preserve">, so a subjunctive aorist instead of a present injunctive: this variation does not convey a real change in the understanding of the stanza, and it is </w:t>
      </w:r>
      <w:r>
        <w:rPr>
          <w:rFonts w:eastAsia="CharisSIL" w:cs="CharisSIL"/>
          <w:color w:val="000000"/>
        </w:rPr>
        <w:t xml:space="preserve">easy to trace back the reason of the change to the oddness of the </w:t>
      </w:r>
      <w:r>
        <w:rPr>
          <w:rFonts w:eastAsia="CharisSIL" w:cs="CharisSIL"/>
          <w:i/>
          <w:iCs/>
          <w:color w:val="000000"/>
        </w:rPr>
        <w:t>R̥gvedic</w:t>
      </w:r>
      <w:r>
        <w:rPr>
          <w:rFonts w:eastAsia="CharisSIL" w:cs="CharisSIL"/>
          <w:color w:val="000000"/>
        </w:rPr>
        <w:t xml:space="preserve"> </w:t>
      </w:r>
      <w:r>
        <w:rPr>
          <w:rFonts w:eastAsia="CharisSIL" w:cs="CharisSIL"/>
          <w:i/>
          <w:iCs/>
          <w:color w:val="000000"/>
        </w:rPr>
        <w:t>hapax</w:t>
      </w:r>
      <w:r>
        <w:rPr>
          <w:rStyle w:val="FootnoteAnchor"/>
          <w:rFonts w:eastAsia="CharisSIL" w:cs="CharisSIL"/>
          <w:i/>
          <w:iCs/>
          <w:color w:val="000000"/>
        </w:rPr>
        <w:footnoteReference w:id="406"/>
      </w:r>
      <w:r>
        <w:rPr>
          <w:rFonts w:eastAsia="CharisSIL" w:cs="CharisSIL"/>
          <w:color w:val="000000"/>
        </w:rPr>
        <w:t xml:space="preserve">, namely </w:t>
      </w:r>
      <w:r>
        <w:rPr>
          <w:rFonts w:eastAsia="CharisSIL" w:cs="CharisSIL"/>
          <w:i/>
          <w:iCs/>
          <w:color w:val="000000"/>
        </w:rPr>
        <w:t>vanu</w:t>
      </w:r>
      <w:r>
        <w:rPr>
          <w:rFonts w:eastAsia="CharisSIL" w:cs="CharisSIL"/>
          <w:i/>
          <w:iCs/>
          <w:color w:val="000000"/>
        </w:rPr>
        <w:t>ṣ</w:t>
      </w:r>
      <w:r>
        <w:rPr>
          <w:rFonts w:eastAsia="CharisSIL" w:cs="CharisSIL"/>
          <w:i/>
          <w:iCs/>
          <w:color w:val="000000"/>
        </w:rPr>
        <w:t>anta</w:t>
      </w:r>
      <w:r>
        <w:rPr>
          <w:rFonts w:eastAsia="CharisSIL" w:cs="CharisSIL"/>
          <w:color w:val="000000"/>
        </w:rPr>
        <w:t xml:space="preserve">. The second variation is the substitution of </w:t>
      </w:r>
      <w:r>
        <w:rPr>
          <w:rFonts w:eastAsia="CharisSIL" w:cs="CharisSIL"/>
          <w:i/>
          <w:iCs/>
          <w:color w:val="000000"/>
        </w:rPr>
        <w:t>pū́rve</w:t>
      </w:r>
      <w:r>
        <w:rPr>
          <w:rFonts w:eastAsia="CharisSIL" w:cs="CharisSIL"/>
          <w:color w:val="000000"/>
        </w:rPr>
        <w:t xml:space="preserve">, “sacrificed” in order to put </w:t>
      </w:r>
      <w:r>
        <w:rPr>
          <w:rFonts w:eastAsia="CharisSIL" w:cs="CharisSIL"/>
          <w:i/>
          <w:iCs/>
          <w:color w:val="000000"/>
        </w:rPr>
        <w:t>etad</w:t>
      </w:r>
      <w:r>
        <w:rPr>
          <w:rFonts w:eastAsia="CharisSIL" w:cs="CharisSIL"/>
          <w:color w:val="000000"/>
        </w:rPr>
        <w:t xml:space="preserve"> instead, a neuter accusative of the determinative pronoun, that is a</w:t>
      </w:r>
      <w:r>
        <w:rPr>
          <w:rFonts w:eastAsia="CharisSIL" w:cs="CharisSIL"/>
          <w:color w:val="000000"/>
        </w:rPr>
        <w:t xml:space="preserve">n element that can be deployed as object of the verb, when no object was “available”. In the </w:t>
      </w:r>
      <w:r>
        <w:rPr>
          <w:rFonts w:eastAsia="CharisSIL" w:cs="CharisSIL"/>
          <w:i/>
          <w:iCs/>
          <w:color w:val="000000"/>
        </w:rPr>
        <w:t>R̥gvedic</w:t>
      </w:r>
      <w:r>
        <w:rPr>
          <w:rFonts w:eastAsia="CharisSIL" w:cs="CharisSIL"/>
          <w:color w:val="000000"/>
        </w:rPr>
        <w:t xml:space="preserve"> occurrences, as said before, we have found </w:t>
      </w:r>
      <w:r>
        <w:rPr>
          <w:rFonts w:eastAsia="CharisSIL" w:cs="CharisSIL"/>
          <w:i/>
          <w:iCs/>
          <w:color w:val="000000"/>
        </w:rPr>
        <w:t>van-</w:t>
      </w:r>
      <w:r>
        <w:rPr>
          <w:rFonts w:eastAsia="CharisSIL" w:cs="CharisSIL"/>
          <w:color w:val="000000"/>
        </w:rPr>
        <w:t xml:space="preserve"> without an explicit object, and we have proposed that in those cases the object implied were “the gods” an</w:t>
      </w:r>
      <w:r>
        <w:rPr>
          <w:rFonts w:eastAsia="CharisSIL" w:cs="CharisSIL"/>
          <w:color w:val="000000"/>
        </w:rPr>
        <w:t xml:space="preserve">d that the verb could mean “to make some enter into the circle of sacrifice”. Thus, this substitution could be the sign of a loss of functionality of the specific ritual meaning of the verb: that is, the use </w:t>
      </w:r>
      <w:r>
        <w:rPr>
          <w:rFonts w:eastAsia="CharisSIL" w:cs="CharisSIL"/>
          <w:i/>
          <w:iCs/>
          <w:color w:val="000000"/>
        </w:rPr>
        <w:t>van-</w:t>
      </w:r>
      <w:r>
        <w:rPr>
          <w:rFonts w:eastAsia="CharisSIL" w:cs="CharisSIL"/>
          <w:color w:val="000000"/>
        </w:rPr>
        <w:t xml:space="preserve"> as “to make some enter into the circle of s</w:t>
      </w:r>
      <w:r>
        <w:rPr>
          <w:rFonts w:eastAsia="CharisSIL" w:cs="CharisSIL"/>
          <w:color w:val="000000"/>
        </w:rPr>
        <w:t>acrifice” is not clear anymore, therefore the verb needs an object in order to be understood. The object is furnished to the detriment of the adjective. Moreover, the deictic pronoun is usually pointing, within a ritual context, to some concrete instrument</w:t>
      </w:r>
      <w:r>
        <w:rPr>
          <w:rFonts w:eastAsia="CharisSIL" w:cs="CharisSIL"/>
          <w:color w:val="000000"/>
        </w:rPr>
        <w:t xml:space="preserve"> involved in the action. This could then lead to the hypothesis that the loss of functionality develops into a new use of </w:t>
      </w:r>
      <w:r>
        <w:rPr>
          <w:rFonts w:eastAsia="CharisSIL" w:cs="CharisSIL"/>
          <w:i/>
          <w:iCs/>
          <w:color w:val="000000"/>
        </w:rPr>
        <w:t>van-</w:t>
      </w:r>
      <w:r>
        <w:rPr>
          <w:rFonts w:eastAsia="CharisSIL" w:cs="CharisSIL"/>
          <w:color w:val="000000"/>
        </w:rPr>
        <w:t>: the verb loses its first ritual meaning, which was connected with the poetic effort of actually evoking gods, and flows into ano</w:t>
      </w:r>
      <w:r>
        <w:rPr>
          <w:rFonts w:eastAsia="CharisSIL" w:cs="CharisSIL"/>
          <w:color w:val="000000"/>
        </w:rPr>
        <w:t xml:space="preserve">ther meaning, which is still rooted into the ritual moment, but is pointing to a concrete action within the pragmatic and prescribed sequence. We will consider all the Atharvavedic occurrences in the next chapter, </w:t>
      </w:r>
      <w:r>
        <w:rPr>
          <w:rFonts w:eastAsia="CharisSIL" w:cs="CharisSIL"/>
          <w:color w:val="000000"/>
        </w:rPr>
        <w:lastRenderedPageBreak/>
        <w:t>nonetheless it is useful to take into cons</w:t>
      </w:r>
      <w:r>
        <w:rPr>
          <w:rFonts w:eastAsia="CharisSIL" w:cs="CharisSIL"/>
          <w:color w:val="000000"/>
        </w:rPr>
        <w:t xml:space="preserve">ideration here this single case. In the AVŚ -whose redaction is by general consensus a later one- the corresponding </w:t>
      </w:r>
      <w:r>
        <w:rPr>
          <w:rFonts w:eastAsia="CharisSIL" w:cs="CharisSIL"/>
          <w:i/>
          <w:iCs/>
          <w:color w:val="000000"/>
        </w:rPr>
        <w:t>pāda</w:t>
      </w:r>
      <w:r>
        <w:rPr>
          <w:rFonts w:eastAsia="CharisSIL" w:cs="CharisSIL"/>
          <w:color w:val="000000"/>
        </w:rPr>
        <w:t xml:space="preserve"> reads as follow: </w:t>
      </w:r>
      <w:r>
        <w:rPr>
          <w:rFonts w:eastAsia="CharisSIL" w:cs="CharisSIL"/>
          <w:i/>
          <w:iCs/>
          <w:color w:val="000000"/>
        </w:rPr>
        <w:t>daivā́</w:t>
      </w:r>
      <w:r>
        <w:rPr>
          <w:rFonts w:eastAsia="CharisSIL" w:cs="CharisSIL"/>
          <w:i/>
          <w:iCs/>
          <w:color w:val="000000"/>
        </w:rPr>
        <w:t>ḥ</w:t>
      </w:r>
      <w:r>
        <w:rPr>
          <w:rFonts w:eastAsia="CharisSIL" w:cs="CharisSIL"/>
          <w:i/>
          <w:iCs/>
          <w:color w:val="000000"/>
        </w:rPr>
        <w:t xml:space="preserve"> hótāra</w:t>
      </w:r>
      <w:r>
        <w:rPr>
          <w:rFonts w:eastAsia="CharisSIL" w:cs="CharisSIL"/>
          <w:i/>
          <w:iCs/>
          <w:color w:val="000000"/>
        </w:rPr>
        <w:t>ḥ</w:t>
      </w:r>
      <w:r>
        <w:rPr>
          <w:rFonts w:eastAsia="CharisSIL" w:cs="CharisSIL"/>
          <w:i/>
          <w:iCs/>
          <w:color w:val="000000"/>
        </w:rPr>
        <w:t xml:space="preserve"> sani</w:t>
      </w:r>
      <w:r>
        <w:rPr>
          <w:rFonts w:eastAsia="CharisSIL" w:cs="CharisSIL"/>
          <w:i/>
          <w:iCs/>
          <w:color w:val="000000"/>
        </w:rPr>
        <w:t>ṣ</w:t>
      </w:r>
      <w:r>
        <w:rPr>
          <w:rFonts w:eastAsia="CharisSIL" w:cs="CharisSIL"/>
          <w:i/>
          <w:iCs/>
          <w:color w:val="000000"/>
        </w:rPr>
        <w:t>an na etád.</w:t>
      </w:r>
      <w:r>
        <w:rPr>
          <w:rFonts w:eastAsia="CharisSIL" w:cs="CharisSIL"/>
          <w:color w:val="000000"/>
        </w:rPr>
        <w:t xml:space="preserve"> The shift is completed: the verb </w:t>
      </w:r>
      <w:r>
        <w:rPr>
          <w:rFonts w:eastAsia="CharisSIL" w:cs="CharisSIL"/>
          <w:i/>
          <w:iCs/>
          <w:color w:val="000000"/>
        </w:rPr>
        <w:t>van-</w:t>
      </w:r>
      <w:r>
        <w:rPr>
          <w:rFonts w:eastAsia="CharisSIL" w:cs="CharisSIL"/>
          <w:color w:val="000000"/>
        </w:rPr>
        <w:t xml:space="preserve"> was understood as to “win” “possess”  and there</w:t>
      </w:r>
      <w:r>
        <w:rPr>
          <w:rFonts w:eastAsia="CharisSIL" w:cs="CharisSIL"/>
          <w:color w:val="000000"/>
        </w:rPr>
        <w:t xml:space="preserve">fore substituted with the verb usually conveying this meaning, </w:t>
      </w:r>
      <w:r>
        <w:rPr>
          <w:rFonts w:eastAsia="CharisSIL" w:cs="CharisSIL"/>
          <w:i/>
          <w:iCs/>
          <w:color w:val="000000"/>
        </w:rPr>
        <w:t>san-.</w:t>
      </w:r>
    </w:p>
    <w:p w14:paraId="6B58D90B" w14:textId="77777777" w:rsidR="00E53EB6" w:rsidRDefault="006500F5">
      <w:pPr>
        <w:pStyle w:val="Hauptext"/>
      </w:pPr>
      <w:r>
        <w:t>With regard to the Brāhma</w:t>
      </w:r>
      <w:r>
        <w:t>ṇ</w:t>
      </w:r>
      <w:r>
        <w:t xml:space="preserve">as’ texts, there are only three R̥gvedic quotations approximating what we called “the ritual meaning” and they all present the same syntactic structure: the man </w:t>
      </w:r>
      <w:r>
        <w:rPr>
          <w:i/>
          <w:iCs/>
        </w:rPr>
        <w:t xml:space="preserve">van- </w:t>
      </w:r>
      <w:r>
        <w:t>the gods. T</w:t>
      </w:r>
      <w:r>
        <w:t xml:space="preserve">he first, </w:t>
      </w:r>
      <w:r>
        <w:rPr>
          <w:rFonts w:eastAsia="MS Mincho;ＭＳ 明朝"/>
          <w:i/>
          <w:iCs/>
          <w:lang w:eastAsia="hi-IN"/>
        </w:rPr>
        <w:t>tvā vanvánt surék</w:t>
      </w:r>
      <w:r>
        <w:rPr>
          <w:rFonts w:eastAsia="MS Mincho;ＭＳ 明朝"/>
          <w:i/>
          <w:iCs/>
          <w:lang w:eastAsia="hi-IN"/>
        </w:rPr>
        <w:t>ṇ</w:t>
      </w:r>
      <w:r>
        <w:rPr>
          <w:rFonts w:eastAsia="MS Mincho;ＭＳ 明朝"/>
          <w:i/>
          <w:iCs/>
          <w:lang w:eastAsia="hi-IN"/>
        </w:rPr>
        <w:t>ā</w:t>
      </w:r>
      <w:r>
        <w:rPr>
          <w:rFonts w:eastAsia="MS Mincho;ＭＳ 明朝"/>
          <w:i/>
          <w:iCs/>
          <w:lang w:eastAsia="hi-IN"/>
        </w:rPr>
        <w:t>ḥ</w:t>
      </w:r>
      <w:r>
        <w:rPr>
          <w:rFonts w:eastAsia="MS Mincho;ＭＳ 明朝"/>
          <w:i/>
          <w:iCs/>
          <w:lang w:eastAsia="hi-IN"/>
        </w:rPr>
        <w:t xml:space="preserve"> márta,</w:t>
      </w:r>
      <w:r>
        <w:t xml:space="preserve"> is </w:t>
      </w:r>
      <w:r>
        <w:t>R̥V</w:t>
      </w:r>
      <w:r>
        <w:t xml:space="preserve"> 6.16.26 and is to be found</w:t>
      </w:r>
      <w:r>
        <w:t xml:space="preserve"> in TB 2.4.6.2</w:t>
      </w:r>
      <w:r>
        <w:rPr>
          <w:rFonts w:eastAsia="MS Mincho;ＭＳ 明朝"/>
          <w:i/>
          <w:iCs/>
          <w:lang w:eastAsia="hi-IN"/>
        </w:rPr>
        <w:t xml:space="preserve">, </w:t>
      </w:r>
      <w:r>
        <w:rPr>
          <w:rFonts w:eastAsia="MS Mincho;ＭＳ 明朝"/>
          <w:lang w:eastAsia="hi-IN"/>
        </w:rPr>
        <w:t>while the</w:t>
      </w:r>
      <w:r>
        <w:t xml:space="preserve"> second one is</w:t>
      </w:r>
      <w:r>
        <w:rPr>
          <w:rFonts w:eastAsia="Arial" w:cs="Devanagari MT;Times New Roman"/>
          <w:i/>
          <w:iCs/>
          <w:szCs w:val="21"/>
          <w:lang w:eastAsia="hi-IN" w:bidi="en-GB"/>
        </w:rPr>
        <w:t xml:space="preserve"> </w:t>
      </w:r>
      <w:r>
        <w:t xml:space="preserve">in TB 2.8.5.3 quoting </w:t>
      </w:r>
      <w:r>
        <w:t>R̥V 2.26.3</w:t>
      </w:r>
    </w:p>
    <w:p w14:paraId="4A8B7102" w14:textId="77777777" w:rsidR="00E53EB6" w:rsidRDefault="006500F5">
      <w:pPr>
        <w:pStyle w:val="Zitat"/>
      </w:pPr>
      <w:r>
        <w:rPr>
          <w:i/>
          <w:iCs/>
        </w:rPr>
        <w:t xml:space="preserve"> </w:t>
      </w:r>
      <w:r>
        <w:t>TB 2.8.5.3</w:t>
      </w:r>
      <w:r>
        <w:rPr>
          <w:i/>
          <w:iCs/>
        </w:rPr>
        <w:t xml:space="preserve"> sá íj jánena sá viśā́ sá jánmanā / sá putráir vā́ja</w:t>
      </w:r>
      <w:r>
        <w:rPr>
          <w:i/>
          <w:iCs/>
        </w:rPr>
        <w:t>ṃ</w:t>
      </w:r>
      <w:r>
        <w:rPr>
          <w:i/>
          <w:iCs/>
        </w:rPr>
        <w:t xml:space="preserve"> bharate dhánā nŕ</w:t>
      </w:r>
      <w:r>
        <w:rPr>
          <w:rFonts w:cs="Devanagari MT;Times New Roman"/>
          <w:lang w:eastAsia="hi-IN"/>
        </w:rPr>
        <w:t>̥</w:t>
      </w:r>
      <w:r>
        <w:rPr>
          <w:i/>
          <w:iCs/>
        </w:rPr>
        <w:t>bhi</w:t>
      </w:r>
      <w:r>
        <w:rPr>
          <w:i/>
          <w:iCs/>
        </w:rPr>
        <w:t>ḥ</w:t>
      </w:r>
      <w:r>
        <w:rPr>
          <w:i/>
          <w:iCs/>
        </w:rPr>
        <w:t xml:space="preserve"> / devā́nā</w:t>
      </w:r>
      <w:r>
        <w:rPr>
          <w:i/>
          <w:iCs/>
        </w:rPr>
        <w:t>ṃ</w:t>
      </w:r>
      <w:r>
        <w:rPr>
          <w:i/>
          <w:iCs/>
        </w:rPr>
        <w:t xml:space="preserve"> yá</w:t>
      </w:r>
      <w:r>
        <w:rPr>
          <w:i/>
          <w:iCs/>
        </w:rPr>
        <w:t>ḥ</w:t>
      </w:r>
      <w:r>
        <w:rPr>
          <w:i/>
          <w:iCs/>
        </w:rPr>
        <w:t xml:space="preserve"> pitáram āvívāsati / śraddhā́manā haví</w:t>
      </w:r>
      <w:r>
        <w:rPr>
          <w:i/>
          <w:iCs/>
        </w:rPr>
        <w:t>ṣ</w:t>
      </w:r>
      <w:r>
        <w:rPr>
          <w:i/>
          <w:iCs/>
        </w:rPr>
        <w:t>ā bráhma</w:t>
      </w:r>
      <w:r>
        <w:rPr>
          <w:i/>
          <w:iCs/>
        </w:rPr>
        <w:t>ṇ</w:t>
      </w:r>
      <w:r>
        <w:rPr>
          <w:i/>
          <w:iCs/>
        </w:rPr>
        <w:t>aspátim</w:t>
      </w:r>
    </w:p>
    <w:p w14:paraId="627B36DC" w14:textId="77777777" w:rsidR="00E53EB6" w:rsidRDefault="006500F5">
      <w:pPr>
        <w:pStyle w:val="Zitat"/>
      </w:pPr>
      <w:r>
        <w:t>This one, indeed, with the people, this with the tribe, this through births, this with sons brings the victory</w:t>
      </w:r>
      <w:r>
        <w:rPr>
          <w:rStyle w:val="FootnoteAnchor"/>
        </w:rPr>
        <w:footnoteReference w:id="407"/>
      </w:r>
      <w:r>
        <w:t xml:space="preserve">, prize of goods, to the men; this who, faithful, </w:t>
      </w:r>
      <w:r>
        <w:rPr>
          <w:u w:val="single"/>
        </w:rPr>
        <w:t>wants to appropriate</w:t>
      </w:r>
      <w:r>
        <w:t xml:space="preserve"> Brahmanaspati, the father of gods, with the oblation. </w:t>
      </w:r>
    </w:p>
    <w:p w14:paraId="2BF48DA9" w14:textId="77777777" w:rsidR="00E53EB6" w:rsidRDefault="006500F5">
      <w:pPr>
        <w:pStyle w:val="HaupttextnachZitat"/>
      </w:pPr>
      <w:r>
        <w:t xml:space="preserve">Here indeed the man “wants to appropriate” the god and so it is in TB 2.4.5.5 quoting </w:t>
      </w:r>
      <w:r>
        <w:t>R̥V 5.83.1:</w:t>
      </w:r>
    </w:p>
    <w:p w14:paraId="5FEB49E9" w14:textId="77777777" w:rsidR="00E53EB6" w:rsidRDefault="006500F5">
      <w:pPr>
        <w:pStyle w:val="Zitat"/>
        <w:autoSpaceDE w:val="0"/>
        <w:rPr>
          <w:lang w:eastAsia="hi-IN"/>
        </w:rPr>
      </w:pPr>
      <w:r>
        <w:rPr>
          <w:lang w:eastAsia="hi-IN"/>
        </w:rPr>
        <w:t>2.4.5.5</w:t>
      </w:r>
      <w:r>
        <w:rPr>
          <w:rFonts w:cs="Devanagari MT;Times New Roman"/>
          <w:lang w:eastAsia="hi-IN"/>
        </w:rPr>
        <w:t xml:space="preserve"> </w:t>
      </w:r>
      <w:r>
        <w:rPr>
          <w:rFonts w:cs="Devanagari MT;Times New Roman"/>
          <w:i/>
          <w:iCs/>
          <w:lang w:eastAsia="hi-IN"/>
        </w:rPr>
        <w:t>avavyáyann ásita</w:t>
      </w:r>
      <w:r>
        <w:rPr>
          <w:rFonts w:cs="Devanagari MT;Times New Roman"/>
          <w:i/>
          <w:iCs/>
          <w:lang w:eastAsia="hi-IN"/>
        </w:rPr>
        <w:t>ṃ</w:t>
      </w:r>
      <w:r>
        <w:rPr>
          <w:rFonts w:cs="Devanagari MT;Times New Roman"/>
          <w:i/>
          <w:iCs/>
          <w:lang w:eastAsia="hi-IN"/>
        </w:rPr>
        <w:t xml:space="preserve"> deva</w:t>
      </w:r>
      <w:r>
        <w:rPr>
          <w:rFonts w:cs="Devanagari MT;Times New Roman"/>
          <w:i/>
          <w:iCs/>
          <w:lang w:eastAsia="hi-IN"/>
        </w:rPr>
        <w:t xml:space="preserve"> vásva</w:t>
      </w:r>
      <w:r>
        <w:rPr>
          <w:rFonts w:cs="Devanagari MT;Times New Roman"/>
          <w:i/>
          <w:iCs/>
          <w:lang w:eastAsia="hi-IN"/>
        </w:rPr>
        <w:t>ḥ</w:t>
      </w:r>
      <w:r>
        <w:rPr>
          <w:rFonts w:cs="Devanagari MT;Times New Roman"/>
          <w:i/>
          <w:iCs/>
          <w:lang w:eastAsia="hi-IN"/>
        </w:rPr>
        <w:t xml:space="preserve"> / dávidhvato raśmáya</w:t>
      </w:r>
      <w:r>
        <w:rPr>
          <w:rFonts w:cs="Devanagari MT;Times New Roman"/>
          <w:i/>
          <w:iCs/>
          <w:lang w:eastAsia="hi-IN"/>
        </w:rPr>
        <w:t>ḥ</w:t>
      </w:r>
      <w:r>
        <w:rPr>
          <w:rFonts w:cs="Devanagari MT;Times New Roman"/>
          <w:i/>
          <w:iCs/>
          <w:lang w:eastAsia="hi-IN"/>
        </w:rPr>
        <w:t xml:space="preserve"> sū́ryasya / cárma_iva_ávādhus támo apsvànta</w:t>
      </w:r>
      <w:r>
        <w:rPr>
          <w:rFonts w:cs="Devanagari MT;Times New Roman"/>
          <w:i/>
          <w:iCs/>
          <w:lang w:eastAsia="hi-IN"/>
        </w:rPr>
        <w:t>ḥ</w:t>
      </w:r>
      <w:r>
        <w:rPr>
          <w:rStyle w:val="FootnoteAnchor"/>
          <w:rFonts w:cs="Devanagari MT;Times New Roman"/>
          <w:i/>
          <w:iCs/>
          <w:lang w:eastAsia="hi-IN"/>
        </w:rPr>
        <w:footnoteReference w:id="408"/>
      </w:r>
      <w:r>
        <w:rPr>
          <w:rFonts w:cs="Devanagari MT;Times New Roman"/>
          <w:i/>
          <w:iCs/>
          <w:lang w:eastAsia="hi-IN"/>
        </w:rPr>
        <w:t xml:space="preserve"> //  parjányāya prágāyata / divás putrā́ya mī</w:t>
      </w:r>
      <w:r>
        <w:rPr>
          <w:rFonts w:cs="Devanagari MT;Times New Roman"/>
          <w:i/>
          <w:iCs/>
          <w:lang w:eastAsia="hi-IN"/>
        </w:rPr>
        <w:t>ḍ</w:t>
      </w:r>
      <w:r>
        <w:rPr>
          <w:rFonts w:cs="Devanagari MT;Times New Roman"/>
          <w:i/>
          <w:iCs/>
          <w:lang w:eastAsia="hi-IN"/>
        </w:rPr>
        <w:t>hú</w:t>
      </w:r>
      <w:r>
        <w:rPr>
          <w:rFonts w:cs="Devanagari MT;Times New Roman"/>
          <w:i/>
          <w:iCs/>
          <w:lang w:eastAsia="hi-IN"/>
        </w:rPr>
        <w:t>ṣ</w:t>
      </w:r>
      <w:r>
        <w:rPr>
          <w:rFonts w:cs="Devanagari MT;Times New Roman"/>
          <w:i/>
          <w:iCs/>
          <w:lang w:eastAsia="hi-IN"/>
        </w:rPr>
        <w:t>e / sá no yavásam icchatu //ácchā vada tavása</w:t>
      </w:r>
      <w:r>
        <w:rPr>
          <w:rFonts w:cs="Devanagari MT;Times New Roman"/>
          <w:i/>
          <w:iCs/>
          <w:lang w:eastAsia="hi-IN"/>
        </w:rPr>
        <w:t>ṃ</w:t>
      </w:r>
      <w:r>
        <w:rPr>
          <w:rFonts w:cs="Devanagari MT;Times New Roman"/>
          <w:i/>
          <w:iCs/>
          <w:lang w:eastAsia="hi-IN"/>
        </w:rPr>
        <w:t xml:space="preserve"> gīrbhír ābhí</w:t>
      </w:r>
      <w:r>
        <w:rPr>
          <w:rFonts w:cs="Devanagari MT;Times New Roman"/>
          <w:i/>
          <w:iCs/>
          <w:lang w:eastAsia="hi-IN"/>
        </w:rPr>
        <w:t>ḥ</w:t>
      </w:r>
      <w:r>
        <w:rPr>
          <w:rStyle w:val="FootnoteAnchor"/>
          <w:rFonts w:cs="Devanagari MT;Times New Roman"/>
          <w:i/>
          <w:iCs/>
          <w:shd w:val="clear" w:color="auto" w:fill="FFFF00"/>
          <w:lang w:eastAsia="hi-IN"/>
        </w:rPr>
        <w:footnoteReference w:id="409"/>
      </w:r>
      <w:r>
        <w:rPr>
          <w:rFonts w:cs="Devanagari MT;Times New Roman"/>
          <w:i/>
          <w:iCs/>
          <w:lang w:eastAsia="hi-IN"/>
        </w:rPr>
        <w:t xml:space="preserve"> / stuhí parjánya</w:t>
      </w:r>
      <w:r>
        <w:rPr>
          <w:rFonts w:cs="Devanagari MT;Times New Roman"/>
          <w:i/>
          <w:iCs/>
          <w:lang w:eastAsia="hi-IN"/>
        </w:rPr>
        <w:t>ṃ</w:t>
      </w:r>
      <w:r>
        <w:rPr>
          <w:rFonts w:cs="Devanagari MT;Times New Roman"/>
          <w:i/>
          <w:iCs/>
          <w:lang w:eastAsia="hi-IN"/>
        </w:rPr>
        <w:t xml:space="preserve"> námasā́ vivāsa / kánikradad vr</w:t>
      </w:r>
      <w:r>
        <w:rPr>
          <w:rFonts w:cs="Devanagari MT;Times New Roman"/>
          <w:lang w:eastAsia="hi-IN"/>
        </w:rPr>
        <w:t>̥</w:t>
      </w:r>
      <w:r>
        <w:rPr>
          <w:rFonts w:cs="Devanagari MT;Times New Roman"/>
          <w:i/>
          <w:iCs/>
          <w:lang w:eastAsia="hi-IN"/>
        </w:rPr>
        <w:t>ṣ</w:t>
      </w:r>
      <w:r>
        <w:rPr>
          <w:rFonts w:cs="Devanagari MT;Times New Roman"/>
          <w:i/>
          <w:iCs/>
          <w:lang w:eastAsia="hi-IN"/>
        </w:rPr>
        <w:t>abhó jīrádānu</w:t>
      </w:r>
      <w:r>
        <w:rPr>
          <w:rFonts w:cs="Devanagari MT;Times New Roman"/>
          <w:i/>
          <w:iCs/>
          <w:lang w:eastAsia="hi-IN"/>
        </w:rPr>
        <w:t>ḥ</w:t>
      </w:r>
      <w:r>
        <w:rPr>
          <w:rFonts w:cs="Devanagari MT;Times New Roman"/>
          <w:i/>
          <w:iCs/>
          <w:lang w:eastAsia="hi-IN"/>
        </w:rPr>
        <w:t xml:space="preserve"> / réto dadhātv ó</w:t>
      </w:r>
      <w:r>
        <w:rPr>
          <w:rFonts w:cs="Devanagari MT;Times New Roman"/>
          <w:i/>
          <w:iCs/>
          <w:lang w:eastAsia="hi-IN"/>
        </w:rPr>
        <w:t>ṣ</w:t>
      </w:r>
      <w:r>
        <w:rPr>
          <w:rFonts w:cs="Devanagari MT;Times New Roman"/>
          <w:i/>
          <w:iCs/>
          <w:lang w:eastAsia="hi-IN"/>
        </w:rPr>
        <w:t>adhī</w:t>
      </w:r>
      <w:r>
        <w:rPr>
          <w:rFonts w:cs="Devanagari MT;Times New Roman"/>
          <w:i/>
          <w:iCs/>
          <w:lang w:eastAsia="hi-IN"/>
        </w:rPr>
        <w:t>ṣ</w:t>
      </w:r>
      <w:r>
        <w:rPr>
          <w:rFonts w:cs="Devanagari MT;Times New Roman"/>
          <w:i/>
          <w:iCs/>
          <w:lang w:eastAsia="hi-IN"/>
        </w:rPr>
        <w:t>u gárbham</w:t>
      </w:r>
      <w:r>
        <w:rPr>
          <w:rStyle w:val="FootnoteAnchor"/>
          <w:rFonts w:cs="Devanagari MT;Times New Roman"/>
          <w:i/>
          <w:iCs/>
          <w:lang w:eastAsia="hi-IN"/>
        </w:rPr>
        <w:footnoteReference w:id="410"/>
      </w:r>
      <w:r>
        <w:rPr>
          <w:rFonts w:cs="Devanagari MT;Times New Roman"/>
          <w:i/>
          <w:iCs/>
          <w:lang w:eastAsia="hi-IN"/>
        </w:rPr>
        <w:t xml:space="preserve"> //</w:t>
      </w:r>
    </w:p>
    <w:p w14:paraId="607F4E5A" w14:textId="77777777" w:rsidR="00E53EB6" w:rsidRDefault="006500F5">
      <w:pPr>
        <w:pStyle w:val="Zitat"/>
      </w:pPr>
      <w:r>
        <w:t xml:space="preserve">The good gods pull off the black, shaking </w:t>
      </w:r>
      <w:r>
        <w:t>violently the rays of light, the skin of the sun, they plunged the darkness into the water; would he begin to celebrate for Parjanya, son of the gods, generous bestower; he should desire for us a field of grass, salute the strong with these chants, extol P</w:t>
      </w:r>
      <w:r>
        <w:t xml:space="preserve">arjanya, </w:t>
      </w:r>
      <w:r>
        <w:rPr>
          <w:u w:val="single"/>
        </w:rPr>
        <w:t>desire to appropriate</w:t>
      </w:r>
      <w:r>
        <w:t xml:space="preserve"> him with homage; the bull, shouting continuously</w:t>
      </w:r>
      <w:r>
        <w:rPr>
          <w:rStyle w:val="FootnoteAnchor"/>
        </w:rPr>
        <w:footnoteReference w:id="411"/>
      </w:r>
      <w:r>
        <w:t>, dropping abundantly, should put his semen, the offspring, into the plants.</w:t>
      </w:r>
    </w:p>
    <w:p w14:paraId="0EEDC351" w14:textId="77777777" w:rsidR="00E53EB6" w:rsidRDefault="006500F5">
      <w:pPr>
        <w:pStyle w:val="HaupttextnachZitat"/>
      </w:pPr>
      <w:r>
        <w:rPr>
          <w:szCs w:val="21"/>
        </w:rPr>
        <w:t>I</w:t>
      </w:r>
      <w:r>
        <w:t xml:space="preserve">t is worth noticing that in this structure the desiderative of the verb is used two times out of </w:t>
      </w:r>
      <w:r>
        <w:t>three: a sentence where the subject is the men and the object the gods is common for the desiderative as much as it is uncommon in the primary conjugation, as we have already seen in the R̥V, where the desiderative conveys the idea of non-perfective action</w:t>
      </w:r>
      <w:r>
        <w:t>, that is “to desire to make enter into the circle of sacrifice” and this idea can be translated also as “to invite”</w:t>
      </w:r>
      <w:r>
        <w:rPr>
          <w:rStyle w:val="FootnoteAnchor"/>
        </w:rPr>
        <w:footnoteReference w:id="412"/>
      </w:r>
      <w:r>
        <w:t xml:space="preserve">. </w:t>
      </w:r>
    </w:p>
    <w:p w14:paraId="526AAE20" w14:textId="77777777" w:rsidR="00E53EB6" w:rsidRDefault="006500F5">
      <w:pPr>
        <w:pStyle w:val="Hauptext"/>
      </w:pPr>
      <w:r>
        <w:rPr>
          <w:rFonts w:eastAsia="CharisSIL" w:cs="CharisSIL"/>
          <w:color w:val="000000"/>
        </w:rPr>
        <w:t xml:space="preserve">The only occurrences that are non-R̥V </w:t>
      </w:r>
      <w:r>
        <w:rPr>
          <w:rFonts w:eastAsia="CharisSIL" w:cs="CharisSIL"/>
          <w:i/>
          <w:iCs/>
          <w:color w:val="000000"/>
        </w:rPr>
        <w:t>mantra</w:t>
      </w:r>
      <w:r>
        <w:rPr>
          <w:rFonts w:eastAsia="CharisSIL" w:cs="CharisSIL"/>
          <w:color w:val="000000"/>
        </w:rPr>
        <w:t xml:space="preserve">s where the ritual meaning can be detected are </w:t>
      </w:r>
      <w:r>
        <w:rPr>
          <w:rFonts w:eastAsia="CharisSIL" w:cs="CharisSIL"/>
          <w:color w:val="000000"/>
        </w:rPr>
        <w:t>TS 1.6.4.2; .3:</w:t>
      </w:r>
    </w:p>
    <w:p w14:paraId="61A6E833" w14:textId="77777777" w:rsidR="00E53EB6" w:rsidRDefault="006500F5">
      <w:pPr>
        <w:pStyle w:val="Zitat"/>
      </w:pPr>
      <w:r>
        <w:rPr>
          <w:rFonts w:eastAsia="CharisSIL" w:cs="CharisSIL"/>
          <w:color w:val="000000"/>
        </w:rPr>
        <w:t xml:space="preserve">TS 1.6.4.2; .3 </w:t>
      </w:r>
      <w:r>
        <w:rPr>
          <w:rFonts w:eastAsia="CharisSIL" w:cs="CharisSIL"/>
          <w:i/>
          <w:iCs/>
          <w:color w:val="000000"/>
        </w:rPr>
        <w:t>émā́ agmann āśí</w:t>
      </w:r>
      <w:r>
        <w:rPr>
          <w:rFonts w:eastAsia="CharisSIL" w:cs="CharisSIL"/>
          <w:i/>
          <w:iCs/>
          <w:color w:val="000000"/>
        </w:rPr>
        <w:t>ṣ</w:t>
      </w:r>
      <w:r>
        <w:rPr>
          <w:rFonts w:eastAsia="CharisSIL" w:cs="CharisSIL"/>
          <w:i/>
          <w:iCs/>
          <w:color w:val="000000"/>
        </w:rPr>
        <w:t>o dóhakāmā índravanta</w:t>
      </w:r>
      <w:r>
        <w:rPr>
          <w:rFonts w:eastAsia="CharisSIL" w:cs="CharisSIL"/>
          <w:i/>
          <w:iCs/>
          <w:color w:val="000000"/>
        </w:rPr>
        <w:t>ḥ</w:t>
      </w:r>
      <w:r>
        <w:rPr>
          <w:rFonts w:eastAsia="CharisSIL" w:cs="CharisSIL"/>
          <w:i/>
          <w:iCs/>
          <w:color w:val="000000"/>
        </w:rPr>
        <w:t xml:space="preserve"> // </w:t>
      </w:r>
      <w:r>
        <w:rPr>
          <w:i/>
          <w:iCs/>
          <w:color w:val="000000"/>
          <w:lang w:eastAsia="hi-IN"/>
        </w:rPr>
        <w:t>vanāmahe dhuk</w:t>
      </w:r>
      <w:r>
        <w:rPr>
          <w:i/>
          <w:iCs/>
          <w:color w:val="000000"/>
          <w:lang w:eastAsia="hi-IN"/>
        </w:rPr>
        <w:t>ṣ</w:t>
      </w:r>
      <w:r>
        <w:rPr>
          <w:i/>
          <w:iCs/>
          <w:color w:val="000000"/>
          <w:lang w:eastAsia="hi-IN"/>
        </w:rPr>
        <w:t>īmáhi prajā́m í</w:t>
      </w:r>
      <w:r>
        <w:rPr>
          <w:i/>
          <w:iCs/>
          <w:color w:val="000000"/>
          <w:lang w:eastAsia="hi-IN"/>
        </w:rPr>
        <w:t>ṣ</w:t>
      </w:r>
      <w:r>
        <w:rPr>
          <w:i/>
          <w:iCs/>
          <w:color w:val="000000"/>
          <w:lang w:eastAsia="hi-IN"/>
        </w:rPr>
        <w:t>am</w:t>
      </w:r>
    </w:p>
    <w:p w14:paraId="5B26DFEA" w14:textId="77777777" w:rsidR="00E53EB6" w:rsidRDefault="006500F5">
      <w:pPr>
        <w:pStyle w:val="Zitat"/>
      </w:pPr>
      <w:r>
        <w:rPr>
          <w:rFonts w:eastAsia="CharisSIL" w:cs="CharisSIL"/>
          <w:color w:val="000000"/>
          <w:lang w:eastAsia="hi-IN"/>
        </w:rPr>
        <w:t xml:space="preserve">Here have come the blessings, eager for milking, possessing Indra, may we </w:t>
      </w:r>
      <w:r>
        <w:rPr>
          <w:rFonts w:eastAsia="CharisSIL" w:cs="CharisSIL"/>
          <w:color w:val="000000"/>
          <w:u w:val="single"/>
          <w:lang w:eastAsia="hi-IN"/>
        </w:rPr>
        <w:t>appropriate</w:t>
      </w:r>
      <w:r>
        <w:rPr>
          <w:rFonts w:eastAsia="CharisSIL" w:cs="CharisSIL"/>
          <w:color w:val="000000"/>
          <w:lang w:eastAsia="hi-IN"/>
        </w:rPr>
        <w:t>, may we milk offspring and food.</w:t>
      </w:r>
    </w:p>
    <w:p w14:paraId="7D6909B7" w14:textId="77777777" w:rsidR="00E53EB6" w:rsidRDefault="006500F5">
      <w:pPr>
        <w:pStyle w:val="HaupttextnachZitat"/>
        <w:rPr>
          <w:rFonts w:eastAsia="CharisSIL" w:cs="CharisSIL"/>
          <w:color w:val="000000"/>
        </w:rPr>
      </w:pPr>
      <w:r>
        <w:rPr>
          <w:rFonts w:eastAsia="CharisSIL" w:cs="CharisSIL"/>
          <w:color w:val="000000"/>
        </w:rPr>
        <w:t>and TS 3.2.7.2:</w:t>
      </w:r>
    </w:p>
    <w:p w14:paraId="41A6BF65" w14:textId="77777777" w:rsidR="00E53EB6" w:rsidRDefault="006500F5">
      <w:pPr>
        <w:pStyle w:val="Zitat"/>
      </w:pPr>
      <w:r>
        <w:rPr>
          <w:rFonts w:eastAsia="CharisSIL" w:cs="CharisSIL"/>
          <w:color w:val="000000"/>
        </w:rPr>
        <w:t xml:space="preserve">TS 3.2.7.2, </w:t>
      </w:r>
      <w:r>
        <w:rPr>
          <w:rFonts w:eastAsia="DevanagariMT"/>
          <w:i/>
          <w:iCs/>
          <w:color w:val="000000"/>
          <w:lang w:eastAsia="hi-IN"/>
        </w:rPr>
        <w:t xml:space="preserve">śastrásya śastram / </w:t>
      </w:r>
      <w:r>
        <w:rPr>
          <w:i/>
          <w:iCs/>
        </w:rPr>
        <w:t>asy  ū</w:t>
      </w:r>
      <w:r>
        <w:rPr>
          <w:i/>
          <w:iCs/>
        </w:rPr>
        <w:t>́rjam máhya</w:t>
      </w:r>
      <w:r>
        <w:rPr>
          <w:i/>
          <w:iCs/>
        </w:rPr>
        <w:t>ṁ</w:t>
      </w:r>
      <w:r>
        <w:rPr>
          <w:i/>
          <w:iCs/>
        </w:rPr>
        <w:t xml:space="preserve"> śastrá</w:t>
      </w:r>
      <w:r>
        <w:rPr>
          <w:i/>
          <w:iCs/>
        </w:rPr>
        <w:t>ṃ</w:t>
      </w:r>
      <w:r>
        <w:rPr>
          <w:i/>
          <w:iCs/>
        </w:rPr>
        <w:t xml:space="preserve"> duhām ā́ mā śastrásya śastrá</w:t>
      </w:r>
      <w:r>
        <w:rPr>
          <w:i/>
          <w:iCs/>
        </w:rPr>
        <w:t>ṃ</w:t>
      </w:r>
      <w:r>
        <w:rPr>
          <w:i/>
          <w:iCs/>
        </w:rPr>
        <w:t xml:space="preserve"> gamyāt /</w:t>
      </w:r>
      <w:r>
        <w:rPr>
          <w:rFonts w:eastAsia="CharisSIL" w:cs="CharisSIL"/>
          <w:i/>
          <w:iCs/>
          <w:color w:val="000000"/>
        </w:rPr>
        <w:t xml:space="preserve"> indriyā́vanto vanāmahe dhuk</w:t>
      </w:r>
      <w:r>
        <w:rPr>
          <w:rFonts w:eastAsia="CharisSIL" w:cs="CharisSIL"/>
          <w:i/>
          <w:iCs/>
          <w:color w:val="000000"/>
        </w:rPr>
        <w:t>ṣ</w:t>
      </w:r>
      <w:r>
        <w:rPr>
          <w:rFonts w:eastAsia="CharisSIL" w:cs="CharisSIL"/>
          <w:i/>
          <w:iCs/>
          <w:color w:val="000000"/>
        </w:rPr>
        <w:t>īmáhi prajā́m í</w:t>
      </w:r>
      <w:r>
        <w:rPr>
          <w:rFonts w:eastAsia="CharisSIL" w:cs="CharisSIL"/>
          <w:i/>
          <w:iCs/>
          <w:color w:val="000000"/>
        </w:rPr>
        <w:t>ṣ</w:t>
      </w:r>
      <w:r>
        <w:rPr>
          <w:rFonts w:eastAsia="CharisSIL" w:cs="CharisSIL"/>
          <w:i/>
          <w:iCs/>
          <w:color w:val="000000"/>
        </w:rPr>
        <w:t>am</w:t>
      </w:r>
    </w:p>
    <w:p w14:paraId="350960BB" w14:textId="77777777" w:rsidR="00E53EB6" w:rsidRDefault="006500F5">
      <w:pPr>
        <w:pStyle w:val="Zitat"/>
      </w:pPr>
      <w:r>
        <w:rPr>
          <w:rFonts w:eastAsia="DevanagariMT"/>
          <w:color w:val="000000"/>
          <w:lang w:eastAsia="hi-IN"/>
        </w:rPr>
        <w:t xml:space="preserve">You are the </w:t>
      </w:r>
      <w:r>
        <w:rPr>
          <w:rFonts w:eastAsia="DevanagariMT"/>
          <w:i/>
          <w:iCs/>
          <w:color w:val="000000"/>
          <w:lang w:eastAsia="hi-IN"/>
        </w:rPr>
        <w:t>śastra</w:t>
      </w:r>
      <w:r>
        <w:rPr>
          <w:rFonts w:eastAsia="DevanagariMT"/>
          <w:color w:val="000000"/>
          <w:lang w:eastAsia="hi-IN"/>
        </w:rPr>
        <w:t xml:space="preserve"> of the </w:t>
      </w:r>
      <w:r>
        <w:rPr>
          <w:rFonts w:eastAsia="DevanagariMT"/>
          <w:i/>
          <w:iCs/>
          <w:color w:val="000000"/>
          <w:lang w:eastAsia="hi-IN"/>
        </w:rPr>
        <w:t>śastra</w:t>
      </w:r>
      <w:r>
        <w:rPr>
          <w:rFonts w:eastAsia="DevanagariMT"/>
          <w:color w:val="000000"/>
          <w:lang w:eastAsia="hi-IN"/>
        </w:rPr>
        <w:t xml:space="preserve">, may the </w:t>
      </w:r>
      <w:r>
        <w:rPr>
          <w:rFonts w:eastAsia="DevanagariMT"/>
          <w:i/>
          <w:iCs/>
          <w:color w:val="000000"/>
          <w:lang w:eastAsia="hi-IN"/>
        </w:rPr>
        <w:t>śastra</w:t>
      </w:r>
      <w:r>
        <w:rPr>
          <w:rFonts w:eastAsia="DevanagariMT"/>
          <w:color w:val="000000"/>
          <w:lang w:eastAsia="hi-IN"/>
        </w:rPr>
        <w:t xml:space="preserve"> milk for me the vital energy, may the </w:t>
      </w:r>
      <w:r>
        <w:rPr>
          <w:rFonts w:eastAsia="DevanagariMT"/>
          <w:i/>
          <w:iCs/>
          <w:color w:val="000000"/>
          <w:lang w:eastAsia="hi-IN"/>
        </w:rPr>
        <w:t>śastra</w:t>
      </w:r>
      <w:r>
        <w:rPr>
          <w:rFonts w:eastAsia="DevanagariMT"/>
          <w:color w:val="000000"/>
          <w:lang w:eastAsia="hi-IN"/>
        </w:rPr>
        <w:t xml:space="preserve"> of the </w:t>
      </w:r>
      <w:r>
        <w:rPr>
          <w:rFonts w:eastAsia="DevanagariMT"/>
          <w:i/>
          <w:iCs/>
          <w:color w:val="000000"/>
          <w:lang w:eastAsia="hi-IN"/>
        </w:rPr>
        <w:t>śastra</w:t>
      </w:r>
      <w:r>
        <w:rPr>
          <w:rFonts w:eastAsia="DevanagariMT"/>
          <w:color w:val="000000"/>
          <w:lang w:eastAsia="hi-IN"/>
        </w:rPr>
        <w:t xml:space="preserve"> come </w:t>
      </w:r>
      <w:r>
        <w:rPr>
          <w:rFonts w:eastAsia="DevanagariMT"/>
          <w:color w:val="000000"/>
          <w:lang w:eastAsia="hi-IN"/>
        </w:rPr>
        <w:lastRenderedPageBreak/>
        <w:t>to me, pos</w:t>
      </w:r>
      <w:r>
        <w:rPr>
          <w:rFonts w:eastAsia="DevanagariMT"/>
          <w:color w:val="000000"/>
          <w:lang w:eastAsia="hi-IN"/>
        </w:rPr>
        <w:t xml:space="preserve">sessing the might may we </w:t>
      </w:r>
      <w:r>
        <w:rPr>
          <w:rFonts w:eastAsia="DevanagariMT"/>
          <w:color w:val="000000"/>
          <w:u w:val="single"/>
          <w:lang w:eastAsia="hi-IN"/>
        </w:rPr>
        <w:t>appropriate</w:t>
      </w:r>
      <w:r>
        <w:rPr>
          <w:rFonts w:eastAsia="DevanagariMT"/>
          <w:color w:val="000000"/>
          <w:lang w:eastAsia="hi-IN"/>
        </w:rPr>
        <w:t>, may we milk offspring and food.</w:t>
      </w:r>
    </w:p>
    <w:p w14:paraId="43D0B402" w14:textId="77777777" w:rsidR="00E53EB6" w:rsidRDefault="006500F5">
      <w:pPr>
        <w:pStyle w:val="HaupttextnachZitat"/>
      </w:pPr>
      <w:r>
        <w:rPr>
          <w:rFonts w:eastAsia="CharisSIL" w:cs="CharisSIL"/>
          <w:color w:val="000000"/>
        </w:rPr>
        <w:t xml:space="preserve">They deploy exactly the same </w:t>
      </w:r>
      <w:r>
        <w:rPr>
          <w:rFonts w:eastAsia="CharisSIL" w:cs="CharisSIL"/>
          <w:i/>
          <w:iCs/>
          <w:color w:val="000000"/>
        </w:rPr>
        <w:t>mantra</w:t>
      </w:r>
      <w:r>
        <w:rPr>
          <w:rFonts w:eastAsia="CharisSIL" w:cs="CharisSIL"/>
          <w:color w:val="000000"/>
        </w:rPr>
        <w:t xml:space="preserve"> </w:t>
      </w:r>
      <w:r>
        <w:rPr>
          <w:rFonts w:eastAsia="Arial" w:cs="Times Ext Roman"/>
          <w:color w:val="000000"/>
          <w:szCs w:val="21"/>
          <w:lang w:eastAsia="hi-IN" w:bidi="en-GB"/>
        </w:rPr>
        <w:t xml:space="preserve">with a small variation, while TS 1.6.4.2 reads  </w:t>
      </w:r>
      <w:r>
        <w:rPr>
          <w:rFonts w:eastAsia="CharisSIL" w:cs="CharisSIL"/>
          <w:i/>
          <w:iCs/>
          <w:color w:val="000000"/>
          <w:szCs w:val="21"/>
          <w:lang w:eastAsia="hi-IN" w:bidi="en-GB"/>
        </w:rPr>
        <w:t>índravanta</w:t>
      </w:r>
      <w:r>
        <w:rPr>
          <w:rFonts w:eastAsia="CharisSIL" w:cs="CharisSIL"/>
          <w:i/>
          <w:iCs/>
          <w:color w:val="000000"/>
          <w:szCs w:val="21"/>
          <w:lang w:eastAsia="hi-IN" w:bidi="en-GB"/>
        </w:rPr>
        <w:t>ḥ</w:t>
      </w:r>
      <w:r>
        <w:rPr>
          <w:rFonts w:eastAsia="CharisSIL" w:cs="CharisSIL"/>
          <w:i/>
          <w:iCs/>
          <w:color w:val="000000"/>
          <w:szCs w:val="21"/>
          <w:lang w:eastAsia="hi-IN" w:bidi="en-GB"/>
        </w:rPr>
        <w:t xml:space="preserve">, </w:t>
      </w:r>
      <w:r>
        <w:rPr>
          <w:rFonts w:eastAsia="CharisSIL" w:cs="CharisSIL"/>
          <w:color w:val="000000"/>
          <w:szCs w:val="21"/>
          <w:lang w:eastAsia="hi-IN" w:bidi="en-GB"/>
        </w:rPr>
        <w:t xml:space="preserve">TS 3.2.7.2 has </w:t>
      </w:r>
      <w:r>
        <w:rPr>
          <w:rFonts w:eastAsia="CharisSIL" w:cs="CharisSIL"/>
          <w:i/>
          <w:iCs/>
          <w:color w:val="000000"/>
          <w:szCs w:val="21"/>
          <w:lang w:eastAsia="hi-IN" w:bidi="en-GB"/>
        </w:rPr>
        <w:t xml:space="preserve">indriyā́vanto </w:t>
      </w:r>
      <w:r>
        <w:rPr>
          <w:rFonts w:eastAsia="CharisSIL" w:cs="CharisSIL"/>
          <w:color w:val="000000"/>
          <w:szCs w:val="21"/>
          <w:lang w:eastAsia="hi-IN" w:bidi="en-GB"/>
        </w:rPr>
        <w:t xml:space="preserve">instead. They are apportioned in different rites: both </w:t>
      </w:r>
      <w:r>
        <w:rPr>
          <w:rFonts w:eastAsia="CharisSIL" w:cs="CharisSIL"/>
          <w:i/>
          <w:iCs/>
          <w:color w:val="000000"/>
          <w:szCs w:val="21"/>
          <w:lang w:eastAsia="hi-IN" w:bidi="en-GB"/>
        </w:rPr>
        <w:t>mantra</w:t>
      </w:r>
      <w:r>
        <w:rPr>
          <w:rFonts w:eastAsia="CharisSIL" w:cs="CharisSIL"/>
          <w:color w:val="000000"/>
          <w:szCs w:val="21"/>
          <w:lang w:eastAsia="hi-IN" w:bidi="en-GB"/>
        </w:rPr>
        <w:t>s</w:t>
      </w:r>
      <w:r>
        <w:rPr>
          <w:rFonts w:eastAsia="CharisSIL" w:cs="CharisSIL"/>
          <w:i/>
          <w:iCs/>
          <w:color w:val="000000"/>
          <w:szCs w:val="21"/>
          <w:lang w:eastAsia="hi-IN" w:bidi="en-GB"/>
        </w:rPr>
        <w:t xml:space="preserve"> </w:t>
      </w:r>
      <w:r>
        <w:rPr>
          <w:rFonts w:eastAsia="CharisSIL" w:cs="CharisSIL"/>
          <w:color w:val="000000"/>
          <w:szCs w:val="21"/>
          <w:lang w:eastAsia="hi-IN" w:bidi="en-GB"/>
        </w:rPr>
        <w:t>are to be recited by the sacrificer, but the first occurrence is for the after-offerings in the Darśapūr</w:t>
      </w:r>
      <w:r>
        <w:rPr>
          <w:rFonts w:eastAsia="CharisSIL" w:cs="CharisSIL"/>
          <w:color w:val="000000"/>
          <w:szCs w:val="21"/>
          <w:lang w:eastAsia="hi-IN" w:bidi="en-GB"/>
        </w:rPr>
        <w:t>ṇ</w:t>
      </w:r>
      <w:r>
        <w:rPr>
          <w:rFonts w:eastAsia="CharisSIL" w:cs="CharisSIL"/>
          <w:color w:val="000000"/>
          <w:szCs w:val="21"/>
          <w:lang w:eastAsia="hi-IN" w:bidi="en-GB"/>
        </w:rPr>
        <w:t>amāse</w:t>
      </w:r>
      <w:r>
        <w:rPr>
          <w:rFonts w:eastAsia="CharisSIL" w:cs="CharisSIL"/>
          <w:color w:val="000000"/>
          <w:szCs w:val="21"/>
          <w:lang w:eastAsia="hi-IN" w:bidi="en-GB"/>
        </w:rPr>
        <w:t>ṣṭ</w:t>
      </w:r>
      <w:r>
        <w:rPr>
          <w:rFonts w:eastAsia="CharisSIL" w:cs="CharisSIL"/>
          <w:color w:val="000000"/>
          <w:szCs w:val="21"/>
          <w:lang w:eastAsia="hi-IN" w:bidi="en-GB"/>
        </w:rPr>
        <w:t xml:space="preserve">i, whereas the second one is at the end of the </w:t>
      </w:r>
      <w:r>
        <w:rPr>
          <w:rFonts w:eastAsia="CharisSIL" w:cs="CharisSIL"/>
          <w:i/>
          <w:iCs/>
          <w:color w:val="000000"/>
          <w:szCs w:val="21"/>
          <w:lang w:eastAsia="hi-IN" w:bidi="en-GB"/>
        </w:rPr>
        <w:t>bahi</w:t>
      </w:r>
      <w:r>
        <w:rPr>
          <w:rFonts w:eastAsia="CharisSIL" w:cs="CharisSIL"/>
          <w:i/>
          <w:iCs/>
          <w:color w:val="000000"/>
          <w:szCs w:val="21"/>
          <w:lang w:eastAsia="hi-IN" w:bidi="en-GB"/>
        </w:rPr>
        <w:t>ṣ</w:t>
      </w:r>
      <w:r>
        <w:rPr>
          <w:rFonts w:eastAsia="CharisSIL" w:cs="CharisSIL"/>
          <w:i/>
          <w:iCs/>
          <w:color w:val="000000"/>
          <w:szCs w:val="21"/>
          <w:lang w:eastAsia="hi-IN" w:bidi="en-GB"/>
        </w:rPr>
        <w:t xml:space="preserve">pavamāna stotra </w:t>
      </w:r>
      <w:r>
        <w:rPr>
          <w:rFonts w:eastAsia="CharisSIL" w:cs="CharisSIL"/>
          <w:color w:val="000000"/>
          <w:szCs w:val="21"/>
          <w:lang w:eastAsia="hi-IN" w:bidi="en-GB"/>
        </w:rPr>
        <w:t>during the</w:t>
      </w:r>
      <w:r>
        <w:rPr>
          <w:rFonts w:eastAsia="CharisSIL" w:cs="CharisSIL"/>
          <w:i/>
          <w:iCs/>
          <w:color w:val="000000"/>
          <w:szCs w:val="21"/>
          <w:lang w:eastAsia="hi-IN" w:bidi="en-GB"/>
        </w:rPr>
        <w:t xml:space="preserve"> </w:t>
      </w:r>
      <w:r>
        <w:rPr>
          <w:rFonts w:eastAsia="CharisSIL" w:cs="CharisSIL"/>
          <w:color w:val="000000"/>
          <w:szCs w:val="21"/>
          <w:lang w:eastAsia="hi-IN" w:bidi="en-GB"/>
        </w:rPr>
        <w:t>Ag</w:t>
      </w:r>
      <w:r>
        <w:rPr>
          <w:rFonts w:eastAsia="CharisSIL" w:cs="CharisSIL"/>
          <w:color w:val="000000"/>
          <w:szCs w:val="21"/>
          <w:lang w:eastAsia="hi-IN" w:bidi="en-GB"/>
        </w:rPr>
        <w:t>ni</w:t>
      </w:r>
      <w:r>
        <w:rPr>
          <w:rFonts w:eastAsia="CharisSIL" w:cs="CharisSIL"/>
          <w:color w:val="000000"/>
          <w:szCs w:val="21"/>
          <w:lang w:eastAsia="hi-IN" w:bidi="en-GB"/>
        </w:rPr>
        <w:t>ṣṭ</w:t>
      </w:r>
      <w:r>
        <w:rPr>
          <w:rFonts w:eastAsia="CharisSIL" w:cs="CharisSIL"/>
          <w:color w:val="000000"/>
          <w:szCs w:val="21"/>
          <w:lang w:eastAsia="hi-IN" w:bidi="en-GB"/>
        </w:rPr>
        <w:t xml:space="preserve">oma. </w:t>
      </w:r>
      <w:r>
        <w:rPr>
          <w:rFonts w:eastAsia="CharisSIL" w:cs="CharisSIL"/>
          <w:color w:val="000000"/>
          <w:szCs w:val="21"/>
        </w:rPr>
        <w:t>Moreover they a</w:t>
      </w:r>
      <w:r>
        <w:rPr>
          <w:rFonts w:eastAsia="CharisSIL" w:cs="CharisSIL"/>
          <w:color w:val="000000"/>
        </w:rPr>
        <w:t xml:space="preserve">re at the YV-Level, being </w:t>
      </w:r>
      <w:r>
        <w:rPr>
          <w:rFonts w:eastAsia="CharisSIL" w:cs="CharisSIL"/>
          <w:i/>
          <w:iCs/>
          <w:color w:val="000000"/>
        </w:rPr>
        <w:t>mantra</w:t>
      </w:r>
      <w:r>
        <w:rPr>
          <w:rFonts w:eastAsia="CharisSIL" w:cs="CharisSIL"/>
          <w:color w:val="000000"/>
        </w:rPr>
        <w:t>s of the Taittirīya school, so we may think that we are now observing an earlier moment of the process or, at least, the first traces of the development of the language. They are not at all a clear at</w:t>
      </w:r>
      <w:r>
        <w:rPr>
          <w:rFonts w:eastAsia="CharisSIL" w:cs="CharisSIL"/>
          <w:color w:val="000000"/>
        </w:rPr>
        <w:t>testation of a ritual meaning, they indeed have no object, but the verses are quite ambiguous. The two passages seem clearly related, being in both involved Indra and the idea of milking.</w:t>
      </w:r>
    </w:p>
    <w:p w14:paraId="389694E8" w14:textId="77777777" w:rsidR="00E53EB6" w:rsidRDefault="006500F5">
      <w:pPr>
        <w:pStyle w:val="Hauptext"/>
      </w:pPr>
      <w:r>
        <w:t>The absence of an actual use of the ritual meaning out of R̥igvedic quotations, the shortage of occurrences among the quotations as well, and finally the manipulation of the redactors are all hints pointing to a semantic shift. We may go on speculating and</w:t>
      </w:r>
      <w:r>
        <w:t xml:space="preserve"> considering a larger hypothesis: is it possible to maintain a loss of functionality, which would be overshadowed by the vanishing of the term conveying the idea “to have someone enter into the circle of sacrifice”? We are dealing with quite a concrete act</w:t>
      </w:r>
      <w:r>
        <w:t xml:space="preserve">ion linked to a extremely meaningful moment of the so-called R̥gvedic rite: to have the actual presence of the gods; indeed, only if the gods take part in the rite, the rite itself is then efficacious. </w:t>
      </w:r>
      <w:r>
        <w:rPr>
          <w:szCs w:val="21"/>
          <w:lang w:bidi="it-IT"/>
        </w:rPr>
        <w:t xml:space="preserve">The loss of functionality, which </w:t>
      </w:r>
      <w:r>
        <w:rPr>
          <w:i/>
          <w:iCs/>
          <w:szCs w:val="21"/>
          <w:lang w:bidi="it-IT"/>
        </w:rPr>
        <w:t>van- / van</w:t>
      </w:r>
      <w:r>
        <w:rPr>
          <w:i/>
          <w:iCs/>
          <w:szCs w:val="21"/>
          <w:vertAlign w:val="superscript"/>
          <w:lang w:bidi="it-IT"/>
        </w:rPr>
        <w:t>i</w:t>
      </w:r>
      <w:r>
        <w:rPr>
          <w:i/>
          <w:iCs/>
          <w:szCs w:val="21"/>
          <w:lang w:bidi="it-IT"/>
        </w:rPr>
        <w:t xml:space="preserve">- </w:t>
      </w:r>
      <w:r>
        <w:rPr>
          <w:szCs w:val="21"/>
          <w:lang w:bidi="it-IT"/>
        </w:rPr>
        <w:t>undergoes, can be traced back to the change in the perception of the rite: the action of “having the gods enter the circle of sacrifice” vanishes and is not an important passage within the sacrifice anymore, due to a “standardisation” of the procedure of t</w:t>
      </w:r>
      <w:r>
        <w:rPr>
          <w:szCs w:val="21"/>
          <w:lang w:bidi="it-IT"/>
        </w:rPr>
        <w:t>he rite itself. The sacrifice of the post-R̥gvedic period has to be predictable, and every step, pro</w:t>
      </w:r>
      <w:r>
        <w:rPr>
          <w:szCs w:val="21"/>
          <w:lang w:bidi="it-IT"/>
        </w:rPr>
        <w:t xml:space="preserve">vided that is performed as prescribed, should bring the same result, while </w:t>
      </w:r>
      <w:r>
        <w:rPr>
          <w:rFonts w:eastAsia="CharisSIL" w:cs="CharisSIL"/>
          <w:color w:val="000000"/>
          <w:szCs w:val="21"/>
          <w:lang w:bidi="it-IT"/>
        </w:rPr>
        <w:t>the action of evoking entails the possibility of failure.</w:t>
      </w:r>
      <w:r>
        <w:rPr>
          <w:szCs w:val="21"/>
          <w:lang w:bidi="it-IT"/>
        </w:rPr>
        <w:t xml:space="preserve">  Along this development</w:t>
      </w:r>
      <w:r>
        <w:rPr>
          <w:szCs w:val="21"/>
          <w:lang w:bidi="it-IT"/>
        </w:rPr>
        <w:t xml:space="preserve">, whatever is connected with the semantic area of the poetic inspiration, would be also fading out. As long as we consider also the development of words like </w:t>
      </w:r>
      <w:r>
        <w:rPr>
          <w:i/>
          <w:iCs/>
          <w:szCs w:val="21"/>
          <w:lang w:bidi="it-IT"/>
        </w:rPr>
        <w:t>dhī</w:t>
      </w:r>
      <w:r>
        <w:rPr>
          <w:szCs w:val="21"/>
          <w:lang w:bidi="it-IT"/>
        </w:rPr>
        <w:t xml:space="preserve">-, </w:t>
      </w:r>
      <w:r>
        <w:rPr>
          <w:i/>
          <w:iCs/>
          <w:szCs w:val="21"/>
          <w:lang w:bidi="it-IT"/>
        </w:rPr>
        <w:t xml:space="preserve">vipas- </w:t>
      </w:r>
      <w:r>
        <w:rPr>
          <w:szCs w:val="21"/>
          <w:lang w:bidi="it-IT"/>
        </w:rPr>
        <w:t>or</w:t>
      </w:r>
      <w:r>
        <w:rPr>
          <w:i/>
          <w:iCs/>
          <w:szCs w:val="21"/>
          <w:lang w:bidi="it-IT"/>
        </w:rPr>
        <w:t xml:space="preserve"> gir- </w:t>
      </w:r>
      <w:r>
        <w:rPr>
          <w:szCs w:val="21"/>
          <w:lang w:bidi="it-IT"/>
        </w:rPr>
        <w:t>either disappearing as object of the verb or undergoing strong modifications,</w:t>
      </w:r>
      <w:r>
        <w:rPr>
          <w:i/>
          <w:iCs/>
          <w:szCs w:val="21"/>
          <w:lang w:bidi="it-IT"/>
        </w:rPr>
        <w:t xml:space="preserve"> </w:t>
      </w:r>
      <w:r>
        <w:rPr>
          <w:szCs w:val="21"/>
          <w:lang w:bidi="it-IT"/>
        </w:rPr>
        <w:t xml:space="preserve">they altogether seem to be a consistent proof that the different use of </w:t>
      </w:r>
      <w:r>
        <w:rPr>
          <w:i/>
          <w:iCs/>
          <w:szCs w:val="21"/>
          <w:lang w:bidi="it-IT"/>
        </w:rPr>
        <w:t>van- / van</w:t>
      </w:r>
      <w:r>
        <w:rPr>
          <w:i/>
          <w:iCs/>
          <w:szCs w:val="21"/>
          <w:vertAlign w:val="superscript"/>
          <w:lang w:bidi="it-IT"/>
        </w:rPr>
        <w:t>i</w:t>
      </w:r>
      <w:r>
        <w:rPr>
          <w:i/>
          <w:iCs/>
          <w:szCs w:val="21"/>
          <w:lang w:bidi="it-IT"/>
        </w:rPr>
        <w:t>-</w:t>
      </w:r>
      <w:r>
        <w:rPr>
          <w:i/>
          <w:iCs/>
          <w:szCs w:val="21"/>
          <w:lang w:bidi="it-IT"/>
        </w:rPr>
        <w:t xml:space="preserve"> </w:t>
      </w:r>
      <w:r>
        <w:rPr>
          <w:szCs w:val="21"/>
          <w:lang w:bidi="it-IT"/>
        </w:rPr>
        <w:t>is not to be seen as an isolated development of the verb, but rather as a part of the wider phenomenon.</w:t>
      </w:r>
    </w:p>
    <w:p w14:paraId="03DB5C81" w14:textId="77777777" w:rsidR="00E53EB6" w:rsidRDefault="00E53EB6">
      <w:pPr>
        <w:pStyle w:val="Hauptext"/>
        <w:rPr>
          <w:rFonts w:eastAsia="CharisSIL" w:cs="CharisSIL"/>
          <w:color w:val="000000"/>
          <w:szCs w:val="21"/>
        </w:rPr>
      </w:pPr>
    </w:p>
    <w:p w14:paraId="11787AA3" w14:textId="77777777" w:rsidR="00E53EB6" w:rsidRDefault="006500F5">
      <w:pPr>
        <w:pStyle w:val="Hauptext"/>
        <w:rPr>
          <w:rFonts w:eastAsia="CharisSIL" w:cs="CharisSIL"/>
          <w:color w:val="000000"/>
          <w:szCs w:val="21"/>
        </w:rPr>
      </w:pPr>
      <w:r>
        <w:rPr>
          <w:rFonts w:eastAsia="CharisSIL" w:cs="CharisSIL"/>
          <w:color w:val="000000"/>
          <w:szCs w:val="21"/>
        </w:rPr>
        <w:t xml:space="preserve">   </w:t>
      </w:r>
    </w:p>
    <w:p w14:paraId="5605746A" w14:textId="77777777" w:rsidR="00E53EB6" w:rsidRDefault="006500F5">
      <w:pPr>
        <w:pStyle w:val="Heading3"/>
        <w:tabs>
          <w:tab w:val="left" w:pos="0"/>
        </w:tabs>
      </w:pPr>
      <w:r>
        <w:rPr>
          <w:rFonts w:eastAsia="CharisSIL" w:cs="CharisSIL"/>
          <w:color w:val="000000"/>
        </w:rPr>
        <w:t xml:space="preserve">III.3.2  </w:t>
      </w:r>
      <w:r>
        <w:rPr>
          <w:rFonts w:eastAsia="CharisSIL" w:cs="CharisSIL"/>
          <w:i/>
          <w:iCs/>
          <w:color w:val="000000"/>
        </w:rPr>
        <w:t>van- / van</w:t>
      </w:r>
      <w:r>
        <w:rPr>
          <w:rFonts w:eastAsia="CharisSIL" w:cs="CharisSIL"/>
          <w:i/>
          <w:iCs/>
          <w:color w:val="000000"/>
          <w:vertAlign w:val="superscript"/>
        </w:rPr>
        <w:t>i</w:t>
      </w:r>
      <w:r>
        <w:rPr>
          <w:rFonts w:eastAsia="CharisSIL" w:cs="CharisSIL"/>
          <w:i/>
          <w:iCs/>
          <w:color w:val="000000"/>
          <w:sz w:val="22"/>
        </w:rPr>
        <w:t>-</w:t>
      </w:r>
      <w:r>
        <w:rPr>
          <w:rFonts w:eastAsia="CharisSIL" w:cs="CharisSIL"/>
          <w:i/>
          <w:iCs/>
          <w:color w:val="000000"/>
        </w:rPr>
        <w:t xml:space="preserve"> </w:t>
      </w:r>
      <w:r>
        <w:rPr>
          <w:rFonts w:eastAsia="CharisSIL" w:cs="CharisSIL"/>
          <w:color w:val="000000"/>
        </w:rPr>
        <w:t xml:space="preserve">in the Non-R̥gvedic Passages: a </w:t>
      </w:r>
      <w:r>
        <w:rPr>
          <w:rFonts w:eastAsia="CharisSIL" w:cs="CharisSIL"/>
          <w:color w:val="000000"/>
        </w:rPr>
        <w:t>Chronological Perspective</w:t>
      </w:r>
    </w:p>
    <w:p w14:paraId="2A4FDF00" w14:textId="77777777" w:rsidR="00E53EB6" w:rsidRDefault="006500F5">
      <w:pPr>
        <w:pStyle w:val="Hauptext"/>
        <w:rPr>
          <w:rFonts w:eastAsia="CharisSIL" w:cs="CharisSIL"/>
          <w:color w:val="000000"/>
          <w:szCs w:val="21"/>
        </w:rPr>
      </w:pPr>
      <w:r>
        <w:rPr>
          <w:rFonts w:eastAsia="CharisSIL" w:cs="CharisSIL"/>
          <w:color w:val="000000"/>
          <w:szCs w:val="21"/>
        </w:rPr>
        <w:t xml:space="preserve">As to the change in the ritual language between the </w:t>
      </w:r>
      <w:r>
        <w:rPr>
          <w:rFonts w:eastAsia="CharisSIL" w:cs="CharisSIL"/>
          <w:i/>
          <w:iCs/>
          <w:color w:val="000000"/>
          <w:szCs w:val="21"/>
        </w:rPr>
        <w:t>R̥gveda Sa</w:t>
      </w:r>
      <w:r>
        <w:rPr>
          <w:rFonts w:eastAsia="CharisSIL" w:cs="CharisSIL"/>
          <w:i/>
          <w:iCs/>
          <w:color w:val="000000"/>
          <w:szCs w:val="21"/>
        </w:rPr>
        <w:t>ṃ</w:t>
      </w:r>
      <w:r>
        <w:rPr>
          <w:rFonts w:eastAsia="CharisSIL" w:cs="CharisSIL"/>
          <w:i/>
          <w:iCs/>
          <w:color w:val="000000"/>
          <w:szCs w:val="21"/>
        </w:rPr>
        <w:t xml:space="preserve">hitā </w:t>
      </w:r>
      <w:r>
        <w:rPr>
          <w:rFonts w:eastAsia="CharisSIL" w:cs="CharisSIL"/>
          <w:color w:val="000000"/>
          <w:szCs w:val="21"/>
        </w:rPr>
        <w:t>and the Brāhma</w:t>
      </w:r>
      <w:r>
        <w:rPr>
          <w:rFonts w:eastAsia="CharisSIL" w:cs="CharisSIL"/>
          <w:color w:val="000000"/>
          <w:szCs w:val="21"/>
        </w:rPr>
        <w:t>ṇ</w:t>
      </w:r>
      <w:r>
        <w:rPr>
          <w:rFonts w:eastAsia="CharisSIL" w:cs="CharisSIL"/>
          <w:color w:val="000000"/>
          <w:szCs w:val="21"/>
        </w:rPr>
        <w:t>as, the data we have analysed with so far, s</w:t>
      </w:r>
      <w:r>
        <w:rPr>
          <w:rFonts w:eastAsia="CharisSIL" w:cs="CharisSIL"/>
          <w:color w:val="000000"/>
          <w:szCs w:val="21"/>
        </w:rPr>
        <w:t>hows us that the ritual meaning seems to lose the specific function connected with the action of making</w:t>
      </w:r>
      <w:r>
        <w:rPr>
          <w:rFonts w:eastAsia="CharisSIL" w:cs="CharisSIL"/>
          <w:color w:val="000000"/>
          <w:szCs w:val="21"/>
        </w:rPr>
        <w:t xml:space="preserve"> the gods enter into the circle of sacrifice -in other words with that kind of appropriation that we have seen in R̥V-period being so deeply connected with the poetic skill and the inspiration of the priests performing the sacrifice. </w:t>
      </w:r>
    </w:p>
    <w:p w14:paraId="552ACA55" w14:textId="77777777" w:rsidR="00E53EB6" w:rsidRDefault="006500F5">
      <w:pPr>
        <w:pStyle w:val="Hauptext"/>
      </w:pPr>
      <w:r>
        <w:rPr>
          <w:rFonts w:eastAsia="CharisSIL" w:cs="CharisSIL"/>
          <w:color w:val="000000"/>
        </w:rPr>
        <w:t>On the other side, th</w:t>
      </w:r>
      <w:r>
        <w:rPr>
          <w:rFonts w:eastAsia="CharisSIL" w:cs="CharisSIL"/>
          <w:color w:val="000000"/>
        </w:rPr>
        <w:t xml:space="preserve">e common meaning shows no particular features, keeping the uses we detected already in the </w:t>
      </w:r>
      <w:r>
        <w:rPr>
          <w:rFonts w:eastAsia="CharisSIL" w:cs="CharisSIL"/>
          <w:i/>
          <w:iCs/>
          <w:color w:val="000000"/>
        </w:rPr>
        <w:t>R̥gveda Sa</w:t>
      </w:r>
      <w:r>
        <w:rPr>
          <w:rFonts w:eastAsia="CharisSIL" w:cs="CharisSIL"/>
          <w:i/>
          <w:iCs/>
          <w:color w:val="000000"/>
        </w:rPr>
        <w:t>ṃ</w:t>
      </w:r>
      <w:r>
        <w:rPr>
          <w:rFonts w:eastAsia="CharisSIL" w:cs="CharisSIL"/>
          <w:i/>
          <w:iCs/>
          <w:color w:val="000000"/>
        </w:rPr>
        <w:t xml:space="preserve">hitā </w:t>
      </w:r>
      <w:r>
        <w:rPr>
          <w:rFonts w:eastAsia="CharisSIL" w:cs="CharisSIL"/>
          <w:color w:val="000000"/>
        </w:rPr>
        <w:t xml:space="preserve">in a decreasing number, as we have already said. Along the process of a standardisation of the ritual language and the necessity to create a common, </w:t>
      </w:r>
      <w:r>
        <w:rPr>
          <w:rFonts w:eastAsia="CharisSIL" w:cs="CharisSIL"/>
          <w:color w:val="000000"/>
        </w:rPr>
        <w:t xml:space="preserve">specific vocabulary of the liturgy, </w:t>
      </w:r>
      <w:r>
        <w:rPr>
          <w:rFonts w:eastAsia="CharisSIL" w:cs="CharisSIL"/>
          <w:i/>
          <w:iCs/>
          <w:color w:val="000000"/>
        </w:rPr>
        <w:t>van- / van</w:t>
      </w:r>
      <w:r>
        <w:rPr>
          <w:rFonts w:eastAsia="CharisSIL" w:cs="CharisSIL"/>
          <w:i/>
          <w:iCs/>
          <w:color w:val="000000"/>
          <w:vertAlign w:val="superscript"/>
        </w:rPr>
        <w:t>i</w:t>
      </w:r>
      <w:r>
        <w:rPr>
          <w:rFonts w:eastAsia="CharisSIL" w:cs="CharisSIL"/>
          <w:b/>
          <w:bCs/>
          <w:i/>
          <w:iCs/>
          <w:color w:val="000000"/>
        </w:rPr>
        <w:t>-</w:t>
      </w:r>
      <w:r>
        <w:rPr>
          <w:rFonts w:eastAsia="CharisSIL" w:cs="CharisSIL"/>
          <w:i/>
          <w:iCs/>
          <w:color w:val="000000"/>
        </w:rPr>
        <w:t xml:space="preserve"> </w:t>
      </w:r>
      <w:r>
        <w:rPr>
          <w:rFonts w:eastAsia="CharisSIL" w:cs="CharisSIL"/>
          <w:color w:val="000000"/>
        </w:rPr>
        <w:t>cannot fulfil the new requirements and faded. Within this hypothesis, it may be interesting to look at some occurrences more carefully, using another perspective: to take  into account only those which are n</w:t>
      </w:r>
      <w:r>
        <w:rPr>
          <w:rFonts w:eastAsia="CharisSIL" w:cs="CharisSIL"/>
          <w:color w:val="000000"/>
        </w:rPr>
        <w:t xml:space="preserve">ot quotations of the </w:t>
      </w:r>
      <w:r>
        <w:rPr>
          <w:rFonts w:eastAsia="CharisSIL" w:cs="CharisSIL"/>
          <w:i/>
          <w:iCs/>
          <w:color w:val="000000"/>
        </w:rPr>
        <w:t>R̥gveda Sa</w:t>
      </w:r>
      <w:r>
        <w:rPr>
          <w:rFonts w:eastAsia="CharisSIL" w:cs="CharisSIL"/>
          <w:i/>
          <w:iCs/>
          <w:color w:val="000000"/>
        </w:rPr>
        <w:t>ṃ</w:t>
      </w:r>
      <w:r>
        <w:rPr>
          <w:rFonts w:eastAsia="CharisSIL" w:cs="CharisSIL"/>
          <w:i/>
          <w:iCs/>
          <w:color w:val="000000"/>
        </w:rPr>
        <w:t xml:space="preserve">hitā </w:t>
      </w:r>
      <w:r>
        <w:rPr>
          <w:rFonts w:eastAsia="CharisSIL" w:cs="CharisSIL"/>
          <w:color w:val="000000"/>
        </w:rPr>
        <w:t>and analyse them along the different linguistic levels they belong to</w:t>
      </w:r>
      <w:r>
        <w:rPr>
          <w:rFonts w:eastAsia="CharisSIL" w:cs="CharisSIL"/>
          <w:i/>
          <w:iCs/>
          <w:color w:val="000000"/>
        </w:rPr>
        <w:t xml:space="preserve">. </w:t>
      </w:r>
      <w:r>
        <w:rPr>
          <w:rFonts w:eastAsia="CharisSIL" w:cs="CharisSIL"/>
          <w:color w:val="000000"/>
        </w:rPr>
        <w:t>This will show us maybe something more as to the actual understanding of the verb in the post-R̥gvedic time.</w:t>
      </w:r>
    </w:p>
    <w:p w14:paraId="65A0F5B8" w14:textId="77777777" w:rsidR="00E53EB6" w:rsidRDefault="006500F5">
      <w:pPr>
        <w:pStyle w:val="Hauptext"/>
      </w:pPr>
      <w:r>
        <w:rPr>
          <w:rFonts w:eastAsia="CharisSIL" w:cs="CharisSIL"/>
          <w:color w:val="000000"/>
        </w:rPr>
        <w:t>From the point of view of linguistic de</w:t>
      </w:r>
      <w:r>
        <w:rPr>
          <w:rFonts w:eastAsia="CharisSIL" w:cs="CharisSIL"/>
          <w:color w:val="000000"/>
        </w:rPr>
        <w:t xml:space="preserve">velopment and hence historical layers of the texts, we will distinguish between two types (see also the problem of relative chronology in § III.1.1). First, </w:t>
      </w:r>
      <w:r>
        <w:rPr>
          <w:rFonts w:eastAsia="CharisSIL" w:cs="CharisSIL"/>
          <w:color w:val="000000"/>
        </w:rPr>
        <w:lastRenderedPageBreak/>
        <w:t xml:space="preserve">the Mantra-Language, that is the </w:t>
      </w:r>
      <w:r>
        <w:rPr>
          <w:rFonts w:eastAsia="CharisSIL" w:cs="CharisSIL"/>
          <w:i/>
          <w:iCs/>
          <w:color w:val="000000"/>
        </w:rPr>
        <w:t>mantra</w:t>
      </w:r>
      <w:r>
        <w:rPr>
          <w:rFonts w:eastAsia="CharisSIL" w:cs="CharisSIL"/>
          <w:color w:val="000000"/>
        </w:rPr>
        <w:t xml:space="preserve"> sections of the Sa</w:t>
      </w:r>
      <w:r>
        <w:rPr>
          <w:rFonts w:eastAsia="CharisSIL" w:cs="CharisSIL"/>
          <w:color w:val="000000"/>
        </w:rPr>
        <w:t>ṃ</w:t>
      </w:r>
      <w:r>
        <w:rPr>
          <w:rFonts w:eastAsia="CharisSIL" w:cs="CharisSIL"/>
          <w:color w:val="000000"/>
        </w:rPr>
        <w:t xml:space="preserve">hitās (here we will consider especially </w:t>
      </w:r>
      <w:r>
        <w:rPr>
          <w:rFonts w:eastAsia="CharisSIL" w:cs="CharisSIL"/>
          <w:color w:val="000000"/>
        </w:rPr>
        <w:t>the YV-</w:t>
      </w:r>
      <w:r>
        <w:rPr>
          <w:rFonts w:eastAsia="CharisSIL" w:cs="CharisSIL"/>
          <w:i/>
          <w:iCs/>
          <w:color w:val="000000"/>
        </w:rPr>
        <w:t>mantra</w:t>
      </w:r>
      <w:r>
        <w:rPr>
          <w:rFonts w:eastAsia="CharisSIL" w:cs="CharisSIL"/>
          <w:color w:val="000000"/>
        </w:rPr>
        <w:t>)</w:t>
      </w:r>
      <w:r>
        <w:rPr>
          <w:rFonts w:eastAsia="CharisSIL" w:cs="CharisSIL"/>
          <w:i/>
          <w:iCs/>
          <w:color w:val="000000"/>
        </w:rPr>
        <w:t xml:space="preserve"> </w:t>
      </w:r>
      <w:r>
        <w:rPr>
          <w:rFonts w:eastAsia="CharisSIL" w:cs="CharisSIL"/>
          <w:color w:val="000000"/>
        </w:rPr>
        <w:t xml:space="preserve">and eventually the </w:t>
      </w:r>
      <w:r>
        <w:rPr>
          <w:rFonts w:eastAsia="CharisSIL" w:cs="CharisSIL"/>
          <w:i/>
          <w:iCs/>
          <w:color w:val="000000"/>
        </w:rPr>
        <w:t>mantra</w:t>
      </w:r>
      <w:r>
        <w:rPr>
          <w:rFonts w:eastAsia="CharisSIL" w:cs="CharisSIL"/>
          <w:color w:val="000000"/>
        </w:rPr>
        <w:t>s of the Brāhma</w:t>
      </w:r>
      <w:r>
        <w:rPr>
          <w:rFonts w:eastAsia="CharisSIL" w:cs="CharisSIL"/>
          <w:color w:val="000000"/>
        </w:rPr>
        <w:t>ṇ</w:t>
      </w:r>
      <w:r>
        <w:rPr>
          <w:rFonts w:eastAsia="CharisSIL" w:cs="CharisSIL"/>
          <w:color w:val="000000"/>
        </w:rPr>
        <w:t>as which are to be considered anyway later ones and, as we will see, always tracing back to the cognate Sa</w:t>
      </w:r>
      <w:r>
        <w:rPr>
          <w:rFonts w:eastAsia="CharisSIL" w:cs="CharisSIL"/>
          <w:color w:val="000000"/>
        </w:rPr>
        <w:t>ṃ</w:t>
      </w:r>
      <w:r>
        <w:rPr>
          <w:rFonts w:eastAsia="CharisSIL" w:cs="CharisSIL"/>
          <w:color w:val="000000"/>
        </w:rPr>
        <w:t xml:space="preserve">hitā’s text, therefore they just stand as a sub-level of the first one. A second clear level </w:t>
      </w:r>
      <w:r>
        <w:rPr>
          <w:rFonts w:eastAsia="CharisSIL" w:cs="CharisSIL"/>
          <w:color w:val="000000"/>
        </w:rPr>
        <w:t>is that of the prose passages, where we have the expository prose of the Yajurveda Sa</w:t>
      </w:r>
      <w:r>
        <w:rPr>
          <w:rFonts w:eastAsia="CharisSIL" w:cs="CharisSIL"/>
          <w:color w:val="000000"/>
        </w:rPr>
        <w:t>ṃ</w:t>
      </w:r>
      <w:r>
        <w:rPr>
          <w:rFonts w:eastAsia="CharisSIL" w:cs="CharisSIL"/>
          <w:color w:val="000000"/>
        </w:rPr>
        <w:t xml:space="preserve">hitā texts, which already belong to the later linguistic level as that of the </w:t>
      </w:r>
      <w:r>
        <w:rPr>
          <w:rFonts w:eastAsia="CharisSIL" w:cs="CharisSIL"/>
          <w:i/>
          <w:iCs/>
          <w:color w:val="000000"/>
        </w:rPr>
        <w:t>mantra</w:t>
      </w:r>
      <w:r>
        <w:rPr>
          <w:rFonts w:eastAsia="CharisSIL" w:cs="CharisSIL"/>
          <w:color w:val="000000"/>
        </w:rPr>
        <w:t>s and the prose passages of the Brāhma</w:t>
      </w:r>
      <w:r>
        <w:rPr>
          <w:rFonts w:eastAsia="CharisSIL" w:cs="CharisSIL"/>
          <w:color w:val="000000"/>
        </w:rPr>
        <w:t>ṇ</w:t>
      </w:r>
      <w:r>
        <w:rPr>
          <w:rFonts w:eastAsia="CharisSIL" w:cs="CharisSIL"/>
          <w:color w:val="000000"/>
        </w:rPr>
        <w:t xml:space="preserve">a texts themselves, which of course represent a further development. </w:t>
      </w:r>
    </w:p>
    <w:p w14:paraId="6AFF81B0" w14:textId="77777777" w:rsidR="00E53EB6" w:rsidRDefault="00E53EB6">
      <w:pPr>
        <w:pStyle w:val="HaupttextohneEinzug"/>
        <w:rPr>
          <w:rFonts w:eastAsia="CharisSIL" w:cs="CharisSIL"/>
          <w:color w:val="000000"/>
        </w:rPr>
      </w:pPr>
    </w:p>
    <w:p w14:paraId="671F21B7" w14:textId="77777777" w:rsidR="00E53EB6" w:rsidRDefault="006500F5">
      <w:pPr>
        <w:pStyle w:val="HaupttextohneEinzug"/>
        <w:numPr>
          <w:ilvl w:val="0"/>
          <w:numId w:val="8"/>
        </w:numPr>
      </w:pPr>
      <w:r>
        <w:t>Mantra-Language:</w:t>
      </w:r>
      <w:r>
        <w:rPr>
          <w:i/>
          <w:iCs/>
        </w:rPr>
        <w:t xml:space="preserve"> </w:t>
      </w:r>
    </w:p>
    <w:p w14:paraId="305D4F29" w14:textId="77777777" w:rsidR="00E53EB6" w:rsidRDefault="006500F5">
      <w:pPr>
        <w:pStyle w:val="Hauptext"/>
      </w:pPr>
      <w:r>
        <w:rPr>
          <w:rFonts w:eastAsia="CharisSIL" w:cs="CharisSIL"/>
          <w:color w:val="000000"/>
        </w:rPr>
        <w:t>At the level of the YV-</w:t>
      </w:r>
      <w:r>
        <w:rPr>
          <w:rFonts w:eastAsia="CharisSIL" w:cs="CharisSIL"/>
          <w:i/>
          <w:iCs/>
          <w:color w:val="000000"/>
        </w:rPr>
        <w:t>mantra</w:t>
      </w:r>
      <w:r>
        <w:rPr>
          <w:rFonts w:eastAsia="CharisSIL" w:cs="CharisSIL"/>
          <w:color w:val="000000"/>
        </w:rPr>
        <w:t xml:space="preserve"> there are</w:t>
      </w:r>
      <w:r>
        <w:rPr>
          <w:rFonts w:eastAsia="CharisSIL" w:cs="CharisSIL"/>
          <w:color w:val="000000"/>
        </w:rPr>
        <w:t xml:space="preserve"> 13 non-R̥V </w:t>
      </w:r>
      <w:r>
        <w:rPr>
          <w:rFonts w:eastAsia="CharisSIL" w:cs="CharisSIL"/>
          <w:i/>
          <w:iCs/>
          <w:color w:val="000000"/>
        </w:rPr>
        <w:t>mantra</w:t>
      </w:r>
      <w:r>
        <w:rPr>
          <w:rFonts w:eastAsia="CharisSIL" w:cs="CharisSIL"/>
          <w:color w:val="000000"/>
        </w:rPr>
        <w:t xml:space="preserve">s </w:t>
      </w:r>
    </w:p>
    <w:p w14:paraId="06B29E08" w14:textId="77777777" w:rsidR="00E53EB6" w:rsidRDefault="006500F5">
      <w:pPr>
        <w:pStyle w:val="HaupttextohneEinzug"/>
        <w:rPr>
          <w:rFonts w:eastAsia="CharisSIL" w:cs="CharisSIL"/>
          <w:color w:val="000000"/>
        </w:rPr>
      </w:pPr>
      <w:r>
        <w:rPr>
          <w:rFonts w:eastAsia="CharisSIL" w:cs="CharisSIL"/>
          <w:color w:val="000000"/>
        </w:rPr>
        <w:t>In those occurrences we can still outline some of the functional pat</w:t>
      </w:r>
      <w:r>
        <w:rPr>
          <w:rFonts w:eastAsia="CharisSIL" w:cs="CharisSIL"/>
          <w:color w:val="000000"/>
        </w:rPr>
        <w:t xml:space="preserve">terns met so far, but there is a strong predominance in the use of </w:t>
      </w:r>
      <w:r>
        <w:rPr>
          <w:rFonts w:eastAsia="CharisSIL" w:cs="CharisSIL"/>
          <w:i/>
          <w:iCs/>
          <w:color w:val="000000"/>
        </w:rPr>
        <w:t xml:space="preserve">van- </w:t>
      </w:r>
      <w:r>
        <w:rPr>
          <w:rFonts w:eastAsia="CharisSIL" w:cs="CharisSIL"/>
          <w:color w:val="000000"/>
        </w:rPr>
        <w:t xml:space="preserve">of the semantic context of sharing, that is an appropriation that has its focus on the passage of the objects between different subjects. </w:t>
      </w:r>
    </w:p>
    <w:p w14:paraId="0D654CFC" w14:textId="77777777" w:rsidR="00E53EB6" w:rsidRDefault="006500F5">
      <w:pPr>
        <w:pStyle w:val="HaupttextohneEinzug"/>
      </w:pPr>
      <w:r>
        <w:rPr>
          <w:rFonts w:eastAsia="MS Mincho;ＭＳ 明朝" w:cs="Times Ext Roman"/>
          <w:szCs w:val="21"/>
          <w:lang w:eastAsia="hi-IN" w:bidi="en-GB"/>
        </w:rPr>
        <w:t>In most of the occurrences the verb conveys t</w:t>
      </w:r>
      <w:r>
        <w:rPr>
          <w:rFonts w:eastAsia="MS Mincho;ＭＳ 明朝" w:cs="Times Ext Roman"/>
          <w:szCs w:val="21"/>
          <w:lang w:eastAsia="hi-IN" w:bidi="en-GB"/>
        </w:rPr>
        <w:t xml:space="preserve">he idea of appropriating a particular kind of object, that is connected with the idea of power;  most of the times (4 occurrences out of 5: MS 2.6.8; MS 4.4.2; KS 15.6; VS 10.4) this idea is deployed through the word </w:t>
      </w:r>
      <w:r>
        <w:rPr>
          <w:rFonts w:eastAsia="MS Mincho;ＭＳ 明朝" w:cs="Times Ext Roman"/>
          <w:i/>
          <w:iCs/>
          <w:szCs w:val="21"/>
          <w:lang w:eastAsia="hi-IN" w:bidi="en-GB"/>
        </w:rPr>
        <w:t>k</w:t>
      </w:r>
      <w:r>
        <w:rPr>
          <w:rFonts w:eastAsia="MS Mincho;ＭＳ 明朝" w:cs="Times Ext Roman"/>
          <w:i/>
          <w:iCs/>
          <w:szCs w:val="21"/>
          <w:lang w:eastAsia="hi-IN" w:bidi="en-GB"/>
        </w:rPr>
        <w:t>ṣ</w:t>
      </w:r>
      <w:r>
        <w:rPr>
          <w:rFonts w:eastAsia="MS Mincho;ＭＳ 明朝" w:cs="Times Ext Roman"/>
          <w:i/>
          <w:iCs/>
          <w:szCs w:val="21"/>
          <w:lang w:eastAsia="hi-IN" w:bidi="en-GB"/>
        </w:rPr>
        <w:t xml:space="preserve">atrá- </w:t>
      </w:r>
      <w:r>
        <w:rPr>
          <w:rFonts w:eastAsia="MS Mincho;ＭＳ 明朝" w:cs="Times Ext Roman"/>
          <w:szCs w:val="21"/>
          <w:lang w:eastAsia="hi-IN" w:bidi="en-GB"/>
        </w:rPr>
        <w:t xml:space="preserve">and only once with </w:t>
      </w:r>
      <w:r>
        <w:rPr>
          <w:rFonts w:eastAsia="MS Mincho;ＭＳ 明朝" w:cs="Times Ext Roman"/>
          <w:i/>
          <w:iCs/>
          <w:szCs w:val="21"/>
          <w:lang w:eastAsia="hi-IN" w:bidi="en-GB"/>
        </w:rPr>
        <w:t xml:space="preserve">várcas- </w:t>
      </w:r>
      <w:r>
        <w:rPr>
          <w:rFonts w:eastAsia="MS Mincho;ＭＳ 明朝" w:cs="Times Ext Roman"/>
          <w:szCs w:val="21"/>
          <w:lang w:eastAsia="hi-IN" w:bidi="en-GB"/>
        </w:rPr>
        <w:t xml:space="preserve">(TS </w:t>
      </w:r>
      <w:r>
        <w:rPr>
          <w:rFonts w:eastAsia="MS Mincho;ＭＳ 明朝" w:cs="Times Ext Roman"/>
          <w:szCs w:val="21"/>
          <w:lang w:eastAsia="hi-IN" w:bidi="en-GB"/>
        </w:rPr>
        <w:t>1.8.12.1ab)</w:t>
      </w:r>
      <w:r>
        <w:rPr>
          <w:rFonts w:eastAsia="MS Mincho;ＭＳ 明朝" w:cs="Times Ext Roman"/>
          <w:i/>
          <w:iCs/>
          <w:szCs w:val="21"/>
          <w:lang w:eastAsia="hi-IN" w:bidi="en-GB"/>
        </w:rPr>
        <w:t>.</w:t>
      </w:r>
      <w:r>
        <w:rPr>
          <w:rFonts w:eastAsia="MS Mincho;ＭＳ 明朝" w:cs="Times Ext Roman"/>
          <w:szCs w:val="21"/>
          <w:lang w:eastAsia="hi-IN" w:bidi="en-GB"/>
        </w:rPr>
        <w:t xml:space="preserve"> All these occurrences concern </w:t>
      </w:r>
      <w:r>
        <w:rPr>
          <w:rFonts w:eastAsia="Arial Unicode MS" w:cs="Sabon Unicode"/>
          <w:color w:val="000000"/>
          <w:szCs w:val="21"/>
          <w:lang w:eastAsia="it-IT" w:bidi="en-GB"/>
        </w:rPr>
        <w:t xml:space="preserve"> the Abhi</w:t>
      </w:r>
      <w:r>
        <w:rPr>
          <w:rFonts w:eastAsia="Arial Unicode MS" w:cs="Sabon Unicode"/>
          <w:color w:val="000000"/>
          <w:szCs w:val="21"/>
          <w:lang w:eastAsia="it-IT" w:bidi="en-GB"/>
        </w:rPr>
        <w:t>ṣ</w:t>
      </w:r>
      <w:r>
        <w:rPr>
          <w:rFonts w:eastAsia="Arial Unicode MS" w:cs="Sabon Unicode"/>
          <w:color w:val="000000"/>
          <w:szCs w:val="21"/>
          <w:lang w:eastAsia="it-IT" w:bidi="en-GB"/>
        </w:rPr>
        <w:t xml:space="preserve">eka rite – the unction of the king during his consecration – when waters from diverse sources are poured together into a single vessel.  In these cases the </w:t>
      </w:r>
      <w:r>
        <w:rPr>
          <w:rFonts w:eastAsia="Arial Unicode MS" w:cs="Sabon Unicode"/>
          <w:i/>
          <w:iCs/>
          <w:color w:val="000000"/>
          <w:szCs w:val="21"/>
          <w:lang w:eastAsia="it-IT" w:bidi="en-GB"/>
        </w:rPr>
        <w:t xml:space="preserve">mantra </w:t>
      </w:r>
      <w:r>
        <w:rPr>
          <w:rFonts w:eastAsia="Arial Unicode MS" w:cs="Sabon Unicode"/>
          <w:color w:val="000000"/>
          <w:szCs w:val="21"/>
          <w:lang w:eastAsia="it-IT" w:bidi="en-GB"/>
        </w:rPr>
        <w:t xml:space="preserve">to be recited is indeed the same one </w:t>
      </w:r>
      <w:r>
        <w:rPr>
          <w:rFonts w:eastAsia="Arial Unicode MS" w:cs="Sabon Unicode"/>
          <w:color w:val="000000"/>
          <w:szCs w:val="21"/>
          <w:lang w:eastAsia="it-IT" w:bidi="en-GB"/>
        </w:rPr>
        <w:t>with slight variations, lets see for instance MS 4.4.2:</w:t>
      </w:r>
    </w:p>
    <w:p w14:paraId="02471C3E" w14:textId="77777777" w:rsidR="00E53EB6" w:rsidRDefault="006500F5">
      <w:pPr>
        <w:pStyle w:val="Zitat"/>
      </w:pPr>
      <w:r>
        <w:rPr>
          <w:rFonts w:eastAsia="Arial Unicode MS" w:cs="Sabon Unicode"/>
          <w:color w:val="000000"/>
          <w:lang w:eastAsia="it-IT"/>
        </w:rPr>
        <w:t xml:space="preserve">MS 4.4.2 </w:t>
      </w:r>
      <w:r>
        <w:rPr>
          <w:rFonts w:eastAsia="Arial Unicode MS" w:cs="Sabon Unicode"/>
          <w:i/>
          <w:color w:val="000000"/>
          <w:lang w:eastAsia="it-IT"/>
        </w:rPr>
        <w:t>dévīrāpo mádhumatī</w:t>
      </w:r>
      <w:r>
        <w:rPr>
          <w:rFonts w:eastAsia="Arial Unicode MS" w:cs="Sabon Unicode"/>
          <w:i/>
          <w:color w:val="000000"/>
          <w:lang w:eastAsia="it-IT"/>
        </w:rPr>
        <w:t>ḥ</w:t>
      </w:r>
      <w:r>
        <w:rPr>
          <w:rFonts w:eastAsia="Arial Unicode MS" w:cs="Sabon Unicode"/>
          <w:i/>
          <w:color w:val="000000"/>
          <w:lang w:eastAsia="it-IT"/>
        </w:rPr>
        <w:t xml:space="preserve"> sá</w:t>
      </w:r>
      <w:r>
        <w:rPr>
          <w:rFonts w:eastAsia="Arial Unicode MS" w:cs="Sabon Unicode"/>
          <w:i/>
          <w:color w:val="000000"/>
          <w:lang w:eastAsia="it-IT"/>
        </w:rPr>
        <w:t>ṃ</w:t>
      </w:r>
      <w:r>
        <w:rPr>
          <w:rFonts w:eastAsia="Arial Unicode MS" w:cs="Sabon Unicode"/>
          <w:i/>
          <w:color w:val="000000"/>
          <w:lang w:eastAsia="it-IT"/>
        </w:rPr>
        <w:t>sr̥jyadhvam máhi k</w:t>
      </w:r>
      <w:r>
        <w:rPr>
          <w:rFonts w:eastAsia="Arial Unicode MS" w:cs="Sabon Unicode"/>
          <w:i/>
          <w:color w:val="000000"/>
          <w:lang w:eastAsia="it-IT"/>
        </w:rPr>
        <w:t>ṣ</w:t>
      </w:r>
      <w:r>
        <w:rPr>
          <w:rFonts w:eastAsia="Arial Unicode MS" w:cs="Sabon Unicode"/>
          <w:i/>
          <w:color w:val="000000"/>
          <w:lang w:eastAsia="it-IT"/>
        </w:rPr>
        <w:t>atrám k</w:t>
      </w:r>
      <w:r>
        <w:rPr>
          <w:rFonts w:eastAsia="Arial Unicode MS" w:cs="Sabon Unicode"/>
          <w:i/>
          <w:color w:val="000000"/>
          <w:lang w:eastAsia="it-IT"/>
        </w:rPr>
        <w:t>ṣ</w:t>
      </w:r>
      <w:r>
        <w:rPr>
          <w:rFonts w:eastAsia="Arial Unicode MS" w:cs="Sabon Unicode"/>
          <w:i/>
          <w:color w:val="000000"/>
          <w:lang w:eastAsia="it-IT"/>
        </w:rPr>
        <w:t>atríyāya vanvānā́ ítyetā́ hí k</w:t>
      </w:r>
      <w:r>
        <w:rPr>
          <w:rFonts w:eastAsia="Arial Unicode MS" w:cs="Sabon Unicode"/>
          <w:i/>
          <w:color w:val="000000"/>
          <w:lang w:eastAsia="it-IT"/>
        </w:rPr>
        <w:t>ṣ</w:t>
      </w:r>
      <w:r>
        <w:rPr>
          <w:rFonts w:eastAsia="Arial Unicode MS" w:cs="Sabon Unicode"/>
          <w:i/>
          <w:color w:val="000000"/>
          <w:lang w:eastAsia="it-IT"/>
        </w:rPr>
        <w:t>atrāsya vantrī́ránādhr̥</w:t>
      </w:r>
      <w:r>
        <w:rPr>
          <w:rFonts w:eastAsia="Arial Unicode MS" w:cs="Sabon Unicode"/>
          <w:i/>
          <w:color w:val="000000"/>
          <w:lang w:eastAsia="it-IT"/>
        </w:rPr>
        <w:t>ṣṭ</w:t>
      </w:r>
      <w:r>
        <w:rPr>
          <w:rFonts w:eastAsia="Arial Unicode MS" w:cs="Sabon Unicode"/>
          <w:i/>
          <w:color w:val="000000"/>
          <w:lang w:eastAsia="it-IT"/>
        </w:rPr>
        <w:t>ā</w:t>
      </w:r>
      <w:r>
        <w:rPr>
          <w:rFonts w:eastAsia="Arial Unicode MS" w:cs="Sabon Unicode"/>
          <w:i/>
          <w:color w:val="000000"/>
          <w:lang w:eastAsia="it-IT"/>
        </w:rPr>
        <w:t>ḥ</w:t>
      </w:r>
      <w:r>
        <w:rPr>
          <w:rFonts w:eastAsia="Arial Unicode MS" w:cs="Sabon Unicode"/>
          <w:i/>
          <w:color w:val="000000"/>
          <w:lang w:eastAsia="it-IT"/>
        </w:rPr>
        <w:t xml:space="preserve"> sīdatórjasvatīrmáhi várca</w:t>
      </w:r>
      <w:r>
        <w:rPr>
          <w:rFonts w:eastAsia="Arial Unicode MS" w:cs="Sabon Unicode"/>
          <w:i/>
          <w:color w:val="000000"/>
          <w:lang w:eastAsia="it-IT"/>
        </w:rPr>
        <w:t>ḥ</w:t>
      </w:r>
      <w:r>
        <w:rPr>
          <w:rFonts w:eastAsia="Arial Unicode MS" w:cs="Sabon Unicode"/>
          <w:i/>
          <w:color w:val="000000"/>
          <w:lang w:eastAsia="it-IT"/>
        </w:rPr>
        <w:t xml:space="preserve"> k</w:t>
      </w:r>
      <w:r>
        <w:rPr>
          <w:rFonts w:eastAsia="Arial Unicode MS" w:cs="Sabon Unicode"/>
          <w:i/>
          <w:color w:val="000000"/>
          <w:lang w:eastAsia="it-IT"/>
        </w:rPr>
        <w:t>ṣ</w:t>
      </w:r>
      <w:r>
        <w:rPr>
          <w:rFonts w:eastAsia="Arial Unicode MS" w:cs="Sabon Unicode"/>
          <w:i/>
          <w:color w:val="000000"/>
          <w:lang w:eastAsia="it-IT"/>
        </w:rPr>
        <w:t>atríyāya dádhatīrityetā́ hí k</w:t>
      </w:r>
      <w:r>
        <w:rPr>
          <w:rFonts w:eastAsia="Arial Unicode MS" w:cs="Sabon Unicode"/>
          <w:i/>
          <w:color w:val="000000"/>
          <w:lang w:eastAsia="it-IT"/>
        </w:rPr>
        <w:t>ṣ</w:t>
      </w:r>
      <w:r>
        <w:rPr>
          <w:rFonts w:eastAsia="Arial Unicode MS" w:cs="Sabon Unicode"/>
          <w:i/>
          <w:color w:val="000000"/>
          <w:lang w:eastAsia="it-IT"/>
        </w:rPr>
        <w:t>atrásya dhā́trī</w:t>
      </w:r>
      <w:r>
        <w:rPr>
          <w:rFonts w:eastAsia="Arial Unicode MS" w:cs="Sabon Unicode"/>
          <w:i/>
          <w:color w:val="000000"/>
          <w:lang w:eastAsia="it-IT"/>
        </w:rPr>
        <w:t>ḥ</w:t>
      </w:r>
      <w:r>
        <w:rPr>
          <w:rFonts w:eastAsia="Arial Unicode MS" w:cs="Sabon Unicode"/>
          <w:i/>
          <w:color w:val="000000"/>
          <w:lang w:eastAsia="it-IT"/>
        </w:rPr>
        <w:t xml:space="preserve">. </w:t>
      </w:r>
    </w:p>
    <w:p w14:paraId="7D132EF1" w14:textId="77777777" w:rsidR="00E53EB6" w:rsidRDefault="006500F5">
      <w:pPr>
        <w:pStyle w:val="Zitat"/>
      </w:pPr>
      <w:r>
        <w:rPr>
          <w:rFonts w:eastAsia="Arial Unicode MS" w:cs="Sabon Unicode"/>
          <w:color w:val="000000"/>
          <w:lang w:eastAsia="it-IT"/>
        </w:rPr>
        <w:t>‘O d</w:t>
      </w:r>
      <w:r>
        <w:rPr>
          <w:rFonts w:eastAsia="Arial Unicode MS" w:cs="Sabon Unicode"/>
          <w:color w:val="000000"/>
          <w:lang w:eastAsia="it-IT"/>
        </w:rPr>
        <w:t xml:space="preserve">ivine waters, full of sweet, be mingled, </w:t>
      </w:r>
      <w:r>
        <w:rPr>
          <w:rFonts w:eastAsia="Arial Unicode MS" w:cs="Sabon Unicode"/>
          <w:color w:val="000000"/>
          <w:u w:val="single"/>
          <w:lang w:eastAsia="it-IT"/>
        </w:rPr>
        <w:t>appropriating</w:t>
      </w:r>
      <w:r>
        <w:rPr>
          <w:rFonts w:eastAsia="Arial Unicode MS" w:cs="Sabon Unicode"/>
          <w:color w:val="000000"/>
          <w:lang w:eastAsia="it-IT"/>
        </w:rPr>
        <w:t xml:space="preserve"> for the king</w:t>
      </w:r>
      <w:r>
        <w:rPr>
          <w:rStyle w:val="FootnoteAnchor"/>
          <w:rFonts w:cs="Devanagari MT;Times New Roman"/>
          <w:color w:val="000000"/>
          <w:lang w:eastAsia="hi-IN"/>
        </w:rPr>
        <w:footnoteReference w:id="413"/>
      </w:r>
      <w:r>
        <w:rPr>
          <w:rFonts w:eastAsia="Arial Unicode MS" w:cs="Sabon Unicode"/>
          <w:color w:val="000000"/>
          <w:lang w:eastAsia="it-IT"/>
        </w:rPr>
        <w:t xml:space="preserve"> the great power to rule’ so he says, for they, brilliant</w:t>
      </w:r>
      <w:r>
        <w:rPr>
          <w:rStyle w:val="FootnoteAnchor"/>
          <w:rFonts w:eastAsia="Arial Unicode MS" w:cs="Sabon Unicode"/>
          <w:color w:val="000000"/>
          <w:lang w:eastAsia="it-IT"/>
        </w:rPr>
        <w:footnoteReference w:id="414"/>
      </w:r>
      <w:r>
        <w:rPr>
          <w:rFonts w:eastAsia="Arial Unicode MS" w:cs="Sabon Unicode"/>
          <w:lang w:eastAsia="it-IT"/>
        </w:rPr>
        <w:t>,</w:t>
      </w:r>
      <w:r>
        <w:rPr>
          <w:rFonts w:eastAsia="Arial Unicode MS" w:cs="Sabon Unicode"/>
          <w:color w:val="000000"/>
          <w:lang w:eastAsia="it-IT"/>
        </w:rPr>
        <w:t xml:space="preserve"> are those who </w:t>
      </w:r>
      <w:r>
        <w:rPr>
          <w:rFonts w:eastAsia="Arial Unicode MS" w:cs="Sabon Unicode"/>
          <w:color w:val="000000"/>
          <w:u w:val="single"/>
          <w:lang w:eastAsia="it-IT"/>
        </w:rPr>
        <w:t>appropriate</w:t>
      </w:r>
      <w:r>
        <w:rPr>
          <w:rFonts w:eastAsia="Arial Unicode MS" w:cs="Sabon Unicode"/>
          <w:color w:val="000000"/>
          <w:lang w:eastAsia="it-IT"/>
        </w:rPr>
        <w:t xml:space="preserve"> the power to rule ‘sit untouched, possessing the vital energy</w:t>
      </w:r>
      <w:r>
        <w:rPr>
          <w:rStyle w:val="FootnoteAnchor"/>
          <w:rFonts w:cs="Devanagari MT;Times New Roman"/>
          <w:color w:val="000000"/>
          <w:lang w:eastAsia="hi-IN"/>
        </w:rPr>
        <w:footnoteReference w:id="415"/>
      </w:r>
      <w:r>
        <w:rPr>
          <w:rFonts w:eastAsia="Arial Unicode MS" w:cs="Sabon Unicode"/>
          <w:color w:val="000000"/>
          <w:lang w:eastAsia="it-IT"/>
        </w:rPr>
        <w:t>, putting the splendour into the king’ so he says, for they are those who put the power to rule.</w:t>
      </w:r>
    </w:p>
    <w:p w14:paraId="63FCCB23" w14:textId="77777777" w:rsidR="00E53EB6" w:rsidRDefault="006500F5">
      <w:pPr>
        <w:pStyle w:val="HaupttextnachZitat"/>
      </w:pPr>
      <w:r>
        <w:rPr>
          <w:rFonts w:eastAsia="Arial Unicode MS" w:cs="Sabon Unicode"/>
          <w:color w:val="000000"/>
          <w:szCs w:val="21"/>
          <w:lang w:eastAsia="it-IT" w:bidi="en-GB"/>
        </w:rPr>
        <w:t>The main theme are the waters, of course the purified waters prepared for the king to be anoint</w:t>
      </w:r>
      <w:r>
        <w:rPr>
          <w:rFonts w:eastAsia="Arial Unicode MS" w:cs="Sabon Unicode"/>
          <w:color w:val="000000"/>
          <w:szCs w:val="21"/>
          <w:lang w:eastAsia="it-IT" w:bidi="en-GB"/>
        </w:rPr>
        <w:t xml:space="preserve">ed with and the </w:t>
      </w:r>
      <w:r>
        <w:rPr>
          <w:rFonts w:eastAsia="Arial Unicode MS" w:cs="Sabon Unicode"/>
          <w:i/>
          <w:iCs/>
          <w:color w:val="000000"/>
          <w:szCs w:val="21"/>
          <w:lang w:eastAsia="it-IT" w:bidi="en-GB"/>
        </w:rPr>
        <w:t>mantra</w:t>
      </w:r>
      <w:r>
        <w:rPr>
          <w:rFonts w:eastAsia="Arial Unicode MS" w:cs="Sabon Unicode"/>
          <w:color w:val="000000"/>
          <w:szCs w:val="21"/>
          <w:lang w:eastAsia="it-IT" w:bidi="en-GB"/>
        </w:rPr>
        <w:t xml:space="preserve"> credits the waters with “winning” for the anointed on the power to rule or the </w:t>
      </w:r>
      <w:r>
        <w:rPr>
          <w:rFonts w:eastAsia="Arial Unicode MS" w:cs="Sabon Unicode"/>
          <w:i/>
          <w:iCs/>
          <w:color w:val="000000"/>
          <w:szCs w:val="21"/>
          <w:lang w:eastAsia="it-IT" w:bidi="en-GB"/>
        </w:rPr>
        <w:t>várcas-</w:t>
      </w:r>
      <w:r>
        <w:rPr>
          <w:rStyle w:val="FootnoteAnchor"/>
          <w:rFonts w:eastAsia="Arial Unicode MS" w:cs="Sabon Unicode"/>
          <w:i/>
          <w:iCs/>
          <w:color w:val="000000"/>
          <w:szCs w:val="21"/>
          <w:lang w:eastAsia="it-IT" w:bidi="en-GB"/>
        </w:rPr>
        <w:footnoteReference w:id="416"/>
      </w:r>
      <w:r>
        <w:rPr>
          <w:rFonts w:eastAsia="Arial Unicode MS" w:cs="Sabon Unicode"/>
          <w:color w:val="000000"/>
          <w:szCs w:val="21"/>
          <w:lang w:eastAsia="it-IT" w:bidi="en-GB"/>
        </w:rPr>
        <w:t xml:space="preserve"> “splendour” which the king will be endowed with having gone through the ritual bath</w:t>
      </w:r>
      <w:r>
        <w:rPr>
          <w:rFonts w:eastAsia="MS Mincho;ＭＳ 明朝" w:cs="Times Ext Roman"/>
          <w:szCs w:val="21"/>
          <w:lang w:eastAsia="hi-IN" w:bidi="en-GB"/>
        </w:rPr>
        <w:t>. Thus, the power to rule is passing through the waters to the king.</w:t>
      </w:r>
    </w:p>
    <w:p w14:paraId="7409EABC" w14:textId="77777777" w:rsidR="00E53EB6" w:rsidRDefault="006500F5">
      <w:pPr>
        <w:pStyle w:val="HaupttextohneEinzug"/>
      </w:pPr>
      <w:r>
        <w:rPr>
          <w:rFonts w:eastAsia="MS Mincho;ＭＳ 明朝" w:cs="Times Ext Roman"/>
          <w:szCs w:val="21"/>
          <w:lang w:eastAsia="hi-IN" w:bidi="en-GB"/>
        </w:rPr>
        <w:t xml:space="preserve">In one case the object is the rain </w:t>
      </w:r>
      <w:r>
        <w:rPr>
          <w:rFonts w:eastAsia="MS Mincho;ＭＳ 明朝" w:cs="Times Ext Roman"/>
          <w:i/>
          <w:iCs/>
          <w:szCs w:val="21"/>
          <w:lang w:eastAsia="hi-IN" w:bidi="en-GB"/>
        </w:rPr>
        <w:t>vŕ̥</w:t>
      </w:r>
      <w:r>
        <w:rPr>
          <w:rFonts w:eastAsia="MS Mincho;ＭＳ 明朝" w:cs="Times Ext Roman"/>
          <w:i/>
          <w:iCs/>
          <w:szCs w:val="21"/>
          <w:lang w:eastAsia="hi-IN" w:bidi="en-GB"/>
        </w:rPr>
        <w:t>ṣṭ</w:t>
      </w:r>
      <w:r>
        <w:rPr>
          <w:rFonts w:eastAsia="MS Mincho;ＭＳ 明朝" w:cs="Times Ext Roman"/>
          <w:i/>
          <w:iCs/>
          <w:szCs w:val="21"/>
          <w:lang w:eastAsia="hi-IN" w:bidi="en-GB"/>
        </w:rPr>
        <w:t>i-:</w:t>
      </w:r>
    </w:p>
    <w:p w14:paraId="3B7F1327" w14:textId="77777777" w:rsidR="00E53EB6" w:rsidRDefault="006500F5">
      <w:pPr>
        <w:pStyle w:val="Zitat"/>
      </w:pPr>
      <w:r>
        <w:rPr>
          <w:rFonts w:eastAsia="MS Mincho;ＭＳ 明朝"/>
          <w:lang w:eastAsia="hi-IN"/>
        </w:rPr>
        <w:t xml:space="preserve">MS 4.1.10 </w:t>
      </w:r>
      <w:r>
        <w:rPr>
          <w:rFonts w:eastAsia="MS Mincho;ＭＳ 明朝"/>
          <w:i/>
          <w:iCs/>
          <w:lang w:eastAsia="hi-IN"/>
        </w:rPr>
        <w:t>óśadhīnām áhim̐sāyaia vrajá</w:t>
      </w:r>
      <w:r>
        <w:rPr>
          <w:rFonts w:eastAsia="MS Mincho;ＭＳ 明朝"/>
          <w:i/>
          <w:iCs/>
          <w:lang w:eastAsia="hi-IN"/>
        </w:rPr>
        <w:t>ṃ</w:t>
      </w:r>
      <w:r>
        <w:rPr>
          <w:rFonts w:eastAsia="MS Mincho;ＭＳ 明朝"/>
          <w:i/>
          <w:iCs/>
          <w:lang w:eastAsia="hi-IN"/>
        </w:rPr>
        <w:t xml:space="preserve"> gacha </w:t>
      </w:r>
      <w:r>
        <w:rPr>
          <w:rFonts w:eastAsia="MS Mincho;ＭＳ 明朝"/>
          <w:i/>
          <w:iCs/>
          <w:lang w:eastAsia="hi-IN"/>
        </w:rPr>
        <w:t>gosthā́namíti chándām̐si vaí vrajó gosthā́naśchándām̐syevā́smai vrajá</w:t>
      </w:r>
      <w:r>
        <w:rPr>
          <w:rFonts w:eastAsia="MS Mincho;ＭＳ 明朝"/>
          <w:i/>
          <w:iCs/>
          <w:lang w:eastAsia="hi-IN"/>
        </w:rPr>
        <w:t>ṃ</w:t>
      </w:r>
      <w:r>
        <w:rPr>
          <w:rFonts w:eastAsia="MS Mincho;ＭＳ 明朝"/>
          <w:i/>
          <w:iCs/>
          <w:lang w:eastAsia="hi-IN"/>
        </w:rPr>
        <w:t xml:space="preserve"> gosthā́na</w:t>
      </w:r>
      <w:r>
        <w:rPr>
          <w:rFonts w:eastAsia="MS Mincho;ＭＳ 明朝"/>
          <w:i/>
          <w:iCs/>
          <w:lang w:eastAsia="hi-IN"/>
        </w:rPr>
        <w:t>ṃ</w:t>
      </w:r>
      <w:r>
        <w:rPr>
          <w:rFonts w:eastAsia="MS Mincho;ＭＳ 明朝"/>
          <w:i/>
          <w:iCs/>
          <w:lang w:eastAsia="hi-IN"/>
        </w:rPr>
        <w:t xml:space="preserve"> karoti vár</w:t>
      </w:r>
      <w:r>
        <w:rPr>
          <w:rFonts w:eastAsia="MS Mincho;ＭＳ 明朝"/>
          <w:i/>
          <w:iCs/>
          <w:lang w:eastAsia="hi-IN"/>
        </w:rPr>
        <w:t>ṣ</w:t>
      </w:r>
      <w:r>
        <w:rPr>
          <w:rFonts w:eastAsia="MS Mincho;ＭＳ 明朝"/>
          <w:i/>
          <w:iCs/>
          <w:lang w:eastAsia="hi-IN"/>
        </w:rPr>
        <w:t>atu te  parjányādevá vŕ̥</w:t>
      </w:r>
      <w:r>
        <w:rPr>
          <w:rFonts w:eastAsia="MS Mincho;ＭＳ 明朝"/>
          <w:i/>
          <w:iCs/>
          <w:lang w:eastAsia="hi-IN"/>
        </w:rPr>
        <w:t>ṣṭ</w:t>
      </w:r>
      <w:r>
        <w:rPr>
          <w:rFonts w:eastAsia="MS Mincho;ＭＳ 明朝"/>
          <w:i/>
          <w:iCs/>
          <w:lang w:eastAsia="hi-IN"/>
        </w:rPr>
        <w:t>im̐ vanute badhāná deva savita</w:t>
      </w:r>
      <w:r>
        <w:rPr>
          <w:rFonts w:eastAsia="MS Mincho;ＭＳ 明朝"/>
          <w:i/>
          <w:iCs/>
          <w:lang w:eastAsia="hi-IN"/>
        </w:rPr>
        <w:t>ḥ</w:t>
      </w:r>
      <w:r>
        <w:rPr>
          <w:rFonts w:eastAsia="MS Mincho;ＭＳ 明朝"/>
          <w:i/>
          <w:iCs/>
          <w:lang w:eastAsia="hi-IN"/>
        </w:rPr>
        <w:t xml:space="preserve"> śaténa pā́śai</w:t>
      </w:r>
      <w:r>
        <w:rPr>
          <w:rFonts w:eastAsia="MS Mincho;ＭＳ 明朝"/>
          <w:i/>
          <w:iCs/>
          <w:lang w:eastAsia="hi-IN"/>
        </w:rPr>
        <w:t>ḥ</w:t>
      </w:r>
      <w:r>
        <w:rPr>
          <w:rFonts w:eastAsia="MS Mincho;ＭＳ 明朝"/>
          <w:i/>
          <w:iCs/>
          <w:lang w:eastAsia="hi-IN"/>
        </w:rPr>
        <w:t xml:space="preserve"> paramásyā</w:t>
      </w:r>
      <w:r>
        <w:rPr>
          <w:rFonts w:eastAsia="MS Mincho;ＭＳ 明朝"/>
          <w:i/>
          <w:iCs/>
          <w:lang w:eastAsia="hi-IN"/>
        </w:rPr>
        <w:t>ṃ</w:t>
      </w:r>
      <w:r>
        <w:rPr>
          <w:rFonts w:eastAsia="MS Mincho;ＭＳ 明朝"/>
          <w:i/>
          <w:iCs/>
          <w:lang w:eastAsia="hi-IN"/>
        </w:rPr>
        <w:t xml:space="preserve"> parāvátī́ti</w:t>
      </w:r>
    </w:p>
    <w:p w14:paraId="150E8587" w14:textId="77777777" w:rsidR="00E53EB6" w:rsidRDefault="006500F5">
      <w:pPr>
        <w:pStyle w:val="Zitat"/>
      </w:pPr>
      <w:r>
        <w:rPr>
          <w:rFonts w:eastAsia="MS Mincho;ＭＳ 明朝"/>
          <w:lang w:eastAsia="hi-IN"/>
        </w:rPr>
        <w:t>‘For the safeness of herbs go into a fold serving as abode for cows</w:t>
      </w:r>
      <w:r>
        <w:rPr>
          <w:rFonts w:eastAsia="MS Mincho;ＭＳ 明朝"/>
          <w:lang w:eastAsia="hi-IN"/>
        </w:rPr>
        <w:t xml:space="preserve">’ he says, the metres are indeed a fold serving as abode for cows; he makes for him the metres exactly a fold serving as abode for cows ‘May it rain for you through Parjanya, o god, he </w:t>
      </w:r>
      <w:r>
        <w:rPr>
          <w:u w:val="single"/>
        </w:rPr>
        <w:t>appropriates</w:t>
      </w:r>
      <w:r>
        <w:rPr>
          <w:rFonts w:eastAsia="MS Mincho;ＭＳ 明朝"/>
          <w:lang w:eastAsia="hi-IN"/>
        </w:rPr>
        <w:t xml:space="preserve"> the rain for himself, bind, o god Savitr̥, with a hundred </w:t>
      </w:r>
      <w:r>
        <w:rPr>
          <w:rFonts w:eastAsia="MS Mincho;ＭＳ 明朝"/>
          <w:lang w:eastAsia="hi-IN"/>
        </w:rPr>
        <w:t>of chains in the remotest distance’.</w:t>
      </w:r>
    </w:p>
    <w:p w14:paraId="69255505" w14:textId="77777777" w:rsidR="00E53EB6" w:rsidRDefault="006500F5">
      <w:pPr>
        <w:pStyle w:val="HaupttextnachZitat"/>
      </w:pPr>
      <w:r>
        <w:rPr>
          <w:rFonts w:eastAsia="MS Mincho;ＭＳ 明朝" w:cs="Times Ext Roman"/>
          <w:szCs w:val="21"/>
          <w:lang w:eastAsia="hi-IN" w:bidi="en-GB"/>
        </w:rPr>
        <w:t xml:space="preserve">We will find the rain again in the next groups, but we can already notice that neither the rain nor the power are objects one can actually possess, but rather be granted of, and the preceding </w:t>
      </w:r>
      <w:r>
        <w:rPr>
          <w:rFonts w:eastAsia="MS Mincho;ＭＳ 明朝" w:cs="Times Ext Roman"/>
          <w:i/>
          <w:iCs/>
          <w:szCs w:val="21"/>
          <w:lang w:eastAsia="hi-IN" w:bidi="en-GB"/>
        </w:rPr>
        <w:t xml:space="preserve">mantra </w:t>
      </w:r>
      <w:r>
        <w:rPr>
          <w:rFonts w:eastAsia="MS Mincho;ＭＳ 明朝" w:cs="Times Ext Roman"/>
          <w:szCs w:val="21"/>
          <w:lang w:eastAsia="hi-IN" w:bidi="en-GB"/>
        </w:rPr>
        <w:lastRenderedPageBreak/>
        <w:t xml:space="preserve">indeed says </w:t>
      </w:r>
      <w:r>
        <w:rPr>
          <w:rFonts w:eastAsia="MS Mincho;ＭＳ 明朝" w:cs="Times Ext Roman"/>
          <w:i/>
          <w:iCs/>
          <w:szCs w:val="21"/>
          <w:lang w:eastAsia="hi-IN" w:bidi="en-GB"/>
        </w:rPr>
        <w:t>vár</w:t>
      </w:r>
      <w:r>
        <w:rPr>
          <w:rFonts w:eastAsia="MS Mincho;ＭＳ 明朝" w:cs="Times Ext Roman"/>
          <w:i/>
          <w:iCs/>
          <w:szCs w:val="21"/>
          <w:lang w:eastAsia="hi-IN" w:bidi="en-GB"/>
        </w:rPr>
        <w:t>ṣ</w:t>
      </w:r>
      <w:r>
        <w:rPr>
          <w:rFonts w:eastAsia="MS Mincho;ＭＳ 明朝" w:cs="Times Ext Roman"/>
          <w:i/>
          <w:iCs/>
          <w:szCs w:val="21"/>
          <w:lang w:eastAsia="hi-IN" w:bidi="en-GB"/>
        </w:rPr>
        <w:t xml:space="preserve">atu </w:t>
      </w:r>
      <w:r>
        <w:rPr>
          <w:rFonts w:eastAsia="MS Mincho;ＭＳ 明朝" w:cs="Times Ext Roman"/>
          <w:i/>
          <w:iCs/>
          <w:szCs w:val="21"/>
          <w:lang w:eastAsia="hi-IN" w:bidi="en-GB"/>
        </w:rPr>
        <w:t xml:space="preserve">te  parjányā: </w:t>
      </w:r>
      <w:r>
        <w:rPr>
          <w:rFonts w:eastAsia="MS Mincho;ＭＳ 明朝" w:cs="Times Ext Roman"/>
          <w:szCs w:val="21"/>
          <w:lang w:eastAsia="hi-IN" w:bidi="en-GB"/>
        </w:rPr>
        <w:t xml:space="preserve">may it rain for you </w:t>
      </w:r>
      <w:r>
        <w:rPr>
          <w:rFonts w:eastAsia="MS Mincho;ＭＳ 明朝" w:cs="Times Ext Roman"/>
          <w:i/>
          <w:iCs/>
          <w:szCs w:val="21"/>
          <w:lang w:eastAsia="hi-IN" w:bidi="en-GB"/>
        </w:rPr>
        <w:t xml:space="preserve">through </w:t>
      </w:r>
      <w:r>
        <w:rPr>
          <w:rFonts w:eastAsia="MS Mincho;ＭＳ 明朝" w:cs="Times Ext Roman"/>
          <w:szCs w:val="21"/>
          <w:lang w:eastAsia="hi-IN" w:bidi="en-GB"/>
        </w:rPr>
        <w:t xml:space="preserve">Parjanya, which is the rain-cloud, but also the god of the rain. Elsewhere another kind of power is the object of </w:t>
      </w:r>
      <w:r>
        <w:rPr>
          <w:rFonts w:eastAsia="MS Mincho;ＭＳ 明朝" w:cs="Times Ext Roman"/>
          <w:i/>
          <w:iCs/>
          <w:szCs w:val="21"/>
          <w:lang w:eastAsia="hi-IN" w:bidi="en-GB"/>
        </w:rPr>
        <w:t xml:space="preserve">van-, </w:t>
      </w:r>
      <w:r>
        <w:rPr>
          <w:rFonts w:eastAsia="MS Mincho;ＭＳ 明朝" w:cs="Times Ext Roman"/>
          <w:szCs w:val="21"/>
          <w:lang w:eastAsia="hi-IN" w:bidi="en-GB"/>
        </w:rPr>
        <w:t>namely in</w:t>
      </w:r>
      <w:r>
        <w:rPr>
          <w:rFonts w:eastAsia="CharisSIL" w:cs="CharisSIL"/>
          <w:color w:val="000000"/>
          <w:szCs w:val="21"/>
          <w:lang w:eastAsia="hi-IN" w:bidi="en-GB"/>
        </w:rPr>
        <w:t xml:space="preserve"> TB 2.4.3.4, the object is the </w:t>
      </w:r>
      <w:r>
        <w:rPr>
          <w:rFonts w:eastAsia="CharisSIL" w:cs="CharisSIL"/>
          <w:i/>
          <w:iCs/>
          <w:color w:val="000000"/>
          <w:szCs w:val="21"/>
          <w:lang w:eastAsia="hi-IN" w:bidi="en-GB"/>
        </w:rPr>
        <w:t xml:space="preserve">tapas-, </w:t>
      </w:r>
      <w:r>
        <w:rPr>
          <w:rFonts w:eastAsia="CharisSIL" w:cs="CharisSIL"/>
          <w:color w:val="000000"/>
          <w:szCs w:val="21"/>
          <w:lang w:eastAsia="hi-IN" w:bidi="en-GB"/>
        </w:rPr>
        <w:t xml:space="preserve">the ascetic power.  </w:t>
      </w:r>
    </w:p>
    <w:p w14:paraId="583B9DDF" w14:textId="77777777" w:rsidR="00E53EB6" w:rsidRDefault="006500F5">
      <w:pPr>
        <w:pStyle w:val="HaupttextohneEinzug"/>
      </w:pPr>
      <w:r>
        <w:rPr>
          <w:rFonts w:eastAsia="CharisSIL" w:cs="CharisSIL"/>
          <w:color w:val="000000"/>
          <w:szCs w:val="21"/>
          <w:lang w:eastAsia="hi-IN" w:bidi="en-GB"/>
        </w:rPr>
        <w:t>Two</w:t>
      </w:r>
      <w:r>
        <w:rPr>
          <w:rFonts w:eastAsia="MS Mincho;ＭＳ 明朝" w:cs="Times Ext Roman"/>
          <w:szCs w:val="21"/>
          <w:lang w:eastAsia="hi-IN" w:bidi="en-GB"/>
        </w:rPr>
        <w:t xml:space="preserve"> times </w:t>
      </w:r>
      <w:r>
        <w:rPr>
          <w:rFonts w:eastAsia="MS Mincho;ＭＳ 明朝" w:cs="Times Ext Roman"/>
          <w:i/>
          <w:iCs/>
          <w:szCs w:val="21"/>
          <w:lang w:eastAsia="hi-IN" w:bidi="en-GB"/>
        </w:rPr>
        <w:t>van-</w:t>
      </w:r>
      <w:r>
        <w:rPr>
          <w:rFonts w:eastAsia="MS Mincho;ＭＳ 明朝" w:cs="Times Ext Roman"/>
          <w:szCs w:val="21"/>
          <w:lang w:eastAsia="hi-IN" w:bidi="en-GB"/>
        </w:rPr>
        <w:t xml:space="preserve"> is deployed to express just the idea of a passage between men and gods: the god </w:t>
      </w:r>
      <w:r>
        <w:rPr>
          <w:rFonts w:eastAsia="MS Mincho;ＭＳ 明朝" w:cs="Times Ext Roman"/>
          <w:i/>
          <w:iCs/>
          <w:szCs w:val="21"/>
          <w:lang w:eastAsia="hi-IN" w:bidi="en-GB"/>
        </w:rPr>
        <w:t>van-</w:t>
      </w:r>
      <w:r>
        <w:rPr>
          <w:rFonts w:eastAsia="MS Mincho;ＭＳ 明朝" w:cs="Times Ext Roman"/>
          <w:szCs w:val="21"/>
          <w:lang w:eastAsia="hi-IN" w:bidi="en-GB"/>
        </w:rPr>
        <w:t xml:space="preserve"> for the men and Agni stands in the middle representing the messenger, the </w:t>
      </w:r>
      <w:r>
        <w:rPr>
          <w:rFonts w:eastAsia="MS Mincho;ＭＳ 明朝" w:cs="Times Ext Roman"/>
          <w:szCs w:val="21"/>
          <w:lang w:val="fr-FR" w:eastAsia="hi-IN" w:bidi="en-GB"/>
        </w:rPr>
        <w:t>trait d’union</w:t>
      </w:r>
      <w:r>
        <w:rPr>
          <w:rFonts w:eastAsia="MS Mincho;ＭＳ 明朝" w:cs="Times Ext Roman"/>
          <w:szCs w:val="21"/>
          <w:lang w:eastAsia="hi-IN" w:bidi="en-GB"/>
        </w:rPr>
        <w:t xml:space="preserve">. Within the idea of a passage sure enough is Agni the god involved in this mutual </w:t>
      </w:r>
      <w:r>
        <w:rPr>
          <w:rFonts w:eastAsia="MS Mincho;ＭＳ 明朝" w:cs="Times Ext Roman"/>
          <w:szCs w:val="21"/>
          <w:lang w:eastAsia="hi-IN" w:bidi="en-GB"/>
        </w:rPr>
        <w:t xml:space="preserve">exchange, as in TS 2.6.9.8:  </w:t>
      </w:r>
    </w:p>
    <w:p w14:paraId="022453ED" w14:textId="77777777" w:rsidR="00E53EB6" w:rsidRDefault="006500F5">
      <w:pPr>
        <w:pStyle w:val="Zitat"/>
      </w:pPr>
      <w:r>
        <w:rPr>
          <w:rFonts w:eastAsia="MS Mincho;ＭＳ 明朝"/>
          <w:lang w:eastAsia="hi-IN"/>
        </w:rPr>
        <w:t>TS 2.6.9.8</w:t>
      </w:r>
      <w:r>
        <w:rPr>
          <w:rFonts w:eastAsia="MS Mincho;ＭＳ 明朝"/>
          <w:i/>
          <w:iCs/>
          <w:lang w:eastAsia="hi-IN"/>
        </w:rPr>
        <w:t xml:space="preserve"> t</w:t>
      </w:r>
      <w:r>
        <w:rPr>
          <w:i/>
          <w:iCs/>
          <w:lang w:eastAsia="hi-IN"/>
        </w:rPr>
        <w:t>ád agnír devó devébhyo vánate vayám agnér mā́nu</w:t>
      </w:r>
      <w:r>
        <w:rPr>
          <w:i/>
          <w:iCs/>
          <w:lang w:eastAsia="hi-IN"/>
        </w:rPr>
        <w:t>ṣ</w:t>
      </w:r>
      <w:r>
        <w:rPr>
          <w:i/>
          <w:iCs/>
          <w:lang w:eastAsia="hi-IN"/>
        </w:rPr>
        <w:t>ā íty āhāgnír devébhyo vanuté vayám manu</w:t>
      </w:r>
      <w:r>
        <w:rPr>
          <w:i/>
          <w:iCs/>
          <w:lang w:eastAsia="hi-IN"/>
        </w:rPr>
        <w:t>ṣ</w:t>
      </w:r>
      <w:r>
        <w:rPr>
          <w:i/>
          <w:iCs/>
          <w:lang w:eastAsia="hi-IN"/>
        </w:rPr>
        <w:t>yèbhya</w:t>
      </w:r>
      <w:r>
        <w:rPr>
          <w:rFonts w:eastAsia="MS Mincho;ＭＳ 明朝"/>
          <w:lang w:eastAsia="hi-IN"/>
        </w:rPr>
        <w:t xml:space="preserve"> </w:t>
      </w:r>
    </w:p>
    <w:p w14:paraId="46B44B64" w14:textId="77777777" w:rsidR="00E53EB6" w:rsidRDefault="006500F5">
      <w:pPr>
        <w:pStyle w:val="Zitat"/>
      </w:pPr>
      <w:r>
        <w:rPr>
          <w:i/>
          <w:iCs/>
          <w:lang w:eastAsia="hi-IN"/>
        </w:rPr>
        <w:t>‘</w:t>
      </w:r>
      <w:r>
        <w:rPr>
          <w:u w:val="single"/>
          <w:lang w:eastAsia="hi-IN"/>
        </w:rPr>
        <w:t>May</w:t>
      </w:r>
      <w:r>
        <w:rPr>
          <w:lang w:eastAsia="hi-IN"/>
        </w:rPr>
        <w:t xml:space="preserve"> Agni, as god, </w:t>
      </w:r>
      <w:r>
        <w:rPr>
          <w:u w:val="single"/>
          <w:lang w:eastAsia="hi-IN"/>
        </w:rPr>
        <w:t>appropriate</w:t>
      </w:r>
      <w:r>
        <w:rPr>
          <w:lang w:eastAsia="hi-IN"/>
        </w:rPr>
        <w:t xml:space="preserve"> this from gods, we, as men, from Agni.’ So he says. ‘Agni </w:t>
      </w:r>
      <w:r>
        <w:rPr>
          <w:u w:val="single"/>
          <w:lang w:eastAsia="hi-IN"/>
        </w:rPr>
        <w:t>appropriates</w:t>
      </w:r>
      <w:r>
        <w:rPr>
          <w:lang w:eastAsia="hi-IN"/>
        </w:rPr>
        <w:t xml:space="preserve"> from gods, we from men’</w:t>
      </w:r>
    </w:p>
    <w:p w14:paraId="0DBD2030" w14:textId="77777777" w:rsidR="00E53EB6" w:rsidRDefault="006500F5">
      <w:pPr>
        <w:pStyle w:val="HaupttextnachZitat"/>
      </w:pPr>
      <w:r>
        <w:rPr>
          <w:rFonts w:eastAsia="MS Mincho;ＭＳ 明朝" w:cs="Times Ext Roman"/>
          <w:szCs w:val="21"/>
          <w:lang w:eastAsia="hi-IN" w:bidi="en-GB"/>
        </w:rPr>
        <w:t xml:space="preserve">MS 4.13.9 deploys the same structure and the same content, Agni </w:t>
      </w:r>
      <w:r>
        <w:rPr>
          <w:rFonts w:eastAsia="MS Mincho;ＭＳ 明朝" w:cs="Times Ext Roman"/>
          <w:i/>
          <w:iCs/>
          <w:szCs w:val="21"/>
          <w:lang w:eastAsia="hi-IN" w:bidi="en-GB"/>
        </w:rPr>
        <w:t xml:space="preserve">van- </w:t>
      </w:r>
      <w:r>
        <w:rPr>
          <w:rFonts w:eastAsia="MS Mincho;ＭＳ 明朝" w:cs="Times Ext Roman"/>
          <w:szCs w:val="21"/>
          <w:lang w:eastAsia="hi-IN" w:bidi="en-GB"/>
        </w:rPr>
        <w:t xml:space="preserve">from the gods and the men </w:t>
      </w:r>
      <w:r>
        <w:rPr>
          <w:rFonts w:eastAsia="MS Mincho;ＭＳ 明朝" w:cs="Times Ext Roman"/>
          <w:i/>
          <w:iCs/>
          <w:szCs w:val="21"/>
          <w:lang w:eastAsia="hi-IN" w:bidi="en-GB"/>
        </w:rPr>
        <w:t xml:space="preserve">van- </w:t>
      </w:r>
      <w:r>
        <w:rPr>
          <w:rFonts w:eastAsia="MS Mincho;ＭＳ 明朝" w:cs="Times Ext Roman"/>
          <w:szCs w:val="21"/>
          <w:lang w:eastAsia="hi-IN" w:bidi="en-GB"/>
        </w:rPr>
        <w:t xml:space="preserve">from Agni. Something similar we find in </w:t>
      </w:r>
      <w:r>
        <w:rPr>
          <w:rFonts w:eastAsia="MS Mincho;ＭＳ 明朝" w:cs="Times Ext Roman"/>
          <w:color w:val="000000"/>
          <w:szCs w:val="21"/>
          <w:lang w:eastAsia="hi-IN" w:bidi="en-GB"/>
        </w:rPr>
        <w:t>KS 30.8:</w:t>
      </w:r>
    </w:p>
    <w:p w14:paraId="2B888849" w14:textId="77777777" w:rsidR="00E53EB6" w:rsidRDefault="006500F5">
      <w:pPr>
        <w:pStyle w:val="Zitat"/>
      </w:pPr>
      <w:r>
        <w:rPr>
          <w:rFonts w:eastAsia="MS Mincho;ＭＳ 明朝"/>
          <w:lang w:eastAsia="hi-IN"/>
        </w:rPr>
        <w:t xml:space="preserve"> KS 30.8 </w:t>
      </w:r>
      <w:r>
        <w:rPr>
          <w:rFonts w:eastAsia="MS Mincho;ＭＳ 明朝"/>
          <w:i/>
          <w:iCs/>
          <w:lang w:eastAsia="hi-IN"/>
        </w:rPr>
        <w:t>paśupate</w:t>
      </w:r>
      <w:r>
        <w:rPr>
          <w:rFonts w:eastAsia="MS Mincho;ＭＳ 明朝"/>
          <w:i/>
          <w:iCs/>
          <w:lang w:eastAsia="hi-IN"/>
        </w:rPr>
        <w:t>ḥ</w:t>
      </w:r>
      <w:r>
        <w:rPr>
          <w:rFonts w:eastAsia="MS Mincho;ＭＳ 明朝"/>
          <w:i/>
          <w:iCs/>
          <w:lang w:eastAsia="hi-IN"/>
        </w:rPr>
        <w:t xml:space="preserve"> paśavo virūpāssadr̥śā uta / te</w:t>
      </w:r>
      <w:r>
        <w:rPr>
          <w:rFonts w:eastAsia="MS Mincho;ＭＳ 明朝"/>
          <w:i/>
          <w:iCs/>
          <w:lang w:eastAsia="hi-IN"/>
        </w:rPr>
        <w:t>ṣ</w:t>
      </w:r>
      <w:r>
        <w:rPr>
          <w:rFonts w:eastAsia="MS Mincho;ＭＳ 明朝"/>
          <w:i/>
          <w:iCs/>
          <w:lang w:eastAsia="hi-IN"/>
        </w:rPr>
        <w:t>ā</w:t>
      </w:r>
      <w:r>
        <w:rPr>
          <w:rFonts w:eastAsia="MS Mincho;ＭＳ 明朝"/>
          <w:i/>
          <w:iCs/>
          <w:lang w:eastAsia="hi-IN"/>
        </w:rPr>
        <w:t>ṃ</w:t>
      </w:r>
      <w:r>
        <w:rPr>
          <w:rFonts w:eastAsia="MS Mincho;ＭＳ 明朝"/>
          <w:i/>
          <w:iCs/>
          <w:lang w:eastAsia="hi-IN"/>
        </w:rPr>
        <w:t xml:space="preserve"> ya</w:t>
      </w:r>
      <w:r>
        <w:rPr>
          <w:rFonts w:eastAsia="MS Mincho;ＭＳ 明朝"/>
          <w:i/>
          <w:iCs/>
          <w:lang w:eastAsia="hi-IN"/>
        </w:rPr>
        <w:t>ṃ</w:t>
      </w:r>
      <w:r>
        <w:rPr>
          <w:rFonts w:eastAsia="MS Mincho;ＭＳ 明朝"/>
          <w:i/>
          <w:iCs/>
          <w:lang w:eastAsia="hi-IN"/>
        </w:rPr>
        <w:t xml:space="preserve"> vavnire devāstam̐ svarā</w:t>
      </w:r>
      <w:r>
        <w:rPr>
          <w:rFonts w:eastAsia="MS Mincho;ＭＳ 明朝"/>
          <w:i/>
          <w:iCs/>
          <w:lang w:eastAsia="hi-IN"/>
        </w:rPr>
        <w:t>ḍ</w:t>
      </w:r>
      <w:r>
        <w:rPr>
          <w:rFonts w:eastAsia="MS Mincho;ＭＳ 明朝"/>
          <w:i/>
          <w:iCs/>
          <w:lang w:eastAsia="hi-IN"/>
        </w:rPr>
        <w:t>anumanyatām</w:t>
      </w:r>
    </w:p>
    <w:p w14:paraId="2FE130DC" w14:textId="77777777" w:rsidR="00E53EB6" w:rsidRDefault="006500F5">
      <w:pPr>
        <w:pStyle w:val="Zitat"/>
      </w:pPr>
      <w:r>
        <w:rPr>
          <w:rFonts w:eastAsia="MS Mincho;ＭＳ 明朝"/>
          <w:lang w:eastAsia="hi-IN"/>
        </w:rPr>
        <w:t>Of Paśupati are the sacrificial animals, manifold and similar; of them, what the gods</w:t>
      </w:r>
      <w:r>
        <w:rPr>
          <w:rFonts w:eastAsia="MS Mincho;ＭＳ 明朝"/>
          <w:u w:val="single"/>
          <w:lang w:eastAsia="hi-IN"/>
        </w:rPr>
        <w:t xml:space="preserve"> have appropriated</w:t>
      </w:r>
      <w:r>
        <w:rPr>
          <w:rFonts w:eastAsia="MS Mincho;ＭＳ 明朝"/>
          <w:lang w:eastAsia="hi-IN"/>
        </w:rPr>
        <w:t>, this may the self-ruler approve.</w:t>
      </w:r>
    </w:p>
    <w:p w14:paraId="6D1C47AE" w14:textId="77777777" w:rsidR="00E53EB6" w:rsidRDefault="006500F5">
      <w:pPr>
        <w:pStyle w:val="HaupttextnachZitat"/>
      </w:pPr>
      <w:r>
        <w:rPr>
          <w:rFonts w:eastAsia="MS Mincho;ＭＳ 明朝" w:cs="Times Ext Roman"/>
          <w:i/>
          <w:iCs/>
          <w:szCs w:val="21"/>
          <w:lang w:eastAsia="hi-IN" w:bidi="en-GB"/>
        </w:rPr>
        <w:t>Svarā́j</w:t>
      </w:r>
      <w:r>
        <w:rPr>
          <w:rFonts w:eastAsia="MS Mincho;ＭＳ 明朝" w:cs="Times Ext Roman"/>
          <w:szCs w:val="21"/>
          <w:lang w:eastAsia="hi-IN" w:bidi="en-GB"/>
        </w:rPr>
        <w:t xml:space="preserve">- is the subject of the verb </w:t>
      </w:r>
      <w:r>
        <w:rPr>
          <w:rFonts w:eastAsia="MS Mincho;ＭＳ 明朝" w:cs="Times Ext Roman"/>
          <w:i/>
          <w:iCs/>
          <w:szCs w:val="21"/>
          <w:lang w:eastAsia="hi-IN" w:bidi="en-GB"/>
        </w:rPr>
        <w:t>anumanyatām</w:t>
      </w:r>
      <w:r>
        <w:rPr>
          <w:rFonts w:eastAsia="MS Mincho;ＭＳ 明朝" w:cs="Times Ext Roman"/>
          <w:szCs w:val="21"/>
          <w:lang w:eastAsia="hi-IN" w:bidi="en-GB"/>
        </w:rPr>
        <w:t xml:space="preserve"> and is an epithet of Agni who is also Lord of the animals; in the same passage, in TS 3.1.4.1b, Agni is just the subject and the same verb is used (</w:t>
      </w:r>
      <w:r>
        <w:rPr>
          <w:rFonts w:eastAsia="MS Mincho;ＭＳ 明朝" w:cs="Times Ext Roman"/>
          <w:i/>
          <w:iCs/>
          <w:szCs w:val="21"/>
          <w:lang w:eastAsia="hi-IN" w:bidi="en-GB"/>
        </w:rPr>
        <w:t>ánu manyasva</w:t>
      </w:r>
      <w:r>
        <w:rPr>
          <w:rFonts w:eastAsia="MS Mincho;ＭＳ 明朝" w:cs="Times Ext Roman"/>
          <w:szCs w:val="21"/>
          <w:lang w:eastAsia="hi-IN" w:bidi="en-GB"/>
        </w:rPr>
        <w:t xml:space="preserve">).  According to TS what Agni should approve is the sacrificial action itself performed by the </w:t>
      </w:r>
      <w:r>
        <w:rPr>
          <w:rFonts w:eastAsia="MS Mincho;ＭＳ 明朝" w:cs="Times Ext Roman"/>
          <w:szCs w:val="21"/>
          <w:lang w:eastAsia="hi-IN" w:bidi="en-GB"/>
        </w:rPr>
        <w:t>priests. Though the syntax</w:t>
      </w:r>
      <w:r>
        <w:rPr>
          <w:rStyle w:val="FootnoteAnchor"/>
          <w:rFonts w:eastAsia="MS Mincho;ＭＳ 明朝" w:cs="Times Ext Roman"/>
          <w:szCs w:val="21"/>
          <w:lang w:eastAsia="hi-IN" w:bidi="en-GB"/>
        </w:rPr>
        <w:footnoteReference w:id="417"/>
      </w:r>
      <w:r>
        <w:rPr>
          <w:rFonts w:eastAsia="MS Mincho;ＭＳ 明朝" w:cs="Times Ext Roman"/>
          <w:szCs w:val="21"/>
          <w:lang w:eastAsia="hi-IN" w:bidi="en-GB"/>
        </w:rPr>
        <w:t xml:space="preserve"> of the </w:t>
      </w:r>
      <w:r>
        <w:rPr>
          <w:rFonts w:eastAsia="MS Mincho;ＭＳ 明朝" w:cs="Times Ext Roman"/>
          <w:i/>
          <w:iCs/>
          <w:szCs w:val="21"/>
          <w:lang w:eastAsia="hi-IN" w:bidi="en-GB"/>
        </w:rPr>
        <w:t xml:space="preserve">mantra </w:t>
      </w:r>
      <w:r>
        <w:rPr>
          <w:rFonts w:eastAsia="MS Mincho;ＭＳ 明朝" w:cs="Times Ext Roman"/>
          <w:szCs w:val="21"/>
          <w:lang w:eastAsia="hi-IN" w:bidi="en-GB"/>
        </w:rPr>
        <w:t xml:space="preserve">is not to be interpreted univocally, here again we see an exchange between the gods and Agni with regard to the sacrifice. </w:t>
      </w:r>
      <w:r>
        <w:rPr>
          <w:rFonts w:eastAsia="MS Mincho;ＭＳ 明朝" w:cs="Times Ext Roman"/>
          <w:szCs w:val="21"/>
          <w:lang w:eastAsia="hi-IN" w:bidi="en-GB"/>
        </w:rPr>
        <w:t>This is a structure we have already mentioned in the functional analysis of the nuclear me</w:t>
      </w:r>
      <w:r>
        <w:rPr>
          <w:rFonts w:eastAsia="MS Mincho;ＭＳ 明朝" w:cs="Times Ext Roman"/>
          <w:szCs w:val="21"/>
          <w:lang w:eastAsia="hi-IN" w:bidi="en-GB"/>
        </w:rPr>
        <w:t xml:space="preserve">aning of the </w:t>
      </w:r>
      <w:r>
        <w:rPr>
          <w:rFonts w:eastAsia="MS Mincho;ＭＳ 明朝" w:cs="Times Ext Roman"/>
          <w:i/>
          <w:iCs/>
          <w:szCs w:val="21"/>
          <w:lang w:eastAsia="hi-IN" w:bidi="en-GB"/>
        </w:rPr>
        <w:t>R̥gveda Sa</w:t>
      </w:r>
      <w:r>
        <w:rPr>
          <w:rFonts w:eastAsia="MS Mincho;ＭＳ 明朝" w:cs="Times Ext Roman"/>
          <w:i/>
          <w:iCs/>
          <w:szCs w:val="21"/>
          <w:lang w:eastAsia="hi-IN" w:bidi="en-GB"/>
        </w:rPr>
        <w:t>ṃ</w:t>
      </w:r>
      <w:r>
        <w:rPr>
          <w:rFonts w:eastAsia="MS Mincho;ＭＳ 明朝" w:cs="Times Ext Roman"/>
          <w:i/>
          <w:iCs/>
          <w:szCs w:val="21"/>
          <w:lang w:eastAsia="hi-IN" w:bidi="en-GB"/>
        </w:rPr>
        <w:t xml:space="preserve">hitā </w:t>
      </w:r>
      <w:r>
        <w:rPr>
          <w:rFonts w:eastAsia="MS Mincho;ＭＳ 明朝" w:cs="Times Ext Roman"/>
          <w:szCs w:val="21"/>
          <w:lang w:eastAsia="hi-IN" w:bidi="en-GB"/>
        </w:rPr>
        <w:t>and</w:t>
      </w:r>
      <w:r>
        <w:rPr>
          <w:rFonts w:eastAsia="MS Mincho;ＭＳ 明朝" w:cs="Times Ext Roman"/>
          <w:szCs w:val="21"/>
          <w:lang w:eastAsia="hi-IN" w:bidi="en-GB"/>
        </w:rPr>
        <w:t xml:space="preserve"> the same one seems to spread within the non-R̥gvedic </w:t>
      </w:r>
      <w:r>
        <w:rPr>
          <w:rFonts w:eastAsia="MS Mincho;ＭＳ 明朝" w:cs="Times Ext Roman"/>
          <w:i/>
          <w:iCs/>
          <w:szCs w:val="21"/>
          <w:lang w:eastAsia="hi-IN" w:bidi="en-GB"/>
        </w:rPr>
        <w:t>mantra</w:t>
      </w:r>
      <w:r>
        <w:rPr>
          <w:rFonts w:eastAsia="MS Mincho;ＭＳ 明朝" w:cs="Times Ext Roman"/>
          <w:szCs w:val="21"/>
          <w:lang w:eastAsia="hi-IN" w:bidi="en-GB"/>
        </w:rPr>
        <w:t>s; furthermore, we will find it again in the Brāhma</w:t>
      </w:r>
      <w:r>
        <w:rPr>
          <w:rFonts w:eastAsia="MS Mincho;ＭＳ 明朝" w:cs="Times Ext Roman"/>
          <w:szCs w:val="21"/>
          <w:lang w:eastAsia="hi-IN" w:bidi="en-GB"/>
        </w:rPr>
        <w:t>ṇ</w:t>
      </w:r>
      <w:r>
        <w:rPr>
          <w:rFonts w:eastAsia="MS Mincho;ＭＳ 明朝" w:cs="Times Ext Roman"/>
          <w:szCs w:val="21"/>
          <w:lang w:eastAsia="hi-IN" w:bidi="en-GB"/>
        </w:rPr>
        <w:t>a-prose (cf. TB 3.5.10.5 and ŚB 3.8.2.22).</w:t>
      </w:r>
    </w:p>
    <w:p w14:paraId="70F6BD4B" w14:textId="77777777" w:rsidR="00E53EB6" w:rsidRDefault="006500F5">
      <w:pPr>
        <w:pStyle w:val="HaupttextohneEinzug"/>
      </w:pPr>
      <w:r>
        <w:rPr>
          <w:rFonts w:eastAsia="MS Mincho;ＭＳ 明朝" w:cs="Times Ext Roman"/>
          <w:szCs w:val="21"/>
          <w:lang w:eastAsia="hi-IN" w:bidi="en-GB"/>
        </w:rPr>
        <w:t xml:space="preserve">Elsewhere, the verb is employed </w:t>
      </w:r>
      <w:r>
        <w:rPr>
          <w:rFonts w:eastAsia="CharisSIL" w:cs="CharisSIL"/>
          <w:color w:val="000000"/>
          <w:szCs w:val="21"/>
          <w:lang w:eastAsia="hi-IN" w:bidi="en-GB"/>
        </w:rPr>
        <w:t xml:space="preserve">without an object, namely </w:t>
      </w:r>
      <w:r>
        <w:rPr>
          <w:rFonts w:eastAsia="MS Mincho;ＭＳ 明朝" w:cs="Times Ext Roman"/>
          <w:szCs w:val="21"/>
          <w:lang w:eastAsia="hi-IN" w:bidi="en-GB"/>
        </w:rPr>
        <w:t xml:space="preserve">in one </w:t>
      </w:r>
      <w:r>
        <w:rPr>
          <w:rFonts w:eastAsia="MS Mincho;ＭＳ 明朝" w:cs="Times Ext Roman"/>
          <w:i/>
          <w:iCs/>
          <w:szCs w:val="21"/>
          <w:lang w:eastAsia="hi-IN" w:bidi="en-GB"/>
        </w:rPr>
        <w:t>mant</w:t>
      </w:r>
      <w:r>
        <w:rPr>
          <w:rFonts w:eastAsia="MS Mincho;ＭＳ 明朝" w:cs="Times Ext Roman"/>
          <w:i/>
          <w:iCs/>
          <w:szCs w:val="21"/>
          <w:lang w:eastAsia="hi-IN" w:bidi="en-GB"/>
        </w:rPr>
        <w:t>ra</w:t>
      </w:r>
      <w:r>
        <w:rPr>
          <w:rFonts w:eastAsia="CharisSIL" w:cs="CharisSIL"/>
          <w:color w:val="000000"/>
          <w:szCs w:val="21"/>
          <w:lang w:eastAsia="hi-IN" w:bidi="en-GB"/>
        </w:rPr>
        <w:t xml:space="preserve"> that is to be found two times, in TS 1.6.4.2; .3 and TS 3.2.7.1, and this case has already been discussed above within the development of the ritual meaning (cf. §III.3.1).</w:t>
      </w:r>
    </w:p>
    <w:p w14:paraId="44C8D36B" w14:textId="77777777" w:rsidR="00E53EB6" w:rsidRDefault="006500F5">
      <w:pPr>
        <w:pStyle w:val="HaupttextohneEinzug"/>
        <w:tabs>
          <w:tab w:val="left" w:pos="4800"/>
        </w:tabs>
        <w:rPr>
          <w:rFonts w:eastAsia="MS Mincho;ＭＳ 明朝" w:cs="Times Ext Roman"/>
          <w:i/>
          <w:iCs/>
          <w:szCs w:val="21"/>
          <w:lang w:eastAsia="hi-IN" w:bidi="en-GB"/>
        </w:rPr>
      </w:pPr>
      <w:r>
        <w:rPr>
          <w:rFonts w:eastAsia="MS Mincho;ＭＳ 明朝" w:cs="Times Ext Roman"/>
          <w:szCs w:val="21"/>
          <w:lang w:eastAsia="hi-IN" w:bidi="en-GB"/>
        </w:rPr>
        <w:t xml:space="preserve">Finally, KS 13.16 and TS 2.4.5.1 deploy exactly the same </w:t>
      </w:r>
      <w:r>
        <w:rPr>
          <w:rFonts w:eastAsia="MS Mincho;ＭＳ 明朝" w:cs="Times Ext Roman"/>
          <w:i/>
          <w:iCs/>
          <w:szCs w:val="21"/>
          <w:lang w:eastAsia="hi-IN" w:bidi="en-GB"/>
        </w:rPr>
        <w:t xml:space="preserve">mantra: </w:t>
      </w:r>
    </w:p>
    <w:p w14:paraId="67637C5F" w14:textId="77777777" w:rsidR="00E53EB6" w:rsidRDefault="006500F5">
      <w:pPr>
        <w:pStyle w:val="Zitat"/>
        <w:rPr>
          <w:i/>
          <w:iCs/>
        </w:rPr>
      </w:pPr>
      <w:r>
        <w:rPr>
          <w:i/>
          <w:iCs/>
        </w:rPr>
        <w:t xml:space="preserve">dhātā́ </w:t>
      </w:r>
      <w:r>
        <w:rPr>
          <w:i/>
          <w:iCs/>
        </w:rPr>
        <w:t>dadātu no rayím ī́śāno jágatas páti</w:t>
      </w:r>
      <w:r>
        <w:rPr>
          <w:i/>
          <w:iCs/>
        </w:rPr>
        <w:t>ḥ</w:t>
      </w:r>
      <w:r>
        <w:rPr>
          <w:i/>
          <w:iCs/>
        </w:rPr>
        <w:t xml:space="preserve"> / sá na</w:t>
      </w:r>
      <w:r>
        <w:rPr>
          <w:i/>
          <w:iCs/>
        </w:rPr>
        <w:t>ḥ</w:t>
      </w:r>
      <w:r>
        <w:rPr>
          <w:i/>
          <w:iCs/>
        </w:rPr>
        <w:t xml:space="preserve"> pūr</w:t>
      </w:r>
      <w:r>
        <w:rPr>
          <w:i/>
          <w:iCs/>
        </w:rPr>
        <w:t>ṇ</w:t>
      </w:r>
      <w:r>
        <w:rPr>
          <w:i/>
          <w:iCs/>
        </w:rPr>
        <w:t>éna vāvanat</w:t>
      </w:r>
    </w:p>
    <w:p w14:paraId="6EA733CE" w14:textId="77777777" w:rsidR="00E53EB6" w:rsidRDefault="006500F5">
      <w:pPr>
        <w:pStyle w:val="Zitat"/>
      </w:pPr>
      <w:r>
        <w:rPr>
          <w:lang w:eastAsia="hi-IN"/>
        </w:rPr>
        <w:t>May Dhātr</w:t>
      </w:r>
      <w:r>
        <w:rPr>
          <w:rFonts w:cs="Devanagari MT;Times New Roman"/>
          <w:lang w:eastAsia="hi-IN"/>
        </w:rPr>
        <w:t>̥</w:t>
      </w:r>
      <w:r>
        <w:rPr>
          <w:lang w:eastAsia="hi-IN"/>
        </w:rPr>
        <w:t xml:space="preserve"> give us wealth, the Lord, the father of the living, may he have </w:t>
      </w:r>
      <w:r>
        <w:rPr>
          <w:u w:val="single"/>
          <w:lang w:eastAsia="hi-IN"/>
        </w:rPr>
        <w:t>appropriated</w:t>
      </w:r>
      <w:r>
        <w:rPr>
          <w:lang w:eastAsia="hi-IN"/>
        </w:rPr>
        <w:t xml:space="preserve"> us completely.</w:t>
      </w:r>
      <w:r>
        <w:rPr>
          <w:rFonts w:eastAsia="MS Mincho;ＭＳ 明朝"/>
          <w:lang w:eastAsia="hi-IN"/>
        </w:rPr>
        <w:t xml:space="preserve"> </w:t>
      </w:r>
    </w:p>
    <w:p w14:paraId="1F7B6A3D" w14:textId="77777777" w:rsidR="00E53EB6" w:rsidRDefault="006500F5">
      <w:pPr>
        <w:pStyle w:val="HaupttextnachZitat"/>
      </w:pPr>
      <w:r>
        <w:rPr>
          <w:rFonts w:eastAsia="Arial"/>
        </w:rPr>
        <w:t xml:space="preserve">The subject is the god Dhatr̥ who appropriates the men. This is the </w:t>
      </w:r>
      <w:r>
        <w:rPr>
          <w:rFonts w:eastAsia="Arial"/>
        </w:rPr>
        <w:t xml:space="preserve">only occurrence where </w:t>
      </w:r>
      <w:r>
        <w:rPr>
          <w:rFonts w:eastAsia="Arial"/>
        </w:rPr>
        <w:t xml:space="preserve">such a use of the verb is to be found, and </w:t>
      </w:r>
      <w:r>
        <w:rPr>
          <w:rStyle w:val="biblio-authorGEN"/>
          <w:rFonts w:eastAsia="Arial"/>
        </w:rPr>
        <w:t>Keith</w:t>
      </w:r>
      <w:r>
        <w:rPr>
          <w:rFonts w:eastAsia="Arial"/>
        </w:rPr>
        <w:t xml:space="preserve"> (1914: 179) translates it with “to favour”: </w:t>
      </w:r>
      <w:r>
        <w:rPr>
          <w:rFonts w:eastAsia="Arial"/>
        </w:rPr>
        <w:t>“may he favour us with a (full) gift”. Indeed, what seems to be conveyed here is the idea of sharing, of making us partake in something good or to appropriate us c</w:t>
      </w:r>
      <w:r>
        <w:rPr>
          <w:rFonts w:eastAsia="Arial"/>
        </w:rPr>
        <w:t xml:space="preserve">ompletely: in the corresponding passage in AVŚ 7.17.1 </w:t>
      </w:r>
      <w:r>
        <w:rPr>
          <w:rFonts w:eastAsia="Arial"/>
          <w:i/>
          <w:iCs/>
        </w:rPr>
        <w:t>vāvanat</w:t>
      </w:r>
      <w:r>
        <w:rPr>
          <w:rFonts w:eastAsia="Arial"/>
        </w:rPr>
        <w:t xml:space="preserve"> </w:t>
      </w:r>
      <w:r>
        <w:rPr>
          <w:rFonts w:eastAsia="Arial"/>
        </w:rPr>
        <w:t xml:space="preserve">is indeed substituted with </w:t>
      </w:r>
      <w:r>
        <w:rPr>
          <w:rFonts w:eastAsia="Arial"/>
          <w:i/>
          <w:iCs/>
        </w:rPr>
        <w:t>yachatu</w:t>
      </w:r>
      <w:r>
        <w:rPr>
          <w:rFonts w:eastAsia="Arial"/>
        </w:rPr>
        <w:t xml:space="preserve"> </w:t>
      </w:r>
      <w:r>
        <w:rPr>
          <w:rFonts w:eastAsia="Arial"/>
        </w:rPr>
        <w:t xml:space="preserve">“to grant”. This semantic shift </w:t>
      </w:r>
      <w:r>
        <w:rPr>
          <w:rFonts w:eastAsia="Arial"/>
        </w:rPr>
        <w:lastRenderedPageBreak/>
        <w:t>should not be puzzling, if we read it as a further development of the idea of passage, or in other words the action of appropri</w:t>
      </w:r>
      <w:r>
        <w:rPr>
          <w:rFonts w:eastAsia="Arial"/>
        </w:rPr>
        <w:t xml:space="preserve">ating something for someone else. Moreover, the verb </w:t>
      </w:r>
      <w:r>
        <w:rPr>
          <w:rFonts w:eastAsia="Arial"/>
          <w:i/>
          <w:iCs/>
        </w:rPr>
        <w:t>van- / van</w:t>
      </w:r>
      <w:r>
        <w:rPr>
          <w:rFonts w:eastAsia="Arial"/>
          <w:i/>
          <w:iCs/>
          <w:vertAlign w:val="superscript"/>
        </w:rPr>
        <w:t>i</w:t>
      </w:r>
      <w:r>
        <w:rPr>
          <w:rFonts w:eastAsia="Arial"/>
          <w:i/>
          <w:iCs/>
        </w:rPr>
        <w:t>-</w:t>
      </w:r>
      <w:r>
        <w:rPr>
          <w:rFonts w:eastAsia="Arial"/>
        </w:rPr>
        <w:t xml:space="preserve"> is often glossed with “to share” or “to grant”.</w:t>
      </w:r>
    </w:p>
    <w:p w14:paraId="5CA75823" w14:textId="77777777" w:rsidR="00E53EB6" w:rsidRDefault="006500F5">
      <w:pPr>
        <w:pStyle w:val="Hauptext"/>
      </w:pPr>
      <w:r>
        <w:rPr>
          <w:rFonts w:eastAsia="CharisSIL" w:cs="CharisSIL"/>
          <w:color w:val="000000"/>
        </w:rPr>
        <w:t>At the level of the Brāhma</w:t>
      </w:r>
      <w:r>
        <w:rPr>
          <w:rFonts w:eastAsia="CharisSIL" w:cs="CharisSIL"/>
          <w:color w:val="000000"/>
        </w:rPr>
        <w:t>ṇ</w:t>
      </w:r>
      <w:r>
        <w:rPr>
          <w:rFonts w:eastAsia="CharisSIL" w:cs="CharisSIL"/>
          <w:color w:val="000000"/>
        </w:rPr>
        <w:t>a-</w:t>
      </w:r>
      <w:r>
        <w:rPr>
          <w:rFonts w:eastAsia="CharisSIL" w:cs="CharisSIL"/>
          <w:i/>
          <w:iCs/>
          <w:color w:val="000000"/>
        </w:rPr>
        <w:t>mantra</w:t>
      </w:r>
      <w:r>
        <w:rPr>
          <w:rFonts w:eastAsia="CharisSIL" w:cs="CharisSIL"/>
          <w:color w:val="000000"/>
        </w:rPr>
        <w:t xml:space="preserve"> there are</w:t>
      </w:r>
      <w:r>
        <w:rPr>
          <w:rFonts w:eastAsia="CharisSIL" w:cs="CharisSIL"/>
          <w:color w:val="000000"/>
        </w:rPr>
        <w:t xml:space="preserve"> only 4 non-R̥V </w:t>
      </w:r>
      <w:r>
        <w:rPr>
          <w:rFonts w:eastAsia="CharisSIL" w:cs="CharisSIL"/>
          <w:i/>
          <w:iCs/>
          <w:color w:val="000000"/>
        </w:rPr>
        <w:t>mantra</w:t>
      </w:r>
      <w:r>
        <w:rPr>
          <w:rFonts w:eastAsia="CharisSIL" w:cs="CharisSIL"/>
          <w:color w:val="000000"/>
        </w:rPr>
        <w:t xml:space="preserve">s. In TB 2.4.3.4, the object is the </w:t>
      </w:r>
      <w:r>
        <w:rPr>
          <w:rFonts w:eastAsia="CharisSIL" w:cs="CharisSIL"/>
          <w:i/>
          <w:iCs/>
          <w:color w:val="000000"/>
        </w:rPr>
        <w:t xml:space="preserve">tapas-, </w:t>
      </w:r>
      <w:r>
        <w:rPr>
          <w:rFonts w:eastAsia="CharisSIL" w:cs="CharisSIL"/>
          <w:color w:val="000000"/>
        </w:rPr>
        <w:t xml:space="preserve">the ascetic power, while TB </w:t>
      </w:r>
      <w:r>
        <w:rPr>
          <w:rFonts w:eastAsia="CharisSIL" w:cs="CharisSIL"/>
          <w:color w:val="000000"/>
        </w:rPr>
        <w:t>3.5.10.5 and ŚB 1.9.1.19</w:t>
      </w:r>
      <w:r>
        <w:rPr>
          <w:rFonts w:eastAsia="CharisSIL" w:cs="CharisSIL"/>
          <w:color w:val="000000"/>
          <w:szCs w:val="21"/>
        </w:rPr>
        <w:t xml:space="preserve"> deploy</w:t>
      </w:r>
      <w:r>
        <w:rPr>
          <w:rFonts w:eastAsia="CharisSIL" w:cs="CharisSIL"/>
          <w:color w:val="000000"/>
        </w:rPr>
        <w:t xml:space="preserve"> Agni as the means of a passage, and this is the same idea displayed in TS 2.6.9.8 and in MS 4.13.9, both presenting the same structure of</w:t>
      </w:r>
      <w:r>
        <w:rPr>
          <w:rFonts w:eastAsia="CharisSIL" w:cs="CharisSIL"/>
          <w:i/>
          <w:iCs/>
          <w:color w:val="000000"/>
        </w:rPr>
        <w:t xml:space="preserve"> mantra</w:t>
      </w:r>
      <w:r>
        <w:rPr>
          <w:rFonts w:eastAsia="CharisSIL" w:cs="CharisSIL"/>
          <w:color w:val="000000"/>
        </w:rPr>
        <w:t>s, thus suggesting that this entire segment originates in YV</w:t>
      </w:r>
      <w:r>
        <w:rPr>
          <w:rFonts w:eastAsia="CharisSIL" w:cs="CharisSIL"/>
          <w:i/>
          <w:iCs/>
          <w:color w:val="000000"/>
        </w:rPr>
        <w:t>-mantra</w:t>
      </w:r>
      <w:r>
        <w:rPr>
          <w:rFonts w:eastAsia="CharisSIL" w:cs="CharisSIL"/>
          <w:color w:val="000000"/>
        </w:rPr>
        <w:t xml:space="preserve"> Level. The l</w:t>
      </w:r>
      <w:r>
        <w:rPr>
          <w:rFonts w:eastAsia="CharisSIL" w:cs="CharisSIL"/>
          <w:color w:val="000000"/>
        </w:rPr>
        <w:t>ast occurrence of this group is ŚB 5.3.4.27</w:t>
      </w:r>
      <w:r>
        <w:rPr>
          <w:rStyle w:val="FootnoteAnchor"/>
          <w:rFonts w:eastAsia="CharisSIL" w:cs="CharisSIL"/>
          <w:color w:val="000000"/>
        </w:rPr>
        <w:footnoteReference w:id="418"/>
      </w:r>
      <w:r>
        <w:rPr>
          <w:rFonts w:eastAsia="CharisSIL" w:cs="CharisSIL"/>
          <w:color w:val="000000"/>
        </w:rPr>
        <w:t xml:space="preserve">, the “water </w:t>
      </w:r>
      <w:r>
        <w:rPr>
          <w:rFonts w:eastAsia="CharisSIL" w:cs="CharisSIL"/>
          <w:i/>
          <w:iCs/>
          <w:color w:val="000000"/>
        </w:rPr>
        <w:t>mantra</w:t>
      </w:r>
      <w:r>
        <w:rPr>
          <w:rFonts w:eastAsia="CharisSIL" w:cs="CharisSIL"/>
          <w:color w:val="000000"/>
        </w:rPr>
        <w:t xml:space="preserve">”. It is clearly connected with the same </w:t>
      </w:r>
      <w:r>
        <w:rPr>
          <w:rFonts w:eastAsia="CharisSIL" w:cs="CharisSIL"/>
          <w:i/>
          <w:iCs/>
          <w:color w:val="000000"/>
        </w:rPr>
        <w:t>mantra</w:t>
      </w:r>
      <w:r>
        <w:rPr>
          <w:rFonts w:eastAsia="CharisSIL" w:cs="CharisSIL"/>
          <w:color w:val="000000"/>
        </w:rPr>
        <w:t>s in the Sa</w:t>
      </w:r>
      <w:r>
        <w:rPr>
          <w:rFonts w:eastAsia="CharisSIL" w:cs="CharisSIL"/>
          <w:color w:val="000000"/>
        </w:rPr>
        <w:t>ṃ</w:t>
      </w:r>
      <w:r>
        <w:rPr>
          <w:rFonts w:eastAsia="CharisSIL" w:cs="CharisSIL"/>
          <w:color w:val="000000"/>
        </w:rPr>
        <w:t xml:space="preserve">hitās that we considered at the beginning of the paragraph: </w:t>
      </w:r>
      <w:r>
        <w:rPr>
          <w:rFonts w:eastAsia="MS Mincho;ＭＳ 明朝" w:cs="Times Ext Roman"/>
          <w:szCs w:val="21"/>
          <w:lang w:eastAsia="hi-IN" w:bidi="en-GB"/>
        </w:rPr>
        <w:t>MS 2.6.8; MS 4.4.2; KS 15.6; VS 10.4 and TS 1.8.12.1ab (one may take noti</w:t>
      </w:r>
      <w:r>
        <w:rPr>
          <w:rFonts w:eastAsia="MS Mincho;ＭＳ 明朝" w:cs="Times Ext Roman"/>
          <w:szCs w:val="21"/>
          <w:lang w:eastAsia="hi-IN" w:bidi="en-GB"/>
        </w:rPr>
        <w:t xml:space="preserve">ce of the fact that while the ŚB occurrence has the word </w:t>
      </w:r>
      <w:r>
        <w:rPr>
          <w:rFonts w:eastAsia="MS Mincho;ＭＳ 明朝" w:cs="Times Ext Roman"/>
          <w:i/>
          <w:iCs/>
          <w:szCs w:val="21"/>
          <w:lang w:eastAsia="hi-IN" w:bidi="en-GB"/>
        </w:rPr>
        <w:t>k</w:t>
      </w:r>
      <w:r>
        <w:rPr>
          <w:rFonts w:eastAsia="MS Mincho;ＭＳ 明朝" w:cs="Times Ext Roman"/>
          <w:i/>
          <w:iCs/>
          <w:szCs w:val="21"/>
          <w:lang w:eastAsia="hi-IN" w:bidi="en-GB"/>
        </w:rPr>
        <w:t>ṣ</w:t>
      </w:r>
      <w:r>
        <w:rPr>
          <w:rFonts w:eastAsia="MS Mincho;ＭＳ 明朝" w:cs="Times Ext Roman"/>
          <w:i/>
          <w:iCs/>
          <w:szCs w:val="21"/>
          <w:lang w:eastAsia="hi-IN" w:bidi="en-GB"/>
        </w:rPr>
        <w:t xml:space="preserve">atrá- </w:t>
      </w:r>
      <w:r>
        <w:rPr>
          <w:rFonts w:eastAsia="MS Mincho;ＭＳ 明朝" w:cs="Times Ext Roman"/>
          <w:szCs w:val="21"/>
          <w:lang w:eastAsia="hi-IN" w:bidi="en-GB"/>
        </w:rPr>
        <w:t xml:space="preserve">as object of </w:t>
      </w:r>
      <w:r>
        <w:rPr>
          <w:rFonts w:eastAsia="MS Mincho;ＭＳ 明朝" w:cs="Times Ext Roman"/>
          <w:i/>
          <w:iCs/>
          <w:szCs w:val="21"/>
          <w:lang w:eastAsia="hi-IN" w:bidi="en-GB"/>
        </w:rPr>
        <w:t>van-,</w:t>
      </w:r>
      <w:r>
        <w:rPr>
          <w:rFonts w:eastAsia="MS Mincho;ＭＳ 明朝" w:cs="Times Ext Roman"/>
          <w:szCs w:val="21"/>
          <w:lang w:eastAsia="hi-IN" w:bidi="en-GB"/>
        </w:rPr>
        <w:t xml:space="preserve"> while the cognate </w:t>
      </w:r>
      <w:r>
        <w:rPr>
          <w:rFonts w:eastAsia="MS Mincho;ＭＳ 明朝" w:cs="Times Ext Roman"/>
          <w:i/>
          <w:iCs/>
          <w:szCs w:val="21"/>
          <w:lang w:eastAsia="hi-IN" w:bidi="en-GB"/>
        </w:rPr>
        <w:t>Sa</w:t>
      </w:r>
      <w:r>
        <w:rPr>
          <w:rFonts w:eastAsia="MS Mincho;ＭＳ 明朝" w:cs="Times Ext Roman"/>
          <w:i/>
          <w:iCs/>
          <w:szCs w:val="21"/>
          <w:lang w:eastAsia="hi-IN" w:bidi="en-GB"/>
        </w:rPr>
        <w:t>ṃ</w:t>
      </w:r>
      <w:r>
        <w:rPr>
          <w:rFonts w:eastAsia="MS Mincho;ＭＳ 明朝" w:cs="Times Ext Roman"/>
          <w:i/>
          <w:iCs/>
          <w:szCs w:val="21"/>
          <w:lang w:eastAsia="hi-IN" w:bidi="en-GB"/>
        </w:rPr>
        <w:t>hitā</w:t>
      </w:r>
      <w:r>
        <w:rPr>
          <w:rFonts w:eastAsia="MS Mincho;ＭＳ 明朝" w:cs="Times Ext Roman"/>
          <w:szCs w:val="21"/>
          <w:lang w:eastAsia="hi-IN" w:bidi="en-GB"/>
        </w:rPr>
        <w:t xml:space="preserve"> reads -the only one- </w:t>
      </w:r>
      <w:r>
        <w:rPr>
          <w:rFonts w:eastAsia="MS Mincho;ＭＳ 明朝" w:cs="Times Ext Roman"/>
          <w:i/>
          <w:iCs/>
          <w:szCs w:val="21"/>
          <w:lang w:eastAsia="hi-IN" w:bidi="en-GB"/>
        </w:rPr>
        <w:t>varcas-</w:t>
      </w:r>
      <w:r>
        <w:rPr>
          <w:rFonts w:eastAsia="MS Mincho;ＭＳ 明朝" w:cs="Times Ext Roman"/>
          <w:szCs w:val="21"/>
          <w:lang w:eastAsia="hi-IN" w:bidi="en-GB"/>
        </w:rPr>
        <w:t>), all concerning, as we said, the Abhi</w:t>
      </w:r>
      <w:r>
        <w:rPr>
          <w:rFonts w:eastAsia="MS Mincho;ＭＳ 明朝" w:cs="Times Ext Roman"/>
          <w:szCs w:val="21"/>
          <w:lang w:eastAsia="hi-IN" w:bidi="en-GB"/>
        </w:rPr>
        <w:t>ṣ</w:t>
      </w:r>
      <w:r>
        <w:rPr>
          <w:rFonts w:eastAsia="MS Mincho;ＭＳ 明朝" w:cs="Times Ext Roman"/>
          <w:szCs w:val="21"/>
          <w:lang w:eastAsia="hi-IN" w:bidi="en-GB"/>
        </w:rPr>
        <w:t>eka rite and the ŚB occurrence too.</w:t>
      </w:r>
      <w:r>
        <w:rPr>
          <w:rFonts w:eastAsia="CharisSIL" w:cs="CharisSIL"/>
          <w:color w:val="000000"/>
        </w:rPr>
        <w:t xml:space="preserve"> Therefore, we can also trace it back to YV-</w:t>
      </w:r>
      <w:r>
        <w:rPr>
          <w:rFonts w:eastAsia="CharisSIL" w:cs="CharisSIL"/>
          <w:i/>
          <w:iCs/>
          <w:color w:val="000000"/>
        </w:rPr>
        <w:t>mantra</w:t>
      </w:r>
      <w:r>
        <w:rPr>
          <w:rFonts w:eastAsia="CharisSIL" w:cs="CharisSIL"/>
          <w:color w:val="000000"/>
        </w:rPr>
        <w:t xml:space="preserve"> level and include this occurrence among the considerations we speculated above.</w:t>
      </w:r>
    </w:p>
    <w:p w14:paraId="1AED167A" w14:textId="77777777" w:rsidR="00E53EB6" w:rsidRDefault="00E53EB6">
      <w:pPr>
        <w:pStyle w:val="HaupttextohneEinzug"/>
      </w:pPr>
    </w:p>
    <w:p w14:paraId="1483FF0B" w14:textId="77777777" w:rsidR="00E53EB6" w:rsidRDefault="006500F5">
      <w:pPr>
        <w:pStyle w:val="HaupttextohneEinzug"/>
        <w:numPr>
          <w:ilvl w:val="0"/>
          <w:numId w:val="9"/>
        </w:numPr>
      </w:pPr>
      <w:r>
        <w:t>Prose layers:</w:t>
      </w:r>
    </w:p>
    <w:p w14:paraId="26DC0FBB" w14:textId="77777777" w:rsidR="00E53EB6" w:rsidRDefault="006500F5">
      <w:pPr>
        <w:pStyle w:val="Hauptext"/>
      </w:pPr>
      <w:r>
        <w:rPr>
          <w:rFonts w:eastAsia="CharisSIL" w:cs="CharisSIL"/>
          <w:color w:val="000000"/>
        </w:rPr>
        <w:t xml:space="preserve">At the level of the YV expository prose, there are five passages, where </w:t>
      </w:r>
      <w:r>
        <w:rPr>
          <w:rFonts w:eastAsia="CharisSIL" w:cs="CharisSIL"/>
          <w:i/>
          <w:iCs/>
          <w:color w:val="000000"/>
        </w:rPr>
        <w:t xml:space="preserve">van- </w:t>
      </w:r>
      <w:r>
        <w:rPr>
          <w:rFonts w:eastAsia="CharisSIL" w:cs="CharisSIL"/>
          <w:color w:val="000000"/>
        </w:rPr>
        <w:t>always takes the</w:t>
      </w:r>
      <w:r>
        <w:rPr>
          <w:rFonts w:eastAsia="CharisSIL" w:cs="CharisSIL"/>
          <w:i/>
          <w:iCs/>
          <w:color w:val="000000"/>
        </w:rPr>
        <w:t xml:space="preserve"> ātmanepada </w:t>
      </w:r>
      <w:r>
        <w:rPr>
          <w:rFonts w:eastAsia="CharisSIL" w:cs="CharisSIL"/>
          <w:color w:val="000000"/>
        </w:rPr>
        <w:t>endin</w:t>
      </w:r>
      <w:r>
        <w:rPr>
          <w:rFonts w:eastAsia="CharisSIL" w:cs="CharisSIL"/>
          <w:color w:val="000000"/>
        </w:rPr>
        <w:t xml:space="preserve">gs. </w:t>
      </w:r>
      <w:r>
        <w:t>MS 2.1.2 and KS 10.3 concern</w:t>
      </w:r>
      <w:r>
        <w:t xml:space="preserve"> the </w:t>
      </w:r>
      <w:r>
        <w:rPr>
          <w:i/>
          <w:iCs/>
        </w:rPr>
        <w:t>Kāmye</w:t>
      </w:r>
      <w:r>
        <w:rPr>
          <w:i/>
          <w:iCs/>
        </w:rPr>
        <w:t>ṣṭ</w:t>
      </w:r>
      <w:r>
        <w:rPr>
          <w:i/>
          <w:iCs/>
        </w:rPr>
        <w:t>i</w:t>
      </w:r>
      <w:r>
        <w:t xml:space="preserve"> </w:t>
      </w:r>
      <w:r>
        <w:t>sacrifice  on 12 potsherds to Agni Vaiśvānara for three different situations</w:t>
      </w:r>
      <w:r>
        <w:rPr>
          <w:rStyle w:val="FootnoteAnchor"/>
        </w:rPr>
        <w:footnoteReference w:id="419"/>
      </w:r>
      <w:r>
        <w:t>: first for the breaking-up of a common agreement, second for one who wants to gain something, and third for someone who wants to st</w:t>
      </w:r>
      <w:r>
        <w:t xml:space="preserve">ore his acquisition. The portion where </w:t>
      </w:r>
      <w:r>
        <w:rPr>
          <w:i/>
          <w:iCs/>
        </w:rPr>
        <w:t xml:space="preserve">van- </w:t>
      </w:r>
      <w:r>
        <w:t>is used two (in KS) and three times (in MS) is clearly the second one, and</w:t>
      </w:r>
      <w:r>
        <w:t xml:space="preserve"> in both Sa</w:t>
      </w:r>
      <w:r>
        <w:t>ṃ</w:t>
      </w:r>
      <w:r>
        <w:t xml:space="preserve">hitās the first occurrence of the verb has as object </w:t>
      </w:r>
      <w:r>
        <w:rPr>
          <w:i/>
          <w:iCs/>
        </w:rPr>
        <w:t xml:space="preserve">sani-, </w:t>
      </w:r>
      <w:r>
        <w:t xml:space="preserve">namely </w:t>
      </w:r>
      <w:r>
        <w:rPr>
          <w:i/>
          <w:iCs/>
        </w:rPr>
        <w:t>sātām̐ sani</w:t>
      </w:r>
      <w:r>
        <w:rPr>
          <w:i/>
          <w:iCs/>
        </w:rPr>
        <w:t>ṃ</w:t>
      </w:r>
      <w:r>
        <w:rPr>
          <w:i/>
          <w:iCs/>
        </w:rPr>
        <w:t xml:space="preserve"> </w:t>
      </w:r>
      <w:r>
        <w:t xml:space="preserve">“the gained reward” -a clear </w:t>
      </w:r>
      <w:r>
        <w:rPr>
          <w:i/>
          <w:iCs/>
        </w:rPr>
        <w:t>figura etymologic</w:t>
      </w:r>
      <w:r>
        <w:rPr>
          <w:i/>
          <w:iCs/>
        </w:rPr>
        <w:t>a</w:t>
      </w:r>
      <w:r>
        <w:t xml:space="preserve"> build around the root </w:t>
      </w:r>
      <w:r>
        <w:rPr>
          <w:i/>
          <w:iCs/>
        </w:rPr>
        <w:t>san</w:t>
      </w:r>
      <w:r>
        <w:t xml:space="preserve">-, while in the following ones the object is not specified. Here, the meaning that the verb seems to convey is that of an appropriation with regard to something concrete, though the final part of KS 10.3 </w:t>
      </w:r>
      <w:r>
        <w:rPr>
          <w:rFonts w:eastAsia="MS Mincho;ＭＳ 明朝" w:cs="Times Ext Roman"/>
          <w:i/>
          <w:iCs/>
          <w:szCs w:val="21"/>
          <w:lang w:eastAsia="hi-IN" w:bidi="en-GB"/>
        </w:rPr>
        <w:t>etadetasmai sanoti yadvan</w:t>
      </w:r>
      <w:r>
        <w:rPr>
          <w:rFonts w:eastAsia="MS Mincho;ＭＳ 明朝" w:cs="Times Ext Roman"/>
          <w:i/>
          <w:iCs/>
          <w:szCs w:val="21"/>
          <w:lang w:eastAsia="hi-IN" w:bidi="en-GB"/>
        </w:rPr>
        <w:t xml:space="preserve">ute </w:t>
      </w:r>
      <w:r>
        <w:rPr>
          <w:rFonts w:eastAsia="MS Mincho;ＭＳ 明朝" w:cs="Times Ext Roman"/>
          <w:szCs w:val="21"/>
          <w:lang w:eastAsia="hi-IN" w:bidi="en-GB"/>
        </w:rPr>
        <w:t xml:space="preserve">could also be a clue for a slightly different meaning of </w:t>
      </w:r>
      <w:r>
        <w:rPr>
          <w:rFonts w:eastAsia="MS Mincho;ＭＳ 明朝" w:cs="Times Ext Roman"/>
          <w:i/>
          <w:iCs/>
          <w:szCs w:val="21"/>
          <w:lang w:eastAsia="hi-IN" w:bidi="en-GB"/>
        </w:rPr>
        <w:t>van-,</w:t>
      </w:r>
      <w:r>
        <w:rPr>
          <w:rFonts w:eastAsia="MS Mincho;ＭＳ 明朝" w:cs="Times Ext Roman"/>
          <w:szCs w:val="21"/>
          <w:lang w:eastAsia="hi-IN" w:bidi="en-GB"/>
        </w:rPr>
        <w:t xml:space="preserve"> as long as the idea of a positive possession is already expressed by the verb </w:t>
      </w:r>
      <w:r>
        <w:rPr>
          <w:rFonts w:eastAsia="MS Mincho;ＭＳ 明朝" w:cs="Times Ext Roman"/>
          <w:i/>
          <w:iCs/>
          <w:szCs w:val="21"/>
          <w:lang w:eastAsia="hi-IN" w:bidi="en-GB"/>
        </w:rPr>
        <w:t xml:space="preserve">san- </w:t>
      </w:r>
      <w:r>
        <w:rPr>
          <w:rFonts w:eastAsia="MS Mincho;ＭＳ 明朝" w:cs="Times Ext Roman"/>
          <w:szCs w:val="21"/>
          <w:lang w:eastAsia="hi-IN" w:bidi="en-GB"/>
        </w:rPr>
        <w:t>from</w:t>
      </w:r>
      <w:r>
        <w:rPr>
          <w:rFonts w:eastAsia="MS Mincho;ＭＳ 明朝" w:cs="Times Ext Roman"/>
          <w:i/>
          <w:iCs/>
          <w:szCs w:val="21"/>
          <w:lang w:eastAsia="hi-IN" w:bidi="en-GB"/>
        </w:rPr>
        <w:t xml:space="preserve"> </w:t>
      </w:r>
      <w:r>
        <w:rPr>
          <w:rFonts w:eastAsia="MS Mincho;ＭＳ 明朝" w:cs="Times Ext Roman"/>
          <w:szCs w:val="21"/>
          <w:lang w:eastAsia="hi-IN" w:bidi="en-GB"/>
        </w:rPr>
        <w:t xml:space="preserve">which the noun </w:t>
      </w:r>
      <w:r>
        <w:rPr>
          <w:rFonts w:eastAsia="MS Mincho;ＭＳ 明朝" w:cs="Times Ext Roman"/>
          <w:i/>
          <w:iCs/>
          <w:szCs w:val="21"/>
          <w:lang w:eastAsia="hi-IN" w:bidi="en-GB"/>
        </w:rPr>
        <w:t xml:space="preserve">sani- </w:t>
      </w:r>
      <w:r>
        <w:rPr>
          <w:rFonts w:eastAsia="MS Mincho;ＭＳ 明朝" w:cs="Times Ext Roman"/>
          <w:szCs w:val="21"/>
          <w:lang w:eastAsia="hi-IN" w:bidi="en-GB"/>
        </w:rPr>
        <w:t>is derived,</w:t>
      </w:r>
      <w:r>
        <w:rPr>
          <w:rFonts w:eastAsia="MS Mincho;ＭＳ 明朝" w:cs="Times Ext Roman"/>
          <w:i/>
          <w:iCs/>
          <w:szCs w:val="21"/>
          <w:lang w:eastAsia="hi-IN" w:bidi="en-GB"/>
        </w:rPr>
        <w:t xml:space="preserve"> </w:t>
      </w:r>
      <w:r>
        <w:rPr>
          <w:rFonts w:eastAsia="MS Mincho;ＭＳ 明朝" w:cs="Times Ext Roman"/>
          <w:szCs w:val="21"/>
          <w:lang w:eastAsia="hi-IN" w:bidi="en-GB"/>
        </w:rPr>
        <w:t>indeed</w:t>
      </w:r>
      <w:r>
        <w:rPr>
          <w:rFonts w:eastAsia="MS Mincho;ＭＳ 明朝" w:cs="Times Ext Roman"/>
          <w:i/>
          <w:iCs/>
          <w:szCs w:val="21"/>
          <w:lang w:eastAsia="hi-IN" w:bidi="en-GB"/>
        </w:rPr>
        <w:t xml:space="preserve"> </w:t>
      </w:r>
      <w:r>
        <w:rPr>
          <w:rStyle w:val="biblio-authorGEN"/>
          <w:rFonts w:eastAsia="MS Mincho;ＭＳ 明朝" w:cs="Times Ext Roman"/>
          <w:szCs w:val="21"/>
          <w:lang w:eastAsia="hi-IN" w:bidi="en-GB"/>
        </w:rPr>
        <w:t>Amano</w:t>
      </w:r>
      <w:r>
        <w:rPr>
          <w:rFonts w:eastAsia="MS Mincho;ＭＳ 明朝" w:cs="Times Ext Roman"/>
          <w:szCs w:val="21"/>
          <w:lang w:eastAsia="hi-IN" w:bidi="en-GB"/>
        </w:rPr>
        <w:t xml:space="preserve"> (2009: 432) translates </w:t>
      </w:r>
      <w:r>
        <w:rPr>
          <w:rFonts w:eastAsia="MS Mincho;ＭＳ 明朝" w:cs="Times Ext Roman"/>
          <w:i/>
          <w:iCs/>
          <w:szCs w:val="21"/>
          <w:lang w:eastAsia="hi-IN" w:bidi="en-GB"/>
        </w:rPr>
        <w:t>van-</w:t>
      </w:r>
      <w:r>
        <w:rPr>
          <w:rFonts w:eastAsia="MS Mincho;ＭＳ 明朝" w:cs="Times Ext Roman"/>
          <w:szCs w:val="21"/>
          <w:lang w:eastAsia="hi-IN" w:bidi="en-GB"/>
        </w:rPr>
        <w:t xml:space="preserve"> with the </w:t>
      </w:r>
      <w:r>
        <w:rPr>
          <w:rFonts w:eastAsia="MS Mincho;ＭＳ 明朝" w:cs="Times Ext Roman"/>
          <w:color w:val="000000"/>
          <w:szCs w:val="21"/>
          <w:lang w:eastAsia="hi-IN" w:bidi="en-GB"/>
        </w:rPr>
        <w:t xml:space="preserve">german verb “zu </w:t>
      </w:r>
      <w:r>
        <w:rPr>
          <w:rFonts w:eastAsia="MS Mincho;ＭＳ 明朝" w:cs="Times Ext Roman"/>
          <w:color w:val="000000"/>
          <w:szCs w:val="21"/>
          <w:lang w:eastAsia="hi-IN" w:bidi="en-GB"/>
        </w:rPr>
        <w:t>tragen”, “to carry” “to convey”, that is a meaning nearer to a moment of transference than to a condition of possessing.</w:t>
      </w:r>
    </w:p>
    <w:p w14:paraId="63543E64" w14:textId="77777777" w:rsidR="00E53EB6" w:rsidRDefault="006500F5">
      <w:pPr>
        <w:pStyle w:val="Hauptext"/>
      </w:pPr>
      <w:r>
        <w:t>MS 3.6.9 and KS 23.6 are both dealing with</w:t>
      </w:r>
      <w:r>
        <w:t xml:space="preserve"> the Agni</w:t>
      </w:r>
      <w:r>
        <w:t>ṣṭ</w:t>
      </w:r>
      <w:r>
        <w:t xml:space="preserve">oma, and in particular with the section of the </w:t>
      </w:r>
      <w:r>
        <w:rPr>
          <w:i/>
          <w:iCs/>
        </w:rPr>
        <w:t>dīk</w:t>
      </w:r>
      <w:r>
        <w:rPr>
          <w:i/>
          <w:iCs/>
        </w:rPr>
        <w:t>ṣ</w:t>
      </w:r>
      <w:r>
        <w:rPr>
          <w:i/>
          <w:iCs/>
        </w:rPr>
        <w:t xml:space="preserve">ā </w:t>
      </w:r>
      <w:r>
        <w:t>moment</w:t>
      </w:r>
      <w:r>
        <w:rPr>
          <w:i/>
          <w:iCs/>
        </w:rPr>
        <w:t xml:space="preserve">, </w:t>
      </w:r>
      <w:r>
        <w:t>the consecration of t</w:t>
      </w:r>
      <w:r>
        <w:t xml:space="preserve">he sacrificer. The two </w:t>
      </w:r>
      <w:r>
        <w:rPr>
          <w:i/>
          <w:iCs/>
        </w:rPr>
        <w:t>brāhma</w:t>
      </w:r>
      <w:r>
        <w:rPr>
          <w:i/>
          <w:iCs/>
        </w:rPr>
        <w:t>ṇ</w:t>
      </w:r>
      <w:r>
        <w:rPr>
          <w:i/>
          <w:iCs/>
        </w:rPr>
        <w:t>a-</w:t>
      </w:r>
      <w:r>
        <w:t>passages</w:t>
      </w:r>
      <w:r>
        <w:t xml:space="preserve"> are the explanation of the restrictions of the </w:t>
      </w:r>
      <w:r>
        <w:rPr>
          <w:i/>
          <w:iCs/>
        </w:rPr>
        <w:t>dīk</w:t>
      </w:r>
      <w:r>
        <w:rPr>
          <w:i/>
          <w:iCs/>
        </w:rPr>
        <w:t>ṣ</w:t>
      </w:r>
      <w:r>
        <w:rPr>
          <w:i/>
          <w:iCs/>
        </w:rPr>
        <w:t>ita</w:t>
      </w:r>
      <w:r>
        <w:t xml:space="preserve">, the </w:t>
      </w:r>
      <w:r>
        <w:rPr>
          <w:i/>
          <w:iCs/>
        </w:rPr>
        <w:t>adhvarādīnā</w:t>
      </w:r>
      <w:r>
        <w:rPr>
          <w:i/>
          <w:iCs/>
        </w:rPr>
        <w:t>ṃ</w:t>
      </w:r>
      <w:r>
        <w:rPr>
          <w:i/>
          <w:iCs/>
        </w:rPr>
        <w:t xml:space="preserve"> trayā</w:t>
      </w:r>
      <w:r>
        <w:rPr>
          <w:i/>
          <w:iCs/>
        </w:rPr>
        <w:t>ṇ</w:t>
      </w:r>
      <w:r>
        <w:rPr>
          <w:i/>
          <w:iCs/>
        </w:rPr>
        <w:t>ā</w:t>
      </w:r>
      <w:r>
        <w:rPr>
          <w:i/>
          <w:iCs/>
        </w:rPr>
        <w:t>ṃ</w:t>
      </w:r>
      <w:r>
        <w:rPr>
          <w:i/>
          <w:iCs/>
        </w:rPr>
        <w:t xml:space="preserve"> vidhi, </w:t>
      </w:r>
      <w:r>
        <w:t>and we find that almost the same words have been used in both occurrences.</w:t>
      </w:r>
    </w:p>
    <w:p w14:paraId="31EA6AC8" w14:textId="77777777" w:rsidR="00E53EB6" w:rsidRDefault="006500F5">
      <w:pPr>
        <w:pStyle w:val="Zitat"/>
      </w:pPr>
      <w:r>
        <w:t xml:space="preserve">MS 3.6.9 </w:t>
      </w:r>
      <w:r>
        <w:rPr>
          <w:i/>
          <w:iCs/>
        </w:rPr>
        <w:t>nā́nyátradīk</w:t>
      </w:r>
      <w:r>
        <w:rPr>
          <w:i/>
          <w:iCs/>
        </w:rPr>
        <w:t>ṣ</w:t>
      </w:r>
      <w:r>
        <w:rPr>
          <w:i/>
          <w:iCs/>
        </w:rPr>
        <w:t>ita</w:t>
      </w:r>
      <w:r>
        <w:rPr>
          <w:i/>
          <w:iCs/>
        </w:rPr>
        <w:t>ṃ</w:t>
      </w:r>
      <w:r>
        <w:rPr>
          <w:i/>
          <w:iCs/>
        </w:rPr>
        <w:t xml:space="preserve"> dīk</w:t>
      </w:r>
      <w:r>
        <w:rPr>
          <w:i/>
          <w:iCs/>
        </w:rPr>
        <w:t>ṣ</w:t>
      </w:r>
      <w:r>
        <w:rPr>
          <w:i/>
          <w:iCs/>
        </w:rPr>
        <w:t>itavimitā́ntsū́ryo ‘</w:t>
      </w:r>
      <w:r>
        <w:rPr>
          <w:i/>
          <w:iCs/>
        </w:rPr>
        <w:t>bhinimrócennā́bhyúdiyāddīk</w:t>
      </w:r>
      <w:r>
        <w:rPr>
          <w:i/>
          <w:iCs/>
        </w:rPr>
        <w:t>ṣ</w:t>
      </w:r>
      <w:r>
        <w:rPr>
          <w:i/>
          <w:iCs/>
        </w:rPr>
        <w:t>itavratámevá tádyajñó vaí devā́nā</w:t>
      </w:r>
      <w:r>
        <w:rPr>
          <w:i/>
          <w:iCs/>
        </w:rPr>
        <w:t>ṃ</w:t>
      </w:r>
      <w:r>
        <w:rPr>
          <w:i/>
          <w:iCs/>
        </w:rPr>
        <w:t xml:space="preserve"> ná sámabhavattá</w:t>
      </w:r>
      <w:r>
        <w:rPr>
          <w:i/>
          <w:iCs/>
        </w:rPr>
        <w:t>ṃ</w:t>
      </w:r>
      <w:r>
        <w:rPr>
          <w:i/>
          <w:iCs/>
        </w:rPr>
        <w:t xml:space="preserve"> bhr̥tyā́ sámabhāvayanyádbhr̥tí</w:t>
      </w:r>
      <w:r>
        <w:rPr>
          <w:i/>
          <w:iCs/>
        </w:rPr>
        <w:t>ṃ</w:t>
      </w:r>
      <w:r>
        <w:rPr>
          <w:i/>
          <w:iCs/>
        </w:rPr>
        <w:t xml:space="preserve"> vanuté yajñásya sá</w:t>
      </w:r>
      <w:r>
        <w:rPr>
          <w:i/>
          <w:iCs/>
        </w:rPr>
        <w:t>ṃ</w:t>
      </w:r>
      <w:r>
        <w:rPr>
          <w:i/>
          <w:iCs/>
        </w:rPr>
        <w:t>bhūtyai rā́svéyatsométi yádbrūyā́detā́vadasya syát.</w:t>
      </w:r>
    </w:p>
    <w:p w14:paraId="090F3614" w14:textId="77777777" w:rsidR="00E53EB6" w:rsidRDefault="006500F5">
      <w:pPr>
        <w:pStyle w:val="Zitat"/>
      </w:pPr>
      <w:r>
        <w:t xml:space="preserve">May the sun do not set otherwise upon the consecrated, upon the temporary </w:t>
      </w:r>
      <w:r>
        <w:t>dwelling of the consecrated, while he is sleeping, may (the sun) not rise over this vow of the consecrated; the sacrifice did not fall to the share</w:t>
      </w:r>
      <w:r>
        <w:rPr>
          <w:rStyle w:val="FootnoteAnchor"/>
        </w:rPr>
        <w:footnoteReference w:id="420"/>
      </w:r>
      <w:r>
        <w:t xml:space="preserve"> </w:t>
      </w:r>
      <w:r>
        <w:lastRenderedPageBreak/>
        <w:t>of gods, indeed, they furnished him</w:t>
      </w:r>
      <w:r>
        <w:rPr>
          <w:rStyle w:val="FootnoteAnchor"/>
        </w:rPr>
        <w:footnoteReference w:id="421"/>
      </w:r>
      <w:r>
        <w:t xml:space="preserve"> with support when he </w:t>
      </w:r>
      <w:r>
        <w:rPr>
          <w:u w:val="single"/>
        </w:rPr>
        <w:t>appropriate</w:t>
      </w:r>
      <w:r>
        <w:t xml:space="preserve"> the support for the production</w:t>
      </w:r>
      <w:r>
        <w:rPr>
          <w:rStyle w:val="FootnoteAnchor"/>
        </w:rPr>
        <w:footnoteReference w:id="422"/>
      </w:r>
      <w:r>
        <w:t xml:space="preserve"> of the sacrifice ‘Give so much, o Soma’, be in his possession</w:t>
      </w:r>
      <w:r>
        <w:rPr>
          <w:rStyle w:val="FootnoteAnchor"/>
        </w:rPr>
        <w:footnoteReference w:id="423"/>
      </w:r>
      <w:r>
        <w:t xml:space="preserve"> so much as he might have said.</w:t>
      </w:r>
    </w:p>
    <w:p w14:paraId="279A5251" w14:textId="77777777" w:rsidR="00E53EB6" w:rsidRDefault="006500F5">
      <w:pPr>
        <w:pStyle w:val="HaupttextnachZitat"/>
      </w:pPr>
      <w:r>
        <w:t>In KS 23.6, the first part deals with the question whether the sacrificer should sacrifice or not, and the tricky solution is t</w:t>
      </w:r>
      <w:r>
        <w:t xml:space="preserve">he sacrifice of the breaths, which is somehow a way to sacrifice and  not to sacrifice at the same time. Afterwards there is the part we have here with the </w:t>
      </w:r>
      <w:r>
        <w:rPr>
          <w:i/>
          <w:iCs/>
        </w:rPr>
        <w:t>mantra</w:t>
      </w:r>
      <w:r>
        <w:t>s</w:t>
      </w:r>
      <w:r>
        <w:t xml:space="preserve"> “</w:t>
      </w:r>
      <w:r>
        <w:rPr>
          <w:i/>
          <w:iCs/>
        </w:rPr>
        <w:t>pū</w:t>
      </w:r>
      <w:r>
        <w:rPr>
          <w:i/>
          <w:iCs/>
        </w:rPr>
        <w:t>ṣ</w:t>
      </w:r>
      <w:r>
        <w:rPr>
          <w:i/>
          <w:iCs/>
        </w:rPr>
        <w:t>ā sanīnām̐ somo rādhasām</w:t>
      </w:r>
      <w:r>
        <w:t>” (cf. also TS 1.2.3 and KS 2.4), which concerns the ritual best</w:t>
      </w:r>
      <w:r>
        <w:t>owing of gifts and the dedication to the deities of any cow which may be injured or lost.</w:t>
      </w:r>
    </w:p>
    <w:p w14:paraId="6654B7FA" w14:textId="77777777" w:rsidR="00E53EB6" w:rsidRDefault="006500F5">
      <w:pPr>
        <w:pStyle w:val="Zitat"/>
        <w:rPr>
          <w:i/>
          <w:iCs/>
        </w:rPr>
      </w:pPr>
      <w:r>
        <w:t xml:space="preserve">23.6 </w:t>
      </w:r>
      <w:r>
        <w:rPr>
          <w:i/>
          <w:iCs/>
        </w:rPr>
        <w:t>pū</w:t>
      </w:r>
      <w:r>
        <w:rPr>
          <w:i/>
          <w:iCs/>
        </w:rPr>
        <w:t>ṣ</w:t>
      </w:r>
      <w:r>
        <w:rPr>
          <w:i/>
          <w:iCs/>
        </w:rPr>
        <w:t>ā sanīnām̐ somo rādhasāmiti pū</w:t>
      </w:r>
      <w:r>
        <w:rPr>
          <w:i/>
          <w:iCs/>
        </w:rPr>
        <w:t>ṣ</w:t>
      </w:r>
      <w:r>
        <w:rPr>
          <w:i/>
          <w:iCs/>
        </w:rPr>
        <w:t>ā hi sanīnāmīśo somo rādhasā</w:t>
      </w:r>
      <w:r>
        <w:rPr>
          <w:i/>
          <w:iCs/>
        </w:rPr>
        <w:t>ṃ</w:t>
      </w:r>
      <w:r>
        <w:rPr>
          <w:i/>
          <w:iCs/>
        </w:rPr>
        <w:t xml:space="preserve"> rāsvetyatsometi somo vā etadetasmai rāsate yadvanute ā bhūyo bharetyāgame hyena</w:t>
      </w:r>
      <w:r>
        <w:rPr>
          <w:i/>
          <w:iCs/>
        </w:rPr>
        <w:t>ṃ</w:t>
      </w:r>
      <w:r>
        <w:rPr>
          <w:i/>
          <w:iCs/>
        </w:rPr>
        <w:t xml:space="preserve"> bhūyo devassavit</w:t>
      </w:r>
      <w:r>
        <w:rPr>
          <w:i/>
          <w:iCs/>
        </w:rPr>
        <w:t>ā vasorvasudāveti  savitr̥prasūta eva pratigr̥h</w:t>
      </w:r>
      <w:r>
        <w:rPr>
          <w:i/>
          <w:iCs/>
        </w:rPr>
        <w:t>ṇ</w:t>
      </w:r>
      <w:r>
        <w:rPr>
          <w:i/>
          <w:iCs/>
        </w:rPr>
        <w:t>ātyātmano’him̐sāyai devebhyo vai yajño na prābhavatta</w:t>
      </w:r>
      <w:r>
        <w:rPr>
          <w:i/>
          <w:iCs/>
        </w:rPr>
        <w:t>ṃ</w:t>
      </w:r>
      <w:r>
        <w:rPr>
          <w:i/>
          <w:iCs/>
        </w:rPr>
        <w:t xml:space="preserve"> dak</w:t>
      </w:r>
      <w:r>
        <w:rPr>
          <w:i/>
          <w:iCs/>
        </w:rPr>
        <w:t>ṣ</w:t>
      </w:r>
      <w:r>
        <w:rPr>
          <w:i/>
          <w:iCs/>
        </w:rPr>
        <w:t>i</w:t>
      </w:r>
      <w:r>
        <w:rPr>
          <w:i/>
          <w:iCs/>
        </w:rPr>
        <w:t>ṇ</w:t>
      </w:r>
      <w:r>
        <w:rPr>
          <w:i/>
          <w:iCs/>
        </w:rPr>
        <w:t>obhissamabhāvayanyaddīk</w:t>
      </w:r>
      <w:r>
        <w:rPr>
          <w:i/>
          <w:iCs/>
        </w:rPr>
        <w:t>ṣ</w:t>
      </w:r>
      <w:r>
        <w:rPr>
          <w:i/>
          <w:iCs/>
        </w:rPr>
        <w:t>ito bhr̥ti</w:t>
      </w:r>
      <w:r>
        <w:rPr>
          <w:i/>
          <w:iCs/>
        </w:rPr>
        <w:t>ṃ</w:t>
      </w:r>
      <w:r>
        <w:rPr>
          <w:i/>
          <w:iCs/>
        </w:rPr>
        <w:t xml:space="preserve"> vanute yajñameva sa</w:t>
      </w:r>
      <w:r>
        <w:rPr>
          <w:i/>
          <w:iCs/>
        </w:rPr>
        <w:t>ṃ</w:t>
      </w:r>
      <w:r>
        <w:rPr>
          <w:i/>
          <w:iCs/>
        </w:rPr>
        <w:t>bhāvayati tasmāddvādaśa rātrīrdīk</w:t>
      </w:r>
      <w:r>
        <w:rPr>
          <w:i/>
          <w:iCs/>
        </w:rPr>
        <w:t>ṣ</w:t>
      </w:r>
      <w:r>
        <w:rPr>
          <w:i/>
          <w:iCs/>
        </w:rPr>
        <w:t>ito bhr̥ti</w:t>
      </w:r>
      <w:r>
        <w:rPr>
          <w:i/>
          <w:iCs/>
        </w:rPr>
        <w:t>ṃ</w:t>
      </w:r>
      <w:r>
        <w:rPr>
          <w:i/>
          <w:iCs/>
        </w:rPr>
        <w:t xml:space="preserve"> vanvīta yāvāneva yajñasta</w:t>
      </w:r>
      <w:r>
        <w:rPr>
          <w:i/>
          <w:iCs/>
        </w:rPr>
        <w:t>ṃ</w:t>
      </w:r>
      <w:r>
        <w:rPr>
          <w:i/>
          <w:iCs/>
        </w:rPr>
        <w:t xml:space="preserve"> sa</w:t>
      </w:r>
      <w:r>
        <w:rPr>
          <w:i/>
          <w:iCs/>
        </w:rPr>
        <w:t>ṃ</w:t>
      </w:r>
      <w:r>
        <w:rPr>
          <w:i/>
          <w:iCs/>
        </w:rPr>
        <w:t>bhāvayati //</w:t>
      </w:r>
    </w:p>
    <w:p w14:paraId="5B22E7C2" w14:textId="77777777" w:rsidR="00E53EB6" w:rsidRDefault="006500F5">
      <w:pPr>
        <w:pStyle w:val="Zitat"/>
      </w:pPr>
      <w:r>
        <w:t>‘P</w:t>
      </w:r>
      <w:r>
        <w:t>u</w:t>
      </w:r>
      <w:r>
        <w:t>ṣ</w:t>
      </w:r>
      <w:r>
        <w:t>an of rewards, Soma of gifts’ he says</w:t>
      </w:r>
      <w:r>
        <w:rPr>
          <w:rStyle w:val="FootnoteAnchor"/>
        </w:rPr>
        <w:footnoteReference w:id="424"/>
      </w:r>
      <w:r>
        <w:t xml:space="preserve"> for Pu</w:t>
      </w:r>
      <w:r>
        <w:t>ṣ</w:t>
      </w:r>
      <w:r>
        <w:t>an is master of rewards, Soma of gifts. ‘Give o Soma so much’ he says, Soma shall indeed give to this one</w:t>
      </w:r>
      <w:r>
        <w:rPr>
          <w:rStyle w:val="FootnoteAnchor"/>
        </w:rPr>
        <w:footnoteReference w:id="425"/>
      </w:r>
      <w:r>
        <w:t xml:space="preserve"> what he </w:t>
      </w:r>
      <w:r>
        <w:rPr>
          <w:u w:val="single"/>
        </w:rPr>
        <w:t>appropriates</w:t>
      </w:r>
      <w:r>
        <w:t>. ‘Bring more hither’ he says, he indeed attained</w:t>
      </w:r>
      <w:r>
        <w:rPr>
          <w:rStyle w:val="FootnoteAnchor"/>
        </w:rPr>
        <w:footnoteReference w:id="426"/>
      </w:r>
      <w:r>
        <w:t xml:space="preserve"> more ‘God Savitr̥, good Givers of goods’ the one roused by Savitr̥ receives for not hurting himself. </w:t>
      </w:r>
      <w:r>
        <w:t>The sacrifice did not originated from the gods, they affected</w:t>
      </w:r>
      <w:r>
        <w:rPr>
          <w:rStyle w:val="FootnoteAnchor"/>
        </w:rPr>
        <w:footnoteReference w:id="427"/>
      </w:r>
      <w:r>
        <w:t xml:space="preserve"> </w:t>
      </w:r>
      <w:r>
        <w:rPr>
          <w:color w:val="000000"/>
        </w:rPr>
        <w:t xml:space="preserve">him with </w:t>
      </w:r>
      <w:r>
        <w:rPr>
          <w:i/>
          <w:iCs/>
          <w:color w:val="000000"/>
        </w:rPr>
        <w:t>dak</w:t>
      </w:r>
      <w:r>
        <w:rPr>
          <w:i/>
          <w:iCs/>
          <w:color w:val="000000"/>
        </w:rPr>
        <w:t>ṣ</w:t>
      </w:r>
      <w:r>
        <w:rPr>
          <w:i/>
          <w:iCs/>
          <w:color w:val="000000"/>
        </w:rPr>
        <w:t>inā</w:t>
      </w:r>
      <w:r>
        <w:rPr>
          <w:color w:val="000000"/>
        </w:rPr>
        <w:t xml:space="preserve">s (the cows), when the consecrated </w:t>
      </w:r>
      <w:r>
        <w:rPr>
          <w:color w:val="000000"/>
          <w:u w:val="single"/>
        </w:rPr>
        <w:t>appropriates</w:t>
      </w:r>
      <w:r>
        <w:rPr>
          <w:color w:val="000000"/>
        </w:rPr>
        <w:t xml:space="preserve"> the support</w:t>
      </w:r>
      <w:r>
        <w:t xml:space="preserve">, in this way he puts together the sacrifice, therefore the consecrated </w:t>
      </w:r>
      <w:r>
        <w:rPr>
          <w:u w:val="single"/>
        </w:rPr>
        <w:t>shall appropriate</w:t>
      </w:r>
      <w:r>
        <w:t xml:space="preserve"> as support the cows of 12 nights,  in this way as much </w:t>
      </w:r>
      <w:r>
        <w:rPr>
          <w:color w:val="000000"/>
        </w:rPr>
        <w:t>(</w:t>
      </w:r>
      <w:r>
        <w:rPr>
          <w:i/>
          <w:iCs/>
          <w:color w:val="000000"/>
        </w:rPr>
        <w:t>yāvān</w:t>
      </w:r>
      <w:r>
        <w:rPr>
          <w:color w:val="000000"/>
        </w:rPr>
        <w:t xml:space="preserve">) </w:t>
      </w:r>
      <w:r>
        <w:t xml:space="preserve">the </w:t>
      </w:r>
      <w:r>
        <w:rPr>
          <w:color w:val="000000"/>
        </w:rPr>
        <w:t xml:space="preserve">sacrifice affects </w:t>
      </w:r>
      <w:r>
        <w:rPr>
          <w:i/>
          <w:iCs/>
          <w:color w:val="000000"/>
        </w:rPr>
        <w:t>(sa</w:t>
      </w:r>
      <w:r>
        <w:rPr>
          <w:i/>
          <w:iCs/>
          <w:color w:val="000000"/>
        </w:rPr>
        <w:t>ṃ</w:t>
      </w:r>
      <w:r>
        <w:rPr>
          <w:i/>
          <w:iCs/>
          <w:color w:val="000000"/>
        </w:rPr>
        <w:t>bhāvayati)</w:t>
      </w:r>
      <w:r>
        <w:rPr>
          <w:color w:val="000000"/>
        </w:rPr>
        <w:t xml:space="preserve"> him.</w:t>
      </w:r>
    </w:p>
    <w:p w14:paraId="6521D391" w14:textId="77777777" w:rsidR="00E53EB6" w:rsidRDefault="006500F5">
      <w:pPr>
        <w:pStyle w:val="HaupttextnachZitat"/>
      </w:pPr>
      <w:r>
        <w:t>Within the section which is more similar in the two occurrenc</w:t>
      </w:r>
      <w:r>
        <w:t xml:space="preserve">es, there are indeed four statements, </w:t>
      </w:r>
      <w:r>
        <w:rPr>
          <w:i/>
          <w:iCs/>
          <w:color w:val="000000"/>
        </w:rPr>
        <w:t>devebhyo vai yajño na prābhavatta</w:t>
      </w:r>
      <w:r>
        <w:rPr>
          <w:i/>
          <w:iCs/>
          <w:color w:val="000000"/>
        </w:rPr>
        <w:t>ṃ</w:t>
      </w:r>
      <w:r>
        <w:rPr>
          <w:i/>
          <w:iCs/>
          <w:color w:val="000000"/>
        </w:rPr>
        <w:t xml:space="preserve"> dak</w:t>
      </w:r>
      <w:r>
        <w:rPr>
          <w:i/>
          <w:iCs/>
          <w:color w:val="000000"/>
        </w:rPr>
        <w:t>ṣ</w:t>
      </w:r>
      <w:r>
        <w:rPr>
          <w:i/>
          <w:iCs/>
          <w:color w:val="000000"/>
        </w:rPr>
        <w:t>i</w:t>
      </w:r>
      <w:r>
        <w:rPr>
          <w:i/>
          <w:iCs/>
          <w:color w:val="000000"/>
        </w:rPr>
        <w:t>ṇ</w:t>
      </w:r>
      <w:r>
        <w:rPr>
          <w:i/>
          <w:iCs/>
          <w:color w:val="000000"/>
        </w:rPr>
        <w:t>obhis samabhāvayanyad dīk</w:t>
      </w:r>
      <w:r>
        <w:rPr>
          <w:i/>
          <w:iCs/>
          <w:color w:val="000000"/>
        </w:rPr>
        <w:t>ṣ</w:t>
      </w:r>
      <w:r>
        <w:rPr>
          <w:i/>
          <w:iCs/>
          <w:color w:val="000000"/>
        </w:rPr>
        <w:t>ito bhr̥ti</w:t>
      </w:r>
      <w:r>
        <w:rPr>
          <w:i/>
          <w:iCs/>
          <w:color w:val="000000"/>
        </w:rPr>
        <w:t>ṃ</w:t>
      </w:r>
      <w:r>
        <w:rPr>
          <w:i/>
          <w:iCs/>
          <w:color w:val="000000"/>
        </w:rPr>
        <w:t xml:space="preserve"> vanute yajñameva sa</w:t>
      </w:r>
      <w:r>
        <w:rPr>
          <w:i/>
          <w:iCs/>
          <w:color w:val="000000"/>
        </w:rPr>
        <w:t>ṃ</w:t>
      </w:r>
      <w:r>
        <w:rPr>
          <w:i/>
          <w:iCs/>
          <w:color w:val="000000"/>
        </w:rPr>
        <w:t>bhāvayati tasmād,</w:t>
      </w:r>
      <w:r>
        <w:t xml:space="preserve"> that seem to establish that the whole sacrifice is bound in a circular movement between 3 entities: g</w:t>
      </w:r>
      <w:r>
        <w:t>ods, men and the sacrificial substance. We are even told that “t</w:t>
      </w:r>
      <w:r>
        <w:rPr>
          <w:color w:val="000000"/>
        </w:rPr>
        <w:t>he sacrifice did not prosper from the gods”, indeed they contribute the support but it is the consecrated that through this support “(in this way) puts together the sacrifice”. Here, the repet</w:t>
      </w:r>
      <w:r>
        <w:rPr>
          <w:color w:val="000000"/>
        </w:rPr>
        <w:t xml:space="preserve">ition in these sentences of the verb </w:t>
      </w:r>
      <w:r>
        <w:rPr>
          <w:i/>
          <w:iCs/>
          <w:color w:val="000000"/>
        </w:rPr>
        <w:t>sa</w:t>
      </w:r>
      <w:r>
        <w:rPr>
          <w:i/>
          <w:iCs/>
          <w:color w:val="000000"/>
        </w:rPr>
        <w:t>ṃ</w:t>
      </w:r>
      <w:r>
        <w:rPr>
          <w:i/>
          <w:iCs/>
          <w:color w:val="000000"/>
        </w:rPr>
        <w:t xml:space="preserve"> bhū- </w:t>
      </w:r>
      <w:r>
        <w:rPr>
          <w:color w:val="000000"/>
        </w:rPr>
        <w:t>is also worth noticing: this verb means “to affect s.o. (acc.) with (instr.)”, and this supports the idea of a circularity. The production of the sacrifice is not directly connected with gods: the gods give the</w:t>
      </w:r>
      <w:r>
        <w:rPr>
          <w:color w:val="000000"/>
        </w:rPr>
        <w:t xml:space="preserve"> </w:t>
      </w:r>
      <w:r>
        <w:rPr>
          <w:i/>
          <w:iCs/>
          <w:color w:val="000000"/>
        </w:rPr>
        <w:t>dak</w:t>
      </w:r>
      <w:r>
        <w:rPr>
          <w:i/>
          <w:iCs/>
          <w:color w:val="000000"/>
        </w:rPr>
        <w:t>ṣ</w:t>
      </w:r>
      <w:r>
        <w:rPr>
          <w:i/>
          <w:iCs/>
          <w:color w:val="000000"/>
        </w:rPr>
        <w:t>inā</w:t>
      </w:r>
      <w:r>
        <w:rPr>
          <w:i/>
          <w:iCs/>
          <w:color w:val="000000"/>
        </w:rPr>
        <w:t>ḥ</w:t>
      </w:r>
      <w:r>
        <w:rPr>
          <w:color w:val="000000"/>
        </w:rPr>
        <w:t xml:space="preserve"> (nourishment) or, more generally, the support (</w:t>
      </w:r>
      <w:r>
        <w:rPr>
          <w:i/>
          <w:iCs/>
          <w:color w:val="000000"/>
        </w:rPr>
        <w:t>bhr̥tí-</w:t>
      </w:r>
      <w:r>
        <w:rPr>
          <w:color w:val="000000"/>
        </w:rPr>
        <w:t xml:space="preserve">) to the consecrated. With that he generates the sacrifice, and the sacrifice will, at the end, reach the gods. </w:t>
      </w:r>
    </w:p>
    <w:p w14:paraId="5DBE5690" w14:textId="77777777" w:rsidR="00E53EB6" w:rsidRDefault="006500F5">
      <w:pPr>
        <w:pStyle w:val="Hauptext"/>
      </w:pPr>
      <w:r>
        <w:lastRenderedPageBreak/>
        <w:t>In KS 10.6 t</w:t>
      </w:r>
      <w:r>
        <w:rPr>
          <w:rFonts w:eastAsia="MS Mincho;ＭＳ 明朝" w:cs="Times Ext Roman"/>
          <w:szCs w:val="21"/>
          <w:lang w:eastAsia="hi-IN" w:bidi="en-GB"/>
        </w:rPr>
        <w:t>he</w:t>
      </w:r>
      <w:r>
        <w:rPr>
          <w:rFonts w:eastAsia="MS Mincho;ＭＳ 明朝" w:cs="Times Ext Roman"/>
          <w:i/>
          <w:iCs/>
          <w:szCs w:val="21"/>
          <w:lang w:eastAsia="hi-IN" w:bidi="en-GB"/>
        </w:rPr>
        <w:t xml:space="preserve"> </w:t>
      </w:r>
      <w:r>
        <w:rPr>
          <w:rFonts w:eastAsia="MS Mincho;ＭＳ 明朝" w:cs="Times Ext Roman"/>
          <w:szCs w:val="21"/>
          <w:lang w:eastAsia="hi-IN" w:bidi="en-GB"/>
        </w:rPr>
        <w:t>Naimi</w:t>
      </w:r>
      <w:r>
        <w:rPr>
          <w:rFonts w:eastAsia="MS Mincho;ＭＳ 明朝" w:cs="Times Ext Roman"/>
          <w:szCs w:val="21"/>
          <w:lang w:eastAsia="hi-IN" w:bidi="en-GB"/>
        </w:rPr>
        <w:t>ṣ</w:t>
      </w:r>
      <w:r>
        <w:rPr>
          <w:rFonts w:eastAsia="MS Mincho;ＭＳ 明朝" w:cs="Times Ext Roman"/>
          <w:szCs w:val="21"/>
          <w:lang w:eastAsia="hi-IN" w:bidi="en-GB"/>
        </w:rPr>
        <w:t>yas</w:t>
      </w:r>
      <w:r>
        <w:rPr>
          <w:rStyle w:val="FootnoteAnchor"/>
          <w:rFonts w:eastAsia="MS Mincho;ＭＳ 明朝" w:cs="Times Ext Roman"/>
          <w:szCs w:val="21"/>
          <w:lang w:eastAsia="hi-IN" w:bidi="en-GB"/>
        </w:rPr>
        <w:footnoteReference w:id="428"/>
      </w:r>
      <w:r>
        <w:rPr>
          <w:rFonts w:eastAsia="MS Mincho;ＭＳ 明朝" w:cs="Times Ext Roman"/>
          <w:szCs w:val="21"/>
          <w:lang w:eastAsia="hi-IN" w:bidi="en-GB"/>
        </w:rPr>
        <w:t xml:space="preserve"> celebrated a </w:t>
      </w:r>
      <w:r>
        <w:rPr>
          <w:rFonts w:eastAsia="MS Mincho;ＭＳ 明朝" w:cs="Times Ext Roman"/>
          <w:i/>
          <w:iCs/>
          <w:szCs w:val="21"/>
          <w:lang w:eastAsia="hi-IN" w:bidi="en-GB"/>
        </w:rPr>
        <w:t xml:space="preserve">sattra </w:t>
      </w:r>
      <w:r>
        <w:rPr>
          <w:rFonts w:eastAsia="MS Mincho;ＭＳ 明朝" w:cs="Times Ext Roman"/>
          <w:szCs w:val="21"/>
          <w:lang w:eastAsia="hi-IN" w:bidi="en-GB"/>
        </w:rPr>
        <w:t>sacrifice</w:t>
      </w:r>
      <w:r>
        <w:rPr>
          <w:rStyle w:val="FootnoteAnchor"/>
          <w:rFonts w:eastAsia="MS Mincho;ＭＳ 明朝" w:cs="Times Ext Roman"/>
          <w:szCs w:val="21"/>
          <w:lang w:eastAsia="hi-IN" w:bidi="en-GB"/>
        </w:rPr>
        <w:footnoteReference w:id="429"/>
      </w:r>
      <w:r>
        <w:rPr>
          <w:rFonts w:eastAsia="MS Mincho;ＭＳ 明朝" w:cs="Times Ext Roman"/>
          <w:szCs w:val="21"/>
          <w:lang w:eastAsia="hi-IN" w:bidi="en-GB"/>
        </w:rPr>
        <w:t xml:space="preserve">, and, as they finished, they appropriated for themselves 27 young bulls among the Kuru-Pañcālas. The story, which can be found also later in MhB IX, 41, is that of the ritual dispute between the </w:t>
      </w:r>
      <w:r>
        <w:rPr>
          <w:rFonts w:eastAsia="MS Mincho;ＭＳ 明朝" w:cs="Times Ext Roman"/>
          <w:i/>
          <w:iCs/>
          <w:szCs w:val="21"/>
          <w:lang w:eastAsia="hi-IN" w:bidi="en-GB"/>
        </w:rPr>
        <w:t>r̥</w:t>
      </w:r>
      <w:r>
        <w:rPr>
          <w:rFonts w:eastAsia="MS Mincho;ＭＳ 明朝" w:cs="Times Ext Roman"/>
          <w:i/>
          <w:iCs/>
          <w:szCs w:val="21"/>
          <w:lang w:eastAsia="hi-IN" w:bidi="en-GB"/>
        </w:rPr>
        <w:t>ṣ</w:t>
      </w:r>
      <w:r>
        <w:rPr>
          <w:rFonts w:eastAsia="MS Mincho;ＭＳ 明朝" w:cs="Times Ext Roman"/>
          <w:i/>
          <w:iCs/>
          <w:szCs w:val="21"/>
          <w:lang w:eastAsia="hi-IN" w:bidi="en-GB"/>
        </w:rPr>
        <w:t>i</w:t>
      </w:r>
      <w:r>
        <w:rPr>
          <w:rFonts w:eastAsia="MS Mincho;ＭＳ 明朝" w:cs="Times Ext Roman"/>
          <w:szCs w:val="21"/>
          <w:lang w:eastAsia="hi-IN" w:bidi="en-GB"/>
        </w:rPr>
        <w:t xml:space="preserve"> Vaka (or Baka) Dālbhya and the king Dhr̥tarā</w:t>
      </w:r>
      <w:r>
        <w:rPr>
          <w:rFonts w:eastAsia="MS Mincho;ＭＳ 明朝" w:cs="Times Ext Roman"/>
          <w:szCs w:val="21"/>
          <w:lang w:eastAsia="hi-IN" w:bidi="en-GB"/>
        </w:rPr>
        <w:t>ṣṭ</w:t>
      </w:r>
      <w:r>
        <w:rPr>
          <w:rFonts w:eastAsia="MS Mincho;ＭＳ 明朝" w:cs="Times Ext Roman"/>
          <w:szCs w:val="21"/>
          <w:lang w:eastAsia="hi-IN" w:bidi="en-GB"/>
        </w:rPr>
        <w:t>ra. Altho</w:t>
      </w:r>
      <w:r>
        <w:rPr>
          <w:rFonts w:eastAsia="MS Mincho;ＭＳ 明朝" w:cs="Times Ext Roman"/>
          <w:szCs w:val="21"/>
          <w:lang w:eastAsia="hi-IN" w:bidi="en-GB"/>
        </w:rPr>
        <w:t xml:space="preserve">ugh </w:t>
      </w:r>
      <w:r>
        <w:rPr>
          <w:rStyle w:val="biblio-authorGEN"/>
          <w:rFonts w:eastAsia="MS Mincho;ＭＳ 明朝" w:cs="Times Ext Roman"/>
          <w:color w:val="000000"/>
          <w:szCs w:val="18"/>
          <w:lang w:eastAsia="hi-IN" w:bidi="en-GB"/>
        </w:rPr>
        <w:t>Falk</w:t>
      </w:r>
      <w:r>
        <w:rPr>
          <w:rFonts w:eastAsia="MS Mincho;ＭＳ 明朝" w:cs="Times Ext Roman"/>
          <w:color w:val="000000"/>
          <w:szCs w:val="21"/>
          <w:lang w:eastAsia="hi-IN" w:bidi="en-GB"/>
        </w:rPr>
        <w:t xml:space="preserve"> (1986: 59) translates the verb </w:t>
      </w:r>
      <w:r>
        <w:rPr>
          <w:rFonts w:eastAsia="MS Mincho;ＭＳ 明朝" w:cs="Times Ext Roman"/>
          <w:i/>
          <w:iCs/>
          <w:color w:val="000000"/>
          <w:szCs w:val="18"/>
          <w:lang w:eastAsia="hi-IN" w:bidi="en-GB"/>
        </w:rPr>
        <w:t>avanvata</w:t>
      </w:r>
      <w:r>
        <w:rPr>
          <w:rFonts w:eastAsia="MS Mincho;ＭＳ 明朝" w:cs="Times Ext Roman"/>
          <w:color w:val="000000"/>
          <w:szCs w:val="21"/>
          <w:lang w:eastAsia="hi-IN" w:bidi="en-GB"/>
        </w:rPr>
        <w:t xml:space="preserve"> with “verlangten”, it seems quite probable that the Nami</w:t>
      </w:r>
      <w:r>
        <w:rPr>
          <w:rFonts w:eastAsia="MS Mincho;ＭＳ 明朝" w:cs="Times Ext Roman"/>
          <w:color w:val="000000"/>
          <w:szCs w:val="21"/>
          <w:lang w:eastAsia="hi-IN" w:bidi="en-GB"/>
        </w:rPr>
        <w:t>ṣ</w:t>
      </w:r>
      <w:r>
        <w:rPr>
          <w:rFonts w:eastAsia="MS Mincho;ＭＳ 明朝" w:cs="Times Ext Roman"/>
          <w:color w:val="000000"/>
          <w:szCs w:val="21"/>
          <w:lang w:eastAsia="hi-IN" w:bidi="en-GB"/>
        </w:rPr>
        <w:t xml:space="preserve">yas appropriated the bulls. </w:t>
      </w:r>
    </w:p>
    <w:p w14:paraId="6A0BB9F0" w14:textId="77777777" w:rsidR="00E53EB6" w:rsidRDefault="006500F5">
      <w:pPr>
        <w:pStyle w:val="HaupttextohneEinzug"/>
      </w:pPr>
      <w:r>
        <w:t>The last occurrence is the rain (</w:t>
      </w:r>
      <w:r>
        <w:rPr>
          <w:i/>
          <w:iCs/>
        </w:rPr>
        <w:t>vŕ̥</w:t>
      </w:r>
      <w:r>
        <w:rPr>
          <w:i/>
          <w:iCs/>
        </w:rPr>
        <w:t>ṣṭ</w:t>
      </w:r>
      <w:r>
        <w:rPr>
          <w:i/>
          <w:iCs/>
        </w:rPr>
        <w:t>i-</w:t>
      </w:r>
      <w:r>
        <w:t>) that is appropriated by the man from the Maruts.</w:t>
      </w:r>
      <w:r>
        <w:t xml:space="preserve"> </w:t>
      </w:r>
    </w:p>
    <w:p w14:paraId="5EE90E0B" w14:textId="77777777" w:rsidR="00E53EB6" w:rsidRDefault="006500F5">
      <w:pPr>
        <w:pStyle w:val="Zitat"/>
      </w:pPr>
      <w:r>
        <w:t xml:space="preserve">MS 4.1.14: </w:t>
      </w:r>
      <w:r>
        <w:rPr>
          <w:i/>
          <w:iCs/>
          <w:color w:val="000000"/>
        </w:rPr>
        <w:t xml:space="preserve">marúto vaí </w:t>
      </w:r>
      <w:r>
        <w:rPr>
          <w:i/>
          <w:iCs/>
          <w:color w:val="000000"/>
        </w:rPr>
        <w:t>vŕ̥</w:t>
      </w:r>
      <w:r>
        <w:rPr>
          <w:i/>
          <w:iCs/>
          <w:color w:val="000000"/>
        </w:rPr>
        <w:t>ṣṭ</w:t>
      </w:r>
      <w:r>
        <w:rPr>
          <w:i/>
          <w:iCs/>
          <w:color w:val="000000"/>
        </w:rPr>
        <w:t>yā ī</w:t>
      </w:r>
      <w:r>
        <w:rPr>
          <w:i/>
          <w:iCs/>
          <w:color w:val="000000"/>
        </w:rPr>
        <w:t>ṣ</w:t>
      </w:r>
      <w:r>
        <w:rPr>
          <w:i/>
          <w:iCs/>
          <w:color w:val="000000"/>
        </w:rPr>
        <w:t>ate te ‘smai vŕ̥</w:t>
      </w:r>
      <w:r>
        <w:rPr>
          <w:i/>
          <w:iCs/>
          <w:color w:val="000000"/>
        </w:rPr>
        <w:t>ṣṭ</w:t>
      </w:r>
      <w:r>
        <w:rPr>
          <w:i/>
          <w:iCs/>
          <w:color w:val="000000"/>
        </w:rPr>
        <w:t>i</w:t>
      </w:r>
      <w:r>
        <w:rPr>
          <w:i/>
          <w:iCs/>
          <w:color w:val="000000"/>
        </w:rPr>
        <w:t>ṃ</w:t>
      </w:r>
      <w:r>
        <w:rPr>
          <w:i/>
          <w:iCs/>
          <w:color w:val="000000"/>
        </w:rPr>
        <w:t xml:space="preserve"> nínayanti  táto no vr̥</w:t>
      </w:r>
      <w:r>
        <w:rPr>
          <w:i/>
          <w:iCs/>
          <w:color w:val="000000"/>
        </w:rPr>
        <w:t>ṣṭ</w:t>
      </w:r>
      <w:r>
        <w:rPr>
          <w:i/>
          <w:iCs/>
          <w:color w:val="000000"/>
        </w:rPr>
        <w:t>yā́vatéti marúdbhya evá vŕ̥</w:t>
      </w:r>
      <w:r>
        <w:rPr>
          <w:i/>
          <w:iCs/>
          <w:color w:val="000000"/>
        </w:rPr>
        <w:t>ṣ</w:t>
      </w:r>
      <w:r>
        <w:rPr>
          <w:i/>
          <w:iCs/>
          <w:color w:val="000000"/>
        </w:rPr>
        <w:t>r̥i</w:t>
      </w:r>
      <w:r>
        <w:rPr>
          <w:i/>
          <w:iCs/>
          <w:color w:val="000000"/>
        </w:rPr>
        <w:t>ṃ</w:t>
      </w:r>
      <w:r>
        <w:rPr>
          <w:i/>
          <w:iCs/>
          <w:color w:val="000000"/>
        </w:rPr>
        <w:t xml:space="preserve"> vanute cak</w:t>
      </w:r>
      <w:r>
        <w:rPr>
          <w:i/>
          <w:iCs/>
          <w:color w:val="000000"/>
        </w:rPr>
        <w:t>ṣ</w:t>
      </w:r>
      <w:r>
        <w:rPr>
          <w:i/>
          <w:iCs/>
          <w:color w:val="000000"/>
        </w:rPr>
        <w:t>u</w:t>
      </w:r>
      <w:r>
        <w:rPr>
          <w:i/>
          <w:iCs/>
          <w:color w:val="000000"/>
        </w:rPr>
        <w:t>ṣ</w:t>
      </w:r>
      <w:r>
        <w:rPr>
          <w:i/>
          <w:iCs/>
          <w:color w:val="000000"/>
        </w:rPr>
        <w:t>pā́ agne ‘si cák</w:t>
      </w:r>
      <w:r>
        <w:rPr>
          <w:i/>
          <w:iCs/>
          <w:color w:val="000000"/>
        </w:rPr>
        <w:t>ṣ</w:t>
      </w:r>
      <w:r>
        <w:rPr>
          <w:i/>
          <w:iCs/>
          <w:color w:val="000000"/>
        </w:rPr>
        <w:t>urme pāhóti cák</w:t>
      </w:r>
      <w:r>
        <w:rPr>
          <w:i/>
          <w:iCs/>
          <w:color w:val="000000"/>
        </w:rPr>
        <w:t>ṣ</w:t>
      </w:r>
      <w:r>
        <w:rPr>
          <w:i/>
          <w:iCs/>
          <w:color w:val="000000"/>
        </w:rPr>
        <w:t>urevā́sya pāti</w:t>
      </w:r>
    </w:p>
    <w:p w14:paraId="2DCC9E61" w14:textId="77777777" w:rsidR="00E53EB6" w:rsidRDefault="006500F5">
      <w:pPr>
        <w:pStyle w:val="Zitat"/>
      </w:pPr>
      <w:r>
        <w:rPr>
          <w:color w:val="000000"/>
        </w:rPr>
        <w:t>Marut indeed are master through the rain, they lead the rain to this one, from that ‘favour us with rain</w:t>
      </w:r>
      <w:r>
        <w:rPr>
          <w:color w:val="000000"/>
        </w:rPr>
        <w:t xml:space="preserve">’ he says, from the Marut he </w:t>
      </w:r>
      <w:r>
        <w:rPr>
          <w:color w:val="000000"/>
          <w:u w:val="single"/>
        </w:rPr>
        <w:t>appropriates for himself</w:t>
      </w:r>
      <w:r>
        <w:rPr>
          <w:color w:val="000000"/>
        </w:rPr>
        <w:t xml:space="preserve"> the rain, indeed; ‘o Agni, you are the protecting of the eyesight, protect my eyes’ he says, he protects indeed the eyes of this one.</w:t>
      </w:r>
    </w:p>
    <w:p w14:paraId="1DE4B5AC" w14:textId="77777777" w:rsidR="00E53EB6" w:rsidRDefault="006500F5">
      <w:pPr>
        <w:pStyle w:val="HaupttextnachZitat"/>
      </w:pPr>
      <w:r>
        <w:rPr>
          <w:rFonts w:eastAsia="CharisSIL" w:cs="CharisSIL"/>
          <w:color w:val="000000"/>
        </w:rPr>
        <w:t xml:space="preserve">We find the rain as object of </w:t>
      </w:r>
      <w:r>
        <w:rPr>
          <w:rFonts w:eastAsia="CharisSIL" w:cs="CharisSIL"/>
          <w:i/>
          <w:iCs/>
          <w:color w:val="000000"/>
        </w:rPr>
        <w:t xml:space="preserve">van- </w:t>
      </w:r>
      <w:r>
        <w:rPr>
          <w:rFonts w:eastAsia="CharisSIL" w:cs="CharisSIL"/>
          <w:color w:val="000000"/>
        </w:rPr>
        <w:t>again in the the Brāhma</w:t>
      </w:r>
      <w:r>
        <w:rPr>
          <w:rFonts w:eastAsia="CharisSIL" w:cs="CharisSIL"/>
          <w:color w:val="000000"/>
        </w:rPr>
        <w:t>ṇ</w:t>
      </w:r>
      <w:r>
        <w:rPr>
          <w:rFonts w:eastAsia="CharisSIL" w:cs="CharisSIL"/>
          <w:color w:val="000000"/>
        </w:rPr>
        <w:t xml:space="preserve">a-Level, </w:t>
      </w:r>
      <w:r>
        <w:rPr>
          <w:rFonts w:eastAsia="CharisSIL" w:cs="CharisSIL"/>
          <w:color w:val="000000"/>
        </w:rPr>
        <w:t>where there is only one attestation of the verb, namely in</w:t>
      </w:r>
      <w:r>
        <w:t xml:space="preserve"> ŚB 3.8.2.2. Here the object is once more the rain (</w:t>
      </w:r>
      <w:r>
        <w:rPr>
          <w:i/>
          <w:iCs/>
        </w:rPr>
        <w:t>vŕ̥</w:t>
      </w:r>
      <w:r>
        <w:rPr>
          <w:i/>
          <w:iCs/>
        </w:rPr>
        <w:t>ṣṭ</w:t>
      </w:r>
      <w:r>
        <w:rPr>
          <w:i/>
          <w:iCs/>
        </w:rPr>
        <w:t>i-</w:t>
      </w:r>
      <w:r>
        <w:t xml:space="preserve">) </w:t>
      </w:r>
      <w:r>
        <w:t>appropriated by Agni appropriating the two drops (</w:t>
      </w:r>
      <w:r>
        <w:rPr>
          <w:i/>
          <w:iCs/>
        </w:rPr>
        <w:t>stoká-</w:t>
      </w:r>
      <w:r>
        <w:t xml:space="preserve">); as we have seen in </w:t>
      </w:r>
      <w:r>
        <w:rPr>
          <w:rFonts w:eastAsia="MS Mincho;ＭＳ 明朝" w:cs="Times Ext Roman"/>
          <w:szCs w:val="21"/>
          <w:lang w:eastAsia="hi-IN" w:bidi="en-GB"/>
        </w:rPr>
        <w:t xml:space="preserve">MS 4.1.10 (non-R̥V </w:t>
      </w:r>
      <w:r>
        <w:rPr>
          <w:rFonts w:eastAsia="MS Mincho;ＭＳ 明朝" w:cs="Times Ext Roman"/>
          <w:i/>
          <w:iCs/>
          <w:szCs w:val="21"/>
          <w:lang w:eastAsia="hi-IN" w:bidi="en-GB"/>
        </w:rPr>
        <w:t>mantra</w:t>
      </w:r>
      <w:r>
        <w:rPr>
          <w:rFonts w:eastAsia="MS Mincho;ＭＳ 明朝" w:cs="Times Ext Roman"/>
          <w:szCs w:val="21"/>
          <w:lang w:eastAsia="hi-IN" w:bidi="en-GB"/>
        </w:rPr>
        <w:t>)</w:t>
      </w:r>
      <w:r>
        <w:rPr>
          <w:rFonts w:eastAsia="MS Mincho;ＭＳ 明朝" w:cs="Times Ext Roman"/>
          <w:i/>
          <w:iCs/>
          <w:szCs w:val="21"/>
          <w:lang w:eastAsia="hi-IN" w:bidi="en-GB"/>
        </w:rPr>
        <w:t xml:space="preserve"> </w:t>
      </w:r>
      <w:r>
        <w:t>and</w:t>
      </w:r>
      <w:r>
        <w:rPr>
          <w:rFonts w:eastAsia="MS Mincho;ＭＳ 明朝" w:cs="Times Ext Roman"/>
          <w:szCs w:val="21"/>
          <w:lang w:eastAsia="hi-IN" w:bidi="en-GB"/>
        </w:rPr>
        <w:t xml:space="preserve"> MS 4.1.14 (expository prose</w:t>
      </w:r>
      <w:r>
        <w:rPr>
          <w:rFonts w:eastAsia="MS Mincho;ＭＳ 明朝" w:cs="Times Ext Roman"/>
          <w:szCs w:val="21"/>
          <w:lang w:eastAsia="hi-IN" w:bidi="en-GB"/>
        </w:rPr>
        <w:t>), both concerning a request for water, here it is again a matter of “passage” rather than of possessing.</w:t>
      </w:r>
    </w:p>
    <w:p w14:paraId="6A1A576E" w14:textId="77777777" w:rsidR="00E53EB6" w:rsidRDefault="006500F5">
      <w:pPr>
        <w:pStyle w:val="Hauptext"/>
      </w:pPr>
      <w:r>
        <w:t xml:space="preserve">In conclusion, considering all the passages we have analysed among the </w:t>
      </w:r>
      <w:r>
        <w:rPr>
          <w:i/>
          <w:iCs/>
        </w:rPr>
        <w:t xml:space="preserve">mantra </w:t>
      </w:r>
      <w:r>
        <w:t xml:space="preserve">and prose level, we may realise two aspects. </w:t>
      </w:r>
      <w:r>
        <w:t xml:space="preserve">Interestingly enough, what </w:t>
      </w:r>
      <w:r>
        <w:t xml:space="preserve">we labelled as “the elements of the rite” are not used anymore as object of </w:t>
      </w:r>
      <w:r>
        <w:rPr>
          <w:i/>
          <w:iCs/>
        </w:rPr>
        <w:t xml:space="preserve">van-. </w:t>
      </w:r>
      <w:r>
        <w:t>The verb does not only lose the specific ritual meaning, it</w:t>
      </w:r>
      <w:r>
        <w:rPr>
          <w:rFonts w:eastAsia="CharisSIL" w:cs="CharisSIL"/>
          <w:color w:val="000000"/>
        </w:rPr>
        <w:t xml:space="preserve"> also has no longer a significant connection with what concerns the condition of being inspired, as it was in the </w:t>
      </w:r>
      <w:r>
        <w:rPr>
          <w:rFonts w:eastAsia="CharisSIL" w:cs="CharisSIL"/>
          <w:i/>
          <w:iCs/>
          <w:color w:val="000000"/>
        </w:rPr>
        <w:t>R̥gveda Sa</w:t>
      </w:r>
      <w:r>
        <w:rPr>
          <w:rFonts w:eastAsia="CharisSIL" w:cs="CharisSIL"/>
          <w:i/>
          <w:iCs/>
          <w:color w:val="000000"/>
        </w:rPr>
        <w:t>ṃ</w:t>
      </w:r>
      <w:r>
        <w:rPr>
          <w:rFonts w:eastAsia="CharisSIL" w:cs="CharisSIL"/>
          <w:i/>
          <w:iCs/>
          <w:color w:val="000000"/>
        </w:rPr>
        <w:t xml:space="preserve">hitā </w:t>
      </w:r>
      <w:r>
        <w:rPr>
          <w:rFonts w:eastAsia="CharisSIL" w:cs="CharisSIL"/>
          <w:color w:val="000000"/>
        </w:rPr>
        <w:t>and in the R̥gvedic quotations within the liturgical texts. We may say that the nuclear meaning is shifting in its use and in the linguistic perception. It stands for the appropriation of some goods, a material one, like in KS 10.6; 10.3; M</w:t>
      </w:r>
      <w:r>
        <w:rPr>
          <w:rFonts w:eastAsia="CharisSIL" w:cs="CharisSIL"/>
          <w:color w:val="000000"/>
        </w:rPr>
        <w:t xml:space="preserve">S 2.1.2 as well as in MS 4.1.14 and in ŚB 3.8.2.22 it is the rain, or something connected with the power, that of the king (like “water </w:t>
      </w:r>
      <w:r>
        <w:rPr>
          <w:rFonts w:eastAsia="CharisSIL" w:cs="CharisSIL"/>
          <w:i/>
          <w:iCs/>
          <w:color w:val="000000"/>
        </w:rPr>
        <w:t>mantra</w:t>
      </w:r>
      <w:r>
        <w:rPr>
          <w:rFonts w:eastAsia="CharisSIL" w:cs="CharisSIL"/>
          <w:color w:val="000000"/>
        </w:rPr>
        <w:t>” ŚB 5.3.4.27 which is to be found often also in the Sa</w:t>
      </w:r>
      <w:r>
        <w:rPr>
          <w:rFonts w:eastAsia="CharisSIL" w:cs="CharisSIL"/>
          <w:color w:val="000000"/>
        </w:rPr>
        <w:t>ṃ</w:t>
      </w:r>
      <w:r>
        <w:rPr>
          <w:rFonts w:eastAsia="CharisSIL" w:cs="CharisSIL"/>
          <w:color w:val="000000"/>
        </w:rPr>
        <w:t>hitās and it is maybe to be reckoned into the YV-Level) or</w:t>
      </w:r>
      <w:r>
        <w:rPr>
          <w:rFonts w:eastAsia="CharisSIL" w:cs="CharisSIL"/>
          <w:color w:val="000000"/>
        </w:rPr>
        <w:t xml:space="preserve"> that of the ascetic (TB 2.4.3.4, </w:t>
      </w:r>
      <w:r>
        <w:rPr>
          <w:rFonts w:eastAsia="CharisSIL" w:cs="CharisSIL"/>
          <w:i/>
          <w:iCs/>
          <w:color w:val="000000"/>
        </w:rPr>
        <w:t>tapas-</w:t>
      </w:r>
      <w:r>
        <w:rPr>
          <w:rFonts w:eastAsia="CharisSIL" w:cs="CharisSIL"/>
          <w:color w:val="000000"/>
        </w:rPr>
        <w:t xml:space="preserve">). There is still the idea of a passage between the micro- and the macrocosmos, like in TB 3.5.10.5 and ŚB 1.9.1.19, where Agni is the messenger; we can see the power of the idea of a continuous exchange between men </w:t>
      </w:r>
      <w:r>
        <w:rPr>
          <w:rFonts w:eastAsia="CharisSIL" w:cs="CharisSIL"/>
          <w:color w:val="000000"/>
        </w:rPr>
        <w:t xml:space="preserve">and gods also in MS 3.6.9 and KS 23.6, where </w:t>
      </w:r>
      <w:r>
        <w:rPr>
          <w:rFonts w:eastAsia="CharisSIL" w:cs="CharisSIL"/>
          <w:i/>
          <w:iCs/>
          <w:color w:val="000000"/>
        </w:rPr>
        <w:t>van- / van</w:t>
      </w:r>
      <w:r>
        <w:rPr>
          <w:rFonts w:eastAsia="CharisSIL" w:cs="CharisSIL"/>
          <w:i/>
          <w:iCs/>
          <w:color w:val="000000"/>
          <w:vertAlign w:val="superscript"/>
        </w:rPr>
        <w:t>i</w:t>
      </w:r>
      <w:r>
        <w:rPr>
          <w:rFonts w:eastAsia="CharisSIL" w:cs="CharisSIL"/>
          <w:i/>
          <w:iCs/>
          <w:color w:val="000000"/>
        </w:rPr>
        <w:t xml:space="preserve">- </w:t>
      </w:r>
      <w:r>
        <w:rPr>
          <w:rFonts w:eastAsia="CharisSIL" w:cs="CharisSIL"/>
          <w:color w:val="000000"/>
        </w:rPr>
        <w:t xml:space="preserve">is still used in relation to what will be the support of the sacrifice, the </w:t>
      </w:r>
      <w:r>
        <w:rPr>
          <w:rFonts w:eastAsia="CharisSIL" w:cs="CharisSIL"/>
          <w:i/>
          <w:iCs/>
          <w:color w:val="000000"/>
        </w:rPr>
        <w:t>dak</w:t>
      </w:r>
      <w:r>
        <w:rPr>
          <w:rFonts w:eastAsia="CharisSIL" w:cs="CharisSIL"/>
          <w:i/>
          <w:iCs/>
          <w:color w:val="000000"/>
        </w:rPr>
        <w:t>ṣ</w:t>
      </w:r>
      <w:r>
        <w:rPr>
          <w:rFonts w:eastAsia="CharisSIL" w:cs="CharisSIL"/>
          <w:i/>
          <w:iCs/>
          <w:color w:val="000000"/>
        </w:rPr>
        <w:t>i</w:t>
      </w:r>
      <w:r>
        <w:rPr>
          <w:rFonts w:eastAsia="CharisSIL" w:cs="CharisSIL"/>
          <w:i/>
          <w:iCs/>
          <w:color w:val="000000"/>
        </w:rPr>
        <w:t>ṇ</w:t>
      </w:r>
      <w:r>
        <w:rPr>
          <w:rFonts w:eastAsia="CharisSIL" w:cs="CharisSIL"/>
          <w:i/>
          <w:iCs/>
          <w:color w:val="000000"/>
        </w:rPr>
        <w:t>ā</w:t>
      </w:r>
      <w:r>
        <w:rPr>
          <w:rFonts w:eastAsia="CharisSIL" w:cs="CharisSIL"/>
          <w:i/>
          <w:iCs/>
          <w:color w:val="000000"/>
        </w:rPr>
        <w:t>ḥ</w:t>
      </w:r>
      <w:r>
        <w:rPr>
          <w:rFonts w:eastAsia="CharisSIL" w:cs="CharisSIL"/>
          <w:color w:val="000000"/>
        </w:rPr>
        <w:t>, the cows, and the sacrifice is the result of what the gods furnish the man with which will then be used by the m</w:t>
      </w:r>
      <w:r>
        <w:rPr>
          <w:rFonts w:eastAsia="CharisSIL" w:cs="CharisSIL"/>
          <w:color w:val="000000"/>
        </w:rPr>
        <w:t>en to create the sacrifice that eventually will reach, on turn, the gods. Moreover, the nuclear meaning of the verb</w:t>
      </w:r>
      <w:r>
        <w:rPr>
          <w:rFonts w:eastAsia="CharisSIL" w:cs="CharisSIL"/>
          <w:i/>
          <w:iCs/>
          <w:color w:val="000000"/>
        </w:rPr>
        <w:t xml:space="preserve"> </w:t>
      </w:r>
      <w:r>
        <w:rPr>
          <w:rFonts w:eastAsia="CharisSIL" w:cs="CharisSIL"/>
          <w:color w:val="000000"/>
        </w:rPr>
        <w:t>seems, in these occurrences, to convey almost always the idea of the passage, and moreover this meaning is somehow overlapping and taking ov</w:t>
      </w:r>
      <w:r>
        <w:rPr>
          <w:rFonts w:eastAsia="CharisSIL" w:cs="CharisSIL"/>
          <w:color w:val="000000"/>
        </w:rPr>
        <w:t xml:space="preserve">er that of possessing. This aspect of the verb was a component of the idea of appropriating already in the </w:t>
      </w:r>
      <w:r>
        <w:rPr>
          <w:rFonts w:eastAsia="CharisSIL" w:cs="CharisSIL"/>
          <w:i/>
          <w:iCs/>
          <w:color w:val="000000"/>
        </w:rPr>
        <w:t>R̥gveda Sa</w:t>
      </w:r>
      <w:r>
        <w:rPr>
          <w:rFonts w:eastAsia="CharisSIL" w:cs="CharisSIL"/>
          <w:i/>
          <w:iCs/>
          <w:color w:val="000000"/>
        </w:rPr>
        <w:t>ṃ</w:t>
      </w:r>
      <w:r>
        <w:rPr>
          <w:rFonts w:eastAsia="CharisSIL" w:cs="CharisSIL"/>
          <w:i/>
          <w:iCs/>
          <w:color w:val="000000"/>
        </w:rPr>
        <w:t xml:space="preserve">hitā </w:t>
      </w:r>
      <w:r>
        <w:rPr>
          <w:rFonts w:eastAsia="CharisSIL" w:cs="CharisSIL"/>
          <w:color w:val="000000"/>
        </w:rPr>
        <w:t xml:space="preserve">where we can often find </w:t>
      </w:r>
      <w:r>
        <w:rPr>
          <w:rFonts w:eastAsia="CharisSIL" w:cs="CharisSIL"/>
          <w:i/>
          <w:iCs/>
          <w:color w:val="000000"/>
        </w:rPr>
        <w:t>van- / van</w:t>
      </w:r>
      <w:r>
        <w:rPr>
          <w:rFonts w:eastAsia="CharisSIL" w:cs="CharisSIL"/>
          <w:i/>
          <w:iCs/>
          <w:color w:val="000000"/>
          <w:vertAlign w:val="superscript"/>
        </w:rPr>
        <w:t>i</w:t>
      </w:r>
      <w:r>
        <w:rPr>
          <w:rFonts w:eastAsia="CharisSIL" w:cs="CharisSIL"/>
          <w:i/>
          <w:iCs/>
          <w:color w:val="000000"/>
        </w:rPr>
        <w:t xml:space="preserve">- </w:t>
      </w:r>
      <w:r>
        <w:rPr>
          <w:rFonts w:eastAsia="CharisSIL" w:cs="CharisSIL"/>
          <w:color w:val="000000"/>
        </w:rPr>
        <w:t xml:space="preserve">together with the </w:t>
      </w:r>
      <w:r>
        <w:rPr>
          <w:rFonts w:eastAsia="CharisSIL" w:cs="CharisSIL"/>
          <w:color w:val="000000"/>
        </w:rPr>
        <w:t xml:space="preserve">benefactive dative- </w:t>
      </w:r>
      <w:r>
        <w:rPr>
          <w:rFonts w:eastAsia="CharisSIL" w:cs="CharisSIL"/>
          <w:i/>
          <w:iCs/>
          <w:color w:val="000000"/>
        </w:rPr>
        <w:t>dativus commodi</w:t>
      </w:r>
      <w:r>
        <w:rPr>
          <w:rFonts w:eastAsia="CharisSIL" w:cs="CharisSIL"/>
          <w:color w:val="000000"/>
        </w:rPr>
        <w:t>.</w:t>
      </w:r>
      <w:r>
        <w:rPr>
          <w:rFonts w:eastAsia="CharisSIL" w:cs="CharisSIL"/>
          <w:color w:val="000000"/>
        </w:rPr>
        <w:t xml:space="preserve"> </w:t>
      </w:r>
      <w:r>
        <w:rPr>
          <w:rFonts w:eastAsia="CharisSIL" w:cs="CharisSIL"/>
          <w:color w:val="000000"/>
          <w:szCs w:val="21"/>
        </w:rPr>
        <w:t>Moreover, the commentators often gloss th</w:t>
      </w:r>
      <w:r>
        <w:rPr>
          <w:rFonts w:eastAsia="CharisSIL" w:cs="CharisSIL"/>
          <w:color w:val="000000"/>
          <w:szCs w:val="21"/>
        </w:rPr>
        <w:t xml:space="preserve">e verb with </w:t>
      </w:r>
      <w:r>
        <w:rPr>
          <w:rFonts w:eastAsia="CharisSIL" w:cs="CharisSIL"/>
          <w:i/>
          <w:iCs/>
          <w:color w:val="000000"/>
          <w:szCs w:val="21"/>
        </w:rPr>
        <w:t>dā-</w:t>
      </w:r>
      <w:r>
        <w:rPr>
          <w:rFonts w:eastAsia="CharisSIL" w:cs="CharisSIL"/>
          <w:color w:val="000000"/>
          <w:szCs w:val="21"/>
        </w:rPr>
        <w:t xml:space="preserve"> “to give” (cf. TB 2.4.8.1) or </w:t>
      </w:r>
      <w:r>
        <w:rPr>
          <w:rFonts w:eastAsia="CharisSIL" w:cs="CharisSIL"/>
          <w:i/>
          <w:iCs/>
          <w:color w:val="000000"/>
          <w:szCs w:val="21"/>
        </w:rPr>
        <w:t>sambhaj</w:t>
      </w:r>
      <w:r>
        <w:rPr>
          <w:rFonts w:eastAsia="CharisSIL" w:cs="CharisSIL"/>
          <w:i/>
          <w:iCs/>
          <w:color w:val="000000"/>
          <w:szCs w:val="21"/>
        </w:rPr>
        <w:t xml:space="preserve">- </w:t>
      </w:r>
      <w:r>
        <w:rPr>
          <w:rFonts w:eastAsia="CharisSIL" w:cs="CharisSIL"/>
          <w:color w:val="000000"/>
          <w:szCs w:val="21"/>
        </w:rPr>
        <w:t>“to grant” “to distribute” (cf. TB 3.5.10.5): that is an idea of sharing rather than possessing. As an example, in TB 2.4.3.4-5, both Bha</w:t>
      </w:r>
      <w:r>
        <w:rPr>
          <w:rFonts w:eastAsia="CharisSIL" w:cs="CharisSIL"/>
          <w:color w:val="000000"/>
          <w:szCs w:val="21"/>
        </w:rPr>
        <w:t>ṭṭ</w:t>
      </w:r>
      <w:r>
        <w:rPr>
          <w:rFonts w:eastAsia="CharisSIL" w:cs="CharisSIL"/>
          <w:color w:val="000000"/>
          <w:szCs w:val="21"/>
        </w:rPr>
        <w:t>a Bhaskara Miśra and  Sāya</w:t>
      </w:r>
      <w:r>
        <w:rPr>
          <w:rFonts w:eastAsia="CharisSIL" w:cs="CharisSIL"/>
          <w:color w:val="000000"/>
          <w:szCs w:val="21"/>
        </w:rPr>
        <w:t>ṇ</w:t>
      </w:r>
      <w:r>
        <w:rPr>
          <w:rFonts w:eastAsia="CharisSIL" w:cs="CharisSIL"/>
          <w:color w:val="000000"/>
          <w:szCs w:val="21"/>
        </w:rPr>
        <w:t xml:space="preserve">a gloss with </w:t>
      </w:r>
      <w:r>
        <w:rPr>
          <w:rFonts w:eastAsia="CharisSIL" w:cs="CharisSIL"/>
          <w:i/>
          <w:iCs/>
          <w:color w:val="000000"/>
          <w:szCs w:val="21"/>
        </w:rPr>
        <w:t>yācate</w:t>
      </w:r>
      <w:r>
        <w:rPr>
          <w:rFonts w:eastAsia="CharisSIL" w:cs="CharisSIL"/>
          <w:color w:val="000000"/>
          <w:szCs w:val="21"/>
        </w:rPr>
        <w:t xml:space="preserve"> “to ask” “to be</w:t>
      </w:r>
      <w:r>
        <w:rPr>
          <w:rFonts w:eastAsia="CharisSIL" w:cs="CharisSIL"/>
          <w:color w:val="000000"/>
          <w:szCs w:val="21"/>
        </w:rPr>
        <w:t xml:space="preserve">g”. So we should strongly consider if the non-R̥V occurrences besides showing the absence of the “elements of the rite” as object of </w:t>
      </w:r>
      <w:r>
        <w:rPr>
          <w:rFonts w:eastAsia="CharisSIL" w:cs="CharisSIL"/>
          <w:color w:val="000000"/>
          <w:szCs w:val="21"/>
        </w:rPr>
        <w:lastRenderedPageBreak/>
        <w:t>the verb and thus confirming the loss of the ritual meaning, they witness also the shift of the verb which is going into th</w:t>
      </w:r>
      <w:r>
        <w:rPr>
          <w:rFonts w:eastAsia="CharisSIL" w:cs="CharisSIL"/>
          <w:color w:val="000000"/>
          <w:szCs w:val="21"/>
        </w:rPr>
        <w:t>e direction of a kind of “extreme” sharing, which will result  in the meaning “to give”. The idea of possessing is almost completely lost (as we will also see in the Atharvavedic and classic Sanskrit occurrences) and slowly develops the idea of sharing whi</w:t>
      </w:r>
      <w:r>
        <w:rPr>
          <w:rFonts w:eastAsia="CharisSIL" w:cs="CharisSIL"/>
          <w:color w:val="000000"/>
          <w:szCs w:val="21"/>
        </w:rPr>
        <w:t xml:space="preserve">ch can be conceived as a development of the idea of “passage” that we saw as a fundamental feature of the nuclear meaning already in the </w:t>
      </w:r>
      <w:r>
        <w:rPr>
          <w:rFonts w:eastAsia="CharisSIL" w:cs="CharisSIL"/>
          <w:i/>
          <w:iCs/>
          <w:color w:val="000000"/>
          <w:szCs w:val="21"/>
        </w:rPr>
        <w:t>R̥gveda Sa</w:t>
      </w:r>
      <w:r>
        <w:rPr>
          <w:rFonts w:eastAsia="CharisSIL" w:cs="CharisSIL"/>
          <w:i/>
          <w:iCs/>
          <w:color w:val="000000"/>
          <w:szCs w:val="21"/>
        </w:rPr>
        <w:t>ṃ</w:t>
      </w:r>
      <w:r>
        <w:rPr>
          <w:rFonts w:eastAsia="CharisSIL" w:cs="CharisSIL"/>
          <w:i/>
          <w:iCs/>
          <w:color w:val="000000"/>
          <w:szCs w:val="21"/>
        </w:rPr>
        <w:t>hitā</w:t>
      </w:r>
      <w:r>
        <w:rPr>
          <w:rFonts w:eastAsia="CharisSIL" w:cs="CharisSIL"/>
          <w:color w:val="000000"/>
          <w:szCs w:val="21"/>
        </w:rPr>
        <w:t xml:space="preserve">.  </w:t>
      </w:r>
    </w:p>
    <w:p w14:paraId="0F990FE6" w14:textId="77777777" w:rsidR="00E53EB6" w:rsidRDefault="006500F5">
      <w:pPr>
        <w:pStyle w:val="Hauptext"/>
      </w:pPr>
      <w:r>
        <w:rPr>
          <w:rFonts w:eastAsia="CharisSIL" w:cs="CharisSIL"/>
          <w:color w:val="000000"/>
          <w:szCs w:val="21"/>
        </w:rPr>
        <w:t xml:space="preserve">To sum up, </w:t>
      </w:r>
      <w:r>
        <w:rPr>
          <w:rFonts w:eastAsia="CharisSIL" w:cs="CharisSIL"/>
          <w:color w:val="000000"/>
          <w:szCs w:val="21"/>
        </w:rPr>
        <w:t xml:space="preserve"> it seems that in the post R̥gvedic period the rite is gaining a new and stronger positio</w:t>
      </w:r>
      <w:r>
        <w:rPr>
          <w:rFonts w:eastAsia="CharisSIL" w:cs="CharisSIL"/>
          <w:color w:val="000000"/>
          <w:szCs w:val="21"/>
        </w:rPr>
        <w:t xml:space="preserve">n. It must be able to assure a convenient result. Moreover it has to present itself as a procedure whose steps can be completely controlled. The language to talk about this is conforming itself to the new issues. The inspiration and the skills of a single </w:t>
      </w:r>
      <w:r>
        <w:rPr>
          <w:rFonts w:eastAsia="CharisSIL" w:cs="CharisSIL"/>
          <w:color w:val="000000"/>
          <w:szCs w:val="21"/>
        </w:rPr>
        <w:t xml:space="preserve">individual cannot play anymore a significant role within the whole process. Thus, the words referring to such an uncontrollable ingredient as inspiration cannot be a significant part of the ritual language. The verb </w:t>
      </w:r>
      <w:r>
        <w:rPr>
          <w:rFonts w:eastAsia="CharisSIL" w:cs="CharisSIL"/>
          <w:i/>
          <w:iCs/>
          <w:color w:val="000000"/>
          <w:szCs w:val="21"/>
        </w:rPr>
        <w:t>van- / van</w:t>
      </w:r>
      <w:r>
        <w:rPr>
          <w:rFonts w:eastAsia="CharisSIL" w:cs="CharisSIL"/>
          <w:i/>
          <w:iCs/>
          <w:color w:val="000000"/>
          <w:szCs w:val="21"/>
          <w:vertAlign w:val="superscript"/>
        </w:rPr>
        <w:t>i</w:t>
      </w:r>
      <w:r>
        <w:rPr>
          <w:rFonts w:eastAsia="CharisSIL" w:cs="CharisSIL"/>
          <w:i/>
          <w:iCs/>
          <w:color w:val="000000"/>
          <w:szCs w:val="21"/>
        </w:rPr>
        <w:t xml:space="preserve">- </w:t>
      </w:r>
      <w:r>
        <w:rPr>
          <w:rFonts w:eastAsia="CharisSIL" w:cs="CharisSIL"/>
          <w:color w:val="000000"/>
          <w:szCs w:val="21"/>
        </w:rPr>
        <w:t xml:space="preserve">is fading, as most of </w:t>
      </w:r>
      <w:r>
        <w:rPr>
          <w:rFonts w:eastAsia="CharisSIL" w:cs="CharisSIL"/>
          <w:color w:val="000000"/>
          <w:szCs w:val="21"/>
        </w:rPr>
        <w:t>its occurrences are R̥gvedic quotations. What survives, is the nuclear meaning, though leaning towards the idea of giving more than possessing, while its ritual meaning and the connection with the semantic field of inspiration is lost.  Here an implementat</w:t>
      </w:r>
      <w:r>
        <w:rPr>
          <w:rFonts w:eastAsia="CharisSIL" w:cs="CharisSIL"/>
          <w:color w:val="000000"/>
          <w:szCs w:val="21"/>
        </w:rPr>
        <w:t>ion of the scheme proposed in §II.3:</w:t>
      </w:r>
    </w:p>
    <w:p w14:paraId="7E03A479" w14:textId="77777777" w:rsidR="00E53EB6" w:rsidRDefault="00E53EB6">
      <w:pPr>
        <w:pStyle w:val="HaupttextohneEinzug"/>
        <w:rPr>
          <w:rFonts w:eastAsia="CharisSIL" w:cs="CharisSIL"/>
          <w:color w:val="000000"/>
          <w:szCs w:val="21"/>
        </w:rPr>
      </w:pPr>
    </w:p>
    <w:p w14:paraId="6CC99F74" w14:textId="77777777" w:rsidR="00E53EB6" w:rsidRDefault="006500F5">
      <w:pPr>
        <w:pStyle w:val="HaupttextohneEinzug"/>
        <w:sectPr w:rsidR="00E53EB6">
          <w:headerReference w:type="even" r:id="rId31"/>
          <w:headerReference w:type="default" r:id="rId32"/>
          <w:footerReference w:type="even" r:id="rId33"/>
          <w:footerReference w:type="default" r:id="rId34"/>
          <w:pgSz w:w="11906" w:h="16838"/>
          <w:pgMar w:top="1917" w:right="1418" w:bottom="2235" w:left="1700" w:header="1418" w:footer="1700" w:gutter="0"/>
          <w:cols w:space="720"/>
          <w:formProt w:val="0"/>
          <w:docGrid w:linePitch="600" w:charSpace="38911"/>
        </w:sectPr>
      </w:pPr>
      <w:r>
        <w:rPr>
          <w:noProof/>
        </w:rPr>
        <w:drawing>
          <wp:anchor distT="0" distB="0" distL="0" distR="0" simplePos="0" relativeHeight="4" behindDoc="0" locked="0" layoutInCell="0" allowOverlap="1" wp14:anchorId="0EFC3EE2" wp14:editId="7E052D9A">
            <wp:simplePos x="0" y="0"/>
            <wp:positionH relativeFrom="column">
              <wp:align>center</wp:align>
            </wp:positionH>
            <wp:positionV relativeFrom="paragraph">
              <wp:posOffset>635</wp:posOffset>
            </wp:positionV>
            <wp:extent cx="5580380" cy="3487420"/>
            <wp:effectExtent l="0" t="0" r="0" b="0"/>
            <wp:wrapSquare wrapText="largest"/>
            <wp:docPr id="4" name="graphic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s5"/>
                    <pic:cNvPicPr>
                      <a:picLocks noChangeAspect="1" noChangeArrowheads="1"/>
                    </pic:cNvPicPr>
                  </pic:nvPicPr>
                  <pic:blipFill>
                    <a:blip r:embed="rId35"/>
                    <a:stretch>
                      <a:fillRect/>
                    </a:stretch>
                  </pic:blipFill>
                  <pic:spPr bwMode="auto">
                    <a:xfrm>
                      <a:off x="0" y="0"/>
                      <a:ext cx="5580380" cy="3487420"/>
                    </a:xfrm>
                    <a:prstGeom prst="rect">
                      <a:avLst/>
                    </a:prstGeom>
                  </pic:spPr>
                </pic:pic>
              </a:graphicData>
            </a:graphic>
          </wp:anchor>
        </w:drawing>
      </w:r>
    </w:p>
    <w:p w14:paraId="0DF71BC1" w14:textId="77777777" w:rsidR="00E53EB6" w:rsidRDefault="006500F5">
      <w:pPr>
        <w:pStyle w:val="Heading1"/>
        <w:tabs>
          <w:tab w:val="left" w:pos="0"/>
        </w:tabs>
      </w:pPr>
      <w:r>
        <w:lastRenderedPageBreak/>
        <w:t>IV. “To desire”: a Synchronic Analysis</w:t>
      </w:r>
    </w:p>
    <w:p w14:paraId="5BF08345" w14:textId="77777777" w:rsidR="00E53EB6" w:rsidRDefault="006500F5">
      <w:pPr>
        <w:pStyle w:val="Hauptext"/>
      </w:pPr>
      <w:r>
        <w:t xml:space="preserve">Going back to our considerations at the end of </w:t>
      </w:r>
      <w:r>
        <w:t>the analysis of the R̥gvedic attestations, we must take notice of another piece of information of the survey done with so far. Through all these occurrences the semantic field of “desire” is completely absent, still this sense is to be speculated as one of</w:t>
      </w:r>
      <w:r>
        <w:t xml:space="preserve"> the meaning of the Indo-European antecedents of the Vedic verbal root. Moreover we have already said that as soon as the </w:t>
      </w:r>
      <w:r>
        <w:rPr>
          <w:i/>
          <w:iCs/>
        </w:rPr>
        <w:t>R̥gveda Sa</w:t>
      </w:r>
      <w:r>
        <w:rPr>
          <w:i/>
          <w:iCs/>
        </w:rPr>
        <w:t>ṃ</w:t>
      </w:r>
      <w:r>
        <w:rPr>
          <w:i/>
          <w:iCs/>
        </w:rPr>
        <w:t xml:space="preserve">hitā </w:t>
      </w:r>
      <w:r>
        <w:t xml:space="preserve">a nominal derivative of the root,  </w:t>
      </w:r>
      <w:r>
        <w:rPr>
          <w:i/>
          <w:iCs/>
        </w:rPr>
        <w:t>vāmá-,</w:t>
      </w:r>
      <w:r>
        <w:t xml:space="preserve"> conveys this sense. We speculated (§ II.3) two linguistic traditions, one at</w:t>
      </w:r>
      <w:r>
        <w:t xml:space="preserve">tested through the </w:t>
      </w:r>
      <w:r>
        <w:rPr>
          <w:i/>
          <w:iCs/>
        </w:rPr>
        <w:t>R̥gveda Sa</w:t>
      </w:r>
      <w:r>
        <w:rPr>
          <w:i/>
          <w:iCs/>
        </w:rPr>
        <w:t>ṃ</w:t>
      </w:r>
      <w:r>
        <w:rPr>
          <w:i/>
          <w:iCs/>
        </w:rPr>
        <w:t>hitā</w:t>
      </w:r>
      <w:r>
        <w:t xml:space="preserve"> and the other through the Atharvavedic anthologies.</w:t>
      </w:r>
      <w:r>
        <w:t xml:space="preserve"> It would be then useful to proceed focusing on the R̥gvedic and the post-R̥gvedic attestations of the primary derivatives in order to see if it is possible to spot this </w:t>
      </w:r>
      <w:r>
        <w:t xml:space="preserve">meaning in these occurrences also. </w:t>
      </w:r>
      <w:r>
        <w:t>This</w:t>
      </w:r>
      <w:r>
        <w:rPr>
          <w:szCs w:val="21"/>
        </w:rPr>
        <w:t xml:space="preserve"> avenue has its starting-point in the possibility that the semantic field of desire was first expressed in nominal stems. </w:t>
      </w:r>
    </w:p>
    <w:p w14:paraId="34E8C4D6" w14:textId="77777777" w:rsidR="00E53EB6" w:rsidRDefault="006500F5">
      <w:pPr>
        <w:pStyle w:val="Hauptext"/>
      </w:pPr>
      <w:r>
        <w:rPr>
          <w:szCs w:val="21"/>
        </w:rPr>
        <w:t xml:space="preserve">On the other side, if only </w:t>
      </w:r>
      <w:r>
        <w:rPr>
          <w:i/>
          <w:iCs/>
          <w:szCs w:val="21"/>
        </w:rPr>
        <w:t>vāmá-</w:t>
      </w:r>
      <w:r>
        <w:rPr>
          <w:szCs w:val="21"/>
        </w:rPr>
        <w:t xml:space="preserve"> is conveying the idea of desire, we should then verify in which degree the verbal root conveys this meaning in the Atharvavedic texts</w:t>
      </w:r>
      <w:r>
        <w:t xml:space="preserve">, </w:t>
      </w:r>
      <w:r>
        <w:t xml:space="preserve">and the extent of this use. This part of the work aims to verify whether the semantic field of desire is to be regarded </w:t>
      </w:r>
      <w:r>
        <w:t xml:space="preserve">as </w:t>
      </w:r>
      <w:r>
        <w:t xml:space="preserve">a nominal development or as a synchronic meaning of the verb </w:t>
      </w:r>
      <w:r>
        <w:rPr>
          <w:i/>
          <w:iCs/>
        </w:rPr>
        <w:t>van- / van</w:t>
      </w:r>
      <w:r>
        <w:rPr>
          <w:i/>
          <w:iCs/>
          <w:vertAlign w:val="superscript"/>
        </w:rPr>
        <w:t>i</w:t>
      </w:r>
      <w:r>
        <w:rPr>
          <w:i/>
          <w:iCs/>
        </w:rPr>
        <w:t xml:space="preserve">- </w:t>
      </w:r>
      <w:r>
        <w:t xml:space="preserve">as far as the Vedic period is concerned. Therefore we have to deploy a different prospective, which is not anymore focused on the chronological development of the root but rather </w:t>
      </w:r>
      <w:r>
        <w:t xml:space="preserve">on the different layers of the society that produced the Vedic </w:t>
      </w:r>
      <w:r>
        <w:rPr>
          <w:i/>
          <w:iCs/>
        </w:rPr>
        <w:t xml:space="preserve">corpus; </w:t>
      </w:r>
      <w:r>
        <w:t>that entails a diastratic prospective, through which we should try to outline which role the meaning “to desire” plays beside the linguistic development we have just described</w:t>
      </w:r>
      <w:r>
        <w:rPr>
          <w:i/>
          <w:iCs/>
        </w:rPr>
        <w:t xml:space="preserve">. </w:t>
      </w:r>
    </w:p>
    <w:p w14:paraId="60D40641" w14:textId="77777777" w:rsidR="00E53EB6" w:rsidRDefault="006500F5">
      <w:pPr>
        <w:pStyle w:val="Hauptext"/>
      </w:pPr>
      <w:r>
        <w:t xml:space="preserve">Due to </w:t>
      </w:r>
      <w:r>
        <w:t xml:space="preserve">the two textual analysis, this chapter is thus structured in two paragraphs: The first one (IV.1) will focus on the primary derivatives, and it begins (IV.1.1) with the R̥gvedic attestations followed by the analyses the post-R̥gvedic passages (IV.1.2). In </w:t>
      </w:r>
      <w:r>
        <w:t>the second half (IV.2) we will survey the occurrences of the verbal root in the Sa</w:t>
      </w:r>
      <w:r>
        <w:t>ṃ</w:t>
      </w:r>
      <w:r>
        <w:t xml:space="preserve">hitās of the Atharvaveda. </w:t>
      </w:r>
    </w:p>
    <w:p w14:paraId="4100D483" w14:textId="77777777" w:rsidR="00E53EB6" w:rsidRDefault="00E53EB6">
      <w:pPr>
        <w:pStyle w:val="HaupttextohneEinzug"/>
      </w:pPr>
    </w:p>
    <w:p w14:paraId="57E58AD1" w14:textId="77777777" w:rsidR="00E53EB6" w:rsidRDefault="006500F5">
      <w:pPr>
        <w:pStyle w:val="Heading2"/>
        <w:tabs>
          <w:tab w:val="left" w:pos="0"/>
        </w:tabs>
      </w:pPr>
      <w:r>
        <w:t>IV.1 Nominal Derivatives</w:t>
      </w:r>
    </w:p>
    <w:p w14:paraId="1C0B5CFA" w14:textId="77777777" w:rsidR="00E53EB6" w:rsidRDefault="006500F5">
      <w:pPr>
        <w:pStyle w:val="Hauptext"/>
        <w:rPr>
          <w:szCs w:val="21"/>
        </w:rPr>
      </w:pPr>
      <w:r>
        <w:rPr>
          <w:szCs w:val="21"/>
        </w:rPr>
        <w:t xml:space="preserve">The first part of the chapter takes into consideration each primary derivatives separately and examines the </w:t>
      </w:r>
      <w:r>
        <w:rPr>
          <w:szCs w:val="21"/>
        </w:rPr>
        <w:t>possible connection with the meaning “to desire”.</w:t>
      </w:r>
    </w:p>
    <w:p w14:paraId="7AFAAF9E" w14:textId="77777777" w:rsidR="00E53EB6" w:rsidRDefault="00E53EB6">
      <w:pPr>
        <w:pStyle w:val="HaupttextohneEinzug"/>
      </w:pPr>
    </w:p>
    <w:p w14:paraId="7E304791" w14:textId="77777777" w:rsidR="00E53EB6" w:rsidRDefault="006500F5">
      <w:pPr>
        <w:pStyle w:val="Heading3"/>
        <w:tabs>
          <w:tab w:val="left" w:pos="0"/>
        </w:tabs>
        <w:rPr>
          <w:sz w:val="22"/>
          <w:szCs w:val="22"/>
        </w:rPr>
      </w:pPr>
      <w:r>
        <w:rPr>
          <w:sz w:val="22"/>
          <w:szCs w:val="22"/>
        </w:rPr>
        <w:t>IV.1.1</w:t>
      </w:r>
      <w:r>
        <w:rPr>
          <w:sz w:val="22"/>
          <w:szCs w:val="22"/>
        </w:rPr>
        <w:tab/>
        <w:t>R̥gvedic occurrences</w:t>
      </w:r>
    </w:p>
    <w:p w14:paraId="1D367998" w14:textId="77777777" w:rsidR="00E53EB6" w:rsidRDefault="006500F5">
      <w:pPr>
        <w:pStyle w:val="Heading4"/>
        <w:tabs>
          <w:tab w:val="left" w:pos="0"/>
        </w:tabs>
      </w:pPr>
      <w:r>
        <w:t>1- v</w:t>
      </w:r>
      <w:r>
        <w:rPr>
          <w:i/>
        </w:rPr>
        <w:t>anús- vanu</w:t>
      </w:r>
      <w:r>
        <w:rPr>
          <w:i/>
        </w:rPr>
        <w:t>ṣ</w:t>
      </w:r>
      <w:r>
        <w:rPr>
          <w:i/>
        </w:rPr>
        <w:t>ya</w:t>
      </w:r>
      <w:r>
        <w:t>-</w:t>
      </w:r>
    </w:p>
    <w:p w14:paraId="4DE36FB2" w14:textId="77777777" w:rsidR="00E53EB6" w:rsidRDefault="006500F5">
      <w:pPr>
        <w:pStyle w:val="Hauptext"/>
      </w:pPr>
      <w:r>
        <w:t xml:space="preserve">Let us begin with the two derivatives of most frequent occurrence in the </w:t>
      </w:r>
      <w:r>
        <w:rPr>
          <w:i/>
          <w:iCs/>
        </w:rPr>
        <w:t>R̥gveda Sa</w:t>
      </w:r>
      <w:r>
        <w:rPr>
          <w:i/>
          <w:iCs/>
        </w:rPr>
        <w:t>ṃ</w:t>
      </w:r>
      <w:r>
        <w:rPr>
          <w:i/>
          <w:iCs/>
        </w:rPr>
        <w:t>hitā</w:t>
      </w:r>
      <w:r>
        <w:t xml:space="preserve">: </w:t>
      </w:r>
      <w:r>
        <w:rPr>
          <w:i/>
        </w:rPr>
        <w:t>vanús-</w:t>
      </w:r>
      <w:r>
        <w:t xml:space="preserve">, adjective, secondary derivative of the verb root </w:t>
      </w:r>
      <w:r>
        <w:rPr>
          <w:i/>
          <w:szCs w:val="24"/>
        </w:rPr>
        <w:t>van- / van</w:t>
      </w:r>
      <w:r>
        <w:rPr>
          <w:i/>
          <w:szCs w:val="24"/>
          <w:vertAlign w:val="superscript"/>
        </w:rPr>
        <w:t>i</w:t>
      </w:r>
      <w:r>
        <w:rPr>
          <w:i/>
          <w:szCs w:val="24"/>
        </w:rPr>
        <w:t>-</w:t>
      </w:r>
      <w:r>
        <w:t xml:space="preserve">, and the denominative </w:t>
      </w:r>
      <w:r>
        <w:rPr>
          <w:i/>
        </w:rPr>
        <w:t>vanu</w:t>
      </w:r>
      <w:r>
        <w:rPr>
          <w:i/>
        </w:rPr>
        <w:t>ṣ</w:t>
      </w:r>
      <w:r>
        <w:rPr>
          <w:i/>
        </w:rPr>
        <w:t>ya-</w:t>
      </w:r>
      <w:r>
        <w:t>, which take on a sense that it is almost always negative.</w:t>
      </w:r>
    </w:p>
    <w:p w14:paraId="2940D156" w14:textId="77777777" w:rsidR="00E53EB6" w:rsidRDefault="006500F5">
      <w:pPr>
        <w:pStyle w:val="HaupttextohneEinzug"/>
      </w:pPr>
      <w:r>
        <w:t xml:space="preserve">For the adjective </w:t>
      </w:r>
      <w:r>
        <w:rPr>
          <w:i/>
        </w:rPr>
        <w:t>vanús-</w:t>
      </w:r>
      <w:r>
        <w:t xml:space="preserve"> we have no corresponding substantive, although we may conjecture, like </w:t>
      </w:r>
      <w:r>
        <w:rPr>
          <w:smallCaps/>
        </w:rPr>
        <w:t>Renou (1939: 181),</w:t>
      </w:r>
      <w:r>
        <w:t xml:space="preserve"> an intermediary </w:t>
      </w:r>
      <w:r>
        <w:rPr>
          <w:i/>
        </w:rPr>
        <w:t>nomen actionis</w:t>
      </w:r>
      <w:r>
        <w:t xml:space="preserve"> </w:t>
      </w:r>
      <w:r>
        <w:rPr>
          <w:i/>
        </w:rPr>
        <w:t>*vánus</w:t>
      </w:r>
      <w:r>
        <w:t xml:space="preserve"> “contro-part</w:t>
      </w:r>
      <w:r>
        <w:t>ie funeste”</w:t>
      </w:r>
      <w:r>
        <w:rPr>
          <w:i/>
        </w:rPr>
        <w:t xml:space="preserve"> </w:t>
      </w:r>
      <w:r>
        <w:t xml:space="preserve">of </w:t>
      </w:r>
      <w:r>
        <w:rPr>
          <w:i/>
        </w:rPr>
        <w:t>vánas-</w:t>
      </w:r>
      <w:r>
        <w:t xml:space="preserve"> (by analogy with the paradigmatic sequence </w:t>
      </w:r>
      <w:r>
        <w:rPr>
          <w:i/>
        </w:rPr>
        <w:t>táras-</w:t>
      </w:r>
      <w:r>
        <w:t xml:space="preserve"> </w:t>
      </w:r>
      <w:r>
        <w:rPr>
          <w:i/>
        </w:rPr>
        <w:t>tárus- tarús-</w:t>
      </w:r>
      <w:r>
        <w:t xml:space="preserve">); with regard to this hypothesis, see also AiGr: II 2 §316β, where in fact </w:t>
      </w:r>
      <w:r>
        <w:rPr>
          <w:smallCaps/>
        </w:rPr>
        <w:t>Debrunner</w:t>
      </w:r>
      <w:r>
        <w:t xml:space="preserve"> deals with this form among the terms in </w:t>
      </w:r>
      <w:r>
        <w:rPr>
          <w:i/>
        </w:rPr>
        <w:t>us-</w:t>
      </w:r>
      <w:r>
        <w:t xml:space="preserve"> which also show a corresponding form in </w:t>
      </w:r>
      <w:r>
        <w:rPr>
          <w:i/>
        </w:rPr>
        <w:t>a</w:t>
      </w:r>
      <w:r>
        <w:rPr>
          <w:i/>
        </w:rPr>
        <w:t>s-.</w:t>
      </w:r>
    </w:p>
    <w:p w14:paraId="36ABA9A2" w14:textId="77777777" w:rsidR="00E53EB6" w:rsidRDefault="006500F5">
      <w:pPr>
        <w:pStyle w:val="HaupttextohneEinzug"/>
      </w:pPr>
      <w:r>
        <w:t xml:space="preserve">The negative value taken on by these two derivatives – a value which </w:t>
      </w:r>
      <w:r>
        <w:rPr>
          <w:smallCaps/>
        </w:rPr>
        <w:t>Renou</w:t>
      </w:r>
      <w:r>
        <w:t xml:space="preserve"> (ibid.) sees as the outcome of transition through the ambiguous </w:t>
      </w:r>
      <w:r>
        <w:rPr>
          <w:i/>
        </w:rPr>
        <w:t>vánus-</w:t>
      </w:r>
      <w:r>
        <w:t xml:space="preserve"> – can be understood as developing from one of the specific values with which we saw the verb root employed</w:t>
      </w:r>
      <w:r>
        <w:t xml:space="preserve">: suffice it to recall the many passages in which man or the god "appropriates" the enemy. In these cases, therefore, "to </w:t>
      </w:r>
      <w:r>
        <w:lastRenderedPageBreak/>
        <w:t>appropriate" takes on the sense of conquest and control: I have it enter into my circle and so I dominate.</w:t>
      </w:r>
    </w:p>
    <w:p w14:paraId="72977A13" w14:textId="77777777" w:rsidR="00E53EB6" w:rsidRDefault="006500F5">
      <w:pPr>
        <w:pStyle w:val="HaupttextohneEinzug"/>
      </w:pPr>
      <w:r>
        <w:t>In the adjective and the de</w:t>
      </w:r>
      <w:r>
        <w:t>nominative derived from it, which bring an element of desire into the sigmatic suffix (</w:t>
      </w:r>
      <w:r>
        <w:rPr>
          <w:smallCaps/>
        </w:rPr>
        <w:t>Migron 1980: 272</w:t>
      </w:r>
      <w:r>
        <w:t>), we see a very clear semantic shift: this action is accomplished or desired by the "other" – other, that is, than the speaker – it is the enemy, who st</w:t>
      </w:r>
      <w:r>
        <w:t>ands on the opposite side and wishes to perform the action of which, at this point, the "I" who speaks would be the victim. Of necessity, therefore, the very action itself becomes negative and the desire to perform it is to be punished.</w:t>
      </w:r>
    </w:p>
    <w:p w14:paraId="38331D05" w14:textId="77777777" w:rsidR="00E53EB6" w:rsidRDefault="006500F5">
      <w:pPr>
        <w:pStyle w:val="HaupttextohneEinzug"/>
      </w:pPr>
      <w:r>
        <w:t xml:space="preserve">If we consider all </w:t>
      </w:r>
      <w:r>
        <w:t>the attestations of the two derivatives, the “</w:t>
      </w:r>
      <w:r>
        <w:rPr>
          <w:i/>
        </w:rPr>
        <w:t>vanúsā</w:t>
      </w:r>
      <w:r>
        <w:rPr>
          <w:i/>
        </w:rPr>
        <w:t>ḥ</w:t>
      </w:r>
      <w:r>
        <w:rPr>
          <w:i/>
        </w:rPr>
        <w:t>”</w:t>
      </w:r>
      <w:r>
        <w:t>, like the “</w:t>
      </w:r>
      <w:r>
        <w:rPr>
          <w:i/>
        </w:rPr>
        <w:t>vanu</w:t>
      </w:r>
      <w:r>
        <w:rPr>
          <w:i/>
        </w:rPr>
        <w:t>ṣ</w:t>
      </w:r>
      <w:r>
        <w:rPr>
          <w:i/>
        </w:rPr>
        <w:t>yata</w:t>
      </w:r>
      <w:r>
        <w:rPr>
          <w:i/>
        </w:rPr>
        <w:t>ḥ</w:t>
      </w:r>
      <w:r>
        <w:rPr>
          <w:i/>
        </w:rPr>
        <w:t>”</w:t>
      </w:r>
      <w:r>
        <w:t>,</w:t>
      </w:r>
      <w:r>
        <w:rPr>
          <w:i/>
        </w:rPr>
        <w:t xml:space="preserve"> </w:t>
      </w:r>
      <w:r>
        <w:t>are</w:t>
      </w:r>
      <w:r>
        <w:t xml:space="preserve"> almost always enemies to destroy, and the god being asked to vanquish them or to sap their strength, for it is they who wish to take possession of us. Out of 32 occurrences,</w:t>
      </w:r>
      <w:r>
        <w:t xml:space="preserve"> 24 clearly point to a the hostility of person referred to, as in 8.25:</w:t>
      </w:r>
    </w:p>
    <w:p w14:paraId="1BED14DF" w14:textId="77777777" w:rsidR="00E53EB6" w:rsidRDefault="006500F5">
      <w:pPr>
        <w:pStyle w:val="Zitat"/>
      </w:pPr>
      <w:r>
        <w:t>8.25.15</w:t>
      </w:r>
      <w:r>
        <w:rPr>
          <w:i/>
          <w:iCs/>
        </w:rPr>
        <w:t xml:space="preserve"> té hí </w:t>
      </w:r>
      <w:r>
        <w:rPr>
          <w:i/>
          <w:iCs/>
        </w:rPr>
        <w:t>ṣ</w:t>
      </w:r>
      <w:r>
        <w:rPr>
          <w:i/>
          <w:iCs/>
        </w:rPr>
        <w:t>mā vanú</w:t>
      </w:r>
      <w:r>
        <w:rPr>
          <w:i/>
          <w:iCs/>
        </w:rPr>
        <w:t>ṣ</w:t>
      </w:r>
      <w:r>
        <w:rPr>
          <w:i/>
          <w:iCs/>
        </w:rPr>
        <w:t>o náro</w:t>
      </w:r>
    </w:p>
    <w:p w14:paraId="7146707F" w14:textId="77777777" w:rsidR="00E53EB6" w:rsidRDefault="006500F5">
      <w:pPr>
        <w:pStyle w:val="ZitatnachZitat"/>
        <w:rPr>
          <w:i/>
          <w:iCs/>
        </w:rPr>
      </w:pPr>
      <w:r>
        <w:rPr>
          <w:i/>
          <w:iCs/>
        </w:rPr>
        <w:t>abhímāti</w:t>
      </w:r>
      <w:r>
        <w:rPr>
          <w:i/>
          <w:iCs/>
        </w:rPr>
        <w:t>ṃ</w:t>
      </w:r>
      <w:r>
        <w:rPr>
          <w:i/>
          <w:iCs/>
        </w:rPr>
        <w:t xml:space="preserve"> káyasya cit</w:t>
      </w:r>
    </w:p>
    <w:p w14:paraId="3656AEE6" w14:textId="77777777" w:rsidR="00E53EB6" w:rsidRDefault="006500F5">
      <w:pPr>
        <w:pStyle w:val="ZitatnachZitat"/>
        <w:rPr>
          <w:i/>
          <w:iCs/>
        </w:rPr>
      </w:pPr>
      <w:r>
        <w:rPr>
          <w:i/>
          <w:iCs/>
        </w:rPr>
        <w:t>tigmá</w:t>
      </w:r>
      <w:r>
        <w:rPr>
          <w:i/>
          <w:iCs/>
        </w:rPr>
        <w:t>ṃ</w:t>
      </w:r>
      <w:r>
        <w:rPr>
          <w:i/>
          <w:iCs/>
        </w:rPr>
        <w:t xml:space="preserve"> ná k</w:t>
      </w:r>
      <w:r>
        <w:rPr>
          <w:i/>
          <w:iCs/>
        </w:rPr>
        <w:t>ṣ</w:t>
      </w:r>
      <w:r>
        <w:rPr>
          <w:i/>
          <w:iCs/>
        </w:rPr>
        <w:t>óda</w:t>
      </w:r>
      <w:r>
        <w:rPr>
          <w:i/>
          <w:iCs/>
        </w:rPr>
        <w:t>ḥ</w:t>
      </w:r>
      <w:r>
        <w:rPr>
          <w:i/>
          <w:iCs/>
        </w:rPr>
        <w:t xml:space="preserve"> pratighnánti bhū́r</w:t>
      </w:r>
      <w:r>
        <w:rPr>
          <w:i/>
          <w:iCs/>
        </w:rPr>
        <w:t>ṇ</w:t>
      </w:r>
      <w:r>
        <w:rPr>
          <w:i/>
          <w:iCs/>
        </w:rPr>
        <w:t>aya</w:t>
      </w:r>
      <w:r>
        <w:rPr>
          <w:i/>
          <w:iCs/>
        </w:rPr>
        <w:t>ḥ</w:t>
      </w:r>
    </w:p>
    <w:p w14:paraId="368083A6" w14:textId="77777777" w:rsidR="00E53EB6" w:rsidRDefault="006500F5">
      <w:pPr>
        <w:pStyle w:val="Zitat"/>
      </w:pPr>
      <w:r>
        <w:t>These heroes, truly, shatter, ever moving</w:t>
      </w:r>
      <w:r>
        <w:rPr>
          <w:rStyle w:val="FootnoteAnchor"/>
        </w:rPr>
        <w:footnoteReference w:id="430"/>
      </w:r>
      <w:r>
        <w:t xml:space="preserve"> like a rapid stream, the assault of the one who</w:t>
      </w:r>
      <w:r>
        <w:t xml:space="preserve"> </w:t>
      </w:r>
      <w:r>
        <w:rPr>
          <w:u w:val="single"/>
        </w:rPr>
        <w:t>wishes to appropriate</w:t>
      </w:r>
      <w:r>
        <w:t xml:space="preserve"> them</w:t>
      </w:r>
      <w:r>
        <w:rPr>
          <w:rStyle w:val="FootnoteAnchor"/>
        </w:rPr>
        <w:footnoteReference w:id="431"/>
      </w:r>
      <w:r>
        <w:t>, whoever he may be.</w:t>
      </w:r>
    </w:p>
    <w:p w14:paraId="7B4745D4" w14:textId="77777777" w:rsidR="00E53EB6" w:rsidRPr="00B80C6B" w:rsidRDefault="006500F5">
      <w:pPr>
        <w:pStyle w:val="Zitat"/>
        <w:rPr>
          <w:lang w:val="de-DE"/>
        </w:rPr>
      </w:pPr>
      <w:r w:rsidRPr="00B80C6B">
        <w:rPr>
          <w:rStyle w:val="CarattereCarattere"/>
          <w:rFonts w:ascii="Sabon Unicode" w:hAnsi="Sabon Unicode" w:cs="Times Ext Roman;Times New Roman"/>
          <w:b w:val="0"/>
          <w:bCs w:val="0"/>
          <w:i/>
          <w:iCs/>
          <w:sz w:val="18"/>
          <w:szCs w:val="18"/>
          <w:lang w:val="de-DE"/>
        </w:rPr>
        <w:t>vanú</w:t>
      </w:r>
      <w:r w:rsidRPr="00B80C6B">
        <w:rPr>
          <w:rStyle w:val="CarattereCarattere"/>
          <w:rFonts w:ascii="Sabon Unicode" w:hAnsi="Sabon Unicode" w:cs="Times Ext Roman;Times New Roman"/>
          <w:b w:val="0"/>
          <w:bCs w:val="0"/>
          <w:i/>
          <w:iCs/>
          <w:sz w:val="18"/>
          <w:szCs w:val="18"/>
          <w:lang w:val="de-DE"/>
        </w:rPr>
        <w:t>ṣ</w:t>
      </w:r>
      <w:r w:rsidRPr="00B80C6B">
        <w:rPr>
          <w:rStyle w:val="CarattereCarattere"/>
          <w:rFonts w:ascii="Sabon Unicode" w:hAnsi="Sabon Unicode" w:cs="Times Ext Roman;Times New Roman"/>
          <w:b w:val="0"/>
          <w:bCs w:val="0"/>
          <w:i/>
          <w:iCs/>
          <w:sz w:val="18"/>
          <w:szCs w:val="18"/>
          <w:lang w:val="de-DE"/>
        </w:rPr>
        <w:t>a</w:t>
      </w:r>
      <w:r w:rsidRPr="00B80C6B">
        <w:rPr>
          <w:rStyle w:val="CarattereCarattere"/>
          <w:rFonts w:ascii="Sabon Unicode" w:hAnsi="Sabon Unicode" w:cs="Times Ext Roman;Times New Roman"/>
          <w:b w:val="0"/>
          <w:bCs w:val="0"/>
          <w:i/>
          <w:iCs/>
          <w:sz w:val="18"/>
          <w:szCs w:val="18"/>
          <w:lang w:val="de-DE"/>
        </w:rPr>
        <w:t>ḥ</w:t>
      </w:r>
      <w:r w:rsidRPr="00B80C6B">
        <w:rPr>
          <w:rStyle w:val="CarattereCarattere"/>
          <w:rFonts w:ascii="Sabon Unicode" w:hAnsi="Sabon Unicode" w:cs="Times Ext Roman;Times New Roman"/>
          <w:sz w:val="18"/>
          <w:szCs w:val="18"/>
          <w:lang w:val="de-DE"/>
        </w:rPr>
        <w:t>:</w:t>
      </w:r>
      <w:r w:rsidRPr="00B80C6B">
        <w:rPr>
          <w:lang w:val="de-DE"/>
        </w:rPr>
        <w:t xml:space="preserve"> genitive masc. singular, from </w:t>
      </w:r>
      <w:r w:rsidRPr="00B80C6B">
        <w:rPr>
          <w:i/>
          <w:lang w:val="de-DE"/>
        </w:rPr>
        <w:t>vanús-</w:t>
      </w:r>
    </w:p>
    <w:p w14:paraId="784EBDA3" w14:textId="77777777" w:rsidR="00E53EB6" w:rsidRPr="00B80C6B" w:rsidRDefault="006500F5">
      <w:pPr>
        <w:pStyle w:val="ZitatmitEinzug"/>
        <w:rPr>
          <w:lang w:val="de-DE"/>
        </w:rPr>
      </w:pPr>
      <w:r w:rsidRPr="00B80C6B">
        <w:rPr>
          <w:smallCaps/>
          <w:lang w:val="de-DE"/>
        </w:rPr>
        <w:t>Geldner:</w:t>
      </w:r>
      <w:r w:rsidRPr="00B80C6B">
        <w:rPr>
          <w:lang w:val="de-DE"/>
        </w:rPr>
        <w:t xml:space="preserve"> II 334 “</w:t>
      </w:r>
      <w:r w:rsidRPr="00B80C6B">
        <w:rPr>
          <w:lang w:val="de-DE"/>
        </w:rPr>
        <w:t>Eifersuchtig</w:t>
      </w:r>
      <w:r w:rsidRPr="00B80C6B">
        <w:rPr>
          <w:i/>
          <w:lang w:val="de-DE"/>
        </w:rPr>
        <w:t>”</w:t>
      </w:r>
    </w:p>
    <w:p w14:paraId="7FCE1E81" w14:textId="77777777" w:rsidR="00E53EB6" w:rsidRDefault="006500F5">
      <w:pPr>
        <w:pStyle w:val="ZitatmitEinzug"/>
      </w:pPr>
      <w:r>
        <w:rPr>
          <w:smallCaps/>
        </w:rPr>
        <w:t>Renou:</w:t>
      </w:r>
      <w:r>
        <w:t xml:space="preserve"> V 92 “</w:t>
      </w:r>
      <w:r>
        <w:t>rival”</w:t>
      </w:r>
    </w:p>
    <w:p w14:paraId="21754AA7" w14:textId="77777777" w:rsidR="00E53EB6" w:rsidRDefault="006500F5">
      <w:pPr>
        <w:pStyle w:val="HaupttextnachZitat"/>
      </w:pPr>
      <w:r>
        <w:t>In 7.82.1, as in 6.68.6, Indra and Varu</w:t>
      </w:r>
      <w:r>
        <w:t>ṇ</w:t>
      </w:r>
      <w:r>
        <w:t xml:space="preserve">a are evoked against those foes; similarly, in 6.62.10 the Aśvins are requested the heads of the </w:t>
      </w:r>
      <w:r>
        <w:rPr>
          <w:i/>
          <w:iCs/>
        </w:rPr>
        <w:t>vanu</w:t>
      </w:r>
      <w:r>
        <w:rPr>
          <w:i/>
          <w:iCs/>
        </w:rPr>
        <w:t>ṣ</w:t>
      </w:r>
      <w:r>
        <w:rPr>
          <w:i/>
          <w:iCs/>
        </w:rPr>
        <w:t>yata</w:t>
      </w:r>
      <w:r>
        <w:rPr>
          <w:i/>
          <w:iCs/>
        </w:rPr>
        <w:t>ḥ</w:t>
      </w:r>
      <w:r>
        <w:t>:</w:t>
      </w:r>
    </w:p>
    <w:p w14:paraId="2BBDB206" w14:textId="77777777" w:rsidR="00E53EB6" w:rsidRDefault="006500F5">
      <w:pPr>
        <w:pStyle w:val="Zitat"/>
      </w:pPr>
      <w:r>
        <w:t>6.62.10</w:t>
      </w:r>
      <w:r>
        <w:rPr>
          <w:i/>
          <w:iCs/>
        </w:rPr>
        <w:t xml:space="preserve"> ántaraiś cakraís tánayāya vartír</w:t>
      </w:r>
    </w:p>
    <w:p w14:paraId="2763635A" w14:textId="77777777" w:rsidR="00E53EB6" w:rsidRDefault="006500F5">
      <w:pPr>
        <w:pStyle w:val="ZitatnachZitat"/>
        <w:rPr>
          <w:i/>
          <w:iCs/>
        </w:rPr>
      </w:pPr>
      <w:r>
        <w:rPr>
          <w:i/>
          <w:iCs/>
        </w:rPr>
        <w:t>dyumátā́ yāta</w:t>
      </w:r>
      <w:r>
        <w:rPr>
          <w:i/>
          <w:iCs/>
        </w:rPr>
        <w:t>ṃ</w:t>
      </w:r>
      <w:r>
        <w:rPr>
          <w:i/>
          <w:iCs/>
        </w:rPr>
        <w:t xml:space="preserve"> nr̥vátā ráthena</w:t>
      </w:r>
    </w:p>
    <w:p w14:paraId="2AE73F00" w14:textId="77777777" w:rsidR="00E53EB6" w:rsidRDefault="006500F5">
      <w:pPr>
        <w:pStyle w:val="ZitatnachZitat"/>
        <w:rPr>
          <w:i/>
          <w:iCs/>
        </w:rPr>
      </w:pPr>
      <w:r>
        <w:rPr>
          <w:i/>
          <w:iCs/>
        </w:rPr>
        <w:t>sánutyena tyájasā márt</w:t>
      </w:r>
      <w:r>
        <w:rPr>
          <w:i/>
          <w:iCs/>
          <w:vertAlign w:val="subscript"/>
        </w:rPr>
        <w:t>i</w:t>
      </w:r>
      <w:r>
        <w:rPr>
          <w:i/>
          <w:iCs/>
        </w:rPr>
        <w:t>yasya</w:t>
      </w:r>
    </w:p>
    <w:p w14:paraId="0468AB89" w14:textId="77777777" w:rsidR="00E53EB6" w:rsidRDefault="006500F5">
      <w:pPr>
        <w:pStyle w:val="ZitatnachZitat"/>
        <w:rPr>
          <w:i/>
          <w:iCs/>
        </w:rPr>
      </w:pPr>
      <w:r>
        <w:rPr>
          <w:i/>
          <w:iCs/>
        </w:rPr>
        <w:t>vanu</w:t>
      </w:r>
      <w:r>
        <w:rPr>
          <w:i/>
          <w:iCs/>
        </w:rPr>
        <w:t>ṣ</w:t>
      </w:r>
      <w:r>
        <w:rPr>
          <w:i/>
          <w:iCs/>
        </w:rPr>
        <w:t>y</w:t>
      </w:r>
      <w:r>
        <w:rPr>
          <w:i/>
          <w:iCs/>
        </w:rPr>
        <w:t>atā́m ápi śīr</w:t>
      </w:r>
      <w:r>
        <w:rPr>
          <w:i/>
          <w:iCs/>
        </w:rPr>
        <w:t>ṣ</w:t>
      </w:r>
      <w:r>
        <w:rPr>
          <w:i/>
          <w:iCs/>
        </w:rPr>
        <w:t>ā́ vavr̥ktam</w:t>
      </w:r>
    </w:p>
    <w:p w14:paraId="3E8953A7" w14:textId="77777777" w:rsidR="00E53EB6" w:rsidRDefault="006500F5">
      <w:pPr>
        <w:pStyle w:val="Zitat"/>
      </w:pPr>
      <w:r>
        <w:t>With inner wheels approach, you two, the circuit</w:t>
      </w:r>
      <w:r>
        <w:rPr>
          <w:rStyle w:val="FootnoteAnchor"/>
        </w:rPr>
        <w:footnoteReference w:id="432"/>
      </w:r>
      <w:r>
        <w:t>, with the chariot rich in heroes and shining, in favour of our descent; thanks to secret isolation</w:t>
      </w:r>
      <w:r>
        <w:rPr>
          <w:rStyle w:val="FootnoteAnchor"/>
        </w:rPr>
        <w:footnoteReference w:id="433"/>
      </w:r>
      <w:r>
        <w:t xml:space="preserve"> of the mortal grant us the heads of those who </w:t>
      </w:r>
      <w:r>
        <w:rPr>
          <w:u w:val="single"/>
        </w:rPr>
        <w:t>wish to appropriate</w:t>
      </w:r>
      <w:r>
        <w:t xml:space="preserve"> us.</w:t>
      </w:r>
    </w:p>
    <w:p w14:paraId="355AFFF1" w14:textId="77777777" w:rsidR="00E53EB6" w:rsidRDefault="006500F5">
      <w:pPr>
        <w:pStyle w:val="Zitat"/>
      </w:pPr>
      <w:r>
        <w:rPr>
          <w:rStyle w:val="CarattereCarattere"/>
          <w:rFonts w:ascii="Sabon Unicode" w:hAnsi="Sabon Unicode" w:cs="Times Ext Roman;Times New Roman"/>
          <w:b w:val="0"/>
          <w:bCs w:val="0"/>
          <w:i/>
          <w:iCs/>
          <w:sz w:val="18"/>
          <w:szCs w:val="18"/>
          <w:lang w:val="en-GB"/>
        </w:rPr>
        <w:t>vanu</w:t>
      </w:r>
      <w:r>
        <w:rPr>
          <w:rStyle w:val="CarattereCarattere"/>
          <w:rFonts w:ascii="Sabon Unicode" w:hAnsi="Sabon Unicode" w:cs="Times Ext Roman;Times New Roman"/>
          <w:b w:val="0"/>
          <w:bCs w:val="0"/>
          <w:i/>
          <w:iCs/>
          <w:sz w:val="18"/>
          <w:szCs w:val="18"/>
          <w:lang w:val="en-GB"/>
        </w:rPr>
        <w:t>ṣ</w:t>
      </w:r>
      <w:r>
        <w:rPr>
          <w:rStyle w:val="CarattereCarattere"/>
          <w:rFonts w:ascii="Sabon Unicode" w:hAnsi="Sabon Unicode" w:cs="Times Ext Roman;Times New Roman"/>
          <w:b w:val="0"/>
          <w:bCs w:val="0"/>
          <w:i/>
          <w:iCs/>
          <w:sz w:val="18"/>
          <w:szCs w:val="18"/>
          <w:lang w:val="en-GB"/>
        </w:rPr>
        <w:t>yatām:</w:t>
      </w:r>
      <w:r>
        <w:t xml:space="preserve"> present participle (gen. m. pl.), denominative from </w:t>
      </w:r>
      <w:r>
        <w:rPr>
          <w:i/>
        </w:rPr>
        <w:t>vanús-</w:t>
      </w:r>
    </w:p>
    <w:p w14:paraId="7F1984F5" w14:textId="77777777" w:rsidR="00E53EB6" w:rsidRDefault="006500F5">
      <w:pPr>
        <w:pStyle w:val="ZitatmitEinzug"/>
      </w:pPr>
      <w:r>
        <w:rPr>
          <w:smallCaps/>
        </w:rPr>
        <w:t>Geldner:</w:t>
      </w:r>
      <w:r>
        <w:t xml:space="preserve"> II 164 “</w:t>
      </w:r>
      <w:r>
        <w:t>Neider”</w:t>
      </w:r>
    </w:p>
    <w:p w14:paraId="110EA4FE" w14:textId="77777777" w:rsidR="00E53EB6" w:rsidRDefault="006500F5">
      <w:pPr>
        <w:pStyle w:val="HaupttextnachZitat"/>
      </w:pPr>
      <w:r>
        <w:t>In 9.91.5 the enemy should not be destroyed, but rather annihilated in front of the victo</w:t>
      </w:r>
      <w:r>
        <w:t>ries of those who have new hymns.</w:t>
      </w:r>
    </w:p>
    <w:p w14:paraId="79DC4CA8" w14:textId="77777777" w:rsidR="00E53EB6" w:rsidRDefault="006500F5">
      <w:pPr>
        <w:pStyle w:val="Zitat"/>
      </w:pPr>
      <w:r>
        <w:t xml:space="preserve">9.91.5 </w:t>
      </w:r>
      <w:r>
        <w:rPr>
          <w:i/>
          <w:iCs/>
        </w:rPr>
        <w:t>sá pratnaván návyase viśvavāra</w:t>
      </w:r>
    </w:p>
    <w:p w14:paraId="1375C591" w14:textId="77777777" w:rsidR="00E53EB6" w:rsidRDefault="006500F5">
      <w:pPr>
        <w:pStyle w:val="ZitatnachZitat"/>
        <w:rPr>
          <w:i/>
          <w:iCs/>
        </w:rPr>
      </w:pPr>
      <w:r>
        <w:rPr>
          <w:i/>
          <w:iCs/>
        </w:rPr>
        <w:t>sūktā́ya pathá</w:t>
      </w:r>
      <w:r>
        <w:rPr>
          <w:i/>
          <w:iCs/>
        </w:rPr>
        <w:t>ḥ</w:t>
      </w:r>
      <w:r>
        <w:rPr>
          <w:i/>
          <w:iCs/>
        </w:rPr>
        <w:t xml:space="preserve"> kr̥</w:t>
      </w:r>
      <w:r>
        <w:rPr>
          <w:i/>
          <w:iCs/>
        </w:rPr>
        <w:t>ṇ</w:t>
      </w:r>
      <w:r>
        <w:rPr>
          <w:i/>
          <w:iCs/>
        </w:rPr>
        <w:t>uhi prā́ca</w:t>
      </w:r>
      <w:r>
        <w:rPr>
          <w:i/>
          <w:iCs/>
        </w:rPr>
        <w:t>ḥ</w:t>
      </w:r>
    </w:p>
    <w:p w14:paraId="2828FAF5" w14:textId="77777777" w:rsidR="00E53EB6" w:rsidRDefault="006500F5">
      <w:pPr>
        <w:pStyle w:val="ZitatnachZitat"/>
        <w:rPr>
          <w:i/>
          <w:iCs/>
        </w:rPr>
      </w:pPr>
      <w:r>
        <w:rPr>
          <w:i/>
          <w:iCs/>
        </w:rPr>
        <w:t>yé du</w:t>
      </w:r>
      <w:r>
        <w:rPr>
          <w:i/>
          <w:iCs/>
        </w:rPr>
        <w:t>ḥṣ</w:t>
      </w:r>
      <w:r>
        <w:rPr>
          <w:i/>
          <w:iCs/>
        </w:rPr>
        <w:t>áhāso vanú</w:t>
      </w:r>
      <w:r>
        <w:rPr>
          <w:i/>
          <w:iCs/>
        </w:rPr>
        <w:t>ṣ</w:t>
      </w:r>
      <w:r>
        <w:rPr>
          <w:i/>
          <w:iCs/>
        </w:rPr>
        <w:t>ā br̥hántas</w:t>
      </w:r>
    </w:p>
    <w:p w14:paraId="47305415" w14:textId="77777777" w:rsidR="00E53EB6" w:rsidRDefault="006500F5">
      <w:pPr>
        <w:pStyle w:val="ZitatnachZitat"/>
        <w:rPr>
          <w:i/>
          <w:iCs/>
        </w:rPr>
      </w:pPr>
      <w:r>
        <w:rPr>
          <w:i/>
          <w:iCs/>
        </w:rPr>
        <w:t>tā́</w:t>
      </w:r>
      <w:r>
        <w:rPr>
          <w:i/>
          <w:iCs/>
        </w:rPr>
        <w:t>ṃ</w:t>
      </w:r>
      <w:r>
        <w:rPr>
          <w:i/>
          <w:iCs/>
        </w:rPr>
        <w:t>s te aśyāma purukr̥t puruk</w:t>
      </w:r>
      <w:r>
        <w:rPr>
          <w:i/>
          <w:iCs/>
        </w:rPr>
        <w:t>ṣ</w:t>
      </w:r>
      <w:r>
        <w:rPr>
          <w:i/>
          <w:iCs/>
        </w:rPr>
        <w:t>o</w:t>
      </w:r>
    </w:p>
    <w:p w14:paraId="2416839F" w14:textId="77777777" w:rsidR="00E53EB6" w:rsidRDefault="006500F5">
      <w:pPr>
        <w:pStyle w:val="Zitat"/>
      </w:pPr>
      <w:r>
        <w:t xml:space="preserve">It is you, as in past times, who make the paths ready for the new hymns, O you who </w:t>
      </w:r>
      <w:r>
        <w:t xml:space="preserve">give all goods; may we </w:t>
      </w:r>
      <w:r>
        <w:lastRenderedPageBreak/>
        <w:t>obtain from you</w:t>
      </w:r>
      <w:r>
        <w:rPr>
          <w:rStyle w:val="FootnoteAnchor"/>
        </w:rPr>
        <w:footnoteReference w:id="434"/>
      </w:r>
      <w:r>
        <w:t xml:space="preserve"> the lofty</w:t>
      </w:r>
      <w:r>
        <w:rPr>
          <w:rStyle w:val="FootnoteAnchor"/>
        </w:rPr>
        <w:footnoteReference w:id="435"/>
      </w:r>
      <w:r>
        <w:t xml:space="preserve"> that are unbearable to those </w:t>
      </w:r>
      <w:r>
        <w:rPr>
          <w:u w:val="single"/>
        </w:rPr>
        <w:t>wishing to appropriate</w:t>
      </w:r>
      <w:r>
        <w:t xml:space="preserve"> us, O you who act well and are rich in cattle.</w:t>
      </w:r>
    </w:p>
    <w:p w14:paraId="0EC42403" w14:textId="77777777" w:rsidR="00E53EB6" w:rsidRDefault="006500F5">
      <w:pPr>
        <w:pStyle w:val="Zitat"/>
      </w:pPr>
      <w:r>
        <w:rPr>
          <w:rFonts w:eastAsia="Arial Unicode MS"/>
          <w:i/>
          <w:iCs/>
        </w:rPr>
        <w:t>vanú</w:t>
      </w:r>
      <w:r>
        <w:rPr>
          <w:rFonts w:eastAsia="Arial Unicode MS"/>
          <w:i/>
          <w:iCs/>
        </w:rPr>
        <w:t>ṣ</w:t>
      </w:r>
      <w:r>
        <w:rPr>
          <w:rFonts w:eastAsia="Arial Unicode MS"/>
          <w:i/>
          <w:iCs/>
        </w:rPr>
        <w:t>ā</w:t>
      </w:r>
      <w:r>
        <w:rPr>
          <w:rStyle w:val="CarattereCarattere"/>
          <w:rFonts w:ascii="Sabon Unicode" w:hAnsi="Sabon Unicode" w:cs="Times Ext Roman;Times New Roman"/>
          <w:b w:val="0"/>
          <w:bCs w:val="0"/>
          <w:i/>
          <w:iCs/>
          <w:sz w:val="18"/>
          <w:szCs w:val="18"/>
          <w:lang w:val="en-GB"/>
        </w:rPr>
        <w:t>:</w:t>
      </w:r>
      <w:r>
        <w:t xml:space="preserve"> instrumental masculine singular, from </w:t>
      </w:r>
      <w:r>
        <w:rPr>
          <w:i/>
        </w:rPr>
        <w:t>vanús-</w:t>
      </w:r>
    </w:p>
    <w:p w14:paraId="15A631E0" w14:textId="77777777" w:rsidR="00E53EB6" w:rsidRPr="00B80C6B" w:rsidRDefault="006500F5">
      <w:pPr>
        <w:pStyle w:val="ZitatmitEinzug"/>
        <w:rPr>
          <w:lang w:val="de-DE"/>
        </w:rPr>
      </w:pPr>
      <w:r w:rsidRPr="00B80C6B">
        <w:rPr>
          <w:smallCaps/>
          <w:lang w:val="de-DE"/>
        </w:rPr>
        <w:t>Geldner:</w:t>
      </w:r>
      <w:r w:rsidRPr="00B80C6B">
        <w:rPr>
          <w:lang w:val="de-DE"/>
        </w:rPr>
        <w:t xml:space="preserve"> III 88</w:t>
      </w:r>
      <w:r w:rsidRPr="00B80C6B">
        <w:rPr>
          <w:lang w:val="de-DE"/>
        </w:rPr>
        <w:t xml:space="preserve"> “Neider”</w:t>
      </w:r>
    </w:p>
    <w:p w14:paraId="23D42D5A" w14:textId="77777777" w:rsidR="00E53EB6" w:rsidRPr="00B80C6B" w:rsidRDefault="006500F5">
      <w:pPr>
        <w:pStyle w:val="ZitatmitEinzug"/>
        <w:rPr>
          <w:lang w:val="de-DE"/>
        </w:rPr>
      </w:pPr>
      <w:r w:rsidRPr="00B80C6B">
        <w:rPr>
          <w:smallCaps/>
          <w:lang w:val="de-DE"/>
        </w:rPr>
        <w:t>Renou:</w:t>
      </w:r>
      <w:r w:rsidRPr="00B80C6B">
        <w:rPr>
          <w:lang w:val="de-DE"/>
        </w:rPr>
        <w:t xml:space="preserve"> IX 40-1 “ennemi”</w:t>
      </w:r>
    </w:p>
    <w:p w14:paraId="1DDC9A68" w14:textId="77777777" w:rsidR="00E53EB6" w:rsidRDefault="006500F5">
      <w:pPr>
        <w:pStyle w:val="HaupttextnachZitat"/>
      </w:pPr>
      <w:r>
        <w:rPr>
          <w:rStyle w:val="StileTitolo1LatinoArialUnicodeMSnonlatinoArialUnicCarattere"/>
          <w:rFonts w:ascii="Sabon Unicode" w:hAnsi="Sabon Unicode" w:cs="Times Ext Roman;Times New Roman"/>
          <w:b w:val="0"/>
          <w:sz w:val="21"/>
          <w:szCs w:val="21"/>
          <w:lang w:val="en-GB"/>
        </w:rPr>
        <w:t>In</w:t>
      </w:r>
      <w:r>
        <w:rPr>
          <w:rStyle w:val="StileTitolo1LatinoArialUnicodeMSnonlatinoArialUnicCarattere"/>
          <w:rFonts w:ascii="Sabon Unicode" w:hAnsi="Sabon Unicode" w:cs="Times Ext Roman;Times New Roman"/>
          <w:b w:val="0"/>
          <w:sz w:val="21"/>
          <w:szCs w:val="21"/>
          <w:lang w:val="en-GB"/>
        </w:rPr>
        <w:t xml:space="preserve"> the following two the same syntagma is repeated, with an identical plea: and that is that “the weapon of the mortal foe to us”, “the weapon with which he can appropriate us”, should be destroyed.</w:t>
      </w:r>
    </w:p>
    <w:p w14:paraId="331C50EA" w14:textId="77777777" w:rsidR="00E53EB6" w:rsidRDefault="006500F5">
      <w:pPr>
        <w:pStyle w:val="Zitat"/>
      </w:pPr>
      <w:r>
        <w:t xml:space="preserve">4.22.9 </w:t>
      </w:r>
      <w:r>
        <w:rPr>
          <w:i/>
          <w:iCs/>
        </w:rPr>
        <w:t>asmé vár</w:t>
      </w:r>
      <w:r>
        <w:rPr>
          <w:i/>
          <w:iCs/>
        </w:rPr>
        <w:t>ṣ</w:t>
      </w:r>
      <w:r>
        <w:rPr>
          <w:i/>
          <w:iCs/>
        </w:rPr>
        <w:t>i</w:t>
      </w:r>
      <w:r>
        <w:rPr>
          <w:i/>
          <w:iCs/>
        </w:rPr>
        <w:t>ṣṭ</w:t>
      </w:r>
      <w:r>
        <w:rPr>
          <w:i/>
          <w:iCs/>
        </w:rPr>
        <w:t>hā kr̥</w:t>
      </w:r>
      <w:r>
        <w:rPr>
          <w:i/>
          <w:iCs/>
        </w:rPr>
        <w:t>ṇ</w:t>
      </w:r>
      <w:r>
        <w:rPr>
          <w:i/>
          <w:iCs/>
        </w:rPr>
        <w:t>uhi jyáyi</w:t>
      </w:r>
      <w:r>
        <w:rPr>
          <w:i/>
          <w:iCs/>
        </w:rPr>
        <w:t>ṣṭ</w:t>
      </w:r>
      <w:r>
        <w:rPr>
          <w:i/>
          <w:iCs/>
        </w:rPr>
        <w:t>hā</w:t>
      </w:r>
    </w:p>
    <w:p w14:paraId="6058DF46" w14:textId="77777777" w:rsidR="00E53EB6" w:rsidRDefault="006500F5">
      <w:pPr>
        <w:pStyle w:val="ZitatnachZitat"/>
        <w:rPr>
          <w:i/>
          <w:iCs/>
        </w:rPr>
      </w:pPr>
      <w:r>
        <w:rPr>
          <w:i/>
          <w:iCs/>
        </w:rPr>
        <w:t>nr̥m</w:t>
      </w:r>
      <w:r>
        <w:rPr>
          <w:i/>
          <w:iCs/>
        </w:rPr>
        <w:t>ṇ</w:t>
      </w:r>
      <w:r>
        <w:rPr>
          <w:i/>
          <w:iCs/>
        </w:rPr>
        <w:t xml:space="preserve">ā́ni </w:t>
      </w:r>
      <w:r>
        <w:rPr>
          <w:i/>
          <w:iCs/>
        </w:rPr>
        <w:t>satrā́ sahure sáhā</w:t>
      </w:r>
      <w:r>
        <w:rPr>
          <w:i/>
          <w:iCs/>
        </w:rPr>
        <w:t>ṃ</w:t>
      </w:r>
      <w:r>
        <w:rPr>
          <w:i/>
          <w:iCs/>
        </w:rPr>
        <w:t>si</w:t>
      </w:r>
    </w:p>
    <w:p w14:paraId="4C7A5818" w14:textId="77777777" w:rsidR="00E53EB6" w:rsidRDefault="006500F5">
      <w:pPr>
        <w:pStyle w:val="ZitatnachZitat"/>
        <w:rPr>
          <w:i/>
          <w:iCs/>
        </w:rPr>
      </w:pPr>
      <w:r>
        <w:rPr>
          <w:i/>
          <w:iCs/>
        </w:rPr>
        <w:t>asmábhya</w:t>
      </w:r>
      <w:r>
        <w:rPr>
          <w:i/>
          <w:iCs/>
        </w:rPr>
        <w:t>ṃ</w:t>
      </w:r>
      <w:r>
        <w:rPr>
          <w:i/>
          <w:iCs/>
        </w:rPr>
        <w:t xml:space="preserve"> vr̥trā́ suhánāni randhi</w:t>
      </w:r>
    </w:p>
    <w:p w14:paraId="0C927E7E" w14:textId="77777777" w:rsidR="00E53EB6" w:rsidRDefault="006500F5">
      <w:pPr>
        <w:pStyle w:val="ZitatnachZitat"/>
        <w:rPr>
          <w:i/>
          <w:iCs/>
        </w:rPr>
      </w:pPr>
      <w:r>
        <w:rPr>
          <w:i/>
          <w:iCs/>
        </w:rPr>
        <w:t>jahí vádhar vanú</w:t>
      </w:r>
      <w:r>
        <w:rPr>
          <w:i/>
          <w:iCs/>
        </w:rPr>
        <w:t>ṣ</w:t>
      </w:r>
      <w:r>
        <w:rPr>
          <w:i/>
          <w:iCs/>
        </w:rPr>
        <w:t>o márt</w:t>
      </w:r>
      <w:r>
        <w:rPr>
          <w:i/>
          <w:iCs/>
          <w:vertAlign w:val="subscript"/>
        </w:rPr>
        <w:t>i</w:t>
      </w:r>
      <w:r>
        <w:rPr>
          <w:i/>
          <w:iCs/>
        </w:rPr>
        <w:t>yasya</w:t>
      </w:r>
    </w:p>
    <w:p w14:paraId="6B0B5F38" w14:textId="77777777" w:rsidR="00E53EB6" w:rsidRDefault="006500F5">
      <w:pPr>
        <w:pStyle w:val="Zitat"/>
      </w:pPr>
      <w:r>
        <w:t>For us you bring together the highest heroic virtues, able to dominate, victories O victorious one; subdue the enemies so that we may easily defeat them, destroy the weap</w:t>
      </w:r>
      <w:r>
        <w:t xml:space="preserve">on of the mortal </w:t>
      </w:r>
      <w:r>
        <w:rPr>
          <w:u w:val="single"/>
        </w:rPr>
        <w:t>wishing to appropriate</w:t>
      </w:r>
      <w:r>
        <w:t xml:space="preserve"> us.</w:t>
      </w:r>
    </w:p>
    <w:p w14:paraId="2E50D112" w14:textId="77777777" w:rsidR="00E53EB6" w:rsidRDefault="006500F5">
      <w:pPr>
        <w:pStyle w:val="Zitat"/>
      </w:pPr>
      <w:r>
        <w:rPr>
          <w:rStyle w:val="CarattereCarattere"/>
          <w:rFonts w:ascii="Sabon Unicode" w:hAnsi="Sabon Unicode" w:cs="Times Ext Roman;Times New Roman"/>
          <w:b w:val="0"/>
          <w:bCs w:val="0"/>
          <w:i/>
          <w:iCs/>
          <w:sz w:val="18"/>
          <w:szCs w:val="18"/>
          <w:lang w:val="en-GB"/>
        </w:rPr>
        <w:t>vanú</w:t>
      </w:r>
      <w:r>
        <w:rPr>
          <w:rStyle w:val="CarattereCarattere"/>
          <w:rFonts w:ascii="Sabon Unicode" w:hAnsi="Sabon Unicode" w:cs="Times Ext Roman;Times New Roman"/>
          <w:b w:val="0"/>
          <w:bCs w:val="0"/>
          <w:i/>
          <w:iCs/>
          <w:sz w:val="18"/>
          <w:szCs w:val="18"/>
          <w:lang w:val="en-GB"/>
        </w:rPr>
        <w:t>ṣ</w:t>
      </w:r>
      <w:r>
        <w:rPr>
          <w:rStyle w:val="CarattereCarattere"/>
          <w:rFonts w:ascii="Sabon Unicode" w:hAnsi="Sabon Unicode" w:cs="Times Ext Roman;Times New Roman"/>
          <w:b w:val="0"/>
          <w:bCs w:val="0"/>
          <w:i/>
          <w:iCs/>
          <w:sz w:val="18"/>
          <w:szCs w:val="18"/>
          <w:lang w:val="en-GB"/>
        </w:rPr>
        <w:t>ah</w:t>
      </w:r>
      <w:r>
        <w:rPr>
          <w:rStyle w:val="CarattereCarattere"/>
          <w:rFonts w:ascii="Sabon Unicode" w:hAnsi="Sabon Unicode" w:cs="Times Ext Roman;Times New Roman"/>
          <w:sz w:val="18"/>
          <w:szCs w:val="18"/>
          <w:lang w:val="en-GB"/>
        </w:rPr>
        <w:t>:</w:t>
      </w:r>
      <w:r>
        <w:t xml:space="preserve"> genitive masculine singular, from </w:t>
      </w:r>
      <w:r>
        <w:rPr>
          <w:i/>
        </w:rPr>
        <w:t>vanús-</w:t>
      </w:r>
    </w:p>
    <w:p w14:paraId="6D715E67" w14:textId="77777777" w:rsidR="00E53EB6" w:rsidRDefault="006500F5">
      <w:pPr>
        <w:pStyle w:val="ZitatmitEinzug"/>
      </w:pPr>
      <w:r>
        <w:rPr>
          <w:smallCaps/>
        </w:rPr>
        <w:t xml:space="preserve">Geldner: </w:t>
      </w:r>
      <w:r>
        <w:t xml:space="preserve">I 449 </w:t>
      </w:r>
      <w:r>
        <w:t>“neidisch”</w:t>
      </w:r>
      <w:r>
        <w:rPr>
          <w:i/>
          <w:iCs/>
        </w:rPr>
        <w:t xml:space="preserve"> </w:t>
      </w:r>
    </w:p>
    <w:p w14:paraId="313F7E78" w14:textId="77777777" w:rsidR="00E53EB6" w:rsidRDefault="00E53EB6">
      <w:pPr>
        <w:pStyle w:val="ZitatmitEinzug"/>
        <w:rPr>
          <w:i/>
          <w:iCs/>
        </w:rPr>
      </w:pPr>
    </w:p>
    <w:p w14:paraId="6BE38E8B" w14:textId="77777777" w:rsidR="00E53EB6" w:rsidRDefault="006500F5">
      <w:pPr>
        <w:pStyle w:val="Zitat"/>
      </w:pPr>
      <w:r>
        <w:t xml:space="preserve">7.25.3 </w:t>
      </w:r>
      <w:r>
        <w:rPr>
          <w:i/>
          <w:iCs/>
        </w:rPr>
        <w:t>śatá</w:t>
      </w:r>
      <w:r>
        <w:rPr>
          <w:i/>
          <w:iCs/>
        </w:rPr>
        <w:t>ṃ</w:t>
      </w:r>
      <w:r>
        <w:rPr>
          <w:i/>
          <w:iCs/>
        </w:rPr>
        <w:t xml:space="preserve"> te śiprin ūtáya</w:t>
      </w:r>
      <w:r>
        <w:rPr>
          <w:i/>
          <w:iCs/>
        </w:rPr>
        <w:t>ḥ</w:t>
      </w:r>
      <w:r>
        <w:rPr>
          <w:i/>
          <w:iCs/>
        </w:rPr>
        <w:t xml:space="preserve"> sudā́se</w:t>
      </w:r>
    </w:p>
    <w:p w14:paraId="13E0593E" w14:textId="77777777" w:rsidR="00E53EB6" w:rsidRDefault="006500F5">
      <w:pPr>
        <w:pStyle w:val="ZitatnachZitat"/>
        <w:rPr>
          <w:i/>
          <w:iCs/>
        </w:rPr>
      </w:pPr>
      <w:r>
        <w:rPr>
          <w:i/>
          <w:iCs/>
        </w:rPr>
        <w:t>sahásra</w:t>
      </w:r>
      <w:r>
        <w:rPr>
          <w:i/>
          <w:iCs/>
        </w:rPr>
        <w:t>ṃ</w:t>
      </w:r>
      <w:r>
        <w:rPr>
          <w:i/>
          <w:iCs/>
        </w:rPr>
        <w:t xml:space="preserve"> śá</w:t>
      </w:r>
      <w:r>
        <w:rPr>
          <w:i/>
          <w:iCs/>
        </w:rPr>
        <w:t>ṃ</w:t>
      </w:r>
      <w:r>
        <w:rPr>
          <w:i/>
          <w:iCs/>
        </w:rPr>
        <w:t>sā utá rātír astu</w:t>
      </w:r>
    </w:p>
    <w:p w14:paraId="20CC64FC" w14:textId="77777777" w:rsidR="00E53EB6" w:rsidRDefault="006500F5">
      <w:pPr>
        <w:pStyle w:val="ZitatnachZitat"/>
        <w:rPr>
          <w:i/>
          <w:iCs/>
        </w:rPr>
      </w:pPr>
      <w:r>
        <w:rPr>
          <w:i/>
          <w:iCs/>
        </w:rPr>
        <w:t>jahí vádhar vanú</w:t>
      </w:r>
      <w:r>
        <w:rPr>
          <w:i/>
          <w:iCs/>
        </w:rPr>
        <w:t>ṣ</w:t>
      </w:r>
      <w:r>
        <w:rPr>
          <w:i/>
          <w:iCs/>
        </w:rPr>
        <w:t>o márt</w:t>
      </w:r>
      <w:r>
        <w:rPr>
          <w:i/>
          <w:iCs/>
          <w:vertAlign w:val="subscript"/>
        </w:rPr>
        <w:t>i</w:t>
      </w:r>
      <w:r>
        <w:rPr>
          <w:i/>
          <w:iCs/>
        </w:rPr>
        <w:t>yasya</w:t>
      </w:r>
    </w:p>
    <w:p w14:paraId="5C4AD9A2" w14:textId="77777777" w:rsidR="00E53EB6" w:rsidRDefault="006500F5">
      <w:pPr>
        <w:pStyle w:val="ZitatnachZitat"/>
        <w:rPr>
          <w:i/>
          <w:iCs/>
        </w:rPr>
      </w:pPr>
      <w:r>
        <w:rPr>
          <w:i/>
          <w:iCs/>
        </w:rPr>
        <w:t>asmé dyumnám ádhi rátna</w:t>
      </w:r>
      <w:r>
        <w:rPr>
          <w:i/>
          <w:iCs/>
        </w:rPr>
        <w:t>ṃ</w:t>
      </w:r>
      <w:r>
        <w:rPr>
          <w:i/>
          <w:iCs/>
        </w:rPr>
        <w:t xml:space="preserve"> ca dhehi</w:t>
      </w:r>
    </w:p>
    <w:p w14:paraId="3E8BFDA2" w14:textId="77777777" w:rsidR="00E53EB6" w:rsidRDefault="006500F5">
      <w:pPr>
        <w:pStyle w:val="Zitat"/>
      </w:pPr>
      <w:r>
        <w:t>A</w:t>
      </w:r>
      <w:r>
        <w:t xml:space="preserve"> hundred are your aids for Sudas</w:t>
      </w:r>
      <w:r>
        <w:rPr>
          <w:rStyle w:val="FootnoteAnchor"/>
        </w:rPr>
        <w:footnoteReference w:id="436"/>
      </w:r>
      <w:r>
        <w:t>, may the prayers and gifts number a thousand, destroy the weapon of the mortal wishing to appropriate us, place splendour and riches for us.</w:t>
      </w:r>
    </w:p>
    <w:p w14:paraId="1B8E0B44" w14:textId="77777777" w:rsidR="00E53EB6" w:rsidRDefault="006500F5">
      <w:pPr>
        <w:pStyle w:val="Zitat"/>
      </w:pPr>
      <w:r>
        <w:rPr>
          <w:rStyle w:val="CarattereCarattere"/>
          <w:rFonts w:ascii="Sabon Unicode" w:hAnsi="Sabon Unicode" w:cs="Times Ext Roman;Times New Roman"/>
          <w:b w:val="0"/>
          <w:bCs w:val="0"/>
          <w:i/>
          <w:iCs/>
          <w:sz w:val="18"/>
          <w:szCs w:val="18"/>
          <w:lang w:val="en-GB"/>
        </w:rPr>
        <w:t>vanú</w:t>
      </w:r>
      <w:r>
        <w:rPr>
          <w:rStyle w:val="CarattereCarattere"/>
          <w:rFonts w:ascii="Sabon Unicode" w:hAnsi="Sabon Unicode" w:cs="Times Ext Roman;Times New Roman"/>
          <w:b w:val="0"/>
          <w:bCs w:val="0"/>
          <w:i/>
          <w:iCs/>
          <w:sz w:val="18"/>
          <w:szCs w:val="18"/>
          <w:lang w:val="en-GB"/>
        </w:rPr>
        <w:t>ṣ</w:t>
      </w:r>
      <w:r>
        <w:rPr>
          <w:rStyle w:val="CarattereCarattere"/>
          <w:rFonts w:ascii="Sabon Unicode" w:hAnsi="Sabon Unicode" w:cs="Times Ext Roman;Times New Roman"/>
          <w:b w:val="0"/>
          <w:bCs w:val="0"/>
          <w:i/>
          <w:iCs/>
          <w:sz w:val="18"/>
          <w:szCs w:val="18"/>
          <w:lang w:val="en-GB"/>
        </w:rPr>
        <w:t>a</w:t>
      </w:r>
      <w:r>
        <w:rPr>
          <w:rStyle w:val="CarattereCarattere"/>
          <w:rFonts w:ascii="Sabon Unicode" w:hAnsi="Sabon Unicode" w:cs="Times Ext Roman;Times New Roman"/>
          <w:b w:val="0"/>
          <w:bCs w:val="0"/>
          <w:i/>
          <w:iCs/>
          <w:sz w:val="18"/>
          <w:szCs w:val="18"/>
          <w:lang w:val="en-GB"/>
        </w:rPr>
        <w:t>ḥ</w:t>
      </w:r>
      <w:r>
        <w:rPr>
          <w:rStyle w:val="CarattereCarattere"/>
          <w:rFonts w:ascii="Sabon Unicode" w:hAnsi="Sabon Unicode" w:cs="Times Ext Roman;Times New Roman"/>
          <w:sz w:val="18"/>
          <w:szCs w:val="18"/>
          <w:lang w:val="en-GB"/>
        </w:rPr>
        <w:t xml:space="preserve">: </w:t>
      </w:r>
      <w:r>
        <w:rPr>
          <w:rStyle w:val="CarattereCarattere"/>
          <w:rFonts w:ascii="Sabon Unicode" w:hAnsi="Sabon Unicode" w:cs="Times Ext Roman;Times New Roman"/>
          <w:b w:val="0"/>
          <w:sz w:val="18"/>
          <w:szCs w:val="18"/>
          <w:lang w:val="en-GB"/>
        </w:rPr>
        <w:t>genitive masculine singular</w:t>
      </w:r>
      <w:r>
        <w:t xml:space="preserve">, from </w:t>
      </w:r>
      <w:r>
        <w:rPr>
          <w:i/>
        </w:rPr>
        <w:t>vanús-</w:t>
      </w:r>
    </w:p>
    <w:p w14:paraId="3352FA42" w14:textId="77777777" w:rsidR="00E53EB6" w:rsidRDefault="006500F5">
      <w:pPr>
        <w:pStyle w:val="ZitatmitEinzug"/>
      </w:pPr>
      <w:r>
        <w:rPr>
          <w:smallCaps/>
        </w:rPr>
        <w:t>Geldner:</w:t>
      </w:r>
      <w:r>
        <w:t xml:space="preserve"> II, 204 “</w:t>
      </w:r>
      <w:r>
        <w:t>neidischen”</w:t>
      </w:r>
    </w:p>
    <w:p w14:paraId="1157858E" w14:textId="77777777" w:rsidR="00E53EB6" w:rsidRDefault="006500F5">
      <w:pPr>
        <w:pStyle w:val="HaupttextnachZitat"/>
      </w:pPr>
      <w:r>
        <w:rPr>
          <w:rStyle w:val="StileTitolo1LatinoArialUnicodeMSnonlatinoArialUnicCarattere"/>
          <w:rFonts w:ascii="Sabon Unicode" w:hAnsi="Sabon Unicode" w:cs="Times Ext Roman;Times New Roman"/>
          <w:b w:val="0"/>
          <w:sz w:val="21"/>
          <w:szCs w:val="21"/>
          <w:lang w:val="en-GB"/>
        </w:rPr>
        <w:t>In some cases the plea is not explicitly for destruction of the enemy, but an invocation for the god to protect those who pray to him, or indeed the prayer itself, from whomsoever is intent on appropriation.</w:t>
      </w:r>
    </w:p>
    <w:p w14:paraId="65AB4850" w14:textId="77777777" w:rsidR="00E53EB6" w:rsidRDefault="006500F5">
      <w:pPr>
        <w:pStyle w:val="Zitat"/>
      </w:pPr>
      <w:r>
        <w:t xml:space="preserve">6.15.12 </w:t>
      </w:r>
      <w:r>
        <w:rPr>
          <w:i/>
          <w:iCs/>
        </w:rPr>
        <w:t>t</w:t>
      </w:r>
      <w:r>
        <w:rPr>
          <w:i/>
          <w:iCs/>
          <w:vertAlign w:val="subscript"/>
        </w:rPr>
        <w:t>u</w:t>
      </w:r>
      <w:r>
        <w:rPr>
          <w:i/>
          <w:iCs/>
        </w:rPr>
        <w:t>vám agne vanu</w:t>
      </w:r>
      <w:r>
        <w:rPr>
          <w:i/>
          <w:iCs/>
        </w:rPr>
        <w:t>ṣ</w:t>
      </w:r>
      <w:r>
        <w:rPr>
          <w:i/>
          <w:iCs/>
        </w:rPr>
        <w:t>yató ní pāhi</w:t>
      </w:r>
    </w:p>
    <w:p w14:paraId="770219F3" w14:textId="77777777" w:rsidR="00E53EB6" w:rsidRDefault="006500F5">
      <w:pPr>
        <w:pStyle w:val="ZitatnachZitat"/>
        <w:rPr>
          <w:i/>
          <w:iCs/>
        </w:rPr>
      </w:pPr>
      <w:r>
        <w:rPr>
          <w:i/>
          <w:iCs/>
        </w:rPr>
        <w:t>t</w:t>
      </w:r>
      <w:r>
        <w:rPr>
          <w:i/>
          <w:iCs/>
          <w:vertAlign w:val="subscript"/>
        </w:rPr>
        <w:t>u</w:t>
      </w:r>
      <w:r>
        <w:rPr>
          <w:i/>
          <w:iCs/>
        </w:rPr>
        <w:t>vám u na</w:t>
      </w:r>
      <w:r>
        <w:rPr>
          <w:i/>
          <w:iCs/>
        </w:rPr>
        <w:t>ḥ</w:t>
      </w:r>
      <w:r>
        <w:rPr>
          <w:i/>
          <w:iCs/>
        </w:rPr>
        <w:t xml:space="preserve"> sahasāvann avadyā́t</w:t>
      </w:r>
    </w:p>
    <w:p w14:paraId="26AA66E8" w14:textId="77777777" w:rsidR="00E53EB6" w:rsidRDefault="006500F5">
      <w:pPr>
        <w:pStyle w:val="ZitatnachZitat"/>
        <w:rPr>
          <w:i/>
          <w:iCs/>
        </w:rPr>
      </w:pPr>
      <w:r>
        <w:rPr>
          <w:i/>
          <w:iCs/>
        </w:rPr>
        <w:t>sá</w:t>
      </w:r>
      <w:r>
        <w:rPr>
          <w:i/>
          <w:iCs/>
        </w:rPr>
        <w:t>ṃ</w:t>
      </w:r>
      <w:r>
        <w:rPr>
          <w:i/>
          <w:iCs/>
        </w:rPr>
        <w:t xml:space="preserve"> tvā dhvasmanvád abhí etu pā́tha</w:t>
      </w:r>
      <w:r>
        <w:rPr>
          <w:i/>
          <w:iCs/>
        </w:rPr>
        <w:t>ḥ</w:t>
      </w:r>
    </w:p>
    <w:p w14:paraId="723A8DD9" w14:textId="77777777" w:rsidR="00E53EB6" w:rsidRDefault="006500F5">
      <w:pPr>
        <w:pStyle w:val="ZitatnachZitat"/>
        <w:rPr>
          <w:i/>
          <w:iCs/>
        </w:rPr>
      </w:pPr>
      <w:r>
        <w:rPr>
          <w:i/>
          <w:iCs/>
        </w:rPr>
        <w:t>sá</w:t>
      </w:r>
      <w:r>
        <w:rPr>
          <w:i/>
          <w:iCs/>
        </w:rPr>
        <w:t>ṃ</w:t>
      </w:r>
      <w:r>
        <w:rPr>
          <w:i/>
          <w:iCs/>
        </w:rPr>
        <w:t xml:space="preserve"> rayí spr̥hayā́y</w:t>
      </w:r>
      <w:r>
        <w:rPr>
          <w:i/>
          <w:iCs/>
          <w:vertAlign w:val="subscript"/>
        </w:rPr>
        <w:t>i</w:t>
      </w:r>
      <w:r>
        <w:rPr>
          <w:i/>
          <w:iCs/>
        </w:rPr>
        <w:t>ya</w:t>
      </w:r>
      <w:r>
        <w:rPr>
          <w:i/>
          <w:iCs/>
        </w:rPr>
        <w:t>ḥ</w:t>
      </w:r>
      <w:r>
        <w:rPr>
          <w:i/>
          <w:iCs/>
        </w:rPr>
        <w:t xml:space="preserve"> sahasrī́</w:t>
      </w:r>
    </w:p>
    <w:p w14:paraId="4B60A72E" w14:textId="77777777" w:rsidR="00E53EB6" w:rsidRDefault="006500F5">
      <w:pPr>
        <w:pStyle w:val="Zitat"/>
      </w:pPr>
      <w:r>
        <w:t xml:space="preserve">It is indeed you, O Agni, who protect from those </w:t>
      </w:r>
      <w:r>
        <w:rPr>
          <w:u w:val="single"/>
        </w:rPr>
        <w:t>who wish to appropriate</w:t>
      </w:r>
      <w:r>
        <w:t xml:space="preserve"> us, and you, victorious, protect us from censure;  thanks to you the pasturage g</w:t>
      </w:r>
      <w:r>
        <w:t>athers</w:t>
      </w:r>
      <w:r>
        <w:rPr>
          <w:rStyle w:val="FootnoteAnchor"/>
        </w:rPr>
        <w:footnoteReference w:id="437"/>
      </w:r>
      <w:r>
        <w:t xml:space="preserve"> endowed with shade</w:t>
      </w:r>
      <w:r>
        <w:rPr>
          <w:rStyle w:val="FootnoteAnchor"/>
        </w:rPr>
        <w:footnoteReference w:id="438"/>
      </w:r>
      <w:r>
        <w:t xml:space="preserve">, wealth gathers a thousand times </w:t>
      </w:r>
      <w:r>
        <w:lastRenderedPageBreak/>
        <w:t>that which is desired.</w:t>
      </w:r>
    </w:p>
    <w:p w14:paraId="55FA7889" w14:textId="77777777" w:rsidR="00E53EB6" w:rsidRDefault="006500F5">
      <w:pPr>
        <w:pStyle w:val="Zitat"/>
      </w:pPr>
      <w:r>
        <w:rPr>
          <w:rFonts w:eastAsia="Arial Unicode MS"/>
          <w:i/>
          <w:iCs/>
        </w:rPr>
        <w:t>vanu</w:t>
      </w:r>
      <w:r>
        <w:rPr>
          <w:rFonts w:eastAsia="Arial Unicode MS"/>
          <w:i/>
          <w:iCs/>
        </w:rPr>
        <w:t>ṣ</w:t>
      </w:r>
      <w:r>
        <w:rPr>
          <w:rFonts w:eastAsia="Arial Unicode MS"/>
          <w:i/>
          <w:iCs/>
        </w:rPr>
        <w:t>yatá</w:t>
      </w:r>
      <w:r>
        <w:rPr>
          <w:rFonts w:eastAsia="Arial Unicode MS"/>
          <w:i/>
          <w:iCs/>
        </w:rPr>
        <w:t>ḥ</w:t>
      </w:r>
      <w:r>
        <w:rPr>
          <w:rFonts w:eastAsia="Arial Unicode MS"/>
          <w:b/>
          <w:i/>
          <w:iCs/>
        </w:rPr>
        <w:t>:</w:t>
      </w:r>
      <w:r>
        <w:t xml:space="preserve"> present participle (abl. masc. sing.), denominative from </w:t>
      </w:r>
      <w:r>
        <w:rPr>
          <w:i/>
        </w:rPr>
        <w:t>vanús-</w:t>
      </w:r>
    </w:p>
    <w:p w14:paraId="04EEFE09" w14:textId="77777777" w:rsidR="00E53EB6" w:rsidRPr="00B80C6B" w:rsidRDefault="006500F5">
      <w:pPr>
        <w:pStyle w:val="ZitatmitEinzug"/>
        <w:rPr>
          <w:lang w:val="de-DE"/>
        </w:rPr>
      </w:pPr>
      <w:r w:rsidRPr="00B80C6B">
        <w:rPr>
          <w:smallCaps/>
          <w:lang w:val="de-DE"/>
        </w:rPr>
        <w:t>Geldner:</w:t>
      </w:r>
      <w:r w:rsidRPr="00B80C6B">
        <w:rPr>
          <w:lang w:val="de-DE"/>
        </w:rPr>
        <w:t xml:space="preserve"> II 108 “</w:t>
      </w:r>
      <w:r w:rsidRPr="00B80C6B">
        <w:rPr>
          <w:lang w:val="de-DE"/>
        </w:rPr>
        <w:t>Neider”</w:t>
      </w:r>
    </w:p>
    <w:p w14:paraId="5F943FB6" w14:textId="77777777" w:rsidR="00E53EB6" w:rsidRPr="00B80C6B" w:rsidRDefault="006500F5">
      <w:pPr>
        <w:pStyle w:val="ZitatmitEinzug"/>
        <w:rPr>
          <w:lang w:val="de-DE"/>
        </w:rPr>
      </w:pPr>
      <w:r w:rsidRPr="00B80C6B">
        <w:rPr>
          <w:smallCaps/>
          <w:lang w:val="de-DE"/>
        </w:rPr>
        <w:t>Renou:</w:t>
      </w:r>
      <w:r w:rsidRPr="00B80C6B">
        <w:rPr>
          <w:lang w:val="de-DE"/>
        </w:rPr>
        <w:t xml:space="preserve"> XIII 48 “qui jalouse”</w:t>
      </w:r>
    </w:p>
    <w:p w14:paraId="555D1BE8" w14:textId="77777777" w:rsidR="00E53EB6" w:rsidRPr="00B80C6B" w:rsidRDefault="006500F5">
      <w:pPr>
        <w:pStyle w:val="ZitatmitEinzug"/>
        <w:rPr>
          <w:lang w:val="de-DE"/>
        </w:rPr>
      </w:pPr>
      <w:r w:rsidRPr="00B80C6B">
        <w:rPr>
          <w:smallCaps/>
          <w:lang w:val="de-DE"/>
        </w:rPr>
        <w:t xml:space="preserve">Schimdt </w:t>
      </w:r>
      <w:r w:rsidRPr="00B80C6B">
        <w:rPr>
          <w:lang w:val="de-DE"/>
        </w:rPr>
        <w:t>1973: 24 “the greedy”</w:t>
      </w:r>
    </w:p>
    <w:p w14:paraId="7004779C" w14:textId="77777777" w:rsidR="00E53EB6" w:rsidRPr="00B80C6B" w:rsidRDefault="00E53EB6">
      <w:pPr>
        <w:pStyle w:val="ZitatmitEinzug"/>
        <w:rPr>
          <w:lang w:val="de-DE"/>
        </w:rPr>
      </w:pPr>
    </w:p>
    <w:p w14:paraId="766D7DD3" w14:textId="77777777" w:rsidR="00E53EB6" w:rsidRPr="00B80C6B" w:rsidRDefault="006500F5">
      <w:pPr>
        <w:pStyle w:val="Zitat"/>
        <w:rPr>
          <w:lang w:val="de-DE"/>
        </w:rPr>
      </w:pPr>
      <w:r w:rsidRPr="00B80C6B">
        <w:rPr>
          <w:lang w:val="de-DE"/>
        </w:rPr>
        <w:t xml:space="preserve">7.1.15  </w:t>
      </w:r>
      <w:r w:rsidRPr="00B80C6B">
        <w:rPr>
          <w:i/>
          <w:iCs/>
          <w:lang w:val="de-DE"/>
        </w:rPr>
        <w:t xml:space="preserve"> séd agnír yó vanu</w:t>
      </w:r>
      <w:r w:rsidRPr="00B80C6B">
        <w:rPr>
          <w:i/>
          <w:iCs/>
          <w:lang w:val="de-DE"/>
        </w:rPr>
        <w:t>ṣ</w:t>
      </w:r>
      <w:r w:rsidRPr="00B80C6B">
        <w:rPr>
          <w:i/>
          <w:iCs/>
          <w:lang w:val="de-DE"/>
        </w:rPr>
        <w:t>yató nipā́ti</w:t>
      </w:r>
    </w:p>
    <w:p w14:paraId="6181060E" w14:textId="77777777" w:rsidR="00E53EB6" w:rsidRPr="00B80C6B" w:rsidRDefault="006500F5">
      <w:pPr>
        <w:pStyle w:val="ZitatnachZitat"/>
        <w:rPr>
          <w:i/>
          <w:iCs/>
          <w:lang w:val="de-DE"/>
        </w:rPr>
      </w:pPr>
      <w:r w:rsidRPr="00B80C6B">
        <w:rPr>
          <w:i/>
          <w:iCs/>
          <w:lang w:val="de-DE"/>
        </w:rPr>
        <w:t>sameddhā́ram  á</w:t>
      </w:r>
      <w:r w:rsidRPr="00B80C6B">
        <w:rPr>
          <w:i/>
          <w:iCs/>
          <w:lang w:val="de-DE"/>
        </w:rPr>
        <w:t>ṃ</w:t>
      </w:r>
      <w:r w:rsidRPr="00B80C6B">
        <w:rPr>
          <w:i/>
          <w:iCs/>
          <w:lang w:val="de-DE"/>
        </w:rPr>
        <w:t>hasa uru</w:t>
      </w:r>
      <w:r w:rsidRPr="00B80C6B">
        <w:rPr>
          <w:i/>
          <w:iCs/>
          <w:lang w:val="de-DE"/>
        </w:rPr>
        <w:t>ṣ</w:t>
      </w:r>
      <w:r w:rsidRPr="00B80C6B">
        <w:rPr>
          <w:i/>
          <w:iCs/>
          <w:lang w:val="de-DE"/>
        </w:rPr>
        <w:t>yā́t</w:t>
      </w:r>
    </w:p>
    <w:p w14:paraId="2DD23169" w14:textId="77777777" w:rsidR="00E53EB6" w:rsidRPr="00B80C6B" w:rsidRDefault="006500F5">
      <w:pPr>
        <w:pStyle w:val="ZitatnachZitat"/>
        <w:rPr>
          <w:i/>
          <w:iCs/>
          <w:lang w:val="de-DE"/>
        </w:rPr>
      </w:pPr>
      <w:r w:rsidRPr="00B80C6B">
        <w:rPr>
          <w:i/>
          <w:iCs/>
          <w:lang w:val="de-DE"/>
        </w:rPr>
        <w:t>sujātā́sa</w:t>
      </w:r>
      <w:r w:rsidRPr="00B80C6B">
        <w:rPr>
          <w:i/>
          <w:iCs/>
          <w:lang w:val="de-DE"/>
        </w:rPr>
        <w:t>ḥ</w:t>
      </w:r>
      <w:r w:rsidRPr="00B80C6B">
        <w:rPr>
          <w:i/>
          <w:iCs/>
          <w:lang w:val="de-DE"/>
        </w:rPr>
        <w:t xml:space="preserve"> pári caranti vīrā́</w:t>
      </w:r>
      <w:r w:rsidRPr="00B80C6B">
        <w:rPr>
          <w:i/>
          <w:iCs/>
          <w:lang w:val="de-DE"/>
        </w:rPr>
        <w:t>ḥ</w:t>
      </w:r>
    </w:p>
    <w:p w14:paraId="73BE5951" w14:textId="77777777" w:rsidR="00E53EB6" w:rsidRDefault="006500F5">
      <w:pPr>
        <w:pStyle w:val="Zitat"/>
      </w:pPr>
      <w:r>
        <w:t>This Agni, w</w:t>
      </w:r>
      <w:r>
        <w:t xml:space="preserve">ho protects from those </w:t>
      </w:r>
      <w:r>
        <w:rPr>
          <w:u w:val="single"/>
        </w:rPr>
        <w:t>who wish to appropriate</w:t>
      </w:r>
      <w:r>
        <w:t xml:space="preserve"> us, defend from the narrow strait him who kindles fire, the heroes of fine character serve him.</w:t>
      </w:r>
    </w:p>
    <w:p w14:paraId="68755FE6" w14:textId="77777777" w:rsidR="00E53EB6" w:rsidRDefault="006500F5">
      <w:pPr>
        <w:pStyle w:val="Zitat"/>
      </w:pPr>
      <w:r>
        <w:rPr>
          <w:rFonts w:eastAsia="Arial Unicode MS"/>
          <w:i/>
          <w:iCs/>
        </w:rPr>
        <w:t>vanu</w:t>
      </w:r>
      <w:r>
        <w:rPr>
          <w:rFonts w:eastAsia="Arial Unicode MS"/>
          <w:i/>
          <w:iCs/>
        </w:rPr>
        <w:t>ṣ</w:t>
      </w:r>
      <w:r>
        <w:rPr>
          <w:rFonts w:eastAsia="Arial Unicode MS"/>
          <w:i/>
          <w:iCs/>
        </w:rPr>
        <w:t>yatá</w:t>
      </w:r>
      <w:r>
        <w:rPr>
          <w:rFonts w:eastAsia="Arial Unicode MS"/>
          <w:i/>
          <w:iCs/>
        </w:rPr>
        <w:t>ḥ</w:t>
      </w:r>
      <w:r>
        <w:rPr>
          <w:rFonts w:eastAsia="Arial Unicode MS"/>
          <w:b/>
        </w:rPr>
        <w:t>:</w:t>
      </w:r>
      <w:r>
        <w:t xml:space="preserve"> present participle (abl. masc. sing.), denominative from </w:t>
      </w:r>
      <w:r>
        <w:rPr>
          <w:i/>
        </w:rPr>
        <w:t>vanús-</w:t>
      </w:r>
    </w:p>
    <w:p w14:paraId="79ECF4E9" w14:textId="77777777" w:rsidR="00E53EB6" w:rsidRPr="00B80C6B" w:rsidRDefault="006500F5">
      <w:pPr>
        <w:pStyle w:val="ZitatmitEinzug"/>
        <w:rPr>
          <w:lang w:val="de-DE"/>
        </w:rPr>
      </w:pPr>
      <w:r w:rsidRPr="00B80C6B">
        <w:rPr>
          <w:smallCaps/>
          <w:lang w:val="de-DE"/>
        </w:rPr>
        <w:t>Geldner:</w:t>
      </w:r>
      <w:r w:rsidRPr="00B80C6B">
        <w:rPr>
          <w:lang w:val="de-DE"/>
        </w:rPr>
        <w:t xml:space="preserve"> II 181 “</w:t>
      </w:r>
      <w:r w:rsidRPr="00B80C6B">
        <w:rPr>
          <w:lang w:val="de-DE"/>
        </w:rPr>
        <w:t>Neider”</w:t>
      </w:r>
    </w:p>
    <w:p w14:paraId="127C803D" w14:textId="77777777" w:rsidR="00E53EB6" w:rsidRPr="00B80C6B" w:rsidRDefault="006500F5">
      <w:pPr>
        <w:pStyle w:val="ZitatmitEinzug"/>
        <w:rPr>
          <w:lang w:val="de-DE"/>
        </w:rPr>
      </w:pPr>
      <w:r w:rsidRPr="00B80C6B">
        <w:rPr>
          <w:smallCaps/>
          <w:lang w:val="de-DE"/>
        </w:rPr>
        <w:t xml:space="preserve">Renou: </w:t>
      </w:r>
      <w:r w:rsidRPr="00B80C6B">
        <w:rPr>
          <w:lang w:val="de-DE"/>
        </w:rPr>
        <w:t>XIII 53 “rival-jaloux”</w:t>
      </w:r>
    </w:p>
    <w:p w14:paraId="4D5065B9" w14:textId="77777777" w:rsidR="00E53EB6" w:rsidRPr="00B80C6B" w:rsidRDefault="00E53EB6">
      <w:pPr>
        <w:pStyle w:val="ZitatmitEinzug"/>
        <w:rPr>
          <w:lang w:val="de-DE"/>
        </w:rPr>
      </w:pPr>
    </w:p>
    <w:p w14:paraId="205B4193" w14:textId="77777777" w:rsidR="00E53EB6" w:rsidRPr="00B80C6B" w:rsidRDefault="006500F5">
      <w:pPr>
        <w:pStyle w:val="Zitat"/>
        <w:rPr>
          <w:lang w:val="de-DE"/>
        </w:rPr>
      </w:pPr>
      <w:r w:rsidRPr="00B80C6B">
        <w:rPr>
          <w:lang w:val="de-DE"/>
        </w:rPr>
        <w:t xml:space="preserve">7.56.19 </w:t>
      </w:r>
      <w:r w:rsidRPr="00B80C6B">
        <w:rPr>
          <w:i/>
          <w:iCs/>
          <w:lang w:val="de-DE"/>
        </w:rPr>
        <w:t>imé turám marúto rāmayanti</w:t>
      </w:r>
    </w:p>
    <w:p w14:paraId="67EF764C" w14:textId="77777777" w:rsidR="00E53EB6" w:rsidRPr="00B80C6B" w:rsidRDefault="006500F5">
      <w:pPr>
        <w:pStyle w:val="ZitatnachZitat"/>
        <w:rPr>
          <w:i/>
          <w:iCs/>
          <w:lang w:val="de-DE"/>
        </w:rPr>
      </w:pPr>
      <w:r w:rsidRPr="00B80C6B">
        <w:rPr>
          <w:i/>
          <w:iCs/>
          <w:lang w:val="de-DE"/>
        </w:rPr>
        <w:t>imé sáha</w:t>
      </w:r>
      <w:r w:rsidRPr="00B80C6B">
        <w:rPr>
          <w:i/>
          <w:iCs/>
          <w:lang w:val="de-DE"/>
        </w:rPr>
        <w:t>ḥ</w:t>
      </w:r>
      <w:r w:rsidRPr="00B80C6B">
        <w:rPr>
          <w:i/>
          <w:iCs/>
          <w:lang w:val="de-DE"/>
        </w:rPr>
        <w:t xml:space="preserve"> sáhasa ā́ namanti</w:t>
      </w:r>
    </w:p>
    <w:p w14:paraId="689A2FE7" w14:textId="77777777" w:rsidR="00E53EB6" w:rsidRPr="00B80C6B" w:rsidRDefault="006500F5">
      <w:pPr>
        <w:pStyle w:val="ZitatnachZitat"/>
        <w:rPr>
          <w:i/>
          <w:iCs/>
          <w:lang w:val="de-DE"/>
        </w:rPr>
      </w:pPr>
      <w:r w:rsidRPr="00B80C6B">
        <w:rPr>
          <w:i/>
          <w:iCs/>
          <w:lang w:val="de-DE"/>
        </w:rPr>
        <w:t>imé śá</w:t>
      </w:r>
      <w:r w:rsidRPr="00B80C6B">
        <w:rPr>
          <w:i/>
          <w:iCs/>
          <w:lang w:val="de-DE"/>
        </w:rPr>
        <w:t>ṃ</w:t>
      </w:r>
      <w:r w:rsidRPr="00B80C6B">
        <w:rPr>
          <w:i/>
          <w:iCs/>
          <w:lang w:val="de-DE"/>
        </w:rPr>
        <w:t>sa</w:t>
      </w:r>
      <w:r w:rsidRPr="00B80C6B">
        <w:rPr>
          <w:i/>
          <w:iCs/>
          <w:lang w:val="de-DE"/>
        </w:rPr>
        <w:t>ṃ</w:t>
      </w:r>
      <w:r w:rsidRPr="00B80C6B">
        <w:rPr>
          <w:i/>
          <w:iCs/>
          <w:lang w:val="de-DE"/>
        </w:rPr>
        <w:t xml:space="preserve"> vanu</w:t>
      </w:r>
      <w:r w:rsidRPr="00B80C6B">
        <w:rPr>
          <w:i/>
          <w:iCs/>
          <w:lang w:val="de-DE"/>
        </w:rPr>
        <w:t>ṣ</w:t>
      </w:r>
      <w:r w:rsidRPr="00B80C6B">
        <w:rPr>
          <w:i/>
          <w:iCs/>
          <w:lang w:val="de-DE"/>
        </w:rPr>
        <w:t>yató ní pānti</w:t>
      </w:r>
    </w:p>
    <w:p w14:paraId="7E2C9924" w14:textId="77777777" w:rsidR="00E53EB6" w:rsidRPr="00B80C6B" w:rsidRDefault="006500F5">
      <w:pPr>
        <w:pStyle w:val="ZitatnachZitat"/>
        <w:rPr>
          <w:i/>
          <w:iCs/>
          <w:lang w:val="de-DE"/>
        </w:rPr>
      </w:pPr>
      <w:r w:rsidRPr="00B80C6B">
        <w:rPr>
          <w:i/>
          <w:iCs/>
          <w:lang w:val="de-DE"/>
        </w:rPr>
        <w:t>gurú dvé</w:t>
      </w:r>
      <w:r w:rsidRPr="00B80C6B">
        <w:rPr>
          <w:i/>
          <w:iCs/>
          <w:lang w:val="de-DE"/>
        </w:rPr>
        <w:t>ṣ</w:t>
      </w:r>
      <w:r w:rsidRPr="00B80C6B">
        <w:rPr>
          <w:i/>
          <w:iCs/>
          <w:lang w:val="de-DE"/>
        </w:rPr>
        <w:t>o áraru</w:t>
      </w:r>
      <w:r w:rsidRPr="00B80C6B">
        <w:rPr>
          <w:i/>
          <w:iCs/>
          <w:lang w:val="de-DE"/>
        </w:rPr>
        <w:t>ṣ</w:t>
      </w:r>
      <w:r w:rsidRPr="00B80C6B">
        <w:rPr>
          <w:i/>
          <w:iCs/>
          <w:lang w:val="de-DE"/>
        </w:rPr>
        <w:t xml:space="preserve">e </w:t>
      </w:r>
      <w:r w:rsidRPr="00B80C6B">
        <w:rPr>
          <w:i/>
          <w:iCs/>
          <w:lang w:val="de-DE"/>
        </w:rPr>
        <w:t>dadhanti</w:t>
      </w:r>
    </w:p>
    <w:p w14:paraId="0FFBED52" w14:textId="77777777" w:rsidR="00E53EB6" w:rsidRDefault="006500F5">
      <w:pPr>
        <w:pStyle w:val="Zitat"/>
      </w:pPr>
      <w:r>
        <w:t xml:space="preserve">These Marut halt the rapid, bend the force of force, these protect prayer from those who </w:t>
      </w:r>
      <w:r>
        <w:rPr>
          <w:u w:val="single"/>
        </w:rPr>
        <w:t>wish to appropriate</w:t>
      </w:r>
      <w:r>
        <w:t xml:space="preserve"> it, bring about heavy hostility for the envious.</w:t>
      </w:r>
    </w:p>
    <w:p w14:paraId="4ECC245A" w14:textId="77777777" w:rsidR="00E53EB6" w:rsidRDefault="006500F5">
      <w:pPr>
        <w:pStyle w:val="Zitat"/>
      </w:pPr>
      <w:r>
        <w:rPr>
          <w:rStyle w:val="CarattereCarattere"/>
          <w:rFonts w:ascii="Sabon Unicode" w:hAnsi="Sabon Unicode" w:cs="Times Ext Roman;Times New Roman"/>
          <w:b w:val="0"/>
          <w:bCs w:val="0"/>
          <w:i/>
          <w:iCs/>
          <w:sz w:val="18"/>
          <w:szCs w:val="18"/>
          <w:lang w:val="en-GB"/>
        </w:rPr>
        <w:t>vanu</w:t>
      </w:r>
      <w:r>
        <w:rPr>
          <w:rStyle w:val="CarattereCarattere"/>
          <w:rFonts w:ascii="Sabon Unicode" w:hAnsi="Sabon Unicode" w:cs="Times Ext Roman;Times New Roman"/>
          <w:b w:val="0"/>
          <w:bCs w:val="0"/>
          <w:i/>
          <w:iCs/>
          <w:sz w:val="18"/>
          <w:szCs w:val="18"/>
          <w:lang w:val="en-GB"/>
        </w:rPr>
        <w:t>ṣ</w:t>
      </w:r>
      <w:r>
        <w:rPr>
          <w:rStyle w:val="CarattereCarattere"/>
          <w:rFonts w:ascii="Sabon Unicode" w:hAnsi="Sabon Unicode" w:cs="Times Ext Roman;Times New Roman"/>
          <w:b w:val="0"/>
          <w:bCs w:val="0"/>
          <w:i/>
          <w:iCs/>
          <w:sz w:val="18"/>
          <w:szCs w:val="18"/>
          <w:lang w:val="en-GB"/>
        </w:rPr>
        <w:t>yatá</w:t>
      </w:r>
      <w:r>
        <w:rPr>
          <w:rStyle w:val="CarattereCarattere"/>
          <w:rFonts w:ascii="Sabon Unicode" w:hAnsi="Sabon Unicode" w:cs="Times Ext Roman;Times New Roman"/>
          <w:b w:val="0"/>
          <w:bCs w:val="0"/>
          <w:i/>
          <w:iCs/>
          <w:sz w:val="18"/>
          <w:szCs w:val="18"/>
          <w:lang w:val="en-GB"/>
        </w:rPr>
        <w:t>ḥ</w:t>
      </w:r>
      <w:r>
        <w:rPr>
          <w:rStyle w:val="CarattereCarattere"/>
          <w:rFonts w:ascii="Sabon Unicode" w:hAnsi="Sabon Unicode" w:cs="Times Ext Roman;Times New Roman"/>
          <w:sz w:val="18"/>
          <w:szCs w:val="18"/>
          <w:lang w:val="en-GB"/>
        </w:rPr>
        <w:t>:</w:t>
      </w:r>
      <w:r>
        <w:t xml:space="preserve"> present participle (gen. m. sing.), denominative from </w:t>
      </w:r>
      <w:r>
        <w:rPr>
          <w:i/>
        </w:rPr>
        <w:t>vanús-</w:t>
      </w:r>
    </w:p>
    <w:p w14:paraId="089B6811" w14:textId="77777777" w:rsidR="00E53EB6" w:rsidRPr="00B80C6B" w:rsidRDefault="006500F5">
      <w:pPr>
        <w:pStyle w:val="ZitatmitEinzug"/>
        <w:rPr>
          <w:lang w:val="de-DE"/>
        </w:rPr>
      </w:pPr>
      <w:r w:rsidRPr="00B80C6B">
        <w:rPr>
          <w:smallCaps/>
          <w:lang w:val="de-DE"/>
        </w:rPr>
        <w:t>Geldner:</w:t>
      </w:r>
      <w:r w:rsidRPr="00B80C6B">
        <w:rPr>
          <w:lang w:val="de-DE"/>
        </w:rPr>
        <w:t xml:space="preserve"> II 232 </w:t>
      </w:r>
      <w:r w:rsidRPr="00B80C6B">
        <w:rPr>
          <w:lang w:val="de-DE"/>
        </w:rPr>
        <w:t>“</w:t>
      </w:r>
      <w:r w:rsidRPr="00B80C6B">
        <w:rPr>
          <w:lang w:val="de-DE"/>
        </w:rPr>
        <w:t>Neidischen”</w:t>
      </w:r>
    </w:p>
    <w:p w14:paraId="4CF3FFB5" w14:textId="77777777" w:rsidR="00E53EB6" w:rsidRPr="00B80C6B" w:rsidRDefault="006500F5">
      <w:pPr>
        <w:pStyle w:val="ZitatmitEinzug"/>
        <w:rPr>
          <w:lang w:val="de-DE"/>
        </w:rPr>
      </w:pPr>
      <w:r w:rsidRPr="00B80C6B">
        <w:rPr>
          <w:smallCaps/>
          <w:lang w:val="de-DE"/>
        </w:rPr>
        <w:t>Renou:</w:t>
      </w:r>
      <w:r w:rsidRPr="00B80C6B">
        <w:rPr>
          <w:lang w:val="de-DE"/>
        </w:rPr>
        <w:t xml:space="preserve"> X 43 “rival”</w:t>
      </w:r>
    </w:p>
    <w:p w14:paraId="47A5B10C" w14:textId="77777777" w:rsidR="00E53EB6" w:rsidRDefault="006500F5">
      <w:pPr>
        <w:pStyle w:val="HaupttextnachZitat"/>
      </w:pPr>
      <w:r>
        <w:t xml:space="preserve">In the following passages we find the poet himself elaborating a word play that is both phonetic and semantic, bringing together, in the same </w:t>
      </w:r>
      <w:r>
        <w:rPr>
          <w:i/>
          <w:iCs/>
        </w:rPr>
        <w:t>padā,</w:t>
      </w:r>
      <w:r>
        <w:t xml:space="preserve"> one of the two derivatives of the verb </w:t>
      </w:r>
      <w:r>
        <w:rPr>
          <w:i/>
        </w:rPr>
        <w:t>van- / van</w:t>
      </w:r>
      <w:r>
        <w:rPr>
          <w:i/>
          <w:vertAlign w:val="superscript"/>
        </w:rPr>
        <w:t>i</w:t>
      </w:r>
      <w:r>
        <w:rPr>
          <w:i/>
        </w:rPr>
        <w:t>-</w:t>
      </w:r>
      <w:r>
        <w:t xml:space="preserve"> in the sense of “to dom</w:t>
      </w:r>
      <w:r>
        <w:t xml:space="preserve">inate”, and, exploiting the semantic shift, turning the very same action against those who wish to perform it on “us”. </w:t>
      </w:r>
    </w:p>
    <w:p w14:paraId="3A860196" w14:textId="77777777" w:rsidR="00E53EB6" w:rsidRDefault="006500F5">
      <w:pPr>
        <w:pStyle w:val="Zitat"/>
      </w:pPr>
      <w:r>
        <w:t xml:space="preserve">1.132.1 </w:t>
      </w:r>
      <w:r>
        <w:rPr>
          <w:i/>
          <w:iCs/>
        </w:rPr>
        <w:t>tváyā vayám maghavan pū́rv</w:t>
      </w:r>
      <w:r>
        <w:rPr>
          <w:i/>
          <w:iCs/>
          <w:vertAlign w:val="subscript"/>
        </w:rPr>
        <w:t>i</w:t>
      </w:r>
      <w:r>
        <w:rPr>
          <w:i/>
          <w:iCs/>
        </w:rPr>
        <w:t>ye dhána</w:t>
      </w:r>
    </w:p>
    <w:p w14:paraId="41F7A45E" w14:textId="77777777" w:rsidR="00E53EB6" w:rsidRDefault="006500F5">
      <w:pPr>
        <w:pStyle w:val="ZitatnachZitat"/>
        <w:rPr>
          <w:i/>
          <w:iCs/>
        </w:rPr>
      </w:pPr>
      <w:r>
        <w:rPr>
          <w:i/>
          <w:iCs/>
        </w:rPr>
        <w:t>índratvotā</w:t>
      </w:r>
      <w:r>
        <w:rPr>
          <w:i/>
          <w:iCs/>
        </w:rPr>
        <w:t>ḥ</w:t>
      </w:r>
      <w:r>
        <w:rPr>
          <w:i/>
          <w:iCs/>
        </w:rPr>
        <w:t xml:space="preserve"> sāsahyāma pr̥tanyató</w:t>
      </w:r>
    </w:p>
    <w:p w14:paraId="546991EC" w14:textId="77777777" w:rsidR="00E53EB6" w:rsidRDefault="006500F5">
      <w:pPr>
        <w:pStyle w:val="ZitatnachZitat"/>
        <w:rPr>
          <w:i/>
          <w:iCs/>
        </w:rPr>
      </w:pPr>
      <w:r>
        <w:rPr>
          <w:i/>
          <w:iCs/>
        </w:rPr>
        <w:t>vanuyā́ma vanu</w:t>
      </w:r>
      <w:r>
        <w:rPr>
          <w:i/>
          <w:iCs/>
        </w:rPr>
        <w:t>ṣ</w:t>
      </w:r>
      <w:r>
        <w:rPr>
          <w:i/>
          <w:iCs/>
        </w:rPr>
        <w:t>yatá</w:t>
      </w:r>
      <w:r>
        <w:rPr>
          <w:i/>
          <w:iCs/>
        </w:rPr>
        <w:t>ḥ</w:t>
      </w:r>
    </w:p>
    <w:p w14:paraId="710FFA86" w14:textId="77777777" w:rsidR="00E53EB6" w:rsidRDefault="006500F5">
      <w:pPr>
        <w:pStyle w:val="ZitatnachZitat"/>
        <w:rPr>
          <w:i/>
          <w:iCs/>
        </w:rPr>
      </w:pPr>
      <w:r>
        <w:rPr>
          <w:i/>
          <w:iCs/>
        </w:rPr>
        <w:t>nédi</w:t>
      </w:r>
      <w:r>
        <w:rPr>
          <w:i/>
          <w:iCs/>
        </w:rPr>
        <w:t>ṣṭ</w:t>
      </w:r>
      <w:r>
        <w:rPr>
          <w:i/>
          <w:iCs/>
        </w:rPr>
        <w:t>he asmín áhani</w:t>
      </w:r>
    </w:p>
    <w:p w14:paraId="0D0AE72F" w14:textId="77777777" w:rsidR="00E53EB6" w:rsidRDefault="006500F5">
      <w:pPr>
        <w:pStyle w:val="ZitatnachZitat"/>
        <w:rPr>
          <w:i/>
          <w:iCs/>
        </w:rPr>
      </w:pPr>
      <w:r>
        <w:rPr>
          <w:i/>
          <w:iCs/>
        </w:rPr>
        <w:t>ádhi vocā nú sunv</w:t>
      </w:r>
      <w:r>
        <w:rPr>
          <w:i/>
          <w:iCs/>
        </w:rPr>
        <w:t>até</w:t>
      </w:r>
    </w:p>
    <w:p w14:paraId="7653BD54" w14:textId="77777777" w:rsidR="00E53EB6" w:rsidRDefault="006500F5">
      <w:pPr>
        <w:pStyle w:val="ZitatnachZitat"/>
        <w:rPr>
          <w:i/>
          <w:iCs/>
        </w:rPr>
      </w:pPr>
      <w:r>
        <w:rPr>
          <w:i/>
          <w:iCs/>
        </w:rPr>
        <w:t>asmín yajñé ví cayemā bháre kr̥tá</w:t>
      </w:r>
      <w:r>
        <w:rPr>
          <w:i/>
          <w:iCs/>
        </w:rPr>
        <w:t>ṃ</w:t>
      </w:r>
    </w:p>
    <w:p w14:paraId="059335C2" w14:textId="77777777" w:rsidR="00E53EB6" w:rsidRDefault="006500F5">
      <w:pPr>
        <w:pStyle w:val="ZitatnachZitat"/>
        <w:rPr>
          <w:i/>
          <w:iCs/>
        </w:rPr>
      </w:pPr>
      <w:r>
        <w:rPr>
          <w:i/>
          <w:iCs/>
        </w:rPr>
        <w:t>vājayánto bháre kr̥tám</w:t>
      </w:r>
    </w:p>
    <w:p w14:paraId="7B81F8DD" w14:textId="77777777" w:rsidR="00E53EB6" w:rsidRDefault="006500F5">
      <w:pPr>
        <w:pStyle w:val="Zitat"/>
      </w:pPr>
      <w:r>
        <w:t xml:space="preserve">Through you, O Indra, bestower of gifts, may we, the first prize being there to be won, helped by you overwhelm those who attack us, </w:t>
      </w:r>
      <w:r>
        <w:rPr>
          <w:u w:val="single"/>
        </w:rPr>
        <w:t>appropriate</w:t>
      </w:r>
      <w:r>
        <w:t xml:space="preserve"> those who </w:t>
      </w:r>
      <w:r>
        <w:rPr>
          <w:u w:val="single"/>
        </w:rPr>
        <w:t>wish to appropriate us</w:t>
      </w:r>
      <w:r>
        <w:t>; the day being close, speak in favour of the one who squeezes out the soma; no</w:t>
      </w:r>
      <w:r>
        <w:t>w being the sacrifice, may we distinguish the decisive act in the contest, we who aim for the prize, the decisive act in the contest.</w:t>
      </w:r>
    </w:p>
    <w:p w14:paraId="443528A0" w14:textId="77777777" w:rsidR="00E53EB6" w:rsidRPr="00B80C6B" w:rsidRDefault="006500F5">
      <w:pPr>
        <w:pStyle w:val="Zitat"/>
        <w:rPr>
          <w:lang w:val="de-DE"/>
        </w:rPr>
      </w:pPr>
      <w:r>
        <w:rPr>
          <w:rStyle w:val="CarattereCarattere"/>
          <w:rFonts w:ascii="Sabon Unicode" w:hAnsi="Sabon Unicode" w:cs="Times Ext Roman;Times New Roman"/>
          <w:b w:val="0"/>
          <w:bCs w:val="0"/>
          <w:i/>
          <w:iCs/>
          <w:sz w:val="18"/>
          <w:szCs w:val="18"/>
          <w:lang w:val="en-GB"/>
        </w:rPr>
        <w:t>vanuy</w:t>
      </w:r>
      <w:r>
        <w:rPr>
          <w:i/>
          <w:iCs/>
        </w:rPr>
        <w:t>ā́</w:t>
      </w:r>
      <w:r>
        <w:rPr>
          <w:rStyle w:val="CarattereCarattere"/>
          <w:rFonts w:ascii="Sabon Unicode" w:hAnsi="Sabon Unicode" w:cs="Times Ext Roman;Times New Roman"/>
          <w:b w:val="0"/>
          <w:bCs w:val="0"/>
          <w:i/>
          <w:iCs/>
          <w:sz w:val="18"/>
          <w:szCs w:val="18"/>
          <w:lang w:val="en-GB"/>
        </w:rPr>
        <w:t>ma</w:t>
      </w:r>
      <w:r>
        <w:rPr>
          <w:rStyle w:val="CarattereCarattere"/>
          <w:rFonts w:ascii="Sabon Unicode" w:hAnsi="Sabon Unicode" w:cs="Times Ext Roman;Times New Roman"/>
          <w:sz w:val="18"/>
          <w:szCs w:val="18"/>
          <w:lang w:val="en-GB"/>
        </w:rPr>
        <w:t>:</w:t>
      </w:r>
      <w:r>
        <w:t xml:space="preserve"> present optative 1</w:t>
      </w:r>
      <w:r>
        <w:rPr>
          <w:vertAlign w:val="superscript"/>
        </w:rPr>
        <w:t>st</w:t>
      </w:r>
      <w:r>
        <w:t xml:space="preserve"> pl. </w:t>
      </w:r>
      <w:r w:rsidRPr="00B80C6B">
        <w:rPr>
          <w:lang w:val="de-DE"/>
        </w:rPr>
        <w:t>VIII cl.</w:t>
      </w:r>
    </w:p>
    <w:p w14:paraId="46646328" w14:textId="77777777" w:rsidR="00E53EB6" w:rsidRPr="00B80C6B" w:rsidRDefault="006500F5">
      <w:pPr>
        <w:pStyle w:val="ZitatmitEinzug"/>
        <w:rPr>
          <w:lang w:val="de-DE"/>
        </w:rPr>
      </w:pPr>
      <w:r w:rsidRPr="00B80C6B">
        <w:rPr>
          <w:smallCaps/>
          <w:lang w:val="de-DE"/>
        </w:rPr>
        <w:t>Geldner:</w:t>
      </w:r>
      <w:r w:rsidRPr="00B80C6B">
        <w:rPr>
          <w:lang w:val="de-DE"/>
        </w:rPr>
        <w:t xml:space="preserve"> I 185 “</w:t>
      </w:r>
      <w:r w:rsidRPr="00B80C6B">
        <w:rPr>
          <w:lang w:val="de-DE"/>
        </w:rPr>
        <w:t>wollen übertrumpfen”</w:t>
      </w:r>
    </w:p>
    <w:p w14:paraId="143CD7FD" w14:textId="77777777" w:rsidR="00E53EB6" w:rsidRPr="00B80C6B" w:rsidRDefault="006500F5">
      <w:pPr>
        <w:pStyle w:val="ZitatmitEinzug"/>
        <w:rPr>
          <w:lang w:val="de-DE"/>
        </w:rPr>
      </w:pPr>
      <w:r w:rsidRPr="00B80C6B">
        <w:rPr>
          <w:smallCaps/>
          <w:lang w:val="de-DE"/>
        </w:rPr>
        <w:t>Renou:</w:t>
      </w:r>
      <w:r w:rsidRPr="00B80C6B">
        <w:rPr>
          <w:lang w:val="de-DE"/>
        </w:rPr>
        <w:t xml:space="preserve"> XVII 46 “vaincre”</w:t>
      </w:r>
    </w:p>
    <w:p w14:paraId="7D36D24F" w14:textId="77777777" w:rsidR="00E53EB6" w:rsidRPr="00B80C6B" w:rsidRDefault="006500F5">
      <w:pPr>
        <w:pStyle w:val="ZitatmitEinzug"/>
        <w:rPr>
          <w:szCs w:val="18"/>
          <w:lang w:val="de-DE"/>
        </w:rPr>
      </w:pPr>
      <w:r w:rsidRPr="00B80C6B">
        <w:rPr>
          <w:rStyle w:val="biblio-authorGEN"/>
          <w:sz w:val="18"/>
          <w:szCs w:val="15"/>
          <w:lang w:val="de-DE"/>
        </w:rPr>
        <w:t xml:space="preserve">Witzel-Gotō </w:t>
      </w:r>
      <w:r w:rsidRPr="00B80C6B">
        <w:rPr>
          <w:szCs w:val="18"/>
          <w:lang w:val="de-DE"/>
        </w:rPr>
        <w:t>200</w:t>
      </w:r>
      <w:r w:rsidRPr="00B80C6B">
        <w:rPr>
          <w:szCs w:val="18"/>
          <w:lang w:val="de-DE"/>
        </w:rPr>
        <w:t>7: 247 “möchten überwältigen”</w:t>
      </w:r>
    </w:p>
    <w:p w14:paraId="3B2F12E4" w14:textId="77777777" w:rsidR="00E53EB6" w:rsidRDefault="006500F5">
      <w:pPr>
        <w:pStyle w:val="Zitat"/>
      </w:pPr>
      <w:r>
        <w:rPr>
          <w:i/>
          <w:iCs/>
        </w:rPr>
        <w:t>vanu</w:t>
      </w:r>
      <w:r>
        <w:rPr>
          <w:i/>
          <w:iCs/>
        </w:rPr>
        <w:t>ṣ</w:t>
      </w:r>
      <w:r>
        <w:rPr>
          <w:i/>
          <w:iCs/>
        </w:rPr>
        <w:t>yatá</w:t>
      </w:r>
      <w:r>
        <w:rPr>
          <w:i/>
          <w:iCs/>
        </w:rPr>
        <w:t>ḥ</w:t>
      </w:r>
      <w:r>
        <w:rPr>
          <w:b/>
        </w:rPr>
        <w:t xml:space="preserve">: </w:t>
      </w:r>
      <w:r>
        <w:t xml:space="preserve">present participle (acc. m. pl.), denominative from </w:t>
      </w:r>
      <w:r>
        <w:rPr>
          <w:i/>
        </w:rPr>
        <w:t>vanús-</w:t>
      </w:r>
    </w:p>
    <w:p w14:paraId="17F487C7" w14:textId="77777777" w:rsidR="00E53EB6" w:rsidRDefault="006500F5">
      <w:pPr>
        <w:pStyle w:val="ZitatmitEinzug"/>
      </w:pPr>
      <w:r>
        <w:rPr>
          <w:smallCaps/>
        </w:rPr>
        <w:t>Geldner:</w:t>
      </w:r>
      <w:r>
        <w:t xml:space="preserve"> I 185 “</w:t>
      </w:r>
      <w:r>
        <w:t>Eifersüchtigen”</w:t>
      </w:r>
    </w:p>
    <w:p w14:paraId="1B0993B2" w14:textId="77777777" w:rsidR="00E53EB6" w:rsidRDefault="006500F5">
      <w:pPr>
        <w:pStyle w:val="ZitatmitEinzug"/>
      </w:pPr>
      <w:r>
        <w:rPr>
          <w:smallCaps/>
        </w:rPr>
        <w:t xml:space="preserve">Renou: </w:t>
      </w:r>
      <w:r>
        <w:t>XVII 46 “qui cherchent à (nous) vaincre”</w:t>
      </w:r>
    </w:p>
    <w:p w14:paraId="5973C231" w14:textId="77777777" w:rsidR="00E53EB6" w:rsidRPr="00494885" w:rsidRDefault="006500F5">
      <w:pPr>
        <w:pStyle w:val="ZitatmitEinzug"/>
        <w:rPr>
          <w:lang w:val="de-DE"/>
        </w:rPr>
      </w:pPr>
      <w:r w:rsidRPr="00494885">
        <w:rPr>
          <w:rStyle w:val="biblio-authorGEN"/>
          <w:sz w:val="18"/>
          <w:szCs w:val="15"/>
          <w:lang w:val="de-DE"/>
        </w:rPr>
        <w:t xml:space="preserve">Witzel-Gotō </w:t>
      </w:r>
      <w:r w:rsidRPr="00494885">
        <w:rPr>
          <w:szCs w:val="18"/>
          <w:lang w:val="de-DE"/>
        </w:rPr>
        <w:t>2007: 247 “die zu gewinnen suchen”</w:t>
      </w:r>
    </w:p>
    <w:p w14:paraId="48EDCA49" w14:textId="77777777" w:rsidR="00E53EB6" w:rsidRPr="00494885" w:rsidRDefault="00E53EB6">
      <w:pPr>
        <w:pStyle w:val="ZitatmitEinzug"/>
        <w:rPr>
          <w:szCs w:val="18"/>
          <w:lang w:val="de-DE"/>
        </w:rPr>
      </w:pPr>
    </w:p>
    <w:p w14:paraId="65762F5B" w14:textId="77777777" w:rsidR="00E53EB6" w:rsidRPr="00494885" w:rsidRDefault="006500F5">
      <w:pPr>
        <w:pStyle w:val="Zitat"/>
        <w:rPr>
          <w:lang w:val="de-DE"/>
        </w:rPr>
      </w:pPr>
      <w:r w:rsidRPr="00494885">
        <w:rPr>
          <w:lang w:val="de-DE"/>
        </w:rPr>
        <w:t xml:space="preserve">2.25.1-2 </w:t>
      </w:r>
      <w:r w:rsidRPr="00494885">
        <w:rPr>
          <w:i/>
          <w:iCs/>
          <w:lang w:val="de-DE"/>
        </w:rPr>
        <w:t xml:space="preserve"> índhāno agní</w:t>
      </w:r>
      <w:r w:rsidRPr="00494885">
        <w:rPr>
          <w:i/>
          <w:iCs/>
          <w:lang w:val="de-DE"/>
        </w:rPr>
        <w:t>ṃ</w:t>
      </w:r>
      <w:r w:rsidRPr="00494885">
        <w:rPr>
          <w:i/>
          <w:iCs/>
          <w:lang w:val="de-DE"/>
        </w:rPr>
        <w:t xml:space="preserve"> vanavad vanu</w:t>
      </w:r>
      <w:r w:rsidRPr="00494885">
        <w:rPr>
          <w:i/>
          <w:iCs/>
          <w:lang w:val="de-DE"/>
        </w:rPr>
        <w:t>ṣ</w:t>
      </w:r>
      <w:r w:rsidRPr="00494885">
        <w:rPr>
          <w:i/>
          <w:iCs/>
          <w:lang w:val="de-DE"/>
        </w:rPr>
        <w:t>yatá</w:t>
      </w:r>
      <w:r w:rsidRPr="00494885">
        <w:rPr>
          <w:i/>
          <w:iCs/>
          <w:lang w:val="de-DE"/>
        </w:rPr>
        <w:t>ḥ</w:t>
      </w:r>
    </w:p>
    <w:p w14:paraId="020391ED" w14:textId="77777777" w:rsidR="00E53EB6" w:rsidRPr="00494885" w:rsidRDefault="006500F5">
      <w:pPr>
        <w:pStyle w:val="ZitatnachZitat"/>
        <w:rPr>
          <w:i/>
          <w:iCs/>
          <w:lang w:val="de-DE"/>
        </w:rPr>
      </w:pPr>
      <w:r w:rsidRPr="00494885">
        <w:rPr>
          <w:i/>
          <w:iCs/>
          <w:lang w:val="de-DE"/>
        </w:rPr>
        <w:t>kr̥tábrahmā śūśuvad rātáhavya ít</w:t>
      </w:r>
    </w:p>
    <w:p w14:paraId="5E01D8BC" w14:textId="77777777" w:rsidR="00E53EB6" w:rsidRPr="00494885" w:rsidRDefault="006500F5">
      <w:pPr>
        <w:pStyle w:val="ZitatnachZitat"/>
        <w:rPr>
          <w:i/>
          <w:iCs/>
          <w:lang w:val="de-DE"/>
        </w:rPr>
      </w:pPr>
      <w:r w:rsidRPr="00494885">
        <w:rPr>
          <w:i/>
          <w:iCs/>
          <w:lang w:val="de-DE"/>
        </w:rPr>
        <w:t>jāténa jātám áti sá prá sarsr̥te</w:t>
      </w:r>
    </w:p>
    <w:p w14:paraId="07E48184" w14:textId="77777777" w:rsidR="00E53EB6" w:rsidRPr="00494885" w:rsidRDefault="006500F5">
      <w:pPr>
        <w:pStyle w:val="ZitatnachZitat"/>
        <w:rPr>
          <w:i/>
          <w:iCs/>
          <w:lang w:val="de-DE"/>
        </w:rPr>
      </w:pPr>
      <w:r w:rsidRPr="00494885">
        <w:rPr>
          <w:i/>
          <w:iCs/>
          <w:lang w:val="de-DE"/>
        </w:rPr>
        <w:t>yá</w:t>
      </w:r>
      <w:r w:rsidRPr="00494885">
        <w:rPr>
          <w:i/>
          <w:iCs/>
          <w:lang w:val="de-DE"/>
        </w:rPr>
        <w:t>ṃ</w:t>
      </w:r>
      <w:r w:rsidRPr="00494885">
        <w:rPr>
          <w:i/>
          <w:iCs/>
          <w:lang w:val="de-DE"/>
        </w:rPr>
        <w:t>-ya</w:t>
      </w:r>
      <w:r w:rsidRPr="00494885">
        <w:rPr>
          <w:i/>
          <w:iCs/>
          <w:lang w:val="de-DE"/>
        </w:rPr>
        <w:t>ṃ</w:t>
      </w:r>
      <w:r w:rsidRPr="00494885">
        <w:rPr>
          <w:i/>
          <w:iCs/>
          <w:lang w:val="de-DE"/>
        </w:rPr>
        <w:t xml:space="preserve"> yúja</w:t>
      </w:r>
      <w:r w:rsidRPr="00494885">
        <w:rPr>
          <w:i/>
          <w:iCs/>
          <w:lang w:val="de-DE"/>
        </w:rPr>
        <w:t>ṃ</w:t>
      </w:r>
      <w:r w:rsidRPr="00494885">
        <w:rPr>
          <w:i/>
          <w:iCs/>
          <w:lang w:val="de-DE"/>
        </w:rPr>
        <w:t xml:space="preserve"> kr̥</w:t>
      </w:r>
      <w:r w:rsidRPr="00494885">
        <w:rPr>
          <w:i/>
          <w:iCs/>
          <w:lang w:val="de-DE"/>
        </w:rPr>
        <w:t>ṇ</w:t>
      </w:r>
      <w:r w:rsidRPr="00494885">
        <w:rPr>
          <w:i/>
          <w:iCs/>
          <w:lang w:val="de-DE"/>
        </w:rPr>
        <w:t>uté bráhma</w:t>
      </w:r>
      <w:r w:rsidRPr="00494885">
        <w:rPr>
          <w:i/>
          <w:iCs/>
          <w:lang w:val="de-DE"/>
        </w:rPr>
        <w:t>ṇ</w:t>
      </w:r>
      <w:r w:rsidRPr="00494885">
        <w:rPr>
          <w:i/>
          <w:iCs/>
          <w:lang w:val="de-DE"/>
        </w:rPr>
        <w:t>as páti</w:t>
      </w:r>
      <w:r w:rsidRPr="00494885">
        <w:rPr>
          <w:i/>
          <w:iCs/>
          <w:lang w:val="de-DE"/>
        </w:rPr>
        <w:t>ḥ</w:t>
      </w:r>
      <w:r w:rsidRPr="00494885">
        <w:rPr>
          <w:i/>
          <w:iCs/>
          <w:lang w:val="de-DE"/>
        </w:rPr>
        <w:t xml:space="preserve"> //</w:t>
      </w:r>
    </w:p>
    <w:p w14:paraId="64494791" w14:textId="77777777" w:rsidR="00E53EB6" w:rsidRPr="00494885" w:rsidRDefault="006500F5">
      <w:pPr>
        <w:pStyle w:val="ZitatnachZitat"/>
        <w:rPr>
          <w:i/>
          <w:iCs/>
          <w:lang w:val="de-DE"/>
        </w:rPr>
      </w:pPr>
      <w:r w:rsidRPr="00494885">
        <w:rPr>
          <w:i/>
          <w:iCs/>
          <w:lang w:val="de-DE"/>
        </w:rPr>
        <w:t>vīrébhir vīrā́n vanavad vanu</w:t>
      </w:r>
      <w:r w:rsidRPr="00494885">
        <w:rPr>
          <w:i/>
          <w:iCs/>
          <w:lang w:val="de-DE"/>
        </w:rPr>
        <w:t>ṣ</w:t>
      </w:r>
      <w:r w:rsidRPr="00494885">
        <w:rPr>
          <w:i/>
          <w:iCs/>
          <w:lang w:val="de-DE"/>
        </w:rPr>
        <w:t>yató</w:t>
      </w:r>
    </w:p>
    <w:p w14:paraId="6A4B82BB" w14:textId="77777777" w:rsidR="00E53EB6" w:rsidRPr="00494885" w:rsidRDefault="006500F5">
      <w:pPr>
        <w:pStyle w:val="ZitatnachZitat"/>
        <w:rPr>
          <w:i/>
          <w:iCs/>
          <w:lang w:val="de-DE"/>
        </w:rPr>
      </w:pPr>
      <w:r w:rsidRPr="00494885">
        <w:rPr>
          <w:i/>
          <w:iCs/>
          <w:lang w:val="de-DE"/>
        </w:rPr>
        <w:t>góbhī rayím paprathad bódhati tmánā</w:t>
      </w:r>
    </w:p>
    <w:p w14:paraId="6DE31FD7" w14:textId="77777777" w:rsidR="00E53EB6" w:rsidRPr="00494885" w:rsidRDefault="006500F5">
      <w:pPr>
        <w:pStyle w:val="ZitatnachZitat"/>
        <w:rPr>
          <w:i/>
          <w:iCs/>
          <w:lang w:val="de-DE"/>
        </w:rPr>
      </w:pPr>
      <w:r w:rsidRPr="00494885">
        <w:rPr>
          <w:i/>
          <w:iCs/>
          <w:lang w:val="de-DE"/>
        </w:rPr>
        <w:t>toká</w:t>
      </w:r>
      <w:r w:rsidRPr="00494885">
        <w:rPr>
          <w:i/>
          <w:iCs/>
          <w:lang w:val="de-DE"/>
        </w:rPr>
        <w:t>ṃ</w:t>
      </w:r>
      <w:r w:rsidRPr="00494885">
        <w:rPr>
          <w:i/>
          <w:iCs/>
          <w:lang w:val="de-DE"/>
        </w:rPr>
        <w:t xml:space="preserve"> ca tásya tánaya</w:t>
      </w:r>
      <w:r w:rsidRPr="00494885">
        <w:rPr>
          <w:i/>
          <w:iCs/>
          <w:lang w:val="de-DE"/>
        </w:rPr>
        <w:t>ṃ</w:t>
      </w:r>
      <w:r w:rsidRPr="00494885">
        <w:rPr>
          <w:i/>
          <w:iCs/>
          <w:lang w:val="de-DE"/>
        </w:rPr>
        <w:t xml:space="preserve"> ca vardhate</w:t>
      </w:r>
    </w:p>
    <w:p w14:paraId="3D496820" w14:textId="77777777" w:rsidR="00E53EB6" w:rsidRPr="00494885" w:rsidRDefault="006500F5">
      <w:pPr>
        <w:pStyle w:val="ZitatnachZitat"/>
        <w:rPr>
          <w:i/>
          <w:iCs/>
          <w:lang w:val="de-DE"/>
        </w:rPr>
      </w:pPr>
      <w:r w:rsidRPr="00494885">
        <w:rPr>
          <w:i/>
          <w:iCs/>
          <w:lang w:val="de-DE"/>
        </w:rPr>
        <w:t>yá</w:t>
      </w:r>
      <w:r w:rsidRPr="00494885">
        <w:rPr>
          <w:i/>
          <w:iCs/>
          <w:lang w:val="de-DE"/>
        </w:rPr>
        <w:t>ṃ</w:t>
      </w:r>
      <w:r w:rsidRPr="00494885">
        <w:rPr>
          <w:i/>
          <w:iCs/>
          <w:lang w:val="de-DE"/>
        </w:rPr>
        <w:t xml:space="preserve"> ya</w:t>
      </w:r>
      <w:r w:rsidRPr="00494885">
        <w:rPr>
          <w:i/>
          <w:iCs/>
          <w:lang w:val="de-DE"/>
        </w:rPr>
        <w:t>ṃ</w:t>
      </w:r>
      <w:r w:rsidRPr="00494885">
        <w:rPr>
          <w:i/>
          <w:iCs/>
          <w:lang w:val="de-DE"/>
        </w:rPr>
        <w:t xml:space="preserve"> </w:t>
      </w:r>
      <w:r w:rsidRPr="00494885">
        <w:rPr>
          <w:i/>
          <w:iCs/>
          <w:lang w:val="de-DE"/>
        </w:rPr>
        <w:t>yúja</w:t>
      </w:r>
      <w:r w:rsidRPr="00494885">
        <w:rPr>
          <w:i/>
          <w:iCs/>
          <w:lang w:val="de-DE"/>
        </w:rPr>
        <w:t>ṃ</w:t>
      </w:r>
      <w:r w:rsidRPr="00494885">
        <w:rPr>
          <w:i/>
          <w:iCs/>
          <w:lang w:val="de-DE"/>
        </w:rPr>
        <w:t xml:space="preserve"> kr̥</w:t>
      </w:r>
      <w:r w:rsidRPr="00494885">
        <w:rPr>
          <w:i/>
          <w:iCs/>
          <w:lang w:val="de-DE"/>
        </w:rPr>
        <w:t>ṇ</w:t>
      </w:r>
      <w:r w:rsidRPr="00494885">
        <w:rPr>
          <w:i/>
          <w:iCs/>
          <w:lang w:val="de-DE"/>
        </w:rPr>
        <w:t>uté bráhma</w:t>
      </w:r>
      <w:r w:rsidRPr="00494885">
        <w:rPr>
          <w:i/>
          <w:iCs/>
          <w:lang w:val="de-DE"/>
        </w:rPr>
        <w:t>ṇ</w:t>
      </w:r>
      <w:r w:rsidRPr="00494885">
        <w:rPr>
          <w:i/>
          <w:iCs/>
          <w:lang w:val="de-DE"/>
        </w:rPr>
        <w:t>as páti</w:t>
      </w:r>
      <w:r w:rsidRPr="00494885">
        <w:rPr>
          <w:i/>
          <w:iCs/>
          <w:lang w:val="de-DE"/>
        </w:rPr>
        <w:t>ḥ</w:t>
      </w:r>
    </w:p>
    <w:p w14:paraId="442C788E" w14:textId="77777777" w:rsidR="00E53EB6" w:rsidRDefault="006500F5">
      <w:pPr>
        <w:pStyle w:val="Zitat"/>
      </w:pPr>
      <w:r>
        <w:t xml:space="preserve">Let him who kindles Agni </w:t>
      </w:r>
      <w:r>
        <w:t>appropriate</w:t>
      </w:r>
      <w:r>
        <w:t xml:space="preserve"> those who </w:t>
      </w:r>
      <w:r>
        <w:rPr>
          <w:u w:val="single"/>
        </w:rPr>
        <w:t>wish to appropriate</w:t>
      </w:r>
      <w:r>
        <w:t xml:space="preserve"> him, let him who offers oblations and accomplishes the sacred formulation wax great; besides the son born of the son, anyone whom Br̥haspati has made an ally s</w:t>
      </w:r>
      <w:r>
        <w:t>urvives.</w:t>
      </w:r>
    </w:p>
    <w:p w14:paraId="7919ACC2" w14:textId="77777777" w:rsidR="00E53EB6" w:rsidRDefault="006500F5">
      <w:pPr>
        <w:pStyle w:val="ZitatnachZitat"/>
      </w:pPr>
      <w:r>
        <w:rPr>
          <w:szCs w:val="18"/>
        </w:rPr>
        <w:t>With the male child</w:t>
      </w:r>
      <w:r>
        <w:rPr>
          <w:szCs w:val="18"/>
        </w:rPr>
        <w:t xml:space="preserve">ren let him </w:t>
      </w:r>
      <w:r>
        <w:rPr>
          <w:szCs w:val="18"/>
        </w:rPr>
        <w:t>appropriate</w:t>
      </w:r>
      <w:r>
        <w:rPr>
          <w:szCs w:val="18"/>
        </w:rPr>
        <w:t xml:space="preserve"> t</w:t>
      </w:r>
      <w:r>
        <w:rPr>
          <w:szCs w:val="18"/>
        </w:rPr>
        <w:t xml:space="preserve">he male children of whomsoever </w:t>
      </w:r>
      <w:r>
        <w:rPr>
          <w:szCs w:val="18"/>
          <w:u w:val="single"/>
        </w:rPr>
        <w:t>wishes to appropriate</w:t>
      </w:r>
      <w:r>
        <w:rPr>
          <w:szCs w:val="18"/>
        </w:rPr>
        <w:t xml:space="preserve"> him, let him have a great wealth with cows</w:t>
      </w:r>
      <w:r>
        <w:rPr>
          <w:rStyle w:val="FootnoteAnchor"/>
          <w:szCs w:val="18"/>
        </w:rPr>
        <w:footnoteReference w:id="439"/>
      </w:r>
      <w:r>
        <w:rPr>
          <w:szCs w:val="18"/>
        </w:rPr>
        <w:t>- and of himself present</w:t>
      </w:r>
      <w:r>
        <w:rPr>
          <w:rStyle w:val="FootnoteAnchor"/>
          <w:szCs w:val="18"/>
        </w:rPr>
        <w:footnoteReference w:id="440"/>
      </w:r>
      <w:r>
        <w:rPr>
          <w:szCs w:val="18"/>
        </w:rPr>
        <w:t xml:space="preserve">; he whom Br̥haspati has made an ally increases his offspring and that of his </w:t>
      </w:r>
      <w:r>
        <w:rPr>
          <w:szCs w:val="18"/>
        </w:rPr>
        <w:t>family.</w:t>
      </w:r>
    </w:p>
    <w:p w14:paraId="69059220" w14:textId="77777777" w:rsidR="00E53EB6" w:rsidRDefault="006500F5">
      <w:pPr>
        <w:pStyle w:val="Zitat"/>
      </w:pPr>
      <w:r>
        <w:rPr>
          <w:rStyle w:val="CarattereCarattere"/>
          <w:rFonts w:ascii="Sabon Unicode" w:hAnsi="Sabon Unicode" w:cs="Times Ext Roman;Times New Roman"/>
          <w:b w:val="0"/>
          <w:bCs w:val="0"/>
          <w:i/>
          <w:iCs/>
          <w:sz w:val="18"/>
          <w:szCs w:val="18"/>
          <w:lang w:val="en-GB"/>
        </w:rPr>
        <w:t>vanavat</w:t>
      </w:r>
      <w:r>
        <w:rPr>
          <w:rStyle w:val="CarattereCarattere"/>
          <w:rFonts w:ascii="Sabon Unicode" w:hAnsi="Sabon Unicode" w:cs="Times Ext Roman;Times New Roman"/>
          <w:sz w:val="18"/>
          <w:szCs w:val="18"/>
          <w:lang w:val="en-GB"/>
        </w:rPr>
        <w:t>:</w:t>
      </w:r>
      <w:r>
        <w:t xml:space="preserve"> present subjunctive 3</w:t>
      </w:r>
      <w:r>
        <w:rPr>
          <w:vertAlign w:val="superscript"/>
        </w:rPr>
        <w:t>rd</w:t>
      </w:r>
      <w:r>
        <w:t xml:space="preserve"> sing., VIII cl.</w:t>
      </w:r>
    </w:p>
    <w:p w14:paraId="15C3B503" w14:textId="77777777" w:rsidR="00E53EB6" w:rsidRPr="00494885" w:rsidRDefault="006500F5">
      <w:pPr>
        <w:pStyle w:val="ZitatmitEinzug"/>
        <w:rPr>
          <w:lang w:val="de-DE"/>
        </w:rPr>
      </w:pPr>
      <w:r w:rsidRPr="00494885">
        <w:rPr>
          <w:smallCaps/>
          <w:lang w:val="de-DE"/>
        </w:rPr>
        <w:t xml:space="preserve">Geldner: </w:t>
      </w:r>
      <w:r w:rsidRPr="00494885">
        <w:rPr>
          <w:lang w:val="de-DE"/>
        </w:rPr>
        <w:t>I 308</w:t>
      </w:r>
      <w:r w:rsidRPr="00494885">
        <w:rPr>
          <w:smallCaps/>
          <w:lang w:val="de-DE"/>
        </w:rPr>
        <w:t xml:space="preserve"> “</w:t>
      </w:r>
      <w:r w:rsidRPr="00494885">
        <w:rPr>
          <w:lang w:val="de-DE"/>
        </w:rPr>
        <w:t>wird überwinden”</w:t>
      </w:r>
    </w:p>
    <w:p w14:paraId="1003F056" w14:textId="77777777" w:rsidR="00E53EB6" w:rsidRPr="00494885" w:rsidRDefault="006500F5">
      <w:pPr>
        <w:pStyle w:val="ZitatmitEinzug"/>
        <w:rPr>
          <w:lang w:val="de-DE"/>
        </w:rPr>
      </w:pPr>
      <w:r w:rsidRPr="00494885">
        <w:rPr>
          <w:smallCaps/>
          <w:lang w:val="de-DE"/>
        </w:rPr>
        <w:t xml:space="preserve">Renou: </w:t>
      </w:r>
      <w:r w:rsidRPr="00494885">
        <w:rPr>
          <w:lang w:val="de-DE"/>
        </w:rPr>
        <w:t>XV 59-60 “vaincra”</w:t>
      </w:r>
    </w:p>
    <w:p w14:paraId="0227C838" w14:textId="77777777" w:rsidR="00E53EB6" w:rsidRPr="00494885" w:rsidRDefault="006500F5">
      <w:pPr>
        <w:pStyle w:val="ZitatmitEinzug"/>
        <w:rPr>
          <w:lang w:val="de-DE"/>
        </w:rPr>
      </w:pPr>
      <w:r w:rsidRPr="00494885">
        <w:rPr>
          <w:smallCaps/>
          <w:lang w:val="de-DE"/>
        </w:rPr>
        <w:t xml:space="preserve">Sani </w:t>
      </w:r>
      <w:r w:rsidRPr="00494885">
        <w:rPr>
          <w:lang w:val="de-DE"/>
        </w:rPr>
        <w:t>2000: 90 “vincerà”</w:t>
      </w:r>
    </w:p>
    <w:p w14:paraId="4B38CFEE" w14:textId="77777777" w:rsidR="00E53EB6" w:rsidRPr="00494885" w:rsidRDefault="006500F5">
      <w:pPr>
        <w:pStyle w:val="ZitatmitEinzug"/>
        <w:rPr>
          <w:szCs w:val="18"/>
          <w:lang w:val="de-DE"/>
        </w:rPr>
      </w:pPr>
      <w:r w:rsidRPr="00494885">
        <w:rPr>
          <w:rStyle w:val="biblio-authorGEN"/>
          <w:sz w:val="18"/>
          <w:szCs w:val="15"/>
          <w:lang w:val="de-DE"/>
        </w:rPr>
        <w:t xml:space="preserve">Witzel-Gotō </w:t>
      </w:r>
      <w:r w:rsidRPr="00494885">
        <w:rPr>
          <w:szCs w:val="18"/>
          <w:lang w:val="de-DE"/>
        </w:rPr>
        <w:t>2007: 392 “wird besiegen”</w:t>
      </w:r>
    </w:p>
    <w:p w14:paraId="5D8DB128" w14:textId="77777777" w:rsidR="00E53EB6" w:rsidRDefault="006500F5">
      <w:pPr>
        <w:pStyle w:val="Zitat"/>
      </w:pPr>
      <w:r>
        <w:rPr>
          <w:rStyle w:val="CarattereCarattere"/>
          <w:rFonts w:ascii="Sabon Unicode" w:hAnsi="Sabon Unicode" w:cs="Times Ext Roman;Times New Roman"/>
          <w:b w:val="0"/>
          <w:bCs w:val="0"/>
          <w:i/>
          <w:iCs/>
          <w:sz w:val="18"/>
          <w:szCs w:val="18"/>
          <w:lang w:val="en-GB"/>
        </w:rPr>
        <w:t>vanu</w:t>
      </w:r>
      <w:r>
        <w:rPr>
          <w:rStyle w:val="CarattereCarattere"/>
          <w:rFonts w:ascii="Sabon Unicode" w:hAnsi="Sabon Unicode" w:cs="Times Ext Roman;Times New Roman"/>
          <w:b w:val="0"/>
          <w:bCs w:val="0"/>
          <w:i/>
          <w:iCs/>
          <w:sz w:val="18"/>
          <w:szCs w:val="18"/>
          <w:lang w:val="en-GB"/>
        </w:rPr>
        <w:t>ṣ</w:t>
      </w:r>
      <w:r>
        <w:rPr>
          <w:rStyle w:val="CarattereCarattere"/>
          <w:rFonts w:ascii="Sabon Unicode" w:hAnsi="Sabon Unicode" w:cs="Times Ext Roman;Times New Roman"/>
          <w:b w:val="0"/>
          <w:bCs w:val="0"/>
          <w:i/>
          <w:iCs/>
          <w:sz w:val="18"/>
          <w:szCs w:val="18"/>
          <w:lang w:val="en-GB"/>
        </w:rPr>
        <w:t>yatá</w:t>
      </w:r>
      <w:r>
        <w:rPr>
          <w:rStyle w:val="CarattereCarattere"/>
          <w:rFonts w:ascii="Sabon Unicode" w:hAnsi="Sabon Unicode" w:cs="Times Ext Roman;Times New Roman"/>
          <w:b w:val="0"/>
          <w:bCs w:val="0"/>
          <w:i/>
          <w:iCs/>
          <w:sz w:val="18"/>
          <w:szCs w:val="18"/>
          <w:lang w:val="en-GB"/>
        </w:rPr>
        <w:t>ḥ</w:t>
      </w:r>
      <w:r>
        <w:rPr>
          <w:rStyle w:val="CarattereCarattere"/>
          <w:rFonts w:ascii="Sabon Unicode" w:hAnsi="Sabon Unicode" w:cs="Times Ext Roman;Times New Roman"/>
          <w:sz w:val="18"/>
          <w:szCs w:val="18"/>
          <w:lang w:val="en-GB"/>
        </w:rPr>
        <w:t>:</w:t>
      </w:r>
      <w:r>
        <w:t xml:space="preserve"> present participle (acc. m. pl.) denominative from </w:t>
      </w:r>
      <w:r>
        <w:rPr>
          <w:i/>
        </w:rPr>
        <w:t>vanús-</w:t>
      </w:r>
    </w:p>
    <w:p w14:paraId="1FD23841" w14:textId="77777777" w:rsidR="00E53EB6" w:rsidRDefault="006500F5">
      <w:pPr>
        <w:pStyle w:val="ZitatmitEinzug"/>
      </w:pPr>
      <w:r>
        <w:rPr>
          <w:smallCaps/>
        </w:rPr>
        <w:t>Geldner:</w:t>
      </w:r>
      <w:r>
        <w:rPr>
          <w:smallCaps/>
        </w:rPr>
        <w:t xml:space="preserve"> </w:t>
      </w:r>
      <w:r>
        <w:t>I 308</w:t>
      </w:r>
      <w:r>
        <w:rPr>
          <w:smallCaps/>
        </w:rPr>
        <w:t xml:space="preserve"> </w:t>
      </w:r>
      <w:r>
        <w:rPr>
          <w:smallCaps/>
        </w:rPr>
        <w:t>“</w:t>
      </w:r>
      <w:r>
        <w:t>Neider”</w:t>
      </w:r>
    </w:p>
    <w:p w14:paraId="5EC4DE98" w14:textId="77777777" w:rsidR="00E53EB6" w:rsidRDefault="006500F5">
      <w:pPr>
        <w:pStyle w:val="ZitatmitEinzug"/>
      </w:pPr>
      <w:r>
        <w:rPr>
          <w:smallCaps/>
        </w:rPr>
        <w:t xml:space="preserve">Renou: </w:t>
      </w:r>
      <w:r>
        <w:t>XV 59-60</w:t>
      </w:r>
      <w:r>
        <w:rPr>
          <w:smallCaps/>
        </w:rPr>
        <w:t xml:space="preserve"> “</w:t>
      </w:r>
      <w:r>
        <w:t>les (adversaires) cherchant-à-vaincre”</w:t>
      </w:r>
    </w:p>
    <w:p w14:paraId="419C43E9" w14:textId="77777777" w:rsidR="00E53EB6" w:rsidRPr="00494885" w:rsidRDefault="006500F5">
      <w:pPr>
        <w:pStyle w:val="ZitatmitEinzug"/>
        <w:rPr>
          <w:lang w:val="it-IT"/>
        </w:rPr>
      </w:pPr>
      <w:r w:rsidRPr="00494885">
        <w:rPr>
          <w:smallCaps/>
          <w:lang w:val="it-IT"/>
        </w:rPr>
        <w:t xml:space="preserve">Sani </w:t>
      </w:r>
      <w:r w:rsidRPr="00494885">
        <w:rPr>
          <w:lang w:val="it-IT"/>
        </w:rPr>
        <w:t>2000: 90 “desiderando vincerlo”</w:t>
      </w:r>
    </w:p>
    <w:p w14:paraId="22E6218E" w14:textId="77777777" w:rsidR="00E53EB6" w:rsidRPr="00494885" w:rsidRDefault="006500F5">
      <w:pPr>
        <w:pStyle w:val="ZitatmitEinzug"/>
        <w:rPr>
          <w:szCs w:val="18"/>
          <w:lang w:val="it-IT"/>
        </w:rPr>
      </w:pPr>
      <w:r w:rsidRPr="00494885">
        <w:rPr>
          <w:rStyle w:val="biblio-authorGEN"/>
          <w:sz w:val="18"/>
          <w:szCs w:val="15"/>
          <w:lang w:val="it-IT"/>
        </w:rPr>
        <w:t xml:space="preserve">Witzel-Gotō </w:t>
      </w:r>
      <w:r w:rsidRPr="00494885">
        <w:rPr>
          <w:szCs w:val="18"/>
          <w:lang w:val="it-IT"/>
        </w:rPr>
        <w:t>2007: 392 “die Angrefenden”</w:t>
      </w:r>
    </w:p>
    <w:p w14:paraId="71A20B3E" w14:textId="77777777" w:rsidR="00E53EB6" w:rsidRPr="00494885" w:rsidRDefault="006500F5">
      <w:pPr>
        <w:pStyle w:val="Zitat"/>
        <w:rPr>
          <w:lang w:val="de-DE"/>
        </w:rPr>
      </w:pPr>
      <w:r>
        <w:rPr>
          <w:rStyle w:val="CarattereCarattere"/>
          <w:rFonts w:ascii="Sabon Unicode" w:hAnsi="Sabon Unicode" w:cs="Times Ext Roman;Times New Roman"/>
          <w:b w:val="0"/>
          <w:bCs w:val="0"/>
          <w:i/>
          <w:iCs/>
          <w:sz w:val="18"/>
          <w:szCs w:val="18"/>
          <w:lang w:val="en-GB"/>
        </w:rPr>
        <w:t>vanavat</w:t>
      </w:r>
      <w:r>
        <w:rPr>
          <w:rStyle w:val="CarattereCarattere"/>
          <w:rFonts w:ascii="Sabon Unicode" w:hAnsi="Sabon Unicode" w:cs="Times Ext Roman;Times New Roman"/>
          <w:sz w:val="18"/>
          <w:szCs w:val="18"/>
          <w:lang w:val="en-GB"/>
        </w:rPr>
        <w:t>:</w:t>
      </w:r>
      <w:r>
        <w:t xml:space="preserve"> present subjunctive 3</w:t>
      </w:r>
      <w:r>
        <w:rPr>
          <w:vertAlign w:val="superscript"/>
        </w:rPr>
        <w:t>rd</w:t>
      </w:r>
      <w:r>
        <w:t xml:space="preserve"> sing. </w:t>
      </w:r>
      <w:r w:rsidRPr="00494885">
        <w:rPr>
          <w:lang w:val="de-DE"/>
        </w:rPr>
        <w:t>VIII cl.</w:t>
      </w:r>
    </w:p>
    <w:p w14:paraId="70962E60" w14:textId="77777777" w:rsidR="00E53EB6" w:rsidRPr="00494885" w:rsidRDefault="006500F5">
      <w:pPr>
        <w:pStyle w:val="ZitatmitEinzug"/>
        <w:rPr>
          <w:lang w:val="de-DE"/>
        </w:rPr>
      </w:pPr>
      <w:r w:rsidRPr="00494885">
        <w:rPr>
          <w:smallCaps/>
          <w:lang w:val="de-DE"/>
        </w:rPr>
        <w:t xml:space="preserve">Geldner I 308 </w:t>
      </w:r>
      <w:r w:rsidRPr="00494885">
        <w:rPr>
          <w:i/>
          <w:lang w:val="de-DE"/>
        </w:rPr>
        <w:t>wird überwinden</w:t>
      </w:r>
    </w:p>
    <w:p w14:paraId="4C7E0598" w14:textId="77777777" w:rsidR="00E53EB6" w:rsidRPr="00494885" w:rsidRDefault="006500F5">
      <w:pPr>
        <w:pStyle w:val="ZitatmitEinzug"/>
        <w:rPr>
          <w:lang w:val="it-IT"/>
        </w:rPr>
      </w:pPr>
      <w:r w:rsidRPr="00494885">
        <w:rPr>
          <w:smallCaps/>
          <w:lang w:val="it-IT"/>
        </w:rPr>
        <w:t xml:space="preserve">Renou </w:t>
      </w:r>
      <w:r w:rsidRPr="00494885">
        <w:rPr>
          <w:lang w:val="it-IT"/>
        </w:rPr>
        <w:t>XV 60</w:t>
      </w:r>
      <w:r w:rsidRPr="00494885">
        <w:rPr>
          <w:smallCaps/>
          <w:lang w:val="it-IT"/>
        </w:rPr>
        <w:t xml:space="preserve">: </w:t>
      </w:r>
      <w:r w:rsidRPr="00494885">
        <w:rPr>
          <w:i/>
          <w:lang w:val="it-IT"/>
        </w:rPr>
        <w:t>vaincra</w:t>
      </w:r>
    </w:p>
    <w:p w14:paraId="19A987A4" w14:textId="77777777" w:rsidR="00E53EB6" w:rsidRPr="00494885" w:rsidRDefault="006500F5">
      <w:pPr>
        <w:pStyle w:val="ZitatmitEinzug"/>
        <w:rPr>
          <w:lang w:val="it-IT"/>
        </w:rPr>
      </w:pPr>
      <w:r w:rsidRPr="00494885">
        <w:rPr>
          <w:smallCaps/>
          <w:lang w:val="it-IT"/>
        </w:rPr>
        <w:t xml:space="preserve">Sani </w:t>
      </w:r>
      <w:r w:rsidRPr="00494885">
        <w:rPr>
          <w:lang w:val="it-IT"/>
        </w:rPr>
        <w:t>2000: 91:</w:t>
      </w:r>
      <w:r w:rsidRPr="00494885">
        <w:rPr>
          <w:smallCaps/>
          <w:lang w:val="it-IT"/>
        </w:rPr>
        <w:t xml:space="preserve"> “</w:t>
      </w:r>
      <w:r w:rsidRPr="00494885">
        <w:rPr>
          <w:lang w:val="it-IT"/>
        </w:rPr>
        <w:t>vincerà”</w:t>
      </w:r>
    </w:p>
    <w:p w14:paraId="17C555E1" w14:textId="77777777" w:rsidR="00E53EB6" w:rsidRPr="00494885" w:rsidRDefault="006500F5">
      <w:pPr>
        <w:pStyle w:val="ZitatmitEinzug"/>
        <w:rPr>
          <w:szCs w:val="18"/>
          <w:lang w:val="de-DE"/>
        </w:rPr>
      </w:pPr>
      <w:r w:rsidRPr="00494885">
        <w:rPr>
          <w:rStyle w:val="biblio-authorGEN"/>
          <w:sz w:val="18"/>
          <w:szCs w:val="15"/>
          <w:lang w:val="de-DE"/>
        </w:rPr>
        <w:t xml:space="preserve">Witzel-Gotō </w:t>
      </w:r>
      <w:r w:rsidRPr="00494885">
        <w:rPr>
          <w:szCs w:val="18"/>
          <w:lang w:val="de-DE"/>
        </w:rPr>
        <w:t>2007: 392 “wird besiegen”</w:t>
      </w:r>
    </w:p>
    <w:p w14:paraId="087C4E2A" w14:textId="77777777" w:rsidR="00E53EB6" w:rsidRPr="00494885" w:rsidRDefault="006500F5">
      <w:pPr>
        <w:pStyle w:val="Zitat"/>
        <w:rPr>
          <w:lang w:val="de-DE"/>
        </w:rPr>
      </w:pPr>
      <w:r w:rsidRPr="00494885">
        <w:rPr>
          <w:rStyle w:val="CarattereCarattere"/>
          <w:rFonts w:ascii="Sabon Unicode" w:hAnsi="Sabon Unicode" w:cs="Times Ext Roman;Times New Roman"/>
          <w:b w:val="0"/>
          <w:bCs w:val="0"/>
          <w:i/>
          <w:iCs/>
          <w:sz w:val="18"/>
          <w:szCs w:val="18"/>
          <w:lang w:val="de-DE"/>
        </w:rPr>
        <w:t>vanu</w:t>
      </w:r>
      <w:r w:rsidRPr="00494885">
        <w:rPr>
          <w:rStyle w:val="CarattereCarattere"/>
          <w:rFonts w:ascii="Sabon Unicode" w:hAnsi="Sabon Unicode" w:cs="Times Ext Roman;Times New Roman"/>
          <w:b w:val="0"/>
          <w:bCs w:val="0"/>
          <w:i/>
          <w:iCs/>
          <w:sz w:val="18"/>
          <w:szCs w:val="18"/>
          <w:lang w:val="de-DE"/>
        </w:rPr>
        <w:t>ṣ</w:t>
      </w:r>
      <w:r w:rsidRPr="00494885">
        <w:rPr>
          <w:rStyle w:val="CarattereCarattere"/>
          <w:rFonts w:ascii="Sabon Unicode" w:hAnsi="Sabon Unicode" w:cs="Times Ext Roman;Times New Roman"/>
          <w:b w:val="0"/>
          <w:bCs w:val="0"/>
          <w:i/>
          <w:iCs/>
          <w:sz w:val="18"/>
          <w:szCs w:val="18"/>
          <w:lang w:val="de-DE"/>
        </w:rPr>
        <w:t>yatá</w:t>
      </w:r>
      <w:r w:rsidRPr="00494885">
        <w:rPr>
          <w:rStyle w:val="CarattereCarattere"/>
          <w:rFonts w:ascii="Sabon Unicode" w:hAnsi="Sabon Unicode" w:cs="Times Ext Roman;Times New Roman"/>
          <w:b w:val="0"/>
          <w:bCs w:val="0"/>
          <w:i/>
          <w:iCs/>
          <w:sz w:val="18"/>
          <w:szCs w:val="18"/>
          <w:lang w:val="de-DE"/>
        </w:rPr>
        <w:t>ḥ</w:t>
      </w:r>
      <w:r w:rsidRPr="00494885">
        <w:rPr>
          <w:rStyle w:val="CarattereCarattere"/>
          <w:rFonts w:ascii="Sabon Unicode" w:hAnsi="Sabon Unicode" w:cs="Times Ext Roman;Times New Roman"/>
          <w:sz w:val="18"/>
          <w:szCs w:val="18"/>
          <w:lang w:val="de-DE"/>
        </w:rPr>
        <w:t>:</w:t>
      </w:r>
      <w:r w:rsidRPr="00494885">
        <w:rPr>
          <w:lang w:val="de-DE"/>
        </w:rPr>
        <w:t xml:space="preserve"> present participle (gen. m. sing.) denominative from </w:t>
      </w:r>
      <w:r w:rsidRPr="00494885">
        <w:rPr>
          <w:i/>
          <w:lang w:val="de-DE"/>
        </w:rPr>
        <w:t>vanús-</w:t>
      </w:r>
    </w:p>
    <w:p w14:paraId="23CF684B" w14:textId="77777777" w:rsidR="00E53EB6" w:rsidRPr="00494885" w:rsidRDefault="006500F5">
      <w:pPr>
        <w:pStyle w:val="ZitatmitEinzug"/>
        <w:rPr>
          <w:lang w:val="de-DE"/>
        </w:rPr>
      </w:pPr>
      <w:r w:rsidRPr="00494885">
        <w:rPr>
          <w:smallCaps/>
          <w:lang w:val="de-DE"/>
        </w:rPr>
        <w:t xml:space="preserve">Geldner: </w:t>
      </w:r>
      <w:r w:rsidRPr="00494885">
        <w:rPr>
          <w:lang w:val="de-DE"/>
        </w:rPr>
        <w:t>I 308</w:t>
      </w:r>
      <w:r w:rsidRPr="00494885">
        <w:rPr>
          <w:smallCaps/>
          <w:lang w:val="de-DE"/>
        </w:rPr>
        <w:t xml:space="preserve"> “</w:t>
      </w:r>
      <w:r w:rsidRPr="00494885">
        <w:rPr>
          <w:lang w:val="de-DE"/>
        </w:rPr>
        <w:t>des Neider”</w:t>
      </w:r>
    </w:p>
    <w:p w14:paraId="66E0C036" w14:textId="77777777" w:rsidR="00E53EB6" w:rsidRDefault="006500F5">
      <w:pPr>
        <w:pStyle w:val="ZitatmitEinzug"/>
      </w:pPr>
      <w:r>
        <w:rPr>
          <w:smallCaps/>
        </w:rPr>
        <w:t>Renou:</w:t>
      </w:r>
      <w:r>
        <w:t xml:space="preserve"> XV 60</w:t>
      </w:r>
      <w:r>
        <w:rPr>
          <w:smallCaps/>
        </w:rPr>
        <w:t xml:space="preserve"> “</w:t>
      </w:r>
      <w:r>
        <w:t>les (adversaires) cherchant-à-vaincre”</w:t>
      </w:r>
    </w:p>
    <w:p w14:paraId="573AD5F2" w14:textId="77777777" w:rsidR="00E53EB6" w:rsidRPr="00494885" w:rsidRDefault="006500F5">
      <w:pPr>
        <w:pStyle w:val="ZitatmitEinzug"/>
        <w:rPr>
          <w:lang w:val="it-IT"/>
        </w:rPr>
      </w:pPr>
      <w:r w:rsidRPr="00494885">
        <w:rPr>
          <w:smallCaps/>
          <w:szCs w:val="18"/>
          <w:lang w:val="it-IT"/>
        </w:rPr>
        <w:t xml:space="preserve">Sani </w:t>
      </w:r>
      <w:r w:rsidRPr="00494885">
        <w:rPr>
          <w:szCs w:val="18"/>
          <w:lang w:val="it-IT"/>
        </w:rPr>
        <w:t xml:space="preserve">2000: 91 “colui che lo vuol </w:t>
      </w:r>
      <w:r w:rsidRPr="00494885">
        <w:rPr>
          <w:szCs w:val="18"/>
          <w:lang w:val="it-IT"/>
        </w:rPr>
        <w:t>vincere”</w:t>
      </w:r>
    </w:p>
    <w:p w14:paraId="072E8833" w14:textId="77777777" w:rsidR="00E53EB6" w:rsidRPr="00494885" w:rsidRDefault="006500F5">
      <w:pPr>
        <w:pStyle w:val="ZitatmitEinzug"/>
        <w:rPr>
          <w:szCs w:val="18"/>
          <w:lang w:val="it-IT"/>
        </w:rPr>
      </w:pPr>
      <w:r w:rsidRPr="00494885">
        <w:rPr>
          <w:rStyle w:val="biblio-authorGEN"/>
          <w:sz w:val="18"/>
          <w:szCs w:val="15"/>
          <w:lang w:val="it-IT"/>
        </w:rPr>
        <w:t xml:space="preserve">Witzel-Gotō </w:t>
      </w:r>
      <w:r w:rsidRPr="00494885">
        <w:rPr>
          <w:szCs w:val="18"/>
          <w:lang w:val="it-IT"/>
        </w:rPr>
        <w:t>2007: 392 “die Angrefenden”</w:t>
      </w:r>
    </w:p>
    <w:p w14:paraId="1F2BB37E" w14:textId="77777777" w:rsidR="00E53EB6" w:rsidRPr="00494885" w:rsidRDefault="00E53EB6">
      <w:pPr>
        <w:pStyle w:val="ZitatmitEinzug"/>
        <w:rPr>
          <w:szCs w:val="18"/>
          <w:lang w:val="it-IT"/>
        </w:rPr>
      </w:pPr>
    </w:p>
    <w:p w14:paraId="6A91ADA1" w14:textId="77777777" w:rsidR="00E53EB6" w:rsidRPr="00494885" w:rsidRDefault="006500F5">
      <w:pPr>
        <w:pStyle w:val="Zitat"/>
        <w:rPr>
          <w:lang w:val="it-IT"/>
        </w:rPr>
      </w:pPr>
      <w:r w:rsidRPr="00494885">
        <w:rPr>
          <w:lang w:val="it-IT"/>
        </w:rPr>
        <w:t xml:space="preserve">2.26.1 </w:t>
      </w:r>
      <w:r w:rsidRPr="00494885">
        <w:rPr>
          <w:i/>
          <w:iCs/>
          <w:lang w:val="it-IT"/>
        </w:rPr>
        <w:t>r̥júr íc chá</w:t>
      </w:r>
      <w:r w:rsidRPr="00494885">
        <w:rPr>
          <w:i/>
          <w:iCs/>
          <w:lang w:val="it-IT"/>
        </w:rPr>
        <w:t>ṃ</w:t>
      </w:r>
      <w:r w:rsidRPr="00494885">
        <w:rPr>
          <w:i/>
          <w:iCs/>
          <w:lang w:val="it-IT"/>
        </w:rPr>
        <w:t>so vanavad vanu</w:t>
      </w:r>
      <w:r w:rsidRPr="00494885">
        <w:rPr>
          <w:i/>
          <w:iCs/>
          <w:lang w:val="it-IT"/>
        </w:rPr>
        <w:t>ṣ</w:t>
      </w:r>
      <w:r w:rsidRPr="00494885">
        <w:rPr>
          <w:i/>
          <w:iCs/>
          <w:lang w:val="it-IT"/>
        </w:rPr>
        <w:t>yató</w:t>
      </w:r>
    </w:p>
    <w:p w14:paraId="71BEF6EA" w14:textId="77777777" w:rsidR="00E53EB6" w:rsidRPr="00494885" w:rsidRDefault="006500F5">
      <w:pPr>
        <w:pStyle w:val="ZitatnachZitat"/>
        <w:rPr>
          <w:i/>
          <w:iCs/>
          <w:lang w:val="it-IT"/>
        </w:rPr>
      </w:pPr>
      <w:r w:rsidRPr="00494885">
        <w:rPr>
          <w:i/>
          <w:iCs/>
          <w:lang w:val="it-IT"/>
        </w:rPr>
        <w:t>devayánn íd ádevayantam abhy àsat</w:t>
      </w:r>
    </w:p>
    <w:p w14:paraId="461371C2" w14:textId="77777777" w:rsidR="00E53EB6" w:rsidRPr="00494885" w:rsidRDefault="006500F5">
      <w:pPr>
        <w:pStyle w:val="ZitatnachZitat"/>
        <w:rPr>
          <w:i/>
          <w:iCs/>
          <w:lang w:val="it-IT"/>
        </w:rPr>
      </w:pPr>
      <w:r w:rsidRPr="00494885">
        <w:rPr>
          <w:i/>
          <w:iCs/>
          <w:lang w:val="it-IT"/>
        </w:rPr>
        <w:t>suprāvī́r íd vanavat pr̥tsú du</w:t>
      </w:r>
      <w:r w:rsidRPr="00494885">
        <w:rPr>
          <w:i/>
          <w:iCs/>
          <w:lang w:val="it-IT"/>
        </w:rPr>
        <w:t>ṣṭ</w:t>
      </w:r>
      <w:r w:rsidRPr="00494885">
        <w:rPr>
          <w:i/>
          <w:iCs/>
          <w:lang w:val="it-IT"/>
        </w:rPr>
        <w:t>ára</w:t>
      </w:r>
      <w:r w:rsidRPr="00494885">
        <w:rPr>
          <w:i/>
          <w:iCs/>
          <w:lang w:val="it-IT"/>
        </w:rPr>
        <w:t>ṃ</w:t>
      </w:r>
    </w:p>
    <w:p w14:paraId="72FFF7F7" w14:textId="77777777" w:rsidR="00E53EB6" w:rsidRDefault="006500F5">
      <w:pPr>
        <w:pStyle w:val="ZitatnachZitat"/>
        <w:rPr>
          <w:i/>
          <w:iCs/>
        </w:rPr>
      </w:pPr>
      <w:r>
        <w:rPr>
          <w:i/>
          <w:iCs/>
        </w:rPr>
        <w:t>yájvéd áyajyor ví bhajāti bhójanam</w:t>
      </w:r>
    </w:p>
    <w:p w14:paraId="60D8AC6C" w14:textId="77777777" w:rsidR="00E53EB6" w:rsidRDefault="006500F5">
      <w:pPr>
        <w:pStyle w:val="Zitat"/>
      </w:pPr>
      <w:r>
        <w:t>Let him who rightly prays</w:t>
      </w:r>
      <w:r>
        <w:rPr>
          <w:rStyle w:val="FootnoteAnchor"/>
        </w:rPr>
        <w:footnoteReference w:id="441"/>
      </w:r>
      <w:r>
        <w:t xml:space="preserve"> appropriate th</w:t>
      </w:r>
      <w:r>
        <w:t xml:space="preserve">ose who </w:t>
      </w:r>
      <w:r>
        <w:rPr>
          <w:u w:val="single"/>
        </w:rPr>
        <w:t xml:space="preserve">wish to </w:t>
      </w:r>
      <w:r>
        <w:rPr>
          <w:u w:val="single"/>
        </w:rPr>
        <w:t>appropriate</w:t>
      </w:r>
      <w:r>
        <w:t xml:space="preserve"> him, let him who belongs to the gods overwhelm those who are lacking; let him who is a very zealous</w:t>
      </w:r>
      <w:r>
        <w:rPr>
          <w:rStyle w:val="FootnoteAnchor"/>
        </w:rPr>
        <w:footnoteReference w:id="442"/>
      </w:r>
      <w:r>
        <w:t xml:space="preserve"> appropriate in battles even those who are </w:t>
      </w:r>
      <w:r>
        <w:lastRenderedPageBreak/>
        <w:t>difficult to overwhelm, the priest distributes the food</w:t>
      </w:r>
      <w:r>
        <w:rPr>
          <w:rStyle w:val="FootnoteAnchor"/>
        </w:rPr>
        <w:footnoteReference w:id="443"/>
      </w:r>
      <w:r>
        <w:t xml:space="preserve"> of the impious.</w:t>
      </w:r>
    </w:p>
    <w:p w14:paraId="735BA870" w14:textId="77777777" w:rsidR="00E53EB6" w:rsidRPr="00494885" w:rsidRDefault="006500F5">
      <w:pPr>
        <w:pStyle w:val="Zitat"/>
        <w:rPr>
          <w:lang w:val="de-DE"/>
        </w:rPr>
      </w:pPr>
      <w:r>
        <w:rPr>
          <w:rStyle w:val="CarattereCarattere"/>
          <w:rFonts w:ascii="Sabon Unicode" w:hAnsi="Sabon Unicode" w:cs="Times Ext Roman;Times New Roman"/>
          <w:b w:val="0"/>
          <w:bCs w:val="0"/>
          <w:i/>
          <w:iCs/>
          <w:sz w:val="18"/>
          <w:szCs w:val="18"/>
          <w:lang w:val="en-GB"/>
        </w:rPr>
        <w:t>vanavat</w:t>
      </w:r>
      <w:r>
        <w:rPr>
          <w:rStyle w:val="CarattereCarattere"/>
          <w:rFonts w:ascii="Sabon Unicode" w:hAnsi="Sabon Unicode" w:cs="Times Ext Roman;Times New Roman"/>
          <w:sz w:val="18"/>
          <w:szCs w:val="18"/>
          <w:lang w:val="en-GB"/>
        </w:rPr>
        <w:t xml:space="preserve">: </w:t>
      </w:r>
      <w:r>
        <w:rPr>
          <w:rStyle w:val="CarattereCarattere"/>
          <w:rFonts w:ascii="Sabon Unicode" w:hAnsi="Sabon Unicode" w:cs="Times Ext Roman;Times New Roman"/>
          <w:b w:val="0"/>
          <w:sz w:val="18"/>
          <w:szCs w:val="18"/>
          <w:lang w:val="en-GB"/>
        </w:rPr>
        <w:t xml:space="preserve">subjunctive present </w:t>
      </w:r>
      <w:r>
        <w:t>3</w:t>
      </w:r>
      <w:r>
        <w:rPr>
          <w:vertAlign w:val="superscript"/>
        </w:rPr>
        <w:t>rd</w:t>
      </w:r>
      <w:r>
        <w:t xml:space="preserve"> sing. </w:t>
      </w:r>
      <w:r w:rsidRPr="00494885">
        <w:rPr>
          <w:lang w:val="de-DE"/>
        </w:rPr>
        <w:t>VIII cl.</w:t>
      </w:r>
    </w:p>
    <w:p w14:paraId="1E59BE89" w14:textId="77777777" w:rsidR="00E53EB6" w:rsidRPr="00494885" w:rsidRDefault="006500F5">
      <w:pPr>
        <w:pStyle w:val="ZitatmitEinzug"/>
        <w:rPr>
          <w:lang w:val="de-DE"/>
        </w:rPr>
      </w:pPr>
      <w:r w:rsidRPr="00494885">
        <w:rPr>
          <w:smallCaps/>
          <w:lang w:val="de-DE"/>
        </w:rPr>
        <w:t xml:space="preserve">Geldner: </w:t>
      </w:r>
      <w:r w:rsidRPr="00494885">
        <w:rPr>
          <w:lang w:val="de-DE"/>
        </w:rPr>
        <w:t>I, 309</w:t>
      </w:r>
      <w:r w:rsidRPr="00494885">
        <w:rPr>
          <w:smallCaps/>
          <w:lang w:val="de-DE"/>
        </w:rPr>
        <w:t xml:space="preserve"> “</w:t>
      </w:r>
      <w:r w:rsidRPr="00494885">
        <w:rPr>
          <w:lang w:val="de-DE"/>
        </w:rPr>
        <w:t>wird überwinden”</w:t>
      </w:r>
    </w:p>
    <w:p w14:paraId="73EF4C55" w14:textId="77777777" w:rsidR="00E53EB6" w:rsidRPr="00494885" w:rsidRDefault="006500F5">
      <w:pPr>
        <w:pStyle w:val="ZitatmitEinzug"/>
        <w:rPr>
          <w:lang w:val="de-DE"/>
        </w:rPr>
      </w:pPr>
      <w:r w:rsidRPr="00494885">
        <w:rPr>
          <w:smallCaps/>
          <w:lang w:val="de-DE"/>
        </w:rPr>
        <w:t xml:space="preserve">Renou: </w:t>
      </w:r>
      <w:r w:rsidRPr="00494885">
        <w:rPr>
          <w:lang w:val="de-DE"/>
        </w:rPr>
        <w:t>XV, 61</w:t>
      </w:r>
      <w:r w:rsidRPr="00494885">
        <w:rPr>
          <w:smallCaps/>
          <w:lang w:val="de-DE"/>
        </w:rPr>
        <w:t xml:space="preserve"> “</w:t>
      </w:r>
      <w:r w:rsidRPr="00494885">
        <w:rPr>
          <w:lang w:val="de-DE"/>
        </w:rPr>
        <w:t>vaincra”</w:t>
      </w:r>
    </w:p>
    <w:p w14:paraId="3E504C6B" w14:textId="77777777" w:rsidR="00E53EB6" w:rsidRPr="00494885" w:rsidRDefault="006500F5">
      <w:pPr>
        <w:pStyle w:val="ZitatmitEinzug"/>
        <w:rPr>
          <w:szCs w:val="18"/>
          <w:lang w:val="de-DE"/>
        </w:rPr>
      </w:pPr>
      <w:r w:rsidRPr="00494885">
        <w:rPr>
          <w:rStyle w:val="biblio-authorGEN"/>
          <w:sz w:val="18"/>
          <w:szCs w:val="15"/>
          <w:lang w:val="de-DE"/>
        </w:rPr>
        <w:t xml:space="preserve">Witzel-Gotō </w:t>
      </w:r>
      <w:r w:rsidRPr="00494885">
        <w:rPr>
          <w:szCs w:val="18"/>
          <w:lang w:val="de-DE"/>
        </w:rPr>
        <w:t>2007: 393 “wird besiegen”</w:t>
      </w:r>
    </w:p>
    <w:p w14:paraId="2990824F" w14:textId="77777777" w:rsidR="00E53EB6" w:rsidRDefault="006500F5">
      <w:pPr>
        <w:pStyle w:val="Zitat"/>
      </w:pPr>
      <w:r>
        <w:rPr>
          <w:rStyle w:val="CarattereCarattere"/>
          <w:rFonts w:ascii="Sabon Unicode" w:hAnsi="Sabon Unicode" w:cs="Times Ext Roman;Times New Roman"/>
          <w:b w:val="0"/>
          <w:bCs w:val="0"/>
          <w:i/>
          <w:iCs/>
          <w:sz w:val="18"/>
          <w:szCs w:val="18"/>
          <w:lang w:val="en-GB"/>
        </w:rPr>
        <w:t>vanu</w:t>
      </w:r>
      <w:r>
        <w:rPr>
          <w:rStyle w:val="CarattereCarattere"/>
          <w:rFonts w:ascii="Sabon Unicode" w:hAnsi="Sabon Unicode" w:cs="Times Ext Roman;Times New Roman"/>
          <w:b w:val="0"/>
          <w:bCs w:val="0"/>
          <w:i/>
          <w:iCs/>
          <w:sz w:val="18"/>
          <w:szCs w:val="18"/>
          <w:lang w:val="en-GB"/>
        </w:rPr>
        <w:t>ṣ</w:t>
      </w:r>
      <w:r>
        <w:rPr>
          <w:rStyle w:val="CarattereCarattere"/>
          <w:rFonts w:ascii="Sabon Unicode" w:hAnsi="Sabon Unicode" w:cs="Times Ext Roman;Times New Roman"/>
          <w:b w:val="0"/>
          <w:bCs w:val="0"/>
          <w:i/>
          <w:iCs/>
          <w:sz w:val="18"/>
          <w:szCs w:val="18"/>
          <w:lang w:val="en-GB"/>
        </w:rPr>
        <w:t>yatá</w:t>
      </w:r>
      <w:r>
        <w:rPr>
          <w:rStyle w:val="CarattereCarattere"/>
          <w:rFonts w:ascii="Sabon Unicode" w:hAnsi="Sabon Unicode" w:cs="Times Ext Roman;Times New Roman"/>
          <w:b w:val="0"/>
          <w:bCs w:val="0"/>
          <w:i/>
          <w:iCs/>
          <w:sz w:val="18"/>
          <w:szCs w:val="18"/>
          <w:lang w:val="en-GB"/>
        </w:rPr>
        <w:t>ḥ</w:t>
      </w:r>
      <w:r>
        <w:rPr>
          <w:rStyle w:val="CarattereCarattere"/>
          <w:rFonts w:ascii="Sabon Unicode" w:hAnsi="Sabon Unicode" w:cs="Times Ext Roman;Times New Roman"/>
          <w:b w:val="0"/>
          <w:bCs w:val="0"/>
          <w:i/>
          <w:iCs/>
          <w:sz w:val="18"/>
          <w:szCs w:val="18"/>
          <w:lang w:val="en-GB"/>
        </w:rPr>
        <w:t xml:space="preserve">: </w:t>
      </w:r>
      <w:r>
        <w:rPr>
          <w:rStyle w:val="CarattereCarattere"/>
          <w:rFonts w:ascii="Sabon Unicode" w:hAnsi="Sabon Unicode" w:cs="Times Ext Roman;Times New Roman"/>
          <w:b w:val="0"/>
          <w:sz w:val="18"/>
          <w:szCs w:val="18"/>
          <w:lang w:val="en-GB"/>
        </w:rPr>
        <w:t xml:space="preserve">present participle </w:t>
      </w:r>
      <w:r>
        <w:t xml:space="preserve">(acc. m. pl.) denominative from </w:t>
      </w:r>
      <w:r>
        <w:rPr>
          <w:i/>
        </w:rPr>
        <w:t>vanús-</w:t>
      </w:r>
    </w:p>
    <w:p w14:paraId="27E3D795" w14:textId="77777777" w:rsidR="00E53EB6" w:rsidRDefault="006500F5">
      <w:pPr>
        <w:pStyle w:val="ZitatmitEinzug"/>
      </w:pPr>
      <w:r>
        <w:rPr>
          <w:smallCaps/>
        </w:rPr>
        <w:t xml:space="preserve">Geldner: </w:t>
      </w:r>
      <w:r>
        <w:t>I 309</w:t>
      </w:r>
      <w:r>
        <w:rPr>
          <w:smallCaps/>
        </w:rPr>
        <w:t xml:space="preserve"> “</w:t>
      </w:r>
      <w:r>
        <w:t>die Neider”</w:t>
      </w:r>
    </w:p>
    <w:p w14:paraId="6AD24286" w14:textId="77777777" w:rsidR="00E53EB6" w:rsidRDefault="006500F5">
      <w:pPr>
        <w:pStyle w:val="ZitatmitEinzug"/>
      </w:pPr>
      <w:r>
        <w:rPr>
          <w:smallCaps/>
        </w:rPr>
        <w:t xml:space="preserve">Renou: </w:t>
      </w:r>
      <w:r>
        <w:t>XV 61 “les (adve</w:t>
      </w:r>
      <w:r>
        <w:t>rsaires) cherchant-à-vaincre”</w:t>
      </w:r>
    </w:p>
    <w:p w14:paraId="1F4EEEE4" w14:textId="77777777" w:rsidR="00E53EB6" w:rsidRPr="00494885" w:rsidRDefault="006500F5">
      <w:pPr>
        <w:pStyle w:val="ZitatmitEinzug"/>
        <w:rPr>
          <w:lang w:val="de-DE"/>
        </w:rPr>
      </w:pPr>
      <w:r w:rsidRPr="00494885">
        <w:rPr>
          <w:rStyle w:val="biblio-authorGEN"/>
          <w:sz w:val="18"/>
          <w:szCs w:val="15"/>
          <w:lang w:val="de-DE"/>
        </w:rPr>
        <w:t xml:space="preserve">Witzel-Gotō </w:t>
      </w:r>
      <w:r w:rsidRPr="00494885">
        <w:rPr>
          <w:szCs w:val="18"/>
          <w:lang w:val="de-DE"/>
        </w:rPr>
        <w:t>2007: 393 “die Angreifenden”</w:t>
      </w:r>
    </w:p>
    <w:p w14:paraId="322F5CFF" w14:textId="77777777" w:rsidR="00E53EB6" w:rsidRPr="00494885" w:rsidRDefault="00E53EB6">
      <w:pPr>
        <w:pStyle w:val="ZitatmitEinzug"/>
        <w:rPr>
          <w:szCs w:val="18"/>
          <w:lang w:val="de-DE"/>
        </w:rPr>
      </w:pPr>
    </w:p>
    <w:p w14:paraId="5E0F7701" w14:textId="77777777" w:rsidR="00E53EB6" w:rsidRPr="00494885" w:rsidRDefault="006500F5">
      <w:pPr>
        <w:pStyle w:val="Zitat"/>
        <w:rPr>
          <w:lang w:val="de-DE"/>
        </w:rPr>
      </w:pPr>
      <w:r w:rsidRPr="00494885">
        <w:rPr>
          <w:lang w:val="de-DE"/>
        </w:rPr>
        <w:t xml:space="preserve">8.40.7 </w:t>
      </w:r>
      <w:r w:rsidRPr="00494885">
        <w:rPr>
          <w:i/>
          <w:iCs/>
          <w:lang w:val="de-DE"/>
        </w:rPr>
        <w:t>yád indrāgnī́ jánā imé</w:t>
      </w:r>
    </w:p>
    <w:p w14:paraId="12554F70" w14:textId="77777777" w:rsidR="00E53EB6" w:rsidRPr="00494885" w:rsidRDefault="006500F5">
      <w:pPr>
        <w:pStyle w:val="ZitatnachZitat"/>
        <w:rPr>
          <w:i/>
          <w:iCs/>
          <w:lang w:val="de-DE"/>
        </w:rPr>
      </w:pPr>
      <w:r w:rsidRPr="00494885">
        <w:rPr>
          <w:i/>
          <w:iCs/>
          <w:lang w:val="de-DE"/>
        </w:rPr>
        <w:t>vihváyante tánā girā́</w:t>
      </w:r>
    </w:p>
    <w:p w14:paraId="6DD528A4" w14:textId="77777777" w:rsidR="00E53EB6" w:rsidRPr="00494885" w:rsidRDefault="006500F5">
      <w:pPr>
        <w:pStyle w:val="ZitatnachZitat"/>
        <w:rPr>
          <w:i/>
          <w:iCs/>
          <w:lang w:val="de-DE"/>
        </w:rPr>
      </w:pPr>
      <w:r w:rsidRPr="00494885">
        <w:rPr>
          <w:i/>
          <w:iCs/>
          <w:lang w:val="de-DE"/>
        </w:rPr>
        <w:t>asmā́kebhir nŕ̥bhir vayá</w:t>
      </w:r>
      <w:r w:rsidRPr="00494885">
        <w:rPr>
          <w:i/>
          <w:iCs/>
          <w:lang w:val="de-DE"/>
        </w:rPr>
        <w:t>ṃ</w:t>
      </w:r>
    </w:p>
    <w:p w14:paraId="25851B2F" w14:textId="77777777" w:rsidR="00E53EB6" w:rsidRPr="00494885" w:rsidRDefault="006500F5">
      <w:pPr>
        <w:pStyle w:val="ZitatnachZitat"/>
        <w:rPr>
          <w:i/>
          <w:iCs/>
          <w:lang w:val="de-DE"/>
        </w:rPr>
      </w:pPr>
      <w:r w:rsidRPr="00494885">
        <w:rPr>
          <w:i/>
          <w:iCs/>
          <w:lang w:val="de-DE"/>
        </w:rPr>
        <w:t>sāsahyā́ma pr̥tanyató</w:t>
      </w:r>
    </w:p>
    <w:p w14:paraId="7E709A6F" w14:textId="77777777" w:rsidR="00E53EB6" w:rsidRPr="00494885" w:rsidRDefault="006500F5">
      <w:pPr>
        <w:pStyle w:val="ZitatnachZitat"/>
        <w:rPr>
          <w:i/>
          <w:iCs/>
          <w:lang w:val="de-DE"/>
        </w:rPr>
      </w:pPr>
      <w:r w:rsidRPr="00494885">
        <w:rPr>
          <w:i/>
          <w:iCs/>
          <w:lang w:val="de-DE"/>
        </w:rPr>
        <w:t>vanuyā́ma vanu</w:t>
      </w:r>
      <w:r w:rsidRPr="00494885">
        <w:rPr>
          <w:i/>
          <w:iCs/>
          <w:lang w:val="de-DE"/>
        </w:rPr>
        <w:t>ṣ</w:t>
      </w:r>
      <w:r w:rsidRPr="00494885">
        <w:rPr>
          <w:i/>
          <w:iCs/>
          <w:lang w:val="de-DE"/>
        </w:rPr>
        <w:t>yató</w:t>
      </w:r>
    </w:p>
    <w:p w14:paraId="40E195A7" w14:textId="77777777" w:rsidR="00E53EB6" w:rsidRPr="00494885" w:rsidRDefault="006500F5">
      <w:pPr>
        <w:pStyle w:val="ZitatnachZitat"/>
        <w:rPr>
          <w:i/>
          <w:iCs/>
          <w:lang w:val="de-DE"/>
        </w:rPr>
      </w:pPr>
      <w:r w:rsidRPr="00494885">
        <w:rPr>
          <w:i/>
          <w:iCs/>
          <w:lang w:val="de-DE"/>
        </w:rPr>
        <w:t>nábhantām anyaké same</w:t>
      </w:r>
    </w:p>
    <w:p w14:paraId="2936EEED" w14:textId="77777777" w:rsidR="00E53EB6" w:rsidRDefault="006500F5">
      <w:pPr>
        <w:pStyle w:val="Zitat"/>
      </w:pPr>
      <w:r>
        <w:t xml:space="preserve">When, oh Indra and Agni, these peoples invoke on various sides with a sustained chant, we wish with our men to defeat the attackers, </w:t>
      </w:r>
      <w:r>
        <w:rPr>
          <w:u w:val="single"/>
        </w:rPr>
        <w:t>to appropriate</w:t>
      </w:r>
      <w:r>
        <w:t xml:space="preserve"> those who </w:t>
      </w:r>
      <w:r>
        <w:rPr>
          <w:u w:val="single"/>
        </w:rPr>
        <w:t>wish to appropriate</w:t>
      </w:r>
      <w:r>
        <w:t xml:space="preserve"> us, let all the others crumble away.</w:t>
      </w:r>
    </w:p>
    <w:p w14:paraId="3B78C9F9" w14:textId="77777777" w:rsidR="00E53EB6" w:rsidRDefault="006500F5">
      <w:pPr>
        <w:pStyle w:val="Zitat"/>
      </w:pPr>
      <w:r>
        <w:rPr>
          <w:rStyle w:val="CarattereCarattere"/>
          <w:rFonts w:ascii="Sabon Unicode" w:hAnsi="Sabon Unicode" w:cs="Times Ext Roman;Times New Roman"/>
          <w:b w:val="0"/>
          <w:bCs w:val="0"/>
          <w:i/>
          <w:iCs/>
          <w:sz w:val="18"/>
          <w:szCs w:val="18"/>
          <w:lang w:val="en-GB"/>
        </w:rPr>
        <w:t>vanuyā́ma</w:t>
      </w:r>
      <w:r>
        <w:rPr>
          <w:rStyle w:val="CarattereCarattere"/>
          <w:rFonts w:ascii="Sabon Unicode" w:hAnsi="Sabon Unicode" w:cs="Times Ext Roman;Times New Roman"/>
          <w:sz w:val="18"/>
          <w:szCs w:val="18"/>
          <w:lang w:val="en-GB"/>
        </w:rPr>
        <w:t>:</w:t>
      </w:r>
      <w:r>
        <w:t xml:space="preserve"> present optative 1</w:t>
      </w:r>
      <w:r>
        <w:rPr>
          <w:vertAlign w:val="superscript"/>
        </w:rPr>
        <w:t>st</w:t>
      </w:r>
      <w:r>
        <w:t xml:space="preserve"> pl., VIII</w:t>
      </w:r>
      <w:r>
        <w:t xml:space="preserve"> cl.</w:t>
      </w:r>
    </w:p>
    <w:p w14:paraId="23E92110" w14:textId="77777777" w:rsidR="00E53EB6" w:rsidRPr="00494885" w:rsidRDefault="006500F5">
      <w:pPr>
        <w:pStyle w:val="ZitatmitEinzug"/>
        <w:rPr>
          <w:lang w:val="de-DE"/>
        </w:rPr>
      </w:pPr>
      <w:r w:rsidRPr="00494885">
        <w:rPr>
          <w:smallCaps/>
          <w:lang w:val="de-DE"/>
        </w:rPr>
        <w:t>Geldner:</w:t>
      </w:r>
      <w:r w:rsidRPr="00494885">
        <w:rPr>
          <w:lang w:val="de-DE"/>
        </w:rPr>
        <w:t xml:space="preserve"> II 353-4: </w:t>
      </w:r>
      <w:r w:rsidRPr="00494885">
        <w:rPr>
          <w:i/>
          <w:lang w:val="de-DE"/>
        </w:rPr>
        <w:t>wollen überbieten</w:t>
      </w:r>
    </w:p>
    <w:p w14:paraId="41A620DA" w14:textId="77777777" w:rsidR="00E53EB6" w:rsidRPr="00494885" w:rsidRDefault="006500F5">
      <w:pPr>
        <w:pStyle w:val="ZitatmitEinzug"/>
        <w:rPr>
          <w:lang w:val="de-DE"/>
        </w:rPr>
      </w:pPr>
      <w:r w:rsidRPr="00494885">
        <w:rPr>
          <w:smallCaps/>
          <w:lang w:val="de-DE"/>
        </w:rPr>
        <w:t>Renou:</w:t>
      </w:r>
      <w:r w:rsidRPr="00494885">
        <w:rPr>
          <w:lang w:val="de-DE"/>
        </w:rPr>
        <w:t xml:space="preserve"> XIV 58: </w:t>
      </w:r>
      <w:r w:rsidRPr="00494885">
        <w:rPr>
          <w:i/>
          <w:lang w:val="de-DE"/>
        </w:rPr>
        <w:t>vaincre</w:t>
      </w:r>
    </w:p>
    <w:p w14:paraId="1D473452" w14:textId="77777777" w:rsidR="00E53EB6" w:rsidRDefault="006500F5">
      <w:pPr>
        <w:pStyle w:val="Zitat"/>
      </w:pPr>
      <w:r>
        <w:rPr>
          <w:rStyle w:val="CarattereCarattere"/>
          <w:rFonts w:ascii="Sabon Unicode" w:hAnsi="Sabon Unicode" w:cs="Times Ext Roman;Times New Roman"/>
          <w:b w:val="0"/>
          <w:bCs w:val="0"/>
          <w:i/>
          <w:iCs/>
          <w:sz w:val="18"/>
          <w:szCs w:val="18"/>
          <w:lang w:val="en-GB"/>
        </w:rPr>
        <w:t>vanu</w:t>
      </w:r>
      <w:r>
        <w:rPr>
          <w:rStyle w:val="CarattereCarattere"/>
          <w:rFonts w:ascii="Sabon Unicode" w:hAnsi="Sabon Unicode" w:cs="Times Ext Roman;Times New Roman"/>
          <w:b w:val="0"/>
          <w:bCs w:val="0"/>
          <w:i/>
          <w:iCs/>
          <w:sz w:val="18"/>
          <w:szCs w:val="18"/>
          <w:lang w:val="en-GB"/>
        </w:rPr>
        <w:t>ṣ</w:t>
      </w:r>
      <w:r>
        <w:rPr>
          <w:rStyle w:val="CarattereCarattere"/>
          <w:rFonts w:ascii="Sabon Unicode" w:hAnsi="Sabon Unicode" w:cs="Times Ext Roman;Times New Roman"/>
          <w:b w:val="0"/>
          <w:bCs w:val="0"/>
          <w:i/>
          <w:iCs/>
          <w:sz w:val="18"/>
          <w:szCs w:val="18"/>
          <w:lang w:val="en-GB"/>
        </w:rPr>
        <w:t>yatá</w:t>
      </w:r>
      <w:r>
        <w:rPr>
          <w:rStyle w:val="CarattereCarattere"/>
          <w:rFonts w:ascii="Sabon Unicode" w:hAnsi="Sabon Unicode" w:cs="Times Ext Roman;Times New Roman"/>
          <w:b w:val="0"/>
          <w:bCs w:val="0"/>
          <w:i/>
          <w:iCs/>
          <w:sz w:val="18"/>
          <w:szCs w:val="18"/>
          <w:lang w:val="en-GB"/>
        </w:rPr>
        <w:t>ḥ</w:t>
      </w:r>
      <w:r>
        <w:rPr>
          <w:rStyle w:val="CarattereCarattere"/>
          <w:rFonts w:ascii="Sabon Unicode" w:hAnsi="Sabon Unicode" w:cs="Times Ext Roman;Times New Roman"/>
          <w:sz w:val="18"/>
          <w:szCs w:val="18"/>
          <w:lang w:val="en-GB"/>
        </w:rPr>
        <w:t>:</w:t>
      </w:r>
      <w:r>
        <w:t xml:space="preserve"> present participle (acc. m. pl.) denominative from </w:t>
      </w:r>
      <w:r>
        <w:rPr>
          <w:i/>
        </w:rPr>
        <w:t>vanús-</w:t>
      </w:r>
    </w:p>
    <w:p w14:paraId="4FAF018F" w14:textId="77777777" w:rsidR="00E53EB6" w:rsidRPr="00494885" w:rsidRDefault="006500F5">
      <w:pPr>
        <w:pStyle w:val="ZitatmitEinzug"/>
        <w:rPr>
          <w:lang w:val="it-IT"/>
        </w:rPr>
      </w:pPr>
      <w:r w:rsidRPr="00494885">
        <w:rPr>
          <w:smallCaps/>
          <w:lang w:val="it-IT"/>
        </w:rPr>
        <w:t>Geldner:</w:t>
      </w:r>
      <w:r w:rsidRPr="00494885">
        <w:rPr>
          <w:lang w:val="it-IT"/>
        </w:rPr>
        <w:t xml:space="preserve"> II 353-4 “</w:t>
      </w:r>
      <w:r w:rsidRPr="00494885">
        <w:rPr>
          <w:lang w:val="it-IT"/>
        </w:rPr>
        <w:t>Eifer”</w:t>
      </w:r>
    </w:p>
    <w:p w14:paraId="07DBA7A4" w14:textId="77777777" w:rsidR="00E53EB6" w:rsidRPr="00494885" w:rsidRDefault="006500F5">
      <w:pPr>
        <w:pStyle w:val="ZitatmitEinzug"/>
        <w:rPr>
          <w:lang w:val="it-IT"/>
        </w:rPr>
      </w:pPr>
      <w:r w:rsidRPr="00494885">
        <w:rPr>
          <w:smallCaps/>
          <w:lang w:val="it-IT"/>
        </w:rPr>
        <w:t>Renou:</w:t>
      </w:r>
      <w:r w:rsidRPr="00494885">
        <w:rPr>
          <w:lang w:val="it-IT"/>
        </w:rPr>
        <w:t xml:space="preserve"> XIV 58 “qui cherchent à vaincre”</w:t>
      </w:r>
    </w:p>
    <w:p w14:paraId="10BAE625" w14:textId="77777777" w:rsidR="00E53EB6" w:rsidRPr="00494885" w:rsidRDefault="00E53EB6">
      <w:pPr>
        <w:pStyle w:val="ZitatmitEinzug"/>
        <w:rPr>
          <w:i/>
          <w:szCs w:val="18"/>
          <w:lang w:val="it-IT"/>
        </w:rPr>
      </w:pPr>
    </w:p>
    <w:p w14:paraId="6D1BC951" w14:textId="77777777" w:rsidR="00E53EB6" w:rsidRPr="00494885" w:rsidRDefault="006500F5">
      <w:pPr>
        <w:pStyle w:val="Zitat"/>
        <w:rPr>
          <w:lang w:val="it-IT"/>
        </w:rPr>
      </w:pPr>
      <w:r w:rsidRPr="00494885">
        <w:rPr>
          <w:lang w:val="it-IT"/>
        </w:rPr>
        <w:t xml:space="preserve">9.77.4  </w:t>
      </w:r>
      <w:r w:rsidRPr="00494885">
        <w:rPr>
          <w:i/>
          <w:iCs/>
          <w:lang w:val="it-IT"/>
        </w:rPr>
        <w:t>ayá</w:t>
      </w:r>
      <w:r w:rsidRPr="00494885">
        <w:rPr>
          <w:i/>
          <w:iCs/>
          <w:lang w:val="it-IT"/>
        </w:rPr>
        <w:t>ṃ</w:t>
      </w:r>
      <w:r w:rsidRPr="00494885">
        <w:rPr>
          <w:i/>
          <w:iCs/>
          <w:lang w:val="it-IT"/>
        </w:rPr>
        <w:t xml:space="preserve"> no vidvā́n vanavad vanu</w:t>
      </w:r>
      <w:r w:rsidRPr="00494885">
        <w:rPr>
          <w:i/>
          <w:iCs/>
          <w:lang w:val="it-IT"/>
        </w:rPr>
        <w:t>ṣ</w:t>
      </w:r>
      <w:r w:rsidRPr="00494885">
        <w:rPr>
          <w:i/>
          <w:iCs/>
          <w:lang w:val="it-IT"/>
        </w:rPr>
        <w:t>yatá</w:t>
      </w:r>
    </w:p>
    <w:p w14:paraId="5E072B40" w14:textId="77777777" w:rsidR="00E53EB6" w:rsidRPr="00494885" w:rsidRDefault="006500F5">
      <w:pPr>
        <w:pStyle w:val="ZitatnachZitat"/>
        <w:rPr>
          <w:i/>
          <w:iCs/>
          <w:lang w:val="it-IT"/>
        </w:rPr>
      </w:pPr>
      <w:r w:rsidRPr="00494885">
        <w:rPr>
          <w:i/>
          <w:iCs/>
          <w:lang w:val="it-IT"/>
        </w:rPr>
        <w:t>índu</w:t>
      </w:r>
      <w:r w:rsidRPr="00494885">
        <w:rPr>
          <w:i/>
          <w:iCs/>
          <w:lang w:val="it-IT"/>
        </w:rPr>
        <w:t>ḥ</w:t>
      </w:r>
      <w:r w:rsidRPr="00494885">
        <w:rPr>
          <w:i/>
          <w:iCs/>
          <w:lang w:val="it-IT"/>
        </w:rPr>
        <w:t xml:space="preserve"> </w:t>
      </w:r>
      <w:r w:rsidRPr="00494885">
        <w:rPr>
          <w:i/>
          <w:iCs/>
          <w:lang w:val="it-IT"/>
        </w:rPr>
        <w:t>satrā́cā mánasā puru</w:t>
      </w:r>
      <w:r w:rsidRPr="00494885">
        <w:rPr>
          <w:i/>
          <w:iCs/>
          <w:lang w:val="it-IT"/>
        </w:rPr>
        <w:t>ṣṭ</w:t>
      </w:r>
      <w:r w:rsidRPr="00494885">
        <w:rPr>
          <w:i/>
          <w:iCs/>
          <w:lang w:val="it-IT"/>
        </w:rPr>
        <w:t>utá</w:t>
      </w:r>
      <w:r w:rsidRPr="00494885">
        <w:rPr>
          <w:i/>
          <w:iCs/>
          <w:lang w:val="it-IT"/>
        </w:rPr>
        <w:t>ḥ</w:t>
      </w:r>
    </w:p>
    <w:p w14:paraId="541315C8" w14:textId="77777777" w:rsidR="00E53EB6" w:rsidRPr="00494885" w:rsidRDefault="006500F5">
      <w:pPr>
        <w:pStyle w:val="ZitatnachZitat"/>
        <w:rPr>
          <w:i/>
          <w:iCs/>
          <w:lang w:val="it-IT"/>
        </w:rPr>
      </w:pPr>
      <w:r w:rsidRPr="00494885">
        <w:rPr>
          <w:i/>
          <w:iCs/>
          <w:lang w:val="it-IT"/>
        </w:rPr>
        <w:t>inásya yá</w:t>
      </w:r>
      <w:r w:rsidRPr="00494885">
        <w:rPr>
          <w:i/>
          <w:iCs/>
          <w:lang w:val="it-IT"/>
        </w:rPr>
        <w:t>ḥ</w:t>
      </w:r>
      <w:r w:rsidRPr="00494885">
        <w:rPr>
          <w:i/>
          <w:iCs/>
          <w:lang w:val="it-IT"/>
        </w:rPr>
        <w:t xml:space="preserve"> sádane gárbham ādadhé</w:t>
      </w:r>
    </w:p>
    <w:p w14:paraId="7B378A32" w14:textId="77777777" w:rsidR="00E53EB6" w:rsidRPr="00494885" w:rsidRDefault="006500F5">
      <w:pPr>
        <w:pStyle w:val="ZitatnachZitat"/>
        <w:rPr>
          <w:i/>
          <w:iCs/>
          <w:lang w:val="it-IT"/>
        </w:rPr>
      </w:pPr>
      <w:r w:rsidRPr="00494885">
        <w:rPr>
          <w:i/>
          <w:iCs/>
          <w:lang w:val="it-IT"/>
        </w:rPr>
        <w:t>gávām urubjám abhí ár</w:t>
      </w:r>
      <w:r w:rsidRPr="00494885">
        <w:rPr>
          <w:i/>
          <w:iCs/>
          <w:lang w:val="it-IT"/>
        </w:rPr>
        <w:t>ṣ</w:t>
      </w:r>
      <w:r w:rsidRPr="00494885">
        <w:rPr>
          <w:i/>
          <w:iCs/>
          <w:lang w:val="it-IT"/>
        </w:rPr>
        <w:t>ati vrajám</w:t>
      </w:r>
    </w:p>
    <w:p w14:paraId="1CBD99A0" w14:textId="77777777" w:rsidR="00E53EB6" w:rsidRDefault="006500F5">
      <w:pPr>
        <w:pStyle w:val="Zitat"/>
      </w:pPr>
      <w:r>
        <w:t xml:space="preserve">Let this one, who has knowledge, </w:t>
      </w:r>
      <w:r>
        <w:t>appropriate</w:t>
      </w:r>
      <w:r>
        <w:t xml:space="preserve"> those </w:t>
      </w:r>
      <w:r>
        <w:rPr>
          <w:u w:val="single"/>
        </w:rPr>
        <w:t>who wish to appropriate</w:t>
      </w:r>
      <w:r>
        <w:t xml:space="preserve"> us, this drop</w:t>
      </w:r>
      <w:r>
        <w:rPr>
          <w:rStyle w:val="FootnoteAnchor"/>
        </w:rPr>
        <w:footnoteReference w:id="444"/>
      </w:r>
      <w:r>
        <w:t>, thanks to the perfectly whole poetic thought much praised, that has pla</w:t>
      </w:r>
      <w:r>
        <w:t>ced the embryo in the lap of the strong</w:t>
      </w:r>
      <w:r>
        <w:rPr>
          <w:rStyle w:val="FootnoteAnchor"/>
        </w:rPr>
        <w:footnoteReference w:id="445"/>
      </w:r>
      <w:r>
        <w:t xml:space="preserve"> and flows towards the opened enclosure</w:t>
      </w:r>
      <w:r>
        <w:rPr>
          <w:rStyle w:val="FootnoteAnchor"/>
        </w:rPr>
        <w:footnoteReference w:id="446"/>
      </w:r>
      <w:r>
        <w:t xml:space="preserve"> of the cows.</w:t>
      </w:r>
    </w:p>
    <w:p w14:paraId="30BB5389" w14:textId="77777777" w:rsidR="00E53EB6" w:rsidRDefault="006500F5">
      <w:pPr>
        <w:pStyle w:val="Zitat"/>
      </w:pPr>
      <w:r>
        <w:rPr>
          <w:rStyle w:val="CarattereCarattere"/>
          <w:rFonts w:ascii="Sabon Unicode" w:hAnsi="Sabon Unicode" w:cs="Times Ext Roman;Times New Roman"/>
          <w:b w:val="0"/>
          <w:bCs w:val="0"/>
          <w:i/>
          <w:iCs/>
          <w:sz w:val="18"/>
          <w:szCs w:val="18"/>
          <w:lang w:val="en-GB"/>
        </w:rPr>
        <w:t>vanavat</w:t>
      </w:r>
      <w:r>
        <w:rPr>
          <w:rStyle w:val="CarattereCarattere"/>
          <w:rFonts w:ascii="Sabon Unicode" w:hAnsi="Sabon Unicode" w:cs="Times Ext Roman;Times New Roman"/>
          <w:b w:val="0"/>
          <w:bCs w:val="0"/>
          <w:sz w:val="18"/>
          <w:szCs w:val="18"/>
          <w:lang w:val="en-GB"/>
        </w:rPr>
        <w:t>:</w:t>
      </w:r>
      <w:r>
        <w:t xml:space="preserve"> present subjunctive 3</w:t>
      </w:r>
      <w:r>
        <w:rPr>
          <w:vertAlign w:val="superscript"/>
        </w:rPr>
        <w:t>rd</w:t>
      </w:r>
      <w:r>
        <w:t xml:space="preserve"> sing., VIII cl.</w:t>
      </w:r>
    </w:p>
    <w:p w14:paraId="1D808264" w14:textId="77777777" w:rsidR="00E53EB6" w:rsidRPr="00494885" w:rsidRDefault="006500F5">
      <w:pPr>
        <w:pStyle w:val="ZitatmitEinzug"/>
        <w:rPr>
          <w:lang w:val="de-DE"/>
        </w:rPr>
      </w:pPr>
      <w:r w:rsidRPr="00494885">
        <w:rPr>
          <w:smallCaps/>
          <w:lang w:val="de-DE"/>
        </w:rPr>
        <w:t>Geldner:</w:t>
      </w:r>
      <w:r w:rsidRPr="00494885">
        <w:rPr>
          <w:lang w:val="de-DE"/>
        </w:rPr>
        <w:t xml:space="preserve"> III 72 “</w:t>
      </w:r>
      <w:r w:rsidRPr="00494885">
        <w:rPr>
          <w:lang w:val="de-DE"/>
        </w:rPr>
        <w:t>soll überbieten”</w:t>
      </w:r>
    </w:p>
    <w:p w14:paraId="66170513" w14:textId="77777777" w:rsidR="00E53EB6" w:rsidRPr="00494885" w:rsidRDefault="006500F5">
      <w:pPr>
        <w:pStyle w:val="ZitatmitEinzug"/>
        <w:rPr>
          <w:lang w:val="de-DE"/>
        </w:rPr>
      </w:pPr>
      <w:r w:rsidRPr="00494885">
        <w:rPr>
          <w:smallCaps/>
          <w:lang w:val="de-DE"/>
        </w:rPr>
        <w:t>Renou:</w:t>
      </w:r>
      <w:r w:rsidRPr="00494885">
        <w:rPr>
          <w:lang w:val="de-DE"/>
        </w:rPr>
        <w:t xml:space="preserve"> IX 26 “l’emporte”</w:t>
      </w:r>
    </w:p>
    <w:p w14:paraId="1C2AA670" w14:textId="77777777" w:rsidR="00E53EB6" w:rsidRDefault="006500F5">
      <w:pPr>
        <w:pStyle w:val="Zitat"/>
      </w:pPr>
      <w:r>
        <w:rPr>
          <w:rStyle w:val="CarattereCarattere"/>
          <w:rFonts w:ascii="Sabon Unicode" w:hAnsi="Sabon Unicode" w:cs="Times Ext Roman;Times New Roman"/>
          <w:b w:val="0"/>
          <w:bCs w:val="0"/>
          <w:i/>
          <w:iCs/>
          <w:sz w:val="18"/>
          <w:szCs w:val="18"/>
          <w:lang w:val="en-GB"/>
        </w:rPr>
        <w:t>vanu</w:t>
      </w:r>
      <w:r>
        <w:rPr>
          <w:rStyle w:val="CarattereCarattere"/>
          <w:rFonts w:ascii="Sabon Unicode" w:hAnsi="Sabon Unicode" w:cs="Times Ext Roman;Times New Roman"/>
          <w:b w:val="0"/>
          <w:bCs w:val="0"/>
          <w:i/>
          <w:iCs/>
          <w:sz w:val="18"/>
          <w:szCs w:val="18"/>
          <w:lang w:val="en-GB"/>
        </w:rPr>
        <w:t>ṣ</w:t>
      </w:r>
      <w:r>
        <w:rPr>
          <w:rStyle w:val="CarattereCarattere"/>
          <w:rFonts w:ascii="Sabon Unicode" w:hAnsi="Sabon Unicode" w:cs="Times Ext Roman;Times New Roman"/>
          <w:b w:val="0"/>
          <w:bCs w:val="0"/>
          <w:i/>
          <w:iCs/>
          <w:sz w:val="18"/>
          <w:szCs w:val="18"/>
          <w:lang w:val="en-GB"/>
        </w:rPr>
        <w:t>yatá</w:t>
      </w:r>
      <w:r>
        <w:rPr>
          <w:rStyle w:val="CarattereCarattere"/>
          <w:rFonts w:ascii="Sabon Unicode" w:hAnsi="Sabon Unicode" w:cs="Times Ext Roman;Times New Roman"/>
          <w:b w:val="0"/>
          <w:bCs w:val="0"/>
          <w:i/>
          <w:iCs/>
          <w:sz w:val="18"/>
          <w:szCs w:val="18"/>
          <w:lang w:val="en-GB"/>
        </w:rPr>
        <w:t>ḥ</w:t>
      </w:r>
      <w:r>
        <w:rPr>
          <w:rStyle w:val="CarattereCarattere"/>
          <w:rFonts w:ascii="Sabon Unicode" w:hAnsi="Sabon Unicode" w:cs="Times Ext Roman;Times New Roman"/>
          <w:sz w:val="18"/>
          <w:szCs w:val="18"/>
          <w:lang w:val="en-GB"/>
        </w:rPr>
        <w:t xml:space="preserve">: </w:t>
      </w:r>
      <w:r>
        <w:rPr>
          <w:rStyle w:val="CarattereCarattere"/>
          <w:rFonts w:ascii="Sabon Unicode" w:hAnsi="Sabon Unicode" w:cs="Times Ext Roman;Times New Roman"/>
          <w:b w:val="0"/>
          <w:sz w:val="18"/>
          <w:szCs w:val="18"/>
          <w:lang w:val="en-GB"/>
        </w:rPr>
        <w:t xml:space="preserve">present participle </w:t>
      </w:r>
      <w:r>
        <w:t xml:space="preserve">(acc. m. pl.) denominative from </w:t>
      </w:r>
      <w:r>
        <w:rPr>
          <w:i/>
        </w:rPr>
        <w:t>vanús-</w:t>
      </w:r>
    </w:p>
    <w:p w14:paraId="2B3FC5D2" w14:textId="77777777" w:rsidR="00E53EB6" w:rsidRDefault="006500F5">
      <w:pPr>
        <w:pStyle w:val="ZitatmitEinzug"/>
      </w:pPr>
      <w:r>
        <w:rPr>
          <w:smallCaps/>
        </w:rPr>
        <w:t>Geldner:</w:t>
      </w:r>
      <w:r>
        <w:t xml:space="preserve"> III 72 “</w:t>
      </w:r>
      <w:r>
        <w:t>Neider”</w:t>
      </w:r>
    </w:p>
    <w:p w14:paraId="4894C66E" w14:textId="77777777" w:rsidR="00E53EB6" w:rsidRDefault="006500F5">
      <w:pPr>
        <w:pStyle w:val="ZitatmitEinzug"/>
      </w:pPr>
      <w:r>
        <w:rPr>
          <w:smallCaps/>
        </w:rPr>
        <w:t xml:space="preserve">Renou: </w:t>
      </w:r>
      <w:r>
        <w:t xml:space="preserve">IX 26 “qui nous jalousent” </w:t>
      </w:r>
    </w:p>
    <w:p w14:paraId="0E8D4C32" w14:textId="77777777" w:rsidR="00E53EB6" w:rsidRDefault="006500F5">
      <w:pPr>
        <w:pStyle w:val="HaupttextnachZitat"/>
      </w:pPr>
      <w:r>
        <w:t xml:space="preserve">In the passage that follows, the poet succeeds in recreating the same semantic play, in this case </w:t>
      </w:r>
      <w:r>
        <w:lastRenderedPageBreak/>
        <w:t>bringing into contraposition the adjective and the denomina</w:t>
      </w:r>
      <w:r>
        <w:t>tive itself: wishing to appropriate those who wish to appropriate us, Agni is asked to consume the adversaries with fire (</w:t>
      </w:r>
      <w:r>
        <w:rPr>
          <w:i/>
          <w:iCs/>
        </w:rPr>
        <w:t>spŕ̥dho vanu</w:t>
      </w:r>
      <w:r>
        <w:rPr>
          <w:i/>
          <w:iCs/>
        </w:rPr>
        <w:t>ṣ</w:t>
      </w:r>
      <w:r>
        <w:rPr>
          <w:i/>
          <w:iCs/>
        </w:rPr>
        <w:t>yán vanú</w:t>
      </w:r>
      <w:r>
        <w:rPr>
          <w:i/>
          <w:iCs/>
        </w:rPr>
        <w:t>ṣ</w:t>
      </w:r>
      <w:r>
        <w:rPr>
          <w:i/>
          <w:iCs/>
        </w:rPr>
        <w:t>o ní jūrva</w:t>
      </w:r>
      <w:r>
        <w:t xml:space="preserve">). </w:t>
      </w:r>
    </w:p>
    <w:p w14:paraId="5DB0D2A9" w14:textId="77777777" w:rsidR="00E53EB6" w:rsidRDefault="006500F5">
      <w:pPr>
        <w:pStyle w:val="Zitat"/>
      </w:pPr>
      <w:r>
        <w:t>6.6.6</w:t>
      </w:r>
      <w:r>
        <w:rPr>
          <w:i/>
          <w:iCs/>
        </w:rPr>
        <w:t xml:space="preserve"> ā́ bhānúnā pā́rthivāni jráyā</w:t>
      </w:r>
      <w:r>
        <w:rPr>
          <w:i/>
          <w:iCs/>
        </w:rPr>
        <w:t>ṃ</w:t>
      </w:r>
      <w:r>
        <w:rPr>
          <w:i/>
          <w:iCs/>
        </w:rPr>
        <w:t>si</w:t>
      </w:r>
    </w:p>
    <w:p w14:paraId="638E7595" w14:textId="77777777" w:rsidR="00E53EB6" w:rsidRDefault="006500F5">
      <w:pPr>
        <w:pStyle w:val="ZitatnachZitat"/>
        <w:rPr>
          <w:i/>
          <w:iCs/>
        </w:rPr>
      </w:pPr>
      <w:r>
        <w:rPr>
          <w:i/>
          <w:iCs/>
        </w:rPr>
        <w:t>mahás todásya dhr̥</w:t>
      </w:r>
      <w:r>
        <w:rPr>
          <w:i/>
          <w:iCs/>
        </w:rPr>
        <w:t>ṣ</w:t>
      </w:r>
      <w:r>
        <w:rPr>
          <w:i/>
          <w:iCs/>
        </w:rPr>
        <w:t>atā́ tatantha</w:t>
      </w:r>
    </w:p>
    <w:p w14:paraId="6B41CD50" w14:textId="77777777" w:rsidR="00E53EB6" w:rsidRDefault="006500F5">
      <w:pPr>
        <w:pStyle w:val="ZitatnachZitat"/>
        <w:rPr>
          <w:i/>
          <w:iCs/>
        </w:rPr>
      </w:pPr>
      <w:r>
        <w:rPr>
          <w:i/>
          <w:iCs/>
        </w:rPr>
        <w:t>sá bādhasva ápa bhayā́ sáh</w:t>
      </w:r>
      <w:r>
        <w:rPr>
          <w:i/>
          <w:iCs/>
        </w:rPr>
        <w:t>obhi</w:t>
      </w:r>
    </w:p>
    <w:p w14:paraId="566E5D63" w14:textId="77777777" w:rsidR="00E53EB6" w:rsidRDefault="006500F5">
      <w:pPr>
        <w:pStyle w:val="ZitatnachZitat"/>
        <w:rPr>
          <w:i/>
          <w:iCs/>
        </w:rPr>
      </w:pPr>
      <w:r>
        <w:rPr>
          <w:i/>
          <w:iCs/>
        </w:rPr>
        <w:t>spŕ̥dho vanu</w:t>
      </w:r>
      <w:r>
        <w:rPr>
          <w:i/>
          <w:iCs/>
        </w:rPr>
        <w:t>ṣ</w:t>
      </w:r>
      <w:r>
        <w:rPr>
          <w:i/>
          <w:iCs/>
        </w:rPr>
        <w:t>yán vanú</w:t>
      </w:r>
      <w:r>
        <w:rPr>
          <w:i/>
          <w:iCs/>
        </w:rPr>
        <w:t>ṣ</w:t>
      </w:r>
      <w:r>
        <w:rPr>
          <w:i/>
          <w:iCs/>
        </w:rPr>
        <w:t>o ní jūrva</w:t>
      </w:r>
    </w:p>
    <w:p w14:paraId="63018B62" w14:textId="77777777" w:rsidR="00E53EB6" w:rsidRDefault="006500F5">
      <w:pPr>
        <w:pStyle w:val="Zitat"/>
      </w:pPr>
      <w:r>
        <w:t>Courageous, you have set out</w:t>
      </w:r>
      <w:r>
        <w:rPr>
          <w:rStyle w:val="FootnoteAnchor"/>
        </w:rPr>
        <w:footnoteReference w:id="447"/>
      </w:r>
      <w:r>
        <w:t xml:space="preserve"> with the light of the great Instigator the earthly ranges, you, indeed, dispel fears with your powers, </w:t>
      </w:r>
      <w:r>
        <w:rPr>
          <w:u w:val="single"/>
        </w:rPr>
        <w:t>wishing to appropriate</w:t>
      </w:r>
      <w:r>
        <w:t xml:space="preserve"> those </w:t>
      </w:r>
      <w:r>
        <w:rPr>
          <w:u w:val="single"/>
        </w:rPr>
        <w:t>who wish to appropriate</w:t>
      </w:r>
      <w:r>
        <w:t xml:space="preserve"> us, consume the adversaries wi</w:t>
      </w:r>
      <w:r>
        <w:t>th fire.</w:t>
      </w:r>
    </w:p>
    <w:p w14:paraId="4D4D286F" w14:textId="77777777" w:rsidR="00E53EB6" w:rsidRDefault="006500F5">
      <w:pPr>
        <w:pStyle w:val="Zitat"/>
      </w:pPr>
      <w:r>
        <w:rPr>
          <w:rStyle w:val="CarattereCarattere"/>
          <w:rFonts w:ascii="Sabon Unicode" w:hAnsi="Sabon Unicode" w:cs="Times Ext Roman;Times New Roman"/>
          <w:b w:val="0"/>
          <w:bCs w:val="0"/>
          <w:i/>
          <w:iCs/>
          <w:sz w:val="18"/>
          <w:szCs w:val="18"/>
          <w:lang w:val="en-GB"/>
        </w:rPr>
        <w:t>vanu</w:t>
      </w:r>
      <w:r>
        <w:rPr>
          <w:rStyle w:val="CarattereCarattere"/>
          <w:rFonts w:ascii="Sabon Unicode" w:hAnsi="Sabon Unicode" w:cs="Times Ext Roman;Times New Roman"/>
          <w:b w:val="0"/>
          <w:bCs w:val="0"/>
          <w:i/>
          <w:iCs/>
          <w:sz w:val="18"/>
          <w:szCs w:val="18"/>
          <w:lang w:val="en-GB"/>
        </w:rPr>
        <w:t>ṣ</w:t>
      </w:r>
      <w:r>
        <w:rPr>
          <w:rStyle w:val="CarattereCarattere"/>
          <w:rFonts w:ascii="Sabon Unicode" w:hAnsi="Sabon Unicode" w:cs="Times Ext Roman;Times New Roman"/>
          <w:b w:val="0"/>
          <w:bCs w:val="0"/>
          <w:i/>
          <w:iCs/>
          <w:sz w:val="18"/>
          <w:szCs w:val="18"/>
          <w:lang w:val="en-GB"/>
        </w:rPr>
        <w:t>yán</w:t>
      </w:r>
      <w:r>
        <w:rPr>
          <w:rStyle w:val="CarattereCarattere"/>
          <w:rFonts w:ascii="Sabon Unicode" w:hAnsi="Sabon Unicode" w:cs="Times Ext Roman;Times New Roman"/>
          <w:b w:val="0"/>
          <w:bCs w:val="0"/>
          <w:sz w:val="18"/>
          <w:szCs w:val="18"/>
          <w:lang w:val="en-GB"/>
        </w:rPr>
        <w:t>:</w:t>
      </w:r>
      <w:r>
        <w:t xml:space="preserve"> present participle (nom. m. sing.) denominative from </w:t>
      </w:r>
      <w:r>
        <w:rPr>
          <w:i/>
        </w:rPr>
        <w:t>vanús-</w:t>
      </w:r>
    </w:p>
    <w:p w14:paraId="24151181" w14:textId="77777777" w:rsidR="00E53EB6" w:rsidRPr="00494885" w:rsidRDefault="006500F5">
      <w:pPr>
        <w:pStyle w:val="ZitatmitEinzug"/>
        <w:rPr>
          <w:lang w:val="de-DE"/>
        </w:rPr>
      </w:pPr>
      <w:r w:rsidRPr="00494885">
        <w:rPr>
          <w:smallCaps/>
          <w:lang w:val="de-DE"/>
        </w:rPr>
        <w:t>Geldner:</w:t>
      </w:r>
      <w:r w:rsidRPr="00494885">
        <w:rPr>
          <w:lang w:val="de-DE"/>
        </w:rPr>
        <w:t xml:space="preserve"> II 99 </w:t>
      </w:r>
      <w:r w:rsidRPr="00494885">
        <w:rPr>
          <w:lang w:val="de-DE"/>
        </w:rPr>
        <w:t>“eifernd”</w:t>
      </w:r>
    </w:p>
    <w:p w14:paraId="574D39E9" w14:textId="77777777" w:rsidR="00E53EB6" w:rsidRPr="00494885" w:rsidRDefault="006500F5">
      <w:pPr>
        <w:pStyle w:val="ZitatmitEinzug"/>
        <w:rPr>
          <w:lang w:val="de-DE"/>
        </w:rPr>
      </w:pPr>
      <w:r w:rsidRPr="00494885">
        <w:rPr>
          <w:smallCaps/>
          <w:lang w:val="de-DE"/>
        </w:rPr>
        <w:t>Renou:</w:t>
      </w:r>
      <w:r w:rsidRPr="00494885">
        <w:rPr>
          <w:lang w:val="de-DE"/>
        </w:rPr>
        <w:t xml:space="preserve"> XIII 41 “vainquant”</w:t>
      </w:r>
    </w:p>
    <w:p w14:paraId="48B37463" w14:textId="77777777" w:rsidR="00E53EB6" w:rsidRDefault="006500F5">
      <w:pPr>
        <w:pStyle w:val="Zitat"/>
      </w:pPr>
      <w:r>
        <w:rPr>
          <w:rStyle w:val="CarattereCarattere"/>
          <w:rFonts w:ascii="Sabon Unicode" w:hAnsi="Sabon Unicode" w:cs="Times Ext Roman;Times New Roman"/>
          <w:b w:val="0"/>
          <w:bCs w:val="0"/>
          <w:i/>
          <w:iCs/>
          <w:sz w:val="18"/>
          <w:szCs w:val="18"/>
          <w:lang w:val="en-GB"/>
        </w:rPr>
        <w:t>vanú</w:t>
      </w:r>
      <w:r>
        <w:rPr>
          <w:rStyle w:val="CarattereCarattere"/>
          <w:rFonts w:ascii="Sabon Unicode" w:hAnsi="Sabon Unicode" w:cs="Times Ext Roman;Times New Roman"/>
          <w:b w:val="0"/>
          <w:bCs w:val="0"/>
          <w:i/>
          <w:iCs/>
          <w:sz w:val="18"/>
          <w:szCs w:val="18"/>
          <w:lang w:val="en-GB"/>
        </w:rPr>
        <w:t>ṣ</w:t>
      </w:r>
      <w:r>
        <w:rPr>
          <w:rStyle w:val="CarattereCarattere"/>
          <w:rFonts w:ascii="Sabon Unicode" w:hAnsi="Sabon Unicode" w:cs="Times Ext Roman;Times New Roman"/>
          <w:b w:val="0"/>
          <w:bCs w:val="0"/>
          <w:i/>
          <w:iCs/>
          <w:sz w:val="18"/>
          <w:szCs w:val="18"/>
          <w:lang w:val="en-GB"/>
        </w:rPr>
        <w:t>ah</w:t>
      </w:r>
      <w:r>
        <w:rPr>
          <w:rStyle w:val="CarattereCarattere"/>
          <w:rFonts w:ascii="Sabon Unicode" w:hAnsi="Sabon Unicode" w:cs="Times Ext Roman;Times New Roman"/>
          <w:sz w:val="18"/>
          <w:szCs w:val="18"/>
          <w:lang w:val="en-GB"/>
        </w:rPr>
        <w:t>:</w:t>
      </w:r>
      <w:r>
        <w:t xml:space="preserve"> accusative masculine plural from  </w:t>
      </w:r>
      <w:r>
        <w:rPr>
          <w:i/>
        </w:rPr>
        <w:t>vanús-</w:t>
      </w:r>
    </w:p>
    <w:p w14:paraId="2784E484" w14:textId="77777777" w:rsidR="00E53EB6" w:rsidRPr="00494885" w:rsidRDefault="006500F5">
      <w:pPr>
        <w:pStyle w:val="ZitatmitEinzug"/>
        <w:rPr>
          <w:lang w:val="de-DE"/>
        </w:rPr>
      </w:pPr>
      <w:r w:rsidRPr="00494885">
        <w:rPr>
          <w:smallCaps/>
          <w:lang w:val="de-DE"/>
        </w:rPr>
        <w:t>Geldner:</w:t>
      </w:r>
      <w:r w:rsidRPr="00494885">
        <w:rPr>
          <w:lang w:val="de-DE"/>
        </w:rPr>
        <w:t xml:space="preserve"> II 99 </w:t>
      </w:r>
      <w:r w:rsidRPr="00494885">
        <w:rPr>
          <w:lang w:val="de-DE"/>
        </w:rPr>
        <w:t xml:space="preserve">“die Eiferer” </w:t>
      </w:r>
    </w:p>
    <w:p w14:paraId="303F5AAB" w14:textId="77777777" w:rsidR="00E53EB6" w:rsidRPr="00494885" w:rsidRDefault="006500F5">
      <w:pPr>
        <w:pStyle w:val="ZitatmitEinzug"/>
        <w:rPr>
          <w:lang w:val="de-DE"/>
        </w:rPr>
      </w:pPr>
      <w:r w:rsidRPr="00494885">
        <w:rPr>
          <w:smallCaps/>
          <w:lang w:val="de-DE"/>
        </w:rPr>
        <w:t xml:space="preserve">Renou: </w:t>
      </w:r>
      <w:r w:rsidRPr="00494885">
        <w:rPr>
          <w:lang w:val="de-DE"/>
        </w:rPr>
        <w:t>XIII 41 “qui jalousent”</w:t>
      </w:r>
    </w:p>
    <w:p w14:paraId="09862D3D" w14:textId="77777777" w:rsidR="00E53EB6" w:rsidRDefault="006500F5">
      <w:pPr>
        <w:pStyle w:val="HaupttextnachZitat"/>
      </w:pPr>
      <w:r>
        <w:rPr>
          <w:szCs w:val="26"/>
        </w:rPr>
        <w:t xml:space="preserve">In particular, moreover, we see that in certain passages </w:t>
      </w:r>
      <w:r>
        <w:rPr>
          <w:i/>
          <w:szCs w:val="26"/>
        </w:rPr>
        <w:t>vanús-</w:t>
      </w:r>
      <w:r>
        <w:rPr>
          <w:szCs w:val="26"/>
        </w:rPr>
        <w:t xml:space="preserve"> takes on a more precise meaning when occurring in the binomial </w:t>
      </w:r>
      <w:r>
        <w:rPr>
          <w:i/>
          <w:szCs w:val="26"/>
        </w:rPr>
        <w:t>arí-/ vanús-</w:t>
      </w:r>
      <w:r>
        <w:rPr>
          <w:szCs w:val="26"/>
        </w:rPr>
        <w:t xml:space="preserve">: the outer, foreign enemy and the inner enemy (cf. </w:t>
      </w:r>
      <w:r>
        <w:rPr>
          <w:smallCaps/>
          <w:szCs w:val="26"/>
        </w:rPr>
        <w:t>Renou</w:t>
      </w:r>
      <w:r>
        <w:rPr>
          <w:szCs w:val="26"/>
        </w:rPr>
        <w:t xml:space="preserve"> VII, 84); this contraposition between within and without al</w:t>
      </w:r>
      <w:r>
        <w:rPr>
          <w:szCs w:val="26"/>
        </w:rPr>
        <w:t>so recurs taking on different forms at other points, one of which being the form cited above, adopted in these four stanzas.</w:t>
      </w:r>
    </w:p>
    <w:p w14:paraId="7B822BD6" w14:textId="77777777" w:rsidR="00E53EB6" w:rsidRDefault="00E53EB6">
      <w:pPr>
        <w:ind w:left="851" w:right="851"/>
        <w:rPr>
          <w:rFonts w:ascii="Sabon Unicode" w:hAnsi="Sabon Unicode"/>
          <w:sz w:val="18"/>
          <w:szCs w:val="18"/>
          <w:lang w:val="en-GB"/>
        </w:rPr>
      </w:pPr>
    </w:p>
    <w:p w14:paraId="4BD8B72A" w14:textId="77777777" w:rsidR="00E53EB6" w:rsidRDefault="006500F5">
      <w:pPr>
        <w:pStyle w:val="Zitat"/>
      </w:pPr>
      <w:r>
        <w:t xml:space="preserve">7.21.9 </w:t>
      </w:r>
      <w:r>
        <w:rPr>
          <w:i/>
          <w:iCs/>
        </w:rPr>
        <w:t>sákhāyas ta indra viśváha syāma</w:t>
      </w:r>
    </w:p>
    <w:p w14:paraId="53F79B00" w14:textId="77777777" w:rsidR="00E53EB6" w:rsidRDefault="006500F5">
      <w:pPr>
        <w:pStyle w:val="ZitatnachZitat"/>
        <w:rPr>
          <w:i/>
          <w:iCs/>
        </w:rPr>
      </w:pPr>
      <w:r>
        <w:rPr>
          <w:i/>
          <w:iCs/>
        </w:rPr>
        <w:t>namovr̥dhā́so mahinā́ tarutra</w:t>
      </w:r>
    </w:p>
    <w:p w14:paraId="5D02398C" w14:textId="77777777" w:rsidR="00E53EB6" w:rsidRDefault="006500F5">
      <w:pPr>
        <w:pStyle w:val="ZitatnachZitat"/>
        <w:rPr>
          <w:i/>
          <w:iCs/>
        </w:rPr>
      </w:pPr>
      <w:r>
        <w:rPr>
          <w:i/>
          <w:iCs/>
        </w:rPr>
        <w:t>vanvántu smā te ávasā samīké</w:t>
      </w:r>
    </w:p>
    <w:p w14:paraId="396694F0" w14:textId="77777777" w:rsidR="00E53EB6" w:rsidRDefault="006500F5">
      <w:pPr>
        <w:pStyle w:val="ZitatnachZitat"/>
        <w:rPr>
          <w:i/>
          <w:iCs/>
        </w:rPr>
      </w:pPr>
      <w:r>
        <w:rPr>
          <w:i/>
          <w:iCs/>
        </w:rPr>
        <w:t>abhī́tim aryó vanú</w:t>
      </w:r>
      <w:r>
        <w:rPr>
          <w:i/>
          <w:iCs/>
        </w:rPr>
        <w:t>ṣ</w:t>
      </w:r>
      <w:r>
        <w:rPr>
          <w:i/>
          <w:iCs/>
        </w:rPr>
        <w:t>ā</w:t>
      </w:r>
      <w:r>
        <w:rPr>
          <w:i/>
          <w:iCs/>
        </w:rPr>
        <w:t>ṃ</w:t>
      </w:r>
      <w:r>
        <w:rPr>
          <w:i/>
          <w:iCs/>
        </w:rPr>
        <w:t xml:space="preserve"> śávā</w:t>
      </w:r>
      <w:r>
        <w:rPr>
          <w:i/>
          <w:iCs/>
        </w:rPr>
        <w:t>ṃ</w:t>
      </w:r>
      <w:r>
        <w:rPr>
          <w:i/>
          <w:iCs/>
        </w:rPr>
        <w:t>si</w:t>
      </w:r>
    </w:p>
    <w:p w14:paraId="2F6C964D" w14:textId="77777777" w:rsidR="00E53EB6" w:rsidRDefault="006500F5">
      <w:pPr>
        <w:pStyle w:val="Zitat"/>
      </w:pPr>
      <w:r>
        <w:t>Le</w:t>
      </w:r>
      <w:r>
        <w:t>t it be granted to us, oh Indra, to be your companions forever, we who greatly strengthen you with devotion, conqueror; in the clash, with your protection, let those</w:t>
      </w:r>
      <w:r>
        <w:rPr>
          <w:rStyle w:val="FootnoteAnchor"/>
        </w:rPr>
        <w:footnoteReference w:id="448"/>
      </w:r>
      <w:r>
        <w:t xml:space="preserve"> </w:t>
      </w:r>
      <w:r>
        <w:rPr>
          <w:u w:val="single"/>
        </w:rPr>
        <w:t>appropriate</w:t>
      </w:r>
      <w:r>
        <w:t xml:space="preserve"> the attack of the foreigner</w:t>
      </w:r>
      <w:r>
        <w:rPr>
          <w:rStyle w:val="FootnoteAnchor"/>
        </w:rPr>
        <w:footnoteReference w:id="449"/>
      </w:r>
      <w:r>
        <w:t>, the strength of those</w:t>
      </w:r>
      <w:r>
        <w:rPr>
          <w:u w:val="single"/>
        </w:rPr>
        <w:t xml:space="preserve"> who wish to appropriate </w:t>
      </w:r>
      <w:r>
        <w:t>them.</w:t>
      </w:r>
    </w:p>
    <w:p w14:paraId="73CEDD03" w14:textId="77777777" w:rsidR="00E53EB6" w:rsidRPr="00494885" w:rsidRDefault="006500F5">
      <w:pPr>
        <w:pStyle w:val="Zitat"/>
        <w:rPr>
          <w:lang w:val="de-DE"/>
        </w:rPr>
      </w:pPr>
      <w:r w:rsidRPr="00494885">
        <w:rPr>
          <w:rStyle w:val="CarattereCarattere"/>
          <w:rFonts w:ascii="Sabon Unicode" w:hAnsi="Sabon Unicode" w:cs="Times Ext Roman;Times New Roman"/>
          <w:b w:val="0"/>
          <w:bCs w:val="0"/>
          <w:i/>
          <w:iCs/>
          <w:sz w:val="18"/>
          <w:szCs w:val="18"/>
          <w:lang w:val="de-DE"/>
        </w:rPr>
        <w:t>vanvántu</w:t>
      </w:r>
      <w:r w:rsidRPr="00494885">
        <w:rPr>
          <w:rStyle w:val="CarattereCarattere"/>
          <w:rFonts w:ascii="Sabon Unicode" w:hAnsi="Sabon Unicode" w:cs="Times Ext Roman;Times New Roman"/>
          <w:sz w:val="18"/>
          <w:szCs w:val="18"/>
          <w:lang w:val="de-DE"/>
        </w:rPr>
        <w:t>:</w:t>
      </w:r>
      <w:r w:rsidRPr="00494885">
        <w:rPr>
          <w:lang w:val="de-DE"/>
        </w:rPr>
        <w:t xml:space="preserve"> imperative present 3</w:t>
      </w:r>
      <w:r w:rsidRPr="00494885">
        <w:rPr>
          <w:vertAlign w:val="superscript"/>
          <w:lang w:val="de-DE"/>
        </w:rPr>
        <w:t>rd</w:t>
      </w:r>
      <w:r w:rsidRPr="00494885">
        <w:rPr>
          <w:lang w:val="de-DE"/>
        </w:rPr>
        <w:t xml:space="preserve"> pl., VIII cl.</w:t>
      </w:r>
    </w:p>
    <w:p w14:paraId="6201C282" w14:textId="77777777" w:rsidR="00E53EB6" w:rsidRPr="00494885" w:rsidRDefault="006500F5">
      <w:pPr>
        <w:pStyle w:val="ZitatmitEinzug"/>
        <w:rPr>
          <w:lang w:val="de-DE"/>
        </w:rPr>
      </w:pPr>
      <w:r w:rsidRPr="00494885">
        <w:rPr>
          <w:smallCaps/>
          <w:lang w:val="de-DE"/>
        </w:rPr>
        <w:t>Geldner:</w:t>
      </w:r>
      <w:r w:rsidRPr="00494885">
        <w:rPr>
          <w:lang w:val="de-DE"/>
        </w:rPr>
        <w:t xml:space="preserve"> II 201-2 </w:t>
      </w:r>
      <w:r w:rsidRPr="00494885">
        <w:rPr>
          <w:lang w:val="de-DE"/>
        </w:rPr>
        <w:t>“sollen überwinden”</w:t>
      </w:r>
    </w:p>
    <w:p w14:paraId="788FF055" w14:textId="77777777" w:rsidR="00E53EB6" w:rsidRDefault="006500F5">
      <w:pPr>
        <w:pStyle w:val="Zitat"/>
      </w:pPr>
      <w:r>
        <w:rPr>
          <w:rStyle w:val="CarattereCarattere"/>
          <w:rFonts w:ascii="Sabon Unicode" w:hAnsi="Sabon Unicode" w:cs="Times Ext Roman;Times New Roman"/>
          <w:b w:val="0"/>
          <w:bCs w:val="0"/>
          <w:i/>
          <w:iCs/>
          <w:sz w:val="18"/>
          <w:szCs w:val="18"/>
          <w:lang w:val="en-GB"/>
        </w:rPr>
        <w:t>vanú</w:t>
      </w:r>
      <w:r>
        <w:rPr>
          <w:rStyle w:val="CarattereCarattere"/>
          <w:rFonts w:ascii="Sabon Unicode" w:hAnsi="Sabon Unicode" w:cs="Times Ext Roman;Times New Roman"/>
          <w:b w:val="0"/>
          <w:bCs w:val="0"/>
          <w:i/>
          <w:iCs/>
          <w:sz w:val="18"/>
          <w:szCs w:val="18"/>
          <w:lang w:val="en-GB"/>
        </w:rPr>
        <w:t>ṣ</w:t>
      </w:r>
      <w:r>
        <w:rPr>
          <w:rStyle w:val="CarattereCarattere"/>
          <w:rFonts w:ascii="Sabon Unicode" w:hAnsi="Sabon Unicode" w:cs="Times Ext Roman;Times New Roman"/>
          <w:b w:val="0"/>
          <w:bCs w:val="0"/>
          <w:i/>
          <w:iCs/>
          <w:sz w:val="18"/>
          <w:szCs w:val="18"/>
          <w:lang w:val="en-GB"/>
        </w:rPr>
        <w:t>ām</w:t>
      </w:r>
      <w:r>
        <w:rPr>
          <w:rStyle w:val="CarattereCarattere"/>
          <w:rFonts w:ascii="Sabon Unicode" w:hAnsi="Sabon Unicode" w:cs="Times Ext Roman;Times New Roman"/>
          <w:sz w:val="18"/>
          <w:szCs w:val="18"/>
          <w:lang w:val="en-GB"/>
        </w:rPr>
        <w:t>:</w:t>
      </w:r>
      <w:r>
        <w:t xml:space="preserve"> genitive masculine plural, from </w:t>
      </w:r>
      <w:r>
        <w:rPr>
          <w:i/>
        </w:rPr>
        <w:t>vanús-</w:t>
      </w:r>
      <w:r>
        <w:t xml:space="preserve"> </w:t>
      </w:r>
    </w:p>
    <w:p w14:paraId="4503D76D" w14:textId="77777777" w:rsidR="00E53EB6" w:rsidRDefault="006500F5">
      <w:pPr>
        <w:pStyle w:val="ZitatmitEinzug"/>
      </w:pPr>
      <w:r>
        <w:rPr>
          <w:smallCaps/>
        </w:rPr>
        <w:t>Geldner:</w:t>
      </w:r>
      <w:r>
        <w:t xml:space="preserve"> II 201-2</w:t>
      </w:r>
      <w:r>
        <w:rPr>
          <w:i/>
        </w:rPr>
        <w:t xml:space="preserve"> </w:t>
      </w:r>
      <w:r>
        <w:t>“Neider”</w:t>
      </w:r>
    </w:p>
    <w:p w14:paraId="3F6C55D3" w14:textId="77777777" w:rsidR="00E53EB6" w:rsidRDefault="00E53EB6">
      <w:pPr>
        <w:pStyle w:val="ZitatmitEinzug"/>
        <w:rPr>
          <w:szCs w:val="18"/>
        </w:rPr>
      </w:pPr>
    </w:p>
    <w:p w14:paraId="3A2568B4" w14:textId="77777777" w:rsidR="00E53EB6" w:rsidRDefault="006500F5">
      <w:pPr>
        <w:pStyle w:val="Zitat"/>
      </w:pPr>
      <w:r>
        <w:t>7.83.5</w:t>
      </w:r>
      <w:r>
        <w:rPr>
          <w:i/>
          <w:iCs/>
        </w:rPr>
        <w:t xml:space="preserve"> índrāvaru</w:t>
      </w:r>
      <w:r>
        <w:rPr>
          <w:i/>
          <w:iCs/>
        </w:rPr>
        <w:t>ṇ</w:t>
      </w:r>
      <w:r>
        <w:rPr>
          <w:i/>
          <w:iCs/>
        </w:rPr>
        <w:t>āv abhí ā́ tapanti mā</w:t>
      </w:r>
    </w:p>
    <w:p w14:paraId="482E8E31" w14:textId="77777777" w:rsidR="00E53EB6" w:rsidRDefault="006500F5">
      <w:pPr>
        <w:pStyle w:val="ZitatnachZitat"/>
        <w:rPr>
          <w:i/>
          <w:iCs/>
        </w:rPr>
      </w:pPr>
      <w:r>
        <w:rPr>
          <w:i/>
          <w:iCs/>
        </w:rPr>
        <w:lastRenderedPageBreak/>
        <w:t>aghā́ni aryó vanú</w:t>
      </w:r>
      <w:r>
        <w:rPr>
          <w:i/>
          <w:iCs/>
        </w:rPr>
        <w:t>ṣ</w:t>
      </w:r>
      <w:r>
        <w:rPr>
          <w:i/>
          <w:iCs/>
        </w:rPr>
        <w:t>ām árā</w:t>
      </w:r>
      <w:r>
        <w:rPr>
          <w:i/>
          <w:iCs/>
        </w:rPr>
        <w:t>taya</w:t>
      </w:r>
      <w:r>
        <w:rPr>
          <w:i/>
          <w:iCs/>
        </w:rPr>
        <w:t>ḥ</w:t>
      </w:r>
    </w:p>
    <w:p w14:paraId="3D11CE9C" w14:textId="77777777" w:rsidR="00E53EB6" w:rsidRDefault="006500F5">
      <w:pPr>
        <w:pStyle w:val="ZitatnachZitat"/>
        <w:rPr>
          <w:i/>
          <w:iCs/>
        </w:rPr>
      </w:pPr>
      <w:r>
        <w:rPr>
          <w:i/>
          <w:iCs/>
        </w:rPr>
        <w:t>yuvá</w:t>
      </w:r>
      <w:r>
        <w:rPr>
          <w:i/>
          <w:iCs/>
        </w:rPr>
        <w:t>ṃ</w:t>
      </w:r>
      <w:r>
        <w:rPr>
          <w:i/>
          <w:iCs/>
        </w:rPr>
        <w:t xml:space="preserve"> hí vásva ubháyasya rā́jatho</w:t>
      </w:r>
    </w:p>
    <w:p w14:paraId="6F300438" w14:textId="77777777" w:rsidR="00E53EB6" w:rsidRPr="00494885" w:rsidRDefault="006500F5">
      <w:pPr>
        <w:pStyle w:val="ZitatnachZitat"/>
        <w:rPr>
          <w:i/>
          <w:iCs/>
          <w:lang w:val="it-IT"/>
        </w:rPr>
      </w:pPr>
      <w:r w:rsidRPr="00494885">
        <w:rPr>
          <w:i/>
          <w:iCs/>
          <w:lang w:val="it-IT"/>
        </w:rPr>
        <w:t>ádha smā no avatam pā́r</w:t>
      </w:r>
      <w:r w:rsidRPr="00494885">
        <w:rPr>
          <w:i/>
          <w:iCs/>
          <w:vertAlign w:val="subscript"/>
          <w:lang w:val="it-IT"/>
        </w:rPr>
        <w:t>i</w:t>
      </w:r>
      <w:r w:rsidRPr="00494885">
        <w:rPr>
          <w:i/>
          <w:iCs/>
          <w:lang w:val="it-IT"/>
        </w:rPr>
        <w:t>ye diví</w:t>
      </w:r>
    </w:p>
    <w:p w14:paraId="201ED879" w14:textId="77777777" w:rsidR="00E53EB6" w:rsidRDefault="006500F5">
      <w:pPr>
        <w:pStyle w:val="Zitat"/>
      </w:pPr>
      <w:r>
        <w:t>Oh Indra and Varuna, the foreigner’s evil acts are rekindled</w:t>
      </w:r>
      <w:r>
        <w:rPr>
          <w:rStyle w:val="FootnoteAnchor"/>
        </w:rPr>
        <w:footnoteReference w:id="450"/>
      </w:r>
      <w:r>
        <w:t xml:space="preserve">, the evil intentions of </w:t>
      </w:r>
      <w:r>
        <w:rPr>
          <w:u w:val="single"/>
        </w:rPr>
        <w:t>those wishing to appropriate</w:t>
      </w:r>
      <w:r>
        <w:t xml:space="preserve"> us; you two rule both the realms</w:t>
      </w:r>
      <w:r>
        <w:rPr>
          <w:rStyle w:val="FootnoteAnchor"/>
        </w:rPr>
        <w:footnoteReference w:id="451"/>
      </w:r>
      <w:r>
        <w:t xml:space="preserve">, so, truly, grant us your </w:t>
      </w:r>
      <w:r>
        <w:t>favour, it being the decisive day.</w:t>
      </w:r>
    </w:p>
    <w:p w14:paraId="5A6364CF" w14:textId="77777777" w:rsidR="00E53EB6" w:rsidRDefault="006500F5">
      <w:pPr>
        <w:pStyle w:val="Zitat"/>
      </w:pPr>
      <w:r>
        <w:rPr>
          <w:rStyle w:val="CarattereCarattere"/>
          <w:rFonts w:ascii="Sabon Unicode" w:hAnsi="Sabon Unicode" w:cs="Times Ext Roman;Times New Roman"/>
          <w:b w:val="0"/>
          <w:bCs w:val="0"/>
          <w:i/>
          <w:iCs/>
          <w:sz w:val="18"/>
          <w:szCs w:val="18"/>
          <w:lang w:val="en-GB"/>
        </w:rPr>
        <w:t>vanú</w:t>
      </w:r>
      <w:r>
        <w:rPr>
          <w:rStyle w:val="CarattereCarattere"/>
          <w:rFonts w:ascii="Sabon Unicode" w:hAnsi="Sabon Unicode" w:cs="Times Ext Roman;Times New Roman"/>
          <w:b w:val="0"/>
          <w:bCs w:val="0"/>
          <w:i/>
          <w:iCs/>
          <w:sz w:val="18"/>
          <w:szCs w:val="18"/>
          <w:lang w:val="en-GB"/>
        </w:rPr>
        <w:t>ṣ</w:t>
      </w:r>
      <w:r>
        <w:rPr>
          <w:rStyle w:val="CarattereCarattere"/>
          <w:rFonts w:ascii="Sabon Unicode" w:hAnsi="Sabon Unicode" w:cs="Times Ext Roman;Times New Roman"/>
          <w:b w:val="0"/>
          <w:bCs w:val="0"/>
          <w:i/>
          <w:iCs/>
          <w:sz w:val="18"/>
          <w:szCs w:val="18"/>
          <w:lang w:val="en-GB"/>
        </w:rPr>
        <w:t>ām</w:t>
      </w:r>
      <w:r>
        <w:rPr>
          <w:rStyle w:val="CarattereCarattere"/>
          <w:rFonts w:ascii="Sabon Unicode" w:hAnsi="Sabon Unicode" w:cs="Times Ext Roman;Times New Roman"/>
          <w:sz w:val="18"/>
          <w:szCs w:val="18"/>
          <w:lang w:val="en-GB"/>
        </w:rPr>
        <w:t>:</w:t>
      </w:r>
      <w:r>
        <w:t xml:space="preserve"> genitive masculine plural, from </w:t>
      </w:r>
      <w:r>
        <w:rPr>
          <w:i/>
        </w:rPr>
        <w:t>vanús-</w:t>
      </w:r>
    </w:p>
    <w:p w14:paraId="321F44A6" w14:textId="77777777" w:rsidR="00E53EB6" w:rsidRPr="00494885" w:rsidRDefault="006500F5">
      <w:pPr>
        <w:pStyle w:val="ZitatmitEinzug"/>
        <w:rPr>
          <w:lang w:val="de-DE"/>
        </w:rPr>
      </w:pPr>
      <w:r w:rsidRPr="00494885">
        <w:rPr>
          <w:smallCaps/>
          <w:lang w:val="de-DE"/>
        </w:rPr>
        <w:t>Geldner:</w:t>
      </w:r>
      <w:r w:rsidRPr="00494885">
        <w:rPr>
          <w:lang w:val="de-DE"/>
        </w:rPr>
        <w:t xml:space="preserve"> II 255 “</w:t>
      </w:r>
      <w:r w:rsidRPr="00494885">
        <w:rPr>
          <w:lang w:val="de-DE"/>
        </w:rPr>
        <w:t>Neider”</w:t>
      </w:r>
    </w:p>
    <w:p w14:paraId="749959E9" w14:textId="77777777" w:rsidR="00E53EB6" w:rsidRPr="00494885" w:rsidRDefault="006500F5">
      <w:pPr>
        <w:pStyle w:val="ZitatmitEinzug"/>
        <w:rPr>
          <w:lang w:val="de-DE"/>
        </w:rPr>
      </w:pPr>
      <w:r w:rsidRPr="00494885">
        <w:rPr>
          <w:smallCaps/>
          <w:lang w:val="de-DE"/>
        </w:rPr>
        <w:t>Renou:</w:t>
      </w:r>
      <w:r w:rsidRPr="00494885">
        <w:rPr>
          <w:lang w:val="de-DE"/>
        </w:rPr>
        <w:t xml:space="preserve"> V 100  “envieux”</w:t>
      </w:r>
    </w:p>
    <w:p w14:paraId="3A1B3608" w14:textId="77777777" w:rsidR="00E53EB6" w:rsidRDefault="006500F5">
      <w:pPr>
        <w:pStyle w:val="HaupttextnachZitat"/>
      </w:pPr>
      <w:r>
        <w:t xml:space="preserve">In these two cases in particular we find the last two </w:t>
      </w:r>
      <w:r>
        <w:rPr>
          <w:i/>
        </w:rPr>
        <w:t>pāda</w:t>
      </w:r>
      <w:r>
        <w:t>s</w:t>
      </w:r>
      <w:r>
        <w:t>, practically as if a formula, repeated identically in both stanz</w:t>
      </w:r>
      <w:r>
        <w:t>as.</w:t>
      </w:r>
    </w:p>
    <w:p w14:paraId="40F4AA72" w14:textId="77777777" w:rsidR="00E53EB6" w:rsidRDefault="006500F5">
      <w:pPr>
        <w:pStyle w:val="Zitat"/>
      </w:pPr>
      <w:r>
        <w:t>4.50.11</w:t>
      </w:r>
      <w:r>
        <w:rPr>
          <w:i/>
          <w:iCs/>
        </w:rPr>
        <w:t xml:space="preserve"> bŕ̥haspata indara várdhata</w:t>
      </w:r>
      <w:r>
        <w:rPr>
          <w:i/>
          <w:iCs/>
        </w:rPr>
        <w:t>ṃ</w:t>
      </w:r>
      <w:r>
        <w:rPr>
          <w:i/>
          <w:iCs/>
        </w:rPr>
        <w:t xml:space="preserve"> na</w:t>
      </w:r>
      <w:r>
        <w:rPr>
          <w:i/>
          <w:iCs/>
        </w:rPr>
        <w:t>ḥ</w:t>
      </w:r>
    </w:p>
    <w:p w14:paraId="053BB394" w14:textId="77777777" w:rsidR="00E53EB6" w:rsidRDefault="006500F5">
      <w:pPr>
        <w:pStyle w:val="ZitatnachZitat"/>
        <w:rPr>
          <w:i/>
          <w:iCs/>
        </w:rPr>
      </w:pPr>
      <w:r>
        <w:rPr>
          <w:i/>
          <w:iCs/>
        </w:rPr>
        <w:t>sácā sā́ vā</w:t>
      </w:r>
      <w:r>
        <w:rPr>
          <w:i/>
          <w:iCs/>
        </w:rPr>
        <w:t>ṃ</w:t>
      </w:r>
      <w:r>
        <w:rPr>
          <w:i/>
          <w:iCs/>
        </w:rPr>
        <w:t xml:space="preserve"> sumatír bhūtu asmé</w:t>
      </w:r>
    </w:p>
    <w:p w14:paraId="5E64F846" w14:textId="77777777" w:rsidR="00E53EB6" w:rsidRDefault="006500F5">
      <w:pPr>
        <w:pStyle w:val="ZitatnachZitat"/>
        <w:rPr>
          <w:i/>
          <w:iCs/>
        </w:rPr>
      </w:pPr>
      <w:r>
        <w:rPr>
          <w:i/>
          <w:iCs/>
        </w:rPr>
        <w:t>avi</w:t>
      </w:r>
      <w:r>
        <w:rPr>
          <w:i/>
          <w:iCs/>
        </w:rPr>
        <w:t>ṣṭ</w:t>
      </w:r>
      <w:r>
        <w:rPr>
          <w:i/>
          <w:iCs/>
        </w:rPr>
        <w:t>á</w:t>
      </w:r>
      <w:r>
        <w:rPr>
          <w:i/>
          <w:iCs/>
        </w:rPr>
        <w:t>ṃ</w:t>
      </w:r>
      <w:r>
        <w:rPr>
          <w:i/>
          <w:iCs/>
        </w:rPr>
        <w:t xml:space="preserve"> dhíyo jigr̥tám púra</w:t>
      </w:r>
      <w:r>
        <w:rPr>
          <w:i/>
          <w:iCs/>
        </w:rPr>
        <w:t>ṃ</w:t>
      </w:r>
      <w:r>
        <w:rPr>
          <w:i/>
          <w:iCs/>
        </w:rPr>
        <w:t>dhīr</w:t>
      </w:r>
    </w:p>
    <w:p w14:paraId="62958885" w14:textId="77777777" w:rsidR="00E53EB6" w:rsidRDefault="006500F5">
      <w:pPr>
        <w:pStyle w:val="ZitatnachZitat"/>
        <w:rPr>
          <w:i/>
          <w:iCs/>
        </w:rPr>
      </w:pPr>
      <w:r>
        <w:rPr>
          <w:i/>
          <w:iCs/>
        </w:rPr>
        <w:t>jajastám aryó vanú</w:t>
      </w:r>
      <w:r>
        <w:rPr>
          <w:i/>
          <w:iCs/>
        </w:rPr>
        <w:t>ṣ</w:t>
      </w:r>
      <w:r>
        <w:rPr>
          <w:i/>
          <w:iCs/>
        </w:rPr>
        <w:t>ām árātī</w:t>
      </w:r>
      <w:r>
        <w:rPr>
          <w:i/>
          <w:iCs/>
        </w:rPr>
        <w:t>ḥ</w:t>
      </w:r>
    </w:p>
    <w:p w14:paraId="1DA33028" w14:textId="77777777" w:rsidR="00E53EB6" w:rsidRDefault="006500F5">
      <w:pPr>
        <w:pStyle w:val="Zitat"/>
      </w:pPr>
      <w:r>
        <w:t xml:space="preserve">Oh Br̥haspati, oh Indra, let us prosper together, let this benevolence of yours be in us, protect the sights, </w:t>
      </w:r>
      <w:r>
        <w:t>reawaken abundance</w:t>
      </w:r>
      <w:r>
        <w:rPr>
          <w:rStyle w:val="FootnoteAnchor"/>
        </w:rPr>
        <w:footnoteReference w:id="452"/>
      </w:r>
      <w:r>
        <w:t>, wear down the foreigner's evil intentions</w:t>
      </w:r>
      <w:r>
        <w:rPr>
          <w:rStyle w:val="FootnoteAnchor"/>
        </w:rPr>
        <w:footnoteReference w:id="453"/>
      </w:r>
      <w:r>
        <w:t>, of those</w:t>
      </w:r>
      <w:r>
        <w:rPr>
          <w:u w:val="single"/>
        </w:rPr>
        <w:t xml:space="preserve"> who wish to appropriate</w:t>
      </w:r>
      <w:r>
        <w:t xml:space="preserve"> us.</w:t>
      </w:r>
    </w:p>
    <w:p w14:paraId="187B4035" w14:textId="77777777" w:rsidR="00E53EB6" w:rsidRDefault="006500F5">
      <w:pPr>
        <w:pStyle w:val="Zitat"/>
      </w:pPr>
      <w:r>
        <w:rPr>
          <w:rStyle w:val="CarattereCarattere"/>
          <w:rFonts w:ascii="Sabon Unicode" w:hAnsi="Sabon Unicode" w:cs="Times Ext Roman;Times New Roman"/>
          <w:b w:val="0"/>
          <w:bCs w:val="0"/>
          <w:i/>
          <w:iCs/>
          <w:sz w:val="18"/>
          <w:szCs w:val="18"/>
          <w:lang w:val="en-GB"/>
        </w:rPr>
        <w:t>vanú</w:t>
      </w:r>
      <w:r>
        <w:rPr>
          <w:rStyle w:val="CarattereCarattere"/>
          <w:rFonts w:ascii="Sabon Unicode" w:hAnsi="Sabon Unicode" w:cs="Times Ext Roman;Times New Roman"/>
          <w:b w:val="0"/>
          <w:bCs w:val="0"/>
          <w:i/>
          <w:iCs/>
          <w:sz w:val="18"/>
          <w:szCs w:val="18"/>
          <w:lang w:val="en-GB"/>
        </w:rPr>
        <w:t>ṣ</w:t>
      </w:r>
      <w:r>
        <w:rPr>
          <w:rStyle w:val="CarattereCarattere"/>
          <w:rFonts w:ascii="Sabon Unicode" w:hAnsi="Sabon Unicode" w:cs="Times Ext Roman;Times New Roman"/>
          <w:b w:val="0"/>
          <w:bCs w:val="0"/>
          <w:i/>
          <w:iCs/>
          <w:sz w:val="18"/>
          <w:szCs w:val="18"/>
          <w:lang w:val="en-GB"/>
        </w:rPr>
        <w:t>ām:</w:t>
      </w:r>
      <w:r>
        <w:t xml:space="preserve"> genitive masculine plural, from </w:t>
      </w:r>
      <w:r>
        <w:rPr>
          <w:i/>
        </w:rPr>
        <w:t>vanús-</w:t>
      </w:r>
    </w:p>
    <w:p w14:paraId="4B5AE448" w14:textId="77777777" w:rsidR="00E53EB6" w:rsidRPr="00494885" w:rsidRDefault="006500F5">
      <w:pPr>
        <w:pStyle w:val="ZitatmitEinzug"/>
        <w:rPr>
          <w:lang w:val="de-DE"/>
        </w:rPr>
      </w:pPr>
      <w:r w:rsidRPr="00494885">
        <w:rPr>
          <w:smallCaps/>
          <w:lang w:val="de-DE"/>
        </w:rPr>
        <w:t>Geldner:</w:t>
      </w:r>
      <w:r w:rsidRPr="00494885">
        <w:rPr>
          <w:lang w:val="de-DE"/>
        </w:rPr>
        <w:t xml:space="preserve"> I 481 “</w:t>
      </w:r>
      <w:r w:rsidRPr="00494885">
        <w:rPr>
          <w:lang w:val="de-DE"/>
        </w:rPr>
        <w:t>Eifersüchtigen”</w:t>
      </w:r>
    </w:p>
    <w:p w14:paraId="78F46C61" w14:textId="77777777" w:rsidR="00E53EB6" w:rsidRPr="00494885" w:rsidRDefault="006500F5">
      <w:pPr>
        <w:pStyle w:val="ZitatmitEinzug"/>
        <w:rPr>
          <w:lang w:val="de-DE"/>
        </w:rPr>
      </w:pPr>
      <w:r w:rsidRPr="00494885">
        <w:rPr>
          <w:smallCaps/>
          <w:lang w:val="de-DE"/>
        </w:rPr>
        <w:t>Renou:</w:t>
      </w:r>
      <w:r w:rsidRPr="00494885">
        <w:rPr>
          <w:lang w:val="de-DE"/>
        </w:rPr>
        <w:t xml:space="preserve"> XV 65  “des envieux”</w:t>
      </w:r>
    </w:p>
    <w:p w14:paraId="53EEB75A" w14:textId="77777777" w:rsidR="00E53EB6" w:rsidRPr="00494885" w:rsidRDefault="006500F5">
      <w:pPr>
        <w:pStyle w:val="ZitatmitEinzug"/>
        <w:rPr>
          <w:lang w:val="it-IT"/>
        </w:rPr>
      </w:pPr>
      <w:r w:rsidRPr="00494885">
        <w:rPr>
          <w:smallCaps/>
          <w:lang w:val="it-IT"/>
        </w:rPr>
        <w:t>Sani</w:t>
      </w:r>
      <w:r w:rsidRPr="00494885">
        <w:rPr>
          <w:lang w:val="it-IT"/>
        </w:rPr>
        <w:t xml:space="preserve"> 2000: 89 “i rivali” </w:t>
      </w:r>
    </w:p>
    <w:p w14:paraId="07FCEA1D" w14:textId="77777777" w:rsidR="00E53EB6" w:rsidRPr="00494885" w:rsidRDefault="00E53EB6">
      <w:pPr>
        <w:pStyle w:val="ZitatmitEinzug"/>
        <w:rPr>
          <w:szCs w:val="18"/>
          <w:lang w:val="it-IT"/>
        </w:rPr>
      </w:pPr>
    </w:p>
    <w:p w14:paraId="0CAE1C07" w14:textId="77777777" w:rsidR="00E53EB6" w:rsidRPr="00494885" w:rsidRDefault="006500F5">
      <w:pPr>
        <w:pStyle w:val="Zitat"/>
        <w:rPr>
          <w:lang w:val="it-IT"/>
        </w:rPr>
      </w:pPr>
      <w:r w:rsidRPr="00494885">
        <w:rPr>
          <w:lang w:val="it-IT"/>
        </w:rPr>
        <w:t>7.97.9</w:t>
      </w:r>
      <w:r w:rsidRPr="00494885">
        <w:rPr>
          <w:i/>
          <w:iCs/>
          <w:lang w:val="it-IT"/>
        </w:rPr>
        <w:t xml:space="preserve"> iyá</w:t>
      </w:r>
      <w:r w:rsidRPr="00494885">
        <w:rPr>
          <w:i/>
          <w:iCs/>
          <w:lang w:val="it-IT"/>
        </w:rPr>
        <w:t>ṃ</w:t>
      </w:r>
      <w:r w:rsidRPr="00494885">
        <w:rPr>
          <w:i/>
          <w:iCs/>
          <w:lang w:val="it-IT"/>
        </w:rPr>
        <w:t xml:space="preserve"> vām brahma</w:t>
      </w:r>
      <w:r w:rsidRPr="00494885">
        <w:rPr>
          <w:i/>
          <w:iCs/>
          <w:lang w:val="it-IT"/>
        </w:rPr>
        <w:t>ṇ</w:t>
      </w:r>
      <w:r w:rsidRPr="00494885">
        <w:rPr>
          <w:i/>
          <w:iCs/>
          <w:lang w:val="it-IT"/>
        </w:rPr>
        <w:t>as pate suvr̥ktír</w:t>
      </w:r>
    </w:p>
    <w:p w14:paraId="0E75E295" w14:textId="77777777" w:rsidR="00E53EB6" w:rsidRPr="00494885" w:rsidRDefault="006500F5">
      <w:pPr>
        <w:pStyle w:val="ZitatnachZitat"/>
        <w:rPr>
          <w:i/>
          <w:iCs/>
          <w:lang w:val="it-IT"/>
        </w:rPr>
      </w:pPr>
      <w:r w:rsidRPr="00494885">
        <w:rPr>
          <w:i/>
          <w:iCs/>
          <w:lang w:val="it-IT"/>
        </w:rPr>
        <w:t>bráhma índrāya vajrí</w:t>
      </w:r>
      <w:r w:rsidRPr="00494885">
        <w:rPr>
          <w:i/>
          <w:iCs/>
          <w:lang w:val="it-IT"/>
        </w:rPr>
        <w:t>ṇ</w:t>
      </w:r>
      <w:r w:rsidRPr="00494885">
        <w:rPr>
          <w:i/>
          <w:iCs/>
          <w:lang w:val="it-IT"/>
        </w:rPr>
        <w:t>e akāri</w:t>
      </w:r>
    </w:p>
    <w:p w14:paraId="5B821DC8" w14:textId="77777777" w:rsidR="00E53EB6" w:rsidRPr="00494885" w:rsidRDefault="006500F5">
      <w:pPr>
        <w:pStyle w:val="ZitatnachZitat"/>
        <w:rPr>
          <w:i/>
          <w:iCs/>
          <w:lang w:val="it-IT"/>
        </w:rPr>
      </w:pPr>
      <w:r w:rsidRPr="00494885">
        <w:rPr>
          <w:i/>
          <w:iCs/>
          <w:lang w:val="it-IT"/>
        </w:rPr>
        <w:t>avi</w:t>
      </w:r>
      <w:r w:rsidRPr="00494885">
        <w:rPr>
          <w:i/>
          <w:iCs/>
          <w:lang w:val="it-IT"/>
        </w:rPr>
        <w:t>ṣṭ</w:t>
      </w:r>
      <w:r w:rsidRPr="00494885">
        <w:rPr>
          <w:i/>
          <w:iCs/>
          <w:lang w:val="it-IT"/>
        </w:rPr>
        <w:t>á</w:t>
      </w:r>
      <w:r w:rsidRPr="00494885">
        <w:rPr>
          <w:i/>
          <w:iCs/>
          <w:lang w:val="it-IT"/>
        </w:rPr>
        <w:t>ṃ</w:t>
      </w:r>
      <w:r w:rsidRPr="00494885">
        <w:rPr>
          <w:i/>
          <w:iCs/>
          <w:lang w:val="it-IT"/>
        </w:rPr>
        <w:t xml:space="preserve"> dhíyo jigr̥tám púra</w:t>
      </w:r>
      <w:r w:rsidRPr="00494885">
        <w:rPr>
          <w:i/>
          <w:iCs/>
          <w:lang w:val="it-IT"/>
        </w:rPr>
        <w:t>ṃ</w:t>
      </w:r>
      <w:r w:rsidRPr="00494885">
        <w:rPr>
          <w:i/>
          <w:iCs/>
          <w:lang w:val="it-IT"/>
        </w:rPr>
        <w:t>dhīr</w:t>
      </w:r>
    </w:p>
    <w:p w14:paraId="29BD6F94" w14:textId="77777777" w:rsidR="00E53EB6" w:rsidRDefault="006500F5">
      <w:pPr>
        <w:pStyle w:val="ZitatnachZitat"/>
        <w:rPr>
          <w:i/>
          <w:iCs/>
        </w:rPr>
      </w:pPr>
      <w:r>
        <w:rPr>
          <w:i/>
          <w:iCs/>
        </w:rPr>
        <w:t>jajastám aryó vanú</w:t>
      </w:r>
      <w:r>
        <w:rPr>
          <w:i/>
          <w:iCs/>
        </w:rPr>
        <w:t>ṣ</w:t>
      </w:r>
      <w:r>
        <w:rPr>
          <w:i/>
          <w:iCs/>
        </w:rPr>
        <w:t>ām árātī</w:t>
      </w:r>
      <w:r>
        <w:rPr>
          <w:i/>
          <w:iCs/>
        </w:rPr>
        <w:t>ḥ</w:t>
      </w:r>
    </w:p>
    <w:p w14:paraId="636E4626" w14:textId="77777777" w:rsidR="00E53EB6" w:rsidRDefault="006500F5">
      <w:pPr>
        <w:pStyle w:val="Zitat"/>
      </w:pPr>
      <w:r>
        <w:t>For you two, oh Br̥haspati and Indra, this fine hymn, for Indra, possessor of the thunderbolt, the sa</w:t>
      </w:r>
      <w:r>
        <w:t xml:space="preserve">cred formulation has been accomplished; protect the sights, reawaken abundance, wear down the foreigner's evil intentions, of those </w:t>
      </w:r>
      <w:r>
        <w:rPr>
          <w:u w:val="single"/>
        </w:rPr>
        <w:t>who wish to appropriate</w:t>
      </w:r>
      <w:r>
        <w:t xml:space="preserve"> us.</w:t>
      </w:r>
    </w:p>
    <w:p w14:paraId="1886014A" w14:textId="77777777" w:rsidR="00E53EB6" w:rsidRDefault="006500F5">
      <w:pPr>
        <w:pStyle w:val="Zitat"/>
      </w:pPr>
      <w:r>
        <w:rPr>
          <w:rStyle w:val="CarattereCarattere"/>
          <w:rFonts w:ascii="Sabon Unicode" w:hAnsi="Sabon Unicode" w:cs="Times Ext Roman;Times New Roman"/>
          <w:b w:val="0"/>
          <w:bCs w:val="0"/>
          <w:i/>
          <w:iCs/>
          <w:sz w:val="18"/>
          <w:szCs w:val="18"/>
          <w:lang w:val="en-GB"/>
        </w:rPr>
        <w:t>vanú</w:t>
      </w:r>
      <w:r>
        <w:rPr>
          <w:rStyle w:val="CarattereCarattere"/>
          <w:rFonts w:ascii="Sabon Unicode" w:hAnsi="Sabon Unicode" w:cs="Times Ext Roman;Times New Roman"/>
          <w:b w:val="0"/>
          <w:bCs w:val="0"/>
          <w:i/>
          <w:iCs/>
          <w:sz w:val="18"/>
          <w:szCs w:val="18"/>
          <w:lang w:val="en-GB"/>
        </w:rPr>
        <w:t>ṣ</w:t>
      </w:r>
      <w:r>
        <w:rPr>
          <w:rStyle w:val="CarattereCarattere"/>
          <w:rFonts w:ascii="Sabon Unicode" w:hAnsi="Sabon Unicode" w:cs="Times Ext Roman;Times New Roman"/>
          <w:b w:val="0"/>
          <w:bCs w:val="0"/>
          <w:i/>
          <w:iCs/>
          <w:sz w:val="18"/>
          <w:szCs w:val="18"/>
          <w:lang w:val="en-GB"/>
        </w:rPr>
        <w:t>ām</w:t>
      </w:r>
      <w:r>
        <w:rPr>
          <w:rStyle w:val="CarattereCarattere"/>
          <w:rFonts w:ascii="Sabon Unicode" w:hAnsi="Sabon Unicode" w:cs="Times Ext Roman;Times New Roman"/>
          <w:sz w:val="18"/>
          <w:szCs w:val="18"/>
          <w:lang w:val="en-GB"/>
        </w:rPr>
        <w:t>:</w:t>
      </w:r>
      <w:r>
        <w:t xml:space="preserve"> genitive masculine plural, from </w:t>
      </w:r>
      <w:r>
        <w:rPr>
          <w:i/>
        </w:rPr>
        <w:t>vanús-</w:t>
      </w:r>
    </w:p>
    <w:p w14:paraId="67EC336B" w14:textId="77777777" w:rsidR="00E53EB6" w:rsidRPr="00494885" w:rsidRDefault="006500F5">
      <w:pPr>
        <w:pStyle w:val="ZitatmitEinzug"/>
        <w:rPr>
          <w:lang w:val="de-DE"/>
        </w:rPr>
      </w:pPr>
      <w:r w:rsidRPr="00494885">
        <w:rPr>
          <w:smallCaps/>
          <w:lang w:val="de-DE"/>
        </w:rPr>
        <w:t>Geldner:</w:t>
      </w:r>
      <w:r w:rsidRPr="00494885">
        <w:rPr>
          <w:lang w:val="de-DE"/>
        </w:rPr>
        <w:t xml:space="preserve"> II 267-8 </w:t>
      </w:r>
      <w:r w:rsidRPr="00494885">
        <w:rPr>
          <w:lang w:val="de-DE"/>
        </w:rPr>
        <w:t xml:space="preserve">“Eifersüchtiger” </w:t>
      </w:r>
    </w:p>
    <w:p w14:paraId="6B7D9145" w14:textId="77777777" w:rsidR="00E53EB6" w:rsidRPr="00494885" w:rsidRDefault="006500F5">
      <w:pPr>
        <w:pStyle w:val="ZitatmitEinzug"/>
        <w:rPr>
          <w:lang w:val="de-DE"/>
        </w:rPr>
      </w:pPr>
      <w:r w:rsidRPr="00494885">
        <w:rPr>
          <w:smallCaps/>
          <w:lang w:val="de-DE"/>
        </w:rPr>
        <w:t>Renou:</w:t>
      </w:r>
      <w:r w:rsidRPr="00494885">
        <w:rPr>
          <w:lang w:val="de-DE"/>
        </w:rPr>
        <w:t xml:space="preserve"> XV 69</w:t>
      </w:r>
      <w:r w:rsidRPr="00494885">
        <w:rPr>
          <w:lang w:val="de-DE"/>
        </w:rPr>
        <w:t xml:space="preserve"> “des  envieux”</w:t>
      </w:r>
    </w:p>
    <w:p w14:paraId="4B3AF881" w14:textId="77777777" w:rsidR="00E53EB6" w:rsidRDefault="006500F5">
      <w:pPr>
        <w:pStyle w:val="HaupttextnachZitat"/>
      </w:pPr>
      <w:r>
        <w:rPr>
          <w:szCs w:val="26"/>
        </w:rPr>
        <w:t xml:space="preserve">There are, however, also various other binomials to be interpreted as the same contraposition taking on different forms: thus, for example, the syntagma </w:t>
      </w:r>
      <w:r>
        <w:rPr>
          <w:i/>
          <w:szCs w:val="26"/>
        </w:rPr>
        <w:t>jāmī́m̐r ájāmīn</w:t>
      </w:r>
      <w:r>
        <w:rPr>
          <w:szCs w:val="26"/>
        </w:rPr>
        <w:t xml:space="preserve"> “relatives and non-relatives”, which we find in </w:t>
      </w:r>
      <w:r>
        <w:rPr>
          <w:szCs w:val="26"/>
        </w:rPr>
        <w:t>6.19.8</w:t>
      </w:r>
      <w:r>
        <w:rPr>
          <w:szCs w:val="26"/>
        </w:rPr>
        <w:t>, where the deriv</w:t>
      </w:r>
      <w:r>
        <w:rPr>
          <w:szCs w:val="26"/>
        </w:rPr>
        <w:t xml:space="preserve">ative </w:t>
      </w:r>
      <w:r>
        <w:rPr>
          <w:i/>
          <w:szCs w:val="26"/>
        </w:rPr>
        <w:t>vanús</w:t>
      </w:r>
      <w:r>
        <w:rPr>
          <w:szCs w:val="26"/>
        </w:rPr>
        <w:t xml:space="preserve"> does not appear, but the verb root </w:t>
      </w:r>
      <w:r>
        <w:rPr>
          <w:i/>
          <w:szCs w:val="26"/>
        </w:rPr>
        <w:t>van- / van</w:t>
      </w:r>
      <w:r>
        <w:rPr>
          <w:i/>
          <w:szCs w:val="26"/>
          <w:vertAlign w:val="superscript"/>
        </w:rPr>
        <w:t>i</w:t>
      </w:r>
      <w:r>
        <w:rPr>
          <w:i/>
          <w:szCs w:val="26"/>
        </w:rPr>
        <w:t>-</w:t>
      </w:r>
      <w:r>
        <w:rPr>
          <w:szCs w:val="26"/>
        </w:rPr>
        <w:t xml:space="preserve"> is nevertheless there, and the plea is in fact to be able to appropriate the enemies, be they relatives are not, while we also find the same binomial together with the adjective </w:t>
      </w:r>
      <w:r>
        <w:rPr>
          <w:i/>
          <w:szCs w:val="26"/>
        </w:rPr>
        <w:t xml:space="preserve">vanús </w:t>
      </w:r>
      <w:r>
        <w:rPr>
          <w:szCs w:val="26"/>
        </w:rPr>
        <w:t xml:space="preserve">used in </w:t>
      </w:r>
      <w:r>
        <w:rPr>
          <w:szCs w:val="26"/>
        </w:rPr>
        <w:t>6.25</w:t>
      </w:r>
      <w:r>
        <w:rPr>
          <w:szCs w:val="26"/>
        </w:rPr>
        <w:t>.3</w:t>
      </w:r>
      <w:r>
        <w:rPr>
          <w:szCs w:val="26"/>
        </w:rPr>
        <w:t xml:space="preserve">. </w:t>
      </w:r>
    </w:p>
    <w:p w14:paraId="305C5132" w14:textId="77777777" w:rsidR="00E53EB6" w:rsidRDefault="006500F5">
      <w:pPr>
        <w:pStyle w:val="Zitat"/>
      </w:pPr>
      <w:r>
        <w:t xml:space="preserve">6.19.8   </w:t>
      </w:r>
      <w:r>
        <w:rPr>
          <w:i/>
          <w:iCs/>
        </w:rPr>
        <w:t>ā́ no bhara vŕ̥</w:t>
      </w:r>
      <w:r>
        <w:rPr>
          <w:i/>
          <w:iCs/>
        </w:rPr>
        <w:t>ṣ</w:t>
      </w:r>
      <w:r>
        <w:rPr>
          <w:i/>
          <w:iCs/>
        </w:rPr>
        <w:t>a</w:t>
      </w:r>
      <w:r>
        <w:rPr>
          <w:i/>
          <w:iCs/>
        </w:rPr>
        <w:t>ṇ</w:t>
      </w:r>
      <w:r>
        <w:rPr>
          <w:i/>
          <w:iCs/>
        </w:rPr>
        <w:t>a</w:t>
      </w:r>
      <w:r>
        <w:rPr>
          <w:i/>
          <w:iCs/>
        </w:rPr>
        <w:t>ṃ</w:t>
      </w:r>
      <w:r>
        <w:rPr>
          <w:i/>
          <w:iCs/>
        </w:rPr>
        <w:t xml:space="preserve"> śú</w:t>
      </w:r>
      <w:r>
        <w:rPr>
          <w:i/>
          <w:iCs/>
        </w:rPr>
        <w:t>ṣ</w:t>
      </w:r>
      <w:r>
        <w:rPr>
          <w:i/>
          <w:iCs/>
        </w:rPr>
        <w:t>mam indra</w:t>
      </w:r>
    </w:p>
    <w:p w14:paraId="60A3A6F5" w14:textId="77777777" w:rsidR="00E53EB6" w:rsidRDefault="006500F5">
      <w:pPr>
        <w:pStyle w:val="ZitatnachZitat"/>
        <w:rPr>
          <w:i/>
          <w:iCs/>
        </w:rPr>
      </w:pPr>
      <w:r>
        <w:rPr>
          <w:i/>
          <w:iCs/>
        </w:rPr>
        <w:lastRenderedPageBreak/>
        <w:t>dhanaspŕ̥ta</w:t>
      </w:r>
      <w:r>
        <w:rPr>
          <w:i/>
          <w:iCs/>
        </w:rPr>
        <w:t>ṃ</w:t>
      </w:r>
      <w:r>
        <w:rPr>
          <w:i/>
          <w:iCs/>
        </w:rPr>
        <w:t xml:space="preserve"> śūśuvā́</w:t>
      </w:r>
      <w:r>
        <w:rPr>
          <w:i/>
          <w:iCs/>
        </w:rPr>
        <w:t>ṃ</w:t>
      </w:r>
      <w:r>
        <w:rPr>
          <w:i/>
          <w:iCs/>
        </w:rPr>
        <w:t>sa</w:t>
      </w:r>
      <w:r>
        <w:rPr>
          <w:i/>
          <w:iCs/>
        </w:rPr>
        <w:t>ṃ</w:t>
      </w:r>
      <w:r>
        <w:rPr>
          <w:i/>
          <w:iCs/>
        </w:rPr>
        <w:t xml:space="preserve"> sudák</w:t>
      </w:r>
      <w:r>
        <w:rPr>
          <w:i/>
          <w:iCs/>
        </w:rPr>
        <w:t>ṣ</w:t>
      </w:r>
      <w:r>
        <w:rPr>
          <w:i/>
          <w:iCs/>
        </w:rPr>
        <w:t>am</w:t>
      </w:r>
    </w:p>
    <w:p w14:paraId="0148DCE6" w14:textId="77777777" w:rsidR="00E53EB6" w:rsidRDefault="006500F5">
      <w:pPr>
        <w:pStyle w:val="ZitatnachZitat"/>
        <w:rPr>
          <w:i/>
          <w:iCs/>
        </w:rPr>
      </w:pPr>
      <w:r>
        <w:rPr>
          <w:i/>
          <w:iCs/>
        </w:rPr>
        <w:t>yéna vá</w:t>
      </w:r>
      <w:r>
        <w:rPr>
          <w:i/>
          <w:iCs/>
        </w:rPr>
        <w:t>ṃ</w:t>
      </w:r>
      <w:r>
        <w:rPr>
          <w:i/>
          <w:iCs/>
        </w:rPr>
        <w:t>sāma pŕ̥tanāsu śátrūn</w:t>
      </w:r>
    </w:p>
    <w:p w14:paraId="634F1980" w14:textId="77777777" w:rsidR="00E53EB6" w:rsidRDefault="006500F5">
      <w:pPr>
        <w:pStyle w:val="ZitatnachZitat"/>
        <w:rPr>
          <w:i/>
          <w:iCs/>
        </w:rPr>
      </w:pPr>
      <w:r>
        <w:rPr>
          <w:i/>
          <w:iCs/>
        </w:rPr>
        <w:t>távotíbhir utá jāmī́m̐r ájāmīn</w:t>
      </w:r>
    </w:p>
    <w:p w14:paraId="6C923B4F" w14:textId="77777777" w:rsidR="00E53EB6" w:rsidRDefault="006500F5">
      <w:pPr>
        <w:pStyle w:val="Zitat"/>
      </w:pPr>
      <w:r>
        <w:t xml:space="preserve">Bring us, oh Indra, a lowing bull, which bears away the booty, well fattened and very strong, with which we </w:t>
      </w:r>
      <w:r>
        <w:rPr>
          <w:u w:val="single"/>
        </w:rPr>
        <w:t>wish to appropriate</w:t>
      </w:r>
      <w:r>
        <w:t xml:space="preserve"> with your aids in the battles the enemies, relatives and non-relatives.</w:t>
      </w:r>
    </w:p>
    <w:p w14:paraId="40FA3C03" w14:textId="77777777" w:rsidR="00E53EB6" w:rsidRDefault="006500F5">
      <w:pPr>
        <w:pStyle w:val="Zitat"/>
      </w:pPr>
      <w:r>
        <w:rPr>
          <w:rStyle w:val="CarattereCarattere"/>
          <w:rFonts w:ascii="Sabon Unicode" w:hAnsi="Sabon Unicode" w:cs="Times Ext Roman;Times New Roman"/>
          <w:b w:val="0"/>
          <w:bCs w:val="0"/>
          <w:i/>
          <w:iCs/>
          <w:sz w:val="18"/>
          <w:szCs w:val="18"/>
          <w:lang w:val="en-GB"/>
        </w:rPr>
        <w:t>vá</w:t>
      </w:r>
      <w:r>
        <w:rPr>
          <w:rStyle w:val="CarattereCarattere"/>
          <w:rFonts w:ascii="Sabon Unicode" w:hAnsi="Sabon Unicode" w:cs="Times Ext Roman;Times New Roman"/>
          <w:b w:val="0"/>
          <w:bCs w:val="0"/>
          <w:i/>
          <w:iCs/>
          <w:sz w:val="18"/>
          <w:szCs w:val="18"/>
          <w:lang w:val="en-GB"/>
        </w:rPr>
        <w:t>ṃ</w:t>
      </w:r>
      <w:r>
        <w:rPr>
          <w:rStyle w:val="CarattereCarattere"/>
          <w:rFonts w:ascii="Sabon Unicode" w:hAnsi="Sabon Unicode" w:cs="Times Ext Roman;Times New Roman"/>
          <w:b w:val="0"/>
          <w:bCs w:val="0"/>
          <w:i/>
          <w:iCs/>
          <w:sz w:val="18"/>
          <w:szCs w:val="18"/>
          <w:lang w:val="en-GB"/>
        </w:rPr>
        <w:t>sāma</w:t>
      </w:r>
      <w:r>
        <w:rPr>
          <w:rStyle w:val="CarattereCarattere"/>
          <w:rFonts w:ascii="Sabon Unicode" w:hAnsi="Sabon Unicode" w:cs="Times Ext Roman;Times New Roman"/>
          <w:sz w:val="18"/>
          <w:szCs w:val="18"/>
          <w:lang w:val="en-GB"/>
        </w:rPr>
        <w:t>:</w:t>
      </w:r>
      <w:r>
        <w:rPr>
          <w:rFonts w:eastAsia="Arial Unicode MS"/>
        </w:rPr>
        <w:t xml:space="preserve">  subjunctive aorist 1</w:t>
      </w:r>
      <w:r>
        <w:rPr>
          <w:rFonts w:eastAsia="Arial Unicode MS"/>
          <w:vertAlign w:val="superscript"/>
        </w:rPr>
        <w:t>st</w:t>
      </w:r>
      <w:r>
        <w:rPr>
          <w:rFonts w:eastAsia="Arial Unicode MS"/>
        </w:rPr>
        <w:t xml:space="preserve"> pl.</w:t>
      </w:r>
    </w:p>
    <w:p w14:paraId="5ADD11BC" w14:textId="77777777" w:rsidR="00E53EB6" w:rsidRPr="00494885" w:rsidRDefault="006500F5">
      <w:pPr>
        <w:pStyle w:val="ZitatmitEinzug"/>
        <w:rPr>
          <w:lang w:val="de-DE"/>
        </w:rPr>
      </w:pPr>
      <w:r w:rsidRPr="00494885">
        <w:rPr>
          <w:rFonts w:eastAsia="Arial Unicode MS"/>
          <w:smallCaps/>
          <w:szCs w:val="18"/>
          <w:lang w:val="de-DE"/>
        </w:rPr>
        <w:t>Geldner:</w:t>
      </w:r>
      <w:r w:rsidRPr="00494885">
        <w:rPr>
          <w:rFonts w:eastAsia="Arial Unicode MS"/>
          <w:szCs w:val="18"/>
          <w:lang w:val="de-DE"/>
        </w:rPr>
        <w:t xml:space="preserve"> II 117 “</w:t>
      </w:r>
      <w:r w:rsidRPr="00494885">
        <w:rPr>
          <w:rFonts w:eastAsia="Arial Unicode MS"/>
          <w:szCs w:val="18"/>
          <w:lang w:val="de-DE"/>
        </w:rPr>
        <w:t>kö</w:t>
      </w:r>
      <w:r w:rsidRPr="00494885">
        <w:rPr>
          <w:rFonts w:eastAsia="Arial Unicode MS"/>
          <w:szCs w:val="18"/>
          <w:lang w:val="de-DE"/>
        </w:rPr>
        <w:t>nnen überwinden”</w:t>
      </w:r>
    </w:p>
    <w:p w14:paraId="6DFE408C" w14:textId="77777777" w:rsidR="00E53EB6" w:rsidRPr="00494885" w:rsidRDefault="00E53EB6">
      <w:pPr>
        <w:pStyle w:val="ZitatmitEinzug"/>
        <w:rPr>
          <w:rFonts w:eastAsia="Arial Unicode MS"/>
          <w:szCs w:val="18"/>
          <w:lang w:val="de-DE"/>
        </w:rPr>
      </w:pPr>
    </w:p>
    <w:p w14:paraId="4DFF203D" w14:textId="77777777" w:rsidR="00E53EB6" w:rsidRPr="00494885" w:rsidRDefault="006500F5">
      <w:pPr>
        <w:pStyle w:val="Zitat"/>
        <w:rPr>
          <w:lang w:val="de-DE"/>
        </w:rPr>
      </w:pPr>
      <w:r w:rsidRPr="00494885">
        <w:rPr>
          <w:lang w:val="de-DE"/>
        </w:rPr>
        <w:t xml:space="preserve">6.25.3 </w:t>
      </w:r>
      <w:r w:rsidRPr="00494885">
        <w:rPr>
          <w:i/>
          <w:iCs/>
          <w:lang w:val="de-DE"/>
        </w:rPr>
        <w:t>índra jāmáya utá yé 'jāmayo</w:t>
      </w:r>
    </w:p>
    <w:p w14:paraId="4F8494DB" w14:textId="77777777" w:rsidR="00E53EB6" w:rsidRPr="00494885" w:rsidRDefault="006500F5">
      <w:pPr>
        <w:pStyle w:val="ZitatnachZitat"/>
        <w:rPr>
          <w:i/>
          <w:iCs/>
          <w:lang w:val="de-DE"/>
        </w:rPr>
      </w:pPr>
      <w:r w:rsidRPr="00494885">
        <w:rPr>
          <w:i/>
          <w:iCs/>
          <w:lang w:val="de-DE"/>
        </w:rPr>
        <w:t>arvācīnā́so vanú</w:t>
      </w:r>
      <w:r w:rsidRPr="00494885">
        <w:rPr>
          <w:i/>
          <w:iCs/>
          <w:lang w:val="de-DE"/>
        </w:rPr>
        <w:t>ṣ</w:t>
      </w:r>
      <w:r w:rsidRPr="00494885">
        <w:rPr>
          <w:i/>
          <w:iCs/>
          <w:lang w:val="de-DE"/>
        </w:rPr>
        <w:t>o yuyujré</w:t>
      </w:r>
    </w:p>
    <w:p w14:paraId="2C4F8773" w14:textId="77777777" w:rsidR="00E53EB6" w:rsidRPr="00494885" w:rsidRDefault="006500F5">
      <w:pPr>
        <w:pStyle w:val="ZitatnachZitat"/>
        <w:rPr>
          <w:i/>
          <w:iCs/>
          <w:lang w:val="de-DE"/>
        </w:rPr>
      </w:pPr>
      <w:r w:rsidRPr="00494885">
        <w:rPr>
          <w:i/>
          <w:iCs/>
          <w:lang w:val="de-DE"/>
        </w:rPr>
        <w:t>t</w:t>
      </w:r>
      <w:r w:rsidRPr="00494885">
        <w:rPr>
          <w:i/>
          <w:iCs/>
          <w:vertAlign w:val="subscript"/>
          <w:lang w:val="de-DE"/>
        </w:rPr>
        <w:t>u</w:t>
      </w:r>
      <w:r w:rsidRPr="00494885">
        <w:rPr>
          <w:i/>
          <w:iCs/>
          <w:lang w:val="de-DE"/>
        </w:rPr>
        <w:t>vám e</w:t>
      </w:r>
      <w:r w:rsidRPr="00494885">
        <w:rPr>
          <w:i/>
          <w:iCs/>
          <w:lang w:val="de-DE"/>
        </w:rPr>
        <w:t>ṣ</w:t>
      </w:r>
      <w:r w:rsidRPr="00494885">
        <w:rPr>
          <w:i/>
          <w:iCs/>
          <w:lang w:val="de-DE"/>
        </w:rPr>
        <w:t>ā</w:t>
      </w:r>
      <w:r w:rsidRPr="00494885">
        <w:rPr>
          <w:i/>
          <w:iCs/>
          <w:lang w:val="de-DE"/>
        </w:rPr>
        <w:t>ṃ</w:t>
      </w:r>
      <w:r w:rsidRPr="00494885">
        <w:rPr>
          <w:i/>
          <w:iCs/>
          <w:lang w:val="de-DE"/>
        </w:rPr>
        <w:t xml:space="preserve"> vithurā́ śávā</w:t>
      </w:r>
      <w:r w:rsidRPr="00494885">
        <w:rPr>
          <w:i/>
          <w:iCs/>
          <w:lang w:val="de-DE"/>
        </w:rPr>
        <w:t>ṃ</w:t>
      </w:r>
      <w:r w:rsidRPr="00494885">
        <w:rPr>
          <w:i/>
          <w:iCs/>
          <w:lang w:val="de-DE"/>
        </w:rPr>
        <w:t>si</w:t>
      </w:r>
    </w:p>
    <w:p w14:paraId="020C2438" w14:textId="77777777" w:rsidR="00E53EB6" w:rsidRDefault="006500F5">
      <w:pPr>
        <w:pStyle w:val="ZitatnachZitat"/>
        <w:rPr>
          <w:i/>
          <w:iCs/>
        </w:rPr>
      </w:pPr>
      <w:r>
        <w:rPr>
          <w:i/>
          <w:iCs/>
        </w:rPr>
        <w:t>jahí vŕ̥</w:t>
      </w:r>
      <w:r>
        <w:rPr>
          <w:i/>
          <w:iCs/>
        </w:rPr>
        <w:t>ṣṇ</w:t>
      </w:r>
      <w:r>
        <w:rPr>
          <w:i/>
          <w:iCs/>
        </w:rPr>
        <w:t>yāni kr̥</w:t>
      </w:r>
      <w:r>
        <w:rPr>
          <w:i/>
          <w:iCs/>
        </w:rPr>
        <w:t>ṇ</w:t>
      </w:r>
      <w:r>
        <w:rPr>
          <w:i/>
          <w:iCs/>
        </w:rPr>
        <w:t>uhī́ párāca</w:t>
      </w:r>
      <w:r>
        <w:rPr>
          <w:i/>
          <w:iCs/>
        </w:rPr>
        <w:t>ḥ</w:t>
      </w:r>
    </w:p>
    <w:p w14:paraId="26D618DD" w14:textId="77777777" w:rsidR="00E53EB6" w:rsidRDefault="006500F5">
      <w:pPr>
        <w:pStyle w:val="Zitat"/>
      </w:pPr>
      <w:r>
        <w:t xml:space="preserve">Oh Indra, those who, relatives or strangers, turned against, </w:t>
      </w:r>
      <w:r>
        <w:rPr>
          <w:u w:val="single"/>
        </w:rPr>
        <w:t>wishing to appropriate</w:t>
      </w:r>
      <w:r>
        <w:t xml:space="preserve"> us, have taken up arms, of these make the strength unsound, lay waste all their courage, keep them far away.</w:t>
      </w:r>
    </w:p>
    <w:p w14:paraId="7E84A9AE" w14:textId="77777777" w:rsidR="00E53EB6" w:rsidRDefault="006500F5">
      <w:pPr>
        <w:pStyle w:val="Zitat"/>
      </w:pPr>
      <w:r>
        <w:rPr>
          <w:rStyle w:val="CarattereCarattere"/>
          <w:rFonts w:ascii="Sabon Unicode" w:hAnsi="Sabon Unicode" w:cs="Times Ext Roman;Times New Roman"/>
          <w:b w:val="0"/>
          <w:bCs w:val="0"/>
          <w:i/>
          <w:iCs/>
          <w:sz w:val="18"/>
          <w:szCs w:val="18"/>
          <w:lang w:val="en-GB"/>
        </w:rPr>
        <w:t>vanú</w:t>
      </w:r>
      <w:r>
        <w:rPr>
          <w:rStyle w:val="CarattereCarattere"/>
          <w:rFonts w:ascii="Sabon Unicode" w:hAnsi="Sabon Unicode" w:cs="Times Ext Roman;Times New Roman"/>
          <w:b w:val="0"/>
          <w:bCs w:val="0"/>
          <w:i/>
          <w:iCs/>
          <w:sz w:val="18"/>
          <w:szCs w:val="18"/>
          <w:lang w:val="en-GB"/>
        </w:rPr>
        <w:t>ṣ</w:t>
      </w:r>
      <w:r>
        <w:rPr>
          <w:rStyle w:val="CarattereCarattere"/>
          <w:rFonts w:ascii="Sabon Unicode" w:hAnsi="Sabon Unicode" w:cs="Times Ext Roman;Times New Roman"/>
          <w:b w:val="0"/>
          <w:bCs w:val="0"/>
          <w:i/>
          <w:iCs/>
          <w:sz w:val="18"/>
          <w:szCs w:val="18"/>
          <w:lang w:val="en-GB"/>
        </w:rPr>
        <w:t>a</w:t>
      </w:r>
      <w:r>
        <w:rPr>
          <w:rStyle w:val="CarattereCarattere"/>
          <w:rFonts w:ascii="Sabon Unicode" w:hAnsi="Sabon Unicode" w:cs="Times Ext Roman;Times New Roman"/>
          <w:b w:val="0"/>
          <w:bCs w:val="0"/>
          <w:i/>
          <w:iCs/>
          <w:sz w:val="18"/>
          <w:szCs w:val="18"/>
          <w:lang w:val="en-GB"/>
        </w:rPr>
        <w:t>ḥ</w:t>
      </w:r>
      <w:r>
        <w:rPr>
          <w:rStyle w:val="CarattereCarattere"/>
          <w:rFonts w:ascii="Sabon Unicode" w:hAnsi="Sabon Unicode" w:cs="Times Ext Roman;Times New Roman"/>
          <w:sz w:val="18"/>
          <w:szCs w:val="18"/>
          <w:lang w:val="en-GB"/>
        </w:rPr>
        <w:t>:</w:t>
      </w:r>
      <w:r>
        <w:t xml:space="preserve"> nominative masculine plural from </w:t>
      </w:r>
      <w:r>
        <w:rPr>
          <w:i/>
        </w:rPr>
        <w:t>vanús-</w:t>
      </w:r>
    </w:p>
    <w:p w14:paraId="426E6F6C" w14:textId="77777777" w:rsidR="00E53EB6" w:rsidRDefault="006500F5">
      <w:pPr>
        <w:pStyle w:val="ZitatmitEinzug"/>
      </w:pPr>
      <w:r>
        <w:rPr>
          <w:smallCaps/>
        </w:rPr>
        <w:t>Geldner:</w:t>
      </w:r>
      <w:r>
        <w:t xml:space="preserve"> II 124 </w:t>
      </w:r>
      <w:r>
        <w:t>“Neider”</w:t>
      </w:r>
    </w:p>
    <w:p w14:paraId="21B55BC7" w14:textId="77777777" w:rsidR="00E53EB6" w:rsidRDefault="006500F5">
      <w:pPr>
        <w:pStyle w:val="HaupttextnachZitat"/>
      </w:pPr>
      <w:r>
        <w:rPr>
          <w:szCs w:val="26"/>
        </w:rPr>
        <w:t>Another form taken on by this contraposition is to be seen in the binomial near enemy-far enemy (</w:t>
      </w:r>
      <w:r>
        <w:rPr>
          <w:i/>
          <w:szCs w:val="26"/>
        </w:rPr>
        <w:t>ántaro vanu</w:t>
      </w:r>
      <w:r>
        <w:rPr>
          <w:i/>
          <w:szCs w:val="26"/>
        </w:rPr>
        <w:t>ṣ</w:t>
      </w:r>
      <w:r>
        <w:rPr>
          <w:i/>
          <w:szCs w:val="26"/>
        </w:rPr>
        <w:t>yā́t - sánutya</w:t>
      </w:r>
      <w:r>
        <w:rPr>
          <w:i/>
          <w:szCs w:val="26"/>
        </w:rPr>
        <w:t>ḥ</w:t>
      </w:r>
      <w:r>
        <w:rPr>
          <w:i/>
          <w:szCs w:val="26"/>
        </w:rPr>
        <w:t>)</w:t>
      </w:r>
      <w:r>
        <w:rPr>
          <w:szCs w:val="26"/>
        </w:rPr>
        <w:t xml:space="preserve"> as in 6.5.4.</w:t>
      </w:r>
    </w:p>
    <w:p w14:paraId="458E9717" w14:textId="77777777" w:rsidR="00E53EB6" w:rsidRDefault="006500F5">
      <w:pPr>
        <w:pStyle w:val="Zitat"/>
      </w:pPr>
      <w:r>
        <w:t xml:space="preserve">6.5.4 </w:t>
      </w:r>
      <w:r>
        <w:rPr>
          <w:i/>
          <w:iCs/>
        </w:rPr>
        <w:t>yó na</w:t>
      </w:r>
      <w:r>
        <w:rPr>
          <w:i/>
          <w:iCs/>
        </w:rPr>
        <w:t>ḥ</w:t>
      </w:r>
      <w:r>
        <w:rPr>
          <w:i/>
          <w:iCs/>
        </w:rPr>
        <w:t xml:space="preserve"> sánutyo abhidā́sad agne</w:t>
      </w:r>
    </w:p>
    <w:p w14:paraId="0A47373C" w14:textId="77777777" w:rsidR="00E53EB6" w:rsidRDefault="006500F5">
      <w:pPr>
        <w:pStyle w:val="ZitatnachZitat"/>
        <w:rPr>
          <w:i/>
          <w:iCs/>
        </w:rPr>
      </w:pPr>
      <w:r>
        <w:rPr>
          <w:i/>
          <w:iCs/>
        </w:rPr>
        <w:t>yó ántaro mitramaho vanu</w:t>
      </w:r>
      <w:r>
        <w:rPr>
          <w:i/>
          <w:iCs/>
        </w:rPr>
        <w:t>ṣ</w:t>
      </w:r>
      <w:r>
        <w:rPr>
          <w:i/>
          <w:iCs/>
        </w:rPr>
        <w:t>yā́t</w:t>
      </w:r>
    </w:p>
    <w:p w14:paraId="691E9F28" w14:textId="77777777" w:rsidR="00E53EB6" w:rsidRDefault="006500F5">
      <w:pPr>
        <w:pStyle w:val="ZitatnachZitat"/>
        <w:rPr>
          <w:i/>
          <w:iCs/>
        </w:rPr>
      </w:pPr>
      <w:r>
        <w:rPr>
          <w:i/>
          <w:iCs/>
        </w:rPr>
        <w:t>tám ajárebhir vŕ̥</w:t>
      </w:r>
      <w:r>
        <w:rPr>
          <w:i/>
          <w:iCs/>
        </w:rPr>
        <w:t>ṣ</w:t>
      </w:r>
      <w:r>
        <w:rPr>
          <w:i/>
          <w:iCs/>
        </w:rPr>
        <w:t xml:space="preserve">abhis </w:t>
      </w:r>
      <w:r>
        <w:rPr>
          <w:i/>
          <w:iCs/>
        </w:rPr>
        <w:t>táva svaís</w:t>
      </w:r>
    </w:p>
    <w:p w14:paraId="56CCC1BC" w14:textId="77777777" w:rsidR="00E53EB6" w:rsidRDefault="006500F5">
      <w:pPr>
        <w:pStyle w:val="ZitatnachZitat"/>
        <w:rPr>
          <w:i/>
          <w:iCs/>
        </w:rPr>
      </w:pPr>
      <w:r>
        <w:rPr>
          <w:i/>
          <w:iCs/>
        </w:rPr>
        <w:t>tápā tapi</w:t>
      </w:r>
      <w:r>
        <w:rPr>
          <w:i/>
          <w:iCs/>
        </w:rPr>
        <w:t>ṣṭ</w:t>
      </w:r>
      <w:r>
        <w:rPr>
          <w:i/>
          <w:iCs/>
        </w:rPr>
        <w:t>ha tápasā tápasvān</w:t>
      </w:r>
    </w:p>
    <w:p w14:paraId="08311AF9" w14:textId="77777777" w:rsidR="00E53EB6" w:rsidRDefault="006500F5">
      <w:pPr>
        <w:pStyle w:val="Zitat"/>
      </w:pPr>
      <w:r>
        <w:t xml:space="preserve">He who, far away, may attack us, oh Agni, he who, nearby, </w:t>
      </w:r>
      <w:r>
        <w:rPr>
          <w:u w:val="single"/>
        </w:rPr>
        <w:t>wants to appropriate</w:t>
      </w:r>
      <w:r>
        <w:t xml:space="preserve"> us, oh you who have the greatness of Mitra</w:t>
      </w:r>
      <w:r>
        <w:rPr>
          <w:rStyle w:val="FootnoteAnchor"/>
        </w:rPr>
        <w:footnoteReference w:id="454"/>
      </w:r>
      <w:r>
        <w:t>, with your bulls that never grow old, make him burn, O you who burn more than all, with fie</w:t>
      </w:r>
      <w:r>
        <w:t>rce heat, you have fierce heat.</w:t>
      </w:r>
    </w:p>
    <w:p w14:paraId="5EE4757B" w14:textId="77777777" w:rsidR="00E53EB6" w:rsidRDefault="006500F5">
      <w:pPr>
        <w:pStyle w:val="Zitat"/>
      </w:pPr>
      <w:r>
        <w:rPr>
          <w:rStyle w:val="CarattereCarattere"/>
          <w:rFonts w:ascii="Sabon Unicode" w:hAnsi="Sabon Unicode" w:cs="Times Ext Roman;Times New Roman"/>
          <w:b w:val="0"/>
          <w:bCs w:val="0"/>
          <w:i/>
          <w:iCs/>
          <w:sz w:val="18"/>
          <w:szCs w:val="18"/>
          <w:lang w:val="en-GB"/>
        </w:rPr>
        <w:t>vanu</w:t>
      </w:r>
      <w:r>
        <w:rPr>
          <w:rStyle w:val="CarattereCarattere"/>
          <w:rFonts w:ascii="Sabon Unicode" w:hAnsi="Sabon Unicode" w:cs="Times Ext Roman;Times New Roman"/>
          <w:b w:val="0"/>
          <w:bCs w:val="0"/>
          <w:i/>
          <w:iCs/>
          <w:sz w:val="18"/>
          <w:szCs w:val="18"/>
          <w:lang w:val="en-GB"/>
        </w:rPr>
        <w:t>ṣ</w:t>
      </w:r>
      <w:r>
        <w:rPr>
          <w:rStyle w:val="CarattereCarattere"/>
          <w:rFonts w:ascii="Sabon Unicode" w:hAnsi="Sabon Unicode" w:cs="Times Ext Roman;Times New Roman"/>
          <w:b w:val="0"/>
          <w:bCs w:val="0"/>
          <w:i/>
          <w:iCs/>
          <w:sz w:val="18"/>
          <w:szCs w:val="18"/>
          <w:lang w:val="en-GB"/>
        </w:rPr>
        <w:t>yā́t</w:t>
      </w:r>
      <w:r>
        <w:rPr>
          <w:rStyle w:val="CarattereCarattere"/>
          <w:rFonts w:ascii="Sabon Unicode" w:hAnsi="Sabon Unicode" w:cs="Times Ext Roman;Times New Roman"/>
          <w:sz w:val="18"/>
          <w:szCs w:val="18"/>
          <w:lang w:val="en-GB"/>
        </w:rPr>
        <w:t>:</w:t>
      </w:r>
      <w:r>
        <w:t xml:space="preserve"> subjunctive present 3</w:t>
      </w:r>
      <w:r>
        <w:rPr>
          <w:vertAlign w:val="superscript"/>
        </w:rPr>
        <w:t>rd</w:t>
      </w:r>
      <w:r>
        <w:t xml:space="preserve"> sing., denominative from </w:t>
      </w:r>
      <w:r>
        <w:rPr>
          <w:i/>
        </w:rPr>
        <w:t>vanús-</w:t>
      </w:r>
    </w:p>
    <w:p w14:paraId="7D7BE445" w14:textId="77777777" w:rsidR="00E53EB6" w:rsidRPr="00494885" w:rsidRDefault="006500F5">
      <w:pPr>
        <w:pStyle w:val="ZitatmitEinzug"/>
        <w:rPr>
          <w:lang w:val="de-DE"/>
        </w:rPr>
      </w:pPr>
      <w:r w:rsidRPr="00494885">
        <w:rPr>
          <w:smallCaps/>
          <w:lang w:val="de-DE"/>
        </w:rPr>
        <w:t>Geldner:</w:t>
      </w:r>
      <w:r w:rsidRPr="00494885">
        <w:rPr>
          <w:lang w:val="de-DE"/>
        </w:rPr>
        <w:t xml:space="preserve"> II 98 </w:t>
      </w:r>
      <w:r w:rsidRPr="00494885">
        <w:rPr>
          <w:lang w:val="de-DE"/>
        </w:rPr>
        <w:t>“sollte eifern”</w:t>
      </w:r>
    </w:p>
    <w:p w14:paraId="14F11D2F" w14:textId="77777777" w:rsidR="00E53EB6" w:rsidRPr="00494885" w:rsidRDefault="006500F5">
      <w:pPr>
        <w:pStyle w:val="ZitatmitEinzug"/>
        <w:rPr>
          <w:lang w:val="de-DE"/>
        </w:rPr>
      </w:pPr>
      <w:r w:rsidRPr="00494885">
        <w:rPr>
          <w:smallCaps/>
          <w:lang w:val="de-DE"/>
        </w:rPr>
        <w:t xml:space="preserve">Renou: </w:t>
      </w:r>
      <w:r w:rsidRPr="00494885">
        <w:rPr>
          <w:lang w:val="de-DE"/>
        </w:rPr>
        <w:t>XIII 40 “jalouse”</w:t>
      </w:r>
    </w:p>
    <w:p w14:paraId="00F96021" w14:textId="77777777" w:rsidR="00E53EB6" w:rsidRDefault="006500F5">
      <w:pPr>
        <w:pStyle w:val="HaupttextnachZitat"/>
      </w:pPr>
      <w:r>
        <w:rPr>
          <w:szCs w:val="26"/>
        </w:rPr>
        <w:t>As we have seen, in all the stanzas quoted so far the two derivatives take on a clearly negative sens</w:t>
      </w:r>
      <w:r>
        <w:rPr>
          <w:szCs w:val="26"/>
        </w:rPr>
        <w:t xml:space="preserve">e; the only passages where a positive value is to be found come to four, and the use made of </w:t>
      </w:r>
      <w:r>
        <w:rPr>
          <w:i/>
          <w:szCs w:val="26"/>
        </w:rPr>
        <w:t>vanús-</w:t>
      </w:r>
      <w:r>
        <w:rPr>
          <w:szCs w:val="26"/>
        </w:rPr>
        <w:t xml:space="preserve"> (in three cases) as of </w:t>
      </w:r>
      <w:r>
        <w:rPr>
          <w:i/>
          <w:szCs w:val="26"/>
        </w:rPr>
        <w:t>vanu</w:t>
      </w:r>
      <w:r>
        <w:rPr>
          <w:i/>
          <w:szCs w:val="26"/>
        </w:rPr>
        <w:t>ṣ</w:t>
      </w:r>
      <w:r>
        <w:rPr>
          <w:i/>
          <w:szCs w:val="26"/>
        </w:rPr>
        <w:t>ya-</w:t>
      </w:r>
      <w:r>
        <w:rPr>
          <w:szCs w:val="26"/>
        </w:rPr>
        <w:t xml:space="preserve"> is again to be associated with the other functions we have identified for the verbal root.</w:t>
      </w:r>
    </w:p>
    <w:p w14:paraId="79E99379" w14:textId="77777777" w:rsidR="00E53EB6" w:rsidRDefault="006500F5">
      <w:pPr>
        <w:pStyle w:val="HaupttextohneEinzug"/>
        <w:rPr>
          <w:szCs w:val="26"/>
        </w:rPr>
      </w:pPr>
      <w:r>
        <w:rPr>
          <w:szCs w:val="26"/>
        </w:rPr>
        <w:t xml:space="preserve">More precisely, in 1.150.3 and </w:t>
      </w:r>
      <w:r>
        <w:rPr>
          <w:szCs w:val="26"/>
        </w:rPr>
        <w:t>3.27.11 we find reference to the ritual action, to having the god come into the circle of the sacrifice (as in certain attestations of the verb root, cf. 9.7.6; 6.16.26 or 5.74.7); here, then, it is a matter of the wish to accomplish such an action – an un</w:t>
      </w:r>
      <w:r>
        <w:rPr>
          <w:szCs w:val="26"/>
        </w:rPr>
        <w:t>doubtedly just desire, to be welcomed.</w:t>
      </w:r>
    </w:p>
    <w:p w14:paraId="10CB7FB9" w14:textId="77777777" w:rsidR="00E53EB6" w:rsidRDefault="006500F5">
      <w:pPr>
        <w:pStyle w:val="Zitat"/>
      </w:pPr>
      <w:r>
        <w:t xml:space="preserve">1.150.3 </w:t>
      </w:r>
      <w:r>
        <w:rPr>
          <w:i/>
          <w:iCs/>
        </w:rPr>
        <w:t>sá candró vipra márt</w:t>
      </w:r>
      <w:r>
        <w:rPr>
          <w:i/>
          <w:iCs/>
          <w:vertAlign w:val="subscript"/>
        </w:rPr>
        <w:t>i</w:t>
      </w:r>
      <w:r>
        <w:rPr>
          <w:i/>
          <w:iCs/>
        </w:rPr>
        <w:t>yo</w:t>
      </w:r>
    </w:p>
    <w:p w14:paraId="69EF9779" w14:textId="77777777" w:rsidR="00E53EB6" w:rsidRDefault="006500F5">
      <w:pPr>
        <w:pStyle w:val="ZitatnachZitat"/>
        <w:rPr>
          <w:i/>
          <w:iCs/>
        </w:rPr>
      </w:pPr>
      <w:r>
        <w:rPr>
          <w:i/>
          <w:iCs/>
        </w:rPr>
        <w:t>mahó vrā́dhantamo diví</w:t>
      </w:r>
    </w:p>
    <w:p w14:paraId="2792F0CC" w14:textId="77777777" w:rsidR="00E53EB6" w:rsidRDefault="006500F5">
      <w:pPr>
        <w:pStyle w:val="ZitatnachZitat"/>
        <w:rPr>
          <w:i/>
          <w:iCs/>
        </w:rPr>
      </w:pPr>
      <w:r>
        <w:rPr>
          <w:i/>
          <w:iCs/>
        </w:rPr>
        <w:t>prá prét te agne vanú</w:t>
      </w:r>
      <w:r>
        <w:rPr>
          <w:i/>
          <w:iCs/>
        </w:rPr>
        <w:t>ṣ</w:t>
      </w:r>
      <w:r>
        <w:rPr>
          <w:i/>
          <w:iCs/>
        </w:rPr>
        <w:t>a</w:t>
      </w:r>
      <w:r>
        <w:rPr>
          <w:i/>
          <w:iCs/>
        </w:rPr>
        <w:t>ḥ</w:t>
      </w:r>
      <w:r>
        <w:rPr>
          <w:i/>
          <w:iCs/>
        </w:rPr>
        <w:t xml:space="preserve"> siyāma</w:t>
      </w:r>
    </w:p>
    <w:p w14:paraId="4B2C94E8" w14:textId="77777777" w:rsidR="00E53EB6" w:rsidRDefault="006500F5">
      <w:pPr>
        <w:pStyle w:val="Zitat"/>
      </w:pPr>
      <w:r>
        <w:t xml:space="preserve">Oh inspired sage, this luminous mortal is great, is that which has grown most in the heavens; may we, </w:t>
      </w:r>
      <w:r>
        <w:rPr>
          <w:u w:val="single"/>
        </w:rPr>
        <w:t xml:space="preserve">wishing </w:t>
      </w:r>
      <w:r>
        <w:rPr>
          <w:u w:val="single"/>
        </w:rPr>
        <w:lastRenderedPageBreak/>
        <w:t>to appropriate</w:t>
      </w:r>
      <w:r>
        <w:t xml:space="preserve"> you</w:t>
      </w:r>
      <w:r>
        <w:rPr>
          <w:rStyle w:val="FootnoteAnchor"/>
        </w:rPr>
        <w:footnoteReference w:id="455"/>
      </w:r>
      <w:r>
        <w:t>, stand, oh Agni, before all.</w:t>
      </w:r>
    </w:p>
    <w:p w14:paraId="0859571C" w14:textId="77777777" w:rsidR="00E53EB6" w:rsidRDefault="006500F5">
      <w:pPr>
        <w:pStyle w:val="Zitat"/>
      </w:pPr>
      <w:r>
        <w:rPr>
          <w:rStyle w:val="CarattereCarattere"/>
          <w:rFonts w:ascii="Sabon Unicode" w:hAnsi="Sabon Unicode" w:cs="Times Ext Roman;Times New Roman"/>
          <w:b w:val="0"/>
          <w:bCs w:val="0"/>
          <w:i/>
          <w:iCs/>
          <w:sz w:val="18"/>
          <w:szCs w:val="18"/>
          <w:lang w:val="en-GB"/>
        </w:rPr>
        <w:t>vanú</w:t>
      </w:r>
      <w:r>
        <w:rPr>
          <w:rStyle w:val="CarattereCarattere"/>
          <w:rFonts w:ascii="Sabon Unicode" w:hAnsi="Sabon Unicode" w:cs="Times Ext Roman;Times New Roman"/>
          <w:b w:val="0"/>
          <w:bCs w:val="0"/>
          <w:i/>
          <w:iCs/>
          <w:sz w:val="18"/>
          <w:szCs w:val="18"/>
          <w:lang w:val="en-GB"/>
        </w:rPr>
        <w:t>ṣ</w:t>
      </w:r>
      <w:r>
        <w:rPr>
          <w:rStyle w:val="CarattereCarattere"/>
          <w:rFonts w:ascii="Sabon Unicode" w:hAnsi="Sabon Unicode" w:cs="Times Ext Roman;Times New Roman"/>
          <w:b w:val="0"/>
          <w:bCs w:val="0"/>
          <w:i/>
          <w:iCs/>
          <w:sz w:val="18"/>
          <w:szCs w:val="18"/>
          <w:lang w:val="en-GB"/>
        </w:rPr>
        <w:t>ah</w:t>
      </w:r>
      <w:r>
        <w:rPr>
          <w:rStyle w:val="CarattereCarattere"/>
          <w:rFonts w:ascii="Sabon Unicode" w:hAnsi="Sabon Unicode" w:cs="Times Ext Roman;Times New Roman"/>
          <w:sz w:val="18"/>
          <w:szCs w:val="18"/>
          <w:lang w:val="en-GB"/>
        </w:rPr>
        <w:t>:</w:t>
      </w:r>
      <w:r>
        <w:t xml:space="preserve"> nominative masculine plural from </w:t>
      </w:r>
      <w:r>
        <w:rPr>
          <w:i/>
        </w:rPr>
        <w:t>vanús-</w:t>
      </w:r>
    </w:p>
    <w:p w14:paraId="666F83F1" w14:textId="77777777" w:rsidR="00E53EB6" w:rsidRDefault="006500F5">
      <w:pPr>
        <w:pStyle w:val="ZitatmitEinzug"/>
      </w:pPr>
      <w:r>
        <w:rPr>
          <w:smallCaps/>
        </w:rPr>
        <w:t xml:space="preserve">Geldner: </w:t>
      </w:r>
      <w:r>
        <w:t xml:space="preserve">I 208 </w:t>
      </w:r>
      <w:r>
        <w:t>“eifrig (Verehrer)”</w:t>
      </w:r>
    </w:p>
    <w:p w14:paraId="5F25AC49" w14:textId="77777777" w:rsidR="00E53EB6" w:rsidRDefault="006500F5">
      <w:pPr>
        <w:pStyle w:val="ZitatmitEinzug"/>
      </w:pPr>
      <w:r>
        <w:rPr>
          <w:rStyle w:val="biblio-authorGEN"/>
          <w:sz w:val="18"/>
          <w:szCs w:val="15"/>
        </w:rPr>
        <w:t>Renou</w:t>
      </w:r>
      <w:r>
        <w:rPr>
          <w:rStyle w:val="biblio-authorGEN"/>
        </w:rPr>
        <w:t>:</w:t>
      </w:r>
      <w:r>
        <w:t xml:space="preserve"> XII 39 “(nous qui sommes) gagnés à toi”</w:t>
      </w:r>
    </w:p>
    <w:p w14:paraId="434F5066" w14:textId="77777777" w:rsidR="00E53EB6" w:rsidRDefault="006500F5">
      <w:pPr>
        <w:pStyle w:val="ZitatmitEinzug"/>
      </w:pPr>
      <w:r>
        <w:rPr>
          <w:rStyle w:val="biblio-authorGEN"/>
          <w:sz w:val="18"/>
          <w:szCs w:val="15"/>
        </w:rPr>
        <w:t xml:space="preserve">Witzel-Gotō </w:t>
      </w:r>
      <w:r>
        <w:rPr>
          <w:szCs w:val="18"/>
        </w:rPr>
        <w:t>2007: 276 “Anhänger”</w:t>
      </w:r>
    </w:p>
    <w:p w14:paraId="54CC37C3" w14:textId="77777777" w:rsidR="00E53EB6" w:rsidRDefault="00E53EB6">
      <w:pPr>
        <w:pStyle w:val="ZitatmitEinzug"/>
        <w:rPr>
          <w:szCs w:val="18"/>
        </w:rPr>
      </w:pPr>
    </w:p>
    <w:p w14:paraId="39842475" w14:textId="77777777" w:rsidR="00E53EB6" w:rsidRDefault="006500F5">
      <w:pPr>
        <w:pStyle w:val="Zitat"/>
      </w:pPr>
      <w:r>
        <w:t xml:space="preserve">3.27.11 </w:t>
      </w:r>
      <w:r>
        <w:rPr>
          <w:i/>
          <w:iCs/>
        </w:rPr>
        <w:t>agní</w:t>
      </w:r>
      <w:r>
        <w:rPr>
          <w:i/>
          <w:iCs/>
        </w:rPr>
        <w:t>ṃ</w:t>
      </w:r>
      <w:r>
        <w:rPr>
          <w:i/>
          <w:iCs/>
        </w:rPr>
        <w:t xml:space="preserve"> yantúram aptúram</w:t>
      </w:r>
    </w:p>
    <w:p w14:paraId="1D777692" w14:textId="77777777" w:rsidR="00E53EB6" w:rsidRDefault="006500F5">
      <w:pPr>
        <w:pStyle w:val="ZitatnachZitat"/>
        <w:rPr>
          <w:i/>
          <w:iCs/>
        </w:rPr>
      </w:pPr>
      <w:r>
        <w:rPr>
          <w:i/>
          <w:iCs/>
        </w:rPr>
        <w:t>r̥tásya yóge vanú</w:t>
      </w:r>
      <w:r>
        <w:rPr>
          <w:i/>
          <w:iCs/>
        </w:rPr>
        <w:t>ṣ</w:t>
      </w:r>
      <w:r>
        <w:rPr>
          <w:i/>
          <w:iCs/>
        </w:rPr>
        <w:t>a</w:t>
      </w:r>
      <w:r>
        <w:rPr>
          <w:i/>
          <w:iCs/>
        </w:rPr>
        <w:t>ḥ</w:t>
      </w:r>
    </w:p>
    <w:p w14:paraId="0B0C7F42" w14:textId="77777777" w:rsidR="00E53EB6" w:rsidRDefault="006500F5">
      <w:pPr>
        <w:pStyle w:val="ZitatnachZitat"/>
        <w:rPr>
          <w:i/>
          <w:iCs/>
        </w:rPr>
      </w:pPr>
      <w:r>
        <w:rPr>
          <w:i/>
          <w:iCs/>
        </w:rPr>
        <w:t>víprā vā́jai</w:t>
      </w:r>
      <w:r>
        <w:rPr>
          <w:i/>
          <w:iCs/>
        </w:rPr>
        <w:t>ḥ</w:t>
      </w:r>
      <w:r>
        <w:rPr>
          <w:i/>
          <w:iCs/>
        </w:rPr>
        <w:t xml:space="preserve"> sám indhate</w:t>
      </w:r>
    </w:p>
    <w:p w14:paraId="797AADA3" w14:textId="77777777" w:rsidR="00E53EB6" w:rsidRDefault="006500F5">
      <w:pPr>
        <w:pStyle w:val="Zitat"/>
      </w:pPr>
      <w:r>
        <w:t>Agni, the guide, he who overtakes the waters</w:t>
      </w:r>
      <w:r>
        <w:rPr>
          <w:rStyle w:val="FootnoteAnchor"/>
        </w:rPr>
        <w:footnoteReference w:id="456"/>
      </w:r>
      <w:r>
        <w:t xml:space="preserve">, the inspired sages, </w:t>
      </w:r>
      <w:r>
        <w:rPr>
          <w:u w:val="single"/>
        </w:rPr>
        <w:t>wishing to appropriate</w:t>
      </w:r>
      <w:r>
        <w:t xml:space="preserve"> him, in application of the order, kindle him with the rewards of battle.</w:t>
      </w:r>
    </w:p>
    <w:p w14:paraId="72643BED" w14:textId="77777777" w:rsidR="00E53EB6" w:rsidRDefault="006500F5">
      <w:pPr>
        <w:pStyle w:val="Zitat"/>
      </w:pPr>
      <w:r>
        <w:rPr>
          <w:rStyle w:val="CarattereCarattere"/>
          <w:rFonts w:ascii="Sabon Unicode" w:hAnsi="Sabon Unicode" w:cs="Times Ext Roman;Times New Roman"/>
          <w:b w:val="0"/>
          <w:bCs w:val="0"/>
          <w:i/>
          <w:iCs/>
          <w:sz w:val="18"/>
          <w:szCs w:val="18"/>
          <w:lang w:val="en-GB"/>
        </w:rPr>
        <w:t>vanú</w:t>
      </w:r>
      <w:r>
        <w:rPr>
          <w:rStyle w:val="CarattereCarattere"/>
          <w:rFonts w:ascii="Sabon Unicode" w:hAnsi="Sabon Unicode" w:cs="Times Ext Roman;Times New Roman"/>
          <w:b w:val="0"/>
          <w:bCs w:val="0"/>
          <w:i/>
          <w:iCs/>
          <w:sz w:val="18"/>
          <w:szCs w:val="18"/>
          <w:lang w:val="en-GB"/>
        </w:rPr>
        <w:t>ṣ</w:t>
      </w:r>
      <w:r>
        <w:rPr>
          <w:rStyle w:val="CarattereCarattere"/>
          <w:rFonts w:ascii="Sabon Unicode" w:hAnsi="Sabon Unicode" w:cs="Times Ext Roman;Times New Roman"/>
          <w:b w:val="0"/>
          <w:bCs w:val="0"/>
          <w:i/>
          <w:iCs/>
          <w:sz w:val="18"/>
          <w:szCs w:val="18"/>
          <w:lang w:val="en-GB"/>
        </w:rPr>
        <w:t>ah</w:t>
      </w:r>
      <w:r>
        <w:rPr>
          <w:rStyle w:val="CarattereCarattere"/>
          <w:rFonts w:ascii="Sabon Unicode" w:hAnsi="Sabon Unicode" w:cs="Times Ext Roman;Times New Roman"/>
          <w:sz w:val="18"/>
          <w:szCs w:val="18"/>
          <w:lang w:val="en-GB"/>
        </w:rPr>
        <w:t>:</w:t>
      </w:r>
      <w:r>
        <w:t xml:space="preserve"> nominative masculine plural from </w:t>
      </w:r>
      <w:r>
        <w:rPr>
          <w:i/>
        </w:rPr>
        <w:t>vanús-</w:t>
      </w:r>
    </w:p>
    <w:p w14:paraId="0A5BDABA" w14:textId="77777777" w:rsidR="00E53EB6" w:rsidRPr="00494885" w:rsidRDefault="006500F5">
      <w:pPr>
        <w:pStyle w:val="ZitatmitEinzug"/>
        <w:rPr>
          <w:lang w:val="de-DE"/>
        </w:rPr>
      </w:pPr>
      <w:r w:rsidRPr="00494885">
        <w:rPr>
          <w:smallCaps/>
          <w:lang w:val="de-DE"/>
        </w:rPr>
        <w:t xml:space="preserve">Geldner: </w:t>
      </w:r>
      <w:r w:rsidRPr="00494885">
        <w:rPr>
          <w:lang w:val="de-DE"/>
        </w:rPr>
        <w:t>I 361</w:t>
      </w:r>
      <w:r w:rsidRPr="00494885">
        <w:rPr>
          <w:smallCaps/>
          <w:lang w:val="de-DE"/>
        </w:rPr>
        <w:t xml:space="preserve"> “</w:t>
      </w:r>
      <w:r w:rsidRPr="00494885">
        <w:rPr>
          <w:lang w:val="de-DE"/>
        </w:rPr>
        <w:t>e</w:t>
      </w:r>
      <w:r w:rsidRPr="00494885">
        <w:rPr>
          <w:lang w:val="de-DE"/>
        </w:rPr>
        <w:t>ifrig</w:t>
      </w:r>
      <w:r w:rsidRPr="00494885">
        <w:rPr>
          <w:smallCaps/>
          <w:lang w:val="de-DE"/>
        </w:rPr>
        <w:t>”</w:t>
      </w:r>
    </w:p>
    <w:p w14:paraId="00E2CD24" w14:textId="77777777" w:rsidR="00E53EB6" w:rsidRPr="00494885" w:rsidRDefault="006500F5">
      <w:pPr>
        <w:pStyle w:val="ZitatmitEinzug"/>
        <w:rPr>
          <w:lang w:val="de-DE"/>
        </w:rPr>
      </w:pPr>
      <w:r w:rsidRPr="00494885">
        <w:rPr>
          <w:smallCaps/>
          <w:szCs w:val="18"/>
          <w:lang w:val="de-DE"/>
        </w:rPr>
        <w:t xml:space="preserve">Renou: </w:t>
      </w:r>
      <w:r w:rsidRPr="00494885">
        <w:rPr>
          <w:szCs w:val="18"/>
          <w:lang w:val="de-DE"/>
        </w:rPr>
        <w:t>XII 68 “</w:t>
      </w:r>
      <w:r w:rsidRPr="00494885">
        <w:rPr>
          <w:lang w:val="de-DE"/>
        </w:rPr>
        <w:t>qui veulent te gagner”</w:t>
      </w:r>
    </w:p>
    <w:p w14:paraId="17E4A111" w14:textId="77777777" w:rsidR="00E53EB6" w:rsidRDefault="006500F5">
      <w:pPr>
        <w:pStyle w:val="HaupttextnachZitat"/>
      </w:pPr>
      <w:r>
        <w:t>In 10.96.1 it is Indra who is eager to appropriate elation; just as in the earlier verbal attestations we encountered at the beginning of the functional analysis of the verbal root in the R̥gvedic and post-R̥gve</w:t>
      </w:r>
      <w:r>
        <w:t xml:space="preserve">dic occurrences, what this god appropriated was </w:t>
      </w:r>
      <w:r>
        <w:rPr>
          <w:i/>
        </w:rPr>
        <w:t>soma</w:t>
      </w:r>
      <w:r>
        <w:t xml:space="preserve"> (cf.</w:t>
      </w:r>
      <w:r>
        <w:rPr>
          <w:rFonts w:eastAsia="Arial Unicode MS"/>
          <w:sz w:val="22"/>
          <w:szCs w:val="24"/>
        </w:rPr>
        <w:t xml:space="preserve"> </w:t>
      </w:r>
      <w:r>
        <w:rPr>
          <w:rFonts w:eastAsia="Arial Unicode MS"/>
        </w:rPr>
        <w:t>10 105.5c</w:t>
      </w:r>
      <w:r>
        <w:rPr>
          <w:rFonts w:eastAsia="Arial Unicode MS"/>
          <w:sz w:val="22"/>
          <w:szCs w:val="24"/>
        </w:rPr>
        <w:t xml:space="preserve"> </w:t>
      </w:r>
      <w:r>
        <w:rPr>
          <w:rFonts w:eastAsia="Arial Unicode MS"/>
          <w:i/>
        </w:rPr>
        <w:t>vanóti śíprābhyā</w:t>
      </w:r>
      <w:r>
        <w:rPr>
          <w:rFonts w:eastAsia="Arial Unicode MS"/>
          <w:i/>
        </w:rPr>
        <w:t>ṃ</w:t>
      </w:r>
      <w:r>
        <w:rPr>
          <w:rFonts w:eastAsia="Arial Unicode MS"/>
          <w:i/>
        </w:rPr>
        <w:t xml:space="preserve"> śiprí</w:t>
      </w:r>
      <w:r>
        <w:rPr>
          <w:rFonts w:eastAsia="Arial Unicode MS"/>
          <w:i/>
        </w:rPr>
        <w:t>ṇ</w:t>
      </w:r>
      <w:r>
        <w:rPr>
          <w:rFonts w:eastAsia="Arial Unicode MS"/>
          <w:i/>
        </w:rPr>
        <w:t>īvān</w:t>
      </w:r>
      <w:r>
        <w:t xml:space="preserve">), so now we see him eager for that state of exaltation which the drink brings on. </w:t>
      </w:r>
    </w:p>
    <w:p w14:paraId="3903CB7D" w14:textId="77777777" w:rsidR="00E53EB6" w:rsidRDefault="006500F5">
      <w:pPr>
        <w:pStyle w:val="Zitat"/>
      </w:pPr>
      <w:r>
        <w:t xml:space="preserve">10.96.1 </w:t>
      </w:r>
      <w:r>
        <w:rPr>
          <w:i/>
          <w:iCs/>
        </w:rPr>
        <w:t>prá te mahé vidáthe śa</w:t>
      </w:r>
      <w:r>
        <w:rPr>
          <w:i/>
          <w:iCs/>
        </w:rPr>
        <w:t>ṃ</w:t>
      </w:r>
      <w:r>
        <w:rPr>
          <w:i/>
          <w:iCs/>
        </w:rPr>
        <w:t>si</w:t>
      </w:r>
      <w:r>
        <w:rPr>
          <w:i/>
          <w:iCs/>
        </w:rPr>
        <w:t>ṣ</w:t>
      </w:r>
      <w:r>
        <w:rPr>
          <w:i/>
          <w:iCs/>
        </w:rPr>
        <w:t>a</w:t>
      </w:r>
      <w:r>
        <w:rPr>
          <w:i/>
          <w:iCs/>
        </w:rPr>
        <w:t>ṃ</w:t>
      </w:r>
      <w:r>
        <w:rPr>
          <w:i/>
          <w:iCs/>
        </w:rPr>
        <w:t xml:space="preserve"> hárī</w:t>
      </w:r>
    </w:p>
    <w:p w14:paraId="61A2563C" w14:textId="77777777" w:rsidR="00E53EB6" w:rsidRDefault="006500F5">
      <w:pPr>
        <w:pStyle w:val="ZitatnachZitat"/>
        <w:rPr>
          <w:i/>
          <w:iCs/>
        </w:rPr>
      </w:pPr>
      <w:r>
        <w:rPr>
          <w:i/>
          <w:iCs/>
        </w:rPr>
        <w:t>prá te vanve vanú</w:t>
      </w:r>
      <w:r>
        <w:rPr>
          <w:i/>
          <w:iCs/>
        </w:rPr>
        <w:t>ṣ</w:t>
      </w:r>
      <w:r>
        <w:rPr>
          <w:i/>
          <w:iCs/>
        </w:rPr>
        <w:t>o haryatám mádam</w:t>
      </w:r>
    </w:p>
    <w:p w14:paraId="2BD31975" w14:textId="77777777" w:rsidR="00E53EB6" w:rsidRDefault="006500F5">
      <w:pPr>
        <w:pStyle w:val="ZitatnachZitat"/>
        <w:rPr>
          <w:i/>
          <w:iCs/>
        </w:rPr>
      </w:pPr>
      <w:r>
        <w:rPr>
          <w:i/>
          <w:iCs/>
        </w:rPr>
        <w:t>ghr̥tá</w:t>
      </w:r>
      <w:r>
        <w:rPr>
          <w:i/>
          <w:iCs/>
        </w:rPr>
        <w:t>ṃ</w:t>
      </w:r>
      <w:r>
        <w:rPr>
          <w:i/>
          <w:iCs/>
        </w:rPr>
        <w:t xml:space="preserve"> ná yó háribhiś cā́ru sécata</w:t>
      </w:r>
    </w:p>
    <w:p w14:paraId="5C84794A" w14:textId="77777777" w:rsidR="00E53EB6" w:rsidRDefault="006500F5">
      <w:pPr>
        <w:pStyle w:val="ZitatnachZitat"/>
        <w:rPr>
          <w:i/>
          <w:iCs/>
        </w:rPr>
      </w:pPr>
      <w:r>
        <w:rPr>
          <w:i/>
          <w:iCs/>
        </w:rPr>
        <w:t>ā́ tvā viśantu hárivarpasa</w:t>
      </w:r>
      <w:r>
        <w:rPr>
          <w:i/>
          <w:iCs/>
        </w:rPr>
        <w:t>ṃ</w:t>
      </w:r>
      <w:r>
        <w:rPr>
          <w:i/>
          <w:iCs/>
        </w:rPr>
        <w:t xml:space="preserve"> gíra</w:t>
      </w:r>
      <w:r>
        <w:rPr>
          <w:i/>
          <w:iCs/>
        </w:rPr>
        <w:t>ḥ</w:t>
      </w:r>
    </w:p>
    <w:p w14:paraId="612DF947" w14:textId="77777777" w:rsidR="00E53EB6" w:rsidRDefault="006500F5">
      <w:pPr>
        <w:pStyle w:val="Zitat"/>
      </w:pPr>
      <w:r>
        <w:t>May I invoke in the great</w:t>
      </w:r>
      <w:r>
        <w:t xml:space="preserve"> meeting [rite]</w:t>
      </w:r>
      <w:r>
        <w:rPr>
          <w:rStyle w:val="FootnoteAnchor"/>
        </w:rPr>
        <w:footnoteReference w:id="457"/>
      </w:r>
      <w:r>
        <w:t xml:space="preserve"> your two steeds, I appropriate for my self the intoxicating drink dear to you </w:t>
      </w:r>
      <w:r>
        <w:rPr>
          <w:u w:val="single"/>
        </w:rPr>
        <w:t>who desire to appropriate</w:t>
      </w:r>
      <w:r>
        <w:t xml:space="preserve"> it which,  pleasant as clarified butter, together with the golden ones</w:t>
      </w:r>
      <w:r>
        <w:rPr>
          <w:rStyle w:val="FootnoteAnchor"/>
        </w:rPr>
        <w:footnoteReference w:id="458"/>
      </w:r>
      <w:r>
        <w:t>, pours out; the chants should arrive to you who have the colo</w:t>
      </w:r>
      <w:r>
        <w:t>ur of gold.</w:t>
      </w:r>
    </w:p>
    <w:p w14:paraId="3BC0FA20" w14:textId="77777777" w:rsidR="00E53EB6" w:rsidRPr="00494885" w:rsidRDefault="006500F5">
      <w:pPr>
        <w:pStyle w:val="Zitat"/>
        <w:rPr>
          <w:lang w:val="de-DE"/>
        </w:rPr>
      </w:pPr>
      <w:r>
        <w:rPr>
          <w:i/>
          <w:iCs/>
        </w:rPr>
        <w:t>vanve</w:t>
      </w:r>
      <w:r>
        <w:rPr>
          <w:b/>
        </w:rPr>
        <w:t xml:space="preserve"> </w:t>
      </w:r>
      <w:r>
        <w:rPr>
          <w:i/>
          <w:iCs/>
        </w:rPr>
        <w:t>pra</w:t>
      </w:r>
      <w:r>
        <w:t xml:space="preserve">: present indicative </w:t>
      </w:r>
      <w:r>
        <w:rPr>
          <w:bCs/>
        </w:rPr>
        <w:t>1</w:t>
      </w:r>
      <w:r>
        <w:rPr>
          <w:bCs/>
          <w:vertAlign w:val="superscript"/>
        </w:rPr>
        <w:t>st</w:t>
      </w:r>
      <w:r>
        <w:rPr>
          <w:bCs/>
        </w:rPr>
        <w:t xml:space="preserve"> sing. </w:t>
      </w:r>
      <w:r w:rsidRPr="00494885">
        <w:rPr>
          <w:bCs/>
          <w:lang w:val="de-DE"/>
        </w:rPr>
        <w:t>Ā VIII cl.</w:t>
      </w:r>
    </w:p>
    <w:p w14:paraId="75487596" w14:textId="77777777" w:rsidR="00E53EB6" w:rsidRPr="00494885" w:rsidRDefault="006500F5">
      <w:pPr>
        <w:pStyle w:val="ZitatmitEinzug"/>
        <w:rPr>
          <w:lang w:val="de-DE"/>
        </w:rPr>
      </w:pPr>
      <w:r w:rsidRPr="00494885">
        <w:rPr>
          <w:smallCaps/>
          <w:lang w:val="de-DE"/>
        </w:rPr>
        <w:t>Geldner:</w:t>
      </w:r>
      <w:r w:rsidRPr="00494885">
        <w:rPr>
          <w:lang w:val="de-DE"/>
        </w:rPr>
        <w:t xml:space="preserve"> III 304 “</w:t>
      </w:r>
      <w:r w:rsidRPr="00494885">
        <w:rPr>
          <w:lang w:val="de-DE"/>
        </w:rPr>
        <w:t>habe Gewinn”</w:t>
      </w:r>
    </w:p>
    <w:p w14:paraId="77D40522" w14:textId="77777777" w:rsidR="00E53EB6" w:rsidRDefault="006500F5">
      <w:pPr>
        <w:pStyle w:val="Zitat"/>
      </w:pPr>
      <w:r>
        <w:rPr>
          <w:rStyle w:val="CarattereCarattere"/>
          <w:rFonts w:ascii="Sabon Unicode" w:hAnsi="Sabon Unicode" w:cs="Times Ext Roman;Times New Roman"/>
          <w:b w:val="0"/>
          <w:bCs w:val="0"/>
          <w:i/>
          <w:iCs/>
          <w:sz w:val="18"/>
          <w:szCs w:val="18"/>
          <w:lang w:val="en-GB"/>
        </w:rPr>
        <w:t>vanú</w:t>
      </w:r>
      <w:r>
        <w:rPr>
          <w:rStyle w:val="CarattereCarattere"/>
          <w:rFonts w:ascii="Sabon Unicode" w:hAnsi="Sabon Unicode" w:cs="Times Ext Roman;Times New Roman"/>
          <w:b w:val="0"/>
          <w:bCs w:val="0"/>
          <w:i/>
          <w:iCs/>
          <w:sz w:val="18"/>
          <w:szCs w:val="18"/>
          <w:lang w:val="en-GB"/>
        </w:rPr>
        <w:t>ṣ</w:t>
      </w:r>
      <w:r>
        <w:rPr>
          <w:rStyle w:val="CarattereCarattere"/>
          <w:rFonts w:ascii="Sabon Unicode" w:hAnsi="Sabon Unicode" w:cs="Times Ext Roman;Times New Roman"/>
          <w:b w:val="0"/>
          <w:bCs w:val="0"/>
          <w:i/>
          <w:iCs/>
          <w:sz w:val="18"/>
          <w:szCs w:val="18"/>
          <w:lang w:val="en-GB"/>
        </w:rPr>
        <w:t>a</w:t>
      </w:r>
      <w:r>
        <w:rPr>
          <w:rStyle w:val="CarattereCarattere"/>
          <w:rFonts w:ascii="Sabon Unicode" w:hAnsi="Sabon Unicode" w:cs="Times Ext Roman;Times New Roman"/>
          <w:b w:val="0"/>
          <w:bCs w:val="0"/>
          <w:i/>
          <w:iCs/>
          <w:sz w:val="18"/>
          <w:szCs w:val="18"/>
          <w:lang w:val="en-GB"/>
        </w:rPr>
        <w:t>ḥ</w:t>
      </w:r>
      <w:r>
        <w:rPr>
          <w:rStyle w:val="CarattereCarattere"/>
          <w:rFonts w:ascii="Sabon Unicode" w:hAnsi="Sabon Unicode" w:cs="Times Ext Roman;Times New Roman"/>
          <w:sz w:val="18"/>
          <w:szCs w:val="18"/>
          <w:lang w:val="en-GB"/>
        </w:rPr>
        <w:t>:</w:t>
      </w:r>
      <w:r>
        <w:t xml:space="preserve"> ablative masculine singular from </w:t>
      </w:r>
      <w:r>
        <w:rPr>
          <w:i/>
        </w:rPr>
        <w:t>vanús-</w:t>
      </w:r>
    </w:p>
    <w:p w14:paraId="1BD5DD1E" w14:textId="77777777" w:rsidR="00E53EB6" w:rsidRDefault="006500F5">
      <w:pPr>
        <w:pStyle w:val="ZitatmitEinzug"/>
      </w:pPr>
      <w:r>
        <w:rPr>
          <w:smallCaps/>
        </w:rPr>
        <w:t>Geldner:</w:t>
      </w:r>
      <w:r>
        <w:t xml:space="preserve"> III 304 </w:t>
      </w:r>
      <w:r>
        <w:t>“Eifrigen”</w:t>
      </w:r>
    </w:p>
    <w:p w14:paraId="769093CC" w14:textId="77777777" w:rsidR="00E53EB6" w:rsidRDefault="006500F5">
      <w:pPr>
        <w:pStyle w:val="HaupttextnachZitat"/>
      </w:pPr>
      <w:r>
        <w:rPr>
          <w:szCs w:val="26"/>
        </w:rPr>
        <w:t xml:space="preserve">Finally, in 9.7.6 the priest wishes to “appropriate” with “poetic work”, </w:t>
      </w:r>
      <w:r>
        <w:rPr>
          <w:i/>
        </w:rPr>
        <w:t>vanu</w:t>
      </w:r>
      <w:r>
        <w:rPr>
          <w:i/>
        </w:rPr>
        <w:t>ṣ</w:t>
      </w:r>
      <w:r>
        <w:rPr>
          <w:i/>
        </w:rPr>
        <w:t>yate matī́</w:t>
      </w:r>
      <w:r>
        <w:t xml:space="preserve">, following a pattern similar to </w:t>
      </w:r>
      <w:r>
        <w:rPr>
          <w:i/>
        </w:rPr>
        <w:t>ā́ va</w:t>
      </w:r>
      <w:r>
        <w:rPr>
          <w:i/>
        </w:rPr>
        <w:t>ṃ</w:t>
      </w:r>
      <w:r>
        <w:rPr>
          <w:i/>
        </w:rPr>
        <w:t>sad dhītíbhi</w:t>
      </w:r>
      <w:r>
        <w:rPr>
          <w:i/>
        </w:rPr>
        <w:t>ḥ</w:t>
      </w:r>
      <w:r>
        <w:rPr>
          <w:i/>
        </w:rPr>
        <w:t xml:space="preserve"> </w:t>
      </w:r>
      <w:r>
        <w:t xml:space="preserve">in 10.26.2 and </w:t>
      </w:r>
      <w:r>
        <w:rPr>
          <w:i/>
        </w:rPr>
        <w:t>gīrbhi</w:t>
      </w:r>
      <w:r>
        <w:rPr>
          <w:i/>
        </w:rPr>
        <w:t>ḥ</w:t>
      </w:r>
      <w:r>
        <w:t xml:space="preserve"> </w:t>
      </w:r>
      <w:r>
        <w:rPr>
          <w:i/>
        </w:rPr>
        <w:t xml:space="preserve">vívasāta </w:t>
      </w:r>
      <w:r>
        <w:t>in 6.15.6</w:t>
      </w:r>
      <w:r>
        <w:rPr>
          <w:szCs w:val="26"/>
        </w:rPr>
        <w:t>: here we have an absolute use of the denominative in a very precise ritua</w:t>
      </w:r>
      <w:r>
        <w:rPr>
          <w:szCs w:val="26"/>
        </w:rPr>
        <w:t xml:space="preserve">l context – a use that lent itself to analysis in certain attestations of </w:t>
      </w:r>
      <w:r>
        <w:rPr>
          <w:i/>
          <w:szCs w:val="26"/>
        </w:rPr>
        <w:t>van- / van</w:t>
      </w:r>
      <w:r>
        <w:rPr>
          <w:i/>
          <w:szCs w:val="26"/>
          <w:vertAlign w:val="superscript"/>
        </w:rPr>
        <w:t>i</w:t>
      </w:r>
      <w:r>
        <w:rPr>
          <w:i/>
          <w:szCs w:val="26"/>
        </w:rPr>
        <w:t>-</w:t>
      </w:r>
      <w:r>
        <w:rPr>
          <w:szCs w:val="26"/>
        </w:rPr>
        <w:t xml:space="preserve"> and in particular of the stem of the desiderative (6.15.6 is an example). Murmuring prayers, the priest wishes to have the god enter the circle of the sacrifice. In this</w:t>
      </w:r>
      <w:r>
        <w:rPr>
          <w:szCs w:val="26"/>
        </w:rPr>
        <w:t xml:space="preserve"> stanza there is also another element to point out, namely the phonetic play the poet artfully creates bringing together the verb </w:t>
      </w:r>
      <w:r>
        <w:rPr>
          <w:i/>
          <w:szCs w:val="26"/>
        </w:rPr>
        <w:t>vanu</w:t>
      </w:r>
      <w:r>
        <w:rPr>
          <w:i/>
          <w:szCs w:val="26"/>
        </w:rPr>
        <w:t>ṣ</w:t>
      </w:r>
      <w:r>
        <w:rPr>
          <w:i/>
          <w:szCs w:val="26"/>
        </w:rPr>
        <w:t>yate</w:t>
      </w:r>
      <w:r>
        <w:rPr>
          <w:szCs w:val="26"/>
        </w:rPr>
        <w:t xml:space="preserve"> in </w:t>
      </w:r>
      <w:r>
        <w:rPr>
          <w:i/>
          <w:szCs w:val="26"/>
        </w:rPr>
        <w:t>pāda</w:t>
      </w:r>
      <w:r>
        <w:rPr>
          <w:szCs w:val="26"/>
        </w:rPr>
        <w:t xml:space="preserve"> c and the substantive </w:t>
      </w:r>
      <w:r>
        <w:rPr>
          <w:i/>
          <w:szCs w:val="26"/>
        </w:rPr>
        <w:t>vána-</w:t>
      </w:r>
      <w:r>
        <w:rPr>
          <w:szCs w:val="26"/>
        </w:rPr>
        <w:t xml:space="preserve"> (“wood”, “tree”, “forest”) in the previous </w:t>
      </w:r>
      <w:r>
        <w:rPr>
          <w:i/>
          <w:szCs w:val="26"/>
        </w:rPr>
        <w:t>pāda</w:t>
      </w:r>
      <w:r>
        <w:rPr>
          <w:szCs w:val="26"/>
        </w:rPr>
        <w:t>, a paronomasia which we will enc</w:t>
      </w:r>
      <w:r>
        <w:rPr>
          <w:szCs w:val="26"/>
        </w:rPr>
        <w:t xml:space="preserve">ounter again, still more forcefully, where it is used both with the adjective </w:t>
      </w:r>
      <w:r>
        <w:rPr>
          <w:i/>
          <w:szCs w:val="26"/>
        </w:rPr>
        <w:t>vanin</w:t>
      </w:r>
      <w:r>
        <w:rPr>
          <w:szCs w:val="26"/>
        </w:rPr>
        <w:t xml:space="preserve">- and, subsequently, with the rarer derivatives in </w:t>
      </w:r>
      <w:r>
        <w:rPr>
          <w:szCs w:val="26"/>
        </w:rPr>
        <w:lastRenderedPageBreak/>
        <w:t>order to bring out and possibly meld the very meaning of the two roots.</w:t>
      </w:r>
    </w:p>
    <w:p w14:paraId="2382F963" w14:textId="77777777" w:rsidR="00E53EB6" w:rsidRDefault="006500F5">
      <w:pPr>
        <w:pStyle w:val="Zitat"/>
      </w:pPr>
      <w:r>
        <w:t xml:space="preserve">9.7.6 </w:t>
      </w:r>
      <w:r>
        <w:rPr>
          <w:i/>
          <w:iCs/>
        </w:rPr>
        <w:t>ávyo vā́re pári priyó</w:t>
      </w:r>
    </w:p>
    <w:p w14:paraId="72A6239A" w14:textId="77777777" w:rsidR="00E53EB6" w:rsidRDefault="006500F5">
      <w:pPr>
        <w:pStyle w:val="ZitatnachZitat"/>
        <w:rPr>
          <w:i/>
          <w:iCs/>
        </w:rPr>
      </w:pPr>
      <w:r>
        <w:rPr>
          <w:i/>
          <w:iCs/>
        </w:rPr>
        <w:t>hárir váne</w:t>
      </w:r>
      <w:r>
        <w:rPr>
          <w:i/>
          <w:iCs/>
        </w:rPr>
        <w:t>ṣ</w:t>
      </w:r>
      <w:r>
        <w:rPr>
          <w:i/>
          <w:iCs/>
        </w:rPr>
        <w:t>u sīdati</w:t>
      </w:r>
    </w:p>
    <w:p w14:paraId="6AB0C693" w14:textId="77777777" w:rsidR="00E53EB6" w:rsidRDefault="006500F5">
      <w:pPr>
        <w:pStyle w:val="ZitatnachZitat"/>
        <w:rPr>
          <w:i/>
          <w:iCs/>
        </w:rPr>
      </w:pPr>
      <w:r>
        <w:rPr>
          <w:i/>
          <w:iCs/>
        </w:rPr>
        <w:t>re</w:t>
      </w:r>
      <w:r>
        <w:rPr>
          <w:i/>
          <w:iCs/>
        </w:rPr>
        <w:t>bhó vanu</w:t>
      </w:r>
      <w:r>
        <w:rPr>
          <w:i/>
          <w:iCs/>
        </w:rPr>
        <w:t>ṣ</w:t>
      </w:r>
      <w:r>
        <w:rPr>
          <w:i/>
          <w:iCs/>
        </w:rPr>
        <w:t>yate matī́</w:t>
      </w:r>
    </w:p>
    <w:p w14:paraId="1ABEEA85" w14:textId="77777777" w:rsidR="00E53EB6" w:rsidRDefault="006500F5">
      <w:pPr>
        <w:pStyle w:val="Zitat"/>
      </w:pPr>
      <w:r>
        <w:t>The beloved steed</w:t>
      </w:r>
      <w:r>
        <w:rPr>
          <w:rStyle w:val="FootnoteAnchor"/>
        </w:rPr>
        <w:footnoteReference w:id="459"/>
      </w:r>
      <w:r>
        <w:t xml:space="preserve"> sits on the [pieces of] wood, all around the threads of wool</w:t>
      </w:r>
      <w:r>
        <w:rPr>
          <w:rStyle w:val="FootnoteAnchor"/>
        </w:rPr>
        <w:footnoteReference w:id="460"/>
      </w:r>
      <w:r>
        <w:t>; he who prays “</w:t>
      </w:r>
      <w:r>
        <w:rPr>
          <w:u w:val="single"/>
        </w:rPr>
        <w:t>wishes to have enter the circle of the rite”</w:t>
      </w:r>
      <w:r>
        <w:t xml:space="preserve"> thanks to the poetic work</w:t>
      </w:r>
      <w:r>
        <w:rPr>
          <w:rStyle w:val="FootnoteAnchor"/>
        </w:rPr>
        <w:footnoteReference w:id="461"/>
      </w:r>
      <w:r>
        <w:rPr>
          <w:rStyle w:val="FootnoteCharacters"/>
        </w:rPr>
        <w:t>.</w:t>
      </w:r>
    </w:p>
    <w:p w14:paraId="2937A01F" w14:textId="77777777" w:rsidR="00E53EB6" w:rsidRPr="00494885" w:rsidRDefault="006500F5">
      <w:pPr>
        <w:pStyle w:val="Zitat"/>
        <w:rPr>
          <w:lang w:val="de-DE"/>
        </w:rPr>
      </w:pPr>
      <w:r>
        <w:rPr>
          <w:rStyle w:val="CarattereCarattere"/>
          <w:rFonts w:ascii="Sabon Unicode" w:hAnsi="Sabon Unicode" w:cs="Times Ext Roman;Times New Roman"/>
          <w:b w:val="0"/>
          <w:bCs w:val="0"/>
          <w:i/>
          <w:iCs/>
          <w:sz w:val="18"/>
          <w:szCs w:val="18"/>
          <w:lang w:val="en-GB"/>
        </w:rPr>
        <w:t>vanu</w:t>
      </w:r>
      <w:r>
        <w:rPr>
          <w:rStyle w:val="CarattereCarattere"/>
          <w:rFonts w:ascii="Sabon Unicode" w:hAnsi="Sabon Unicode" w:cs="Times Ext Roman;Times New Roman"/>
          <w:b w:val="0"/>
          <w:bCs w:val="0"/>
          <w:i/>
          <w:iCs/>
          <w:sz w:val="18"/>
          <w:szCs w:val="18"/>
          <w:lang w:val="en-GB"/>
        </w:rPr>
        <w:t>ṣ</w:t>
      </w:r>
      <w:r>
        <w:rPr>
          <w:rStyle w:val="CarattereCarattere"/>
          <w:rFonts w:ascii="Sabon Unicode" w:hAnsi="Sabon Unicode" w:cs="Times Ext Roman;Times New Roman"/>
          <w:b w:val="0"/>
          <w:bCs w:val="0"/>
          <w:i/>
          <w:iCs/>
          <w:sz w:val="18"/>
          <w:szCs w:val="18"/>
          <w:lang w:val="en-GB"/>
        </w:rPr>
        <w:t>yate</w:t>
      </w:r>
      <w:r>
        <w:rPr>
          <w:rStyle w:val="CarattereCarattere"/>
          <w:rFonts w:ascii="Sabon Unicode" w:hAnsi="Sabon Unicode" w:cs="Times Ext Roman;Times New Roman"/>
          <w:sz w:val="18"/>
          <w:szCs w:val="18"/>
          <w:lang w:val="en-GB"/>
        </w:rPr>
        <w:t>:</w:t>
      </w:r>
      <w:r>
        <w:t xml:space="preserve"> present indicative 3</w:t>
      </w:r>
      <w:r>
        <w:rPr>
          <w:vertAlign w:val="superscript"/>
        </w:rPr>
        <w:t>rd</w:t>
      </w:r>
      <w:r>
        <w:t xml:space="preserve"> sing. </w:t>
      </w:r>
      <w:r w:rsidRPr="00494885">
        <w:rPr>
          <w:lang w:val="de-DE"/>
        </w:rPr>
        <w:t>Ā, denominative from v</w:t>
      </w:r>
      <w:r w:rsidRPr="00494885">
        <w:rPr>
          <w:i/>
          <w:lang w:val="de-DE"/>
        </w:rPr>
        <w:t>anús-</w:t>
      </w:r>
    </w:p>
    <w:p w14:paraId="56069AC1" w14:textId="77777777" w:rsidR="00E53EB6" w:rsidRPr="00494885" w:rsidRDefault="006500F5">
      <w:pPr>
        <w:pStyle w:val="ZitatmitEinzug"/>
        <w:rPr>
          <w:lang w:val="de-DE"/>
        </w:rPr>
      </w:pPr>
      <w:r w:rsidRPr="00494885">
        <w:rPr>
          <w:smallCaps/>
          <w:lang w:val="de-DE"/>
        </w:rPr>
        <w:t>Geldner:</w:t>
      </w:r>
      <w:r w:rsidRPr="00494885">
        <w:rPr>
          <w:lang w:val="de-DE"/>
        </w:rPr>
        <w:t xml:space="preserve"> III 15</w:t>
      </w:r>
      <w:r w:rsidRPr="00494885">
        <w:rPr>
          <w:i/>
          <w:lang w:val="de-DE"/>
        </w:rPr>
        <w:t xml:space="preserve"> </w:t>
      </w:r>
      <w:r w:rsidRPr="00494885">
        <w:rPr>
          <w:lang w:val="de-DE"/>
        </w:rPr>
        <w:t xml:space="preserve">“wetteifert”  </w:t>
      </w:r>
    </w:p>
    <w:p w14:paraId="566BC19E" w14:textId="77777777" w:rsidR="00E53EB6" w:rsidRPr="00494885" w:rsidRDefault="006500F5">
      <w:pPr>
        <w:pStyle w:val="ZitatmitEinzug"/>
        <w:rPr>
          <w:lang w:val="de-DE"/>
        </w:rPr>
      </w:pPr>
      <w:r w:rsidRPr="00494885">
        <w:rPr>
          <w:smallCaps/>
          <w:lang w:val="de-DE"/>
        </w:rPr>
        <w:t>Renou:</w:t>
      </w:r>
      <w:r w:rsidRPr="00494885">
        <w:rPr>
          <w:lang w:val="de-DE"/>
        </w:rPr>
        <w:t xml:space="preserve"> VIII 6 “est mis-en-état-de-grâce”</w:t>
      </w:r>
    </w:p>
    <w:p w14:paraId="7EEFACA0" w14:textId="77777777" w:rsidR="00E53EB6" w:rsidRDefault="006500F5">
      <w:pPr>
        <w:pStyle w:val="HaupttextnachZitat"/>
      </w:pPr>
      <w:r>
        <w:rPr>
          <w:szCs w:val="26"/>
        </w:rPr>
        <w:t xml:space="preserve">Besides stanza 4.44. 3, in which </w:t>
      </w:r>
      <w:r>
        <w:rPr>
          <w:i/>
          <w:szCs w:val="24"/>
        </w:rPr>
        <w:t>van- / van</w:t>
      </w:r>
      <w:r>
        <w:rPr>
          <w:i/>
          <w:szCs w:val="24"/>
          <w:vertAlign w:val="superscript"/>
        </w:rPr>
        <w:t>i</w:t>
      </w:r>
      <w:r>
        <w:rPr>
          <w:i/>
          <w:szCs w:val="24"/>
        </w:rPr>
        <w:t>-</w:t>
      </w:r>
      <w:r>
        <w:rPr>
          <w:szCs w:val="24"/>
        </w:rPr>
        <w:t xml:space="preserve"> is associated with the term </w:t>
      </w:r>
      <w:r>
        <w:rPr>
          <w:i/>
          <w:szCs w:val="24"/>
        </w:rPr>
        <w:t>r̥t</w:t>
      </w:r>
      <w:r>
        <w:rPr>
          <w:i/>
        </w:rPr>
        <w:t>á-</w:t>
      </w:r>
      <w:r>
        <w:rPr>
          <w:szCs w:val="26"/>
        </w:rPr>
        <w:t xml:space="preserve">, there remain two attestations of the adjective </w:t>
      </w:r>
      <w:r>
        <w:rPr>
          <w:i/>
          <w:szCs w:val="26"/>
        </w:rPr>
        <w:t xml:space="preserve">vanús- </w:t>
      </w:r>
      <w:r>
        <w:rPr>
          <w:szCs w:val="26"/>
        </w:rPr>
        <w:t xml:space="preserve">that are </w:t>
      </w:r>
      <w:r>
        <w:rPr>
          <w:szCs w:val="26"/>
        </w:rPr>
        <w:t>quite enigmatic.</w:t>
      </w:r>
    </w:p>
    <w:p w14:paraId="4BBE7B59" w14:textId="77777777" w:rsidR="00E53EB6" w:rsidRDefault="006500F5">
      <w:pPr>
        <w:pStyle w:val="HaupttextohneEinzug"/>
      </w:pPr>
      <w:r>
        <w:rPr>
          <w:szCs w:val="26"/>
        </w:rPr>
        <w:t>The first is in an invocation to be listened to and protected, for the Shielding Goddess, like the other divinities whose identity cannot be clearly defined. The divine beings Ekadhenu are attested only here, while the appellation for Rudr</w:t>
      </w:r>
      <w:r>
        <w:rPr>
          <w:szCs w:val="26"/>
        </w:rPr>
        <w:t xml:space="preserve">a, </w:t>
      </w:r>
      <w:r>
        <w:rPr>
          <w:i/>
          <w:iCs/>
          <w:szCs w:val="26"/>
        </w:rPr>
        <w:t>ahir budhnya,</w:t>
      </w:r>
      <w:r>
        <w:rPr>
          <w:szCs w:val="26"/>
        </w:rPr>
        <w:t xml:space="preserve"> is less mysterious, but still somehow out of place in a hymn dedicated to Savitr̥. The people described as </w:t>
      </w:r>
      <w:r>
        <w:rPr>
          <w:i/>
          <w:iCs/>
          <w:szCs w:val="26"/>
        </w:rPr>
        <w:t>mitho vanu</w:t>
      </w:r>
      <w:r>
        <w:rPr>
          <w:i/>
          <w:iCs/>
          <w:szCs w:val="26"/>
        </w:rPr>
        <w:t>ṣ</w:t>
      </w:r>
      <w:r>
        <w:rPr>
          <w:i/>
          <w:iCs/>
          <w:szCs w:val="26"/>
        </w:rPr>
        <w:t>ā</w:t>
      </w:r>
      <w:r>
        <w:rPr>
          <w:i/>
          <w:iCs/>
          <w:szCs w:val="26"/>
        </w:rPr>
        <w:t>ḥ</w:t>
      </w:r>
      <w:r>
        <w:rPr>
          <w:i/>
          <w:iCs/>
          <w:szCs w:val="26"/>
        </w:rPr>
        <w:t>,</w:t>
      </w:r>
      <w:r>
        <w:t xml:space="preserve"> whether we take it in the sense of</w:t>
      </w:r>
      <w:r>
        <w:t xml:space="preserve"> Geldner, or of Renou, a</w:t>
      </w:r>
      <w:r>
        <w:t xml:space="preserve">re hardly identifiable. </w:t>
      </w:r>
    </w:p>
    <w:p w14:paraId="658EDDAC" w14:textId="77777777" w:rsidR="00E53EB6" w:rsidRDefault="006500F5">
      <w:pPr>
        <w:pStyle w:val="Zitat"/>
      </w:pPr>
      <w:r>
        <w:t xml:space="preserve">7.38.5 </w:t>
      </w:r>
      <w:r>
        <w:rPr>
          <w:i/>
          <w:iCs/>
        </w:rPr>
        <w:t xml:space="preserve"> abhí yé mithó vanú</w:t>
      </w:r>
      <w:r>
        <w:rPr>
          <w:i/>
          <w:iCs/>
        </w:rPr>
        <w:t>ṣ</w:t>
      </w:r>
      <w:r>
        <w:rPr>
          <w:i/>
          <w:iCs/>
        </w:rPr>
        <w:t>a</w:t>
      </w:r>
      <w:r>
        <w:rPr>
          <w:i/>
          <w:iCs/>
        </w:rPr>
        <w:t>ḥ</w:t>
      </w:r>
      <w:r>
        <w:rPr>
          <w:i/>
          <w:iCs/>
        </w:rPr>
        <w:t xml:space="preserve"> sápa</w:t>
      </w:r>
      <w:r>
        <w:rPr>
          <w:i/>
          <w:iCs/>
        </w:rPr>
        <w:t>nte</w:t>
      </w:r>
    </w:p>
    <w:p w14:paraId="34DAEF3E" w14:textId="77777777" w:rsidR="00E53EB6" w:rsidRDefault="006500F5">
      <w:pPr>
        <w:pStyle w:val="ZitatnachZitat"/>
        <w:rPr>
          <w:i/>
          <w:iCs/>
        </w:rPr>
      </w:pPr>
      <w:r>
        <w:rPr>
          <w:i/>
          <w:iCs/>
        </w:rPr>
        <w:t>rātí</w:t>
      </w:r>
      <w:r>
        <w:rPr>
          <w:i/>
          <w:iCs/>
        </w:rPr>
        <w:t>ṃ</w:t>
      </w:r>
      <w:r>
        <w:rPr>
          <w:i/>
          <w:iCs/>
        </w:rPr>
        <w:t xml:space="preserve"> divó rāti</w:t>
      </w:r>
      <w:r>
        <w:rPr>
          <w:i/>
          <w:iCs/>
        </w:rPr>
        <w:t>ṣ</w:t>
      </w:r>
      <w:r>
        <w:rPr>
          <w:i/>
          <w:iCs/>
        </w:rPr>
        <w:t>ā́ca</w:t>
      </w:r>
      <w:r>
        <w:rPr>
          <w:i/>
          <w:iCs/>
        </w:rPr>
        <w:t>ḥ</w:t>
      </w:r>
      <w:r>
        <w:rPr>
          <w:i/>
          <w:iCs/>
        </w:rPr>
        <w:t xml:space="preserve"> pr̥thivyā́</w:t>
      </w:r>
      <w:r>
        <w:rPr>
          <w:i/>
          <w:iCs/>
        </w:rPr>
        <w:t>ḥ</w:t>
      </w:r>
    </w:p>
    <w:p w14:paraId="4E18FC9B" w14:textId="77777777" w:rsidR="00E53EB6" w:rsidRDefault="006500F5">
      <w:pPr>
        <w:pStyle w:val="ZitatnachZitat"/>
        <w:rPr>
          <w:i/>
          <w:iCs/>
        </w:rPr>
      </w:pPr>
      <w:r>
        <w:rPr>
          <w:i/>
          <w:iCs/>
        </w:rPr>
        <w:t>áhir budhn</w:t>
      </w:r>
      <w:r>
        <w:rPr>
          <w:i/>
          <w:iCs/>
          <w:vertAlign w:val="subscript"/>
        </w:rPr>
        <w:t>í</w:t>
      </w:r>
      <w:r>
        <w:rPr>
          <w:i/>
          <w:iCs/>
        </w:rPr>
        <w:t>ya utá na</w:t>
      </w:r>
      <w:r>
        <w:rPr>
          <w:i/>
          <w:iCs/>
        </w:rPr>
        <w:t>ḥ</w:t>
      </w:r>
      <w:r>
        <w:rPr>
          <w:i/>
          <w:iCs/>
        </w:rPr>
        <w:t xml:space="preserve"> śr̥</w:t>
      </w:r>
      <w:r>
        <w:rPr>
          <w:i/>
          <w:iCs/>
        </w:rPr>
        <w:t>ṇ</w:t>
      </w:r>
      <w:r>
        <w:rPr>
          <w:i/>
          <w:iCs/>
        </w:rPr>
        <w:t>otu</w:t>
      </w:r>
    </w:p>
    <w:p w14:paraId="2F9FB368" w14:textId="77777777" w:rsidR="00E53EB6" w:rsidRDefault="006500F5">
      <w:pPr>
        <w:pStyle w:val="ZitatnachZitat"/>
        <w:rPr>
          <w:i/>
          <w:iCs/>
        </w:rPr>
      </w:pPr>
      <w:r>
        <w:rPr>
          <w:i/>
          <w:iCs/>
        </w:rPr>
        <w:t>várūtrī ékadhenubhir ní pātu</w:t>
      </w:r>
    </w:p>
    <w:p w14:paraId="1CB2623E" w14:textId="77777777" w:rsidR="00E53EB6" w:rsidRDefault="006500F5">
      <w:pPr>
        <w:pStyle w:val="Zitat"/>
      </w:pPr>
      <w:r>
        <w:t xml:space="preserve">They who </w:t>
      </w:r>
      <w:r>
        <w:rPr>
          <w:u w:val="single"/>
        </w:rPr>
        <w:t>wish to appropriate</w:t>
      </w:r>
      <w:r>
        <w:t xml:space="preserve"> from each others take ahead the gift of the heavens and the earth, having the gift as attribute</w:t>
      </w:r>
      <w:r>
        <w:rPr>
          <w:rStyle w:val="FootnoteAnchor"/>
        </w:rPr>
        <w:footnoteReference w:id="462"/>
      </w:r>
      <w:r>
        <w:t>, and may Ahir Budhnya</w:t>
      </w:r>
      <w:r>
        <w:rPr>
          <w:rStyle w:val="FootnoteAnchor"/>
        </w:rPr>
        <w:footnoteReference w:id="463"/>
      </w:r>
      <w:r>
        <w:t xml:space="preserve"> listen t</w:t>
      </w:r>
      <w:r>
        <w:t>o us,  may the Shielding Goddess</w:t>
      </w:r>
      <w:r>
        <w:rPr>
          <w:rStyle w:val="FootnoteAnchor"/>
        </w:rPr>
        <w:footnoteReference w:id="464"/>
      </w:r>
      <w:r>
        <w:t xml:space="preserve"> with the Ekadhenu</w:t>
      </w:r>
      <w:r>
        <w:rPr>
          <w:rStyle w:val="FootnoteAnchor"/>
        </w:rPr>
        <w:footnoteReference w:id="465"/>
      </w:r>
      <w:r>
        <w:t xml:space="preserve"> protect us.</w:t>
      </w:r>
    </w:p>
    <w:p w14:paraId="026FA69D" w14:textId="77777777" w:rsidR="00E53EB6" w:rsidRDefault="006500F5">
      <w:pPr>
        <w:pStyle w:val="Zitat"/>
      </w:pPr>
      <w:r>
        <w:rPr>
          <w:rFonts w:eastAsia="Arial Unicode MS"/>
          <w:i/>
          <w:iCs/>
        </w:rPr>
        <w:t>vanú</w:t>
      </w:r>
      <w:r>
        <w:rPr>
          <w:rFonts w:eastAsia="Arial Unicode MS"/>
          <w:i/>
          <w:iCs/>
        </w:rPr>
        <w:t>ṣ</w:t>
      </w:r>
      <w:r>
        <w:rPr>
          <w:rFonts w:eastAsia="Arial Unicode MS"/>
          <w:i/>
          <w:iCs/>
        </w:rPr>
        <w:t>a</w:t>
      </w:r>
      <w:r>
        <w:rPr>
          <w:rFonts w:eastAsia="Arial Unicode MS"/>
          <w:i/>
          <w:iCs/>
        </w:rPr>
        <w:t>ḥ</w:t>
      </w:r>
      <w:r>
        <w:rPr>
          <w:rFonts w:eastAsia="Arial Unicode MS"/>
          <w:b/>
        </w:rPr>
        <w:t>:</w:t>
      </w:r>
      <w:r>
        <w:t xml:space="preserve"> nominative masculine plural, from </w:t>
      </w:r>
      <w:r>
        <w:rPr>
          <w:i/>
        </w:rPr>
        <w:t>vanús-</w:t>
      </w:r>
    </w:p>
    <w:p w14:paraId="10579075" w14:textId="77777777" w:rsidR="00E53EB6" w:rsidRPr="00494885" w:rsidRDefault="006500F5">
      <w:pPr>
        <w:pStyle w:val="ZitatmitEinzug"/>
        <w:rPr>
          <w:lang w:val="de-DE"/>
        </w:rPr>
      </w:pPr>
      <w:r w:rsidRPr="00494885">
        <w:rPr>
          <w:smallCaps/>
          <w:lang w:val="de-DE"/>
        </w:rPr>
        <w:t xml:space="preserve">Geldner: </w:t>
      </w:r>
      <w:r w:rsidRPr="00494885">
        <w:rPr>
          <w:lang w:val="de-DE"/>
        </w:rPr>
        <w:t xml:space="preserve">II 220 </w:t>
      </w:r>
      <w:r w:rsidRPr="00494885">
        <w:rPr>
          <w:lang w:val="de-DE"/>
        </w:rPr>
        <w:t xml:space="preserve">“gegenseitig eifersuchtig” </w:t>
      </w:r>
    </w:p>
    <w:p w14:paraId="0A4D8D8F" w14:textId="77777777" w:rsidR="00E53EB6" w:rsidRPr="00494885" w:rsidRDefault="006500F5">
      <w:pPr>
        <w:pStyle w:val="ZitatmitEinzug"/>
        <w:rPr>
          <w:lang w:val="de-DE"/>
        </w:rPr>
      </w:pPr>
      <w:r w:rsidRPr="00494885">
        <w:rPr>
          <w:smallCaps/>
          <w:lang w:val="de-DE"/>
        </w:rPr>
        <w:t>Renou:</w:t>
      </w:r>
      <w:r w:rsidRPr="00494885">
        <w:rPr>
          <w:lang w:val="de-DE"/>
        </w:rPr>
        <w:t xml:space="preserve"> XV 29 “à l’envi les uns des autres”</w:t>
      </w:r>
    </w:p>
    <w:p w14:paraId="5C3C6224" w14:textId="77777777" w:rsidR="00E53EB6" w:rsidRDefault="006500F5">
      <w:pPr>
        <w:pStyle w:val="HaupttextnachZitat"/>
      </w:pPr>
      <w:r>
        <w:t xml:space="preserve">The second attestation is, in the first two </w:t>
      </w:r>
      <w:r>
        <w:rPr>
          <w:i/>
        </w:rPr>
        <w:t>pāda</w:t>
      </w:r>
      <w:r>
        <w:t>s</w:t>
      </w:r>
      <w:r>
        <w:t xml:space="preserve">, fairly clear: we are in the context, already familiar to us through other occurrences, of the rite of clarification of </w:t>
      </w:r>
      <w:r>
        <w:rPr>
          <w:i/>
        </w:rPr>
        <w:t>soma</w:t>
      </w:r>
      <w:r>
        <w:t xml:space="preserve"> and in particular, as is indicated by the terms often used for </w:t>
      </w:r>
      <w:r>
        <w:rPr>
          <w:i/>
          <w:iCs/>
        </w:rPr>
        <w:t>soma</w:t>
      </w:r>
      <w:r>
        <w:t>, in the figur</w:t>
      </w:r>
      <w:r>
        <w:t xml:space="preserve">al field of the horse race. The last part of the stanza, however, is not so clear: the meaning of </w:t>
      </w:r>
      <w:r>
        <w:rPr>
          <w:i/>
        </w:rPr>
        <w:t xml:space="preserve">pāda </w:t>
      </w:r>
      <w:r>
        <w:t xml:space="preserve">c, </w:t>
      </w:r>
      <w:r>
        <w:rPr>
          <w:i/>
        </w:rPr>
        <w:t>sī́danto vanú</w:t>
      </w:r>
      <w:r>
        <w:rPr>
          <w:i/>
        </w:rPr>
        <w:t>ṣ</w:t>
      </w:r>
      <w:r>
        <w:rPr>
          <w:i/>
        </w:rPr>
        <w:t xml:space="preserve">o yathā, </w:t>
      </w:r>
      <w:r>
        <w:t xml:space="preserve">has been interpreted in various ways, but always through an interpolation: </w:t>
      </w:r>
      <w:r>
        <w:rPr>
          <w:smallCaps/>
        </w:rPr>
        <w:t>Renou</w:t>
      </w:r>
      <w:r>
        <w:t xml:space="preserve"> (VIII, 39) takes there to be a principal “s’ a</w:t>
      </w:r>
      <w:r>
        <w:t xml:space="preserve">sseyant au séjour du Rta” ; </w:t>
      </w:r>
      <w:r>
        <w:rPr>
          <w:smallCaps/>
        </w:rPr>
        <w:t>Geldner</w:t>
      </w:r>
      <w:r>
        <w:t xml:space="preserve"> (III, 50) substitutes </w:t>
      </w:r>
      <w:r>
        <w:rPr>
          <w:i/>
        </w:rPr>
        <w:t>sīdanta</w:t>
      </w:r>
      <w:r>
        <w:rPr>
          <w:i/>
        </w:rPr>
        <w:t>ḥ</w:t>
      </w:r>
      <w:r>
        <w:t xml:space="preserve"> with </w:t>
      </w:r>
      <w:r>
        <w:rPr>
          <w:i/>
        </w:rPr>
        <w:t>sādina</w:t>
      </w:r>
      <w:r>
        <w:rPr>
          <w:i/>
        </w:rPr>
        <w:t>ḥ</w:t>
      </w:r>
      <w:r>
        <w:rPr>
          <w:i/>
        </w:rPr>
        <w:t>:</w:t>
      </w:r>
      <w:r>
        <w:t xml:space="preserve"> “wetteifernden Reiter”; but a third interpretation also seems possible: the </w:t>
      </w:r>
      <w:r>
        <w:rPr>
          <w:i/>
        </w:rPr>
        <w:t>vanú</w:t>
      </w:r>
      <w:r>
        <w:rPr>
          <w:i/>
        </w:rPr>
        <w:t>ṣ</w:t>
      </w:r>
      <w:r>
        <w:rPr>
          <w:i/>
        </w:rPr>
        <w:t>a</w:t>
      </w:r>
      <w:r>
        <w:rPr>
          <w:i/>
        </w:rPr>
        <w:t>ḥ</w:t>
      </w:r>
      <w:r>
        <w:rPr>
          <w:i/>
        </w:rPr>
        <w:t xml:space="preserve"> </w:t>
      </w:r>
      <w:r>
        <w:t xml:space="preserve">“those who wish to appropriate” are, in the most frequent sense of </w:t>
      </w:r>
      <w:r>
        <w:rPr>
          <w:i/>
        </w:rPr>
        <w:t>vanús-</w:t>
      </w:r>
      <w:r>
        <w:t>, the eneimies, th</w:t>
      </w:r>
      <w:r>
        <w:t xml:space="preserve">e antagonists (rather </w:t>
      </w:r>
      <w:r>
        <w:lastRenderedPageBreak/>
        <w:t>than the devout), while the seated posture (</w:t>
      </w:r>
      <w:r>
        <w:rPr>
          <w:i/>
        </w:rPr>
        <w:t>sī́danta</w:t>
      </w:r>
      <w:r>
        <w:rPr>
          <w:i/>
        </w:rPr>
        <w:t>ḥ</w:t>
      </w:r>
      <w:r>
        <w:rPr>
          <w:i/>
        </w:rPr>
        <w:t xml:space="preserve"> -</w:t>
      </w:r>
      <w:r>
        <w:t xml:space="preserve"> present participle-) of the </w:t>
      </w:r>
      <w:r>
        <w:rPr>
          <w:i/>
        </w:rPr>
        <w:t>vanú</w:t>
      </w:r>
      <w:r>
        <w:rPr>
          <w:i/>
        </w:rPr>
        <w:t>ṣ</w:t>
      </w:r>
      <w:r>
        <w:rPr>
          <w:i/>
        </w:rPr>
        <w:t>a</w:t>
      </w:r>
      <w:r>
        <w:rPr>
          <w:i/>
        </w:rPr>
        <w:t>ḥ</w:t>
      </w:r>
      <w:r>
        <w:t xml:space="preserve"> seems to take on a very clear significance when seen in contrast to the movement of the </w:t>
      </w:r>
      <w:r>
        <w:rPr>
          <w:i/>
        </w:rPr>
        <w:t>soma</w:t>
      </w:r>
      <w:r>
        <w:t xml:space="preserve"> (</w:t>
      </w:r>
      <w:r>
        <w:rPr>
          <w:i/>
        </w:rPr>
        <w:t>akramīt –</w:t>
      </w:r>
      <w:r>
        <w:t>aorist-</w:t>
      </w:r>
      <w:r>
        <w:t xml:space="preserve">), which in fact “leapt” on the </w:t>
      </w:r>
      <w:r>
        <w:t>prize of victory; all this seems to suggest that the soma, rapid as it is, having gained victory, its enemies find themselves, in every sense, seated.</w:t>
      </w:r>
    </w:p>
    <w:p w14:paraId="138DEBF4" w14:textId="77777777" w:rsidR="00E53EB6" w:rsidRDefault="006500F5">
      <w:pPr>
        <w:pStyle w:val="Zitat"/>
      </w:pPr>
      <w:r>
        <w:t xml:space="preserve">9.64.29 </w:t>
      </w:r>
      <w:r>
        <w:rPr>
          <w:i/>
          <w:iCs/>
        </w:rPr>
        <w:t>hinvānó hetŕ̥bhir yatá</w:t>
      </w:r>
    </w:p>
    <w:p w14:paraId="46A1A032" w14:textId="77777777" w:rsidR="00E53EB6" w:rsidRDefault="006500F5">
      <w:pPr>
        <w:pStyle w:val="ZitatnachZitat"/>
        <w:rPr>
          <w:i/>
          <w:iCs/>
        </w:rPr>
      </w:pPr>
      <w:r>
        <w:rPr>
          <w:i/>
          <w:iCs/>
        </w:rPr>
        <w:t>ā́ vā́ja</w:t>
      </w:r>
      <w:r>
        <w:rPr>
          <w:i/>
          <w:iCs/>
        </w:rPr>
        <w:t>ṃ</w:t>
      </w:r>
      <w:r>
        <w:rPr>
          <w:i/>
          <w:iCs/>
        </w:rPr>
        <w:t xml:space="preserve"> vājī́ akramīt</w:t>
      </w:r>
    </w:p>
    <w:p w14:paraId="418B6C9D" w14:textId="77777777" w:rsidR="00E53EB6" w:rsidRDefault="006500F5">
      <w:pPr>
        <w:pStyle w:val="ZitatnachZitat"/>
        <w:rPr>
          <w:i/>
          <w:iCs/>
        </w:rPr>
      </w:pPr>
      <w:r>
        <w:rPr>
          <w:i/>
          <w:iCs/>
        </w:rPr>
        <w:t>sī́danto vanú</w:t>
      </w:r>
      <w:r>
        <w:rPr>
          <w:i/>
          <w:iCs/>
        </w:rPr>
        <w:t>ṣ</w:t>
      </w:r>
      <w:r>
        <w:rPr>
          <w:i/>
          <w:iCs/>
        </w:rPr>
        <w:t>o yathā</w:t>
      </w:r>
    </w:p>
    <w:p w14:paraId="1CD2A3B2" w14:textId="77777777" w:rsidR="00E53EB6" w:rsidRDefault="006500F5">
      <w:pPr>
        <w:pStyle w:val="Zitat"/>
      </w:pPr>
      <w:r>
        <w:t>Incited by the inciters, he</w:t>
      </w:r>
      <w:r>
        <w:t xml:space="preserve">ld, the racer leapt on the prize of victory, so that those </w:t>
      </w:r>
      <w:r>
        <w:rPr>
          <w:u w:val="single"/>
        </w:rPr>
        <w:t>who wished to appropriate</w:t>
      </w:r>
      <w:r>
        <w:t xml:space="preserve"> it found themselves seated.</w:t>
      </w:r>
    </w:p>
    <w:p w14:paraId="57DEA347" w14:textId="77777777" w:rsidR="00E53EB6" w:rsidRDefault="006500F5">
      <w:pPr>
        <w:pStyle w:val="Zitat"/>
      </w:pPr>
      <w:r>
        <w:rPr>
          <w:rFonts w:eastAsia="Arial Unicode MS"/>
          <w:i/>
          <w:iCs/>
        </w:rPr>
        <w:t>vanú</w:t>
      </w:r>
      <w:r>
        <w:rPr>
          <w:rFonts w:eastAsia="Arial Unicode MS"/>
          <w:i/>
          <w:iCs/>
        </w:rPr>
        <w:t>ṣ</w:t>
      </w:r>
      <w:r>
        <w:rPr>
          <w:rFonts w:eastAsia="Arial Unicode MS"/>
          <w:i/>
          <w:iCs/>
        </w:rPr>
        <w:t>a</w:t>
      </w:r>
      <w:r>
        <w:rPr>
          <w:rFonts w:eastAsia="Arial Unicode MS"/>
          <w:i/>
          <w:iCs/>
        </w:rPr>
        <w:t>ḥ</w:t>
      </w:r>
      <w:r>
        <w:rPr>
          <w:rStyle w:val="CarattereCarattere"/>
          <w:rFonts w:ascii="Sabon Unicode" w:hAnsi="Sabon Unicode" w:cs="Times Ext Roman;Times New Roman"/>
          <w:b w:val="0"/>
          <w:bCs w:val="0"/>
          <w:sz w:val="18"/>
          <w:szCs w:val="18"/>
          <w:lang w:val="en-GB"/>
        </w:rPr>
        <w:t>:</w:t>
      </w:r>
      <w:r>
        <w:t xml:space="preserve"> nominative masculine plural from  </w:t>
      </w:r>
      <w:r>
        <w:rPr>
          <w:i/>
        </w:rPr>
        <w:t>vanús</w:t>
      </w:r>
    </w:p>
    <w:p w14:paraId="132ABCCD" w14:textId="77777777" w:rsidR="00E53EB6" w:rsidRPr="00494885" w:rsidRDefault="006500F5">
      <w:pPr>
        <w:pStyle w:val="ZitatmitEinzug"/>
        <w:rPr>
          <w:lang w:val="de-DE"/>
        </w:rPr>
      </w:pPr>
      <w:r w:rsidRPr="00494885">
        <w:rPr>
          <w:smallCaps/>
          <w:lang w:val="de-DE"/>
        </w:rPr>
        <w:t>Geldner:</w:t>
      </w:r>
      <w:r w:rsidRPr="00494885">
        <w:rPr>
          <w:lang w:val="de-DE"/>
        </w:rPr>
        <w:t xml:space="preserve"> III 50 </w:t>
      </w:r>
      <w:r w:rsidRPr="00494885">
        <w:rPr>
          <w:lang w:val="de-DE"/>
        </w:rPr>
        <w:t>“Wetteifernden”</w:t>
      </w:r>
    </w:p>
    <w:p w14:paraId="6999CE6D" w14:textId="77777777" w:rsidR="00E53EB6" w:rsidRPr="00494885" w:rsidRDefault="006500F5">
      <w:pPr>
        <w:pStyle w:val="ZitatmitEinzug"/>
        <w:rPr>
          <w:lang w:val="de-DE"/>
        </w:rPr>
      </w:pPr>
      <w:r w:rsidRPr="00494885">
        <w:rPr>
          <w:smallCaps/>
          <w:lang w:val="de-DE"/>
        </w:rPr>
        <w:t>Renou:</w:t>
      </w:r>
      <w:r w:rsidRPr="00494885">
        <w:rPr>
          <w:lang w:val="de-DE"/>
        </w:rPr>
        <w:t xml:space="preserve"> VIII 39 “dévots”</w:t>
      </w:r>
    </w:p>
    <w:p w14:paraId="4C911027" w14:textId="77777777" w:rsidR="00E53EB6" w:rsidRPr="00494885" w:rsidRDefault="00E53EB6">
      <w:pPr>
        <w:pStyle w:val="ZitatmitEinzug"/>
        <w:rPr>
          <w:lang w:val="de-DE"/>
        </w:rPr>
      </w:pPr>
    </w:p>
    <w:p w14:paraId="742578DD" w14:textId="77777777" w:rsidR="00E53EB6" w:rsidRPr="00494885" w:rsidRDefault="00E53EB6">
      <w:pPr>
        <w:pStyle w:val="ZitatmitEinzug"/>
        <w:rPr>
          <w:lang w:val="de-DE"/>
        </w:rPr>
      </w:pPr>
    </w:p>
    <w:p w14:paraId="5C9AA82D" w14:textId="77777777" w:rsidR="00E53EB6" w:rsidRDefault="006500F5">
      <w:pPr>
        <w:pStyle w:val="Heading4"/>
        <w:tabs>
          <w:tab w:val="left" w:pos="0"/>
        </w:tabs>
      </w:pPr>
      <w:r>
        <w:t>2- v</w:t>
      </w:r>
      <w:r>
        <w:rPr>
          <w:i/>
        </w:rPr>
        <w:t>anú</w:t>
      </w:r>
      <w:r>
        <w:t>-</w:t>
      </w:r>
    </w:p>
    <w:p w14:paraId="3432A3C9" w14:textId="77777777" w:rsidR="00E53EB6" w:rsidRDefault="006500F5">
      <w:pPr>
        <w:pStyle w:val="Hauptext"/>
      </w:pPr>
      <w:r>
        <w:rPr>
          <w:rFonts w:eastAsia="Arial Unicode MS"/>
        </w:rPr>
        <w:t xml:space="preserve">Another derivative which can be taken to be much the same as </w:t>
      </w:r>
      <w:r>
        <w:rPr>
          <w:rFonts w:eastAsia="Arial Unicode MS"/>
          <w:i/>
        </w:rPr>
        <w:t>vanús-</w:t>
      </w:r>
      <w:r>
        <w:rPr>
          <w:rFonts w:eastAsia="Arial Unicode MS"/>
        </w:rPr>
        <w:t xml:space="preserve"> (cf. AiGr: III §151α) and at the same time associated with the verbal adjectives </w:t>
      </w:r>
      <w:r>
        <w:rPr>
          <w:i/>
        </w:rPr>
        <w:t>vánīyas- / váni</w:t>
      </w:r>
      <w:r>
        <w:rPr>
          <w:i/>
        </w:rPr>
        <w:t>ṣṭ</w:t>
      </w:r>
      <w:r>
        <w:rPr>
          <w:i/>
        </w:rPr>
        <w:t>ha-</w:t>
      </w:r>
      <w:r>
        <w:rPr>
          <w:rFonts w:eastAsia="Arial Unicode MS"/>
        </w:rPr>
        <w:t xml:space="preserve"> (cf. AiGr: II 2 §273c), is the adjective </w:t>
      </w:r>
      <w:r>
        <w:rPr>
          <w:rFonts w:eastAsia="Arial Unicode MS"/>
          <w:i/>
        </w:rPr>
        <w:t>vanú-</w:t>
      </w:r>
      <w:r>
        <w:rPr>
          <w:rFonts w:eastAsia="Arial Unicode MS"/>
        </w:rPr>
        <w:t>.</w:t>
      </w:r>
    </w:p>
    <w:p w14:paraId="15C21CE8" w14:textId="77777777" w:rsidR="00E53EB6" w:rsidRDefault="006500F5">
      <w:pPr>
        <w:pStyle w:val="HaupttextohneEinzug"/>
      </w:pPr>
      <w:r>
        <w:rPr>
          <w:rFonts w:eastAsia="Arial Unicode MS"/>
          <w:smallCaps/>
        </w:rPr>
        <w:t>Renou</w:t>
      </w:r>
      <w:r>
        <w:rPr>
          <w:rFonts w:eastAsia="Arial Unicode MS"/>
        </w:rPr>
        <w:t xml:space="preserve"> (1939: 182) finds in this deriva</w:t>
      </w:r>
      <w:r>
        <w:rPr>
          <w:rFonts w:eastAsia="Arial Unicode MS"/>
        </w:rPr>
        <w:t xml:space="preserve">tive the same ambivalence encountered, albeit to a considerably lesser extent, as we have seen, with the adjective </w:t>
      </w:r>
      <w:r>
        <w:rPr>
          <w:rFonts w:eastAsia="Arial Unicode MS"/>
          <w:i/>
        </w:rPr>
        <w:t>vanús-</w:t>
      </w:r>
      <w:r>
        <w:rPr>
          <w:rFonts w:eastAsia="Arial Unicode MS"/>
        </w:rPr>
        <w:t xml:space="preserve">, while </w:t>
      </w:r>
      <w:r>
        <w:rPr>
          <w:rFonts w:eastAsia="Arial Unicode MS"/>
          <w:smallCaps/>
        </w:rPr>
        <w:t>Mayrhofer</w:t>
      </w:r>
      <w:r>
        <w:rPr>
          <w:rFonts w:eastAsia="Arial Unicode MS"/>
        </w:rPr>
        <w:t xml:space="preserve"> (“Die Altiranische namen” point 72) translates it with the German “begehrend”. This difference is due to two factors </w:t>
      </w:r>
      <w:r>
        <w:rPr>
          <w:rFonts w:eastAsia="Arial Unicode MS"/>
        </w:rPr>
        <w:t>which make it very difficult to arrive at a definitive solution to the question.</w:t>
      </w:r>
    </w:p>
    <w:p w14:paraId="52DB9D50" w14:textId="77777777" w:rsidR="00E53EB6" w:rsidRDefault="006500F5">
      <w:pPr>
        <w:pStyle w:val="HaupttextohneEinzug"/>
      </w:pPr>
      <w:r>
        <w:rPr>
          <w:rFonts w:eastAsia="Arial Unicode MS"/>
        </w:rPr>
        <w:t xml:space="preserve">The first factor is, in fact, the scant number of attestations, granting little support to any hypothesis: this adjective is to be found only in two points in the </w:t>
      </w:r>
      <w:r>
        <w:rPr>
          <w:rFonts w:eastAsia="Arial Unicode MS"/>
          <w:i/>
          <w:iCs/>
        </w:rPr>
        <w:t>R̥gveda Sa</w:t>
      </w:r>
      <w:r>
        <w:rPr>
          <w:rFonts w:eastAsia="Arial Unicode MS"/>
          <w:i/>
          <w:iCs/>
        </w:rPr>
        <w:t>ṃ</w:t>
      </w:r>
      <w:r>
        <w:rPr>
          <w:rFonts w:eastAsia="Arial Unicode MS"/>
          <w:i/>
          <w:iCs/>
        </w:rPr>
        <w:t>h</w:t>
      </w:r>
      <w:r>
        <w:rPr>
          <w:rFonts w:eastAsia="Arial Unicode MS"/>
          <w:i/>
          <w:iCs/>
        </w:rPr>
        <w:t>itā</w:t>
      </w:r>
      <w:r>
        <w:rPr>
          <w:rFonts w:eastAsia="Arial Unicode MS"/>
        </w:rPr>
        <w:t xml:space="preserve">. To this is added the second factor: in one of the two attestations (4.30.5) the adjective </w:t>
      </w:r>
      <w:r>
        <w:rPr>
          <w:rFonts w:eastAsia="Arial Unicode MS"/>
          <w:i/>
        </w:rPr>
        <w:t>vanú-</w:t>
      </w:r>
      <w:r>
        <w:rPr>
          <w:rFonts w:eastAsia="Arial Unicode MS"/>
        </w:rPr>
        <w:t xml:space="preserve"> has a clearly negative value, despite the fact that</w:t>
      </w:r>
      <w:r>
        <w:t xml:space="preserve"> </w:t>
      </w:r>
      <w:r>
        <w:rPr>
          <w:smallCaps/>
        </w:rPr>
        <w:t>Migron</w:t>
      </w:r>
      <w:r>
        <w:t xml:space="preserve"> (1980: 278 n. 47) translates the adjective with “(previously) victorious”, associating it with t</w:t>
      </w:r>
      <w:r>
        <w:t>he gods “once victorious” and now defeated by Indra</w:t>
      </w:r>
      <w:r>
        <w:rPr>
          <w:rFonts w:eastAsia="Arial Unicode MS"/>
        </w:rPr>
        <w:t xml:space="preserve">, while in the second attestation (10.74.1) we can hardly help reading it in the positive sense with which it is used. Bearing in mind the indeterminate (unpredictable) nature of the situation, following </w:t>
      </w:r>
      <w:r>
        <w:rPr>
          <w:rFonts w:eastAsia="Arial Unicode MS"/>
          <w:smallCaps/>
        </w:rPr>
        <w:t>R</w:t>
      </w:r>
      <w:r>
        <w:rPr>
          <w:rFonts w:eastAsia="Arial Unicode MS"/>
          <w:smallCaps/>
        </w:rPr>
        <w:t>enou’</w:t>
      </w:r>
      <w:r>
        <w:rPr>
          <w:rFonts w:eastAsia="Arial Unicode MS"/>
        </w:rPr>
        <w:t xml:space="preserve">s hypothesis of a recurrence here of the ambiguity detected in the adjective </w:t>
      </w:r>
      <w:r>
        <w:rPr>
          <w:rFonts w:eastAsia="Arial Unicode MS"/>
          <w:i/>
        </w:rPr>
        <w:t>vanús-</w:t>
      </w:r>
      <w:r>
        <w:rPr>
          <w:rFonts w:eastAsia="Arial Unicode MS"/>
        </w:rPr>
        <w:t>, we can only look to the attestations where this adjective takes on a positive sense or, better, return to that aspect of the verb root which the poet adopted in these</w:t>
      </w:r>
      <w:r>
        <w:rPr>
          <w:rFonts w:eastAsia="Arial Unicode MS"/>
        </w:rPr>
        <w:t xml:space="preserve"> cases, and see whether we might take the negative sense as being due, in analogy with </w:t>
      </w:r>
      <w:r>
        <w:rPr>
          <w:rFonts w:eastAsia="Arial Unicode MS"/>
          <w:i/>
        </w:rPr>
        <w:t>vanús-</w:t>
      </w:r>
      <w:r>
        <w:rPr>
          <w:rFonts w:eastAsia="Arial Unicode MS"/>
        </w:rPr>
        <w:t xml:space="preserve">, to the meaning “to conquer” “to dominate”, and the positive sense thus arising from the “sacrificial” value of </w:t>
      </w:r>
      <w:r>
        <w:rPr>
          <w:i/>
          <w:szCs w:val="24"/>
        </w:rPr>
        <w:t>van- / van</w:t>
      </w:r>
      <w:r>
        <w:rPr>
          <w:i/>
          <w:szCs w:val="24"/>
          <w:vertAlign w:val="superscript"/>
        </w:rPr>
        <w:t>i</w:t>
      </w:r>
      <w:r>
        <w:rPr>
          <w:i/>
          <w:szCs w:val="24"/>
        </w:rPr>
        <w:t>-</w:t>
      </w:r>
      <w:r>
        <w:rPr>
          <w:rFonts w:eastAsia="Arial Unicode MS"/>
        </w:rPr>
        <w:t>, which we have in fact seen also occu</w:t>
      </w:r>
      <w:r>
        <w:rPr>
          <w:rFonts w:eastAsia="Arial Unicode MS"/>
        </w:rPr>
        <w:t xml:space="preserve">rring in some of the “positive” attestations of di </w:t>
      </w:r>
      <w:r>
        <w:rPr>
          <w:rFonts w:eastAsia="Arial Unicode MS"/>
          <w:i/>
        </w:rPr>
        <w:t>vanús-</w:t>
      </w:r>
      <w:r>
        <w:rPr>
          <w:rFonts w:eastAsia="Arial Unicode MS"/>
        </w:rPr>
        <w:t xml:space="preserve"> (cf.</w:t>
      </w:r>
      <w:r>
        <w:t xml:space="preserve"> 1.150.3 and 3.27.11)</w:t>
      </w:r>
      <w:r>
        <w:rPr>
          <w:rFonts w:eastAsia="Arial Unicode MS"/>
        </w:rPr>
        <w:t>. However, we still have the great stumbling block consisting in the fact that there are only two attestations: for any hypothesis we may venture, the possibility of compari</w:t>
      </w:r>
      <w:r>
        <w:rPr>
          <w:rFonts w:eastAsia="Arial Unicode MS"/>
        </w:rPr>
        <w:t xml:space="preserve">son and confirmation or exclusion lies only in indirect comparison with other forms among the derivatives of </w:t>
      </w:r>
      <w:r>
        <w:rPr>
          <w:i/>
          <w:szCs w:val="24"/>
        </w:rPr>
        <w:t>van- / van</w:t>
      </w:r>
      <w:r>
        <w:rPr>
          <w:i/>
          <w:szCs w:val="24"/>
          <w:vertAlign w:val="superscript"/>
        </w:rPr>
        <w:t>i</w:t>
      </w:r>
      <w:r>
        <w:rPr>
          <w:i/>
          <w:szCs w:val="24"/>
        </w:rPr>
        <w:t>-</w:t>
      </w:r>
      <w:r>
        <w:rPr>
          <w:rFonts w:eastAsia="Arial Unicode MS"/>
        </w:rPr>
        <w:t xml:space="preserve"> or any possible paradigmatic comparisons.</w:t>
      </w:r>
    </w:p>
    <w:p w14:paraId="4E2EE645" w14:textId="77777777" w:rsidR="00E53EB6" w:rsidRDefault="006500F5">
      <w:pPr>
        <w:pStyle w:val="Zitat"/>
      </w:pPr>
      <w:r>
        <w:t xml:space="preserve">4.30.5 </w:t>
      </w:r>
      <w:r>
        <w:rPr>
          <w:i/>
          <w:iCs/>
        </w:rPr>
        <w:t>yátra devā́m̐ r̥ghāyató</w:t>
      </w:r>
    </w:p>
    <w:p w14:paraId="7844C798" w14:textId="77777777" w:rsidR="00E53EB6" w:rsidRDefault="006500F5">
      <w:pPr>
        <w:pStyle w:val="ZitatnachZitat"/>
        <w:rPr>
          <w:i/>
          <w:iCs/>
        </w:rPr>
      </w:pPr>
      <w:r>
        <w:rPr>
          <w:i/>
          <w:iCs/>
        </w:rPr>
        <w:t>víśvām̐ áyudhya éka ít</w:t>
      </w:r>
    </w:p>
    <w:p w14:paraId="01AA0CF5" w14:textId="77777777" w:rsidR="00E53EB6" w:rsidRDefault="006500F5">
      <w:pPr>
        <w:pStyle w:val="ZitatnachZitat"/>
        <w:rPr>
          <w:i/>
          <w:iCs/>
        </w:rPr>
      </w:pPr>
      <w:r>
        <w:rPr>
          <w:i/>
          <w:iCs/>
        </w:rPr>
        <w:t>tuvám indra vanū́m̐r áhan</w:t>
      </w:r>
    </w:p>
    <w:p w14:paraId="73BFB47E" w14:textId="77777777" w:rsidR="00E53EB6" w:rsidRDefault="006500F5">
      <w:pPr>
        <w:pStyle w:val="Zitat"/>
      </w:pPr>
      <w:r>
        <w:t>Where you fo</w:t>
      </w:r>
      <w:r>
        <w:t xml:space="preserve">ught the gods who attacked you with violence, all, you alone; you, Indra, killed those </w:t>
      </w:r>
      <w:r>
        <w:rPr>
          <w:u w:val="single"/>
        </w:rPr>
        <w:t>who wished to appropriate</w:t>
      </w:r>
      <w:r>
        <w:t xml:space="preserve"> you.</w:t>
      </w:r>
    </w:p>
    <w:p w14:paraId="1C7C4D66" w14:textId="77777777" w:rsidR="00E53EB6" w:rsidRPr="00494885" w:rsidRDefault="006500F5">
      <w:pPr>
        <w:pStyle w:val="Zitat"/>
        <w:rPr>
          <w:lang w:val="it-IT"/>
        </w:rPr>
      </w:pPr>
      <w:r w:rsidRPr="00494885">
        <w:rPr>
          <w:rStyle w:val="CarattereCarattere"/>
          <w:rFonts w:ascii="Sabon Unicode" w:hAnsi="Sabon Unicode" w:cs="Times Ext Roman;Times New Roman"/>
          <w:b w:val="0"/>
          <w:bCs w:val="0"/>
          <w:i/>
          <w:iCs/>
          <w:sz w:val="18"/>
          <w:szCs w:val="18"/>
        </w:rPr>
        <w:t>van</w:t>
      </w:r>
      <w:r w:rsidRPr="00494885">
        <w:rPr>
          <w:rFonts w:eastAsia="Arial Unicode MS"/>
          <w:i/>
          <w:iCs/>
          <w:lang w:val="it-IT"/>
        </w:rPr>
        <w:t>ū́</w:t>
      </w:r>
      <w:r w:rsidRPr="00494885">
        <w:rPr>
          <w:rStyle w:val="CarattereCarattere"/>
          <w:rFonts w:ascii="Sabon Unicode" w:hAnsi="Sabon Unicode" w:cs="Times Ext Roman;Times New Roman"/>
          <w:b w:val="0"/>
          <w:bCs w:val="0"/>
          <w:i/>
          <w:iCs/>
          <w:sz w:val="18"/>
          <w:szCs w:val="18"/>
        </w:rPr>
        <w:t>n:</w:t>
      </w:r>
      <w:r w:rsidRPr="00494885">
        <w:rPr>
          <w:rFonts w:eastAsia="Arial Unicode MS"/>
          <w:lang w:val="it-IT"/>
        </w:rPr>
        <w:t xml:space="preserve"> accusative masculine plural</w:t>
      </w:r>
      <w:r w:rsidRPr="00494885">
        <w:rPr>
          <w:rFonts w:eastAsia="Arial Unicode MS"/>
          <w:lang w:val="it-IT"/>
        </w:rPr>
        <w:tab/>
        <w:t xml:space="preserve"> </w:t>
      </w:r>
    </w:p>
    <w:p w14:paraId="67B1F83A" w14:textId="77777777" w:rsidR="00E53EB6" w:rsidRPr="00494885" w:rsidRDefault="006500F5">
      <w:pPr>
        <w:pStyle w:val="ZitatnachZitat"/>
        <w:rPr>
          <w:lang w:val="it-IT"/>
        </w:rPr>
      </w:pPr>
      <w:r w:rsidRPr="00494885">
        <w:rPr>
          <w:rFonts w:eastAsia="Arial Unicode MS"/>
          <w:smallCaps/>
          <w:lang w:val="it-IT"/>
        </w:rPr>
        <w:lastRenderedPageBreak/>
        <w:t xml:space="preserve">Geldner: </w:t>
      </w:r>
      <w:r w:rsidRPr="00494885">
        <w:rPr>
          <w:rFonts w:eastAsia="Arial Unicode MS"/>
          <w:lang w:val="it-IT"/>
        </w:rPr>
        <w:t xml:space="preserve">I 458 </w:t>
      </w:r>
      <w:r w:rsidRPr="00494885">
        <w:rPr>
          <w:rFonts w:eastAsia="Arial Unicode MS"/>
          <w:lang w:val="it-IT"/>
        </w:rPr>
        <w:t xml:space="preserve">“Vanu’s” </w:t>
      </w:r>
    </w:p>
    <w:p w14:paraId="318CAF6C" w14:textId="77777777" w:rsidR="00E53EB6" w:rsidRPr="00494885" w:rsidRDefault="006500F5">
      <w:pPr>
        <w:pStyle w:val="ZitatnachZitat"/>
        <w:rPr>
          <w:rFonts w:eastAsia="Arial Unicode MS"/>
          <w:szCs w:val="18"/>
          <w:lang w:val="it-IT"/>
        </w:rPr>
      </w:pPr>
      <w:r w:rsidRPr="00494885">
        <w:rPr>
          <w:rFonts w:eastAsia="Arial Unicode MS"/>
          <w:szCs w:val="18"/>
          <w:lang w:val="it-IT"/>
        </w:rPr>
        <w:tab/>
      </w:r>
    </w:p>
    <w:p w14:paraId="7D32A0B7" w14:textId="77777777" w:rsidR="00E53EB6" w:rsidRPr="00494885" w:rsidRDefault="006500F5">
      <w:pPr>
        <w:pStyle w:val="Zitat"/>
        <w:rPr>
          <w:lang w:val="it-IT"/>
        </w:rPr>
      </w:pPr>
      <w:r w:rsidRPr="00494885">
        <w:rPr>
          <w:lang w:val="it-IT"/>
        </w:rPr>
        <w:t xml:space="preserve">10.74.1  </w:t>
      </w:r>
      <w:r w:rsidRPr="00494885">
        <w:rPr>
          <w:i/>
          <w:iCs/>
          <w:lang w:val="it-IT"/>
        </w:rPr>
        <w:t>vásūnā</w:t>
      </w:r>
      <w:r w:rsidRPr="00494885">
        <w:rPr>
          <w:i/>
          <w:iCs/>
          <w:lang w:val="it-IT"/>
        </w:rPr>
        <w:t>ṃ</w:t>
      </w:r>
      <w:r w:rsidRPr="00494885">
        <w:rPr>
          <w:i/>
          <w:iCs/>
          <w:lang w:val="it-IT"/>
        </w:rPr>
        <w:t xml:space="preserve"> vā carkr̥</w:t>
      </w:r>
      <w:r w:rsidRPr="00494885">
        <w:rPr>
          <w:i/>
          <w:iCs/>
          <w:lang w:val="it-IT"/>
        </w:rPr>
        <w:t>ṣ</w:t>
      </w:r>
      <w:r w:rsidRPr="00494885">
        <w:rPr>
          <w:i/>
          <w:iCs/>
          <w:lang w:val="it-IT"/>
        </w:rPr>
        <w:t>e íyak</w:t>
      </w:r>
      <w:r w:rsidRPr="00494885">
        <w:rPr>
          <w:i/>
          <w:iCs/>
          <w:lang w:val="it-IT"/>
        </w:rPr>
        <w:t>ṣ</w:t>
      </w:r>
      <w:r w:rsidRPr="00494885">
        <w:rPr>
          <w:i/>
          <w:iCs/>
          <w:lang w:val="it-IT"/>
        </w:rPr>
        <w:t>an</w:t>
      </w:r>
    </w:p>
    <w:p w14:paraId="1A4C8E8F" w14:textId="77777777" w:rsidR="00E53EB6" w:rsidRPr="00494885" w:rsidRDefault="006500F5">
      <w:pPr>
        <w:pStyle w:val="ZitatnachZitat"/>
        <w:rPr>
          <w:i/>
          <w:iCs/>
          <w:lang w:val="it-IT"/>
        </w:rPr>
      </w:pPr>
      <w:r w:rsidRPr="00494885">
        <w:rPr>
          <w:i/>
          <w:iCs/>
          <w:lang w:val="it-IT"/>
        </w:rPr>
        <w:t xml:space="preserve">dhiyā́ vā  yajñaír vā </w:t>
      </w:r>
      <w:r w:rsidRPr="00494885">
        <w:rPr>
          <w:i/>
          <w:iCs/>
          <w:lang w:val="it-IT"/>
        </w:rPr>
        <w:t>ródasīyo</w:t>
      </w:r>
      <w:r w:rsidRPr="00494885">
        <w:rPr>
          <w:i/>
          <w:iCs/>
          <w:lang w:val="it-IT"/>
        </w:rPr>
        <w:t>ḥ</w:t>
      </w:r>
    </w:p>
    <w:p w14:paraId="0605C404" w14:textId="77777777" w:rsidR="00E53EB6" w:rsidRPr="00494885" w:rsidRDefault="006500F5">
      <w:pPr>
        <w:pStyle w:val="ZitatnachZitat"/>
        <w:rPr>
          <w:i/>
          <w:iCs/>
          <w:lang w:val="it-IT"/>
        </w:rPr>
      </w:pPr>
      <w:r w:rsidRPr="00494885">
        <w:rPr>
          <w:i/>
          <w:iCs/>
          <w:lang w:val="it-IT"/>
        </w:rPr>
        <w:t>árvanto vā yé rayimánta</w:t>
      </w:r>
      <w:r w:rsidRPr="00494885">
        <w:rPr>
          <w:i/>
          <w:iCs/>
          <w:lang w:val="it-IT"/>
        </w:rPr>
        <w:t>ḥ</w:t>
      </w:r>
      <w:r w:rsidRPr="00494885">
        <w:rPr>
          <w:i/>
          <w:iCs/>
          <w:lang w:val="it-IT"/>
        </w:rPr>
        <w:t xml:space="preserve"> sātaú</w:t>
      </w:r>
    </w:p>
    <w:p w14:paraId="263D8C8B" w14:textId="77777777" w:rsidR="00E53EB6" w:rsidRPr="00494885" w:rsidRDefault="006500F5">
      <w:pPr>
        <w:pStyle w:val="ZitatnachZitat"/>
        <w:rPr>
          <w:i/>
          <w:iCs/>
          <w:lang w:val="it-IT"/>
        </w:rPr>
      </w:pPr>
      <w:r w:rsidRPr="00494885">
        <w:rPr>
          <w:i/>
          <w:iCs/>
          <w:lang w:val="it-IT"/>
        </w:rPr>
        <w:t>vanú</w:t>
      </w:r>
      <w:r w:rsidRPr="00494885">
        <w:rPr>
          <w:i/>
          <w:iCs/>
          <w:lang w:val="it-IT"/>
        </w:rPr>
        <w:t>ṃ</w:t>
      </w:r>
      <w:r w:rsidRPr="00494885">
        <w:rPr>
          <w:i/>
          <w:iCs/>
          <w:lang w:val="it-IT"/>
        </w:rPr>
        <w:t xml:space="preserve"> vā yé suśrú</w:t>
      </w:r>
      <w:r w:rsidRPr="00494885">
        <w:rPr>
          <w:i/>
          <w:iCs/>
          <w:lang w:val="it-IT"/>
        </w:rPr>
        <w:t>ṇ</w:t>
      </w:r>
      <w:r w:rsidRPr="00494885">
        <w:rPr>
          <w:i/>
          <w:iCs/>
          <w:lang w:val="it-IT"/>
        </w:rPr>
        <w:t>a</w:t>
      </w:r>
      <w:r w:rsidRPr="00494885">
        <w:rPr>
          <w:i/>
          <w:iCs/>
          <w:lang w:val="it-IT"/>
        </w:rPr>
        <w:t>ṃ</w:t>
      </w:r>
      <w:r w:rsidRPr="00494885">
        <w:rPr>
          <w:i/>
          <w:iCs/>
          <w:lang w:val="it-IT"/>
        </w:rPr>
        <w:t xml:space="preserve"> suśrúto dhú</w:t>
      </w:r>
      <w:r w:rsidRPr="00494885">
        <w:rPr>
          <w:i/>
          <w:iCs/>
          <w:lang w:val="it-IT"/>
        </w:rPr>
        <w:t>ḥ</w:t>
      </w:r>
    </w:p>
    <w:p w14:paraId="22458817" w14:textId="77777777" w:rsidR="00E53EB6" w:rsidRDefault="006500F5">
      <w:pPr>
        <w:pStyle w:val="Zitat"/>
      </w:pPr>
      <w:r>
        <w:rPr>
          <w:rFonts w:eastAsia="Arial Unicode MS"/>
        </w:rPr>
        <w:t>Desiring, the Vasu</w:t>
      </w:r>
      <w:r>
        <w:rPr>
          <w:rStyle w:val="FootnoteAnchor"/>
          <w:rFonts w:eastAsia="Arial Unicode MS"/>
        </w:rPr>
        <w:footnoteReference w:id="466"/>
      </w:r>
      <w:r>
        <w:rPr>
          <w:rFonts w:eastAsia="Arial Unicode MS"/>
        </w:rPr>
        <w:t xml:space="preserve"> I pray with the sight, with the sacrifices the two worlds I pray; let the steeds that are endowed with wealth, let them send in victory '</w:t>
      </w:r>
      <w:r>
        <w:rPr>
          <w:rFonts w:eastAsia="Arial Unicode MS"/>
          <w:u w:val="single"/>
        </w:rPr>
        <w:t>him who appropriates</w:t>
      </w:r>
      <w:r>
        <w:rPr>
          <w:rFonts w:eastAsia="Arial Unicode MS"/>
        </w:rPr>
        <w:t>' l</w:t>
      </w:r>
      <w:r>
        <w:rPr>
          <w:rFonts w:eastAsia="Arial Unicode MS"/>
        </w:rPr>
        <w:t>et those who listen make '</w:t>
      </w:r>
      <w:r>
        <w:rPr>
          <w:rFonts w:eastAsia="Arial Unicode MS"/>
          <w:u w:val="single"/>
        </w:rPr>
        <w:t>him who appropriates</w:t>
      </w:r>
      <w:r>
        <w:rPr>
          <w:rFonts w:eastAsia="Arial Unicode MS"/>
        </w:rPr>
        <w:t>’</w:t>
      </w:r>
      <w:r>
        <w:rPr>
          <w:rStyle w:val="FootnoteAnchor"/>
          <w:rFonts w:eastAsia="Arial Unicode MS"/>
        </w:rPr>
        <w:footnoteReference w:id="467"/>
      </w:r>
      <w:r>
        <w:rPr>
          <w:rFonts w:eastAsia="Arial Unicode MS"/>
        </w:rPr>
        <w:t xml:space="preserve"> well listened to</w:t>
      </w:r>
      <w:r>
        <w:rPr>
          <w:rStyle w:val="FootnoteCharacters"/>
          <w:rFonts w:eastAsia="Arial Unicode MS"/>
        </w:rPr>
        <w:t>.</w:t>
      </w:r>
      <w:r>
        <w:rPr>
          <w:rStyle w:val="FootnoteAnchor"/>
          <w:rFonts w:eastAsia="Arial Unicode MS"/>
        </w:rPr>
        <w:footnoteReference w:id="468"/>
      </w:r>
    </w:p>
    <w:p w14:paraId="60829ACB" w14:textId="77777777" w:rsidR="00E53EB6" w:rsidRPr="00494885" w:rsidRDefault="006500F5">
      <w:pPr>
        <w:pStyle w:val="Zitat"/>
        <w:rPr>
          <w:lang w:val="de-DE"/>
        </w:rPr>
      </w:pPr>
      <w:r w:rsidRPr="00494885">
        <w:rPr>
          <w:rFonts w:eastAsia="Arial Unicode MS"/>
          <w:i/>
          <w:iCs/>
          <w:lang w:val="de-DE"/>
        </w:rPr>
        <w:t>vanúm</w:t>
      </w:r>
      <w:r w:rsidRPr="00494885">
        <w:rPr>
          <w:rFonts w:eastAsia="Arial Unicode MS"/>
          <w:b/>
          <w:lang w:val="de-DE"/>
        </w:rPr>
        <w:t>:</w:t>
      </w:r>
      <w:r w:rsidRPr="00494885">
        <w:rPr>
          <w:rFonts w:eastAsia="Arial Unicode MS"/>
          <w:lang w:val="de-DE"/>
        </w:rPr>
        <w:t xml:space="preserve"> accusative masculine singular </w:t>
      </w:r>
    </w:p>
    <w:p w14:paraId="0D793FAE" w14:textId="77777777" w:rsidR="00E53EB6" w:rsidRPr="00494885" w:rsidRDefault="006500F5">
      <w:pPr>
        <w:pStyle w:val="ZitatmitEinzug"/>
        <w:rPr>
          <w:lang w:val="de-DE"/>
        </w:rPr>
      </w:pPr>
      <w:r w:rsidRPr="00494885">
        <w:rPr>
          <w:rFonts w:eastAsia="Arial Unicode MS"/>
          <w:smallCaps/>
          <w:lang w:val="de-DE"/>
        </w:rPr>
        <w:t>Geldner:</w:t>
      </w:r>
      <w:r w:rsidRPr="00494885">
        <w:rPr>
          <w:rFonts w:eastAsia="Arial Unicode MS"/>
          <w:lang w:val="de-DE"/>
        </w:rPr>
        <w:t xml:space="preserve"> III 254 </w:t>
      </w:r>
      <w:r w:rsidRPr="00494885">
        <w:rPr>
          <w:rFonts w:eastAsia="Arial Unicode MS"/>
          <w:lang w:val="de-DE"/>
        </w:rPr>
        <w:t>“Eifrigen”</w:t>
      </w:r>
      <w:r w:rsidRPr="00494885">
        <w:rPr>
          <w:rFonts w:eastAsia="Arial Unicode MS"/>
          <w:lang w:val="de-DE"/>
        </w:rPr>
        <w:t xml:space="preserve"> </w:t>
      </w:r>
    </w:p>
    <w:p w14:paraId="7F8CB931" w14:textId="77777777" w:rsidR="00E53EB6" w:rsidRPr="00494885" w:rsidRDefault="006500F5">
      <w:pPr>
        <w:pStyle w:val="ZitatmitEinzug"/>
        <w:rPr>
          <w:lang w:val="de-DE"/>
        </w:rPr>
      </w:pPr>
      <w:r w:rsidRPr="00494885">
        <w:rPr>
          <w:rFonts w:eastAsia="Arial Unicode MS"/>
          <w:smallCaps/>
          <w:lang w:val="de-DE"/>
        </w:rPr>
        <w:t xml:space="preserve">Oldenberg </w:t>
      </w:r>
      <w:r w:rsidRPr="00494885">
        <w:rPr>
          <w:rFonts w:eastAsia="Arial Unicode MS"/>
          <w:lang w:val="de-DE"/>
        </w:rPr>
        <w:t xml:space="preserve">1912: 227 n. 1 </w:t>
      </w:r>
      <w:r w:rsidRPr="00494885">
        <w:rPr>
          <w:rFonts w:eastAsia="Arial Unicode MS"/>
          <w:lang w:val="de-DE"/>
        </w:rPr>
        <w:t>“Eifrigen”</w:t>
      </w:r>
    </w:p>
    <w:p w14:paraId="54A99BD7" w14:textId="77777777" w:rsidR="00E53EB6" w:rsidRPr="00494885" w:rsidRDefault="00E53EB6">
      <w:pPr>
        <w:pStyle w:val="ZitatmitEinzug"/>
        <w:rPr>
          <w:rFonts w:eastAsia="Arial Unicode MS"/>
          <w:szCs w:val="18"/>
          <w:lang w:val="de-DE"/>
        </w:rPr>
      </w:pPr>
    </w:p>
    <w:p w14:paraId="09CC5782" w14:textId="77777777" w:rsidR="00E53EB6" w:rsidRPr="00494885" w:rsidRDefault="00E53EB6">
      <w:pPr>
        <w:pStyle w:val="ZitatmitEinzug"/>
        <w:rPr>
          <w:rFonts w:eastAsia="Arial Unicode MS"/>
          <w:szCs w:val="18"/>
          <w:lang w:val="de-DE"/>
        </w:rPr>
      </w:pPr>
    </w:p>
    <w:p w14:paraId="7F45C5E1" w14:textId="77777777" w:rsidR="00E53EB6" w:rsidRDefault="006500F5">
      <w:pPr>
        <w:pStyle w:val="Heading4"/>
        <w:tabs>
          <w:tab w:val="left" w:pos="0"/>
        </w:tabs>
      </w:pPr>
      <w:r>
        <w:t xml:space="preserve">3- Verbal adjectives </w:t>
      </w:r>
    </w:p>
    <w:p w14:paraId="32C536A9" w14:textId="77777777" w:rsidR="00E53EB6" w:rsidRDefault="006500F5">
      <w:pPr>
        <w:pStyle w:val="Hauptext"/>
      </w:pPr>
      <w:r>
        <w:t xml:space="preserve">Deriving from the root </w:t>
      </w:r>
      <w:r>
        <w:rPr>
          <w:i/>
          <w:szCs w:val="24"/>
        </w:rPr>
        <w:t>van- / van</w:t>
      </w:r>
      <w:r>
        <w:rPr>
          <w:i/>
          <w:szCs w:val="24"/>
          <w:vertAlign w:val="superscript"/>
        </w:rPr>
        <w:t>i</w:t>
      </w:r>
      <w:r>
        <w:rPr>
          <w:i/>
          <w:szCs w:val="24"/>
        </w:rPr>
        <w:t xml:space="preserve">- </w:t>
      </w:r>
      <w:r>
        <w:rPr>
          <w:szCs w:val="24"/>
        </w:rPr>
        <w:t xml:space="preserve">are also the two verbal adjectives </w:t>
      </w:r>
      <w:r>
        <w:rPr>
          <w:i/>
        </w:rPr>
        <w:t>vánīyas-</w:t>
      </w:r>
      <w:r>
        <w:t xml:space="preserve">, in the comparative, and </w:t>
      </w:r>
      <w:r>
        <w:rPr>
          <w:i/>
        </w:rPr>
        <w:t>váni</w:t>
      </w:r>
      <w:r>
        <w:rPr>
          <w:i/>
        </w:rPr>
        <w:t>ṣṭ</w:t>
      </w:r>
      <w:r>
        <w:rPr>
          <w:i/>
        </w:rPr>
        <w:t>ha-</w:t>
      </w:r>
      <w:r>
        <w:t xml:space="preserve">, in the superlative, attested in four occurrences evenly and, curiously, symmetrically distributed within the </w:t>
      </w:r>
      <w:r>
        <w:rPr>
          <w:i/>
          <w:iCs/>
        </w:rPr>
        <w:t>R̥gveda Sa</w:t>
      </w:r>
      <w:r>
        <w:rPr>
          <w:i/>
          <w:iCs/>
        </w:rPr>
        <w:t>ṃ</w:t>
      </w:r>
      <w:r>
        <w:rPr>
          <w:i/>
          <w:iCs/>
        </w:rPr>
        <w:t>hitā</w:t>
      </w:r>
      <w:r>
        <w:t xml:space="preserve">: in both cases the comparative is used in relation </w:t>
      </w:r>
      <w:r>
        <w:t xml:space="preserve">to man while the superlative refers to the divinity. </w:t>
      </w:r>
    </w:p>
    <w:p w14:paraId="52CEB6DA" w14:textId="77777777" w:rsidR="00E53EB6" w:rsidRDefault="006500F5">
      <w:pPr>
        <w:pStyle w:val="HaupttextohneEinzug"/>
      </w:pPr>
      <w:r>
        <w:t xml:space="preserve">In all four attestations the verbal adjectives appear, however, to take on the same sense we had identified in the present participle of the verb root, i.e. </w:t>
      </w:r>
      <w:r>
        <w:rPr>
          <w:i/>
        </w:rPr>
        <w:t>vanvan-</w:t>
      </w:r>
      <w:r>
        <w:t xml:space="preserve"> as divine attribute: the god is in fact “he who appropriates” par excellence, and as we hav</w:t>
      </w:r>
      <w:r>
        <w:t xml:space="preserve">e seen the participle, in these cases, combines the two meanings of “to dominate” and “to  possess”. </w:t>
      </w:r>
    </w:p>
    <w:p w14:paraId="5F49B1A5" w14:textId="77777777" w:rsidR="00E53EB6" w:rsidRDefault="006500F5">
      <w:pPr>
        <w:pStyle w:val="HaupttextohneEinzug"/>
      </w:pPr>
      <w:r>
        <w:t xml:space="preserve">That it is used in this sense also with reference to man is hardly very surprising if we consider that in both cases man is not </w:t>
      </w:r>
      <w:r>
        <w:rPr>
          <w:i/>
        </w:rPr>
        <w:t>vánīyān,</w:t>
      </w:r>
      <w:r>
        <w:t xml:space="preserve"> but can become so</w:t>
      </w:r>
      <w:r>
        <w:t xml:space="preserve"> once he has adopted the right behaviour, sacrificing at the right moment or performing “good” deeds: by acting according to the established rules he can be made better than other men at “appropriating” and so to a certain extent like one who is truly powe</w:t>
      </w:r>
      <w:r>
        <w:t xml:space="preserve">rful. Of course, this is not to say he is elevated to a divine level, but he can certainly be made more able than others (and not “the most able”) “to appropriate” both the enemy and material and “spiritual” riches. </w:t>
      </w:r>
    </w:p>
    <w:p w14:paraId="2930E8B9" w14:textId="77777777" w:rsidR="00E53EB6" w:rsidRDefault="006500F5">
      <w:pPr>
        <w:pStyle w:val="HaupttextohneEinzug"/>
      </w:pPr>
      <w:r>
        <w:t>On the verbal adjectives in the compara</w:t>
      </w:r>
      <w:r>
        <w:t>tive and superlative, see also AiGr: II 2 § 272.</w:t>
      </w:r>
      <w:r>
        <w:rPr>
          <w:sz w:val="22"/>
        </w:rPr>
        <w:tab/>
      </w:r>
    </w:p>
    <w:p w14:paraId="545CDC9E" w14:textId="77777777" w:rsidR="00E53EB6" w:rsidRDefault="006500F5">
      <w:pPr>
        <w:pStyle w:val="Zitat"/>
      </w:pPr>
      <w:r>
        <w:t xml:space="preserve">5.77.2    </w:t>
      </w:r>
      <w:r>
        <w:rPr>
          <w:i/>
          <w:iCs/>
        </w:rPr>
        <w:t xml:space="preserve"> prātár yajadhvam aśvínā hinota</w:t>
      </w:r>
    </w:p>
    <w:p w14:paraId="09888A52" w14:textId="77777777" w:rsidR="00E53EB6" w:rsidRDefault="006500F5">
      <w:pPr>
        <w:pStyle w:val="ZitatnachZitat"/>
        <w:rPr>
          <w:i/>
          <w:iCs/>
        </w:rPr>
      </w:pPr>
      <w:r>
        <w:rPr>
          <w:i/>
          <w:iCs/>
        </w:rPr>
        <w:t>ná sāyám asti devayā́ áju</w:t>
      </w:r>
      <w:r>
        <w:rPr>
          <w:i/>
          <w:iCs/>
        </w:rPr>
        <w:t>ṣṭ</w:t>
      </w:r>
      <w:r>
        <w:rPr>
          <w:i/>
          <w:iCs/>
        </w:rPr>
        <w:t>am</w:t>
      </w:r>
    </w:p>
    <w:p w14:paraId="562F1500" w14:textId="77777777" w:rsidR="00E53EB6" w:rsidRDefault="006500F5">
      <w:pPr>
        <w:pStyle w:val="ZitatnachZitat"/>
        <w:rPr>
          <w:i/>
          <w:iCs/>
        </w:rPr>
      </w:pPr>
      <w:r>
        <w:rPr>
          <w:i/>
          <w:iCs/>
        </w:rPr>
        <w:t>utā́nyó asmád yajate ví cā́va</w:t>
      </w:r>
      <w:r>
        <w:rPr>
          <w:i/>
          <w:iCs/>
        </w:rPr>
        <w:t>ḥ</w:t>
      </w:r>
    </w:p>
    <w:p w14:paraId="67457717" w14:textId="77777777" w:rsidR="00E53EB6" w:rsidRDefault="006500F5">
      <w:pPr>
        <w:pStyle w:val="ZitatnachZitat"/>
        <w:rPr>
          <w:i/>
          <w:iCs/>
        </w:rPr>
      </w:pPr>
      <w:r>
        <w:rPr>
          <w:i/>
          <w:iCs/>
        </w:rPr>
        <w:t>pū́rva</w:t>
      </w:r>
      <w:r>
        <w:rPr>
          <w:i/>
          <w:iCs/>
        </w:rPr>
        <w:t>ḥ</w:t>
      </w:r>
      <w:r>
        <w:rPr>
          <w:i/>
          <w:iCs/>
        </w:rPr>
        <w:t xml:space="preserve"> pūrvo yájamāno vánīyān</w:t>
      </w:r>
    </w:p>
    <w:p w14:paraId="6EF6A23E" w14:textId="77777777" w:rsidR="00E53EB6" w:rsidRDefault="006500F5">
      <w:pPr>
        <w:pStyle w:val="Zitat"/>
      </w:pPr>
      <w:r>
        <w:t>Sacrifice in the early morning! Set in motion the Aśvin. The evening, un</w:t>
      </w:r>
      <w:r>
        <w:t>pleasing, is not the time to seek the gods: also another, other than us, sacrifices and dawns whenever</w:t>
      </w:r>
      <w:r>
        <w:rPr>
          <w:rStyle w:val="FootnoteAnchor"/>
          <w:rFonts w:eastAsia="Arial Unicode MS"/>
        </w:rPr>
        <w:footnoteReference w:id="469"/>
      </w:r>
      <w:r>
        <w:t xml:space="preserve"> early in the morning there is the sacrificer: it is he </w:t>
      </w:r>
      <w:r>
        <w:rPr>
          <w:u w:val="single"/>
        </w:rPr>
        <w:t>who appropriates more</w:t>
      </w:r>
      <w:r>
        <w:t xml:space="preserve"> than others.</w:t>
      </w:r>
    </w:p>
    <w:p w14:paraId="06BB0C27" w14:textId="77777777" w:rsidR="00E53EB6" w:rsidRDefault="006500F5">
      <w:pPr>
        <w:pStyle w:val="Zitat"/>
      </w:pPr>
      <w:r>
        <w:rPr>
          <w:i/>
          <w:iCs/>
        </w:rPr>
        <w:t>vánīyān</w:t>
      </w:r>
      <w:r>
        <w:rPr>
          <w:rStyle w:val="CarattereCarattere0"/>
          <w:rFonts w:ascii="Sabon Unicode" w:hAnsi="Sabon Unicode" w:cs="Times Ext Roman;Times New Roman"/>
          <w:sz w:val="18"/>
          <w:szCs w:val="18"/>
          <w:lang w:val="en-GB"/>
        </w:rPr>
        <w:t>:</w:t>
      </w:r>
      <w:r>
        <w:t xml:space="preserve"> nominative masculine singular from </w:t>
      </w:r>
      <w:r>
        <w:rPr>
          <w:i/>
        </w:rPr>
        <w:t>vánīyas-</w:t>
      </w:r>
    </w:p>
    <w:p w14:paraId="50CDEFBC" w14:textId="77777777" w:rsidR="00E53EB6" w:rsidRPr="00494885" w:rsidRDefault="006500F5">
      <w:pPr>
        <w:pStyle w:val="ZitatmitEinzug"/>
        <w:rPr>
          <w:lang w:val="de-DE"/>
        </w:rPr>
      </w:pPr>
      <w:r w:rsidRPr="00494885">
        <w:rPr>
          <w:smallCaps/>
          <w:lang w:val="de-DE"/>
        </w:rPr>
        <w:lastRenderedPageBreak/>
        <w:t>Geldner:</w:t>
      </w:r>
      <w:r w:rsidRPr="00494885">
        <w:rPr>
          <w:lang w:val="de-DE"/>
        </w:rPr>
        <w:t xml:space="preserve"> II 82 “</w:t>
      </w:r>
      <w:r w:rsidRPr="00494885">
        <w:rPr>
          <w:lang w:val="de-DE"/>
        </w:rPr>
        <w:t>desto mehr gewinnt er”</w:t>
      </w:r>
      <w:r w:rsidRPr="00494885">
        <w:rPr>
          <w:lang w:val="de-DE"/>
        </w:rPr>
        <w:t xml:space="preserve"> </w:t>
      </w:r>
    </w:p>
    <w:p w14:paraId="0772E8A6" w14:textId="77777777" w:rsidR="00E53EB6" w:rsidRPr="00494885" w:rsidRDefault="00E53EB6">
      <w:pPr>
        <w:pStyle w:val="ZitatmitEinzug"/>
        <w:rPr>
          <w:lang w:val="de-DE"/>
        </w:rPr>
      </w:pPr>
    </w:p>
    <w:p w14:paraId="5E53EA9D" w14:textId="77777777" w:rsidR="00E53EB6" w:rsidRPr="00494885" w:rsidRDefault="006500F5">
      <w:pPr>
        <w:pStyle w:val="Zitat"/>
        <w:rPr>
          <w:lang w:val="de-DE"/>
        </w:rPr>
      </w:pPr>
      <w:r w:rsidRPr="00494885">
        <w:rPr>
          <w:lang w:val="de-DE"/>
        </w:rPr>
        <w:t>10.117.7</w:t>
      </w:r>
      <w:r w:rsidRPr="00494885">
        <w:rPr>
          <w:i/>
          <w:iCs/>
          <w:lang w:val="de-DE"/>
        </w:rPr>
        <w:t xml:space="preserve"> kr̥</w:t>
      </w:r>
      <w:r w:rsidRPr="00494885">
        <w:rPr>
          <w:i/>
          <w:iCs/>
          <w:lang w:val="de-DE"/>
        </w:rPr>
        <w:t>ṣ</w:t>
      </w:r>
      <w:r w:rsidRPr="00494885">
        <w:rPr>
          <w:i/>
          <w:iCs/>
          <w:lang w:val="de-DE"/>
        </w:rPr>
        <w:t>ánn ít phā́la ā́śita</w:t>
      </w:r>
      <w:r w:rsidRPr="00494885">
        <w:rPr>
          <w:i/>
          <w:iCs/>
          <w:lang w:val="de-DE"/>
        </w:rPr>
        <w:t>ṃ</w:t>
      </w:r>
      <w:r w:rsidRPr="00494885">
        <w:rPr>
          <w:i/>
          <w:iCs/>
          <w:lang w:val="de-DE"/>
        </w:rPr>
        <w:t xml:space="preserve"> kr̥</w:t>
      </w:r>
      <w:r w:rsidRPr="00494885">
        <w:rPr>
          <w:i/>
          <w:iCs/>
          <w:lang w:val="de-DE"/>
        </w:rPr>
        <w:t>ṇ</w:t>
      </w:r>
      <w:r w:rsidRPr="00494885">
        <w:rPr>
          <w:i/>
          <w:iCs/>
          <w:lang w:val="de-DE"/>
        </w:rPr>
        <w:t>oti</w:t>
      </w:r>
    </w:p>
    <w:p w14:paraId="545C7FB8" w14:textId="77777777" w:rsidR="00E53EB6" w:rsidRPr="00494885" w:rsidRDefault="006500F5">
      <w:pPr>
        <w:pStyle w:val="ZitatnachZitat"/>
        <w:rPr>
          <w:i/>
          <w:iCs/>
          <w:lang w:val="de-DE"/>
        </w:rPr>
      </w:pPr>
      <w:r w:rsidRPr="00494885">
        <w:rPr>
          <w:i/>
          <w:iCs/>
          <w:lang w:val="de-DE"/>
        </w:rPr>
        <w:t>yánn ádhvānam ápa vr̥</w:t>
      </w:r>
      <w:r w:rsidRPr="00494885">
        <w:rPr>
          <w:i/>
          <w:iCs/>
          <w:lang w:val="de-DE"/>
        </w:rPr>
        <w:t>ṅ</w:t>
      </w:r>
      <w:r w:rsidRPr="00494885">
        <w:rPr>
          <w:i/>
          <w:iCs/>
          <w:lang w:val="de-DE"/>
        </w:rPr>
        <w:t>kte carítrai</w:t>
      </w:r>
      <w:r w:rsidRPr="00494885">
        <w:rPr>
          <w:i/>
          <w:iCs/>
          <w:lang w:val="de-DE"/>
        </w:rPr>
        <w:t>ḥ</w:t>
      </w:r>
    </w:p>
    <w:p w14:paraId="7B9CAB41" w14:textId="77777777" w:rsidR="00E53EB6" w:rsidRPr="00494885" w:rsidRDefault="006500F5">
      <w:pPr>
        <w:pStyle w:val="ZitatnachZitat"/>
        <w:rPr>
          <w:i/>
          <w:iCs/>
          <w:lang w:val="de-DE"/>
        </w:rPr>
      </w:pPr>
      <w:r w:rsidRPr="00494885">
        <w:rPr>
          <w:i/>
          <w:iCs/>
          <w:lang w:val="de-DE"/>
        </w:rPr>
        <w:t>vádan brahmā́ ávadato vánīyān</w:t>
      </w:r>
    </w:p>
    <w:p w14:paraId="4462CEA7" w14:textId="77777777" w:rsidR="00E53EB6" w:rsidRPr="00494885" w:rsidRDefault="006500F5">
      <w:pPr>
        <w:pStyle w:val="ZitatnachZitat"/>
        <w:rPr>
          <w:i/>
          <w:iCs/>
          <w:lang w:val="de-DE"/>
        </w:rPr>
      </w:pPr>
      <w:r w:rsidRPr="00494885">
        <w:rPr>
          <w:i/>
          <w:iCs/>
          <w:lang w:val="de-DE"/>
        </w:rPr>
        <w:t>pr̥</w:t>
      </w:r>
      <w:r w:rsidRPr="00494885">
        <w:rPr>
          <w:i/>
          <w:iCs/>
          <w:lang w:val="de-DE"/>
        </w:rPr>
        <w:t>ṇ</w:t>
      </w:r>
      <w:r w:rsidRPr="00494885">
        <w:rPr>
          <w:i/>
          <w:iCs/>
          <w:lang w:val="de-DE"/>
        </w:rPr>
        <w:t>ánn āpír ápr̥</w:t>
      </w:r>
      <w:r w:rsidRPr="00494885">
        <w:rPr>
          <w:i/>
          <w:iCs/>
          <w:lang w:val="de-DE"/>
        </w:rPr>
        <w:t>ṇ</w:t>
      </w:r>
      <w:r w:rsidRPr="00494885">
        <w:rPr>
          <w:i/>
          <w:iCs/>
          <w:lang w:val="de-DE"/>
        </w:rPr>
        <w:t xml:space="preserve">antam abhí </w:t>
      </w:r>
      <w:r w:rsidRPr="00494885">
        <w:rPr>
          <w:i/>
          <w:iCs/>
          <w:lang w:val="de-DE"/>
        </w:rPr>
        <w:t>ṣ</w:t>
      </w:r>
      <w:r w:rsidRPr="00494885">
        <w:rPr>
          <w:i/>
          <w:iCs/>
          <w:lang w:val="de-DE"/>
        </w:rPr>
        <w:t>yāt</w:t>
      </w:r>
    </w:p>
    <w:p w14:paraId="1D9EC831" w14:textId="77777777" w:rsidR="00E53EB6" w:rsidRDefault="006500F5">
      <w:pPr>
        <w:pStyle w:val="Zitat"/>
      </w:pPr>
      <w:r>
        <w:t>The ploughshare that plough</w:t>
      </w:r>
      <w:r>
        <w:t>s completes the road that opens with his legs</w:t>
      </w:r>
      <w:r>
        <w:rPr>
          <w:rStyle w:val="FootnoteAnchor"/>
        </w:rPr>
        <w:footnoteReference w:id="470"/>
      </w:r>
      <w:r>
        <w:t xml:space="preserve">; the Brahmán who speaks excels those who do not speak, the ally who lavishes excels the one that does not lavish: it is they </w:t>
      </w:r>
      <w:r>
        <w:rPr>
          <w:u w:val="single"/>
        </w:rPr>
        <w:t>who appropriate more</w:t>
      </w:r>
      <w:r>
        <w:t xml:space="preserve"> than others</w:t>
      </w:r>
      <w:r>
        <w:rPr>
          <w:rStyle w:val="FootnoteAnchor"/>
        </w:rPr>
        <w:footnoteReference w:id="471"/>
      </w:r>
      <w:r>
        <w:rPr>
          <w:rStyle w:val="FootnoteCharacters"/>
        </w:rPr>
        <w:t>.</w:t>
      </w:r>
    </w:p>
    <w:p w14:paraId="6F72CC60" w14:textId="77777777" w:rsidR="00E53EB6" w:rsidRDefault="006500F5">
      <w:pPr>
        <w:pStyle w:val="Zitat"/>
      </w:pPr>
      <w:r>
        <w:rPr>
          <w:rStyle w:val="CarattereCarattere0"/>
          <w:rFonts w:ascii="Sabon Unicode" w:hAnsi="Sabon Unicode" w:cs="Times Ext Roman;Times New Roman"/>
          <w:b w:val="0"/>
          <w:bCs w:val="0"/>
          <w:i/>
          <w:iCs/>
          <w:sz w:val="18"/>
          <w:szCs w:val="18"/>
          <w:lang w:val="en-GB"/>
        </w:rPr>
        <w:t>vánīyān</w:t>
      </w:r>
      <w:r>
        <w:rPr>
          <w:rStyle w:val="CarattereCarattere0"/>
          <w:rFonts w:ascii="Sabon Unicode" w:hAnsi="Sabon Unicode" w:cs="Times Ext Roman;Times New Roman"/>
          <w:sz w:val="18"/>
          <w:szCs w:val="18"/>
          <w:lang w:val="en-GB"/>
        </w:rPr>
        <w:t>:</w:t>
      </w:r>
      <w:r>
        <w:t xml:space="preserve"> nominative masculine singular from </w:t>
      </w:r>
      <w:r>
        <w:rPr>
          <w:i/>
        </w:rPr>
        <w:t>ván</w:t>
      </w:r>
      <w:r>
        <w:rPr>
          <w:i/>
        </w:rPr>
        <w:t>īyas-</w:t>
      </w:r>
    </w:p>
    <w:p w14:paraId="22177125" w14:textId="77777777" w:rsidR="00E53EB6" w:rsidRPr="00494885" w:rsidRDefault="006500F5">
      <w:pPr>
        <w:pStyle w:val="ZitatmitEinzug"/>
        <w:rPr>
          <w:lang w:val="de-DE"/>
        </w:rPr>
      </w:pPr>
      <w:r w:rsidRPr="00494885">
        <w:rPr>
          <w:smallCaps/>
          <w:lang w:val="de-DE"/>
        </w:rPr>
        <w:t>Geldner:</w:t>
      </w:r>
      <w:r w:rsidRPr="00494885">
        <w:rPr>
          <w:lang w:val="de-DE"/>
        </w:rPr>
        <w:t xml:space="preserve"> III 343 “</w:t>
      </w:r>
      <w:r w:rsidRPr="00494885">
        <w:rPr>
          <w:lang w:val="de-DE"/>
        </w:rPr>
        <w:t>gewinnt mehr als”</w:t>
      </w:r>
      <w:r w:rsidRPr="00494885">
        <w:rPr>
          <w:lang w:val="de-DE"/>
        </w:rPr>
        <w:t xml:space="preserve"> </w:t>
      </w:r>
    </w:p>
    <w:p w14:paraId="785C4C10" w14:textId="77777777" w:rsidR="00E53EB6" w:rsidRPr="00494885" w:rsidRDefault="006500F5">
      <w:pPr>
        <w:pStyle w:val="ZitatmitEinzug"/>
        <w:rPr>
          <w:lang w:val="it-IT"/>
        </w:rPr>
      </w:pPr>
      <w:r w:rsidRPr="00494885">
        <w:rPr>
          <w:smallCaps/>
          <w:lang w:val="it-IT"/>
        </w:rPr>
        <w:t xml:space="preserve">Ambrosini </w:t>
      </w:r>
      <w:r w:rsidRPr="00494885">
        <w:rPr>
          <w:lang w:val="it-IT"/>
        </w:rPr>
        <w:t>1981: 108 “vale di più”</w:t>
      </w:r>
    </w:p>
    <w:p w14:paraId="07DF07CA" w14:textId="77777777" w:rsidR="00E53EB6" w:rsidRPr="00494885" w:rsidRDefault="006500F5">
      <w:pPr>
        <w:pStyle w:val="ZitatmitEinzug"/>
        <w:rPr>
          <w:lang w:val="it-IT"/>
        </w:rPr>
      </w:pPr>
      <w:r w:rsidRPr="00494885">
        <w:rPr>
          <w:smallCaps/>
          <w:lang w:val="it-IT"/>
        </w:rPr>
        <w:t>O’Flaherty</w:t>
      </w:r>
      <w:r w:rsidRPr="00494885">
        <w:rPr>
          <w:lang w:val="it-IT"/>
        </w:rPr>
        <w:t xml:space="preserve"> 1984: 69 “</w:t>
      </w:r>
      <w:r w:rsidRPr="00494885">
        <w:rPr>
          <w:lang w:val="it-IT"/>
        </w:rPr>
        <w:t>is better than”</w:t>
      </w:r>
    </w:p>
    <w:p w14:paraId="123A7B2C" w14:textId="77777777" w:rsidR="00E53EB6" w:rsidRPr="00494885" w:rsidRDefault="006500F5">
      <w:pPr>
        <w:pStyle w:val="ZitatmitEinzug"/>
        <w:rPr>
          <w:lang w:val="it-IT"/>
        </w:rPr>
      </w:pPr>
      <w:r w:rsidRPr="00494885">
        <w:rPr>
          <w:smallCaps/>
          <w:lang w:val="it-IT"/>
        </w:rPr>
        <w:t>Sani</w:t>
      </w:r>
      <w:r w:rsidRPr="00494885">
        <w:rPr>
          <w:lang w:val="it-IT"/>
        </w:rPr>
        <w:t xml:space="preserve"> 2000: 205 “vale di più”</w:t>
      </w:r>
    </w:p>
    <w:p w14:paraId="6893EF98" w14:textId="77777777" w:rsidR="00E53EB6" w:rsidRPr="00494885" w:rsidRDefault="00E53EB6">
      <w:pPr>
        <w:pStyle w:val="ZitatmitEinzug"/>
        <w:rPr>
          <w:lang w:val="it-IT"/>
        </w:rPr>
      </w:pPr>
    </w:p>
    <w:p w14:paraId="0E5B854B" w14:textId="77777777" w:rsidR="00E53EB6" w:rsidRPr="00494885" w:rsidRDefault="006500F5">
      <w:pPr>
        <w:pStyle w:val="Zitat"/>
        <w:rPr>
          <w:lang w:val="it-IT"/>
        </w:rPr>
      </w:pPr>
      <w:r w:rsidRPr="00494885">
        <w:rPr>
          <w:lang w:val="it-IT"/>
        </w:rPr>
        <w:t xml:space="preserve">7.10.2 </w:t>
      </w:r>
      <w:r w:rsidRPr="00494885">
        <w:rPr>
          <w:i/>
          <w:iCs/>
          <w:lang w:val="it-IT"/>
        </w:rPr>
        <w:t xml:space="preserve">súvar </w:t>
      </w:r>
      <w:r w:rsidRPr="00494885">
        <w:rPr>
          <w:i/>
          <w:iCs/>
          <w:lang w:val="it-IT"/>
        </w:rPr>
        <w:t>ṇ</w:t>
      </w:r>
      <w:r w:rsidRPr="00494885">
        <w:rPr>
          <w:i/>
          <w:iCs/>
          <w:lang w:val="it-IT"/>
        </w:rPr>
        <w:t>á vástor u</w:t>
      </w:r>
      <w:r w:rsidRPr="00494885">
        <w:rPr>
          <w:i/>
          <w:iCs/>
          <w:lang w:val="it-IT"/>
        </w:rPr>
        <w:t>ṣ</w:t>
      </w:r>
      <w:r w:rsidRPr="00494885">
        <w:rPr>
          <w:i/>
          <w:iCs/>
          <w:lang w:val="it-IT"/>
        </w:rPr>
        <w:t>ásām aroci</w:t>
      </w:r>
    </w:p>
    <w:p w14:paraId="68155760" w14:textId="77777777" w:rsidR="00E53EB6" w:rsidRPr="00494885" w:rsidRDefault="006500F5">
      <w:pPr>
        <w:pStyle w:val="ZitatnachZitat"/>
        <w:rPr>
          <w:i/>
          <w:iCs/>
          <w:lang w:val="it-IT"/>
        </w:rPr>
      </w:pPr>
      <w:r w:rsidRPr="00494885">
        <w:rPr>
          <w:i/>
          <w:iCs/>
          <w:lang w:val="it-IT"/>
        </w:rPr>
        <w:t>yajñá</w:t>
      </w:r>
      <w:r w:rsidRPr="00494885">
        <w:rPr>
          <w:i/>
          <w:iCs/>
          <w:lang w:val="it-IT"/>
        </w:rPr>
        <w:t>ṃ</w:t>
      </w:r>
      <w:r w:rsidRPr="00494885">
        <w:rPr>
          <w:i/>
          <w:iCs/>
          <w:lang w:val="it-IT"/>
        </w:rPr>
        <w:t xml:space="preserve"> tanvānā́ uśíjo ná mánma</w:t>
      </w:r>
    </w:p>
    <w:p w14:paraId="15C5E282" w14:textId="77777777" w:rsidR="00E53EB6" w:rsidRPr="00494885" w:rsidRDefault="006500F5">
      <w:pPr>
        <w:pStyle w:val="ZitatnachZitat"/>
        <w:rPr>
          <w:i/>
          <w:iCs/>
          <w:lang w:val="it-IT"/>
        </w:rPr>
      </w:pPr>
      <w:r w:rsidRPr="00494885">
        <w:rPr>
          <w:i/>
          <w:iCs/>
          <w:lang w:val="it-IT"/>
        </w:rPr>
        <w:t>agnír jánmāni devá ā́ ví vidvā́n</w:t>
      </w:r>
    </w:p>
    <w:p w14:paraId="638F4687" w14:textId="77777777" w:rsidR="00E53EB6" w:rsidRDefault="006500F5">
      <w:pPr>
        <w:pStyle w:val="ZitatnachZitat"/>
        <w:rPr>
          <w:i/>
          <w:iCs/>
        </w:rPr>
      </w:pPr>
      <w:r>
        <w:rPr>
          <w:i/>
          <w:iCs/>
        </w:rPr>
        <w:t xml:space="preserve">dravád </w:t>
      </w:r>
      <w:r>
        <w:rPr>
          <w:i/>
          <w:iCs/>
        </w:rPr>
        <w:t>dūtó devayā́vā váni</w:t>
      </w:r>
      <w:r>
        <w:rPr>
          <w:i/>
          <w:iCs/>
        </w:rPr>
        <w:t>ṣṭ</w:t>
      </w:r>
      <w:r>
        <w:rPr>
          <w:i/>
          <w:iCs/>
        </w:rPr>
        <w:t>ha</w:t>
      </w:r>
      <w:r>
        <w:rPr>
          <w:i/>
          <w:iCs/>
        </w:rPr>
        <w:t>ḥ</w:t>
      </w:r>
    </w:p>
    <w:p w14:paraId="0A9196D1" w14:textId="77777777" w:rsidR="00E53EB6" w:rsidRDefault="006500F5">
      <w:pPr>
        <w:pStyle w:val="Zitat"/>
      </w:pPr>
      <w:r>
        <w:t>[Agni] like a sun lit up the dawn as day rose; like the Uśij</w:t>
      </w:r>
      <w:r>
        <w:rPr>
          <w:rStyle w:val="FootnoteAnchor"/>
          <w:rFonts w:eastAsia="Arial Unicode MS"/>
        </w:rPr>
        <w:footnoteReference w:id="472"/>
      </w:r>
      <w:r>
        <w:t xml:space="preserve"> who extend the sacrifice, the poetic invocation; Agni, the god able to discern between the generations, is the racer, the messenger who reaches the gods, he </w:t>
      </w:r>
      <w:r>
        <w:rPr>
          <w:u w:val="single"/>
        </w:rPr>
        <w:t>who appropr</w:t>
      </w:r>
      <w:r>
        <w:rPr>
          <w:u w:val="single"/>
        </w:rPr>
        <w:t>iates more</w:t>
      </w:r>
      <w:r>
        <w:t xml:space="preserve"> than others.</w:t>
      </w:r>
    </w:p>
    <w:p w14:paraId="0E538760" w14:textId="77777777" w:rsidR="00E53EB6" w:rsidRPr="00494885" w:rsidRDefault="006500F5">
      <w:pPr>
        <w:pStyle w:val="Zitat"/>
        <w:rPr>
          <w:lang w:val="de-DE"/>
        </w:rPr>
      </w:pPr>
      <w:r w:rsidRPr="00494885">
        <w:rPr>
          <w:rStyle w:val="CarattereCarattere0"/>
          <w:rFonts w:ascii="Sabon Unicode" w:hAnsi="Sabon Unicode" w:cs="Times Ext Roman;Times New Roman"/>
          <w:b w:val="0"/>
          <w:bCs w:val="0"/>
          <w:i/>
          <w:iCs/>
          <w:sz w:val="18"/>
          <w:szCs w:val="18"/>
          <w:lang w:val="de-DE"/>
        </w:rPr>
        <w:t>váni</w:t>
      </w:r>
      <w:r w:rsidRPr="00494885">
        <w:rPr>
          <w:rStyle w:val="CarattereCarattere0"/>
          <w:rFonts w:ascii="Sabon Unicode" w:hAnsi="Sabon Unicode" w:cs="Times Ext Roman;Times New Roman"/>
          <w:b w:val="0"/>
          <w:bCs w:val="0"/>
          <w:i/>
          <w:iCs/>
          <w:sz w:val="18"/>
          <w:szCs w:val="18"/>
          <w:lang w:val="de-DE"/>
        </w:rPr>
        <w:t>ṣṭ</w:t>
      </w:r>
      <w:r w:rsidRPr="00494885">
        <w:rPr>
          <w:rStyle w:val="CarattereCarattere0"/>
          <w:rFonts w:ascii="Sabon Unicode" w:hAnsi="Sabon Unicode" w:cs="Times Ext Roman;Times New Roman"/>
          <w:b w:val="0"/>
          <w:bCs w:val="0"/>
          <w:i/>
          <w:iCs/>
          <w:sz w:val="18"/>
          <w:szCs w:val="18"/>
          <w:lang w:val="de-DE"/>
        </w:rPr>
        <w:t>ha</w:t>
      </w:r>
      <w:r w:rsidRPr="00494885">
        <w:rPr>
          <w:rStyle w:val="CarattereCarattere0"/>
          <w:rFonts w:ascii="Sabon Unicode" w:hAnsi="Sabon Unicode" w:cs="Times Ext Roman;Times New Roman"/>
          <w:b w:val="0"/>
          <w:bCs w:val="0"/>
          <w:i/>
          <w:iCs/>
          <w:sz w:val="18"/>
          <w:szCs w:val="18"/>
          <w:lang w:val="de-DE"/>
        </w:rPr>
        <w:t>ḥ</w:t>
      </w:r>
      <w:r w:rsidRPr="00494885">
        <w:rPr>
          <w:rStyle w:val="CarattereCarattere0"/>
          <w:rFonts w:ascii="Sabon Unicode" w:hAnsi="Sabon Unicode" w:cs="Times Ext Roman;Times New Roman"/>
          <w:sz w:val="18"/>
          <w:szCs w:val="18"/>
          <w:lang w:val="de-DE"/>
        </w:rPr>
        <w:t>:</w:t>
      </w:r>
      <w:r w:rsidRPr="00494885">
        <w:rPr>
          <w:lang w:val="de-DE"/>
        </w:rPr>
        <w:t xml:space="preserve"> nominative masculine singular, from </w:t>
      </w:r>
      <w:r w:rsidRPr="00494885">
        <w:rPr>
          <w:i/>
          <w:lang w:val="de-DE"/>
        </w:rPr>
        <w:t>váni</w:t>
      </w:r>
      <w:r w:rsidRPr="00494885">
        <w:rPr>
          <w:i/>
          <w:lang w:val="de-DE"/>
        </w:rPr>
        <w:t>ṣṭ</w:t>
      </w:r>
      <w:r w:rsidRPr="00494885">
        <w:rPr>
          <w:i/>
          <w:lang w:val="de-DE"/>
        </w:rPr>
        <w:t>ha-</w:t>
      </w:r>
    </w:p>
    <w:p w14:paraId="357D313D" w14:textId="77777777" w:rsidR="00E53EB6" w:rsidRPr="00494885" w:rsidRDefault="006500F5">
      <w:pPr>
        <w:pStyle w:val="ZitatmitEinzug"/>
        <w:rPr>
          <w:lang w:val="de-DE"/>
        </w:rPr>
      </w:pPr>
      <w:r w:rsidRPr="00494885">
        <w:rPr>
          <w:smallCaps/>
          <w:lang w:val="de-DE"/>
        </w:rPr>
        <w:t>Geldner:</w:t>
      </w:r>
      <w:r w:rsidRPr="00494885">
        <w:rPr>
          <w:lang w:val="de-DE"/>
        </w:rPr>
        <w:t xml:space="preserve"> II, 189 </w:t>
      </w:r>
      <w:r w:rsidRPr="00494885">
        <w:rPr>
          <w:lang w:val="de-DE"/>
        </w:rPr>
        <w:t>“der am meisten erwirkt”</w:t>
      </w:r>
    </w:p>
    <w:p w14:paraId="1ED6AFF4" w14:textId="77777777" w:rsidR="00E53EB6" w:rsidRPr="00494885" w:rsidRDefault="006500F5">
      <w:pPr>
        <w:pStyle w:val="ZitatmitEinzug"/>
        <w:rPr>
          <w:lang w:val="de-DE"/>
        </w:rPr>
      </w:pPr>
      <w:r w:rsidRPr="00494885">
        <w:rPr>
          <w:smallCaps/>
          <w:lang w:val="de-DE"/>
        </w:rPr>
        <w:t>Renou:</w:t>
      </w:r>
      <w:r w:rsidRPr="00494885">
        <w:rPr>
          <w:lang w:val="de-DE"/>
        </w:rPr>
        <w:t xml:space="preserve"> XIII, 60 “procurant (aux hommes des biens) par excellance”</w:t>
      </w:r>
    </w:p>
    <w:p w14:paraId="2D28DF5C" w14:textId="77777777" w:rsidR="00E53EB6" w:rsidRPr="00494885" w:rsidRDefault="00E53EB6">
      <w:pPr>
        <w:pStyle w:val="ZitatmitEinzug"/>
        <w:rPr>
          <w:lang w:val="de-DE"/>
        </w:rPr>
      </w:pPr>
    </w:p>
    <w:p w14:paraId="140D9D59" w14:textId="77777777" w:rsidR="00E53EB6" w:rsidRPr="00494885" w:rsidRDefault="006500F5">
      <w:pPr>
        <w:pStyle w:val="Zitat"/>
        <w:rPr>
          <w:lang w:val="de-DE"/>
        </w:rPr>
      </w:pPr>
      <w:r w:rsidRPr="00494885">
        <w:rPr>
          <w:lang w:val="de-DE"/>
        </w:rPr>
        <w:t xml:space="preserve">7.18.1 </w:t>
      </w:r>
      <w:r w:rsidRPr="00494885">
        <w:rPr>
          <w:i/>
          <w:iCs/>
          <w:lang w:val="de-DE"/>
        </w:rPr>
        <w:t>tuvé ha yát pitáraś cin na indra</w:t>
      </w:r>
    </w:p>
    <w:p w14:paraId="695A1966" w14:textId="77777777" w:rsidR="00E53EB6" w:rsidRPr="00494885" w:rsidRDefault="006500F5">
      <w:pPr>
        <w:pStyle w:val="ZitatnachZitat"/>
        <w:rPr>
          <w:i/>
          <w:iCs/>
          <w:lang w:val="de-DE"/>
        </w:rPr>
      </w:pPr>
      <w:r w:rsidRPr="00494885">
        <w:rPr>
          <w:i/>
          <w:iCs/>
          <w:lang w:val="de-DE"/>
        </w:rPr>
        <w:t>víśvā vāmā́ jaritā́ro ásan</w:t>
      </w:r>
      <w:r w:rsidRPr="00494885">
        <w:rPr>
          <w:i/>
          <w:iCs/>
          <w:lang w:val="de-DE"/>
        </w:rPr>
        <w:t>van</w:t>
      </w:r>
    </w:p>
    <w:p w14:paraId="408D557E" w14:textId="77777777" w:rsidR="00E53EB6" w:rsidRPr="00494885" w:rsidRDefault="006500F5">
      <w:pPr>
        <w:pStyle w:val="ZitatnachZitat"/>
        <w:rPr>
          <w:i/>
          <w:iCs/>
          <w:lang w:val="de-DE"/>
        </w:rPr>
      </w:pPr>
      <w:r w:rsidRPr="00494885">
        <w:rPr>
          <w:i/>
          <w:iCs/>
          <w:lang w:val="de-DE"/>
        </w:rPr>
        <w:t>tuvé gā́va</w:t>
      </w:r>
      <w:r w:rsidRPr="00494885">
        <w:rPr>
          <w:i/>
          <w:iCs/>
          <w:lang w:val="de-DE"/>
        </w:rPr>
        <w:t>ḥ</w:t>
      </w:r>
      <w:r w:rsidRPr="00494885">
        <w:rPr>
          <w:i/>
          <w:iCs/>
          <w:lang w:val="de-DE"/>
        </w:rPr>
        <w:t xml:space="preserve"> sudúghās tvé hí áśvās</w:t>
      </w:r>
    </w:p>
    <w:p w14:paraId="09158AC9" w14:textId="77777777" w:rsidR="00E53EB6" w:rsidRDefault="006500F5">
      <w:pPr>
        <w:pStyle w:val="ZitatnachZitat"/>
        <w:rPr>
          <w:i/>
          <w:iCs/>
        </w:rPr>
      </w:pPr>
      <w:r>
        <w:rPr>
          <w:i/>
          <w:iCs/>
        </w:rPr>
        <w:t>tuvá</w:t>
      </w:r>
      <w:r>
        <w:rPr>
          <w:i/>
          <w:iCs/>
        </w:rPr>
        <w:t>ṃ</w:t>
      </w:r>
      <w:r>
        <w:rPr>
          <w:i/>
          <w:iCs/>
        </w:rPr>
        <w:t xml:space="preserve"> vásu devayaté váni</w:t>
      </w:r>
      <w:r>
        <w:rPr>
          <w:i/>
          <w:iCs/>
        </w:rPr>
        <w:t>ṣṭ</w:t>
      </w:r>
      <w:r>
        <w:rPr>
          <w:i/>
          <w:iCs/>
        </w:rPr>
        <w:t>ha</w:t>
      </w:r>
      <w:r>
        <w:rPr>
          <w:i/>
          <w:iCs/>
        </w:rPr>
        <w:t>ḥ</w:t>
      </w:r>
    </w:p>
    <w:p w14:paraId="1A79E37D" w14:textId="77777777" w:rsidR="00E53EB6" w:rsidRDefault="006500F5">
      <w:pPr>
        <w:pStyle w:val="Zitat"/>
      </w:pPr>
      <w:r>
        <w:t xml:space="preserve">For you being there, oh Indra, our bard fathers obtained all desirable goods, then you being the cows are easy to milk, you being there horses are there, you are the one </w:t>
      </w:r>
      <w:r>
        <w:rPr>
          <w:u w:val="single"/>
        </w:rPr>
        <w:t>who more</w:t>
      </w:r>
      <w:r>
        <w:t xml:space="preserve"> than othe</w:t>
      </w:r>
      <w:r>
        <w:t xml:space="preserve">rs </w:t>
      </w:r>
      <w:r>
        <w:rPr>
          <w:u w:val="single"/>
        </w:rPr>
        <w:t>appropriates</w:t>
      </w:r>
      <w:r>
        <w:t xml:space="preserve"> well-being for whomsoever loves the gods.</w:t>
      </w:r>
    </w:p>
    <w:p w14:paraId="5118FB2A" w14:textId="77777777" w:rsidR="00E53EB6" w:rsidRPr="00494885" w:rsidRDefault="006500F5">
      <w:pPr>
        <w:pStyle w:val="Zitat"/>
        <w:rPr>
          <w:lang w:val="de-DE"/>
        </w:rPr>
      </w:pPr>
      <w:r w:rsidRPr="00494885">
        <w:rPr>
          <w:rStyle w:val="CarattereCarattere0"/>
          <w:rFonts w:ascii="Sabon Unicode" w:hAnsi="Sabon Unicode" w:cs="Times Ext Roman;Times New Roman"/>
          <w:b w:val="0"/>
          <w:bCs w:val="0"/>
          <w:i/>
          <w:iCs/>
          <w:sz w:val="18"/>
          <w:szCs w:val="18"/>
          <w:lang w:val="de-DE"/>
        </w:rPr>
        <w:t>váni</w:t>
      </w:r>
      <w:r w:rsidRPr="00494885">
        <w:rPr>
          <w:rStyle w:val="CarattereCarattere0"/>
          <w:rFonts w:ascii="Sabon Unicode" w:hAnsi="Sabon Unicode" w:cs="Times Ext Roman;Times New Roman"/>
          <w:b w:val="0"/>
          <w:bCs w:val="0"/>
          <w:i/>
          <w:iCs/>
          <w:sz w:val="18"/>
          <w:szCs w:val="18"/>
          <w:lang w:val="de-DE"/>
        </w:rPr>
        <w:t>ṣṭ</w:t>
      </w:r>
      <w:r w:rsidRPr="00494885">
        <w:rPr>
          <w:rStyle w:val="CarattereCarattere0"/>
          <w:rFonts w:ascii="Sabon Unicode" w:hAnsi="Sabon Unicode" w:cs="Times Ext Roman;Times New Roman"/>
          <w:b w:val="0"/>
          <w:bCs w:val="0"/>
          <w:i/>
          <w:iCs/>
          <w:sz w:val="18"/>
          <w:szCs w:val="18"/>
          <w:lang w:val="de-DE"/>
        </w:rPr>
        <w:t>ha</w:t>
      </w:r>
      <w:r w:rsidRPr="00494885">
        <w:rPr>
          <w:rStyle w:val="CarattereCarattere0"/>
          <w:rFonts w:ascii="Sabon Unicode" w:hAnsi="Sabon Unicode" w:cs="Times Ext Roman;Times New Roman"/>
          <w:b w:val="0"/>
          <w:bCs w:val="0"/>
          <w:i/>
          <w:iCs/>
          <w:sz w:val="18"/>
          <w:szCs w:val="18"/>
          <w:lang w:val="de-DE"/>
        </w:rPr>
        <w:t>ḥ</w:t>
      </w:r>
      <w:r w:rsidRPr="00494885">
        <w:rPr>
          <w:rStyle w:val="CarattereCarattere0"/>
          <w:rFonts w:ascii="Sabon Unicode" w:hAnsi="Sabon Unicode" w:cs="Times Ext Roman;Times New Roman"/>
          <w:sz w:val="18"/>
          <w:szCs w:val="18"/>
          <w:lang w:val="de-DE"/>
        </w:rPr>
        <w:t>:</w:t>
      </w:r>
      <w:r w:rsidRPr="00494885">
        <w:rPr>
          <w:lang w:val="de-DE"/>
        </w:rPr>
        <w:t xml:space="preserve"> nominative masculine singular, from </w:t>
      </w:r>
      <w:r w:rsidRPr="00494885">
        <w:rPr>
          <w:i/>
          <w:lang w:val="de-DE"/>
        </w:rPr>
        <w:t>váni</w:t>
      </w:r>
      <w:r w:rsidRPr="00494885">
        <w:rPr>
          <w:i/>
          <w:lang w:val="de-DE"/>
        </w:rPr>
        <w:t>ṣṭ</w:t>
      </w:r>
      <w:r w:rsidRPr="00494885">
        <w:rPr>
          <w:i/>
          <w:lang w:val="de-DE"/>
        </w:rPr>
        <w:t>ha-</w:t>
      </w:r>
    </w:p>
    <w:p w14:paraId="46686268" w14:textId="77777777" w:rsidR="00E53EB6" w:rsidRPr="00494885" w:rsidRDefault="006500F5">
      <w:pPr>
        <w:pStyle w:val="ZitatmitEinzug"/>
        <w:rPr>
          <w:lang w:val="de-DE"/>
        </w:rPr>
      </w:pPr>
      <w:r w:rsidRPr="00494885">
        <w:rPr>
          <w:smallCaps/>
          <w:lang w:val="de-DE"/>
        </w:rPr>
        <w:t>Geldner:</w:t>
      </w:r>
      <w:r w:rsidRPr="00494885">
        <w:rPr>
          <w:lang w:val="de-DE"/>
        </w:rPr>
        <w:t xml:space="preserve"> II 194 </w:t>
      </w:r>
      <w:r w:rsidRPr="00494885">
        <w:rPr>
          <w:lang w:val="de-DE"/>
        </w:rPr>
        <w:t>“du bringst am meisten Gut ein”</w:t>
      </w:r>
    </w:p>
    <w:p w14:paraId="2D941C0E" w14:textId="77777777" w:rsidR="00E53EB6" w:rsidRDefault="006500F5">
      <w:pPr>
        <w:pStyle w:val="Zitat"/>
      </w:pPr>
      <w:r>
        <w:rPr>
          <w:rStyle w:val="CarattereCarattere0"/>
          <w:rFonts w:ascii="Sabon Unicode" w:hAnsi="Sabon Unicode" w:cs="Times Ext Roman;Times New Roman"/>
          <w:b w:val="0"/>
          <w:bCs w:val="0"/>
          <w:i/>
          <w:iCs/>
          <w:sz w:val="18"/>
          <w:szCs w:val="18"/>
          <w:lang w:val="en-GB"/>
        </w:rPr>
        <w:t>vāmā́</w:t>
      </w:r>
      <w:r>
        <w:rPr>
          <w:rStyle w:val="CarattereCarattere0"/>
          <w:rFonts w:ascii="Sabon Unicode" w:hAnsi="Sabon Unicode" w:cs="Times Ext Roman;Times New Roman"/>
          <w:sz w:val="18"/>
          <w:szCs w:val="18"/>
          <w:lang w:val="en-GB"/>
        </w:rPr>
        <w:t>:</w:t>
      </w:r>
      <w:r>
        <w:t xml:space="preserve"> accusative neuter plural, adjective functioning as noun from *</w:t>
      </w:r>
      <w:r>
        <w:rPr>
          <w:i/>
        </w:rPr>
        <w:t>van</w:t>
      </w:r>
      <w:r>
        <w:rPr>
          <w:i/>
          <w:vertAlign w:val="superscript"/>
        </w:rPr>
        <w:t>i</w:t>
      </w:r>
      <w:r>
        <w:t xml:space="preserve"> -</w:t>
      </w:r>
      <w:r>
        <w:rPr>
          <w:i/>
        </w:rPr>
        <w:t xml:space="preserve">ma </w:t>
      </w:r>
      <w:r>
        <w:t xml:space="preserve"> (cf.</w:t>
      </w:r>
      <w:r>
        <w:rPr>
          <w:smallCaps/>
        </w:rPr>
        <w:t xml:space="preserve"> EWA</w:t>
      </w:r>
      <w:r>
        <w:t>ia:</w:t>
      </w:r>
      <w:r>
        <w:rPr>
          <w:smallCaps/>
        </w:rPr>
        <w:t xml:space="preserve"> II</w:t>
      </w:r>
      <w:r>
        <w:t xml:space="preserve"> 544)</w:t>
      </w:r>
    </w:p>
    <w:p w14:paraId="26050A9F" w14:textId="77777777" w:rsidR="00E53EB6" w:rsidRDefault="006500F5">
      <w:pPr>
        <w:pStyle w:val="ZitatmitEinzug"/>
      </w:pPr>
      <w:r>
        <w:rPr>
          <w:smallCaps/>
        </w:rPr>
        <w:t>Geldner:</w:t>
      </w:r>
      <w:r>
        <w:t xml:space="preserve"> II 194 </w:t>
      </w:r>
      <w:r>
        <w:t>“Gute”</w:t>
      </w:r>
    </w:p>
    <w:p w14:paraId="2A753ED2" w14:textId="77777777" w:rsidR="00E53EB6" w:rsidRDefault="00E53EB6">
      <w:pPr>
        <w:pStyle w:val="ZitatmitEinzug"/>
      </w:pPr>
    </w:p>
    <w:p w14:paraId="6EF7B595" w14:textId="77777777" w:rsidR="00E53EB6" w:rsidRDefault="00E53EB6">
      <w:pPr>
        <w:pStyle w:val="ZitatmitEinzug"/>
      </w:pPr>
    </w:p>
    <w:p w14:paraId="2FFE1748" w14:textId="77777777" w:rsidR="00E53EB6" w:rsidRDefault="006500F5">
      <w:pPr>
        <w:pStyle w:val="Heading4"/>
        <w:tabs>
          <w:tab w:val="left" w:pos="0"/>
        </w:tabs>
      </w:pPr>
      <w:r>
        <w:lastRenderedPageBreak/>
        <w:t>4- v</w:t>
      </w:r>
      <w:r>
        <w:rPr>
          <w:i/>
        </w:rPr>
        <w:t>anín-</w:t>
      </w:r>
    </w:p>
    <w:p w14:paraId="41CFEC43" w14:textId="77777777" w:rsidR="00E53EB6" w:rsidRDefault="006500F5">
      <w:pPr>
        <w:pStyle w:val="Hauptext"/>
      </w:pPr>
      <w:r>
        <w:rPr>
          <w:rFonts w:eastAsia="Arial Unicode MS"/>
        </w:rPr>
        <w:t xml:space="preserve">While </w:t>
      </w:r>
      <w:r>
        <w:rPr>
          <w:rFonts w:eastAsia="Arial Unicode MS"/>
          <w:smallCaps/>
        </w:rPr>
        <w:t>Lubotsky</w:t>
      </w:r>
      <w:r>
        <w:rPr>
          <w:rFonts w:eastAsia="Arial Unicode MS"/>
        </w:rPr>
        <w:t xml:space="preserve"> (1997: 1230) lists all the attestations of </w:t>
      </w:r>
      <w:r>
        <w:rPr>
          <w:rFonts w:eastAsia="Arial Unicode MS"/>
          <w:i/>
        </w:rPr>
        <w:t>vanín</w:t>
      </w:r>
      <w:r>
        <w:rPr>
          <w:rFonts w:eastAsia="Arial Unicode MS"/>
        </w:rPr>
        <w:t xml:space="preserve"> under a single stem, most of the scholars seem to distinguish tw</w:t>
      </w:r>
      <w:r>
        <w:rPr>
          <w:rFonts w:eastAsia="Arial Unicode MS"/>
        </w:rPr>
        <w:t>o or possibly even three stems:</w:t>
      </w:r>
    </w:p>
    <w:p w14:paraId="60A7AEA3" w14:textId="77777777" w:rsidR="00E53EB6" w:rsidRDefault="006500F5">
      <w:pPr>
        <w:pStyle w:val="HaupttextohneEinzug"/>
      </w:pPr>
      <w:r>
        <w:rPr>
          <w:rFonts w:eastAsia="Arial Unicode MS"/>
        </w:rPr>
        <w:t xml:space="preserve">1- </w:t>
      </w:r>
      <w:r>
        <w:rPr>
          <w:rFonts w:eastAsia="Arial Unicode MS"/>
          <w:i/>
        </w:rPr>
        <w:t>vanín-,</w:t>
      </w:r>
      <w:r>
        <w:rPr>
          <w:rFonts w:eastAsia="Arial Unicode MS"/>
        </w:rPr>
        <w:t xml:space="preserve"> deverbal adjective derived from the stem </w:t>
      </w:r>
      <w:r>
        <w:rPr>
          <w:rFonts w:eastAsia="Arial Unicode MS"/>
          <w:i/>
        </w:rPr>
        <w:t>van-</w:t>
      </w:r>
      <w:r>
        <w:rPr>
          <w:rFonts w:eastAsia="Arial Unicode MS"/>
        </w:rPr>
        <w:t xml:space="preserve"> with suffix </w:t>
      </w:r>
      <w:r>
        <w:rPr>
          <w:rFonts w:eastAsia="Arial Unicode MS"/>
          <w:i/>
        </w:rPr>
        <w:t>–ín</w:t>
      </w:r>
      <w:r>
        <w:rPr>
          <w:rFonts w:eastAsia="Arial Unicode MS"/>
        </w:rPr>
        <w:t xml:space="preserve">, indicating person or thing “that brings to completion the concept expressed by the verb”, “den Verbalbegriff vollziehend” as </w:t>
      </w:r>
      <w:r>
        <w:rPr>
          <w:rFonts w:eastAsia="Arial Unicode MS"/>
          <w:smallCaps/>
        </w:rPr>
        <w:t>Debrunner</w:t>
      </w:r>
      <w:r>
        <w:rPr>
          <w:rFonts w:eastAsia="Arial Unicode MS"/>
        </w:rPr>
        <w:t xml:space="preserve"> put it (in AiGr</w:t>
      </w:r>
      <w:r>
        <w:rPr>
          <w:rFonts w:eastAsia="Arial Unicode MS"/>
        </w:rPr>
        <w:t>: II 2 §216), translating</w:t>
      </w:r>
      <w:r>
        <w:rPr>
          <w:rFonts w:eastAsia="Arial Unicode MS"/>
          <w:i/>
        </w:rPr>
        <w:t xml:space="preserve"> vanín-</w:t>
      </w:r>
      <w:r>
        <w:rPr>
          <w:rFonts w:eastAsia="Arial Unicode MS"/>
        </w:rPr>
        <w:t>as “verlangend” (ibid. γ).</w:t>
      </w:r>
    </w:p>
    <w:p w14:paraId="1BE39D6D" w14:textId="77777777" w:rsidR="00E53EB6" w:rsidRPr="00494885" w:rsidRDefault="006500F5">
      <w:pPr>
        <w:pStyle w:val="HaupttextohneEinzug"/>
        <w:rPr>
          <w:lang w:val="de-DE"/>
        </w:rPr>
      </w:pPr>
      <w:r w:rsidRPr="00494885">
        <w:rPr>
          <w:rFonts w:eastAsia="Arial Unicode MS"/>
          <w:lang w:val="de-DE"/>
        </w:rPr>
        <w:t xml:space="preserve">2- </w:t>
      </w:r>
      <w:r w:rsidRPr="00494885">
        <w:rPr>
          <w:rFonts w:eastAsia="Arial Unicode MS"/>
          <w:i/>
          <w:lang w:val="de-DE"/>
        </w:rPr>
        <w:t>vanín-,</w:t>
      </w:r>
      <w:r w:rsidRPr="00494885">
        <w:rPr>
          <w:rFonts w:eastAsia="Arial Unicode MS"/>
          <w:lang w:val="de-DE"/>
        </w:rPr>
        <w:t xml:space="preserve"> denominative adjective with suffix </w:t>
      </w:r>
      <w:r w:rsidRPr="00494885">
        <w:rPr>
          <w:rFonts w:eastAsia="Arial Unicode MS"/>
          <w:i/>
          <w:lang w:val="de-DE"/>
        </w:rPr>
        <w:t>–ín</w:t>
      </w:r>
      <w:r w:rsidRPr="00494885">
        <w:rPr>
          <w:rFonts w:eastAsia="Arial Unicode MS"/>
          <w:lang w:val="de-DE"/>
        </w:rPr>
        <w:t xml:space="preserve">, from </w:t>
      </w:r>
      <w:r w:rsidRPr="00494885">
        <w:rPr>
          <w:rFonts w:eastAsia="Arial Unicode MS"/>
          <w:i/>
          <w:lang w:val="de-DE"/>
        </w:rPr>
        <w:t>vána-</w:t>
      </w:r>
      <w:r w:rsidRPr="00494885">
        <w:rPr>
          <w:rFonts w:eastAsia="Arial Unicode MS"/>
          <w:lang w:val="de-DE"/>
        </w:rPr>
        <w:t xml:space="preserve"> “wood”, “tree”, “forest”, means “den Begriff des Grundworts an sich habend, damit versehen” (AiGr: II 2 §213) or, according to </w:t>
      </w:r>
      <w:r w:rsidRPr="00494885">
        <w:rPr>
          <w:rFonts w:eastAsia="Arial Unicode MS"/>
          <w:smallCaps/>
          <w:lang w:val="de-DE"/>
        </w:rPr>
        <w:t>Thieme</w:t>
      </w:r>
      <w:r w:rsidRPr="00494885">
        <w:rPr>
          <w:rFonts w:eastAsia="Arial Unicode MS"/>
          <w:lang w:val="de-DE"/>
        </w:rPr>
        <w:t xml:space="preserve"> (1971: 191) “der  Besitzer (im weitesten Sinne) von einer ihm eigentümlichen Sache (die durch den dem Formans vorausgehen</w:t>
      </w:r>
      <w:r w:rsidRPr="00494885">
        <w:rPr>
          <w:rFonts w:eastAsia="Arial Unicode MS"/>
          <w:lang w:val="de-DE"/>
        </w:rPr>
        <w:t>den Nominalstamm bezeichnet ist) charakterisiert”.</w:t>
      </w:r>
    </w:p>
    <w:p w14:paraId="061B1BE5" w14:textId="77777777" w:rsidR="00E53EB6" w:rsidRDefault="006500F5">
      <w:pPr>
        <w:pStyle w:val="HaupttextohneEinzug"/>
      </w:pPr>
      <w:r>
        <w:rPr>
          <w:rFonts w:eastAsia="Arial Unicode MS"/>
        </w:rPr>
        <w:t xml:space="preserve">The existence of this second stem, which is not attested in the dictionaries – </w:t>
      </w:r>
      <w:r>
        <w:rPr>
          <w:rFonts w:eastAsia="Arial Unicode MS"/>
          <w:smallCaps/>
        </w:rPr>
        <w:t xml:space="preserve">Böhtlingk-Roth </w:t>
      </w:r>
      <w:r>
        <w:rPr>
          <w:rFonts w:eastAsia="Arial Unicode MS"/>
        </w:rPr>
        <w:t>(1885-1875: 676) records in the first instance only the deverbal adjective and the substantive – is borne out b</w:t>
      </w:r>
      <w:r>
        <w:rPr>
          <w:rFonts w:eastAsia="Arial Unicode MS"/>
        </w:rPr>
        <w:t xml:space="preserve">y </w:t>
      </w:r>
      <w:r>
        <w:rPr>
          <w:rFonts w:eastAsia="Arial Unicode MS"/>
          <w:smallCaps/>
        </w:rPr>
        <w:t>Geldner’</w:t>
      </w:r>
      <w:r>
        <w:rPr>
          <w:rFonts w:eastAsia="Arial Unicode MS"/>
        </w:rPr>
        <w:t xml:space="preserve">s translations (1 139.10; 1 180.3; 3 40.7) and successive outcomes attributed to the substantive </w:t>
      </w:r>
      <w:r>
        <w:rPr>
          <w:rFonts w:eastAsia="Arial Unicode MS"/>
          <w:i/>
        </w:rPr>
        <w:t xml:space="preserve">vánin- </w:t>
      </w:r>
      <w:r>
        <w:rPr>
          <w:rFonts w:eastAsia="Arial Unicode MS"/>
        </w:rPr>
        <w:t xml:space="preserve">(kl. </w:t>
      </w:r>
      <w:r>
        <w:rPr>
          <w:rFonts w:eastAsia="Arial Unicode MS"/>
          <w:i/>
        </w:rPr>
        <w:t>vanin-</w:t>
      </w:r>
      <w:r>
        <w:rPr>
          <w:rFonts w:eastAsia="Arial Unicode MS"/>
        </w:rPr>
        <w:t xml:space="preserve"> “im waldbewohnender Brahmane” (AiGr</w:t>
      </w:r>
      <w:r>
        <w:rPr>
          <w:rFonts w:eastAsia="Arial Unicode MS"/>
          <w:smallCaps/>
        </w:rPr>
        <w:t>: II 2 §215</w:t>
      </w:r>
      <w:r>
        <w:rPr>
          <w:rFonts w:eastAsia="Arial Unicode MS"/>
        </w:rPr>
        <w:t>d.).</w:t>
      </w:r>
    </w:p>
    <w:p w14:paraId="5909C3A2" w14:textId="77777777" w:rsidR="00E53EB6" w:rsidRDefault="006500F5">
      <w:pPr>
        <w:pStyle w:val="HaupttextohneEinzug"/>
      </w:pPr>
      <w:r>
        <w:rPr>
          <w:rFonts w:eastAsia="Arial Unicode MS"/>
        </w:rPr>
        <w:t xml:space="preserve">3- </w:t>
      </w:r>
      <w:r>
        <w:rPr>
          <w:rFonts w:eastAsia="Arial Unicode MS"/>
          <w:i/>
        </w:rPr>
        <w:t>vanín-</w:t>
      </w:r>
      <w:r>
        <w:rPr>
          <w:rFonts w:eastAsia="Arial Unicode MS"/>
        </w:rPr>
        <w:t xml:space="preserve"> (</w:t>
      </w:r>
      <w:r>
        <w:rPr>
          <w:rFonts w:eastAsia="Arial Unicode MS"/>
          <w:smallCaps/>
        </w:rPr>
        <w:t>Grassmann, Elizarenkova 1995</w:t>
      </w:r>
      <w:r>
        <w:rPr>
          <w:rFonts w:eastAsia="Arial Unicode MS"/>
          <w:vertAlign w:val="superscript"/>
        </w:rPr>
        <w:t>b</w:t>
      </w:r>
      <w:r>
        <w:rPr>
          <w:rFonts w:eastAsia="Arial Unicode MS"/>
        </w:rPr>
        <w:t>: 37</w:t>
      </w:r>
      <w:r>
        <w:rPr>
          <w:rFonts w:eastAsia="Arial Unicode MS"/>
          <w:smallCaps/>
        </w:rPr>
        <w:t xml:space="preserve">, </w:t>
      </w:r>
      <w:r>
        <w:rPr>
          <w:rFonts w:eastAsia="Arial Unicode MS"/>
        </w:rPr>
        <w:t>AiGr</w:t>
      </w:r>
      <w:r>
        <w:rPr>
          <w:rFonts w:eastAsia="Arial Unicode MS"/>
          <w:smallCaps/>
        </w:rPr>
        <w:t xml:space="preserve"> II 2 §214</w:t>
      </w:r>
      <w:r>
        <w:rPr>
          <w:rFonts w:eastAsia="Arial Unicode MS"/>
        </w:rPr>
        <w:t xml:space="preserve">) or </w:t>
      </w:r>
      <w:r>
        <w:rPr>
          <w:rFonts w:eastAsia="Arial Unicode MS"/>
          <w:i/>
        </w:rPr>
        <w:t xml:space="preserve">vánin- </w:t>
      </w:r>
      <w:r>
        <w:rPr>
          <w:rFonts w:eastAsia="Arial Unicode MS"/>
        </w:rPr>
        <w:t xml:space="preserve"> (Böhtl</w:t>
      </w:r>
      <w:r>
        <w:rPr>
          <w:rFonts w:eastAsia="Arial Unicode MS"/>
        </w:rPr>
        <w:t>ingk-Roth</w:t>
      </w:r>
      <w:r>
        <w:rPr>
          <w:rFonts w:eastAsia="Arial Unicode MS"/>
          <w:smallCaps/>
        </w:rPr>
        <w:t xml:space="preserve"> </w:t>
      </w:r>
      <w:r>
        <w:rPr>
          <w:rFonts w:eastAsia="Arial Unicode MS"/>
        </w:rPr>
        <w:t xml:space="preserve">ibid.), substantive, is the term of early formation whose etymology, as well its precise connection with the substantive </w:t>
      </w:r>
      <w:r>
        <w:rPr>
          <w:rFonts w:eastAsia="Arial Unicode MS"/>
          <w:i/>
        </w:rPr>
        <w:t>vána-</w:t>
      </w:r>
      <w:r>
        <w:rPr>
          <w:rFonts w:eastAsia="Arial Unicode MS"/>
        </w:rPr>
        <w:t xml:space="preserve"> and the noun root </w:t>
      </w:r>
      <w:r>
        <w:rPr>
          <w:rFonts w:eastAsia="Arial Unicode MS"/>
          <w:i/>
        </w:rPr>
        <w:t>van-</w:t>
      </w:r>
      <w:r>
        <w:rPr>
          <w:rFonts w:eastAsia="Arial Unicode MS"/>
        </w:rPr>
        <w:t xml:space="preserve"> remain truly obscure</w:t>
      </w:r>
      <w:r>
        <w:rPr>
          <w:rStyle w:val="FootnoteAnchor"/>
          <w:rFonts w:eastAsia="Arial Unicode MS"/>
        </w:rPr>
        <w:footnoteReference w:id="473"/>
      </w:r>
      <w:r>
        <w:rPr>
          <w:rFonts w:eastAsia="Arial Unicode MS"/>
        </w:rPr>
        <w:t>; for a study on the meaning of this substantive, see</w:t>
      </w:r>
      <w:r>
        <w:rPr>
          <w:rFonts w:eastAsia="Arial Unicode MS"/>
          <w:smallCaps/>
        </w:rPr>
        <w:t xml:space="preserve"> Elizarenkova</w:t>
      </w:r>
      <w:r>
        <w:rPr>
          <w:rFonts w:eastAsia="Arial Unicode MS"/>
        </w:rPr>
        <w:t xml:space="preserve"> 1995</w:t>
      </w:r>
      <w:r>
        <w:rPr>
          <w:rFonts w:eastAsia="Arial Unicode MS"/>
          <w:vertAlign w:val="superscript"/>
        </w:rPr>
        <w:t>b</w:t>
      </w:r>
      <w:r>
        <w:rPr>
          <w:rFonts w:eastAsia="Arial Unicode MS"/>
        </w:rPr>
        <w:t xml:space="preserve">: </w:t>
      </w:r>
      <w:r>
        <w:rPr>
          <w:rFonts w:eastAsia="Arial Unicode MS"/>
        </w:rPr>
        <w:t>32-43.</w:t>
      </w:r>
    </w:p>
    <w:p w14:paraId="66A2F477" w14:textId="77777777" w:rsidR="00E53EB6" w:rsidRDefault="006500F5">
      <w:pPr>
        <w:pStyle w:val="HaupttextohneEinzug"/>
      </w:pPr>
      <w:r>
        <w:rPr>
          <w:rFonts w:eastAsia="Arial Unicode MS"/>
        </w:rPr>
        <w:t xml:space="preserve">On the meaning and development of the suffix </w:t>
      </w:r>
      <w:r>
        <w:rPr>
          <w:rFonts w:eastAsia="Arial Unicode MS"/>
          <w:i/>
        </w:rPr>
        <w:t>–ín</w:t>
      </w:r>
      <w:r>
        <w:rPr>
          <w:rFonts w:eastAsia="Arial Unicode MS"/>
        </w:rPr>
        <w:t>, in concurrence with the suffixes</w:t>
      </w:r>
      <w:r>
        <w:rPr>
          <w:rFonts w:eastAsia="Arial Unicode MS"/>
          <w:i/>
        </w:rPr>
        <w:t>–vant- -mant-</w:t>
      </w:r>
      <w:r>
        <w:rPr>
          <w:rFonts w:eastAsia="Arial Unicode MS"/>
        </w:rPr>
        <w:t>,</w:t>
      </w:r>
      <w:r>
        <w:rPr>
          <w:rFonts w:eastAsia="Arial Unicode MS"/>
          <w:i/>
        </w:rPr>
        <w:t xml:space="preserve"> </w:t>
      </w:r>
      <w:r>
        <w:rPr>
          <w:rFonts w:eastAsia="Arial Unicode MS"/>
        </w:rPr>
        <w:t>reference is made not only to AiGr</w:t>
      </w:r>
      <w:r>
        <w:rPr>
          <w:rFonts w:eastAsia="Arial Unicode MS"/>
          <w:smallCaps/>
        </w:rPr>
        <w:t xml:space="preserve">: </w:t>
      </w:r>
      <w:r>
        <w:rPr>
          <w:rFonts w:eastAsia="Arial Unicode MS"/>
        </w:rPr>
        <w:t xml:space="preserve">II 2 §212-217, but also to </w:t>
      </w:r>
      <w:r>
        <w:rPr>
          <w:rFonts w:eastAsia="Arial Unicode MS"/>
          <w:smallCaps/>
        </w:rPr>
        <w:t>Thieme</w:t>
      </w:r>
      <w:r>
        <w:rPr>
          <w:rFonts w:eastAsia="Arial Unicode MS"/>
        </w:rPr>
        <w:t xml:space="preserve"> 1971: 661-695 and </w:t>
      </w:r>
      <w:r>
        <w:rPr>
          <w:rFonts w:eastAsia="Arial Unicode MS"/>
          <w:smallCaps/>
        </w:rPr>
        <w:t xml:space="preserve">Tucker </w:t>
      </w:r>
      <w:r>
        <w:rPr>
          <w:rFonts w:eastAsia="Arial Unicode MS"/>
        </w:rPr>
        <w:t>2006.</w:t>
      </w:r>
    </w:p>
    <w:p w14:paraId="14897889" w14:textId="77777777" w:rsidR="00E53EB6" w:rsidRDefault="006500F5">
      <w:pPr>
        <w:pStyle w:val="HaupttextohneEinzug"/>
      </w:pPr>
      <w:r>
        <w:rPr>
          <w:rFonts w:eastAsia="Arial Unicode MS"/>
        </w:rPr>
        <w:t>Of the three stems postulated above, here we take i</w:t>
      </w:r>
      <w:r>
        <w:rPr>
          <w:rFonts w:eastAsia="Arial Unicode MS"/>
        </w:rPr>
        <w:t xml:space="preserve">nto account only those attestations which are not considered, at least by the majority of scholars, to be traceable to the third stem in our list, </w:t>
      </w:r>
      <w:r>
        <w:rPr>
          <w:rFonts w:eastAsia="Arial Unicode MS"/>
          <w:i/>
        </w:rPr>
        <w:t>vanin-</w:t>
      </w:r>
      <w:r>
        <w:rPr>
          <w:rFonts w:eastAsia="Arial Unicode MS"/>
        </w:rPr>
        <w:t xml:space="preserve"> substantive, since this is beyond the scope of our analysis of the verb root derivatives, and also in </w:t>
      </w:r>
      <w:r>
        <w:rPr>
          <w:rFonts w:eastAsia="Arial Unicode MS"/>
        </w:rPr>
        <w:t>view of the fact that between this and the noun root the connection is purely homophonic – a connection that proves very productive, but which obviously belongs to a later development of the language.</w:t>
      </w:r>
    </w:p>
    <w:p w14:paraId="78E1EA8B" w14:textId="77777777" w:rsidR="00E53EB6" w:rsidRDefault="006500F5">
      <w:pPr>
        <w:pStyle w:val="HaupttextohneEinzug"/>
      </w:pPr>
      <w:r>
        <w:rPr>
          <w:rFonts w:eastAsia="Arial Unicode MS"/>
        </w:rPr>
        <w:t xml:space="preserve">As for the first two stems, on the other hand, the situation is a little more confused: in fact, two adjectives are postulated, derived respectively from the verb and noun stems, but the distinction seems to rest solely on the context in which we find use </w:t>
      </w:r>
      <w:r>
        <w:rPr>
          <w:rFonts w:eastAsia="Arial Unicode MS"/>
        </w:rPr>
        <w:t xml:space="preserve">of the term </w:t>
      </w:r>
      <w:r>
        <w:rPr>
          <w:rFonts w:eastAsia="Arial Unicode MS"/>
          <w:i/>
        </w:rPr>
        <w:t>vanín-</w:t>
      </w:r>
      <w:r>
        <w:rPr>
          <w:rFonts w:eastAsia="Arial Unicode MS"/>
        </w:rPr>
        <w:t>, so that precisely which of the two stems the poet meant to use may equally prove unequivocal or questionable, and the context does not always turn out to be decisive here.</w:t>
      </w:r>
    </w:p>
    <w:p w14:paraId="0DEFE157" w14:textId="77777777" w:rsidR="00E53EB6" w:rsidRDefault="006500F5">
      <w:pPr>
        <w:pStyle w:val="HaupttextohneEinzug"/>
      </w:pPr>
      <w:r>
        <w:rPr>
          <w:szCs w:val="24"/>
        </w:rPr>
        <w:t xml:space="preserve">Let us begin with the stanzas in which it seems possible to determine the meaning attributed to </w:t>
      </w:r>
      <w:r>
        <w:rPr>
          <w:i/>
          <w:szCs w:val="24"/>
        </w:rPr>
        <w:t>vanín-</w:t>
      </w:r>
      <w:r>
        <w:rPr>
          <w:szCs w:val="24"/>
        </w:rPr>
        <w:t xml:space="preserve"> beginning, in fact, from the context in which it appears:</w:t>
      </w:r>
    </w:p>
    <w:p w14:paraId="46A49069" w14:textId="77777777" w:rsidR="00E53EB6" w:rsidRDefault="006500F5">
      <w:pPr>
        <w:pStyle w:val="Zitat"/>
      </w:pPr>
      <w:r>
        <w:t>1.119.1</w:t>
      </w:r>
      <w:r>
        <w:rPr>
          <w:i/>
          <w:iCs/>
        </w:rPr>
        <w:t xml:space="preserve"> ā́ vā</w:t>
      </w:r>
      <w:r>
        <w:rPr>
          <w:i/>
          <w:iCs/>
        </w:rPr>
        <w:t>ṃ</w:t>
      </w:r>
      <w:r>
        <w:rPr>
          <w:i/>
          <w:iCs/>
        </w:rPr>
        <w:t xml:space="preserve"> rátham purumāyám manojúva</w:t>
      </w:r>
      <w:r>
        <w:rPr>
          <w:i/>
          <w:iCs/>
        </w:rPr>
        <w:t>ṃ</w:t>
      </w:r>
    </w:p>
    <w:p w14:paraId="3244E2C3" w14:textId="77777777" w:rsidR="00E53EB6" w:rsidRDefault="006500F5">
      <w:pPr>
        <w:pStyle w:val="ZitatnachZitat"/>
        <w:rPr>
          <w:i/>
          <w:iCs/>
        </w:rPr>
      </w:pPr>
      <w:r>
        <w:rPr>
          <w:i/>
          <w:iCs/>
        </w:rPr>
        <w:t>jīrā́śuva</w:t>
      </w:r>
      <w:r>
        <w:rPr>
          <w:i/>
          <w:iCs/>
        </w:rPr>
        <w:t>ṃ</w:t>
      </w:r>
      <w:r>
        <w:rPr>
          <w:i/>
          <w:iCs/>
        </w:rPr>
        <w:t xml:space="preserve"> yajñíya</w:t>
      </w:r>
      <w:r>
        <w:rPr>
          <w:i/>
          <w:iCs/>
        </w:rPr>
        <w:t>ṃ</w:t>
      </w:r>
      <w:r>
        <w:rPr>
          <w:i/>
          <w:iCs/>
        </w:rPr>
        <w:t xml:space="preserve"> jīváse huve</w:t>
      </w:r>
    </w:p>
    <w:p w14:paraId="17BC2BC8" w14:textId="77777777" w:rsidR="00E53EB6" w:rsidRDefault="006500F5">
      <w:pPr>
        <w:pStyle w:val="ZitatnachZitat"/>
        <w:rPr>
          <w:i/>
          <w:iCs/>
        </w:rPr>
      </w:pPr>
      <w:r>
        <w:rPr>
          <w:i/>
          <w:iCs/>
        </w:rPr>
        <w:t>sahásraketu</w:t>
      </w:r>
      <w:r>
        <w:rPr>
          <w:i/>
          <w:iCs/>
        </w:rPr>
        <w:t>ṃ</w:t>
      </w:r>
      <w:r>
        <w:rPr>
          <w:i/>
          <w:iCs/>
        </w:rPr>
        <w:t xml:space="preserve"> vanína</w:t>
      </w:r>
      <w:r>
        <w:rPr>
          <w:i/>
          <w:iCs/>
        </w:rPr>
        <w:t>ṃ</w:t>
      </w:r>
      <w:r>
        <w:rPr>
          <w:i/>
          <w:iCs/>
        </w:rPr>
        <w:t xml:space="preserve"> </w:t>
      </w:r>
      <w:r>
        <w:rPr>
          <w:i/>
          <w:iCs/>
        </w:rPr>
        <w:t>śatádvasu</w:t>
      </w:r>
      <w:r>
        <w:rPr>
          <w:i/>
          <w:iCs/>
        </w:rPr>
        <w:t>ṃ</w:t>
      </w:r>
    </w:p>
    <w:p w14:paraId="28E86270" w14:textId="77777777" w:rsidR="00E53EB6" w:rsidRDefault="006500F5">
      <w:pPr>
        <w:pStyle w:val="ZitatnachZitat"/>
        <w:rPr>
          <w:i/>
          <w:iCs/>
        </w:rPr>
      </w:pPr>
      <w:r>
        <w:rPr>
          <w:i/>
          <w:iCs/>
        </w:rPr>
        <w:t>śru</w:t>
      </w:r>
      <w:r>
        <w:rPr>
          <w:i/>
          <w:iCs/>
        </w:rPr>
        <w:t>ṣṭ</w:t>
      </w:r>
      <w:r>
        <w:rPr>
          <w:i/>
          <w:iCs/>
        </w:rPr>
        <w:t>īvā́na</w:t>
      </w:r>
      <w:r>
        <w:rPr>
          <w:i/>
          <w:iCs/>
        </w:rPr>
        <w:t>ṃ</w:t>
      </w:r>
      <w:r>
        <w:rPr>
          <w:i/>
          <w:iCs/>
        </w:rPr>
        <w:t xml:space="preserve"> varivodhā́m abhí práya</w:t>
      </w:r>
      <w:r>
        <w:rPr>
          <w:i/>
          <w:iCs/>
        </w:rPr>
        <w:t>ḥ</w:t>
      </w:r>
    </w:p>
    <w:p w14:paraId="761520CD" w14:textId="77777777" w:rsidR="00E53EB6" w:rsidRDefault="006500F5">
      <w:pPr>
        <w:pStyle w:val="Zitat"/>
      </w:pPr>
      <w:r>
        <w:rPr>
          <w:rFonts w:eastAsia="Arial Unicode MS"/>
        </w:rPr>
        <w:t>The chariot of you two, that of the many arts, swift like the inspired mind, with winged horses, to which sacrifice needs to be made, I invoke to live; that of the thousand forms, he who is endowed with wood</w:t>
      </w:r>
      <w:r>
        <w:rPr>
          <w:rStyle w:val="FootnoteAnchor"/>
          <w:rFonts w:eastAsia="Arial Unicode MS"/>
        </w:rPr>
        <w:footnoteReference w:id="474"/>
      </w:r>
      <w:r>
        <w:rPr>
          <w:rFonts w:eastAsia="Arial Unicode MS"/>
        </w:rPr>
        <w:t>, with a hundred goods, ready to listen, and who grants room I invoke to the libation</w:t>
      </w:r>
      <w:r>
        <w:rPr>
          <w:rStyle w:val="FootnoteAnchor"/>
          <w:rFonts w:eastAsia="Arial Unicode MS"/>
        </w:rPr>
        <w:footnoteReference w:id="475"/>
      </w:r>
      <w:r>
        <w:rPr>
          <w:rStyle w:val="FootnoteCharacters"/>
          <w:rFonts w:eastAsia="Arial Unicode MS"/>
        </w:rPr>
        <w:t>.</w:t>
      </w:r>
    </w:p>
    <w:p w14:paraId="23984891" w14:textId="77777777" w:rsidR="00E53EB6" w:rsidRDefault="006500F5">
      <w:pPr>
        <w:pStyle w:val="Zitat"/>
      </w:pPr>
      <w:r>
        <w:rPr>
          <w:rFonts w:eastAsia="Arial Unicode MS"/>
          <w:i/>
          <w:iCs/>
        </w:rPr>
        <w:lastRenderedPageBreak/>
        <w:t>vanínam</w:t>
      </w:r>
      <w:r>
        <w:rPr>
          <w:rFonts w:eastAsia="Arial Unicode MS"/>
        </w:rPr>
        <w:t xml:space="preserve">: accusative masculine singular </w:t>
      </w:r>
    </w:p>
    <w:p w14:paraId="2424B254" w14:textId="77777777" w:rsidR="00E53EB6" w:rsidRDefault="006500F5">
      <w:pPr>
        <w:pStyle w:val="ZitatmitEinzug"/>
      </w:pPr>
      <w:r>
        <w:rPr>
          <w:rFonts w:eastAsia="Arial Unicode MS"/>
          <w:smallCaps/>
        </w:rPr>
        <w:t>Geldner:</w:t>
      </w:r>
      <w:r>
        <w:rPr>
          <w:rFonts w:eastAsia="Arial Unicode MS"/>
        </w:rPr>
        <w:t xml:space="preserve"> I 161 </w:t>
      </w:r>
      <w:r>
        <w:rPr>
          <w:rFonts w:eastAsia="Arial Unicode MS"/>
        </w:rPr>
        <w:t xml:space="preserve">“sieggewohnte” </w:t>
      </w:r>
    </w:p>
    <w:p w14:paraId="2ED9F737" w14:textId="77777777" w:rsidR="00E53EB6" w:rsidRDefault="006500F5">
      <w:pPr>
        <w:pStyle w:val="ZitatmitEinzug"/>
      </w:pPr>
      <w:r>
        <w:rPr>
          <w:rFonts w:eastAsia="Arial Unicode MS"/>
          <w:smallCaps/>
        </w:rPr>
        <w:t>Pirart</w:t>
      </w:r>
      <w:r>
        <w:rPr>
          <w:rFonts w:eastAsia="Arial Unicode MS"/>
        </w:rPr>
        <w:t xml:space="preserve"> 1995 : 244 </w:t>
      </w:r>
      <w:r>
        <w:rPr>
          <w:rFonts w:eastAsia="Arial Unicode MS"/>
        </w:rPr>
        <w:t>“enchanté”</w:t>
      </w:r>
      <w:r>
        <w:rPr>
          <w:rFonts w:eastAsia="Arial Unicode MS"/>
        </w:rPr>
        <w:t xml:space="preserve"> The author (ibid. 245) suggests – in this case alone, however – ta</w:t>
      </w:r>
      <w:r>
        <w:rPr>
          <w:rFonts w:eastAsia="Arial Unicode MS"/>
        </w:rPr>
        <w:t>king it here as a derivative from *</w:t>
      </w:r>
      <w:r>
        <w:rPr>
          <w:rFonts w:eastAsia="Arial Unicode MS"/>
          <w:i/>
        </w:rPr>
        <w:t>vána-</w:t>
      </w:r>
      <w:r>
        <w:rPr>
          <w:rFonts w:eastAsia="Arial Unicode MS"/>
        </w:rPr>
        <w:t xml:space="preserve"> = </w:t>
      </w:r>
      <w:r>
        <w:rPr>
          <w:rFonts w:eastAsia="Arial Unicode MS"/>
          <w:i/>
        </w:rPr>
        <w:t>vánas-</w:t>
      </w:r>
      <w:r>
        <w:rPr>
          <w:rFonts w:eastAsia="Arial Unicode MS"/>
        </w:rPr>
        <w:t>, a term of decidedly obscure meaning or which he proposes the French substantive “charme”.</w:t>
      </w:r>
    </w:p>
    <w:p w14:paraId="7AEDC362" w14:textId="77777777" w:rsidR="00E53EB6" w:rsidRDefault="006500F5">
      <w:pPr>
        <w:pStyle w:val="ZitatmitEinzug"/>
      </w:pPr>
      <w:r>
        <w:rPr>
          <w:rStyle w:val="biblio-authorGEN"/>
          <w:rFonts w:eastAsia="Arial Unicode MS"/>
          <w:sz w:val="18"/>
          <w:szCs w:val="15"/>
        </w:rPr>
        <w:t xml:space="preserve">Witzel-Gotō </w:t>
      </w:r>
      <w:r>
        <w:rPr>
          <w:rFonts w:eastAsia="Arial Unicode MS"/>
          <w:szCs w:val="18"/>
        </w:rPr>
        <w:t>2007: 217 “gewinnenden”</w:t>
      </w:r>
    </w:p>
    <w:p w14:paraId="0E6D6E9B" w14:textId="77777777" w:rsidR="00E53EB6" w:rsidRDefault="00E53EB6">
      <w:pPr>
        <w:pStyle w:val="ZitatmitEinzug"/>
        <w:rPr>
          <w:rFonts w:eastAsia="Arial Unicode MS"/>
          <w:szCs w:val="18"/>
        </w:rPr>
      </w:pPr>
    </w:p>
    <w:p w14:paraId="1738E848" w14:textId="77777777" w:rsidR="00E53EB6" w:rsidRDefault="006500F5">
      <w:pPr>
        <w:pStyle w:val="Zitat"/>
      </w:pPr>
      <w:r>
        <w:t xml:space="preserve">1.180.3 </w:t>
      </w:r>
      <w:r>
        <w:rPr>
          <w:i/>
          <w:iCs/>
        </w:rPr>
        <w:t>yuvám páya usríyāyām adhattam</w:t>
      </w:r>
    </w:p>
    <w:p w14:paraId="7D33DFEE" w14:textId="77777777" w:rsidR="00E53EB6" w:rsidRDefault="006500F5">
      <w:pPr>
        <w:pStyle w:val="ZitatnachZitat"/>
        <w:rPr>
          <w:i/>
          <w:iCs/>
        </w:rPr>
      </w:pPr>
      <w:r>
        <w:rPr>
          <w:i/>
          <w:iCs/>
        </w:rPr>
        <w:t>pakvám āmā́yām áva pū́rviya</w:t>
      </w:r>
      <w:r>
        <w:rPr>
          <w:i/>
          <w:iCs/>
        </w:rPr>
        <w:t>ṃ</w:t>
      </w:r>
      <w:r>
        <w:rPr>
          <w:i/>
          <w:iCs/>
        </w:rPr>
        <w:t xml:space="preserve"> gó</w:t>
      </w:r>
      <w:r>
        <w:rPr>
          <w:i/>
          <w:iCs/>
        </w:rPr>
        <w:t>ḥ</w:t>
      </w:r>
    </w:p>
    <w:p w14:paraId="4A229C21" w14:textId="77777777" w:rsidR="00E53EB6" w:rsidRDefault="006500F5">
      <w:pPr>
        <w:pStyle w:val="ZitatnachZitat"/>
        <w:rPr>
          <w:i/>
          <w:iCs/>
        </w:rPr>
      </w:pPr>
      <w:r>
        <w:rPr>
          <w:i/>
          <w:iCs/>
        </w:rPr>
        <w:t>antár yád vaníno vām r̥tapsū</w:t>
      </w:r>
    </w:p>
    <w:p w14:paraId="2CCC82C5" w14:textId="77777777" w:rsidR="00E53EB6" w:rsidRDefault="006500F5">
      <w:pPr>
        <w:pStyle w:val="ZitatnachZitat"/>
        <w:rPr>
          <w:i/>
          <w:iCs/>
        </w:rPr>
      </w:pPr>
      <w:r>
        <w:rPr>
          <w:i/>
          <w:iCs/>
        </w:rPr>
        <w:t>hvāró ná śúcir yájate haví</w:t>
      </w:r>
      <w:r>
        <w:rPr>
          <w:i/>
          <w:iCs/>
        </w:rPr>
        <w:t>ṣ</w:t>
      </w:r>
      <w:r>
        <w:rPr>
          <w:i/>
          <w:iCs/>
        </w:rPr>
        <w:t>mān</w:t>
      </w:r>
    </w:p>
    <w:p w14:paraId="3CC17ECE" w14:textId="77777777" w:rsidR="00E53EB6" w:rsidRDefault="006500F5">
      <w:pPr>
        <w:pStyle w:val="Zitat"/>
      </w:pPr>
      <w:r>
        <w:rPr>
          <w:rFonts w:eastAsia="Arial Unicode MS"/>
        </w:rPr>
        <w:t>You two have placed the milk in the cow and that which was first of the cow, cooked, in the raw; it is this that he who offers the oblation, shiny like a serpent, sacrifices in what is made of woo</w:t>
      </w:r>
      <w:r>
        <w:rPr>
          <w:rFonts w:eastAsia="Arial Unicode MS"/>
        </w:rPr>
        <w:t>d</w:t>
      </w:r>
      <w:r>
        <w:rPr>
          <w:rStyle w:val="FootnoteAnchor"/>
          <w:rFonts w:eastAsia="Arial Unicode MS"/>
        </w:rPr>
        <w:footnoteReference w:id="476"/>
      </w:r>
      <w:r>
        <w:rPr>
          <w:rFonts w:eastAsia="Arial Unicode MS"/>
        </w:rPr>
        <w:t>, for you two, whose breath proceeds in order</w:t>
      </w:r>
      <w:r>
        <w:rPr>
          <w:rStyle w:val="FootnoteAnchor"/>
          <w:rFonts w:eastAsia="Arial Unicode MS"/>
        </w:rPr>
        <w:footnoteReference w:id="477"/>
      </w:r>
      <w:r>
        <w:rPr>
          <w:rStyle w:val="FootnoteCharacters"/>
          <w:rFonts w:eastAsia="Arial Unicode MS"/>
        </w:rPr>
        <w:t>.</w:t>
      </w:r>
    </w:p>
    <w:p w14:paraId="662A8A5D" w14:textId="77777777" w:rsidR="00E53EB6" w:rsidRPr="00494885" w:rsidRDefault="006500F5">
      <w:pPr>
        <w:pStyle w:val="Zitat"/>
        <w:rPr>
          <w:lang w:val="de-DE"/>
        </w:rPr>
      </w:pPr>
      <w:r w:rsidRPr="00494885">
        <w:rPr>
          <w:rFonts w:eastAsia="Arial Unicode MS"/>
          <w:i/>
          <w:iCs/>
          <w:lang w:val="de-DE"/>
        </w:rPr>
        <w:t>vanína</w:t>
      </w:r>
      <w:r w:rsidRPr="00494885">
        <w:rPr>
          <w:rFonts w:eastAsia="Arial Unicode MS"/>
          <w:i/>
          <w:iCs/>
          <w:lang w:val="de-DE"/>
        </w:rPr>
        <w:t>ḥ</w:t>
      </w:r>
      <w:r w:rsidRPr="00494885">
        <w:rPr>
          <w:rFonts w:eastAsia="Arial Unicode MS"/>
          <w:lang w:val="de-DE"/>
        </w:rPr>
        <w:t xml:space="preserve">: genitive masculine singular </w:t>
      </w:r>
    </w:p>
    <w:p w14:paraId="090AF059" w14:textId="77777777" w:rsidR="00E53EB6" w:rsidRPr="00494885" w:rsidRDefault="006500F5">
      <w:pPr>
        <w:pStyle w:val="ZitatmitEinzug"/>
        <w:rPr>
          <w:lang w:val="de-DE"/>
        </w:rPr>
      </w:pPr>
      <w:r w:rsidRPr="00494885">
        <w:rPr>
          <w:rFonts w:eastAsia="Arial Unicode MS"/>
          <w:smallCaps/>
          <w:lang w:val="de-DE"/>
        </w:rPr>
        <w:t>Geldner:</w:t>
      </w:r>
      <w:r w:rsidRPr="00494885">
        <w:rPr>
          <w:rFonts w:eastAsia="Arial Unicode MS"/>
          <w:lang w:val="de-DE"/>
        </w:rPr>
        <w:t xml:space="preserve"> I 258 </w:t>
      </w:r>
      <w:r w:rsidRPr="00494885">
        <w:rPr>
          <w:rFonts w:eastAsia="Arial Unicode MS"/>
          <w:lang w:val="de-DE"/>
        </w:rPr>
        <w:t>“im Holzgefässe”</w:t>
      </w:r>
    </w:p>
    <w:p w14:paraId="03B342A7" w14:textId="77777777" w:rsidR="00E53EB6" w:rsidRDefault="006500F5">
      <w:pPr>
        <w:pStyle w:val="ZitatmitEinzug"/>
      </w:pPr>
      <w:r>
        <w:rPr>
          <w:rFonts w:eastAsia="Arial Unicode MS"/>
          <w:smallCaps/>
        </w:rPr>
        <w:t>Pirart</w:t>
      </w:r>
      <w:r>
        <w:rPr>
          <w:rFonts w:eastAsia="Arial Unicode MS"/>
        </w:rPr>
        <w:t xml:space="preserve"> 1995 : 331 “(fils) de l’arbre” </w:t>
      </w:r>
      <w:r>
        <w:rPr>
          <w:rFonts w:eastAsia="Arial Unicode MS"/>
        </w:rPr>
        <w:t xml:space="preserve">(considering it a patronymic genitive) </w:t>
      </w:r>
    </w:p>
    <w:p w14:paraId="0F10BC9D" w14:textId="77777777" w:rsidR="00E53EB6" w:rsidRPr="00494885" w:rsidRDefault="006500F5">
      <w:pPr>
        <w:pStyle w:val="ZitatmitEinzug"/>
        <w:rPr>
          <w:lang w:val="de-DE"/>
        </w:rPr>
      </w:pPr>
      <w:r w:rsidRPr="00494885">
        <w:rPr>
          <w:rStyle w:val="biblio-authorGEN"/>
          <w:rFonts w:eastAsia="Arial Unicode MS"/>
          <w:sz w:val="18"/>
          <w:szCs w:val="15"/>
          <w:lang w:val="de-DE"/>
        </w:rPr>
        <w:t xml:space="preserve">Witzel-Gotō </w:t>
      </w:r>
      <w:r w:rsidRPr="00494885">
        <w:rPr>
          <w:rFonts w:eastAsia="Arial Unicode MS"/>
          <w:szCs w:val="18"/>
          <w:lang w:val="de-DE"/>
        </w:rPr>
        <w:t>2007: 328 “zwischen den Baümen”</w:t>
      </w:r>
    </w:p>
    <w:p w14:paraId="10209281" w14:textId="77777777" w:rsidR="00E53EB6" w:rsidRPr="00494885" w:rsidRDefault="00E53EB6">
      <w:pPr>
        <w:pStyle w:val="ZitatmitEinzug"/>
        <w:rPr>
          <w:rFonts w:eastAsia="Arial Unicode MS"/>
          <w:szCs w:val="18"/>
          <w:lang w:val="de-DE"/>
        </w:rPr>
      </w:pPr>
    </w:p>
    <w:p w14:paraId="4CA10C92" w14:textId="77777777" w:rsidR="00E53EB6" w:rsidRPr="00494885" w:rsidRDefault="006500F5">
      <w:pPr>
        <w:pStyle w:val="Zitat"/>
        <w:rPr>
          <w:lang w:val="de-DE"/>
        </w:rPr>
      </w:pPr>
      <w:r w:rsidRPr="00494885">
        <w:rPr>
          <w:lang w:val="de-DE"/>
        </w:rPr>
        <w:t xml:space="preserve">3.40.7  </w:t>
      </w:r>
      <w:r w:rsidRPr="00494885">
        <w:rPr>
          <w:i/>
          <w:iCs/>
          <w:lang w:val="de-DE"/>
        </w:rPr>
        <w:t>abh</w:t>
      </w:r>
      <w:r w:rsidRPr="00494885">
        <w:rPr>
          <w:i/>
          <w:iCs/>
          <w:lang w:val="de-DE"/>
        </w:rPr>
        <w:t>í dyumnā́ni vanína</w:t>
      </w:r>
    </w:p>
    <w:p w14:paraId="596C0F3C" w14:textId="77777777" w:rsidR="00E53EB6" w:rsidRPr="00494885" w:rsidRDefault="006500F5">
      <w:pPr>
        <w:pStyle w:val="ZitatnachZitat"/>
        <w:rPr>
          <w:i/>
          <w:iCs/>
          <w:lang w:val="de-DE"/>
        </w:rPr>
      </w:pPr>
      <w:r w:rsidRPr="00494885">
        <w:rPr>
          <w:i/>
          <w:iCs/>
          <w:lang w:val="de-DE"/>
        </w:rPr>
        <w:t>índra</w:t>
      </w:r>
      <w:r w:rsidRPr="00494885">
        <w:rPr>
          <w:i/>
          <w:iCs/>
          <w:lang w:val="de-DE"/>
        </w:rPr>
        <w:t>ṃ</w:t>
      </w:r>
      <w:r w:rsidRPr="00494885">
        <w:rPr>
          <w:i/>
          <w:iCs/>
          <w:lang w:val="de-DE"/>
        </w:rPr>
        <w:t xml:space="preserve"> sacante ák</w:t>
      </w:r>
      <w:r w:rsidRPr="00494885">
        <w:rPr>
          <w:i/>
          <w:iCs/>
          <w:lang w:val="de-DE"/>
        </w:rPr>
        <w:t>ṣ</w:t>
      </w:r>
      <w:r w:rsidRPr="00494885">
        <w:rPr>
          <w:i/>
          <w:iCs/>
          <w:lang w:val="de-DE"/>
        </w:rPr>
        <w:t>itā</w:t>
      </w:r>
    </w:p>
    <w:p w14:paraId="2191549B" w14:textId="77777777" w:rsidR="00E53EB6" w:rsidRDefault="006500F5">
      <w:pPr>
        <w:pStyle w:val="ZitatnachZitat"/>
        <w:rPr>
          <w:i/>
          <w:iCs/>
        </w:rPr>
      </w:pPr>
      <w:r>
        <w:rPr>
          <w:i/>
          <w:iCs/>
        </w:rPr>
        <w:t>pītvī́ sómasya vāvr̥dhe</w:t>
      </w:r>
    </w:p>
    <w:p w14:paraId="5F676FAF" w14:textId="77777777" w:rsidR="00E53EB6" w:rsidRDefault="006500F5">
      <w:pPr>
        <w:pStyle w:val="Zitat"/>
      </w:pPr>
      <w:r>
        <w:rPr>
          <w:rFonts w:eastAsia="Arial Unicode MS"/>
        </w:rPr>
        <w:t>The splendours</w:t>
      </w:r>
      <w:r>
        <w:rPr>
          <w:rStyle w:val="FootnoteAnchor"/>
          <w:rFonts w:eastAsia="Arial Unicode MS"/>
        </w:rPr>
        <w:footnoteReference w:id="478"/>
      </w:r>
      <w:r>
        <w:rPr>
          <w:rFonts w:eastAsia="Arial Unicode MS"/>
        </w:rPr>
        <w:t>, indestructible, of him who is endowed with wood</w:t>
      </w:r>
      <w:r>
        <w:rPr>
          <w:rStyle w:val="FootnoteAnchor"/>
          <w:rFonts w:eastAsia="Arial Unicode MS"/>
        </w:rPr>
        <w:footnoteReference w:id="479"/>
      </w:r>
      <w:r>
        <w:rPr>
          <w:rFonts w:eastAsia="Arial Unicode MS"/>
        </w:rPr>
        <w:t xml:space="preserve"> proceed towards Indra; having drunk the soma, he has grown greater.</w:t>
      </w:r>
    </w:p>
    <w:p w14:paraId="1E348151" w14:textId="77777777" w:rsidR="00E53EB6" w:rsidRPr="00494885" w:rsidRDefault="006500F5">
      <w:pPr>
        <w:pStyle w:val="Zitat"/>
        <w:rPr>
          <w:lang w:val="de-DE"/>
        </w:rPr>
      </w:pPr>
      <w:r w:rsidRPr="00494885">
        <w:rPr>
          <w:rFonts w:eastAsia="Arial Unicode MS"/>
          <w:i/>
          <w:iCs/>
          <w:lang w:val="de-DE"/>
        </w:rPr>
        <w:t>vanína</w:t>
      </w:r>
      <w:r w:rsidRPr="00494885">
        <w:rPr>
          <w:rFonts w:eastAsia="Arial Unicode MS"/>
          <w:i/>
          <w:iCs/>
          <w:lang w:val="de-DE"/>
        </w:rPr>
        <w:t>ḥ</w:t>
      </w:r>
      <w:r w:rsidRPr="00494885">
        <w:rPr>
          <w:rFonts w:eastAsia="Arial Unicode MS"/>
          <w:lang w:val="de-DE"/>
        </w:rPr>
        <w:t xml:space="preserve">: genitive masculine singular </w:t>
      </w:r>
    </w:p>
    <w:p w14:paraId="5F51B3C0" w14:textId="77777777" w:rsidR="00E53EB6" w:rsidRPr="00494885" w:rsidRDefault="006500F5">
      <w:pPr>
        <w:pStyle w:val="ZitatmitEinzug"/>
        <w:rPr>
          <w:lang w:val="de-DE"/>
        </w:rPr>
      </w:pPr>
      <w:r w:rsidRPr="00494885">
        <w:rPr>
          <w:rFonts w:eastAsia="Arial Unicode MS"/>
          <w:smallCaps/>
          <w:lang w:val="de-DE"/>
        </w:rPr>
        <w:t xml:space="preserve">Geldner: </w:t>
      </w:r>
      <w:r w:rsidRPr="00494885">
        <w:rPr>
          <w:rFonts w:eastAsia="Arial Unicode MS"/>
          <w:lang w:val="de-DE"/>
        </w:rPr>
        <w:t>I 382</w:t>
      </w:r>
      <w:r w:rsidRPr="00494885">
        <w:rPr>
          <w:rFonts w:eastAsia="Arial Unicode MS"/>
          <w:smallCaps/>
          <w:lang w:val="de-DE"/>
        </w:rPr>
        <w:t xml:space="preserve"> </w:t>
      </w:r>
      <w:r w:rsidRPr="00494885">
        <w:rPr>
          <w:rFonts w:eastAsia="Arial Unicode MS"/>
          <w:smallCaps/>
          <w:lang w:val="de-DE"/>
        </w:rPr>
        <w:t>“</w:t>
      </w:r>
      <w:r w:rsidRPr="00494885">
        <w:rPr>
          <w:rFonts w:eastAsia="Arial Unicode MS"/>
          <w:lang w:val="de-DE"/>
        </w:rPr>
        <w:t>Holzgefässe”</w:t>
      </w:r>
    </w:p>
    <w:p w14:paraId="5C69B6D9" w14:textId="77777777" w:rsidR="00E53EB6" w:rsidRPr="00494885" w:rsidRDefault="006500F5">
      <w:pPr>
        <w:pStyle w:val="ZitatmitEinzug"/>
        <w:rPr>
          <w:lang w:val="de-DE"/>
        </w:rPr>
      </w:pPr>
      <w:r w:rsidRPr="00494885">
        <w:rPr>
          <w:rFonts w:eastAsia="Arial Unicode MS"/>
          <w:smallCaps/>
          <w:lang w:val="de-DE"/>
        </w:rPr>
        <w:t>Renou:</w:t>
      </w:r>
      <w:r w:rsidRPr="00494885">
        <w:rPr>
          <w:rFonts w:eastAsia="Arial Unicode MS"/>
          <w:lang w:val="de-DE"/>
        </w:rPr>
        <w:t xml:space="preserve"> XVII 83</w:t>
      </w:r>
      <w:r w:rsidRPr="00494885">
        <w:rPr>
          <w:rFonts w:eastAsia="Arial Unicode MS"/>
          <w:smallCaps/>
          <w:lang w:val="de-DE"/>
        </w:rPr>
        <w:t xml:space="preserve"> “</w:t>
      </w:r>
      <w:r w:rsidRPr="00494885">
        <w:rPr>
          <w:rFonts w:eastAsia="Arial Unicode MS"/>
          <w:lang w:val="de-DE"/>
        </w:rPr>
        <w:t>du (soma) sis dans (le cuves de) bois”</w:t>
      </w:r>
    </w:p>
    <w:p w14:paraId="5E988476" w14:textId="77777777" w:rsidR="00E53EB6" w:rsidRPr="00494885" w:rsidRDefault="006500F5">
      <w:pPr>
        <w:pStyle w:val="ZitatmitEinzug"/>
        <w:rPr>
          <w:lang w:val="de-DE"/>
        </w:rPr>
      </w:pPr>
      <w:r w:rsidRPr="00494885">
        <w:rPr>
          <w:rFonts w:eastAsia="Arial Unicode MS"/>
          <w:smallCaps/>
          <w:lang w:val="de-DE"/>
        </w:rPr>
        <w:t xml:space="preserve">Oldenberg </w:t>
      </w:r>
      <w:r w:rsidRPr="00494885">
        <w:rPr>
          <w:rFonts w:eastAsia="Arial Unicode MS"/>
          <w:lang w:val="de-DE"/>
        </w:rPr>
        <w:t>1090: 250 n. 40,7 “die Gewinnenden”</w:t>
      </w:r>
    </w:p>
    <w:p w14:paraId="1C1E96B5" w14:textId="77777777" w:rsidR="00E53EB6" w:rsidRPr="00494885" w:rsidRDefault="00E53EB6">
      <w:pPr>
        <w:pStyle w:val="ZitatmitEinzug"/>
        <w:rPr>
          <w:rFonts w:eastAsia="Arial Unicode MS"/>
          <w:lang w:val="de-DE"/>
        </w:rPr>
      </w:pPr>
    </w:p>
    <w:p w14:paraId="5C88708C" w14:textId="77777777" w:rsidR="00E53EB6" w:rsidRPr="00494885" w:rsidRDefault="006500F5">
      <w:pPr>
        <w:pStyle w:val="Zitat"/>
        <w:rPr>
          <w:lang w:val="de-DE"/>
        </w:rPr>
      </w:pPr>
      <w:r w:rsidRPr="00494885">
        <w:rPr>
          <w:lang w:val="de-DE"/>
        </w:rPr>
        <w:t>8.3.5</w:t>
      </w:r>
      <w:r w:rsidRPr="00494885">
        <w:rPr>
          <w:i/>
          <w:iCs/>
          <w:lang w:val="de-DE"/>
        </w:rPr>
        <w:t xml:space="preserve"> índram íd de</w:t>
      </w:r>
      <w:r w:rsidRPr="00494885">
        <w:rPr>
          <w:i/>
          <w:iCs/>
          <w:lang w:val="de-DE"/>
        </w:rPr>
        <w:t>vátātaya</w:t>
      </w:r>
    </w:p>
    <w:p w14:paraId="7952A00B" w14:textId="77777777" w:rsidR="00E53EB6" w:rsidRPr="00494885" w:rsidRDefault="006500F5">
      <w:pPr>
        <w:pStyle w:val="ZitatnachZitat"/>
        <w:rPr>
          <w:i/>
          <w:iCs/>
          <w:lang w:val="de-DE"/>
        </w:rPr>
      </w:pPr>
      <w:r w:rsidRPr="00494885">
        <w:rPr>
          <w:i/>
          <w:iCs/>
          <w:lang w:val="de-DE"/>
        </w:rPr>
        <w:t>índram prayatí adhvaré</w:t>
      </w:r>
    </w:p>
    <w:p w14:paraId="71D2C97E" w14:textId="77777777" w:rsidR="00E53EB6" w:rsidRPr="00494885" w:rsidRDefault="006500F5">
      <w:pPr>
        <w:pStyle w:val="ZitatnachZitat"/>
        <w:rPr>
          <w:i/>
          <w:iCs/>
          <w:lang w:val="de-DE"/>
        </w:rPr>
      </w:pPr>
      <w:r w:rsidRPr="00494885">
        <w:rPr>
          <w:i/>
          <w:iCs/>
          <w:lang w:val="de-DE"/>
        </w:rPr>
        <w:t>índra</w:t>
      </w:r>
      <w:r w:rsidRPr="00494885">
        <w:rPr>
          <w:i/>
          <w:iCs/>
          <w:lang w:val="de-DE"/>
        </w:rPr>
        <w:t>ṃ</w:t>
      </w:r>
      <w:r w:rsidRPr="00494885">
        <w:rPr>
          <w:i/>
          <w:iCs/>
          <w:lang w:val="de-DE"/>
        </w:rPr>
        <w:t xml:space="preserve"> samīké vaníno havāmaha</w:t>
      </w:r>
    </w:p>
    <w:p w14:paraId="3E88DE96" w14:textId="77777777" w:rsidR="00E53EB6" w:rsidRDefault="006500F5">
      <w:pPr>
        <w:pStyle w:val="ZitatnachZitat"/>
        <w:rPr>
          <w:i/>
          <w:iCs/>
        </w:rPr>
      </w:pPr>
      <w:r>
        <w:rPr>
          <w:i/>
          <w:iCs/>
        </w:rPr>
        <w:t>índra</w:t>
      </w:r>
      <w:r>
        <w:rPr>
          <w:i/>
          <w:iCs/>
        </w:rPr>
        <w:t>ṃ</w:t>
      </w:r>
      <w:r>
        <w:rPr>
          <w:i/>
          <w:iCs/>
        </w:rPr>
        <w:t xml:space="preserve"> dhánasya sātáye</w:t>
      </w:r>
    </w:p>
    <w:p w14:paraId="23CFE50E" w14:textId="77777777" w:rsidR="00E53EB6" w:rsidRDefault="006500F5">
      <w:pPr>
        <w:pStyle w:val="Zitat"/>
      </w:pPr>
      <w:r>
        <w:rPr>
          <w:rFonts w:eastAsia="Arial Unicode MS"/>
        </w:rPr>
        <w:t>We invoke Indra for the divine office, Indra we invoke, the sacrifice begins, Indra to obtain victory, Indra in the clash we invoke thanks to him who is endowed with wood</w:t>
      </w:r>
      <w:r>
        <w:rPr>
          <w:rStyle w:val="FootnoteAnchor"/>
          <w:rFonts w:eastAsia="Arial Unicode MS"/>
        </w:rPr>
        <w:footnoteReference w:id="480"/>
      </w:r>
      <w:r>
        <w:rPr>
          <w:rStyle w:val="FootnoteCharacters"/>
          <w:rFonts w:eastAsia="Arial Unicode MS"/>
        </w:rPr>
        <w:t>.</w:t>
      </w:r>
    </w:p>
    <w:p w14:paraId="79930547" w14:textId="77777777" w:rsidR="00E53EB6" w:rsidRDefault="006500F5">
      <w:pPr>
        <w:pStyle w:val="Zitat"/>
      </w:pPr>
      <w:r>
        <w:rPr>
          <w:rFonts w:eastAsia="Arial Unicode MS"/>
          <w:i/>
          <w:iCs/>
        </w:rPr>
        <w:lastRenderedPageBreak/>
        <w:t>vanína</w:t>
      </w:r>
      <w:r>
        <w:rPr>
          <w:rFonts w:eastAsia="Arial Unicode MS"/>
          <w:i/>
          <w:iCs/>
        </w:rPr>
        <w:t>ḥ</w:t>
      </w:r>
      <w:r>
        <w:rPr>
          <w:rFonts w:eastAsia="Arial Unicode MS"/>
          <w:b/>
        </w:rPr>
        <w:t>:</w:t>
      </w:r>
      <w:r>
        <w:rPr>
          <w:rFonts w:eastAsia="Arial Unicode MS"/>
          <w:b/>
          <w:bCs/>
        </w:rPr>
        <w:t xml:space="preserve"> </w:t>
      </w:r>
      <w:r>
        <w:rPr>
          <w:rFonts w:eastAsia="Arial Unicode MS"/>
          <w:bCs/>
        </w:rPr>
        <w:t xml:space="preserve">nominative masculine plural </w:t>
      </w:r>
    </w:p>
    <w:p w14:paraId="183E61AB" w14:textId="77777777" w:rsidR="00E53EB6" w:rsidRDefault="006500F5">
      <w:pPr>
        <w:pStyle w:val="ZitatmitEinzug"/>
      </w:pPr>
      <w:r>
        <w:rPr>
          <w:rFonts w:eastAsia="Arial Unicode MS"/>
          <w:smallCaps/>
        </w:rPr>
        <w:t>Geldner:</w:t>
      </w:r>
      <w:r>
        <w:rPr>
          <w:rFonts w:eastAsia="Arial Unicode MS"/>
        </w:rPr>
        <w:t xml:space="preserve"> II 286 </w:t>
      </w:r>
      <w:r>
        <w:rPr>
          <w:rFonts w:eastAsia="Arial Unicode MS"/>
        </w:rPr>
        <w:t xml:space="preserve">“eifrig” referring to Indra; evidently, reads vanínam   </w:t>
      </w:r>
    </w:p>
    <w:p w14:paraId="2C358DC0" w14:textId="77777777" w:rsidR="00E53EB6" w:rsidRDefault="006500F5">
      <w:pPr>
        <w:pStyle w:val="ZitatmitEinzug"/>
      </w:pPr>
      <w:r>
        <w:rPr>
          <w:rFonts w:eastAsia="Arial Unicode MS"/>
          <w:smallCaps/>
          <w:szCs w:val="18"/>
        </w:rPr>
        <w:t>Pirart</w:t>
      </w:r>
      <w:r>
        <w:rPr>
          <w:rFonts w:eastAsia="Arial Unicode MS"/>
          <w:szCs w:val="18"/>
        </w:rPr>
        <w:t xml:space="preserve"> 1995 : 245 “nous qui disposons d’un charme”</w:t>
      </w:r>
    </w:p>
    <w:p w14:paraId="1D8BD42C" w14:textId="77777777" w:rsidR="00E53EB6" w:rsidRDefault="006500F5">
      <w:pPr>
        <w:pStyle w:val="HaupttextnachZitat"/>
      </w:pPr>
      <w:r>
        <w:rPr>
          <w:szCs w:val="24"/>
        </w:rPr>
        <w:t xml:space="preserve">In 1.64.12 the problem is whether to take the first two </w:t>
      </w:r>
      <w:r>
        <w:rPr>
          <w:i/>
          <w:szCs w:val="24"/>
        </w:rPr>
        <w:t>pāda</w:t>
      </w:r>
      <w:r>
        <w:rPr>
          <w:szCs w:val="24"/>
        </w:rPr>
        <w:t xml:space="preserve"> to refer to Agni, son of Rudra and certainly endowed with wood; here, however, it seems that the subject are the Marut, and the supposition is borne out by another attestation (6.66.11) were the </w:t>
      </w:r>
      <w:r>
        <w:rPr>
          <w:szCs w:val="24"/>
        </w:rPr>
        <w:t>same syntagma (</w:t>
      </w:r>
      <w:r>
        <w:rPr>
          <w:rFonts w:eastAsia="Arial Unicode MS"/>
          <w:i/>
        </w:rPr>
        <w:t>rudrásya sūnú</w:t>
      </w:r>
      <w:r>
        <w:rPr>
          <w:rFonts w:eastAsia="Arial Unicode MS"/>
          <w:i/>
        </w:rPr>
        <w:t>ṃ</w:t>
      </w:r>
      <w:r>
        <w:rPr>
          <w:szCs w:val="24"/>
        </w:rPr>
        <w:t>) unmistakably refers to this divine group. Can it then be that the Marut are endowed with wood? This attribute is certainly not totally unfounded if we recall that the Marut are the lords of the tempest, which manifests itself</w:t>
      </w:r>
      <w:r>
        <w:rPr>
          <w:szCs w:val="24"/>
        </w:rPr>
        <w:t xml:space="preserve"> with all its power in the forests, striking the trees with its thunderbolts. </w:t>
      </w:r>
    </w:p>
    <w:p w14:paraId="18575229" w14:textId="77777777" w:rsidR="00E53EB6" w:rsidRDefault="006500F5">
      <w:pPr>
        <w:pStyle w:val="Zitat"/>
      </w:pPr>
      <w:r>
        <w:t xml:space="preserve">1.64.12 </w:t>
      </w:r>
      <w:r>
        <w:rPr>
          <w:i/>
          <w:iCs/>
        </w:rPr>
        <w:t xml:space="preserve"> ghŕ̥</w:t>
      </w:r>
      <w:r>
        <w:rPr>
          <w:i/>
          <w:iCs/>
        </w:rPr>
        <w:t>ṣ</w:t>
      </w:r>
      <w:r>
        <w:rPr>
          <w:i/>
          <w:iCs/>
        </w:rPr>
        <w:t>um pavāká</w:t>
      </w:r>
      <w:r>
        <w:rPr>
          <w:i/>
          <w:iCs/>
        </w:rPr>
        <w:t>ṃ</w:t>
      </w:r>
      <w:r>
        <w:rPr>
          <w:i/>
          <w:iCs/>
        </w:rPr>
        <w:t xml:space="preserve"> vanína</w:t>
      </w:r>
      <w:r>
        <w:rPr>
          <w:i/>
          <w:iCs/>
        </w:rPr>
        <w:t>ṃ</w:t>
      </w:r>
      <w:r>
        <w:rPr>
          <w:i/>
          <w:iCs/>
        </w:rPr>
        <w:t xml:space="preserve"> vícar</w:t>
      </w:r>
      <w:r>
        <w:rPr>
          <w:i/>
          <w:iCs/>
        </w:rPr>
        <w:t>ṣ</w:t>
      </w:r>
      <w:r>
        <w:rPr>
          <w:i/>
          <w:iCs/>
        </w:rPr>
        <w:t>a</w:t>
      </w:r>
      <w:r>
        <w:rPr>
          <w:i/>
          <w:iCs/>
        </w:rPr>
        <w:t>ṇ</w:t>
      </w:r>
      <w:r>
        <w:rPr>
          <w:i/>
          <w:iCs/>
        </w:rPr>
        <w:t>i</w:t>
      </w:r>
      <w:r>
        <w:rPr>
          <w:i/>
          <w:iCs/>
        </w:rPr>
        <w:t>ṃ</w:t>
      </w:r>
    </w:p>
    <w:p w14:paraId="68F7AEE2" w14:textId="77777777" w:rsidR="00E53EB6" w:rsidRDefault="006500F5">
      <w:pPr>
        <w:pStyle w:val="ZitatnachZitat"/>
        <w:rPr>
          <w:i/>
          <w:iCs/>
        </w:rPr>
      </w:pPr>
      <w:r>
        <w:rPr>
          <w:i/>
          <w:iCs/>
        </w:rPr>
        <w:t>rudrásya sūnú</w:t>
      </w:r>
      <w:r>
        <w:rPr>
          <w:i/>
          <w:iCs/>
        </w:rPr>
        <w:t>ṃ</w:t>
      </w:r>
      <w:r>
        <w:rPr>
          <w:i/>
          <w:iCs/>
        </w:rPr>
        <w:t xml:space="preserve"> havásā gr̥</w:t>
      </w:r>
      <w:r>
        <w:rPr>
          <w:i/>
          <w:iCs/>
        </w:rPr>
        <w:t>ṇ</w:t>
      </w:r>
      <w:r>
        <w:rPr>
          <w:i/>
          <w:iCs/>
        </w:rPr>
        <w:t>īmasi</w:t>
      </w:r>
    </w:p>
    <w:p w14:paraId="00FCF297" w14:textId="77777777" w:rsidR="00E53EB6" w:rsidRDefault="006500F5">
      <w:pPr>
        <w:pStyle w:val="ZitatnachZitat"/>
        <w:rPr>
          <w:i/>
          <w:iCs/>
        </w:rPr>
      </w:pPr>
      <w:r>
        <w:rPr>
          <w:i/>
          <w:iCs/>
        </w:rPr>
        <w:t xml:space="preserve"> rajastúra</w:t>
      </w:r>
      <w:r>
        <w:rPr>
          <w:i/>
          <w:iCs/>
        </w:rPr>
        <w:t>ṃ</w:t>
      </w:r>
      <w:r>
        <w:rPr>
          <w:i/>
          <w:iCs/>
        </w:rPr>
        <w:t xml:space="preserve"> tavásam mā́ruta</w:t>
      </w:r>
      <w:r>
        <w:rPr>
          <w:i/>
          <w:iCs/>
        </w:rPr>
        <w:t>ṃ</w:t>
      </w:r>
      <w:r>
        <w:rPr>
          <w:i/>
          <w:iCs/>
        </w:rPr>
        <w:t xml:space="preserve"> ga</w:t>
      </w:r>
      <w:r>
        <w:rPr>
          <w:i/>
          <w:iCs/>
        </w:rPr>
        <w:t>ṇ</w:t>
      </w:r>
      <w:r>
        <w:rPr>
          <w:i/>
          <w:iCs/>
        </w:rPr>
        <w:t>ám</w:t>
      </w:r>
    </w:p>
    <w:p w14:paraId="02F34035" w14:textId="77777777" w:rsidR="00E53EB6" w:rsidRDefault="006500F5">
      <w:pPr>
        <w:pStyle w:val="ZitatnachZitat"/>
        <w:rPr>
          <w:i/>
          <w:iCs/>
        </w:rPr>
      </w:pPr>
      <w:r>
        <w:rPr>
          <w:i/>
          <w:iCs/>
        </w:rPr>
        <w:t>r̥jī</w:t>
      </w:r>
      <w:r>
        <w:rPr>
          <w:i/>
          <w:iCs/>
        </w:rPr>
        <w:t>ṣ</w:t>
      </w:r>
      <w:r>
        <w:rPr>
          <w:i/>
          <w:iCs/>
        </w:rPr>
        <w:t>í</w:t>
      </w:r>
      <w:r>
        <w:rPr>
          <w:i/>
          <w:iCs/>
        </w:rPr>
        <w:t>ṇ</w:t>
      </w:r>
      <w:r>
        <w:rPr>
          <w:i/>
          <w:iCs/>
        </w:rPr>
        <w:t>a</w:t>
      </w:r>
      <w:r>
        <w:rPr>
          <w:i/>
          <w:iCs/>
        </w:rPr>
        <w:t>ṃ</w:t>
      </w:r>
      <w:r>
        <w:rPr>
          <w:i/>
          <w:iCs/>
        </w:rPr>
        <w:t xml:space="preserve"> vr̥</w:t>
      </w:r>
      <w:r>
        <w:rPr>
          <w:i/>
          <w:iCs/>
        </w:rPr>
        <w:t>ṣ</w:t>
      </w:r>
      <w:r>
        <w:rPr>
          <w:i/>
          <w:iCs/>
        </w:rPr>
        <w:t>a</w:t>
      </w:r>
      <w:r>
        <w:rPr>
          <w:i/>
          <w:iCs/>
        </w:rPr>
        <w:t>ṇ</w:t>
      </w:r>
      <w:r>
        <w:rPr>
          <w:i/>
          <w:iCs/>
        </w:rPr>
        <w:t>a</w:t>
      </w:r>
      <w:r>
        <w:rPr>
          <w:i/>
          <w:iCs/>
        </w:rPr>
        <w:t>ṃ</w:t>
      </w:r>
      <w:r>
        <w:rPr>
          <w:i/>
          <w:iCs/>
        </w:rPr>
        <w:t xml:space="preserve"> saścata śriyé</w:t>
      </w:r>
    </w:p>
    <w:p w14:paraId="48F2F152" w14:textId="77777777" w:rsidR="00E53EB6" w:rsidRDefault="006500F5">
      <w:pPr>
        <w:pStyle w:val="Zitat"/>
      </w:pPr>
      <w:r>
        <w:rPr>
          <w:rFonts w:eastAsia="Arial Unicode MS"/>
        </w:rPr>
        <w:t>The vital, pure one, he who is e</w:t>
      </w:r>
      <w:r>
        <w:rPr>
          <w:rFonts w:eastAsia="Arial Unicode MS"/>
        </w:rPr>
        <w:t>ndowed with wood</w:t>
      </w:r>
      <w:r>
        <w:rPr>
          <w:rStyle w:val="FootnoteAnchor"/>
          <w:rFonts w:eastAsia="Arial Unicode MS"/>
        </w:rPr>
        <w:footnoteReference w:id="481"/>
      </w:r>
      <w:r>
        <w:rPr>
          <w:rFonts w:eastAsia="Arial Unicode MS"/>
        </w:rPr>
        <w:t>, the one whose bounds are wide</w:t>
      </w:r>
      <w:r>
        <w:rPr>
          <w:rStyle w:val="FootnoteAnchor"/>
          <w:rFonts w:eastAsia="Arial Unicode MS"/>
        </w:rPr>
        <w:footnoteReference w:id="482"/>
      </w:r>
      <w:r>
        <w:rPr>
          <w:rFonts w:eastAsia="Arial Unicode MS"/>
        </w:rPr>
        <w:t>, son of Rudra we sing with the invocation</w:t>
      </w:r>
      <w:r>
        <w:rPr>
          <w:rStyle w:val="FootnoteAnchor"/>
          <w:rFonts w:eastAsia="Arial Unicode MS"/>
        </w:rPr>
        <w:footnoteReference w:id="483"/>
      </w:r>
      <w:r>
        <w:rPr>
          <w:rFonts w:eastAsia="Arial Unicode MS"/>
        </w:rPr>
        <w:t>; to have fortune follow the troops that belong to the Marut, who crosses through the ether, powerful, the bull that receives the residue of the soma.</w:t>
      </w:r>
    </w:p>
    <w:p w14:paraId="2B20A161" w14:textId="77777777" w:rsidR="00E53EB6" w:rsidRDefault="006500F5">
      <w:pPr>
        <w:pStyle w:val="Zitat"/>
      </w:pPr>
      <w:r>
        <w:rPr>
          <w:rFonts w:eastAsia="Arial Unicode MS"/>
          <w:i/>
          <w:iCs/>
        </w:rPr>
        <w:t>vanínam</w:t>
      </w:r>
      <w:r>
        <w:rPr>
          <w:rFonts w:eastAsia="Arial Unicode MS"/>
          <w:b/>
        </w:rPr>
        <w:t xml:space="preserve">: </w:t>
      </w:r>
      <w:r>
        <w:rPr>
          <w:rFonts w:eastAsia="Arial Unicode MS"/>
        </w:rPr>
        <w:t>a</w:t>
      </w:r>
      <w:r>
        <w:rPr>
          <w:rFonts w:eastAsia="Arial Unicode MS"/>
        </w:rPr>
        <w:t xml:space="preserve">ccusative masculine singular </w:t>
      </w:r>
    </w:p>
    <w:p w14:paraId="1DDBD584" w14:textId="77777777" w:rsidR="00E53EB6" w:rsidRDefault="006500F5">
      <w:pPr>
        <w:pStyle w:val="ZitatmitEinzug"/>
      </w:pPr>
      <w:r>
        <w:rPr>
          <w:rStyle w:val="biblio-authorGEN"/>
          <w:rFonts w:eastAsia="Arial Unicode MS"/>
          <w:sz w:val="18"/>
          <w:szCs w:val="15"/>
        </w:rPr>
        <w:t>Geldner:</w:t>
      </w:r>
      <w:r>
        <w:rPr>
          <w:rFonts w:eastAsia="Arial Unicode MS"/>
          <w:smallCaps/>
        </w:rPr>
        <w:t xml:space="preserve"> </w:t>
      </w:r>
      <w:r>
        <w:rPr>
          <w:rFonts w:eastAsia="Arial Unicode MS"/>
        </w:rPr>
        <w:t>I  85 “</w:t>
      </w:r>
      <w:r>
        <w:rPr>
          <w:rFonts w:eastAsia="Arial Unicode MS"/>
        </w:rPr>
        <w:t xml:space="preserve">sieggewohnte” </w:t>
      </w:r>
    </w:p>
    <w:p w14:paraId="159AE32D" w14:textId="77777777" w:rsidR="00E53EB6" w:rsidRDefault="006500F5">
      <w:pPr>
        <w:pStyle w:val="ZitatmitEinzug"/>
      </w:pPr>
      <w:r>
        <w:rPr>
          <w:rStyle w:val="biblio-authorGEN"/>
          <w:sz w:val="18"/>
          <w:szCs w:val="15"/>
        </w:rPr>
        <w:t>Renou:</w:t>
      </w:r>
      <w:r>
        <w:t xml:space="preserve"> X 17 </w:t>
      </w:r>
      <w:r>
        <w:t>“</w:t>
      </w:r>
      <w:r>
        <w:rPr>
          <w:lang w:val="fr-FR"/>
        </w:rPr>
        <w:t>victorieux</w:t>
      </w:r>
      <w:r>
        <w:t>”</w:t>
      </w:r>
    </w:p>
    <w:p w14:paraId="7209EDFE" w14:textId="77777777" w:rsidR="00E53EB6" w:rsidRDefault="006500F5">
      <w:pPr>
        <w:pStyle w:val="ZitatmitEinzug"/>
        <w:rPr>
          <w:szCs w:val="18"/>
        </w:rPr>
      </w:pPr>
      <w:r>
        <w:rPr>
          <w:rStyle w:val="biblio-authorGEN"/>
          <w:sz w:val="18"/>
          <w:szCs w:val="15"/>
        </w:rPr>
        <w:t xml:space="preserve">Witzel-Gotō </w:t>
      </w:r>
      <w:r>
        <w:rPr>
          <w:szCs w:val="18"/>
        </w:rPr>
        <w:t>2007: 122 “unersättlichen”</w:t>
      </w:r>
    </w:p>
    <w:p w14:paraId="01FC0F68" w14:textId="77777777" w:rsidR="00E53EB6" w:rsidRDefault="006500F5">
      <w:pPr>
        <w:pStyle w:val="HaupttextnachZitat"/>
      </w:pPr>
      <w:r>
        <w:rPr>
          <w:szCs w:val="24"/>
        </w:rPr>
        <w:t xml:space="preserve">So far the attestations we have analysed can clearly be traced back to </w:t>
      </w:r>
      <w:r>
        <w:rPr>
          <w:i/>
          <w:szCs w:val="24"/>
        </w:rPr>
        <w:t xml:space="preserve">vanín- </w:t>
      </w:r>
      <w:r>
        <w:rPr>
          <w:szCs w:val="24"/>
        </w:rPr>
        <w:t xml:space="preserve">as adjective derived from the substantive </w:t>
      </w:r>
      <w:r>
        <w:rPr>
          <w:rFonts w:eastAsia="Arial Unicode MS"/>
          <w:i/>
        </w:rPr>
        <w:t>vána-</w:t>
      </w:r>
      <w:r>
        <w:rPr>
          <w:szCs w:val="24"/>
        </w:rPr>
        <w:t>. Actually, there remains one attestation that can be interpreted in a different way, and it is stanza 1.139.10.</w:t>
      </w:r>
    </w:p>
    <w:p w14:paraId="3DE7AC13" w14:textId="77777777" w:rsidR="00E53EB6" w:rsidRDefault="006500F5">
      <w:pPr>
        <w:pStyle w:val="HaupttextohneEinzug"/>
      </w:pPr>
      <w:r>
        <w:rPr>
          <w:szCs w:val="24"/>
        </w:rPr>
        <w:t>Here the intention</w:t>
      </w:r>
      <w:r>
        <w:rPr>
          <w:szCs w:val="24"/>
        </w:rPr>
        <w:t xml:space="preserve"> may be to include both meanings, or to evoke one through the other, playing on the homophony of the two roots, with the sort of play already encountered in 9 7.6 b-c (</w:t>
      </w:r>
      <w:r>
        <w:rPr>
          <w:i/>
        </w:rPr>
        <w:t>hárir váne</w:t>
      </w:r>
      <w:r>
        <w:rPr>
          <w:i/>
        </w:rPr>
        <w:t>ṣ</w:t>
      </w:r>
      <w:r>
        <w:rPr>
          <w:i/>
        </w:rPr>
        <w:t>u sīdati rebhó vanu</w:t>
      </w:r>
      <w:r>
        <w:rPr>
          <w:i/>
        </w:rPr>
        <w:t>ṣ</w:t>
      </w:r>
      <w:r>
        <w:rPr>
          <w:i/>
        </w:rPr>
        <w:t>yate matī</w:t>
      </w:r>
      <w:r>
        <w:rPr>
          <w:szCs w:val="24"/>
        </w:rPr>
        <w:t>) and which becomes all the more forceful with t</w:t>
      </w:r>
      <w:r>
        <w:rPr>
          <w:szCs w:val="24"/>
        </w:rPr>
        <w:t>he use of other derivatives.</w:t>
      </w:r>
    </w:p>
    <w:p w14:paraId="7BC11D95" w14:textId="77777777" w:rsidR="00E53EB6" w:rsidRDefault="006500F5">
      <w:pPr>
        <w:pStyle w:val="HaupttextohneEinzug"/>
      </w:pPr>
      <w:r>
        <w:rPr>
          <w:rFonts w:eastAsia="Arial Unicode MS"/>
        </w:rPr>
        <w:t xml:space="preserve">In this stanza, in fact, we encounter a whole series of ambiguities, also at the level of grammatical interpretation, which make it very difficult to provide a definitive translation. In </w:t>
      </w:r>
      <w:r>
        <w:rPr>
          <w:i/>
        </w:rPr>
        <w:t>vaníno vanta vā́ryam</w:t>
      </w:r>
      <w:r>
        <w:t>, for example, the p</w:t>
      </w:r>
      <w:r>
        <w:t xml:space="preserve">honetic play (paronomasia or etymological figure) employed here is quite evident, regardless of whether we consider </w:t>
      </w:r>
      <w:r>
        <w:rPr>
          <w:i/>
        </w:rPr>
        <w:t>vaníno</w:t>
      </w:r>
      <w:r>
        <w:t xml:space="preserve"> and </w:t>
      </w:r>
      <w:r>
        <w:rPr>
          <w:i/>
        </w:rPr>
        <w:t>vanta</w:t>
      </w:r>
      <w:r>
        <w:t xml:space="preserve"> to derive from the same root (</w:t>
      </w:r>
      <w:r>
        <w:rPr>
          <w:smallCaps/>
        </w:rPr>
        <w:t>Renou V 9</w:t>
      </w:r>
      <w:r>
        <w:t xml:space="preserve"> and </w:t>
      </w:r>
      <w:r>
        <w:rPr>
          <w:smallCaps/>
        </w:rPr>
        <w:t xml:space="preserve">Migron </w:t>
      </w:r>
      <w:r>
        <w:t>1980: 279 n. 48) or not (</w:t>
      </w:r>
      <w:r>
        <w:rPr>
          <w:smallCaps/>
        </w:rPr>
        <w:t>Geldner</w:t>
      </w:r>
      <w:r>
        <w:t xml:space="preserve"> I 194). If </w:t>
      </w:r>
      <w:r>
        <w:rPr>
          <w:i/>
        </w:rPr>
        <w:t>vaníno</w:t>
      </w:r>
      <w:r>
        <w:t xml:space="preserve"> is genitive singular </w:t>
      </w:r>
      <w:r>
        <w:t xml:space="preserve">we can consider its position as </w:t>
      </w:r>
      <w:r>
        <w:rPr>
          <w:i/>
        </w:rPr>
        <w:t>apò koinù</w:t>
      </w:r>
      <w:r>
        <w:t xml:space="preserve"> between the two verbs, which also seems to be suggested by the symmetrical structure that takes shape in the two phrases. At the same time, however, a verb form is used – deliberately, in my opinion – which could e</w:t>
      </w:r>
      <w:r>
        <w:t xml:space="preserve">qually well be third person singular (and so have as subject the </w:t>
      </w:r>
      <w:r>
        <w:rPr>
          <w:i/>
        </w:rPr>
        <w:t>hotr̥</w:t>
      </w:r>
      <w:r>
        <w:t xml:space="preserve">) or third person plural, thus referring to </w:t>
      </w:r>
      <w:r>
        <w:rPr>
          <w:i/>
        </w:rPr>
        <w:t>vanína</w:t>
      </w:r>
      <w:r>
        <w:rPr>
          <w:i/>
        </w:rPr>
        <w:t>ḥ</w:t>
      </w:r>
      <w:r>
        <w:t xml:space="preserve"> as nominative plural. There is no evidence leading us to opt for either of the two possible interpretations.</w:t>
      </w:r>
    </w:p>
    <w:p w14:paraId="3A98D551" w14:textId="77777777" w:rsidR="00E53EB6" w:rsidRDefault="006500F5">
      <w:pPr>
        <w:pStyle w:val="Zitat"/>
        <w:rPr>
          <w:i/>
          <w:iCs/>
        </w:rPr>
      </w:pPr>
      <w:r>
        <w:t>1.139.10</w:t>
      </w:r>
      <w:r>
        <w:rPr>
          <w:i/>
          <w:iCs/>
        </w:rPr>
        <w:t xml:space="preserve"> hótā yak</w:t>
      </w:r>
      <w:r>
        <w:rPr>
          <w:i/>
          <w:iCs/>
        </w:rPr>
        <w:t>ṣ</w:t>
      </w:r>
      <w:r>
        <w:rPr>
          <w:i/>
          <w:iCs/>
        </w:rPr>
        <w:t>ad vaní</w:t>
      </w:r>
      <w:r>
        <w:rPr>
          <w:i/>
          <w:iCs/>
        </w:rPr>
        <w:t>no vanta vā́riyam</w:t>
      </w:r>
    </w:p>
    <w:p w14:paraId="143C4564" w14:textId="77777777" w:rsidR="00E53EB6" w:rsidRDefault="006500F5">
      <w:pPr>
        <w:pStyle w:val="ZitatnachZitat"/>
        <w:rPr>
          <w:i/>
          <w:iCs/>
        </w:rPr>
      </w:pPr>
      <w:r>
        <w:rPr>
          <w:i/>
          <w:iCs/>
        </w:rPr>
        <w:t>bŕ̥haspátir yajati vená uk</w:t>
      </w:r>
      <w:r>
        <w:rPr>
          <w:i/>
          <w:iCs/>
        </w:rPr>
        <w:t>ṣ</w:t>
      </w:r>
      <w:r>
        <w:rPr>
          <w:i/>
          <w:iCs/>
        </w:rPr>
        <w:t>ábhi</w:t>
      </w:r>
      <w:r>
        <w:rPr>
          <w:i/>
          <w:iCs/>
        </w:rPr>
        <w:t>ḥ</w:t>
      </w:r>
    </w:p>
    <w:p w14:paraId="673ED34F" w14:textId="77777777" w:rsidR="00E53EB6" w:rsidRDefault="006500F5">
      <w:pPr>
        <w:pStyle w:val="ZitatnachZitat"/>
        <w:rPr>
          <w:i/>
          <w:iCs/>
        </w:rPr>
      </w:pPr>
      <w:r>
        <w:rPr>
          <w:i/>
          <w:iCs/>
        </w:rPr>
        <w:lastRenderedPageBreak/>
        <w:t>puruvā́rebhir uk</w:t>
      </w:r>
      <w:r>
        <w:rPr>
          <w:i/>
          <w:iCs/>
        </w:rPr>
        <w:t>ṣ</w:t>
      </w:r>
      <w:r>
        <w:rPr>
          <w:i/>
          <w:iCs/>
        </w:rPr>
        <w:t>ábhi</w:t>
      </w:r>
      <w:r>
        <w:rPr>
          <w:i/>
          <w:iCs/>
        </w:rPr>
        <w:t>ḥ</w:t>
      </w:r>
    </w:p>
    <w:p w14:paraId="703D7090" w14:textId="77777777" w:rsidR="00E53EB6" w:rsidRDefault="006500F5">
      <w:pPr>
        <w:pStyle w:val="ZitatnachZitat"/>
        <w:rPr>
          <w:i/>
          <w:iCs/>
        </w:rPr>
      </w:pPr>
      <w:r>
        <w:rPr>
          <w:i/>
          <w:iCs/>
        </w:rPr>
        <w:t>jagr̥bhmā́ dūráādiśa</w:t>
      </w:r>
      <w:r>
        <w:rPr>
          <w:i/>
          <w:iCs/>
        </w:rPr>
        <w:t>ṃ</w:t>
      </w:r>
    </w:p>
    <w:p w14:paraId="00142F9D" w14:textId="77777777" w:rsidR="00E53EB6" w:rsidRDefault="006500F5">
      <w:pPr>
        <w:pStyle w:val="ZitatnachZitat"/>
        <w:rPr>
          <w:i/>
          <w:iCs/>
        </w:rPr>
      </w:pPr>
      <w:r>
        <w:rPr>
          <w:i/>
          <w:iCs/>
        </w:rPr>
        <w:t>ślókam ádrer ádha tmánā</w:t>
      </w:r>
    </w:p>
    <w:p w14:paraId="217351B6" w14:textId="77777777" w:rsidR="00E53EB6" w:rsidRDefault="006500F5">
      <w:pPr>
        <w:pStyle w:val="ZitatnachZitat"/>
        <w:rPr>
          <w:i/>
          <w:iCs/>
        </w:rPr>
      </w:pPr>
      <w:r>
        <w:rPr>
          <w:i/>
          <w:iCs/>
        </w:rPr>
        <w:t>ádhārayad araríndāni sukrátu</w:t>
      </w:r>
      <w:r>
        <w:rPr>
          <w:i/>
          <w:iCs/>
        </w:rPr>
        <w:t>ḥ</w:t>
      </w:r>
    </w:p>
    <w:p w14:paraId="60126505" w14:textId="77777777" w:rsidR="00E53EB6" w:rsidRDefault="006500F5">
      <w:pPr>
        <w:pStyle w:val="ZitatnachZitat"/>
        <w:rPr>
          <w:i/>
          <w:iCs/>
        </w:rPr>
      </w:pPr>
      <w:r>
        <w:rPr>
          <w:i/>
          <w:iCs/>
        </w:rPr>
        <w:t>purū́ sádmāni sukrátu</w:t>
      </w:r>
      <w:r>
        <w:rPr>
          <w:i/>
          <w:iCs/>
        </w:rPr>
        <w:t>ḥ</w:t>
      </w:r>
    </w:p>
    <w:p w14:paraId="3CBA573E" w14:textId="77777777" w:rsidR="00E53EB6" w:rsidRDefault="006500F5">
      <w:pPr>
        <w:pStyle w:val="Zitat"/>
      </w:pPr>
      <w:r>
        <w:rPr>
          <w:rFonts w:eastAsia="Arial Unicode MS"/>
        </w:rPr>
        <w:t xml:space="preserve">The </w:t>
      </w:r>
      <w:r>
        <w:rPr>
          <w:rFonts w:eastAsia="Arial Unicode MS"/>
          <w:i/>
        </w:rPr>
        <w:t>hotr̥</w:t>
      </w:r>
      <w:r>
        <w:rPr>
          <w:rStyle w:val="FootnoteAnchor"/>
          <w:rFonts w:eastAsia="Arial Unicode MS"/>
        </w:rPr>
        <w:footnoteReference w:id="484"/>
      </w:r>
      <w:r>
        <w:rPr>
          <w:rFonts w:eastAsia="Arial Unicode MS"/>
        </w:rPr>
        <w:t xml:space="preserve"> shall sacrifice for the </w:t>
      </w:r>
      <w:r>
        <w:rPr>
          <w:rFonts w:eastAsia="Arial Unicode MS"/>
          <w:i/>
        </w:rPr>
        <w:t>vanín-</w:t>
      </w:r>
      <w:r>
        <w:rPr>
          <w:rFonts w:eastAsia="Arial Unicode MS"/>
        </w:rPr>
        <w:t>, for the</w:t>
      </w:r>
      <w:r>
        <w:rPr>
          <w:rFonts w:eastAsia="Arial Unicode MS"/>
          <w:color w:val="0000FF"/>
        </w:rPr>
        <w:t xml:space="preserve"> </w:t>
      </w:r>
      <w:r>
        <w:rPr>
          <w:rFonts w:eastAsia="Arial Unicode MS"/>
          <w:i/>
        </w:rPr>
        <w:t>vanín-</w:t>
      </w:r>
      <w:r>
        <w:rPr>
          <w:rFonts w:eastAsia="Arial Unicode MS"/>
        </w:rPr>
        <w:t xml:space="preserve"> </w:t>
      </w:r>
      <w:r>
        <w:rPr>
          <w:rFonts w:eastAsia="Arial Unicode MS"/>
          <w:u w:val="single"/>
        </w:rPr>
        <w:t>appropriates</w:t>
      </w:r>
      <w:r>
        <w:rPr>
          <w:rFonts w:eastAsia="Arial Unicode MS"/>
        </w:rPr>
        <w:t xml:space="preserve"> the well chosen</w:t>
      </w:r>
      <w:r>
        <w:rPr>
          <w:rStyle w:val="FootnoteAnchor"/>
          <w:rFonts w:eastAsia="Arial Unicode MS"/>
        </w:rPr>
        <w:footnoteReference w:id="485"/>
      </w:r>
      <w:r>
        <w:rPr>
          <w:rFonts w:eastAsia="Arial Unicode MS"/>
        </w:rPr>
        <w:t>, Br̥haspati, attentive, performs sacrifices with the herds, herds rich with gifts: we, by ourselves, have grasped the rhythm of the stone which arrives afar; he who is full of resources has arranged the many places for the sa</w:t>
      </w:r>
      <w:r>
        <w:rPr>
          <w:rFonts w:eastAsia="Arial Unicode MS"/>
        </w:rPr>
        <w:t>crifice ...</w:t>
      </w:r>
      <w:r>
        <w:rPr>
          <w:rStyle w:val="FootnoteAnchor"/>
          <w:rFonts w:eastAsia="Arial Unicode MS"/>
        </w:rPr>
        <w:footnoteReference w:id="486"/>
      </w:r>
      <w:r>
        <w:rPr>
          <w:rFonts w:eastAsia="Arial Unicode MS"/>
        </w:rPr>
        <w:t>, he full of resources.</w:t>
      </w:r>
    </w:p>
    <w:p w14:paraId="53B1CAFA" w14:textId="77777777" w:rsidR="00E53EB6" w:rsidRDefault="006500F5">
      <w:pPr>
        <w:pStyle w:val="Zitat"/>
      </w:pPr>
      <w:r>
        <w:rPr>
          <w:rFonts w:eastAsia="Arial Unicode MS"/>
          <w:i/>
          <w:iCs/>
        </w:rPr>
        <w:t>vanta</w:t>
      </w:r>
      <w:r>
        <w:rPr>
          <w:rFonts w:eastAsia="Arial Unicode MS"/>
        </w:rPr>
        <w:t>:</w:t>
      </w:r>
      <w:r>
        <w:rPr>
          <w:rFonts w:eastAsia="Arial Unicode MS"/>
        </w:rPr>
        <w:t xml:space="preserve"> -</w:t>
      </w:r>
      <w:r>
        <w:rPr>
          <w:rFonts w:eastAsia="Arial Unicode MS"/>
          <w:u w:val="single"/>
        </w:rPr>
        <w:t xml:space="preserve">injunctive </w:t>
      </w:r>
      <w:r>
        <w:rPr>
          <w:rFonts w:eastAsia="Arial Unicode MS"/>
          <w:bCs/>
          <w:u w:val="single"/>
        </w:rPr>
        <w:t>aorist  3</w:t>
      </w:r>
      <w:r>
        <w:rPr>
          <w:rFonts w:eastAsia="Arial Unicode MS"/>
          <w:bCs/>
          <w:u w:val="single"/>
          <w:vertAlign w:val="superscript"/>
        </w:rPr>
        <w:t>rd</w:t>
      </w:r>
      <w:r>
        <w:rPr>
          <w:rFonts w:eastAsia="Arial Unicode MS"/>
          <w:bCs/>
          <w:u w:val="single"/>
        </w:rPr>
        <w:t xml:space="preserve"> sing.</w:t>
      </w:r>
      <w:r>
        <w:rPr>
          <w:rFonts w:eastAsia="Arial Unicode MS"/>
          <w:bCs/>
        </w:rPr>
        <w:t xml:space="preserve"> Ā, I-VI cl.</w:t>
      </w:r>
    </w:p>
    <w:p w14:paraId="66C4B069" w14:textId="77777777" w:rsidR="00E53EB6" w:rsidRDefault="006500F5">
      <w:pPr>
        <w:pStyle w:val="ZitatmitEinzug"/>
      </w:pPr>
      <w:r>
        <w:rPr>
          <w:rFonts w:eastAsia="Arial Unicode MS"/>
          <w:smallCaps/>
        </w:rPr>
        <w:t>Geldner:</w:t>
      </w:r>
      <w:r>
        <w:rPr>
          <w:rFonts w:eastAsia="Arial Unicode MS"/>
        </w:rPr>
        <w:t xml:space="preserve"> I 194 “</w:t>
      </w:r>
      <w:r>
        <w:rPr>
          <w:rFonts w:eastAsia="Arial Unicode MS"/>
        </w:rPr>
        <w:t>beansprucht”</w:t>
      </w:r>
      <w:r>
        <w:rPr>
          <w:rFonts w:eastAsia="Arial Unicode MS"/>
        </w:rPr>
        <w:t xml:space="preserve"> </w:t>
      </w:r>
    </w:p>
    <w:p w14:paraId="22B092F3" w14:textId="77777777" w:rsidR="00E53EB6" w:rsidRDefault="006500F5">
      <w:pPr>
        <w:pStyle w:val="ZitatmitEinzug"/>
      </w:pPr>
      <w:r>
        <w:rPr>
          <w:rFonts w:eastAsia="Arial Unicode MS"/>
          <w:smallCaps/>
        </w:rPr>
        <w:t>Oldenberg</w:t>
      </w:r>
      <w:r>
        <w:rPr>
          <w:rFonts w:eastAsia="Arial Unicode MS"/>
        </w:rPr>
        <w:t xml:space="preserve"> 1909: 142 n. 10 contemplates both and seems to favour this, but offers no translation</w:t>
      </w:r>
    </w:p>
    <w:p w14:paraId="6B022FD8" w14:textId="77777777" w:rsidR="00E53EB6" w:rsidRDefault="006500F5">
      <w:pPr>
        <w:pStyle w:val="ZitatmitEinzug"/>
      </w:pPr>
      <w:r>
        <w:rPr>
          <w:rFonts w:eastAsia="Arial Unicode MS"/>
          <w:smallCaps/>
        </w:rPr>
        <w:t>Migron</w:t>
      </w:r>
      <w:r>
        <w:rPr>
          <w:rFonts w:eastAsia="Arial Unicode MS"/>
        </w:rPr>
        <w:t xml:space="preserve"> 1980: 279 n. 48 </w:t>
      </w:r>
      <w:r>
        <w:rPr>
          <w:rFonts w:eastAsia="Arial Unicode MS"/>
        </w:rPr>
        <w:t xml:space="preserve">“shall get” </w:t>
      </w:r>
    </w:p>
    <w:p w14:paraId="4DF25AD1" w14:textId="77777777" w:rsidR="00E53EB6" w:rsidRDefault="006500F5">
      <w:pPr>
        <w:pStyle w:val="ZitatmitEinzug"/>
        <w:rPr>
          <w:szCs w:val="18"/>
        </w:rPr>
      </w:pPr>
      <w:r>
        <w:rPr>
          <w:rStyle w:val="biblio-authorGEN"/>
          <w:rFonts w:eastAsia="Arial Unicode MS"/>
          <w:sz w:val="18"/>
          <w:szCs w:val="15"/>
        </w:rPr>
        <w:t xml:space="preserve">Witzel-Gotō </w:t>
      </w:r>
      <w:r>
        <w:rPr>
          <w:rFonts w:eastAsia="Arial Unicode MS"/>
          <w:szCs w:val="18"/>
        </w:rPr>
        <w:t>2007: 260 “gewinnt sich”</w:t>
      </w:r>
    </w:p>
    <w:p w14:paraId="6592ECC0" w14:textId="77777777" w:rsidR="00E53EB6" w:rsidRPr="00494885" w:rsidRDefault="006500F5">
      <w:pPr>
        <w:pStyle w:val="Zitat"/>
        <w:rPr>
          <w:lang w:val="it-IT"/>
        </w:rPr>
      </w:pPr>
      <w:r>
        <w:rPr>
          <w:rFonts w:eastAsia="Arial Unicode MS"/>
        </w:rPr>
        <w:tab/>
        <w:t>-</w:t>
      </w:r>
      <w:r>
        <w:rPr>
          <w:rFonts w:eastAsia="Arial Unicode MS"/>
          <w:u w:val="single"/>
        </w:rPr>
        <w:t>injunctive present 3</w:t>
      </w:r>
      <w:r>
        <w:rPr>
          <w:rFonts w:eastAsia="Arial Unicode MS"/>
          <w:u w:val="single"/>
          <w:vertAlign w:val="superscript"/>
        </w:rPr>
        <w:t>rd</w:t>
      </w:r>
      <w:r>
        <w:rPr>
          <w:rFonts w:eastAsia="Arial Unicode MS"/>
          <w:u w:val="single"/>
        </w:rPr>
        <w:t xml:space="preserve"> pl.</w:t>
      </w:r>
      <w:r>
        <w:rPr>
          <w:rFonts w:eastAsia="Arial Unicode MS"/>
        </w:rPr>
        <w:t xml:space="preserve"> </w:t>
      </w:r>
      <w:r w:rsidRPr="00494885">
        <w:rPr>
          <w:rFonts w:eastAsia="Arial Unicode MS"/>
          <w:lang w:val="it-IT"/>
        </w:rPr>
        <w:t xml:space="preserve">(from </w:t>
      </w:r>
      <w:r w:rsidRPr="00494885">
        <w:rPr>
          <w:rFonts w:eastAsia="Arial Unicode MS"/>
          <w:i/>
          <w:lang w:val="it-IT"/>
        </w:rPr>
        <w:t>vananta</w:t>
      </w:r>
      <w:r w:rsidRPr="00494885">
        <w:rPr>
          <w:rFonts w:eastAsia="Arial Unicode MS"/>
          <w:lang w:val="it-IT"/>
        </w:rPr>
        <w:t>) Ā, I-VI cl.</w:t>
      </w:r>
    </w:p>
    <w:p w14:paraId="50916002" w14:textId="77777777" w:rsidR="00E53EB6" w:rsidRDefault="006500F5">
      <w:pPr>
        <w:pStyle w:val="ZitatmitEinzug"/>
      </w:pPr>
      <w:r>
        <w:rPr>
          <w:rFonts w:eastAsia="Arial Unicode MS"/>
          <w:smallCaps/>
        </w:rPr>
        <w:t>Renou</w:t>
      </w:r>
      <w:r>
        <w:rPr>
          <w:rFonts w:eastAsia="Arial Unicode MS"/>
        </w:rPr>
        <w:t xml:space="preserve"> V 9 </w:t>
      </w:r>
      <w:r>
        <w:rPr>
          <w:rFonts w:eastAsia="Arial Unicode MS"/>
        </w:rPr>
        <w:t xml:space="preserve">“gagnent” </w:t>
      </w:r>
      <w:r>
        <w:rPr>
          <w:rFonts w:eastAsia="Arial Unicode MS"/>
        </w:rPr>
        <w:t xml:space="preserve"> </w:t>
      </w:r>
    </w:p>
    <w:p w14:paraId="741D19E5" w14:textId="77777777" w:rsidR="00E53EB6" w:rsidRDefault="00E53EB6">
      <w:pPr>
        <w:pStyle w:val="ZitatmitEinzug"/>
      </w:pPr>
    </w:p>
    <w:p w14:paraId="1B7758FC" w14:textId="77777777" w:rsidR="00E53EB6" w:rsidRDefault="006500F5">
      <w:pPr>
        <w:pStyle w:val="Zitat"/>
      </w:pPr>
      <w:r>
        <w:rPr>
          <w:rFonts w:eastAsia="Arial Unicode MS"/>
          <w:i/>
          <w:iCs/>
        </w:rPr>
        <w:t>vanína</w:t>
      </w:r>
      <w:r>
        <w:rPr>
          <w:rFonts w:eastAsia="Arial Unicode MS"/>
          <w:i/>
          <w:iCs/>
        </w:rPr>
        <w:t>ḥ</w:t>
      </w:r>
      <w:r>
        <w:rPr>
          <w:rFonts w:eastAsia="Arial Unicode MS"/>
        </w:rPr>
        <w:t>: -</w:t>
      </w:r>
      <w:r>
        <w:rPr>
          <w:rFonts w:eastAsia="Arial Unicode MS"/>
          <w:u w:val="single"/>
        </w:rPr>
        <w:t>nominat</w:t>
      </w:r>
      <w:r>
        <w:rPr>
          <w:rFonts w:eastAsia="Arial Unicode MS"/>
          <w:u w:val="single"/>
        </w:rPr>
        <w:t>ive plural masculine</w:t>
      </w:r>
      <w:r>
        <w:rPr>
          <w:rFonts w:eastAsia="Arial Unicode MS"/>
        </w:rPr>
        <w:t xml:space="preserve"> </w:t>
      </w:r>
      <w:r>
        <w:rPr>
          <w:rFonts w:eastAsia="Arial Unicode MS"/>
        </w:rPr>
        <w:t xml:space="preserve"> </w:t>
      </w:r>
    </w:p>
    <w:p w14:paraId="4C9D7983" w14:textId="77777777" w:rsidR="00E53EB6" w:rsidRPr="00494885" w:rsidRDefault="006500F5">
      <w:pPr>
        <w:pStyle w:val="ZitatmitEinzug"/>
        <w:rPr>
          <w:lang w:val="it-IT"/>
        </w:rPr>
      </w:pPr>
      <w:r w:rsidRPr="00494885">
        <w:rPr>
          <w:rFonts w:eastAsia="Arial Unicode MS"/>
          <w:smallCaps/>
          <w:lang w:val="it-IT"/>
        </w:rPr>
        <w:t>Renou:</w:t>
      </w:r>
      <w:r w:rsidRPr="00494885">
        <w:rPr>
          <w:rFonts w:eastAsia="Arial Unicode MS"/>
          <w:lang w:val="it-IT"/>
        </w:rPr>
        <w:t xml:space="preserve"> V 9 “qui veulent gagner” </w:t>
      </w:r>
    </w:p>
    <w:p w14:paraId="504B78BF" w14:textId="77777777" w:rsidR="00E53EB6" w:rsidRPr="00494885" w:rsidRDefault="006500F5">
      <w:pPr>
        <w:pStyle w:val="Zitat"/>
        <w:rPr>
          <w:lang w:val="de-DE"/>
        </w:rPr>
      </w:pPr>
      <w:r w:rsidRPr="00494885">
        <w:rPr>
          <w:rFonts w:eastAsia="Arial Unicode MS"/>
          <w:lang w:val="it-IT"/>
        </w:rPr>
        <w:tab/>
      </w:r>
      <w:r w:rsidRPr="00494885">
        <w:rPr>
          <w:rFonts w:eastAsia="Arial Unicode MS"/>
          <w:lang w:val="de-DE"/>
        </w:rPr>
        <w:t>-</w:t>
      </w:r>
      <w:r w:rsidRPr="00494885">
        <w:rPr>
          <w:rFonts w:eastAsia="Arial Unicode MS"/>
          <w:u w:val="single"/>
          <w:lang w:val="de-DE"/>
        </w:rPr>
        <w:t xml:space="preserve">genitive singular masculine </w:t>
      </w:r>
    </w:p>
    <w:p w14:paraId="7A640F46" w14:textId="77777777" w:rsidR="00E53EB6" w:rsidRPr="00494885" w:rsidRDefault="006500F5">
      <w:pPr>
        <w:pStyle w:val="ZitatmitEinzug"/>
        <w:rPr>
          <w:lang w:val="de-DE"/>
        </w:rPr>
      </w:pPr>
      <w:r w:rsidRPr="00494885">
        <w:rPr>
          <w:rFonts w:eastAsia="Arial Unicode MS"/>
          <w:smallCaps/>
          <w:lang w:val="de-DE"/>
        </w:rPr>
        <w:t xml:space="preserve">Geldner: </w:t>
      </w:r>
      <w:r w:rsidRPr="00494885">
        <w:rPr>
          <w:rFonts w:eastAsia="Arial Unicode MS"/>
          <w:lang w:val="de-DE"/>
        </w:rPr>
        <w:t xml:space="preserve">I 194 </w:t>
      </w:r>
      <w:r w:rsidRPr="00494885">
        <w:rPr>
          <w:rFonts w:eastAsia="Arial Unicode MS"/>
          <w:lang w:val="de-DE"/>
        </w:rPr>
        <w:t>“des Holzgefässes”</w:t>
      </w:r>
    </w:p>
    <w:p w14:paraId="6BAAF31A" w14:textId="77777777" w:rsidR="00E53EB6" w:rsidRDefault="006500F5">
      <w:pPr>
        <w:pStyle w:val="ZitatmitEinzug"/>
        <w:rPr>
          <w:szCs w:val="18"/>
        </w:rPr>
      </w:pPr>
      <w:r>
        <w:rPr>
          <w:rStyle w:val="biblio-authorGEN"/>
          <w:rFonts w:eastAsia="Arial Unicode MS"/>
          <w:sz w:val="18"/>
          <w:szCs w:val="15"/>
        </w:rPr>
        <w:t xml:space="preserve">Witzel-Gotō </w:t>
      </w:r>
      <w:r>
        <w:rPr>
          <w:rFonts w:eastAsia="Arial Unicode MS"/>
          <w:szCs w:val="18"/>
        </w:rPr>
        <w:t>2007: 260 “eines Begehrenden”</w:t>
      </w:r>
    </w:p>
    <w:p w14:paraId="183D2442" w14:textId="77777777" w:rsidR="00E53EB6" w:rsidRDefault="006500F5">
      <w:pPr>
        <w:pStyle w:val="ZitatmitEinzug"/>
        <w:rPr>
          <w:szCs w:val="18"/>
        </w:rPr>
      </w:pPr>
      <w:r>
        <w:rPr>
          <w:rFonts w:eastAsia="Arial Unicode MS"/>
          <w:smallCaps/>
          <w:szCs w:val="18"/>
        </w:rPr>
        <w:t xml:space="preserve">Migron </w:t>
      </w:r>
      <w:r>
        <w:rPr>
          <w:rFonts w:eastAsia="Arial Unicode MS"/>
          <w:szCs w:val="18"/>
        </w:rPr>
        <w:t>1980:</w:t>
      </w:r>
      <w:r>
        <w:rPr>
          <w:rFonts w:eastAsia="Arial Unicode MS"/>
          <w:smallCaps/>
          <w:szCs w:val="18"/>
        </w:rPr>
        <w:t xml:space="preserve"> </w:t>
      </w:r>
      <w:r>
        <w:rPr>
          <w:rFonts w:eastAsia="Arial Unicode MS"/>
          <w:szCs w:val="18"/>
        </w:rPr>
        <w:t>279 n. 48 “the conquering one’s”</w:t>
      </w:r>
    </w:p>
    <w:p w14:paraId="7CA4BC88" w14:textId="77777777" w:rsidR="00E53EB6" w:rsidRDefault="006500F5">
      <w:pPr>
        <w:pStyle w:val="HaupttextnachZitat"/>
      </w:pPr>
      <w:r>
        <w:t xml:space="preserve">At this point we can try to draw some conclusions: we started out from the fact that in the </w:t>
      </w:r>
      <w:r>
        <w:rPr>
          <w:i/>
          <w:iCs/>
        </w:rPr>
        <w:t>R̥gveda Sa</w:t>
      </w:r>
      <w:r>
        <w:rPr>
          <w:i/>
          <w:iCs/>
        </w:rPr>
        <w:t>ṃ</w:t>
      </w:r>
      <w:r>
        <w:rPr>
          <w:i/>
          <w:iCs/>
        </w:rPr>
        <w:t>hitā</w:t>
      </w:r>
      <w:r>
        <w:t xml:space="preserve"> the attestations of </w:t>
      </w:r>
      <w:r>
        <w:rPr>
          <w:i/>
        </w:rPr>
        <w:t xml:space="preserve">vanín- </w:t>
      </w:r>
      <w:r>
        <w:t xml:space="preserve">as derived from the verb </w:t>
      </w:r>
      <w:r>
        <w:rPr>
          <w:i/>
        </w:rPr>
        <w:t>van-</w:t>
      </w:r>
      <w:r>
        <w:t xml:space="preserve"> (</w:t>
      </w:r>
      <w:r>
        <w:rPr>
          <w:smallCaps/>
        </w:rPr>
        <w:t>Grassmann</w:t>
      </w:r>
      <w:r>
        <w:t xml:space="preserve"> 1875 [ed. 1996: 1209]) or at any rate that cannot be traced back to the substant</w:t>
      </w:r>
      <w:r>
        <w:t xml:space="preserve">ive </w:t>
      </w:r>
      <w:r>
        <w:rPr>
          <w:i/>
        </w:rPr>
        <w:t>vanín-</w:t>
      </w:r>
      <w:r>
        <w:t xml:space="preserve"> number six: in five the term can, quite clearly, be taken as an adjective derived from the substantive </w:t>
      </w:r>
      <w:r>
        <w:rPr>
          <w:rFonts w:eastAsia="Arial Unicode MS"/>
          <w:i/>
        </w:rPr>
        <w:t xml:space="preserve">vána- </w:t>
      </w:r>
      <w:r>
        <w:rPr>
          <w:rFonts w:eastAsia="Arial Unicode MS"/>
        </w:rPr>
        <w:t>(“wood” “tree”, “forest”)</w:t>
      </w:r>
      <w:r>
        <w:t xml:space="preserve">, while 1 139.10 is the only passage where it could have been used as deriving from </w:t>
      </w:r>
      <w:r>
        <w:rPr>
          <w:i/>
        </w:rPr>
        <w:t xml:space="preserve">van-; </w:t>
      </w:r>
      <w:r>
        <w:t>however, interpretati</w:t>
      </w:r>
      <w:r>
        <w:t xml:space="preserve">on of this stanza must remain open – it is so rich in ambiguity that no support, nor indeed starting point, can be drawn from it for any firm hypothesis. </w:t>
      </w:r>
    </w:p>
    <w:p w14:paraId="56E1B553" w14:textId="77777777" w:rsidR="00E53EB6" w:rsidRDefault="006500F5">
      <w:pPr>
        <w:pStyle w:val="HaupttextohneEinzug"/>
      </w:pPr>
      <w:r>
        <w:t xml:space="preserve">All this, then, suggests that no verbal derivative </w:t>
      </w:r>
      <w:r>
        <w:rPr>
          <w:i/>
        </w:rPr>
        <w:t>vanín-</w:t>
      </w:r>
      <w:r>
        <w:t xml:space="preserve"> from </w:t>
      </w:r>
      <w:r>
        <w:rPr>
          <w:i/>
        </w:rPr>
        <w:t>van-</w:t>
      </w:r>
      <w:r>
        <w:t xml:space="preserve"> finds a place in the </w:t>
      </w:r>
      <w:r>
        <w:rPr>
          <w:i/>
          <w:iCs/>
          <w:szCs w:val="24"/>
        </w:rPr>
        <w:t xml:space="preserve"> R̥gveda Sa</w:t>
      </w:r>
      <w:r>
        <w:rPr>
          <w:i/>
          <w:iCs/>
          <w:szCs w:val="24"/>
        </w:rPr>
        <w:t>ṃ</w:t>
      </w:r>
      <w:r>
        <w:rPr>
          <w:i/>
          <w:iCs/>
          <w:szCs w:val="24"/>
        </w:rPr>
        <w:t>hitā</w:t>
      </w:r>
      <w:r>
        <w:t>, or at least we may say that there are no passages in which it is clearly and unequivocally employed.</w:t>
      </w:r>
    </w:p>
    <w:p w14:paraId="2BF61E2D" w14:textId="77777777" w:rsidR="00E53EB6" w:rsidRDefault="00E53EB6">
      <w:pPr>
        <w:pStyle w:val="HaupttextohneEinzug"/>
        <w:rPr>
          <w:sz w:val="32"/>
          <w:szCs w:val="32"/>
        </w:rPr>
      </w:pPr>
    </w:p>
    <w:p w14:paraId="1BF062D7" w14:textId="77777777" w:rsidR="00E53EB6" w:rsidRDefault="00E53EB6">
      <w:pPr>
        <w:pStyle w:val="HaupttextohneEinzug"/>
        <w:rPr>
          <w:sz w:val="32"/>
          <w:szCs w:val="32"/>
        </w:rPr>
      </w:pPr>
    </w:p>
    <w:p w14:paraId="700C9850" w14:textId="77777777" w:rsidR="00E53EB6" w:rsidRDefault="006500F5">
      <w:pPr>
        <w:pStyle w:val="Heading4"/>
        <w:tabs>
          <w:tab w:val="left" w:pos="0"/>
        </w:tabs>
      </w:pPr>
      <w:r>
        <w:t>5- Derivatives of problematic definition.</w:t>
      </w:r>
    </w:p>
    <w:p w14:paraId="2E3C1678" w14:textId="77777777" w:rsidR="00E53EB6" w:rsidRDefault="006500F5">
      <w:pPr>
        <w:pStyle w:val="Hauptext"/>
      </w:pPr>
      <w:r>
        <w:rPr>
          <w:szCs w:val="24"/>
        </w:rPr>
        <w:t xml:space="preserve"> The derivatives we are about to analyse are assembled in a single group to bring out two elements common</w:t>
      </w:r>
      <w:r>
        <w:rPr>
          <w:szCs w:val="24"/>
        </w:rPr>
        <w:t xml:space="preserve"> to them. The first is very rare use in the text of the </w:t>
      </w:r>
      <w:r>
        <w:rPr>
          <w:i/>
          <w:iCs/>
          <w:szCs w:val="24"/>
        </w:rPr>
        <w:t>R̥gveda Sa</w:t>
      </w:r>
      <w:r>
        <w:rPr>
          <w:i/>
          <w:iCs/>
          <w:szCs w:val="24"/>
        </w:rPr>
        <w:t>ṃ</w:t>
      </w:r>
      <w:r>
        <w:rPr>
          <w:i/>
          <w:iCs/>
          <w:szCs w:val="24"/>
        </w:rPr>
        <w:t>hitā</w:t>
      </w:r>
      <w:r>
        <w:rPr>
          <w:szCs w:val="24"/>
        </w:rPr>
        <w:t xml:space="preserve">, which is also characteristic of the two verbal adjectives and the adjective </w:t>
      </w:r>
      <w:r>
        <w:rPr>
          <w:i/>
          <w:szCs w:val="24"/>
        </w:rPr>
        <w:t>vanú-</w:t>
      </w:r>
      <w:r>
        <w:rPr>
          <w:szCs w:val="24"/>
        </w:rPr>
        <w:t xml:space="preserve">, and in fact here it is a </w:t>
      </w:r>
      <w:r>
        <w:rPr>
          <w:szCs w:val="24"/>
        </w:rPr>
        <w:lastRenderedPageBreak/>
        <w:t>characteristic that is associated with a further point of interest: the sec</w:t>
      </w:r>
      <w:r>
        <w:rPr>
          <w:szCs w:val="24"/>
        </w:rPr>
        <w:t xml:space="preserve">ond common element lies in the fact that we have no attestations of this group of derivatives within the so-called “family books”, with the exception of </w:t>
      </w:r>
      <w:r>
        <w:rPr>
          <w:i/>
          <w:szCs w:val="24"/>
        </w:rPr>
        <w:t>vananvati</w:t>
      </w:r>
      <w:r>
        <w:rPr>
          <w:szCs w:val="24"/>
        </w:rPr>
        <w:t xml:space="preserve"> in 7.81.3, and the seventh book may be the most recent between the second and seventh </w:t>
      </w:r>
      <w:r>
        <w:rPr>
          <w:i/>
          <w:szCs w:val="24"/>
        </w:rPr>
        <w:t>man</w:t>
      </w:r>
      <w:r>
        <w:rPr>
          <w:i/>
          <w:szCs w:val="24"/>
        </w:rPr>
        <w:t>ḍ</w:t>
      </w:r>
      <w:r>
        <w:rPr>
          <w:i/>
          <w:szCs w:val="24"/>
        </w:rPr>
        <w:t>ala</w:t>
      </w:r>
      <w:r>
        <w:rPr>
          <w:szCs w:val="24"/>
        </w:rPr>
        <w:t xml:space="preserve">.  </w:t>
      </w:r>
    </w:p>
    <w:p w14:paraId="5236D887" w14:textId="77777777" w:rsidR="00E53EB6" w:rsidRDefault="00E53EB6">
      <w:pPr>
        <w:pStyle w:val="HaupttextohneEinzug"/>
        <w:rPr>
          <w:b/>
          <w:sz w:val="32"/>
          <w:szCs w:val="32"/>
        </w:rPr>
      </w:pPr>
    </w:p>
    <w:p w14:paraId="1D1D9234" w14:textId="77777777" w:rsidR="00E53EB6" w:rsidRDefault="00E53EB6">
      <w:pPr>
        <w:pStyle w:val="HaupttextohneEinzug"/>
        <w:rPr>
          <w:b/>
          <w:sz w:val="32"/>
          <w:szCs w:val="32"/>
        </w:rPr>
      </w:pPr>
    </w:p>
    <w:p w14:paraId="127EA298" w14:textId="77777777" w:rsidR="00E53EB6" w:rsidRDefault="006500F5">
      <w:pPr>
        <w:pStyle w:val="Heading4"/>
        <w:tabs>
          <w:tab w:val="left" w:pos="0"/>
        </w:tabs>
      </w:pPr>
      <w:r>
        <w:t>a)</w:t>
      </w:r>
      <w:r>
        <w:rPr>
          <w:rFonts w:eastAsia="Arial Unicode MS"/>
          <w:i/>
        </w:rPr>
        <w:t xml:space="preserve"> vánas-</w:t>
      </w:r>
    </w:p>
    <w:p w14:paraId="1F30628F" w14:textId="77777777" w:rsidR="00E53EB6" w:rsidRDefault="006500F5">
      <w:pPr>
        <w:pStyle w:val="Hauptext"/>
      </w:pPr>
      <w:r>
        <w:rPr>
          <w:rFonts w:eastAsia="Arial Unicode MS"/>
        </w:rPr>
        <w:t>Of this substantive, derived in –</w:t>
      </w:r>
      <w:r>
        <w:rPr>
          <w:rFonts w:eastAsia="Arial Unicode MS"/>
          <w:i/>
        </w:rPr>
        <w:t>as</w:t>
      </w:r>
      <w:r>
        <w:rPr>
          <w:rFonts w:eastAsia="Arial Unicode MS"/>
        </w:rPr>
        <w:t xml:space="preserve"> from the verb root</w:t>
      </w:r>
      <w:r>
        <w:rPr>
          <w:rStyle w:val="FootnoteAnchor"/>
          <w:rFonts w:eastAsia="Arial Unicode MS"/>
        </w:rPr>
        <w:footnoteReference w:id="487"/>
      </w:r>
      <w:r>
        <w:rPr>
          <w:rFonts w:eastAsia="Arial Unicode MS"/>
        </w:rPr>
        <w:t xml:space="preserve">, we have only one occurrence in the </w:t>
      </w:r>
      <w:r>
        <w:rPr>
          <w:rFonts w:eastAsia="Arial Unicode MS"/>
          <w:i/>
          <w:iCs/>
        </w:rPr>
        <w:t>R̥gveda Sa</w:t>
      </w:r>
      <w:r>
        <w:rPr>
          <w:rFonts w:eastAsia="Arial Unicode MS"/>
          <w:i/>
          <w:iCs/>
        </w:rPr>
        <w:t>ṃ</w:t>
      </w:r>
      <w:r>
        <w:rPr>
          <w:rFonts w:eastAsia="Arial Unicode MS"/>
          <w:i/>
          <w:iCs/>
        </w:rPr>
        <w:t>hitā</w:t>
      </w:r>
      <w:r>
        <w:rPr>
          <w:rFonts w:eastAsia="Arial Unicode MS"/>
        </w:rPr>
        <w:t xml:space="preserve"> in 10.172.1. </w:t>
      </w:r>
    </w:p>
    <w:p w14:paraId="1E41CA6A" w14:textId="77777777" w:rsidR="00E53EB6" w:rsidRDefault="006500F5">
      <w:pPr>
        <w:pStyle w:val="HaupttextohneEinzug"/>
      </w:pPr>
      <w:r>
        <w:t xml:space="preserve">The translations and interpretations proposed for the term </w:t>
      </w:r>
      <w:r>
        <w:rPr>
          <w:i/>
        </w:rPr>
        <w:t>vánas</w:t>
      </w:r>
      <w:r>
        <w:t xml:space="preserve"> are many and varied</w:t>
      </w:r>
      <w:r>
        <w:rPr>
          <w:i/>
        </w:rPr>
        <w:t>,</w:t>
      </w:r>
      <w:r>
        <w:t xml:space="preserve"> given that this substantive, while being a </w:t>
      </w:r>
      <w:r>
        <w:rPr>
          <w:i/>
        </w:rPr>
        <w:t>hapax</w:t>
      </w:r>
      <w:r>
        <w:t>, plays an important role in the debate on the relationship between the two meanings we have seen attributed to the verbal</w:t>
      </w:r>
      <w:r>
        <w:t xml:space="preserve"> root itself (“to desire”- “to conquer”), above all in the light of the undeniable affinity between </w:t>
      </w:r>
      <w:r>
        <w:rPr>
          <w:i/>
        </w:rPr>
        <w:t>vánas-</w:t>
      </w:r>
      <w:r>
        <w:t xml:space="preserve"> and the Latin substantive </w:t>
      </w:r>
      <w:r>
        <w:rPr>
          <w:i/>
        </w:rPr>
        <w:t>venus-</w:t>
      </w:r>
      <w:r>
        <w:rPr>
          <w:rStyle w:val="FootnoteAnchor"/>
        </w:rPr>
        <w:footnoteReference w:id="488"/>
      </w:r>
      <w:r>
        <w:t>. Thus we find the same division previously noted in the first Chapter</w:t>
      </w:r>
      <w:r>
        <w:rPr>
          <w:smallCaps/>
        </w:rPr>
        <w:t xml:space="preserve"> </w:t>
      </w:r>
      <w:r>
        <w:t>and in the various translations offered by t</w:t>
      </w:r>
      <w:r>
        <w:t xml:space="preserve">he two great scholars, Renou and Geldner, who follow also here the two different interpretative lines in the respective translations (cf. §I.2). In fact, the German scholar (III 396) uses the term </w:t>
      </w:r>
      <w:r>
        <w:rPr>
          <w:i/>
        </w:rPr>
        <w:t>Vorliebe</w:t>
      </w:r>
      <w:r>
        <w:t xml:space="preserve"> (preference), while </w:t>
      </w:r>
      <w:r>
        <w:rPr>
          <w:smallCaps/>
        </w:rPr>
        <w:t>Renou</w:t>
      </w:r>
      <w:r>
        <w:t xml:space="preserve"> (XII 77-8 n. 13) continu</w:t>
      </w:r>
      <w:r>
        <w:t xml:space="preserve">es with the French </w:t>
      </w:r>
      <w:r>
        <w:rPr>
          <w:i/>
        </w:rPr>
        <w:t>gain</w:t>
      </w:r>
      <w:r>
        <w:t xml:space="preserve">. </w:t>
      </w:r>
      <w:r>
        <w:rPr>
          <w:smallCaps/>
        </w:rPr>
        <w:t>Oldenberg</w:t>
      </w:r>
      <w:r>
        <w:t xml:space="preserve"> (1912: 363 n. 1), too, is of the opinion that a meaning associated with the sphere of desire was not to be read into this term, proposing </w:t>
      </w:r>
      <w:r>
        <w:rPr>
          <w:i/>
        </w:rPr>
        <w:t>splendour</w:t>
      </w:r>
      <w:r>
        <w:t xml:space="preserve">, and making reference to </w:t>
      </w:r>
      <w:r>
        <w:rPr>
          <w:smallCaps/>
        </w:rPr>
        <w:t>Keith</w:t>
      </w:r>
      <w:r>
        <w:t xml:space="preserve"> (1909 [ed. 1995: 284]), he uses the same t</w:t>
      </w:r>
      <w:r>
        <w:t xml:space="preserve">erm. There are also, however, a number of scholars who look to the sphere of desire and love, foremost among which </w:t>
      </w:r>
      <w:r>
        <w:rPr>
          <w:smallCaps/>
        </w:rPr>
        <w:t xml:space="preserve">Böhtlingk-Roth </w:t>
      </w:r>
      <w:r>
        <w:t xml:space="preserve">(1855-1875: 673) </w:t>
      </w:r>
      <w:r>
        <w:rPr>
          <w:i/>
        </w:rPr>
        <w:t>etwa.</w:t>
      </w:r>
      <w:r>
        <w:t xml:space="preserve"> </w:t>
      </w:r>
      <w:r>
        <w:rPr>
          <w:i/>
        </w:rPr>
        <w:t>Verlangen, Anhänlichkeit oder Lieblichkeit</w:t>
      </w:r>
      <w:r>
        <w:t xml:space="preserve">, as also </w:t>
      </w:r>
      <w:r>
        <w:rPr>
          <w:smallCaps/>
        </w:rPr>
        <w:t>Nowicki (</w:t>
      </w:r>
      <w:r>
        <w:t>1976: 109) in his interesting study on the</w:t>
      </w:r>
      <w:r>
        <w:t xml:space="preserve"> sigmatic neuter stems; considering </w:t>
      </w:r>
      <w:r>
        <w:rPr>
          <w:i/>
        </w:rPr>
        <w:t xml:space="preserve">vánas </w:t>
      </w:r>
      <w:r>
        <w:t xml:space="preserve">a </w:t>
      </w:r>
      <w:r>
        <w:rPr>
          <w:i/>
        </w:rPr>
        <w:t>nomen actionis</w:t>
      </w:r>
      <w:r>
        <w:t xml:space="preserve">, he glosses it with the German </w:t>
      </w:r>
      <w:r>
        <w:rPr>
          <w:i/>
        </w:rPr>
        <w:t>Verlangen, Lust</w:t>
      </w:r>
      <w:r>
        <w:t>.</w:t>
      </w:r>
      <w:r>
        <w:rPr>
          <w:rFonts w:eastAsia="Arial Unicode MS"/>
          <w:smallCaps/>
        </w:rPr>
        <w:t xml:space="preserve"> S</w:t>
      </w:r>
      <w:r>
        <w:t xml:space="preserve">imilarly </w:t>
      </w:r>
      <w:r>
        <w:rPr>
          <w:rFonts w:eastAsia="Arial Unicode MS"/>
          <w:smallCaps/>
        </w:rPr>
        <w:t>Ambrosini</w:t>
      </w:r>
      <w:r>
        <w:rPr>
          <w:rFonts w:eastAsia="Arial Unicode MS"/>
        </w:rPr>
        <w:t xml:space="preserve"> (1981: 147) uses the Italian term “amore”: the scholar interprets the entire hymn as a dialogue between the narrator-sacrificer a</w:t>
      </w:r>
      <w:r>
        <w:rPr>
          <w:rFonts w:eastAsia="Arial Unicode MS"/>
        </w:rPr>
        <w:t xml:space="preserve">nd fire </w:t>
      </w:r>
      <w:r>
        <w:t>(Agni) as the sun rises, when in fact one of the most important sacrifices took place, performed in support of re-establishment of the cosmic order as the new day comes into being; in this stanza the cows are, then, the sunbeams that follow the sam</w:t>
      </w:r>
      <w:r>
        <w:t>e path as U</w:t>
      </w:r>
      <w:r>
        <w:t>ṣ</w:t>
      </w:r>
      <w:r>
        <w:t>as (dawn) and the poet begins the hymn invoking the presence (</w:t>
      </w:r>
      <w:r>
        <w:rPr>
          <w:rFonts w:eastAsia="Arial Unicode MS"/>
          <w:i/>
        </w:rPr>
        <w:t>ā́ yāhi</w:t>
      </w:r>
      <w:r>
        <w:rPr>
          <w:rFonts w:eastAsia="Arial Unicode MS"/>
        </w:rPr>
        <w:t xml:space="preserve">) of </w:t>
      </w:r>
      <w:r>
        <w:t xml:space="preserve">Agni, fire, which was in fact kindled as the first light appeared. </w:t>
      </w:r>
    </w:p>
    <w:p w14:paraId="5CFEFC67" w14:textId="77777777" w:rsidR="00E53EB6" w:rsidRDefault="006500F5">
      <w:pPr>
        <w:pStyle w:val="HaupttextohneEinzug"/>
      </w:pPr>
      <w:r>
        <w:rPr>
          <w:rFonts w:eastAsia="Arial Unicode MS"/>
        </w:rPr>
        <w:t xml:space="preserve">Here we have sought to follow the hypothesis proposed by </w:t>
      </w:r>
      <w:r>
        <w:rPr>
          <w:rFonts w:eastAsia="Arial Unicode MS"/>
          <w:smallCaps/>
        </w:rPr>
        <w:t>Renou (1939: 181)</w:t>
      </w:r>
      <w:r>
        <w:rPr>
          <w:rFonts w:eastAsia="Arial Unicode MS"/>
        </w:rPr>
        <w:t xml:space="preserve"> that there exists a </w:t>
      </w:r>
      <w:r>
        <w:rPr>
          <w:rFonts w:eastAsia="Arial Unicode MS"/>
          <w:i/>
        </w:rPr>
        <w:t>*vánus-</w:t>
      </w:r>
      <w:r>
        <w:rPr>
          <w:rFonts w:eastAsia="Arial Unicode MS"/>
        </w:rPr>
        <w:t xml:space="preserve"> “contro-partie funeste” of </w:t>
      </w:r>
      <w:r>
        <w:rPr>
          <w:rFonts w:eastAsia="Arial Unicode MS"/>
          <w:i/>
        </w:rPr>
        <w:t>vánas-</w:t>
      </w:r>
      <w:r>
        <w:rPr>
          <w:rFonts w:eastAsia="Arial Unicode MS"/>
        </w:rPr>
        <w:t xml:space="preserve"> (hence the adjective </w:t>
      </w:r>
      <w:r>
        <w:rPr>
          <w:rFonts w:eastAsia="Arial Unicode MS"/>
          <w:i/>
        </w:rPr>
        <w:t>vanús-</w:t>
      </w:r>
      <w:r>
        <w:rPr>
          <w:rFonts w:eastAsia="Arial Unicode MS"/>
        </w:rPr>
        <w:t xml:space="preserve">, in analogy with </w:t>
      </w:r>
      <w:r>
        <w:rPr>
          <w:rFonts w:eastAsia="Arial Unicode MS"/>
          <w:i/>
        </w:rPr>
        <w:t>táras-</w:t>
      </w:r>
      <w:r>
        <w:rPr>
          <w:rFonts w:eastAsia="Arial Unicode MS"/>
        </w:rPr>
        <w:t xml:space="preserve"> </w:t>
      </w:r>
      <w:r>
        <w:rPr>
          <w:rFonts w:eastAsia="Arial Unicode MS"/>
          <w:i/>
        </w:rPr>
        <w:t>tárus- tarús-</w:t>
      </w:r>
      <w:r>
        <w:rPr>
          <w:rFonts w:eastAsia="Arial Unicode MS"/>
        </w:rPr>
        <w:t xml:space="preserve">) and that, therefore, reversing the order </w:t>
      </w:r>
      <w:r>
        <w:rPr>
          <w:rFonts w:eastAsia="Arial Unicode MS"/>
          <w:i/>
        </w:rPr>
        <w:t>vánas-</w:t>
      </w:r>
      <w:r>
        <w:rPr>
          <w:rFonts w:eastAsia="Arial Unicode MS"/>
        </w:rPr>
        <w:t xml:space="preserve"> is a </w:t>
      </w:r>
      <w:r>
        <w:rPr>
          <w:rFonts w:eastAsia="Arial Unicode MS"/>
          <w:i/>
        </w:rPr>
        <w:t>nomen actionis</w:t>
      </w:r>
      <w:r>
        <w:rPr>
          <w:rFonts w:eastAsia="Arial Unicode MS"/>
        </w:rPr>
        <w:t xml:space="preserve"> (“Vollzug des Verbalbegriff” cf. AiGr: II 2 §127b.α) not connoted qualitatively</w:t>
      </w:r>
      <w:r>
        <w:rPr>
          <w:rFonts w:eastAsia="Arial Unicode MS"/>
        </w:rPr>
        <w:t xml:space="preserve">: thus the term would be taken to indicate literally “appropriation”, or better, given the ritual value of the verb root, the action of having the gods enter the circle of the rite, upon which the god arrives. </w:t>
      </w:r>
    </w:p>
    <w:p w14:paraId="3D25E897" w14:textId="77777777" w:rsidR="00E53EB6" w:rsidRDefault="006500F5">
      <w:pPr>
        <w:pStyle w:val="Zitat"/>
      </w:pPr>
      <w:r>
        <w:t xml:space="preserve">10.172.1 </w:t>
      </w:r>
      <w:r>
        <w:rPr>
          <w:i/>
          <w:iCs/>
        </w:rPr>
        <w:t>ā́ yāhi vánasā sahá</w:t>
      </w:r>
    </w:p>
    <w:p w14:paraId="7258B548" w14:textId="77777777" w:rsidR="00E53EB6" w:rsidRDefault="006500F5">
      <w:pPr>
        <w:pStyle w:val="ZitatnachZitat"/>
        <w:rPr>
          <w:i/>
          <w:iCs/>
        </w:rPr>
      </w:pPr>
      <w:r>
        <w:rPr>
          <w:i/>
          <w:iCs/>
        </w:rPr>
        <w:t>gā́va</w:t>
      </w:r>
      <w:r>
        <w:rPr>
          <w:i/>
          <w:iCs/>
        </w:rPr>
        <w:t>ḥ</w:t>
      </w:r>
      <w:r>
        <w:rPr>
          <w:i/>
          <w:iCs/>
        </w:rPr>
        <w:t xml:space="preserve"> sacanta v</w:t>
      </w:r>
      <w:r>
        <w:rPr>
          <w:i/>
          <w:iCs/>
        </w:rPr>
        <w:t>artaní</w:t>
      </w:r>
      <w:r>
        <w:rPr>
          <w:i/>
          <w:iCs/>
        </w:rPr>
        <w:t>ṃ</w:t>
      </w:r>
      <w:r>
        <w:rPr>
          <w:i/>
          <w:iCs/>
        </w:rPr>
        <w:t xml:space="preserve"> yád ū́dhabhi</w:t>
      </w:r>
      <w:r>
        <w:rPr>
          <w:i/>
          <w:iCs/>
        </w:rPr>
        <w:t>ḥ</w:t>
      </w:r>
    </w:p>
    <w:p w14:paraId="502F6F7C" w14:textId="77777777" w:rsidR="00E53EB6" w:rsidRDefault="006500F5">
      <w:pPr>
        <w:pStyle w:val="Zitat"/>
      </w:pPr>
      <w:r>
        <w:rPr>
          <w:rFonts w:eastAsia="Arial Unicode MS"/>
        </w:rPr>
        <w:t xml:space="preserve">Come here together, on the </w:t>
      </w:r>
      <w:r>
        <w:rPr>
          <w:rFonts w:eastAsia="Arial Unicode MS"/>
          <w:u w:val="single"/>
        </w:rPr>
        <w:t>act of having enter the circle of the rite</w:t>
      </w:r>
      <w:r>
        <w:rPr>
          <w:rFonts w:eastAsia="Arial Unicode MS"/>
        </w:rPr>
        <w:t>, the cows follow the course of the chariot when they are with full udders.</w:t>
      </w:r>
    </w:p>
    <w:p w14:paraId="46D4CA47" w14:textId="77777777" w:rsidR="00E53EB6" w:rsidRDefault="006500F5">
      <w:pPr>
        <w:pStyle w:val="Zitat"/>
      </w:pPr>
      <w:r>
        <w:rPr>
          <w:rStyle w:val="CarattereCarattere"/>
          <w:rFonts w:ascii="Sabon Unicode" w:eastAsia="Arial Unicode MS" w:hAnsi="Sabon Unicode" w:cs="Times Ext Roman;Times New Roman"/>
          <w:b w:val="0"/>
          <w:bCs w:val="0"/>
          <w:i/>
          <w:iCs/>
          <w:sz w:val="18"/>
          <w:szCs w:val="18"/>
          <w:lang w:val="en-GB"/>
        </w:rPr>
        <w:t>vánasā</w:t>
      </w:r>
      <w:r>
        <w:rPr>
          <w:rStyle w:val="CarattereCarattere"/>
          <w:rFonts w:ascii="Sabon Unicode" w:eastAsia="Arial Unicode MS" w:hAnsi="Sabon Unicode" w:cs="Times Ext Roman;Times New Roman"/>
          <w:sz w:val="18"/>
          <w:szCs w:val="18"/>
          <w:lang w:val="en-GB"/>
        </w:rPr>
        <w:t>:</w:t>
      </w:r>
      <w:r>
        <w:rPr>
          <w:rFonts w:eastAsia="Arial Unicode MS"/>
        </w:rPr>
        <w:t xml:space="preserve"> instrumental neuter singular </w:t>
      </w:r>
    </w:p>
    <w:p w14:paraId="6C60E4A6" w14:textId="77777777" w:rsidR="00E53EB6" w:rsidRDefault="00E53EB6">
      <w:pPr>
        <w:pStyle w:val="Zitat"/>
        <w:rPr>
          <w:rFonts w:eastAsia="Arial Unicode MS"/>
        </w:rPr>
      </w:pPr>
    </w:p>
    <w:p w14:paraId="5C30B2DB" w14:textId="77777777" w:rsidR="00E53EB6" w:rsidRDefault="006500F5">
      <w:pPr>
        <w:pStyle w:val="Heading4"/>
        <w:tabs>
          <w:tab w:val="left" w:pos="0"/>
        </w:tabs>
      </w:pPr>
      <w:r>
        <w:t>b)</w:t>
      </w:r>
      <w:r>
        <w:t xml:space="preserve"> v</w:t>
      </w:r>
      <w:r>
        <w:rPr>
          <w:rFonts w:eastAsia="Arial Unicode MS"/>
          <w:i/>
        </w:rPr>
        <w:t>anánā-</w:t>
      </w:r>
    </w:p>
    <w:p w14:paraId="534A73D1" w14:textId="77777777" w:rsidR="00E53EB6" w:rsidRDefault="006500F5">
      <w:pPr>
        <w:pStyle w:val="Hauptext"/>
      </w:pPr>
      <w:r>
        <w:rPr>
          <w:rFonts w:eastAsia="Arial Unicode MS"/>
        </w:rPr>
        <w:t>This, too, like the previous case, is a</w:t>
      </w:r>
      <w:r>
        <w:rPr>
          <w:rFonts w:eastAsia="Arial Unicode MS"/>
        </w:rPr>
        <w:t xml:space="preserve"> substantive attested in one point alone in the text of the </w:t>
      </w:r>
      <w:r>
        <w:rPr>
          <w:rFonts w:eastAsia="Arial Unicode MS"/>
          <w:i/>
          <w:iCs/>
        </w:rPr>
        <w:t>R̥gveda Sa</w:t>
      </w:r>
      <w:r>
        <w:rPr>
          <w:rFonts w:eastAsia="Arial Unicode MS"/>
          <w:i/>
          <w:iCs/>
        </w:rPr>
        <w:t>ṃ</w:t>
      </w:r>
      <w:r>
        <w:rPr>
          <w:rFonts w:eastAsia="Arial Unicode MS"/>
          <w:i/>
          <w:iCs/>
        </w:rPr>
        <w:t>hitā</w:t>
      </w:r>
      <w:r>
        <w:rPr>
          <w:rFonts w:eastAsia="Arial Unicode MS"/>
        </w:rPr>
        <w:t xml:space="preserve">. As a derivative with suffix in </w:t>
      </w:r>
      <w:r>
        <w:rPr>
          <w:rFonts w:eastAsia="Arial Unicode MS"/>
          <w:i/>
        </w:rPr>
        <w:t>-ana</w:t>
      </w:r>
      <w:r>
        <w:rPr>
          <w:rFonts w:eastAsia="Arial Unicode MS"/>
        </w:rPr>
        <w:t xml:space="preserve"> it is to be considered a “Verbalabstrakta” which </w:t>
      </w:r>
      <w:r>
        <w:rPr>
          <w:rFonts w:eastAsia="Arial Unicode MS"/>
          <w:smallCaps/>
        </w:rPr>
        <w:t>Debrunner</w:t>
      </w:r>
      <w:r>
        <w:rPr>
          <w:rFonts w:eastAsia="Arial Unicode MS"/>
        </w:rPr>
        <w:t xml:space="preserve"> translates as “Wunsch” (cf. AiGr: II 2 §85 and in particular γ).</w:t>
      </w:r>
      <w:r>
        <w:rPr>
          <w:smallCaps/>
          <w:sz w:val="22"/>
        </w:rPr>
        <w:t xml:space="preserve"> </w:t>
      </w:r>
      <w:r>
        <w:rPr>
          <w:smallCaps/>
        </w:rPr>
        <w:t>Renou</w:t>
      </w:r>
      <w:r>
        <w:t xml:space="preserve"> </w:t>
      </w:r>
      <w:r>
        <w:rPr>
          <w:smallCaps/>
        </w:rPr>
        <w:t>(</w:t>
      </w:r>
      <w:r>
        <w:t xml:space="preserve">IX 99 n. 40) here conceives of a </w:t>
      </w:r>
      <w:r>
        <w:rPr>
          <w:i/>
        </w:rPr>
        <w:t>*vanan-</w:t>
      </w:r>
      <w:r>
        <w:t xml:space="preserve">, allomorph of </w:t>
      </w:r>
      <w:r>
        <w:rPr>
          <w:i/>
        </w:rPr>
        <w:t>vánas-</w:t>
      </w:r>
      <w:r>
        <w:t xml:space="preserve"> in relation to </w:t>
      </w:r>
      <w:r>
        <w:rPr>
          <w:i/>
        </w:rPr>
        <w:t>*vanar,</w:t>
      </w:r>
      <w:r>
        <w:t xml:space="preserve"> of which </w:t>
      </w:r>
      <w:r>
        <w:rPr>
          <w:i/>
        </w:rPr>
        <w:t>vanánās</w:t>
      </w:r>
      <w:r>
        <w:t xml:space="preserve"> is an “extension”. Again, we are up against the impossibility of formulating a definitive solution, and can only note this “extension” which the stem seem</w:t>
      </w:r>
      <w:r>
        <w:t xml:space="preserve">s to undergo, given that we will also find it in other derivatives of decidedly rare use and later than the early Vedic </w:t>
      </w:r>
      <w:r>
        <w:rPr>
          <w:i/>
        </w:rPr>
        <w:t>corpus</w:t>
      </w:r>
      <w:r>
        <w:t>.</w:t>
      </w:r>
    </w:p>
    <w:p w14:paraId="6A4A0738" w14:textId="77777777" w:rsidR="00E53EB6" w:rsidRDefault="006500F5">
      <w:pPr>
        <w:pStyle w:val="Zitat"/>
      </w:pPr>
      <w:r>
        <w:t>9.86.40</w:t>
      </w:r>
      <w:r>
        <w:rPr>
          <w:i/>
          <w:iCs/>
        </w:rPr>
        <w:t xml:space="preserve">  ún mádhva ūrmír vanánā ati</w:t>
      </w:r>
      <w:r>
        <w:rPr>
          <w:i/>
          <w:iCs/>
        </w:rPr>
        <w:t>ṣṭ</w:t>
      </w:r>
      <w:r>
        <w:rPr>
          <w:i/>
          <w:iCs/>
        </w:rPr>
        <w:t>hipad</w:t>
      </w:r>
    </w:p>
    <w:p w14:paraId="3503D792" w14:textId="77777777" w:rsidR="00E53EB6" w:rsidRDefault="006500F5">
      <w:pPr>
        <w:pStyle w:val="ZitatnachZitat"/>
        <w:rPr>
          <w:i/>
          <w:iCs/>
        </w:rPr>
      </w:pPr>
      <w:r>
        <w:rPr>
          <w:i/>
          <w:iCs/>
        </w:rPr>
        <w:t>apó vásāno mahi</w:t>
      </w:r>
      <w:r>
        <w:rPr>
          <w:i/>
          <w:iCs/>
        </w:rPr>
        <w:t>ṣ</w:t>
      </w:r>
      <w:r>
        <w:rPr>
          <w:i/>
          <w:iCs/>
        </w:rPr>
        <w:t>ó ví gāhate</w:t>
      </w:r>
    </w:p>
    <w:p w14:paraId="6F71C8EA" w14:textId="77777777" w:rsidR="00E53EB6" w:rsidRDefault="006500F5">
      <w:pPr>
        <w:pStyle w:val="ZitatnachZitat"/>
        <w:rPr>
          <w:i/>
          <w:iCs/>
        </w:rPr>
      </w:pPr>
      <w:r>
        <w:rPr>
          <w:i/>
          <w:iCs/>
        </w:rPr>
        <w:t>rā́jā pavítraratho vā́jam ā́ruhat</w:t>
      </w:r>
    </w:p>
    <w:p w14:paraId="7B35A0C8" w14:textId="77777777" w:rsidR="00E53EB6" w:rsidRDefault="006500F5">
      <w:pPr>
        <w:pStyle w:val="ZitatnachZitat"/>
        <w:rPr>
          <w:i/>
          <w:iCs/>
        </w:rPr>
      </w:pPr>
      <w:r>
        <w:rPr>
          <w:i/>
          <w:iCs/>
        </w:rPr>
        <w:t>sahásrabhr̥</w:t>
      </w:r>
      <w:r>
        <w:rPr>
          <w:i/>
          <w:iCs/>
        </w:rPr>
        <w:t>ṣṭ</w:t>
      </w:r>
      <w:r>
        <w:rPr>
          <w:i/>
          <w:iCs/>
        </w:rPr>
        <w:t>ir jayati śrávo br̥hát</w:t>
      </w:r>
    </w:p>
    <w:p w14:paraId="53660886" w14:textId="77777777" w:rsidR="00E53EB6" w:rsidRDefault="006500F5">
      <w:pPr>
        <w:pStyle w:val="Zitat"/>
      </w:pPr>
      <w:r>
        <w:rPr>
          <w:rFonts w:eastAsia="Arial Unicode MS"/>
        </w:rPr>
        <w:t xml:space="preserve">The wave of honey has raised </w:t>
      </w:r>
      <w:r>
        <w:rPr>
          <w:rFonts w:eastAsia="Arial Unicode MS"/>
          <w:u w:val="single"/>
        </w:rPr>
        <w:t>our own things</w:t>
      </w:r>
      <w:r>
        <w:rPr>
          <w:rFonts w:eastAsia="Arial Unicode MS"/>
        </w:rPr>
        <w:t>, the buffalo clothing himself with waters plunges into it; the king who has as chariot the filter obtains the prize of victory, the king of a thousand points gains high glory</w:t>
      </w:r>
      <w:r>
        <w:rPr>
          <w:rStyle w:val="FootnoteAnchor"/>
          <w:rFonts w:eastAsia="Arial Unicode MS"/>
        </w:rPr>
        <w:footnoteReference w:id="489"/>
      </w:r>
      <w:r>
        <w:rPr>
          <w:rFonts w:eastAsia="Arial Unicode MS"/>
        </w:rPr>
        <w:t>”</w:t>
      </w:r>
    </w:p>
    <w:p w14:paraId="0C61DDDD" w14:textId="77777777" w:rsidR="00E53EB6" w:rsidRDefault="006500F5">
      <w:pPr>
        <w:pStyle w:val="Zitat"/>
      </w:pPr>
      <w:r>
        <w:rPr>
          <w:rFonts w:eastAsia="Arial Unicode MS"/>
          <w:i/>
          <w:iCs/>
        </w:rPr>
        <w:t>vanánā</w:t>
      </w:r>
      <w:r>
        <w:rPr>
          <w:rFonts w:eastAsia="Arial Unicode MS"/>
          <w:i/>
          <w:iCs/>
        </w:rPr>
        <w:t>ḥ</w:t>
      </w:r>
      <w:r>
        <w:rPr>
          <w:rStyle w:val="CarattereCarattere"/>
          <w:rFonts w:ascii="Sabon Unicode" w:hAnsi="Sabon Unicode" w:cs="Times Ext Roman;Times New Roman"/>
          <w:sz w:val="18"/>
          <w:szCs w:val="18"/>
          <w:lang w:val="en-GB"/>
        </w:rPr>
        <w:t>:</w:t>
      </w:r>
      <w:r>
        <w:rPr>
          <w:rFonts w:eastAsia="Arial Unicode MS"/>
        </w:rPr>
        <w:t xml:space="preserve"> accusative feminine plural </w:t>
      </w:r>
    </w:p>
    <w:p w14:paraId="21893151" w14:textId="77777777" w:rsidR="00E53EB6" w:rsidRDefault="006500F5">
      <w:pPr>
        <w:pStyle w:val="ZitatmitEinzug"/>
      </w:pPr>
      <w:r>
        <w:rPr>
          <w:rFonts w:eastAsia="Arial Unicode MS"/>
          <w:smallCaps/>
        </w:rPr>
        <w:t>Geldner:</w:t>
      </w:r>
      <w:r>
        <w:rPr>
          <w:rFonts w:eastAsia="Arial Unicode MS"/>
        </w:rPr>
        <w:t xml:space="preserve"> III 83 </w:t>
      </w:r>
      <w:r>
        <w:rPr>
          <w:rFonts w:eastAsia="Arial Unicode MS"/>
        </w:rPr>
        <w:t>“Begehren”</w:t>
      </w:r>
    </w:p>
    <w:p w14:paraId="2735B596" w14:textId="77777777" w:rsidR="00E53EB6" w:rsidRDefault="006500F5">
      <w:pPr>
        <w:pStyle w:val="ZitatmitEinzug"/>
      </w:pPr>
      <w:r>
        <w:rPr>
          <w:smallCaps/>
        </w:rPr>
        <w:t xml:space="preserve">Renou: </w:t>
      </w:r>
      <w:r>
        <w:t xml:space="preserve">IX 36 “les aspirations” </w:t>
      </w:r>
    </w:p>
    <w:p w14:paraId="52840811" w14:textId="77777777" w:rsidR="00E53EB6" w:rsidRDefault="00E53EB6">
      <w:pPr>
        <w:pStyle w:val="ZitatmitEinzug"/>
        <w:rPr>
          <w:szCs w:val="18"/>
        </w:rPr>
      </w:pPr>
    </w:p>
    <w:p w14:paraId="2E366671" w14:textId="77777777" w:rsidR="00E53EB6" w:rsidRDefault="00E53EB6">
      <w:pPr>
        <w:pStyle w:val="ZitatmitEinzug"/>
        <w:rPr>
          <w:szCs w:val="18"/>
        </w:rPr>
      </w:pPr>
    </w:p>
    <w:p w14:paraId="7804D6F6" w14:textId="77777777" w:rsidR="00E53EB6" w:rsidRDefault="006500F5">
      <w:pPr>
        <w:pStyle w:val="Heading4"/>
        <w:tabs>
          <w:tab w:val="left" w:pos="0"/>
        </w:tabs>
      </w:pPr>
      <w:r>
        <w:t>c)</w:t>
      </w:r>
      <w:r>
        <w:t xml:space="preserve"> </w:t>
      </w:r>
      <w:r>
        <w:rPr>
          <w:i/>
        </w:rPr>
        <w:t>v</w:t>
      </w:r>
      <w:r>
        <w:rPr>
          <w:rFonts w:eastAsia="Arial Unicode MS"/>
          <w:i/>
        </w:rPr>
        <w:t>ánīvan</w:t>
      </w:r>
      <w:r>
        <w:rPr>
          <w:rFonts w:eastAsia="Arial Unicode MS"/>
          <w:i/>
        </w:rPr>
        <w:t>-</w:t>
      </w:r>
    </w:p>
    <w:p w14:paraId="6CB79A5E" w14:textId="77777777" w:rsidR="00E53EB6" w:rsidRDefault="006500F5">
      <w:pPr>
        <w:pStyle w:val="Hauptext"/>
      </w:pPr>
      <w:r>
        <w:rPr>
          <w:rFonts w:eastAsia="Arial Unicode MS"/>
          <w:smallCaps/>
        </w:rPr>
        <w:t>Grassmann</w:t>
      </w:r>
      <w:r>
        <w:rPr>
          <w:rFonts w:eastAsia="Arial Unicode MS"/>
        </w:rPr>
        <w:t xml:space="preserve"> (1875 [ed. 1996: 1209]) traces this form to the root </w:t>
      </w:r>
      <w:r>
        <w:rPr>
          <w:rFonts w:eastAsia="Arial Unicode MS"/>
          <w:i/>
        </w:rPr>
        <w:t>van- / van</w:t>
      </w:r>
      <w:r>
        <w:rPr>
          <w:rFonts w:eastAsia="Arial Unicode MS"/>
          <w:i/>
          <w:vertAlign w:val="superscript"/>
        </w:rPr>
        <w:t>i</w:t>
      </w:r>
      <w:r>
        <w:rPr>
          <w:rFonts w:eastAsia="Arial Unicode MS"/>
          <w:i/>
        </w:rPr>
        <w:t>-</w:t>
      </w:r>
      <w:r>
        <w:rPr>
          <w:rFonts w:eastAsia="Arial Unicode MS"/>
        </w:rPr>
        <w:t>, deriving it from the aorist stem (</w:t>
      </w:r>
      <w:r>
        <w:rPr>
          <w:rFonts w:eastAsia="Arial Unicode MS"/>
          <w:i/>
        </w:rPr>
        <w:t>vani</w:t>
      </w:r>
      <w:r>
        <w:rPr>
          <w:rFonts w:eastAsia="Arial Unicode MS"/>
        </w:rPr>
        <w:t xml:space="preserve">-) with primary suffix serving as </w:t>
      </w:r>
      <w:r>
        <w:rPr>
          <w:rFonts w:eastAsia="Arial Unicode MS"/>
          <w:i/>
        </w:rPr>
        <w:t xml:space="preserve">nomen agentis </w:t>
      </w:r>
      <w:r>
        <w:rPr>
          <w:rFonts w:eastAsia="Arial Unicode MS"/>
        </w:rPr>
        <w:t xml:space="preserve">(as also </w:t>
      </w:r>
      <w:r>
        <w:rPr>
          <w:rFonts w:eastAsia="Arial Unicode MS"/>
          <w:smallCaps/>
        </w:rPr>
        <w:t>Geldner</w:t>
      </w:r>
      <w:r>
        <w:rPr>
          <w:rFonts w:eastAsia="Arial Unicode MS"/>
        </w:rPr>
        <w:t xml:space="preserve"> III 205), in analogy with forms like </w:t>
      </w:r>
      <w:r>
        <w:rPr>
          <w:rFonts w:eastAsia="Arial Unicode MS"/>
          <w:i/>
        </w:rPr>
        <w:t>yaj-van-</w:t>
      </w:r>
      <w:r>
        <w:rPr>
          <w:rFonts w:eastAsia="Arial Unicode MS"/>
        </w:rPr>
        <w:t xml:space="preserve"> “sacrificer”, “who is sacrificing”, while </w:t>
      </w:r>
      <w:r>
        <w:rPr>
          <w:rFonts w:eastAsia="Arial Unicode MS"/>
          <w:smallCaps/>
        </w:rPr>
        <w:t xml:space="preserve">Böhtlingk-Roth </w:t>
      </w:r>
      <w:r>
        <w:rPr>
          <w:rFonts w:eastAsia="Arial Unicode MS"/>
        </w:rPr>
        <w:t xml:space="preserve">(1885-1875: 677) takes </w:t>
      </w:r>
      <w:r>
        <w:rPr>
          <w:rFonts w:eastAsia="Arial Unicode MS"/>
          <w:i/>
        </w:rPr>
        <w:t>vánīvan-</w:t>
      </w:r>
      <w:r>
        <w:rPr>
          <w:rFonts w:eastAsia="Arial Unicode MS"/>
        </w:rPr>
        <w:t xml:space="preserve"> to derive from the form of the intensive (see also </w:t>
      </w:r>
      <w:r>
        <w:rPr>
          <w:rFonts w:eastAsia="Arial Unicode MS"/>
          <w:smallCaps/>
        </w:rPr>
        <w:t>Macdo</w:t>
      </w:r>
      <w:r>
        <w:rPr>
          <w:rFonts w:eastAsia="Arial Unicode MS"/>
          <w:smallCaps/>
        </w:rPr>
        <w:t>nell</w:t>
      </w:r>
      <w:r>
        <w:rPr>
          <w:rFonts w:eastAsia="Arial Unicode MS"/>
        </w:rPr>
        <w:t xml:space="preserve"> 1916: §172-3 and </w:t>
      </w:r>
      <w:r>
        <w:rPr>
          <w:rFonts w:eastAsia="Arial Unicode MS"/>
          <w:smallCaps/>
        </w:rPr>
        <w:t>Whitney 1888:</w:t>
      </w:r>
      <w:r>
        <w:rPr>
          <w:rFonts w:eastAsia="Arial Unicode MS"/>
        </w:rPr>
        <w:t xml:space="preserve"> §1002 f-g), translating with the German “heischend”. Another possibility is to consider the term as secondary derivative from the adjective </w:t>
      </w:r>
      <w:r>
        <w:rPr>
          <w:rFonts w:eastAsia="Arial Unicode MS"/>
          <w:i/>
        </w:rPr>
        <w:t>vanín-</w:t>
      </w:r>
      <w:r>
        <w:rPr>
          <w:rFonts w:eastAsia="Arial Unicode MS"/>
        </w:rPr>
        <w:t xml:space="preserve"> with suffix </w:t>
      </w:r>
      <w:r>
        <w:rPr>
          <w:rFonts w:eastAsia="Arial Unicode MS"/>
          <w:i/>
        </w:rPr>
        <w:t xml:space="preserve">-van </w:t>
      </w:r>
      <w:r>
        <w:rPr>
          <w:rFonts w:eastAsia="Arial Unicode MS"/>
        </w:rPr>
        <w:t xml:space="preserve">(and lengthening of the short vowel cf. </w:t>
      </w:r>
      <w:r>
        <w:rPr>
          <w:rFonts w:eastAsia="Arial Unicode MS"/>
          <w:smallCaps/>
        </w:rPr>
        <w:t xml:space="preserve">Whitney 1888: </w:t>
      </w:r>
      <w:r>
        <w:rPr>
          <w:rFonts w:eastAsia="Arial Unicode MS"/>
        </w:rPr>
        <w:t>§1</w:t>
      </w:r>
      <w:r>
        <w:rPr>
          <w:rFonts w:eastAsia="Arial Unicode MS"/>
        </w:rPr>
        <w:t>234), which would thus mean “mit dem Begriff des Grundworts versehen” (for the value of this type of derivative, see AiGr</w:t>
      </w:r>
      <w:r>
        <w:rPr>
          <w:rFonts w:eastAsia="Arial Unicode MS"/>
          <w:smallCaps/>
        </w:rPr>
        <w:t>: II 2</w:t>
      </w:r>
      <w:r>
        <w:rPr>
          <w:rFonts w:eastAsia="Arial Unicode MS"/>
        </w:rPr>
        <w:t xml:space="preserve"> §718, in particular b).</w:t>
      </w:r>
    </w:p>
    <w:p w14:paraId="5AAA03DB" w14:textId="77777777" w:rsidR="00E53EB6" w:rsidRDefault="006500F5">
      <w:pPr>
        <w:pStyle w:val="HaupttextohneEinzug"/>
      </w:pPr>
      <w:r>
        <w:rPr>
          <w:rFonts w:eastAsia="Arial Unicode MS"/>
        </w:rPr>
        <w:t xml:space="preserve">Apart from this one occurrence in the </w:t>
      </w:r>
      <w:r>
        <w:rPr>
          <w:rFonts w:eastAsia="Arial Unicode MS"/>
          <w:i/>
          <w:iCs/>
        </w:rPr>
        <w:t>R̥gveda Sa</w:t>
      </w:r>
      <w:r>
        <w:rPr>
          <w:rFonts w:eastAsia="Arial Unicode MS"/>
          <w:i/>
          <w:iCs/>
        </w:rPr>
        <w:t>ṃ</w:t>
      </w:r>
      <w:r>
        <w:rPr>
          <w:rFonts w:eastAsia="Arial Unicode MS"/>
          <w:i/>
          <w:iCs/>
        </w:rPr>
        <w:t>hitā</w:t>
      </w:r>
      <w:r>
        <w:rPr>
          <w:rFonts w:eastAsia="Arial Unicode MS"/>
        </w:rPr>
        <w:t>, a further attestation is to be found in a passage</w:t>
      </w:r>
      <w:r>
        <w:rPr>
          <w:rFonts w:eastAsia="Arial Unicode MS"/>
        </w:rPr>
        <w:t xml:space="preserve"> (IV 14. 8) of the </w:t>
      </w:r>
      <w:r>
        <w:rPr>
          <w:rFonts w:eastAsia="Arial Unicode MS"/>
          <w:i/>
        </w:rPr>
        <w:t>Maitrayā</w:t>
      </w:r>
      <w:r>
        <w:rPr>
          <w:rFonts w:eastAsia="Arial Unicode MS"/>
          <w:i/>
        </w:rPr>
        <w:t>ṇ</w:t>
      </w:r>
      <w:r>
        <w:rPr>
          <w:rFonts w:eastAsia="Arial Unicode MS"/>
          <w:i/>
        </w:rPr>
        <w:t>īsa</w:t>
      </w:r>
      <w:r>
        <w:rPr>
          <w:rFonts w:eastAsia="Arial Unicode MS"/>
          <w:i/>
        </w:rPr>
        <w:t>ṃ</w:t>
      </w:r>
      <w:r>
        <w:rPr>
          <w:rFonts w:eastAsia="Arial Unicode MS"/>
          <w:i/>
        </w:rPr>
        <w:t>hitā</w:t>
      </w:r>
      <w:r>
        <w:rPr>
          <w:rFonts w:eastAsia="Arial Unicode MS"/>
        </w:rPr>
        <w:t xml:space="preserve">, the collection of formulas handed down, in fact, by one of the schools of the black Yajurveda: while this passage makes clear the ritual moment in which this </w:t>
      </w:r>
      <w:r>
        <w:rPr>
          <w:rFonts w:eastAsia="Arial Unicode MS"/>
          <w:i/>
        </w:rPr>
        <w:t>mantra</w:t>
      </w:r>
      <w:r>
        <w:rPr>
          <w:rFonts w:eastAsia="Arial Unicode MS"/>
        </w:rPr>
        <w:t xml:space="preserve"> is adopted, it is of scant relevance to our aim to cl</w:t>
      </w:r>
      <w:r>
        <w:rPr>
          <w:rFonts w:eastAsia="Arial Unicode MS"/>
        </w:rPr>
        <w:t xml:space="preserve">arify the possible meaning of the term </w:t>
      </w:r>
      <w:r>
        <w:rPr>
          <w:rFonts w:eastAsia="Arial Unicode MS"/>
          <w:i/>
        </w:rPr>
        <w:t>vánīvan-</w:t>
      </w:r>
      <w:r>
        <w:rPr>
          <w:rFonts w:eastAsia="Arial Unicode MS"/>
        </w:rPr>
        <w:t>.</w:t>
      </w:r>
      <w:r>
        <w:rPr>
          <w:rFonts w:eastAsia="Arial Unicode MS"/>
          <w:i/>
        </w:rPr>
        <w:t xml:space="preserve"> </w:t>
      </w:r>
    </w:p>
    <w:p w14:paraId="4762BE34" w14:textId="77777777" w:rsidR="00E53EB6" w:rsidRDefault="006500F5">
      <w:pPr>
        <w:pStyle w:val="Zitat"/>
      </w:pPr>
      <w:r>
        <w:t>10.47.7</w:t>
      </w:r>
      <w:r>
        <w:rPr>
          <w:i/>
          <w:iCs/>
        </w:rPr>
        <w:t xml:space="preserve"> vánīvāno máma dūtā́sa índra</w:t>
      </w:r>
      <w:r>
        <w:rPr>
          <w:i/>
          <w:iCs/>
        </w:rPr>
        <w:t>ṃ</w:t>
      </w:r>
    </w:p>
    <w:p w14:paraId="32279BF8" w14:textId="77777777" w:rsidR="00E53EB6" w:rsidRDefault="006500F5">
      <w:pPr>
        <w:pStyle w:val="ZitatnachZitat"/>
        <w:rPr>
          <w:i/>
          <w:iCs/>
        </w:rPr>
      </w:pPr>
      <w:r>
        <w:rPr>
          <w:i/>
          <w:iCs/>
        </w:rPr>
        <w:t>stómāś caranti sumatī́r iyānā́</w:t>
      </w:r>
      <w:r>
        <w:rPr>
          <w:i/>
          <w:iCs/>
        </w:rPr>
        <w:t>ḥ</w:t>
      </w:r>
    </w:p>
    <w:p w14:paraId="34975315" w14:textId="77777777" w:rsidR="00E53EB6" w:rsidRDefault="006500F5">
      <w:pPr>
        <w:pStyle w:val="ZitatnachZitat"/>
        <w:rPr>
          <w:i/>
          <w:iCs/>
        </w:rPr>
      </w:pPr>
      <w:r>
        <w:rPr>
          <w:i/>
          <w:iCs/>
        </w:rPr>
        <w:t>hr̥dispŕ̥śo mánasā vacyámānā</w:t>
      </w:r>
    </w:p>
    <w:p w14:paraId="2C5B2C3D" w14:textId="77777777" w:rsidR="00E53EB6" w:rsidRDefault="006500F5">
      <w:pPr>
        <w:pStyle w:val="ZitatnachZitat"/>
        <w:rPr>
          <w:i/>
          <w:iCs/>
        </w:rPr>
      </w:pPr>
      <w:r>
        <w:rPr>
          <w:i/>
          <w:iCs/>
        </w:rPr>
        <w:t>asmábhya</w:t>
      </w:r>
      <w:r>
        <w:rPr>
          <w:i/>
          <w:iCs/>
        </w:rPr>
        <w:t>ṃ</w:t>
      </w:r>
      <w:r>
        <w:rPr>
          <w:i/>
          <w:iCs/>
        </w:rPr>
        <w:t xml:space="preserve"> citrá</w:t>
      </w:r>
      <w:r>
        <w:rPr>
          <w:i/>
          <w:iCs/>
        </w:rPr>
        <w:t>ṃ</w:t>
      </w:r>
      <w:r>
        <w:rPr>
          <w:i/>
          <w:iCs/>
        </w:rPr>
        <w:t xml:space="preserve"> vŕ̥</w:t>
      </w:r>
      <w:r>
        <w:rPr>
          <w:i/>
          <w:iCs/>
        </w:rPr>
        <w:t>ṣ</w:t>
      </w:r>
      <w:r>
        <w:rPr>
          <w:i/>
          <w:iCs/>
        </w:rPr>
        <w:t>a</w:t>
      </w:r>
      <w:r>
        <w:rPr>
          <w:i/>
          <w:iCs/>
        </w:rPr>
        <w:t>ṇ</w:t>
      </w:r>
      <w:r>
        <w:rPr>
          <w:i/>
          <w:iCs/>
        </w:rPr>
        <w:t>a</w:t>
      </w:r>
      <w:r>
        <w:rPr>
          <w:i/>
          <w:iCs/>
        </w:rPr>
        <w:t>ṃ</w:t>
      </w:r>
      <w:r>
        <w:rPr>
          <w:i/>
          <w:iCs/>
        </w:rPr>
        <w:t xml:space="preserve"> rayí</w:t>
      </w:r>
      <w:r>
        <w:rPr>
          <w:i/>
          <w:iCs/>
        </w:rPr>
        <w:t>ṃ</w:t>
      </w:r>
      <w:r>
        <w:rPr>
          <w:i/>
          <w:iCs/>
        </w:rPr>
        <w:t xml:space="preserve"> dā</w:t>
      </w:r>
      <w:r>
        <w:rPr>
          <w:i/>
          <w:iCs/>
        </w:rPr>
        <w:t>ḥ</w:t>
      </w:r>
    </w:p>
    <w:p w14:paraId="40BCF14F" w14:textId="77777777" w:rsidR="00E53EB6" w:rsidRDefault="006500F5">
      <w:pPr>
        <w:pStyle w:val="Zitat"/>
      </w:pPr>
      <w:r>
        <w:rPr>
          <w:rFonts w:eastAsia="Arial Unicode MS"/>
          <w:u w:val="single"/>
        </w:rPr>
        <w:lastRenderedPageBreak/>
        <w:t>Appropriating</w:t>
      </w:r>
      <w:r>
        <w:rPr>
          <w:rFonts w:eastAsia="Arial Unicode MS"/>
        </w:rPr>
        <w:t>, my messengers, the hymn, come to Indra asking for</w:t>
      </w:r>
      <w:r>
        <w:rPr>
          <w:rStyle w:val="FootnoteAnchor"/>
          <w:rFonts w:eastAsia="Arial Unicode MS"/>
        </w:rPr>
        <w:footnoteReference w:id="490"/>
      </w:r>
      <w:r>
        <w:rPr>
          <w:rFonts w:eastAsia="Arial Unicode MS"/>
        </w:rPr>
        <w:t xml:space="preserve"> favourable inspirations; Oh you who touch the heart, thanks to inspired thought that has taken the form of words, give us a shining</w:t>
      </w:r>
      <w:r>
        <w:rPr>
          <w:rFonts w:eastAsia="Arial Unicode MS"/>
          <w:sz w:val="22"/>
        </w:rPr>
        <w:t xml:space="preserve"> </w:t>
      </w:r>
      <w:r>
        <w:rPr>
          <w:rFonts w:eastAsia="Arial Unicode MS"/>
        </w:rPr>
        <w:t>wealth, a</w:t>
      </w:r>
      <w:r>
        <w:rPr>
          <w:rFonts w:eastAsia="Arial Unicode MS"/>
          <w:sz w:val="22"/>
        </w:rPr>
        <w:t xml:space="preserve"> </w:t>
      </w:r>
      <w:r>
        <w:rPr>
          <w:rFonts w:eastAsia="Arial Unicode MS"/>
        </w:rPr>
        <w:t>bull.</w:t>
      </w:r>
    </w:p>
    <w:p w14:paraId="2B8232AD" w14:textId="77777777" w:rsidR="00E53EB6" w:rsidRPr="00494885" w:rsidRDefault="006500F5">
      <w:pPr>
        <w:pStyle w:val="Zitat"/>
        <w:rPr>
          <w:lang w:val="de-DE"/>
        </w:rPr>
      </w:pPr>
      <w:r w:rsidRPr="00494885">
        <w:rPr>
          <w:rFonts w:eastAsia="Arial Unicode MS"/>
          <w:i/>
          <w:iCs/>
          <w:lang w:val="de-DE"/>
        </w:rPr>
        <w:t>vánīvāna</w:t>
      </w:r>
      <w:r w:rsidRPr="00494885">
        <w:rPr>
          <w:rFonts w:eastAsia="Arial Unicode MS"/>
          <w:i/>
          <w:iCs/>
          <w:lang w:val="de-DE"/>
        </w:rPr>
        <w:t>ḥ</w:t>
      </w:r>
      <w:r w:rsidRPr="00494885">
        <w:rPr>
          <w:rStyle w:val="CarattereCarattere"/>
          <w:rFonts w:ascii="Sabon Unicode" w:hAnsi="Sabon Unicode" w:cs="Times Ext Roman;Times New Roman"/>
          <w:sz w:val="18"/>
          <w:szCs w:val="18"/>
          <w:lang w:val="de-DE"/>
        </w:rPr>
        <w:t>:</w:t>
      </w:r>
      <w:r w:rsidRPr="00494885">
        <w:rPr>
          <w:rFonts w:eastAsia="Arial Unicode MS"/>
          <w:lang w:val="de-DE"/>
        </w:rPr>
        <w:t xml:space="preserve"> nominative masculine plural</w:t>
      </w:r>
      <w:r w:rsidRPr="00494885">
        <w:rPr>
          <w:rFonts w:eastAsia="Arial Unicode MS"/>
          <w:lang w:val="de-DE"/>
        </w:rPr>
        <w:tab/>
      </w:r>
      <w:r w:rsidRPr="00494885">
        <w:rPr>
          <w:rFonts w:eastAsia="Arial Unicode MS"/>
          <w:lang w:val="de-DE"/>
        </w:rPr>
        <w:tab/>
      </w:r>
    </w:p>
    <w:p w14:paraId="3CDEDB8F" w14:textId="77777777" w:rsidR="00E53EB6" w:rsidRPr="00494885" w:rsidRDefault="006500F5">
      <w:pPr>
        <w:pStyle w:val="ZitatmitEinzug"/>
        <w:rPr>
          <w:lang w:val="de-DE"/>
        </w:rPr>
      </w:pPr>
      <w:r w:rsidRPr="00494885">
        <w:rPr>
          <w:rFonts w:eastAsia="Arial Unicode MS"/>
          <w:smallCaps/>
          <w:lang w:val="de-DE"/>
        </w:rPr>
        <w:t>Geldner:</w:t>
      </w:r>
      <w:r w:rsidRPr="00494885">
        <w:rPr>
          <w:rFonts w:eastAsia="Arial Unicode MS"/>
          <w:lang w:val="de-DE"/>
        </w:rPr>
        <w:t xml:space="preserve"> III 205 </w:t>
      </w:r>
      <w:r w:rsidRPr="00494885">
        <w:rPr>
          <w:rFonts w:eastAsia="Arial Unicode MS"/>
          <w:lang w:val="de-DE"/>
        </w:rPr>
        <w:t xml:space="preserve">“werbende” </w:t>
      </w:r>
    </w:p>
    <w:p w14:paraId="4C99C614" w14:textId="77777777" w:rsidR="00E53EB6" w:rsidRPr="00494885" w:rsidRDefault="00E53EB6">
      <w:pPr>
        <w:pStyle w:val="ZitatmitEinzug"/>
        <w:rPr>
          <w:rFonts w:eastAsia="Arial Unicode MS"/>
          <w:b/>
          <w:sz w:val="32"/>
          <w:szCs w:val="32"/>
          <w:lang w:val="de-DE"/>
        </w:rPr>
      </w:pPr>
    </w:p>
    <w:p w14:paraId="4250D1E5" w14:textId="77777777" w:rsidR="00E53EB6" w:rsidRPr="00494885" w:rsidRDefault="00E53EB6">
      <w:pPr>
        <w:pStyle w:val="ZitatmitEinzug"/>
        <w:rPr>
          <w:rFonts w:eastAsia="Arial Unicode MS"/>
          <w:b/>
          <w:sz w:val="32"/>
          <w:szCs w:val="32"/>
          <w:lang w:val="de-DE"/>
        </w:rPr>
      </w:pPr>
    </w:p>
    <w:p w14:paraId="319115DC" w14:textId="77777777" w:rsidR="00E53EB6" w:rsidRDefault="006500F5">
      <w:pPr>
        <w:pStyle w:val="Heading4"/>
        <w:tabs>
          <w:tab w:val="left" w:pos="0"/>
        </w:tabs>
      </w:pPr>
      <w:r>
        <w:t>d)</w:t>
      </w:r>
      <w:r>
        <w:t xml:space="preserve"> </w:t>
      </w:r>
      <w:r>
        <w:rPr>
          <w:i/>
        </w:rPr>
        <w:t>v</w:t>
      </w:r>
      <w:r>
        <w:rPr>
          <w:rFonts w:eastAsia="Arial Unicode MS"/>
          <w:i/>
        </w:rPr>
        <w:t>ánanvat</w:t>
      </w:r>
      <w:r>
        <w:rPr>
          <w:rFonts w:eastAsia="Arial Unicode MS"/>
          <w:i/>
        </w:rPr>
        <w:t>-</w:t>
      </w:r>
    </w:p>
    <w:p w14:paraId="26006055" w14:textId="77777777" w:rsidR="00E53EB6" w:rsidRDefault="006500F5">
      <w:pPr>
        <w:pStyle w:val="Hauptext"/>
      </w:pPr>
      <w:r>
        <w:rPr>
          <w:rFonts w:eastAsia="Arial Unicode MS"/>
        </w:rPr>
        <w:t>Of this term, entailin</w:t>
      </w:r>
      <w:r>
        <w:rPr>
          <w:rFonts w:eastAsia="Arial Unicode MS"/>
        </w:rPr>
        <w:t xml:space="preserve">g difficulties also at the level of grammatical and morphological analysis, we have five attestations. We shall look at them considering the terms with which </w:t>
      </w:r>
      <w:r>
        <w:rPr>
          <w:rFonts w:eastAsia="Arial Unicode MS"/>
          <w:i/>
        </w:rPr>
        <w:t>vánanvat-</w:t>
      </w:r>
      <w:r>
        <w:rPr>
          <w:rFonts w:eastAsia="Arial Unicode MS"/>
        </w:rPr>
        <w:t xml:space="preserve"> is associated.</w:t>
      </w:r>
    </w:p>
    <w:p w14:paraId="777C5453" w14:textId="77777777" w:rsidR="00E53EB6" w:rsidRDefault="006500F5">
      <w:pPr>
        <w:numPr>
          <w:ilvl w:val="0"/>
          <w:numId w:val="3"/>
        </w:numPr>
        <w:spacing w:line="400" w:lineRule="exact"/>
        <w:rPr>
          <w:rFonts w:ascii="Sabon Unicode" w:hAnsi="Sabon Unicode"/>
        </w:rPr>
      </w:pPr>
      <w:r>
        <w:rPr>
          <w:rFonts w:ascii="Sabon Unicode" w:eastAsia="Arial Unicode MS" w:hAnsi="Sabon Unicode"/>
          <w:lang w:val="en-GB"/>
        </w:rPr>
        <w:t xml:space="preserve">7.81.3: </w:t>
      </w:r>
      <w:r>
        <w:rPr>
          <w:rFonts w:ascii="Sabon Unicode" w:eastAsia="Arial Unicode MS" w:hAnsi="Sabon Unicode"/>
          <w:i/>
          <w:lang w:val="en-GB"/>
        </w:rPr>
        <w:t>ú</w:t>
      </w:r>
      <w:r>
        <w:rPr>
          <w:rFonts w:ascii="Sabon Unicode" w:eastAsia="Arial Unicode MS" w:hAnsi="Sabon Unicode"/>
          <w:i/>
          <w:lang w:val="en-GB"/>
        </w:rPr>
        <w:t>ṣ</w:t>
      </w:r>
      <w:r>
        <w:rPr>
          <w:rFonts w:ascii="Sabon Unicode" w:eastAsia="Arial Unicode MS" w:hAnsi="Sabon Unicode"/>
          <w:i/>
          <w:lang w:val="en-GB"/>
        </w:rPr>
        <w:t>a</w:t>
      </w:r>
      <w:r>
        <w:rPr>
          <w:rFonts w:ascii="Sabon Unicode" w:eastAsia="Arial Unicode MS" w:hAnsi="Sabon Unicode"/>
          <w:i/>
          <w:lang w:val="en-GB"/>
        </w:rPr>
        <w:t>ḥ</w:t>
      </w:r>
      <w:r>
        <w:rPr>
          <w:rFonts w:ascii="Sabon Unicode" w:eastAsia="Arial Unicode MS" w:hAnsi="Sabon Unicode"/>
          <w:i/>
          <w:lang w:val="en-GB"/>
        </w:rPr>
        <w:t xml:space="preserve"> vananvati</w:t>
      </w:r>
    </w:p>
    <w:p w14:paraId="77BBDDE0" w14:textId="77777777" w:rsidR="00E53EB6" w:rsidRDefault="006500F5">
      <w:pPr>
        <w:pStyle w:val="Zitat"/>
      </w:pPr>
      <w:r>
        <w:t>7.81.3</w:t>
      </w:r>
      <w:r>
        <w:rPr>
          <w:i/>
          <w:iCs/>
        </w:rPr>
        <w:t xml:space="preserve"> práti tvā duhitar diva</w:t>
      </w:r>
    </w:p>
    <w:p w14:paraId="7D3BBF9A" w14:textId="77777777" w:rsidR="00E53EB6" w:rsidRDefault="006500F5">
      <w:pPr>
        <w:pStyle w:val="ZitatnachZitat"/>
        <w:rPr>
          <w:i/>
          <w:iCs/>
        </w:rPr>
      </w:pPr>
      <w:r>
        <w:rPr>
          <w:i/>
          <w:iCs/>
        </w:rPr>
        <w:t>ú</w:t>
      </w:r>
      <w:r>
        <w:rPr>
          <w:i/>
          <w:iCs/>
        </w:rPr>
        <w:t>ṣ</w:t>
      </w:r>
      <w:r>
        <w:rPr>
          <w:i/>
          <w:iCs/>
        </w:rPr>
        <w:t>o jīrā́ abhutsmahi</w:t>
      </w:r>
    </w:p>
    <w:p w14:paraId="78326011" w14:textId="77777777" w:rsidR="00E53EB6" w:rsidRDefault="006500F5">
      <w:pPr>
        <w:pStyle w:val="ZitatnachZitat"/>
        <w:rPr>
          <w:i/>
          <w:iCs/>
        </w:rPr>
      </w:pPr>
      <w:r>
        <w:rPr>
          <w:i/>
          <w:iCs/>
        </w:rPr>
        <w:t>yā́ váhasi purú spārhá</w:t>
      </w:r>
      <w:r>
        <w:rPr>
          <w:i/>
          <w:iCs/>
        </w:rPr>
        <w:t>ṃ</w:t>
      </w:r>
      <w:r>
        <w:rPr>
          <w:i/>
          <w:iCs/>
        </w:rPr>
        <w:t xml:space="preserve"> vananvati</w:t>
      </w:r>
    </w:p>
    <w:p w14:paraId="3F9C6662" w14:textId="77777777" w:rsidR="00E53EB6" w:rsidRDefault="006500F5">
      <w:pPr>
        <w:pStyle w:val="ZitatnachZitat"/>
        <w:rPr>
          <w:i/>
          <w:iCs/>
        </w:rPr>
      </w:pPr>
      <w:r>
        <w:rPr>
          <w:i/>
          <w:iCs/>
        </w:rPr>
        <w:t>rátna</w:t>
      </w:r>
      <w:r>
        <w:rPr>
          <w:i/>
          <w:iCs/>
        </w:rPr>
        <w:t>ṃ</w:t>
      </w:r>
      <w:r>
        <w:rPr>
          <w:i/>
          <w:iCs/>
        </w:rPr>
        <w:t xml:space="preserve"> ná dāśú</w:t>
      </w:r>
      <w:r>
        <w:rPr>
          <w:i/>
          <w:iCs/>
        </w:rPr>
        <w:t>ṣ</w:t>
      </w:r>
      <w:r>
        <w:rPr>
          <w:i/>
          <w:iCs/>
        </w:rPr>
        <w:t>e máya</w:t>
      </w:r>
      <w:r>
        <w:rPr>
          <w:i/>
          <w:iCs/>
        </w:rPr>
        <w:t>ḥ</w:t>
      </w:r>
    </w:p>
    <w:p w14:paraId="6E10A154" w14:textId="77777777" w:rsidR="00E53EB6" w:rsidRDefault="006500F5">
      <w:pPr>
        <w:pStyle w:val="Zitat"/>
      </w:pPr>
      <w:r>
        <w:rPr>
          <w:rFonts w:eastAsia="Arial Unicode MS"/>
        </w:rPr>
        <w:t>We awakened you, oh U</w:t>
      </w:r>
      <w:r>
        <w:rPr>
          <w:rFonts w:eastAsia="Arial Unicode MS"/>
        </w:rPr>
        <w:t>ṣ</w:t>
      </w:r>
      <w:r>
        <w:rPr>
          <w:rFonts w:eastAsia="Arial Unicode MS"/>
        </w:rPr>
        <w:t xml:space="preserve">as, daughter of the heavens, oh swift one, you who to whomsoever has honoured you bring as a desired treasure much joy, oh you </w:t>
      </w:r>
      <w:r>
        <w:rPr>
          <w:rFonts w:eastAsia="Arial Unicode MS"/>
          <w:u w:val="single"/>
        </w:rPr>
        <w:t>who truly appropriate.</w:t>
      </w:r>
    </w:p>
    <w:p w14:paraId="0F0A0AA8" w14:textId="77777777" w:rsidR="00E53EB6" w:rsidRPr="00494885" w:rsidRDefault="006500F5">
      <w:pPr>
        <w:pStyle w:val="Zitat"/>
        <w:rPr>
          <w:lang w:val="de-DE"/>
        </w:rPr>
      </w:pPr>
      <w:r w:rsidRPr="00494885">
        <w:rPr>
          <w:rStyle w:val="CarattereCarattere"/>
          <w:rFonts w:ascii="Sabon Unicode" w:hAnsi="Sabon Unicode" w:cs="Times Ext Roman;Times New Roman"/>
          <w:b w:val="0"/>
          <w:bCs w:val="0"/>
          <w:i/>
          <w:iCs/>
          <w:sz w:val="18"/>
          <w:szCs w:val="18"/>
          <w:lang w:val="de-DE"/>
        </w:rPr>
        <w:t>vananvati</w:t>
      </w:r>
      <w:r w:rsidRPr="00494885">
        <w:rPr>
          <w:rStyle w:val="CarattereCarattere"/>
          <w:rFonts w:ascii="Sabon Unicode" w:hAnsi="Sabon Unicode" w:cs="Times Ext Roman;Times New Roman"/>
          <w:sz w:val="18"/>
          <w:szCs w:val="18"/>
          <w:lang w:val="de-DE"/>
        </w:rPr>
        <w:t>:</w:t>
      </w:r>
      <w:r w:rsidRPr="00494885">
        <w:rPr>
          <w:rFonts w:eastAsia="Arial Unicode MS"/>
          <w:lang w:val="de-DE"/>
        </w:rPr>
        <w:t xml:space="preserve"> vocative feminine singular </w:t>
      </w:r>
    </w:p>
    <w:p w14:paraId="0F477B51" w14:textId="77777777" w:rsidR="00E53EB6" w:rsidRPr="00494885" w:rsidRDefault="006500F5">
      <w:pPr>
        <w:pStyle w:val="ZitatmitEinzug"/>
        <w:rPr>
          <w:szCs w:val="18"/>
          <w:lang w:val="de-DE"/>
        </w:rPr>
      </w:pPr>
      <w:r w:rsidRPr="00494885">
        <w:rPr>
          <w:rFonts w:eastAsia="Arial Unicode MS"/>
          <w:smallCaps/>
          <w:szCs w:val="18"/>
          <w:lang w:val="de-DE"/>
        </w:rPr>
        <w:t>Geldner:</w:t>
      </w:r>
      <w:r w:rsidRPr="00494885">
        <w:rPr>
          <w:rFonts w:eastAsia="Arial Unicode MS"/>
          <w:szCs w:val="18"/>
          <w:lang w:val="de-DE"/>
        </w:rPr>
        <w:t xml:space="preserve"> II 252 </w:t>
      </w:r>
      <w:r w:rsidRPr="00494885">
        <w:rPr>
          <w:rFonts w:eastAsia="Arial Unicode MS"/>
          <w:szCs w:val="18"/>
          <w:lang w:val="de-DE"/>
        </w:rPr>
        <w:t>“Wagensitzende”</w:t>
      </w:r>
    </w:p>
    <w:p w14:paraId="44529350" w14:textId="77777777" w:rsidR="00E53EB6" w:rsidRPr="00494885" w:rsidRDefault="006500F5">
      <w:pPr>
        <w:pStyle w:val="ZitatmitEinzug"/>
        <w:rPr>
          <w:szCs w:val="18"/>
          <w:lang w:val="de-DE"/>
        </w:rPr>
      </w:pPr>
      <w:r w:rsidRPr="00494885">
        <w:rPr>
          <w:rFonts w:eastAsia="Arial Unicode MS"/>
          <w:smallCaps/>
          <w:szCs w:val="18"/>
          <w:lang w:val="de-DE"/>
        </w:rPr>
        <w:t xml:space="preserve">Renou: </w:t>
      </w:r>
      <w:r w:rsidRPr="00494885">
        <w:rPr>
          <w:rFonts w:eastAsia="Arial Unicode MS"/>
          <w:szCs w:val="18"/>
          <w:lang w:val="de-DE"/>
        </w:rPr>
        <w:t>III 10</w:t>
      </w:r>
      <w:r w:rsidRPr="00494885">
        <w:rPr>
          <w:rFonts w:eastAsia="Arial Unicode MS"/>
          <w:szCs w:val="18"/>
          <w:lang w:val="de-DE"/>
        </w:rPr>
        <w:t>2-3 “ô gracieuse”</w:t>
      </w:r>
    </w:p>
    <w:p w14:paraId="2EEA4971" w14:textId="77777777" w:rsidR="00E53EB6" w:rsidRPr="00494885" w:rsidRDefault="006500F5">
      <w:pPr>
        <w:pStyle w:val="ZitatmitEinzug"/>
        <w:rPr>
          <w:szCs w:val="18"/>
          <w:lang w:val="de-DE"/>
        </w:rPr>
      </w:pPr>
      <w:r w:rsidRPr="00494885">
        <w:rPr>
          <w:smallCaps/>
          <w:szCs w:val="18"/>
          <w:lang w:val="de-DE"/>
        </w:rPr>
        <w:t xml:space="preserve">Pischel </w:t>
      </w:r>
      <w:r w:rsidRPr="00494885">
        <w:rPr>
          <w:szCs w:val="18"/>
          <w:lang w:val="de-DE"/>
        </w:rPr>
        <w:t xml:space="preserve">in </w:t>
      </w:r>
      <w:r w:rsidRPr="00494885">
        <w:rPr>
          <w:smallCaps/>
          <w:szCs w:val="18"/>
          <w:lang w:val="de-DE"/>
        </w:rPr>
        <w:t xml:space="preserve">Pischel-Geldner </w:t>
      </w:r>
      <w:r w:rsidRPr="00494885">
        <w:rPr>
          <w:szCs w:val="18"/>
          <w:lang w:val="de-DE"/>
        </w:rPr>
        <w:t xml:space="preserve">1989-1901: III, 200 “o du geile” </w:t>
      </w:r>
    </w:p>
    <w:p w14:paraId="6D1044AC" w14:textId="77777777" w:rsidR="00E53EB6" w:rsidRPr="00494885" w:rsidRDefault="00E53EB6">
      <w:pPr>
        <w:pStyle w:val="ZitatmitEinzug"/>
        <w:rPr>
          <w:szCs w:val="18"/>
          <w:lang w:val="de-DE"/>
        </w:rPr>
      </w:pPr>
    </w:p>
    <w:p w14:paraId="24276569" w14:textId="77777777" w:rsidR="00E53EB6" w:rsidRPr="00494885" w:rsidRDefault="00E53EB6">
      <w:pPr>
        <w:pStyle w:val="ZitatmitEinzug"/>
        <w:rPr>
          <w:szCs w:val="18"/>
          <w:lang w:val="de-DE"/>
        </w:rPr>
      </w:pPr>
    </w:p>
    <w:p w14:paraId="166A286A" w14:textId="77777777" w:rsidR="00E53EB6" w:rsidRDefault="006500F5">
      <w:pPr>
        <w:numPr>
          <w:ilvl w:val="0"/>
          <w:numId w:val="3"/>
        </w:numPr>
        <w:spacing w:line="400" w:lineRule="exact"/>
        <w:rPr>
          <w:rFonts w:ascii="Sabon Unicode" w:hAnsi="Sabon Unicode"/>
        </w:rPr>
      </w:pPr>
      <w:r>
        <w:rPr>
          <w:rFonts w:ascii="Sabon Unicode" w:eastAsia="Arial Unicode MS" w:hAnsi="Sabon Unicode"/>
          <w:lang w:val="en-GB"/>
        </w:rPr>
        <w:t xml:space="preserve">8.1.31: </w:t>
      </w:r>
      <w:r>
        <w:rPr>
          <w:rFonts w:ascii="Sabon Unicode" w:eastAsia="Arial Unicode MS" w:hAnsi="Sabon Unicode"/>
          <w:i/>
          <w:lang w:val="en-GB"/>
        </w:rPr>
        <w:t>áśvān vánanvata</w:t>
      </w:r>
      <w:r>
        <w:rPr>
          <w:rFonts w:ascii="Sabon Unicode" w:eastAsia="Arial Unicode MS" w:hAnsi="Sabon Unicode"/>
          <w:i/>
          <w:lang w:val="en-GB"/>
        </w:rPr>
        <w:t>ḥ</w:t>
      </w:r>
    </w:p>
    <w:p w14:paraId="019D37FD" w14:textId="77777777" w:rsidR="00E53EB6" w:rsidRDefault="006500F5">
      <w:pPr>
        <w:pStyle w:val="Zitat"/>
      </w:pPr>
      <w:r>
        <w:t>8.1.31</w:t>
      </w:r>
      <w:r>
        <w:rPr>
          <w:i/>
          <w:iCs/>
        </w:rPr>
        <w:t xml:space="preserve"> ā́ yád áśvān vánanvata</w:t>
      </w:r>
      <w:r>
        <w:rPr>
          <w:i/>
          <w:iCs/>
        </w:rPr>
        <w:t>ḥ</w:t>
      </w:r>
    </w:p>
    <w:p w14:paraId="07799159" w14:textId="77777777" w:rsidR="00E53EB6" w:rsidRDefault="006500F5">
      <w:pPr>
        <w:pStyle w:val="ZitatnachZitat"/>
        <w:rPr>
          <w:i/>
          <w:iCs/>
        </w:rPr>
      </w:pPr>
      <w:r>
        <w:rPr>
          <w:i/>
          <w:iCs/>
        </w:rPr>
        <w:t>śraddháyāhá</w:t>
      </w:r>
      <w:r>
        <w:rPr>
          <w:i/>
          <w:iCs/>
        </w:rPr>
        <w:t>ṃ</w:t>
      </w:r>
      <w:r>
        <w:rPr>
          <w:i/>
          <w:iCs/>
        </w:rPr>
        <w:t xml:space="preserve"> ráthe ruhám</w:t>
      </w:r>
    </w:p>
    <w:p w14:paraId="5DC9ABCB" w14:textId="77777777" w:rsidR="00E53EB6" w:rsidRDefault="006500F5">
      <w:pPr>
        <w:pStyle w:val="ZitatnachZitat"/>
        <w:rPr>
          <w:i/>
          <w:iCs/>
        </w:rPr>
      </w:pPr>
      <w:r>
        <w:rPr>
          <w:i/>
          <w:iCs/>
        </w:rPr>
        <w:t>utá vāmásya vásunaś ciketati</w:t>
      </w:r>
    </w:p>
    <w:p w14:paraId="1CD07363" w14:textId="77777777" w:rsidR="00E53EB6" w:rsidRDefault="006500F5">
      <w:pPr>
        <w:pStyle w:val="ZitatnachZitat"/>
        <w:rPr>
          <w:i/>
          <w:iCs/>
        </w:rPr>
      </w:pPr>
      <w:r>
        <w:rPr>
          <w:i/>
          <w:iCs/>
        </w:rPr>
        <w:t>yó ásti yā́duva</w:t>
      </w:r>
      <w:r>
        <w:rPr>
          <w:i/>
          <w:iCs/>
        </w:rPr>
        <w:t>ḥ</w:t>
      </w:r>
      <w:r>
        <w:rPr>
          <w:i/>
          <w:iCs/>
        </w:rPr>
        <w:t xml:space="preserve"> paśú</w:t>
      </w:r>
      <w:r>
        <w:rPr>
          <w:i/>
          <w:iCs/>
        </w:rPr>
        <w:t>ḥ</w:t>
      </w:r>
    </w:p>
    <w:p w14:paraId="03E756AA" w14:textId="77777777" w:rsidR="00E53EB6" w:rsidRDefault="006500F5">
      <w:pPr>
        <w:pStyle w:val="Zitat"/>
      </w:pPr>
      <w:r>
        <w:rPr>
          <w:rFonts w:eastAsia="Arial Unicode MS"/>
        </w:rPr>
        <w:t xml:space="preserve">When I am mounted, by the chariot, on the horses of </w:t>
      </w:r>
      <w:r>
        <w:rPr>
          <w:rFonts w:eastAsia="Arial Unicode MS"/>
          <w:u w:val="single"/>
        </w:rPr>
        <w:t>him who truly appropriates</w:t>
      </w:r>
      <w:r>
        <w:rPr>
          <w:rStyle w:val="FootnoteAnchor"/>
          <w:rFonts w:eastAsia="Arial Unicode MS"/>
        </w:rPr>
        <w:footnoteReference w:id="491"/>
      </w:r>
      <w:r>
        <w:rPr>
          <w:rFonts w:eastAsia="Arial Unicode MS"/>
        </w:rPr>
        <w:t>, thanks to the act of faith</w:t>
      </w:r>
      <w:r>
        <w:rPr>
          <w:rStyle w:val="FootnoteAnchor"/>
          <w:rFonts w:eastAsia="Arial Unicode MS"/>
        </w:rPr>
        <w:footnoteReference w:id="492"/>
      </w:r>
      <w:r>
        <w:rPr>
          <w:rFonts w:eastAsia="Arial Unicode MS"/>
        </w:rPr>
        <w:t>, may also the cattle, which are of Yadu, perceive</w:t>
      </w:r>
      <w:r>
        <w:rPr>
          <w:rStyle w:val="FootnoteAnchor"/>
          <w:rFonts w:eastAsia="Arial Unicode MS"/>
        </w:rPr>
        <w:footnoteReference w:id="493"/>
      </w:r>
      <w:r>
        <w:rPr>
          <w:rFonts w:eastAsia="Arial Unicode MS"/>
        </w:rPr>
        <w:t xml:space="preserve"> the desirable well-being.</w:t>
      </w:r>
    </w:p>
    <w:p w14:paraId="5CF465FD" w14:textId="77777777" w:rsidR="00E53EB6" w:rsidRPr="00494885" w:rsidRDefault="006500F5">
      <w:pPr>
        <w:pStyle w:val="Zitat"/>
        <w:rPr>
          <w:lang w:val="de-DE"/>
        </w:rPr>
      </w:pPr>
      <w:r w:rsidRPr="00494885">
        <w:rPr>
          <w:rStyle w:val="CarattereCarattere"/>
          <w:rFonts w:ascii="Sabon Unicode" w:hAnsi="Sabon Unicode" w:cs="Times Ext Roman;Times New Roman"/>
          <w:b w:val="0"/>
          <w:bCs w:val="0"/>
          <w:i/>
          <w:iCs/>
          <w:sz w:val="18"/>
          <w:szCs w:val="18"/>
          <w:lang w:val="de-DE"/>
        </w:rPr>
        <w:t>vánanvata</w:t>
      </w:r>
      <w:r w:rsidRPr="00494885">
        <w:rPr>
          <w:rStyle w:val="CarattereCarattere"/>
          <w:rFonts w:ascii="Sabon Unicode" w:hAnsi="Sabon Unicode" w:cs="Times Ext Roman;Times New Roman"/>
          <w:b w:val="0"/>
          <w:bCs w:val="0"/>
          <w:i/>
          <w:iCs/>
          <w:sz w:val="18"/>
          <w:szCs w:val="18"/>
          <w:lang w:val="de-DE"/>
        </w:rPr>
        <w:t>ḥ</w:t>
      </w:r>
      <w:r w:rsidRPr="00494885">
        <w:rPr>
          <w:rStyle w:val="CarattereCarattere"/>
          <w:rFonts w:ascii="Sabon Unicode" w:hAnsi="Sabon Unicode" w:cs="Times Ext Roman;Times New Roman"/>
          <w:sz w:val="18"/>
          <w:szCs w:val="18"/>
          <w:lang w:val="de-DE"/>
        </w:rPr>
        <w:t>:</w:t>
      </w:r>
      <w:r w:rsidRPr="00494885">
        <w:rPr>
          <w:rFonts w:eastAsia="Arial Unicode MS"/>
          <w:lang w:val="de-DE"/>
        </w:rPr>
        <w:t xml:space="preserve"> accusative masculine plural </w:t>
      </w:r>
    </w:p>
    <w:p w14:paraId="26F97786" w14:textId="77777777" w:rsidR="00E53EB6" w:rsidRPr="00494885" w:rsidRDefault="006500F5">
      <w:pPr>
        <w:pStyle w:val="ZitatmitEinzug"/>
        <w:rPr>
          <w:lang w:val="de-DE"/>
        </w:rPr>
      </w:pPr>
      <w:r w:rsidRPr="00494885">
        <w:rPr>
          <w:rFonts w:eastAsia="Arial Unicode MS"/>
          <w:smallCaps/>
          <w:lang w:val="de-DE"/>
        </w:rPr>
        <w:t>Geldner:</w:t>
      </w:r>
      <w:r w:rsidRPr="00494885">
        <w:rPr>
          <w:rFonts w:eastAsia="Arial Unicode MS"/>
          <w:lang w:val="de-DE"/>
        </w:rPr>
        <w:t xml:space="preserve"> II 281 </w:t>
      </w:r>
      <w:r w:rsidRPr="00494885">
        <w:rPr>
          <w:rFonts w:eastAsia="Arial Unicode MS"/>
          <w:lang w:val="de-DE"/>
        </w:rPr>
        <w:t xml:space="preserve">“ans Holz </w:t>
      </w:r>
      <w:r w:rsidRPr="00494885">
        <w:rPr>
          <w:rFonts w:eastAsia="Arial Unicode MS"/>
          <w:lang w:val="de-DE"/>
        </w:rPr>
        <w:t xml:space="preserve">gespannten” </w:t>
      </w:r>
    </w:p>
    <w:p w14:paraId="4B6B16A3" w14:textId="77777777" w:rsidR="00E53EB6" w:rsidRPr="00494885" w:rsidRDefault="006500F5">
      <w:pPr>
        <w:pStyle w:val="ZitatmitEinzug"/>
        <w:rPr>
          <w:lang w:val="de-DE"/>
        </w:rPr>
      </w:pPr>
      <w:r w:rsidRPr="00494885">
        <w:rPr>
          <w:smallCaps/>
          <w:lang w:val="de-DE"/>
        </w:rPr>
        <w:t xml:space="preserve">Pischel </w:t>
      </w:r>
      <w:r w:rsidRPr="00494885">
        <w:rPr>
          <w:lang w:val="de-DE"/>
        </w:rPr>
        <w:t xml:space="preserve">in </w:t>
      </w:r>
      <w:r w:rsidRPr="00494885">
        <w:rPr>
          <w:smallCaps/>
          <w:lang w:val="de-DE"/>
        </w:rPr>
        <w:t xml:space="preserve">Pischel-Geldner </w:t>
      </w:r>
      <w:r w:rsidRPr="00494885">
        <w:rPr>
          <w:lang w:val="de-DE"/>
        </w:rPr>
        <w:t>1989-1901</w:t>
      </w:r>
      <w:r w:rsidRPr="00494885">
        <w:rPr>
          <w:smallCaps/>
          <w:lang w:val="de-DE"/>
        </w:rPr>
        <w:t>:</w:t>
      </w:r>
      <w:r w:rsidRPr="00494885">
        <w:rPr>
          <w:lang w:val="de-DE"/>
        </w:rPr>
        <w:t xml:space="preserve"> III, 200 </w:t>
      </w:r>
      <w:r w:rsidRPr="00494885">
        <w:rPr>
          <w:lang w:val="de-DE"/>
        </w:rPr>
        <w:t>“begierigen (Rosse)”</w:t>
      </w:r>
    </w:p>
    <w:p w14:paraId="66504594" w14:textId="77777777" w:rsidR="00E53EB6" w:rsidRDefault="006500F5">
      <w:pPr>
        <w:pStyle w:val="Zitat"/>
      </w:pPr>
      <w:r>
        <w:rPr>
          <w:rStyle w:val="CarattereCarattere"/>
          <w:rFonts w:ascii="Sabon Unicode" w:hAnsi="Sabon Unicode" w:cs="Times Ext Roman;Times New Roman"/>
          <w:b w:val="0"/>
          <w:bCs w:val="0"/>
          <w:i/>
          <w:iCs/>
          <w:sz w:val="18"/>
          <w:szCs w:val="18"/>
          <w:lang w:val="en-GB"/>
        </w:rPr>
        <w:t>vāmám</w:t>
      </w:r>
      <w:r>
        <w:rPr>
          <w:rStyle w:val="CarattereCarattere"/>
          <w:rFonts w:ascii="Sabon Unicode" w:hAnsi="Sabon Unicode" w:cs="Times Ext Roman;Times New Roman"/>
          <w:sz w:val="18"/>
          <w:szCs w:val="18"/>
          <w:lang w:val="en-GB"/>
        </w:rPr>
        <w:t>:</w:t>
      </w:r>
      <w:r>
        <w:rPr>
          <w:rFonts w:eastAsia="Arial Unicode MS"/>
        </w:rPr>
        <w:t xml:space="preserve"> accusative neuter singular, adjective used as noun from </w:t>
      </w:r>
      <w:r>
        <w:rPr>
          <w:rFonts w:eastAsia="Arial Unicode MS"/>
          <w:i/>
        </w:rPr>
        <w:t>*van-h ma</w:t>
      </w:r>
      <w:r>
        <w:rPr>
          <w:rFonts w:eastAsia="Arial Unicode MS"/>
        </w:rPr>
        <w:t xml:space="preserve">   (EWAia: II 544)</w:t>
      </w:r>
    </w:p>
    <w:p w14:paraId="308A1ADB" w14:textId="77777777" w:rsidR="00E53EB6" w:rsidRDefault="006500F5">
      <w:pPr>
        <w:pStyle w:val="ZitatmitEinzug"/>
      </w:pPr>
      <w:r>
        <w:rPr>
          <w:smallCaps/>
        </w:rPr>
        <w:t>Geldner:</w:t>
      </w:r>
      <w:r>
        <w:t xml:space="preserve"> II 281 “Gute”</w:t>
      </w:r>
    </w:p>
    <w:p w14:paraId="3D35001A" w14:textId="77777777" w:rsidR="00E53EB6" w:rsidRDefault="00E53EB6">
      <w:pPr>
        <w:pStyle w:val="ZitatmitEinzug"/>
      </w:pPr>
    </w:p>
    <w:p w14:paraId="3551B64B" w14:textId="77777777" w:rsidR="00E53EB6" w:rsidRDefault="00E53EB6">
      <w:pPr>
        <w:pStyle w:val="ZitatmitEinzug"/>
      </w:pPr>
    </w:p>
    <w:p w14:paraId="1ACB34B7" w14:textId="77777777" w:rsidR="00E53EB6" w:rsidRDefault="006500F5">
      <w:pPr>
        <w:numPr>
          <w:ilvl w:val="0"/>
          <w:numId w:val="3"/>
        </w:numPr>
        <w:spacing w:line="400" w:lineRule="exact"/>
        <w:rPr>
          <w:rFonts w:ascii="Sabon Unicode" w:hAnsi="Sabon Unicode"/>
        </w:rPr>
      </w:pPr>
      <w:r>
        <w:rPr>
          <w:rFonts w:ascii="Sabon Unicode" w:eastAsia="Arial Unicode MS" w:hAnsi="Sabon Unicode"/>
          <w:lang w:val="en-GB"/>
        </w:rPr>
        <w:lastRenderedPageBreak/>
        <w:t xml:space="preserve">8 6.34: </w:t>
      </w:r>
      <w:r>
        <w:rPr>
          <w:rFonts w:ascii="Sabon Unicode" w:eastAsia="Arial Unicode MS" w:hAnsi="Sabon Unicode"/>
          <w:i/>
          <w:lang w:val="en-GB"/>
        </w:rPr>
        <w:t>vánanvatī matí</w:t>
      </w:r>
      <w:r>
        <w:rPr>
          <w:rFonts w:ascii="Sabon Unicode" w:eastAsia="Arial Unicode MS" w:hAnsi="Sabon Unicode"/>
          <w:i/>
          <w:lang w:val="en-GB"/>
        </w:rPr>
        <w:t>ḥ</w:t>
      </w:r>
    </w:p>
    <w:p w14:paraId="00B1FF51" w14:textId="77777777" w:rsidR="00E53EB6" w:rsidRDefault="006500F5">
      <w:pPr>
        <w:pStyle w:val="Zitat"/>
      </w:pPr>
      <w:r>
        <w:t xml:space="preserve">8.6.34 </w:t>
      </w:r>
      <w:r>
        <w:rPr>
          <w:i/>
          <w:iCs/>
        </w:rPr>
        <w:t>abhí ká</w:t>
      </w:r>
      <w:r>
        <w:rPr>
          <w:i/>
          <w:iCs/>
        </w:rPr>
        <w:t>ṇ</w:t>
      </w:r>
      <w:r>
        <w:rPr>
          <w:i/>
          <w:iCs/>
        </w:rPr>
        <w:t>vā anū</w:t>
      </w:r>
      <w:r>
        <w:rPr>
          <w:i/>
          <w:iCs/>
        </w:rPr>
        <w:t>ṣ</w:t>
      </w:r>
      <w:r>
        <w:rPr>
          <w:i/>
          <w:iCs/>
        </w:rPr>
        <w:t>ata</w:t>
      </w:r>
    </w:p>
    <w:p w14:paraId="479C67B2" w14:textId="77777777" w:rsidR="00E53EB6" w:rsidRDefault="006500F5">
      <w:pPr>
        <w:pStyle w:val="ZitatnachZitat"/>
        <w:rPr>
          <w:i/>
          <w:iCs/>
        </w:rPr>
      </w:pPr>
      <w:r>
        <w:rPr>
          <w:i/>
          <w:iCs/>
        </w:rPr>
        <w:t xml:space="preserve">ápo ná </w:t>
      </w:r>
      <w:r>
        <w:rPr>
          <w:i/>
          <w:iCs/>
        </w:rPr>
        <w:t>pravátā yatī́</w:t>
      </w:r>
      <w:r>
        <w:rPr>
          <w:i/>
          <w:iCs/>
        </w:rPr>
        <w:t>ḥ</w:t>
      </w:r>
    </w:p>
    <w:p w14:paraId="5642E404" w14:textId="77777777" w:rsidR="00E53EB6" w:rsidRDefault="006500F5">
      <w:pPr>
        <w:pStyle w:val="ZitatnachZitat"/>
        <w:rPr>
          <w:i/>
          <w:iCs/>
        </w:rPr>
      </w:pPr>
      <w:r>
        <w:rPr>
          <w:i/>
          <w:iCs/>
        </w:rPr>
        <w:t>índra</w:t>
      </w:r>
      <w:r>
        <w:rPr>
          <w:i/>
          <w:iCs/>
        </w:rPr>
        <w:t>ṃ</w:t>
      </w:r>
      <w:r>
        <w:rPr>
          <w:i/>
          <w:iCs/>
        </w:rPr>
        <w:t xml:space="preserve"> vánanvatī matí</w:t>
      </w:r>
      <w:r>
        <w:rPr>
          <w:i/>
          <w:iCs/>
        </w:rPr>
        <w:t>ḥ</w:t>
      </w:r>
    </w:p>
    <w:p w14:paraId="5F325647" w14:textId="77777777" w:rsidR="00E53EB6" w:rsidRDefault="006500F5">
      <w:pPr>
        <w:pStyle w:val="Zitat"/>
      </w:pPr>
      <w:r>
        <w:rPr>
          <w:rFonts w:eastAsia="Arial Unicode MS"/>
        </w:rPr>
        <w:t xml:space="preserve">The Kanva like the waters that flow torrential raised cries of joy to Indra, </w:t>
      </w:r>
      <w:r>
        <w:rPr>
          <w:rFonts w:eastAsia="Arial Unicode MS"/>
        </w:rPr>
        <w:t>the poetic work</w:t>
      </w:r>
      <w:r>
        <w:rPr>
          <w:rStyle w:val="FootnoteAnchor"/>
          <w:rFonts w:eastAsia="Arial Unicode MS"/>
        </w:rPr>
        <w:footnoteReference w:id="494"/>
      </w:r>
      <w:r>
        <w:rPr>
          <w:rFonts w:eastAsia="Arial Unicode MS"/>
        </w:rPr>
        <w:t xml:space="preserve"> it is it</w:t>
      </w:r>
      <w:r>
        <w:rPr>
          <w:rFonts w:eastAsia="Arial Unicode MS"/>
          <w:u w:val="single"/>
        </w:rPr>
        <w:t xml:space="preserve"> who truly appropriates.</w:t>
      </w:r>
    </w:p>
    <w:p w14:paraId="2924C00E" w14:textId="77777777" w:rsidR="00E53EB6" w:rsidRDefault="006500F5">
      <w:pPr>
        <w:pStyle w:val="Zitat"/>
      </w:pPr>
      <w:r>
        <w:rPr>
          <w:rFonts w:eastAsia="Arial Unicode MS"/>
          <w:i/>
          <w:iCs/>
        </w:rPr>
        <w:t>vananvatī</w:t>
      </w:r>
      <w:r>
        <w:rPr>
          <w:rStyle w:val="CarattereCarattere"/>
          <w:rFonts w:ascii="Sabon Unicode" w:hAnsi="Sabon Unicode" w:cs="Times Ext Roman;Times New Roman"/>
          <w:sz w:val="18"/>
          <w:szCs w:val="18"/>
          <w:lang w:val="en-GB"/>
        </w:rPr>
        <w:t>:</w:t>
      </w:r>
      <w:r>
        <w:rPr>
          <w:rFonts w:eastAsia="Arial Unicode MS"/>
        </w:rPr>
        <w:t xml:space="preserve"> nominative feminine singular </w:t>
      </w:r>
    </w:p>
    <w:p w14:paraId="01E89FE6" w14:textId="77777777" w:rsidR="00E53EB6" w:rsidRDefault="006500F5">
      <w:pPr>
        <w:pStyle w:val="ZitatmitEinzug"/>
      </w:pPr>
      <w:r>
        <w:rPr>
          <w:rFonts w:eastAsia="Arial Unicode MS"/>
          <w:smallCaps/>
        </w:rPr>
        <w:t>Geldner:</w:t>
      </w:r>
      <w:r>
        <w:rPr>
          <w:rFonts w:eastAsia="Arial Unicode MS"/>
        </w:rPr>
        <w:t xml:space="preserve"> II 297 does not translate, but in II, 25</w:t>
      </w:r>
      <w:r>
        <w:rPr>
          <w:rFonts w:eastAsia="Arial Unicode MS"/>
        </w:rPr>
        <w:t>2 n. 3c conjectures “</w:t>
      </w:r>
      <w:r>
        <w:rPr>
          <w:rFonts w:eastAsia="Arial Unicode MS"/>
        </w:rPr>
        <w:t xml:space="preserve">Holzkufe” </w:t>
      </w:r>
    </w:p>
    <w:p w14:paraId="544AE09E" w14:textId="77777777" w:rsidR="00E53EB6" w:rsidRDefault="006500F5">
      <w:pPr>
        <w:pStyle w:val="ZitatmitEinzug"/>
      </w:pPr>
      <w:r>
        <w:rPr>
          <w:rFonts w:eastAsia="Arial Unicode MS"/>
          <w:smallCaps/>
        </w:rPr>
        <w:t>Renou:</w:t>
      </w:r>
      <w:r>
        <w:rPr>
          <w:rFonts w:eastAsia="Arial Unicode MS"/>
        </w:rPr>
        <w:t xml:space="preserve">  III 103 n. 3c “</w:t>
      </w:r>
      <w:r>
        <w:rPr>
          <w:rFonts w:eastAsia="Arial Unicode MS"/>
        </w:rPr>
        <w:t>cherchant à plaire ou: à gagner”</w:t>
      </w:r>
    </w:p>
    <w:p w14:paraId="5797F1BB" w14:textId="77777777" w:rsidR="00E53EB6" w:rsidRPr="00494885" w:rsidRDefault="006500F5">
      <w:pPr>
        <w:pStyle w:val="ZitatmitEinzug"/>
        <w:rPr>
          <w:lang w:val="de-DE"/>
        </w:rPr>
      </w:pPr>
      <w:r w:rsidRPr="00494885">
        <w:rPr>
          <w:smallCaps/>
          <w:lang w:val="de-DE"/>
        </w:rPr>
        <w:t>Pischel</w:t>
      </w:r>
      <w:r w:rsidRPr="00494885">
        <w:rPr>
          <w:lang w:val="de-DE"/>
        </w:rPr>
        <w:t xml:space="preserve"> in </w:t>
      </w:r>
      <w:r w:rsidRPr="00494885">
        <w:rPr>
          <w:smallCaps/>
          <w:lang w:val="de-DE"/>
        </w:rPr>
        <w:t xml:space="preserve">Pischel-Geldner </w:t>
      </w:r>
      <w:r w:rsidRPr="00494885">
        <w:rPr>
          <w:lang w:val="de-DE"/>
        </w:rPr>
        <w:t>1889-1901: III, 200 “</w:t>
      </w:r>
      <w:r w:rsidRPr="00494885">
        <w:rPr>
          <w:lang w:val="de-DE"/>
        </w:rPr>
        <w:t>verlangende”</w:t>
      </w:r>
    </w:p>
    <w:p w14:paraId="7B2165BA" w14:textId="77777777" w:rsidR="00E53EB6" w:rsidRPr="00494885" w:rsidRDefault="00E53EB6">
      <w:pPr>
        <w:pStyle w:val="ZitatmitEinzug"/>
        <w:rPr>
          <w:lang w:val="de-DE"/>
        </w:rPr>
      </w:pPr>
    </w:p>
    <w:p w14:paraId="4B4885C2" w14:textId="77777777" w:rsidR="00E53EB6" w:rsidRPr="00494885" w:rsidRDefault="00E53EB6">
      <w:pPr>
        <w:pStyle w:val="ZitatmitEinzug"/>
        <w:rPr>
          <w:lang w:val="de-DE"/>
        </w:rPr>
      </w:pPr>
    </w:p>
    <w:p w14:paraId="3840409D" w14:textId="77777777" w:rsidR="00E53EB6" w:rsidRDefault="006500F5">
      <w:pPr>
        <w:numPr>
          <w:ilvl w:val="0"/>
          <w:numId w:val="3"/>
        </w:numPr>
        <w:spacing w:line="400" w:lineRule="exact"/>
        <w:rPr>
          <w:rFonts w:ascii="Sabon Unicode" w:hAnsi="Sabon Unicode"/>
        </w:rPr>
      </w:pPr>
      <w:r>
        <w:rPr>
          <w:rFonts w:ascii="Sabon Unicode" w:eastAsia="Arial Unicode MS" w:hAnsi="Sabon Unicode"/>
          <w:lang w:val="en-GB"/>
        </w:rPr>
        <w:t xml:space="preserve">8.102.19: </w:t>
      </w:r>
      <w:r>
        <w:rPr>
          <w:rFonts w:ascii="Sabon Unicode" w:eastAsia="Arial Unicode MS" w:hAnsi="Sabon Unicode"/>
          <w:i/>
          <w:lang w:val="en-GB"/>
        </w:rPr>
        <w:t>svádhitir vánanvati</w:t>
      </w:r>
    </w:p>
    <w:p w14:paraId="13FB9869" w14:textId="77777777" w:rsidR="00E53EB6" w:rsidRDefault="006500F5">
      <w:pPr>
        <w:pStyle w:val="Zitat"/>
      </w:pPr>
      <w:r>
        <w:t xml:space="preserve">8.102.19 </w:t>
      </w:r>
      <w:r>
        <w:rPr>
          <w:i/>
          <w:iCs/>
        </w:rPr>
        <w:t>nahí me ásti ághniyā</w:t>
      </w:r>
    </w:p>
    <w:p w14:paraId="3612B1A9" w14:textId="77777777" w:rsidR="00E53EB6" w:rsidRDefault="006500F5">
      <w:pPr>
        <w:pStyle w:val="ZitatnachZitat"/>
        <w:rPr>
          <w:i/>
          <w:iCs/>
        </w:rPr>
      </w:pPr>
      <w:r>
        <w:rPr>
          <w:i/>
          <w:iCs/>
        </w:rPr>
        <w:t>ná svádhitir vánanvati</w:t>
      </w:r>
    </w:p>
    <w:p w14:paraId="06367F1C" w14:textId="77777777" w:rsidR="00E53EB6" w:rsidRDefault="006500F5">
      <w:pPr>
        <w:pStyle w:val="ZitatnachZitat"/>
        <w:rPr>
          <w:i/>
          <w:iCs/>
        </w:rPr>
      </w:pPr>
      <w:r>
        <w:rPr>
          <w:i/>
          <w:iCs/>
        </w:rPr>
        <w:t>áthaitādŕ̥g bharāmi te</w:t>
      </w:r>
    </w:p>
    <w:p w14:paraId="73B6F90F" w14:textId="77777777" w:rsidR="00E53EB6" w:rsidRDefault="006500F5">
      <w:pPr>
        <w:pStyle w:val="Zitat"/>
      </w:pPr>
      <w:r>
        <w:rPr>
          <w:rFonts w:eastAsia="Arial Unicode MS"/>
        </w:rPr>
        <w:t>I have no cow</w:t>
      </w:r>
      <w:r>
        <w:rPr>
          <w:rStyle w:val="FootnoteAnchor"/>
          <w:rFonts w:eastAsia="Arial Unicode MS"/>
        </w:rPr>
        <w:footnoteReference w:id="495"/>
      </w:r>
      <w:r>
        <w:rPr>
          <w:rFonts w:eastAsia="Arial Unicode MS"/>
        </w:rPr>
        <w:t xml:space="preserve"> nor does the axe </w:t>
      </w:r>
      <w:r>
        <w:rPr>
          <w:rFonts w:eastAsia="Arial Unicode MS"/>
          <w:u w:val="single"/>
        </w:rPr>
        <w:t>appropriate</w:t>
      </w:r>
      <w:r>
        <w:rPr>
          <w:rStyle w:val="FootnoteAnchor"/>
          <w:rFonts w:eastAsia="Arial Unicode MS"/>
        </w:rPr>
        <w:footnoteReference w:id="496"/>
      </w:r>
      <w:r>
        <w:rPr>
          <w:rFonts w:eastAsia="Arial Unicode MS"/>
        </w:rPr>
        <w:t>; so, then, in this way I offer to you.</w:t>
      </w:r>
    </w:p>
    <w:p w14:paraId="4D7DB4E0" w14:textId="77777777" w:rsidR="00E53EB6" w:rsidRDefault="006500F5">
      <w:pPr>
        <w:pStyle w:val="Zitat"/>
      </w:pPr>
      <w:r>
        <w:rPr>
          <w:rFonts w:eastAsia="Arial Unicode MS"/>
          <w:i/>
          <w:iCs/>
        </w:rPr>
        <w:t>vananvati</w:t>
      </w:r>
      <w:r>
        <w:rPr>
          <w:rFonts w:eastAsia="Arial Unicode MS"/>
          <w:b/>
        </w:rPr>
        <w:t>:</w:t>
      </w:r>
      <w:r>
        <w:rPr>
          <w:rStyle w:val="CarattereCarattere"/>
          <w:rFonts w:ascii="Sabon Unicode" w:hAnsi="Sabon Unicode" w:cs="Times Ext Roman;Times New Roman"/>
          <w:sz w:val="18"/>
          <w:szCs w:val="18"/>
          <w:lang w:val="en-GB"/>
        </w:rPr>
        <w:t xml:space="preserve">  </w:t>
      </w:r>
      <w:r>
        <w:rPr>
          <w:rStyle w:val="CarattereCarattere"/>
          <w:rFonts w:ascii="Sabon Unicode" w:hAnsi="Sabon Unicode" w:cs="Times Ext Roman;Times New Roman"/>
          <w:b w:val="0"/>
          <w:sz w:val="18"/>
          <w:szCs w:val="18"/>
          <w:u w:val="single"/>
          <w:lang w:val="en-GB"/>
        </w:rPr>
        <w:t>locative masculine singular</w:t>
      </w:r>
    </w:p>
    <w:p w14:paraId="6A90DC19" w14:textId="77777777" w:rsidR="00E53EB6" w:rsidRDefault="006500F5">
      <w:pPr>
        <w:pStyle w:val="ZitatmitEinzug"/>
      </w:pPr>
      <w:r>
        <w:rPr>
          <w:rFonts w:eastAsia="Arial Unicode MS"/>
          <w:smallCaps/>
        </w:rPr>
        <w:t>Geldner:</w:t>
      </w:r>
      <w:r>
        <w:rPr>
          <w:rFonts w:eastAsia="Arial Unicode MS"/>
        </w:rPr>
        <w:t xml:space="preserve"> II 433 </w:t>
      </w:r>
      <w:r>
        <w:rPr>
          <w:rFonts w:eastAsia="Arial Unicode MS"/>
        </w:rPr>
        <w:t>“Holzbesitzer”</w:t>
      </w:r>
    </w:p>
    <w:p w14:paraId="5258AC68" w14:textId="77777777" w:rsidR="00E53EB6" w:rsidRDefault="006500F5">
      <w:pPr>
        <w:pStyle w:val="ZitatmitEinzug"/>
      </w:pPr>
      <w:r>
        <w:rPr>
          <w:rFonts w:eastAsia="Arial Unicode MS"/>
          <w:smallCaps/>
        </w:rPr>
        <w:t>Renou:</w:t>
      </w:r>
      <w:r>
        <w:rPr>
          <w:rFonts w:eastAsia="Arial Unicode MS"/>
        </w:rPr>
        <w:t xml:space="preserve"> XIII 82 “sur l’arbre”</w:t>
      </w:r>
    </w:p>
    <w:p w14:paraId="2EDAFF41" w14:textId="77777777" w:rsidR="00E53EB6" w:rsidRDefault="006500F5">
      <w:pPr>
        <w:pStyle w:val="Zitat"/>
      </w:pPr>
      <w:r>
        <w:rPr>
          <w:rStyle w:val="CarattereCarattere"/>
          <w:rFonts w:ascii="Sabon Unicode" w:hAnsi="Sabon Unicode" w:cs="Times Ext Roman;Times New Roman"/>
          <w:sz w:val="18"/>
          <w:szCs w:val="18"/>
          <w:lang w:val="en-GB"/>
        </w:rPr>
        <w:tab/>
      </w:r>
      <w:r>
        <w:rPr>
          <w:rStyle w:val="CarattereCarattere"/>
          <w:rFonts w:ascii="Sabon Unicode" w:hAnsi="Sabon Unicode" w:cs="Times Ext Roman;Times New Roman"/>
          <w:sz w:val="18"/>
          <w:szCs w:val="18"/>
          <w:u w:val="single"/>
          <w:lang w:val="en-GB"/>
        </w:rPr>
        <w:t>&gt;ī:</w:t>
      </w:r>
      <w:r>
        <w:rPr>
          <w:rFonts w:eastAsia="Arial Unicode MS"/>
          <w:u w:val="single"/>
        </w:rPr>
        <w:t xml:space="preserve"> nominative feminine singular</w:t>
      </w:r>
    </w:p>
    <w:p w14:paraId="227F228D" w14:textId="77777777" w:rsidR="00E53EB6" w:rsidRDefault="006500F5">
      <w:pPr>
        <w:pStyle w:val="ZitatmitEinzug"/>
      </w:pPr>
      <w:r>
        <w:rPr>
          <w:rFonts w:eastAsia="Arial Unicode MS"/>
          <w:smallCaps/>
        </w:rPr>
        <w:t>Oldenberg</w:t>
      </w:r>
      <w:r>
        <w:rPr>
          <w:rFonts w:eastAsia="Arial Unicode MS"/>
        </w:rPr>
        <w:t xml:space="preserve"> 1912: 57 n. 3 </w:t>
      </w:r>
      <w:r>
        <w:rPr>
          <w:rFonts w:eastAsia="Arial Unicode MS"/>
        </w:rPr>
        <w:t>“schnedig”</w:t>
      </w:r>
    </w:p>
    <w:p w14:paraId="025D4F12" w14:textId="77777777" w:rsidR="00E53EB6" w:rsidRPr="00494885" w:rsidRDefault="006500F5">
      <w:pPr>
        <w:pStyle w:val="Zitat"/>
        <w:rPr>
          <w:lang w:val="de-DE"/>
        </w:rPr>
      </w:pPr>
      <w:r>
        <w:rPr>
          <w:rFonts w:eastAsia="Arial Unicode MS"/>
        </w:rPr>
        <w:tab/>
      </w:r>
      <w:r w:rsidRPr="00494885">
        <w:rPr>
          <w:rFonts w:eastAsia="Arial Unicode MS"/>
          <w:u w:val="single"/>
          <w:lang w:val="de-DE"/>
        </w:rPr>
        <w:t>3</w:t>
      </w:r>
      <w:r w:rsidRPr="00494885">
        <w:rPr>
          <w:rFonts w:eastAsia="Arial Unicode MS"/>
          <w:u w:val="single"/>
          <w:vertAlign w:val="superscript"/>
          <w:lang w:val="de-DE"/>
        </w:rPr>
        <w:t>rd</w:t>
      </w:r>
      <w:r w:rsidRPr="00494885">
        <w:rPr>
          <w:rFonts w:eastAsia="Arial Unicode MS"/>
          <w:u w:val="single"/>
          <w:lang w:val="de-DE"/>
        </w:rPr>
        <w:t xml:space="preserve"> sing. present indicative </w:t>
      </w:r>
    </w:p>
    <w:p w14:paraId="50AF22D4" w14:textId="77777777" w:rsidR="00E53EB6" w:rsidRPr="00494885" w:rsidRDefault="006500F5">
      <w:pPr>
        <w:pStyle w:val="ZitatmitEinzug"/>
        <w:rPr>
          <w:lang w:val="de-DE"/>
        </w:rPr>
      </w:pPr>
      <w:r w:rsidRPr="00494885">
        <w:rPr>
          <w:smallCaps/>
          <w:lang w:val="de-DE"/>
        </w:rPr>
        <w:t xml:space="preserve">Pischel </w:t>
      </w:r>
      <w:r w:rsidRPr="00494885">
        <w:rPr>
          <w:lang w:val="de-DE"/>
        </w:rPr>
        <w:t xml:space="preserve">in </w:t>
      </w:r>
      <w:r w:rsidRPr="00494885">
        <w:rPr>
          <w:smallCaps/>
          <w:lang w:val="de-DE"/>
        </w:rPr>
        <w:t xml:space="preserve">Pischel-Geldner </w:t>
      </w:r>
      <w:r w:rsidRPr="00494885">
        <w:rPr>
          <w:lang w:val="de-DE"/>
        </w:rPr>
        <w:t xml:space="preserve">1889-1901: III, 201 </w:t>
      </w:r>
      <w:r w:rsidRPr="00494885">
        <w:rPr>
          <w:lang w:val="de-DE"/>
        </w:rPr>
        <w:t>“fällt (Bäume)”</w:t>
      </w:r>
    </w:p>
    <w:p w14:paraId="69D80F2F" w14:textId="77777777" w:rsidR="00E53EB6" w:rsidRPr="00494885" w:rsidRDefault="00E53EB6">
      <w:pPr>
        <w:pStyle w:val="ZitatmitEinzug"/>
        <w:rPr>
          <w:lang w:val="de-DE"/>
        </w:rPr>
      </w:pPr>
    </w:p>
    <w:p w14:paraId="20CB6BB2" w14:textId="77777777" w:rsidR="00E53EB6" w:rsidRPr="00494885" w:rsidRDefault="00E53EB6">
      <w:pPr>
        <w:pStyle w:val="ZitatmitEinzug"/>
        <w:rPr>
          <w:lang w:val="de-DE"/>
        </w:rPr>
      </w:pPr>
    </w:p>
    <w:p w14:paraId="36EF5B8A" w14:textId="77777777" w:rsidR="00E53EB6" w:rsidRDefault="006500F5">
      <w:pPr>
        <w:numPr>
          <w:ilvl w:val="0"/>
          <w:numId w:val="3"/>
        </w:numPr>
        <w:spacing w:line="400" w:lineRule="exact"/>
        <w:rPr>
          <w:rFonts w:ascii="Sabon Unicode" w:hAnsi="Sabon Unicode"/>
        </w:rPr>
      </w:pPr>
      <w:r>
        <w:rPr>
          <w:rFonts w:ascii="Sabon Unicode" w:eastAsia="Arial Unicode MS" w:hAnsi="Sabon Unicode"/>
          <w:lang w:val="en-GB"/>
        </w:rPr>
        <w:t xml:space="preserve">10.92.15: </w:t>
      </w:r>
      <w:r>
        <w:rPr>
          <w:rFonts w:ascii="Sabon Unicode" w:eastAsia="Arial Unicode MS" w:hAnsi="Sabon Unicode"/>
          <w:i/>
          <w:lang w:val="en-GB"/>
        </w:rPr>
        <w:t>svádhitir vánanvati</w:t>
      </w:r>
    </w:p>
    <w:p w14:paraId="179788BD" w14:textId="77777777" w:rsidR="00E53EB6" w:rsidRDefault="006500F5">
      <w:pPr>
        <w:pStyle w:val="Zitat"/>
      </w:pPr>
      <w:r>
        <w:t xml:space="preserve">10.092.15 </w:t>
      </w:r>
      <w:r>
        <w:rPr>
          <w:i/>
          <w:iCs/>
        </w:rPr>
        <w:t>rébhad átra janú</w:t>
      </w:r>
      <w:r>
        <w:rPr>
          <w:i/>
          <w:iCs/>
        </w:rPr>
        <w:t>ṣ</w:t>
      </w:r>
      <w:r>
        <w:rPr>
          <w:i/>
          <w:iCs/>
        </w:rPr>
        <w:t>ā pū́rvo á</w:t>
      </w:r>
      <w:r>
        <w:rPr>
          <w:i/>
          <w:iCs/>
        </w:rPr>
        <w:t>ṅ</w:t>
      </w:r>
      <w:r>
        <w:rPr>
          <w:i/>
          <w:iCs/>
        </w:rPr>
        <w:t>girā</w:t>
      </w:r>
    </w:p>
    <w:p w14:paraId="2B6578B4" w14:textId="77777777" w:rsidR="00E53EB6" w:rsidRDefault="006500F5">
      <w:pPr>
        <w:pStyle w:val="ZitatnachZitat"/>
        <w:rPr>
          <w:i/>
          <w:iCs/>
        </w:rPr>
      </w:pPr>
      <w:r>
        <w:rPr>
          <w:i/>
          <w:iCs/>
        </w:rPr>
        <w:t>grā́vā</w:t>
      </w:r>
      <w:r>
        <w:rPr>
          <w:i/>
          <w:iCs/>
        </w:rPr>
        <w:t>ṇ</w:t>
      </w:r>
      <w:r>
        <w:rPr>
          <w:i/>
          <w:iCs/>
        </w:rPr>
        <w:t xml:space="preserve">a </w:t>
      </w:r>
      <w:r>
        <w:rPr>
          <w:i/>
          <w:iCs/>
        </w:rPr>
        <w:t>ūrdhvā́ abhí cak</w:t>
      </w:r>
      <w:r>
        <w:rPr>
          <w:i/>
          <w:iCs/>
        </w:rPr>
        <w:t>ṣ</w:t>
      </w:r>
      <w:r>
        <w:rPr>
          <w:i/>
          <w:iCs/>
        </w:rPr>
        <w:t>ur adhvarám</w:t>
      </w:r>
    </w:p>
    <w:p w14:paraId="6ED45426" w14:textId="77777777" w:rsidR="00E53EB6" w:rsidRDefault="006500F5">
      <w:pPr>
        <w:pStyle w:val="ZitatnachZitat"/>
        <w:rPr>
          <w:i/>
          <w:iCs/>
        </w:rPr>
      </w:pPr>
      <w:r>
        <w:rPr>
          <w:i/>
          <w:iCs/>
        </w:rPr>
        <w:t>yébhir víhāyā ábhavad vicak</w:t>
      </w:r>
      <w:r>
        <w:rPr>
          <w:i/>
          <w:iCs/>
        </w:rPr>
        <w:t>ṣ</w:t>
      </w:r>
      <w:r>
        <w:rPr>
          <w:i/>
          <w:iCs/>
        </w:rPr>
        <w:t>a</w:t>
      </w:r>
      <w:r>
        <w:rPr>
          <w:i/>
          <w:iCs/>
        </w:rPr>
        <w:t>ṇ</w:t>
      </w:r>
      <w:r>
        <w:rPr>
          <w:i/>
          <w:iCs/>
        </w:rPr>
        <w:t>á</w:t>
      </w:r>
      <w:r>
        <w:rPr>
          <w:i/>
          <w:iCs/>
        </w:rPr>
        <w:t>ḥ</w:t>
      </w:r>
    </w:p>
    <w:p w14:paraId="62AD2FF0" w14:textId="77777777" w:rsidR="00E53EB6" w:rsidRDefault="006500F5">
      <w:pPr>
        <w:pStyle w:val="ZitatnachZitat"/>
        <w:rPr>
          <w:i/>
          <w:iCs/>
        </w:rPr>
      </w:pPr>
      <w:r>
        <w:rPr>
          <w:i/>
          <w:iCs/>
        </w:rPr>
        <w:t>pā́tha</w:t>
      </w:r>
      <w:r>
        <w:rPr>
          <w:i/>
          <w:iCs/>
        </w:rPr>
        <w:t>ḥ</w:t>
      </w:r>
      <w:r>
        <w:rPr>
          <w:i/>
          <w:iCs/>
        </w:rPr>
        <w:t xml:space="preserve"> suméka</w:t>
      </w:r>
      <w:r>
        <w:rPr>
          <w:i/>
          <w:iCs/>
        </w:rPr>
        <w:t>ṃ</w:t>
      </w:r>
      <w:r>
        <w:rPr>
          <w:i/>
          <w:iCs/>
        </w:rPr>
        <w:t xml:space="preserve"> svádhitir vánanvati</w:t>
      </w:r>
    </w:p>
    <w:p w14:paraId="2914E706" w14:textId="77777777" w:rsidR="00E53EB6" w:rsidRDefault="006500F5">
      <w:pPr>
        <w:pStyle w:val="Zitat"/>
      </w:pPr>
      <w:r>
        <w:rPr>
          <w:rFonts w:eastAsia="Arial Unicode MS"/>
        </w:rPr>
        <w:t>The first Angira sings here from birth; the raised stones looked on the sacrifice, stones thanks to which the shining becomes vigorous; the place is well-esta</w:t>
      </w:r>
      <w:r>
        <w:rPr>
          <w:rFonts w:eastAsia="Arial Unicode MS"/>
        </w:rPr>
        <w:t xml:space="preserve">blished, the axe </w:t>
      </w:r>
      <w:r>
        <w:rPr>
          <w:rFonts w:eastAsia="Arial Unicode MS"/>
          <w:u w:val="single"/>
        </w:rPr>
        <w:t>appropriates</w:t>
      </w:r>
      <w:r>
        <w:rPr>
          <w:rStyle w:val="FootnoteAnchor"/>
          <w:rFonts w:eastAsia="Arial Unicode MS"/>
        </w:rPr>
        <w:footnoteReference w:id="497"/>
      </w:r>
      <w:r>
        <w:rPr>
          <w:rStyle w:val="FootnoteCharacters"/>
          <w:rFonts w:eastAsia="Arial Unicode MS"/>
        </w:rPr>
        <w:t>.</w:t>
      </w:r>
    </w:p>
    <w:p w14:paraId="21EFAD0B" w14:textId="77777777" w:rsidR="00E53EB6" w:rsidRPr="00494885" w:rsidRDefault="006500F5">
      <w:pPr>
        <w:pStyle w:val="Zitat"/>
        <w:rPr>
          <w:lang w:val="de-DE"/>
        </w:rPr>
      </w:pPr>
      <w:r w:rsidRPr="00494885">
        <w:rPr>
          <w:rFonts w:eastAsia="Arial Unicode MS"/>
          <w:i/>
          <w:iCs/>
          <w:lang w:val="de-DE"/>
        </w:rPr>
        <w:t>vánanvati</w:t>
      </w:r>
      <w:r w:rsidRPr="00494885">
        <w:rPr>
          <w:rFonts w:eastAsia="Arial Unicode MS"/>
          <w:b/>
          <w:lang w:val="de-DE"/>
        </w:rPr>
        <w:t>:</w:t>
      </w:r>
      <w:r w:rsidRPr="00494885">
        <w:rPr>
          <w:rStyle w:val="CarattereCarattere"/>
          <w:rFonts w:ascii="Sabon Unicode" w:hAnsi="Sabon Unicode" w:cs="Times Ext Roman;Times New Roman"/>
          <w:sz w:val="18"/>
          <w:szCs w:val="18"/>
          <w:lang w:val="de-DE"/>
        </w:rPr>
        <w:t xml:space="preserve">  </w:t>
      </w:r>
      <w:r w:rsidRPr="00494885">
        <w:rPr>
          <w:rStyle w:val="CarattereCarattere"/>
          <w:rFonts w:ascii="Sabon Unicode" w:hAnsi="Sabon Unicode" w:cs="Times Ext Roman;Times New Roman"/>
          <w:b w:val="0"/>
          <w:sz w:val="18"/>
          <w:szCs w:val="18"/>
          <w:u w:val="single"/>
          <w:lang w:val="de-DE"/>
        </w:rPr>
        <w:t xml:space="preserve">locative masculine singular </w:t>
      </w:r>
    </w:p>
    <w:p w14:paraId="02CE4D00" w14:textId="77777777" w:rsidR="00E53EB6" w:rsidRPr="00494885" w:rsidRDefault="006500F5">
      <w:pPr>
        <w:pStyle w:val="ZitatmitEinzug"/>
        <w:rPr>
          <w:lang w:val="de-DE"/>
        </w:rPr>
      </w:pPr>
      <w:r w:rsidRPr="00494885">
        <w:rPr>
          <w:rFonts w:eastAsia="Arial Unicode MS"/>
          <w:smallCaps/>
          <w:lang w:val="de-DE"/>
        </w:rPr>
        <w:t>Geldner:</w:t>
      </w:r>
      <w:r w:rsidRPr="00494885">
        <w:rPr>
          <w:rFonts w:eastAsia="Arial Unicode MS"/>
          <w:lang w:val="de-DE"/>
        </w:rPr>
        <w:t xml:space="preserve"> III 291 </w:t>
      </w:r>
      <w:r w:rsidRPr="00494885">
        <w:rPr>
          <w:rFonts w:eastAsia="Arial Unicode MS"/>
          <w:lang w:val="de-DE"/>
        </w:rPr>
        <w:t>“Holzbesitzer”</w:t>
      </w:r>
    </w:p>
    <w:p w14:paraId="3F6CAFD9" w14:textId="77777777" w:rsidR="00E53EB6" w:rsidRDefault="006500F5">
      <w:pPr>
        <w:pStyle w:val="Zitat"/>
      </w:pPr>
      <w:r w:rsidRPr="00494885">
        <w:rPr>
          <w:rStyle w:val="CarattereCarattere"/>
          <w:rFonts w:ascii="Sabon Unicode" w:hAnsi="Sabon Unicode" w:cs="Times Ext Roman;Times New Roman"/>
          <w:sz w:val="18"/>
          <w:szCs w:val="18"/>
          <w:lang w:val="de-DE"/>
        </w:rPr>
        <w:tab/>
      </w:r>
      <w:r>
        <w:rPr>
          <w:rStyle w:val="CarattereCarattere"/>
          <w:rFonts w:ascii="Sabon Unicode" w:hAnsi="Sabon Unicode" w:cs="Times Ext Roman;Times New Roman"/>
          <w:sz w:val="18"/>
          <w:szCs w:val="18"/>
          <w:u w:val="single"/>
          <w:lang w:val="en-GB"/>
        </w:rPr>
        <w:t>&gt;ī:</w:t>
      </w:r>
      <w:r>
        <w:rPr>
          <w:rFonts w:eastAsia="Arial Unicode MS"/>
          <w:u w:val="single"/>
        </w:rPr>
        <w:t xml:space="preserve"> nominative feminine singular </w:t>
      </w:r>
    </w:p>
    <w:p w14:paraId="47A2F02D" w14:textId="77777777" w:rsidR="00E53EB6" w:rsidRDefault="006500F5">
      <w:pPr>
        <w:pStyle w:val="ZitatmitEinzug"/>
      </w:pPr>
      <w:r>
        <w:rPr>
          <w:rFonts w:eastAsia="Arial Unicode MS"/>
          <w:smallCaps/>
        </w:rPr>
        <w:t>Oldenberg</w:t>
      </w:r>
      <w:r>
        <w:rPr>
          <w:rFonts w:eastAsia="Arial Unicode MS"/>
        </w:rPr>
        <w:t xml:space="preserve"> 1912: 57 n. 3 </w:t>
      </w:r>
      <w:r>
        <w:rPr>
          <w:rFonts w:eastAsia="Arial Unicode MS"/>
        </w:rPr>
        <w:t>“schnedig”</w:t>
      </w:r>
    </w:p>
    <w:p w14:paraId="50E4BEBF" w14:textId="77777777" w:rsidR="00E53EB6" w:rsidRDefault="006500F5">
      <w:pPr>
        <w:pStyle w:val="Zitat"/>
      </w:pPr>
      <w:r>
        <w:rPr>
          <w:rFonts w:eastAsia="Arial Unicode MS"/>
        </w:rPr>
        <w:lastRenderedPageBreak/>
        <w:tab/>
      </w:r>
      <w:r>
        <w:rPr>
          <w:rFonts w:eastAsia="Arial Unicode MS"/>
          <w:u w:val="single"/>
        </w:rPr>
        <w:t>3</w:t>
      </w:r>
      <w:r>
        <w:rPr>
          <w:rFonts w:eastAsia="Arial Unicode MS"/>
          <w:u w:val="single"/>
          <w:vertAlign w:val="superscript"/>
        </w:rPr>
        <w:t>rd</w:t>
      </w:r>
      <w:r>
        <w:rPr>
          <w:rFonts w:eastAsia="Arial Unicode MS"/>
          <w:u w:val="single"/>
        </w:rPr>
        <w:t xml:space="preserve"> sing. present indicative </w:t>
      </w:r>
    </w:p>
    <w:p w14:paraId="72767B67" w14:textId="77777777" w:rsidR="00E53EB6" w:rsidRPr="00494885" w:rsidRDefault="006500F5">
      <w:pPr>
        <w:pStyle w:val="ZitatmitEinzug"/>
        <w:rPr>
          <w:lang w:val="de-DE"/>
        </w:rPr>
      </w:pPr>
      <w:r w:rsidRPr="00494885">
        <w:rPr>
          <w:rStyle w:val="FootnoteCharacters"/>
          <w:rFonts w:eastAsia="Arial Unicode MS"/>
          <w:smallCaps/>
          <w:szCs w:val="18"/>
          <w:lang w:val="de-DE"/>
        </w:rPr>
        <w:t xml:space="preserve">Pischel </w:t>
      </w:r>
      <w:r w:rsidRPr="00494885">
        <w:rPr>
          <w:rStyle w:val="FootnoteCharacters"/>
          <w:rFonts w:eastAsia="Arial Unicode MS"/>
          <w:szCs w:val="18"/>
          <w:lang w:val="de-DE"/>
        </w:rPr>
        <w:t xml:space="preserve">in </w:t>
      </w:r>
      <w:r w:rsidRPr="00494885">
        <w:rPr>
          <w:rStyle w:val="FootnoteCharacters"/>
          <w:rFonts w:eastAsia="Arial Unicode MS"/>
          <w:smallCaps/>
          <w:szCs w:val="18"/>
          <w:lang w:val="de-DE"/>
        </w:rPr>
        <w:t xml:space="preserve">Pischel-Geldner </w:t>
      </w:r>
      <w:r w:rsidRPr="00494885">
        <w:rPr>
          <w:rStyle w:val="FootnoteCharacters"/>
          <w:rFonts w:eastAsia="Arial Unicode MS"/>
          <w:szCs w:val="18"/>
          <w:lang w:val="de-DE"/>
        </w:rPr>
        <w:t xml:space="preserve">1889-1901: III, </w:t>
      </w:r>
      <w:r w:rsidRPr="00494885">
        <w:rPr>
          <w:rStyle w:val="FootnoteCharacters"/>
          <w:rFonts w:eastAsia="Arial Unicode MS"/>
          <w:szCs w:val="18"/>
          <w:lang w:val="de-DE"/>
        </w:rPr>
        <w:t>204: “</w:t>
      </w:r>
      <w:r w:rsidRPr="00494885">
        <w:rPr>
          <w:rStyle w:val="FootnoteCharacters"/>
          <w:rFonts w:eastAsia="Arial Unicode MS"/>
          <w:szCs w:val="18"/>
          <w:lang w:val="de-DE"/>
        </w:rPr>
        <w:t>fällt (Bäume)”</w:t>
      </w:r>
    </w:p>
    <w:p w14:paraId="46690C56" w14:textId="77777777" w:rsidR="00E53EB6" w:rsidRDefault="006500F5">
      <w:pPr>
        <w:pStyle w:val="HaupttextnachZitat"/>
      </w:pPr>
      <w:r>
        <w:rPr>
          <w:rFonts w:eastAsia="Arial Unicode MS"/>
        </w:rPr>
        <w:t>What in fact emerges clearly in comparison between the passages quoted is that in the first three attestations the term is employed as an adjective applied to gods or “divine” powers (on the role of the “powers” and functions as autono</w:t>
      </w:r>
      <w:r>
        <w:rPr>
          <w:rFonts w:eastAsia="Arial Unicode MS"/>
        </w:rPr>
        <w:t xml:space="preserve">mous entities in the Vedic world, see </w:t>
      </w:r>
      <w:r>
        <w:rPr>
          <w:rFonts w:eastAsia="Arial Unicode MS"/>
          <w:smallCaps/>
        </w:rPr>
        <w:t>Gonda</w:t>
      </w:r>
      <w:r>
        <w:rPr>
          <w:rFonts w:eastAsia="Arial Unicode MS"/>
        </w:rPr>
        <w:t xml:space="preserve"> 1981: I 64 ff. and in particular 1957</w:t>
      </w:r>
      <w:r>
        <w:rPr>
          <w:rFonts w:eastAsia="Arial Unicode MS"/>
          <w:vertAlign w:val="superscript"/>
        </w:rPr>
        <w:t>b</w:t>
      </w:r>
      <w:r>
        <w:rPr>
          <w:rFonts w:eastAsia="Arial Unicode MS"/>
        </w:rPr>
        <w:t xml:space="preserve">), while in the last two it is somehow applied to or at any rate associated with the axe </w:t>
      </w:r>
      <w:r>
        <w:rPr>
          <w:rFonts w:eastAsia="Arial Unicode MS"/>
          <w:i/>
        </w:rPr>
        <w:t>(svádhiti-)</w:t>
      </w:r>
      <w:r>
        <w:rPr>
          <w:rFonts w:eastAsia="Arial Unicode MS"/>
        </w:rPr>
        <w:t>.</w:t>
      </w:r>
    </w:p>
    <w:p w14:paraId="470B2B10" w14:textId="77777777" w:rsidR="00E53EB6" w:rsidRDefault="006500F5">
      <w:pPr>
        <w:pStyle w:val="HaupttextohneEinzug"/>
      </w:pPr>
      <w:r>
        <w:rPr>
          <w:rFonts w:eastAsia="Arial Unicode MS"/>
        </w:rPr>
        <w:t xml:space="preserve">Beyond this little is certain, and proceeding with our analysis we will </w:t>
      </w:r>
      <w:r>
        <w:rPr>
          <w:rFonts w:eastAsia="Arial Unicode MS"/>
        </w:rPr>
        <w:t xml:space="preserve">endeavour to make clear, also in visual terms, the range of possibilities opening out. The interpretations offered in the case of </w:t>
      </w:r>
      <w:r>
        <w:rPr>
          <w:rFonts w:eastAsia="Arial Unicode MS"/>
          <w:i/>
        </w:rPr>
        <w:t>vánanvat-</w:t>
      </w:r>
      <w:r>
        <w:rPr>
          <w:rFonts w:eastAsia="Arial Unicode MS"/>
        </w:rPr>
        <w:t xml:space="preserve">  differ from both the grammatical and semantic points of view (cf. AiGr:</w:t>
      </w:r>
      <w:r>
        <w:rPr>
          <w:rFonts w:eastAsia="Arial Unicode MS"/>
          <w:smallCaps/>
        </w:rPr>
        <w:t xml:space="preserve"> </w:t>
      </w:r>
      <w:r>
        <w:rPr>
          <w:rFonts w:eastAsia="Arial Unicode MS"/>
        </w:rPr>
        <w:t xml:space="preserve"> II 2  §80 γ and §713 γ). There are two que</w:t>
      </w:r>
      <w:r>
        <w:rPr>
          <w:rFonts w:eastAsia="Arial Unicode MS"/>
        </w:rPr>
        <w:t>stions to consider.</w:t>
      </w:r>
    </w:p>
    <w:p w14:paraId="127FED44" w14:textId="77777777" w:rsidR="00E53EB6" w:rsidRDefault="00E53EB6">
      <w:pPr>
        <w:spacing w:line="400" w:lineRule="exact"/>
        <w:rPr>
          <w:rFonts w:ascii="Sabon Unicode" w:eastAsia="Arial Unicode MS" w:hAnsi="Sabon Unicode"/>
          <w:lang w:val="en-GB"/>
        </w:rPr>
      </w:pPr>
    </w:p>
    <w:p w14:paraId="50BE051F" w14:textId="77777777" w:rsidR="00E53EB6" w:rsidRDefault="006500F5">
      <w:pPr>
        <w:pStyle w:val="HaupttextohneEinzug"/>
        <w:numPr>
          <w:ilvl w:val="0"/>
          <w:numId w:val="4"/>
        </w:numPr>
      </w:pPr>
      <w:r>
        <w:rPr>
          <w:rFonts w:eastAsia="Arial Unicode MS"/>
        </w:rPr>
        <w:t xml:space="preserve"> The first, at the semantic level, is a matter of the root to which the term </w:t>
      </w:r>
      <w:r>
        <w:rPr>
          <w:rFonts w:eastAsia="Arial Unicode MS"/>
          <w:i/>
        </w:rPr>
        <w:t>vánanvat-</w:t>
      </w:r>
      <w:r>
        <w:rPr>
          <w:rFonts w:eastAsia="Arial Unicode MS"/>
        </w:rPr>
        <w:t xml:space="preserve"> is to be traced, or in other words</w:t>
      </w:r>
    </w:p>
    <w:p w14:paraId="24D751AD" w14:textId="77777777" w:rsidR="00E53EB6" w:rsidRPr="00494885" w:rsidRDefault="006500F5">
      <w:pPr>
        <w:spacing w:line="400" w:lineRule="exact"/>
        <w:ind w:left="357" w:firstLine="346"/>
        <w:rPr>
          <w:rFonts w:ascii="Sabon Unicode" w:hAnsi="Sabon Unicode"/>
          <w:lang w:val="en-US"/>
        </w:rPr>
      </w:pPr>
      <w:r>
        <w:rPr>
          <w:rFonts w:ascii="Sabon Unicode" w:eastAsia="Arial Unicode MS" w:hAnsi="Sabon Unicode"/>
          <w:b/>
          <w:lang w:val="en-GB"/>
        </w:rPr>
        <w:t>a</w:t>
      </w:r>
      <w:r>
        <w:rPr>
          <w:rFonts w:ascii="Sabon Unicode" w:eastAsia="Arial Unicode MS" w:hAnsi="Sabon Unicode"/>
          <w:lang w:val="en-GB"/>
        </w:rPr>
        <w:t xml:space="preserve">- whether this derivative is to be traced to </w:t>
      </w:r>
      <w:r>
        <w:rPr>
          <w:rFonts w:ascii="Sabon Unicode" w:eastAsia="Arial Unicode MS" w:hAnsi="Sabon Unicode"/>
          <w:i/>
          <w:lang w:val="en-GB"/>
        </w:rPr>
        <w:t>vána-</w:t>
      </w:r>
      <w:r>
        <w:rPr>
          <w:rFonts w:ascii="Sabon Unicode" w:eastAsia="Arial Unicode MS" w:hAnsi="Sabon Unicode"/>
          <w:lang w:val="en-GB"/>
        </w:rPr>
        <w:t xml:space="preserve"> (“wood” “tree”, “forest”), as is done by </w:t>
      </w:r>
      <w:r>
        <w:rPr>
          <w:rFonts w:ascii="Sabon Unicode" w:eastAsia="Arial Unicode MS" w:hAnsi="Sabon Unicode"/>
          <w:smallCaps/>
          <w:lang w:val="en-GB"/>
        </w:rPr>
        <w:t>Geldner,</w:t>
      </w:r>
      <w:r>
        <w:rPr>
          <w:rFonts w:ascii="Sabon Unicode" w:eastAsia="Arial Unicode MS" w:hAnsi="Sabon Unicode"/>
          <w:lang w:val="en-GB"/>
        </w:rPr>
        <w:t xml:space="preserve"> who sees it</w:t>
      </w:r>
      <w:r>
        <w:rPr>
          <w:rFonts w:ascii="Sabon Unicode" w:eastAsia="Arial Unicode MS" w:hAnsi="Sabon Unicode"/>
          <w:lang w:val="en-GB"/>
        </w:rPr>
        <w:t xml:space="preserve"> as an adjective with suffix </w:t>
      </w:r>
      <w:r>
        <w:rPr>
          <w:rFonts w:ascii="Sabon Unicode" w:eastAsia="Arial Unicode MS" w:hAnsi="Sabon Unicode"/>
          <w:i/>
          <w:lang w:val="en-GB"/>
        </w:rPr>
        <w:t>–va(n)t-</w:t>
      </w:r>
      <w:r>
        <w:rPr>
          <w:rFonts w:ascii="Sabon Unicode" w:eastAsia="Arial Unicode MS" w:hAnsi="Sabon Unicode"/>
          <w:lang w:val="en-GB"/>
        </w:rPr>
        <w:t>.</w:t>
      </w:r>
    </w:p>
    <w:p w14:paraId="73652466" w14:textId="77777777" w:rsidR="00E53EB6" w:rsidRPr="00494885" w:rsidRDefault="006500F5">
      <w:pPr>
        <w:spacing w:line="400" w:lineRule="exact"/>
        <w:ind w:left="357" w:firstLine="346"/>
        <w:rPr>
          <w:rFonts w:ascii="Sabon Unicode" w:hAnsi="Sabon Unicode"/>
          <w:lang w:val="en-US"/>
        </w:rPr>
      </w:pPr>
      <w:r>
        <w:rPr>
          <w:rFonts w:ascii="Sabon Unicode" w:eastAsia="Arial Unicode MS" w:hAnsi="Sabon Unicode"/>
          <w:b/>
          <w:lang w:val="en-GB"/>
        </w:rPr>
        <w:t>b</w:t>
      </w:r>
      <w:r>
        <w:rPr>
          <w:rFonts w:ascii="Sabon Unicode" w:eastAsia="Arial Unicode MS" w:hAnsi="Sabon Unicode"/>
          <w:lang w:val="en-GB"/>
        </w:rPr>
        <w:t xml:space="preserve">- or whether it is to be considered a derivative of the verb root </w:t>
      </w:r>
      <w:r>
        <w:rPr>
          <w:rFonts w:ascii="Sabon Unicode" w:hAnsi="Sabon Unicode"/>
          <w:i/>
          <w:szCs w:val="24"/>
          <w:lang w:val="en-GB"/>
        </w:rPr>
        <w:t>van- / van</w:t>
      </w:r>
      <w:r>
        <w:rPr>
          <w:rFonts w:ascii="Sabon Unicode" w:hAnsi="Sabon Unicode"/>
          <w:i/>
          <w:szCs w:val="24"/>
          <w:vertAlign w:val="superscript"/>
          <w:lang w:val="en-GB"/>
        </w:rPr>
        <w:t>i</w:t>
      </w:r>
      <w:r>
        <w:rPr>
          <w:rFonts w:ascii="Sabon Unicode" w:hAnsi="Sabon Unicode"/>
          <w:i/>
          <w:szCs w:val="24"/>
          <w:lang w:val="en-GB"/>
        </w:rPr>
        <w:t>-</w:t>
      </w:r>
      <w:r>
        <w:rPr>
          <w:rFonts w:ascii="Sabon Unicode" w:eastAsia="Arial Unicode MS" w:hAnsi="Sabon Unicode"/>
          <w:lang w:val="en-GB"/>
        </w:rPr>
        <w:t>.</w:t>
      </w:r>
    </w:p>
    <w:p w14:paraId="0A3252FF" w14:textId="77777777" w:rsidR="00E53EB6" w:rsidRDefault="006500F5">
      <w:pPr>
        <w:pStyle w:val="HaupttextohneEinzug"/>
      </w:pPr>
      <w:r>
        <w:rPr>
          <w:rFonts w:eastAsia="Arial Unicode MS"/>
        </w:rPr>
        <w:t>The first three attestations suggest the latter of these hypotheses, not only on account of the difficulty of associating “wood” with U</w:t>
      </w:r>
      <w:r>
        <w:rPr>
          <w:rFonts w:eastAsia="Arial Unicode MS"/>
        </w:rPr>
        <w:t>ṣ</w:t>
      </w:r>
      <w:r>
        <w:rPr>
          <w:rFonts w:eastAsia="Arial Unicode MS"/>
        </w:rPr>
        <w:t xml:space="preserve">as or </w:t>
      </w:r>
      <w:r>
        <w:rPr>
          <w:rFonts w:eastAsia="Arial Unicode MS"/>
          <w:i/>
        </w:rPr>
        <w:t>matí-</w:t>
      </w:r>
      <w:r>
        <w:rPr>
          <w:rFonts w:eastAsia="Arial Unicode MS"/>
        </w:rPr>
        <w:t xml:space="preserve">, but above all because the function taken on by </w:t>
      </w:r>
      <w:r>
        <w:rPr>
          <w:rFonts w:eastAsia="Arial Unicode MS"/>
          <w:i/>
        </w:rPr>
        <w:t>vánanvat-</w:t>
      </w:r>
      <w:r>
        <w:rPr>
          <w:rFonts w:eastAsia="Arial Unicode MS"/>
        </w:rPr>
        <w:t xml:space="preserve">  at the three points mentioned seems to be meant t</w:t>
      </w:r>
      <w:r>
        <w:rPr>
          <w:rFonts w:eastAsia="Arial Unicode MS"/>
        </w:rPr>
        <w:t xml:space="preserve">o evoke that of the present participle of the verb </w:t>
      </w:r>
      <w:r>
        <w:rPr>
          <w:rFonts w:eastAsia="Arial Unicode MS"/>
          <w:i/>
        </w:rPr>
        <w:t>van- (vanvan-)</w:t>
      </w:r>
      <w:r>
        <w:rPr>
          <w:rFonts w:eastAsia="Arial Unicode MS"/>
        </w:rPr>
        <w:t xml:space="preserve"> which is employed in most of the attestations with absolute value, becoming a divine attribute (cf. 2.21.2; 5 29.9 and 6.12.4), often in contrast with </w:t>
      </w:r>
      <w:r>
        <w:rPr>
          <w:rFonts w:eastAsia="Arial Unicode MS"/>
          <w:i/>
        </w:rPr>
        <w:t>ávāta-</w:t>
      </w:r>
      <w:r>
        <w:rPr>
          <w:rFonts w:eastAsia="Arial Unicode MS"/>
        </w:rPr>
        <w:t xml:space="preserve"> (6.16.20; 6.18.1; 9.89.7; 9.96.8</w:t>
      </w:r>
      <w:r>
        <w:rPr>
          <w:rFonts w:eastAsia="Arial Unicode MS"/>
        </w:rPr>
        <w:t xml:space="preserve"> and 11). </w:t>
      </w:r>
      <w:r>
        <w:rPr>
          <w:rFonts w:eastAsia="Arial Unicode MS"/>
          <w:i/>
        </w:rPr>
        <w:t xml:space="preserve">Vánanvat- </w:t>
      </w:r>
      <w:r>
        <w:rPr>
          <w:rFonts w:eastAsia="Arial Unicode MS"/>
        </w:rPr>
        <w:t xml:space="preserve">appears, then, to be a form </w:t>
      </w:r>
      <w:r>
        <w:rPr>
          <w:rFonts w:eastAsia="Arial Unicode MS"/>
          <w:u w:val="single"/>
        </w:rPr>
        <w:t xml:space="preserve">“enhanced” by repetition </w:t>
      </w:r>
      <w:r>
        <w:rPr>
          <w:rFonts w:eastAsia="Arial Unicode MS"/>
        </w:rPr>
        <w:t xml:space="preserve"> from the participle </w:t>
      </w:r>
      <w:r>
        <w:rPr>
          <w:rFonts w:eastAsia="Arial Unicode MS"/>
          <w:i/>
        </w:rPr>
        <w:t>vanvan-.</w:t>
      </w:r>
    </w:p>
    <w:p w14:paraId="47A6B084" w14:textId="77777777" w:rsidR="00E53EB6" w:rsidRDefault="00E53EB6">
      <w:pPr>
        <w:spacing w:line="400" w:lineRule="exact"/>
        <w:rPr>
          <w:rFonts w:ascii="Sabon Unicode" w:eastAsia="Arial Unicode MS" w:hAnsi="Sabon Unicode"/>
          <w:lang w:val="en-GB"/>
        </w:rPr>
      </w:pPr>
    </w:p>
    <w:p w14:paraId="60CE946A" w14:textId="77777777" w:rsidR="00E53EB6" w:rsidRDefault="006500F5">
      <w:pPr>
        <w:pStyle w:val="HaupttextohneEinzug"/>
        <w:numPr>
          <w:ilvl w:val="0"/>
          <w:numId w:val="4"/>
        </w:numPr>
      </w:pPr>
      <w:r>
        <w:rPr>
          <w:rFonts w:eastAsia="Arial Unicode MS"/>
        </w:rPr>
        <w:t xml:space="preserve">The second, more strictly morphological question is, at this point: </w:t>
      </w:r>
    </w:p>
    <w:p w14:paraId="702085E4" w14:textId="77777777" w:rsidR="00E53EB6" w:rsidRDefault="006500F5">
      <w:pPr>
        <w:pStyle w:val="HaupttextohneEinzug"/>
      </w:pPr>
      <w:r>
        <w:rPr>
          <w:rFonts w:eastAsia="Arial Unicode MS"/>
          <w:b/>
        </w:rPr>
        <w:tab/>
        <w:t>a</w:t>
      </w:r>
      <w:r>
        <w:rPr>
          <w:rFonts w:eastAsia="Arial Unicode MS"/>
        </w:rPr>
        <w:t xml:space="preserve">- whether </w:t>
      </w:r>
      <w:r>
        <w:rPr>
          <w:rFonts w:eastAsia="Arial Unicode MS"/>
          <w:i/>
        </w:rPr>
        <w:t xml:space="preserve">vánanvat- </w:t>
      </w:r>
      <w:r>
        <w:rPr>
          <w:rFonts w:eastAsia="Arial Unicode MS"/>
        </w:rPr>
        <w:t xml:space="preserve">may not be an adjective derived with suffix </w:t>
      </w:r>
      <w:r>
        <w:rPr>
          <w:rFonts w:eastAsia="Arial Unicode MS"/>
          <w:i/>
        </w:rPr>
        <w:t>-va(n)t</w:t>
      </w:r>
      <w:r>
        <w:rPr>
          <w:rFonts w:eastAsia="Arial Unicode MS"/>
        </w:rPr>
        <w:t>, as conje</w:t>
      </w:r>
      <w:r>
        <w:rPr>
          <w:rFonts w:eastAsia="Arial Unicode MS"/>
        </w:rPr>
        <w:t xml:space="preserve">ctured by </w:t>
      </w:r>
      <w:r>
        <w:rPr>
          <w:rFonts w:eastAsia="Arial Unicode MS"/>
          <w:smallCaps/>
        </w:rPr>
        <w:t>Oldenberg (</w:t>
      </w:r>
      <w:r>
        <w:rPr>
          <w:rFonts w:eastAsia="Arial Unicode MS"/>
        </w:rPr>
        <w:t xml:space="preserve">1912: 57 n. 3) and </w:t>
      </w:r>
      <w:r>
        <w:rPr>
          <w:rFonts w:eastAsia="Arial Unicode MS"/>
          <w:smallCaps/>
        </w:rPr>
        <w:t>Grassmann</w:t>
      </w:r>
      <w:r>
        <w:rPr>
          <w:rFonts w:eastAsia="Arial Unicode MS"/>
        </w:rPr>
        <w:t xml:space="preserve"> (1875 [ed. 1996: 1208]), who denies the possibility of a verbal form, there being no similar attestations for the purpose of comparison, and as also argued by </w:t>
      </w:r>
      <w:r>
        <w:rPr>
          <w:rFonts w:eastAsia="Arial Unicode MS"/>
          <w:smallCaps/>
        </w:rPr>
        <w:t>Renou</w:t>
      </w:r>
      <w:r>
        <w:rPr>
          <w:rFonts w:eastAsia="Arial Unicode MS"/>
        </w:rPr>
        <w:t xml:space="preserve"> (III 103 n. 3c), who conjectures the exis</w:t>
      </w:r>
      <w:r>
        <w:rPr>
          <w:rFonts w:eastAsia="Arial Unicode MS"/>
        </w:rPr>
        <w:t>tence of a *</w:t>
      </w:r>
      <w:r>
        <w:rPr>
          <w:rFonts w:eastAsia="Arial Unicode MS"/>
          <w:i/>
        </w:rPr>
        <w:t xml:space="preserve">vanan- </w:t>
      </w:r>
      <w:r>
        <w:rPr>
          <w:rFonts w:eastAsia="Arial Unicode MS"/>
        </w:rPr>
        <w:t xml:space="preserve">allomorph of </w:t>
      </w:r>
      <w:r>
        <w:rPr>
          <w:rFonts w:eastAsia="Arial Unicode MS"/>
          <w:i/>
        </w:rPr>
        <w:t>vánas-</w:t>
      </w:r>
      <w:r>
        <w:rPr>
          <w:rFonts w:eastAsia="Arial Unicode MS"/>
        </w:rPr>
        <w:t xml:space="preserve"> in relation to *</w:t>
      </w:r>
      <w:r>
        <w:rPr>
          <w:rFonts w:eastAsia="Arial Unicode MS"/>
          <w:i/>
        </w:rPr>
        <w:t>vanar</w:t>
      </w:r>
      <w:r>
        <w:rPr>
          <w:rFonts w:eastAsia="Arial Unicode MS"/>
        </w:rPr>
        <w:t xml:space="preserve"> (cf. </w:t>
      </w:r>
      <w:r>
        <w:rPr>
          <w:rFonts w:eastAsia="Arial Unicode MS"/>
          <w:i/>
        </w:rPr>
        <w:t xml:space="preserve">ahán/ahás </w:t>
      </w:r>
      <w:r>
        <w:rPr>
          <w:rFonts w:eastAsia="Arial Unicode MS"/>
        </w:rPr>
        <w:t>&lt; *</w:t>
      </w:r>
      <w:r>
        <w:rPr>
          <w:rFonts w:eastAsia="Arial Unicode MS"/>
          <w:i/>
        </w:rPr>
        <w:t>ahar</w:t>
      </w:r>
      <w:r>
        <w:rPr>
          <w:rFonts w:eastAsia="Arial Unicode MS"/>
        </w:rPr>
        <w:t xml:space="preserve">), also to be traced in the substantive </w:t>
      </w:r>
      <w:r>
        <w:rPr>
          <w:rFonts w:eastAsia="Arial Unicode MS"/>
          <w:i/>
        </w:rPr>
        <w:t>vánanā.</w:t>
      </w:r>
    </w:p>
    <w:p w14:paraId="2ABD5E6F" w14:textId="77777777" w:rsidR="00E53EB6" w:rsidRDefault="006500F5">
      <w:pPr>
        <w:pStyle w:val="HaupttextohneEinzug"/>
      </w:pPr>
      <w:r>
        <w:rPr>
          <w:rFonts w:eastAsia="Arial Unicode MS"/>
        </w:rPr>
        <w:t xml:space="preserve">However, this proposal entails some difficulties in interpretation of the latter two attestations, compelling </w:t>
      </w:r>
      <w:r>
        <w:rPr>
          <w:rFonts w:eastAsia="Arial Unicode MS"/>
          <w:smallCaps/>
        </w:rPr>
        <w:t>Renou</w:t>
      </w:r>
      <w:r>
        <w:rPr>
          <w:rFonts w:eastAsia="Arial Unicode MS"/>
        </w:rPr>
        <w:t xml:space="preserve"> (XIII 82)</w:t>
      </w:r>
      <w:r>
        <w:rPr>
          <w:rFonts w:eastAsia="Arial Unicode MS"/>
        </w:rPr>
        <w:t xml:space="preserve"> to trace </w:t>
      </w:r>
      <w:r>
        <w:rPr>
          <w:rFonts w:eastAsia="Arial Unicode MS"/>
          <w:i/>
        </w:rPr>
        <w:t>vánanvati</w:t>
      </w:r>
      <w:r>
        <w:rPr>
          <w:rFonts w:eastAsia="Arial Unicode MS"/>
        </w:rPr>
        <w:t xml:space="preserve"> to </w:t>
      </w:r>
      <w:r>
        <w:rPr>
          <w:rFonts w:eastAsia="Arial Unicode MS"/>
          <w:i/>
        </w:rPr>
        <w:t>vána-</w:t>
      </w:r>
      <w:r>
        <w:rPr>
          <w:rFonts w:eastAsia="Arial Unicode MS"/>
        </w:rPr>
        <w:t xml:space="preserve"> in stanza 8 102.9, and </w:t>
      </w:r>
      <w:r>
        <w:rPr>
          <w:rFonts w:eastAsia="Arial Unicode MS"/>
          <w:smallCaps/>
        </w:rPr>
        <w:t>Oldenberg (</w:t>
      </w:r>
      <w:r>
        <w:rPr>
          <w:rFonts w:eastAsia="Arial Unicode MS"/>
        </w:rPr>
        <w:t xml:space="preserve">1912: 57 n. 3) to read in both occurrences </w:t>
      </w:r>
      <w:r>
        <w:rPr>
          <w:rFonts w:eastAsia="Arial Unicode MS"/>
          <w:i/>
        </w:rPr>
        <w:t>vánanvatī</w:t>
      </w:r>
      <w:r>
        <w:rPr>
          <w:rFonts w:eastAsia="Arial Unicode MS"/>
        </w:rPr>
        <w:t xml:space="preserve"> instead of </w:t>
      </w:r>
      <w:r>
        <w:rPr>
          <w:rFonts w:eastAsia="Arial Unicode MS"/>
          <w:i/>
        </w:rPr>
        <w:t>vánanvati</w:t>
      </w:r>
      <w:r>
        <w:rPr>
          <w:rFonts w:eastAsia="Arial Unicode MS"/>
        </w:rPr>
        <w:t>.</w:t>
      </w:r>
    </w:p>
    <w:p w14:paraId="3DDCA3AA" w14:textId="77777777" w:rsidR="00E53EB6" w:rsidRDefault="00E53EB6">
      <w:pPr>
        <w:spacing w:line="400" w:lineRule="exact"/>
        <w:rPr>
          <w:rFonts w:ascii="Sabon Unicode" w:eastAsia="Arial Unicode MS" w:hAnsi="Sabon Unicode"/>
          <w:lang w:val="en-GB"/>
        </w:rPr>
      </w:pPr>
    </w:p>
    <w:p w14:paraId="547F7458" w14:textId="77777777" w:rsidR="00E53EB6" w:rsidRDefault="006500F5">
      <w:pPr>
        <w:pStyle w:val="HaupttextohneEinzug"/>
      </w:pPr>
      <w:r>
        <w:rPr>
          <w:rFonts w:eastAsia="Arial Unicode MS"/>
          <w:b/>
        </w:rPr>
        <w:tab/>
        <w:t>b</w:t>
      </w:r>
      <w:r>
        <w:rPr>
          <w:rFonts w:eastAsia="Arial Unicode MS"/>
        </w:rPr>
        <w:t xml:space="preserve">- Thus there is room for the hypothesis that we have here a verb form (cf. also </w:t>
      </w:r>
      <w:r>
        <w:rPr>
          <w:rFonts w:eastAsia="Arial Unicode MS"/>
          <w:smallCaps/>
        </w:rPr>
        <w:t>Böhtlingk-Roth  1855-1875: 669-670</w:t>
      </w:r>
      <w:r>
        <w:rPr>
          <w:rFonts w:eastAsia="Arial Unicode MS"/>
        </w:rPr>
        <w:t>)</w:t>
      </w:r>
      <w:r>
        <w:rPr>
          <w:rFonts w:eastAsia="Arial Unicode MS"/>
        </w:rPr>
        <w:t xml:space="preserve"> </w:t>
      </w:r>
      <w:r>
        <w:rPr>
          <w:rFonts w:eastAsia="Arial Unicode MS"/>
          <w:i/>
        </w:rPr>
        <w:t>vánanu-</w:t>
      </w:r>
      <w:r>
        <w:rPr>
          <w:rFonts w:eastAsia="Arial Unicode MS"/>
        </w:rPr>
        <w:t>, which appears in the first three attestations in the present participle and in the last two in the indicative present, 3</w:t>
      </w:r>
      <w:r>
        <w:rPr>
          <w:rFonts w:eastAsia="Arial Unicode MS"/>
          <w:vertAlign w:val="superscript"/>
        </w:rPr>
        <w:t>rd</w:t>
      </w:r>
      <w:r>
        <w:rPr>
          <w:rFonts w:eastAsia="Arial Unicode MS"/>
        </w:rPr>
        <w:t xml:space="preserve"> person singular, with </w:t>
      </w:r>
      <w:r>
        <w:rPr>
          <w:rFonts w:eastAsia="Arial Unicode MS"/>
          <w:i/>
        </w:rPr>
        <w:t xml:space="preserve">svádhiti- </w:t>
      </w:r>
      <w:r>
        <w:rPr>
          <w:rFonts w:eastAsia="Arial Unicode MS"/>
        </w:rPr>
        <w:t>as subject. This interpretative proposal calls for further consideration on how such a verb</w:t>
      </w:r>
      <w:r>
        <w:rPr>
          <w:rFonts w:eastAsia="Arial Unicode MS"/>
        </w:rPr>
        <w:t xml:space="preserve"> form came about. </w:t>
      </w:r>
    </w:p>
    <w:p w14:paraId="389F27AA" w14:textId="77777777" w:rsidR="00E53EB6" w:rsidRDefault="006500F5">
      <w:pPr>
        <w:pStyle w:val="HaupttextohneEinzug"/>
      </w:pPr>
      <w:r>
        <w:rPr>
          <w:rFonts w:eastAsia="Arial Unicode MS"/>
        </w:rPr>
        <w:tab/>
      </w:r>
      <w:r>
        <w:rPr>
          <w:rFonts w:eastAsia="Arial Unicode MS"/>
        </w:rPr>
        <w:tab/>
        <w:t xml:space="preserve">· </w:t>
      </w:r>
      <w:r>
        <w:rPr>
          <w:rFonts w:eastAsia="Arial Unicode MS"/>
        </w:rPr>
        <w:t xml:space="preserve">Pischel </w:t>
      </w:r>
      <w:r>
        <w:rPr>
          <w:rFonts w:eastAsia="Arial Unicode MS"/>
          <w:smallCaps/>
        </w:rPr>
        <w:t>(Pischel-Geldner</w:t>
      </w:r>
      <w:r>
        <w:rPr>
          <w:rFonts w:eastAsia="Arial Unicode MS"/>
        </w:rPr>
        <w:t xml:space="preserve"> 1889-1901: III §22, 198-204) conjectures a denominative from </w:t>
      </w:r>
      <w:r>
        <w:rPr>
          <w:rFonts w:eastAsia="Arial Unicode MS"/>
          <w:i/>
        </w:rPr>
        <w:t xml:space="preserve">*vananú- </w:t>
      </w:r>
      <w:r>
        <w:rPr>
          <w:rFonts w:eastAsia="Arial Unicode MS"/>
        </w:rPr>
        <w:t xml:space="preserve">= rad. </w:t>
      </w:r>
      <w:r>
        <w:rPr>
          <w:rFonts w:eastAsia="Arial Unicode MS"/>
          <w:i/>
        </w:rPr>
        <w:t>van</w:t>
      </w:r>
      <w:r>
        <w:rPr>
          <w:rFonts w:eastAsia="Arial Unicode MS"/>
        </w:rPr>
        <w:t xml:space="preserve"> + </w:t>
      </w:r>
      <w:r>
        <w:rPr>
          <w:rFonts w:eastAsia="Arial Unicode MS"/>
          <w:i/>
        </w:rPr>
        <w:t>-anu-</w:t>
      </w:r>
      <w:r>
        <w:rPr>
          <w:rFonts w:eastAsia="Arial Unicode MS"/>
        </w:rPr>
        <w:t xml:space="preserve"> suffix, in analogy with </w:t>
      </w:r>
      <w:r>
        <w:rPr>
          <w:rFonts w:eastAsia="Arial Unicode MS"/>
          <w:i/>
        </w:rPr>
        <w:t>krandanú nadanú nabhanú vibhañjanú</w:t>
      </w:r>
      <w:r>
        <w:rPr>
          <w:rFonts w:eastAsia="Arial Unicode MS"/>
        </w:rPr>
        <w:t xml:space="preserve"> and, starting from “auf etwas losgehen” as </w:t>
      </w:r>
      <w:r>
        <w:rPr>
          <w:rFonts w:eastAsia="Arial Unicode MS"/>
          <w:i/>
        </w:rPr>
        <w:t>Grundbedeutung</w:t>
      </w:r>
      <w:r>
        <w:rPr>
          <w:rFonts w:eastAsia="Arial Unicode MS"/>
        </w:rPr>
        <w:t xml:space="preserve"> of the verb </w:t>
      </w:r>
      <w:r>
        <w:rPr>
          <w:rFonts w:eastAsia="Arial Unicode MS"/>
          <w:i/>
        </w:rPr>
        <w:t>van-</w:t>
      </w:r>
      <w:r>
        <w:rPr>
          <w:rFonts w:eastAsia="Arial Unicode MS"/>
        </w:rPr>
        <w:t xml:space="preserve"> proposes translation of the two attestations with “fällt”, conjecturing a semantic shift recalling the shift Schmidt proposed for the Avestan verb </w:t>
      </w:r>
      <w:r>
        <w:rPr>
          <w:rFonts w:eastAsia="Arial Unicode MS"/>
          <w:i/>
        </w:rPr>
        <w:t>van-</w:t>
      </w:r>
      <w:r>
        <w:rPr>
          <w:rFonts w:eastAsia="Arial Unicode MS"/>
        </w:rPr>
        <w:t>; this hypothesis was previou</w:t>
      </w:r>
      <w:r>
        <w:rPr>
          <w:rFonts w:eastAsia="Arial Unicode MS"/>
        </w:rPr>
        <w:t xml:space="preserve">sly mentioned in analysis </w:t>
      </w:r>
      <w:r>
        <w:rPr>
          <w:rFonts w:eastAsia="Arial Unicode MS"/>
        </w:rPr>
        <w:lastRenderedPageBreak/>
        <w:t xml:space="preserve">of the desiderative forms of the verb root, precisely on account of the outward movement they also seemed to show. </w:t>
      </w:r>
    </w:p>
    <w:p w14:paraId="4CC17A7A" w14:textId="77777777" w:rsidR="00E53EB6" w:rsidRDefault="006500F5">
      <w:pPr>
        <w:pStyle w:val="HaupttextohneEinzug"/>
      </w:pPr>
      <w:r>
        <w:rPr>
          <w:rFonts w:eastAsia="Arial Unicode MS"/>
        </w:rPr>
        <w:tab/>
      </w:r>
      <w:r>
        <w:rPr>
          <w:rFonts w:eastAsia="Arial Unicode MS"/>
        </w:rPr>
        <w:tab/>
        <w:t xml:space="preserve">· Another morphological hypothesis may lie in contemplating a verb formation beginning directly from the root </w:t>
      </w:r>
      <w:r>
        <w:rPr>
          <w:rFonts w:eastAsia="Arial Unicode MS"/>
          <w:i/>
        </w:rPr>
        <w:t>va</w:t>
      </w:r>
      <w:r>
        <w:rPr>
          <w:rFonts w:eastAsia="Arial Unicode MS"/>
          <w:i/>
        </w:rPr>
        <w:t>n-</w:t>
      </w:r>
      <w:r>
        <w:rPr>
          <w:rFonts w:eastAsia="Arial Unicode MS"/>
        </w:rPr>
        <w:t xml:space="preserve"> in which the suffix of the stem of the present is “doubled”, or rather using both the suffixes with which the two stems of the present of the basic level root, and so conjecturing a form *</w:t>
      </w:r>
      <w:r>
        <w:rPr>
          <w:rFonts w:eastAsia="Arial Unicode MS"/>
          <w:i/>
        </w:rPr>
        <w:t>van- a- no/nu-</w:t>
      </w:r>
      <w:r>
        <w:rPr>
          <w:rFonts w:eastAsia="Arial Unicode MS"/>
        </w:rPr>
        <w:t xml:space="preserve">.  </w:t>
      </w:r>
    </w:p>
    <w:p w14:paraId="35846C5E" w14:textId="77777777" w:rsidR="00E53EB6" w:rsidRDefault="006500F5">
      <w:pPr>
        <w:pStyle w:val="Hauptext"/>
      </w:pPr>
      <w:r>
        <w:rPr>
          <w:rFonts w:eastAsia="Arial Unicode MS"/>
        </w:rPr>
        <w:t>Surveying the range of possibilities we are fac</w:t>
      </w:r>
      <w:r>
        <w:rPr>
          <w:rFonts w:eastAsia="Arial Unicode MS"/>
        </w:rPr>
        <w:t>ed with like a map, almost, there is clearly no decisive evidence in favour of either of the hypotheses. The translations of the five passages given above follow, in the case of the first three stanzas, the hypothesis that here, at the semantic level, we h</w:t>
      </w:r>
      <w:r>
        <w:rPr>
          <w:rFonts w:eastAsia="Arial Unicode MS"/>
        </w:rPr>
        <w:t xml:space="preserve">ave a parallel, extended form of </w:t>
      </w:r>
      <w:r>
        <w:rPr>
          <w:rFonts w:eastAsia="Arial Unicode MS"/>
          <w:i/>
        </w:rPr>
        <w:t>vanvan-</w:t>
      </w:r>
      <w:r>
        <w:rPr>
          <w:rFonts w:eastAsia="Arial Unicode MS"/>
        </w:rPr>
        <w:t xml:space="preserve">, while for the last two support is found in the hypothesis argued by </w:t>
      </w:r>
      <w:r>
        <w:rPr>
          <w:rFonts w:eastAsia="Arial Unicode MS"/>
          <w:smallCaps/>
        </w:rPr>
        <w:t>Pischel</w:t>
      </w:r>
      <w:r>
        <w:rPr>
          <w:rFonts w:eastAsia="Arial Unicode MS"/>
        </w:rPr>
        <w:t xml:space="preserve"> (ibid.), with which, from the semantic point of view, the hypothesis argued in this work shows some affinity. What appears evident in the </w:t>
      </w:r>
      <w:r>
        <w:rPr>
          <w:rFonts w:eastAsia="Arial Unicode MS"/>
        </w:rPr>
        <w:t xml:space="preserve">last two attestations, which are moreover the most difficult to explain, is the choice made by the poet to use the root </w:t>
      </w:r>
      <w:r>
        <w:rPr>
          <w:rFonts w:eastAsia="Arial Unicode MS"/>
          <w:i/>
        </w:rPr>
        <w:t>van- / van</w:t>
      </w:r>
      <w:r>
        <w:rPr>
          <w:rFonts w:eastAsia="Arial Unicode MS"/>
          <w:i/>
          <w:vertAlign w:val="superscript"/>
        </w:rPr>
        <w:t>i</w:t>
      </w:r>
      <w:r>
        <w:rPr>
          <w:rFonts w:eastAsia="Arial Unicode MS"/>
          <w:i/>
        </w:rPr>
        <w:t>-</w:t>
      </w:r>
      <w:r>
        <w:rPr>
          <w:rFonts w:eastAsia="Arial Unicode MS"/>
        </w:rPr>
        <w:t>, a choice that must surely depend on an evocative intention, through paronomasia exploiting the homophonic connection betwe</w:t>
      </w:r>
      <w:r>
        <w:rPr>
          <w:rFonts w:eastAsia="Arial Unicode MS"/>
        </w:rPr>
        <w:t>en the verb and noun roots.</w:t>
      </w:r>
    </w:p>
    <w:p w14:paraId="343E2804" w14:textId="77777777" w:rsidR="00E53EB6" w:rsidRDefault="006500F5">
      <w:pPr>
        <w:pStyle w:val="Hauptext"/>
      </w:pPr>
      <w:r>
        <w:rPr>
          <w:szCs w:val="24"/>
        </w:rPr>
        <w:t>Analysing this last group of derivatives, a significant stumbling block lies, as we have seen, in the difficulty in detecting decisive evidence to determine the meaning. With regard to the first two substantives, the fact that t</w:t>
      </w:r>
      <w:r>
        <w:rPr>
          <w:szCs w:val="24"/>
        </w:rPr>
        <w:t xml:space="preserve">he attestations are isolated cases is crucial, leaving no room for comparison. Turning, then, to the other two derivatives, what we seem to have here is the intention to expand the word with a number of suffixes, as we began to see in the case of </w:t>
      </w:r>
      <w:r>
        <w:rPr>
          <w:i/>
          <w:szCs w:val="24"/>
        </w:rPr>
        <w:t>vánīvan</w:t>
      </w:r>
      <w:r>
        <w:rPr>
          <w:szCs w:val="24"/>
        </w:rPr>
        <w:t xml:space="preserve">. </w:t>
      </w:r>
      <w:r>
        <w:rPr>
          <w:szCs w:val="24"/>
        </w:rPr>
        <w:t xml:space="preserve">In the case of </w:t>
      </w:r>
      <w:r>
        <w:rPr>
          <w:i/>
          <w:szCs w:val="24"/>
        </w:rPr>
        <w:t>vánanvat-</w:t>
      </w:r>
      <w:r>
        <w:rPr>
          <w:szCs w:val="24"/>
        </w:rPr>
        <w:t xml:space="preserve">, this intention combines with the evocative play previously noted in the use of the adjective </w:t>
      </w:r>
      <w:r>
        <w:rPr>
          <w:i/>
          <w:szCs w:val="24"/>
        </w:rPr>
        <w:t>vanín-</w:t>
      </w:r>
      <w:r>
        <w:rPr>
          <w:szCs w:val="24"/>
        </w:rPr>
        <w:t xml:space="preserve"> which, quite explicitly, is also present among the attestations of the verb root. Let us take a stanza that seems to be a perfect </w:t>
      </w:r>
      <w:r>
        <w:rPr>
          <w:szCs w:val="24"/>
        </w:rPr>
        <w:t xml:space="preserve">example: in 6.6.3, in fact, the image is of fire eating wood and the poet uses the two homophonic roots to create with juxtaposition of </w:t>
      </w:r>
      <w:r>
        <w:rPr>
          <w:i/>
          <w:szCs w:val="24"/>
        </w:rPr>
        <w:t xml:space="preserve">vánā </w:t>
      </w:r>
      <w:r>
        <w:rPr>
          <w:szCs w:val="24"/>
        </w:rPr>
        <w:t>and</w:t>
      </w:r>
      <w:r>
        <w:rPr>
          <w:i/>
          <w:szCs w:val="24"/>
        </w:rPr>
        <w:t xml:space="preserve"> vananti,</w:t>
      </w:r>
      <w:r>
        <w:rPr>
          <w:szCs w:val="24"/>
        </w:rPr>
        <w:t xml:space="preserve"> that phonetic play we discuss before, here even more readily to be appreciated. </w:t>
      </w:r>
    </w:p>
    <w:p w14:paraId="4F920170" w14:textId="77777777" w:rsidR="00E53EB6" w:rsidRDefault="006500F5">
      <w:pPr>
        <w:pStyle w:val="Zitat"/>
      </w:pPr>
      <w:r>
        <w:rPr>
          <w:rFonts w:eastAsia="Arial Unicode MS"/>
        </w:rPr>
        <w:t xml:space="preserve">6.6.3 </w:t>
      </w:r>
      <w:r>
        <w:rPr>
          <w:rFonts w:eastAsia="Arial Unicode MS"/>
          <w:i/>
          <w:iCs/>
        </w:rPr>
        <w:t>ví te ví</w:t>
      </w:r>
      <w:r>
        <w:rPr>
          <w:rFonts w:eastAsia="Arial Unicode MS" w:cs="Tahoma"/>
          <w:i/>
          <w:iCs/>
        </w:rPr>
        <w:t>ṣ</w:t>
      </w:r>
      <w:r>
        <w:rPr>
          <w:rFonts w:eastAsia="Arial Unicode MS"/>
          <w:i/>
          <w:iCs/>
        </w:rPr>
        <w:t>vag v</w:t>
      </w:r>
      <w:r>
        <w:rPr>
          <w:rFonts w:eastAsia="Arial Unicode MS" w:cs="Times New Roman"/>
          <w:i/>
          <w:iCs/>
        </w:rPr>
        <w:t>ā</w:t>
      </w:r>
      <w:r>
        <w:rPr>
          <w:rFonts w:eastAsia="Arial Unicode MS" w:cs="Times New Roman"/>
          <w:i/>
          <w:iCs/>
        </w:rPr>
        <w:t>́</w:t>
      </w:r>
      <w:r>
        <w:rPr>
          <w:rFonts w:eastAsia="Arial Unicode MS" w:cs="URW Palladio SKT;Courier New"/>
          <w:i/>
          <w:iCs/>
        </w:rPr>
        <w:t>taj</w:t>
      </w:r>
      <w:r>
        <w:rPr>
          <w:rFonts w:eastAsia="Arial Unicode MS" w:cs="Times New Roman"/>
          <w:i/>
          <w:iCs/>
        </w:rPr>
        <w:t>ū</w:t>
      </w:r>
      <w:r>
        <w:rPr>
          <w:rFonts w:eastAsia="Arial Unicode MS" w:cs="URW Palladio SKT;Courier New"/>
          <w:i/>
          <w:iCs/>
        </w:rPr>
        <w:t>t</w:t>
      </w:r>
      <w:r>
        <w:rPr>
          <w:rFonts w:eastAsia="Arial Unicode MS" w:cs="Times New Roman"/>
          <w:i/>
          <w:iCs/>
        </w:rPr>
        <w:t>ā</w:t>
      </w:r>
      <w:r>
        <w:rPr>
          <w:rFonts w:eastAsia="Arial Unicode MS" w:cs="URW Palladio SKT;Courier New"/>
          <w:i/>
          <w:iCs/>
        </w:rPr>
        <w:t>so agne</w:t>
      </w:r>
    </w:p>
    <w:p w14:paraId="2F4DF351" w14:textId="77777777" w:rsidR="00E53EB6" w:rsidRDefault="006500F5">
      <w:pPr>
        <w:pStyle w:val="ZitatnachZitat"/>
      </w:pPr>
      <w:r>
        <w:rPr>
          <w:rFonts w:eastAsia="Arial Unicode MS"/>
          <w:i/>
          <w:iCs/>
        </w:rPr>
        <w:t>bh</w:t>
      </w:r>
      <w:r>
        <w:rPr>
          <w:rFonts w:eastAsia="Arial Unicode MS" w:cs="Times New Roman"/>
          <w:i/>
          <w:iCs/>
        </w:rPr>
        <w:t>ā́</w:t>
      </w:r>
      <w:r>
        <w:rPr>
          <w:rFonts w:eastAsia="Arial Unicode MS" w:cs="URW Palladio SKT;Courier New"/>
          <w:i/>
          <w:iCs/>
        </w:rPr>
        <w:t>m</w:t>
      </w:r>
      <w:r>
        <w:rPr>
          <w:rFonts w:eastAsia="Arial Unicode MS" w:cs="Times New Roman"/>
          <w:i/>
          <w:iCs/>
        </w:rPr>
        <w:t>ā</w:t>
      </w:r>
      <w:r>
        <w:rPr>
          <w:rFonts w:eastAsia="Arial Unicode MS" w:cs="URW Palladio SKT;Courier New"/>
          <w:i/>
          <w:iCs/>
        </w:rPr>
        <w:t>sa</w:t>
      </w:r>
      <w:r>
        <w:rPr>
          <w:rFonts w:eastAsia="Arial Unicode MS" w:cs="Tahoma"/>
          <w:i/>
          <w:iCs/>
        </w:rPr>
        <w:t>ḥ</w:t>
      </w:r>
      <w:r>
        <w:rPr>
          <w:rFonts w:eastAsia="Arial Unicode MS"/>
          <w:i/>
          <w:iCs/>
        </w:rPr>
        <w:t xml:space="preserve"> </w:t>
      </w:r>
      <w:r>
        <w:rPr>
          <w:rFonts w:eastAsia="Arial Unicode MS" w:cs="Times New Roman"/>
          <w:i/>
          <w:iCs/>
        </w:rPr>
        <w:t>ś</w:t>
      </w:r>
      <w:r>
        <w:rPr>
          <w:rFonts w:eastAsia="Arial Unicode MS" w:cs="URW Palladio SKT;Courier New"/>
          <w:i/>
          <w:iCs/>
        </w:rPr>
        <w:t xml:space="preserve">uce </w:t>
      </w:r>
      <w:r>
        <w:rPr>
          <w:rFonts w:eastAsia="Arial Unicode MS" w:cs="Times New Roman"/>
          <w:i/>
          <w:iCs/>
        </w:rPr>
        <w:t>ś</w:t>
      </w:r>
      <w:r>
        <w:rPr>
          <w:rFonts w:eastAsia="Arial Unicode MS" w:cs="URW Palladio SKT;Courier New"/>
          <w:i/>
          <w:iCs/>
        </w:rPr>
        <w:t>úcaya</w:t>
      </w:r>
      <w:r>
        <w:rPr>
          <w:rFonts w:eastAsia="Arial Unicode MS" w:cs="Times New Roman"/>
          <w:i/>
          <w:iCs/>
        </w:rPr>
        <w:t>ś</w:t>
      </w:r>
      <w:r>
        <w:rPr>
          <w:rFonts w:eastAsia="Arial Unicode MS" w:cs="URW Palladio SKT;Courier New"/>
          <w:i/>
          <w:iCs/>
        </w:rPr>
        <w:t xml:space="preserve"> caranti</w:t>
      </w:r>
    </w:p>
    <w:p w14:paraId="5C7C24CB" w14:textId="77777777" w:rsidR="00E53EB6" w:rsidRDefault="006500F5">
      <w:pPr>
        <w:pStyle w:val="ZitatnachZitat"/>
        <w:rPr>
          <w:i/>
          <w:iCs/>
        </w:rPr>
      </w:pPr>
      <w:r>
        <w:rPr>
          <w:rFonts w:eastAsia="Arial Unicode MS"/>
          <w:i/>
          <w:iCs/>
        </w:rPr>
        <w:t>tuvimrak</w:t>
      </w:r>
      <w:r>
        <w:rPr>
          <w:rFonts w:eastAsia="Arial Unicode MS" w:cs="Tahoma"/>
          <w:i/>
          <w:iCs/>
        </w:rPr>
        <w:t>ṣ</w:t>
      </w:r>
      <w:r>
        <w:rPr>
          <w:rFonts w:eastAsia="Arial Unicode MS" w:cs="Times New Roman"/>
          <w:i/>
          <w:iCs/>
        </w:rPr>
        <w:t>ā́</w:t>
      </w:r>
      <w:r>
        <w:rPr>
          <w:rFonts w:eastAsia="Arial Unicode MS" w:cs="URW Palladio SKT;Courier New"/>
          <w:i/>
          <w:iCs/>
        </w:rPr>
        <w:t>so di</w:t>
      </w:r>
      <w:r>
        <w:rPr>
          <w:rFonts w:eastAsia="Arial Unicode MS"/>
          <w:i/>
          <w:iCs/>
        </w:rPr>
        <w:t>viy</w:t>
      </w:r>
      <w:r>
        <w:rPr>
          <w:rFonts w:eastAsia="Arial Unicode MS" w:cs="Times New Roman"/>
          <w:i/>
          <w:iCs/>
        </w:rPr>
        <w:t>ā́</w:t>
      </w:r>
      <w:r>
        <w:rPr>
          <w:rFonts w:eastAsia="Arial Unicode MS"/>
          <w:i/>
          <w:iCs/>
        </w:rPr>
        <w:t xml:space="preserve"> návagv</w:t>
      </w:r>
      <w:r>
        <w:rPr>
          <w:rFonts w:eastAsia="Arial Unicode MS" w:cs="Times New Roman"/>
          <w:i/>
          <w:iCs/>
        </w:rPr>
        <w:t>ā</w:t>
      </w:r>
    </w:p>
    <w:p w14:paraId="219C6CB2" w14:textId="77777777" w:rsidR="00E53EB6" w:rsidRDefault="006500F5">
      <w:pPr>
        <w:pStyle w:val="ZitatnachZitat"/>
      </w:pPr>
      <w:r>
        <w:rPr>
          <w:rFonts w:eastAsia="Arial Unicode MS"/>
          <w:i/>
          <w:iCs/>
        </w:rPr>
        <w:t>ván</w:t>
      </w:r>
      <w:r>
        <w:rPr>
          <w:rFonts w:eastAsia="Arial Unicode MS" w:cs="Times New Roman"/>
          <w:i/>
          <w:iCs/>
        </w:rPr>
        <w:t>ā</w:t>
      </w:r>
      <w:r>
        <w:rPr>
          <w:rFonts w:eastAsia="Arial Unicode MS"/>
          <w:i/>
          <w:iCs/>
        </w:rPr>
        <w:t xml:space="preserve"> vananti dhr̥</w:t>
      </w:r>
      <w:r>
        <w:rPr>
          <w:rFonts w:eastAsia="Arial Unicode MS" w:cs="Tahoma"/>
          <w:i/>
          <w:iCs/>
        </w:rPr>
        <w:t>ṣ</w:t>
      </w:r>
      <w:r>
        <w:rPr>
          <w:rFonts w:eastAsia="Arial Unicode MS"/>
          <w:i/>
          <w:iCs/>
        </w:rPr>
        <w:t>at</w:t>
      </w:r>
      <w:r>
        <w:rPr>
          <w:rFonts w:eastAsia="Arial Unicode MS" w:cs="Times New Roman"/>
          <w:i/>
          <w:iCs/>
        </w:rPr>
        <w:t>ā́</w:t>
      </w:r>
      <w:r>
        <w:rPr>
          <w:rFonts w:eastAsia="Arial Unicode MS"/>
          <w:i/>
          <w:iCs/>
        </w:rPr>
        <w:t xml:space="preserve"> rujánta</w:t>
      </w:r>
      <w:r>
        <w:rPr>
          <w:rFonts w:eastAsia="Arial Unicode MS" w:cs="Tahoma"/>
          <w:i/>
          <w:iCs/>
        </w:rPr>
        <w:t>ḥ</w:t>
      </w:r>
    </w:p>
    <w:p w14:paraId="0902A031" w14:textId="77777777" w:rsidR="00E53EB6" w:rsidRDefault="006500F5">
      <w:pPr>
        <w:pStyle w:val="Zitat"/>
      </w:pPr>
      <w:r>
        <w:rPr>
          <w:rFonts w:eastAsia="Arial Unicode MS"/>
        </w:rPr>
        <w:t>Stirred on every side by the wind</w:t>
      </w:r>
      <w:r>
        <w:rPr>
          <w:rStyle w:val="FootnoteAnchor"/>
          <w:rFonts w:eastAsia="Arial Unicode MS"/>
          <w:bCs/>
        </w:rPr>
        <w:footnoteReference w:id="498"/>
      </w:r>
      <w:r>
        <w:rPr>
          <w:rFonts w:eastAsia="Arial Unicode MS"/>
        </w:rPr>
        <w:t>, oh shining Agni, your shining flames move in all directions, destroyers</w:t>
      </w:r>
      <w:r>
        <w:rPr>
          <w:rStyle w:val="FootnoteAnchor"/>
          <w:rFonts w:eastAsia="Arial Unicode MS"/>
        </w:rPr>
        <w:footnoteReference w:id="499"/>
      </w:r>
      <w:r>
        <w:rPr>
          <w:rFonts w:eastAsia="Arial Unicode MS"/>
        </w:rPr>
        <w:t>, like the divine Navagva</w:t>
      </w:r>
      <w:r>
        <w:rPr>
          <w:rStyle w:val="FootnoteAnchor"/>
          <w:rFonts w:eastAsia="Arial Unicode MS"/>
        </w:rPr>
        <w:footnoteReference w:id="500"/>
      </w:r>
      <w:r>
        <w:rPr>
          <w:rFonts w:eastAsia="Arial Unicode MS"/>
        </w:rPr>
        <w:t xml:space="preserve">, </w:t>
      </w:r>
      <w:r>
        <w:rPr>
          <w:rFonts w:eastAsia="Arial Unicode MS"/>
          <w:u w:val="single"/>
        </w:rPr>
        <w:t>appropriate</w:t>
      </w:r>
      <w:r>
        <w:rPr>
          <w:rFonts w:eastAsia="Arial Unicode MS"/>
        </w:rPr>
        <w:t xml:space="preserve"> the wood breaking it with force.</w:t>
      </w:r>
    </w:p>
    <w:p w14:paraId="44C81BC4" w14:textId="77777777" w:rsidR="00E53EB6" w:rsidRPr="00494885" w:rsidRDefault="006500F5">
      <w:pPr>
        <w:pStyle w:val="Zitat"/>
        <w:rPr>
          <w:lang w:val="it-IT"/>
        </w:rPr>
      </w:pPr>
      <w:r w:rsidRPr="00494885">
        <w:rPr>
          <w:rStyle w:val="CarattereCarattere"/>
          <w:rFonts w:ascii="Sabon Unicode" w:hAnsi="Sabon Unicode"/>
          <w:b w:val="0"/>
          <w:bCs w:val="0"/>
          <w:i/>
          <w:iCs/>
          <w:sz w:val="18"/>
          <w:szCs w:val="18"/>
        </w:rPr>
        <w:t>vananti</w:t>
      </w:r>
      <w:r w:rsidRPr="00494885">
        <w:rPr>
          <w:rStyle w:val="CarattereCarattere"/>
          <w:rFonts w:ascii="Sabon Unicode" w:hAnsi="Sabon Unicode"/>
          <w:i/>
          <w:iCs/>
          <w:sz w:val="18"/>
          <w:szCs w:val="18"/>
        </w:rPr>
        <w:t>:</w:t>
      </w:r>
      <w:r w:rsidRPr="00494885">
        <w:rPr>
          <w:rFonts w:eastAsia="Arial Unicode MS"/>
          <w:lang w:val="it-IT"/>
        </w:rPr>
        <w:t xml:space="preserve"> indicative present 3</w:t>
      </w:r>
      <w:r w:rsidRPr="00494885">
        <w:rPr>
          <w:rFonts w:eastAsia="Arial Unicode MS"/>
          <w:vertAlign w:val="superscript"/>
          <w:lang w:val="it-IT"/>
        </w:rPr>
        <w:t>rd</w:t>
      </w:r>
      <w:r w:rsidRPr="00494885">
        <w:rPr>
          <w:rFonts w:eastAsia="Arial Unicode MS"/>
          <w:lang w:val="it-IT"/>
        </w:rPr>
        <w:t xml:space="preserve"> pl., I/ VI class</w:t>
      </w:r>
      <w:r w:rsidRPr="00494885">
        <w:rPr>
          <w:rFonts w:eastAsia="Arial Unicode MS"/>
          <w:smallCaps/>
          <w:lang w:val="it-IT"/>
        </w:rPr>
        <w:tab/>
      </w:r>
    </w:p>
    <w:p w14:paraId="4BDE0F3C" w14:textId="77777777" w:rsidR="00E53EB6" w:rsidRPr="00494885" w:rsidRDefault="006500F5">
      <w:pPr>
        <w:pStyle w:val="ZitatmitEinzug"/>
        <w:rPr>
          <w:lang w:val="de-DE"/>
        </w:rPr>
      </w:pPr>
      <w:r w:rsidRPr="00494885">
        <w:rPr>
          <w:rFonts w:eastAsia="Arial Unicode MS"/>
          <w:smallCaps/>
          <w:lang w:val="de-DE"/>
        </w:rPr>
        <w:t>Geldner:</w:t>
      </w:r>
      <w:r w:rsidRPr="00494885">
        <w:rPr>
          <w:rFonts w:eastAsia="Arial Unicode MS"/>
          <w:lang w:val="de-DE"/>
        </w:rPr>
        <w:t xml:space="preserve"> II 98: </w:t>
      </w:r>
      <w:r w:rsidRPr="00494885">
        <w:rPr>
          <w:rFonts w:eastAsia="Arial Unicode MS"/>
          <w:i/>
          <w:lang w:val="de-DE"/>
        </w:rPr>
        <w:t>überwinden</w:t>
      </w:r>
    </w:p>
    <w:p w14:paraId="20FB5341" w14:textId="77777777" w:rsidR="00E53EB6" w:rsidRPr="00494885" w:rsidRDefault="006500F5">
      <w:pPr>
        <w:pStyle w:val="ZitatmitEinzug"/>
        <w:rPr>
          <w:lang w:val="de-DE"/>
        </w:rPr>
      </w:pPr>
      <w:r w:rsidRPr="00494885">
        <w:rPr>
          <w:rFonts w:eastAsia="Arial Unicode MS"/>
          <w:smallCaps/>
          <w:lang w:val="de-DE"/>
        </w:rPr>
        <w:t>Renou:</w:t>
      </w:r>
      <w:r w:rsidRPr="00494885">
        <w:rPr>
          <w:rFonts w:eastAsia="Arial Unicode MS"/>
          <w:lang w:val="de-DE"/>
        </w:rPr>
        <w:t xml:space="preserve"> XIII 40: </w:t>
      </w:r>
      <w:r w:rsidRPr="00494885">
        <w:rPr>
          <w:rFonts w:eastAsia="Arial Unicode MS"/>
          <w:i/>
          <w:lang w:val="de-DE"/>
        </w:rPr>
        <w:t>triomphent</w:t>
      </w:r>
    </w:p>
    <w:p w14:paraId="64B5B203" w14:textId="77777777" w:rsidR="00E53EB6" w:rsidRPr="00494885" w:rsidRDefault="00E53EB6">
      <w:pPr>
        <w:pStyle w:val="ZitatmitEinzug"/>
        <w:rPr>
          <w:rFonts w:eastAsia="Arial Unicode MS"/>
          <w:i/>
          <w:lang w:val="de-DE"/>
        </w:rPr>
      </w:pPr>
    </w:p>
    <w:p w14:paraId="297B0F48" w14:textId="77777777" w:rsidR="00E53EB6" w:rsidRPr="00494885" w:rsidRDefault="00E53EB6">
      <w:pPr>
        <w:pStyle w:val="HaupttextohneEinzug"/>
        <w:rPr>
          <w:lang w:val="de-DE"/>
        </w:rPr>
      </w:pPr>
    </w:p>
    <w:p w14:paraId="71061019" w14:textId="77777777" w:rsidR="00E53EB6" w:rsidRDefault="006500F5">
      <w:pPr>
        <w:pStyle w:val="Heading3"/>
        <w:tabs>
          <w:tab w:val="left" w:pos="0"/>
        </w:tabs>
        <w:rPr>
          <w:sz w:val="22"/>
          <w:szCs w:val="22"/>
        </w:rPr>
      </w:pPr>
      <w:r>
        <w:rPr>
          <w:sz w:val="22"/>
          <w:szCs w:val="22"/>
        </w:rPr>
        <w:t>IV.1.2</w:t>
      </w:r>
      <w:r>
        <w:rPr>
          <w:sz w:val="22"/>
          <w:szCs w:val="22"/>
        </w:rPr>
        <w:tab/>
        <w:t xml:space="preserve">Post-R̥gvedic occurrences </w:t>
      </w:r>
    </w:p>
    <w:p w14:paraId="10A49236" w14:textId="77777777" w:rsidR="00E53EB6" w:rsidRDefault="006500F5">
      <w:pPr>
        <w:pStyle w:val="HaupttextnachZitat"/>
        <w:rPr>
          <w:rFonts w:eastAsia="Arial Unicode MS"/>
          <w:szCs w:val="24"/>
        </w:rPr>
      </w:pPr>
      <w:r>
        <w:rPr>
          <w:rFonts w:eastAsia="Arial Unicode MS"/>
          <w:szCs w:val="24"/>
        </w:rPr>
        <w:t xml:space="preserve">Within this second group there is a subdivision according to type of the occurrence: to try to understand the presence of the meaning “to desire” and the distribution of the derivatives along the different linguistic strata we have divided into three type </w:t>
      </w:r>
      <w:r>
        <w:rPr>
          <w:rFonts w:eastAsia="Arial Unicode MS"/>
          <w:szCs w:val="24"/>
        </w:rPr>
        <w:t xml:space="preserve">of attestations: derivatives that occur </w:t>
      </w:r>
      <w:r>
        <w:rPr>
          <w:rFonts w:eastAsia="Arial Unicode MS"/>
          <w:szCs w:val="24"/>
        </w:rPr>
        <w:lastRenderedPageBreak/>
        <w:t xml:space="preserve">only in R̥gvedic quotations (§IV.1.2.1), derivatives that occur both in R̥gvedic quotations and non-R̥V quotations –i.e. non-R̥gvedic </w:t>
      </w:r>
      <w:r>
        <w:rPr>
          <w:rFonts w:eastAsia="Arial Unicode MS"/>
          <w:i/>
          <w:iCs/>
          <w:szCs w:val="24"/>
        </w:rPr>
        <w:t>mantra</w:t>
      </w:r>
      <w:r>
        <w:rPr>
          <w:rFonts w:eastAsia="Arial Unicode MS"/>
          <w:szCs w:val="24"/>
        </w:rPr>
        <w:t xml:space="preserve">s and Brāhmana passages–(§IV.1.2.2), derivatives that occur only in non-R̥V </w:t>
      </w:r>
      <w:r>
        <w:rPr>
          <w:rFonts w:eastAsia="Arial Unicode MS"/>
          <w:szCs w:val="24"/>
        </w:rPr>
        <w:t>quotations (§IV.1.2.3).</w:t>
      </w:r>
    </w:p>
    <w:p w14:paraId="1489D04D" w14:textId="77777777" w:rsidR="00E53EB6" w:rsidRDefault="00E53EB6">
      <w:pPr>
        <w:pStyle w:val="HaupttextnachZitat"/>
        <w:rPr>
          <w:rFonts w:eastAsia="Arial Unicode MS"/>
          <w:szCs w:val="24"/>
        </w:rPr>
      </w:pPr>
    </w:p>
    <w:p w14:paraId="0608D3AC" w14:textId="77777777" w:rsidR="00E53EB6" w:rsidRDefault="006500F5">
      <w:pPr>
        <w:pStyle w:val="Heading4"/>
        <w:tabs>
          <w:tab w:val="left" w:pos="0"/>
        </w:tabs>
        <w:rPr>
          <w:sz w:val="21"/>
          <w:szCs w:val="21"/>
        </w:rPr>
      </w:pPr>
      <w:r>
        <w:rPr>
          <w:rFonts w:cs="Devanagari MT;Times New Roman"/>
          <w:iCs w:val="0"/>
          <w:sz w:val="21"/>
          <w:szCs w:val="21"/>
        </w:rPr>
        <w:t>IV.1.2.1 Derivatives that occur only in R̥V</w:t>
      </w:r>
      <w:r>
        <w:rPr>
          <w:rFonts w:cs="Devanagari MT;Times New Roman"/>
          <w:i/>
          <w:sz w:val="21"/>
          <w:szCs w:val="21"/>
        </w:rPr>
        <w:t xml:space="preserve"> </w:t>
      </w:r>
      <w:r>
        <w:rPr>
          <w:rFonts w:cs="Devanagari MT;Times New Roman"/>
          <w:iCs w:val="0"/>
          <w:sz w:val="21"/>
          <w:szCs w:val="21"/>
        </w:rPr>
        <w:t>quotations</w:t>
      </w:r>
    </w:p>
    <w:p w14:paraId="1BAD1BB8" w14:textId="77777777" w:rsidR="00E53EB6" w:rsidRDefault="006500F5">
      <w:pPr>
        <w:pStyle w:val="Heading4"/>
        <w:tabs>
          <w:tab w:val="left" w:pos="0"/>
        </w:tabs>
      </w:pPr>
      <w:r>
        <w:rPr>
          <w:rFonts w:cs="Devanagari MT;Times New Roman"/>
          <w:i/>
        </w:rPr>
        <w:t>a) vánas</w:t>
      </w:r>
      <w:r>
        <w:rPr>
          <w:rFonts w:cs="Devanagari MT;Times New Roman"/>
        </w:rPr>
        <w:t>-</w:t>
      </w:r>
    </w:p>
    <w:p w14:paraId="5B0D1817" w14:textId="77777777" w:rsidR="00E53EB6" w:rsidRDefault="006500F5">
      <w:pPr>
        <w:pStyle w:val="Heading5"/>
        <w:tabs>
          <w:tab w:val="left" w:pos="0"/>
        </w:tabs>
        <w:rPr>
          <w:u w:val="single"/>
        </w:rPr>
      </w:pPr>
      <w:r>
        <w:rPr>
          <w:u w:val="single"/>
        </w:rPr>
        <w:t>KauB 26.10</w:t>
      </w:r>
    </w:p>
    <w:p w14:paraId="206217AE" w14:textId="77777777" w:rsidR="00E53EB6" w:rsidRDefault="006500F5">
      <w:pPr>
        <w:pStyle w:val="Zitat"/>
        <w:autoSpaceDE w:val="0"/>
        <w:rPr>
          <w:i/>
          <w:iCs/>
        </w:rPr>
      </w:pPr>
      <w:r>
        <w:rPr>
          <w:i/>
          <w:iCs/>
        </w:rPr>
        <w:t xml:space="preserve"> </w:t>
      </w:r>
      <w:r>
        <w:t>26.10</w:t>
      </w:r>
      <w:r>
        <w:rPr>
          <w:i/>
          <w:iCs/>
        </w:rPr>
        <w:t xml:space="preserve"> āyāhi vanasā saheti dvipadvā āvadāvadvai prathamasyāhno rūpam </w:t>
      </w:r>
    </w:p>
    <w:p w14:paraId="6E332235" w14:textId="77777777" w:rsidR="00E53EB6" w:rsidRDefault="006500F5">
      <w:pPr>
        <w:pStyle w:val="Zitat"/>
        <w:autoSpaceDE w:val="0"/>
      </w:pPr>
      <w:r>
        <w:t xml:space="preserve">‘Come hither with </w:t>
      </w:r>
      <w:r>
        <w:rPr>
          <w:i/>
          <w:iCs/>
        </w:rPr>
        <w:t xml:space="preserve">vanas’ </w:t>
      </w:r>
      <w:r>
        <w:t>is made of two</w:t>
      </w:r>
      <w:r>
        <w:rPr>
          <w:i/>
          <w:iCs/>
        </w:rPr>
        <w:t xml:space="preserve"> pāda</w:t>
      </w:r>
      <w:r>
        <w:t xml:space="preserve">s, it has the word hither, indeed </w:t>
      </w:r>
      <w:r>
        <w:t>what contains the word ‘hither’ is a symbol of the first day.</w:t>
      </w:r>
    </w:p>
    <w:p w14:paraId="3AB44DB4" w14:textId="77777777" w:rsidR="00E53EB6" w:rsidRDefault="006500F5">
      <w:pPr>
        <w:pStyle w:val="Zitat"/>
        <w:autoSpaceDE w:val="0"/>
        <w:rPr>
          <w:lang w:eastAsia="hi-IN"/>
        </w:rPr>
      </w:pPr>
      <w:r>
        <w:rPr>
          <w:i/>
          <w:iCs/>
          <w:lang w:eastAsia="hi-IN"/>
        </w:rPr>
        <w:t xml:space="preserve">vánasā: </w:t>
      </w:r>
      <w:r>
        <w:rPr>
          <w:lang w:eastAsia="hi-IN"/>
        </w:rPr>
        <w:t>instr. n. sing.</w:t>
      </w:r>
    </w:p>
    <w:p w14:paraId="3215D55F" w14:textId="77777777" w:rsidR="00E53EB6" w:rsidRDefault="006500F5">
      <w:pPr>
        <w:pStyle w:val="ZitatmitEinzug"/>
      </w:pPr>
      <w:r>
        <w:rPr>
          <w:rStyle w:val="biblio-authorGEN"/>
          <w:sz w:val="18"/>
          <w:szCs w:val="15"/>
        </w:rPr>
        <w:t xml:space="preserve">Keith </w:t>
      </w:r>
      <w:r>
        <w:t>1920: 501 “beauty”</w:t>
      </w:r>
    </w:p>
    <w:p w14:paraId="0AA77555" w14:textId="77777777" w:rsidR="00E53EB6" w:rsidRDefault="006500F5">
      <w:pPr>
        <w:pStyle w:val="HaupttextnachZitat"/>
        <w:numPr>
          <w:ilvl w:val="2"/>
          <w:numId w:val="2"/>
        </w:numPr>
        <w:tabs>
          <w:tab w:val="left" w:pos="0"/>
        </w:tabs>
      </w:pPr>
      <w:r>
        <w:t>Vedic Web:</w:t>
      </w:r>
    </w:p>
    <w:p w14:paraId="554CECDC" w14:textId="77777777" w:rsidR="00E53EB6" w:rsidRDefault="006500F5">
      <w:pPr>
        <w:pStyle w:val="HaupttextohneEinzug"/>
      </w:pPr>
      <w:r>
        <w:t>Mantra: R̥V 10.172.1a</w:t>
      </w:r>
    </w:p>
    <w:p w14:paraId="0327897E" w14:textId="77777777" w:rsidR="00E53EB6" w:rsidRDefault="00E53EB6">
      <w:pPr>
        <w:pStyle w:val="HaupttextohneEinzug"/>
      </w:pPr>
    </w:p>
    <w:p w14:paraId="1ED26AE3" w14:textId="77777777" w:rsidR="00E53EB6" w:rsidRDefault="006500F5">
      <w:pPr>
        <w:pStyle w:val="HaupttextohneEinzug"/>
        <w:rPr>
          <w:rFonts w:eastAsia="Arial" w:cs="Times Ext Roman"/>
          <w:szCs w:val="21"/>
          <w:lang w:eastAsia="hi-IN" w:bidi="en-GB"/>
        </w:rPr>
      </w:pPr>
      <w:r>
        <w:rPr>
          <w:rFonts w:eastAsia="Arial" w:cs="Times Ext Roman"/>
          <w:szCs w:val="21"/>
          <w:lang w:eastAsia="hi-IN" w:bidi="en-GB"/>
        </w:rPr>
        <w:t xml:space="preserve">Rite </w:t>
      </w:r>
    </w:p>
    <w:p w14:paraId="095B3E38" w14:textId="77777777" w:rsidR="00E53EB6" w:rsidRDefault="006500F5">
      <w:pPr>
        <w:pStyle w:val="HaupttextohneEinzug"/>
        <w:rPr>
          <w:rFonts w:eastAsia="Arial" w:cs="Times Ext Roman"/>
          <w:szCs w:val="21"/>
          <w:lang w:eastAsia="hi-IN" w:bidi="en-GB"/>
        </w:rPr>
      </w:pPr>
      <w:r>
        <w:rPr>
          <w:rFonts w:eastAsia="Arial" w:cs="Times Ext Roman"/>
          <w:i/>
          <w:iCs/>
          <w:szCs w:val="21"/>
          <w:lang w:eastAsia="hi-IN" w:bidi="en-GB"/>
        </w:rPr>
        <w:t>Agni</w:t>
      </w:r>
      <w:r>
        <w:rPr>
          <w:rFonts w:eastAsia="Arial" w:cs="Times Ext Roman"/>
          <w:i/>
          <w:iCs/>
          <w:szCs w:val="21"/>
          <w:lang w:eastAsia="hi-IN" w:bidi="en-GB"/>
        </w:rPr>
        <w:t>ṣṭ</w:t>
      </w:r>
      <w:r>
        <w:rPr>
          <w:rFonts w:eastAsia="Arial" w:cs="Times Ext Roman"/>
          <w:i/>
          <w:iCs/>
          <w:szCs w:val="21"/>
          <w:lang w:eastAsia="hi-IN" w:bidi="en-GB"/>
        </w:rPr>
        <w:t>oma</w:t>
      </w:r>
      <w:r>
        <w:rPr>
          <w:rFonts w:eastAsia="Arial" w:cs="Times Ext Roman"/>
          <w:szCs w:val="21"/>
          <w:lang w:eastAsia="hi-IN" w:bidi="en-GB"/>
        </w:rPr>
        <w:t xml:space="preserve">, the </w:t>
      </w:r>
      <w:r>
        <w:rPr>
          <w:rFonts w:eastAsia="Arial" w:cs="Times Ext Roman"/>
          <w:i/>
          <w:iCs/>
          <w:szCs w:val="21"/>
          <w:lang w:eastAsia="hi-IN" w:bidi="en-GB"/>
        </w:rPr>
        <w:t xml:space="preserve">chandomas: </w:t>
      </w:r>
      <w:r>
        <w:rPr>
          <w:rFonts w:eastAsia="Arial" w:cs="Times Ext Roman"/>
          <w:szCs w:val="21"/>
          <w:lang w:eastAsia="hi-IN" w:bidi="en-GB"/>
        </w:rPr>
        <w:t>the 7</w:t>
      </w:r>
      <w:r>
        <w:rPr>
          <w:rFonts w:eastAsia="Arial" w:cs="Times Ext Roman"/>
          <w:szCs w:val="21"/>
          <w:vertAlign w:val="superscript"/>
          <w:lang w:eastAsia="hi-IN" w:bidi="en-GB"/>
        </w:rPr>
        <w:t>th</w:t>
      </w:r>
      <w:r>
        <w:rPr>
          <w:rFonts w:eastAsia="Arial" w:cs="Times Ext Roman"/>
          <w:szCs w:val="21"/>
          <w:lang w:eastAsia="hi-IN" w:bidi="en-GB"/>
        </w:rPr>
        <w:t xml:space="preserve"> and 8</w:t>
      </w:r>
      <w:r>
        <w:rPr>
          <w:rFonts w:eastAsia="Arial" w:cs="Times Ext Roman"/>
          <w:szCs w:val="21"/>
          <w:vertAlign w:val="superscript"/>
          <w:lang w:eastAsia="hi-IN" w:bidi="en-GB"/>
        </w:rPr>
        <w:t>th</w:t>
      </w:r>
      <w:r>
        <w:rPr>
          <w:rFonts w:eastAsia="Arial" w:cs="Times Ext Roman"/>
          <w:szCs w:val="21"/>
          <w:lang w:eastAsia="hi-IN" w:bidi="en-GB"/>
        </w:rPr>
        <w:t xml:space="preserve"> days of the </w:t>
      </w:r>
      <w:r>
        <w:rPr>
          <w:rFonts w:eastAsia="Arial" w:cs="Times Ext Roman"/>
          <w:i/>
          <w:iCs/>
          <w:szCs w:val="21"/>
          <w:lang w:eastAsia="hi-IN" w:bidi="en-GB"/>
        </w:rPr>
        <w:t>dvādaśaha</w:t>
      </w:r>
      <w:r>
        <w:rPr>
          <w:rFonts w:eastAsia="Arial" w:cs="Times Ext Roman"/>
          <w:szCs w:val="21"/>
          <w:lang w:eastAsia="hi-IN" w:bidi="en-GB"/>
        </w:rPr>
        <w:t xml:space="preserve"> rite. Here the suffix </w:t>
      </w:r>
      <w:r>
        <w:rPr>
          <w:rFonts w:eastAsia="Arial" w:cs="Times Ext Roman"/>
          <w:i/>
          <w:iCs/>
          <w:szCs w:val="21"/>
          <w:lang w:eastAsia="hi-IN" w:bidi="en-GB"/>
        </w:rPr>
        <w:t xml:space="preserve">ā- </w:t>
      </w:r>
      <w:r>
        <w:rPr>
          <w:rFonts w:eastAsia="Arial" w:cs="Times Ext Roman"/>
          <w:szCs w:val="21"/>
          <w:lang w:eastAsia="hi-IN" w:bidi="en-GB"/>
        </w:rPr>
        <w:t>is here explained as the connection between this hymn and the first day.</w:t>
      </w:r>
    </w:p>
    <w:p w14:paraId="0C6E93DC" w14:textId="77777777" w:rsidR="00E53EB6" w:rsidRDefault="00E53EB6">
      <w:pPr>
        <w:pStyle w:val="HaupttextohneEinzug"/>
        <w:rPr>
          <w:rFonts w:eastAsia="Arial" w:cs="Times Ext Roman"/>
          <w:szCs w:val="21"/>
          <w:lang w:eastAsia="hi-IN" w:bidi="en-GB"/>
        </w:rPr>
      </w:pPr>
    </w:p>
    <w:p w14:paraId="092B042A" w14:textId="77777777" w:rsidR="00E53EB6" w:rsidRDefault="006500F5">
      <w:pPr>
        <w:pStyle w:val="Heading5"/>
        <w:tabs>
          <w:tab w:val="left" w:pos="0"/>
        </w:tabs>
        <w:rPr>
          <w:u w:val="single"/>
        </w:rPr>
      </w:pPr>
      <w:r>
        <w:rPr>
          <w:u w:val="single"/>
        </w:rPr>
        <w:t>JS 1.46.7 = KauS 443</w:t>
      </w:r>
    </w:p>
    <w:p w14:paraId="524B7D4C" w14:textId="77777777" w:rsidR="00E53EB6" w:rsidRDefault="006500F5">
      <w:pPr>
        <w:pStyle w:val="Zitat"/>
        <w:autoSpaceDE w:val="0"/>
        <w:rPr>
          <w:i/>
          <w:iCs/>
        </w:rPr>
      </w:pPr>
      <w:r>
        <w:rPr>
          <w:i/>
          <w:iCs/>
        </w:rPr>
        <w:t xml:space="preserve"> </w:t>
      </w:r>
      <w:r>
        <w:t>1.46.7 = 443</w:t>
      </w:r>
      <w:r>
        <w:rPr>
          <w:i/>
          <w:iCs/>
        </w:rPr>
        <w:t xml:space="preserve"> ā yāhi vanasā saha gāva</w:t>
      </w:r>
      <w:r>
        <w:rPr>
          <w:i/>
          <w:iCs/>
        </w:rPr>
        <w:t>ḥ</w:t>
      </w:r>
      <w:r>
        <w:rPr>
          <w:i/>
          <w:iCs/>
        </w:rPr>
        <w:t xml:space="preserve"> sacanta vartani</w:t>
      </w:r>
      <w:r>
        <w:rPr>
          <w:i/>
          <w:iCs/>
        </w:rPr>
        <w:t>ṃ</w:t>
      </w:r>
      <w:r>
        <w:rPr>
          <w:i/>
          <w:iCs/>
        </w:rPr>
        <w:t xml:space="preserve"> yad ūdhabhi</w:t>
      </w:r>
      <w:r>
        <w:rPr>
          <w:i/>
          <w:iCs/>
        </w:rPr>
        <w:t>ḥ</w:t>
      </w:r>
    </w:p>
    <w:p w14:paraId="3512B5BC" w14:textId="77777777" w:rsidR="00E53EB6" w:rsidRDefault="006500F5">
      <w:pPr>
        <w:pStyle w:val="Zitat"/>
        <w:autoSpaceDE w:val="0"/>
      </w:pPr>
      <w:r>
        <w:rPr>
          <w:rFonts w:eastAsia="Arial Unicode MS"/>
        </w:rPr>
        <w:t xml:space="preserve">Come here together, on the </w:t>
      </w:r>
      <w:r>
        <w:rPr>
          <w:rFonts w:eastAsia="Arial Unicode MS"/>
          <w:u w:val="single"/>
        </w:rPr>
        <w:t>act of having enter the circle of the r</w:t>
      </w:r>
      <w:r>
        <w:rPr>
          <w:rFonts w:eastAsia="Arial Unicode MS"/>
          <w:u w:val="single"/>
        </w:rPr>
        <w:t>ite</w:t>
      </w:r>
      <w:r>
        <w:rPr>
          <w:rFonts w:eastAsia="Arial Unicode MS"/>
        </w:rPr>
        <w:t>, the cows follow the course of the chariot when they are with full udders.</w:t>
      </w:r>
    </w:p>
    <w:p w14:paraId="29D2C112" w14:textId="77777777" w:rsidR="00E53EB6" w:rsidRDefault="006500F5">
      <w:pPr>
        <w:pStyle w:val="Zitat"/>
        <w:autoSpaceDE w:val="0"/>
        <w:rPr>
          <w:lang w:eastAsia="hi-IN"/>
        </w:rPr>
      </w:pPr>
      <w:r>
        <w:rPr>
          <w:i/>
          <w:iCs/>
          <w:lang w:eastAsia="hi-IN"/>
        </w:rPr>
        <w:t xml:space="preserve">vánasā: </w:t>
      </w:r>
      <w:r>
        <w:rPr>
          <w:lang w:eastAsia="hi-IN"/>
        </w:rPr>
        <w:t>instr. n. sing.</w:t>
      </w:r>
    </w:p>
    <w:p w14:paraId="154585DD" w14:textId="77777777" w:rsidR="00E53EB6" w:rsidRDefault="00E53EB6">
      <w:pPr>
        <w:pStyle w:val="ZitatmitEinzug"/>
      </w:pPr>
    </w:p>
    <w:p w14:paraId="272D3D36" w14:textId="77777777" w:rsidR="00E53EB6" w:rsidRDefault="006500F5">
      <w:pPr>
        <w:pStyle w:val="HaupttextnachZitat"/>
        <w:numPr>
          <w:ilvl w:val="2"/>
          <w:numId w:val="2"/>
        </w:numPr>
        <w:tabs>
          <w:tab w:val="left" w:pos="0"/>
        </w:tabs>
      </w:pPr>
      <w:r>
        <w:t>Vedic Web:</w:t>
      </w:r>
    </w:p>
    <w:p w14:paraId="0D9216DD" w14:textId="77777777" w:rsidR="00E53EB6" w:rsidRDefault="006500F5">
      <w:pPr>
        <w:pStyle w:val="HaupttextohneEinzug"/>
      </w:pPr>
      <w:r>
        <w:t>Mantra: R̥V 10.172.1a</w:t>
      </w:r>
    </w:p>
    <w:p w14:paraId="3883D262" w14:textId="77777777" w:rsidR="00E53EB6" w:rsidRDefault="00E53EB6">
      <w:pPr>
        <w:pStyle w:val="HaupttextohneEinzug"/>
      </w:pPr>
    </w:p>
    <w:p w14:paraId="342AD8FC" w14:textId="77777777" w:rsidR="00E53EB6" w:rsidRDefault="006500F5">
      <w:pPr>
        <w:pStyle w:val="HaupttextohneEinzug"/>
        <w:rPr>
          <w:rFonts w:eastAsia="Arial" w:cs="Times Ext Roman"/>
          <w:szCs w:val="21"/>
          <w:lang w:eastAsia="hi-IN" w:bidi="en-GB"/>
        </w:rPr>
      </w:pPr>
      <w:r>
        <w:rPr>
          <w:rFonts w:eastAsia="Arial" w:cs="Times Ext Roman"/>
          <w:szCs w:val="21"/>
          <w:lang w:eastAsia="hi-IN" w:bidi="en-GB"/>
        </w:rPr>
        <w:t xml:space="preserve">Rite </w:t>
      </w:r>
    </w:p>
    <w:p w14:paraId="6AD31E26" w14:textId="77777777" w:rsidR="00E53EB6" w:rsidRDefault="006500F5">
      <w:pPr>
        <w:pStyle w:val="HaupttextohneEinzug"/>
      </w:pPr>
      <w:r>
        <w:rPr>
          <w:rFonts w:eastAsia="Arial" w:cs="Times Ext Roman"/>
          <w:i/>
          <w:iCs/>
          <w:szCs w:val="21"/>
          <w:lang w:eastAsia="hi-IN" w:bidi="en-GB"/>
        </w:rPr>
        <w:t>Agni</w:t>
      </w:r>
      <w:r>
        <w:rPr>
          <w:rFonts w:eastAsia="Arial" w:cs="Times Ext Roman"/>
          <w:i/>
          <w:iCs/>
          <w:szCs w:val="21"/>
          <w:lang w:eastAsia="hi-IN" w:bidi="en-GB"/>
        </w:rPr>
        <w:t>ṣṭ</w:t>
      </w:r>
      <w:r>
        <w:rPr>
          <w:rFonts w:eastAsia="Arial" w:cs="Times Ext Roman"/>
          <w:i/>
          <w:iCs/>
          <w:szCs w:val="21"/>
          <w:lang w:eastAsia="hi-IN" w:bidi="en-GB"/>
        </w:rPr>
        <w:t>oma</w:t>
      </w:r>
      <w:r>
        <w:rPr>
          <w:rFonts w:eastAsia="Arial" w:cs="Times Ext Roman"/>
          <w:szCs w:val="21"/>
          <w:lang w:eastAsia="hi-IN" w:bidi="en-GB"/>
        </w:rPr>
        <w:t xml:space="preserve">, the </w:t>
      </w:r>
      <w:r>
        <w:rPr>
          <w:rFonts w:eastAsia="Arial" w:cs="Times Ext Roman"/>
          <w:i/>
          <w:iCs/>
          <w:szCs w:val="21"/>
          <w:lang w:eastAsia="hi-IN" w:bidi="en-GB"/>
        </w:rPr>
        <w:t>chandomas</w:t>
      </w:r>
      <w:r>
        <w:rPr>
          <w:rFonts w:eastAsia="Arial" w:cs="Times Ext Roman"/>
          <w:szCs w:val="21"/>
          <w:lang w:eastAsia="hi-IN" w:bidi="en-GB"/>
        </w:rPr>
        <w:t>: the 7</w:t>
      </w:r>
      <w:r>
        <w:rPr>
          <w:rFonts w:eastAsia="Arial" w:cs="Times Ext Roman"/>
          <w:szCs w:val="21"/>
          <w:vertAlign w:val="superscript"/>
          <w:lang w:eastAsia="hi-IN" w:bidi="en-GB"/>
        </w:rPr>
        <w:t>th</w:t>
      </w:r>
      <w:r>
        <w:rPr>
          <w:rFonts w:eastAsia="Arial" w:cs="Times Ext Roman"/>
          <w:szCs w:val="21"/>
          <w:lang w:eastAsia="hi-IN" w:bidi="en-GB"/>
        </w:rPr>
        <w:t xml:space="preserve"> and 8</w:t>
      </w:r>
      <w:r>
        <w:rPr>
          <w:rFonts w:eastAsia="Arial" w:cs="Times Ext Roman"/>
          <w:szCs w:val="21"/>
          <w:vertAlign w:val="superscript"/>
          <w:lang w:eastAsia="hi-IN" w:bidi="en-GB"/>
        </w:rPr>
        <w:t>th</w:t>
      </w:r>
      <w:r>
        <w:rPr>
          <w:rFonts w:eastAsia="Arial" w:cs="Times Ext Roman"/>
          <w:szCs w:val="21"/>
          <w:lang w:eastAsia="hi-IN" w:bidi="en-GB"/>
        </w:rPr>
        <w:t xml:space="preserve"> days of the </w:t>
      </w:r>
      <w:r>
        <w:rPr>
          <w:rFonts w:eastAsia="Arial" w:cs="Times Ext Roman"/>
          <w:i/>
          <w:iCs/>
          <w:szCs w:val="21"/>
          <w:lang w:eastAsia="hi-IN" w:bidi="en-GB"/>
        </w:rPr>
        <w:t>dvādaśaha</w:t>
      </w:r>
      <w:r>
        <w:rPr>
          <w:rFonts w:eastAsia="Arial" w:cs="Times Ext Roman"/>
          <w:szCs w:val="21"/>
          <w:lang w:eastAsia="hi-IN" w:bidi="en-GB"/>
        </w:rPr>
        <w:t xml:space="preserve"> rite. Here the suffix </w:t>
      </w:r>
      <w:r>
        <w:rPr>
          <w:rFonts w:eastAsia="Arial" w:cs="Times Ext Roman"/>
          <w:i/>
          <w:iCs/>
          <w:szCs w:val="21"/>
          <w:lang w:eastAsia="hi-IN" w:bidi="en-GB"/>
        </w:rPr>
        <w:t>ā-</w:t>
      </w:r>
      <w:r>
        <w:rPr>
          <w:rFonts w:eastAsia="Arial" w:cs="Times Ext Roman"/>
          <w:szCs w:val="21"/>
          <w:lang w:eastAsia="hi-IN" w:bidi="en-GB"/>
        </w:rPr>
        <w:t xml:space="preserve"> is here explained as the connection between this hymn and the first day.</w:t>
      </w:r>
    </w:p>
    <w:p w14:paraId="40389982" w14:textId="77777777" w:rsidR="00E53EB6" w:rsidRDefault="00E53EB6">
      <w:pPr>
        <w:pStyle w:val="HaupttextohneEinzug"/>
        <w:rPr>
          <w:rFonts w:eastAsia="Arial" w:cs="Times Ext Roman"/>
          <w:szCs w:val="21"/>
          <w:lang w:eastAsia="hi-IN" w:bidi="en-GB"/>
        </w:rPr>
      </w:pPr>
    </w:p>
    <w:p w14:paraId="5665D3E3" w14:textId="77777777" w:rsidR="00E53EB6" w:rsidRDefault="00E53EB6">
      <w:pPr>
        <w:pStyle w:val="HaupttextohneEinzug"/>
        <w:rPr>
          <w:rFonts w:eastAsia="Arial" w:cs="Times Ext Roman"/>
          <w:szCs w:val="21"/>
          <w:lang w:eastAsia="hi-IN" w:bidi="en-GB"/>
        </w:rPr>
      </w:pPr>
    </w:p>
    <w:p w14:paraId="1B7E8621" w14:textId="77777777" w:rsidR="00E53EB6" w:rsidRDefault="006500F5">
      <w:pPr>
        <w:pStyle w:val="Heading4"/>
        <w:tabs>
          <w:tab w:val="left" w:pos="0"/>
        </w:tabs>
      </w:pPr>
      <w:r>
        <w:rPr>
          <w:rFonts w:cs="Devanagari MT;Times New Roman"/>
          <w:i/>
        </w:rPr>
        <w:t>b) vanīvan</w:t>
      </w:r>
      <w:r>
        <w:rPr>
          <w:rFonts w:cs="Devanagari MT;Times New Roman"/>
        </w:rPr>
        <w:t>-</w:t>
      </w:r>
    </w:p>
    <w:p w14:paraId="5FEC7195" w14:textId="77777777" w:rsidR="00E53EB6" w:rsidRDefault="006500F5">
      <w:pPr>
        <w:pStyle w:val="Hauptext"/>
        <w:rPr>
          <w:rFonts w:eastAsia="Arial" w:cs="Times Ext Roman"/>
          <w:szCs w:val="21"/>
          <w:lang w:eastAsia="hi-IN" w:bidi="en-GB"/>
        </w:rPr>
      </w:pPr>
      <w:r>
        <w:rPr>
          <w:rFonts w:eastAsia="Arial" w:cs="Times Ext Roman"/>
          <w:szCs w:val="21"/>
          <w:lang w:eastAsia="hi-IN" w:bidi="en-GB"/>
        </w:rPr>
        <w:t xml:space="preserve">The only occurrence is </w:t>
      </w:r>
      <w:r>
        <w:rPr>
          <w:rFonts w:eastAsia="Arial" w:cs="Times Ext Roman"/>
          <w:szCs w:val="21"/>
          <w:u w:val="single"/>
          <w:lang w:eastAsia="hi-IN" w:bidi="en-GB"/>
        </w:rPr>
        <w:t>MS 4.14.8: 227, 9-10</w:t>
      </w:r>
      <w:r>
        <w:rPr>
          <w:rFonts w:eastAsia="Arial" w:cs="Times Ext Roman"/>
          <w:szCs w:val="21"/>
          <w:lang w:eastAsia="hi-IN" w:bidi="en-GB"/>
        </w:rPr>
        <w:t>, quoting R̥V 10.47.7 that we have analysed within the R̥V occurrences of the primary derivatives. See above § 3.1.1.</w:t>
      </w:r>
    </w:p>
    <w:p w14:paraId="0CCE59EB" w14:textId="77777777" w:rsidR="00E53EB6" w:rsidRDefault="00E53EB6">
      <w:pPr>
        <w:pStyle w:val="Hauptext"/>
        <w:rPr>
          <w:rFonts w:eastAsia="Arial" w:cs="Times Ext Roman"/>
          <w:szCs w:val="21"/>
          <w:lang w:eastAsia="hi-IN" w:bidi="en-GB"/>
        </w:rPr>
      </w:pPr>
    </w:p>
    <w:p w14:paraId="635C385A" w14:textId="77777777" w:rsidR="00E53EB6" w:rsidRDefault="006500F5">
      <w:pPr>
        <w:pStyle w:val="Heading4"/>
        <w:tabs>
          <w:tab w:val="left" w:pos="0"/>
        </w:tabs>
      </w:pPr>
      <w:r>
        <w:rPr>
          <w:rFonts w:cs="Devanagari MT;Times New Roman"/>
          <w:i/>
        </w:rPr>
        <w:lastRenderedPageBreak/>
        <w:t xml:space="preserve">c) </w:t>
      </w:r>
      <w:r>
        <w:rPr>
          <w:rFonts w:cs="Devanagari MT;Times New Roman"/>
          <w:i/>
        </w:rPr>
        <w:t>vantr̥</w:t>
      </w:r>
      <w:r>
        <w:rPr>
          <w:rFonts w:cs="Devanagari MT;Times New Roman"/>
        </w:rPr>
        <w:t>-</w:t>
      </w:r>
    </w:p>
    <w:p w14:paraId="63EAC66F" w14:textId="77777777" w:rsidR="00E53EB6" w:rsidRDefault="006500F5">
      <w:pPr>
        <w:pStyle w:val="Heading5"/>
        <w:tabs>
          <w:tab w:val="left" w:pos="0"/>
        </w:tabs>
        <w:rPr>
          <w:u w:val="single"/>
        </w:rPr>
      </w:pPr>
      <w:r>
        <w:rPr>
          <w:u w:val="single"/>
        </w:rPr>
        <w:t>KS 8.17: 203,21-22</w:t>
      </w:r>
    </w:p>
    <w:p w14:paraId="40CB8630" w14:textId="77777777" w:rsidR="00E53EB6" w:rsidRDefault="006500F5">
      <w:pPr>
        <w:pStyle w:val="Zitat"/>
        <w:autoSpaceDE w:val="0"/>
      </w:pPr>
      <w:r>
        <w:t>8.17</w:t>
      </w:r>
      <w:r>
        <w:rPr>
          <w:i/>
          <w:iCs/>
        </w:rPr>
        <w:t xml:space="preserve"> svastáye vājíbhiśca pra</w:t>
      </w:r>
      <w:r>
        <w:rPr>
          <w:i/>
          <w:iCs/>
        </w:rPr>
        <w:t>ṇ</w:t>
      </w:r>
      <w:r>
        <w:rPr>
          <w:i/>
          <w:iCs/>
        </w:rPr>
        <w:t>etassá</w:t>
      </w:r>
      <w:r>
        <w:rPr>
          <w:i/>
          <w:iCs/>
        </w:rPr>
        <w:t>ṃ</w:t>
      </w:r>
      <w:r>
        <w:rPr>
          <w:i/>
          <w:iCs/>
        </w:rPr>
        <w:t xml:space="preserve"> yán mahī́ri</w:t>
      </w:r>
      <w:r>
        <w:rPr>
          <w:i/>
          <w:iCs/>
        </w:rPr>
        <w:t>ṣ</w:t>
      </w:r>
      <w:r>
        <w:rPr>
          <w:i/>
          <w:iCs/>
        </w:rPr>
        <w:t>á āsátsi pūrvī́</w:t>
      </w:r>
      <w:r>
        <w:rPr>
          <w:i/>
          <w:iCs/>
        </w:rPr>
        <w:t>ḥ</w:t>
      </w:r>
      <w:r>
        <w:rPr>
          <w:i/>
          <w:iCs/>
        </w:rPr>
        <w:t xml:space="preserve"> / rāyó vantā́ro br̥hatássyāmāsmé astu bhága indra prajā́vān //</w:t>
      </w:r>
    </w:p>
    <w:p w14:paraId="5AE7AE8F" w14:textId="77777777" w:rsidR="00E53EB6" w:rsidRDefault="006500F5">
      <w:pPr>
        <w:pStyle w:val="Zitat"/>
        <w:autoSpaceDE w:val="0"/>
      </w:pPr>
      <w:r>
        <w:t xml:space="preserve">For a good fortune, when you, o driver, sit with the steeds near to many large refreshments, may we be those who </w:t>
      </w:r>
      <w:r>
        <w:rPr>
          <w:u w:val="single"/>
        </w:rPr>
        <w:t>appropriate</w:t>
      </w:r>
      <w:r>
        <w:t xml:space="preserve"> a wide richness, O Indra, let the part rich of offspring belong to us.</w:t>
      </w:r>
    </w:p>
    <w:p w14:paraId="05209CF6" w14:textId="77777777" w:rsidR="00E53EB6" w:rsidRDefault="006500F5">
      <w:pPr>
        <w:pStyle w:val="Zitat"/>
        <w:autoSpaceDE w:val="0"/>
      </w:pPr>
      <w:r>
        <w:rPr>
          <w:i/>
          <w:iCs/>
          <w:lang w:eastAsia="hi-IN"/>
        </w:rPr>
        <w:t>vantā́ra</w:t>
      </w:r>
      <w:r>
        <w:rPr>
          <w:i/>
          <w:iCs/>
          <w:lang w:eastAsia="hi-IN"/>
        </w:rPr>
        <w:t>ḥ</w:t>
      </w:r>
      <w:r>
        <w:rPr>
          <w:i/>
          <w:iCs/>
          <w:lang w:eastAsia="hi-IN"/>
        </w:rPr>
        <w:t xml:space="preserve">: </w:t>
      </w:r>
      <w:r>
        <w:rPr>
          <w:lang w:eastAsia="hi-IN"/>
        </w:rPr>
        <w:t xml:space="preserve">nom. masc. pl. of </w:t>
      </w:r>
      <w:r>
        <w:rPr>
          <w:i/>
          <w:iCs/>
          <w:lang w:eastAsia="hi-IN"/>
        </w:rPr>
        <w:t>vantr̥-</w:t>
      </w:r>
    </w:p>
    <w:p w14:paraId="4F324A41" w14:textId="77777777" w:rsidR="00E53EB6" w:rsidRDefault="006500F5">
      <w:pPr>
        <w:pStyle w:val="HaupttextnachZitat"/>
        <w:numPr>
          <w:ilvl w:val="2"/>
          <w:numId w:val="2"/>
        </w:numPr>
        <w:tabs>
          <w:tab w:val="left" w:pos="0"/>
        </w:tabs>
      </w:pPr>
      <w:r>
        <w:t>Vedic Web:</w:t>
      </w:r>
    </w:p>
    <w:p w14:paraId="575784FD" w14:textId="77777777" w:rsidR="00E53EB6" w:rsidRDefault="006500F5">
      <w:pPr>
        <w:pStyle w:val="HaupttextohneEinzug"/>
      </w:pPr>
      <w:r>
        <w:t xml:space="preserve">Mantra: R̥V </w:t>
      </w:r>
      <w:r>
        <w:t>3.30.18</w:t>
      </w:r>
    </w:p>
    <w:p w14:paraId="5395D4E5" w14:textId="77777777" w:rsidR="00E53EB6" w:rsidRDefault="00E53EB6">
      <w:pPr>
        <w:pStyle w:val="HaupttextohneEinzug"/>
        <w:rPr>
          <w:rFonts w:eastAsia="Arial" w:cs="Times Ext Roman"/>
          <w:szCs w:val="21"/>
          <w:lang w:eastAsia="hi-IN" w:bidi="en-GB"/>
        </w:rPr>
      </w:pPr>
    </w:p>
    <w:p w14:paraId="3615401D" w14:textId="77777777" w:rsidR="00E53EB6" w:rsidRDefault="00E53EB6">
      <w:pPr>
        <w:pStyle w:val="HaupttextohneEinzug"/>
        <w:rPr>
          <w:rFonts w:eastAsia="Arial" w:cs="Times Ext Roman"/>
          <w:szCs w:val="21"/>
          <w:lang w:eastAsia="hi-IN" w:bidi="en-GB"/>
        </w:rPr>
      </w:pPr>
    </w:p>
    <w:p w14:paraId="68497A17" w14:textId="77777777" w:rsidR="00E53EB6" w:rsidRDefault="00E53EB6">
      <w:pPr>
        <w:pStyle w:val="HaupttextohneEinzug"/>
        <w:rPr>
          <w:rFonts w:eastAsia="Arial" w:cs="Devanagari MT;Times New Roman"/>
          <w:b/>
          <w:bCs/>
          <w:szCs w:val="21"/>
          <w:lang w:eastAsia="hi-IN" w:bidi="en-GB"/>
        </w:rPr>
      </w:pPr>
    </w:p>
    <w:p w14:paraId="65DDB139" w14:textId="77777777" w:rsidR="00E53EB6" w:rsidRDefault="006500F5">
      <w:pPr>
        <w:pStyle w:val="Heading4"/>
        <w:tabs>
          <w:tab w:val="left" w:pos="0"/>
        </w:tabs>
      </w:pPr>
      <w:r>
        <w:rPr>
          <w:i/>
        </w:rPr>
        <w:t>d) vanús</w:t>
      </w:r>
      <w:r>
        <w:t xml:space="preserve">- </w:t>
      </w:r>
    </w:p>
    <w:p w14:paraId="04E4D4FE" w14:textId="77777777" w:rsidR="00E53EB6" w:rsidRDefault="006500F5">
      <w:pPr>
        <w:pStyle w:val="Heading5"/>
        <w:tabs>
          <w:tab w:val="left" w:pos="0"/>
        </w:tabs>
        <w:rPr>
          <w:u w:val="single"/>
        </w:rPr>
      </w:pPr>
      <w:r>
        <w:rPr>
          <w:u w:val="single"/>
        </w:rPr>
        <w:t>JS 3.1.7 = KauS II.5</w:t>
      </w:r>
    </w:p>
    <w:p w14:paraId="59CBBC5C" w14:textId="77777777" w:rsidR="00E53EB6" w:rsidRDefault="006500F5">
      <w:pPr>
        <w:pStyle w:val="Zitat"/>
        <w:autoSpaceDE w:val="0"/>
      </w:pPr>
      <w:r>
        <w:t>JS 3.1.7</w:t>
      </w:r>
      <w:r>
        <w:rPr>
          <w:i/>
          <w:iCs/>
        </w:rPr>
        <w:t xml:space="preserve"> </w:t>
      </w:r>
      <w:r>
        <w:t>= KauS II,5</w:t>
      </w:r>
      <w:r>
        <w:rPr>
          <w:i/>
          <w:iCs/>
        </w:rPr>
        <w:t xml:space="preserve">    hinvānó hetŕ̥bhir yatá ā́ vā́ja</w:t>
      </w:r>
      <w:r>
        <w:rPr>
          <w:i/>
          <w:iCs/>
        </w:rPr>
        <w:t>ṃ</w:t>
      </w:r>
      <w:r>
        <w:rPr>
          <w:i/>
          <w:iCs/>
        </w:rPr>
        <w:t xml:space="preserve"> vājī́ akramīt /  sī́danto vanú</w:t>
      </w:r>
      <w:r>
        <w:rPr>
          <w:i/>
          <w:iCs/>
        </w:rPr>
        <w:t>ṣ</w:t>
      </w:r>
      <w:r>
        <w:rPr>
          <w:i/>
          <w:iCs/>
        </w:rPr>
        <w:t>o yathā //</w:t>
      </w:r>
    </w:p>
    <w:p w14:paraId="7805F614" w14:textId="77777777" w:rsidR="00E53EB6" w:rsidRDefault="006500F5">
      <w:pPr>
        <w:pStyle w:val="Zitat"/>
      </w:pPr>
      <w:r>
        <w:t xml:space="preserve">Incited by the inciters, held, the racer leapt on the prize of victory, so that those who wished to </w:t>
      </w:r>
      <w:r>
        <w:t>appropriate it found themselves seated.</w:t>
      </w:r>
    </w:p>
    <w:p w14:paraId="17BE433F" w14:textId="77777777" w:rsidR="00E53EB6" w:rsidRDefault="006500F5">
      <w:pPr>
        <w:pStyle w:val="Zitat"/>
        <w:autoSpaceDE w:val="0"/>
        <w:rPr>
          <w:lang w:eastAsia="hi-IN"/>
        </w:rPr>
      </w:pPr>
      <w:r>
        <w:rPr>
          <w:i/>
          <w:iCs/>
          <w:lang w:eastAsia="hi-IN"/>
        </w:rPr>
        <w:t>vanú</w:t>
      </w:r>
      <w:r>
        <w:rPr>
          <w:i/>
          <w:iCs/>
          <w:lang w:eastAsia="hi-IN"/>
        </w:rPr>
        <w:t>ṣ</w:t>
      </w:r>
      <w:r>
        <w:rPr>
          <w:i/>
          <w:iCs/>
          <w:lang w:eastAsia="hi-IN"/>
        </w:rPr>
        <w:t>a</w:t>
      </w:r>
      <w:r>
        <w:rPr>
          <w:i/>
          <w:iCs/>
          <w:lang w:eastAsia="hi-IN"/>
        </w:rPr>
        <w:t>ḥ</w:t>
      </w:r>
      <w:r>
        <w:rPr>
          <w:i/>
          <w:iCs/>
          <w:lang w:eastAsia="hi-IN"/>
        </w:rPr>
        <w:t xml:space="preserve">: </w:t>
      </w:r>
      <w:r>
        <w:rPr>
          <w:lang w:eastAsia="hi-IN"/>
        </w:rPr>
        <w:t xml:space="preserve">nom. m. pl.  of  </w:t>
      </w:r>
      <w:r>
        <w:rPr>
          <w:i/>
          <w:iCs/>
          <w:lang w:eastAsia="hi-IN"/>
        </w:rPr>
        <w:t>vanús</w:t>
      </w:r>
    </w:p>
    <w:p w14:paraId="7926839A" w14:textId="77777777" w:rsidR="00E53EB6" w:rsidRDefault="006500F5">
      <w:pPr>
        <w:pStyle w:val="HaupttextnachZitat"/>
        <w:numPr>
          <w:ilvl w:val="2"/>
          <w:numId w:val="2"/>
        </w:numPr>
        <w:tabs>
          <w:tab w:val="left" w:pos="0"/>
        </w:tabs>
      </w:pPr>
      <w:r>
        <w:t>Vedic Web:</w:t>
      </w:r>
    </w:p>
    <w:p w14:paraId="5593A23B" w14:textId="77777777" w:rsidR="00E53EB6" w:rsidRDefault="006500F5">
      <w:pPr>
        <w:pStyle w:val="HaupttextohneEinzug"/>
      </w:pPr>
      <w:r>
        <w:t>Mantra: R</w:t>
      </w:r>
      <w:r>
        <w:rPr>
          <w:rFonts w:eastAsia="Arial" w:cs="Devanagari MT;Times New Roman"/>
          <w:sz w:val="18"/>
          <w:szCs w:val="18"/>
          <w:lang w:eastAsia="hi-IN" w:bidi="en-GB"/>
        </w:rPr>
        <w:t>̥</w:t>
      </w:r>
      <w:r>
        <w:t>V 9.64.29; KauS II.5.</w:t>
      </w:r>
    </w:p>
    <w:p w14:paraId="1BC391DE" w14:textId="77777777" w:rsidR="00E53EB6" w:rsidRDefault="00E53EB6">
      <w:pPr>
        <w:pStyle w:val="HaupttextohneEinzug"/>
      </w:pPr>
    </w:p>
    <w:p w14:paraId="38BFC2B9" w14:textId="77777777" w:rsidR="00E53EB6" w:rsidRDefault="00E53EB6">
      <w:pPr>
        <w:pStyle w:val="HaupttextohneEinzug"/>
      </w:pPr>
    </w:p>
    <w:p w14:paraId="2F9DFB37" w14:textId="77777777" w:rsidR="00E53EB6" w:rsidRDefault="006500F5">
      <w:pPr>
        <w:pStyle w:val="Heading5"/>
        <w:tabs>
          <w:tab w:val="left" w:pos="0"/>
        </w:tabs>
      </w:pPr>
      <w:r>
        <w:rPr>
          <w:rFonts w:cs="Devanagari MT;Times New Roman"/>
          <w:u w:val="single"/>
        </w:rPr>
        <w:t>AVŚ 20.30.1</w:t>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p>
    <w:p w14:paraId="5ABB35CF" w14:textId="77777777" w:rsidR="00E53EB6" w:rsidRDefault="006500F5">
      <w:pPr>
        <w:pStyle w:val="Zitat"/>
        <w:autoSpaceDE w:val="0"/>
        <w:rPr>
          <w:lang w:eastAsia="hi-IN"/>
        </w:rPr>
      </w:pPr>
      <w:r>
        <w:rPr>
          <w:lang w:eastAsia="hi-IN"/>
        </w:rPr>
        <w:t xml:space="preserve">20.30.1 </w:t>
      </w:r>
      <w:r>
        <w:rPr>
          <w:i/>
          <w:iCs/>
          <w:lang w:eastAsia="hi-IN"/>
        </w:rPr>
        <w:t>prá te mahé vidáthe śa</w:t>
      </w:r>
      <w:r>
        <w:rPr>
          <w:i/>
          <w:iCs/>
          <w:lang w:eastAsia="hi-IN"/>
        </w:rPr>
        <w:t>ṃ</w:t>
      </w:r>
      <w:r>
        <w:rPr>
          <w:i/>
          <w:iCs/>
          <w:lang w:eastAsia="hi-IN"/>
        </w:rPr>
        <w:t>si</w:t>
      </w:r>
      <w:r>
        <w:rPr>
          <w:i/>
          <w:iCs/>
          <w:lang w:eastAsia="hi-IN"/>
        </w:rPr>
        <w:t>ṣ</w:t>
      </w:r>
      <w:r>
        <w:rPr>
          <w:i/>
          <w:iCs/>
          <w:lang w:eastAsia="hi-IN"/>
        </w:rPr>
        <w:t>a</w:t>
      </w:r>
      <w:r>
        <w:rPr>
          <w:i/>
          <w:iCs/>
          <w:lang w:eastAsia="hi-IN"/>
        </w:rPr>
        <w:t>ṃ</w:t>
      </w:r>
      <w:r>
        <w:rPr>
          <w:i/>
          <w:iCs/>
          <w:lang w:eastAsia="hi-IN"/>
        </w:rPr>
        <w:t xml:space="preserve"> hárī prá te vanve vanú</w:t>
      </w:r>
      <w:r>
        <w:rPr>
          <w:i/>
          <w:iCs/>
          <w:lang w:eastAsia="hi-IN"/>
        </w:rPr>
        <w:t>ṣ</w:t>
      </w:r>
      <w:r>
        <w:rPr>
          <w:i/>
          <w:iCs/>
          <w:lang w:eastAsia="hi-IN"/>
        </w:rPr>
        <w:t>o haryatám mádam / ghr̥tá</w:t>
      </w:r>
      <w:r>
        <w:rPr>
          <w:i/>
          <w:iCs/>
          <w:lang w:eastAsia="hi-IN"/>
        </w:rPr>
        <w:t>ṃ</w:t>
      </w:r>
      <w:r>
        <w:rPr>
          <w:i/>
          <w:iCs/>
          <w:lang w:eastAsia="hi-IN"/>
        </w:rPr>
        <w:t xml:space="preserve"> ná yó háribhiścā́ru sécata ā́ tvā</w:t>
      </w:r>
      <w:r>
        <w:rPr>
          <w:i/>
          <w:iCs/>
          <w:lang w:eastAsia="hi-IN"/>
        </w:rPr>
        <w:t xml:space="preserve"> viśantu hárivarpasa</w:t>
      </w:r>
      <w:r>
        <w:rPr>
          <w:i/>
          <w:iCs/>
          <w:lang w:eastAsia="hi-IN"/>
        </w:rPr>
        <w:t>ṃ</w:t>
      </w:r>
      <w:r>
        <w:rPr>
          <w:i/>
          <w:iCs/>
          <w:lang w:eastAsia="hi-IN"/>
        </w:rPr>
        <w:t xml:space="preserve"> gíra</w:t>
      </w:r>
      <w:r>
        <w:rPr>
          <w:i/>
          <w:iCs/>
          <w:lang w:eastAsia="hi-IN"/>
        </w:rPr>
        <w:t>ḥ</w:t>
      </w:r>
    </w:p>
    <w:p w14:paraId="5B0C3551" w14:textId="77777777" w:rsidR="00E53EB6" w:rsidRDefault="006500F5">
      <w:pPr>
        <w:pStyle w:val="Zitat"/>
        <w:autoSpaceDE w:val="0"/>
        <w:rPr>
          <w:lang w:eastAsia="hi-IN"/>
        </w:rPr>
      </w:pPr>
      <w:r>
        <w:rPr>
          <w:lang w:eastAsia="hi-IN"/>
        </w:rPr>
        <w:t>May I invoke in the great meeting [rite]</w:t>
      </w:r>
      <w:r>
        <w:rPr>
          <w:rStyle w:val="FootnoteAnchor"/>
          <w:lang w:eastAsia="hi-IN"/>
        </w:rPr>
        <w:footnoteReference w:id="501"/>
      </w:r>
      <w:r>
        <w:rPr>
          <w:lang w:eastAsia="hi-IN"/>
        </w:rPr>
        <w:t xml:space="preserve"> your two steeds, I appropriate for my self the intoxicating drink dear to you </w:t>
      </w:r>
      <w:r>
        <w:rPr>
          <w:u w:val="single"/>
          <w:lang w:eastAsia="hi-IN"/>
        </w:rPr>
        <w:t>who desire to appropriate</w:t>
      </w:r>
      <w:r>
        <w:rPr>
          <w:lang w:eastAsia="hi-IN"/>
        </w:rPr>
        <w:t xml:space="preserve"> it which, pleasant as clarified butter, together with the golden ones</w:t>
      </w:r>
      <w:r>
        <w:rPr>
          <w:rStyle w:val="FootnoteAnchor"/>
          <w:lang w:eastAsia="hi-IN"/>
        </w:rPr>
        <w:footnoteReference w:id="502"/>
      </w:r>
      <w:r>
        <w:rPr>
          <w:lang w:eastAsia="hi-IN"/>
        </w:rPr>
        <w:t>, pours out; the chants should arrive to you who have the colour of gold.</w:t>
      </w:r>
    </w:p>
    <w:p w14:paraId="7E664C93" w14:textId="77777777" w:rsidR="00E53EB6" w:rsidRDefault="006500F5">
      <w:pPr>
        <w:pStyle w:val="Zitat"/>
        <w:autoSpaceDE w:val="0"/>
      </w:pPr>
      <w:r>
        <w:rPr>
          <w:i/>
          <w:iCs/>
          <w:lang w:eastAsia="hi-IN"/>
        </w:rPr>
        <w:t>vanve pra:</w:t>
      </w:r>
      <w:r>
        <w:rPr>
          <w:lang w:eastAsia="hi-IN"/>
        </w:rPr>
        <w:t xml:space="preserve"> ind. pres. 1</w:t>
      </w:r>
      <w:r>
        <w:rPr>
          <w:vertAlign w:val="superscript"/>
        </w:rPr>
        <w:t>st</w:t>
      </w:r>
      <w:r>
        <w:rPr>
          <w:lang w:eastAsia="hi-IN"/>
        </w:rPr>
        <w:t xml:space="preserve"> sing. Ā VIII cl.</w:t>
      </w:r>
    </w:p>
    <w:p w14:paraId="35948FAD" w14:textId="77777777" w:rsidR="00E53EB6" w:rsidRDefault="006500F5">
      <w:pPr>
        <w:pStyle w:val="ZitatmitEinzug"/>
      </w:pPr>
      <w:r w:rsidRPr="00494885">
        <w:rPr>
          <w:rFonts w:eastAsia="Arial Unicode MS"/>
        </w:rPr>
        <w:t>Sāya</w:t>
      </w:r>
      <w:r w:rsidRPr="00494885">
        <w:rPr>
          <w:rFonts w:eastAsia="Arial Unicode MS"/>
        </w:rPr>
        <w:t>ṇ</w:t>
      </w:r>
      <w:r w:rsidRPr="00494885">
        <w:rPr>
          <w:rFonts w:eastAsia="Arial Unicode MS"/>
        </w:rPr>
        <w:t xml:space="preserve">a: </w:t>
      </w:r>
      <w:r w:rsidRPr="00494885">
        <w:rPr>
          <w:rFonts w:eastAsia="Arial Unicode MS"/>
          <w:i/>
          <w:iCs/>
        </w:rPr>
        <w:t>prayāce</w:t>
      </w:r>
    </w:p>
    <w:p w14:paraId="1F58A575" w14:textId="77777777" w:rsidR="00E53EB6" w:rsidRDefault="006500F5">
      <w:pPr>
        <w:pStyle w:val="Zitat"/>
      </w:pPr>
      <w:r>
        <w:rPr>
          <w:i/>
          <w:iCs/>
        </w:rPr>
        <w:t>vanú</w:t>
      </w:r>
      <w:r>
        <w:rPr>
          <w:i/>
          <w:iCs/>
        </w:rPr>
        <w:t>ṣ</w:t>
      </w:r>
      <w:r>
        <w:rPr>
          <w:i/>
          <w:iCs/>
        </w:rPr>
        <w:t>a</w:t>
      </w:r>
      <w:r>
        <w:rPr>
          <w:i/>
          <w:iCs/>
        </w:rPr>
        <w:t>ḥ</w:t>
      </w:r>
      <w:r>
        <w:rPr>
          <w:i/>
          <w:iCs/>
        </w:rPr>
        <w:t>:</w:t>
      </w:r>
      <w:r>
        <w:t xml:space="preserve"> gen. masc. sing. of </w:t>
      </w:r>
      <w:r>
        <w:rPr>
          <w:i/>
          <w:iCs/>
        </w:rPr>
        <w:t>vanús</w:t>
      </w:r>
      <w:r>
        <w:t>-</w:t>
      </w:r>
    </w:p>
    <w:p w14:paraId="26D04987" w14:textId="77777777" w:rsidR="00E53EB6" w:rsidRDefault="006500F5">
      <w:pPr>
        <w:pStyle w:val="HaupttextnachZitat"/>
        <w:numPr>
          <w:ilvl w:val="2"/>
          <w:numId w:val="2"/>
        </w:numPr>
        <w:tabs>
          <w:tab w:val="left" w:pos="0"/>
        </w:tabs>
      </w:pPr>
      <w:r>
        <w:t xml:space="preserve">Vedic Web: </w:t>
      </w:r>
    </w:p>
    <w:p w14:paraId="1FA19996" w14:textId="77777777" w:rsidR="00E53EB6" w:rsidRDefault="006500F5">
      <w:pPr>
        <w:pStyle w:val="HaupttextohneEinzug"/>
        <w:numPr>
          <w:ilvl w:val="2"/>
          <w:numId w:val="2"/>
        </w:numPr>
        <w:tabs>
          <w:tab w:val="left" w:pos="0"/>
        </w:tabs>
      </w:pPr>
      <w:r>
        <w:t xml:space="preserve">Mantra: R̥V </w:t>
      </w:r>
      <w:r>
        <w:rPr>
          <w:rFonts w:eastAsia="Arial" w:cs="Times Ext Roman"/>
          <w:szCs w:val="21"/>
          <w:lang w:eastAsia="hi-IN" w:bidi="en-GB"/>
        </w:rPr>
        <w:t xml:space="preserve">10.96.1; TB 2.4.3.10-(11); </w:t>
      </w:r>
      <w:r>
        <w:rPr>
          <w:rFonts w:eastAsia="Arial" w:cs="Times Ext Roman"/>
          <w:szCs w:val="21"/>
          <w:lang w:eastAsia="hi-IN" w:bidi="en-GB"/>
        </w:rPr>
        <w:t>TB 3.7.9.6.</w:t>
      </w:r>
    </w:p>
    <w:p w14:paraId="158DC54B" w14:textId="77777777" w:rsidR="00E53EB6" w:rsidRDefault="00E53EB6">
      <w:pPr>
        <w:pStyle w:val="HaupttextohneEinzug"/>
      </w:pPr>
    </w:p>
    <w:p w14:paraId="7AD691C1" w14:textId="77777777" w:rsidR="00E53EB6" w:rsidRDefault="006500F5">
      <w:pPr>
        <w:pStyle w:val="HaupttextohneEinzug"/>
      </w:pPr>
      <w:r>
        <w:lastRenderedPageBreak/>
        <w:t xml:space="preserve">Rite </w:t>
      </w:r>
    </w:p>
    <w:p w14:paraId="14A28C35" w14:textId="77777777" w:rsidR="00E53EB6" w:rsidRDefault="006500F5">
      <w:pPr>
        <w:pStyle w:val="HaupttextohneEinzug"/>
        <w:rPr>
          <w:i/>
          <w:iCs/>
        </w:rPr>
      </w:pPr>
      <w:r>
        <w:rPr>
          <w:i/>
          <w:iCs/>
        </w:rPr>
        <w:t>Mantra</w:t>
      </w:r>
      <w:r>
        <w:t xml:space="preserve">s to be recited in the </w:t>
      </w:r>
      <w:r>
        <w:rPr>
          <w:i/>
          <w:iCs/>
        </w:rPr>
        <w:t>Atirātra.</w:t>
      </w:r>
    </w:p>
    <w:p w14:paraId="3AE980BB" w14:textId="77777777" w:rsidR="00E53EB6" w:rsidRDefault="00E53EB6">
      <w:pPr>
        <w:pStyle w:val="HaupttextohneEinzug"/>
        <w:rPr>
          <w:i/>
          <w:iCs/>
        </w:rPr>
      </w:pPr>
    </w:p>
    <w:p w14:paraId="2AFC579B" w14:textId="77777777" w:rsidR="00E53EB6" w:rsidRDefault="006500F5">
      <w:pPr>
        <w:pStyle w:val="Heading5"/>
        <w:tabs>
          <w:tab w:val="left" w:pos="0"/>
        </w:tabs>
      </w:pPr>
      <w:r>
        <w:rPr>
          <w:rFonts w:cs="Devanagari MT;Times New Roman"/>
          <w:u w:val="single"/>
        </w:rPr>
        <w:t>AVŚ 20.143.3</w:t>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p>
    <w:p w14:paraId="2DB9AEB3" w14:textId="77777777" w:rsidR="00E53EB6" w:rsidRDefault="006500F5">
      <w:pPr>
        <w:pStyle w:val="Zitat"/>
        <w:autoSpaceDE w:val="0"/>
      </w:pPr>
      <w:r>
        <w:t xml:space="preserve">20.143.3 </w:t>
      </w:r>
      <w:r>
        <w:rPr>
          <w:i/>
          <w:iCs/>
        </w:rPr>
        <w:t>kó vām adyā́ karate rātáhavya ūtáye vā sutapéyāya vārkaí</w:t>
      </w:r>
      <w:r>
        <w:rPr>
          <w:i/>
          <w:iCs/>
        </w:rPr>
        <w:t>ḥ</w:t>
      </w:r>
      <w:r>
        <w:rPr>
          <w:i/>
          <w:iCs/>
        </w:rPr>
        <w:t xml:space="preserve"> / r̥tásya vā vanú</w:t>
      </w:r>
      <w:r>
        <w:rPr>
          <w:i/>
          <w:iCs/>
        </w:rPr>
        <w:t>ṣ</w:t>
      </w:r>
      <w:r>
        <w:rPr>
          <w:i/>
          <w:iCs/>
        </w:rPr>
        <w:t xml:space="preserve">e pūrviyā́ya námo yemānó aśvinā́ </w:t>
      </w:r>
      <w:r>
        <w:rPr>
          <w:i/>
          <w:iCs/>
        </w:rPr>
        <w:t>vavartat</w:t>
      </w:r>
    </w:p>
    <w:p w14:paraId="476FD741" w14:textId="77777777" w:rsidR="00E53EB6" w:rsidRDefault="006500F5">
      <w:pPr>
        <w:pStyle w:val="Zitat"/>
        <w:autoSpaceDE w:val="0"/>
      </w:pPr>
      <w:r>
        <w:t xml:space="preserve">Who, now, offering libations, shall sacrifice to you with hymns for protection or for drinking soma, or  (who) will turn you here, o Aśvin, paying homage to the one who </w:t>
      </w:r>
      <w:r>
        <w:rPr>
          <w:u w:val="single"/>
        </w:rPr>
        <w:t>wishes to appropriate</w:t>
      </w:r>
      <w:r>
        <w:t xml:space="preserve"> the Cosmic Order?</w:t>
      </w:r>
    </w:p>
    <w:p w14:paraId="28A1A45E" w14:textId="77777777" w:rsidR="00E53EB6" w:rsidRDefault="006500F5">
      <w:pPr>
        <w:pStyle w:val="Zitat"/>
        <w:autoSpaceDE w:val="0"/>
      </w:pPr>
      <w:r>
        <w:rPr>
          <w:i/>
          <w:iCs/>
        </w:rPr>
        <w:t>vanú</w:t>
      </w:r>
      <w:r>
        <w:rPr>
          <w:i/>
          <w:iCs/>
        </w:rPr>
        <w:t>ṣ</w:t>
      </w:r>
      <w:r>
        <w:rPr>
          <w:i/>
          <w:iCs/>
        </w:rPr>
        <w:t xml:space="preserve">e: </w:t>
      </w:r>
      <w:r>
        <w:t xml:space="preserve">dat. masc. sing. of </w:t>
      </w:r>
      <w:r>
        <w:rPr>
          <w:i/>
          <w:iCs/>
        </w:rPr>
        <w:t>vanús</w:t>
      </w:r>
      <w:r>
        <w:t>-</w:t>
      </w:r>
    </w:p>
    <w:p w14:paraId="5C2B7620" w14:textId="77777777" w:rsidR="00E53EB6" w:rsidRDefault="006500F5">
      <w:pPr>
        <w:pStyle w:val="HaupttextnachZitat"/>
        <w:numPr>
          <w:ilvl w:val="2"/>
          <w:numId w:val="2"/>
        </w:numPr>
        <w:tabs>
          <w:tab w:val="left" w:pos="0"/>
        </w:tabs>
      </w:pPr>
      <w:r>
        <w:t>Ved</w:t>
      </w:r>
      <w:r>
        <w:t xml:space="preserve">ic Web: </w:t>
      </w:r>
    </w:p>
    <w:p w14:paraId="0A5F8A83" w14:textId="77777777" w:rsidR="00E53EB6" w:rsidRDefault="006500F5">
      <w:pPr>
        <w:pStyle w:val="HaupttextohneEinzug"/>
        <w:numPr>
          <w:ilvl w:val="2"/>
          <w:numId w:val="2"/>
        </w:numPr>
        <w:tabs>
          <w:tab w:val="left" w:pos="0"/>
        </w:tabs>
      </w:pPr>
      <w:r>
        <w:t xml:space="preserve">Mantra: R̥V </w:t>
      </w:r>
      <w:r>
        <w:rPr>
          <w:rFonts w:eastAsia="Arial" w:cs="Times Ext Roman"/>
          <w:szCs w:val="21"/>
          <w:lang w:eastAsia="hi-IN" w:bidi="en-GB"/>
        </w:rPr>
        <w:t>4.44.3.</w:t>
      </w:r>
    </w:p>
    <w:p w14:paraId="0E5171C0" w14:textId="77777777" w:rsidR="00E53EB6" w:rsidRDefault="00E53EB6">
      <w:pPr>
        <w:pStyle w:val="HaupttextohneEinzug"/>
      </w:pPr>
    </w:p>
    <w:p w14:paraId="65858207" w14:textId="77777777" w:rsidR="00E53EB6" w:rsidRDefault="006500F5">
      <w:pPr>
        <w:pStyle w:val="HaupttextohneEinzug"/>
      </w:pPr>
      <w:r>
        <w:t xml:space="preserve">Rite </w:t>
      </w:r>
    </w:p>
    <w:p w14:paraId="4DDA37FC" w14:textId="77777777" w:rsidR="00E53EB6" w:rsidRDefault="006500F5">
      <w:pPr>
        <w:pStyle w:val="HaupttextohneEinzug"/>
        <w:numPr>
          <w:ilvl w:val="2"/>
          <w:numId w:val="2"/>
        </w:numPr>
        <w:tabs>
          <w:tab w:val="left" w:pos="0"/>
        </w:tabs>
        <w:rPr>
          <w:rFonts w:eastAsia="Arial" w:cs="Times Ext Roman"/>
          <w:szCs w:val="21"/>
          <w:lang w:eastAsia="hi-IN" w:bidi="en-GB"/>
        </w:rPr>
      </w:pPr>
      <w:r>
        <w:rPr>
          <w:rFonts w:eastAsia="Arial" w:cs="Times Ext Roman"/>
          <w:i/>
          <w:iCs/>
          <w:szCs w:val="21"/>
          <w:lang w:eastAsia="hi-IN" w:bidi="en-GB"/>
        </w:rPr>
        <w:t>Mantra</w:t>
      </w:r>
      <w:r>
        <w:rPr>
          <w:rFonts w:eastAsia="Arial" w:cs="Times Ext Roman"/>
          <w:szCs w:val="21"/>
          <w:lang w:eastAsia="hi-IN" w:bidi="en-GB"/>
        </w:rPr>
        <w:t>s to</w:t>
      </w:r>
      <w:r>
        <w:rPr>
          <w:rFonts w:eastAsia="Arial" w:cs="Times Ext Roman"/>
          <w:szCs w:val="21"/>
          <w:lang w:eastAsia="hi-IN" w:bidi="en-GB"/>
        </w:rPr>
        <w:t xml:space="preserve"> be recited in the </w:t>
      </w:r>
      <w:r>
        <w:rPr>
          <w:rFonts w:eastAsia="Arial" w:cs="Times Ext Roman"/>
          <w:i/>
          <w:iCs/>
          <w:szCs w:val="21"/>
          <w:lang w:eastAsia="hi-IN" w:bidi="en-GB"/>
        </w:rPr>
        <w:t>Atirātra</w:t>
      </w:r>
      <w:r>
        <w:rPr>
          <w:rFonts w:eastAsia="Arial" w:cs="Times Ext Roman"/>
          <w:szCs w:val="21"/>
          <w:lang w:eastAsia="hi-IN" w:bidi="en-GB"/>
        </w:rPr>
        <w:t xml:space="preserve"> as </w:t>
      </w:r>
      <w:r>
        <w:rPr>
          <w:rFonts w:eastAsia="Arial" w:cs="Times Ext Roman"/>
          <w:i/>
          <w:iCs/>
          <w:szCs w:val="21"/>
          <w:lang w:eastAsia="hi-IN" w:bidi="en-GB"/>
        </w:rPr>
        <w:t xml:space="preserve">paridhānīyāśastrayāja, </w:t>
      </w:r>
      <w:r>
        <w:rPr>
          <w:rFonts w:eastAsia="Arial" w:cs="Times Ext Roman"/>
          <w:szCs w:val="21"/>
          <w:lang w:eastAsia="hi-IN" w:bidi="en-GB"/>
        </w:rPr>
        <w:t xml:space="preserve">the final verses of the litany recited by the </w:t>
      </w:r>
      <w:r>
        <w:rPr>
          <w:rFonts w:eastAsia="Arial" w:cs="Times Ext Roman"/>
          <w:i/>
          <w:iCs/>
          <w:szCs w:val="21"/>
          <w:lang w:eastAsia="hi-IN" w:bidi="en-GB"/>
        </w:rPr>
        <w:t>hotr̥</w:t>
      </w:r>
      <w:r>
        <w:rPr>
          <w:rFonts w:eastAsia="Arial" w:cs="Times Ext Roman"/>
          <w:szCs w:val="21"/>
          <w:lang w:eastAsia="hi-IN" w:bidi="en-GB"/>
        </w:rPr>
        <w:t>.</w:t>
      </w:r>
    </w:p>
    <w:p w14:paraId="47A29889" w14:textId="77777777" w:rsidR="00E53EB6" w:rsidRDefault="00E53EB6">
      <w:pPr>
        <w:pStyle w:val="HaupttextohneEinzug"/>
        <w:rPr>
          <w:rFonts w:eastAsia="Arial" w:cs="Times Ext Roman"/>
          <w:szCs w:val="21"/>
          <w:lang w:eastAsia="hi-IN" w:bidi="en-GB"/>
        </w:rPr>
      </w:pPr>
    </w:p>
    <w:p w14:paraId="43C29F61" w14:textId="77777777" w:rsidR="00E53EB6" w:rsidRDefault="006500F5">
      <w:pPr>
        <w:pStyle w:val="Heading4"/>
        <w:tabs>
          <w:tab w:val="left" w:pos="0"/>
        </w:tabs>
        <w:rPr>
          <w:rFonts w:eastAsia="Arial" w:cs="Times Ext Roman"/>
          <w:b w:val="0"/>
          <w:bCs w:val="0"/>
          <w:iCs w:val="0"/>
          <w:sz w:val="21"/>
          <w:szCs w:val="21"/>
          <w:lang w:eastAsia="hi-IN" w:bidi="en-GB"/>
        </w:rPr>
      </w:pPr>
      <w:r>
        <w:rPr>
          <w:rFonts w:eastAsia="Arial" w:cs="Devanagari MT;Times New Roman"/>
          <w:iCs w:val="0"/>
          <w:sz w:val="21"/>
          <w:szCs w:val="21"/>
          <w:lang w:eastAsia="hi-IN" w:bidi="en-GB"/>
        </w:rPr>
        <w:t>IV.1.2.2 Derivatives that occur both in R̥V</w:t>
      </w:r>
      <w:r>
        <w:rPr>
          <w:rFonts w:eastAsia="Arial" w:cs="Devanagari MT;Times New Roman"/>
          <w:i/>
          <w:sz w:val="21"/>
          <w:szCs w:val="21"/>
          <w:lang w:eastAsia="hi-IN" w:bidi="en-GB"/>
        </w:rPr>
        <w:t xml:space="preserve"> </w:t>
      </w:r>
      <w:r>
        <w:rPr>
          <w:rFonts w:eastAsia="Arial" w:cs="Devanagari MT;Times New Roman"/>
          <w:iCs w:val="0"/>
          <w:sz w:val="21"/>
          <w:szCs w:val="21"/>
          <w:lang w:eastAsia="hi-IN" w:bidi="en-GB"/>
        </w:rPr>
        <w:t>quotations and in non-R̥V quotations</w:t>
      </w:r>
    </w:p>
    <w:p w14:paraId="1C691D63" w14:textId="77777777" w:rsidR="00E53EB6" w:rsidRDefault="006500F5">
      <w:pPr>
        <w:pStyle w:val="Heading4"/>
        <w:tabs>
          <w:tab w:val="left" w:pos="0"/>
        </w:tabs>
      </w:pPr>
      <w:r>
        <w:rPr>
          <w:i/>
        </w:rPr>
        <w:t>a) vanu</w:t>
      </w:r>
      <w:r>
        <w:rPr>
          <w:i/>
        </w:rPr>
        <w:t>ṣ</w:t>
      </w:r>
      <w:r>
        <w:rPr>
          <w:i/>
        </w:rPr>
        <w:t>ya</w:t>
      </w:r>
      <w:r>
        <w:t>-</w:t>
      </w:r>
    </w:p>
    <w:p w14:paraId="07992DF1" w14:textId="77777777" w:rsidR="00E53EB6" w:rsidRDefault="006500F5">
      <w:pPr>
        <w:pStyle w:val="Heading4"/>
        <w:tabs>
          <w:tab w:val="left" w:pos="0"/>
        </w:tabs>
      </w:pPr>
      <w:r>
        <w:t xml:space="preserve">R̥V </w:t>
      </w:r>
      <w:r>
        <w:rPr>
          <w:i/>
        </w:rPr>
        <w:t>mantra</w:t>
      </w:r>
      <w:r>
        <w:rPr>
          <w:iCs w:val="0"/>
        </w:rPr>
        <w:t>s</w:t>
      </w:r>
    </w:p>
    <w:p w14:paraId="1A843B43" w14:textId="77777777" w:rsidR="00E53EB6" w:rsidRDefault="006500F5">
      <w:pPr>
        <w:pStyle w:val="Heading5"/>
        <w:tabs>
          <w:tab w:val="left" w:pos="0"/>
        </w:tabs>
      </w:pPr>
      <w:r>
        <w:rPr>
          <w:rFonts w:cs="Devanagari MT;Times New Roman"/>
          <w:u w:val="single"/>
        </w:rPr>
        <w:t>JS 3.36.8 = KauS II.483</w:t>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p>
    <w:p w14:paraId="5DE24278" w14:textId="77777777" w:rsidR="00E53EB6" w:rsidRDefault="006500F5">
      <w:pPr>
        <w:pStyle w:val="Zitat"/>
        <w:autoSpaceDE w:val="0"/>
      </w:pPr>
      <w:r>
        <w:rPr>
          <w:lang w:eastAsia="hi-IN"/>
        </w:rPr>
        <w:t>JS 3.36.8 = KauS II.483</w:t>
      </w:r>
      <w:r>
        <w:rPr>
          <w:i/>
          <w:iCs/>
          <w:lang w:eastAsia="hi-IN"/>
        </w:rPr>
        <w:t xml:space="preserve"> avyo vāre pari priyo harir vane</w:t>
      </w:r>
      <w:r>
        <w:rPr>
          <w:i/>
          <w:iCs/>
          <w:lang w:eastAsia="hi-IN"/>
        </w:rPr>
        <w:t>ṣ</w:t>
      </w:r>
      <w:r>
        <w:rPr>
          <w:i/>
          <w:iCs/>
          <w:lang w:eastAsia="hi-IN"/>
        </w:rPr>
        <w:t>u sīdati / rebho vanu</w:t>
      </w:r>
      <w:r>
        <w:rPr>
          <w:i/>
          <w:iCs/>
          <w:lang w:eastAsia="hi-IN"/>
        </w:rPr>
        <w:t>ṣ</w:t>
      </w:r>
      <w:r>
        <w:rPr>
          <w:i/>
          <w:iCs/>
          <w:lang w:eastAsia="hi-IN"/>
        </w:rPr>
        <w:t>yate matī //</w:t>
      </w:r>
    </w:p>
    <w:p w14:paraId="4C1CDA39" w14:textId="77777777" w:rsidR="00E53EB6" w:rsidRDefault="006500F5">
      <w:pPr>
        <w:pStyle w:val="Zitat"/>
        <w:autoSpaceDE w:val="0"/>
        <w:rPr>
          <w:lang w:eastAsia="hi-IN"/>
        </w:rPr>
      </w:pPr>
      <w:r>
        <w:rPr>
          <w:lang w:eastAsia="hi-IN"/>
        </w:rPr>
        <w:t>The beloved steed</w:t>
      </w:r>
      <w:r>
        <w:rPr>
          <w:rStyle w:val="FootnoteAnchor"/>
          <w:lang w:eastAsia="hi-IN"/>
        </w:rPr>
        <w:footnoteReference w:id="503"/>
      </w:r>
      <w:r>
        <w:rPr>
          <w:lang w:eastAsia="hi-IN"/>
        </w:rPr>
        <w:t xml:space="preserve"> sits on the [pieces of] wood, all around the threads of wool</w:t>
      </w:r>
      <w:r>
        <w:rPr>
          <w:rStyle w:val="FootnoteAnchor"/>
          <w:lang w:eastAsia="hi-IN"/>
        </w:rPr>
        <w:footnoteReference w:id="504"/>
      </w:r>
      <w:r>
        <w:rPr>
          <w:lang w:eastAsia="hi-IN"/>
        </w:rPr>
        <w:t>; he who prays wishes to have enter the circle of the rite thanks to the poetic work</w:t>
      </w:r>
      <w:r>
        <w:rPr>
          <w:rStyle w:val="FootnoteAnchor"/>
          <w:lang w:eastAsia="hi-IN"/>
        </w:rPr>
        <w:footnoteReference w:id="505"/>
      </w:r>
      <w:r>
        <w:rPr>
          <w:rStyle w:val="FootnoteCharacters"/>
          <w:lang w:eastAsia="hi-IN"/>
        </w:rPr>
        <w:t>.</w:t>
      </w:r>
    </w:p>
    <w:p w14:paraId="09EC9460" w14:textId="77777777" w:rsidR="00E53EB6" w:rsidRDefault="006500F5">
      <w:pPr>
        <w:pStyle w:val="Zitat"/>
        <w:autoSpaceDE w:val="0"/>
        <w:rPr>
          <w:i/>
          <w:iCs/>
        </w:rPr>
      </w:pPr>
      <w:r>
        <w:rPr>
          <w:i/>
          <w:iCs/>
        </w:rPr>
        <w:t>vanu</w:t>
      </w:r>
      <w:r>
        <w:rPr>
          <w:i/>
          <w:iCs/>
        </w:rPr>
        <w:t>ṣ</w:t>
      </w:r>
      <w:r>
        <w:rPr>
          <w:i/>
          <w:iCs/>
        </w:rPr>
        <w:t xml:space="preserve">yate: </w:t>
      </w:r>
      <w:r>
        <w:t>ind. pres. 3</w:t>
      </w:r>
      <w:r>
        <w:rPr>
          <w:vertAlign w:val="superscript"/>
        </w:rPr>
        <w:t>rd</w:t>
      </w:r>
      <w:r>
        <w:t xml:space="preserve"> sing. Ā of the denominative </w:t>
      </w:r>
      <w:r>
        <w:rPr>
          <w:i/>
          <w:iCs/>
        </w:rPr>
        <w:t>vanu</w:t>
      </w:r>
      <w:r>
        <w:rPr>
          <w:i/>
          <w:iCs/>
        </w:rPr>
        <w:t>ṣ</w:t>
      </w:r>
      <w:r>
        <w:rPr>
          <w:i/>
          <w:iCs/>
        </w:rPr>
        <w:t>ya-</w:t>
      </w:r>
    </w:p>
    <w:p w14:paraId="5404EE48" w14:textId="77777777" w:rsidR="00E53EB6" w:rsidRDefault="006500F5">
      <w:pPr>
        <w:pStyle w:val="HaupttextnachZitat"/>
        <w:numPr>
          <w:ilvl w:val="2"/>
          <w:numId w:val="2"/>
        </w:numPr>
        <w:tabs>
          <w:tab w:val="left" w:pos="0"/>
        </w:tabs>
      </w:pPr>
      <w:r>
        <w:t xml:space="preserve">Vedic Web: </w:t>
      </w:r>
    </w:p>
    <w:p w14:paraId="5C361DF7" w14:textId="77777777" w:rsidR="00E53EB6" w:rsidRDefault="006500F5">
      <w:pPr>
        <w:pStyle w:val="HaupttextohneEinzug"/>
        <w:numPr>
          <w:ilvl w:val="2"/>
          <w:numId w:val="2"/>
        </w:numPr>
        <w:tabs>
          <w:tab w:val="left" w:pos="0"/>
        </w:tabs>
      </w:pPr>
      <w:r>
        <w:t>Mantra: R̥V 9.7.6</w:t>
      </w:r>
      <w:r>
        <w:rPr>
          <w:rFonts w:eastAsia="Arial" w:cs="Times Ext Roman"/>
          <w:szCs w:val="21"/>
          <w:lang w:eastAsia="hi-IN" w:bidi="en-GB"/>
        </w:rPr>
        <w:t>.</w:t>
      </w:r>
    </w:p>
    <w:p w14:paraId="23287675" w14:textId="77777777" w:rsidR="00E53EB6" w:rsidRDefault="00E53EB6">
      <w:pPr>
        <w:pStyle w:val="HaupttextohneEinzug"/>
      </w:pPr>
    </w:p>
    <w:p w14:paraId="6255254B" w14:textId="77777777" w:rsidR="00E53EB6" w:rsidRDefault="00E53EB6">
      <w:pPr>
        <w:pStyle w:val="HaupttextohneEinzug"/>
        <w:rPr>
          <w:rFonts w:eastAsia="Arial" w:cs="Times Ext Roman"/>
          <w:i/>
          <w:iCs/>
          <w:szCs w:val="21"/>
          <w:lang w:eastAsia="hi-IN" w:bidi="en-GB"/>
        </w:rPr>
      </w:pPr>
    </w:p>
    <w:p w14:paraId="77849053" w14:textId="77777777" w:rsidR="00E53EB6" w:rsidRDefault="006500F5">
      <w:pPr>
        <w:pStyle w:val="Heading5"/>
        <w:tabs>
          <w:tab w:val="left" w:pos="0"/>
        </w:tabs>
      </w:pPr>
      <w:r>
        <w:rPr>
          <w:rFonts w:cs="Devanagari MT;Times New Roman"/>
          <w:u w:val="single"/>
        </w:rPr>
        <w:t xml:space="preserve">TS </w:t>
      </w:r>
      <w:r>
        <w:rPr>
          <w:rFonts w:cs="Devanagari MT;Times New Roman"/>
          <w:u w:val="single"/>
        </w:rPr>
        <w:t>2.5.12.2-3t</w:t>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p>
    <w:p w14:paraId="33A1B770" w14:textId="77777777" w:rsidR="00E53EB6" w:rsidRDefault="006500F5">
      <w:pPr>
        <w:pStyle w:val="Zitat"/>
        <w:autoSpaceDE w:val="0"/>
      </w:pPr>
      <w:r>
        <w:rPr>
          <w:lang w:eastAsia="hi-IN"/>
        </w:rPr>
        <w:t>2.5.12.2t</w:t>
      </w:r>
      <w:r>
        <w:rPr>
          <w:i/>
          <w:iCs/>
          <w:lang w:eastAsia="hi-IN"/>
        </w:rPr>
        <w:t xml:space="preserve"> índrāvarunā yuvám adhvarā́ya na</w:t>
      </w:r>
      <w:r>
        <w:rPr>
          <w:i/>
          <w:iCs/>
          <w:lang w:eastAsia="hi-IN"/>
        </w:rPr>
        <w:t>ḥ</w:t>
      </w:r>
      <w:r>
        <w:rPr>
          <w:i/>
          <w:iCs/>
          <w:lang w:eastAsia="hi-IN"/>
        </w:rPr>
        <w:t xml:space="preserve"> //</w:t>
      </w:r>
    </w:p>
    <w:p w14:paraId="5E07241E" w14:textId="77777777" w:rsidR="00E53EB6" w:rsidRDefault="006500F5">
      <w:pPr>
        <w:pStyle w:val="ZitatnachZitat"/>
      </w:pPr>
      <w:r>
        <w:rPr>
          <w:rFonts w:eastAsia="Arial" w:cs="Times Ext Roman"/>
          <w:szCs w:val="18"/>
          <w:lang w:eastAsia="hi-IN" w:bidi="en-GB"/>
        </w:rPr>
        <w:t xml:space="preserve">3t </w:t>
      </w:r>
      <w:r>
        <w:rPr>
          <w:rFonts w:eastAsia="Arial" w:cs="Times Ext Roman"/>
          <w:i/>
          <w:iCs/>
          <w:szCs w:val="18"/>
          <w:lang w:eastAsia="hi-IN" w:bidi="en-GB"/>
        </w:rPr>
        <w:t>viśé jánāya máhi śárma yachatam / dīrgháprayajyum áti yó vanu</w:t>
      </w:r>
      <w:r>
        <w:rPr>
          <w:rFonts w:eastAsia="Arial" w:cs="Times Ext Roman"/>
          <w:i/>
          <w:iCs/>
          <w:szCs w:val="18"/>
          <w:lang w:eastAsia="hi-IN" w:bidi="en-GB"/>
        </w:rPr>
        <w:t>ṣ</w:t>
      </w:r>
      <w:r>
        <w:rPr>
          <w:rFonts w:eastAsia="Arial" w:cs="Times Ext Roman"/>
          <w:i/>
          <w:iCs/>
          <w:szCs w:val="18"/>
          <w:lang w:eastAsia="hi-IN" w:bidi="en-GB"/>
        </w:rPr>
        <w:t>yáti vayá</w:t>
      </w:r>
      <w:r>
        <w:rPr>
          <w:rFonts w:eastAsia="Arial" w:cs="Times Ext Roman"/>
          <w:i/>
          <w:iCs/>
          <w:szCs w:val="18"/>
          <w:lang w:eastAsia="hi-IN" w:bidi="en-GB"/>
        </w:rPr>
        <w:t>ṃ</w:t>
      </w:r>
      <w:r>
        <w:rPr>
          <w:rFonts w:eastAsia="Arial" w:cs="Times Ext Roman"/>
          <w:i/>
          <w:iCs/>
          <w:szCs w:val="18"/>
          <w:lang w:eastAsia="hi-IN" w:bidi="en-GB"/>
        </w:rPr>
        <w:t xml:space="preserve"> jayema pŕ̥tanāsu dū</w:t>
      </w:r>
      <w:r>
        <w:rPr>
          <w:rFonts w:eastAsia="Arial" w:cs="Times Ext Roman"/>
          <w:i/>
          <w:iCs/>
          <w:szCs w:val="18"/>
          <w:lang w:eastAsia="hi-IN" w:bidi="en-GB"/>
        </w:rPr>
        <w:t>ḍ</w:t>
      </w:r>
      <w:r>
        <w:rPr>
          <w:rFonts w:eastAsia="Arial" w:cs="Times Ext Roman"/>
          <w:i/>
          <w:iCs/>
          <w:szCs w:val="18"/>
          <w:lang w:eastAsia="hi-IN" w:bidi="en-GB"/>
        </w:rPr>
        <w:t>hyà</w:t>
      </w:r>
      <w:r>
        <w:rPr>
          <w:rFonts w:eastAsia="Arial" w:cs="Times Ext Roman"/>
          <w:i/>
          <w:iCs/>
          <w:szCs w:val="18"/>
          <w:lang w:eastAsia="hi-IN" w:bidi="en-GB"/>
        </w:rPr>
        <w:t>ḥ</w:t>
      </w:r>
      <w:r>
        <w:rPr>
          <w:rFonts w:eastAsia="Arial" w:cs="Times Ext Roman"/>
          <w:i/>
          <w:iCs/>
          <w:szCs w:val="18"/>
          <w:lang w:eastAsia="hi-IN" w:bidi="en-GB"/>
        </w:rPr>
        <w:t xml:space="preserve"> //</w:t>
      </w:r>
    </w:p>
    <w:p w14:paraId="53018A55" w14:textId="77777777" w:rsidR="00E53EB6" w:rsidRDefault="006500F5">
      <w:pPr>
        <w:pStyle w:val="Zitat"/>
        <w:autoSpaceDE w:val="0"/>
        <w:rPr>
          <w:lang w:eastAsia="hi-IN"/>
        </w:rPr>
      </w:pPr>
      <w:r>
        <w:rPr>
          <w:lang w:eastAsia="hi-IN"/>
        </w:rPr>
        <w:t xml:space="preserve">O Indra and Varuna extend over our sacrifice, over the tribe, over the people great protection; whomsoever </w:t>
      </w:r>
      <w:r>
        <w:rPr>
          <w:u w:val="single"/>
          <w:lang w:eastAsia="hi-IN"/>
        </w:rPr>
        <w:lastRenderedPageBreak/>
        <w:t xml:space="preserve">wishes to appropriate </w:t>
      </w:r>
      <w:r>
        <w:rPr>
          <w:lang w:eastAsia="hi-IN"/>
        </w:rPr>
        <w:t>the man who perseveres in sacrifices, those who have bad visions, may we conquer them in battles.</w:t>
      </w:r>
    </w:p>
    <w:p w14:paraId="7D24CD3F" w14:textId="77777777" w:rsidR="00E53EB6" w:rsidRDefault="006500F5">
      <w:pPr>
        <w:pStyle w:val="Zitat"/>
        <w:autoSpaceDE w:val="0"/>
        <w:rPr>
          <w:i/>
          <w:iCs/>
        </w:rPr>
      </w:pPr>
      <w:r>
        <w:rPr>
          <w:i/>
          <w:iCs/>
        </w:rPr>
        <w:t>vanu</w:t>
      </w:r>
      <w:r>
        <w:rPr>
          <w:i/>
          <w:iCs/>
        </w:rPr>
        <w:t>ṣ</w:t>
      </w:r>
      <w:r>
        <w:rPr>
          <w:i/>
          <w:iCs/>
        </w:rPr>
        <w:t xml:space="preserve">yati: </w:t>
      </w:r>
      <w:r>
        <w:t>ind. pres. 3</w:t>
      </w:r>
      <w:r>
        <w:rPr>
          <w:vertAlign w:val="superscript"/>
        </w:rPr>
        <w:t>rd</w:t>
      </w:r>
      <w:r>
        <w:t xml:space="preserve"> sin</w:t>
      </w:r>
      <w:r>
        <w:t xml:space="preserve">g. of the denominative </w:t>
      </w:r>
      <w:r>
        <w:rPr>
          <w:i/>
          <w:iCs/>
        </w:rPr>
        <w:t>vanu</w:t>
      </w:r>
      <w:r>
        <w:rPr>
          <w:i/>
          <w:iCs/>
        </w:rPr>
        <w:t>ṣ</w:t>
      </w:r>
      <w:r>
        <w:rPr>
          <w:i/>
          <w:iCs/>
        </w:rPr>
        <w:t>ya-</w:t>
      </w:r>
    </w:p>
    <w:p w14:paraId="07E2D916" w14:textId="77777777" w:rsidR="00E53EB6" w:rsidRDefault="006500F5">
      <w:pPr>
        <w:pStyle w:val="ZitatmitEinzug"/>
        <w:autoSpaceDE w:val="0"/>
        <w:rPr>
          <w:rFonts w:eastAsia="Arial" w:cs="Times Ext Roman"/>
          <w:szCs w:val="18"/>
          <w:lang w:eastAsia="hi-IN" w:bidi="en-GB"/>
        </w:rPr>
      </w:pPr>
      <w:r>
        <w:rPr>
          <w:rStyle w:val="biblio-authorGEN"/>
          <w:rFonts w:eastAsia="Arial" w:cs="Times Ext Roman"/>
          <w:sz w:val="18"/>
          <w:szCs w:val="18"/>
          <w:lang w:eastAsia="hi-IN" w:bidi="en-GB"/>
        </w:rPr>
        <w:t>Keith</w:t>
      </w:r>
      <w:r>
        <w:rPr>
          <w:rFonts w:eastAsia="Arial" w:cs="Times Ext Roman"/>
          <w:szCs w:val="18"/>
          <w:lang w:eastAsia="hi-IN" w:bidi="en-GB"/>
        </w:rPr>
        <w:t xml:space="preserve"> 1914:</w:t>
      </w:r>
      <w:r>
        <w:rPr>
          <w:rFonts w:eastAsia="Arial" w:cs="Times Ext Roman"/>
          <w:szCs w:val="18"/>
          <w:lang w:eastAsia="hi-IN" w:bidi="en-GB"/>
        </w:rPr>
        <w:t xml:space="preserve"> 204 “is fain to overpower”</w:t>
      </w:r>
    </w:p>
    <w:p w14:paraId="24AEC363" w14:textId="77777777" w:rsidR="00E53EB6" w:rsidRDefault="006500F5">
      <w:pPr>
        <w:pStyle w:val="HaupttextnachZitat"/>
        <w:numPr>
          <w:ilvl w:val="2"/>
          <w:numId w:val="2"/>
        </w:numPr>
        <w:tabs>
          <w:tab w:val="left" w:pos="0"/>
        </w:tabs>
      </w:pPr>
      <w:r>
        <w:t xml:space="preserve">Vedic Web: </w:t>
      </w:r>
    </w:p>
    <w:p w14:paraId="5F8A6EC0" w14:textId="77777777" w:rsidR="00E53EB6" w:rsidRDefault="006500F5">
      <w:pPr>
        <w:pStyle w:val="HaupttextohneEinzug"/>
        <w:numPr>
          <w:ilvl w:val="2"/>
          <w:numId w:val="2"/>
        </w:numPr>
        <w:tabs>
          <w:tab w:val="left" w:pos="0"/>
        </w:tabs>
      </w:pPr>
      <w:r>
        <w:t>Mantra: R̥V 7.82.1; MS 4.12.4: 187,1-2</w:t>
      </w:r>
      <w:r>
        <w:rPr>
          <w:rFonts w:eastAsia="Arial" w:cs="Times Ext Roman"/>
          <w:szCs w:val="21"/>
          <w:lang w:eastAsia="hi-IN" w:bidi="en-GB"/>
        </w:rPr>
        <w:t>.</w:t>
      </w:r>
    </w:p>
    <w:p w14:paraId="5CC7A805" w14:textId="77777777" w:rsidR="00E53EB6" w:rsidRDefault="006500F5">
      <w:pPr>
        <w:pStyle w:val="HaupttextohneEinzug"/>
        <w:numPr>
          <w:ilvl w:val="2"/>
          <w:numId w:val="2"/>
        </w:numPr>
        <w:tabs>
          <w:tab w:val="left" w:pos="0"/>
        </w:tabs>
        <w:rPr>
          <w:rFonts w:eastAsia="Arial" w:cs="Times Ext Roman"/>
          <w:szCs w:val="21"/>
          <w:lang w:eastAsia="hi-IN" w:bidi="en-GB"/>
        </w:rPr>
      </w:pPr>
      <w:r>
        <w:rPr>
          <w:rFonts w:eastAsia="Arial" w:cs="Times Ext Roman"/>
          <w:szCs w:val="21"/>
          <w:lang w:eastAsia="hi-IN" w:bidi="en-GB"/>
        </w:rPr>
        <w:t>Prose: TS 2.3.13.</w:t>
      </w:r>
    </w:p>
    <w:p w14:paraId="7285B3B6" w14:textId="77777777" w:rsidR="00E53EB6" w:rsidRDefault="00E53EB6">
      <w:pPr>
        <w:pStyle w:val="HaupttextohneEinzug"/>
      </w:pPr>
    </w:p>
    <w:p w14:paraId="0E4C3C8A" w14:textId="77777777" w:rsidR="00E53EB6" w:rsidRDefault="006500F5">
      <w:pPr>
        <w:pStyle w:val="HaupttextohneEinzug"/>
      </w:pPr>
      <w:r>
        <w:t xml:space="preserve">Rite </w:t>
      </w:r>
    </w:p>
    <w:p w14:paraId="1DBB3182" w14:textId="77777777" w:rsidR="00E53EB6" w:rsidRDefault="006500F5">
      <w:pPr>
        <w:pStyle w:val="HaupttextohneEinzug"/>
      </w:pPr>
      <w:r>
        <w:rPr>
          <w:rFonts w:eastAsia="Arial" w:cs="Times Ext Roman"/>
          <w:i/>
          <w:iCs/>
          <w:szCs w:val="21"/>
          <w:lang w:eastAsia="hi-IN" w:bidi="en-GB"/>
        </w:rPr>
        <w:t>Darśapūr</w:t>
      </w:r>
      <w:r>
        <w:rPr>
          <w:rFonts w:eastAsia="Arial" w:cs="Times Ext Roman"/>
          <w:i/>
          <w:iCs/>
          <w:szCs w:val="21"/>
          <w:lang w:eastAsia="hi-IN" w:bidi="en-GB"/>
        </w:rPr>
        <w:t>ṇ</w:t>
      </w:r>
      <w:r>
        <w:rPr>
          <w:rFonts w:eastAsia="Arial" w:cs="Times Ext Roman"/>
          <w:i/>
          <w:iCs/>
          <w:szCs w:val="21"/>
          <w:lang w:eastAsia="hi-IN" w:bidi="en-GB"/>
        </w:rPr>
        <w:t>amāse</w:t>
      </w:r>
      <w:r>
        <w:rPr>
          <w:rFonts w:eastAsia="Arial" w:cs="Times Ext Roman"/>
          <w:i/>
          <w:iCs/>
          <w:szCs w:val="21"/>
          <w:lang w:eastAsia="hi-IN" w:bidi="en-GB"/>
        </w:rPr>
        <w:t>ṣṭ</w:t>
      </w:r>
      <w:r>
        <w:rPr>
          <w:rFonts w:eastAsia="Arial" w:cs="Times Ext Roman"/>
          <w:i/>
          <w:iCs/>
          <w:szCs w:val="21"/>
          <w:lang w:eastAsia="hi-IN" w:bidi="en-GB"/>
        </w:rPr>
        <w:t>ī</w:t>
      </w:r>
      <w:r>
        <w:rPr>
          <w:rFonts w:eastAsia="Arial" w:cs="Times Ext Roman"/>
          <w:szCs w:val="21"/>
          <w:lang w:eastAsia="hi-IN" w:bidi="en-GB"/>
        </w:rPr>
        <w:t xml:space="preserve">, </w:t>
      </w:r>
      <w:r>
        <w:rPr>
          <w:rFonts w:eastAsia="Arial" w:cs="Times Ext Roman"/>
          <w:i/>
          <w:iCs/>
          <w:szCs w:val="21"/>
          <w:lang w:eastAsia="hi-IN" w:bidi="en-GB"/>
        </w:rPr>
        <w:t>mantra</w:t>
      </w:r>
      <w:r>
        <w:rPr>
          <w:rFonts w:eastAsia="Arial" w:cs="Times Ext Roman"/>
          <w:szCs w:val="21"/>
          <w:lang w:eastAsia="hi-IN" w:bidi="en-GB"/>
        </w:rPr>
        <w:t xml:space="preserve">s to be recited by the </w:t>
      </w:r>
      <w:r>
        <w:rPr>
          <w:rFonts w:eastAsia="Arial" w:cs="Times Ext Roman"/>
          <w:i/>
          <w:iCs/>
          <w:szCs w:val="21"/>
          <w:lang w:eastAsia="hi-IN" w:bidi="en-GB"/>
        </w:rPr>
        <w:t xml:space="preserve">hotr̥ </w:t>
      </w:r>
      <w:r>
        <w:rPr>
          <w:rFonts w:eastAsia="Arial" w:cs="Times Ext Roman"/>
          <w:szCs w:val="21"/>
          <w:lang w:eastAsia="hi-IN" w:bidi="en-GB"/>
        </w:rPr>
        <w:t xml:space="preserve">for the </w:t>
      </w:r>
      <w:r>
        <w:rPr>
          <w:rFonts w:eastAsia="Arial" w:cs="Times Ext Roman"/>
          <w:i/>
          <w:iCs/>
          <w:szCs w:val="21"/>
          <w:lang w:eastAsia="hi-IN" w:bidi="en-GB"/>
        </w:rPr>
        <w:t>Kamye</w:t>
      </w:r>
      <w:r>
        <w:rPr>
          <w:rFonts w:eastAsia="Arial" w:cs="Times Ext Roman"/>
          <w:i/>
          <w:iCs/>
          <w:szCs w:val="21"/>
          <w:lang w:eastAsia="hi-IN" w:bidi="en-GB"/>
        </w:rPr>
        <w:t>ṣṭ</w:t>
      </w:r>
      <w:r>
        <w:rPr>
          <w:rFonts w:eastAsia="Arial" w:cs="Times Ext Roman"/>
          <w:i/>
          <w:iCs/>
          <w:szCs w:val="21"/>
          <w:lang w:eastAsia="hi-IN" w:bidi="en-GB"/>
        </w:rPr>
        <w:t xml:space="preserve">i </w:t>
      </w:r>
      <w:r>
        <w:rPr>
          <w:rFonts w:eastAsia="Arial" w:cs="Times Ext Roman"/>
          <w:szCs w:val="21"/>
          <w:lang w:eastAsia="hi-IN" w:bidi="en-GB"/>
        </w:rPr>
        <w:t xml:space="preserve">for one long diseased and for one </w:t>
      </w:r>
      <w:r>
        <w:rPr>
          <w:rFonts w:eastAsia="Arial" w:cs="Times Ext Roman"/>
          <w:szCs w:val="21"/>
          <w:lang w:eastAsia="hi-IN" w:bidi="en-GB"/>
        </w:rPr>
        <w:t>desiring life.</w:t>
      </w:r>
    </w:p>
    <w:p w14:paraId="3167049F" w14:textId="77777777" w:rsidR="00E53EB6" w:rsidRDefault="00E53EB6">
      <w:pPr>
        <w:pStyle w:val="HaupttextohneEinzug"/>
        <w:rPr>
          <w:rFonts w:eastAsia="Arial" w:cs="Times Ext Roman"/>
          <w:szCs w:val="21"/>
          <w:lang w:eastAsia="hi-IN" w:bidi="en-GB"/>
        </w:rPr>
      </w:pPr>
    </w:p>
    <w:p w14:paraId="58290AAC" w14:textId="77777777" w:rsidR="00E53EB6" w:rsidRDefault="006500F5">
      <w:pPr>
        <w:pStyle w:val="Heading5"/>
        <w:tabs>
          <w:tab w:val="left" w:pos="0"/>
        </w:tabs>
      </w:pPr>
      <w:r>
        <w:rPr>
          <w:rFonts w:cs="Devanagari MT;Times New Roman"/>
          <w:u w:val="single"/>
        </w:rPr>
        <w:t>MS 4.12.4: 187,1-2</w:t>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p>
    <w:p w14:paraId="398B4A31" w14:textId="77777777" w:rsidR="00E53EB6" w:rsidRDefault="006500F5">
      <w:pPr>
        <w:pStyle w:val="Zitat"/>
        <w:rPr>
          <w:i/>
          <w:iCs/>
          <w:lang w:eastAsia="hi-IN"/>
        </w:rPr>
      </w:pPr>
      <w:r>
        <w:rPr>
          <w:lang w:eastAsia="hi-IN"/>
        </w:rPr>
        <w:t>4.12.4</w:t>
      </w:r>
      <w:r>
        <w:rPr>
          <w:i/>
          <w:iCs/>
          <w:lang w:eastAsia="hi-IN"/>
        </w:rPr>
        <w:t xml:space="preserve"> índrāvarunā yuvám adhvarā́ya no viśé jánāya máhi śárma yachatam / dīrgháprayajyumáti yó vanu</w:t>
      </w:r>
      <w:r>
        <w:rPr>
          <w:i/>
          <w:iCs/>
          <w:lang w:eastAsia="hi-IN"/>
        </w:rPr>
        <w:t>ṣ</w:t>
      </w:r>
      <w:r>
        <w:rPr>
          <w:i/>
          <w:iCs/>
          <w:lang w:eastAsia="hi-IN"/>
        </w:rPr>
        <w:t>yáti vayá</w:t>
      </w:r>
      <w:r>
        <w:rPr>
          <w:i/>
          <w:iCs/>
          <w:lang w:eastAsia="hi-IN"/>
        </w:rPr>
        <w:t>ṃ</w:t>
      </w:r>
      <w:r>
        <w:rPr>
          <w:i/>
          <w:iCs/>
          <w:lang w:eastAsia="hi-IN"/>
        </w:rPr>
        <w:t xml:space="preserve"> jayema pŕ̥tanāsu dū</w:t>
      </w:r>
      <w:r>
        <w:rPr>
          <w:i/>
          <w:iCs/>
          <w:lang w:eastAsia="hi-IN"/>
        </w:rPr>
        <w:t>ḍ</w:t>
      </w:r>
      <w:r>
        <w:rPr>
          <w:i/>
          <w:iCs/>
          <w:lang w:eastAsia="hi-IN"/>
        </w:rPr>
        <w:t>hyà</w:t>
      </w:r>
      <w:r>
        <w:rPr>
          <w:i/>
          <w:iCs/>
          <w:lang w:eastAsia="hi-IN"/>
        </w:rPr>
        <w:t>ḥ</w:t>
      </w:r>
      <w:r>
        <w:rPr>
          <w:i/>
          <w:iCs/>
          <w:lang w:eastAsia="hi-IN"/>
        </w:rPr>
        <w:t xml:space="preserve"> //</w:t>
      </w:r>
    </w:p>
    <w:p w14:paraId="2FAA0E3F" w14:textId="77777777" w:rsidR="00E53EB6" w:rsidRDefault="006500F5">
      <w:pPr>
        <w:pStyle w:val="Zitat"/>
        <w:autoSpaceDE w:val="0"/>
        <w:rPr>
          <w:lang w:eastAsia="hi-IN"/>
        </w:rPr>
      </w:pPr>
      <w:r>
        <w:rPr>
          <w:lang w:eastAsia="hi-IN"/>
        </w:rPr>
        <w:t>O Indra and Varuna extend over our sacrifice, over the tribe, over the peop</w:t>
      </w:r>
      <w:r>
        <w:rPr>
          <w:lang w:eastAsia="hi-IN"/>
        </w:rPr>
        <w:t xml:space="preserve">le great protection; whomsoever </w:t>
      </w:r>
      <w:r>
        <w:rPr>
          <w:u w:val="single"/>
          <w:lang w:eastAsia="hi-IN"/>
        </w:rPr>
        <w:t xml:space="preserve">wishes to appropriate </w:t>
      </w:r>
      <w:r>
        <w:rPr>
          <w:lang w:eastAsia="hi-IN"/>
        </w:rPr>
        <w:t>the man who perseveres in sacrifices, those who have bad visions, may we conquer them in battles.</w:t>
      </w:r>
    </w:p>
    <w:p w14:paraId="29F15590" w14:textId="77777777" w:rsidR="00E53EB6" w:rsidRDefault="006500F5">
      <w:pPr>
        <w:pStyle w:val="Zitat"/>
        <w:autoSpaceDE w:val="0"/>
        <w:rPr>
          <w:i/>
          <w:iCs/>
        </w:rPr>
      </w:pPr>
      <w:r>
        <w:rPr>
          <w:i/>
          <w:iCs/>
        </w:rPr>
        <w:t>vanu</w:t>
      </w:r>
      <w:r>
        <w:rPr>
          <w:i/>
          <w:iCs/>
        </w:rPr>
        <w:t>ṣ</w:t>
      </w:r>
      <w:r>
        <w:rPr>
          <w:i/>
          <w:iCs/>
        </w:rPr>
        <w:t xml:space="preserve">yati: </w:t>
      </w:r>
      <w:r>
        <w:t>ind. pres. 3</w:t>
      </w:r>
      <w:r>
        <w:rPr>
          <w:vertAlign w:val="superscript"/>
        </w:rPr>
        <w:t>rd</w:t>
      </w:r>
      <w:r>
        <w:t xml:space="preserve"> sing. of the denominative </w:t>
      </w:r>
      <w:r>
        <w:rPr>
          <w:i/>
          <w:iCs/>
        </w:rPr>
        <w:t>vanu</w:t>
      </w:r>
      <w:r>
        <w:rPr>
          <w:i/>
          <w:iCs/>
        </w:rPr>
        <w:t>ṣ</w:t>
      </w:r>
      <w:r>
        <w:rPr>
          <w:i/>
          <w:iCs/>
        </w:rPr>
        <w:t>ya-</w:t>
      </w:r>
    </w:p>
    <w:p w14:paraId="2A6C4483" w14:textId="77777777" w:rsidR="00E53EB6" w:rsidRDefault="006500F5">
      <w:pPr>
        <w:pStyle w:val="HaupttextnachZitat"/>
        <w:numPr>
          <w:ilvl w:val="2"/>
          <w:numId w:val="2"/>
        </w:numPr>
        <w:tabs>
          <w:tab w:val="left" w:pos="0"/>
        </w:tabs>
      </w:pPr>
      <w:r>
        <w:t xml:space="preserve">Vedic Web: </w:t>
      </w:r>
    </w:p>
    <w:p w14:paraId="168D2F35" w14:textId="77777777" w:rsidR="00E53EB6" w:rsidRDefault="006500F5">
      <w:pPr>
        <w:pStyle w:val="HaupttextohneEinzug"/>
        <w:numPr>
          <w:ilvl w:val="2"/>
          <w:numId w:val="2"/>
        </w:numPr>
        <w:tabs>
          <w:tab w:val="left" w:pos="0"/>
        </w:tabs>
      </w:pPr>
      <w:r>
        <w:t xml:space="preserve">Mantra: R̥V </w:t>
      </w:r>
      <w:r>
        <w:rPr>
          <w:rFonts w:eastAsia="Arial" w:cs="Times Ext Roman"/>
          <w:szCs w:val="21"/>
          <w:lang w:eastAsia="hi-IN" w:bidi="en-GB"/>
        </w:rPr>
        <w:t xml:space="preserve">7.82.1; TS </w:t>
      </w:r>
      <w:r>
        <w:rPr>
          <w:rFonts w:eastAsia="Arial" w:cs="Times Ext Roman"/>
          <w:szCs w:val="21"/>
          <w:lang w:eastAsia="hi-IN" w:bidi="en-GB"/>
        </w:rPr>
        <w:t>2.5.12.2-3t.</w:t>
      </w:r>
    </w:p>
    <w:p w14:paraId="4158C105" w14:textId="77777777" w:rsidR="00E53EB6" w:rsidRDefault="006500F5">
      <w:pPr>
        <w:pStyle w:val="HaupttextohneEinzug"/>
        <w:numPr>
          <w:ilvl w:val="2"/>
          <w:numId w:val="2"/>
        </w:numPr>
        <w:tabs>
          <w:tab w:val="left" w:pos="0"/>
        </w:tabs>
        <w:rPr>
          <w:rFonts w:eastAsia="Arial" w:cs="Times Ext Roman"/>
          <w:szCs w:val="21"/>
          <w:lang w:eastAsia="hi-IN" w:bidi="en-GB"/>
        </w:rPr>
      </w:pPr>
      <w:r>
        <w:rPr>
          <w:rFonts w:eastAsia="Arial" w:cs="Times Ext Roman"/>
          <w:szCs w:val="21"/>
          <w:lang w:eastAsia="hi-IN" w:bidi="en-GB"/>
        </w:rPr>
        <w:t>Prose: TS 2.3.13.</w:t>
      </w:r>
    </w:p>
    <w:p w14:paraId="04F1C293" w14:textId="77777777" w:rsidR="00E53EB6" w:rsidRDefault="00E53EB6">
      <w:pPr>
        <w:pStyle w:val="HaupttextohneEinzug"/>
      </w:pPr>
    </w:p>
    <w:p w14:paraId="49C22824" w14:textId="77777777" w:rsidR="00E53EB6" w:rsidRDefault="006500F5">
      <w:pPr>
        <w:pStyle w:val="HaupttextohneEinzug"/>
      </w:pPr>
      <w:r>
        <w:t xml:space="preserve">Rite </w:t>
      </w:r>
    </w:p>
    <w:p w14:paraId="388AC365" w14:textId="77777777" w:rsidR="00E53EB6" w:rsidRDefault="006500F5">
      <w:pPr>
        <w:pStyle w:val="HaupttextohneEinzug"/>
      </w:pPr>
      <w:r>
        <w:rPr>
          <w:rFonts w:eastAsia="Arial" w:cs="Times Ext Roman"/>
          <w:i/>
          <w:iCs/>
          <w:szCs w:val="21"/>
          <w:lang w:eastAsia="hi-IN" w:bidi="en-GB"/>
        </w:rPr>
        <w:t>Darśapūr</w:t>
      </w:r>
      <w:r>
        <w:rPr>
          <w:rFonts w:eastAsia="Arial" w:cs="Times Ext Roman"/>
          <w:i/>
          <w:iCs/>
          <w:szCs w:val="21"/>
          <w:lang w:eastAsia="hi-IN" w:bidi="en-GB"/>
        </w:rPr>
        <w:t>ṇ</w:t>
      </w:r>
      <w:r>
        <w:rPr>
          <w:rFonts w:eastAsia="Arial" w:cs="Times Ext Roman"/>
          <w:i/>
          <w:iCs/>
          <w:szCs w:val="21"/>
          <w:lang w:eastAsia="hi-IN" w:bidi="en-GB"/>
        </w:rPr>
        <w:t>amāse</w:t>
      </w:r>
      <w:r>
        <w:rPr>
          <w:rFonts w:eastAsia="Arial" w:cs="Times Ext Roman"/>
          <w:i/>
          <w:iCs/>
          <w:szCs w:val="21"/>
          <w:lang w:eastAsia="hi-IN" w:bidi="en-GB"/>
        </w:rPr>
        <w:t>ṣṭ</w:t>
      </w:r>
      <w:r>
        <w:rPr>
          <w:rFonts w:eastAsia="Arial" w:cs="Times Ext Roman"/>
          <w:i/>
          <w:iCs/>
          <w:szCs w:val="21"/>
          <w:lang w:eastAsia="hi-IN" w:bidi="en-GB"/>
        </w:rPr>
        <w:t>ī</w:t>
      </w:r>
      <w:r>
        <w:rPr>
          <w:rFonts w:eastAsia="Arial" w:cs="Times Ext Roman"/>
          <w:szCs w:val="21"/>
          <w:lang w:eastAsia="hi-IN" w:bidi="en-GB"/>
        </w:rPr>
        <w:t xml:space="preserve">, </w:t>
      </w:r>
      <w:r>
        <w:rPr>
          <w:rFonts w:eastAsia="Arial" w:cs="Times Ext Roman"/>
          <w:i/>
          <w:iCs/>
          <w:szCs w:val="21"/>
          <w:lang w:eastAsia="hi-IN" w:bidi="en-GB"/>
        </w:rPr>
        <w:t>mantra</w:t>
      </w:r>
      <w:r>
        <w:rPr>
          <w:rFonts w:eastAsia="Arial" w:cs="Times Ext Roman"/>
          <w:szCs w:val="21"/>
          <w:lang w:eastAsia="hi-IN" w:bidi="en-GB"/>
        </w:rPr>
        <w:t xml:space="preserve">s to be recited by the </w:t>
      </w:r>
      <w:r>
        <w:rPr>
          <w:rFonts w:eastAsia="Arial" w:cs="Times Ext Roman"/>
          <w:i/>
          <w:iCs/>
          <w:szCs w:val="21"/>
          <w:lang w:eastAsia="hi-IN" w:bidi="en-GB"/>
        </w:rPr>
        <w:t xml:space="preserve">hotr̥ </w:t>
      </w:r>
      <w:r>
        <w:rPr>
          <w:rFonts w:eastAsia="Arial" w:cs="Times Ext Roman"/>
          <w:szCs w:val="21"/>
          <w:lang w:eastAsia="hi-IN" w:bidi="en-GB"/>
        </w:rPr>
        <w:t xml:space="preserve">for the </w:t>
      </w:r>
      <w:r>
        <w:rPr>
          <w:rFonts w:eastAsia="Arial" w:cs="Times Ext Roman"/>
          <w:i/>
          <w:iCs/>
          <w:szCs w:val="21"/>
          <w:lang w:eastAsia="hi-IN" w:bidi="en-GB"/>
        </w:rPr>
        <w:t>Kamye</w:t>
      </w:r>
      <w:r>
        <w:rPr>
          <w:rFonts w:eastAsia="Arial" w:cs="Times Ext Roman"/>
          <w:i/>
          <w:iCs/>
          <w:szCs w:val="21"/>
          <w:lang w:eastAsia="hi-IN" w:bidi="en-GB"/>
        </w:rPr>
        <w:t>ṣṭ</w:t>
      </w:r>
      <w:r>
        <w:rPr>
          <w:rFonts w:eastAsia="Arial" w:cs="Times Ext Roman"/>
          <w:i/>
          <w:iCs/>
          <w:szCs w:val="21"/>
          <w:lang w:eastAsia="hi-IN" w:bidi="en-GB"/>
        </w:rPr>
        <w:t xml:space="preserve">i </w:t>
      </w:r>
      <w:r>
        <w:rPr>
          <w:rFonts w:eastAsia="Arial" w:cs="Times Ext Roman"/>
          <w:szCs w:val="21"/>
          <w:lang w:eastAsia="hi-IN" w:bidi="en-GB"/>
        </w:rPr>
        <w:t xml:space="preserve">for one long diseased and for one desiring life. </w:t>
      </w:r>
    </w:p>
    <w:p w14:paraId="3E76DD1F" w14:textId="77777777" w:rsidR="00E53EB6" w:rsidRDefault="00E53EB6">
      <w:pPr>
        <w:pStyle w:val="HaupttextohneEinzug"/>
        <w:rPr>
          <w:rFonts w:eastAsia="Arial" w:cs="Times Ext Roman"/>
          <w:szCs w:val="21"/>
          <w:lang w:eastAsia="hi-IN" w:bidi="en-GB"/>
        </w:rPr>
      </w:pPr>
    </w:p>
    <w:p w14:paraId="710DC986" w14:textId="77777777" w:rsidR="00E53EB6" w:rsidRDefault="006500F5">
      <w:pPr>
        <w:pStyle w:val="Heading5"/>
        <w:tabs>
          <w:tab w:val="left" w:pos="0"/>
        </w:tabs>
      </w:pPr>
      <w:r>
        <w:rPr>
          <w:rFonts w:cs="Devanagari MT;Times New Roman"/>
          <w:u w:val="single"/>
        </w:rPr>
        <w:t>MS 4.14.18: 247,13-14</w:t>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p>
    <w:p w14:paraId="38F8FCA9" w14:textId="77777777" w:rsidR="00E53EB6" w:rsidRDefault="006500F5">
      <w:pPr>
        <w:pStyle w:val="Zitat"/>
        <w:autoSpaceDE w:val="0"/>
        <w:rPr>
          <w:i/>
          <w:iCs/>
          <w:lang w:eastAsia="hi-IN"/>
        </w:rPr>
      </w:pPr>
      <w:r>
        <w:rPr>
          <w:lang w:eastAsia="hi-IN"/>
        </w:rPr>
        <w:t>4.14.18</w:t>
      </w:r>
      <w:r>
        <w:rPr>
          <w:i/>
          <w:iCs/>
          <w:lang w:eastAsia="hi-IN"/>
        </w:rPr>
        <w:t xml:space="preserve"> imé turám marúto rāmayantīmé sáha</w:t>
      </w:r>
      <w:r>
        <w:rPr>
          <w:i/>
          <w:iCs/>
          <w:lang w:eastAsia="hi-IN"/>
        </w:rPr>
        <w:t>ḥ</w:t>
      </w:r>
      <w:r>
        <w:rPr>
          <w:i/>
          <w:iCs/>
          <w:lang w:eastAsia="hi-IN"/>
        </w:rPr>
        <w:t xml:space="preserve"> sáhasā ā́namanti / imé śá</w:t>
      </w:r>
      <w:r>
        <w:rPr>
          <w:i/>
          <w:iCs/>
          <w:lang w:eastAsia="hi-IN"/>
        </w:rPr>
        <w:t>ṃ</w:t>
      </w:r>
      <w:r>
        <w:rPr>
          <w:i/>
          <w:iCs/>
          <w:lang w:eastAsia="hi-IN"/>
        </w:rPr>
        <w:t>sa</w:t>
      </w:r>
      <w:r>
        <w:rPr>
          <w:i/>
          <w:iCs/>
          <w:lang w:eastAsia="hi-IN"/>
        </w:rPr>
        <w:t>ṃ</w:t>
      </w:r>
      <w:r>
        <w:rPr>
          <w:i/>
          <w:iCs/>
          <w:lang w:eastAsia="hi-IN"/>
        </w:rPr>
        <w:t xml:space="preserve"> vanu</w:t>
      </w:r>
      <w:r>
        <w:rPr>
          <w:i/>
          <w:iCs/>
          <w:lang w:eastAsia="hi-IN"/>
        </w:rPr>
        <w:t>ṣ</w:t>
      </w:r>
      <w:r>
        <w:rPr>
          <w:i/>
          <w:iCs/>
          <w:lang w:eastAsia="hi-IN"/>
        </w:rPr>
        <w:t>yató nípānti gurú dvé</w:t>
      </w:r>
      <w:r>
        <w:rPr>
          <w:i/>
          <w:iCs/>
          <w:lang w:eastAsia="hi-IN"/>
        </w:rPr>
        <w:t>ṣ</w:t>
      </w:r>
      <w:r>
        <w:rPr>
          <w:i/>
          <w:iCs/>
          <w:lang w:eastAsia="hi-IN"/>
        </w:rPr>
        <w:t>o áraru</w:t>
      </w:r>
      <w:r>
        <w:rPr>
          <w:i/>
          <w:iCs/>
          <w:lang w:eastAsia="hi-IN"/>
        </w:rPr>
        <w:t>ṣ</w:t>
      </w:r>
      <w:r>
        <w:rPr>
          <w:i/>
          <w:iCs/>
          <w:lang w:eastAsia="hi-IN"/>
        </w:rPr>
        <w:t>e dadhanti</w:t>
      </w:r>
    </w:p>
    <w:p w14:paraId="4301B749" w14:textId="77777777" w:rsidR="00E53EB6" w:rsidRDefault="006500F5">
      <w:pPr>
        <w:pStyle w:val="Zitat"/>
        <w:autoSpaceDE w:val="0"/>
        <w:rPr>
          <w:lang w:eastAsia="hi-IN"/>
        </w:rPr>
      </w:pPr>
      <w:r>
        <w:rPr>
          <w:lang w:eastAsia="hi-IN"/>
        </w:rPr>
        <w:t xml:space="preserve">These Marut halt the rapid, bend the force of force, these protect prayer from those who </w:t>
      </w:r>
      <w:r>
        <w:rPr>
          <w:u w:val="single"/>
          <w:lang w:eastAsia="hi-IN"/>
        </w:rPr>
        <w:t>wish to appropriate</w:t>
      </w:r>
      <w:r>
        <w:rPr>
          <w:lang w:eastAsia="hi-IN"/>
        </w:rPr>
        <w:t xml:space="preserve"> it, bring about heavy hostility for</w:t>
      </w:r>
      <w:r>
        <w:rPr>
          <w:lang w:eastAsia="hi-IN"/>
        </w:rPr>
        <w:t xml:space="preserve"> the envious.</w:t>
      </w:r>
    </w:p>
    <w:p w14:paraId="33E147D5" w14:textId="77777777" w:rsidR="00E53EB6" w:rsidRDefault="006500F5">
      <w:pPr>
        <w:pStyle w:val="Zitat"/>
        <w:autoSpaceDE w:val="0"/>
        <w:rPr>
          <w:i/>
          <w:iCs/>
        </w:rPr>
      </w:pPr>
      <w:r>
        <w:rPr>
          <w:i/>
          <w:iCs/>
        </w:rPr>
        <w:t>vanu</w:t>
      </w:r>
      <w:r>
        <w:rPr>
          <w:i/>
          <w:iCs/>
        </w:rPr>
        <w:t>ṣ</w:t>
      </w:r>
      <w:r>
        <w:rPr>
          <w:i/>
          <w:iCs/>
        </w:rPr>
        <w:t>yata</w:t>
      </w:r>
      <w:r>
        <w:rPr>
          <w:i/>
          <w:iCs/>
        </w:rPr>
        <w:t>ḥ</w:t>
      </w:r>
      <w:r>
        <w:rPr>
          <w:i/>
          <w:iCs/>
        </w:rPr>
        <w:t xml:space="preserve">: </w:t>
      </w:r>
      <w:r>
        <w:t xml:space="preserve">pres. part. (abl. m. sing.) of the denominative </w:t>
      </w:r>
      <w:r>
        <w:rPr>
          <w:i/>
          <w:iCs/>
        </w:rPr>
        <w:t>vanu</w:t>
      </w:r>
      <w:r>
        <w:rPr>
          <w:i/>
          <w:iCs/>
        </w:rPr>
        <w:t>ṣ</w:t>
      </w:r>
      <w:r>
        <w:rPr>
          <w:i/>
          <w:iCs/>
        </w:rPr>
        <w:t>ya-</w:t>
      </w:r>
    </w:p>
    <w:p w14:paraId="648D87D3" w14:textId="77777777" w:rsidR="00E53EB6" w:rsidRDefault="006500F5">
      <w:pPr>
        <w:pStyle w:val="HaupttextnachZitat"/>
        <w:numPr>
          <w:ilvl w:val="2"/>
          <w:numId w:val="2"/>
        </w:numPr>
        <w:tabs>
          <w:tab w:val="left" w:pos="0"/>
        </w:tabs>
      </w:pPr>
      <w:r>
        <w:t xml:space="preserve">Vedic Web: </w:t>
      </w:r>
    </w:p>
    <w:p w14:paraId="24A09481" w14:textId="77777777" w:rsidR="00E53EB6" w:rsidRDefault="006500F5">
      <w:pPr>
        <w:pStyle w:val="HaupttextohneEinzug"/>
        <w:numPr>
          <w:ilvl w:val="2"/>
          <w:numId w:val="2"/>
        </w:numPr>
        <w:tabs>
          <w:tab w:val="left" w:pos="0"/>
        </w:tabs>
      </w:pPr>
      <w:r>
        <w:t xml:space="preserve">Mantra: R̥V </w:t>
      </w:r>
      <w:r>
        <w:rPr>
          <w:rFonts w:eastAsia="Arial" w:cs="Times Ext Roman"/>
          <w:szCs w:val="21"/>
          <w:lang w:eastAsia="hi-IN" w:bidi="en-GB"/>
        </w:rPr>
        <w:t>7.56.19; TB 2.8.5.6.</w:t>
      </w:r>
    </w:p>
    <w:p w14:paraId="3F6DCD17" w14:textId="77777777" w:rsidR="00E53EB6" w:rsidRDefault="00E53EB6">
      <w:pPr>
        <w:pStyle w:val="HaupttextohneEinzug"/>
      </w:pPr>
    </w:p>
    <w:p w14:paraId="7261B5FB" w14:textId="77777777" w:rsidR="00E53EB6" w:rsidRDefault="006500F5">
      <w:pPr>
        <w:pStyle w:val="HaupttextohneEinzug"/>
      </w:pPr>
      <w:r>
        <w:t xml:space="preserve">Rite </w:t>
      </w:r>
    </w:p>
    <w:p w14:paraId="298F5B17" w14:textId="77777777" w:rsidR="00E53EB6" w:rsidRDefault="006500F5">
      <w:pPr>
        <w:pStyle w:val="HaupttextohneEinzug"/>
      </w:pPr>
      <w:r>
        <w:rPr>
          <w:rFonts w:eastAsia="Arial" w:cs="Times Ext Roman"/>
          <w:i/>
          <w:iCs/>
          <w:szCs w:val="21"/>
          <w:lang w:eastAsia="hi-IN" w:bidi="en-GB"/>
        </w:rPr>
        <w:t>Kamye</w:t>
      </w:r>
      <w:r>
        <w:rPr>
          <w:rFonts w:eastAsia="Arial" w:cs="Times Ext Roman"/>
          <w:i/>
          <w:iCs/>
          <w:szCs w:val="21"/>
          <w:lang w:eastAsia="hi-IN" w:bidi="en-GB"/>
        </w:rPr>
        <w:t>ṣṭ</w:t>
      </w:r>
      <w:r>
        <w:rPr>
          <w:rFonts w:eastAsia="Arial" w:cs="Times Ext Roman"/>
          <w:i/>
          <w:iCs/>
          <w:szCs w:val="21"/>
          <w:lang w:eastAsia="hi-IN" w:bidi="en-GB"/>
        </w:rPr>
        <w:t>i, mantra</w:t>
      </w:r>
      <w:r>
        <w:rPr>
          <w:rFonts w:eastAsia="Arial" w:cs="Times Ext Roman"/>
          <w:szCs w:val="21"/>
          <w:lang w:eastAsia="hi-IN" w:bidi="en-GB"/>
        </w:rPr>
        <w:t xml:space="preserve">s to be recited on the sacrifice to the Maruts of a cow that has brought forth only once. </w:t>
      </w:r>
      <w:r>
        <w:rPr>
          <w:rFonts w:eastAsia="Arial" w:cs="Times Ext Roman"/>
          <w:i/>
          <w:iCs/>
          <w:szCs w:val="21"/>
          <w:lang w:eastAsia="hi-IN" w:bidi="en-GB"/>
        </w:rPr>
        <w:t>Anuvākyā</w:t>
      </w:r>
      <w:r>
        <w:rPr>
          <w:rFonts w:eastAsia="Arial" w:cs="Times Ext Roman"/>
          <w:szCs w:val="21"/>
          <w:lang w:eastAsia="hi-IN" w:bidi="en-GB"/>
        </w:rPr>
        <w:t xml:space="preserve"> verses</w:t>
      </w:r>
      <w:r>
        <w:rPr>
          <w:rFonts w:eastAsia="Arial" w:cs="Times Ext Roman"/>
          <w:szCs w:val="21"/>
          <w:lang w:eastAsia="hi-IN" w:bidi="en-GB"/>
        </w:rPr>
        <w:t xml:space="preserve">. </w:t>
      </w:r>
    </w:p>
    <w:p w14:paraId="7BA65366" w14:textId="77777777" w:rsidR="00E53EB6" w:rsidRDefault="00E53EB6">
      <w:pPr>
        <w:pStyle w:val="HaupttextohneEinzug"/>
        <w:rPr>
          <w:rFonts w:eastAsia="Arial" w:cs="Times Ext Roman"/>
          <w:szCs w:val="21"/>
          <w:lang w:eastAsia="hi-IN" w:bidi="en-GB"/>
        </w:rPr>
      </w:pPr>
    </w:p>
    <w:p w14:paraId="36DA6C49" w14:textId="77777777" w:rsidR="00E53EB6" w:rsidRDefault="006500F5">
      <w:pPr>
        <w:pStyle w:val="Heading5"/>
        <w:tabs>
          <w:tab w:val="left" w:pos="0"/>
        </w:tabs>
      </w:pPr>
      <w:r>
        <w:rPr>
          <w:rFonts w:cs="Devanagari MT;Times New Roman"/>
          <w:u w:val="single"/>
        </w:rPr>
        <w:lastRenderedPageBreak/>
        <w:t>KpS 48.13</w:t>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p>
    <w:p w14:paraId="74790CA6" w14:textId="77777777" w:rsidR="00E53EB6" w:rsidRDefault="006500F5">
      <w:pPr>
        <w:pStyle w:val="Zitat"/>
        <w:autoSpaceDE w:val="0"/>
      </w:pPr>
      <w:r>
        <w:rPr>
          <w:i/>
          <w:iCs/>
          <w:lang w:eastAsia="hi-IN"/>
        </w:rPr>
        <w:t xml:space="preserve"> </w:t>
      </w:r>
      <w:r>
        <w:rPr>
          <w:lang w:eastAsia="hi-IN"/>
        </w:rPr>
        <w:t>48.13</w:t>
      </w:r>
      <w:r>
        <w:rPr>
          <w:i/>
          <w:iCs/>
          <w:lang w:eastAsia="hi-IN"/>
        </w:rPr>
        <w:t xml:space="preserve"> yo na</w:t>
      </w:r>
      <w:r>
        <w:rPr>
          <w:i/>
          <w:iCs/>
          <w:lang w:eastAsia="hi-IN"/>
        </w:rPr>
        <w:t>ḥ</w:t>
      </w:r>
      <w:r>
        <w:rPr>
          <w:i/>
          <w:iCs/>
          <w:lang w:eastAsia="hi-IN"/>
        </w:rPr>
        <w:t xml:space="preserve"> sanutyo abhidāsadagne yo antaro mitramaho vanu</w:t>
      </w:r>
      <w:r>
        <w:rPr>
          <w:i/>
          <w:iCs/>
          <w:lang w:eastAsia="hi-IN"/>
        </w:rPr>
        <w:t>ṣ</w:t>
      </w:r>
      <w:r>
        <w:rPr>
          <w:i/>
          <w:iCs/>
          <w:lang w:eastAsia="hi-IN"/>
        </w:rPr>
        <w:t>yāt / tamajarebhirvr̥</w:t>
      </w:r>
      <w:r>
        <w:rPr>
          <w:i/>
          <w:iCs/>
          <w:lang w:eastAsia="hi-IN"/>
        </w:rPr>
        <w:t>ṣ</w:t>
      </w:r>
      <w:r>
        <w:rPr>
          <w:i/>
          <w:iCs/>
          <w:lang w:eastAsia="hi-IN"/>
        </w:rPr>
        <w:t>abhistava svaistapā tapi</w:t>
      </w:r>
      <w:r>
        <w:rPr>
          <w:i/>
          <w:iCs/>
          <w:lang w:eastAsia="hi-IN"/>
        </w:rPr>
        <w:t>ṣṭ</w:t>
      </w:r>
      <w:r>
        <w:rPr>
          <w:i/>
          <w:iCs/>
          <w:lang w:eastAsia="hi-IN"/>
        </w:rPr>
        <w:t>ha tapasā tapasvān //</w:t>
      </w:r>
    </w:p>
    <w:p w14:paraId="62E73E3B" w14:textId="77777777" w:rsidR="00E53EB6" w:rsidRDefault="006500F5">
      <w:pPr>
        <w:pStyle w:val="Zitat"/>
        <w:autoSpaceDE w:val="0"/>
      </w:pPr>
      <w:r>
        <w:rPr>
          <w:lang w:eastAsia="hi-IN"/>
        </w:rPr>
        <w:t xml:space="preserve">He who, far away, may attack us, oh Agni, he who, nearby, </w:t>
      </w:r>
      <w:r>
        <w:rPr>
          <w:u w:val="single"/>
          <w:lang w:eastAsia="hi-IN"/>
        </w:rPr>
        <w:t>wants to appropriate us</w:t>
      </w:r>
      <w:r>
        <w:rPr>
          <w:lang w:eastAsia="hi-IN"/>
        </w:rPr>
        <w:t>, oh you who have the greatness of Mitra</w:t>
      </w:r>
      <w:r>
        <w:rPr>
          <w:rStyle w:val="FootnoteAnchor"/>
          <w:lang w:eastAsia="hi-IN"/>
        </w:rPr>
        <w:footnoteReference w:id="506"/>
      </w:r>
      <w:r>
        <w:rPr>
          <w:lang w:eastAsia="hi-IN"/>
        </w:rPr>
        <w:t>, with y</w:t>
      </w:r>
      <w:r>
        <w:rPr>
          <w:lang w:eastAsia="hi-IN"/>
        </w:rPr>
        <w:t>our bulls that never grow old, make him burn, O you who burn more than all, with fierce heat, you have fierce heat.</w:t>
      </w:r>
    </w:p>
    <w:p w14:paraId="5C4B3613" w14:textId="77777777" w:rsidR="00E53EB6" w:rsidRDefault="006500F5">
      <w:pPr>
        <w:pStyle w:val="Zitat"/>
        <w:autoSpaceDE w:val="0"/>
        <w:rPr>
          <w:i/>
          <w:iCs/>
        </w:rPr>
      </w:pPr>
      <w:r>
        <w:rPr>
          <w:i/>
          <w:iCs/>
          <w:lang w:eastAsia="hi-IN"/>
        </w:rPr>
        <w:t>vanu</w:t>
      </w:r>
      <w:r>
        <w:rPr>
          <w:i/>
          <w:iCs/>
          <w:lang w:eastAsia="hi-IN"/>
        </w:rPr>
        <w:t>ṣ</w:t>
      </w:r>
      <w:r>
        <w:rPr>
          <w:i/>
          <w:iCs/>
          <w:lang w:eastAsia="hi-IN"/>
        </w:rPr>
        <w:t>yāt:</w:t>
      </w:r>
      <w:r>
        <w:rPr>
          <w:i/>
          <w:iCs/>
        </w:rPr>
        <w:t xml:space="preserve"> </w:t>
      </w:r>
      <w:r>
        <w:t>subj</w:t>
      </w:r>
      <w:r>
        <w:rPr>
          <w:i/>
          <w:iCs/>
        </w:rPr>
        <w:t>. pres.</w:t>
      </w:r>
      <w:r>
        <w:t xml:space="preserve"> 3</w:t>
      </w:r>
      <w:r>
        <w:rPr>
          <w:vertAlign w:val="superscript"/>
        </w:rPr>
        <w:t>rd</w:t>
      </w:r>
      <w:r>
        <w:t xml:space="preserve"> sing. of the denominative </w:t>
      </w:r>
      <w:r>
        <w:rPr>
          <w:i/>
          <w:iCs/>
        </w:rPr>
        <w:t>vanu</w:t>
      </w:r>
      <w:r>
        <w:rPr>
          <w:i/>
          <w:iCs/>
        </w:rPr>
        <w:t>ṣ</w:t>
      </w:r>
      <w:r>
        <w:rPr>
          <w:i/>
          <w:iCs/>
        </w:rPr>
        <w:t>ya-</w:t>
      </w:r>
    </w:p>
    <w:p w14:paraId="4C664C2C" w14:textId="77777777" w:rsidR="00E53EB6" w:rsidRDefault="006500F5">
      <w:pPr>
        <w:pStyle w:val="HaupttextnachZitat"/>
        <w:numPr>
          <w:ilvl w:val="2"/>
          <w:numId w:val="2"/>
        </w:numPr>
        <w:tabs>
          <w:tab w:val="left" w:pos="0"/>
        </w:tabs>
      </w:pPr>
      <w:r>
        <w:t xml:space="preserve">Vedic Web: </w:t>
      </w:r>
    </w:p>
    <w:p w14:paraId="0B850296" w14:textId="77777777" w:rsidR="00E53EB6" w:rsidRDefault="006500F5">
      <w:pPr>
        <w:pStyle w:val="HaupttextohneEinzug"/>
        <w:numPr>
          <w:ilvl w:val="2"/>
          <w:numId w:val="2"/>
        </w:numPr>
        <w:tabs>
          <w:tab w:val="left" w:pos="0"/>
        </w:tabs>
      </w:pPr>
      <w:r>
        <w:t xml:space="preserve">Mantra: R̥V </w:t>
      </w:r>
      <w:r>
        <w:rPr>
          <w:rFonts w:eastAsia="Arial" w:cs="Devanagari MT;Times New Roman"/>
          <w:szCs w:val="21"/>
          <w:lang w:eastAsia="hi-IN" w:bidi="en-GB"/>
        </w:rPr>
        <w:t>6.5.4</w:t>
      </w:r>
      <w:r>
        <w:rPr>
          <w:rFonts w:eastAsia="Arial" w:cs="Times Ext Roman"/>
          <w:szCs w:val="21"/>
          <w:lang w:eastAsia="hi-IN" w:bidi="en-GB"/>
        </w:rPr>
        <w:t>.</w:t>
      </w:r>
    </w:p>
    <w:p w14:paraId="08C0FCBA" w14:textId="77777777" w:rsidR="00E53EB6" w:rsidRDefault="00E53EB6">
      <w:pPr>
        <w:pStyle w:val="HaupttextohneEinzug"/>
        <w:rPr>
          <w:rFonts w:eastAsia="Arial" w:cs="Times Ext Roman"/>
          <w:szCs w:val="21"/>
          <w:lang w:eastAsia="hi-IN" w:bidi="en-GB"/>
        </w:rPr>
      </w:pPr>
    </w:p>
    <w:p w14:paraId="6EAC22F1" w14:textId="77777777" w:rsidR="00E53EB6" w:rsidRDefault="00E53EB6">
      <w:pPr>
        <w:pStyle w:val="HaupttextohneEinzug"/>
        <w:rPr>
          <w:rFonts w:eastAsia="Arial" w:cs="Times Ext Roman"/>
          <w:szCs w:val="21"/>
          <w:lang w:eastAsia="hi-IN" w:bidi="en-GB"/>
        </w:rPr>
      </w:pPr>
    </w:p>
    <w:p w14:paraId="5CC55A4E" w14:textId="77777777" w:rsidR="00E53EB6" w:rsidRDefault="006500F5">
      <w:pPr>
        <w:pStyle w:val="Heading5"/>
        <w:tabs>
          <w:tab w:val="left" w:pos="0"/>
        </w:tabs>
      </w:pPr>
      <w:r>
        <w:rPr>
          <w:rFonts w:cs="Devanagari MT;Times New Roman"/>
          <w:u w:val="single"/>
        </w:rPr>
        <w:t>AB 1.10</w:t>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p>
    <w:p w14:paraId="1A264BC3" w14:textId="77777777" w:rsidR="00E53EB6" w:rsidRDefault="006500F5">
      <w:pPr>
        <w:pStyle w:val="Zitat"/>
        <w:autoSpaceDE w:val="0"/>
      </w:pPr>
      <w:r>
        <w:rPr>
          <w:lang w:eastAsia="hi-IN"/>
        </w:rPr>
        <w:t>1.10</w:t>
      </w:r>
      <w:r>
        <w:rPr>
          <w:i/>
          <w:iCs/>
          <w:lang w:eastAsia="hi-IN"/>
        </w:rPr>
        <w:t xml:space="preserve"> sed agnir agnīm̐r aty astv anyān sed agnir yo vanu</w:t>
      </w:r>
      <w:r>
        <w:rPr>
          <w:i/>
          <w:iCs/>
          <w:lang w:eastAsia="hi-IN"/>
        </w:rPr>
        <w:t>ṣ</w:t>
      </w:r>
      <w:r>
        <w:rPr>
          <w:i/>
          <w:iCs/>
          <w:lang w:eastAsia="hi-IN"/>
        </w:rPr>
        <w:t>yato nipātī</w:t>
      </w:r>
      <w:r>
        <w:rPr>
          <w:rStyle w:val="FootnoteAnchor"/>
          <w:i/>
          <w:iCs/>
          <w:lang w:eastAsia="hi-IN"/>
        </w:rPr>
        <w:footnoteReference w:id="507"/>
      </w:r>
      <w:r>
        <w:rPr>
          <w:i/>
          <w:iCs/>
          <w:lang w:eastAsia="hi-IN"/>
        </w:rPr>
        <w:t>ty ete</w:t>
      </w:r>
    </w:p>
    <w:p w14:paraId="4A35411F" w14:textId="77777777" w:rsidR="00E53EB6" w:rsidRDefault="006500F5">
      <w:pPr>
        <w:pStyle w:val="Zitat"/>
        <w:autoSpaceDE w:val="0"/>
      </w:pPr>
      <w:r>
        <w:rPr>
          <w:lang w:eastAsia="hi-IN"/>
        </w:rPr>
        <w:t xml:space="preserve">This Agni here may be over those other Agnis, this Agni here who protects from those who </w:t>
      </w:r>
      <w:r>
        <w:rPr>
          <w:u w:val="single"/>
          <w:lang w:eastAsia="hi-IN"/>
        </w:rPr>
        <w:t>desire to appropriate</w:t>
      </w:r>
      <w:r>
        <w:rPr>
          <w:lang w:eastAsia="hi-IN"/>
        </w:rPr>
        <w:t>.</w:t>
      </w:r>
    </w:p>
    <w:p w14:paraId="78100E76" w14:textId="77777777" w:rsidR="00E53EB6" w:rsidRDefault="006500F5">
      <w:pPr>
        <w:pStyle w:val="Zitat"/>
        <w:autoSpaceDE w:val="0"/>
        <w:rPr>
          <w:i/>
          <w:iCs/>
        </w:rPr>
      </w:pPr>
      <w:r>
        <w:rPr>
          <w:i/>
          <w:iCs/>
        </w:rPr>
        <w:t>vanu</w:t>
      </w:r>
      <w:r>
        <w:rPr>
          <w:i/>
          <w:iCs/>
        </w:rPr>
        <w:t>ṣ</w:t>
      </w:r>
      <w:r>
        <w:rPr>
          <w:i/>
          <w:iCs/>
        </w:rPr>
        <w:t>yata</w:t>
      </w:r>
      <w:r>
        <w:rPr>
          <w:i/>
          <w:iCs/>
        </w:rPr>
        <w:t>ḥ</w:t>
      </w:r>
      <w:r>
        <w:rPr>
          <w:i/>
          <w:iCs/>
        </w:rPr>
        <w:t xml:space="preserve">: </w:t>
      </w:r>
      <w:r>
        <w:t xml:space="preserve">pres. part. (abl. masc. sing.) of the denominative </w:t>
      </w:r>
      <w:r>
        <w:rPr>
          <w:i/>
          <w:iCs/>
        </w:rPr>
        <w:t>vanu</w:t>
      </w:r>
      <w:r>
        <w:rPr>
          <w:i/>
          <w:iCs/>
        </w:rPr>
        <w:t>ṣ</w:t>
      </w:r>
      <w:r>
        <w:rPr>
          <w:i/>
          <w:iCs/>
        </w:rPr>
        <w:t>ya-</w:t>
      </w:r>
    </w:p>
    <w:p w14:paraId="1B07BAA8" w14:textId="77777777" w:rsidR="00E53EB6" w:rsidRDefault="006500F5">
      <w:pPr>
        <w:pStyle w:val="ZitatmitEinzug"/>
      </w:pPr>
      <w:r>
        <w:rPr>
          <w:rStyle w:val="biblio-authorGEN"/>
          <w:sz w:val="18"/>
          <w:szCs w:val="18"/>
        </w:rPr>
        <w:t>Keith</w:t>
      </w:r>
      <w:r>
        <w:t xml:space="preserve"> 1920: 114 “from the foe”</w:t>
      </w:r>
    </w:p>
    <w:p w14:paraId="12908731" w14:textId="77777777" w:rsidR="00E53EB6" w:rsidRDefault="006500F5">
      <w:pPr>
        <w:pStyle w:val="HaupttextnachZitat"/>
        <w:numPr>
          <w:ilvl w:val="2"/>
          <w:numId w:val="2"/>
        </w:numPr>
        <w:tabs>
          <w:tab w:val="left" w:pos="0"/>
        </w:tabs>
      </w:pPr>
      <w:r>
        <w:t xml:space="preserve">Vedic Web: </w:t>
      </w:r>
    </w:p>
    <w:p w14:paraId="4D9F1334" w14:textId="77777777" w:rsidR="00E53EB6" w:rsidRDefault="006500F5">
      <w:pPr>
        <w:pStyle w:val="HaupttextohneEinzug"/>
        <w:numPr>
          <w:ilvl w:val="2"/>
          <w:numId w:val="2"/>
        </w:numPr>
        <w:tabs>
          <w:tab w:val="left" w:pos="0"/>
        </w:tabs>
      </w:pPr>
      <w:r>
        <w:t xml:space="preserve">Mantra: R̥V </w:t>
      </w:r>
      <w:r>
        <w:rPr>
          <w:rFonts w:eastAsia="Arial" w:cs="Times Ext Roman"/>
          <w:szCs w:val="21"/>
          <w:lang w:eastAsia="hi-IN" w:bidi="en-GB"/>
        </w:rPr>
        <w:t>7.1.15a</w:t>
      </w:r>
    </w:p>
    <w:p w14:paraId="6AB098C4" w14:textId="77777777" w:rsidR="00E53EB6" w:rsidRDefault="00E53EB6">
      <w:pPr>
        <w:pStyle w:val="HaupttextohneEinzug"/>
      </w:pPr>
    </w:p>
    <w:p w14:paraId="13E1801B" w14:textId="77777777" w:rsidR="00E53EB6" w:rsidRDefault="006500F5">
      <w:pPr>
        <w:pStyle w:val="HaupttextohneEinzug"/>
      </w:pPr>
      <w:r>
        <w:t xml:space="preserve">Rite </w:t>
      </w:r>
    </w:p>
    <w:p w14:paraId="4CFC4AAC" w14:textId="77777777" w:rsidR="00E53EB6" w:rsidRDefault="006500F5">
      <w:pPr>
        <w:pStyle w:val="HaupttextohneEinzug"/>
        <w:rPr>
          <w:rFonts w:eastAsia="Arial" w:cs="Times Ext Roman"/>
          <w:szCs w:val="21"/>
          <w:lang w:eastAsia="hi-IN" w:bidi="en-GB"/>
        </w:rPr>
      </w:pPr>
      <w:r>
        <w:rPr>
          <w:rFonts w:eastAsia="Arial" w:cs="Times Ext Roman"/>
          <w:szCs w:val="21"/>
          <w:lang w:eastAsia="hi-IN" w:bidi="en-GB"/>
        </w:rPr>
        <w:t xml:space="preserve">Within the introductory sacrifice of the </w:t>
      </w:r>
      <w:r>
        <w:rPr>
          <w:rFonts w:eastAsia="Arial" w:cs="Times Ext Roman"/>
          <w:i/>
          <w:iCs/>
          <w:szCs w:val="21"/>
          <w:lang w:eastAsia="hi-IN" w:bidi="en-GB"/>
        </w:rPr>
        <w:t>Agni</w:t>
      </w:r>
      <w:r>
        <w:rPr>
          <w:rFonts w:eastAsia="Arial" w:cs="Times Ext Roman"/>
          <w:i/>
          <w:iCs/>
          <w:szCs w:val="21"/>
          <w:lang w:eastAsia="hi-IN" w:bidi="en-GB"/>
        </w:rPr>
        <w:t>ṣṭ</w:t>
      </w:r>
      <w:r>
        <w:rPr>
          <w:rFonts w:eastAsia="Arial" w:cs="Times Ext Roman"/>
          <w:i/>
          <w:iCs/>
          <w:szCs w:val="21"/>
          <w:lang w:eastAsia="hi-IN" w:bidi="en-GB"/>
        </w:rPr>
        <w:t>oma,</w:t>
      </w:r>
      <w:r>
        <w:rPr>
          <w:rFonts w:eastAsia="Arial" w:cs="Times Ext Roman"/>
          <w:szCs w:val="21"/>
          <w:lang w:eastAsia="hi-IN" w:bidi="en-GB"/>
        </w:rPr>
        <w:t xml:space="preserve"> invitatory and offering verses for the oblation to Agni Svi</w:t>
      </w:r>
      <w:r>
        <w:rPr>
          <w:rFonts w:eastAsia="Arial" w:cs="Times Ext Roman"/>
          <w:szCs w:val="21"/>
          <w:lang w:eastAsia="hi-IN" w:bidi="en-GB"/>
        </w:rPr>
        <w:t>ṣṭ</w:t>
      </w:r>
      <w:r>
        <w:rPr>
          <w:rFonts w:eastAsia="Arial" w:cs="Times Ext Roman"/>
          <w:szCs w:val="21"/>
          <w:lang w:eastAsia="hi-IN" w:bidi="en-GB"/>
        </w:rPr>
        <w:t xml:space="preserve">akr̥t. The </w:t>
      </w:r>
      <w:r>
        <w:rPr>
          <w:rFonts w:eastAsia="Arial" w:cs="Times Ext Roman"/>
          <w:i/>
          <w:iCs/>
          <w:szCs w:val="21"/>
          <w:lang w:eastAsia="hi-IN" w:bidi="en-GB"/>
        </w:rPr>
        <w:t>Svi</w:t>
      </w:r>
      <w:r>
        <w:rPr>
          <w:rFonts w:eastAsia="Arial" w:cs="Times Ext Roman"/>
          <w:i/>
          <w:iCs/>
          <w:szCs w:val="21"/>
          <w:lang w:eastAsia="hi-IN" w:bidi="en-GB"/>
        </w:rPr>
        <w:t>ṣṭ</w:t>
      </w:r>
      <w:r>
        <w:rPr>
          <w:rFonts w:eastAsia="Arial" w:cs="Times Ext Roman"/>
          <w:i/>
          <w:iCs/>
          <w:szCs w:val="21"/>
          <w:lang w:eastAsia="hi-IN" w:bidi="en-GB"/>
        </w:rPr>
        <w:t>akr̥t</w:t>
      </w:r>
      <w:r>
        <w:rPr>
          <w:rFonts w:eastAsia="Arial" w:cs="Times Ext Roman"/>
          <w:szCs w:val="21"/>
          <w:lang w:eastAsia="hi-IN" w:bidi="en-GB"/>
        </w:rPr>
        <w:t xml:space="preserve"> is an offering that makes the sacrifice perfect.</w:t>
      </w:r>
    </w:p>
    <w:p w14:paraId="05C9918A" w14:textId="77777777" w:rsidR="00E53EB6" w:rsidRDefault="00E53EB6">
      <w:pPr>
        <w:pStyle w:val="HaupttextohneEinzug"/>
        <w:rPr>
          <w:rFonts w:eastAsia="Arial" w:cs="Times Ext Roman"/>
          <w:szCs w:val="21"/>
          <w:lang w:eastAsia="hi-IN" w:bidi="en-GB"/>
        </w:rPr>
      </w:pPr>
    </w:p>
    <w:p w14:paraId="20E10193" w14:textId="77777777" w:rsidR="00E53EB6" w:rsidRDefault="006500F5">
      <w:pPr>
        <w:pStyle w:val="Heading5"/>
        <w:tabs>
          <w:tab w:val="left" w:pos="0"/>
        </w:tabs>
      </w:pPr>
      <w:r>
        <w:rPr>
          <w:rFonts w:cs="Devanagari MT;Times New Roman"/>
          <w:u w:val="single"/>
        </w:rPr>
        <w:t>TB 2.8.5.6</w:t>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r>
        <w:rPr>
          <w:rFonts w:cs="Devanagari MT;Times New Roman"/>
        </w:rPr>
        <w:tab/>
      </w:r>
    </w:p>
    <w:p w14:paraId="73061ED8" w14:textId="77777777" w:rsidR="00E53EB6" w:rsidRDefault="006500F5">
      <w:pPr>
        <w:pStyle w:val="Zitat"/>
        <w:autoSpaceDE w:val="0"/>
      </w:pPr>
      <w:r>
        <w:rPr>
          <w:lang w:eastAsia="hi-IN"/>
        </w:rPr>
        <w:t>2.8.5.6</w:t>
      </w:r>
      <w:r>
        <w:rPr>
          <w:i/>
          <w:iCs/>
          <w:lang w:eastAsia="hi-IN"/>
        </w:rPr>
        <w:t xml:space="preserve"> vák</w:t>
      </w:r>
      <w:r>
        <w:rPr>
          <w:i/>
          <w:iCs/>
          <w:lang w:eastAsia="hi-IN"/>
        </w:rPr>
        <w:t>ṣ</w:t>
      </w:r>
      <w:r>
        <w:rPr>
          <w:i/>
          <w:iCs/>
          <w:lang w:eastAsia="hi-IN"/>
        </w:rPr>
        <w:t>a</w:t>
      </w:r>
      <w:r>
        <w:rPr>
          <w:i/>
          <w:iCs/>
          <w:lang w:eastAsia="hi-IN"/>
        </w:rPr>
        <w:t>ḥ</w:t>
      </w:r>
      <w:r>
        <w:rPr>
          <w:i/>
          <w:iCs/>
          <w:lang w:eastAsia="hi-IN"/>
        </w:rPr>
        <w:t>su rukmā́ úpaśiśriyā</w:t>
      </w:r>
      <w:r>
        <w:rPr>
          <w:i/>
          <w:iCs/>
          <w:lang w:eastAsia="hi-IN"/>
        </w:rPr>
        <w:t>ṇ</w:t>
      </w:r>
      <w:r>
        <w:rPr>
          <w:i/>
          <w:iCs/>
          <w:lang w:eastAsia="hi-IN"/>
        </w:rPr>
        <w:t>ā́</w:t>
      </w:r>
      <w:r>
        <w:rPr>
          <w:i/>
          <w:iCs/>
          <w:lang w:eastAsia="hi-IN"/>
        </w:rPr>
        <w:t>ḥ</w:t>
      </w:r>
      <w:r>
        <w:rPr>
          <w:i/>
          <w:iCs/>
          <w:lang w:eastAsia="hi-IN"/>
        </w:rPr>
        <w:t xml:space="preserve"> / ví vidyúto ná vyr̥</w:t>
      </w:r>
      <w:r>
        <w:rPr>
          <w:i/>
          <w:iCs/>
          <w:lang w:eastAsia="hi-IN"/>
        </w:rPr>
        <w:t>ṣṭ</w:t>
      </w:r>
      <w:r>
        <w:rPr>
          <w:i/>
          <w:iCs/>
          <w:lang w:eastAsia="hi-IN"/>
        </w:rPr>
        <w:t>íbhī rucānā́</w:t>
      </w:r>
      <w:r>
        <w:rPr>
          <w:i/>
          <w:iCs/>
          <w:lang w:eastAsia="hi-IN"/>
        </w:rPr>
        <w:t>ḥ</w:t>
      </w:r>
      <w:r>
        <w:rPr>
          <w:i/>
          <w:iCs/>
          <w:lang w:eastAsia="hi-IN"/>
        </w:rPr>
        <w:t xml:space="preserve"> / ánu svadhā́m ā́yudhair yácc</w:t>
      </w:r>
      <w:r>
        <w:rPr>
          <w:i/>
          <w:iCs/>
          <w:lang w:eastAsia="hi-IN"/>
        </w:rPr>
        <w:t>hamānā</w:t>
      </w:r>
      <w:r>
        <w:rPr>
          <w:i/>
          <w:iCs/>
          <w:lang w:eastAsia="hi-IN"/>
        </w:rPr>
        <w:t>ḥ</w:t>
      </w:r>
      <w:r>
        <w:rPr>
          <w:rStyle w:val="FootnoteAnchor"/>
          <w:i/>
          <w:iCs/>
          <w:lang w:eastAsia="hi-IN"/>
        </w:rPr>
        <w:footnoteReference w:id="508"/>
      </w:r>
      <w:r>
        <w:rPr>
          <w:i/>
          <w:iCs/>
          <w:lang w:eastAsia="hi-IN"/>
        </w:rPr>
        <w:t xml:space="preserve"> /yā́ va</w:t>
      </w:r>
      <w:r>
        <w:rPr>
          <w:i/>
          <w:iCs/>
          <w:lang w:eastAsia="hi-IN"/>
        </w:rPr>
        <w:t>ḥ</w:t>
      </w:r>
      <w:r>
        <w:rPr>
          <w:i/>
          <w:iCs/>
          <w:lang w:eastAsia="hi-IN"/>
        </w:rPr>
        <w:t xml:space="preserve"> śárma śaśamānā́ya sánti / tridhā́tūni dāśú</w:t>
      </w:r>
      <w:r>
        <w:rPr>
          <w:i/>
          <w:iCs/>
          <w:lang w:eastAsia="hi-IN"/>
        </w:rPr>
        <w:t>ṣ</w:t>
      </w:r>
      <w:r>
        <w:rPr>
          <w:i/>
          <w:iCs/>
          <w:lang w:eastAsia="hi-IN"/>
        </w:rPr>
        <w:t>e yacchata_ádhi / asmábhya</w:t>
      </w:r>
      <w:r>
        <w:rPr>
          <w:i/>
          <w:iCs/>
          <w:lang w:eastAsia="hi-IN"/>
        </w:rPr>
        <w:t>ṃ</w:t>
      </w:r>
      <w:r>
        <w:rPr>
          <w:i/>
          <w:iCs/>
          <w:lang w:eastAsia="hi-IN"/>
        </w:rPr>
        <w:t xml:space="preserve"> tā́ni maruto víyanta / rayí</w:t>
      </w:r>
      <w:r>
        <w:rPr>
          <w:i/>
          <w:iCs/>
          <w:lang w:eastAsia="hi-IN"/>
        </w:rPr>
        <w:t>ṃ</w:t>
      </w:r>
      <w:r>
        <w:rPr>
          <w:i/>
          <w:iCs/>
          <w:lang w:eastAsia="hi-IN"/>
        </w:rPr>
        <w:t xml:space="preserve"> no dhatta vr̥</w:t>
      </w:r>
      <w:r>
        <w:rPr>
          <w:i/>
          <w:iCs/>
          <w:lang w:eastAsia="hi-IN"/>
        </w:rPr>
        <w:t>ṣ</w:t>
      </w:r>
      <w:r>
        <w:rPr>
          <w:i/>
          <w:iCs/>
          <w:lang w:eastAsia="hi-IN"/>
        </w:rPr>
        <w:t>a</w:t>
      </w:r>
      <w:r>
        <w:rPr>
          <w:i/>
          <w:iCs/>
          <w:lang w:eastAsia="hi-IN"/>
        </w:rPr>
        <w:t>ṇ</w:t>
      </w:r>
      <w:r>
        <w:rPr>
          <w:i/>
          <w:iCs/>
          <w:lang w:eastAsia="hi-IN"/>
        </w:rPr>
        <w:t>a</w:t>
      </w:r>
      <w:r>
        <w:rPr>
          <w:i/>
          <w:iCs/>
          <w:lang w:eastAsia="hi-IN"/>
        </w:rPr>
        <w:t>ḥ</w:t>
      </w:r>
      <w:r>
        <w:rPr>
          <w:i/>
          <w:iCs/>
          <w:lang w:eastAsia="hi-IN"/>
        </w:rPr>
        <w:t xml:space="preserve"> suvī́ram</w:t>
      </w:r>
      <w:r>
        <w:rPr>
          <w:rStyle w:val="FootnoteAnchor"/>
          <w:i/>
          <w:iCs/>
          <w:lang w:eastAsia="hi-IN"/>
        </w:rPr>
        <w:footnoteReference w:id="509"/>
      </w:r>
      <w:r>
        <w:rPr>
          <w:i/>
          <w:iCs/>
          <w:lang w:eastAsia="hi-IN"/>
        </w:rPr>
        <w:t xml:space="preserve"> / imé turá</w:t>
      </w:r>
      <w:r>
        <w:rPr>
          <w:i/>
          <w:iCs/>
          <w:lang w:eastAsia="hi-IN"/>
        </w:rPr>
        <w:t>ṃ</w:t>
      </w:r>
      <w:r>
        <w:rPr>
          <w:i/>
          <w:iCs/>
          <w:lang w:eastAsia="hi-IN"/>
        </w:rPr>
        <w:t xml:space="preserve"> marúto rāmayanti / imé sahá</w:t>
      </w:r>
      <w:r>
        <w:rPr>
          <w:i/>
          <w:iCs/>
          <w:lang w:eastAsia="hi-IN"/>
        </w:rPr>
        <w:t>ḥ</w:t>
      </w:r>
      <w:r>
        <w:rPr>
          <w:i/>
          <w:iCs/>
          <w:lang w:eastAsia="hi-IN"/>
        </w:rPr>
        <w:t xml:space="preserve"> sáhasa ā́namanti / imé śám̐sa</w:t>
      </w:r>
      <w:r>
        <w:rPr>
          <w:i/>
          <w:iCs/>
          <w:lang w:eastAsia="hi-IN"/>
        </w:rPr>
        <w:t>ṃ</w:t>
      </w:r>
      <w:r>
        <w:rPr>
          <w:i/>
          <w:iCs/>
          <w:lang w:eastAsia="hi-IN"/>
        </w:rPr>
        <w:t xml:space="preserve"> vanu</w:t>
      </w:r>
      <w:r>
        <w:rPr>
          <w:i/>
          <w:iCs/>
          <w:lang w:eastAsia="hi-IN"/>
        </w:rPr>
        <w:t>ṣ</w:t>
      </w:r>
      <w:r>
        <w:rPr>
          <w:i/>
          <w:iCs/>
          <w:lang w:eastAsia="hi-IN"/>
        </w:rPr>
        <w:t>yató nípānti</w:t>
      </w:r>
      <w:r>
        <w:rPr>
          <w:rStyle w:val="FootnoteAnchor"/>
          <w:i/>
          <w:iCs/>
          <w:lang w:eastAsia="hi-IN"/>
        </w:rPr>
        <w:footnoteReference w:id="510"/>
      </w:r>
      <w:r>
        <w:rPr>
          <w:i/>
          <w:iCs/>
          <w:lang w:eastAsia="hi-IN"/>
        </w:rPr>
        <w:t xml:space="preserve"> //</w:t>
      </w:r>
    </w:p>
    <w:p w14:paraId="4CDA3862" w14:textId="77777777" w:rsidR="00E53EB6" w:rsidRDefault="006500F5">
      <w:pPr>
        <w:pStyle w:val="Zitat"/>
        <w:autoSpaceDE w:val="0"/>
      </w:pPr>
      <w:r>
        <w:rPr>
          <w:lang w:eastAsia="hi-IN"/>
        </w:rPr>
        <w:t>‘Gold orname</w:t>
      </w:r>
      <w:r>
        <w:rPr>
          <w:lang w:eastAsia="hi-IN"/>
        </w:rPr>
        <w:t>nts are on the breast</w:t>
      </w:r>
      <w:r>
        <w:rPr>
          <w:rStyle w:val="FootnoteAnchor"/>
          <w:lang w:eastAsia="hi-IN"/>
        </w:rPr>
        <w:footnoteReference w:id="511"/>
      </w:r>
      <w:r>
        <w:rPr>
          <w:lang w:eastAsia="hi-IN"/>
        </w:rPr>
        <w:t>, fitting closely, glittering, shining like with the excellent swords</w:t>
      </w:r>
      <w:r>
        <w:rPr>
          <w:rStyle w:val="FootnoteAnchor"/>
          <w:lang w:eastAsia="hi-IN"/>
        </w:rPr>
        <w:footnoteReference w:id="512"/>
      </w:r>
      <w:r>
        <w:rPr>
          <w:lang w:eastAsia="hi-IN"/>
        </w:rPr>
        <w:t>, brandishing weapons willingly’ ‘Those shelter, which you have for the zealous, grant them threefold to the worshipper, o Maruts, spread those out for us, give u</w:t>
      </w:r>
      <w:r>
        <w:rPr>
          <w:lang w:eastAsia="hi-IN"/>
        </w:rPr>
        <w:t xml:space="preserve">s, o bulls, a richness consisting of warriors’ ‘These Maruts </w:t>
      </w:r>
      <w:r>
        <w:rPr>
          <w:lang w:eastAsia="hi-IN"/>
        </w:rPr>
        <w:lastRenderedPageBreak/>
        <w:t xml:space="preserve">make the quick stop, these bend the greatest strength, these protect the praise from who </w:t>
      </w:r>
      <w:r>
        <w:rPr>
          <w:u w:val="single"/>
          <w:lang w:eastAsia="hi-IN"/>
        </w:rPr>
        <w:t>desires to appropriate</w:t>
      </w:r>
      <w:r>
        <w:rPr>
          <w:lang w:eastAsia="hi-IN"/>
        </w:rPr>
        <w:t xml:space="preserve"> it’.</w:t>
      </w:r>
    </w:p>
    <w:p w14:paraId="6AB1E170" w14:textId="77777777" w:rsidR="00E53EB6" w:rsidRDefault="006500F5">
      <w:pPr>
        <w:pStyle w:val="Zitat"/>
        <w:autoSpaceDE w:val="0"/>
        <w:rPr>
          <w:i/>
          <w:iCs/>
        </w:rPr>
      </w:pPr>
      <w:r>
        <w:rPr>
          <w:i/>
          <w:iCs/>
        </w:rPr>
        <w:t>vanu</w:t>
      </w:r>
      <w:r>
        <w:rPr>
          <w:i/>
          <w:iCs/>
        </w:rPr>
        <w:t>ṣ</w:t>
      </w:r>
      <w:r>
        <w:rPr>
          <w:i/>
          <w:iCs/>
        </w:rPr>
        <w:t>yatá</w:t>
      </w:r>
      <w:r>
        <w:rPr>
          <w:i/>
          <w:iCs/>
        </w:rPr>
        <w:t>ḥ</w:t>
      </w:r>
      <w:r>
        <w:rPr>
          <w:i/>
          <w:iCs/>
        </w:rPr>
        <w:t xml:space="preserve">: </w:t>
      </w:r>
      <w:r>
        <w:t xml:space="preserve">pres. part. (abl. masc. sing.) of the denominative </w:t>
      </w:r>
      <w:r>
        <w:rPr>
          <w:i/>
          <w:iCs/>
        </w:rPr>
        <w:t>vanu</w:t>
      </w:r>
      <w:r>
        <w:rPr>
          <w:i/>
          <w:iCs/>
        </w:rPr>
        <w:t>ṣ</w:t>
      </w:r>
      <w:r>
        <w:rPr>
          <w:i/>
          <w:iCs/>
        </w:rPr>
        <w:t>ya-</w:t>
      </w:r>
    </w:p>
    <w:p w14:paraId="45227DB9" w14:textId="77777777" w:rsidR="00E53EB6" w:rsidRDefault="006500F5">
      <w:pPr>
        <w:pStyle w:val="HaupttextnachZitat"/>
        <w:numPr>
          <w:ilvl w:val="2"/>
          <w:numId w:val="2"/>
        </w:numPr>
        <w:tabs>
          <w:tab w:val="left" w:pos="0"/>
        </w:tabs>
      </w:pPr>
      <w:r>
        <w:t xml:space="preserve">Vedic Web: </w:t>
      </w:r>
    </w:p>
    <w:p w14:paraId="573DFB98" w14:textId="77777777" w:rsidR="00E53EB6" w:rsidRDefault="006500F5">
      <w:pPr>
        <w:pStyle w:val="HaupttextohneEinzug"/>
        <w:numPr>
          <w:ilvl w:val="2"/>
          <w:numId w:val="2"/>
        </w:numPr>
        <w:tabs>
          <w:tab w:val="left" w:pos="0"/>
        </w:tabs>
      </w:pPr>
      <w:r>
        <w:t>Mantra: R̥V 1.85.12</w:t>
      </w:r>
      <w:r>
        <w:rPr>
          <w:rFonts w:eastAsia="Arial" w:cs="Times Ext Roman"/>
          <w:szCs w:val="21"/>
          <w:lang w:eastAsia="hi-IN" w:bidi="en-GB"/>
        </w:rPr>
        <w:t xml:space="preserve">; 7.56.13; .19; MS 4.14.18: </w:t>
      </w:r>
      <w:r>
        <w:rPr>
          <w:rFonts w:eastAsia="Arial" w:cs="Devanagari MT;Times New Roman"/>
          <w:szCs w:val="21"/>
          <w:lang w:eastAsia="hi-IN" w:bidi="en-GB"/>
        </w:rPr>
        <w:t>247,13-14</w:t>
      </w:r>
      <w:r>
        <w:rPr>
          <w:rFonts w:eastAsia="Arial" w:cs="Times Ext Roman"/>
          <w:szCs w:val="21"/>
          <w:lang w:eastAsia="hi-IN" w:bidi="en-GB"/>
        </w:rPr>
        <w:t>.</w:t>
      </w:r>
    </w:p>
    <w:p w14:paraId="7FE9EACE" w14:textId="77777777" w:rsidR="00E53EB6" w:rsidRDefault="00E53EB6">
      <w:pPr>
        <w:pStyle w:val="HaupttextohneEinzug"/>
      </w:pPr>
    </w:p>
    <w:p w14:paraId="4BE1D2F4" w14:textId="77777777" w:rsidR="00E53EB6" w:rsidRDefault="006500F5">
      <w:pPr>
        <w:pStyle w:val="HaupttextohneEinzug"/>
      </w:pPr>
      <w:r>
        <w:t xml:space="preserve">Rite </w:t>
      </w:r>
    </w:p>
    <w:p w14:paraId="3166A6B2" w14:textId="77777777" w:rsidR="00E53EB6" w:rsidRDefault="006500F5">
      <w:pPr>
        <w:pStyle w:val="HaupttextohneEinzug"/>
        <w:rPr>
          <w:i/>
          <w:iCs/>
        </w:rPr>
      </w:pPr>
      <w:r>
        <w:rPr>
          <w:rFonts w:eastAsia="Arial" w:cs="Times Ext Roman"/>
          <w:i/>
          <w:iCs/>
          <w:szCs w:val="21"/>
          <w:lang w:eastAsia="hi-IN" w:bidi="en-GB"/>
        </w:rPr>
        <w:t>Kamye</w:t>
      </w:r>
      <w:r>
        <w:rPr>
          <w:rFonts w:eastAsia="Arial" w:cs="Times Ext Roman"/>
          <w:i/>
          <w:iCs/>
          <w:szCs w:val="21"/>
          <w:lang w:eastAsia="hi-IN" w:bidi="en-GB"/>
        </w:rPr>
        <w:t>ṣṭ</w:t>
      </w:r>
      <w:r>
        <w:rPr>
          <w:rFonts w:eastAsia="Arial" w:cs="Times Ext Roman"/>
          <w:i/>
          <w:iCs/>
          <w:szCs w:val="21"/>
          <w:lang w:eastAsia="hi-IN" w:bidi="en-GB"/>
        </w:rPr>
        <w:t>i, mantra</w:t>
      </w:r>
      <w:r>
        <w:rPr>
          <w:rFonts w:eastAsia="Arial" w:cs="Times Ext Roman"/>
          <w:szCs w:val="21"/>
          <w:lang w:eastAsia="hi-IN" w:bidi="en-GB"/>
        </w:rPr>
        <w:t>s to be recited on the sacrifice to the Maruts of a cow that has brought forth only once.</w:t>
      </w:r>
    </w:p>
    <w:p w14:paraId="4A15BC27" w14:textId="77777777" w:rsidR="00E53EB6" w:rsidRDefault="00E53EB6">
      <w:pPr>
        <w:pStyle w:val="HaupttextohneEinzug"/>
        <w:rPr>
          <w:rFonts w:eastAsia="Arial" w:cs="Times Ext Roman"/>
          <w:szCs w:val="21"/>
          <w:lang w:eastAsia="hi-IN" w:bidi="en-GB"/>
        </w:rPr>
      </w:pPr>
    </w:p>
    <w:p w14:paraId="3EDFF491" w14:textId="77777777" w:rsidR="00E53EB6" w:rsidRDefault="00E53EB6">
      <w:pPr>
        <w:pStyle w:val="HaupttextohneEinzug"/>
        <w:rPr>
          <w:rFonts w:eastAsia="Arial" w:cs="Times Ext Roman"/>
          <w:szCs w:val="21"/>
          <w:lang w:eastAsia="hi-IN" w:bidi="en-GB"/>
        </w:rPr>
      </w:pPr>
    </w:p>
    <w:p w14:paraId="30B634B2" w14:textId="77777777" w:rsidR="00E53EB6" w:rsidRDefault="006500F5">
      <w:pPr>
        <w:pStyle w:val="Heading4"/>
        <w:tabs>
          <w:tab w:val="left" w:pos="0"/>
        </w:tabs>
      </w:pPr>
      <w:r>
        <w:rPr>
          <w:rFonts w:eastAsia="Arial" w:cs="Times Ext Roman"/>
          <w:iCs w:val="0"/>
          <w:sz w:val="21"/>
          <w:szCs w:val="21"/>
          <w:lang w:eastAsia="hi-IN" w:bidi="en-GB"/>
        </w:rPr>
        <w:t xml:space="preserve">non-R̥V </w:t>
      </w:r>
      <w:r>
        <w:rPr>
          <w:rFonts w:eastAsia="Arial" w:cs="Times Ext Roman"/>
          <w:sz w:val="21"/>
          <w:szCs w:val="21"/>
          <w:lang w:eastAsia="hi-IN" w:bidi="en-GB"/>
        </w:rPr>
        <w:t>mantra</w:t>
      </w:r>
      <w:r>
        <w:rPr>
          <w:rFonts w:eastAsia="Arial" w:cs="Times Ext Roman"/>
          <w:iCs w:val="0"/>
          <w:sz w:val="21"/>
          <w:szCs w:val="21"/>
          <w:lang w:eastAsia="hi-IN" w:bidi="en-GB"/>
        </w:rPr>
        <w:t>s</w:t>
      </w:r>
    </w:p>
    <w:p w14:paraId="59105838" w14:textId="77777777" w:rsidR="00E53EB6" w:rsidRDefault="006500F5">
      <w:pPr>
        <w:pStyle w:val="Heading5"/>
        <w:tabs>
          <w:tab w:val="left" w:pos="0"/>
        </w:tabs>
        <w:rPr>
          <w:u w:val="single"/>
        </w:rPr>
      </w:pPr>
      <w:r>
        <w:rPr>
          <w:u w:val="single"/>
        </w:rPr>
        <w:t>JS 1.35.5 = KauS 336</w:t>
      </w:r>
    </w:p>
    <w:p w14:paraId="63154817" w14:textId="77777777" w:rsidR="00E53EB6" w:rsidRDefault="006500F5">
      <w:pPr>
        <w:pStyle w:val="Zitat"/>
        <w:autoSpaceDE w:val="0"/>
      </w:pPr>
      <w:r>
        <w:t>JS 1.35.5</w:t>
      </w:r>
      <w:r>
        <w:rPr>
          <w:i/>
          <w:iCs/>
        </w:rPr>
        <w:t xml:space="preserve"> </w:t>
      </w:r>
      <w:r>
        <w:t>= KauS 336</w:t>
      </w:r>
      <w:r>
        <w:rPr>
          <w:i/>
          <w:iCs/>
        </w:rPr>
        <w:t xml:space="preserve"> yo no vanu</w:t>
      </w:r>
      <w:r>
        <w:rPr>
          <w:i/>
          <w:iCs/>
        </w:rPr>
        <w:t>ṣ</w:t>
      </w:r>
      <w:r>
        <w:rPr>
          <w:i/>
          <w:iCs/>
        </w:rPr>
        <w:t>yannabhidāti marta uga</w:t>
      </w:r>
      <w:r>
        <w:rPr>
          <w:i/>
          <w:iCs/>
        </w:rPr>
        <w:t>ṇ</w:t>
      </w:r>
      <w:r>
        <w:rPr>
          <w:i/>
          <w:iCs/>
        </w:rPr>
        <w:t>ā vā manyamānasturo vā / k</w:t>
      </w:r>
      <w:r>
        <w:rPr>
          <w:i/>
          <w:iCs/>
        </w:rPr>
        <w:t>ṣ</w:t>
      </w:r>
      <w:r>
        <w:rPr>
          <w:i/>
          <w:iCs/>
        </w:rPr>
        <w:t xml:space="preserve">idhī yudhā śavasā vā tam indrābhī </w:t>
      </w:r>
      <w:r>
        <w:rPr>
          <w:i/>
          <w:iCs/>
        </w:rPr>
        <w:t>ṣ</w:t>
      </w:r>
      <w:r>
        <w:rPr>
          <w:i/>
          <w:iCs/>
        </w:rPr>
        <w:t>yāma vr̥</w:t>
      </w:r>
      <w:r>
        <w:rPr>
          <w:i/>
          <w:iCs/>
        </w:rPr>
        <w:t>ṣ</w:t>
      </w:r>
      <w:r>
        <w:rPr>
          <w:i/>
          <w:iCs/>
        </w:rPr>
        <w:t>ama</w:t>
      </w:r>
      <w:r>
        <w:rPr>
          <w:i/>
          <w:iCs/>
        </w:rPr>
        <w:t>ṇ</w:t>
      </w:r>
      <w:r>
        <w:rPr>
          <w:i/>
          <w:iCs/>
        </w:rPr>
        <w:t>as tvotā</w:t>
      </w:r>
      <w:r>
        <w:rPr>
          <w:i/>
          <w:iCs/>
        </w:rPr>
        <w:t>ḥ</w:t>
      </w:r>
      <w:r>
        <w:rPr>
          <w:i/>
          <w:iCs/>
        </w:rPr>
        <w:t xml:space="preserve"> //</w:t>
      </w:r>
    </w:p>
    <w:p w14:paraId="427B7BD6" w14:textId="77777777" w:rsidR="00E53EB6" w:rsidRDefault="006500F5">
      <w:pPr>
        <w:pStyle w:val="Zitat"/>
      </w:pPr>
      <w:r>
        <w:t xml:space="preserve">The mortal, who, </w:t>
      </w:r>
      <w:r>
        <w:rPr>
          <w:u w:val="single"/>
        </w:rPr>
        <w:t>desiring to appropriate,</w:t>
      </w:r>
      <w:r>
        <w:t xml:space="preserve"> is after us</w:t>
      </w:r>
      <w:r>
        <w:rPr>
          <w:rStyle w:val="FootnoteAnchor"/>
          <w:shd w:val="clear" w:color="auto" w:fill="FFFF00"/>
        </w:rPr>
        <w:footnoteReference w:id="513"/>
      </w:r>
      <w:r>
        <w:t>, thinking to be powerful</w:t>
      </w:r>
      <w:r>
        <w:rPr>
          <w:rStyle w:val="FootnoteAnchor"/>
        </w:rPr>
        <w:footnoteReference w:id="514"/>
      </w:r>
      <w:r>
        <w:t xml:space="preserve"> or quick,</w:t>
      </w:r>
      <w:r>
        <w:t xml:space="preserve"> destroy him in the battle or with the st</w:t>
      </w:r>
      <w:r>
        <w:t>rength, may we overcome him, o courageous, Indra, through your help.</w:t>
      </w:r>
    </w:p>
    <w:p w14:paraId="164AA6A6" w14:textId="77777777" w:rsidR="00E53EB6" w:rsidRPr="00494885" w:rsidRDefault="006500F5">
      <w:pPr>
        <w:pStyle w:val="Zitat"/>
        <w:autoSpaceDE w:val="0"/>
        <w:rPr>
          <w:lang w:val="de-DE" w:eastAsia="hi-IN"/>
        </w:rPr>
      </w:pPr>
      <w:r>
        <w:rPr>
          <w:i/>
          <w:iCs/>
          <w:lang w:eastAsia="hi-IN"/>
        </w:rPr>
        <w:t>vanu</w:t>
      </w:r>
      <w:r>
        <w:rPr>
          <w:i/>
          <w:iCs/>
          <w:lang w:eastAsia="hi-IN"/>
        </w:rPr>
        <w:t>ṣ</w:t>
      </w:r>
      <w:r>
        <w:rPr>
          <w:i/>
          <w:iCs/>
          <w:lang w:eastAsia="hi-IN"/>
        </w:rPr>
        <w:t xml:space="preserve">yan: </w:t>
      </w:r>
      <w:r>
        <w:rPr>
          <w:lang w:eastAsia="hi-IN"/>
        </w:rPr>
        <w:t xml:space="preserve">part. pres. (nom. masc. sing.)  </w:t>
      </w:r>
      <w:r w:rsidRPr="00494885">
        <w:rPr>
          <w:lang w:val="de-DE" w:eastAsia="hi-IN"/>
        </w:rPr>
        <w:t xml:space="preserve">denominative of  </w:t>
      </w:r>
      <w:r w:rsidRPr="00494885">
        <w:rPr>
          <w:i/>
          <w:iCs/>
          <w:lang w:val="de-DE" w:eastAsia="hi-IN"/>
        </w:rPr>
        <w:t>vanus</w:t>
      </w:r>
    </w:p>
    <w:p w14:paraId="48E7E2FB" w14:textId="77777777" w:rsidR="00E53EB6" w:rsidRPr="00494885" w:rsidRDefault="006500F5">
      <w:pPr>
        <w:pStyle w:val="ZitatmitEinzug"/>
        <w:rPr>
          <w:lang w:val="de-DE"/>
        </w:rPr>
      </w:pPr>
      <w:r w:rsidRPr="00494885">
        <w:rPr>
          <w:rStyle w:val="biblio-authorGEN"/>
          <w:sz w:val="18"/>
          <w:szCs w:val="18"/>
          <w:lang w:val="de-DE"/>
        </w:rPr>
        <w:t>Benfey 1848</w:t>
      </w:r>
      <w:r w:rsidRPr="00494885">
        <w:rPr>
          <w:lang w:val="de-DE"/>
        </w:rPr>
        <w:t>: 229 “kriegeslustig”</w:t>
      </w:r>
    </w:p>
    <w:p w14:paraId="02FB8543" w14:textId="77777777" w:rsidR="00E53EB6" w:rsidRPr="00494885" w:rsidRDefault="006500F5">
      <w:pPr>
        <w:pStyle w:val="ZitatmitEinzug"/>
        <w:rPr>
          <w:lang w:val="de-DE"/>
        </w:rPr>
      </w:pPr>
      <w:r w:rsidRPr="00494885">
        <w:rPr>
          <w:rStyle w:val="biblio-authorGEN"/>
          <w:sz w:val="18"/>
          <w:szCs w:val="15"/>
          <w:lang w:val="de-DE"/>
        </w:rPr>
        <w:t>Narten</w:t>
      </w:r>
      <w:r w:rsidRPr="00494885">
        <w:rPr>
          <w:lang w:val="de-DE"/>
        </w:rPr>
        <w:t xml:space="preserve"> 1963: 61 “anfeindend”</w:t>
      </w:r>
    </w:p>
    <w:p w14:paraId="06341929" w14:textId="77777777" w:rsidR="00E53EB6" w:rsidRDefault="006500F5">
      <w:pPr>
        <w:pStyle w:val="HaupttextnachZitat"/>
        <w:numPr>
          <w:ilvl w:val="2"/>
          <w:numId w:val="2"/>
        </w:numPr>
        <w:tabs>
          <w:tab w:val="left" w:pos="0"/>
        </w:tabs>
      </w:pPr>
      <w:r>
        <w:t>Vedic Web:</w:t>
      </w:r>
    </w:p>
    <w:p w14:paraId="17B5E7C1" w14:textId="77777777" w:rsidR="00E53EB6" w:rsidRDefault="006500F5">
      <w:pPr>
        <w:pStyle w:val="HaupttextohneEinzug"/>
      </w:pPr>
      <w:r>
        <w:t>∅</w:t>
      </w:r>
    </w:p>
    <w:p w14:paraId="3888A7E1" w14:textId="77777777" w:rsidR="00E53EB6" w:rsidRDefault="00E53EB6">
      <w:pPr>
        <w:pStyle w:val="HaupttextohneEinzug"/>
        <w:rPr>
          <w:rFonts w:eastAsia="Arial" w:cs="Devanagari MT;Times New Roman"/>
          <w:szCs w:val="21"/>
          <w:lang w:eastAsia="hi-IN" w:bidi="en-GB"/>
        </w:rPr>
      </w:pPr>
    </w:p>
    <w:p w14:paraId="6D9D25FC" w14:textId="77777777" w:rsidR="00E53EB6" w:rsidRDefault="00E53EB6">
      <w:pPr>
        <w:pStyle w:val="HaupttextohneEinzug"/>
        <w:rPr>
          <w:rFonts w:eastAsia="Arial" w:cs="Devanagari MT;Times New Roman"/>
          <w:szCs w:val="21"/>
          <w:lang w:eastAsia="hi-IN" w:bidi="en-GB"/>
        </w:rPr>
      </w:pPr>
    </w:p>
    <w:p w14:paraId="40C72264" w14:textId="77777777" w:rsidR="00E53EB6" w:rsidRDefault="006500F5">
      <w:pPr>
        <w:pStyle w:val="Heading4"/>
        <w:tabs>
          <w:tab w:val="left" w:pos="0"/>
        </w:tabs>
        <w:rPr>
          <w:i/>
        </w:rPr>
      </w:pPr>
      <w:r>
        <w:rPr>
          <w:i/>
        </w:rPr>
        <w:t>b) vánīyas-</w:t>
      </w:r>
    </w:p>
    <w:p w14:paraId="327F3B42" w14:textId="77777777" w:rsidR="00E53EB6" w:rsidRDefault="006500F5">
      <w:pPr>
        <w:pStyle w:val="Heading4"/>
        <w:tabs>
          <w:tab w:val="left" w:pos="0"/>
        </w:tabs>
      </w:pPr>
      <w:r>
        <w:rPr>
          <w:rFonts w:eastAsia="Arial" w:cs="Times Ext Roman"/>
          <w:sz w:val="21"/>
          <w:szCs w:val="21"/>
          <w:lang w:eastAsia="hi-IN" w:bidi="en-GB"/>
        </w:rPr>
        <w:t xml:space="preserve">R̥V </w:t>
      </w:r>
      <w:r>
        <w:rPr>
          <w:rFonts w:eastAsia="Arial" w:cs="Times Ext Roman"/>
          <w:i/>
          <w:sz w:val="21"/>
          <w:szCs w:val="21"/>
          <w:lang w:eastAsia="hi-IN" w:bidi="en-GB"/>
        </w:rPr>
        <w:t>mantra</w:t>
      </w:r>
      <w:r>
        <w:rPr>
          <w:rFonts w:eastAsia="Arial" w:cs="Times Ext Roman"/>
          <w:sz w:val="21"/>
          <w:szCs w:val="21"/>
          <w:lang w:eastAsia="hi-IN" w:bidi="en-GB"/>
        </w:rPr>
        <w:t>s</w:t>
      </w:r>
    </w:p>
    <w:p w14:paraId="56112027" w14:textId="77777777" w:rsidR="00E53EB6" w:rsidRDefault="006500F5">
      <w:pPr>
        <w:pStyle w:val="Heading5"/>
        <w:tabs>
          <w:tab w:val="left" w:pos="0"/>
        </w:tabs>
        <w:rPr>
          <w:u w:val="single"/>
        </w:rPr>
      </w:pPr>
      <w:r>
        <w:rPr>
          <w:u w:val="single"/>
        </w:rPr>
        <w:t xml:space="preserve">MS 4.12.6: </w:t>
      </w:r>
      <w:r>
        <w:rPr>
          <w:u w:val="single"/>
        </w:rPr>
        <w:t>195,16-17</w:t>
      </w:r>
    </w:p>
    <w:p w14:paraId="6A0B5574" w14:textId="77777777" w:rsidR="00E53EB6" w:rsidRDefault="006500F5">
      <w:pPr>
        <w:pStyle w:val="Zitat"/>
        <w:autoSpaceDE w:val="0"/>
      </w:pPr>
      <w:r>
        <w:t>4.12.6</w:t>
      </w:r>
      <w:r>
        <w:rPr>
          <w:i/>
          <w:iCs/>
        </w:rPr>
        <w:t xml:space="preserve">  prātáryajadhvam aśvínā hinota / ná sāyámasti devayā́ áju</w:t>
      </w:r>
      <w:r>
        <w:rPr>
          <w:i/>
          <w:iCs/>
        </w:rPr>
        <w:t>ṣṭ</w:t>
      </w:r>
      <w:r>
        <w:rPr>
          <w:i/>
          <w:iCs/>
        </w:rPr>
        <w:t>am / utā́nyó asmádyajate vícāya</w:t>
      </w:r>
      <w:r>
        <w:rPr>
          <w:i/>
          <w:iCs/>
        </w:rPr>
        <w:t>ḥ</w:t>
      </w:r>
      <w:r>
        <w:rPr>
          <w:i/>
          <w:iCs/>
        </w:rPr>
        <w:t xml:space="preserve"> / pū́rva</w:t>
      </w:r>
      <w:r>
        <w:rPr>
          <w:i/>
          <w:iCs/>
        </w:rPr>
        <w:t>ḥ</w:t>
      </w:r>
      <w:r>
        <w:rPr>
          <w:i/>
          <w:iCs/>
        </w:rPr>
        <w:t xml:space="preserve"> pūrvoyájamānovánīyān//</w:t>
      </w:r>
    </w:p>
    <w:p w14:paraId="4FDA2273" w14:textId="77777777" w:rsidR="00E53EB6" w:rsidRDefault="006500F5">
      <w:pPr>
        <w:pStyle w:val="Zitat"/>
        <w:autoSpaceDE w:val="0"/>
      </w:pPr>
      <w:r>
        <w:t xml:space="preserve">Sacrifice in the early morning! Set in motion the Aśvin. The evening, unpleasing, is not the time to seek the </w:t>
      </w:r>
      <w:r>
        <w:lastRenderedPageBreak/>
        <w:t>gods</w:t>
      </w:r>
      <w:r>
        <w:t>: also another, other than us, sacrifices and dawns whenever</w:t>
      </w:r>
      <w:r>
        <w:rPr>
          <w:rStyle w:val="FootnoteAnchor"/>
          <w:rFonts w:eastAsia="Arial Unicode MS"/>
        </w:rPr>
        <w:footnoteReference w:id="515"/>
      </w:r>
      <w:r>
        <w:t xml:space="preserve"> early in the morning there is the sacrificer: it is he </w:t>
      </w:r>
      <w:r>
        <w:rPr>
          <w:u w:val="single"/>
        </w:rPr>
        <w:t>who appropriates more</w:t>
      </w:r>
      <w:r>
        <w:t xml:space="preserve"> than others.</w:t>
      </w:r>
    </w:p>
    <w:p w14:paraId="7E687169" w14:textId="77777777" w:rsidR="00E53EB6" w:rsidRDefault="006500F5">
      <w:pPr>
        <w:pStyle w:val="Zitat"/>
        <w:autoSpaceDE w:val="0"/>
        <w:rPr>
          <w:lang w:eastAsia="hi-IN"/>
        </w:rPr>
      </w:pPr>
      <w:r>
        <w:rPr>
          <w:i/>
          <w:iCs/>
          <w:lang w:eastAsia="hi-IN"/>
        </w:rPr>
        <w:t xml:space="preserve">vánīyān: </w:t>
      </w:r>
      <w:r>
        <w:rPr>
          <w:lang w:eastAsia="hi-IN"/>
        </w:rPr>
        <w:t xml:space="preserve">nom. masc. sing.  of </w:t>
      </w:r>
      <w:r>
        <w:rPr>
          <w:i/>
          <w:iCs/>
          <w:lang w:eastAsia="hi-IN"/>
        </w:rPr>
        <w:t xml:space="preserve">vanīyas- </w:t>
      </w:r>
    </w:p>
    <w:p w14:paraId="07D3CEF8" w14:textId="77777777" w:rsidR="00E53EB6" w:rsidRDefault="006500F5">
      <w:pPr>
        <w:pStyle w:val="HaupttextnachZitat"/>
        <w:numPr>
          <w:ilvl w:val="2"/>
          <w:numId w:val="2"/>
        </w:numPr>
        <w:tabs>
          <w:tab w:val="left" w:pos="0"/>
        </w:tabs>
      </w:pPr>
      <w:r>
        <w:t>Vedic Web:</w:t>
      </w:r>
    </w:p>
    <w:p w14:paraId="63B7C374" w14:textId="77777777" w:rsidR="00E53EB6" w:rsidRDefault="006500F5">
      <w:pPr>
        <w:pStyle w:val="HaupttextohneEinzug"/>
      </w:pPr>
      <w:r>
        <w:t>Mantra: R̥V 5.77.1-2; TB 2.4.3.13.</w:t>
      </w:r>
    </w:p>
    <w:p w14:paraId="1BD21E4C" w14:textId="77777777" w:rsidR="00E53EB6" w:rsidRDefault="00E53EB6">
      <w:pPr>
        <w:pStyle w:val="HaupttextohneEinzug"/>
      </w:pPr>
    </w:p>
    <w:p w14:paraId="66E10553" w14:textId="77777777" w:rsidR="00E53EB6" w:rsidRDefault="006500F5">
      <w:pPr>
        <w:pStyle w:val="HaupttextohneEinzug"/>
        <w:rPr>
          <w:rFonts w:eastAsia="Arial" w:cs="Times Ext Roman"/>
          <w:szCs w:val="21"/>
          <w:lang w:eastAsia="hi-IN" w:bidi="en-GB"/>
        </w:rPr>
      </w:pPr>
      <w:r>
        <w:rPr>
          <w:rFonts w:eastAsia="Arial" w:cs="Times Ext Roman"/>
          <w:szCs w:val="21"/>
          <w:lang w:eastAsia="hi-IN" w:bidi="en-GB"/>
        </w:rPr>
        <w:t xml:space="preserve">Rite </w:t>
      </w:r>
    </w:p>
    <w:p w14:paraId="61963870" w14:textId="77777777" w:rsidR="00E53EB6" w:rsidRDefault="006500F5">
      <w:pPr>
        <w:pStyle w:val="HaupttextohneEinzug"/>
        <w:rPr>
          <w:rFonts w:eastAsia="Arial" w:cs="Times Ext Roman"/>
          <w:szCs w:val="21"/>
          <w:lang w:eastAsia="hi-IN" w:bidi="en-GB"/>
        </w:rPr>
      </w:pPr>
      <w:r>
        <w:rPr>
          <w:rFonts w:eastAsia="Arial" w:cs="Times Ext Roman"/>
          <w:szCs w:val="21"/>
          <w:lang w:eastAsia="hi-IN" w:bidi="en-GB"/>
        </w:rPr>
        <w:t xml:space="preserve">Soma sacrifice. </w:t>
      </w:r>
      <w:r>
        <w:rPr>
          <w:rFonts w:eastAsia="Arial" w:cs="Times Ext Roman"/>
          <w:i/>
          <w:iCs/>
          <w:szCs w:val="21"/>
          <w:lang w:eastAsia="hi-IN" w:bidi="en-GB"/>
        </w:rPr>
        <w:t>Kamye</w:t>
      </w:r>
      <w:r>
        <w:rPr>
          <w:rFonts w:eastAsia="Arial" w:cs="Times Ext Roman"/>
          <w:i/>
          <w:iCs/>
          <w:szCs w:val="21"/>
          <w:lang w:eastAsia="hi-IN" w:bidi="en-GB"/>
        </w:rPr>
        <w:t>ṣṭ</w:t>
      </w:r>
      <w:r>
        <w:rPr>
          <w:rFonts w:eastAsia="Arial" w:cs="Times Ext Roman"/>
          <w:i/>
          <w:iCs/>
          <w:szCs w:val="21"/>
          <w:lang w:eastAsia="hi-IN" w:bidi="en-GB"/>
        </w:rPr>
        <w:t xml:space="preserve">ī </w:t>
      </w:r>
      <w:r>
        <w:rPr>
          <w:rFonts w:eastAsia="Arial" w:cs="Times Ext Roman"/>
          <w:szCs w:val="21"/>
          <w:lang w:eastAsia="hi-IN" w:bidi="en-GB"/>
        </w:rPr>
        <w:t>sacrifice.</w:t>
      </w:r>
    </w:p>
    <w:p w14:paraId="5B00011E" w14:textId="77777777" w:rsidR="00E53EB6" w:rsidRDefault="00E53EB6">
      <w:pPr>
        <w:pStyle w:val="HaupttextohneEinzug"/>
        <w:rPr>
          <w:rFonts w:eastAsia="Arial" w:cs="Times Ext Roman"/>
          <w:szCs w:val="21"/>
          <w:lang w:eastAsia="hi-IN" w:bidi="en-GB"/>
        </w:rPr>
      </w:pPr>
    </w:p>
    <w:p w14:paraId="2A37D356" w14:textId="77777777" w:rsidR="00E53EB6" w:rsidRDefault="006500F5">
      <w:pPr>
        <w:pStyle w:val="Heading5"/>
        <w:tabs>
          <w:tab w:val="left" w:pos="0"/>
        </w:tabs>
        <w:rPr>
          <w:u w:val="single"/>
        </w:rPr>
      </w:pPr>
      <w:r>
        <w:rPr>
          <w:u w:val="single"/>
        </w:rPr>
        <w:t>TB 2.4.3.13</w:t>
      </w:r>
    </w:p>
    <w:p w14:paraId="3AB35240" w14:textId="77777777" w:rsidR="00E53EB6" w:rsidRDefault="006500F5">
      <w:pPr>
        <w:pStyle w:val="Zitat"/>
        <w:autoSpaceDE w:val="0"/>
      </w:pPr>
      <w:r>
        <w:t>2.4.3.13</w:t>
      </w:r>
      <w:r>
        <w:rPr>
          <w:i/>
          <w:iCs/>
        </w:rPr>
        <w:t xml:space="preserve"> índrāgahi prathamó yajñíyānām</w:t>
      </w:r>
      <w:r>
        <w:rPr>
          <w:rStyle w:val="FootnoteAnchor"/>
          <w:i/>
          <w:iCs/>
        </w:rPr>
        <w:footnoteReference w:id="516"/>
      </w:r>
      <w:r>
        <w:rPr>
          <w:i/>
          <w:iCs/>
        </w:rPr>
        <w:t xml:space="preserve"> / yā́ te kākút súkr̥tā yā́ vári</w:t>
      </w:r>
      <w:r>
        <w:rPr>
          <w:i/>
          <w:iCs/>
        </w:rPr>
        <w:t>ṣṭ</w:t>
      </w:r>
      <w:r>
        <w:rPr>
          <w:i/>
          <w:iCs/>
        </w:rPr>
        <w:t>hā / yáyā śáśvat píbasi mádhva ūrmím / táyā pāhi prá te adhvaryúrasthāt / sánte vájro vartatām indra gavyú</w:t>
      </w:r>
      <w:r>
        <w:rPr>
          <w:i/>
          <w:iCs/>
        </w:rPr>
        <w:t>ḥ</w:t>
      </w:r>
      <w:r>
        <w:rPr>
          <w:rStyle w:val="FootnoteAnchor"/>
          <w:i/>
          <w:iCs/>
        </w:rPr>
        <w:footnoteReference w:id="517"/>
      </w:r>
      <w:r>
        <w:rPr>
          <w:i/>
          <w:iCs/>
        </w:rPr>
        <w:t xml:space="preserve"> / prātaryújā víbodhaya /  áśvinā védá</w:t>
      </w:r>
      <w:r>
        <w:rPr>
          <w:rStyle w:val="FootnoteAnchor"/>
          <w:i/>
          <w:iCs/>
        </w:rPr>
        <w:footnoteReference w:id="518"/>
      </w:r>
      <w:r>
        <w:rPr>
          <w:i/>
          <w:iCs/>
        </w:rPr>
        <w:t xml:space="preserve"> gacchatam / asyá sómasya pītáye</w:t>
      </w:r>
      <w:r>
        <w:rPr>
          <w:rStyle w:val="FootnoteAnchor"/>
          <w:i/>
          <w:iCs/>
        </w:rPr>
        <w:footnoteReference w:id="519"/>
      </w:r>
      <w:r>
        <w:rPr>
          <w:i/>
          <w:iCs/>
        </w:rPr>
        <w:t xml:space="preserve"> / prātaryā́vā</w:t>
      </w:r>
      <w:r>
        <w:rPr>
          <w:i/>
          <w:iCs/>
        </w:rPr>
        <w:t>ṇ</w:t>
      </w:r>
      <w:r>
        <w:rPr>
          <w:i/>
          <w:iCs/>
        </w:rPr>
        <w:t xml:space="preserve">ā prathamā́ yajadhvam / </w:t>
      </w:r>
      <w:r>
        <w:rPr>
          <w:i/>
          <w:iCs/>
        </w:rPr>
        <w:t>purā́ gŕ̥dhrādáraru</w:t>
      </w:r>
      <w:r>
        <w:rPr>
          <w:i/>
          <w:iCs/>
        </w:rPr>
        <w:t>ṣ</w:t>
      </w:r>
      <w:r>
        <w:rPr>
          <w:i/>
          <w:iCs/>
        </w:rPr>
        <w:t>a</w:t>
      </w:r>
      <w:r>
        <w:rPr>
          <w:i/>
          <w:iCs/>
        </w:rPr>
        <w:t>ḥ</w:t>
      </w:r>
      <w:r>
        <w:rPr>
          <w:i/>
          <w:iCs/>
        </w:rPr>
        <w:t xml:space="preserve"> pibātha</w:t>
      </w:r>
      <w:r>
        <w:rPr>
          <w:i/>
          <w:iCs/>
        </w:rPr>
        <w:t>ḥ</w:t>
      </w:r>
      <w:r>
        <w:rPr>
          <w:i/>
          <w:iCs/>
        </w:rPr>
        <w:t xml:space="preserve"> /  prātárhí yajñámaśvínā dádhāte / práśam̐santi kaváya</w:t>
      </w:r>
      <w:r>
        <w:rPr>
          <w:i/>
          <w:iCs/>
        </w:rPr>
        <w:t>ḥ</w:t>
      </w:r>
      <w:r>
        <w:rPr>
          <w:i/>
          <w:iCs/>
        </w:rPr>
        <w:t xml:space="preserve"> pūrvabhā́ja</w:t>
      </w:r>
      <w:r>
        <w:rPr>
          <w:i/>
          <w:iCs/>
        </w:rPr>
        <w:t>ḥ</w:t>
      </w:r>
      <w:r>
        <w:rPr>
          <w:rStyle w:val="FootnoteAnchor"/>
          <w:i/>
          <w:iCs/>
        </w:rPr>
        <w:footnoteReference w:id="520"/>
      </w:r>
      <w:r>
        <w:rPr>
          <w:i/>
          <w:iCs/>
        </w:rPr>
        <w:t xml:space="preserve"> / prātáryajadhvam aśvínā hinota / ná sāyámasti devayā́ áju</w:t>
      </w:r>
      <w:r>
        <w:rPr>
          <w:i/>
          <w:iCs/>
        </w:rPr>
        <w:t>ṣṭ</w:t>
      </w:r>
      <w:r>
        <w:rPr>
          <w:i/>
          <w:iCs/>
        </w:rPr>
        <w:t>am / utā́nyó asmádyajate vícāya</w:t>
      </w:r>
      <w:r>
        <w:rPr>
          <w:i/>
          <w:iCs/>
        </w:rPr>
        <w:t>ḥ</w:t>
      </w:r>
      <w:r>
        <w:rPr>
          <w:i/>
          <w:iCs/>
        </w:rPr>
        <w:t xml:space="preserve"> / pū́rva</w:t>
      </w:r>
      <w:r>
        <w:rPr>
          <w:i/>
          <w:iCs/>
        </w:rPr>
        <w:t>ḥ</w:t>
      </w:r>
      <w:r>
        <w:rPr>
          <w:i/>
          <w:iCs/>
        </w:rPr>
        <w:t xml:space="preserve"> pūrvoyájamānovánīyān</w:t>
      </w:r>
      <w:r>
        <w:rPr>
          <w:rStyle w:val="FootnoteAnchor"/>
          <w:i/>
          <w:iCs/>
        </w:rPr>
        <w:footnoteReference w:id="521"/>
      </w:r>
      <w:r>
        <w:rPr>
          <w:i/>
          <w:iCs/>
        </w:rPr>
        <w:t xml:space="preserve"> //</w:t>
      </w:r>
    </w:p>
    <w:p w14:paraId="0C672A15" w14:textId="77777777" w:rsidR="00E53EB6" w:rsidRDefault="006500F5">
      <w:pPr>
        <w:pStyle w:val="Zitat"/>
        <w:autoSpaceDE w:val="0"/>
      </w:pPr>
      <w:r>
        <w:t xml:space="preserve">Come here, o </w:t>
      </w:r>
      <w:r>
        <w:t>Indra, as the first of the those worthy of worship, your mouth with which, well arranged, widest, you drink always again the wave of the sweet drink</w:t>
      </w:r>
      <w:r>
        <w:rPr>
          <w:rStyle w:val="FootnoteAnchor"/>
        </w:rPr>
        <w:footnoteReference w:id="522"/>
      </w:r>
      <w:r>
        <w:rPr>
          <w:i/>
          <w:iCs/>
        </w:rPr>
        <w:t xml:space="preserve">, </w:t>
      </w:r>
      <w:r>
        <w:t xml:space="preserve">with it drink! The </w:t>
      </w:r>
      <w:r>
        <w:rPr>
          <w:i/>
          <w:iCs/>
        </w:rPr>
        <w:t xml:space="preserve">adhvaryu </w:t>
      </w:r>
      <w:r>
        <w:t>has stood up, the clubs, o Indra, desirous of cows, should come with; wake u</w:t>
      </w:r>
      <w:r>
        <w:t xml:space="preserve">p those yoked early, the Aśvin should come here, give to drink with this </w:t>
      </w:r>
      <w:r>
        <w:rPr>
          <w:i/>
          <w:iCs/>
        </w:rPr>
        <w:t xml:space="preserve">soma; </w:t>
      </w:r>
      <w:r>
        <w:t>they should drink before the illiberal vulture, they indeed perform the sacrifice early at morning, the poet-seers pray those receiving the first share; ‘</w:t>
      </w:r>
      <w:r>
        <w:t xml:space="preserve">Sacrifice in the early </w:t>
      </w:r>
      <w:r>
        <w:t>morning! Set in motion the Aśvin. The evening, unpleasing, is not the time to seek the gods: also another, other than us, sacrifices and dawns whenever</w:t>
      </w:r>
      <w:r>
        <w:rPr>
          <w:rStyle w:val="FootnoteAnchor"/>
          <w:rFonts w:eastAsia="Arial Unicode MS"/>
        </w:rPr>
        <w:footnoteReference w:id="523"/>
      </w:r>
      <w:r>
        <w:t xml:space="preserve"> early in the morning there is the sacrificer: it is he </w:t>
      </w:r>
      <w:r>
        <w:rPr>
          <w:u w:val="single"/>
        </w:rPr>
        <w:t>who appropriates more</w:t>
      </w:r>
      <w:r>
        <w:t xml:space="preserve"> than others.</w:t>
      </w:r>
      <w:r>
        <w:t>’</w:t>
      </w:r>
    </w:p>
    <w:p w14:paraId="6CC63062" w14:textId="77777777" w:rsidR="00E53EB6" w:rsidRDefault="006500F5">
      <w:pPr>
        <w:pStyle w:val="Zitat"/>
        <w:autoSpaceDE w:val="0"/>
        <w:rPr>
          <w:lang w:eastAsia="hi-IN"/>
        </w:rPr>
      </w:pPr>
      <w:r>
        <w:rPr>
          <w:i/>
          <w:iCs/>
          <w:lang w:eastAsia="hi-IN"/>
        </w:rPr>
        <w:t xml:space="preserve">vánīyān: </w:t>
      </w:r>
      <w:r>
        <w:rPr>
          <w:lang w:eastAsia="hi-IN"/>
        </w:rPr>
        <w:t>no</w:t>
      </w:r>
      <w:r>
        <w:rPr>
          <w:lang w:eastAsia="hi-IN"/>
        </w:rPr>
        <w:t xml:space="preserve">m. masc. sing.  of </w:t>
      </w:r>
      <w:r>
        <w:rPr>
          <w:i/>
          <w:iCs/>
          <w:lang w:eastAsia="hi-IN"/>
        </w:rPr>
        <w:t xml:space="preserve">vanīyas- </w:t>
      </w:r>
    </w:p>
    <w:p w14:paraId="0A3B07C1" w14:textId="77777777" w:rsidR="00E53EB6" w:rsidRDefault="006500F5">
      <w:pPr>
        <w:pStyle w:val="HaupttextnachZitat"/>
        <w:numPr>
          <w:ilvl w:val="2"/>
          <w:numId w:val="2"/>
        </w:numPr>
        <w:tabs>
          <w:tab w:val="left" w:pos="0"/>
        </w:tabs>
      </w:pPr>
      <w:r>
        <w:t>Vedic Web:</w:t>
      </w:r>
    </w:p>
    <w:p w14:paraId="15A53D2D" w14:textId="77777777" w:rsidR="00E53EB6" w:rsidRDefault="006500F5">
      <w:pPr>
        <w:pStyle w:val="HaupttextohneEinzug"/>
      </w:pPr>
      <w:r>
        <w:t>Mantra: R̥V 1.22.1; 5.77.1-2; 6.41.1d-2; MS 4.12.6: 195, 16-196,2.</w:t>
      </w:r>
    </w:p>
    <w:p w14:paraId="7F289473" w14:textId="77777777" w:rsidR="00E53EB6" w:rsidRDefault="00E53EB6">
      <w:pPr>
        <w:pStyle w:val="HaupttextohneEinzug"/>
      </w:pPr>
    </w:p>
    <w:p w14:paraId="52D40D51" w14:textId="77777777" w:rsidR="00E53EB6" w:rsidRDefault="006500F5">
      <w:pPr>
        <w:pStyle w:val="HaupttextohneEinzug"/>
        <w:rPr>
          <w:rFonts w:eastAsia="Arial" w:cs="Times Ext Roman"/>
          <w:szCs w:val="21"/>
          <w:lang w:eastAsia="hi-IN" w:bidi="en-GB"/>
        </w:rPr>
      </w:pPr>
      <w:r>
        <w:rPr>
          <w:rFonts w:eastAsia="Arial" w:cs="Times Ext Roman"/>
          <w:szCs w:val="21"/>
          <w:lang w:eastAsia="hi-IN" w:bidi="en-GB"/>
        </w:rPr>
        <w:t xml:space="preserve">Rite </w:t>
      </w:r>
    </w:p>
    <w:p w14:paraId="2C0FBAE9" w14:textId="77777777" w:rsidR="00E53EB6" w:rsidRDefault="006500F5">
      <w:pPr>
        <w:pStyle w:val="HaupttextohneEinzug"/>
        <w:rPr>
          <w:rFonts w:eastAsia="Arial" w:cs="Times Ext Roman"/>
          <w:i/>
          <w:iCs/>
          <w:szCs w:val="21"/>
          <w:lang w:eastAsia="hi-IN" w:bidi="en-GB"/>
        </w:rPr>
      </w:pPr>
      <w:r>
        <w:rPr>
          <w:rFonts w:eastAsia="Arial" w:cs="Times Ext Roman"/>
          <w:i/>
          <w:iCs/>
          <w:szCs w:val="21"/>
          <w:lang w:eastAsia="hi-IN" w:bidi="en-GB"/>
        </w:rPr>
        <w:t>Darśapūr</w:t>
      </w:r>
      <w:r>
        <w:rPr>
          <w:rFonts w:eastAsia="Arial" w:cs="Times Ext Roman"/>
          <w:i/>
          <w:iCs/>
          <w:szCs w:val="21"/>
          <w:lang w:eastAsia="hi-IN" w:bidi="en-GB"/>
        </w:rPr>
        <w:t>ṇ</w:t>
      </w:r>
      <w:r>
        <w:rPr>
          <w:rFonts w:eastAsia="Arial" w:cs="Times Ext Roman"/>
          <w:i/>
          <w:iCs/>
          <w:szCs w:val="21"/>
          <w:lang w:eastAsia="hi-IN" w:bidi="en-GB"/>
        </w:rPr>
        <w:t>amāse</w:t>
      </w:r>
      <w:r>
        <w:rPr>
          <w:rFonts w:eastAsia="Arial" w:cs="Times Ext Roman"/>
          <w:i/>
          <w:iCs/>
          <w:szCs w:val="21"/>
          <w:lang w:eastAsia="hi-IN" w:bidi="en-GB"/>
        </w:rPr>
        <w:t>ṣṭ</w:t>
      </w:r>
      <w:r>
        <w:rPr>
          <w:rFonts w:eastAsia="Arial" w:cs="Times Ext Roman"/>
          <w:i/>
          <w:iCs/>
          <w:szCs w:val="21"/>
          <w:lang w:eastAsia="hi-IN" w:bidi="en-GB"/>
        </w:rPr>
        <w:t>ī. Upahoma mantra</w:t>
      </w:r>
      <w:r>
        <w:rPr>
          <w:rFonts w:eastAsia="Arial" w:cs="Times Ext Roman"/>
          <w:szCs w:val="21"/>
          <w:lang w:eastAsia="hi-IN" w:bidi="en-GB"/>
        </w:rPr>
        <w:t xml:space="preserve">s, subsidiary </w:t>
      </w:r>
      <w:r>
        <w:rPr>
          <w:rFonts w:eastAsia="Arial" w:cs="Times Ext Roman"/>
          <w:i/>
          <w:iCs/>
          <w:szCs w:val="21"/>
          <w:lang w:eastAsia="hi-IN" w:bidi="en-GB"/>
        </w:rPr>
        <w:t>mantra</w:t>
      </w:r>
      <w:r>
        <w:rPr>
          <w:rFonts w:eastAsia="Arial" w:cs="Times Ext Roman"/>
          <w:szCs w:val="21"/>
          <w:lang w:eastAsia="hi-IN" w:bidi="en-GB"/>
        </w:rPr>
        <w:t>s for</w:t>
      </w:r>
      <w:r>
        <w:rPr>
          <w:rFonts w:eastAsia="Arial" w:cs="Times Ext Roman"/>
          <w:i/>
          <w:iCs/>
          <w:szCs w:val="21"/>
          <w:lang w:eastAsia="hi-IN" w:bidi="en-GB"/>
        </w:rPr>
        <w:t xml:space="preserve"> </w:t>
      </w:r>
      <w:r>
        <w:rPr>
          <w:rFonts w:eastAsia="Arial" w:cs="Times Ext Roman"/>
          <w:szCs w:val="21"/>
          <w:lang w:eastAsia="hi-IN" w:bidi="en-GB"/>
        </w:rPr>
        <w:t xml:space="preserve">an additional offering within the </w:t>
      </w:r>
      <w:r>
        <w:rPr>
          <w:rFonts w:eastAsia="Arial" w:cs="Times Ext Roman"/>
          <w:i/>
          <w:iCs/>
          <w:szCs w:val="21"/>
          <w:lang w:eastAsia="hi-IN" w:bidi="en-GB"/>
        </w:rPr>
        <w:t>Mitravinde</w:t>
      </w:r>
      <w:r>
        <w:rPr>
          <w:rFonts w:eastAsia="Arial" w:cs="Times Ext Roman"/>
          <w:i/>
          <w:iCs/>
          <w:szCs w:val="21"/>
          <w:lang w:eastAsia="hi-IN" w:bidi="en-GB"/>
        </w:rPr>
        <w:t>ṣṭ</w:t>
      </w:r>
      <w:r>
        <w:rPr>
          <w:rFonts w:eastAsia="Arial" w:cs="Times Ext Roman"/>
          <w:i/>
          <w:iCs/>
          <w:szCs w:val="21"/>
          <w:lang w:eastAsia="hi-IN" w:bidi="en-GB"/>
        </w:rPr>
        <w:t>i</w:t>
      </w:r>
      <w:r>
        <w:rPr>
          <w:rFonts w:eastAsia="Arial" w:cs="Times Ext Roman"/>
          <w:szCs w:val="21"/>
          <w:lang w:eastAsia="hi-IN" w:bidi="en-GB"/>
        </w:rPr>
        <w:t xml:space="preserve">, here addressed </w:t>
      </w:r>
      <w:r>
        <w:rPr>
          <w:rFonts w:eastAsia="Arial" w:cs="Times Ext Roman"/>
          <w:szCs w:val="21"/>
          <w:lang w:eastAsia="hi-IN" w:bidi="en-GB"/>
        </w:rPr>
        <w:t xml:space="preserve">to the </w:t>
      </w:r>
      <w:r>
        <w:rPr>
          <w:rFonts w:eastAsia="Arial" w:cs="Times Ext Roman"/>
          <w:i/>
          <w:iCs/>
          <w:szCs w:val="21"/>
          <w:lang w:eastAsia="hi-IN" w:bidi="en-GB"/>
        </w:rPr>
        <w:t xml:space="preserve">hotr̥ </w:t>
      </w:r>
      <w:r>
        <w:rPr>
          <w:rFonts w:eastAsia="Arial" w:cs="Times Ext Roman"/>
          <w:szCs w:val="21"/>
          <w:lang w:eastAsia="hi-IN" w:bidi="en-GB"/>
        </w:rPr>
        <w:t xml:space="preserve">and </w:t>
      </w:r>
      <w:r>
        <w:rPr>
          <w:rFonts w:eastAsia="Arial" w:cs="Times Ext Roman"/>
          <w:szCs w:val="21"/>
          <w:lang w:eastAsia="hi-IN" w:bidi="en-GB"/>
        </w:rPr>
        <w:t>the Aśvin.</w:t>
      </w:r>
    </w:p>
    <w:p w14:paraId="7282585B" w14:textId="77777777" w:rsidR="00E53EB6" w:rsidRDefault="00E53EB6">
      <w:pPr>
        <w:pStyle w:val="HaupttextohneEinzug"/>
        <w:rPr>
          <w:rFonts w:eastAsia="Arial" w:cs="Times Ext Roman"/>
          <w:szCs w:val="21"/>
          <w:lang w:eastAsia="hi-IN" w:bidi="en-GB"/>
        </w:rPr>
      </w:pPr>
    </w:p>
    <w:p w14:paraId="0D84817D" w14:textId="77777777" w:rsidR="00E53EB6" w:rsidRDefault="00E53EB6">
      <w:pPr>
        <w:pStyle w:val="HaupttextohneEinzug"/>
        <w:rPr>
          <w:rFonts w:eastAsia="Arial" w:cs="Times Ext Roman"/>
          <w:szCs w:val="21"/>
          <w:lang w:eastAsia="hi-IN" w:bidi="en-GB"/>
        </w:rPr>
      </w:pPr>
    </w:p>
    <w:p w14:paraId="2F685793" w14:textId="77777777" w:rsidR="00E53EB6" w:rsidRDefault="006500F5">
      <w:pPr>
        <w:pStyle w:val="Heading4"/>
        <w:tabs>
          <w:tab w:val="left" w:pos="0"/>
        </w:tabs>
      </w:pPr>
      <w:r>
        <w:lastRenderedPageBreak/>
        <w:t xml:space="preserve">non-R̥V </w:t>
      </w:r>
      <w:r>
        <w:rPr>
          <w:i/>
        </w:rPr>
        <w:t>mantra</w:t>
      </w:r>
      <w:r>
        <w:t>s</w:t>
      </w:r>
    </w:p>
    <w:p w14:paraId="50F480F6" w14:textId="77777777" w:rsidR="00E53EB6" w:rsidRDefault="006500F5">
      <w:pPr>
        <w:pStyle w:val="Heading5"/>
        <w:tabs>
          <w:tab w:val="left" w:pos="0"/>
        </w:tabs>
        <w:rPr>
          <w:u w:val="single"/>
        </w:rPr>
      </w:pPr>
      <w:r>
        <w:rPr>
          <w:u w:val="single"/>
        </w:rPr>
        <w:t>AVP(K.) 19.38.16</w:t>
      </w:r>
    </w:p>
    <w:p w14:paraId="4F04400C" w14:textId="77777777" w:rsidR="00E53EB6" w:rsidRDefault="006500F5">
      <w:pPr>
        <w:pStyle w:val="Zitat"/>
        <w:autoSpaceDE w:val="0"/>
      </w:pPr>
      <w:r>
        <w:t>19.38.16</w:t>
      </w:r>
      <w:r>
        <w:rPr>
          <w:i/>
          <w:iCs/>
        </w:rPr>
        <w:t xml:space="preserve"> kavir yajñasya pra tano</w:t>
      </w:r>
      <w:r>
        <w:rPr>
          <w:i/>
          <w:iCs/>
        </w:rPr>
        <w:t>ṣ</w:t>
      </w:r>
      <w:r>
        <w:rPr>
          <w:i/>
          <w:iCs/>
        </w:rPr>
        <w:t>i panthām &lt;nā&gt;kasya pr̥</w:t>
      </w:r>
      <w:r>
        <w:rPr>
          <w:i/>
          <w:iCs/>
        </w:rPr>
        <w:t>ṣṭ</w:t>
      </w:r>
      <w:r>
        <w:rPr>
          <w:i/>
          <w:iCs/>
        </w:rPr>
        <w:t xml:space="preserve">he abhi </w:t>
      </w:r>
      <w:r>
        <w:rPr>
          <w:i/>
          <w:iCs/>
        </w:rPr>
        <w:t>dīdhyāna</w:t>
      </w:r>
      <w:r>
        <w:rPr>
          <w:i/>
          <w:iCs/>
        </w:rPr>
        <w:t>ḥ</w:t>
      </w:r>
      <w:r>
        <w:rPr>
          <w:i/>
          <w:iCs/>
        </w:rPr>
        <w:t xml:space="preserve"> </w:t>
      </w:r>
      <w:r>
        <w:rPr>
          <w:i/>
          <w:iCs/>
        </w:rPr>
        <w:t>/ yena havya</w:t>
      </w:r>
      <w:r>
        <w:rPr>
          <w:i/>
          <w:iCs/>
        </w:rPr>
        <w:t>ṃ</w:t>
      </w:r>
      <w:r>
        <w:rPr>
          <w:i/>
          <w:iCs/>
        </w:rPr>
        <w:t xml:space="preserve"> vahasi devadūta ita</w:t>
      </w:r>
      <w:r>
        <w:rPr>
          <w:i/>
          <w:iCs/>
        </w:rPr>
        <w:t>ḥ</w:t>
      </w:r>
      <w:r>
        <w:rPr>
          <w:i/>
          <w:iCs/>
        </w:rPr>
        <w:t xml:space="preserve"> pracetā amuto vanīyān//</w:t>
      </w:r>
    </w:p>
    <w:p w14:paraId="7119EEAA" w14:textId="77777777" w:rsidR="00E53EB6" w:rsidRDefault="006500F5">
      <w:pPr>
        <w:pStyle w:val="Zitat"/>
        <w:autoSpaceDE w:val="0"/>
      </w:pPr>
      <w:r>
        <w:t xml:space="preserve">The sage stretches the path of the sacrifice on the back of the firmament, </w:t>
      </w:r>
      <w:r>
        <w:t>towards</w:t>
      </w:r>
      <w:r>
        <w:t xml:space="preserve"> the shining ones,</w:t>
      </w:r>
      <w:r>
        <w:t xml:space="preserve"> whereby you carry the offering, as messenger, hence attentive, thence with</w:t>
      </w:r>
      <w:r>
        <w:rPr>
          <w:u w:val="single"/>
        </w:rPr>
        <w:t xml:space="preserve"> </w:t>
      </w:r>
      <w:r>
        <w:rPr>
          <w:u w:val="single"/>
        </w:rPr>
        <w:t>more gain</w:t>
      </w:r>
      <w:r>
        <w:t>.</w:t>
      </w:r>
    </w:p>
    <w:p w14:paraId="0AE5D597" w14:textId="77777777" w:rsidR="00E53EB6" w:rsidRDefault="006500F5">
      <w:pPr>
        <w:pStyle w:val="Zitat"/>
        <w:autoSpaceDE w:val="0"/>
        <w:rPr>
          <w:lang w:eastAsia="hi-IN"/>
        </w:rPr>
      </w:pPr>
      <w:r>
        <w:rPr>
          <w:i/>
          <w:iCs/>
          <w:lang w:eastAsia="hi-IN"/>
        </w:rPr>
        <w:t xml:space="preserve">vánīyān: </w:t>
      </w:r>
      <w:r>
        <w:rPr>
          <w:lang w:eastAsia="hi-IN"/>
        </w:rPr>
        <w:t xml:space="preserve">nom. masc. sing.  of </w:t>
      </w:r>
      <w:r>
        <w:rPr>
          <w:i/>
          <w:iCs/>
          <w:lang w:eastAsia="hi-IN"/>
        </w:rPr>
        <w:t xml:space="preserve">vanīyas- </w:t>
      </w:r>
    </w:p>
    <w:p w14:paraId="2E3FAFA3" w14:textId="77777777" w:rsidR="00E53EB6" w:rsidRDefault="006500F5">
      <w:pPr>
        <w:pStyle w:val="HaupttextnachZitat"/>
        <w:numPr>
          <w:ilvl w:val="2"/>
          <w:numId w:val="2"/>
        </w:numPr>
        <w:tabs>
          <w:tab w:val="left" w:pos="0"/>
        </w:tabs>
      </w:pPr>
      <w:r>
        <w:t>Vedic Web:</w:t>
      </w:r>
    </w:p>
    <w:p w14:paraId="5C41D961" w14:textId="77777777" w:rsidR="00E53EB6" w:rsidRDefault="006500F5">
      <w:pPr>
        <w:pStyle w:val="HaupttextohneEinzug"/>
        <w:numPr>
          <w:ilvl w:val="2"/>
          <w:numId w:val="2"/>
        </w:numPr>
        <w:tabs>
          <w:tab w:val="left" w:pos="0"/>
        </w:tabs>
      </w:pPr>
      <w:r>
        <w:t xml:space="preserve">Mantra: </w:t>
      </w:r>
      <w:r>
        <w:t>cf.</w:t>
      </w:r>
      <w:r>
        <w:t xml:space="preserve"> TS 3.5.5.3.</w:t>
      </w:r>
    </w:p>
    <w:p w14:paraId="653D3DEB" w14:textId="77777777" w:rsidR="00E53EB6" w:rsidRDefault="006500F5">
      <w:pPr>
        <w:pStyle w:val="HaupttextohneEinzug"/>
      </w:pPr>
      <w:r>
        <w:t xml:space="preserve">Keith commentary on the corresponding TS section: </w:t>
      </w:r>
      <w:r>
        <w:t>“Curiously enough the other texts have no parallel”. The only one, we have to add, is in AV tradition.</w:t>
      </w:r>
    </w:p>
    <w:p w14:paraId="797D5ED9" w14:textId="77777777" w:rsidR="00E53EB6" w:rsidRDefault="00E53EB6">
      <w:pPr>
        <w:pStyle w:val="HaupttextohneEinzug"/>
        <w:rPr>
          <w:rFonts w:eastAsia="Arial" w:cs="Times Ext Roman"/>
          <w:szCs w:val="21"/>
          <w:lang w:eastAsia="hi-IN" w:bidi="en-GB"/>
        </w:rPr>
      </w:pPr>
    </w:p>
    <w:p w14:paraId="59AC9C0C" w14:textId="77777777" w:rsidR="00E53EB6" w:rsidRDefault="00E53EB6">
      <w:pPr>
        <w:pStyle w:val="HaupttextohneEinzug"/>
        <w:rPr>
          <w:rFonts w:eastAsia="Arial" w:cs="Times Ext Roman"/>
          <w:szCs w:val="21"/>
          <w:lang w:eastAsia="hi-IN" w:bidi="en-GB"/>
        </w:rPr>
      </w:pPr>
    </w:p>
    <w:p w14:paraId="4DEB63E2" w14:textId="77777777" w:rsidR="00E53EB6" w:rsidRDefault="006500F5">
      <w:pPr>
        <w:pStyle w:val="Heading5"/>
        <w:tabs>
          <w:tab w:val="left" w:pos="0"/>
        </w:tabs>
        <w:rPr>
          <w:u w:val="single"/>
        </w:rPr>
      </w:pPr>
      <w:r>
        <w:rPr>
          <w:u w:val="single"/>
        </w:rPr>
        <w:t>AVP(K.) 19.40.11</w:t>
      </w:r>
    </w:p>
    <w:p w14:paraId="5A63A1AD" w14:textId="77777777" w:rsidR="00E53EB6" w:rsidRDefault="006500F5">
      <w:pPr>
        <w:pStyle w:val="Zitat"/>
        <w:autoSpaceDE w:val="0"/>
      </w:pPr>
      <w:r>
        <w:t>19.40.11</w:t>
      </w:r>
      <w:r>
        <w:rPr>
          <w:i/>
          <w:iCs/>
        </w:rPr>
        <w:t xml:space="preserve"> svādīyasī surāyā lava</w:t>
      </w:r>
      <w:r>
        <w:rPr>
          <w:i/>
          <w:iCs/>
        </w:rPr>
        <w:t>ṇ</w:t>
      </w:r>
      <w:r>
        <w:rPr>
          <w:i/>
          <w:iCs/>
        </w:rPr>
        <w:t>ā cārur madhurā / gobhyo vanīyasī ca me //</w:t>
      </w:r>
    </w:p>
    <w:p w14:paraId="3B3E5C1D" w14:textId="77777777" w:rsidR="00E53EB6" w:rsidRDefault="006500F5">
      <w:pPr>
        <w:pStyle w:val="Zitat"/>
        <w:autoSpaceDE w:val="0"/>
      </w:pPr>
      <w:r>
        <w:t>The salt is more sweet than the wine,</w:t>
      </w:r>
      <w:r>
        <w:t xml:space="preserve"> it is agreeable, pleas</w:t>
      </w:r>
      <w:r>
        <w:t xml:space="preserve">ant and </w:t>
      </w:r>
      <w:r>
        <w:rPr>
          <w:u w:val="single"/>
        </w:rPr>
        <w:t>more desirable</w:t>
      </w:r>
      <w:r>
        <w:t xml:space="preserve"> </w:t>
      </w:r>
      <w:r>
        <w:t>than the cows for me.</w:t>
      </w:r>
    </w:p>
    <w:p w14:paraId="62609E73" w14:textId="77777777" w:rsidR="00E53EB6" w:rsidRDefault="006500F5">
      <w:pPr>
        <w:pStyle w:val="Zitat"/>
        <w:autoSpaceDE w:val="0"/>
        <w:rPr>
          <w:lang w:eastAsia="hi-IN"/>
        </w:rPr>
      </w:pPr>
      <w:r>
        <w:rPr>
          <w:i/>
          <w:iCs/>
          <w:lang w:eastAsia="hi-IN"/>
        </w:rPr>
        <w:t xml:space="preserve">vanīyāsī: </w:t>
      </w:r>
      <w:r>
        <w:rPr>
          <w:lang w:eastAsia="hi-IN"/>
        </w:rPr>
        <w:t xml:space="preserve"> nom. fem. sing. of </w:t>
      </w:r>
      <w:r>
        <w:rPr>
          <w:i/>
          <w:iCs/>
          <w:lang w:eastAsia="hi-IN"/>
        </w:rPr>
        <w:t xml:space="preserve">vanīyas- </w:t>
      </w:r>
    </w:p>
    <w:p w14:paraId="2FAB7A6B" w14:textId="77777777" w:rsidR="00E53EB6" w:rsidRDefault="006500F5">
      <w:pPr>
        <w:pStyle w:val="HaupttextnachZitat"/>
        <w:numPr>
          <w:ilvl w:val="2"/>
          <w:numId w:val="2"/>
        </w:numPr>
        <w:tabs>
          <w:tab w:val="left" w:pos="0"/>
        </w:tabs>
      </w:pPr>
      <w:r>
        <w:t>Vedic Web:</w:t>
      </w:r>
    </w:p>
    <w:p w14:paraId="60843023" w14:textId="77777777" w:rsidR="00E53EB6" w:rsidRDefault="006500F5">
      <w:pPr>
        <w:pStyle w:val="HaupttextohneEinzug"/>
        <w:numPr>
          <w:ilvl w:val="2"/>
          <w:numId w:val="2"/>
        </w:numPr>
        <w:tabs>
          <w:tab w:val="left" w:pos="0"/>
        </w:tabs>
      </w:pPr>
      <w:r>
        <w:t>∅</w:t>
      </w:r>
    </w:p>
    <w:p w14:paraId="4A37A3AD" w14:textId="77777777" w:rsidR="00E53EB6" w:rsidRDefault="006500F5">
      <w:pPr>
        <w:pStyle w:val="HaupttextohneEinzug"/>
        <w:rPr>
          <w:rFonts w:eastAsia="Arial" w:cs="Times Ext Roman"/>
          <w:szCs w:val="21"/>
          <w:lang w:eastAsia="hi-IN" w:bidi="en-GB"/>
        </w:rPr>
      </w:pPr>
      <w:r>
        <w:rPr>
          <w:rFonts w:eastAsia="Arial" w:cs="Times Ext Roman"/>
          <w:i/>
          <w:iCs/>
          <w:szCs w:val="21"/>
          <w:lang w:eastAsia="hi-IN" w:bidi="en-GB"/>
        </w:rPr>
        <w:t>svādo</w:t>
      </w:r>
      <w:r>
        <w:rPr>
          <w:rFonts w:eastAsia="Arial" w:cs="Times Ext Roman"/>
          <w:i/>
          <w:iCs/>
          <w:szCs w:val="21"/>
          <w:lang w:eastAsia="hi-IN" w:bidi="en-GB"/>
        </w:rPr>
        <w:t>ḥ</w:t>
      </w:r>
      <w:r>
        <w:rPr>
          <w:rFonts w:eastAsia="Arial" w:cs="Times Ext Roman"/>
          <w:i/>
          <w:iCs/>
          <w:szCs w:val="21"/>
          <w:lang w:eastAsia="hi-IN" w:bidi="en-GB"/>
        </w:rPr>
        <w:t xml:space="preserve"> svādīyasī bhava madhormadhutarā bhava</w:t>
      </w:r>
      <w:r>
        <w:rPr>
          <w:rFonts w:eastAsia="Arial" w:cs="Times Ext Roman"/>
          <w:szCs w:val="21"/>
          <w:lang w:eastAsia="hi-IN" w:bidi="en-GB"/>
        </w:rPr>
        <w:t xml:space="preserve"> AVP.8.12.3. (referred to the </w:t>
      </w:r>
      <w:r>
        <w:rPr>
          <w:rFonts w:eastAsia="Arial" w:cs="Times Ext Roman"/>
          <w:i/>
          <w:iCs/>
          <w:szCs w:val="21"/>
          <w:lang w:eastAsia="hi-IN" w:bidi="en-GB"/>
        </w:rPr>
        <w:t>surā).</w:t>
      </w:r>
    </w:p>
    <w:p w14:paraId="538F1271" w14:textId="77777777" w:rsidR="00E53EB6" w:rsidRDefault="00E53EB6">
      <w:pPr>
        <w:pStyle w:val="HaupttextohneEinzug"/>
        <w:rPr>
          <w:rFonts w:eastAsia="Arial" w:cs="Times Ext Roman"/>
          <w:szCs w:val="21"/>
          <w:lang w:eastAsia="hi-IN" w:bidi="en-GB"/>
        </w:rPr>
      </w:pPr>
    </w:p>
    <w:p w14:paraId="32C356CA" w14:textId="77777777" w:rsidR="00E53EB6" w:rsidRDefault="006500F5">
      <w:pPr>
        <w:pStyle w:val="Heading4"/>
        <w:tabs>
          <w:tab w:val="left" w:pos="0"/>
        </w:tabs>
        <w:rPr>
          <w:rFonts w:eastAsia="Arial" w:cs="Devanagari MT;Times New Roman"/>
          <w:iCs w:val="0"/>
          <w:sz w:val="21"/>
          <w:szCs w:val="21"/>
          <w:lang w:eastAsia="hi-IN" w:bidi="en-GB"/>
        </w:rPr>
      </w:pPr>
      <w:r>
        <w:rPr>
          <w:rFonts w:eastAsia="Arial" w:cs="Devanagari MT;Times New Roman"/>
          <w:iCs w:val="0"/>
          <w:sz w:val="21"/>
          <w:szCs w:val="21"/>
          <w:lang w:eastAsia="hi-IN" w:bidi="en-GB"/>
        </w:rPr>
        <w:t>IV.1.2.3. Derivatives that occur only in non-R̥V quotations</w:t>
      </w:r>
    </w:p>
    <w:p w14:paraId="0AE53FC7" w14:textId="77777777" w:rsidR="00E53EB6" w:rsidRDefault="006500F5">
      <w:pPr>
        <w:pStyle w:val="Heading4"/>
        <w:tabs>
          <w:tab w:val="left" w:pos="0"/>
        </w:tabs>
      </w:pPr>
      <w:r>
        <w:rPr>
          <w:rFonts w:cs="Devanagari MT;Times New Roman"/>
          <w:i/>
        </w:rPr>
        <w:t xml:space="preserve">a) </w:t>
      </w:r>
      <w:r>
        <w:rPr>
          <w:rFonts w:cs="Devanagari MT;Times New Roman"/>
          <w:i/>
        </w:rPr>
        <w:t>vanu</w:t>
      </w:r>
      <w:r>
        <w:rPr>
          <w:rFonts w:cs="Devanagari MT;Times New Roman"/>
          <w:i/>
        </w:rPr>
        <w:t>ṣ</w:t>
      </w:r>
      <w:r>
        <w:rPr>
          <w:rFonts w:cs="Devanagari MT;Times New Roman"/>
          <w:i/>
        </w:rPr>
        <w:t>vat</w:t>
      </w:r>
      <w:r>
        <w:rPr>
          <w:rFonts w:cs="Devanagari MT;Times New Roman"/>
        </w:rPr>
        <w:t>-</w:t>
      </w:r>
    </w:p>
    <w:p w14:paraId="17CC7835" w14:textId="77777777" w:rsidR="00E53EB6" w:rsidRDefault="006500F5">
      <w:pPr>
        <w:pStyle w:val="Hauptext"/>
      </w:pPr>
      <w:r>
        <w:rPr>
          <w:rFonts w:cs="Devanagari MT;Times New Roman"/>
        </w:rPr>
        <w:t>The term</w:t>
      </w:r>
      <w:r>
        <w:rPr>
          <w:rFonts w:cs="Devanagari MT;Times New Roman"/>
          <w:i/>
          <w:iCs/>
        </w:rPr>
        <w:t xml:space="preserve"> vanu</w:t>
      </w:r>
      <w:r>
        <w:rPr>
          <w:rFonts w:cs="Devanagari MT;Times New Roman"/>
          <w:i/>
          <w:iCs/>
        </w:rPr>
        <w:t>ṣ</w:t>
      </w:r>
      <w:r>
        <w:rPr>
          <w:rFonts w:cs="Devanagari MT;Times New Roman"/>
          <w:i/>
          <w:iCs/>
        </w:rPr>
        <w:t xml:space="preserve">vat- </w:t>
      </w:r>
      <w:r>
        <w:rPr>
          <w:rFonts w:cs="Devanagari MT;Times New Roman"/>
        </w:rPr>
        <w:t xml:space="preserve">is an </w:t>
      </w:r>
      <w:r>
        <w:rPr>
          <w:rFonts w:cs="Devanagari MT;Times New Roman"/>
          <w:i/>
          <w:iCs/>
        </w:rPr>
        <w:t>hapax</w:t>
      </w:r>
      <w:r>
        <w:rPr>
          <w:rFonts w:cs="Devanagari MT;Times New Roman"/>
        </w:rPr>
        <w:t xml:space="preserve"> in Brāhma</w:t>
      </w:r>
      <w:r>
        <w:rPr>
          <w:rFonts w:cs="Devanagari MT;Times New Roman"/>
        </w:rPr>
        <w:t>ṇ</w:t>
      </w:r>
      <w:r>
        <w:rPr>
          <w:rFonts w:cs="Devanagari MT;Times New Roman"/>
        </w:rPr>
        <w:t>as and Sa</w:t>
      </w:r>
      <w:r>
        <w:rPr>
          <w:rFonts w:cs="Devanagari MT;Times New Roman"/>
        </w:rPr>
        <w:t>ṃ</w:t>
      </w:r>
      <w:r>
        <w:rPr>
          <w:rFonts w:cs="Devanagari MT;Times New Roman"/>
        </w:rPr>
        <w:t xml:space="preserve">hitās. The R̥V 1.44.11c stanza reads </w:t>
      </w:r>
      <w:r>
        <w:rPr>
          <w:rFonts w:cs="Devanagari MT;Times New Roman"/>
          <w:i/>
          <w:iCs/>
        </w:rPr>
        <w:t>manu</w:t>
      </w:r>
      <w:r>
        <w:rPr>
          <w:rFonts w:cs="Devanagari MT;Times New Roman"/>
          <w:i/>
          <w:iCs/>
        </w:rPr>
        <w:t>ṣ</w:t>
      </w:r>
      <w:r>
        <w:rPr>
          <w:rFonts w:cs="Devanagari MT;Times New Roman"/>
          <w:i/>
          <w:iCs/>
        </w:rPr>
        <w:t>vat</w:t>
      </w:r>
      <w:r>
        <w:rPr>
          <w:rFonts w:cs="Devanagari MT;Times New Roman"/>
        </w:rPr>
        <w:t xml:space="preserve">- The interchange between </w:t>
      </w:r>
      <w:r>
        <w:rPr>
          <w:rFonts w:cs="Devanagari MT;Times New Roman"/>
          <w:i/>
          <w:iCs/>
        </w:rPr>
        <w:t xml:space="preserve">m- </w:t>
      </w:r>
      <w:r>
        <w:rPr>
          <w:rFonts w:cs="Devanagari MT;Times New Roman"/>
        </w:rPr>
        <w:t xml:space="preserve">and </w:t>
      </w:r>
      <w:r>
        <w:rPr>
          <w:rFonts w:cs="Devanagari MT;Times New Roman"/>
          <w:i/>
          <w:iCs/>
        </w:rPr>
        <w:t xml:space="preserve">v- </w:t>
      </w:r>
      <w:r>
        <w:rPr>
          <w:rFonts w:cs="Devanagari MT;Times New Roman"/>
        </w:rPr>
        <w:t xml:space="preserve">is already an old Indo-Aryan phenomenon, and especially the roots </w:t>
      </w:r>
      <w:r>
        <w:rPr>
          <w:rFonts w:cs="Devanagari MT;Times New Roman"/>
          <w:i/>
          <w:iCs/>
        </w:rPr>
        <w:t xml:space="preserve">man- </w:t>
      </w:r>
      <w:r>
        <w:rPr>
          <w:rFonts w:cs="Devanagari MT;Times New Roman"/>
        </w:rPr>
        <w:t xml:space="preserve">and </w:t>
      </w:r>
      <w:r>
        <w:rPr>
          <w:rFonts w:cs="Devanagari MT;Times New Roman"/>
          <w:i/>
          <w:iCs/>
        </w:rPr>
        <w:t xml:space="preserve">van- </w:t>
      </w:r>
      <w:r>
        <w:rPr>
          <w:rFonts w:cs="Devanagari MT;Times New Roman"/>
        </w:rPr>
        <w:t>interchange a number of times alre</w:t>
      </w:r>
      <w:r>
        <w:rPr>
          <w:rFonts w:cs="Devanagari MT;Times New Roman"/>
        </w:rPr>
        <w:t xml:space="preserve">ady in the R̥gvedic text. Therefore, this occurrence should maybe be considered a wrong writing for </w:t>
      </w:r>
      <w:r>
        <w:rPr>
          <w:rFonts w:cs="Devanagari MT;Times New Roman"/>
          <w:i/>
          <w:iCs/>
        </w:rPr>
        <w:t>manu</w:t>
      </w:r>
      <w:r>
        <w:rPr>
          <w:rFonts w:cs="Devanagari MT;Times New Roman"/>
          <w:i/>
          <w:iCs/>
        </w:rPr>
        <w:t>ṣ</w:t>
      </w:r>
      <w:r>
        <w:rPr>
          <w:rFonts w:cs="Devanagari MT;Times New Roman"/>
          <w:i/>
          <w:iCs/>
        </w:rPr>
        <w:t>vat-</w:t>
      </w:r>
      <w:r>
        <w:rPr>
          <w:rFonts w:cs="Devanagari MT;Times New Roman"/>
        </w:rPr>
        <w:t xml:space="preserve">. </w:t>
      </w:r>
    </w:p>
    <w:p w14:paraId="1A2C449A" w14:textId="77777777" w:rsidR="00E53EB6" w:rsidRDefault="00E53EB6">
      <w:pPr>
        <w:pStyle w:val="HaupttextohneEinzug"/>
        <w:rPr>
          <w:rFonts w:cs="Devanagari MT;Times New Roman"/>
        </w:rPr>
      </w:pPr>
    </w:p>
    <w:p w14:paraId="2F507607" w14:textId="77777777" w:rsidR="00E53EB6" w:rsidRDefault="006500F5">
      <w:pPr>
        <w:pStyle w:val="Heading5"/>
        <w:tabs>
          <w:tab w:val="left" w:pos="0"/>
        </w:tabs>
        <w:rPr>
          <w:u w:val="single"/>
        </w:rPr>
      </w:pPr>
      <w:r>
        <w:rPr>
          <w:u w:val="single"/>
        </w:rPr>
        <w:t>TB 2.7.12.6</w:t>
      </w:r>
    </w:p>
    <w:p w14:paraId="3CCCB938" w14:textId="77777777" w:rsidR="00E53EB6" w:rsidRDefault="006500F5">
      <w:pPr>
        <w:pStyle w:val="Zitat"/>
        <w:autoSpaceDE w:val="0"/>
      </w:pPr>
      <w:r>
        <w:t>2.7.12.6</w:t>
      </w:r>
      <w:r>
        <w:rPr>
          <w:i/>
          <w:iCs/>
        </w:rPr>
        <w:t xml:space="preserve"> diví śrávo dadhire yajñíyāsa</w:t>
      </w:r>
      <w:r>
        <w:rPr>
          <w:i/>
          <w:iCs/>
        </w:rPr>
        <w:t>ḥ</w:t>
      </w:r>
      <w:r>
        <w:rPr>
          <w:i/>
          <w:iCs/>
        </w:rPr>
        <w:t xml:space="preserve"> / náktā ca cakrúr u</w:t>
      </w:r>
      <w:r>
        <w:rPr>
          <w:i/>
          <w:iCs/>
        </w:rPr>
        <w:t>ṣ</w:t>
      </w:r>
      <w:r>
        <w:rPr>
          <w:i/>
          <w:iCs/>
        </w:rPr>
        <w:t>ásā vírūpe / kr̥</w:t>
      </w:r>
      <w:r>
        <w:rPr>
          <w:i/>
          <w:iCs/>
        </w:rPr>
        <w:t>ṣṇ</w:t>
      </w:r>
      <w:r>
        <w:rPr>
          <w:i/>
          <w:iCs/>
        </w:rPr>
        <w:t>á</w:t>
      </w:r>
      <w:r>
        <w:rPr>
          <w:i/>
          <w:iCs/>
        </w:rPr>
        <w:t>ṃ</w:t>
      </w:r>
      <w:r>
        <w:rPr>
          <w:i/>
          <w:iCs/>
        </w:rPr>
        <w:t xml:space="preserve"> ca vár</w:t>
      </w:r>
      <w:r>
        <w:rPr>
          <w:i/>
          <w:iCs/>
        </w:rPr>
        <w:t>ṇ</w:t>
      </w:r>
      <w:r>
        <w:rPr>
          <w:i/>
          <w:iCs/>
        </w:rPr>
        <w:t>amaru</w:t>
      </w:r>
      <w:r>
        <w:rPr>
          <w:i/>
          <w:iCs/>
        </w:rPr>
        <w:t>ṇ</w:t>
      </w:r>
      <w:r>
        <w:rPr>
          <w:i/>
          <w:iCs/>
        </w:rPr>
        <w:t>á</w:t>
      </w:r>
      <w:r>
        <w:rPr>
          <w:i/>
          <w:iCs/>
        </w:rPr>
        <w:t>ṃ</w:t>
      </w:r>
      <w:r>
        <w:rPr>
          <w:i/>
          <w:iCs/>
        </w:rPr>
        <w:t xml:space="preserve"> ca sá</w:t>
      </w:r>
      <w:r>
        <w:rPr>
          <w:i/>
          <w:iCs/>
        </w:rPr>
        <w:t>ṃ</w:t>
      </w:r>
      <w:r>
        <w:rPr>
          <w:i/>
          <w:iCs/>
        </w:rPr>
        <w:t>dhu</w:t>
      </w:r>
      <w:r>
        <w:rPr>
          <w:i/>
          <w:iCs/>
        </w:rPr>
        <w:t>ḥ</w:t>
      </w:r>
      <w:r>
        <w:rPr>
          <w:i/>
          <w:iCs/>
        </w:rPr>
        <w:t xml:space="preserve"> / tvā́m agna ādityā́sa āsyàm / tvā́</w:t>
      </w:r>
      <w:r>
        <w:rPr>
          <w:i/>
          <w:iCs/>
        </w:rPr>
        <w:t>ṃ</w:t>
      </w:r>
      <w:r>
        <w:rPr>
          <w:i/>
          <w:iCs/>
        </w:rPr>
        <w:t xml:space="preserve"> jihvā́m̐ śúcayaścakrire kave /  tvā́m̐ rāti</w:t>
      </w:r>
      <w:r>
        <w:rPr>
          <w:i/>
          <w:iCs/>
        </w:rPr>
        <w:t>ṣ</w:t>
      </w:r>
      <w:r>
        <w:rPr>
          <w:i/>
          <w:iCs/>
        </w:rPr>
        <w:t>ā́co adhvaré</w:t>
      </w:r>
      <w:r>
        <w:rPr>
          <w:i/>
          <w:iCs/>
        </w:rPr>
        <w:t>ṣ</w:t>
      </w:r>
      <w:r>
        <w:rPr>
          <w:i/>
          <w:iCs/>
        </w:rPr>
        <w:t xml:space="preserve">u saścire /  tvé devā́ havír adanty ā́hutam // ní tvā yajñásya </w:t>
      </w:r>
      <w:r>
        <w:rPr>
          <w:i/>
          <w:iCs/>
        </w:rPr>
        <w:t>sā́dhanam / ágne hótāramr̥tvíjam / vanu</w:t>
      </w:r>
      <w:r>
        <w:rPr>
          <w:i/>
          <w:iCs/>
        </w:rPr>
        <w:t>ṣ</w:t>
      </w:r>
      <w:r>
        <w:rPr>
          <w:i/>
          <w:iCs/>
        </w:rPr>
        <w:t>váddeva dhīmahi prácetasam / jīrá</w:t>
      </w:r>
      <w:r>
        <w:rPr>
          <w:i/>
          <w:iCs/>
        </w:rPr>
        <w:t>ṃ</w:t>
      </w:r>
      <w:r>
        <w:rPr>
          <w:i/>
          <w:iCs/>
        </w:rPr>
        <w:t xml:space="preserve"> dūtám ámartyam</w:t>
      </w:r>
      <w:r>
        <w:rPr>
          <w:rStyle w:val="FootnoteAnchor"/>
          <w:i/>
          <w:iCs/>
        </w:rPr>
        <w:footnoteReference w:id="524"/>
      </w:r>
      <w:r>
        <w:rPr>
          <w:i/>
          <w:iCs/>
        </w:rPr>
        <w:t xml:space="preserve"> //</w:t>
      </w:r>
    </w:p>
    <w:p w14:paraId="14EA688C" w14:textId="77777777" w:rsidR="00E53EB6" w:rsidRDefault="006500F5">
      <w:pPr>
        <w:pStyle w:val="Zitat"/>
        <w:autoSpaceDE w:val="0"/>
      </w:pPr>
      <w:r>
        <w:t>Those who is worthy of worship have set the sound in the sky and combined the nights with the wheel of morning and night, the two variegated colour, the black an</w:t>
      </w:r>
      <w:r>
        <w:t>d the reddish colour; the Adityas, blazing, have done (sacrificed) you, o Agni, the mouth, your tongue, o inspired sage</w:t>
      </w:r>
      <w:r>
        <w:rPr>
          <w:i/>
          <w:iCs/>
        </w:rPr>
        <w:t xml:space="preserve">; </w:t>
      </w:r>
      <w:r>
        <w:t xml:space="preserve">they, liberal in gifts, have served you in the </w:t>
      </w:r>
      <w:r>
        <w:lastRenderedPageBreak/>
        <w:t>sacrifices, through you, o god, they eat the sacrificed oblation; may we deploy you, the</w:t>
      </w:r>
      <w:r>
        <w:t xml:space="preserve"> stick/success of the sacrifice, o Agni, you as </w:t>
      </w:r>
      <w:r>
        <w:rPr>
          <w:i/>
          <w:iCs/>
        </w:rPr>
        <w:t xml:space="preserve">hotr̥ </w:t>
      </w:r>
      <w:r>
        <w:t xml:space="preserve">sacrificing at proper time, </w:t>
      </w:r>
      <w:r>
        <w:t xml:space="preserve">o god </w:t>
      </w:r>
      <w:r>
        <w:rPr>
          <w:i/>
          <w:iCs/>
          <w:u w:val="single"/>
        </w:rPr>
        <w:t>vanu</w:t>
      </w:r>
      <w:r>
        <w:rPr>
          <w:i/>
          <w:iCs/>
          <w:u w:val="single"/>
        </w:rPr>
        <w:t>ṣ</w:t>
      </w:r>
      <w:r>
        <w:rPr>
          <w:i/>
          <w:iCs/>
          <w:u w:val="single"/>
        </w:rPr>
        <w:t>vat,</w:t>
      </w:r>
      <w:r>
        <w:rPr>
          <w:i/>
          <w:iCs/>
        </w:rPr>
        <w:t xml:space="preserve"> </w:t>
      </w:r>
      <w:r>
        <w:t>you as attentive, quick and immortal messenger.</w:t>
      </w:r>
    </w:p>
    <w:p w14:paraId="7FB9761B" w14:textId="77777777" w:rsidR="00E53EB6" w:rsidRDefault="006500F5">
      <w:pPr>
        <w:pStyle w:val="Zitat"/>
        <w:autoSpaceDE w:val="0"/>
        <w:rPr>
          <w:lang w:eastAsia="hi-IN"/>
        </w:rPr>
      </w:pPr>
      <w:r>
        <w:rPr>
          <w:i/>
          <w:iCs/>
          <w:lang w:eastAsia="hi-IN"/>
        </w:rPr>
        <w:t>vanu</w:t>
      </w:r>
      <w:r>
        <w:rPr>
          <w:i/>
          <w:iCs/>
          <w:lang w:eastAsia="hi-IN"/>
        </w:rPr>
        <w:t>ṣ</w:t>
      </w:r>
      <w:r>
        <w:rPr>
          <w:i/>
          <w:iCs/>
          <w:lang w:eastAsia="hi-IN"/>
        </w:rPr>
        <w:t xml:space="preserve">vát: </w:t>
      </w:r>
      <w:r>
        <w:rPr>
          <w:lang w:eastAsia="hi-IN"/>
        </w:rPr>
        <w:t xml:space="preserve">voc. masc. sing.  of </w:t>
      </w:r>
      <w:r>
        <w:rPr>
          <w:i/>
          <w:iCs/>
          <w:lang w:eastAsia="hi-IN"/>
        </w:rPr>
        <w:t>vanu</w:t>
      </w:r>
      <w:r>
        <w:rPr>
          <w:i/>
          <w:iCs/>
          <w:lang w:eastAsia="hi-IN"/>
        </w:rPr>
        <w:t>ṣ</w:t>
      </w:r>
      <w:r>
        <w:rPr>
          <w:i/>
          <w:iCs/>
          <w:lang w:eastAsia="hi-IN"/>
        </w:rPr>
        <w:t xml:space="preserve">vat- </w:t>
      </w:r>
    </w:p>
    <w:p w14:paraId="08F4F34E" w14:textId="77777777" w:rsidR="00E53EB6" w:rsidRDefault="006500F5">
      <w:pPr>
        <w:pStyle w:val="HaupttextnachZitat"/>
        <w:numPr>
          <w:ilvl w:val="2"/>
          <w:numId w:val="2"/>
        </w:numPr>
        <w:tabs>
          <w:tab w:val="left" w:pos="0"/>
        </w:tabs>
      </w:pPr>
      <w:r>
        <w:t>Vedic Web:</w:t>
      </w:r>
    </w:p>
    <w:p w14:paraId="3826B6CD" w14:textId="77777777" w:rsidR="00E53EB6" w:rsidRDefault="006500F5">
      <w:pPr>
        <w:pStyle w:val="HaupttextohneEinzug"/>
      </w:pPr>
      <w:r>
        <w:t xml:space="preserve">Mantra: cf. R̥V 1.44.11c reads </w:t>
      </w:r>
      <w:r>
        <w:rPr>
          <w:i/>
          <w:iCs/>
        </w:rPr>
        <w:t>manu</w:t>
      </w:r>
      <w:r>
        <w:rPr>
          <w:i/>
          <w:iCs/>
        </w:rPr>
        <w:t>ṣ</w:t>
      </w:r>
      <w:r>
        <w:rPr>
          <w:i/>
          <w:iCs/>
        </w:rPr>
        <w:t>vat</w:t>
      </w:r>
      <w:r>
        <w:t xml:space="preserve"> instead of </w:t>
      </w:r>
      <w:r>
        <w:rPr>
          <w:i/>
          <w:iCs/>
        </w:rPr>
        <w:t>vanu</w:t>
      </w:r>
      <w:r>
        <w:rPr>
          <w:i/>
          <w:iCs/>
        </w:rPr>
        <w:t>ṣ</w:t>
      </w:r>
      <w:r>
        <w:rPr>
          <w:i/>
          <w:iCs/>
        </w:rPr>
        <w:t>v</w:t>
      </w:r>
      <w:r>
        <w:rPr>
          <w:i/>
          <w:iCs/>
        </w:rPr>
        <w:t>at.</w:t>
      </w:r>
    </w:p>
    <w:p w14:paraId="403FAA8B" w14:textId="77777777" w:rsidR="00E53EB6" w:rsidRDefault="00E53EB6">
      <w:pPr>
        <w:pStyle w:val="HaupttextohneEinzug"/>
      </w:pPr>
    </w:p>
    <w:p w14:paraId="657E68B1" w14:textId="77777777" w:rsidR="00E53EB6" w:rsidRDefault="006500F5">
      <w:pPr>
        <w:pStyle w:val="HaupttextohneEinzug"/>
        <w:rPr>
          <w:rFonts w:eastAsia="Arial" w:cs="Times Ext Roman"/>
          <w:szCs w:val="21"/>
          <w:lang w:eastAsia="hi-IN" w:bidi="en-GB"/>
        </w:rPr>
      </w:pPr>
      <w:r>
        <w:rPr>
          <w:rFonts w:eastAsia="Arial" w:cs="Times Ext Roman"/>
          <w:szCs w:val="21"/>
          <w:lang w:eastAsia="hi-IN" w:bidi="en-GB"/>
        </w:rPr>
        <w:t xml:space="preserve">Rite </w:t>
      </w:r>
    </w:p>
    <w:p w14:paraId="3D83321B" w14:textId="77777777" w:rsidR="00E53EB6" w:rsidRDefault="006500F5">
      <w:pPr>
        <w:pStyle w:val="HaupttextohneEinzug"/>
        <w:rPr>
          <w:rFonts w:eastAsia="Arial" w:cs="Times Ext Roman"/>
          <w:szCs w:val="21"/>
          <w:lang w:eastAsia="hi-IN" w:bidi="en-GB"/>
        </w:rPr>
      </w:pPr>
      <w:r>
        <w:rPr>
          <w:rFonts w:eastAsia="Arial" w:cs="Times Ext Roman"/>
          <w:i/>
          <w:iCs/>
          <w:szCs w:val="21"/>
          <w:lang w:eastAsia="hi-IN" w:bidi="en-GB"/>
        </w:rPr>
        <w:t>Sava</w:t>
      </w:r>
      <w:r>
        <w:rPr>
          <w:rFonts w:eastAsia="Arial" w:cs="Times Ext Roman"/>
          <w:szCs w:val="21"/>
          <w:lang w:eastAsia="hi-IN" w:bidi="en-GB"/>
        </w:rPr>
        <w:t xml:space="preserve">, a one-day Soma sacrifice for the fulfilment of a defined desire, implying also an </w:t>
      </w:r>
      <w:r>
        <w:rPr>
          <w:rFonts w:eastAsia="Arial" w:cs="Times Ext Roman"/>
          <w:i/>
          <w:iCs/>
          <w:szCs w:val="21"/>
          <w:lang w:eastAsia="hi-IN" w:bidi="en-GB"/>
        </w:rPr>
        <w:t>Abhi</w:t>
      </w:r>
      <w:r>
        <w:rPr>
          <w:rFonts w:eastAsia="Arial" w:cs="Times Ext Roman"/>
          <w:i/>
          <w:iCs/>
          <w:szCs w:val="21"/>
          <w:lang w:eastAsia="hi-IN" w:bidi="en-GB"/>
        </w:rPr>
        <w:t>ṣ</w:t>
      </w:r>
      <w:r>
        <w:rPr>
          <w:rFonts w:eastAsia="Arial" w:cs="Times Ext Roman"/>
          <w:i/>
          <w:iCs/>
          <w:szCs w:val="21"/>
          <w:lang w:eastAsia="hi-IN" w:bidi="en-GB"/>
        </w:rPr>
        <w:t>eka</w:t>
      </w:r>
      <w:r>
        <w:rPr>
          <w:rFonts w:eastAsia="Arial" w:cs="Times Ext Roman"/>
          <w:szCs w:val="21"/>
          <w:lang w:eastAsia="hi-IN" w:bidi="en-GB"/>
        </w:rPr>
        <w:t>,</w:t>
      </w:r>
      <w:r>
        <w:rPr>
          <w:rFonts w:eastAsia="Arial" w:cs="Times Ext Roman"/>
          <w:i/>
          <w:iCs/>
          <w:szCs w:val="21"/>
          <w:lang w:eastAsia="hi-IN" w:bidi="en-GB"/>
        </w:rPr>
        <w:t xml:space="preserve"> </w:t>
      </w:r>
      <w:r>
        <w:rPr>
          <w:rFonts w:eastAsia="Arial" w:cs="Times Ext Roman"/>
          <w:szCs w:val="21"/>
          <w:lang w:eastAsia="hi-IN" w:bidi="en-GB"/>
        </w:rPr>
        <w:t xml:space="preserve">in this case the </w:t>
      </w:r>
      <w:r>
        <w:rPr>
          <w:rFonts w:eastAsia="Arial" w:cs="Times Ext Roman"/>
          <w:i/>
          <w:iCs/>
          <w:szCs w:val="21"/>
          <w:lang w:eastAsia="hi-IN" w:bidi="en-GB"/>
        </w:rPr>
        <w:t>sava</w:t>
      </w:r>
      <w:r>
        <w:rPr>
          <w:rFonts w:eastAsia="Arial" w:cs="Times Ext Roman"/>
          <w:szCs w:val="21"/>
          <w:lang w:eastAsia="hi-IN" w:bidi="en-GB"/>
        </w:rPr>
        <w:t xml:space="preserve"> is performed for attaining offspring. </w:t>
      </w:r>
      <w:r>
        <w:rPr>
          <w:rFonts w:eastAsia="Arial" w:cs="Times Ext Roman"/>
          <w:i/>
          <w:iCs/>
          <w:szCs w:val="21"/>
          <w:lang w:eastAsia="hi-IN" w:bidi="en-GB"/>
        </w:rPr>
        <w:t>Mantra</w:t>
      </w:r>
      <w:r>
        <w:rPr>
          <w:rFonts w:eastAsia="Arial" w:cs="Times Ext Roman"/>
          <w:szCs w:val="21"/>
          <w:lang w:eastAsia="hi-IN" w:bidi="en-GB"/>
        </w:rPr>
        <w:t>s to be recited when sprinkling the sanctified fluid.</w:t>
      </w:r>
    </w:p>
    <w:p w14:paraId="6D260D8C" w14:textId="77777777" w:rsidR="00E53EB6" w:rsidRDefault="00E53EB6">
      <w:pPr>
        <w:pStyle w:val="HaupttextohneEinzug"/>
        <w:rPr>
          <w:rFonts w:eastAsia="Arial" w:cs="Times Ext Roman"/>
          <w:szCs w:val="21"/>
          <w:lang w:eastAsia="hi-IN" w:bidi="en-GB"/>
        </w:rPr>
      </w:pPr>
    </w:p>
    <w:p w14:paraId="67E2A898" w14:textId="77777777" w:rsidR="00E53EB6" w:rsidRDefault="006500F5">
      <w:pPr>
        <w:pStyle w:val="Heading4"/>
        <w:tabs>
          <w:tab w:val="left" w:pos="0"/>
        </w:tabs>
      </w:pPr>
      <w:r>
        <w:rPr>
          <w:rFonts w:cs="Devanagari MT;Times New Roman"/>
          <w:i/>
        </w:rPr>
        <w:t>b) vaní</w:t>
      </w:r>
      <w:r>
        <w:rPr>
          <w:rFonts w:cs="Devanagari MT;Times New Roman"/>
        </w:rPr>
        <w:t>-</w:t>
      </w:r>
    </w:p>
    <w:p w14:paraId="7D6ACF6B" w14:textId="77777777" w:rsidR="00E53EB6" w:rsidRDefault="006500F5">
      <w:pPr>
        <w:pStyle w:val="Hauptext"/>
      </w:pPr>
      <w:r>
        <w:rPr>
          <w:rFonts w:cs="Devanagari MT;Times New Roman"/>
        </w:rPr>
        <w:t xml:space="preserve">According to Grassmann </w:t>
      </w:r>
      <w:r>
        <w:rPr>
          <w:rFonts w:cs="Devanagari MT;Times New Roman"/>
          <w:szCs w:val="21"/>
        </w:rPr>
        <w:t>1875 [ed. 1996: 1209]</w:t>
      </w:r>
      <w:r>
        <w:rPr>
          <w:rFonts w:cs="Devanagari MT;Times New Roman"/>
          <w:sz w:val="18"/>
          <w:szCs w:val="18"/>
        </w:rPr>
        <w:t xml:space="preserve"> </w:t>
      </w:r>
      <w:r>
        <w:rPr>
          <w:rFonts w:cs="Devanagari MT;Times New Roman"/>
          <w:i/>
          <w:iCs/>
        </w:rPr>
        <w:t xml:space="preserve">váni- </w:t>
      </w:r>
      <w:r>
        <w:rPr>
          <w:rFonts w:cs="Devanagari MT;Times New Roman"/>
        </w:rPr>
        <w:t>“Heischen, Begehren, Wunsch” occurs only in these passages of the Atharvaveda Sa</w:t>
      </w:r>
      <w:r>
        <w:rPr>
          <w:rFonts w:cs="Devanagari MT;Times New Roman"/>
        </w:rPr>
        <w:t>ṃ</w:t>
      </w:r>
      <w:r>
        <w:rPr>
          <w:rFonts w:cs="Devanagari MT;Times New Roman"/>
        </w:rPr>
        <w:t xml:space="preserve">hitās, while in the </w:t>
      </w:r>
      <w:r>
        <w:rPr>
          <w:rFonts w:cs="Devanagari MT;Times New Roman"/>
          <w:i/>
          <w:iCs/>
        </w:rPr>
        <w:t>R̥gveda Sa</w:t>
      </w:r>
      <w:r>
        <w:rPr>
          <w:rFonts w:cs="Devanagari MT;Times New Roman"/>
          <w:i/>
          <w:iCs/>
        </w:rPr>
        <w:t>ṃ</w:t>
      </w:r>
      <w:r>
        <w:rPr>
          <w:rFonts w:cs="Devanagari MT;Times New Roman"/>
          <w:i/>
          <w:iCs/>
        </w:rPr>
        <w:t>hitā</w:t>
      </w:r>
      <w:r>
        <w:rPr>
          <w:rFonts w:cs="Devanagari MT;Times New Roman"/>
        </w:rPr>
        <w:t xml:space="preserve"> it is present only within the compound </w:t>
      </w:r>
      <w:r>
        <w:rPr>
          <w:rFonts w:cs="Devanagari MT;Times New Roman"/>
          <w:i/>
          <w:iCs/>
        </w:rPr>
        <w:t xml:space="preserve">upamāti-váni </w:t>
      </w:r>
      <w:r>
        <w:rPr>
          <w:rFonts w:cs="Devanagari MT;Times New Roman"/>
        </w:rPr>
        <w:t xml:space="preserve">etc. </w:t>
      </w:r>
    </w:p>
    <w:p w14:paraId="05A433E9" w14:textId="77777777" w:rsidR="00E53EB6" w:rsidRDefault="00E53EB6">
      <w:pPr>
        <w:pStyle w:val="Hauptext"/>
        <w:rPr>
          <w:rFonts w:eastAsia="Arial" w:cs="Times Ext Roman"/>
          <w:szCs w:val="21"/>
          <w:lang w:eastAsia="hi-IN" w:bidi="en-GB"/>
        </w:rPr>
      </w:pPr>
    </w:p>
    <w:p w14:paraId="076824D3" w14:textId="77777777" w:rsidR="00E53EB6" w:rsidRDefault="006500F5">
      <w:pPr>
        <w:pStyle w:val="Heading5"/>
        <w:tabs>
          <w:tab w:val="left" w:pos="0"/>
        </w:tabs>
        <w:rPr>
          <w:u w:val="single"/>
        </w:rPr>
      </w:pPr>
      <w:r>
        <w:rPr>
          <w:u w:val="single"/>
        </w:rPr>
        <w:t>AVŚ 5.7.2</w:t>
      </w:r>
    </w:p>
    <w:p w14:paraId="41596873" w14:textId="77777777" w:rsidR="00E53EB6" w:rsidRDefault="006500F5">
      <w:pPr>
        <w:pStyle w:val="Zitat"/>
        <w:autoSpaceDE w:val="0"/>
      </w:pPr>
      <w:r>
        <w:t xml:space="preserve">5.7.2 </w:t>
      </w:r>
      <w:r>
        <w:rPr>
          <w:i/>
          <w:iCs/>
        </w:rPr>
        <w:t>yám arāte pur</w:t>
      </w:r>
      <w:r>
        <w:rPr>
          <w:i/>
          <w:iCs/>
        </w:rPr>
        <w:t>odhatsé púru</w:t>
      </w:r>
      <w:r>
        <w:rPr>
          <w:i/>
          <w:iCs/>
        </w:rPr>
        <w:t>ṣ</w:t>
      </w:r>
      <w:r>
        <w:rPr>
          <w:i/>
          <w:iCs/>
        </w:rPr>
        <w:t>a</w:t>
      </w:r>
      <w:r>
        <w:rPr>
          <w:i/>
          <w:iCs/>
        </w:rPr>
        <w:t>ṃ</w:t>
      </w:r>
      <w:r>
        <w:rPr>
          <w:i/>
          <w:iCs/>
        </w:rPr>
        <w:t xml:space="preserve"> parirāpí</w:t>
      </w:r>
      <w:r>
        <w:rPr>
          <w:i/>
          <w:iCs/>
        </w:rPr>
        <w:t>ṇ</w:t>
      </w:r>
      <w:r>
        <w:rPr>
          <w:i/>
          <w:iCs/>
        </w:rPr>
        <w:t>am / námas te tásmai kr̥</w:t>
      </w:r>
      <w:r>
        <w:rPr>
          <w:i/>
          <w:iCs/>
        </w:rPr>
        <w:t>ṇ</w:t>
      </w:r>
      <w:r>
        <w:rPr>
          <w:i/>
          <w:iCs/>
        </w:rPr>
        <w:t>mo mā́ vaní</w:t>
      </w:r>
      <w:r>
        <w:rPr>
          <w:i/>
          <w:iCs/>
        </w:rPr>
        <w:t>ṃ</w:t>
      </w:r>
      <w:r>
        <w:rPr>
          <w:i/>
          <w:iCs/>
        </w:rPr>
        <w:t xml:space="preserve"> vyathayīr máma //</w:t>
      </w:r>
    </w:p>
    <w:p w14:paraId="1E08EDA7" w14:textId="77777777" w:rsidR="00E53EB6" w:rsidRDefault="006500F5">
      <w:pPr>
        <w:pStyle w:val="Zitat"/>
        <w:autoSpaceDE w:val="0"/>
      </w:pPr>
      <w:r>
        <w:t>The calumnious</w:t>
      </w:r>
      <w:r>
        <w:rPr>
          <w:rStyle w:val="FootnoteAnchor"/>
        </w:rPr>
        <w:footnoteReference w:id="525"/>
      </w:r>
      <w:r>
        <w:t xml:space="preserve"> man that you make the Purohita, o Arāti</w:t>
      </w:r>
      <w:r>
        <w:rPr>
          <w:rStyle w:val="FootnoteAnchor"/>
        </w:rPr>
        <w:footnoteReference w:id="526"/>
      </w:r>
      <w:r>
        <w:t xml:space="preserve">, to this one of you we pay the homage, may you do not cause my </w:t>
      </w:r>
      <w:r>
        <w:rPr>
          <w:u w:val="single"/>
        </w:rPr>
        <w:t>desire/earnings</w:t>
      </w:r>
      <w:r>
        <w:t xml:space="preserve"> to fall.</w:t>
      </w:r>
    </w:p>
    <w:p w14:paraId="5791EC65" w14:textId="77777777" w:rsidR="00E53EB6" w:rsidRDefault="006500F5">
      <w:pPr>
        <w:pStyle w:val="Zitat"/>
        <w:autoSpaceDE w:val="0"/>
        <w:rPr>
          <w:lang w:eastAsia="hi-IN"/>
        </w:rPr>
      </w:pPr>
      <w:r>
        <w:rPr>
          <w:i/>
          <w:iCs/>
          <w:lang w:eastAsia="hi-IN"/>
        </w:rPr>
        <w:t xml:space="preserve">vaním: </w:t>
      </w:r>
      <w:r>
        <w:rPr>
          <w:lang w:eastAsia="hi-IN"/>
        </w:rPr>
        <w:t xml:space="preserve">acc. masc. sing.  of </w:t>
      </w:r>
      <w:r>
        <w:rPr>
          <w:i/>
          <w:iCs/>
          <w:lang w:eastAsia="hi-IN"/>
        </w:rPr>
        <w:t>vaní-</w:t>
      </w:r>
    </w:p>
    <w:p w14:paraId="1426B889" w14:textId="77777777" w:rsidR="00E53EB6" w:rsidRDefault="006500F5">
      <w:pPr>
        <w:pStyle w:val="ZitatmitEinzug"/>
      </w:pPr>
      <w:r>
        <w:rPr>
          <w:rStyle w:val="biblio-authorGEN"/>
          <w:sz w:val="18"/>
          <w:szCs w:val="15"/>
        </w:rPr>
        <w:t>Whitney 1905</w:t>
      </w:r>
      <w:r>
        <w:t>: 232 “winning”</w:t>
      </w:r>
    </w:p>
    <w:p w14:paraId="2C820B14" w14:textId="77777777" w:rsidR="00E53EB6" w:rsidRDefault="006500F5">
      <w:pPr>
        <w:pStyle w:val="HaupttextnachZitat"/>
        <w:numPr>
          <w:ilvl w:val="2"/>
          <w:numId w:val="2"/>
        </w:numPr>
        <w:tabs>
          <w:tab w:val="left" w:pos="0"/>
        </w:tabs>
      </w:pPr>
      <w:r>
        <w:t>Vedic Web:</w:t>
      </w:r>
    </w:p>
    <w:p w14:paraId="13EFD7A8" w14:textId="77777777" w:rsidR="00E53EB6" w:rsidRDefault="006500F5">
      <w:pPr>
        <w:pStyle w:val="HaupttextohneEinzug"/>
      </w:pPr>
      <w:r>
        <w:t>Mantra: AVP 7.9.2</w:t>
      </w:r>
    </w:p>
    <w:p w14:paraId="73311641" w14:textId="77777777" w:rsidR="00E53EB6" w:rsidRDefault="00E53EB6">
      <w:pPr>
        <w:pStyle w:val="HaupttextohneEinzug"/>
      </w:pPr>
    </w:p>
    <w:p w14:paraId="3D2FADBB" w14:textId="77777777" w:rsidR="00E53EB6" w:rsidRDefault="006500F5">
      <w:pPr>
        <w:pStyle w:val="HaupttextohneEinzug"/>
        <w:rPr>
          <w:rFonts w:eastAsia="Arial" w:cs="Times Ext Roman"/>
          <w:szCs w:val="21"/>
          <w:lang w:eastAsia="hi-IN" w:bidi="en-GB"/>
        </w:rPr>
      </w:pPr>
      <w:r>
        <w:rPr>
          <w:rFonts w:eastAsia="Arial" w:cs="Times Ext Roman"/>
          <w:szCs w:val="21"/>
          <w:lang w:eastAsia="hi-IN" w:bidi="en-GB"/>
        </w:rPr>
        <w:t xml:space="preserve">Rite </w:t>
      </w:r>
    </w:p>
    <w:p w14:paraId="6928AAFC" w14:textId="77777777" w:rsidR="00E53EB6" w:rsidRDefault="006500F5">
      <w:pPr>
        <w:pStyle w:val="HaupttextohneEinzug"/>
      </w:pPr>
      <w:r>
        <w:t xml:space="preserve">The verses are used in the </w:t>
      </w:r>
      <w:r>
        <w:rPr>
          <w:i/>
          <w:iCs/>
        </w:rPr>
        <w:t>nirr̥tikarman</w:t>
      </w:r>
      <w:r>
        <w:t xml:space="preserve"> with an offering of rice-gra</w:t>
      </w:r>
      <w:r>
        <w:t xml:space="preserve">ins and in other rites. The hymn as a whole an euphemistic offering of reverence to appease Arāti “Miserliness” (see also note to the translation). </w:t>
      </w:r>
    </w:p>
    <w:p w14:paraId="58346D65" w14:textId="77777777" w:rsidR="00E53EB6" w:rsidRDefault="00E53EB6">
      <w:pPr>
        <w:pStyle w:val="HaupttextohneEinzug"/>
        <w:rPr>
          <w:rFonts w:eastAsia="Arial" w:cs="Times Ext Roman"/>
          <w:szCs w:val="21"/>
          <w:lang w:eastAsia="hi-IN" w:bidi="en-GB"/>
        </w:rPr>
      </w:pPr>
    </w:p>
    <w:p w14:paraId="6E55B273" w14:textId="77777777" w:rsidR="00E53EB6" w:rsidRDefault="006500F5">
      <w:pPr>
        <w:pStyle w:val="Heading5"/>
        <w:tabs>
          <w:tab w:val="left" w:pos="0"/>
        </w:tabs>
        <w:rPr>
          <w:u w:val="single"/>
        </w:rPr>
      </w:pPr>
      <w:r>
        <w:rPr>
          <w:u w:val="single"/>
        </w:rPr>
        <w:t>AVŚ 5.7.3</w:t>
      </w:r>
    </w:p>
    <w:p w14:paraId="68ABE228" w14:textId="77777777" w:rsidR="00E53EB6" w:rsidRDefault="006500F5">
      <w:pPr>
        <w:pStyle w:val="Zitat"/>
        <w:autoSpaceDE w:val="0"/>
      </w:pPr>
      <w:r>
        <w:t xml:space="preserve">5.7.3  </w:t>
      </w:r>
      <w:r>
        <w:rPr>
          <w:i/>
          <w:iCs/>
        </w:rPr>
        <w:t xml:space="preserve">prá </w:t>
      </w:r>
      <w:r>
        <w:rPr>
          <w:i/>
          <w:iCs/>
        </w:rPr>
        <w:t>ṇ</w:t>
      </w:r>
      <w:r>
        <w:rPr>
          <w:i/>
          <w:iCs/>
        </w:rPr>
        <w:t>o vanír devákr̥tā dívā nákta</w:t>
      </w:r>
      <w:r>
        <w:rPr>
          <w:i/>
          <w:iCs/>
        </w:rPr>
        <w:t>ṃ</w:t>
      </w:r>
      <w:r>
        <w:rPr>
          <w:i/>
          <w:iCs/>
        </w:rPr>
        <w:t xml:space="preserve"> ca kalpatām / árātim anuprémo vayá</w:t>
      </w:r>
      <w:r>
        <w:rPr>
          <w:i/>
          <w:iCs/>
        </w:rPr>
        <w:t>ṃ</w:t>
      </w:r>
      <w:r>
        <w:rPr>
          <w:i/>
          <w:iCs/>
        </w:rPr>
        <w:t xml:space="preserve"> námo astv árātaye </w:t>
      </w:r>
      <w:r>
        <w:rPr>
          <w:i/>
          <w:iCs/>
        </w:rPr>
        <w:t>//</w:t>
      </w:r>
    </w:p>
    <w:p w14:paraId="25100674" w14:textId="77777777" w:rsidR="00E53EB6" w:rsidRDefault="006500F5">
      <w:pPr>
        <w:pStyle w:val="Zitat"/>
        <w:autoSpaceDE w:val="0"/>
      </w:pPr>
      <w:r>
        <w:lastRenderedPageBreak/>
        <w:t xml:space="preserve">Let the </w:t>
      </w:r>
      <w:r>
        <w:rPr>
          <w:u w:val="single"/>
        </w:rPr>
        <w:t>earnings/desire</w:t>
      </w:r>
      <w:r>
        <w:t xml:space="preserve"> made by the gods prosper for us by day and night, we follow Arāti, homage be to Arāti.</w:t>
      </w:r>
    </w:p>
    <w:p w14:paraId="72D45585" w14:textId="77777777" w:rsidR="00E53EB6" w:rsidRDefault="006500F5">
      <w:pPr>
        <w:pStyle w:val="Zitat"/>
        <w:autoSpaceDE w:val="0"/>
        <w:rPr>
          <w:lang w:eastAsia="hi-IN"/>
        </w:rPr>
      </w:pPr>
      <w:r>
        <w:rPr>
          <w:i/>
          <w:iCs/>
          <w:lang w:eastAsia="hi-IN"/>
        </w:rPr>
        <w:t xml:space="preserve">vanír: </w:t>
      </w:r>
      <w:r>
        <w:rPr>
          <w:lang w:eastAsia="hi-IN"/>
        </w:rPr>
        <w:t xml:space="preserve">nom. masc. sing.  of </w:t>
      </w:r>
      <w:r>
        <w:rPr>
          <w:i/>
          <w:iCs/>
          <w:lang w:eastAsia="hi-IN"/>
        </w:rPr>
        <w:t>vaní-</w:t>
      </w:r>
    </w:p>
    <w:p w14:paraId="56E1D729" w14:textId="77777777" w:rsidR="00E53EB6" w:rsidRDefault="006500F5">
      <w:pPr>
        <w:pStyle w:val="ZitatmitEinzug"/>
      </w:pPr>
      <w:r>
        <w:rPr>
          <w:rStyle w:val="biblio-authorGEN"/>
          <w:sz w:val="18"/>
          <w:szCs w:val="15"/>
        </w:rPr>
        <w:t>Whitney 1905</w:t>
      </w:r>
      <w:r>
        <w:t>: 232 “winning”</w:t>
      </w:r>
    </w:p>
    <w:p w14:paraId="310825E0" w14:textId="77777777" w:rsidR="00E53EB6" w:rsidRDefault="006500F5">
      <w:pPr>
        <w:pStyle w:val="HaupttextnachZitat"/>
        <w:numPr>
          <w:ilvl w:val="2"/>
          <w:numId w:val="2"/>
        </w:numPr>
        <w:tabs>
          <w:tab w:val="left" w:pos="0"/>
        </w:tabs>
      </w:pPr>
      <w:r>
        <w:t>Vedic Web:</w:t>
      </w:r>
    </w:p>
    <w:p w14:paraId="20A1BE05" w14:textId="77777777" w:rsidR="00E53EB6" w:rsidRDefault="006500F5">
      <w:pPr>
        <w:pStyle w:val="HaupttextohneEinzug"/>
      </w:pPr>
      <w:r>
        <w:t>Mantra: AVP 7.9.4.</w:t>
      </w:r>
    </w:p>
    <w:p w14:paraId="78038FC4" w14:textId="77777777" w:rsidR="00E53EB6" w:rsidRDefault="00E53EB6">
      <w:pPr>
        <w:pStyle w:val="HaupttextohneEinzug"/>
      </w:pPr>
    </w:p>
    <w:p w14:paraId="3BAF5D1F" w14:textId="77777777" w:rsidR="00E53EB6" w:rsidRDefault="006500F5">
      <w:pPr>
        <w:pStyle w:val="HaupttextohneEinzug"/>
        <w:rPr>
          <w:rFonts w:eastAsia="Arial" w:cs="Times Ext Roman"/>
          <w:szCs w:val="21"/>
          <w:lang w:eastAsia="hi-IN" w:bidi="en-GB"/>
        </w:rPr>
      </w:pPr>
      <w:r>
        <w:rPr>
          <w:rFonts w:eastAsia="Arial" w:cs="Times Ext Roman"/>
          <w:szCs w:val="21"/>
          <w:lang w:eastAsia="hi-IN" w:bidi="en-GB"/>
        </w:rPr>
        <w:t xml:space="preserve">Rite </w:t>
      </w:r>
    </w:p>
    <w:p w14:paraId="51943F1C" w14:textId="77777777" w:rsidR="00E53EB6" w:rsidRDefault="006500F5">
      <w:pPr>
        <w:pStyle w:val="HaupttextohneEinzug"/>
      </w:pPr>
      <w:r>
        <w:t>See above.</w:t>
      </w:r>
    </w:p>
    <w:p w14:paraId="3F45EEA3" w14:textId="77777777" w:rsidR="00E53EB6" w:rsidRDefault="00E53EB6">
      <w:pPr>
        <w:pStyle w:val="HaupttextohneEinzug"/>
      </w:pPr>
    </w:p>
    <w:p w14:paraId="78E0B868" w14:textId="77777777" w:rsidR="00E53EB6" w:rsidRDefault="006500F5">
      <w:pPr>
        <w:pStyle w:val="Heading5"/>
        <w:tabs>
          <w:tab w:val="left" w:pos="0"/>
        </w:tabs>
        <w:rPr>
          <w:u w:val="single"/>
        </w:rPr>
      </w:pPr>
      <w:r>
        <w:rPr>
          <w:u w:val="single"/>
        </w:rPr>
        <w:t>AVŚ 5.7.6</w:t>
      </w:r>
    </w:p>
    <w:p w14:paraId="600F5BC6" w14:textId="77777777" w:rsidR="00E53EB6" w:rsidRDefault="006500F5">
      <w:pPr>
        <w:pStyle w:val="Zitat"/>
        <w:autoSpaceDE w:val="0"/>
      </w:pPr>
      <w:r>
        <w:t xml:space="preserve">5.7.6  </w:t>
      </w:r>
      <w:r>
        <w:rPr>
          <w:i/>
          <w:iCs/>
        </w:rPr>
        <w:t xml:space="preserve"> mā́ vaní</w:t>
      </w:r>
      <w:r>
        <w:rPr>
          <w:i/>
          <w:iCs/>
        </w:rPr>
        <w:t>ṃ</w:t>
      </w:r>
      <w:r>
        <w:rPr>
          <w:i/>
          <w:iCs/>
        </w:rPr>
        <w:t xml:space="preserve"> mā́ vā́ca</w:t>
      </w:r>
      <w:r>
        <w:rPr>
          <w:i/>
          <w:iCs/>
        </w:rPr>
        <w:t>ṃ</w:t>
      </w:r>
      <w:r>
        <w:rPr>
          <w:i/>
          <w:iCs/>
        </w:rPr>
        <w:t xml:space="preserve"> no vī́rtsīr ubhā́v indrāgnī́ ā́ bharatā</w:t>
      </w:r>
      <w:r>
        <w:rPr>
          <w:i/>
          <w:iCs/>
        </w:rPr>
        <w:t>ṃ</w:t>
      </w:r>
      <w:r>
        <w:rPr>
          <w:i/>
          <w:iCs/>
        </w:rPr>
        <w:t xml:space="preserve"> no vásūni /sárve no adyá dítsantó 'rāti</w:t>
      </w:r>
      <w:r>
        <w:rPr>
          <w:i/>
          <w:iCs/>
        </w:rPr>
        <w:t>ṃ</w:t>
      </w:r>
      <w:r>
        <w:rPr>
          <w:i/>
          <w:iCs/>
        </w:rPr>
        <w:t xml:space="preserve"> práti haryata //</w:t>
      </w:r>
    </w:p>
    <w:p w14:paraId="4840ADA5" w14:textId="77777777" w:rsidR="00E53EB6" w:rsidRDefault="006500F5">
      <w:pPr>
        <w:pStyle w:val="Zitat"/>
        <w:autoSpaceDE w:val="0"/>
      </w:pPr>
      <w:r>
        <w:t>Do not wish to vanish</w:t>
      </w:r>
      <w:r>
        <w:rPr>
          <w:rStyle w:val="FootnoteAnchor"/>
        </w:rPr>
        <w:footnoteReference w:id="527"/>
      </w:r>
      <w:r>
        <w:t xml:space="preserve"> our </w:t>
      </w:r>
      <w:r>
        <w:rPr>
          <w:u w:val="single"/>
        </w:rPr>
        <w:t>desire/earnings</w:t>
      </w:r>
      <w:r>
        <w:t xml:space="preserve">, nor our speech, let both Indra and Agni bring us goods; all those who wants to give to </w:t>
      </w:r>
      <w:r>
        <w:t>us today, let them welcome Arāti.</w:t>
      </w:r>
    </w:p>
    <w:p w14:paraId="7452704D" w14:textId="77777777" w:rsidR="00E53EB6" w:rsidRDefault="006500F5">
      <w:pPr>
        <w:pStyle w:val="Zitat"/>
        <w:autoSpaceDE w:val="0"/>
        <w:rPr>
          <w:lang w:eastAsia="hi-IN"/>
        </w:rPr>
      </w:pPr>
      <w:r>
        <w:rPr>
          <w:i/>
          <w:iCs/>
          <w:lang w:eastAsia="hi-IN"/>
        </w:rPr>
        <w:t xml:space="preserve">vaním: </w:t>
      </w:r>
      <w:r>
        <w:rPr>
          <w:lang w:eastAsia="hi-IN"/>
        </w:rPr>
        <w:t xml:space="preserve">acc. masc. sing.  of </w:t>
      </w:r>
      <w:r>
        <w:rPr>
          <w:i/>
          <w:iCs/>
          <w:lang w:eastAsia="hi-IN"/>
        </w:rPr>
        <w:t>vaní-</w:t>
      </w:r>
    </w:p>
    <w:p w14:paraId="19AB2041" w14:textId="77777777" w:rsidR="00E53EB6" w:rsidRDefault="006500F5">
      <w:pPr>
        <w:pStyle w:val="ZitatmitEinzug"/>
      </w:pPr>
      <w:r>
        <w:rPr>
          <w:rStyle w:val="biblio-authorGEN"/>
          <w:sz w:val="18"/>
          <w:szCs w:val="15"/>
        </w:rPr>
        <w:t>Whitney 1905</w:t>
      </w:r>
      <w:r>
        <w:t>: 233 “winning”</w:t>
      </w:r>
    </w:p>
    <w:p w14:paraId="55010ED7" w14:textId="77777777" w:rsidR="00E53EB6" w:rsidRDefault="006500F5">
      <w:pPr>
        <w:pStyle w:val="HaupttextnachZitat"/>
        <w:numPr>
          <w:ilvl w:val="2"/>
          <w:numId w:val="2"/>
        </w:numPr>
        <w:tabs>
          <w:tab w:val="left" w:pos="0"/>
        </w:tabs>
      </w:pPr>
      <w:r>
        <w:t>Vedic Web:</w:t>
      </w:r>
    </w:p>
    <w:p w14:paraId="24A334E9" w14:textId="77777777" w:rsidR="00E53EB6" w:rsidRDefault="006500F5">
      <w:pPr>
        <w:pStyle w:val="HaupttextohneEinzug"/>
      </w:pPr>
      <w:r>
        <w:t>Mantra: AVP 7.9.8.</w:t>
      </w:r>
    </w:p>
    <w:p w14:paraId="24318A37" w14:textId="77777777" w:rsidR="00E53EB6" w:rsidRDefault="00E53EB6">
      <w:pPr>
        <w:pStyle w:val="HaupttextohneEinzug"/>
      </w:pPr>
    </w:p>
    <w:p w14:paraId="1B9022F8" w14:textId="77777777" w:rsidR="00E53EB6" w:rsidRDefault="006500F5">
      <w:pPr>
        <w:pStyle w:val="HaupttextohneEinzug"/>
        <w:rPr>
          <w:rFonts w:eastAsia="Arial" w:cs="Times Ext Roman"/>
          <w:szCs w:val="21"/>
          <w:lang w:eastAsia="hi-IN" w:bidi="en-GB"/>
        </w:rPr>
      </w:pPr>
      <w:r>
        <w:rPr>
          <w:rFonts w:eastAsia="Arial" w:cs="Times Ext Roman"/>
          <w:szCs w:val="21"/>
          <w:lang w:eastAsia="hi-IN" w:bidi="en-GB"/>
        </w:rPr>
        <w:t xml:space="preserve">Rite </w:t>
      </w:r>
    </w:p>
    <w:p w14:paraId="039A4669" w14:textId="77777777" w:rsidR="00E53EB6" w:rsidRDefault="006500F5">
      <w:pPr>
        <w:pStyle w:val="HaupttextohneEinzug"/>
        <w:rPr>
          <w:rFonts w:eastAsia="Arial" w:cs="Times Ext Roman"/>
          <w:szCs w:val="21"/>
          <w:lang w:eastAsia="hi-IN" w:bidi="en-GB"/>
        </w:rPr>
      </w:pPr>
      <w:r>
        <w:rPr>
          <w:rFonts w:eastAsia="Arial" w:cs="Times Ext Roman"/>
          <w:szCs w:val="21"/>
          <w:lang w:eastAsia="hi-IN" w:bidi="en-GB"/>
        </w:rPr>
        <w:t>See above.</w:t>
      </w:r>
    </w:p>
    <w:p w14:paraId="508BD41B" w14:textId="77777777" w:rsidR="00E53EB6" w:rsidRDefault="00E53EB6">
      <w:pPr>
        <w:pStyle w:val="HaupttextohneEinzug"/>
        <w:rPr>
          <w:rFonts w:eastAsia="Arial" w:cs="Times Ext Roman"/>
          <w:szCs w:val="21"/>
          <w:lang w:eastAsia="hi-IN" w:bidi="en-GB"/>
        </w:rPr>
      </w:pPr>
    </w:p>
    <w:p w14:paraId="1F54DEDC" w14:textId="77777777" w:rsidR="00E53EB6" w:rsidRDefault="006500F5">
      <w:pPr>
        <w:pStyle w:val="Heading5"/>
        <w:tabs>
          <w:tab w:val="left" w:pos="0"/>
        </w:tabs>
        <w:rPr>
          <w:u w:val="single"/>
        </w:rPr>
      </w:pPr>
      <w:r>
        <w:rPr>
          <w:u w:val="single"/>
        </w:rPr>
        <w:t>AVŚ 12.4.11</w:t>
      </w:r>
    </w:p>
    <w:p w14:paraId="15F6699A" w14:textId="77777777" w:rsidR="00E53EB6" w:rsidRDefault="006500F5">
      <w:pPr>
        <w:pStyle w:val="Zitat"/>
        <w:autoSpaceDE w:val="0"/>
      </w:pPr>
      <w:r>
        <w:t xml:space="preserve">12.4.11  </w:t>
      </w:r>
      <w:r>
        <w:rPr>
          <w:i/>
          <w:iCs/>
        </w:rPr>
        <w:t>yá enā</w:t>
      </w:r>
      <w:r>
        <w:rPr>
          <w:i/>
          <w:iCs/>
        </w:rPr>
        <w:t>ṃ</w:t>
      </w:r>
      <w:r>
        <w:rPr>
          <w:i/>
          <w:iCs/>
        </w:rPr>
        <w:t xml:space="preserve"> vaním āyánti té</w:t>
      </w:r>
      <w:r>
        <w:rPr>
          <w:i/>
          <w:iCs/>
        </w:rPr>
        <w:t>ṣ</w:t>
      </w:r>
      <w:r>
        <w:rPr>
          <w:i/>
          <w:iCs/>
        </w:rPr>
        <w:t>ā</w:t>
      </w:r>
      <w:r>
        <w:rPr>
          <w:i/>
          <w:iCs/>
        </w:rPr>
        <w:t>ṃ</w:t>
      </w:r>
      <w:r>
        <w:rPr>
          <w:i/>
          <w:iCs/>
        </w:rPr>
        <w:t xml:space="preserve"> devákr̥tā vaśā́</w:t>
      </w:r>
      <w:r>
        <w:t xml:space="preserve"> / </w:t>
      </w:r>
      <w:r>
        <w:rPr>
          <w:i/>
          <w:iCs/>
        </w:rPr>
        <w:t>brahmajyéya</w:t>
      </w:r>
      <w:r>
        <w:rPr>
          <w:i/>
          <w:iCs/>
        </w:rPr>
        <w:t>ṃ</w:t>
      </w:r>
      <w:r>
        <w:rPr>
          <w:i/>
          <w:iCs/>
        </w:rPr>
        <w:t xml:space="preserve"> tád abruvan yá enā</w:t>
      </w:r>
      <w:r>
        <w:rPr>
          <w:i/>
          <w:iCs/>
        </w:rPr>
        <w:t>ṃ</w:t>
      </w:r>
      <w:r>
        <w:rPr>
          <w:i/>
          <w:iCs/>
        </w:rPr>
        <w:t xml:space="preserve"> nipriyāyáte </w:t>
      </w:r>
      <w:r>
        <w:rPr>
          <w:i/>
          <w:iCs/>
        </w:rPr>
        <w:t>//</w:t>
      </w:r>
    </w:p>
    <w:p w14:paraId="293DFDF5" w14:textId="77777777" w:rsidR="00E53EB6" w:rsidRDefault="006500F5">
      <w:pPr>
        <w:pStyle w:val="Zitat"/>
        <w:autoSpaceDE w:val="0"/>
      </w:pPr>
      <w:r>
        <w:t xml:space="preserve">The cow made by the gods is of those who go to the </w:t>
      </w:r>
      <w:r>
        <w:rPr>
          <w:u w:val="single"/>
        </w:rPr>
        <w:t>appropriation</w:t>
      </w:r>
      <w:r>
        <w:t xml:space="preserve"> of her, when someone keeps her in his own possession, they call it oppression of Brahmans.</w:t>
      </w:r>
    </w:p>
    <w:p w14:paraId="4A445EA5" w14:textId="77777777" w:rsidR="00E53EB6" w:rsidRDefault="006500F5">
      <w:pPr>
        <w:pStyle w:val="Zitat"/>
        <w:autoSpaceDE w:val="0"/>
        <w:rPr>
          <w:lang w:eastAsia="hi-IN"/>
        </w:rPr>
      </w:pPr>
      <w:r>
        <w:rPr>
          <w:i/>
          <w:iCs/>
          <w:lang w:eastAsia="hi-IN"/>
        </w:rPr>
        <w:t xml:space="preserve">vaním: </w:t>
      </w:r>
      <w:r>
        <w:rPr>
          <w:lang w:eastAsia="hi-IN"/>
        </w:rPr>
        <w:t xml:space="preserve">acc. masc. sing.  of </w:t>
      </w:r>
      <w:r>
        <w:rPr>
          <w:i/>
          <w:iCs/>
          <w:lang w:eastAsia="hi-IN"/>
        </w:rPr>
        <w:t>vaní-</w:t>
      </w:r>
    </w:p>
    <w:p w14:paraId="3BEFB416" w14:textId="77777777" w:rsidR="00E53EB6" w:rsidRDefault="006500F5">
      <w:pPr>
        <w:pStyle w:val="ZitatmitEinzug"/>
      </w:pPr>
      <w:r>
        <w:rPr>
          <w:rStyle w:val="biblio-authorGEN"/>
          <w:sz w:val="18"/>
          <w:szCs w:val="15"/>
        </w:rPr>
        <w:t xml:space="preserve">Whitney </w:t>
      </w:r>
      <w:r>
        <w:t>1905: 695 “winning”</w:t>
      </w:r>
    </w:p>
    <w:p w14:paraId="75DC8927" w14:textId="77777777" w:rsidR="00E53EB6" w:rsidRDefault="006500F5">
      <w:pPr>
        <w:pStyle w:val="HaupttextnachZitat"/>
        <w:numPr>
          <w:ilvl w:val="2"/>
          <w:numId w:val="2"/>
        </w:numPr>
        <w:tabs>
          <w:tab w:val="left" w:pos="0"/>
        </w:tabs>
      </w:pPr>
      <w:r>
        <w:t>Vedic Web:</w:t>
      </w:r>
    </w:p>
    <w:p w14:paraId="2886A337" w14:textId="77777777" w:rsidR="00E53EB6" w:rsidRDefault="006500F5">
      <w:pPr>
        <w:pStyle w:val="HaupttextohneEinzug"/>
      </w:pPr>
      <w:r>
        <w:t>AVP(K.) 17.17.1.</w:t>
      </w:r>
    </w:p>
    <w:p w14:paraId="50304D2C" w14:textId="77777777" w:rsidR="00E53EB6" w:rsidRDefault="00E53EB6">
      <w:pPr>
        <w:pStyle w:val="HaupttextohneEinzug"/>
      </w:pPr>
    </w:p>
    <w:p w14:paraId="680D62CE" w14:textId="77777777" w:rsidR="00E53EB6" w:rsidRDefault="006500F5">
      <w:pPr>
        <w:pStyle w:val="HaupttextohneEinzug"/>
        <w:rPr>
          <w:rFonts w:eastAsia="Arial" w:cs="Times Ext Roman"/>
          <w:szCs w:val="21"/>
          <w:lang w:eastAsia="hi-IN" w:bidi="en-GB"/>
        </w:rPr>
      </w:pPr>
      <w:r>
        <w:rPr>
          <w:rFonts w:eastAsia="Arial" w:cs="Times Ext Roman"/>
          <w:szCs w:val="21"/>
          <w:lang w:eastAsia="hi-IN" w:bidi="en-GB"/>
        </w:rPr>
        <w:t xml:space="preserve">Rite </w:t>
      </w:r>
    </w:p>
    <w:p w14:paraId="64946029" w14:textId="77777777" w:rsidR="00E53EB6" w:rsidRDefault="006500F5">
      <w:pPr>
        <w:pStyle w:val="HaupttextohneEinzug"/>
        <w:rPr>
          <w:rFonts w:eastAsia="Arial" w:cs="Times Ext Roman"/>
          <w:szCs w:val="21"/>
          <w:lang w:eastAsia="hi-IN" w:bidi="en-GB"/>
        </w:rPr>
      </w:pPr>
      <w:r>
        <w:rPr>
          <w:rFonts w:eastAsia="Arial" w:cs="Times Ext Roman"/>
          <w:szCs w:val="21"/>
          <w:lang w:eastAsia="hi-IN" w:bidi="en-GB"/>
        </w:rPr>
        <w:t>The cow as belonging only to the Brahmán. The verses are not used in the ritual manuals, except once, where they have to be spoken by the giver of a cow after sprinkling it.</w:t>
      </w:r>
    </w:p>
    <w:p w14:paraId="2B39F13E" w14:textId="77777777" w:rsidR="00E53EB6" w:rsidRDefault="00E53EB6">
      <w:pPr>
        <w:pStyle w:val="HaupttextohneEinzug"/>
        <w:rPr>
          <w:rFonts w:eastAsia="Arial" w:cs="Times Ext Roman"/>
          <w:szCs w:val="21"/>
          <w:lang w:eastAsia="hi-IN" w:bidi="en-GB"/>
        </w:rPr>
      </w:pPr>
    </w:p>
    <w:p w14:paraId="68E8A406" w14:textId="77777777" w:rsidR="00E53EB6" w:rsidRDefault="006500F5">
      <w:pPr>
        <w:pStyle w:val="Heading5"/>
        <w:tabs>
          <w:tab w:val="left" w:pos="0"/>
        </w:tabs>
        <w:rPr>
          <w:u w:val="single"/>
        </w:rPr>
      </w:pPr>
      <w:r>
        <w:rPr>
          <w:u w:val="single"/>
        </w:rPr>
        <w:lastRenderedPageBreak/>
        <w:t>AVP 7.9.2</w:t>
      </w:r>
    </w:p>
    <w:p w14:paraId="3FE9657A" w14:textId="77777777" w:rsidR="00E53EB6" w:rsidRDefault="006500F5">
      <w:pPr>
        <w:pStyle w:val="Zitat"/>
        <w:autoSpaceDE w:val="0"/>
      </w:pPr>
      <w:r>
        <w:t xml:space="preserve">7.9.2 </w:t>
      </w:r>
      <w:r>
        <w:rPr>
          <w:i/>
          <w:iCs/>
        </w:rPr>
        <w:t>yam arāte purodhatse puru</w:t>
      </w:r>
      <w:r>
        <w:rPr>
          <w:i/>
          <w:iCs/>
        </w:rPr>
        <w:t>ṣ</w:t>
      </w:r>
      <w:r>
        <w:rPr>
          <w:i/>
          <w:iCs/>
        </w:rPr>
        <w:t>a</w:t>
      </w:r>
      <w:r>
        <w:rPr>
          <w:i/>
          <w:iCs/>
        </w:rPr>
        <w:t>ṃ</w:t>
      </w:r>
      <w:r>
        <w:rPr>
          <w:i/>
          <w:iCs/>
        </w:rPr>
        <w:t xml:space="preserve"> </w:t>
      </w:r>
      <w:r>
        <w:rPr>
          <w:i/>
          <w:iCs/>
          <w:vertAlign w:val="superscript"/>
        </w:rPr>
        <w:t>+</w:t>
      </w:r>
      <w:r>
        <w:rPr>
          <w:i/>
          <w:iCs/>
        </w:rPr>
        <w:t>parirāpi</w:t>
      </w:r>
      <w:r>
        <w:rPr>
          <w:i/>
          <w:iCs/>
        </w:rPr>
        <w:t>ṇ</w:t>
      </w:r>
      <w:r>
        <w:rPr>
          <w:i/>
          <w:iCs/>
        </w:rPr>
        <w:t xml:space="preserve">am / namas te </w:t>
      </w:r>
      <w:r>
        <w:rPr>
          <w:i/>
          <w:iCs/>
        </w:rPr>
        <w:t>tasmai kr̥</w:t>
      </w:r>
      <w:r>
        <w:rPr>
          <w:i/>
          <w:iCs/>
        </w:rPr>
        <w:t>ṇ</w:t>
      </w:r>
      <w:r>
        <w:rPr>
          <w:i/>
          <w:iCs/>
        </w:rPr>
        <w:t>mo mā vani</w:t>
      </w:r>
      <w:r>
        <w:rPr>
          <w:i/>
          <w:iCs/>
        </w:rPr>
        <w:t>ṃ</w:t>
      </w:r>
      <w:r>
        <w:rPr>
          <w:i/>
          <w:iCs/>
        </w:rPr>
        <w:t xml:space="preserve"> mama vivyatha</w:t>
      </w:r>
      <w:r>
        <w:rPr>
          <w:i/>
          <w:iCs/>
        </w:rPr>
        <w:t>ḥ</w:t>
      </w:r>
      <w:r>
        <w:rPr>
          <w:i/>
          <w:iCs/>
        </w:rPr>
        <w:t xml:space="preserve"> //</w:t>
      </w:r>
    </w:p>
    <w:p w14:paraId="77E6D75A" w14:textId="77777777" w:rsidR="00E53EB6" w:rsidRDefault="006500F5">
      <w:pPr>
        <w:pStyle w:val="Zitat"/>
        <w:autoSpaceDE w:val="0"/>
      </w:pPr>
      <w:r>
        <w:t>The calumnious</w:t>
      </w:r>
      <w:r>
        <w:rPr>
          <w:rStyle w:val="FootnoteAnchor"/>
        </w:rPr>
        <w:footnoteReference w:id="528"/>
      </w:r>
      <w:r>
        <w:t xml:space="preserve"> man that you make the Purohita, o Arāti, to this one of you we pay the homage, may you do not cause my </w:t>
      </w:r>
      <w:r>
        <w:rPr>
          <w:u w:val="single"/>
        </w:rPr>
        <w:t>desire/appropriation</w:t>
      </w:r>
      <w:r>
        <w:t xml:space="preserve"> to fall</w:t>
      </w:r>
      <w:r>
        <w:rPr>
          <w:rStyle w:val="FootnoteAnchor"/>
          <w:i/>
          <w:iCs/>
        </w:rPr>
        <w:footnoteReference w:id="529"/>
      </w:r>
      <w:r>
        <w:t>.</w:t>
      </w:r>
    </w:p>
    <w:p w14:paraId="6DE09652" w14:textId="77777777" w:rsidR="00E53EB6" w:rsidRDefault="006500F5">
      <w:pPr>
        <w:pStyle w:val="Zitat"/>
        <w:autoSpaceDE w:val="0"/>
        <w:rPr>
          <w:lang w:eastAsia="hi-IN"/>
        </w:rPr>
      </w:pPr>
      <w:r>
        <w:rPr>
          <w:i/>
          <w:iCs/>
          <w:lang w:eastAsia="hi-IN"/>
        </w:rPr>
        <w:t xml:space="preserve">vanim: </w:t>
      </w:r>
      <w:r>
        <w:rPr>
          <w:lang w:eastAsia="hi-IN"/>
        </w:rPr>
        <w:t xml:space="preserve">acc. masc. sing.  of </w:t>
      </w:r>
      <w:r>
        <w:rPr>
          <w:i/>
          <w:iCs/>
          <w:lang w:eastAsia="hi-IN"/>
        </w:rPr>
        <w:t>vaní-</w:t>
      </w:r>
    </w:p>
    <w:p w14:paraId="5BF3C717" w14:textId="77777777" w:rsidR="00E53EB6" w:rsidRDefault="006500F5">
      <w:pPr>
        <w:pStyle w:val="ZitatmitEinzug"/>
      </w:pPr>
      <w:r>
        <w:rPr>
          <w:rStyle w:val="biblio-authorGEN"/>
          <w:sz w:val="18"/>
          <w:szCs w:val="15"/>
        </w:rPr>
        <w:t xml:space="preserve">Griffiths </w:t>
      </w:r>
      <w:r>
        <w:t xml:space="preserve">2009: 335 </w:t>
      </w:r>
      <w:r>
        <w:t>“earnings”</w:t>
      </w:r>
    </w:p>
    <w:p w14:paraId="3229AE93" w14:textId="77777777" w:rsidR="00E53EB6" w:rsidRDefault="006500F5">
      <w:pPr>
        <w:pStyle w:val="HaupttextnachZitat"/>
        <w:numPr>
          <w:ilvl w:val="2"/>
          <w:numId w:val="2"/>
        </w:numPr>
        <w:tabs>
          <w:tab w:val="left" w:pos="0"/>
        </w:tabs>
      </w:pPr>
      <w:r>
        <w:t>Vedic Web:</w:t>
      </w:r>
    </w:p>
    <w:p w14:paraId="041B027D" w14:textId="77777777" w:rsidR="00E53EB6" w:rsidRDefault="006500F5">
      <w:pPr>
        <w:pStyle w:val="HaupttextohneEinzug"/>
      </w:pPr>
      <w:r>
        <w:t>Mantra: AVŚ 5.7.2.</w:t>
      </w:r>
    </w:p>
    <w:p w14:paraId="1B3B3B05" w14:textId="77777777" w:rsidR="00E53EB6" w:rsidRDefault="00E53EB6">
      <w:pPr>
        <w:pStyle w:val="HaupttextohneEinzug"/>
      </w:pPr>
    </w:p>
    <w:p w14:paraId="4A53FED7" w14:textId="77777777" w:rsidR="00E53EB6" w:rsidRDefault="006500F5">
      <w:pPr>
        <w:pStyle w:val="HaupttextohneEinzug"/>
        <w:rPr>
          <w:rFonts w:eastAsia="Arial" w:cs="Times Ext Roman"/>
          <w:szCs w:val="21"/>
          <w:lang w:eastAsia="hi-IN" w:bidi="en-GB"/>
        </w:rPr>
      </w:pPr>
      <w:r>
        <w:rPr>
          <w:rFonts w:eastAsia="Arial" w:cs="Times Ext Roman"/>
          <w:szCs w:val="21"/>
          <w:lang w:eastAsia="hi-IN" w:bidi="en-GB"/>
        </w:rPr>
        <w:t xml:space="preserve">Rite </w:t>
      </w:r>
    </w:p>
    <w:p w14:paraId="136457A6" w14:textId="77777777" w:rsidR="00E53EB6" w:rsidRDefault="006500F5">
      <w:pPr>
        <w:pStyle w:val="HaupttextohneEinzug"/>
        <w:rPr>
          <w:rFonts w:eastAsia="Arial" w:cs="Times Ext Roman"/>
          <w:szCs w:val="21"/>
          <w:lang w:eastAsia="hi-IN" w:bidi="en-GB"/>
        </w:rPr>
      </w:pPr>
      <w:r>
        <w:rPr>
          <w:rFonts w:eastAsia="Arial" w:cs="Times Ext Roman"/>
          <w:szCs w:val="21"/>
          <w:lang w:eastAsia="hi-IN" w:bidi="en-GB"/>
        </w:rPr>
        <w:t xml:space="preserve">Hymn to appease Arāti, see AVŚ 5.7.2. As to the whole hymn, see also </w:t>
      </w:r>
      <w:r>
        <w:rPr>
          <w:rStyle w:val="biblio-authorGEN"/>
          <w:rFonts w:eastAsia="Arial" w:cs="Times Ext Roman"/>
          <w:szCs w:val="21"/>
          <w:lang w:eastAsia="hi-IN" w:bidi="en-GB"/>
        </w:rPr>
        <w:t xml:space="preserve">Griffiths </w:t>
      </w:r>
      <w:r>
        <w:rPr>
          <w:rFonts w:eastAsia="Arial" w:cs="Times Ext Roman"/>
          <w:szCs w:val="21"/>
          <w:lang w:eastAsia="hi-IN" w:bidi="en-GB"/>
        </w:rPr>
        <w:t>2009: 334.</w:t>
      </w:r>
    </w:p>
    <w:p w14:paraId="0B83311B" w14:textId="77777777" w:rsidR="00E53EB6" w:rsidRDefault="00E53EB6">
      <w:pPr>
        <w:pStyle w:val="HaupttextohneEinzug"/>
        <w:rPr>
          <w:rFonts w:eastAsia="Arial" w:cs="Times Ext Roman"/>
          <w:szCs w:val="21"/>
          <w:lang w:eastAsia="hi-IN" w:bidi="en-GB"/>
        </w:rPr>
      </w:pPr>
    </w:p>
    <w:p w14:paraId="42FF9C52" w14:textId="77777777" w:rsidR="00E53EB6" w:rsidRDefault="006500F5">
      <w:pPr>
        <w:pStyle w:val="Heading5"/>
        <w:tabs>
          <w:tab w:val="left" w:pos="0"/>
        </w:tabs>
        <w:rPr>
          <w:u w:val="single"/>
        </w:rPr>
      </w:pPr>
      <w:r>
        <w:rPr>
          <w:u w:val="single"/>
        </w:rPr>
        <w:t>AVP 7.9.4</w:t>
      </w:r>
    </w:p>
    <w:p w14:paraId="631CC284" w14:textId="77777777" w:rsidR="00E53EB6" w:rsidRDefault="006500F5">
      <w:pPr>
        <w:pStyle w:val="Zitat"/>
        <w:autoSpaceDE w:val="0"/>
      </w:pPr>
      <w:r>
        <w:t xml:space="preserve">7.9.4  </w:t>
      </w:r>
      <w:r>
        <w:rPr>
          <w:i/>
          <w:iCs/>
        </w:rPr>
        <w:t xml:space="preserve">pra </w:t>
      </w:r>
      <w:r>
        <w:rPr>
          <w:i/>
          <w:iCs/>
        </w:rPr>
        <w:t>ṇ</w:t>
      </w:r>
      <w:r>
        <w:rPr>
          <w:i/>
          <w:iCs/>
        </w:rPr>
        <w:t>o vanir devakr̥tā divā nakta</w:t>
      </w:r>
      <w:r>
        <w:rPr>
          <w:i/>
          <w:iCs/>
        </w:rPr>
        <w:t>ṃ</w:t>
      </w:r>
      <w:r>
        <w:rPr>
          <w:i/>
          <w:iCs/>
        </w:rPr>
        <w:t xml:space="preserve"> ca sidhyatu / arātim anupremo vaya</w:t>
      </w:r>
      <w:r>
        <w:rPr>
          <w:i/>
          <w:iCs/>
        </w:rPr>
        <w:t>ṃ</w:t>
      </w:r>
      <w:r>
        <w:rPr>
          <w:i/>
          <w:iCs/>
        </w:rPr>
        <w:t xml:space="preserve"> namo </w:t>
      </w:r>
      <w:r>
        <w:rPr>
          <w:i/>
          <w:iCs/>
          <w:vertAlign w:val="subscript"/>
        </w:rPr>
        <w:t>a</w:t>
      </w:r>
      <w:r>
        <w:rPr>
          <w:i/>
          <w:iCs/>
        </w:rPr>
        <w:t>st</w:t>
      </w:r>
      <w:r>
        <w:rPr>
          <w:i/>
          <w:iCs/>
          <w:vertAlign w:val="subscript"/>
        </w:rPr>
        <w:t>u</w:t>
      </w:r>
      <w:r>
        <w:rPr>
          <w:i/>
          <w:iCs/>
        </w:rPr>
        <w:t>v arātaye //</w:t>
      </w:r>
    </w:p>
    <w:p w14:paraId="615F1BCA" w14:textId="77777777" w:rsidR="00E53EB6" w:rsidRDefault="006500F5">
      <w:pPr>
        <w:pStyle w:val="Zitat"/>
        <w:autoSpaceDE w:val="0"/>
      </w:pPr>
      <w:r>
        <w:t>Let the</w:t>
      </w:r>
      <w:r>
        <w:t xml:space="preserve"> </w:t>
      </w:r>
      <w:r>
        <w:rPr>
          <w:u w:val="single"/>
        </w:rPr>
        <w:t>appropriation/desire</w:t>
      </w:r>
      <w:r>
        <w:t xml:space="preserve"> made by the gods be successful for us by day and night, we follow Arāti, homage be to Arāti.</w:t>
      </w:r>
    </w:p>
    <w:p w14:paraId="18BA0C6C" w14:textId="77777777" w:rsidR="00E53EB6" w:rsidRDefault="006500F5">
      <w:pPr>
        <w:pStyle w:val="Zitat"/>
        <w:autoSpaceDE w:val="0"/>
        <w:rPr>
          <w:lang w:eastAsia="hi-IN"/>
        </w:rPr>
      </w:pPr>
      <w:r>
        <w:rPr>
          <w:i/>
          <w:iCs/>
          <w:lang w:eastAsia="hi-IN"/>
        </w:rPr>
        <w:t xml:space="preserve">vanír: </w:t>
      </w:r>
      <w:r>
        <w:rPr>
          <w:lang w:eastAsia="hi-IN"/>
        </w:rPr>
        <w:t xml:space="preserve">nom. masc. sing.  of </w:t>
      </w:r>
      <w:r>
        <w:rPr>
          <w:i/>
          <w:iCs/>
          <w:lang w:eastAsia="hi-IN"/>
        </w:rPr>
        <w:t>vaní-</w:t>
      </w:r>
    </w:p>
    <w:p w14:paraId="347B3E43" w14:textId="77777777" w:rsidR="00E53EB6" w:rsidRDefault="006500F5">
      <w:pPr>
        <w:pStyle w:val="ZitatmitEinzug"/>
      </w:pPr>
      <w:r>
        <w:rPr>
          <w:rStyle w:val="biblio-authorGEN"/>
          <w:sz w:val="18"/>
          <w:szCs w:val="15"/>
        </w:rPr>
        <w:t xml:space="preserve">Griffiths </w:t>
      </w:r>
      <w:r>
        <w:t>2009: 338 “earnings”</w:t>
      </w:r>
    </w:p>
    <w:p w14:paraId="77105E90" w14:textId="77777777" w:rsidR="00E53EB6" w:rsidRDefault="006500F5">
      <w:pPr>
        <w:pStyle w:val="HaupttextnachZitat"/>
        <w:numPr>
          <w:ilvl w:val="2"/>
          <w:numId w:val="2"/>
        </w:numPr>
        <w:tabs>
          <w:tab w:val="left" w:pos="0"/>
        </w:tabs>
      </w:pPr>
      <w:r>
        <w:t>Vedic Web:</w:t>
      </w:r>
    </w:p>
    <w:p w14:paraId="4A08AC6E" w14:textId="77777777" w:rsidR="00E53EB6" w:rsidRDefault="006500F5">
      <w:pPr>
        <w:pStyle w:val="HaupttextohneEinzug"/>
      </w:pPr>
      <w:r>
        <w:t>Mantra: AVŚ 5.7.3.</w:t>
      </w:r>
    </w:p>
    <w:p w14:paraId="49CBC403" w14:textId="77777777" w:rsidR="00E53EB6" w:rsidRDefault="00E53EB6">
      <w:pPr>
        <w:pStyle w:val="HaupttextohneEinzug"/>
      </w:pPr>
    </w:p>
    <w:p w14:paraId="292B8EF1" w14:textId="77777777" w:rsidR="00E53EB6" w:rsidRDefault="006500F5">
      <w:pPr>
        <w:pStyle w:val="HaupttextohneEinzug"/>
        <w:rPr>
          <w:rFonts w:eastAsia="Arial" w:cs="Times Ext Roman"/>
          <w:szCs w:val="21"/>
          <w:lang w:eastAsia="hi-IN" w:bidi="en-GB"/>
        </w:rPr>
      </w:pPr>
      <w:r>
        <w:rPr>
          <w:rFonts w:eastAsia="Arial" w:cs="Times Ext Roman"/>
          <w:szCs w:val="21"/>
          <w:lang w:eastAsia="hi-IN" w:bidi="en-GB"/>
        </w:rPr>
        <w:t xml:space="preserve">Rite </w:t>
      </w:r>
    </w:p>
    <w:p w14:paraId="071783F4" w14:textId="77777777" w:rsidR="00E53EB6" w:rsidRDefault="006500F5">
      <w:pPr>
        <w:pStyle w:val="HaupttextohneEinzug"/>
        <w:rPr>
          <w:rFonts w:eastAsia="Arial" w:cs="Times Ext Roman"/>
          <w:szCs w:val="21"/>
          <w:lang w:eastAsia="hi-IN" w:bidi="en-GB"/>
        </w:rPr>
      </w:pPr>
      <w:r>
        <w:rPr>
          <w:rFonts w:eastAsia="Arial" w:cs="Times Ext Roman"/>
          <w:szCs w:val="21"/>
          <w:lang w:eastAsia="hi-IN" w:bidi="en-GB"/>
        </w:rPr>
        <w:t>See above.</w:t>
      </w:r>
    </w:p>
    <w:p w14:paraId="2C2DD74C" w14:textId="77777777" w:rsidR="00E53EB6" w:rsidRDefault="006500F5">
      <w:pPr>
        <w:pStyle w:val="Heading5"/>
        <w:tabs>
          <w:tab w:val="left" w:pos="0"/>
        </w:tabs>
        <w:rPr>
          <w:u w:val="single"/>
        </w:rPr>
      </w:pPr>
      <w:r>
        <w:rPr>
          <w:u w:val="single"/>
        </w:rPr>
        <w:t>AVP 7.9.8</w:t>
      </w:r>
    </w:p>
    <w:p w14:paraId="75A9462A" w14:textId="77777777" w:rsidR="00E53EB6" w:rsidRDefault="006500F5">
      <w:pPr>
        <w:pStyle w:val="Zitat"/>
        <w:autoSpaceDE w:val="0"/>
      </w:pPr>
      <w:r>
        <w:t>7.9.8</w:t>
      </w:r>
      <w:r>
        <w:rPr>
          <w:i/>
          <w:iCs/>
        </w:rPr>
        <w:t xml:space="preserve"> mā vani</w:t>
      </w:r>
      <w:r>
        <w:rPr>
          <w:i/>
          <w:iCs/>
        </w:rPr>
        <w:t>ṃ</w:t>
      </w:r>
      <w:r>
        <w:rPr>
          <w:i/>
          <w:iCs/>
        </w:rPr>
        <w:t xml:space="preserve"> mā vāca</w:t>
      </w:r>
      <w:r>
        <w:rPr>
          <w:i/>
          <w:iCs/>
        </w:rPr>
        <w:t>ṃ</w:t>
      </w:r>
      <w:r>
        <w:rPr>
          <w:i/>
          <w:iCs/>
        </w:rPr>
        <w:t xml:space="preserve"> no </w:t>
      </w:r>
      <w:r>
        <w:rPr>
          <w:i/>
          <w:iCs/>
          <w:vertAlign w:val="superscript"/>
        </w:rPr>
        <w:t>+</w:t>
      </w:r>
      <w:r>
        <w:rPr>
          <w:i/>
          <w:iCs/>
        </w:rPr>
        <w:t>v</w:t>
      </w:r>
      <w:r>
        <w:rPr>
          <w:i/>
          <w:iCs/>
          <w:vertAlign w:val="subscript"/>
        </w:rPr>
        <w:t>i</w:t>
      </w:r>
      <w:r>
        <w:rPr>
          <w:i/>
          <w:iCs/>
        </w:rPr>
        <w:t>īrtsīr</w:t>
      </w:r>
      <w:r>
        <w:rPr>
          <w:i/>
          <w:iCs/>
        </w:rPr>
        <w:t xml:space="preserve"> ugrāv indrāgnī nā bhajatā</w:t>
      </w:r>
      <w:r>
        <w:rPr>
          <w:i/>
          <w:iCs/>
        </w:rPr>
        <w:t>ṃ</w:t>
      </w:r>
      <w:r>
        <w:rPr>
          <w:i/>
          <w:iCs/>
        </w:rPr>
        <w:t xml:space="preserve"> vasūni /sarve no </w:t>
      </w:r>
      <w:r>
        <w:rPr>
          <w:i/>
          <w:iCs/>
          <w:vertAlign w:val="subscript"/>
        </w:rPr>
        <w:t>a</w:t>
      </w:r>
      <w:r>
        <w:rPr>
          <w:i/>
          <w:iCs/>
        </w:rPr>
        <w:t>dya ditsanto arāti</w:t>
      </w:r>
      <w:r>
        <w:rPr>
          <w:i/>
          <w:iCs/>
        </w:rPr>
        <w:t>ṃ</w:t>
      </w:r>
      <w:r>
        <w:rPr>
          <w:i/>
          <w:iCs/>
        </w:rPr>
        <w:t xml:space="preserve"> prati haryata //</w:t>
      </w:r>
    </w:p>
    <w:p w14:paraId="79F5A500" w14:textId="77777777" w:rsidR="00E53EB6" w:rsidRDefault="006500F5">
      <w:pPr>
        <w:pStyle w:val="Zitat"/>
        <w:autoSpaceDE w:val="0"/>
      </w:pPr>
      <w:r>
        <w:t>Do not wish to vanish</w:t>
      </w:r>
      <w:r>
        <w:rPr>
          <w:rStyle w:val="FootnoteAnchor"/>
        </w:rPr>
        <w:footnoteReference w:id="530"/>
      </w:r>
      <w:r>
        <w:t xml:space="preserve"> our </w:t>
      </w:r>
      <w:r>
        <w:rPr>
          <w:u w:val="single"/>
        </w:rPr>
        <w:t>desire/appropriation</w:t>
      </w:r>
      <w:r>
        <w:t>, nor our speech, let the terrible Indra and Agni grant</w:t>
      </w:r>
      <w:r>
        <w:rPr>
          <w:rStyle w:val="FootnoteAnchor"/>
        </w:rPr>
        <w:footnoteReference w:id="531"/>
      </w:r>
      <w:r>
        <w:t xml:space="preserve"> us goods; all those who wants to give to us today, let them welcome Arāti.</w:t>
      </w:r>
    </w:p>
    <w:p w14:paraId="5FC7F8FE" w14:textId="77777777" w:rsidR="00E53EB6" w:rsidRDefault="006500F5">
      <w:pPr>
        <w:pStyle w:val="Zitat"/>
        <w:autoSpaceDE w:val="0"/>
        <w:rPr>
          <w:lang w:eastAsia="hi-IN"/>
        </w:rPr>
      </w:pPr>
      <w:r>
        <w:rPr>
          <w:i/>
          <w:iCs/>
          <w:lang w:eastAsia="hi-IN"/>
        </w:rPr>
        <w:t xml:space="preserve">vaním: </w:t>
      </w:r>
      <w:r>
        <w:rPr>
          <w:lang w:eastAsia="hi-IN"/>
        </w:rPr>
        <w:t xml:space="preserve">acc. masc. sing.  of </w:t>
      </w:r>
      <w:r>
        <w:rPr>
          <w:i/>
          <w:iCs/>
          <w:lang w:eastAsia="hi-IN"/>
        </w:rPr>
        <w:t>vaní-</w:t>
      </w:r>
    </w:p>
    <w:p w14:paraId="15A81C31" w14:textId="77777777" w:rsidR="00E53EB6" w:rsidRDefault="006500F5">
      <w:pPr>
        <w:pStyle w:val="ZitatmitEinzug"/>
      </w:pPr>
      <w:r>
        <w:rPr>
          <w:rStyle w:val="biblio-authorGEN"/>
          <w:sz w:val="18"/>
          <w:szCs w:val="15"/>
        </w:rPr>
        <w:t xml:space="preserve">Griffiths </w:t>
      </w:r>
      <w:r>
        <w:t>2009: 342 “earnings”</w:t>
      </w:r>
    </w:p>
    <w:p w14:paraId="6D4E3733" w14:textId="77777777" w:rsidR="00E53EB6" w:rsidRDefault="006500F5">
      <w:pPr>
        <w:pStyle w:val="HaupttextnachZitat"/>
        <w:numPr>
          <w:ilvl w:val="2"/>
          <w:numId w:val="2"/>
        </w:numPr>
        <w:tabs>
          <w:tab w:val="left" w:pos="0"/>
        </w:tabs>
      </w:pPr>
      <w:r>
        <w:t>Vedic Web:</w:t>
      </w:r>
    </w:p>
    <w:p w14:paraId="6CA89097" w14:textId="77777777" w:rsidR="00E53EB6" w:rsidRDefault="006500F5">
      <w:pPr>
        <w:pStyle w:val="HaupttextohneEinzug"/>
      </w:pPr>
      <w:r>
        <w:t>Mantra: AVŚ 5.7.6.</w:t>
      </w:r>
    </w:p>
    <w:p w14:paraId="19BFF4CF" w14:textId="77777777" w:rsidR="00E53EB6" w:rsidRDefault="00E53EB6">
      <w:pPr>
        <w:pStyle w:val="HaupttextohneEinzug"/>
      </w:pPr>
    </w:p>
    <w:p w14:paraId="741F57BA" w14:textId="77777777" w:rsidR="00E53EB6" w:rsidRDefault="006500F5">
      <w:pPr>
        <w:pStyle w:val="HaupttextohneEinzug"/>
        <w:rPr>
          <w:rFonts w:eastAsia="Arial" w:cs="Times Ext Roman"/>
          <w:szCs w:val="21"/>
          <w:lang w:eastAsia="hi-IN" w:bidi="en-GB"/>
        </w:rPr>
      </w:pPr>
      <w:r>
        <w:rPr>
          <w:rFonts w:eastAsia="Arial" w:cs="Times Ext Roman"/>
          <w:szCs w:val="21"/>
          <w:lang w:eastAsia="hi-IN" w:bidi="en-GB"/>
        </w:rPr>
        <w:t xml:space="preserve">Rite </w:t>
      </w:r>
    </w:p>
    <w:p w14:paraId="7175730D" w14:textId="77777777" w:rsidR="00E53EB6" w:rsidRDefault="006500F5">
      <w:pPr>
        <w:pStyle w:val="HaupttextohneEinzug"/>
        <w:rPr>
          <w:rFonts w:eastAsia="Arial" w:cs="Times Ext Roman"/>
          <w:szCs w:val="21"/>
          <w:lang w:eastAsia="hi-IN" w:bidi="en-GB"/>
        </w:rPr>
      </w:pPr>
      <w:r>
        <w:rPr>
          <w:rFonts w:eastAsia="Arial" w:cs="Times Ext Roman"/>
          <w:szCs w:val="21"/>
          <w:lang w:eastAsia="hi-IN" w:bidi="en-GB"/>
        </w:rPr>
        <w:lastRenderedPageBreak/>
        <w:t>See above.</w:t>
      </w:r>
    </w:p>
    <w:p w14:paraId="41CBBCEC" w14:textId="77777777" w:rsidR="00E53EB6" w:rsidRDefault="00E53EB6">
      <w:pPr>
        <w:pStyle w:val="HaupttextohneEinzug"/>
        <w:rPr>
          <w:rFonts w:eastAsia="Arial" w:cs="Times Ext Roman"/>
          <w:szCs w:val="21"/>
          <w:lang w:eastAsia="hi-IN" w:bidi="en-GB"/>
        </w:rPr>
      </w:pPr>
    </w:p>
    <w:p w14:paraId="401B85AC" w14:textId="77777777" w:rsidR="00E53EB6" w:rsidRDefault="006500F5">
      <w:pPr>
        <w:pStyle w:val="Heading5"/>
        <w:tabs>
          <w:tab w:val="left" w:pos="0"/>
        </w:tabs>
        <w:rPr>
          <w:u w:val="single"/>
        </w:rPr>
      </w:pPr>
      <w:r>
        <w:rPr>
          <w:u w:val="single"/>
        </w:rPr>
        <w:t>AVP(K.) 17.17.1</w:t>
      </w:r>
    </w:p>
    <w:p w14:paraId="7AE3EC73" w14:textId="77777777" w:rsidR="00E53EB6" w:rsidRDefault="006500F5">
      <w:pPr>
        <w:pStyle w:val="Zitat"/>
        <w:autoSpaceDE w:val="0"/>
      </w:pPr>
      <w:r>
        <w:t>17.17.1</w:t>
      </w:r>
      <w:r>
        <w:rPr>
          <w:i/>
          <w:iCs/>
        </w:rPr>
        <w:t xml:space="preserve">  ya enā</w:t>
      </w:r>
      <w:r>
        <w:rPr>
          <w:i/>
          <w:iCs/>
        </w:rPr>
        <w:t>ṃ</w:t>
      </w:r>
      <w:r>
        <w:rPr>
          <w:i/>
          <w:iCs/>
        </w:rPr>
        <w:t xml:space="preserve"> vanim āyanti te</w:t>
      </w:r>
      <w:r>
        <w:rPr>
          <w:i/>
          <w:iCs/>
        </w:rPr>
        <w:t>ṣ</w:t>
      </w:r>
      <w:r>
        <w:rPr>
          <w:i/>
          <w:iCs/>
        </w:rPr>
        <w:t>ā</w:t>
      </w:r>
      <w:r>
        <w:rPr>
          <w:i/>
          <w:iCs/>
        </w:rPr>
        <w:t>ṃ</w:t>
      </w:r>
      <w:r>
        <w:rPr>
          <w:i/>
          <w:iCs/>
        </w:rPr>
        <w:t xml:space="preserve"> devakr̥tā vaśā / </w:t>
      </w:r>
      <w:r>
        <w:rPr>
          <w:i/>
          <w:iCs/>
        </w:rPr>
        <w:t>vrahmajyeya</w:t>
      </w:r>
      <w:r>
        <w:rPr>
          <w:i/>
          <w:iCs/>
        </w:rPr>
        <w:t>ṃ</w:t>
      </w:r>
      <w:r>
        <w:rPr>
          <w:i/>
          <w:iCs/>
        </w:rPr>
        <w:t xml:space="preserve"> tad avruvan ya enā</w:t>
      </w:r>
      <w:r>
        <w:rPr>
          <w:i/>
          <w:iCs/>
        </w:rPr>
        <w:t>ṃ</w:t>
      </w:r>
      <w:r>
        <w:rPr>
          <w:i/>
          <w:iCs/>
        </w:rPr>
        <w:t xml:space="preserve"> nu priyāyate</w:t>
      </w:r>
      <w:r>
        <w:rPr>
          <w:i/>
          <w:iCs/>
        </w:rPr>
        <w:t>//</w:t>
      </w:r>
    </w:p>
    <w:p w14:paraId="14F2F73C" w14:textId="77777777" w:rsidR="00E53EB6" w:rsidRDefault="006500F5">
      <w:pPr>
        <w:pStyle w:val="Zitat"/>
        <w:autoSpaceDE w:val="0"/>
      </w:pPr>
      <w:r>
        <w:t xml:space="preserve">The cow made by the gods is of those who go to the </w:t>
      </w:r>
      <w:r>
        <w:rPr>
          <w:u w:val="single"/>
        </w:rPr>
        <w:t>appropriation</w:t>
      </w:r>
      <w:r>
        <w:t xml:space="preserve"> of her, when someone does not treat her kindly</w:t>
      </w:r>
      <w:r>
        <w:rPr>
          <w:rStyle w:val="FootnoteAnchor"/>
        </w:rPr>
        <w:footnoteReference w:id="532"/>
      </w:r>
      <w:r>
        <w:t>, they call it oppression of Brahmans.</w:t>
      </w:r>
    </w:p>
    <w:p w14:paraId="48036B39" w14:textId="77777777" w:rsidR="00E53EB6" w:rsidRDefault="006500F5">
      <w:pPr>
        <w:pStyle w:val="Zitat"/>
        <w:autoSpaceDE w:val="0"/>
        <w:rPr>
          <w:lang w:eastAsia="hi-IN"/>
        </w:rPr>
      </w:pPr>
      <w:r>
        <w:rPr>
          <w:i/>
          <w:iCs/>
          <w:lang w:eastAsia="hi-IN"/>
        </w:rPr>
        <w:t xml:space="preserve">vanim: </w:t>
      </w:r>
      <w:r>
        <w:rPr>
          <w:lang w:eastAsia="hi-IN"/>
        </w:rPr>
        <w:t>acc</w:t>
      </w:r>
      <w:r>
        <w:rPr>
          <w:lang w:eastAsia="hi-IN"/>
        </w:rPr>
        <w:t xml:space="preserve">. masc. sing.  of </w:t>
      </w:r>
      <w:r>
        <w:rPr>
          <w:i/>
          <w:iCs/>
          <w:lang w:eastAsia="hi-IN"/>
        </w:rPr>
        <w:t>vaní-</w:t>
      </w:r>
    </w:p>
    <w:p w14:paraId="46354CE9" w14:textId="77777777" w:rsidR="00E53EB6" w:rsidRDefault="00E53EB6">
      <w:pPr>
        <w:pStyle w:val="ZitatmitEinzug"/>
      </w:pPr>
    </w:p>
    <w:p w14:paraId="05D4735F" w14:textId="77777777" w:rsidR="00E53EB6" w:rsidRDefault="006500F5">
      <w:pPr>
        <w:pStyle w:val="HaupttextnachZitat"/>
        <w:numPr>
          <w:ilvl w:val="2"/>
          <w:numId w:val="2"/>
        </w:numPr>
        <w:tabs>
          <w:tab w:val="left" w:pos="0"/>
        </w:tabs>
      </w:pPr>
      <w:r>
        <w:t>Vedic Web:</w:t>
      </w:r>
    </w:p>
    <w:p w14:paraId="425AA621" w14:textId="77777777" w:rsidR="00E53EB6" w:rsidRDefault="006500F5">
      <w:pPr>
        <w:pStyle w:val="HaupttextohneEinzug"/>
      </w:pPr>
      <w:r>
        <w:t>AVŚ 12.4.11</w:t>
      </w:r>
    </w:p>
    <w:p w14:paraId="2AA416AF" w14:textId="77777777" w:rsidR="00E53EB6" w:rsidRDefault="00E53EB6">
      <w:pPr>
        <w:pStyle w:val="HaupttextohneEinzug"/>
        <w:rPr>
          <w:rFonts w:eastAsia="Arial" w:cs="Times Ext Roman"/>
          <w:szCs w:val="21"/>
          <w:lang w:eastAsia="hi-IN" w:bidi="en-GB"/>
        </w:rPr>
      </w:pPr>
    </w:p>
    <w:p w14:paraId="7406F11E" w14:textId="77777777" w:rsidR="00E53EB6" w:rsidRDefault="006500F5">
      <w:pPr>
        <w:pStyle w:val="Heading4"/>
        <w:tabs>
          <w:tab w:val="left" w:pos="0"/>
        </w:tabs>
        <w:rPr>
          <w:i/>
        </w:rPr>
      </w:pPr>
      <w:r>
        <w:rPr>
          <w:i/>
        </w:rPr>
        <w:t>c) ványa-</w:t>
      </w:r>
    </w:p>
    <w:p w14:paraId="495CF8EB" w14:textId="77777777" w:rsidR="00E53EB6" w:rsidRDefault="006500F5">
      <w:pPr>
        <w:pStyle w:val="Hauptext"/>
      </w:pPr>
      <w:r>
        <w:t>As to this derivative, we find it indeed in two passages that are repeated in the texts of the different schools: in one case it is clearly connected with the wood or the forest (</w:t>
      </w:r>
      <w:r>
        <w:rPr>
          <w:i/>
          <w:iCs/>
        </w:rPr>
        <w:t>vanín</w:t>
      </w:r>
      <w:r>
        <w:t xml:space="preserve">-) and we find this passage in TS 4.5.6.1i-k; MS 2.9.6; KS 17.14; KpS 27.4; VS 16.34 . While in the other attestation, which occurs nearly the same in TS 5.5.9.1-2f; MS 2.13.12 and KS 40.3, the meaning is more doubtful, and indeed Keith translates it with </w:t>
      </w:r>
      <w:r>
        <w:t xml:space="preserve">“desirable”;  nonetheless, it could possibly mean “the one abiding in the wood”. If we settle for considering also this second case as connected with </w:t>
      </w:r>
      <w:r>
        <w:rPr>
          <w:i/>
          <w:iCs/>
        </w:rPr>
        <w:t xml:space="preserve">vána- </w:t>
      </w:r>
      <w:r>
        <w:t>“wood”, then this derivative should fall out of our investigation. The occurrence in AVŚ 6.20.3, alt</w:t>
      </w:r>
      <w:r>
        <w:t xml:space="preserve">hough is not matching any of the preceding passages, can be positively reckoned among those connected with </w:t>
      </w:r>
      <w:r>
        <w:rPr>
          <w:i/>
          <w:iCs/>
        </w:rPr>
        <w:t xml:space="preserve">vána- - vanín, </w:t>
      </w:r>
      <w:r>
        <w:t>as long as the adjective is referred to a disease, which is reddish, makes pale and is by no means “desirable”. It is worth to be noti</w:t>
      </w:r>
      <w:r>
        <w:t xml:space="preserve">ced that in the </w:t>
      </w:r>
      <w:r>
        <w:rPr>
          <w:i/>
          <w:iCs/>
        </w:rPr>
        <w:t>R̥gveda Sa</w:t>
      </w:r>
      <w:r>
        <w:rPr>
          <w:i/>
          <w:iCs/>
        </w:rPr>
        <w:t>ṃ</w:t>
      </w:r>
      <w:r>
        <w:rPr>
          <w:i/>
          <w:iCs/>
        </w:rPr>
        <w:t xml:space="preserve">hitā </w:t>
      </w:r>
      <w:r>
        <w:t xml:space="preserve">this adjective occurs only once meaning “wooden” (R̥V 9.97.45  </w:t>
      </w:r>
      <w:r>
        <w:rPr>
          <w:i/>
          <w:iCs/>
        </w:rPr>
        <w:t>sóma</w:t>
      </w:r>
      <w:r>
        <w:rPr>
          <w:i/>
          <w:iCs/>
        </w:rPr>
        <w:t>ḥ</w:t>
      </w:r>
      <w:r>
        <w:rPr>
          <w:i/>
          <w:iCs/>
        </w:rPr>
        <w:t xml:space="preserve"> sutó dhā́rayā́tyo ná hítvā síndhur ná nimnám abhí vājy àk</w:t>
      </w:r>
      <w:r>
        <w:rPr>
          <w:i/>
          <w:iCs/>
        </w:rPr>
        <w:t>ṣ</w:t>
      </w:r>
      <w:r>
        <w:rPr>
          <w:i/>
          <w:iCs/>
        </w:rPr>
        <w:t>ā</w:t>
      </w:r>
      <w:r>
        <w:rPr>
          <w:i/>
          <w:iCs/>
        </w:rPr>
        <w:t>ḥ</w:t>
      </w:r>
      <w:r>
        <w:rPr>
          <w:i/>
          <w:iCs/>
        </w:rPr>
        <w:t xml:space="preserve"> / ā́ yóni</w:t>
      </w:r>
      <w:r>
        <w:rPr>
          <w:i/>
          <w:iCs/>
        </w:rPr>
        <w:t>ṃ</w:t>
      </w:r>
      <w:r>
        <w:rPr>
          <w:i/>
          <w:iCs/>
        </w:rPr>
        <w:t xml:space="preserve"> ványam asadat punāná</w:t>
      </w:r>
      <w:r>
        <w:rPr>
          <w:i/>
          <w:iCs/>
        </w:rPr>
        <w:t>ḥ</w:t>
      </w:r>
      <w:r>
        <w:rPr>
          <w:i/>
          <w:iCs/>
        </w:rPr>
        <w:t xml:space="preserve"> sám índur góbhir asarat sám adbhí</w:t>
      </w:r>
      <w:r>
        <w:rPr>
          <w:i/>
          <w:iCs/>
        </w:rPr>
        <w:t>ḥ</w:t>
      </w:r>
      <w:r>
        <w:rPr>
          <w:i/>
          <w:iCs/>
        </w:rPr>
        <w:t xml:space="preserve"> //), </w:t>
      </w:r>
      <w:r>
        <w:t>characterising the ve</w:t>
      </w:r>
      <w:r>
        <w:t>ssel</w:t>
      </w:r>
      <w:r>
        <w:rPr>
          <w:i/>
          <w:iCs/>
        </w:rPr>
        <w:t xml:space="preserve"> </w:t>
      </w:r>
      <w:r>
        <w:t xml:space="preserve">where the </w:t>
      </w:r>
      <w:r>
        <w:rPr>
          <w:i/>
          <w:iCs/>
        </w:rPr>
        <w:t xml:space="preserve">soma </w:t>
      </w:r>
      <w:r>
        <w:t xml:space="preserve">goes, here referred to as </w:t>
      </w:r>
      <w:r>
        <w:rPr>
          <w:i/>
          <w:iCs/>
        </w:rPr>
        <w:t>yoni</w:t>
      </w:r>
      <w:r>
        <w:t>.</w:t>
      </w:r>
      <w:r>
        <w:rPr>
          <w:i/>
          <w:iCs/>
        </w:rPr>
        <w:t xml:space="preserve"> </w:t>
      </w:r>
      <w:r>
        <w:t xml:space="preserve"> </w:t>
      </w:r>
    </w:p>
    <w:p w14:paraId="0EC6344E" w14:textId="77777777" w:rsidR="00E53EB6" w:rsidRDefault="006500F5">
      <w:pPr>
        <w:pStyle w:val="Heading5"/>
        <w:tabs>
          <w:tab w:val="left" w:pos="0"/>
        </w:tabs>
        <w:rPr>
          <w:u w:val="single"/>
        </w:rPr>
      </w:pPr>
      <w:r>
        <w:rPr>
          <w:u w:val="single"/>
        </w:rPr>
        <w:t>TS 5.5.9.1-2f</w:t>
      </w:r>
    </w:p>
    <w:p w14:paraId="64D13B26" w14:textId="77777777" w:rsidR="00E53EB6" w:rsidRDefault="006500F5">
      <w:pPr>
        <w:pStyle w:val="Zitat"/>
        <w:autoSpaceDE w:val="0"/>
      </w:pPr>
      <w:r>
        <w:t xml:space="preserve">5.5.9.1 </w:t>
      </w:r>
      <w:r>
        <w:rPr>
          <w:i/>
          <w:iCs/>
        </w:rPr>
        <w:t>ágna udadhe yā́ ta í</w:t>
      </w:r>
      <w:r>
        <w:rPr>
          <w:i/>
          <w:iCs/>
        </w:rPr>
        <w:t>ṣ</w:t>
      </w:r>
      <w:r>
        <w:rPr>
          <w:i/>
          <w:iCs/>
        </w:rPr>
        <w:t>ur yuvā́ nā́ma táyā no mr̥</w:t>
      </w:r>
      <w:r>
        <w:rPr>
          <w:i/>
          <w:iCs/>
        </w:rPr>
        <w:t>ḍ</w:t>
      </w:r>
      <w:r>
        <w:rPr>
          <w:i/>
          <w:iCs/>
        </w:rPr>
        <w:t>a tásyās te námas tásyās ta úpa jī́vanto bhūyāsama</w:t>
      </w:r>
      <w:r>
        <w:t xml:space="preserve"> / </w:t>
      </w:r>
      <w:r>
        <w:rPr>
          <w:i/>
          <w:iCs/>
        </w:rPr>
        <w:t>ágne dudhra / gahya / ki</w:t>
      </w:r>
      <w:r>
        <w:rPr>
          <w:i/>
          <w:iCs/>
        </w:rPr>
        <w:t>ṁ</w:t>
      </w:r>
      <w:r>
        <w:rPr>
          <w:i/>
          <w:iCs/>
        </w:rPr>
        <w:t>śila / vanya yā́ ta í</w:t>
      </w:r>
      <w:r>
        <w:rPr>
          <w:i/>
          <w:iCs/>
        </w:rPr>
        <w:t>ṣ</w:t>
      </w:r>
      <w:r>
        <w:rPr>
          <w:i/>
          <w:iCs/>
        </w:rPr>
        <w:t>ur yuvā́ nā́ma táyā no mr̥</w:t>
      </w:r>
      <w:r>
        <w:rPr>
          <w:i/>
          <w:iCs/>
        </w:rPr>
        <w:t>ḍ</w:t>
      </w:r>
      <w:r>
        <w:rPr>
          <w:i/>
          <w:iCs/>
        </w:rPr>
        <w:t>a tás</w:t>
      </w:r>
      <w:r>
        <w:rPr>
          <w:i/>
          <w:iCs/>
        </w:rPr>
        <w:t xml:space="preserve">yās te námas tásyās ta úpa jī́vanto bhūyāsma / páñca vā́ etè 'gnáyo </w:t>
      </w:r>
      <w:r>
        <w:rPr>
          <w:i/>
          <w:iCs/>
        </w:rPr>
        <w:t xml:space="preserve">yác </w:t>
      </w:r>
      <w:r>
        <w:rPr>
          <w:i/>
          <w:iCs/>
        </w:rPr>
        <w:t>cítaya udadhír evá nā́ma prathamó dudhrá</w:t>
      </w:r>
      <w:r>
        <w:rPr>
          <w:i/>
          <w:iCs/>
        </w:rPr>
        <w:t>ḥ</w:t>
      </w:r>
      <w:r>
        <w:rPr>
          <w:i/>
          <w:iCs/>
        </w:rPr>
        <w:t xml:space="preserve"> // </w:t>
      </w:r>
      <w:r>
        <w:t xml:space="preserve">[2f] </w:t>
      </w:r>
      <w:r>
        <w:rPr>
          <w:i/>
          <w:iCs/>
        </w:rPr>
        <w:t>dvitī́yo gáhyas tr̥tī́ya</w:t>
      </w:r>
      <w:r>
        <w:rPr>
          <w:i/>
          <w:iCs/>
        </w:rPr>
        <w:t>ḥ</w:t>
      </w:r>
      <w:r>
        <w:rPr>
          <w:i/>
          <w:iCs/>
        </w:rPr>
        <w:t xml:space="preserve"> ki</w:t>
      </w:r>
      <w:r>
        <w:rPr>
          <w:i/>
          <w:iCs/>
        </w:rPr>
        <w:t>ṁ</w:t>
      </w:r>
      <w:r>
        <w:rPr>
          <w:i/>
          <w:iCs/>
        </w:rPr>
        <w:t>śiláś caturthó ványa</w:t>
      </w:r>
      <w:r>
        <w:rPr>
          <w:i/>
          <w:iCs/>
        </w:rPr>
        <w:t>ḥ</w:t>
      </w:r>
      <w:r>
        <w:rPr>
          <w:i/>
          <w:iCs/>
        </w:rPr>
        <w:t xml:space="preserve"> pañcamás tébhyo yád ā́hutīr ná juhuyā́d adhvaryú</w:t>
      </w:r>
      <w:r>
        <w:rPr>
          <w:i/>
          <w:iCs/>
        </w:rPr>
        <w:t>ṃ</w:t>
      </w:r>
      <w:r>
        <w:rPr>
          <w:i/>
          <w:iCs/>
        </w:rPr>
        <w:t xml:space="preserve"> ca yájamāna</w:t>
      </w:r>
      <w:r>
        <w:rPr>
          <w:i/>
          <w:iCs/>
        </w:rPr>
        <w:t>ṃ</w:t>
      </w:r>
      <w:r>
        <w:rPr>
          <w:i/>
          <w:iCs/>
        </w:rPr>
        <w:t xml:space="preserve"> ca prá daheyur yád e</w:t>
      </w:r>
      <w:r>
        <w:rPr>
          <w:i/>
          <w:iCs/>
        </w:rPr>
        <w:t>tā́ ā́hutīr juhóti bhāgadhéyenaiváināñ chamayati nā́rtim ā́rchaty adhvaryúr ná yájamānas</w:t>
      </w:r>
      <w:r>
        <w:t xml:space="preserve"> /</w:t>
      </w:r>
    </w:p>
    <w:p w14:paraId="49D6FE17" w14:textId="77777777" w:rsidR="00E53EB6" w:rsidRDefault="006500F5">
      <w:pPr>
        <w:pStyle w:val="Zitat"/>
        <w:autoSpaceDE w:val="0"/>
      </w:pPr>
      <w:r>
        <w:t xml:space="preserve">O Agni, ocean, with your arrow, named the young, be gentle to us, homage </w:t>
      </w:r>
      <w:r>
        <w:t xml:space="preserve">of this to you, </w:t>
      </w:r>
      <w:r>
        <w:t>may we continue to exist living upon this of you; o Agni the violent, the un</w:t>
      </w:r>
      <w:r>
        <w:t>fathomable, the gravelly, the one abiding in woods; with your arrow, named the young, be gentle to us, homage of this to you, may we continue existing living upon this of you; indeed</w:t>
      </w:r>
      <w:r>
        <w:t xml:space="preserve"> these five Agnis are the layers, the first is named the ocean, the second</w:t>
      </w:r>
      <w:r>
        <w:t xml:space="preserve"> the violent, the third the unfathomable, the fourth the gravelly, the fifth the wooden (one abiding in the wood), if he would not offer the oblations to them, they would burn the </w:t>
      </w:r>
      <w:r>
        <w:rPr>
          <w:i/>
          <w:iCs/>
        </w:rPr>
        <w:t xml:space="preserve">adhvaryu </w:t>
      </w:r>
      <w:r>
        <w:t>and the sacrificer (</w:t>
      </w:r>
      <w:r>
        <w:rPr>
          <w:i/>
          <w:iCs/>
        </w:rPr>
        <w:t>yajamāna</w:t>
      </w:r>
      <w:r>
        <w:t>), if he offers these oblations, he ind</w:t>
      </w:r>
      <w:r>
        <w:t xml:space="preserve">eed appeases them with the share, the </w:t>
      </w:r>
      <w:r>
        <w:rPr>
          <w:i/>
          <w:iCs/>
        </w:rPr>
        <w:t xml:space="preserve">adhvaryu </w:t>
      </w:r>
      <w:r>
        <w:t>doesn’t fall in pain neither the sacrificer.</w:t>
      </w:r>
    </w:p>
    <w:p w14:paraId="57DE97AA" w14:textId="77777777" w:rsidR="00E53EB6" w:rsidRDefault="006500F5">
      <w:pPr>
        <w:pStyle w:val="Zitat"/>
        <w:autoSpaceDE w:val="0"/>
        <w:rPr>
          <w:lang w:eastAsia="hi-IN"/>
        </w:rPr>
      </w:pPr>
      <w:r>
        <w:rPr>
          <w:lang w:eastAsia="hi-IN"/>
        </w:rPr>
        <w:lastRenderedPageBreak/>
        <w:t>2x</w:t>
      </w:r>
      <w:r>
        <w:rPr>
          <w:i/>
          <w:iCs/>
          <w:lang w:eastAsia="hi-IN"/>
        </w:rPr>
        <w:t xml:space="preserve"> ványa</w:t>
      </w:r>
      <w:r>
        <w:rPr>
          <w:i/>
          <w:iCs/>
          <w:lang w:eastAsia="hi-IN"/>
        </w:rPr>
        <w:t>ḥ</w:t>
      </w:r>
      <w:r>
        <w:rPr>
          <w:i/>
          <w:iCs/>
          <w:lang w:eastAsia="hi-IN"/>
        </w:rPr>
        <w:t xml:space="preserve">: </w:t>
      </w:r>
      <w:r>
        <w:rPr>
          <w:lang w:eastAsia="hi-IN"/>
        </w:rPr>
        <w:t xml:space="preserve"> nom. masc. sing. of </w:t>
      </w:r>
      <w:r>
        <w:rPr>
          <w:i/>
          <w:iCs/>
          <w:lang w:eastAsia="hi-IN"/>
        </w:rPr>
        <w:t>ványa-</w:t>
      </w:r>
    </w:p>
    <w:p w14:paraId="116D3066" w14:textId="77777777" w:rsidR="00E53EB6" w:rsidRDefault="006500F5">
      <w:pPr>
        <w:pStyle w:val="ZitatmitEinzug"/>
        <w:autoSpaceDE w:val="0"/>
        <w:rPr>
          <w:rFonts w:eastAsia="Arial" w:cs="Times Ext Roman"/>
          <w:szCs w:val="18"/>
          <w:lang w:eastAsia="hi-IN" w:bidi="en-GB"/>
        </w:rPr>
      </w:pPr>
      <w:r>
        <w:rPr>
          <w:rStyle w:val="biblio-authorGEN"/>
          <w:rFonts w:eastAsia="Arial" w:cs="Times Ext Roman"/>
          <w:sz w:val="18"/>
          <w:szCs w:val="18"/>
          <w:lang w:eastAsia="hi-IN" w:bidi="en-GB"/>
        </w:rPr>
        <w:t>Keith</w:t>
      </w:r>
      <w:r>
        <w:rPr>
          <w:rFonts w:eastAsia="Arial" w:cs="Times Ext Roman"/>
          <w:szCs w:val="18"/>
          <w:lang w:eastAsia="hi-IN" w:bidi="en-GB"/>
        </w:rPr>
        <w:t xml:space="preserve"> 1914: 448 “desirable”</w:t>
      </w:r>
    </w:p>
    <w:p w14:paraId="24E67227" w14:textId="77777777" w:rsidR="00E53EB6" w:rsidRDefault="006500F5">
      <w:pPr>
        <w:pStyle w:val="HaupttextnachZitat"/>
        <w:numPr>
          <w:ilvl w:val="2"/>
          <w:numId w:val="2"/>
        </w:numPr>
        <w:tabs>
          <w:tab w:val="left" w:pos="0"/>
        </w:tabs>
      </w:pPr>
      <w:r>
        <w:t>Vedic Web:</w:t>
      </w:r>
    </w:p>
    <w:p w14:paraId="37B60561" w14:textId="77777777" w:rsidR="00E53EB6" w:rsidRDefault="006500F5">
      <w:pPr>
        <w:pStyle w:val="HaupttextohneEinzug"/>
      </w:pPr>
      <w:r>
        <w:t>Mantra: cf. MS 2.3.12: 162,6-8; KS 40.3: 237,10-11.</w:t>
      </w:r>
    </w:p>
    <w:p w14:paraId="5CF93174" w14:textId="77777777" w:rsidR="00E53EB6" w:rsidRDefault="00E53EB6">
      <w:pPr>
        <w:pStyle w:val="HaupttextohneEinzug"/>
      </w:pPr>
    </w:p>
    <w:p w14:paraId="5EEB1976" w14:textId="77777777" w:rsidR="00E53EB6" w:rsidRDefault="006500F5">
      <w:pPr>
        <w:pStyle w:val="HaupttextohneEinzug"/>
        <w:rPr>
          <w:rFonts w:eastAsia="Arial" w:cs="Times Ext Roman"/>
          <w:szCs w:val="21"/>
          <w:lang w:eastAsia="hi-IN" w:bidi="en-GB"/>
        </w:rPr>
      </w:pPr>
      <w:r>
        <w:rPr>
          <w:rFonts w:eastAsia="Arial" w:cs="Times Ext Roman"/>
          <w:szCs w:val="21"/>
          <w:lang w:eastAsia="hi-IN" w:bidi="en-GB"/>
        </w:rPr>
        <w:t xml:space="preserve">Rite </w:t>
      </w:r>
    </w:p>
    <w:p w14:paraId="7C3CBA67" w14:textId="77777777" w:rsidR="00E53EB6" w:rsidRDefault="006500F5">
      <w:pPr>
        <w:pStyle w:val="HaupttextohneEinzug"/>
        <w:rPr>
          <w:rFonts w:eastAsia="Arial" w:cs="Times Ext Roman"/>
          <w:szCs w:val="21"/>
          <w:lang w:eastAsia="hi-IN" w:bidi="en-GB"/>
        </w:rPr>
      </w:pPr>
      <w:r>
        <w:rPr>
          <w:rFonts w:eastAsia="Arial" w:cs="Times Ext Roman"/>
          <w:i/>
          <w:iCs/>
          <w:szCs w:val="21"/>
          <w:lang w:eastAsia="hi-IN" w:bidi="en-GB"/>
        </w:rPr>
        <w:t>Agnicayana.</w:t>
      </w:r>
      <w:r>
        <w:rPr>
          <w:rFonts w:eastAsia="Arial" w:cs="Times Ext Roman"/>
          <w:szCs w:val="21"/>
          <w:lang w:eastAsia="hi-IN" w:bidi="en-GB"/>
        </w:rPr>
        <w:t xml:space="preserve"> </w:t>
      </w:r>
      <w:r>
        <w:rPr>
          <w:rFonts w:eastAsia="Arial" w:cs="Times Ext Roman"/>
          <w:i/>
          <w:iCs/>
          <w:szCs w:val="21"/>
          <w:lang w:eastAsia="hi-IN" w:bidi="en-GB"/>
        </w:rPr>
        <w:t>Mantra</w:t>
      </w:r>
      <w:r>
        <w:rPr>
          <w:rFonts w:eastAsia="Arial" w:cs="Times Ext Roman"/>
          <w:szCs w:val="21"/>
          <w:lang w:eastAsia="hi-IN" w:bidi="en-GB"/>
        </w:rPr>
        <w:t xml:space="preserve">s and </w:t>
      </w:r>
      <w:r>
        <w:rPr>
          <w:rFonts w:eastAsia="Arial" w:cs="Times Ext Roman"/>
          <w:i/>
          <w:iCs/>
          <w:szCs w:val="21"/>
          <w:lang w:eastAsia="hi-IN" w:bidi="en-GB"/>
        </w:rPr>
        <w:t>brāhma</w:t>
      </w:r>
      <w:r>
        <w:rPr>
          <w:rFonts w:eastAsia="Arial" w:cs="Times Ext Roman"/>
          <w:i/>
          <w:iCs/>
          <w:szCs w:val="21"/>
          <w:lang w:eastAsia="hi-IN" w:bidi="en-GB"/>
        </w:rPr>
        <w:t>ṇ</w:t>
      </w:r>
      <w:r>
        <w:rPr>
          <w:rFonts w:eastAsia="Arial" w:cs="Times Ext Roman"/>
          <w:i/>
          <w:iCs/>
          <w:szCs w:val="21"/>
          <w:lang w:eastAsia="hi-IN" w:bidi="en-GB"/>
        </w:rPr>
        <w:t>a</w:t>
      </w:r>
      <w:r>
        <w:rPr>
          <w:rFonts w:eastAsia="Arial" w:cs="Times Ext Roman"/>
          <w:szCs w:val="21"/>
          <w:lang w:eastAsia="hi-IN" w:bidi="en-GB"/>
        </w:rPr>
        <w:t>s for the five oblations to the five Agnis.</w:t>
      </w:r>
    </w:p>
    <w:p w14:paraId="40C7E8E5" w14:textId="77777777" w:rsidR="00E53EB6" w:rsidRDefault="00E53EB6">
      <w:pPr>
        <w:pStyle w:val="HaupttextohneEinzug"/>
        <w:rPr>
          <w:rFonts w:eastAsia="Arial" w:cs="Times Ext Roman"/>
          <w:szCs w:val="21"/>
          <w:lang w:eastAsia="hi-IN" w:bidi="en-GB"/>
        </w:rPr>
      </w:pPr>
    </w:p>
    <w:p w14:paraId="503E6D2F" w14:textId="77777777" w:rsidR="00E53EB6" w:rsidRDefault="006500F5">
      <w:pPr>
        <w:pStyle w:val="Heading5"/>
        <w:tabs>
          <w:tab w:val="left" w:pos="0"/>
        </w:tabs>
        <w:rPr>
          <w:u w:val="single"/>
        </w:rPr>
      </w:pPr>
      <w:r>
        <w:rPr>
          <w:u w:val="single"/>
        </w:rPr>
        <w:t>TS 4.5.6.1i-k</w:t>
      </w:r>
    </w:p>
    <w:p w14:paraId="05EF95AB" w14:textId="77777777" w:rsidR="00E53EB6" w:rsidRDefault="006500F5">
      <w:pPr>
        <w:pStyle w:val="Zitat"/>
      </w:pPr>
      <w:r>
        <w:t>4.5.6.1i</w:t>
      </w:r>
      <w:r>
        <w:t>-k</w:t>
      </w:r>
      <w:r>
        <w:rPr>
          <w:i/>
          <w:iCs/>
        </w:rPr>
        <w:t xml:space="preserve"> </w:t>
      </w:r>
      <w:r>
        <w:rPr>
          <w:i/>
          <w:iCs/>
          <w:lang w:eastAsia="hi-IN"/>
        </w:rPr>
        <w:t>námo ványāya ca kák</w:t>
      </w:r>
      <w:r>
        <w:rPr>
          <w:i/>
          <w:iCs/>
          <w:lang w:eastAsia="hi-IN"/>
        </w:rPr>
        <w:t>ṣ</w:t>
      </w:r>
      <w:r>
        <w:rPr>
          <w:i/>
          <w:iCs/>
          <w:lang w:eastAsia="hi-IN"/>
        </w:rPr>
        <w:t>yāya ca /  náma</w:t>
      </w:r>
      <w:r>
        <w:rPr>
          <w:i/>
          <w:iCs/>
          <w:lang w:eastAsia="hi-IN"/>
        </w:rPr>
        <w:t>ḥ</w:t>
      </w:r>
      <w:r>
        <w:rPr>
          <w:i/>
          <w:iCs/>
          <w:lang w:eastAsia="hi-IN"/>
        </w:rPr>
        <w:t xml:space="preserve"> śravā́ya ca pratiśravā́ya ca </w:t>
      </w:r>
      <w:r>
        <w:rPr>
          <w:lang w:eastAsia="hi-IN"/>
        </w:rPr>
        <w:t>//</w:t>
      </w:r>
    </w:p>
    <w:p w14:paraId="534D82AF" w14:textId="77777777" w:rsidR="00E53EB6" w:rsidRDefault="006500F5">
      <w:pPr>
        <w:pStyle w:val="Zitat"/>
        <w:autoSpaceDE w:val="0"/>
      </w:pPr>
      <w:r>
        <w:t xml:space="preserve">Homage to the one abiding in the wood, and to the one abiding in the shrubs, homage to the sound and </w:t>
      </w:r>
      <w:r>
        <w:t>to echo.</w:t>
      </w:r>
    </w:p>
    <w:p w14:paraId="5F9B4AF0" w14:textId="77777777" w:rsidR="00E53EB6" w:rsidRDefault="006500F5">
      <w:pPr>
        <w:pStyle w:val="Zitat"/>
        <w:autoSpaceDE w:val="0"/>
        <w:rPr>
          <w:lang w:eastAsia="hi-IN"/>
        </w:rPr>
      </w:pPr>
      <w:r>
        <w:rPr>
          <w:i/>
          <w:iCs/>
          <w:lang w:eastAsia="hi-IN"/>
        </w:rPr>
        <w:t xml:space="preserve">ványāya: </w:t>
      </w:r>
      <w:r>
        <w:rPr>
          <w:lang w:eastAsia="hi-IN"/>
        </w:rPr>
        <w:t xml:space="preserve">dat. masc. sing. of </w:t>
      </w:r>
      <w:r>
        <w:rPr>
          <w:i/>
          <w:iCs/>
          <w:lang w:eastAsia="hi-IN"/>
        </w:rPr>
        <w:t>ványa-</w:t>
      </w:r>
    </w:p>
    <w:p w14:paraId="6396D172" w14:textId="77777777" w:rsidR="00E53EB6" w:rsidRDefault="006500F5">
      <w:pPr>
        <w:pStyle w:val="ZitatmitEinzug"/>
      </w:pPr>
      <w:r>
        <w:rPr>
          <w:rStyle w:val="biblio-authorGEN"/>
          <w:sz w:val="18"/>
        </w:rPr>
        <w:t>Keith</w:t>
      </w:r>
      <w:r>
        <w:t xml:space="preserve"> 1914: 358 “him in the wood”</w:t>
      </w:r>
    </w:p>
    <w:p w14:paraId="2BEDF0B6" w14:textId="77777777" w:rsidR="00E53EB6" w:rsidRDefault="006500F5">
      <w:pPr>
        <w:pStyle w:val="HaupttextnachZitat"/>
        <w:numPr>
          <w:ilvl w:val="2"/>
          <w:numId w:val="2"/>
        </w:numPr>
        <w:tabs>
          <w:tab w:val="left" w:pos="0"/>
        </w:tabs>
      </w:pPr>
      <w:r>
        <w:t>Vedic Web:</w:t>
      </w:r>
    </w:p>
    <w:p w14:paraId="623837FA" w14:textId="77777777" w:rsidR="00E53EB6" w:rsidRPr="00494885" w:rsidRDefault="006500F5">
      <w:pPr>
        <w:pStyle w:val="HaupttextohneEinzug"/>
        <w:rPr>
          <w:lang w:val="de-DE"/>
        </w:rPr>
      </w:pPr>
      <w:r w:rsidRPr="00494885">
        <w:rPr>
          <w:lang w:val="de-DE"/>
        </w:rPr>
        <w:t>Mantra: MS 2.9.6: 125.7; KS 17.14: 257,11-12; KpS 27.4 135,2-3; VS 16.34.</w:t>
      </w:r>
    </w:p>
    <w:p w14:paraId="21C86510" w14:textId="77777777" w:rsidR="00E53EB6" w:rsidRPr="00494885" w:rsidRDefault="00E53EB6">
      <w:pPr>
        <w:pStyle w:val="HaupttextohneEinzug"/>
        <w:rPr>
          <w:lang w:val="de-DE"/>
        </w:rPr>
      </w:pPr>
    </w:p>
    <w:p w14:paraId="1FD9D83A" w14:textId="77777777" w:rsidR="00E53EB6" w:rsidRDefault="006500F5">
      <w:pPr>
        <w:pStyle w:val="HaupttextohneEinzug"/>
        <w:rPr>
          <w:rFonts w:eastAsia="Arial" w:cs="Times Ext Roman"/>
          <w:szCs w:val="21"/>
          <w:lang w:eastAsia="hi-IN" w:bidi="en-GB"/>
        </w:rPr>
      </w:pPr>
      <w:r>
        <w:rPr>
          <w:rFonts w:eastAsia="Arial" w:cs="Times Ext Roman"/>
          <w:szCs w:val="21"/>
          <w:lang w:eastAsia="hi-IN" w:bidi="en-GB"/>
        </w:rPr>
        <w:t xml:space="preserve">Rite </w:t>
      </w:r>
    </w:p>
    <w:p w14:paraId="0348F281" w14:textId="77777777" w:rsidR="00E53EB6" w:rsidRDefault="006500F5">
      <w:pPr>
        <w:pStyle w:val="HaupttextohneEinzug"/>
        <w:rPr>
          <w:rFonts w:eastAsia="Arial" w:cs="Times Ext Roman"/>
          <w:szCs w:val="21"/>
          <w:lang w:eastAsia="hi-IN" w:bidi="en-GB"/>
        </w:rPr>
      </w:pPr>
      <w:r>
        <w:rPr>
          <w:rFonts w:eastAsia="Arial" w:cs="Times Ext Roman"/>
          <w:i/>
          <w:iCs/>
          <w:szCs w:val="21"/>
          <w:lang w:eastAsia="hi-IN" w:bidi="en-GB"/>
        </w:rPr>
        <w:t>Agnicayana.</w:t>
      </w:r>
      <w:r>
        <w:rPr>
          <w:rFonts w:eastAsia="Arial" w:cs="Times Ext Roman"/>
          <w:szCs w:val="21"/>
          <w:lang w:eastAsia="hi-IN" w:bidi="en-GB"/>
        </w:rPr>
        <w:t xml:space="preserve"> </w:t>
      </w:r>
      <w:r>
        <w:rPr>
          <w:rFonts w:eastAsia="Arial" w:cs="Times Ext Roman"/>
          <w:i/>
          <w:iCs/>
          <w:szCs w:val="21"/>
          <w:lang w:eastAsia="hi-IN" w:bidi="en-GB"/>
        </w:rPr>
        <w:t>Mantra</w:t>
      </w:r>
      <w:r>
        <w:rPr>
          <w:rFonts w:eastAsia="Arial" w:cs="Times Ext Roman"/>
          <w:szCs w:val="21"/>
          <w:lang w:eastAsia="hi-IN" w:bidi="en-GB"/>
        </w:rPr>
        <w:t xml:space="preserve">s of the </w:t>
      </w:r>
      <w:r>
        <w:rPr>
          <w:rFonts w:eastAsia="Arial" w:cs="Times Ext Roman"/>
          <w:i/>
          <w:iCs/>
          <w:szCs w:val="21"/>
          <w:lang w:eastAsia="hi-IN" w:bidi="en-GB"/>
        </w:rPr>
        <w:t>śatarudrīya</w:t>
      </w:r>
      <w:r>
        <w:rPr>
          <w:rFonts w:eastAsia="Arial" w:cs="Times Ext Roman"/>
          <w:szCs w:val="21"/>
          <w:lang w:eastAsia="hi-IN" w:bidi="en-GB"/>
        </w:rPr>
        <w:t xml:space="preserve"> litany, for the</w:t>
      </w:r>
      <w:r>
        <w:rPr>
          <w:rFonts w:eastAsia="Arial" w:cs="Times Ext Roman"/>
          <w:i/>
          <w:iCs/>
          <w:szCs w:val="21"/>
          <w:lang w:eastAsia="hi-IN" w:bidi="en-GB"/>
        </w:rPr>
        <w:t xml:space="preserve"> </w:t>
      </w:r>
      <w:r>
        <w:rPr>
          <w:rFonts w:eastAsia="Arial" w:cs="Times Ext Roman"/>
          <w:szCs w:val="21"/>
          <w:lang w:eastAsia="hi-IN" w:bidi="en-GB"/>
        </w:rPr>
        <w:t>offerings on the fire to Rudra</w:t>
      </w:r>
      <w:r>
        <w:rPr>
          <w:rFonts w:eastAsia="Arial" w:cs="Times Ext Roman"/>
          <w:szCs w:val="21"/>
          <w:lang w:eastAsia="hi-IN" w:bidi="en-GB"/>
        </w:rPr>
        <w:t>.</w:t>
      </w:r>
    </w:p>
    <w:p w14:paraId="208BF2A4" w14:textId="77777777" w:rsidR="00E53EB6" w:rsidRDefault="00E53EB6">
      <w:pPr>
        <w:pStyle w:val="HaupttextohneEinzug"/>
        <w:rPr>
          <w:rFonts w:eastAsia="Arial" w:cs="Times Ext Roman"/>
          <w:szCs w:val="21"/>
          <w:lang w:eastAsia="hi-IN" w:bidi="en-GB"/>
        </w:rPr>
      </w:pPr>
    </w:p>
    <w:p w14:paraId="33E844C3" w14:textId="77777777" w:rsidR="00E53EB6" w:rsidRDefault="006500F5">
      <w:pPr>
        <w:pStyle w:val="Heading5"/>
        <w:tabs>
          <w:tab w:val="left" w:pos="0"/>
        </w:tabs>
        <w:rPr>
          <w:u w:val="single"/>
        </w:rPr>
      </w:pPr>
      <w:r>
        <w:rPr>
          <w:u w:val="single"/>
        </w:rPr>
        <w:t>MS 2.9.6: 125.7</w:t>
      </w:r>
    </w:p>
    <w:p w14:paraId="70A2CCBF" w14:textId="77777777" w:rsidR="00E53EB6" w:rsidRDefault="006500F5">
      <w:pPr>
        <w:pStyle w:val="Zitat"/>
        <w:autoSpaceDE w:val="0"/>
      </w:pPr>
      <w:r>
        <w:t>2.9.6</w:t>
      </w:r>
      <w:r>
        <w:rPr>
          <w:i/>
          <w:iCs/>
        </w:rPr>
        <w:t xml:space="preserve"> námo ványāya ca kák</w:t>
      </w:r>
      <w:r>
        <w:rPr>
          <w:i/>
          <w:iCs/>
        </w:rPr>
        <w:t>ṣ</w:t>
      </w:r>
      <w:r>
        <w:rPr>
          <w:i/>
          <w:iCs/>
        </w:rPr>
        <w:t>yāya ca náma</w:t>
      </w:r>
      <w:r>
        <w:rPr>
          <w:i/>
          <w:iCs/>
        </w:rPr>
        <w:t>ḥ</w:t>
      </w:r>
      <w:r>
        <w:rPr>
          <w:i/>
          <w:iCs/>
        </w:rPr>
        <w:t xml:space="preserve"> śravā́ya ca pratiśravā́ya ca //</w:t>
      </w:r>
    </w:p>
    <w:p w14:paraId="3095A869" w14:textId="77777777" w:rsidR="00E53EB6" w:rsidRDefault="006500F5">
      <w:pPr>
        <w:pStyle w:val="Zitat"/>
        <w:autoSpaceDE w:val="0"/>
      </w:pPr>
      <w:r>
        <w:t>Homage to the one abiding in the wood, and to the one abiding in the shrubs, homage to the sound and to echo.</w:t>
      </w:r>
    </w:p>
    <w:p w14:paraId="786A82B5" w14:textId="77777777" w:rsidR="00E53EB6" w:rsidRDefault="006500F5">
      <w:pPr>
        <w:pStyle w:val="Zitat"/>
        <w:autoSpaceDE w:val="0"/>
      </w:pPr>
      <w:r>
        <w:rPr>
          <w:i/>
          <w:iCs/>
          <w:lang w:eastAsia="hi-IN"/>
        </w:rPr>
        <w:t xml:space="preserve">ványāya: </w:t>
      </w:r>
      <w:r>
        <w:rPr>
          <w:lang w:eastAsia="hi-IN"/>
        </w:rPr>
        <w:t xml:space="preserve">dat. masc. sing. of </w:t>
      </w:r>
      <w:r>
        <w:rPr>
          <w:i/>
          <w:iCs/>
          <w:lang w:eastAsia="hi-IN"/>
        </w:rPr>
        <w:t>ványa-</w:t>
      </w:r>
    </w:p>
    <w:p w14:paraId="29254D4C" w14:textId="77777777" w:rsidR="00E53EB6" w:rsidRDefault="006500F5">
      <w:pPr>
        <w:pStyle w:val="HaupttextnachZitat"/>
        <w:numPr>
          <w:ilvl w:val="2"/>
          <w:numId w:val="2"/>
        </w:numPr>
        <w:tabs>
          <w:tab w:val="left" w:pos="0"/>
        </w:tabs>
      </w:pPr>
      <w:r>
        <w:t>Vedic Web:</w:t>
      </w:r>
    </w:p>
    <w:p w14:paraId="171313AF" w14:textId="77777777" w:rsidR="00E53EB6" w:rsidRDefault="006500F5">
      <w:pPr>
        <w:pStyle w:val="HaupttextohneEinzug"/>
      </w:pPr>
      <w:r>
        <w:t>Mantra: TS 4.5.6.1i-k; KS 17.14: 257,11-12; KpS 27.4 135,2-3; VS 16.34.</w:t>
      </w:r>
    </w:p>
    <w:p w14:paraId="51E6E775" w14:textId="77777777" w:rsidR="00E53EB6" w:rsidRDefault="00E53EB6">
      <w:pPr>
        <w:pStyle w:val="HaupttextohneEinzug"/>
      </w:pPr>
    </w:p>
    <w:p w14:paraId="224A46E7" w14:textId="77777777" w:rsidR="00E53EB6" w:rsidRDefault="006500F5">
      <w:pPr>
        <w:pStyle w:val="HaupttextohneEinzug"/>
        <w:rPr>
          <w:rFonts w:eastAsia="Arial" w:cs="Times Ext Roman"/>
          <w:szCs w:val="21"/>
          <w:lang w:eastAsia="hi-IN" w:bidi="en-GB"/>
        </w:rPr>
      </w:pPr>
      <w:r>
        <w:rPr>
          <w:rFonts w:eastAsia="Arial" w:cs="Times Ext Roman"/>
          <w:szCs w:val="21"/>
          <w:lang w:eastAsia="hi-IN" w:bidi="en-GB"/>
        </w:rPr>
        <w:t xml:space="preserve">Rite </w:t>
      </w:r>
    </w:p>
    <w:p w14:paraId="168EC5C4" w14:textId="77777777" w:rsidR="00E53EB6" w:rsidRDefault="006500F5">
      <w:pPr>
        <w:pStyle w:val="HaupttextohneEinzug"/>
        <w:rPr>
          <w:rFonts w:eastAsia="Arial" w:cs="Times Ext Roman"/>
          <w:szCs w:val="21"/>
          <w:lang w:eastAsia="hi-IN" w:bidi="en-GB"/>
        </w:rPr>
      </w:pPr>
      <w:r>
        <w:rPr>
          <w:rFonts w:eastAsia="Arial" w:cs="Times Ext Roman"/>
          <w:i/>
          <w:iCs/>
          <w:szCs w:val="21"/>
          <w:lang w:eastAsia="hi-IN" w:bidi="en-GB"/>
        </w:rPr>
        <w:t>Agnicayana.</w:t>
      </w:r>
      <w:r>
        <w:rPr>
          <w:rFonts w:eastAsia="Arial" w:cs="Times Ext Roman"/>
          <w:szCs w:val="21"/>
          <w:lang w:eastAsia="hi-IN" w:bidi="en-GB"/>
        </w:rPr>
        <w:t xml:space="preserve"> </w:t>
      </w:r>
      <w:r>
        <w:rPr>
          <w:rFonts w:eastAsia="Arial" w:cs="Times Ext Roman"/>
          <w:i/>
          <w:iCs/>
          <w:szCs w:val="21"/>
          <w:lang w:eastAsia="hi-IN" w:bidi="en-GB"/>
        </w:rPr>
        <w:t>Mantra</w:t>
      </w:r>
      <w:r>
        <w:rPr>
          <w:rFonts w:eastAsia="Arial" w:cs="Times Ext Roman"/>
          <w:szCs w:val="21"/>
          <w:lang w:eastAsia="hi-IN" w:bidi="en-GB"/>
        </w:rPr>
        <w:t xml:space="preserve">s of the </w:t>
      </w:r>
      <w:r>
        <w:rPr>
          <w:rFonts w:eastAsia="Arial" w:cs="Times Ext Roman"/>
          <w:i/>
          <w:iCs/>
          <w:szCs w:val="21"/>
          <w:lang w:eastAsia="hi-IN" w:bidi="en-GB"/>
        </w:rPr>
        <w:t>śatarudrīya</w:t>
      </w:r>
      <w:r>
        <w:rPr>
          <w:rFonts w:eastAsia="Arial" w:cs="Times Ext Roman"/>
          <w:szCs w:val="21"/>
          <w:lang w:eastAsia="hi-IN" w:bidi="en-GB"/>
        </w:rPr>
        <w:t xml:space="preserve"> litany, for the</w:t>
      </w:r>
      <w:r>
        <w:rPr>
          <w:rFonts w:eastAsia="Arial" w:cs="Times Ext Roman"/>
          <w:i/>
          <w:iCs/>
          <w:szCs w:val="21"/>
          <w:lang w:eastAsia="hi-IN" w:bidi="en-GB"/>
        </w:rPr>
        <w:t xml:space="preserve"> </w:t>
      </w:r>
      <w:r>
        <w:rPr>
          <w:rFonts w:eastAsia="Arial" w:cs="Times Ext Roman"/>
          <w:szCs w:val="21"/>
          <w:lang w:eastAsia="hi-IN" w:bidi="en-GB"/>
        </w:rPr>
        <w:t>offerings on the fire to Rudra.</w:t>
      </w:r>
    </w:p>
    <w:p w14:paraId="7E45AC5E" w14:textId="77777777" w:rsidR="00E53EB6" w:rsidRDefault="00E53EB6">
      <w:pPr>
        <w:pStyle w:val="HaupttextohneEinzug"/>
        <w:rPr>
          <w:rFonts w:eastAsia="Arial" w:cs="Times Ext Roman"/>
          <w:szCs w:val="21"/>
          <w:lang w:eastAsia="hi-IN" w:bidi="en-GB"/>
        </w:rPr>
      </w:pPr>
    </w:p>
    <w:p w14:paraId="51F28CE1" w14:textId="77777777" w:rsidR="00E53EB6" w:rsidRDefault="006500F5">
      <w:pPr>
        <w:pStyle w:val="Heading5"/>
        <w:tabs>
          <w:tab w:val="left" w:pos="0"/>
        </w:tabs>
        <w:rPr>
          <w:u w:val="single"/>
        </w:rPr>
      </w:pPr>
      <w:r>
        <w:rPr>
          <w:u w:val="single"/>
        </w:rPr>
        <w:t>MS 2.13.12: 162,6-8</w:t>
      </w:r>
    </w:p>
    <w:p w14:paraId="611381F5" w14:textId="77777777" w:rsidR="00E53EB6" w:rsidRDefault="006500F5">
      <w:pPr>
        <w:pStyle w:val="Zitat"/>
        <w:autoSpaceDE w:val="0"/>
      </w:pPr>
      <w:r>
        <w:t>2.13.12</w:t>
      </w:r>
      <w:r>
        <w:rPr>
          <w:i/>
          <w:iCs/>
        </w:rPr>
        <w:t xml:space="preserve">  yávā áyavā úmā évā ábda</w:t>
      </w:r>
      <w:r>
        <w:rPr>
          <w:i/>
          <w:iCs/>
        </w:rPr>
        <w:t>ḥ</w:t>
      </w:r>
      <w:r>
        <w:rPr>
          <w:i/>
          <w:iCs/>
        </w:rPr>
        <w:t xml:space="preserve"> ságara</w:t>
      </w:r>
      <w:r>
        <w:rPr>
          <w:i/>
          <w:iCs/>
        </w:rPr>
        <w:t>ḥ</w:t>
      </w:r>
      <w:r>
        <w:rPr>
          <w:i/>
          <w:iCs/>
        </w:rPr>
        <w:t xml:space="preserve"> sumékó ‘gne </w:t>
      </w:r>
      <w:r>
        <w:rPr>
          <w:i/>
          <w:iCs/>
        </w:rPr>
        <w:t>kahyā́</w:t>
      </w:r>
      <w:r>
        <w:rPr>
          <w:i/>
          <w:iCs/>
        </w:rPr>
        <w:t>gne kim̐śilā́gne dudhrā́gne vanyā́gne kak</w:t>
      </w:r>
      <w:r>
        <w:rPr>
          <w:i/>
          <w:iCs/>
        </w:rPr>
        <w:t>ṣ</w:t>
      </w:r>
      <w:r>
        <w:rPr>
          <w:i/>
          <w:iCs/>
        </w:rPr>
        <w:t>yá yā́ tā í</w:t>
      </w:r>
      <w:r>
        <w:rPr>
          <w:i/>
          <w:iCs/>
        </w:rPr>
        <w:t>ṣ</w:t>
      </w:r>
      <w:r>
        <w:rPr>
          <w:i/>
          <w:iCs/>
        </w:rPr>
        <w:t>uryuvā́ nā́ma táyā vidhema tásyai te námas //</w:t>
      </w:r>
    </w:p>
    <w:p w14:paraId="446D7543" w14:textId="77777777" w:rsidR="00E53EB6" w:rsidRDefault="006500F5">
      <w:pPr>
        <w:pStyle w:val="Zitat"/>
        <w:autoSpaceDE w:val="0"/>
      </w:pPr>
      <w:r>
        <w:t xml:space="preserve">Just like the first half of the moon, the dark half, the </w:t>
      </w:r>
      <w:r>
        <w:rPr>
          <w:i/>
          <w:iCs/>
        </w:rPr>
        <w:t>umā</w:t>
      </w:r>
      <w:r>
        <w:rPr>
          <w:rStyle w:val="FootnoteAnchor"/>
          <w:i/>
          <w:iCs/>
        </w:rPr>
        <w:footnoteReference w:id="533"/>
      </w:r>
      <w:r>
        <w:rPr>
          <w:i/>
          <w:iCs/>
        </w:rPr>
        <w:t>,</w:t>
      </w:r>
      <w:r>
        <w:t xml:space="preserve"> the year,</w:t>
      </w:r>
      <w:r>
        <w:t xml:space="preserve">  o Agni, o </w:t>
      </w:r>
      <w:r>
        <w:t>unfathomable</w:t>
      </w:r>
      <w:r>
        <w:rPr>
          <w:rStyle w:val="FootnoteAnchor"/>
          <w:vertAlign w:val="baseline"/>
        </w:rPr>
        <w:footnoteReference w:id="534"/>
      </w:r>
      <w:r>
        <w:t xml:space="preserve"> Agni, o </w:t>
      </w:r>
      <w:r>
        <w:lastRenderedPageBreak/>
        <w:t>gravelly Agni, o  violent Agni, o Agni of the wood, o you abiding in the shrubs, your arrow, named the young, with this we worship you, homage to th</w:t>
      </w:r>
      <w:r>
        <w:t>is of you.</w:t>
      </w:r>
    </w:p>
    <w:p w14:paraId="36385C57" w14:textId="77777777" w:rsidR="00E53EB6" w:rsidRDefault="006500F5">
      <w:pPr>
        <w:pStyle w:val="Zitat"/>
        <w:autoSpaceDE w:val="0"/>
      </w:pPr>
      <w:r>
        <w:rPr>
          <w:i/>
          <w:iCs/>
          <w:lang w:eastAsia="hi-IN"/>
        </w:rPr>
        <w:t xml:space="preserve">vanyā́gne: </w:t>
      </w:r>
      <w:r>
        <w:rPr>
          <w:lang w:eastAsia="hi-IN"/>
        </w:rPr>
        <w:t xml:space="preserve">voc. masc. sing. of the compound </w:t>
      </w:r>
      <w:r>
        <w:rPr>
          <w:i/>
          <w:iCs/>
          <w:lang w:eastAsia="hi-IN"/>
        </w:rPr>
        <w:t>vanyā́gni</w:t>
      </w:r>
    </w:p>
    <w:p w14:paraId="2B3B36A5" w14:textId="77777777" w:rsidR="00E53EB6" w:rsidRDefault="006500F5">
      <w:pPr>
        <w:pStyle w:val="HaupttextnachZitat"/>
        <w:numPr>
          <w:ilvl w:val="2"/>
          <w:numId w:val="2"/>
        </w:numPr>
        <w:tabs>
          <w:tab w:val="left" w:pos="0"/>
        </w:tabs>
      </w:pPr>
      <w:r>
        <w:t>Vedic Web:</w:t>
      </w:r>
    </w:p>
    <w:p w14:paraId="19AC24E5" w14:textId="77777777" w:rsidR="00E53EB6" w:rsidRPr="00494885" w:rsidRDefault="006500F5">
      <w:pPr>
        <w:pStyle w:val="HaupttextohneEinzug"/>
        <w:rPr>
          <w:lang w:val="de-DE"/>
        </w:rPr>
      </w:pPr>
      <w:r w:rsidRPr="00494885">
        <w:rPr>
          <w:lang w:val="de-DE"/>
        </w:rPr>
        <w:t>Mantra: cf. TS 5.5.9.1-2f; KS 40.3: 237,10-11.</w:t>
      </w:r>
    </w:p>
    <w:p w14:paraId="7C102D92" w14:textId="77777777" w:rsidR="00E53EB6" w:rsidRPr="00494885" w:rsidRDefault="00E53EB6">
      <w:pPr>
        <w:pStyle w:val="HaupttextohneEinzug"/>
        <w:rPr>
          <w:rFonts w:eastAsia="Arial" w:cs="Times Ext Roman"/>
          <w:szCs w:val="21"/>
          <w:lang w:val="de-DE" w:eastAsia="hi-IN" w:bidi="en-GB"/>
        </w:rPr>
      </w:pPr>
    </w:p>
    <w:p w14:paraId="13B125B7" w14:textId="77777777" w:rsidR="00E53EB6" w:rsidRDefault="006500F5">
      <w:pPr>
        <w:pStyle w:val="Heading5"/>
        <w:tabs>
          <w:tab w:val="left" w:pos="0"/>
        </w:tabs>
        <w:rPr>
          <w:u w:val="single"/>
        </w:rPr>
      </w:pPr>
      <w:r>
        <w:rPr>
          <w:u w:val="single"/>
        </w:rPr>
        <w:t>KS 17.14: 257,11-12</w:t>
      </w:r>
    </w:p>
    <w:p w14:paraId="0E0091B5" w14:textId="77777777" w:rsidR="00E53EB6" w:rsidRDefault="006500F5">
      <w:pPr>
        <w:pStyle w:val="Zitat"/>
        <w:autoSpaceDE w:val="0"/>
      </w:pPr>
      <w:r>
        <w:t xml:space="preserve">17.14 </w:t>
      </w:r>
      <w:r>
        <w:rPr>
          <w:i/>
          <w:iCs/>
          <w:lang w:eastAsia="hi-IN"/>
        </w:rPr>
        <w:t>námo ványāya ca kák</w:t>
      </w:r>
      <w:r>
        <w:rPr>
          <w:i/>
          <w:iCs/>
          <w:lang w:eastAsia="hi-IN"/>
        </w:rPr>
        <w:t>ṣ</w:t>
      </w:r>
      <w:r>
        <w:rPr>
          <w:i/>
          <w:iCs/>
          <w:lang w:eastAsia="hi-IN"/>
        </w:rPr>
        <w:t>yāya ca námo dundubhyāya cāhananyāya</w:t>
      </w:r>
      <w:r>
        <w:rPr>
          <w:lang w:eastAsia="hi-IN"/>
        </w:rPr>
        <w:t xml:space="preserve"> </w:t>
      </w:r>
      <w:r>
        <w:rPr>
          <w:i/>
          <w:iCs/>
        </w:rPr>
        <w:t>//</w:t>
      </w:r>
    </w:p>
    <w:p w14:paraId="46E29762" w14:textId="77777777" w:rsidR="00E53EB6" w:rsidRDefault="006500F5">
      <w:pPr>
        <w:pStyle w:val="Zitat"/>
        <w:autoSpaceDE w:val="0"/>
      </w:pPr>
      <w:r>
        <w:t xml:space="preserve">Homage to the one abiding in the wood, and to </w:t>
      </w:r>
      <w:r>
        <w:t>the one abiding in the shrubs, homage to the kettle-drum and to the one beating (the drum).</w:t>
      </w:r>
    </w:p>
    <w:p w14:paraId="7DD66124" w14:textId="77777777" w:rsidR="00E53EB6" w:rsidRDefault="006500F5">
      <w:pPr>
        <w:pStyle w:val="Zitat"/>
        <w:autoSpaceDE w:val="0"/>
        <w:rPr>
          <w:lang w:eastAsia="hi-IN"/>
        </w:rPr>
      </w:pPr>
      <w:r>
        <w:rPr>
          <w:i/>
          <w:iCs/>
          <w:lang w:eastAsia="hi-IN"/>
        </w:rPr>
        <w:t xml:space="preserve">ványāya: </w:t>
      </w:r>
      <w:r>
        <w:rPr>
          <w:lang w:eastAsia="hi-IN"/>
        </w:rPr>
        <w:t xml:space="preserve">dat. masc. sing. of </w:t>
      </w:r>
      <w:r>
        <w:rPr>
          <w:i/>
          <w:iCs/>
          <w:lang w:eastAsia="hi-IN"/>
        </w:rPr>
        <w:t>ványa-</w:t>
      </w:r>
    </w:p>
    <w:p w14:paraId="24599A6A" w14:textId="77777777" w:rsidR="00E53EB6" w:rsidRDefault="006500F5">
      <w:pPr>
        <w:pStyle w:val="HaupttextnachZitat"/>
        <w:numPr>
          <w:ilvl w:val="2"/>
          <w:numId w:val="2"/>
        </w:numPr>
        <w:tabs>
          <w:tab w:val="left" w:pos="0"/>
        </w:tabs>
      </w:pPr>
      <w:r>
        <w:t>Vedic Web:</w:t>
      </w:r>
    </w:p>
    <w:p w14:paraId="1C85A38F" w14:textId="77777777" w:rsidR="00E53EB6" w:rsidRDefault="006500F5">
      <w:pPr>
        <w:pStyle w:val="HaupttextohneEinzug"/>
      </w:pPr>
      <w:r>
        <w:t>Mantra: TS 4.5.6.1i-k; MS 2.9.6: 125,7; KpS 27.4: 135,2-3; VS 16.34.</w:t>
      </w:r>
    </w:p>
    <w:p w14:paraId="4DE070A0" w14:textId="77777777" w:rsidR="00E53EB6" w:rsidRDefault="00E53EB6">
      <w:pPr>
        <w:pStyle w:val="HaupttextohneEinzug"/>
      </w:pPr>
    </w:p>
    <w:p w14:paraId="364D9580" w14:textId="77777777" w:rsidR="00E53EB6" w:rsidRDefault="006500F5">
      <w:pPr>
        <w:pStyle w:val="HaupttextohneEinzug"/>
        <w:rPr>
          <w:rFonts w:eastAsia="Arial" w:cs="Times Ext Roman"/>
          <w:szCs w:val="21"/>
          <w:lang w:eastAsia="hi-IN" w:bidi="en-GB"/>
        </w:rPr>
      </w:pPr>
      <w:r>
        <w:rPr>
          <w:rFonts w:eastAsia="Arial" w:cs="Times Ext Roman"/>
          <w:szCs w:val="21"/>
          <w:lang w:eastAsia="hi-IN" w:bidi="en-GB"/>
        </w:rPr>
        <w:t xml:space="preserve">Rite </w:t>
      </w:r>
    </w:p>
    <w:p w14:paraId="596D0E24" w14:textId="77777777" w:rsidR="00E53EB6" w:rsidRDefault="006500F5">
      <w:pPr>
        <w:pStyle w:val="HaupttextohneEinzug"/>
        <w:rPr>
          <w:rFonts w:eastAsia="Arial" w:cs="Times Ext Roman"/>
          <w:szCs w:val="21"/>
          <w:lang w:eastAsia="hi-IN" w:bidi="en-GB"/>
        </w:rPr>
      </w:pPr>
      <w:r>
        <w:rPr>
          <w:rFonts w:eastAsia="Arial" w:cs="Times Ext Roman"/>
          <w:i/>
          <w:iCs/>
          <w:szCs w:val="21"/>
          <w:lang w:eastAsia="hi-IN" w:bidi="en-GB"/>
        </w:rPr>
        <w:t>Agnicayana</w:t>
      </w:r>
      <w:r>
        <w:rPr>
          <w:rFonts w:eastAsia="Arial" w:cs="Times Ext Roman"/>
          <w:szCs w:val="21"/>
          <w:lang w:eastAsia="hi-IN" w:bidi="en-GB"/>
        </w:rPr>
        <w:t xml:space="preserve">. </w:t>
      </w:r>
      <w:r>
        <w:rPr>
          <w:rFonts w:eastAsia="Arial" w:cs="Times Ext Roman"/>
          <w:i/>
          <w:iCs/>
          <w:szCs w:val="21"/>
          <w:lang w:eastAsia="hi-IN" w:bidi="en-GB"/>
        </w:rPr>
        <w:t>Mantra</w:t>
      </w:r>
      <w:r>
        <w:rPr>
          <w:rFonts w:eastAsia="Arial" w:cs="Times Ext Roman"/>
          <w:szCs w:val="21"/>
          <w:lang w:eastAsia="hi-IN" w:bidi="en-GB"/>
        </w:rPr>
        <w:t xml:space="preserve">s of the </w:t>
      </w:r>
      <w:r>
        <w:rPr>
          <w:rFonts w:eastAsia="Arial" w:cs="Times Ext Roman"/>
          <w:i/>
          <w:iCs/>
          <w:szCs w:val="21"/>
          <w:lang w:eastAsia="hi-IN" w:bidi="en-GB"/>
        </w:rPr>
        <w:t>śatarudrīya</w:t>
      </w:r>
      <w:r>
        <w:rPr>
          <w:rFonts w:eastAsia="Arial" w:cs="Times Ext Roman"/>
          <w:szCs w:val="21"/>
          <w:lang w:eastAsia="hi-IN" w:bidi="en-GB"/>
        </w:rPr>
        <w:t xml:space="preserve"> litany, for the</w:t>
      </w:r>
      <w:r>
        <w:rPr>
          <w:rFonts w:eastAsia="Arial" w:cs="Times Ext Roman"/>
          <w:i/>
          <w:iCs/>
          <w:szCs w:val="21"/>
          <w:lang w:eastAsia="hi-IN" w:bidi="en-GB"/>
        </w:rPr>
        <w:t xml:space="preserve"> </w:t>
      </w:r>
      <w:r>
        <w:rPr>
          <w:rFonts w:eastAsia="Arial" w:cs="Times Ext Roman"/>
          <w:szCs w:val="21"/>
          <w:lang w:eastAsia="hi-IN" w:bidi="en-GB"/>
        </w:rPr>
        <w:t>offerings on the fire to Rudra.</w:t>
      </w:r>
    </w:p>
    <w:p w14:paraId="47C44F39" w14:textId="77777777" w:rsidR="00E53EB6" w:rsidRDefault="00E53EB6">
      <w:pPr>
        <w:pStyle w:val="HaupttextohneEinzug"/>
        <w:rPr>
          <w:rFonts w:eastAsia="Arial" w:cs="Times Ext Roman"/>
          <w:szCs w:val="21"/>
          <w:lang w:eastAsia="hi-IN" w:bidi="en-GB"/>
        </w:rPr>
      </w:pPr>
    </w:p>
    <w:p w14:paraId="512016DF" w14:textId="77777777" w:rsidR="00E53EB6" w:rsidRDefault="006500F5">
      <w:pPr>
        <w:pStyle w:val="Heading5"/>
        <w:tabs>
          <w:tab w:val="left" w:pos="0"/>
        </w:tabs>
        <w:rPr>
          <w:u w:val="single"/>
        </w:rPr>
      </w:pPr>
      <w:r>
        <w:rPr>
          <w:u w:val="single"/>
        </w:rPr>
        <w:t>KS 40.3: 237,10-11</w:t>
      </w:r>
    </w:p>
    <w:p w14:paraId="571A48B2" w14:textId="77777777" w:rsidR="00E53EB6" w:rsidRDefault="006500F5">
      <w:pPr>
        <w:pStyle w:val="Zitat"/>
        <w:autoSpaceDE w:val="0"/>
      </w:pPr>
      <w:r>
        <w:t xml:space="preserve">40.3 </w:t>
      </w:r>
      <w:r>
        <w:rPr>
          <w:i/>
          <w:iCs/>
        </w:rPr>
        <w:t xml:space="preserve">agne dudhrāgne </w:t>
      </w:r>
      <w:r>
        <w:rPr>
          <w:i/>
          <w:iCs/>
        </w:rPr>
        <w:t>kahyāg</w:t>
      </w:r>
      <w:r>
        <w:rPr>
          <w:i/>
          <w:iCs/>
        </w:rPr>
        <w:t>ne kim̐śilāgne vanyāgne kak</w:t>
      </w:r>
      <w:r>
        <w:rPr>
          <w:i/>
          <w:iCs/>
        </w:rPr>
        <w:t>ṣ</w:t>
      </w:r>
      <w:r>
        <w:rPr>
          <w:i/>
          <w:iCs/>
        </w:rPr>
        <w:t>ya yā ta i</w:t>
      </w:r>
      <w:r>
        <w:rPr>
          <w:i/>
          <w:iCs/>
        </w:rPr>
        <w:t>ṣ</w:t>
      </w:r>
      <w:r>
        <w:rPr>
          <w:i/>
          <w:iCs/>
        </w:rPr>
        <w:t>uryuvā nāma tasyai te vidhema tayā na</w:t>
      </w:r>
      <w:r>
        <w:rPr>
          <w:i/>
          <w:iCs/>
        </w:rPr>
        <w:t>ḥ</w:t>
      </w:r>
      <w:r>
        <w:rPr>
          <w:i/>
          <w:iCs/>
        </w:rPr>
        <w:t xml:space="preserve"> pāhi tasyai te svāhā </w:t>
      </w:r>
      <w:r>
        <w:t>//</w:t>
      </w:r>
    </w:p>
    <w:p w14:paraId="2663ACC8" w14:textId="77777777" w:rsidR="00E53EB6" w:rsidRDefault="006500F5">
      <w:pPr>
        <w:pStyle w:val="Zitat"/>
        <w:autoSpaceDE w:val="0"/>
      </w:pPr>
      <w:r>
        <w:t xml:space="preserve">O Agni, o violent Agni, o </w:t>
      </w:r>
      <w:r>
        <w:t>unfathomable</w:t>
      </w:r>
      <w:r>
        <w:rPr>
          <w:rStyle w:val="FootnoteAnchor"/>
        </w:rPr>
        <w:footnoteReference w:id="535"/>
      </w:r>
      <w:r>
        <w:t xml:space="preserve"> Agni,</w:t>
      </w:r>
      <w:r>
        <w:t xml:space="preserve"> o gravelly Agni, o Agni of the wood, o you abiding in the shrubs, your arrow, named the young, this of you we worship, protect us with it, blessing </w:t>
      </w:r>
      <w:r>
        <w:rPr>
          <w:i/>
          <w:iCs/>
        </w:rPr>
        <w:t>(svāhā)</w:t>
      </w:r>
      <w:r>
        <w:t xml:space="preserve"> to this of you.</w:t>
      </w:r>
    </w:p>
    <w:p w14:paraId="58E83F82" w14:textId="77777777" w:rsidR="00E53EB6" w:rsidRDefault="006500F5">
      <w:pPr>
        <w:pStyle w:val="Zitat"/>
        <w:autoSpaceDE w:val="0"/>
        <w:rPr>
          <w:i/>
          <w:iCs/>
          <w:lang w:eastAsia="hi-IN"/>
        </w:rPr>
      </w:pPr>
      <w:r>
        <w:rPr>
          <w:i/>
          <w:iCs/>
          <w:lang w:eastAsia="hi-IN"/>
        </w:rPr>
        <w:t xml:space="preserve">vanyāgne: </w:t>
      </w:r>
      <w:r>
        <w:rPr>
          <w:lang w:eastAsia="hi-IN"/>
        </w:rPr>
        <w:t xml:space="preserve">voc. masc. sing. of the compound </w:t>
      </w:r>
      <w:r>
        <w:rPr>
          <w:i/>
          <w:iCs/>
          <w:lang w:eastAsia="hi-IN"/>
        </w:rPr>
        <w:t>vanyā́gni</w:t>
      </w:r>
    </w:p>
    <w:p w14:paraId="60D949AC" w14:textId="77777777" w:rsidR="00E53EB6" w:rsidRDefault="006500F5">
      <w:pPr>
        <w:pStyle w:val="HaupttextnachZitat"/>
        <w:numPr>
          <w:ilvl w:val="2"/>
          <w:numId w:val="2"/>
        </w:numPr>
        <w:tabs>
          <w:tab w:val="left" w:pos="0"/>
        </w:tabs>
      </w:pPr>
      <w:r>
        <w:t>Vedic Web:</w:t>
      </w:r>
    </w:p>
    <w:p w14:paraId="0AEC3776" w14:textId="77777777" w:rsidR="00E53EB6" w:rsidRDefault="006500F5">
      <w:pPr>
        <w:pStyle w:val="HaupttextohneEinzug"/>
      </w:pPr>
      <w:r>
        <w:t>Mantra: cf. T</w:t>
      </w:r>
      <w:r>
        <w:t>S 5.5.9.1-2f; MS 2.13.12: 162,6-8.</w:t>
      </w:r>
    </w:p>
    <w:p w14:paraId="23185388" w14:textId="77777777" w:rsidR="00E53EB6" w:rsidRDefault="00E53EB6">
      <w:pPr>
        <w:pStyle w:val="HaupttextohneEinzug"/>
      </w:pPr>
    </w:p>
    <w:p w14:paraId="77493B94" w14:textId="77777777" w:rsidR="00E53EB6" w:rsidRDefault="006500F5">
      <w:pPr>
        <w:pStyle w:val="HaupttextohneEinzug"/>
        <w:rPr>
          <w:rFonts w:eastAsia="Arial" w:cs="Times Ext Roman"/>
          <w:szCs w:val="21"/>
          <w:lang w:eastAsia="hi-IN" w:bidi="en-GB"/>
        </w:rPr>
      </w:pPr>
      <w:r>
        <w:rPr>
          <w:rFonts w:eastAsia="Arial" w:cs="Times Ext Roman"/>
          <w:szCs w:val="21"/>
          <w:lang w:eastAsia="hi-IN" w:bidi="en-GB"/>
        </w:rPr>
        <w:t xml:space="preserve">Rite </w:t>
      </w:r>
    </w:p>
    <w:p w14:paraId="4F7F9F4A" w14:textId="77777777" w:rsidR="00E53EB6" w:rsidRDefault="006500F5">
      <w:pPr>
        <w:pStyle w:val="HaupttextohneEinzug"/>
        <w:rPr>
          <w:rFonts w:eastAsia="Arial" w:cs="Times Ext Roman"/>
          <w:szCs w:val="21"/>
          <w:lang w:eastAsia="hi-IN" w:bidi="en-GB"/>
        </w:rPr>
      </w:pPr>
      <w:r>
        <w:rPr>
          <w:rFonts w:eastAsia="Arial" w:cs="Times Ext Roman"/>
          <w:szCs w:val="21"/>
          <w:lang w:eastAsia="hi-IN" w:bidi="en-GB"/>
        </w:rPr>
        <w:t>∅</w:t>
      </w:r>
    </w:p>
    <w:p w14:paraId="6E0EC3E7" w14:textId="77777777" w:rsidR="00E53EB6" w:rsidRDefault="006500F5">
      <w:pPr>
        <w:pStyle w:val="Heading5"/>
        <w:tabs>
          <w:tab w:val="left" w:pos="0"/>
        </w:tabs>
        <w:rPr>
          <w:u w:val="single"/>
        </w:rPr>
      </w:pPr>
      <w:r>
        <w:rPr>
          <w:u w:val="single"/>
        </w:rPr>
        <w:t>KpS 27.4: 135,2-3</w:t>
      </w:r>
    </w:p>
    <w:p w14:paraId="477E75F2" w14:textId="77777777" w:rsidR="00E53EB6" w:rsidRDefault="006500F5">
      <w:pPr>
        <w:pStyle w:val="Zitat"/>
        <w:autoSpaceDE w:val="0"/>
      </w:pPr>
      <w:r>
        <w:t xml:space="preserve">27.4  </w:t>
      </w:r>
      <w:r>
        <w:rPr>
          <w:i/>
          <w:iCs/>
          <w:lang w:eastAsia="hi-IN"/>
        </w:rPr>
        <w:t>namo kak</w:t>
      </w:r>
      <w:r>
        <w:rPr>
          <w:i/>
          <w:iCs/>
          <w:lang w:eastAsia="hi-IN"/>
        </w:rPr>
        <w:t>ṣ</w:t>
      </w:r>
      <w:r>
        <w:rPr>
          <w:i/>
          <w:iCs/>
          <w:lang w:eastAsia="hi-IN"/>
        </w:rPr>
        <w:t>yāya ca vanyāya ca namo dundubhyāya cāhananyāya</w:t>
      </w:r>
      <w:r>
        <w:rPr>
          <w:lang w:eastAsia="hi-IN"/>
        </w:rPr>
        <w:t xml:space="preserve"> </w:t>
      </w:r>
      <w:r>
        <w:rPr>
          <w:i/>
          <w:iCs/>
          <w:lang w:eastAsia="hi-IN"/>
        </w:rPr>
        <w:t xml:space="preserve">ca </w:t>
      </w:r>
      <w:r>
        <w:rPr>
          <w:i/>
          <w:iCs/>
        </w:rPr>
        <w:t>//</w:t>
      </w:r>
    </w:p>
    <w:p w14:paraId="597F96A9" w14:textId="77777777" w:rsidR="00E53EB6" w:rsidRDefault="006500F5">
      <w:pPr>
        <w:pStyle w:val="Zitat"/>
        <w:autoSpaceDE w:val="0"/>
      </w:pPr>
      <w:r>
        <w:t xml:space="preserve">Homage to the one abiding in the shrubs , and to the one abiding in the wood, homage to the kettle-drum and to the one </w:t>
      </w:r>
      <w:r>
        <w:t>beating (the drum).</w:t>
      </w:r>
    </w:p>
    <w:p w14:paraId="0EC3B1C1" w14:textId="77777777" w:rsidR="00E53EB6" w:rsidRDefault="006500F5">
      <w:pPr>
        <w:pStyle w:val="Zitat"/>
        <w:autoSpaceDE w:val="0"/>
        <w:rPr>
          <w:lang w:eastAsia="hi-IN"/>
        </w:rPr>
      </w:pPr>
      <w:r>
        <w:rPr>
          <w:i/>
          <w:iCs/>
          <w:lang w:eastAsia="hi-IN"/>
        </w:rPr>
        <w:t xml:space="preserve">vanyāya: </w:t>
      </w:r>
      <w:r>
        <w:rPr>
          <w:lang w:eastAsia="hi-IN"/>
        </w:rPr>
        <w:t xml:space="preserve">dat. masc. sing. of </w:t>
      </w:r>
      <w:r>
        <w:rPr>
          <w:i/>
          <w:iCs/>
          <w:lang w:eastAsia="hi-IN"/>
        </w:rPr>
        <w:t>ványa-</w:t>
      </w:r>
    </w:p>
    <w:p w14:paraId="04870339" w14:textId="77777777" w:rsidR="00E53EB6" w:rsidRDefault="006500F5">
      <w:pPr>
        <w:pStyle w:val="HaupttextnachZitat"/>
        <w:numPr>
          <w:ilvl w:val="2"/>
          <w:numId w:val="2"/>
        </w:numPr>
        <w:tabs>
          <w:tab w:val="left" w:pos="0"/>
        </w:tabs>
      </w:pPr>
      <w:r>
        <w:lastRenderedPageBreak/>
        <w:t>Vedic Web:</w:t>
      </w:r>
    </w:p>
    <w:p w14:paraId="4A934778" w14:textId="77777777" w:rsidR="00E53EB6" w:rsidRDefault="006500F5">
      <w:pPr>
        <w:pStyle w:val="HaupttextohneEinzug"/>
      </w:pPr>
      <w:r>
        <w:t>Mantra: TS 4.5.6.1i-k; MS 2.9.6: 125,7; KS 17.14: 257,11-12; VS 16.34.</w:t>
      </w:r>
    </w:p>
    <w:p w14:paraId="0F29B56A" w14:textId="77777777" w:rsidR="00E53EB6" w:rsidRDefault="00E53EB6">
      <w:pPr>
        <w:pStyle w:val="HaupttextohneEinzug"/>
      </w:pPr>
    </w:p>
    <w:p w14:paraId="4E216FC9" w14:textId="77777777" w:rsidR="00E53EB6" w:rsidRDefault="006500F5">
      <w:pPr>
        <w:pStyle w:val="HaupttextohneEinzug"/>
        <w:rPr>
          <w:rFonts w:eastAsia="Arial" w:cs="Times Ext Roman"/>
          <w:szCs w:val="21"/>
          <w:lang w:eastAsia="hi-IN" w:bidi="en-GB"/>
        </w:rPr>
      </w:pPr>
      <w:r>
        <w:rPr>
          <w:rFonts w:eastAsia="Arial" w:cs="Times Ext Roman"/>
          <w:szCs w:val="21"/>
          <w:lang w:eastAsia="hi-IN" w:bidi="en-GB"/>
        </w:rPr>
        <w:t xml:space="preserve">Rite </w:t>
      </w:r>
    </w:p>
    <w:p w14:paraId="73CA4869" w14:textId="77777777" w:rsidR="00E53EB6" w:rsidRDefault="006500F5">
      <w:pPr>
        <w:pStyle w:val="HaupttextohneEinzug"/>
        <w:rPr>
          <w:rFonts w:eastAsia="Arial" w:cs="Times Ext Roman"/>
          <w:szCs w:val="21"/>
          <w:lang w:eastAsia="hi-IN" w:bidi="en-GB"/>
        </w:rPr>
      </w:pPr>
      <w:r>
        <w:rPr>
          <w:rFonts w:eastAsia="Arial" w:cs="Times Ext Roman"/>
          <w:i/>
          <w:iCs/>
          <w:szCs w:val="21"/>
          <w:lang w:eastAsia="hi-IN" w:bidi="en-GB"/>
        </w:rPr>
        <w:t>Agnicayana</w:t>
      </w:r>
      <w:r>
        <w:rPr>
          <w:rFonts w:eastAsia="Arial" w:cs="Times Ext Roman"/>
          <w:szCs w:val="21"/>
          <w:lang w:eastAsia="hi-IN" w:bidi="en-GB"/>
        </w:rPr>
        <w:t xml:space="preserve">. </w:t>
      </w:r>
      <w:r>
        <w:rPr>
          <w:rFonts w:eastAsia="Arial" w:cs="Times Ext Roman"/>
          <w:i/>
          <w:iCs/>
          <w:szCs w:val="21"/>
          <w:lang w:eastAsia="hi-IN" w:bidi="en-GB"/>
        </w:rPr>
        <w:t>Mantra</w:t>
      </w:r>
      <w:r>
        <w:rPr>
          <w:rFonts w:eastAsia="Arial" w:cs="Times Ext Roman"/>
          <w:szCs w:val="21"/>
          <w:lang w:eastAsia="hi-IN" w:bidi="en-GB"/>
        </w:rPr>
        <w:t xml:space="preserve">s of the </w:t>
      </w:r>
      <w:r>
        <w:rPr>
          <w:rFonts w:eastAsia="Arial" w:cs="Times Ext Roman"/>
          <w:i/>
          <w:iCs/>
          <w:szCs w:val="21"/>
          <w:lang w:eastAsia="hi-IN" w:bidi="en-GB"/>
        </w:rPr>
        <w:t>śatarudrīya</w:t>
      </w:r>
      <w:r>
        <w:rPr>
          <w:rFonts w:eastAsia="Arial" w:cs="Times Ext Roman"/>
          <w:szCs w:val="21"/>
          <w:lang w:eastAsia="hi-IN" w:bidi="en-GB"/>
        </w:rPr>
        <w:t xml:space="preserve"> litany, for the</w:t>
      </w:r>
      <w:r>
        <w:rPr>
          <w:rFonts w:eastAsia="Arial" w:cs="Times Ext Roman"/>
          <w:i/>
          <w:iCs/>
          <w:szCs w:val="21"/>
          <w:lang w:eastAsia="hi-IN" w:bidi="en-GB"/>
        </w:rPr>
        <w:t xml:space="preserve"> </w:t>
      </w:r>
      <w:r>
        <w:rPr>
          <w:rFonts w:eastAsia="Arial" w:cs="Times Ext Roman"/>
          <w:szCs w:val="21"/>
          <w:lang w:eastAsia="hi-IN" w:bidi="en-GB"/>
        </w:rPr>
        <w:t>offerings on the fire to Rudra.</w:t>
      </w:r>
    </w:p>
    <w:p w14:paraId="3248CE8B" w14:textId="77777777" w:rsidR="00E53EB6" w:rsidRDefault="00E53EB6">
      <w:pPr>
        <w:pStyle w:val="HaupttextohneEinzug"/>
        <w:rPr>
          <w:rFonts w:eastAsia="Arial" w:cs="Times Ext Roman"/>
          <w:szCs w:val="21"/>
          <w:lang w:eastAsia="hi-IN" w:bidi="en-GB"/>
        </w:rPr>
      </w:pPr>
    </w:p>
    <w:p w14:paraId="2E2881A4" w14:textId="77777777" w:rsidR="00E53EB6" w:rsidRDefault="006500F5">
      <w:pPr>
        <w:pStyle w:val="Heading5"/>
        <w:tabs>
          <w:tab w:val="left" w:pos="0"/>
        </w:tabs>
        <w:rPr>
          <w:u w:val="single"/>
        </w:rPr>
      </w:pPr>
      <w:r>
        <w:rPr>
          <w:u w:val="single"/>
        </w:rPr>
        <w:t>VS 16.34</w:t>
      </w:r>
    </w:p>
    <w:p w14:paraId="63022D91" w14:textId="77777777" w:rsidR="00E53EB6" w:rsidRDefault="006500F5">
      <w:pPr>
        <w:pStyle w:val="Zitat"/>
        <w:autoSpaceDE w:val="0"/>
      </w:pPr>
      <w:r>
        <w:t xml:space="preserve">16.34 </w:t>
      </w:r>
      <w:r>
        <w:rPr>
          <w:i/>
          <w:iCs/>
        </w:rPr>
        <w:t xml:space="preserve"> námo ványāya ca kák</w:t>
      </w:r>
      <w:r>
        <w:rPr>
          <w:i/>
          <w:iCs/>
        </w:rPr>
        <w:t>ṣ</w:t>
      </w:r>
      <w:r>
        <w:rPr>
          <w:i/>
          <w:iCs/>
        </w:rPr>
        <w:t>yāya ca náma</w:t>
      </w:r>
      <w:r>
        <w:rPr>
          <w:i/>
          <w:iCs/>
        </w:rPr>
        <w:t>ḥ</w:t>
      </w:r>
      <w:r>
        <w:rPr>
          <w:i/>
          <w:iCs/>
        </w:rPr>
        <w:t xml:space="preserve"> śravā́ya ca pratiśravā́ya ca náma āśú</w:t>
      </w:r>
      <w:r>
        <w:rPr>
          <w:i/>
          <w:iCs/>
        </w:rPr>
        <w:t>ṣ</w:t>
      </w:r>
      <w:r>
        <w:rPr>
          <w:i/>
          <w:iCs/>
        </w:rPr>
        <w:t>e</w:t>
      </w:r>
      <w:r>
        <w:rPr>
          <w:i/>
          <w:iCs/>
        </w:rPr>
        <w:t>ṇ</w:t>
      </w:r>
      <w:r>
        <w:rPr>
          <w:i/>
          <w:iCs/>
        </w:rPr>
        <w:t>āya cāśúrathāya ca náma</w:t>
      </w:r>
      <w:r>
        <w:rPr>
          <w:i/>
          <w:iCs/>
        </w:rPr>
        <w:t>ḥ</w:t>
      </w:r>
      <w:r>
        <w:rPr>
          <w:i/>
          <w:iCs/>
        </w:rPr>
        <w:t xml:space="preserve"> śū́rāya cāvabhedíne ca //</w:t>
      </w:r>
    </w:p>
    <w:p w14:paraId="659B0E55" w14:textId="77777777" w:rsidR="00E53EB6" w:rsidRDefault="006500F5">
      <w:pPr>
        <w:pStyle w:val="Zitat"/>
        <w:autoSpaceDE w:val="0"/>
        <w:rPr>
          <w:lang w:bidi="en-US"/>
        </w:rPr>
      </w:pPr>
      <w:r>
        <w:rPr>
          <w:lang w:bidi="en-US"/>
        </w:rPr>
        <w:t>Homage to the one abiding in the wood, and to the one abiding in the shrubs, homage to the sound and to echo and homage to the one</w:t>
      </w:r>
      <w:r>
        <w:rPr>
          <w:lang w:bidi="en-US"/>
        </w:rPr>
        <w:t xml:space="preserve"> with swift arrows and with a fast chariot and homage to the hero and to the  splitting one.</w:t>
      </w:r>
    </w:p>
    <w:p w14:paraId="0881B9FC" w14:textId="77777777" w:rsidR="00E53EB6" w:rsidRDefault="006500F5">
      <w:pPr>
        <w:pStyle w:val="Zitat"/>
        <w:autoSpaceDE w:val="0"/>
        <w:rPr>
          <w:lang w:eastAsia="hi-IN"/>
        </w:rPr>
      </w:pPr>
      <w:r>
        <w:rPr>
          <w:i/>
          <w:iCs/>
          <w:lang w:eastAsia="hi-IN"/>
        </w:rPr>
        <w:t xml:space="preserve">ványāya: </w:t>
      </w:r>
      <w:r>
        <w:rPr>
          <w:lang w:eastAsia="hi-IN"/>
        </w:rPr>
        <w:t xml:space="preserve">dat. masc. sing. of </w:t>
      </w:r>
      <w:r>
        <w:rPr>
          <w:i/>
          <w:iCs/>
          <w:lang w:eastAsia="hi-IN"/>
        </w:rPr>
        <w:t>ványa-</w:t>
      </w:r>
    </w:p>
    <w:p w14:paraId="73C8A99F" w14:textId="77777777" w:rsidR="00E53EB6" w:rsidRDefault="006500F5">
      <w:pPr>
        <w:pStyle w:val="ZitatmitEinzug"/>
        <w:rPr>
          <w:lang w:bidi="en-US"/>
        </w:rPr>
      </w:pPr>
      <w:r>
        <w:rPr>
          <w:lang w:bidi="en-US"/>
        </w:rPr>
        <w:t xml:space="preserve">Griffith in </w:t>
      </w:r>
      <w:r>
        <w:rPr>
          <w:rStyle w:val="biblio-authorGEN"/>
          <w:sz w:val="18"/>
          <w:szCs w:val="15"/>
          <w:lang w:bidi="en-US"/>
        </w:rPr>
        <w:t>Arya</w:t>
      </w:r>
      <w:r>
        <w:rPr>
          <w:lang w:bidi="en-US"/>
        </w:rPr>
        <w:t xml:space="preserve"> 1999: 230 “him in the wood”</w:t>
      </w:r>
    </w:p>
    <w:p w14:paraId="742037FD" w14:textId="77777777" w:rsidR="00E53EB6" w:rsidRDefault="006500F5">
      <w:pPr>
        <w:pStyle w:val="HaupttextnachZitat"/>
        <w:numPr>
          <w:ilvl w:val="2"/>
          <w:numId w:val="2"/>
        </w:numPr>
        <w:tabs>
          <w:tab w:val="left" w:pos="0"/>
        </w:tabs>
      </w:pPr>
      <w:r>
        <w:t>Vedic Web:</w:t>
      </w:r>
    </w:p>
    <w:p w14:paraId="1310CF3D" w14:textId="77777777" w:rsidR="00E53EB6" w:rsidRDefault="006500F5">
      <w:pPr>
        <w:pStyle w:val="HaupttextohneEinzug"/>
      </w:pPr>
      <w:r>
        <w:t xml:space="preserve">Mantra: TS 4.5.6.1i-k; MS 2.9.6: 125,7; KS 17.14: 257,11-12; KpS </w:t>
      </w:r>
      <w:r>
        <w:t>27.4: 135,2-3.</w:t>
      </w:r>
    </w:p>
    <w:p w14:paraId="06EB010D" w14:textId="77777777" w:rsidR="00E53EB6" w:rsidRDefault="00E53EB6">
      <w:pPr>
        <w:pStyle w:val="HaupttextohneEinzug"/>
      </w:pPr>
    </w:p>
    <w:p w14:paraId="0093F172" w14:textId="77777777" w:rsidR="00E53EB6" w:rsidRDefault="006500F5">
      <w:pPr>
        <w:pStyle w:val="HaupttextohneEinzug"/>
        <w:rPr>
          <w:rFonts w:eastAsia="Arial" w:cs="Times Ext Roman"/>
          <w:szCs w:val="21"/>
          <w:lang w:eastAsia="hi-IN" w:bidi="en-GB"/>
        </w:rPr>
      </w:pPr>
      <w:r>
        <w:rPr>
          <w:rFonts w:eastAsia="Arial" w:cs="Times Ext Roman"/>
          <w:szCs w:val="21"/>
          <w:lang w:eastAsia="hi-IN" w:bidi="en-GB"/>
        </w:rPr>
        <w:t xml:space="preserve">Rite </w:t>
      </w:r>
    </w:p>
    <w:p w14:paraId="46A24BD9" w14:textId="77777777" w:rsidR="00E53EB6" w:rsidRDefault="006500F5">
      <w:pPr>
        <w:pStyle w:val="HaupttextohneEinzug"/>
        <w:rPr>
          <w:rFonts w:eastAsia="Arial" w:cs="Times Ext Roman"/>
          <w:szCs w:val="21"/>
          <w:lang w:eastAsia="hi-IN" w:bidi="en-GB"/>
        </w:rPr>
      </w:pPr>
      <w:r>
        <w:rPr>
          <w:rFonts w:eastAsia="Arial" w:cs="Times Ext Roman"/>
          <w:i/>
          <w:iCs/>
          <w:szCs w:val="21"/>
          <w:lang w:eastAsia="hi-IN" w:bidi="en-GB"/>
        </w:rPr>
        <w:t>Agnicayana.</w:t>
      </w:r>
      <w:r>
        <w:rPr>
          <w:rFonts w:eastAsia="Arial" w:cs="Times Ext Roman"/>
          <w:szCs w:val="21"/>
          <w:lang w:eastAsia="hi-IN" w:bidi="en-GB"/>
        </w:rPr>
        <w:t xml:space="preserve"> </w:t>
      </w:r>
      <w:r>
        <w:rPr>
          <w:rFonts w:eastAsia="Arial" w:cs="Times Ext Roman"/>
          <w:i/>
          <w:iCs/>
          <w:szCs w:val="21"/>
          <w:lang w:eastAsia="hi-IN" w:bidi="en-GB"/>
        </w:rPr>
        <w:t>Mantra</w:t>
      </w:r>
      <w:r>
        <w:rPr>
          <w:rFonts w:eastAsia="Arial" w:cs="Times Ext Roman"/>
          <w:szCs w:val="21"/>
          <w:lang w:eastAsia="hi-IN" w:bidi="en-GB"/>
        </w:rPr>
        <w:t xml:space="preserve">s of the </w:t>
      </w:r>
      <w:r>
        <w:rPr>
          <w:rFonts w:eastAsia="Arial" w:cs="Times Ext Roman"/>
          <w:i/>
          <w:iCs/>
          <w:szCs w:val="21"/>
          <w:lang w:eastAsia="hi-IN" w:bidi="en-GB"/>
        </w:rPr>
        <w:t>śatarudrīya</w:t>
      </w:r>
      <w:r>
        <w:rPr>
          <w:rFonts w:eastAsia="Arial" w:cs="Times Ext Roman"/>
          <w:szCs w:val="21"/>
          <w:lang w:eastAsia="hi-IN" w:bidi="en-GB"/>
        </w:rPr>
        <w:t xml:space="preserve"> litany, for the</w:t>
      </w:r>
      <w:r>
        <w:rPr>
          <w:rFonts w:eastAsia="Arial" w:cs="Times Ext Roman"/>
          <w:i/>
          <w:iCs/>
          <w:szCs w:val="21"/>
          <w:lang w:eastAsia="hi-IN" w:bidi="en-GB"/>
        </w:rPr>
        <w:t xml:space="preserve"> </w:t>
      </w:r>
      <w:r>
        <w:rPr>
          <w:rFonts w:eastAsia="Arial" w:cs="Times Ext Roman"/>
          <w:szCs w:val="21"/>
          <w:lang w:eastAsia="hi-IN" w:bidi="en-GB"/>
        </w:rPr>
        <w:t>offerings on the fire to Rudra.</w:t>
      </w:r>
    </w:p>
    <w:p w14:paraId="5B44AED4" w14:textId="77777777" w:rsidR="00E53EB6" w:rsidRDefault="00E53EB6">
      <w:pPr>
        <w:pStyle w:val="HaupttextohneEinzug"/>
        <w:rPr>
          <w:rFonts w:eastAsia="Arial" w:cs="Times Ext Roman"/>
          <w:szCs w:val="21"/>
          <w:lang w:eastAsia="hi-IN" w:bidi="en-GB"/>
        </w:rPr>
      </w:pPr>
    </w:p>
    <w:p w14:paraId="74F3EF00" w14:textId="77777777" w:rsidR="00E53EB6" w:rsidRDefault="006500F5">
      <w:pPr>
        <w:pStyle w:val="Heading5"/>
        <w:tabs>
          <w:tab w:val="left" w:pos="0"/>
        </w:tabs>
        <w:rPr>
          <w:u w:val="single"/>
        </w:rPr>
      </w:pPr>
      <w:r>
        <w:rPr>
          <w:u w:val="single"/>
        </w:rPr>
        <w:t>AVŚ 6.20.3</w:t>
      </w:r>
    </w:p>
    <w:p w14:paraId="4D24DA18" w14:textId="77777777" w:rsidR="00E53EB6" w:rsidRDefault="006500F5">
      <w:pPr>
        <w:pStyle w:val="Zitat"/>
        <w:autoSpaceDE w:val="0"/>
      </w:pPr>
      <w:r>
        <w:t xml:space="preserve">6.20.3 </w:t>
      </w:r>
      <w:r>
        <w:rPr>
          <w:i/>
          <w:iCs/>
        </w:rPr>
        <w:t xml:space="preserve"> ayá</w:t>
      </w:r>
      <w:r>
        <w:rPr>
          <w:i/>
          <w:iCs/>
        </w:rPr>
        <w:t>ṃ</w:t>
      </w:r>
      <w:r>
        <w:rPr>
          <w:i/>
          <w:iCs/>
        </w:rPr>
        <w:t xml:space="preserve"> yó abhiśocayi</w:t>
      </w:r>
      <w:r>
        <w:rPr>
          <w:i/>
          <w:iCs/>
        </w:rPr>
        <w:t>ṣṇ</w:t>
      </w:r>
      <w:r>
        <w:rPr>
          <w:i/>
          <w:iCs/>
        </w:rPr>
        <w:t>úr víśvā rūpā́</w:t>
      </w:r>
      <w:r>
        <w:rPr>
          <w:i/>
          <w:iCs/>
        </w:rPr>
        <w:t>ṇ</w:t>
      </w:r>
      <w:r>
        <w:rPr>
          <w:i/>
          <w:iCs/>
        </w:rPr>
        <w:t>i háritā kr̥</w:t>
      </w:r>
      <w:r>
        <w:rPr>
          <w:i/>
          <w:iCs/>
        </w:rPr>
        <w:t>ṇ</w:t>
      </w:r>
      <w:r>
        <w:rPr>
          <w:i/>
          <w:iCs/>
        </w:rPr>
        <w:t>ó</w:t>
      </w:r>
      <w:r>
        <w:rPr>
          <w:i/>
          <w:iCs/>
        </w:rPr>
        <w:t>ṣ</w:t>
      </w:r>
      <w:r>
        <w:rPr>
          <w:i/>
          <w:iCs/>
        </w:rPr>
        <w:t>i / tásmai te 'ru</w:t>
      </w:r>
      <w:r>
        <w:rPr>
          <w:i/>
          <w:iCs/>
        </w:rPr>
        <w:t>ṇ</w:t>
      </w:r>
      <w:r>
        <w:rPr>
          <w:i/>
          <w:iCs/>
        </w:rPr>
        <w:t>ā́ya babhráve náma</w:t>
      </w:r>
      <w:r>
        <w:rPr>
          <w:i/>
          <w:iCs/>
        </w:rPr>
        <w:t>ḥ</w:t>
      </w:r>
      <w:r>
        <w:rPr>
          <w:i/>
          <w:iCs/>
        </w:rPr>
        <w:t xml:space="preserve"> kr̥</w:t>
      </w:r>
      <w:r>
        <w:rPr>
          <w:i/>
          <w:iCs/>
        </w:rPr>
        <w:t>ṇ</w:t>
      </w:r>
      <w:r>
        <w:rPr>
          <w:i/>
          <w:iCs/>
        </w:rPr>
        <w:t>omi ványāya takmáne //</w:t>
      </w:r>
    </w:p>
    <w:p w14:paraId="19CFB7BE" w14:textId="77777777" w:rsidR="00E53EB6" w:rsidRDefault="006500F5">
      <w:pPr>
        <w:pStyle w:val="Zitat"/>
        <w:autoSpaceDE w:val="0"/>
      </w:pPr>
      <w:r>
        <w:t>You here who</w:t>
      </w:r>
      <w:r>
        <w:t xml:space="preserve"> burning make every shape get pale yellow, to this here, to you, the reddish, the brown the disease abiding in the wood we pay homage.</w:t>
      </w:r>
    </w:p>
    <w:p w14:paraId="50C8B283" w14:textId="77777777" w:rsidR="00E53EB6" w:rsidRDefault="006500F5">
      <w:pPr>
        <w:pStyle w:val="Zitat"/>
        <w:autoSpaceDE w:val="0"/>
        <w:rPr>
          <w:i/>
          <w:iCs/>
          <w:lang w:eastAsia="hi-IN"/>
        </w:rPr>
      </w:pPr>
      <w:r>
        <w:rPr>
          <w:i/>
          <w:iCs/>
          <w:lang w:eastAsia="hi-IN"/>
        </w:rPr>
        <w:t xml:space="preserve">ványāya: </w:t>
      </w:r>
      <w:r>
        <w:rPr>
          <w:lang w:eastAsia="hi-IN"/>
        </w:rPr>
        <w:t xml:space="preserve">dat. masc. sing. of </w:t>
      </w:r>
      <w:r>
        <w:rPr>
          <w:i/>
          <w:iCs/>
          <w:lang w:eastAsia="hi-IN"/>
        </w:rPr>
        <w:t>ványa</w:t>
      </w:r>
    </w:p>
    <w:p w14:paraId="3E753829" w14:textId="77777777" w:rsidR="00E53EB6" w:rsidRDefault="006500F5">
      <w:pPr>
        <w:pStyle w:val="ZitatmitEinzug"/>
      </w:pPr>
      <w:r>
        <w:rPr>
          <w:rStyle w:val="biblio-authorGEN"/>
          <w:sz w:val="18"/>
          <w:szCs w:val="15"/>
        </w:rPr>
        <w:t xml:space="preserve">Whitney </w:t>
      </w:r>
      <w:r>
        <w:t>1905: 295 “woody”</w:t>
      </w:r>
    </w:p>
    <w:p w14:paraId="31F85E4D" w14:textId="77777777" w:rsidR="00E53EB6" w:rsidRDefault="006500F5">
      <w:pPr>
        <w:pStyle w:val="HaupttextnachZitat"/>
        <w:numPr>
          <w:ilvl w:val="2"/>
          <w:numId w:val="2"/>
        </w:numPr>
        <w:tabs>
          <w:tab w:val="left" w:pos="0"/>
        </w:tabs>
      </w:pPr>
      <w:r>
        <w:t>Vedic Web:</w:t>
      </w:r>
    </w:p>
    <w:p w14:paraId="20468EE9" w14:textId="77777777" w:rsidR="00E53EB6" w:rsidRDefault="006500F5">
      <w:pPr>
        <w:pStyle w:val="HaupttextohneEinzug"/>
      </w:pPr>
      <w:r>
        <w:t>∅</w:t>
      </w:r>
    </w:p>
    <w:p w14:paraId="4DE53971" w14:textId="77777777" w:rsidR="00E53EB6" w:rsidRDefault="00E53EB6">
      <w:pPr>
        <w:pStyle w:val="HaupttextohneEinzug"/>
      </w:pPr>
    </w:p>
    <w:p w14:paraId="6DD971C0" w14:textId="77777777" w:rsidR="00E53EB6" w:rsidRDefault="006500F5">
      <w:pPr>
        <w:pStyle w:val="HaupttextohneEinzug"/>
        <w:rPr>
          <w:rFonts w:eastAsia="Arial" w:cs="Times Ext Roman"/>
          <w:szCs w:val="21"/>
          <w:lang w:eastAsia="hi-IN" w:bidi="en-GB"/>
        </w:rPr>
      </w:pPr>
      <w:r>
        <w:rPr>
          <w:rFonts w:eastAsia="Arial" w:cs="Times Ext Roman"/>
          <w:szCs w:val="21"/>
          <w:lang w:eastAsia="hi-IN" w:bidi="en-GB"/>
        </w:rPr>
        <w:t xml:space="preserve">Rite </w:t>
      </w:r>
    </w:p>
    <w:p w14:paraId="49EDBA73" w14:textId="77777777" w:rsidR="00E53EB6" w:rsidRDefault="006500F5">
      <w:pPr>
        <w:pStyle w:val="HaupttextohneEinzug"/>
        <w:rPr>
          <w:rFonts w:eastAsia="Arial" w:cs="Times Ext Roman"/>
          <w:szCs w:val="21"/>
          <w:lang w:eastAsia="hi-IN" w:bidi="en-GB"/>
        </w:rPr>
      </w:pPr>
      <w:r>
        <w:rPr>
          <w:rFonts w:eastAsia="Arial" w:cs="Times Ext Roman"/>
          <w:szCs w:val="21"/>
          <w:lang w:eastAsia="hi-IN" w:bidi="en-GB"/>
        </w:rPr>
        <w:t xml:space="preserve">Against the disease </w:t>
      </w:r>
      <w:r>
        <w:rPr>
          <w:rFonts w:eastAsia="Arial" w:cs="Times Ext Roman"/>
          <w:i/>
          <w:iCs/>
          <w:szCs w:val="21"/>
          <w:lang w:eastAsia="hi-IN" w:bidi="en-GB"/>
        </w:rPr>
        <w:t>takmán.</w:t>
      </w:r>
    </w:p>
    <w:p w14:paraId="4016B69A" w14:textId="77777777" w:rsidR="00E53EB6" w:rsidRDefault="00E53EB6">
      <w:pPr>
        <w:pStyle w:val="HaupttextohneEinzug"/>
        <w:rPr>
          <w:rFonts w:eastAsia="Arial" w:cs="Times Ext Roman"/>
          <w:i/>
          <w:iCs/>
          <w:szCs w:val="21"/>
          <w:lang w:eastAsia="hi-IN" w:bidi="en-GB"/>
        </w:rPr>
      </w:pPr>
    </w:p>
    <w:p w14:paraId="42681035" w14:textId="77777777" w:rsidR="00E53EB6" w:rsidRDefault="00E53EB6">
      <w:pPr>
        <w:pStyle w:val="HaupttextohneEinzug"/>
        <w:rPr>
          <w:rFonts w:eastAsia="Arial" w:cs="Times Ext Roman"/>
          <w:i/>
          <w:iCs/>
          <w:szCs w:val="21"/>
          <w:lang w:eastAsia="hi-IN" w:bidi="en-GB"/>
        </w:rPr>
      </w:pPr>
    </w:p>
    <w:p w14:paraId="2D428810" w14:textId="77777777" w:rsidR="00E53EB6" w:rsidRDefault="006500F5">
      <w:pPr>
        <w:pStyle w:val="Heading4"/>
        <w:tabs>
          <w:tab w:val="left" w:pos="0"/>
        </w:tabs>
      </w:pPr>
      <w:r>
        <w:rPr>
          <w:rFonts w:cs="Devanagari MT;Times New Roman"/>
          <w:i/>
        </w:rPr>
        <w:t xml:space="preserve">d) </w:t>
      </w:r>
      <w:r>
        <w:rPr>
          <w:rFonts w:cs="Devanagari MT;Times New Roman"/>
          <w:i/>
        </w:rPr>
        <w:t>vantu</w:t>
      </w:r>
      <w:r>
        <w:rPr>
          <w:rFonts w:cs="Devanagari MT;Times New Roman"/>
        </w:rPr>
        <w:t>-</w:t>
      </w:r>
    </w:p>
    <w:p w14:paraId="6C6A9A3D" w14:textId="77777777" w:rsidR="00E53EB6" w:rsidRDefault="006500F5">
      <w:pPr>
        <w:pStyle w:val="Hauptext"/>
      </w:pPr>
      <w:r>
        <w:rPr>
          <w:rFonts w:cs="Devanagari MT;Times New Roman"/>
        </w:rPr>
        <w:t>This derivative is an</w:t>
      </w:r>
      <w:r>
        <w:rPr>
          <w:rFonts w:cs="Devanagari MT;Times New Roman"/>
          <w:i/>
          <w:iCs/>
        </w:rPr>
        <w:t xml:space="preserve"> hapax legomenon </w:t>
      </w:r>
      <w:r>
        <w:rPr>
          <w:rFonts w:cs="Devanagari MT;Times New Roman"/>
        </w:rPr>
        <w:t xml:space="preserve">and we must consider here the noun </w:t>
      </w:r>
      <w:r>
        <w:rPr>
          <w:rFonts w:cs="Devanagari MT;Times New Roman"/>
          <w:i/>
          <w:iCs/>
        </w:rPr>
        <w:t xml:space="preserve">mantu-, </w:t>
      </w:r>
      <w:r>
        <w:rPr>
          <w:rFonts w:cs="Devanagari MT;Times New Roman"/>
        </w:rPr>
        <w:t xml:space="preserve">as long as the corresponding R̥gvedic stanza 9.73.6 reads </w:t>
      </w:r>
      <w:r>
        <w:rPr>
          <w:rFonts w:cs="Devanagari MT;Times New Roman"/>
          <w:i/>
          <w:iCs/>
        </w:rPr>
        <w:t>mántava</w:t>
      </w:r>
      <w:r>
        <w:rPr>
          <w:rFonts w:cs="Devanagari MT;Times New Roman"/>
          <w:i/>
          <w:iCs/>
        </w:rPr>
        <w:t>ḥ</w:t>
      </w:r>
      <w:r>
        <w:rPr>
          <w:rFonts w:cs="Devanagari MT;Times New Roman"/>
          <w:i/>
          <w:iCs/>
        </w:rPr>
        <w:t xml:space="preserve">; </w:t>
      </w:r>
      <w:r>
        <w:rPr>
          <w:rFonts w:cs="Devanagari MT;Times New Roman"/>
        </w:rPr>
        <w:t xml:space="preserve">as we said also with regards to another </w:t>
      </w:r>
      <w:r>
        <w:rPr>
          <w:rFonts w:cs="Devanagari MT;Times New Roman"/>
          <w:i/>
          <w:iCs/>
        </w:rPr>
        <w:t>hapax, vanu</w:t>
      </w:r>
      <w:r>
        <w:rPr>
          <w:rFonts w:cs="Devanagari MT;Times New Roman"/>
          <w:i/>
          <w:iCs/>
        </w:rPr>
        <w:t>ṣ</w:t>
      </w:r>
      <w:r>
        <w:rPr>
          <w:rFonts w:cs="Devanagari MT;Times New Roman"/>
          <w:i/>
          <w:iCs/>
        </w:rPr>
        <w:t xml:space="preserve">vat-,  </w:t>
      </w:r>
      <w:r>
        <w:rPr>
          <w:rFonts w:cs="Devanagari MT;Times New Roman"/>
        </w:rPr>
        <w:t xml:space="preserve">the interchange between the roots </w:t>
      </w:r>
      <w:r>
        <w:rPr>
          <w:rFonts w:cs="Devanagari MT;Times New Roman"/>
          <w:i/>
          <w:iCs/>
        </w:rPr>
        <w:t xml:space="preserve">man- </w:t>
      </w:r>
      <w:r>
        <w:rPr>
          <w:rFonts w:cs="Devanagari MT;Times New Roman"/>
        </w:rPr>
        <w:t xml:space="preserve">and </w:t>
      </w:r>
      <w:r>
        <w:rPr>
          <w:rFonts w:cs="Devanagari MT;Times New Roman"/>
          <w:i/>
          <w:iCs/>
        </w:rPr>
        <w:t xml:space="preserve">van- </w:t>
      </w:r>
      <w:r>
        <w:rPr>
          <w:rFonts w:cs="Devanagari MT;Times New Roman"/>
        </w:rPr>
        <w:t>is particularly frequent already at the R̥gvedic level.</w:t>
      </w:r>
      <w:r>
        <w:rPr>
          <w:rFonts w:cs="Devanagari MT;Times New Roman"/>
          <w:i/>
          <w:iCs/>
        </w:rPr>
        <w:t xml:space="preserve"> </w:t>
      </w:r>
      <w:r>
        <w:rPr>
          <w:rFonts w:cs="Devanagari MT;Times New Roman"/>
        </w:rPr>
        <w:t>Moreover, this word occurs</w:t>
      </w:r>
      <w:r>
        <w:rPr>
          <w:rFonts w:cs="Devanagari MT;Times New Roman"/>
        </w:rPr>
        <w:t xml:space="preserve"> in a </w:t>
      </w:r>
      <w:r>
        <w:rPr>
          <w:rFonts w:cs="Devanagari MT;Times New Roman"/>
          <w:i/>
          <w:iCs/>
        </w:rPr>
        <w:t>mantra</w:t>
      </w:r>
      <w:r>
        <w:rPr>
          <w:rFonts w:cs="Devanagari MT;Times New Roman"/>
        </w:rPr>
        <w:t xml:space="preserve"> whose general sense is not clear at all, and this makes quite difficult to understand the context and speculate on the meaning of the derivative; indeed</w:t>
      </w:r>
      <w:r>
        <w:rPr>
          <w:rFonts w:cs="Devanagari MT;Times New Roman"/>
        </w:rPr>
        <w:t xml:space="preserve"> t</w:t>
      </w:r>
      <w:r>
        <w:rPr>
          <w:rFonts w:cs="Devanagari MT;Times New Roman"/>
          <w:szCs w:val="21"/>
        </w:rPr>
        <w:t xml:space="preserve">he translation of the whole stanza is after </w:t>
      </w:r>
      <w:r>
        <w:rPr>
          <w:rStyle w:val="biblio-authorGEN"/>
          <w:rFonts w:cs="Devanagari MT;Times New Roman"/>
          <w:szCs w:val="21"/>
        </w:rPr>
        <w:t xml:space="preserve">Griffiths </w:t>
      </w:r>
      <w:r>
        <w:rPr>
          <w:rFonts w:cs="Devanagari MT;Times New Roman"/>
          <w:szCs w:val="21"/>
        </w:rPr>
        <w:t>2009: 138.</w:t>
      </w:r>
    </w:p>
    <w:p w14:paraId="50ABFA7D" w14:textId="77777777" w:rsidR="00E53EB6" w:rsidRDefault="00E53EB6">
      <w:pPr>
        <w:pStyle w:val="HaupttextohneEinzug"/>
        <w:rPr>
          <w:rFonts w:cs="Devanagari MT;Times New Roman"/>
          <w:szCs w:val="21"/>
        </w:rPr>
      </w:pPr>
    </w:p>
    <w:p w14:paraId="70B56FA3" w14:textId="77777777" w:rsidR="00E53EB6" w:rsidRDefault="006500F5">
      <w:pPr>
        <w:pStyle w:val="Heading5"/>
        <w:tabs>
          <w:tab w:val="left" w:pos="0"/>
        </w:tabs>
        <w:rPr>
          <w:u w:val="single"/>
        </w:rPr>
      </w:pPr>
      <w:r>
        <w:rPr>
          <w:u w:val="single"/>
        </w:rPr>
        <w:t>AVP 6.11.3</w:t>
      </w:r>
    </w:p>
    <w:p w14:paraId="7B88C56F" w14:textId="77777777" w:rsidR="00E53EB6" w:rsidRDefault="006500F5">
      <w:pPr>
        <w:pStyle w:val="Zitat"/>
        <w:autoSpaceDE w:val="0"/>
      </w:pPr>
      <w:r>
        <w:t>6.11.3</w:t>
      </w:r>
      <w:r>
        <w:rPr>
          <w:i/>
          <w:iCs/>
        </w:rPr>
        <w:t xml:space="preserve"> pratnān mānāt pari ye sa</w:t>
      </w:r>
      <w:r>
        <w:rPr>
          <w:i/>
          <w:iCs/>
        </w:rPr>
        <w:t>ṃ</w:t>
      </w:r>
      <w:r>
        <w:rPr>
          <w:i/>
          <w:iCs/>
        </w:rPr>
        <w:t>babhūvu</w:t>
      </w:r>
      <w:r>
        <w:rPr>
          <w:i/>
          <w:iCs/>
        </w:rPr>
        <w:t>ḥ</w:t>
      </w:r>
      <w:r>
        <w:rPr>
          <w:i/>
          <w:iCs/>
        </w:rPr>
        <w:t xml:space="preserve"> / ślokavanta</w:t>
      </w:r>
      <w:r>
        <w:rPr>
          <w:i/>
          <w:iCs/>
        </w:rPr>
        <w:t>ḥ</w:t>
      </w:r>
      <w:r>
        <w:rPr>
          <w:i/>
          <w:iCs/>
        </w:rPr>
        <w:t xml:space="preserve"> saumanasasya vantava</w:t>
      </w:r>
      <w:r>
        <w:rPr>
          <w:i/>
          <w:iCs/>
        </w:rPr>
        <w:t>ḥ</w:t>
      </w:r>
      <w:r>
        <w:rPr>
          <w:i/>
          <w:iCs/>
        </w:rPr>
        <w:t xml:space="preserve"> / apānak</w:t>
      </w:r>
      <w:r>
        <w:rPr>
          <w:i/>
          <w:iCs/>
        </w:rPr>
        <w:t>ṣ</w:t>
      </w:r>
      <w:r>
        <w:rPr>
          <w:i/>
          <w:iCs/>
        </w:rPr>
        <w:t>āso badhirā ahāsata- / -r̥tasya panthā</w:t>
      </w:r>
      <w:r>
        <w:rPr>
          <w:i/>
          <w:iCs/>
        </w:rPr>
        <w:t>ṃ</w:t>
      </w:r>
      <w:r>
        <w:rPr>
          <w:i/>
          <w:iCs/>
        </w:rPr>
        <w:t xml:space="preserve"> na taranti du</w:t>
      </w:r>
      <w:r>
        <w:rPr>
          <w:i/>
          <w:iCs/>
        </w:rPr>
        <w:t>ṣ</w:t>
      </w:r>
      <w:r>
        <w:rPr>
          <w:i/>
          <w:iCs/>
        </w:rPr>
        <w:t>kr̥ta</w:t>
      </w:r>
      <w:r>
        <w:rPr>
          <w:i/>
          <w:iCs/>
        </w:rPr>
        <w:t>ḥ</w:t>
      </w:r>
      <w:r>
        <w:rPr>
          <w:i/>
          <w:iCs/>
        </w:rPr>
        <w:t xml:space="preserve"> //</w:t>
      </w:r>
    </w:p>
    <w:p w14:paraId="490B3207" w14:textId="77777777" w:rsidR="00E53EB6" w:rsidRDefault="006500F5">
      <w:pPr>
        <w:pStyle w:val="Zitat"/>
        <w:autoSpaceDE w:val="0"/>
      </w:pPr>
      <w:r>
        <w:t>Those renowned ones who hav</w:t>
      </w:r>
      <w:r>
        <w:t xml:space="preserve">e assembled from the old building, </w:t>
      </w:r>
      <w:r>
        <w:rPr>
          <w:u w:val="single"/>
        </w:rPr>
        <w:t>the winners</w:t>
      </w:r>
      <w:r>
        <w:t xml:space="preserve"> (?) of favour – the blind, the deaf ones have stayed behind, the evil ones do not cross the path of order.</w:t>
      </w:r>
    </w:p>
    <w:p w14:paraId="4D8B1660" w14:textId="77777777" w:rsidR="00E53EB6" w:rsidRDefault="006500F5">
      <w:pPr>
        <w:pStyle w:val="Zitat"/>
        <w:autoSpaceDE w:val="0"/>
        <w:rPr>
          <w:lang w:eastAsia="hi-IN"/>
        </w:rPr>
      </w:pPr>
      <w:r>
        <w:rPr>
          <w:i/>
          <w:iCs/>
          <w:lang w:eastAsia="hi-IN"/>
        </w:rPr>
        <w:t>vantava</w:t>
      </w:r>
      <w:r>
        <w:rPr>
          <w:i/>
          <w:iCs/>
          <w:lang w:eastAsia="hi-IN"/>
        </w:rPr>
        <w:t>ḥ</w:t>
      </w:r>
      <w:r>
        <w:rPr>
          <w:i/>
          <w:iCs/>
          <w:lang w:eastAsia="hi-IN"/>
        </w:rPr>
        <w:t xml:space="preserve">: </w:t>
      </w:r>
      <w:r>
        <w:rPr>
          <w:lang w:eastAsia="hi-IN"/>
        </w:rPr>
        <w:t xml:space="preserve">nom. masc. pl. of </w:t>
      </w:r>
      <w:r>
        <w:rPr>
          <w:i/>
          <w:iCs/>
          <w:lang w:eastAsia="hi-IN"/>
        </w:rPr>
        <w:t>vantu-</w:t>
      </w:r>
    </w:p>
    <w:p w14:paraId="6BE646ED" w14:textId="77777777" w:rsidR="00E53EB6" w:rsidRDefault="006500F5">
      <w:pPr>
        <w:pStyle w:val="ZitatmitEinzug"/>
      </w:pPr>
      <w:r>
        <w:rPr>
          <w:rStyle w:val="biblio-authorGEN"/>
          <w:sz w:val="18"/>
          <w:szCs w:val="15"/>
        </w:rPr>
        <w:t xml:space="preserve">Griffiths </w:t>
      </w:r>
      <w:r>
        <w:t>2009: 138 “the winners”</w:t>
      </w:r>
    </w:p>
    <w:p w14:paraId="7C3BDB12" w14:textId="77777777" w:rsidR="00E53EB6" w:rsidRDefault="006500F5">
      <w:pPr>
        <w:pStyle w:val="HaupttextnachZitat"/>
        <w:numPr>
          <w:ilvl w:val="2"/>
          <w:numId w:val="2"/>
        </w:numPr>
        <w:tabs>
          <w:tab w:val="left" w:pos="0"/>
        </w:tabs>
      </w:pPr>
      <w:r>
        <w:t>Vedic Web:</w:t>
      </w:r>
    </w:p>
    <w:p w14:paraId="1F502DD0" w14:textId="77777777" w:rsidR="00E53EB6" w:rsidRDefault="006500F5">
      <w:pPr>
        <w:pStyle w:val="HaupttextohneEinzug"/>
      </w:pPr>
      <w:r>
        <w:t>Mantra: cf. R̥V 9.73.6</w:t>
      </w:r>
      <w:r>
        <w:t xml:space="preserve"> reads </w:t>
      </w:r>
      <w:r>
        <w:rPr>
          <w:i/>
          <w:iCs/>
        </w:rPr>
        <w:t>mántava</w:t>
      </w:r>
      <w:r>
        <w:rPr>
          <w:i/>
          <w:iCs/>
        </w:rPr>
        <w:t>ḥ</w:t>
      </w:r>
      <w:r>
        <w:rPr>
          <w:i/>
          <w:iCs/>
        </w:rPr>
        <w:t xml:space="preserve"> </w:t>
      </w:r>
      <w:r>
        <w:t xml:space="preserve">instead of  </w:t>
      </w:r>
      <w:r>
        <w:rPr>
          <w:i/>
          <w:iCs/>
        </w:rPr>
        <w:t>vantava</w:t>
      </w:r>
      <w:r>
        <w:rPr>
          <w:i/>
          <w:iCs/>
        </w:rPr>
        <w:t>ḥ</w:t>
      </w:r>
      <w:r>
        <w:rPr>
          <w:i/>
          <w:iCs/>
        </w:rPr>
        <w:t>.</w:t>
      </w:r>
    </w:p>
    <w:p w14:paraId="61FA4A2B" w14:textId="77777777" w:rsidR="00E53EB6" w:rsidRDefault="00E53EB6">
      <w:pPr>
        <w:pStyle w:val="HaupttextohneEinzug"/>
      </w:pPr>
    </w:p>
    <w:p w14:paraId="59FC4A02" w14:textId="77777777" w:rsidR="00E53EB6" w:rsidRDefault="006500F5">
      <w:pPr>
        <w:pStyle w:val="HaupttextohneEinzug"/>
        <w:rPr>
          <w:rFonts w:eastAsia="Arial" w:cs="Times Ext Roman"/>
          <w:szCs w:val="21"/>
          <w:lang w:eastAsia="hi-IN" w:bidi="en-GB"/>
        </w:rPr>
      </w:pPr>
      <w:r>
        <w:rPr>
          <w:rFonts w:eastAsia="Arial" w:cs="Times Ext Roman"/>
          <w:szCs w:val="21"/>
          <w:lang w:eastAsia="hi-IN" w:bidi="en-GB"/>
        </w:rPr>
        <w:t xml:space="preserve">Rite </w:t>
      </w:r>
    </w:p>
    <w:p w14:paraId="3EB00844" w14:textId="77777777" w:rsidR="00E53EB6" w:rsidRDefault="006500F5">
      <w:pPr>
        <w:pStyle w:val="HaupttextohneEinzug"/>
      </w:pPr>
      <w:r>
        <w:rPr>
          <w:rFonts w:eastAsia="Arial" w:cs="Devanagari MT;Times New Roman"/>
          <w:szCs w:val="21"/>
          <w:lang w:eastAsia="hi-IN" w:bidi="en-GB"/>
        </w:rPr>
        <w:t>Hymn for safe entrance to the altar ground, for a throughout analysis of the hymn, see G</w:t>
      </w:r>
      <w:r>
        <w:rPr>
          <w:rStyle w:val="biblio-authorGEN"/>
          <w:rFonts w:eastAsia="Arial" w:cs="Devanagari MT;Times New Roman"/>
          <w:szCs w:val="21"/>
          <w:lang w:eastAsia="hi-IN" w:bidi="en-GB"/>
        </w:rPr>
        <w:t xml:space="preserve">riffiths </w:t>
      </w:r>
      <w:r>
        <w:t xml:space="preserve">2009: 132-134. The stanza 3 is anyway particularly difficult, as long as it has no parallel in AVŚ nor in the </w:t>
      </w:r>
      <w:r>
        <w:rPr>
          <w:i/>
          <w:iCs/>
        </w:rPr>
        <w:t>śrauta</w:t>
      </w:r>
      <w:r>
        <w:t xml:space="preserve">-texts and, unlike the stanzas 1 up to 5, it doesn’t contain material that could match with other liturgical passages. </w:t>
      </w:r>
    </w:p>
    <w:p w14:paraId="0239F4DE" w14:textId="77777777" w:rsidR="00E53EB6" w:rsidRDefault="00E53EB6">
      <w:pPr>
        <w:pStyle w:val="HaupttextohneEinzug"/>
      </w:pPr>
    </w:p>
    <w:p w14:paraId="0473AC2A" w14:textId="77777777" w:rsidR="00E53EB6" w:rsidRDefault="00E53EB6">
      <w:pPr>
        <w:pStyle w:val="Hauptext"/>
      </w:pPr>
    </w:p>
    <w:p w14:paraId="64A06D9F" w14:textId="77777777" w:rsidR="00E53EB6" w:rsidRDefault="006500F5">
      <w:pPr>
        <w:pStyle w:val="Heading3"/>
        <w:tabs>
          <w:tab w:val="left" w:pos="0"/>
        </w:tabs>
      </w:pPr>
      <w:r>
        <w:t>IV.1.3  Analysis o</w:t>
      </w:r>
      <w:r>
        <w:t xml:space="preserve">f the nominal derivatives </w:t>
      </w:r>
    </w:p>
    <w:p w14:paraId="799A5D97" w14:textId="77777777" w:rsidR="00E53EB6" w:rsidRDefault="00E53EB6">
      <w:pPr>
        <w:pStyle w:val="Hauptext"/>
      </w:pPr>
    </w:p>
    <w:p w14:paraId="32056FE7" w14:textId="77777777" w:rsidR="00E53EB6" w:rsidRDefault="006500F5">
      <w:pPr>
        <w:pStyle w:val="Hauptext"/>
      </w:pPr>
      <w:r>
        <w:t>We begun this survey with the question whether the semantic field of desire was present in the nominal derivatives.</w:t>
      </w:r>
      <w:r>
        <w:t xml:space="preserve"> In the R̥gvedic occurrences we did not find any trace of this sense. </w:t>
      </w:r>
      <w:r>
        <w:rPr>
          <w:rFonts w:eastAsia="Arial Unicode MS"/>
          <w:szCs w:val="24"/>
        </w:rPr>
        <w:t>Looking back to the first part of the chapter and the first derivatives we analysed, the situation looks rather differentiated and we may say that there is all the more justification for</w:t>
      </w:r>
      <w:r>
        <w:rPr>
          <w:rFonts w:eastAsia="Arial Unicode MS"/>
          <w:szCs w:val="24"/>
        </w:rPr>
        <w:t xml:space="preserve"> the attempt to trace back the senses and values underlying the meanings taken on by the various terms with a fair degree of clarity. These sense and values can in all cases be seen to follow on from those identified for the verbal root, like “to dominate”</w:t>
      </w:r>
      <w:r>
        <w:rPr>
          <w:rFonts w:eastAsia="Arial Unicode MS"/>
          <w:szCs w:val="24"/>
        </w:rPr>
        <w:t xml:space="preserve"> in </w:t>
      </w:r>
      <w:r>
        <w:rPr>
          <w:rFonts w:eastAsia="Arial Unicode MS"/>
          <w:i/>
          <w:szCs w:val="24"/>
        </w:rPr>
        <w:t>vanús-</w:t>
      </w:r>
      <w:r>
        <w:rPr>
          <w:rFonts w:eastAsia="Arial Unicode MS"/>
          <w:szCs w:val="24"/>
        </w:rPr>
        <w:t xml:space="preserve"> and </w:t>
      </w:r>
      <w:r>
        <w:rPr>
          <w:rFonts w:eastAsia="Arial Unicode MS"/>
          <w:i/>
          <w:szCs w:val="24"/>
        </w:rPr>
        <w:t>vanu</w:t>
      </w:r>
      <w:r>
        <w:rPr>
          <w:rFonts w:eastAsia="Arial Unicode MS"/>
          <w:i/>
          <w:szCs w:val="24"/>
        </w:rPr>
        <w:t>ṣ</w:t>
      </w:r>
      <w:r>
        <w:rPr>
          <w:rFonts w:eastAsia="Arial Unicode MS"/>
          <w:i/>
          <w:szCs w:val="24"/>
        </w:rPr>
        <w:t>ya-</w:t>
      </w:r>
      <w:r>
        <w:rPr>
          <w:rFonts w:eastAsia="Arial Unicode MS"/>
          <w:szCs w:val="24"/>
        </w:rPr>
        <w:t>, or “to possess – to conquer” in the two verbal objectives (</w:t>
      </w:r>
      <w:r>
        <w:rPr>
          <w:rFonts w:eastAsia="Arial Unicode MS"/>
          <w:i/>
          <w:szCs w:val="24"/>
        </w:rPr>
        <w:t>vánīyas-</w:t>
      </w:r>
      <w:r>
        <w:rPr>
          <w:rFonts w:eastAsia="Arial Unicode MS"/>
          <w:szCs w:val="24"/>
        </w:rPr>
        <w:t xml:space="preserve"> and </w:t>
      </w:r>
      <w:r>
        <w:rPr>
          <w:rFonts w:eastAsia="Arial Unicode MS"/>
          <w:i/>
          <w:szCs w:val="24"/>
        </w:rPr>
        <w:t>váni</w:t>
      </w:r>
      <w:r>
        <w:rPr>
          <w:rFonts w:eastAsia="Arial Unicode MS"/>
          <w:i/>
          <w:szCs w:val="24"/>
        </w:rPr>
        <w:t>ṣṭ</w:t>
      </w:r>
      <w:r>
        <w:rPr>
          <w:rFonts w:eastAsia="Arial Unicode MS"/>
          <w:i/>
          <w:szCs w:val="24"/>
        </w:rPr>
        <w:t>ha-</w:t>
      </w:r>
      <w:r>
        <w:rPr>
          <w:rFonts w:eastAsia="Arial Unicode MS"/>
          <w:szCs w:val="24"/>
        </w:rPr>
        <w:t>)</w:t>
      </w:r>
      <w:r>
        <w:rPr>
          <w:rFonts w:eastAsia="Arial Unicode MS"/>
          <w:szCs w:val="24"/>
        </w:rPr>
        <w:t xml:space="preserve"> or the ritual action of “having enter the circle of the sacrifice” in some senses of the two most frequent derivatives, as indeed in the adjective </w:t>
      </w:r>
      <w:r>
        <w:rPr>
          <w:rFonts w:eastAsia="Arial Unicode MS"/>
          <w:i/>
          <w:szCs w:val="24"/>
        </w:rPr>
        <w:t>v</w:t>
      </w:r>
      <w:r>
        <w:rPr>
          <w:rFonts w:eastAsia="Arial Unicode MS"/>
          <w:i/>
          <w:szCs w:val="24"/>
        </w:rPr>
        <w:t>anú-</w:t>
      </w:r>
      <w:r>
        <w:rPr>
          <w:rFonts w:eastAsia="Arial Unicode MS"/>
          <w:szCs w:val="24"/>
        </w:rPr>
        <w:t xml:space="preserve">. Once we mapped a similar semantic distribution for the primary derivatives in the </w:t>
      </w:r>
      <w:r>
        <w:rPr>
          <w:rFonts w:eastAsia="Arial Unicode MS"/>
          <w:i/>
          <w:iCs/>
          <w:szCs w:val="24"/>
        </w:rPr>
        <w:t>R̥gveda Sa</w:t>
      </w:r>
      <w:r>
        <w:rPr>
          <w:rFonts w:eastAsia="Arial Unicode MS"/>
          <w:i/>
          <w:iCs/>
          <w:szCs w:val="24"/>
        </w:rPr>
        <w:t>ṃ</w:t>
      </w:r>
      <w:r>
        <w:rPr>
          <w:rFonts w:eastAsia="Arial Unicode MS"/>
          <w:i/>
          <w:iCs/>
          <w:szCs w:val="24"/>
        </w:rPr>
        <w:t xml:space="preserve">hitā </w:t>
      </w:r>
      <w:r>
        <w:rPr>
          <w:rFonts w:eastAsia="Arial Unicode MS"/>
          <w:szCs w:val="24"/>
        </w:rPr>
        <w:t xml:space="preserve">as that of the verbal root, we still miss the meaning “to desire”: that seems to imply that this sense was not conveyed in the nominal derivatives. </w:t>
      </w:r>
    </w:p>
    <w:p w14:paraId="15A2C91D" w14:textId="77777777" w:rsidR="00E53EB6" w:rsidRDefault="006500F5">
      <w:pPr>
        <w:pStyle w:val="HaupttextohneEinzug"/>
      </w:pPr>
      <w:r>
        <w:t>Wit</w:t>
      </w:r>
      <w:r>
        <w:t xml:space="preserve">h regard to the post-R̥gvedic attestations, the first thing to be noticed is that some derivatives are to be found only in passages quoting the R̥gvedic stanzas like the noun </w:t>
      </w:r>
      <w:r>
        <w:rPr>
          <w:i/>
          <w:iCs/>
        </w:rPr>
        <w:t xml:space="preserve">vanas-, </w:t>
      </w:r>
      <w:r>
        <w:t xml:space="preserve">the </w:t>
      </w:r>
      <w:r>
        <w:rPr>
          <w:i/>
          <w:iCs/>
        </w:rPr>
        <w:t xml:space="preserve">nomen agentis vantr̥- </w:t>
      </w:r>
      <w:r>
        <w:t xml:space="preserve">and also the term </w:t>
      </w:r>
      <w:r>
        <w:rPr>
          <w:i/>
          <w:iCs/>
        </w:rPr>
        <w:t xml:space="preserve">vanīvan-. </w:t>
      </w:r>
      <w:r>
        <w:t xml:space="preserve">As to the the adjective </w:t>
      </w:r>
      <w:r>
        <w:rPr>
          <w:i/>
          <w:iCs/>
        </w:rPr>
        <w:t xml:space="preserve">vanús-, </w:t>
      </w:r>
      <w:r>
        <w:t xml:space="preserve">though we find it only in R̥gvedic quotations, yet we can spot its denominative </w:t>
      </w:r>
      <w:r>
        <w:rPr>
          <w:i/>
          <w:iCs/>
        </w:rPr>
        <w:t>vanu</w:t>
      </w:r>
      <w:r>
        <w:rPr>
          <w:i/>
          <w:iCs/>
        </w:rPr>
        <w:t>ṣ</w:t>
      </w:r>
      <w:r>
        <w:rPr>
          <w:i/>
          <w:iCs/>
        </w:rPr>
        <w:t>ya-</w:t>
      </w:r>
      <w:r>
        <w:t xml:space="preserve"> which is used also in an non R̥gvedic </w:t>
      </w:r>
      <w:r>
        <w:rPr>
          <w:i/>
          <w:iCs/>
        </w:rPr>
        <w:t xml:space="preserve">mantra </w:t>
      </w:r>
      <w:r>
        <w:t>in Sāmavedic Sa</w:t>
      </w:r>
      <w:r>
        <w:t>ṃ</w:t>
      </w:r>
      <w:r>
        <w:t>hitās, and in both cases it conveys the same meaning as in all other occur</w:t>
      </w:r>
      <w:r>
        <w:t xml:space="preserve">rences (“to wish to appropriate”). </w:t>
      </w:r>
      <w:r>
        <w:t xml:space="preserve"> The only derivative that is more frequent (two times out of three) in non R̥gvedic quotations is </w:t>
      </w:r>
      <w:r>
        <w:rPr>
          <w:i/>
          <w:iCs/>
        </w:rPr>
        <w:t xml:space="preserve">vanīyas-: </w:t>
      </w:r>
      <w:r>
        <w:t xml:space="preserve">we find it twice, in both cases in the nineteenth book of the </w:t>
      </w:r>
      <w:r>
        <w:rPr>
          <w:i/>
          <w:iCs/>
        </w:rPr>
        <w:t>Atharvaveda Paippalāda</w:t>
      </w:r>
      <w:r>
        <w:t xml:space="preserve">, clearly conveying the idea </w:t>
      </w:r>
      <w:r>
        <w:t xml:space="preserve">of appropriation as in AVP(K) 19.38.16 where it substitutes </w:t>
      </w:r>
      <w:r>
        <w:rPr>
          <w:i/>
          <w:iCs/>
        </w:rPr>
        <w:t>sanīyan</w:t>
      </w:r>
      <w:r>
        <w:t xml:space="preserve"> in the corresponding </w:t>
      </w:r>
      <w:r>
        <w:rPr>
          <w:i/>
          <w:iCs/>
        </w:rPr>
        <w:t xml:space="preserve">mantra </w:t>
      </w:r>
      <w:r>
        <w:t xml:space="preserve">of the </w:t>
      </w:r>
      <w:r>
        <w:rPr>
          <w:i/>
          <w:iCs/>
        </w:rPr>
        <w:t>Taittirīya Sa</w:t>
      </w:r>
      <w:r>
        <w:rPr>
          <w:i/>
          <w:iCs/>
        </w:rPr>
        <w:t>ṃ</w:t>
      </w:r>
      <w:r>
        <w:rPr>
          <w:i/>
          <w:iCs/>
        </w:rPr>
        <w:t xml:space="preserve">hitā </w:t>
      </w:r>
      <w:r>
        <w:t>(TS 3.5.5.3). Therefore, except for some doubtful cases, we may say that these derivatives are employed exactly as in the R̥gvedic occ</w:t>
      </w:r>
      <w:r>
        <w:t xml:space="preserve">urrences. With regard to the derivatives that are not to be found in the </w:t>
      </w:r>
      <w:r>
        <w:rPr>
          <w:i/>
          <w:iCs/>
        </w:rPr>
        <w:t>R̥gveda Sa</w:t>
      </w:r>
      <w:r>
        <w:rPr>
          <w:i/>
          <w:iCs/>
        </w:rPr>
        <w:t>ṃ</w:t>
      </w:r>
      <w:r>
        <w:rPr>
          <w:i/>
          <w:iCs/>
        </w:rPr>
        <w:t xml:space="preserve">hitā, </w:t>
      </w:r>
      <w:r>
        <w:t xml:space="preserve">the possibility to speculate cannot go much further on. In fact, two terms out </w:t>
      </w:r>
      <w:r>
        <w:lastRenderedPageBreak/>
        <w:t xml:space="preserve">of four are </w:t>
      </w:r>
      <w:r>
        <w:rPr>
          <w:i/>
          <w:iCs/>
        </w:rPr>
        <w:t xml:space="preserve">hapax legomena </w:t>
      </w:r>
      <w:r>
        <w:t xml:space="preserve">and the third one is </w:t>
      </w:r>
      <w:r>
        <w:rPr>
          <w:i/>
          <w:iCs/>
        </w:rPr>
        <w:t xml:space="preserve">vanya, </w:t>
      </w:r>
      <w:r>
        <w:t>which is probably to  be taken o</w:t>
      </w:r>
      <w:r>
        <w:t xml:space="preserve">ut of consideration, as long as we settle for considering it as always connected with </w:t>
      </w:r>
      <w:r>
        <w:rPr>
          <w:i/>
          <w:iCs/>
        </w:rPr>
        <w:t xml:space="preserve">vána- </w:t>
      </w:r>
      <w:r>
        <w:t xml:space="preserve">“wood”. The last derivative is </w:t>
      </w:r>
      <w:r>
        <w:rPr>
          <w:i/>
          <w:iCs/>
        </w:rPr>
        <w:t xml:space="preserve">vaní-: </w:t>
      </w:r>
      <w:r>
        <w:t>this noun is employed in four stanzas  which are to be found identical in both Atharvaveda Sa</w:t>
      </w:r>
      <w:r>
        <w:t>ṃ</w:t>
      </w:r>
      <w:r>
        <w:t xml:space="preserve">hitās. Though </w:t>
      </w:r>
      <w:r>
        <w:rPr>
          <w:rFonts w:cs="Devanagari MT;Times New Roman"/>
        </w:rPr>
        <w:t xml:space="preserve">Grassmann </w:t>
      </w:r>
      <w:r>
        <w:rPr>
          <w:rFonts w:cs="Devanagari MT;Times New Roman"/>
          <w:szCs w:val="21"/>
        </w:rPr>
        <w:t>1875 [ed</w:t>
      </w:r>
      <w:r>
        <w:rPr>
          <w:rFonts w:cs="Devanagari MT;Times New Roman"/>
          <w:szCs w:val="21"/>
        </w:rPr>
        <w:t>. 1996: 1209]</w:t>
      </w:r>
      <w:r>
        <w:rPr>
          <w:rFonts w:cs="Devanagari MT;Times New Roman"/>
          <w:sz w:val="18"/>
          <w:szCs w:val="18"/>
        </w:rPr>
        <w:t xml:space="preserve"> </w:t>
      </w:r>
      <w:r>
        <w:rPr>
          <w:rFonts w:cs="Devanagari MT;Times New Roman"/>
          <w:szCs w:val="18"/>
        </w:rPr>
        <w:t>suggests for</w:t>
      </w:r>
      <w:r>
        <w:rPr>
          <w:rFonts w:cs="Devanagari MT;Times New Roman"/>
        </w:rPr>
        <w:t xml:space="preserve"> </w:t>
      </w:r>
      <w:r>
        <w:rPr>
          <w:rFonts w:cs="Devanagari MT;Times New Roman"/>
          <w:i/>
          <w:iCs/>
        </w:rPr>
        <w:t xml:space="preserve">váni- </w:t>
      </w:r>
      <w:r>
        <w:rPr>
          <w:rFonts w:cs="Devanagari MT;Times New Roman"/>
        </w:rPr>
        <w:t xml:space="preserve">“Heischen, Begehren, Wunsch”, both Whitney and Griffiths translate it with “earnings”; indeed in all the occurrences it can be translated both ways and it is indeed not possible to settle for one or the other option. </w:t>
      </w:r>
    </w:p>
    <w:p w14:paraId="210A08FF" w14:textId="77777777" w:rsidR="00E53EB6" w:rsidRDefault="006500F5">
      <w:pPr>
        <w:pStyle w:val="Hauptext"/>
      </w:pPr>
      <w:r>
        <w:rPr>
          <w:rFonts w:cs="Devanagari MT;Times New Roman"/>
        </w:rPr>
        <w:t>To su</w:t>
      </w:r>
      <w:r>
        <w:rPr>
          <w:rFonts w:cs="Devanagari MT;Times New Roman"/>
        </w:rPr>
        <w:t>m up, here, once more, we have the evidence that the semantic field of desire is almost absent in the primary derivatives. Only in few cases it can be speculated as a possible meaning, besides, these occurrences are either quite controversial or they belon</w:t>
      </w:r>
      <w:r>
        <w:rPr>
          <w:rFonts w:cs="Devanagari MT;Times New Roman"/>
        </w:rPr>
        <w:t xml:space="preserve">g to the Atharvavedic anthologies; from them we cannot endorse the hypothesis of a </w:t>
      </w:r>
      <w:r>
        <w:rPr>
          <w:rFonts w:cs="Devanagari MT;Times New Roman"/>
        </w:rPr>
        <w:t xml:space="preserve">nominal development </w:t>
      </w:r>
      <w:r>
        <w:rPr>
          <w:rFonts w:cs="Devanagari MT;Times New Roman"/>
        </w:rPr>
        <w:t xml:space="preserve">of the meaning “to desire”. The only noun that clearly conveys this idea is </w:t>
      </w:r>
      <w:r>
        <w:rPr>
          <w:rFonts w:cs="Devanagari MT;Times New Roman"/>
          <w:i/>
          <w:iCs/>
        </w:rPr>
        <w:t xml:space="preserve">vāmá-, </w:t>
      </w:r>
      <w:r>
        <w:rPr>
          <w:rFonts w:cs="Devanagari MT;Times New Roman"/>
        </w:rPr>
        <w:t>that seems to stand alone among all the other attestations of the root</w:t>
      </w:r>
      <w:r>
        <w:rPr>
          <w:rFonts w:cs="Devanagari MT;Times New Roman"/>
        </w:rPr>
        <w:t xml:space="preserve"> </w:t>
      </w:r>
      <w:r>
        <w:rPr>
          <w:rFonts w:cs="Devanagari MT;Times New Roman"/>
          <w:i/>
          <w:iCs/>
        </w:rPr>
        <w:t>van- / van</w:t>
      </w:r>
      <w:r>
        <w:rPr>
          <w:rFonts w:cs="Devanagari MT;Times New Roman"/>
          <w:i/>
          <w:iCs/>
          <w:vertAlign w:val="superscript"/>
        </w:rPr>
        <w:t>i</w:t>
      </w:r>
      <w:r>
        <w:rPr>
          <w:rFonts w:cs="Devanagari MT;Times New Roman"/>
          <w:i/>
          <w:iCs/>
        </w:rPr>
        <w:t xml:space="preserve">-. </w:t>
      </w:r>
      <w:r>
        <w:rPr>
          <w:rFonts w:cs="Devanagari MT;Times New Roman"/>
        </w:rPr>
        <w:t>Finally, we may conclude that the sense of desire</w:t>
      </w:r>
      <w:r>
        <w:rPr>
          <w:rFonts w:cs="Devanagari MT;Times New Roman"/>
          <w:i/>
          <w:iCs/>
        </w:rPr>
        <w:t xml:space="preserve"> </w:t>
      </w:r>
      <w:r>
        <w:rPr>
          <w:rFonts w:cs="Devanagari MT;Times New Roman"/>
        </w:rPr>
        <w:t>was not mainly conveyed by nominal stems. In the last part of this chapter we will verify the  hypothesis we speculated upon at the beginning of the work (§II.3), that is if “to desire” repre</w:t>
      </w:r>
      <w:r>
        <w:rPr>
          <w:rFonts w:cs="Devanagari MT;Times New Roman"/>
        </w:rPr>
        <w:t>sent a synchronic meaning of the verbal root that survived only in a parallel linguistic tradition attested only in the Atharvavedic texts.</w:t>
      </w:r>
    </w:p>
    <w:p w14:paraId="1907DF9A" w14:textId="77777777" w:rsidR="00E53EB6" w:rsidRDefault="00E53EB6">
      <w:pPr>
        <w:pStyle w:val="HaupttextohneEinzug"/>
      </w:pPr>
    </w:p>
    <w:p w14:paraId="5E19DCED" w14:textId="77777777" w:rsidR="00E53EB6" w:rsidRDefault="00E53EB6">
      <w:pPr>
        <w:pStyle w:val="HaupttextohneEinzug"/>
      </w:pPr>
    </w:p>
    <w:p w14:paraId="213D62F7" w14:textId="77777777" w:rsidR="00E53EB6" w:rsidRDefault="006500F5">
      <w:pPr>
        <w:pStyle w:val="Heading2"/>
        <w:tabs>
          <w:tab w:val="left" w:pos="0"/>
        </w:tabs>
      </w:pPr>
      <w:r>
        <w:t xml:space="preserve">IV.2 The Atharvaveda: Diastratic Evidences on </w:t>
      </w:r>
      <w:r>
        <w:rPr>
          <w:i/>
          <w:iCs/>
        </w:rPr>
        <w:t>van</w:t>
      </w:r>
      <w:r>
        <w:t xml:space="preserve">- </w:t>
      </w:r>
      <w:r>
        <w:rPr>
          <w:i/>
          <w:iCs/>
        </w:rPr>
        <w:t>/ van</w:t>
      </w:r>
      <w:r>
        <w:rPr>
          <w:i/>
          <w:iCs/>
          <w:vertAlign w:val="superscript"/>
        </w:rPr>
        <w:t>i</w:t>
      </w:r>
      <w:r>
        <w:rPr>
          <w:i/>
          <w:iCs/>
        </w:rPr>
        <w:t xml:space="preserve">- </w:t>
      </w:r>
    </w:p>
    <w:p w14:paraId="4B0A62AA" w14:textId="77777777" w:rsidR="00E53EB6" w:rsidRDefault="006500F5">
      <w:pPr>
        <w:pStyle w:val="Hauptext"/>
      </w:pPr>
      <w:r>
        <w:t xml:space="preserve">Considering the few hints on the presence of the semantic field of desire within the primary derivatives of </w:t>
      </w:r>
      <w:r>
        <w:rPr>
          <w:i/>
          <w:iCs/>
        </w:rPr>
        <w:t>van- / van</w:t>
      </w:r>
      <w:r>
        <w:rPr>
          <w:i/>
          <w:iCs/>
          <w:vertAlign w:val="superscript"/>
        </w:rPr>
        <w:t>i</w:t>
      </w:r>
      <w:r>
        <w:rPr>
          <w:i/>
          <w:iCs/>
        </w:rPr>
        <w:t>-,</w:t>
      </w:r>
      <w:r>
        <w:t xml:space="preserve"> we will analyse here the </w:t>
      </w:r>
      <w:r>
        <w:t>attestations of the verb</w:t>
      </w:r>
      <w:r>
        <w:t xml:space="preserve"> within the Atharvaveda school. Indeed we find occurrences of it</w:t>
      </w:r>
      <w:r>
        <w:rPr>
          <w:i/>
          <w:iCs/>
        </w:rPr>
        <w:t xml:space="preserve"> </w:t>
      </w:r>
      <w:r>
        <w:t>only in the Sa</w:t>
      </w:r>
      <w:r>
        <w:t>ṃ</w:t>
      </w:r>
      <w:r>
        <w:t>hitās</w:t>
      </w:r>
      <w:r>
        <w:t>, in the Śaunaka and Paippalāda recensions</w:t>
      </w:r>
      <w:r>
        <w:t>. This group of texts represents a different tradition from that of the texts met so far; though the extant texts of this school are clearly a young product, they contain data that can be traced back to a period ev</w:t>
      </w:r>
      <w:r>
        <w:t xml:space="preserve">en older than that of the </w:t>
      </w:r>
      <w:r>
        <w:rPr>
          <w:i/>
          <w:iCs/>
        </w:rPr>
        <w:t>R̥gveda Sa</w:t>
      </w:r>
      <w:r>
        <w:rPr>
          <w:i/>
          <w:iCs/>
        </w:rPr>
        <w:t>ṃ</w:t>
      </w:r>
      <w:r>
        <w:rPr>
          <w:i/>
          <w:iCs/>
        </w:rPr>
        <w:t xml:space="preserve">hitā. </w:t>
      </w:r>
      <w:r>
        <w:t>Both Sa</w:t>
      </w:r>
      <w:r>
        <w:t>ṃ</w:t>
      </w:r>
      <w:r>
        <w:t xml:space="preserve">hitās are of considerable age, but the differences in certain </w:t>
      </w:r>
      <w:r>
        <w:rPr>
          <w:i/>
          <w:iCs/>
        </w:rPr>
        <w:t>mantra</w:t>
      </w:r>
      <w:r>
        <w:t xml:space="preserve">s cannot be declared to be earlier or later in one or the other </w:t>
      </w:r>
      <w:r>
        <w:rPr>
          <w:i/>
          <w:iCs/>
        </w:rPr>
        <w:t xml:space="preserve">śākhā. </w:t>
      </w:r>
      <w:r>
        <w:t>Many studies</w:t>
      </w:r>
      <w:r>
        <w:t xml:space="preserve"> have been carried on about this subject</w:t>
      </w:r>
      <w:r>
        <w:rPr>
          <w:rStyle w:val="FootnoteAnchor"/>
        </w:rPr>
        <w:footnoteReference w:id="536"/>
      </w:r>
      <w:r>
        <w:t>, and in par</w:t>
      </w:r>
      <w:r>
        <w:t>ticular, there is a on-going stream of research with regards to the Paippalāda recension, due to the discovery of some Oriya manuscripts  of the Paippalādin school</w:t>
      </w:r>
      <w:r>
        <w:rPr>
          <w:rStyle w:val="FootnoteAnchor"/>
        </w:rPr>
        <w:footnoteReference w:id="537"/>
      </w:r>
      <w:r>
        <w:t>.</w:t>
      </w:r>
    </w:p>
    <w:p w14:paraId="6877F1CA" w14:textId="77777777" w:rsidR="00E53EB6" w:rsidRDefault="006500F5">
      <w:pPr>
        <w:pStyle w:val="HaupttextohneEinzug"/>
      </w:pPr>
      <w:r>
        <w:t>As we said at the beginning of this work, materials from different social groups are coll</w:t>
      </w:r>
      <w:r>
        <w:t>ected in the Atharvavedic texts. They are not concerned with the classical public cults, and moreover, they do not only represent the priestly class which was responsible for all the Vedic canon. Therefore, these texts cannot be mapped into the Brahmanical</w:t>
      </w:r>
      <w:r>
        <w:t xml:space="preserve"> ritual development because they  stand somehow outside the classical liturgical tradition to which all other texts belong.</w:t>
      </w:r>
      <w:r>
        <w:t xml:space="preserve">The so called </w:t>
      </w:r>
      <w:r>
        <w:rPr>
          <w:i/>
          <w:iCs/>
        </w:rPr>
        <w:t>vrātya</w:t>
      </w:r>
      <w:r>
        <w:t>-element is one of the most interesting example: whether we consider this group following the interpretation of F</w:t>
      </w:r>
      <w:r>
        <w:t>alk or that of Heesterman,</w:t>
      </w:r>
      <w:r>
        <w:rPr>
          <w:rStyle w:val="FootnoteAnchor"/>
        </w:rPr>
        <w:footnoteReference w:id="538"/>
      </w:r>
      <w:r>
        <w:t xml:space="preserve">  it seems quite reasonable to speculate that they did represent -though at different degrees- a part of the society that was neglected by almost all the other Vedic literature and their presence has been clearly stated and even</w:t>
      </w:r>
      <w:r>
        <w:t xml:space="preserve"> sustained only in the Atharvavedic texts.</w:t>
      </w:r>
      <w:r>
        <w:t xml:space="preserve"> Indeed, these texts could grant us different informations about the use of the verb </w:t>
      </w:r>
      <w:r>
        <w:rPr>
          <w:i/>
          <w:iCs/>
        </w:rPr>
        <w:t>van- / van</w:t>
      </w:r>
      <w:r>
        <w:rPr>
          <w:i/>
          <w:iCs/>
          <w:vertAlign w:val="superscript"/>
        </w:rPr>
        <w:t>i</w:t>
      </w:r>
      <w:r>
        <w:rPr>
          <w:i/>
          <w:iCs/>
        </w:rPr>
        <w:t xml:space="preserve">-, </w:t>
      </w:r>
      <w:r>
        <w:t xml:space="preserve">involving a different social and linguistic cross-section. </w:t>
      </w:r>
    </w:p>
    <w:p w14:paraId="5C83D103" w14:textId="77777777" w:rsidR="00E53EB6" w:rsidRDefault="00E53EB6">
      <w:pPr>
        <w:pStyle w:val="HaupttextohneEinzug"/>
      </w:pPr>
    </w:p>
    <w:p w14:paraId="47F638E1" w14:textId="77777777" w:rsidR="00E53EB6" w:rsidRDefault="006500F5">
      <w:pPr>
        <w:pStyle w:val="Heading3"/>
        <w:tabs>
          <w:tab w:val="left" w:pos="0"/>
        </w:tabs>
      </w:pPr>
      <w:r>
        <w:t>IV.2.1 Atharvaveda Occurrences</w:t>
      </w:r>
    </w:p>
    <w:p w14:paraId="4BF0F2F1" w14:textId="77777777" w:rsidR="00E53EB6" w:rsidRDefault="006500F5">
      <w:pPr>
        <w:pStyle w:val="Hauptext"/>
      </w:pPr>
      <w:r>
        <w:rPr>
          <w:rFonts w:eastAsia="Arial Unicode MS"/>
          <w:szCs w:val="21"/>
          <w:lang w:eastAsia="it-IT" w:bidi="en-GB"/>
        </w:rPr>
        <w:t>Here follows the comple</w:t>
      </w:r>
      <w:r>
        <w:rPr>
          <w:rFonts w:eastAsia="Arial Unicode MS"/>
          <w:szCs w:val="21"/>
          <w:lang w:eastAsia="it-IT" w:bidi="en-GB"/>
        </w:rPr>
        <w:t xml:space="preserve">te list of occurrences of </w:t>
      </w:r>
      <w:r>
        <w:rPr>
          <w:rFonts w:eastAsia="Arial Unicode MS"/>
          <w:i/>
          <w:iCs/>
          <w:szCs w:val="21"/>
          <w:lang w:eastAsia="it-IT" w:bidi="en-GB"/>
        </w:rPr>
        <w:t>van- / van</w:t>
      </w:r>
      <w:r>
        <w:rPr>
          <w:rFonts w:eastAsia="Arial Unicode MS"/>
          <w:i/>
          <w:iCs/>
          <w:szCs w:val="21"/>
          <w:vertAlign w:val="superscript"/>
          <w:lang w:eastAsia="it-IT" w:bidi="en-GB"/>
        </w:rPr>
        <w:t>i</w:t>
      </w:r>
      <w:r>
        <w:rPr>
          <w:rFonts w:eastAsia="Arial Unicode MS"/>
          <w:i/>
          <w:iCs/>
          <w:szCs w:val="21"/>
          <w:lang w:eastAsia="it-IT" w:bidi="en-GB"/>
        </w:rPr>
        <w:t>-</w:t>
      </w:r>
      <w:r>
        <w:rPr>
          <w:rFonts w:eastAsia="Arial Unicode MS"/>
          <w:szCs w:val="21"/>
          <w:lang w:eastAsia="it-IT" w:bidi="en-GB"/>
        </w:rPr>
        <w:t xml:space="preserve"> in the Atharvaveda Sa</w:t>
      </w:r>
      <w:r>
        <w:rPr>
          <w:rFonts w:eastAsia="Arial Unicode MS"/>
          <w:szCs w:val="21"/>
          <w:lang w:eastAsia="it-IT" w:bidi="en-GB"/>
        </w:rPr>
        <w:t>ṃ</w:t>
      </w:r>
      <w:r>
        <w:rPr>
          <w:rFonts w:eastAsia="Arial Unicode MS"/>
          <w:szCs w:val="21"/>
          <w:lang w:eastAsia="it-IT" w:bidi="en-GB"/>
        </w:rPr>
        <w:t xml:space="preserve">hitās, first those of the Śaunaka recension and after those of the Paippalāda. Within both groups the attestations are divided between R̥gvedic </w:t>
      </w:r>
      <w:r>
        <w:rPr>
          <w:rFonts w:eastAsia="Arial Unicode MS"/>
          <w:i/>
          <w:iCs/>
          <w:szCs w:val="21"/>
          <w:lang w:eastAsia="it-IT" w:bidi="en-GB"/>
        </w:rPr>
        <w:t>mantra</w:t>
      </w:r>
      <w:r>
        <w:rPr>
          <w:rFonts w:eastAsia="Arial Unicode MS"/>
          <w:szCs w:val="21"/>
          <w:lang w:eastAsia="it-IT" w:bidi="en-GB"/>
        </w:rPr>
        <w:t xml:space="preserve">s and non-R̥gvedic </w:t>
      </w:r>
      <w:r>
        <w:rPr>
          <w:rFonts w:eastAsia="Arial Unicode MS"/>
          <w:i/>
          <w:iCs/>
          <w:szCs w:val="21"/>
          <w:lang w:eastAsia="it-IT" w:bidi="en-GB"/>
        </w:rPr>
        <w:t>mantra</w:t>
      </w:r>
      <w:r>
        <w:rPr>
          <w:rFonts w:eastAsia="Arial Unicode MS"/>
          <w:szCs w:val="21"/>
          <w:lang w:eastAsia="it-IT" w:bidi="en-GB"/>
        </w:rPr>
        <w:t>s as in the paragraphs §III.2.1;.2 entailing the post-R̥gv</w:t>
      </w:r>
      <w:r>
        <w:rPr>
          <w:rFonts w:eastAsia="Arial Unicode MS"/>
          <w:szCs w:val="21"/>
          <w:lang w:eastAsia="it-IT" w:bidi="en-GB"/>
        </w:rPr>
        <w:t>edic attestations of the verbal root.</w:t>
      </w:r>
    </w:p>
    <w:p w14:paraId="75A4F445" w14:textId="77777777" w:rsidR="00E53EB6" w:rsidRDefault="00E53EB6">
      <w:pPr>
        <w:pStyle w:val="HaupttextohneEinzug"/>
        <w:rPr>
          <w:rFonts w:eastAsia="Arial Unicode MS"/>
          <w:szCs w:val="21"/>
          <w:lang w:eastAsia="it-IT" w:bidi="en-GB"/>
        </w:rPr>
      </w:pPr>
    </w:p>
    <w:p w14:paraId="543BEA69" w14:textId="77777777" w:rsidR="00E53EB6" w:rsidRDefault="00E53EB6">
      <w:pPr>
        <w:pStyle w:val="HaupttextohneEinzug"/>
        <w:rPr>
          <w:rFonts w:eastAsia="Arial Unicode MS"/>
          <w:szCs w:val="21"/>
          <w:lang w:eastAsia="it-IT" w:bidi="en-GB"/>
        </w:rPr>
      </w:pPr>
    </w:p>
    <w:p w14:paraId="199C94FD" w14:textId="77777777" w:rsidR="00E53EB6" w:rsidRDefault="006500F5">
      <w:pPr>
        <w:pStyle w:val="Heading4"/>
        <w:tabs>
          <w:tab w:val="left" w:pos="0"/>
        </w:tabs>
      </w:pPr>
      <w:r>
        <w:t xml:space="preserve">R̥V </w:t>
      </w:r>
      <w:r>
        <w:rPr>
          <w:i/>
        </w:rPr>
        <w:t>mantra</w:t>
      </w:r>
      <w:r>
        <w:rPr>
          <w:iCs w:val="0"/>
        </w:rPr>
        <w:t>s</w:t>
      </w:r>
    </w:p>
    <w:p w14:paraId="270C7565" w14:textId="77777777" w:rsidR="00E53EB6" w:rsidRDefault="00E53EB6">
      <w:pPr>
        <w:pStyle w:val="Hauptext"/>
      </w:pPr>
    </w:p>
    <w:p w14:paraId="2400621C" w14:textId="77777777" w:rsidR="00E53EB6" w:rsidRPr="00494885" w:rsidRDefault="006500F5">
      <w:pPr>
        <w:pStyle w:val="HaupttextohneEinzug"/>
        <w:rPr>
          <w:lang w:val="de-DE"/>
        </w:rPr>
      </w:pPr>
      <w:r>
        <w:t xml:space="preserve">The text of the </w:t>
      </w:r>
      <w:r>
        <w:rPr>
          <w:i/>
          <w:iCs/>
        </w:rPr>
        <w:t>Atharvaveda Sa</w:t>
      </w:r>
      <w:r>
        <w:rPr>
          <w:i/>
          <w:iCs/>
        </w:rPr>
        <w:t>ṃ</w:t>
      </w:r>
      <w:r>
        <w:rPr>
          <w:i/>
          <w:iCs/>
        </w:rPr>
        <w:t>hitā,</w:t>
      </w:r>
      <w:r>
        <w:t xml:space="preserve"> Śaunaka recension (AVŚ),  is after</w:t>
      </w:r>
      <w:r>
        <w:rPr>
          <w:rStyle w:val="biblio-authorGEN"/>
          <w:rFonts w:eastAsia="Arial Unicode MS" w:cs="Times Ext Roman"/>
          <w:color w:val="000000"/>
          <w:lang w:eastAsia="it-IT" w:bidi="it-IT"/>
        </w:rPr>
        <w:t xml:space="preserve"> </w:t>
      </w:r>
      <w:r>
        <w:rPr>
          <w:rFonts w:eastAsia="Arial Unicode MS" w:cs="Times Ext Roman"/>
          <w:i/>
          <w:iCs/>
          <w:color w:val="000000"/>
          <w:lang w:eastAsia="it-IT" w:bidi="it-IT"/>
        </w:rPr>
        <w:t xml:space="preserve">Atharva Veda Sanhita. </w:t>
      </w:r>
      <w:r w:rsidRPr="00494885">
        <w:rPr>
          <w:rFonts w:eastAsia="Arial Unicode MS" w:cs="Times Ext Roman"/>
          <w:i/>
          <w:iCs/>
          <w:color w:val="000000"/>
          <w:lang w:val="de-DE" w:eastAsia="it-IT" w:bidi="it-IT"/>
        </w:rPr>
        <w:t xml:space="preserve">Herausgegeben von R. Roth und W.D. Whitney, zweite verbesserte Auflage besorgt von Dr. Max Lindenau, </w:t>
      </w:r>
      <w:r w:rsidRPr="00494885">
        <w:rPr>
          <w:rFonts w:eastAsia="Arial Unicode MS" w:cs="Times Ext Roman"/>
          <w:color w:val="000000"/>
          <w:lang w:val="de-DE" w:eastAsia="it-IT" w:bidi="it-IT"/>
        </w:rPr>
        <w:t>Ferd. Dü</w:t>
      </w:r>
      <w:r w:rsidRPr="00494885">
        <w:rPr>
          <w:rFonts w:eastAsia="Arial Unicode MS" w:cs="Times Ext Roman"/>
          <w:color w:val="000000"/>
          <w:lang w:val="de-DE" w:eastAsia="it-IT" w:bidi="it-IT"/>
        </w:rPr>
        <w:t xml:space="preserve">mmlers, Berlin, 1924 and </w:t>
      </w:r>
      <w:r w:rsidRPr="00494885">
        <w:rPr>
          <w:rFonts w:eastAsia="Arial Unicode MS" w:cs="Times Ext Roman"/>
          <w:i/>
          <w:iCs/>
          <w:color w:val="000000"/>
          <w:lang w:val="de-DE" w:eastAsia="it-IT" w:bidi="it-IT"/>
        </w:rPr>
        <w:t>Atharvaveda (Śaunaka) with The pada-pā</w:t>
      </w:r>
      <w:r w:rsidRPr="00494885">
        <w:rPr>
          <w:rFonts w:eastAsia="Arial Unicode MS" w:cs="Times Ext Roman"/>
          <w:i/>
          <w:iCs/>
          <w:color w:val="000000"/>
          <w:lang w:val="de-DE" w:eastAsia="it-IT" w:bidi="it-IT"/>
        </w:rPr>
        <w:t>ṭ</w:t>
      </w:r>
      <w:r w:rsidRPr="00494885">
        <w:rPr>
          <w:rFonts w:eastAsia="Arial Unicode MS" w:cs="Times Ext Roman"/>
          <w:i/>
          <w:iCs/>
          <w:color w:val="000000"/>
          <w:lang w:val="de-DE" w:eastAsia="it-IT" w:bidi="it-IT"/>
        </w:rPr>
        <w:t>ha and Sāya</w:t>
      </w:r>
      <w:r w:rsidRPr="00494885">
        <w:rPr>
          <w:rFonts w:eastAsia="Arial Unicode MS" w:cs="Times Ext Roman"/>
          <w:i/>
          <w:iCs/>
          <w:color w:val="000000"/>
          <w:lang w:val="de-DE" w:eastAsia="it-IT" w:bidi="it-IT"/>
        </w:rPr>
        <w:t>ṇ</w:t>
      </w:r>
      <w:r w:rsidRPr="00494885">
        <w:rPr>
          <w:rFonts w:eastAsia="Arial Unicode MS" w:cs="Times Ext Roman"/>
          <w:i/>
          <w:iCs/>
          <w:color w:val="000000"/>
          <w:lang w:val="de-DE" w:eastAsia="it-IT" w:bidi="it-IT"/>
        </w:rPr>
        <w:t xml:space="preserve">ācārya’s Commentary, edited by Vishva Bandhu, </w:t>
      </w:r>
      <w:r w:rsidRPr="00494885">
        <w:rPr>
          <w:rFonts w:eastAsia="Arial Unicode MS" w:cs="Times Ext Roman"/>
          <w:color w:val="000000"/>
          <w:lang w:val="de-DE" w:eastAsia="it-IT" w:bidi="it-IT"/>
        </w:rPr>
        <w:t>Vishveshvaranand Vedic Research Institute, Hoshiarpur, 1960.</w:t>
      </w:r>
    </w:p>
    <w:p w14:paraId="3DC08B69" w14:textId="77777777" w:rsidR="00E53EB6" w:rsidRDefault="006500F5">
      <w:pPr>
        <w:pStyle w:val="HaupttextohneEinzug"/>
      </w:pPr>
      <w:r>
        <w:rPr>
          <w:rFonts w:eastAsia="Arial Unicode MS" w:cs="Times Ext Roman"/>
          <w:color w:val="000000"/>
          <w:szCs w:val="18"/>
          <w:lang w:eastAsia="it-IT" w:bidi="it-IT"/>
        </w:rPr>
        <w:t xml:space="preserve">The text of the </w:t>
      </w:r>
      <w:r>
        <w:rPr>
          <w:rFonts w:eastAsia="Arial Unicode MS" w:cs="Times Ext Roman"/>
          <w:i/>
          <w:iCs/>
          <w:color w:val="000000"/>
          <w:szCs w:val="18"/>
          <w:lang w:eastAsia="it-IT" w:bidi="it-IT"/>
        </w:rPr>
        <w:t>Atharvaveda Sa</w:t>
      </w:r>
      <w:r>
        <w:rPr>
          <w:rFonts w:eastAsia="Arial Unicode MS" w:cs="Times Ext Roman"/>
          <w:i/>
          <w:iCs/>
          <w:color w:val="000000"/>
          <w:szCs w:val="18"/>
          <w:lang w:eastAsia="it-IT" w:bidi="it-IT"/>
        </w:rPr>
        <w:t>ṃ</w:t>
      </w:r>
      <w:r>
        <w:rPr>
          <w:rFonts w:eastAsia="Arial Unicode MS" w:cs="Times Ext Roman"/>
          <w:i/>
          <w:iCs/>
          <w:color w:val="000000"/>
          <w:szCs w:val="18"/>
          <w:lang w:eastAsia="it-IT" w:bidi="it-IT"/>
        </w:rPr>
        <w:t xml:space="preserve">hitā, </w:t>
      </w:r>
      <w:r>
        <w:rPr>
          <w:rFonts w:eastAsia="Arial Unicode MS" w:cs="Times Ext Roman"/>
          <w:color w:val="000000"/>
          <w:szCs w:val="18"/>
          <w:lang w:eastAsia="it-IT" w:bidi="it-IT"/>
        </w:rPr>
        <w:t xml:space="preserve"> Paippalāda recension (AVP), is after</w:t>
      </w:r>
      <w:r>
        <w:rPr>
          <w:rStyle w:val="biblio-authorGEN"/>
          <w:rFonts w:eastAsia="Arial Unicode MS" w:cs="Times Ext Roman"/>
          <w:color w:val="000000"/>
          <w:szCs w:val="18"/>
          <w:lang w:eastAsia="it-IT" w:bidi="it-IT"/>
        </w:rPr>
        <w:t xml:space="preserve"> </w:t>
      </w:r>
      <w:r>
        <w:rPr>
          <w:rFonts w:eastAsia="Arial Unicode MS" w:cs="Times Ext Roman"/>
          <w:i/>
          <w:iCs/>
          <w:color w:val="000000"/>
          <w:szCs w:val="18"/>
          <w:lang w:eastAsia="it-IT" w:bidi="it-IT"/>
        </w:rPr>
        <w:t>Paippalāda-Sa</w:t>
      </w:r>
      <w:r>
        <w:rPr>
          <w:rFonts w:eastAsia="Arial Unicode MS" w:cs="Times Ext Roman"/>
          <w:i/>
          <w:iCs/>
          <w:color w:val="000000"/>
          <w:szCs w:val="18"/>
          <w:lang w:eastAsia="it-IT" w:bidi="it-IT"/>
        </w:rPr>
        <w:t>ṃ</w:t>
      </w:r>
      <w:r>
        <w:rPr>
          <w:rFonts w:eastAsia="Arial Unicode MS" w:cs="Times Ext Roman"/>
          <w:i/>
          <w:iCs/>
          <w:color w:val="000000"/>
          <w:szCs w:val="18"/>
          <w:lang w:eastAsia="it-IT" w:bidi="it-IT"/>
        </w:rPr>
        <w:t>hitā of the Atharvaveda. Volume one, consisting of the first fifteen Kā</w:t>
      </w:r>
      <w:r>
        <w:rPr>
          <w:rFonts w:eastAsia="Arial Unicode MS" w:cs="Times Ext Roman"/>
          <w:i/>
          <w:iCs/>
          <w:color w:val="000000"/>
          <w:szCs w:val="18"/>
          <w:lang w:eastAsia="it-IT" w:bidi="it-IT"/>
        </w:rPr>
        <w:t>ṇḍ</w:t>
      </w:r>
      <w:r>
        <w:rPr>
          <w:rFonts w:eastAsia="Arial Unicode MS" w:cs="Times Ext Roman"/>
          <w:i/>
          <w:iCs/>
          <w:color w:val="000000"/>
          <w:szCs w:val="18"/>
          <w:lang w:eastAsia="it-IT" w:bidi="it-IT"/>
        </w:rPr>
        <w:t>ās,</w:t>
      </w:r>
      <w:r>
        <w:rPr>
          <w:rFonts w:eastAsia="Arial Unicode MS" w:cs="Times Ext Roman"/>
          <w:color w:val="000000"/>
          <w:szCs w:val="18"/>
          <w:lang w:eastAsia="it-IT" w:bidi="it-IT"/>
        </w:rPr>
        <w:t xml:space="preserve"> and </w:t>
      </w:r>
      <w:r>
        <w:rPr>
          <w:rFonts w:eastAsia="Arial Unicode MS" w:cs="Times Ext Roman"/>
          <w:i/>
          <w:iCs/>
          <w:color w:val="000000"/>
          <w:szCs w:val="18"/>
          <w:lang w:eastAsia="it-IT" w:bidi="it-IT"/>
        </w:rPr>
        <w:t>Volume two, consisting of the Sixteenth Kā</w:t>
      </w:r>
      <w:r>
        <w:rPr>
          <w:rFonts w:eastAsia="Arial Unicode MS" w:cs="Times Ext Roman"/>
          <w:i/>
          <w:iCs/>
          <w:color w:val="000000"/>
          <w:szCs w:val="18"/>
          <w:lang w:eastAsia="it-IT" w:bidi="it-IT"/>
        </w:rPr>
        <w:t>ṇḍ</w:t>
      </w:r>
      <w:r>
        <w:rPr>
          <w:rFonts w:eastAsia="Arial Unicode MS" w:cs="Times Ext Roman"/>
          <w:i/>
          <w:iCs/>
          <w:color w:val="000000"/>
          <w:szCs w:val="18"/>
          <w:lang w:eastAsia="it-IT" w:bidi="it-IT"/>
        </w:rPr>
        <w:t>a. Critically edited from palmleaf manuscripts in the Oriya script discovered b</w:t>
      </w:r>
      <w:r>
        <w:rPr>
          <w:rFonts w:eastAsia="Arial Unicode MS" w:cs="Times Ext Roman"/>
          <w:i/>
          <w:iCs/>
          <w:color w:val="000000"/>
          <w:szCs w:val="18"/>
          <w:lang w:eastAsia="it-IT" w:bidi="it-IT"/>
        </w:rPr>
        <w:t xml:space="preserve">y Durgamohan Bhattacharyya and one Śaradā manuscript, </w:t>
      </w:r>
      <w:r>
        <w:rPr>
          <w:rFonts w:eastAsia="Arial Unicode MS" w:cs="Times Ext Roman"/>
          <w:color w:val="000000"/>
          <w:szCs w:val="18"/>
          <w:lang w:eastAsia="it-IT" w:bidi="it-IT"/>
        </w:rPr>
        <w:t>ed. by Dipak Bhattacharya, The Asiatic Society, Calcutta, 1997 and 2008, or, for the Kā</w:t>
      </w:r>
      <w:r>
        <w:rPr>
          <w:rFonts w:eastAsia="Arial Unicode MS" w:cs="Times Ext Roman"/>
          <w:color w:val="000000"/>
          <w:szCs w:val="18"/>
          <w:lang w:eastAsia="it-IT" w:bidi="it-IT"/>
        </w:rPr>
        <w:t>ṇḍ</w:t>
      </w:r>
      <w:r>
        <w:rPr>
          <w:rFonts w:eastAsia="Arial Unicode MS" w:cs="Times Ext Roman"/>
          <w:color w:val="000000"/>
          <w:szCs w:val="18"/>
          <w:lang w:eastAsia="it-IT" w:bidi="it-IT"/>
        </w:rPr>
        <w:t xml:space="preserve">ās seventeenth to twentieth after </w:t>
      </w:r>
      <w:r>
        <w:rPr>
          <w:rFonts w:eastAsia="Arial Unicode MS" w:cs="Times Ext Roman"/>
          <w:i/>
          <w:iCs/>
          <w:color w:val="000000"/>
          <w:szCs w:val="18"/>
          <w:lang w:eastAsia="it-IT" w:bidi="it-IT"/>
        </w:rPr>
        <w:t xml:space="preserve">The Kashmirian Atharva Veda, </w:t>
      </w:r>
      <w:r>
        <w:rPr>
          <w:rFonts w:eastAsia="Arial Unicode MS" w:cs="Times Ext Roman"/>
          <w:color w:val="000000"/>
          <w:szCs w:val="18"/>
          <w:lang w:eastAsia="it-IT" w:bidi="it-IT"/>
        </w:rPr>
        <w:t>ed by L.C. Barret, 1905-1940. The Kashmir ms. read</w:t>
      </w:r>
      <w:r>
        <w:rPr>
          <w:rFonts w:eastAsia="Arial Unicode MS" w:cs="Times Ext Roman"/>
          <w:color w:val="000000"/>
          <w:szCs w:val="18"/>
          <w:lang w:eastAsia="it-IT" w:bidi="it-IT"/>
        </w:rPr>
        <w:t xml:space="preserve">ings are indicated by K. </w:t>
      </w:r>
    </w:p>
    <w:p w14:paraId="1EB120AD" w14:textId="77777777" w:rsidR="00E53EB6" w:rsidRDefault="00E53EB6">
      <w:pPr>
        <w:pStyle w:val="HaupttextohneEinzug"/>
      </w:pPr>
    </w:p>
    <w:p w14:paraId="0C3F450C" w14:textId="77777777" w:rsidR="00E53EB6" w:rsidRDefault="006500F5">
      <w:pPr>
        <w:pStyle w:val="HaupttextohneEinzug"/>
      </w:pPr>
      <w:r>
        <w:t>Note.</w:t>
      </w:r>
    </w:p>
    <w:p w14:paraId="724899AD" w14:textId="77777777" w:rsidR="00E53EB6" w:rsidRDefault="006500F5">
      <w:pPr>
        <w:pStyle w:val="HaupttextohneEinzug"/>
      </w:pPr>
      <w:r>
        <w:t xml:space="preserve">The stanza 20.127.14 of AVŚ (quoted in Vishva Bandhu within the occurrences of </w:t>
      </w:r>
      <w:r>
        <w:rPr>
          <w:i/>
          <w:iCs/>
        </w:rPr>
        <w:t>van-</w:t>
      </w:r>
      <w:r>
        <w:t xml:space="preserve">) has not been taken into consideration. Although the Visvha Bandhu edition reads in 20.127.14.c </w:t>
      </w:r>
      <w:r>
        <w:rPr>
          <w:i/>
          <w:iCs/>
        </w:rPr>
        <w:t>vanādadhidhvano”</w:t>
      </w:r>
      <w:r>
        <w:t xml:space="preserve"> this </w:t>
      </w:r>
      <w:r>
        <w:rPr>
          <w:i/>
          <w:iCs/>
        </w:rPr>
        <w:t>pāda</w:t>
      </w:r>
      <w:r>
        <w:t xml:space="preserve"> seems corrupted.</w:t>
      </w:r>
      <w:r>
        <w:t xml:space="preserve"> Bloomflield (Vedic Concordance) reads as the other manuscripts: </w:t>
      </w:r>
      <w:r>
        <w:rPr>
          <w:i/>
          <w:iCs/>
        </w:rPr>
        <w:t>do cano dadhi</w:t>
      </w:r>
      <w:r>
        <w:rPr>
          <w:i/>
          <w:iCs/>
        </w:rPr>
        <w:t>ṣ</w:t>
      </w:r>
      <w:r>
        <w:rPr>
          <w:i/>
          <w:iCs/>
        </w:rPr>
        <w:t>va no giro</w:t>
      </w:r>
      <w:r>
        <w:t>.</w:t>
      </w:r>
    </w:p>
    <w:p w14:paraId="663C6427" w14:textId="77777777" w:rsidR="00E53EB6" w:rsidRDefault="006500F5">
      <w:pPr>
        <w:pStyle w:val="HaupttextohneEinzug"/>
      </w:pPr>
      <w:r>
        <w:t xml:space="preserve">The stanza 1.19.4 of the AVP reads </w:t>
      </w:r>
    </w:p>
    <w:p w14:paraId="35DB11FF" w14:textId="77777777" w:rsidR="00E53EB6" w:rsidRDefault="006500F5">
      <w:pPr>
        <w:pStyle w:val="Quotations"/>
        <w:rPr>
          <w:i/>
          <w:iCs/>
        </w:rPr>
      </w:pPr>
      <w:r>
        <w:rPr>
          <w:i/>
          <w:iCs/>
        </w:rPr>
        <w:t>e</w:t>
      </w:r>
      <w:r>
        <w:rPr>
          <w:i/>
          <w:iCs/>
        </w:rPr>
        <w:t>ṣ</w:t>
      </w:r>
      <w:r>
        <w:rPr>
          <w:i/>
          <w:iCs/>
        </w:rPr>
        <w:t>ā</w:t>
      </w:r>
      <w:r>
        <w:rPr>
          <w:i/>
          <w:iCs/>
        </w:rPr>
        <w:t>ṃ</w:t>
      </w:r>
      <w:r>
        <w:rPr>
          <w:i/>
          <w:iCs/>
        </w:rPr>
        <w:t xml:space="preserve"> yajñamuta varco dade </w:t>
      </w:r>
      <w:r>
        <w:rPr>
          <w:i/>
          <w:iCs/>
        </w:rPr>
        <w:t>bhareha</w:t>
      </w:r>
      <w:r>
        <w:rPr>
          <w:i/>
          <w:iCs/>
        </w:rPr>
        <w:t>ṃ</w:t>
      </w:r>
      <w:r>
        <w:rPr>
          <w:i/>
          <w:iCs/>
        </w:rPr>
        <w:t xml:space="preserve"> rāyaspo</w:t>
      </w:r>
      <w:r>
        <w:rPr>
          <w:i/>
          <w:iCs/>
        </w:rPr>
        <w:t>ṣ</w:t>
      </w:r>
      <w:r>
        <w:rPr>
          <w:i/>
          <w:iCs/>
        </w:rPr>
        <w:t>amuta vittānyagne /</w:t>
      </w:r>
    </w:p>
    <w:p w14:paraId="304E37B5" w14:textId="77777777" w:rsidR="00E53EB6" w:rsidRDefault="006500F5">
      <w:pPr>
        <w:pStyle w:val="ZitatnachZitat"/>
        <w:rPr>
          <w:i/>
          <w:iCs/>
        </w:rPr>
      </w:pPr>
      <w:r>
        <w:rPr>
          <w:i/>
          <w:iCs/>
        </w:rPr>
        <w:t>sapalā asmaddhare bhavantūttame devā jyoti</w:t>
      </w:r>
      <w:r>
        <w:rPr>
          <w:i/>
          <w:iCs/>
        </w:rPr>
        <w:t>ṣ</w:t>
      </w:r>
      <w:r>
        <w:rPr>
          <w:i/>
          <w:iCs/>
        </w:rPr>
        <w:t xml:space="preserve">i </w:t>
      </w:r>
      <w:r>
        <w:rPr>
          <w:i/>
          <w:iCs/>
        </w:rPr>
        <w:t>dhattanemam //</w:t>
      </w:r>
    </w:p>
    <w:p w14:paraId="43BBECF3" w14:textId="77777777" w:rsidR="00E53EB6" w:rsidRDefault="006500F5">
      <w:pPr>
        <w:pStyle w:val="HaupttextnachZitat"/>
      </w:pPr>
      <w:r>
        <w:t xml:space="preserve">and K. is quite corrupted, Barret supplied the words with the corresponding Śaunaka (AVŚ 1.9.4). Only the Śārada ms reads </w:t>
      </w:r>
      <w:r>
        <w:rPr>
          <w:i/>
          <w:iCs/>
        </w:rPr>
        <w:t>varco vaneya</w:t>
      </w:r>
      <w:r>
        <w:rPr>
          <w:i/>
          <w:iCs/>
        </w:rPr>
        <w:t>ṃ</w:t>
      </w:r>
      <w:r>
        <w:rPr>
          <w:i/>
          <w:iCs/>
        </w:rPr>
        <w:t xml:space="preserve"> </w:t>
      </w:r>
      <w:r>
        <w:t>in a</w:t>
      </w:r>
      <w:r>
        <w:t xml:space="preserve">. Therefore this attestation, though given in Vishva Bandhu, has not been taken into consideration. </w:t>
      </w:r>
      <w:r>
        <w:t xml:space="preserve"> </w:t>
      </w:r>
      <w:r>
        <w:t xml:space="preserve"> </w:t>
      </w:r>
    </w:p>
    <w:p w14:paraId="1B7E0A16" w14:textId="77777777" w:rsidR="00E53EB6" w:rsidRDefault="006500F5">
      <w:pPr>
        <w:pStyle w:val="HaupttextohneEinzug"/>
        <w:rPr>
          <w:szCs w:val="18"/>
        </w:rPr>
      </w:pPr>
      <w:r>
        <w:rPr>
          <w:rFonts w:eastAsia="Arial Unicode MS" w:cs="Times Ext Roman"/>
          <w:color w:val="000000"/>
          <w:szCs w:val="18"/>
          <w:lang w:eastAsia="it-IT" w:bidi="it-IT"/>
        </w:rPr>
        <w:t xml:space="preserve">The stanza AVP 8.9.8= K. 8.9.7 (again quoted in Vishva Bandhu within the occurrences of </w:t>
      </w:r>
      <w:r>
        <w:rPr>
          <w:rFonts w:eastAsia="Arial Unicode MS" w:cs="Times Ext Roman"/>
          <w:i/>
          <w:iCs/>
          <w:color w:val="000000"/>
          <w:szCs w:val="18"/>
          <w:lang w:eastAsia="it-IT" w:bidi="it-IT"/>
        </w:rPr>
        <w:t>van-</w:t>
      </w:r>
      <w:r>
        <w:rPr>
          <w:rFonts w:eastAsia="Arial Unicode MS" w:cs="Times Ext Roman"/>
          <w:color w:val="000000"/>
          <w:szCs w:val="18"/>
          <w:lang w:eastAsia="it-IT" w:bidi="it-IT"/>
        </w:rPr>
        <w:t>)</w:t>
      </w:r>
      <w:r>
        <w:rPr>
          <w:rFonts w:eastAsia="Arial Unicode MS" w:cs="Times Ext Roman"/>
          <w:i/>
          <w:iCs/>
          <w:color w:val="000000"/>
          <w:szCs w:val="18"/>
          <w:lang w:eastAsia="it-IT" w:bidi="it-IT"/>
        </w:rPr>
        <w:t xml:space="preserve"> </w:t>
      </w:r>
      <w:r>
        <w:rPr>
          <w:rFonts w:eastAsia="Arial Unicode MS" w:cs="Times Ext Roman"/>
          <w:color w:val="000000"/>
          <w:szCs w:val="18"/>
          <w:lang w:eastAsia="it-IT" w:bidi="it-IT"/>
        </w:rPr>
        <w:t xml:space="preserve">has also not been taken into consideration. Although the Kashmir ms reads </w:t>
      </w:r>
      <w:r>
        <w:rPr>
          <w:rFonts w:eastAsia="Arial Unicode MS" w:cs="Times Ext Roman"/>
          <w:i/>
          <w:iCs/>
          <w:color w:val="000000"/>
          <w:szCs w:val="18"/>
          <w:lang w:eastAsia="it-IT" w:bidi="it-IT"/>
        </w:rPr>
        <w:t>sāda</w:t>
      </w:r>
      <w:r>
        <w:rPr>
          <w:rFonts w:eastAsia="Arial Unicode MS" w:cs="Times Ext Roman"/>
          <w:i/>
          <w:iCs/>
          <w:color w:val="000000"/>
          <w:szCs w:val="18"/>
          <w:lang w:eastAsia="it-IT" w:bidi="it-IT"/>
        </w:rPr>
        <w:t>ṃ</w:t>
      </w:r>
      <w:r>
        <w:rPr>
          <w:rFonts w:eastAsia="Arial Unicode MS" w:cs="Times Ext Roman"/>
          <w:i/>
          <w:iCs/>
          <w:color w:val="000000"/>
          <w:szCs w:val="18"/>
          <w:lang w:eastAsia="it-IT" w:bidi="it-IT"/>
        </w:rPr>
        <w:t xml:space="preserve"> vanati</w:t>
      </w:r>
      <w:r>
        <w:rPr>
          <w:rFonts w:eastAsia="Arial Unicode MS" w:cs="Times Ext Roman"/>
          <w:color w:val="000000"/>
          <w:szCs w:val="18"/>
          <w:lang w:eastAsia="it-IT" w:bidi="it-IT"/>
        </w:rPr>
        <w:t xml:space="preserve">, this </w:t>
      </w:r>
      <w:r>
        <w:rPr>
          <w:rFonts w:eastAsia="Arial Unicode MS" w:cs="Times Ext Roman"/>
          <w:i/>
          <w:iCs/>
          <w:color w:val="000000"/>
          <w:szCs w:val="18"/>
          <w:lang w:eastAsia="it-IT" w:bidi="it-IT"/>
        </w:rPr>
        <w:t xml:space="preserve">pāda </w:t>
      </w:r>
      <w:r>
        <w:rPr>
          <w:rFonts w:eastAsia="Arial Unicode MS" w:cs="Times Ext Roman"/>
          <w:color w:val="000000"/>
          <w:szCs w:val="18"/>
          <w:lang w:eastAsia="it-IT" w:bidi="it-IT"/>
        </w:rPr>
        <w:t xml:space="preserve">seems corrupted. The Bhattacharya edition reads </w:t>
      </w:r>
      <w:r>
        <w:rPr>
          <w:rFonts w:eastAsia="Arial Unicode MS" w:cs="Times Ext Roman"/>
          <w:i/>
          <w:iCs/>
          <w:color w:val="000000"/>
          <w:szCs w:val="18"/>
          <w:lang w:eastAsia="it-IT" w:bidi="it-IT"/>
        </w:rPr>
        <w:t>śīram vahati</w:t>
      </w:r>
      <w:r>
        <w:rPr>
          <w:rFonts w:eastAsia="Arial Unicode MS" w:cs="Times Ext Roman"/>
          <w:color w:val="000000"/>
          <w:szCs w:val="18"/>
          <w:lang w:eastAsia="it-IT" w:bidi="it-IT"/>
        </w:rPr>
        <w:t>.</w:t>
      </w:r>
    </w:p>
    <w:p w14:paraId="4D559F5F" w14:textId="77777777" w:rsidR="00E53EB6" w:rsidRDefault="00E53EB6">
      <w:pPr>
        <w:pStyle w:val="HaupttextohneEinzug"/>
        <w:rPr>
          <w:rFonts w:eastAsia="Arial Unicode MS" w:cs="Times Ext Roman"/>
          <w:color w:val="000000"/>
          <w:szCs w:val="18"/>
          <w:lang w:eastAsia="it-IT" w:bidi="it-IT"/>
        </w:rPr>
      </w:pPr>
    </w:p>
    <w:p w14:paraId="68CFCDE2" w14:textId="77777777" w:rsidR="00E53EB6" w:rsidRDefault="00E53EB6">
      <w:pPr>
        <w:pStyle w:val="HaupttextohneEinzug"/>
      </w:pPr>
    </w:p>
    <w:p w14:paraId="071A5728" w14:textId="77777777" w:rsidR="00E53EB6" w:rsidRDefault="006500F5">
      <w:pPr>
        <w:pStyle w:val="Heading5"/>
        <w:tabs>
          <w:tab w:val="left" w:pos="0"/>
        </w:tabs>
        <w:rPr>
          <w:b/>
        </w:rPr>
      </w:pPr>
      <w:r>
        <w:rPr>
          <w:b/>
        </w:rPr>
        <w:t>Śaunaka occurrences</w:t>
      </w:r>
    </w:p>
    <w:p w14:paraId="188E5D45" w14:textId="77777777" w:rsidR="00E53EB6" w:rsidRDefault="006500F5">
      <w:pPr>
        <w:pStyle w:val="Heading5"/>
        <w:tabs>
          <w:tab w:val="left" w:pos="0"/>
        </w:tabs>
      </w:pPr>
      <w:r>
        <w:rPr>
          <w:szCs w:val="18"/>
          <w:u w:val="single"/>
        </w:rPr>
        <w:t>AVŚ 20.22.2</w:t>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p>
    <w:p w14:paraId="289CDB56" w14:textId="77777777" w:rsidR="00E53EB6" w:rsidRDefault="006500F5">
      <w:pPr>
        <w:pStyle w:val="Quotations"/>
      </w:pPr>
      <w:r>
        <w:t xml:space="preserve">20.22.2 </w:t>
      </w:r>
      <w:r>
        <w:rPr>
          <w:i/>
          <w:iCs/>
        </w:rPr>
        <w:t xml:space="preserve"> mā́ tvā mūrā́ avi</w:t>
      </w:r>
      <w:r>
        <w:rPr>
          <w:i/>
          <w:iCs/>
        </w:rPr>
        <w:t>ṣ</w:t>
      </w:r>
      <w:r>
        <w:rPr>
          <w:i/>
          <w:iCs/>
        </w:rPr>
        <w:t xml:space="preserve">yávo mópahásvāna ā́ dabhan / </w:t>
      </w:r>
    </w:p>
    <w:p w14:paraId="24973FB8" w14:textId="77777777" w:rsidR="00E53EB6" w:rsidRDefault="006500F5">
      <w:pPr>
        <w:pStyle w:val="ZitatnachZitat"/>
        <w:rPr>
          <w:i/>
          <w:iCs/>
        </w:rPr>
      </w:pPr>
      <w:r>
        <w:rPr>
          <w:i/>
          <w:iCs/>
        </w:rPr>
        <w:lastRenderedPageBreak/>
        <w:t>mā́kī</w:t>
      </w:r>
      <w:r>
        <w:rPr>
          <w:i/>
          <w:iCs/>
        </w:rPr>
        <w:t>ṃ</w:t>
      </w:r>
      <w:r>
        <w:rPr>
          <w:i/>
          <w:iCs/>
        </w:rPr>
        <w:t xml:space="preserve"> brahmadví</w:t>
      </w:r>
      <w:r>
        <w:rPr>
          <w:i/>
          <w:iCs/>
        </w:rPr>
        <w:t>ṣ</w:t>
      </w:r>
      <w:r>
        <w:rPr>
          <w:i/>
          <w:iCs/>
        </w:rPr>
        <w:t>o vana</w:t>
      </w:r>
      <w:r>
        <w:rPr>
          <w:i/>
          <w:iCs/>
        </w:rPr>
        <w:t>ḥ</w:t>
      </w:r>
      <w:r>
        <w:rPr>
          <w:i/>
          <w:iCs/>
        </w:rPr>
        <w:t xml:space="preserve"> //</w:t>
      </w:r>
    </w:p>
    <w:p w14:paraId="597448A3" w14:textId="77777777" w:rsidR="00E53EB6" w:rsidRDefault="006500F5">
      <w:pPr>
        <w:pStyle w:val="Quotations"/>
      </w:pPr>
      <w:r>
        <w:rPr>
          <w:szCs w:val="18"/>
        </w:rPr>
        <w:t>May not trick you away</w:t>
      </w:r>
      <w:r>
        <w:rPr>
          <w:rStyle w:val="FootnoteAnchor"/>
          <w:szCs w:val="18"/>
        </w:rPr>
        <w:footnoteReference w:id="539"/>
      </w:r>
      <w:r>
        <w:rPr>
          <w:szCs w:val="18"/>
        </w:rPr>
        <w:t xml:space="preserve"> the vehement </w:t>
      </w:r>
      <w:r>
        <w:rPr>
          <w:i/>
          <w:iCs/>
          <w:szCs w:val="18"/>
        </w:rPr>
        <w:t>mura</w:t>
      </w:r>
      <w:r>
        <w:rPr>
          <w:rStyle w:val="FootnoteAnchor"/>
          <w:szCs w:val="18"/>
        </w:rPr>
        <w:footnoteReference w:id="540"/>
      </w:r>
      <w:r>
        <w:rPr>
          <w:szCs w:val="18"/>
        </w:rPr>
        <w:t>, nor who laughs at yo</w:t>
      </w:r>
      <w:r>
        <w:rPr>
          <w:szCs w:val="18"/>
        </w:rPr>
        <w:t xml:space="preserve">u, </w:t>
      </w:r>
      <w:r>
        <w:rPr>
          <w:szCs w:val="18"/>
          <w:u w:val="single"/>
        </w:rPr>
        <w:t>never let enter in the circle of sacrifice</w:t>
      </w:r>
      <w:r>
        <w:rPr>
          <w:rStyle w:val="FootnoteAnchor"/>
          <w:szCs w:val="18"/>
          <w:u w:val="single"/>
        </w:rPr>
        <w:footnoteReference w:id="541"/>
      </w:r>
      <w:r>
        <w:rPr>
          <w:szCs w:val="18"/>
        </w:rPr>
        <w:t xml:space="preserve"> the brahma-haters</w:t>
      </w:r>
      <w:r>
        <w:rPr>
          <w:rStyle w:val="FootnoteAnchor"/>
          <w:szCs w:val="18"/>
        </w:rPr>
        <w:footnoteReference w:id="542"/>
      </w:r>
      <w:r>
        <w:rPr>
          <w:szCs w:val="18"/>
        </w:rPr>
        <w:t>.</w:t>
      </w:r>
    </w:p>
    <w:p w14:paraId="5D138A67" w14:textId="77777777" w:rsidR="00E53EB6" w:rsidRPr="00494885" w:rsidRDefault="006500F5">
      <w:pPr>
        <w:pStyle w:val="Quotations"/>
        <w:rPr>
          <w:lang w:val="it-IT"/>
        </w:rPr>
      </w:pPr>
      <w:r>
        <w:rPr>
          <w:i/>
          <w:iCs/>
        </w:rPr>
        <w:t>vana</w:t>
      </w:r>
      <w:r>
        <w:rPr>
          <w:i/>
          <w:iCs/>
        </w:rPr>
        <w:t>ḥ</w:t>
      </w:r>
      <w:r>
        <w:rPr>
          <w:i/>
          <w:iCs/>
        </w:rPr>
        <w:t>:</w:t>
      </w:r>
      <w:r>
        <w:t xml:space="preserve"> inj. pres. 2</w:t>
      </w:r>
      <w:r>
        <w:rPr>
          <w:vertAlign w:val="superscript"/>
        </w:rPr>
        <w:t>nd</w:t>
      </w:r>
      <w:r>
        <w:t xml:space="preserve"> sing. </w:t>
      </w:r>
      <w:r w:rsidRPr="00494885">
        <w:rPr>
          <w:lang w:val="it-IT"/>
        </w:rPr>
        <w:t>I-VI cl.</w:t>
      </w:r>
    </w:p>
    <w:p w14:paraId="51B16E8E" w14:textId="77777777" w:rsidR="00E53EB6" w:rsidRPr="00494885" w:rsidRDefault="006500F5">
      <w:pPr>
        <w:pStyle w:val="ZitatmitEinzug"/>
        <w:rPr>
          <w:szCs w:val="18"/>
          <w:lang w:val="it-IT"/>
        </w:rPr>
      </w:pPr>
      <w:r w:rsidRPr="00494885">
        <w:rPr>
          <w:szCs w:val="18"/>
          <w:lang w:val="it-IT"/>
        </w:rPr>
        <w:t>Sāya</w:t>
      </w:r>
      <w:r w:rsidRPr="00494885">
        <w:rPr>
          <w:szCs w:val="18"/>
          <w:lang w:val="it-IT"/>
        </w:rPr>
        <w:t>ṇ</w:t>
      </w:r>
      <w:r w:rsidRPr="00494885">
        <w:rPr>
          <w:szCs w:val="18"/>
          <w:lang w:val="it-IT"/>
        </w:rPr>
        <w:t>a:</w:t>
      </w:r>
      <w:r w:rsidRPr="00494885">
        <w:rPr>
          <w:szCs w:val="18"/>
          <w:lang w:val="it-IT"/>
        </w:rPr>
        <w:t xml:space="preserve"> “mā vana</w:t>
      </w:r>
      <w:r w:rsidRPr="00494885">
        <w:rPr>
          <w:szCs w:val="18"/>
          <w:lang w:val="it-IT"/>
        </w:rPr>
        <w:t>ḥ</w:t>
      </w:r>
      <w:r w:rsidRPr="00494885">
        <w:rPr>
          <w:szCs w:val="18"/>
          <w:lang w:val="it-IT"/>
        </w:rPr>
        <w:t xml:space="preserve"> mā bhajetā</w:t>
      </w:r>
      <w:r w:rsidRPr="00494885">
        <w:rPr>
          <w:szCs w:val="18"/>
          <w:lang w:val="it-IT"/>
        </w:rPr>
        <w:t>ḥ</w:t>
      </w:r>
      <w:r w:rsidRPr="00494885">
        <w:rPr>
          <w:szCs w:val="18"/>
          <w:lang w:val="it-IT"/>
        </w:rPr>
        <w:t>”</w:t>
      </w:r>
    </w:p>
    <w:p w14:paraId="1EEB0EF6" w14:textId="77777777" w:rsidR="00E53EB6" w:rsidRPr="00494885" w:rsidRDefault="006500F5">
      <w:pPr>
        <w:pStyle w:val="ZitatmitEinzug"/>
        <w:rPr>
          <w:szCs w:val="18"/>
          <w:lang w:val="de-DE"/>
        </w:rPr>
      </w:pPr>
      <w:r w:rsidRPr="00494885">
        <w:rPr>
          <w:rStyle w:val="biblio-authorGEN"/>
          <w:sz w:val="18"/>
          <w:szCs w:val="18"/>
          <w:lang w:val="de-DE"/>
        </w:rPr>
        <w:t>Geldner:</w:t>
      </w:r>
      <w:r w:rsidRPr="00494885">
        <w:rPr>
          <w:szCs w:val="18"/>
          <w:lang w:val="de-DE"/>
        </w:rPr>
        <w:t xml:space="preserve"> II 362 “vorziehen”</w:t>
      </w:r>
    </w:p>
    <w:p w14:paraId="3AA9B0E2" w14:textId="77777777" w:rsidR="00E53EB6" w:rsidRPr="00494885" w:rsidRDefault="006500F5">
      <w:pPr>
        <w:pStyle w:val="ZitatmitEinzug"/>
        <w:rPr>
          <w:szCs w:val="18"/>
          <w:lang w:val="de-DE"/>
        </w:rPr>
      </w:pPr>
      <w:r w:rsidRPr="00494885">
        <w:rPr>
          <w:rStyle w:val="biblio-authorGEN"/>
          <w:sz w:val="18"/>
          <w:szCs w:val="18"/>
          <w:lang w:val="de-DE"/>
        </w:rPr>
        <w:t xml:space="preserve">Renou: </w:t>
      </w:r>
      <w:r w:rsidRPr="00494885">
        <w:rPr>
          <w:szCs w:val="18"/>
          <w:lang w:val="de-DE"/>
        </w:rPr>
        <w:t>XII 77-8 N. 13 “n’attire pas à toi”</w:t>
      </w:r>
    </w:p>
    <w:p w14:paraId="1AF3ACD0" w14:textId="77777777" w:rsidR="00E53EB6" w:rsidRPr="00494885" w:rsidRDefault="006500F5">
      <w:pPr>
        <w:pStyle w:val="ZitatmitEinzug"/>
        <w:rPr>
          <w:szCs w:val="18"/>
          <w:lang w:val="de-DE"/>
        </w:rPr>
      </w:pPr>
      <w:r w:rsidRPr="00494885">
        <w:rPr>
          <w:rStyle w:val="biblio-authorGEN"/>
          <w:sz w:val="18"/>
          <w:szCs w:val="18"/>
          <w:lang w:val="de-DE"/>
        </w:rPr>
        <w:t>Migron 1</w:t>
      </w:r>
      <w:r w:rsidRPr="00494885">
        <w:rPr>
          <w:szCs w:val="18"/>
          <w:lang w:val="de-DE"/>
        </w:rPr>
        <w:t>980: 270 “get”</w:t>
      </w:r>
    </w:p>
    <w:p w14:paraId="113971D2" w14:textId="77777777" w:rsidR="00E53EB6" w:rsidRPr="00494885" w:rsidRDefault="006500F5">
      <w:pPr>
        <w:pStyle w:val="ZitatmitEinzug"/>
        <w:rPr>
          <w:szCs w:val="18"/>
          <w:lang w:val="de-DE"/>
        </w:rPr>
      </w:pPr>
      <w:r w:rsidRPr="00494885">
        <w:rPr>
          <w:rStyle w:val="biblio-authorGEN"/>
          <w:sz w:val="18"/>
          <w:szCs w:val="18"/>
          <w:lang w:val="de-DE"/>
        </w:rPr>
        <w:t>Gotō</w:t>
      </w:r>
      <w:r w:rsidRPr="00494885">
        <w:rPr>
          <w:szCs w:val="18"/>
          <w:lang w:val="de-DE"/>
        </w:rPr>
        <w:t xml:space="preserve"> 1987: 284 “finde Gefallen” </w:t>
      </w:r>
    </w:p>
    <w:p w14:paraId="63D038FD" w14:textId="77777777" w:rsidR="00E53EB6" w:rsidRDefault="006500F5">
      <w:pPr>
        <w:pStyle w:val="ZitatmitEinzug"/>
        <w:rPr>
          <w:szCs w:val="18"/>
        </w:rPr>
      </w:pPr>
      <w:r>
        <w:rPr>
          <w:rStyle w:val="biblio-authorGEN"/>
          <w:sz w:val="18"/>
          <w:szCs w:val="18"/>
        </w:rPr>
        <w:t xml:space="preserve">Hoffmann </w:t>
      </w:r>
      <w:r>
        <w:rPr>
          <w:szCs w:val="18"/>
        </w:rPr>
        <w:t>1967: 87 “liebe”. He also speculates the thematization of an ancient root aorist that would then convey a prohibitive-preventiv meaning: “finde nicht Gefall an”</w:t>
      </w:r>
    </w:p>
    <w:p w14:paraId="4627287D" w14:textId="77777777" w:rsidR="00E53EB6" w:rsidRDefault="006500F5">
      <w:pPr>
        <w:pStyle w:val="ZitatmitEinzug"/>
        <w:rPr>
          <w:szCs w:val="18"/>
        </w:rPr>
      </w:pPr>
      <w:r>
        <w:rPr>
          <w:rStyle w:val="biblio-authorGEN"/>
          <w:sz w:val="18"/>
          <w:szCs w:val="18"/>
        </w:rPr>
        <w:t>Insler</w:t>
      </w:r>
      <w:r>
        <w:rPr>
          <w:szCs w:val="18"/>
        </w:rPr>
        <w:t xml:space="preserve"> 1969: 22-3 “do not long for”</w:t>
      </w:r>
    </w:p>
    <w:p w14:paraId="6749106F" w14:textId="77777777" w:rsidR="00E53EB6" w:rsidRPr="00494885" w:rsidRDefault="006500F5">
      <w:pPr>
        <w:pStyle w:val="HaupttextnachZitat"/>
        <w:rPr>
          <w:lang w:val="it-IT"/>
        </w:rPr>
      </w:pPr>
      <w:r w:rsidRPr="00494885">
        <w:rPr>
          <w:lang w:val="it-IT"/>
        </w:rPr>
        <w:t>Vedic Web</w:t>
      </w:r>
    </w:p>
    <w:p w14:paraId="79086809" w14:textId="77777777" w:rsidR="00E53EB6" w:rsidRPr="00494885" w:rsidRDefault="006500F5">
      <w:pPr>
        <w:pStyle w:val="HaupttextohneEinzug"/>
        <w:rPr>
          <w:szCs w:val="18"/>
          <w:lang w:val="it-IT"/>
        </w:rPr>
      </w:pPr>
      <w:r w:rsidRPr="00494885">
        <w:rPr>
          <w:szCs w:val="18"/>
          <w:lang w:val="it-IT"/>
        </w:rPr>
        <w:t xml:space="preserve">Mantra: </w:t>
      </w:r>
      <w:r w:rsidRPr="00494885">
        <w:rPr>
          <w:szCs w:val="21"/>
          <w:lang w:val="it-IT"/>
        </w:rPr>
        <w:t>R̥V</w:t>
      </w:r>
      <w:r w:rsidRPr="00494885">
        <w:rPr>
          <w:szCs w:val="21"/>
          <w:lang w:val="it-IT"/>
        </w:rPr>
        <w:t xml:space="preserve"> 8.45.23; SV 2.82.</w:t>
      </w:r>
    </w:p>
    <w:p w14:paraId="528C08D2" w14:textId="77777777" w:rsidR="00E53EB6" w:rsidRPr="00494885" w:rsidRDefault="00E53EB6">
      <w:pPr>
        <w:pStyle w:val="HaupttextohneEinzug"/>
        <w:rPr>
          <w:szCs w:val="18"/>
          <w:lang w:val="it-IT"/>
        </w:rPr>
      </w:pPr>
    </w:p>
    <w:p w14:paraId="613B3B53" w14:textId="77777777" w:rsidR="00E53EB6" w:rsidRDefault="006500F5">
      <w:pPr>
        <w:pStyle w:val="HaupttextohneEinzug"/>
        <w:rPr>
          <w:szCs w:val="18"/>
        </w:rPr>
      </w:pPr>
      <w:r>
        <w:rPr>
          <w:szCs w:val="18"/>
        </w:rPr>
        <w:t>Rite</w:t>
      </w:r>
    </w:p>
    <w:p w14:paraId="385FD397" w14:textId="77777777" w:rsidR="00E53EB6" w:rsidRDefault="006500F5">
      <w:pPr>
        <w:pStyle w:val="HaupttextohneEinzug"/>
        <w:rPr>
          <w:szCs w:val="18"/>
        </w:rPr>
      </w:pPr>
      <w:r>
        <w:rPr>
          <w:i/>
          <w:iCs/>
          <w:szCs w:val="18"/>
        </w:rPr>
        <w:t>Atirātra</w:t>
      </w:r>
      <w:r>
        <w:rPr>
          <w:szCs w:val="18"/>
        </w:rPr>
        <w:t>, a form of Soma sacrifice mainly to Indra.</w:t>
      </w:r>
    </w:p>
    <w:p w14:paraId="4F452C09" w14:textId="77777777" w:rsidR="00E53EB6" w:rsidRDefault="006500F5">
      <w:pPr>
        <w:pStyle w:val="HaupttextohneEinzug"/>
        <w:rPr>
          <w:szCs w:val="18"/>
        </w:rPr>
      </w:pPr>
      <w:r>
        <w:rPr>
          <w:szCs w:val="18"/>
        </w:rPr>
        <w:t xml:space="preserve">This stanza is the one we have already found when we analysed the ritual meaning within the </w:t>
      </w:r>
      <w:r>
        <w:rPr>
          <w:i/>
          <w:iCs/>
          <w:szCs w:val="18"/>
        </w:rPr>
        <w:t>R̥gveda Sa</w:t>
      </w:r>
      <w:r>
        <w:rPr>
          <w:i/>
          <w:iCs/>
          <w:szCs w:val="18"/>
        </w:rPr>
        <w:t>ṃ</w:t>
      </w:r>
      <w:r>
        <w:rPr>
          <w:i/>
          <w:iCs/>
          <w:szCs w:val="18"/>
        </w:rPr>
        <w:t xml:space="preserve">hitā, </w:t>
      </w:r>
      <w:r>
        <w:rPr>
          <w:szCs w:val="18"/>
        </w:rPr>
        <w:t xml:space="preserve">and we have noticed that in this case the others meaning given for the verb </w:t>
      </w:r>
      <w:r>
        <w:rPr>
          <w:i/>
          <w:iCs/>
          <w:szCs w:val="18"/>
        </w:rPr>
        <w:t>van-</w:t>
      </w:r>
      <w:r>
        <w:rPr>
          <w:szCs w:val="18"/>
        </w:rPr>
        <w:t xml:space="preserve"> (to win, to desire) were quite not matching the context of the ver</w:t>
      </w:r>
      <w:r>
        <w:rPr>
          <w:szCs w:val="18"/>
        </w:rPr>
        <w:t xml:space="preserve">ses. </w:t>
      </w:r>
    </w:p>
    <w:p w14:paraId="2BB7297E" w14:textId="77777777" w:rsidR="00E53EB6" w:rsidRDefault="00E53EB6">
      <w:pPr>
        <w:pStyle w:val="HaupttextohneEinzug"/>
        <w:rPr>
          <w:szCs w:val="18"/>
          <w:shd w:val="clear" w:color="auto" w:fill="FF6633"/>
        </w:rPr>
      </w:pPr>
    </w:p>
    <w:p w14:paraId="2CBF808B" w14:textId="77777777" w:rsidR="00E53EB6" w:rsidRDefault="00E53EB6">
      <w:pPr>
        <w:pStyle w:val="HaupttextohneEinzug"/>
        <w:rPr>
          <w:szCs w:val="18"/>
          <w:shd w:val="clear" w:color="auto" w:fill="FF6633"/>
        </w:rPr>
      </w:pPr>
    </w:p>
    <w:p w14:paraId="49B3300F" w14:textId="77777777" w:rsidR="00E53EB6" w:rsidRDefault="006500F5">
      <w:pPr>
        <w:pStyle w:val="Heading5"/>
        <w:tabs>
          <w:tab w:val="left" w:pos="0"/>
        </w:tabs>
      </w:pPr>
      <w:r>
        <w:rPr>
          <w:szCs w:val="18"/>
          <w:u w:val="single"/>
        </w:rPr>
        <w:t>AVŚ 20.30.1</w:t>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p>
    <w:p w14:paraId="7A4787F0" w14:textId="77777777" w:rsidR="00E53EB6" w:rsidRDefault="006500F5">
      <w:pPr>
        <w:pStyle w:val="Quotations"/>
      </w:pPr>
      <w:r>
        <w:t xml:space="preserve">20.30.1 </w:t>
      </w:r>
      <w:r>
        <w:rPr>
          <w:i/>
          <w:iCs/>
        </w:rPr>
        <w:t xml:space="preserve"> prá te mahé vidáthe śa</w:t>
      </w:r>
      <w:r>
        <w:rPr>
          <w:i/>
          <w:iCs/>
        </w:rPr>
        <w:t>ṃ</w:t>
      </w:r>
      <w:r>
        <w:rPr>
          <w:i/>
          <w:iCs/>
        </w:rPr>
        <w:t>si</w:t>
      </w:r>
      <w:r>
        <w:rPr>
          <w:i/>
          <w:iCs/>
        </w:rPr>
        <w:t>ṣ</w:t>
      </w:r>
      <w:r>
        <w:rPr>
          <w:i/>
          <w:iCs/>
        </w:rPr>
        <w:t>a</w:t>
      </w:r>
      <w:r>
        <w:rPr>
          <w:i/>
          <w:iCs/>
        </w:rPr>
        <w:t>ṃ</w:t>
      </w:r>
      <w:r>
        <w:rPr>
          <w:i/>
          <w:iCs/>
        </w:rPr>
        <w:t xml:space="preserve"> hárī prá te vanve vanú</w:t>
      </w:r>
      <w:r>
        <w:rPr>
          <w:i/>
          <w:iCs/>
        </w:rPr>
        <w:t>ṣ</w:t>
      </w:r>
      <w:r>
        <w:rPr>
          <w:i/>
          <w:iCs/>
        </w:rPr>
        <w:t>o haryatá</w:t>
      </w:r>
      <w:r>
        <w:rPr>
          <w:i/>
          <w:iCs/>
        </w:rPr>
        <w:t>ṃ</w:t>
      </w:r>
      <w:r>
        <w:rPr>
          <w:i/>
          <w:iCs/>
        </w:rPr>
        <w:t xml:space="preserve"> mádam / </w:t>
      </w:r>
    </w:p>
    <w:p w14:paraId="2536EFE2" w14:textId="77777777" w:rsidR="00E53EB6" w:rsidRDefault="006500F5">
      <w:pPr>
        <w:pStyle w:val="ZitatnachZitat"/>
        <w:rPr>
          <w:i/>
          <w:iCs/>
        </w:rPr>
      </w:pPr>
      <w:r>
        <w:rPr>
          <w:i/>
          <w:iCs/>
        </w:rPr>
        <w:t>ghr̥tá</w:t>
      </w:r>
      <w:r>
        <w:rPr>
          <w:i/>
          <w:iCs/>
        </w:rPr>
        <w:t>ṃ</w:t>
      </w:r>
      <w:r>
        <w:rPr>
          <w:i/>
          <w:iCs/>
        </w:rPr>
        <w:t xml:space="preserve"> ná yó háribhiścā́ru sécata ā́ tvā viśantu hárivarpasa</w:t>
      </w:r>
      <w:r>
        <w:rPr>
          <w:i/>
          <w:iCs/>
        </w:rPr>
        <w:t>ṃ</w:t>
      </w:r>
      <w:r>
        <w:rPr>
          <w:i/>
          <w:iCs/>
        </w:rPr>
        <w:t xml:space="preserve"> gíra</w:t>
      </w:r>
      <w:r>
        <w:rPr>
          <w:i/>
          <w:iCs/>
        </w:rPr>
        <w:t>ḥ</w:t>
      </w:r>
      <w:r>
        <w:rPr>
          <w:i/>
          <w:iCs/>
        </w:rPr>
        <w:t xml:space="preserve"> //</w:t>
      </w:r>
    </w:p>
    <w:p w14:paraId="479D87F1" w14:textId="77777777" w:rsidR="00E53EB6" w:rsidRDefault="006500F5">
      <w:pPr>
        <w:pStyle w:val="Zitat"/>
      </w:pPr>
      <w:r>
        <w:rPr>
          <w:lang w:eastAsia="hi-IN"/>
        </w:rPr>
        <w:t>May I invoke in the great meeting [rite]</w:t>
      </w:r>
      <w:r>
        <w:rPr>
          <w:rStyle w:val="FootnoteAnchor"/>
          <w:lang w:eastAsia="hi-IN"/>
        </w:rPr>
        <w:footnoteReference w:id="543"/>
      </w:r>
      <w:r>
        <w:rPr>
          <w:lang w:eastAsia="hi-IN"/>
        </w:rPr>
        <w:t xml:space="preserve"> your two steeds, I </w:t>
      </w:r>
      <w:r>
        <w:rPr>
          <w:u w:val="single"/>
          <w:lang w:eastAsia="hi-IN"/>
        </w:rPr>
        <w:t xml:space="preserve">appropriate </w:t>
      </w:r>
      <w:r>
        <w:rPr>
          <w:u w:val="single"/>
          <w:lang w:eastAsia="hi-IN"/>
        </w:rPr>
        <w:t>for my self</w:t>
      </w:r>
      <w:r>
        <w:rPr>
          <w:lang w:eastAsia="hi-IN"/>
        </w:rPr>
        <w:t xml:space="preserve"> the intoxicating drink dear to you </w:t>
      </w:r>
      <w:r>
        <w:rPr>
          <w:lang w:eastAsia="hi-IN"/>
        </w:rPr>
        <w:t>who desire to appropriate i</w:t>
      </w:r>
      <w:r>
        <w:rPr>
          <w:lang w:eastAsia="hi-IN"/>
        </w:rPr>
        <w:t>t which, pleasant as clarified butter, together with the golden ones</w:t>
      </w:r>
      <w:r>
        <w:rPr>
          <w:rStyle w:val="FootnoteAnchor"/>
          <w:lang w:eastAsia="hi-IN"/>
        </w:rPr>
        <w:footnoteReference w:id="544"/>
      </w:r>
      <w:r>
        <w:rPr>
          <w:lang w:eastAsia="hi-IN"/>
        </w:rPr>
        <w:t>, pours out; the chants should arrive to you who have the colour of gold.</w:t>
      </w:r>
    </w:p>
    <w:p w14:paraId="01751666" w14:textId="77777777" w:rsidR="00E53EB6" w:rsidRPr="00494885" w:rsidRDefault="006500F5">
      <w:pPr>
        <w:pStyle w:val="Zitat"/>
        <w:autoSpaceDE w:val="0"/>
        <w:rPr>
          <w:lang w:val="it-IT" w:eastAsia="hi-IN"/>
        </w:rPr>
      </w:pPr>
      <w:r>
        <w:rPr>
          <w:i/>
          <w:iCs/>
          <w:lang w:eastAsia="hi-IN"/>
        </w:rPr>
        <w:t xml:space="preserve">prá vanve: </w:t>
      </w:r>
      <w:r>
        <w:rPr>
          <w:lang w:eastAsia="hi-IN"/>
        </w:rPr>
        <w:t>ind. pres. 1</w:t>
      </w:r>
      <w:r>
        <w:rPr>
          <w:vertAlign w:val="superscript"/>
          <w:lang w:eastAsia="hi-IN"/>
        </w:rPr>
        <w:t>st</w:t>
      </w:r>
      <w:r>
        <w:rPr>
          <w:lang w:eastAsia="hi-IN"/>
        </w:rPr>
        <w:t xml:space="preserve"> sing. </w:t>
      </w:r>
      <w:r w:rsidRPr="00494885">
        <w:rPr>
          <w:lang w:val="it-IT" w:eastAsia="hi-IN"/>
        </w:rPr>
        <w:t>Ā VIII cl.</w:t>
      </w:r>
    </w:p>
    <w:p w14:paraId="03E90579" w14:textId="77777777" w:rsidR="00E53EB6" w:rsidRPr="00494885" w:rsidRDefault="006500F5">
      <w:pPr>
        <w:pStyle w:val="ZitatmitEinzug"/>
        <w:rPr>
          <w:szCs w:val="15"/>
          <w:lang w:val="it-IT"/>
        </w:rPr>
      </w:pPr>
      <w:r w:rsidRPr="00494885">
        <w:rPr>
          <w:szCs w:val="15"/>
          <w:lang w:val="it-IT"/>
        </w:rPr>
        <w:lastRenderedPageBreak/>
        <w:t>Sāya</w:t>
      </w:r>
      <w:r w:rsidRPr="00494885">
        <w:rPr>
          <w:szCs w:val="15"/>
          <w:lang w:val="it-IT"/>
        </w:rPr>
        <w:t>ṇ</w:t>
      </w:r>
      <w:r w:rsidRPr="00494885">
        <w:rPr>
          <w:szCs w:val="15"/>
          <w:lang w:val="it-IT"/>
        </w:rPr>
        <w:t>a: “pra vanve prayāce”</w:t>
      </w:r>
    </w:p>
    <w:p w14:paraId="1D83B233" w14:textId="77777777" w:rsidR="00E53EB6" w:rsidRPr="00494885" w:rsidRDefault="006500F5">
      <w:pPr>
        <w:pStyle w:val="ZitatmitEinzug"/>
        <w:rPr>
          <w:lang w:val="de-DE"/>
        </w:rPr>
      </w:pPr>
      <w:r w:rsidRPr="00494885">
        <w:rPr>
          <w:rStyle w:val="biblio-authorGEN"/>
          <w:sz w:val="18"/>
          <w:szCs w:val="15"/>
          <w:lang w:val="de-DE"/>
        </w:rPr>
        <w:t>Geldner</w:t>
      </w:r>
      <w:r w:rsidRPr="00494885">
        <w:rPr>
          <w:lang w:val="de-DE"/>
        </w:rPr>
        <w:t>: III 304 “habe Gewinn”</w:t>
      </w:r>
    </w:p>
    <w:p w14:paraId="60581930" w14:textId="77777777" w:rsidR="00E53EB6" w:rsidRPr="00494885" w:rsidRDefault="00E53EB6">
      <w:pPr>
        <w:pStyle w:val="ZitatmitEinzug"/>
        <w:rPr>
          <w:lang w:val="de-DE"/>
        </w:rPr>
      </w:pPr>
    </w:p>
    <w:p w14:paraId="2ECB2C01" w14:textId="77777777" w:rsidR="00E53EB6" w:rsidRPr="00494885" w:rsidRDefault="006500F5">
      <w:pPr>
        <w:pStyle w:val="Zitat"/>
        <w:autoSpaceDE w:val="0"/>
        <w:rPr>
          <w:lang w:val="de-DE" w:eastAsia="hi-IN"/>
        </w:rPr>
      </w:pPr>
      <w:r w:rsidRPr="00494885">
        <w:rPr>
          <w:i/>
          <w:iCs/>
          <w:lang w:val="de-DE" w:eastAsia="hi-IN"/>
        </w:rPr>
        <w:t>vanú</w:t>
      </w:r>
      <w:r w:rsidRPr="00494885">
        <w:rPr>
          <w:i/>
          <w:iCs/>
          <w:lang w:val="de-DE" w:eastAsia="hi-IN"/>
        </w:rPr>
        <w:t>ṣ</w:t>
      </w:r>
      <w:r w:rsidRPr="00494885">
        <w:rPr>
          <w:i/>
          <w:iCs/>
          <w:lang w:val="de-DE" w:eastAsia="hi-IN"/>
        </w:rPr>
        <w:t>a</w:t>
      </w:r>
      <w:r w:rsidRPr="00494885">
        <w:rPr>
          <w:i/>
          <w:iCs/>
          <w:lang w:val="de-DE" w:eastAsia="hi-IN"/>
        </w:rPr>
        <w:t>ḥ</w:t>
      </w:r>
      <w:r w:rsidRPr="00494885">
        <w:rPr>
          <w:i/>
          <w:iCs/>
          <w:lang w:val="de-DE" w:eastAsia="hi-IN"/>
        </w:rPr>
        <w:t xml:space="preserve">: </w:t>
      </w:r>
      <w:r w:rsidRPr="00494885">
        <w:rPr>
          <w:lang w:val="de-DE" w:eastAsia="hi-IN"/>
        </w:rPr>
        <w:t xml:space="preserve">gen. masc. sing. from </w:t>
      </w:r>
      <w:r w:rsidRPr="00494885">
        <w:rPr>
          <w:i/>
          <w:iCs/>
          <w:lang w:val="de-DE" w:eastAsia="hi-IN"/>
        </w:rPr>
        <w:t>vanús</w:t>
      </w:r>
    </w:p>
    <w:p w14:paraId="4363F130" w14:textId="77777777" w:rsidR="00E53EB6" w:rsidRPr="00494885" w:rsidRDefault="006500F5">
      <w:pPr>
        <w:pStyle w:val="ZitatmitEinzug"/>
        <w:rPr>
          <w:szCs w:val="18"/>
          <w:lang w:val="de-DE"/>
        </w:rPr>
      </w:pPr>
      <w:r w:rsidRPr="00494885">
        <w:rPr>
          <w:szCs w:val="18"/>
          <w:lang w:val="de-DE"/>
        </w:rPr>
        <w:t>Sāya</w:t>
      </w:r>
      <w:r w:rsidRPr="00494885">
        <w:rPr>
          <w:szCs w:val="18"/>
          <w:lang w:val="de-DE"/>
        </w:rPr>
        <w:t>ṇ</w:t>
      </w:r>
      <w:r w:rsidRPr="00494885">
        <w:rPr>
          <w:szCs w:val="18"/>
          <w:lang w:val="de-DE"/>
        </w:rPr>
        <w:t>a: “</w:t>
      </w:r>
      <w:r w:rsidRPr="00494885">
        <w:rPr>
          <w:szCs w:val="18"/>
          <w:lang w:val="de-DE"/>
        </w:rPr>
        <w:t>śatruhi</w:t>
      </w:r>
      <w:r w:rsidRPr="00494885">
        <w:rPr>
          <w:szCs w:val="18"/>
          <w:lang w:val="de-DE"/>
        </w:rPr>
        <w:t>ṃ</w:t>
      </w:r>
      <w:r w:rsidRPr="00494885">
        <w:rPr>
          <w:szCs w:val="18"/>
          <w:lang w:val="de-DE"/>
        </w:rPr>
        <w:t>sakasya yācyamānasya vā”</w:t>
      </w:r>
    </w:p>
    <w:p w14:paraId="6C289B92" w14:textId="77777777" w:rsidR="00E53EB6" w:rsidRPr="00494885" w:rsidRDefault="006500F5">
      <w:pPr>
        <w:pStyle w:val="ZitatmitEinzug"/>
        <w:rPr>
          <w:szCs w:val="18"/>
          <w:lang w:val="de-DE"/>
        </w:rPr>
      </w:pPr>
      <w:r w:rsidRPr="00494885">
        <w:rPr>
          <w:rStyle w:val="biblio-authorGEN"/>
          <w:sz w:val="18"/>
          <w:szCs w:val="18"/>
          <w:lang w:val="de-DE"/>
        </w:rPr>
        <w:t>Geldner</w:t>
      </w:r>
      <w:r w:rsidRPr="00494885">
        <w:rPr>
          <w:szCs w:val="18"/>
          <w:lang w:val="de-DE"/>
        </w:rPr>
        <w:t>: III 304 “Eifrigen”</w:t>
      </w:r>
    </w:p>
    <w:p w14:paraId="6CE527C6" w14:textId="77777777" w:rsidR="00E53EB6" w:rsidRPr="00494885" w:rsidRDefault="00E53EB6">
      <w:pPr>
        <w:pStyle w:val="ZitatmitEinzug"/>
        <w:rPr>
          <w:szCs w:val="18"/>
          <w:shd w:val="clear" w:color="auto" w:fill="FF6633"/>
          <w:lang w:val="de-DE"/>
        </w:rPr>
      </w:pPr>
    </w:p>
    <w:p w14:paraId="2E33BAF6" w14:textId="77777777" w:rsidR="00E53EB6" w:rsidRPr="00494885" w:rsidRDefault="006500F5">
      <w:pPr>
        <w:pStyle w:val="HaupttextnachZitat"/>
        <w:rPr>
          <w:lang w:val="it-IT"/>
        </w:rPr>
      </w:pPr>
      <w:r w:rsidRPr="00494885">
        <w:rPr>
          <w:lang w:val="it-IT"/>
        </w:rPr>
        <w:t>Vedic Web</w:t>
      </w:r>
    </w:p>
    <w:p w14:paraId="119835BA" w14:textId="77777777" w:rsidR="00E53EB6" w:rsidRPr="00494885" w:rsidRDefault="006500F5">
      <w:pPr>
        <w:pStyle w:val="HaupttextohneEinzug"/>
        <w:rPr>
          <w:szCs w:val="18"/>
          <w:lang w:val="it-IT"/>
        </w:rPr>
      </w:pPr>
      <w:r w:rsidRPr="00494885">
        <w:rPr>
          <w:szCs w:val="18"/>
          <w:lang w:val="it-IT"/>
        </w:rPr>
        <w:t>Mantra: R̥V 10.96.1</w:t>
      </w:r>
      <w:r w:rsidRPr="00494885">
        <w:rPr>
          <w:szCs w:val="21"/>
          <w:lang w:val="it-IT"/>
        </w:rPr>
        <w:t xml:space="preserve">; </w:t>
      </w:r>
      <w:r w:rsidRPr="00494885">
        <w:rPr>
          <w:rFonts w:eastAsia="Arial" w:cs="Times Ext Roman"/>
          <w:szCs w:val="21"/>
          <w:lang w:val="it-IT" w:eastAsia="hi-IN" w:bidi="en-GB"/>
        </w:rPr>
        <w:t xml:space="preserve">TB 2.4.3.10-(11); </w:t>
      </w:r>
      <w:r w:rsidRPr="00494885">
        <w:rPr>
          <w:rFonts w:eastAsia="Arial" w:cs="Times Ext Roman"/>
          <w:szCs w:val="21"/>
          <w:lang w:val="it-IT" w:eastAsia="hi-IN" w:bidi="en-GB"/>
        </w:rPr>
        <w:t>TB 3.7.9.6.</w:t>
      </w:r>
    </w:p>
    <w:p w14:paraId="1751E98E" w14:textId="77777777" w:rsidR="00E53EB6" w:rsidRPr="00494885" w:rsidRDefault="00E53EB6">
      <w:pPr>
        <w:pStyle w:val="HaupttextohneEinzug"/>
        <w:rPr>
          <w:szCs w:val="18"/>
          <w:lang w:val="it-IT"/>
        </w:rPr>
      </w:pPr>
    </w:p>
    <w:p w14:paraId="3C799CEA" w14:textId="77777777" w:rsidR="00E53EB6" w:rsidRDefault="006500F5">
      <w:pPr>
        <w:pStyle w:val="HaupttextohneEinzug"/>
        <w:rPr>
          <w:szCs w:val="18"/>
        </w:rPr>
      </w:pPr>
      <w:r>
        <w:rPr>
          <w:szCs w:val="18"/>
        </w:rPr>
        <w:t>Rite</w:t>
      </w:r>
    </w:p>
    <w:p w14:paraId="20859CEB" w14:textId="77777777" w:rsidR="00E53EB6" w:rsidRDefault="006500F5">
      <w:pPr>
        <w:pStyle w:val="HaupttextohneEinzug"/>
        <w:rPr>
          <w:szCs w:val="18"/>
        </w:rPr>
      </w:pPr>
      <w:r>
        <w:rPr>
          <w:i/>
          <w:iCs/>
          <w:szCs w:val="18"/>
        </w:rPr>
        <w:t>Atirātra</w:t>
      </w:r>
      <w:r>
        <w:rPr>
          <w:szCs w:val="18"/>
        </w:rPr>
        <w:t>, a form of Soma sacrifice mainly to Indra.</w:t>
      </w:r>
    </w:p>
    <w:p w14:paraId="40E1AA07" w14:textId="77777777" w:rsidR="00E53EB6" w:rsidRDefault="00E53EB6">
      <w:pPr>
        <w:pStyle w:val="HaupttextohneEinzug"/>
        <w:rPr>
          <w:szCs w:val="18"/>
        </w:rPr>
      </w:pPr>
    </w:p>
    <w:p w14:paraId="2C44B366" w14:textId="77777777" w:rsidR="00E53EB6" w:rsidRDefault="00E53EB6">
      <w:pPr>
        <w:pStyle w:val="HaupttextohneEinzug"/>
        <w:rPr>
          <w:szCs w:val="18"/>
        </w:rPr>
      </w:pPr>
    </w:p>
    <w:p w14:paraId="62A31643" w14:textId="77777777" w:rsidR="00E53EB6" w:rsidRDefault="006500F5">
      <w:pPr>
        <w:pStyle w:val="Heading5"/>
        <w:tabs>
          <w:tab w:val="left" w:pos="0"/>
        </w:tabs>
      </w:pPr>
      <w:r>
        <w:rPr>
          <w:szCs w:val="18"/>
          <w:u w:val="single"/>
        </w:rPr>
        <w:t>AVŚ 20.35.15</w:t>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p>
    <w:p w14:paraId="2599E9C0" w14:textId="77777777" w:rsidR="00E53EB6" w:rsidRDefault="006500F5">
      <w:pPr>
        <w:pStyle w:val="Quotations"/>
      </w:pPr>
      <w:r>
        <w:t xml:space="preserve">20.35.15 </w:t>
      </w:r>
      <w:r>
        <w:rPr>
          <w:i/>
          <w:iCs/>
        </w:rPr>
        <w:t xml:space="preserve"> asmā́ ídu tyádánu dāyye</w:t>
      </w:r>
      <w:r>
        <w:rPr>
          <w:i/>
          <w:iCs/>
        </w:rPr>
        <w:t>ṣ</w:t>
      </w:r>
      <w:r>
        <w:rPr>
          <w:i/>
          <w:iCs/>
        </w:rPr>
        <w:t>ām éko yád vavné bhū́rerī́śāna</w:t>
      </w:r>
      <w:r>
        <w:rPr>
          <w:i/>
          <w:iCs/>
        </w:rPr>
        <w:t>ḥ</w:t>
      </w:r>
      <w:r>
        <w:rPr>
          <w:i/>
          <w:iCs/>
        </w:rPr>
        <w:t xml:space="preserve"> / </w:t>
      </w:r>
    </w:p>
    <w:p w14:paraId="1CA92353" w14:textId="77777777" w:rsidR="00E53EB6" w:rsidRDefault="006500F5">
      <w:pPr>
        <w:pStyle w:val="ZitatnachZitat"/>
        <w:rPr>
          <w:i/>
          <w:iCs/>
        </w:rPr>
      </w:pPr>
      <w:r>
        <w:rPr>
          <w:i/>
          <w:iCs/>
        </w:rPr>
        <w:t>praítaśa</w:t>
      </w:r>
      <w:r>
        <w:rPr>
          <w:i/>
          <w:iCs/>
        </w:rPr>
        <w:t>ṃ</w:t>
      </w:r>
      <w:r>
        <w:rPr>
          <w:i/>
          <w:iCs/>
        </w:rPr>
        <w:t xml:space="preserve"> sū́rye paspr̥dhāná</w:t>
      </w:r>
      <w:r>
        <w:rPr>
          <w:i/>
          <w:iCs/>
        </w:rPr>
        <w:t>ṃ</w:t>
      </w:r>
      <w:r>
        <w:rPr>
          <w:i/>
          <w:iCs/>
        </w:rPr>
        <w:t xml:space="preserve"> saúvaśvye sú</w:t>
      </w:r>
      <w:r>
        <w:rPr>
          <w:i/>
          <w:iCs/>
        </w:rPr>
        <w:t>ṣ</w:t>
      </w:r>
      <w:r>
        <w:rPr>
          <w:i/>
          <w:iCs/>
        </w:rPr>
        <w:t>vimāvad índra</w:t>
      </w:r>
      <w:r>
        <w:rPr>
          <w:i/>
          <w:iCs/>
        </w:rPr>
        <w:t>ḥ</w:t>
      </w:r>
      <w:r>
        <w:rPr>
          <w:i/>
          <w:iCs/>
        </w:rPr>
        <w:t xml:space="preserve"> //</w:t>
      </w:r>
    </w:p>
    <w:p w14:paraId="1FBCDFF3" w14:textId="77777777" w:rsidR="00E53EB6" w:rsidRDefault="006500F5">
      <w:pPr>
        <w:pStyle w:val="Quotations"/>
      </w:pPr>
      <w:r w:rsidRPr="00494885">
        <w:rPr>
          <w:rFonts w:eastAsia="Arial Unicode MS" w:cs="Times Ext Roman"/>
          <w:color w:val="000000"/>
          <w:szCs w:val="18"/>
          <w:lang w:val="en-US" w:eastAsia="it-IT" w:bidi="it-IT"/>
        </w:rPr>
        <w:t>To this one may it be given back</w:t>
      </w:r>
      <w:r>
        <w:rPr>
          <w:rStyle w:val="FootnoteAnchor"/>
          <w:rFonts w:eastAsia="Arial Unicode MS" w:cs="Times Ext Roman"/>
          <w:bCs/>
          <w:color w:val="000000"/>
          <w:szCs w:val="18"/>
          <w:lang w:val="it-IT" w:eastAsia="it-IT" w:bidi="it-IT"/>
        </w:rPr>
        <w:footnoteReference w:id="545"/>
      </w:r>
      <w:r w:rsidRPr="00494885">
        <w:rPr>
          <w:rFonts w:eastAsia="Arial Unicode MS" w:cs="Times Ext Roman"/>
          <w:color w:val="000000"/>
          <w:szCs w:val="18"/>
          <w:lang w:val="en-US" w:eastAsia="it-IT" w:bidi="it-IT"/>
        </w:rPr>
        <w:t xml:space="preserve"> that</w:t>
      </w:r>
      <w:r>
        <w:rPr>
          <w:rStyle w:val="FootnoteAnchor"/>
          <w:rFonts w:eastAsia="Arial Unicode MS" w:cs="Times Ext Roman"/>
          <w:color w:val="000000"/>
          <w:szCs w:val="18"/>
          <w:lang w:val="it-IT" w:eastAsia="it-IT" w:bidi="it-IT"/>
        </w:rPr>
        <w:footnoteReference w:id="546"/>
      </w:r>
      <w:r w:rsidRPr="00494885">
        <w:rPr>
          <w:rFonts w:eastAsia="Arial Unicode MS" w:cs="Times Ext Roman"/>
          <w:color w:val="000000"/>
          <w:szCs w:val="18"/>
          <w:lang w:val="en-US" w:eastAsia="it-IT" w:bidi="it-IT"/>
        </w:rPr>
        <w:t xml:space="preserve"> what he, the lord of the abundant, the only one between them, </w:t>
      </w:r>
      <w:r w:rsidRPr="00494885">
        <w:rPr>
          <w:rFonts w:eastAsia="Arial Unicode MS" w:cs="Times Ext Roman"/>
          <w:color w:val="000000"/>
          <w:szCs w:val="18"/>
          <w:u w:val="single"/>
          <w:lang w:val="en-US" w:eastAsia="it-IT" w:bidi="it-IT"/>
        </w:rPr>
        <w:t>has</w:t>
      </w:r>
      <w:r w:rsidRPr="00494885">
        <w:rPr>
          <w:rFonts w:eastAsia="Arial Unicode MS" w:cs="Times Ext Roman"/>
          <w:i/>
          <w:iCs/>
          <w:color w:val="000000"/>
          <w:szCs w:val="18"/>
          <w:u w:val="single"/>
          <w:lang w:val="en-US" w:eastAsia="it-IT" w:bidi="it-IT"/>
        </w:rPr>
        <w:t xml:space="preserve"> </w:t>
      </w:r>
      <w:r w:rsidRPr="00494885">
        <w:rPr>
          <w:rFonts w:eastAsia="Arial Unicode MS" w:cs="Times Ext Roman"/>
          <w:color w:val="000000"/>
          <w:szCs w:val="18"/>
          <w:u w:val="single"/>
          <w:lang w:val="en-US" w:eastAsia="it-IT" w:bidi="it-IT"/>
        </w:rPr>
        <w:t>appropriated</w:t>
      </w:r>
      <w:r w:rsidRPr="00494885">
        <w:rPr>
          <w:rFonts w:eastAsia="Arial Unicode MS" w:cs="Times Ext Roman"/>
          <w:color w:val="000000"/>
          <w:szCs w:val="18"/>
          <w:lang w:val="en-US" w:eastAsia="it-IT" w:bidi="it-IT"/>
        </w:rPr>
        <w:t>; Indra protected Etaśa</w:t>
      </w:r>
      <w:r>
        <w:rPr>
          <w:rStyle w:val="FootnoteAnchor"/>
          <w:rFonts w:eastAsia="Arial Unicode MS" w:cs="Times Ext Roman"/>
          <w:bCs/>
          <w:color w:val="000000"/>
          <w:szCs w:val="18"/>
          <w:lang w:val="it-IT" w:eastAsia="it-IT" w:bidi="it-IT"/>
        </w:rPr>
        <w:footnoteReference w:id="547"/>
      </w:r>
      <w:r w:rsidRPr="00494885">
        <w:rPr>
          <w:rFonts w:eastAsia="Arial Unicode MS" w:cs="Times Ext Roman"/>
          <w:color w:val="000000"/>
          <w:szCs w:val="18"/>
          <w:lang w:val="en-US" w:eastAsia="it-IT" w:bidi="it-IT"/>
        </w:rPr>
        <w:t>, the soma presser</w:t>
      </w:r>
      <w:r>
        <w:rPr>
          <w:rStyle w:val="FootnoteAnchor"/>
          <w:rFonts w:eastAsia="Arial Unicode MS" w:cs="Times Ext Roman"/>
          <w:color w:val="000000"/>
          <w:szCs w:val="18"/>
          <w:lang w:val="it-IT" w:eastAsia="it-IT" w:bidi="it-IT"/>
        </w:rPr>
        <w:footnoteReference w:id="548"/>
      </w:r>
      <w:r w:rsidRPr="00494885">
        <w:rPr>
          <w:rFonts w:eastAsia="Arial Unicode MS" w:cs="Times Ext Roman"/>
          <w:color w:val="000000"/>
          <w:szCs w:val="18"/>
          <w:lang w:val="en-US" w:eastAsia="it-IT" w:bidi="it-IT"/>
        </w:rPr>
        <w:t>, who fought in the horse race, Sūrya being present.</w:t>
      </w:r>
    </w:p>
    <w:p w14:paraId="2BE83AFB" w14:textId="77777777" w:rsidR="00E53EB6" w:rsidRPr="00494885" w:rsidRDefault="006500F5">
      <w:pPr>
        <w:pStyle w:val="Quotations"/>
        <w:rPr>
          <w:lang w:val="de-DE"/>
        </w:rPr>
      </w:pPr>
      <w:r>
        <w:rPr>
          <w:i/>
          <w:iCs/>
        </w:rPr>
        <w:t>vavné:</w:t>
      </w:r>
      <w:r>
        <w:rPr>
          <w:i/>
          <w:szCs w:val="18"/>
        </w:rPr>
        <w:t xml:space="preserve"> </w:t>
      </w:r>
      <w:r>
        <w:rPr>
          <w:szCs w:val="18"/>
        </w:rPr>
        <w:t>ind. perf. 1</w:t>
      </w:r>
      <w:r>
        <w:rPr>
          <w:szCs w:val="18"/>
          <w:vertAlign w:val="superscript"/>
        </w:rPr>
        <w:t>st</w:t>
      </w:r>
      <w:r>
        <w:rPr>
          <w:szCs w:val="18"/>
        </w:rPr>
        <w:t xml:space="preserve"> sing. </w:t>
      </w:r>
      <w:r w:rsidRPr="00494885">
        <w:rPr>
          <w:szCs w:val="18"/>
          <w:lang w:val="de-DE"/>
        </w:rPr>
        <w:t>Ā VIII cl.</w:t>
      </w:r>
    </w:p>
    <w:p w14:paraId="072B7086" w14:textId="77777777" w:rsidR="00E53EB6" w:rsidRPr="00494885" w:rsidRDefault="006500F5">
      <w:pPr>
        <w:pStyle w:val="ZitatmitEinzug"/>
        <w:rPr>
          <w:lang w:val="de-DE"/>
        </w:rPr>
      </w:pPr>
      <w:r w:rsidRPr="00494885">
        <w:rPr>
          <w:rStyle w:val="biblio-authorGEN"/>
          <w:sz w:val="18"/>
          <w:szCs w:val="18"/>
          <w:lang w:val="de-DE"/>
        </w:rPr>
        <w:t>Geldner</w:t>
      </w:r>
      <w:r w:rsidRPr="00494885">
        <w:rPr>
          <w:lang w:val="de-DE"/>
        </w:rPr>
        <w:t>:  I  79 “errungen hat”</w:t>
      </w:r>
    </w:p>
    <w:p w14:paraId="28888725" w14:textId="77777777" w:rsidR="00E53EB6" w:rsidRPr="00494885" w:rsidRDefault="006500F5">
      <w:pPr>
        <w:pStyle w:val="ZitatmitEinzug"/>
        <w:rPr>
          <w:lang w:val="de-DE"/>
        </w:rPr>
      </w:pPr>
      <w:r w:rsidRPr="00494885">
        <w:rPr>
          <w:rStyle w:val="biblio-authorGEN"/>
          <w:sz w:val="18"/>
          <w:szCs w:val="18"/>
          <w:lang w:val="de-DE"/>
        </w:rPr>
        <w:t>Renou</w:t>
      </w:r>
      <w:r w:rsidRPr="00494885">
        <w:rPr>
          <w:lang w:val="de-DE"/>
        </w:rPr>
        <w:t>: XVII  25 “a gagné”</w:t>
      </w:r>
    </w:p>
    <w:p w14:paraId="18B54E57" w14:textId="77777777" w:rsidR="00E53EB6" w:rsidRPr="00494885" w:rsidRDefault="006500F5">
      <w:pPr>
        <w:pStyle w:val="ZitatmitEinzug"/>
        <w:rPr>
          <w:lang w:val="de-DE"/>
        </w:rPr>
      </w:pPr>
      <w:r w:rsidRPr="00494885">
        <w:rPr>
          <w:rStyle w:val="biblio-authorGEN"/>
          <w:sz w:val="18"/>
          <w:szCs w:val="15"/>
          <w:lang w:val="de-DE"/>
        </w:rPr>
        <w:t xml:space="preserve">Witzel-Gotō </w:t>
      </w:r>
      <w:r w:rsidRPr="00494885">
        <w:rPr>
          <w:lang w:val="de-DE"/>
        </w:rPr>
        <w:t>2007: 115 “gewonnen hat”</w:t>
      </w:r>
    </w:p>
    <w:p w14:paraId="7E8B2669" w14:textId="77777777" w:rsidR="00E53EB6" w:rsidRDefault="006500F5">
      <w:pPr>
        <w:pStyle w:val="ZitatmitEinzug"/>
        <w:rPr>
          <w:szCs w:val="18"/>
        </w:rPr>
      </w:pPr>
      <w:r>
        <w:rPr>
          <w:szCs w:val="18"/>
        </w:rPr>
        <w:t>Sāya</w:t>
      </w:r>
      <w:r>
        <w:rPr>
          <w:szCs w:val="18"/>
        </w:rPr>
        <w:t>ṇ</w:t>
      </w:r>
      <w:r>
        <w:rPr>
          <w:szCs w:val="18"/>
        </w:rPr>
        <w:t>a:</w:t>
      </w:r>
      <w:r>
        <w:rPr>
          <w:szCs w:val="18"/>
        </w:rPr>
        <w:t xml:space="preserve"> </w:t>
      </w:r>
      <w:r>
        <w:rPr>
          <w:i/>
          <w:iCs/>
          <w:szCs w:val="18"/>
        </w:rPr>
        <w:t xml:space="preserve">yācitavān </w:t>
      </w:r>
      <w:r>
        <w:rPr>
          <w:szCs w:val="18"/>
        </w:rPr>
        <w:t>“to ask”</w:t>
      </w:r>
    </w:p>
    <w:p w14:paraId="3B4D7CEF" w14:textId="77777777" w:rsidR="00E53EB6" w:rsidRDefault="006500F5">
      <w:pPr>
        <w:pStyle w:val="HaupttextnachZitat"/>
      </w:pPr>
      <w:r>
        <w:t>Vedic Web</w:t>
      </w:r>
    </w:p>
    <w:p w14:paraId="26BEC128" w14:textId="77777777" w:rsidR="00E53EB6" w:rsidRDefault="006500F5">
      <w:pPr>
        <w:pStyle w:val="HaupttextohneEinzug"/>
        <w:rPr>
          <w:szCs w:val="18"/>
        </w:rPr>
      </w:pPr>
      <w:r>
        <w:rPr>
          <w:szCs w:val="18"/>
        </w:rPr>
        <w:t xml:space="preserve">Mantra: </w:t>
      </w:r>
      <w:r>
        <w:rPr>
          <w:szCs w:val="21"/>
        </w:rPr>
        <w:t>R̥V 1.61.15.</w:t>
      </w:r>
    </w:p>
    <w:p w14:paraId="7F04D752" w14:textId="77777777" w:rsidR="00E53EB6" w:rsidRDefault="00E53EB6">
      <w:pPr>
        <w:pStyle w:val="HaupttextohneEinzug"/>
        <w:rPr>
          <w:szCs w:val="18"/>
        </w:rPr>
      </w:pPr>
    </w:p>
    <w:p w14:paraId="77C5630A" w14:textId="77777777" w:rsidR="00E53EB6" w:rsidRDefault="006500F5">
      <w:pPr>
        <w:pStyle w:val="HaupttextohneEinzug"/>
        <w:rPr>
          <w:szCs w:val="18"/>
        </w:rPr>
      </w:pPr>
      <w:r>
        <w:rPr>
          <w:szCs w:val="18"/>
        </w:rPr>
        <w:t>Rite</w:t>
      </w:r>
    </w:p>
    <w:p w14:paraId="6A757961" w14:textId="77777777" w:rsidR="00E53EB6" w:rsidRDefault="006500F5">
      <w:pPr>
        <w:pStyle w:val="HaupttextohneEinzug"/>
        <w:rPr>
          <w:szCs w:val="18"/>
        </w:rPr>
      </w:pPr>
      <w:r>
        <w:rPr>
          <w:i/>
          <w:iCs/>
          <w:szCs w:val="18"/>
        </w:rPr>
        <w:t>Mādyha</w:t>
      </w:r>
      <w:r>
        <w:rPr>
          <w:i/>
          <w:iCs/>
          <w:szCs w:val="18"/>
        </w:rPr>
        <w:t>ṃ</w:t>
      </w:r>
      <w:r>
        <w:rPr>
          <w:i/>
          <w:iCs/>
          <w:szCs w:val="18"/>
        </w:rPr>
        <w:t>dinasavana</w:t>
      </w:r>
      <w:r>
        <w:rPr>
          <w:szCs w:val="18"/>
        </w:rPr>
        <w:t xml:space="preserve"> (the middle pressing of the </w:t>
      </w:r>
      <w:r>
        <w:rPr>
          <w:i/>
          <w:iCs/>
          <w:szCs w:val="18"/>
        </w:rPr>
        <w:t>soma</w:t>
      </w:r>
      <w:r>
        <w:rPr>
          <w:szCs w:val="18"/>
        </w:rPr>
        <w:t xml:space="preserve">) in the </w:t>
      </w:r>
      <w:r>
        <w:rPr>
          <w:i/>
          <w:iCs/>
          <w:szCs w:val="18"/>
        </w:rPr>
        <w:t>Aptoryāma</w:t>
      </w:r>
      <w:r>
        <w:rPr>
          <w:szCs w:val="18"/>
        </w:rPr>
        <w:t xml:space="preserve"> sacrifice, a development of </w:t>
      </w:r>
      <w:r>
        <w:rPr>
          <w:i/>
          <w:iCs/>
          <w:szCs w:val="18"/>
        </w:rPr>
        <w:t>Agni</w:t>
      </w:r>
      <w:r>
        <w:rPr>
          <w:i/>
          <w:iCs/>
          <w:szCs w:val="18"/>
        </w:rPr>
        <w:t>ṣṭ</w:t>
      </w:r>
      <w:r>
        <w:rPr>
          <w:i/>
          <w:iCs/>
          <w:szCs w:val="18"/>
        </w:rPr>
        <w:t>oma</w:t>
      </w:r>
      <w:r>
        <w:rPr>
          <w:szCs w:val="18"/>
        </w:rPr>
        <w:t>.</w:t>
      </w:r>
    </w:p>
    <w:p w14:paraId="37BE7D18" w14:textId="77777777" w:rsidR="00E53EB6" w:rsidRDefault="00E53EB6">
      <w:pPr>
        <w:pStyle w:val="HaupttextohneEinzug"/>
        <w:rPr>
          <w:szCs w:val="18"/>
        </w:rPr>
      </w:pPr>
    </w:p>
    <w:p w14:paraId="21D1C90D" w14:textId="77777777" w:rsidR="00E53EB6" w:rsidRDefault="00E53EB6">
      <w:pPr>
        <w:pStyle w:val="HaupttextohneEinzug"/>
        <w:rPr>
          <w:szCs w:val="18"/>
        </w:rPr>
      </w:pPr>
    </w:p>
    <w:p w14:paraId="081ACE91" w14:textId="77777777" w:rsidR="00E53EB6" w:rsidRDefault="006500F5">
      <w:pPr>
        <w:pStyle w:val="Heading5"/>
        <w:tabs>
          <w:tab w:val="left" w:pos="0"/>
        </w:tabs>
      </w:pPr>
      <w:r>
        <w:rPr>
          <w:szCs w:val="18"/>
          <w:u w:val="single"/>
        </w:rPr>
        <w:t>AVŚ 20.67.1</w:t>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p>
    <w:p w14:paraId="07735829" w14:textId="77777777" w:rsidR="00E53EB6" w:rsidRDefault="006500F5">
      <w:pPr>
        <w:pStyle w:val="Quotations"/>
      </w:pPr>
      <w:r>
        <w:t xml:space="preserve">20.67.1 </w:t>
      </w:r>
      <w:r>
        <w:rPr>
          <w:i/>
          <w:iCs/>
        </w:rPr>
        <w:t xml:space="preserve"> vanóti hí sunván k</w:t>
      </w:r>
      <w:r>
        <w:rPr>
          <w:i/>
          <w:iCs/>
        </w:rPr>
        <w:t>ṣ</w:t>
      </w:r>
      <w:r>
        <w:rPr>
          <w:i/>
          <w:iCs/>
        </w:rPr>
        <w:t>áya</w:t>
      </w:r>
      <w:r>
        <w:rPr>
          <w:i/>
          <w:iCs/>
        </w:rPr>
        <w:t>ṃ</w:t>
      </w:r>
      <w:r>
        <w:rPr>
          <w:i/>
          <w:iCs/>
        </w:rPr>
        <w:t xml:space="preserve"> párī</w:t>
      </w:r>
      <w:r>
        <w:rPr>
          <w:i/>
          <w:iCs/>
        </w:rPr>
        <w:t>ṇ</w:t>
      </w:r>
      <w:r>
        <w:rPr>
          <w:i/>
          <w:iCs/>
        </w:rPr>
        <w:t>asa</w:t>
      </w:r>
      <w:r>
        <w:rPr>
          <w:i/>
          <w:iCs/>
        </w:rPr>
        <w:t>ḥ</w:t>
      </w:r>
      <w:r>
        <w:rPr>
          <w:i/>
          <w:iCs/>
        </w:rPr>
        <w:t xml:space="preserve"> sunvānó hí </w:t>
      </w:r>
      <w:r>
        <w:rPr>
          <w:i/>
          <w:iCs/>
        </w:rPr>
        <w:t>ṣ</w:t>
      </w:r>
      <w:r>
        <w:rPr>
          <w:i/>
          <w:iCs/>
        </w:rPr>
        <w:t>mā yájaty áva dví</w:t>
      </w:r>
      <w:r>
        <w:rPr>
          <w:i/>
          <w:iCs/>
        </w:rPr>
        <w:t>ṣ</w:t>
      </w:r>
      <w:r>
        <w:rPr>
          <w:i/>
          <w:iCs/>
        </w:rPr>
        <w:t>o devā́nām áva dví</w:t>
      </w:r>
      <w:r>
        <w:rPr>
          <w:i/>
          <w:iCs/>
        </w:rPr>
        <w:t>ṣ</w:t>
      </w:r>
      <w:r>
        <w:rPr>
          <w:i/>
          <w:iCs/>
        </w:rPr>
        <w:t>a</w:t>
      </w:r>
      <w:r>
        <w:rPr>
          <w:i/>
          <w:iCs/>
        </w:rPr>
        <w:t>ḥ</w:t>
      </w:r>
      <w:r>
        <w:rPr>
          <w:i/>
          <w:iCs/>
        </w:rPr>
        <w:t xml:space="preserve"> / </w:t>
      </w:r>
    </w:p>
    <w:p w14:paraId="6F09DB4F" w14:textId="77777777" w:rsidR="00E53EB6" w:rsidRDefault="006500F5">
      <w:pPr>
        <w:pStyle w:val="ZitatnachZitat"/>
        <w:rPr>
          <w:i/>
          <w:iCs/>
        </w:rPr>
      </w:pPr>
      <w:r>
        <w:rPr>
          <w:i/>
          <w:iCs/>
        </w:rPr>
        <w:t>sunvāná ít si</w:t>
      </w:r>
      <w:r>
        <w:rPr>
          <w:i/>
          <w:iCs/>
        </w:rPr>
        <w:t>ṣ</w:t>
      </w:r>
      <w:r>
        <w:rPr>
          <w:i/>
          <w:iCs/>
        </w:rPr>
        <w:t>āsati sahásrā vājy ávr̥ta</w:t>
      </w:r>
      <w:r>
        <w:rPr>
          <w:i/>
          <w:iCs/>
        </w:rPr>
        <w:t>ḥ</w:t>
      </w:r>
      <w:r>
        <w:rPr>
          <w:i/>
          <w:iCs/>
        </w:rPr>
        <w:t xml:space="preserve"> / </w:t>
      </w:r>
    </w:p>
    <w:p w14:paraId="682F4B4D" w14:textId="77777777" w:rsidR="00E53EB6" w:rsidRDefault="006500F5">
      <w:pPr>
        <w:pStyle w:val="ZitatnachZitat"/>
        <w:rPr>
          <w:i/>
          <w:iCs/>
        </w:rPr>
      </w:pPr>
      <w:r>
        <w:rPr>
          <w:i/>
          <w:iCs/>
        </w:rPr>
        <w:t>sunvānā́yéndro dadāty ābhúva</w:t>
      </w:r>
      <w:r>
        <w:rPr>
          <w:i/>
          <w:iCs/>
        </w:rPr>
        <w:t>ṃ</w:t>
      </w:r>
      <w:r>
        <w:rPr>
          <w:i/>
          <w:iCs/>
        </w:rPr>
        <w:t xml:space="preserve"> rayí</w:t>
      </w:r>
      <w:r>
        <w:rPr>
          <w:i/>
          <w:iCs/>
        </w:rPr>
        <w:t>ṃ</w:t>
      </w:r>
      <w:r>
        <w:rPr>
          <w:i/>
          <w:iCs/>
        </w:rPr>
        <w:t xml:space="preserve"> dadāty ābhúvam //</w:t>
      </w:r>
    </w:p>
    <w:p w14:paraId="7968AE7F" w14:textId="77777777" w:rsidR="00E53EB6" w:rsidRDefault="006500F5">
      <w:pPr>
        <w:pStyle w:val="Quotations"/>
      </w:pPr>
      <w:r>
        <w:lastRenderedPageBreak/>
        <w:t xml:space="preserve">Indeed who presses the </w:t>
      </w:r>
      <w:r>
        <w:rPr>
          <w:i/>
          <w:iCs/>
        </w:rPr>
        <w:t>soma</w:t>
      </w:r>
      <w:r>
        <w:rPr>
          <w:szCs w:val="18"/>
        </w:rPr>
        <w:t xml:space="preserve"> </w:t>
      </w:r>
      <w:r>
        <w:rPr>
          <w:szCs w:val="18"/>
          <w:u w:val="single"/>
        </w:rPr>
        <w:t>appropriates</w:t>
      </w:r>
      <w:r>
        <w:rPr>
          <w:szCs w:val="18"/>
        </w:rPr>
        <w:t xml:space="preserve"> an abode of abun</w:t>
      </w:r>
      <w:r>
        <w:rPr>
          <w:szCs w:val="18"/>
        </w:rPr>
        <w:t xml:space="preserve">dance, indeed who presses the </w:t>
      </w:r>
      <w:r>
        <w:rPr>
          <w:i/>
          <w:iCs/>
          <w:szCs w:val="18"/>
        </w:rPr>
        <w:t xml:space="preserve">soma </w:t>
      </w:r>
      <w:r>
        <w:rPr>
          <w:szCs w:val="18"/>
        </w:rPr>
        <w:t xml:space="preserve">for himself get rid of the enemies of the gods by means of a sacrifice, rid of the enemies; this who presses </w:t>
      </w:r>
      <w:r>
        <w:rPr>
          <w:i/>
          <w:iCs/>
          <w:szCs w:val="18"/>
        </w:rPr>
        <w:t xml:space="preserve">soma </w:t>
      </w:r>
      <w:r>
        <w:rPr>
          <w:szCs w:val="18"/>
        </w:rPr>
        <w:t xml:space="preserve">for himself desires to win, thousand times unchecked winner; to who presses the </w:t>
      </w:r>
      <w:r>
        <w:rPr>
          <w:i/>
          <w:iCs/>
          <w:szCs w:val="18"/>
        </w:rPr>
        <w:t xml:space="preserve">soma </w:t>
      </w:r>
      <w:r>
        <w:rPr>
          <w:szCs w:val="18"/>
        </w:rPr>
        <w:t>Indra gives a efficaci</w:t>
      </w:r>
      <w:r>
        <w:rPr>
          <w:szCs w:val="18"/>
        </w:rPr>
        <w:t>ous</w:t>
      </w:r>
      <w:r>
        <w:rPr>
          <w:rStyle w:val="FootnoteAnchor"/>
          <w:szCs w:val="18"/>
        </w:rPr>
        <w:footnoteReference w:id="549"/>
      </w:r>
      <w:r>
        <w:rPr>
          <w:szCs w:val="18"/>
        </w:rPr>
        <w:t xml:space="preserve"> treasure, efficacious.</w:t>
      </w:r>
    </w:p>
    <w:p w14:paraId="3FFB430F" w14:textId="77777777" w:rsidR="00E53EB6" w:rsidRPr="00494885" w:rsidRDefault="006500F5">
      <w:pPr>
        <w:pStyle w:val="Quotations"/>
        <w:rPr>
          <w:lang w:val="de-DE"/>
        </w:rPr>
      </w:pPr>
      <w:r>
        <w:rPr>
          <w:i/>
          <w:iCs/>
        </w:rPr>
        <w:t xml:space="preserve">vanóti: </w:t>
      </w:r>
      <w:r>
        <w:t>ind. pres. 3</w:t>
      </w:r>
      <w:r>
        <w:rPr>
          <w:vertAlign w:val="superscript"/>
        </w:rPr>
        <w:t>rd</w:t>
      </w:r>
      <w:r>
        <w:t xml:space="preserve"> sing. </w:t>
      </w:r>
      <w:r w:rsidRPr="00494885">
        <w:rPr>
          <w:lang w:val="de-DE"/>
        </w:rPr>
        <w:t>VIII cl.</w:t>
      </w:r>
      <w:r w:rsidRPr="00494885">
        <w:rPr>
          <w:szCs w:val="18"/>
          <w:lang w:val="de-DE"/>
        </w:rPr>
        <w:t xml:space="preserve"> </w:t>
      </w:r>
    </w:p>
    <w:p w14:paraId="25487948" w14:textId="77777777" w:rsidR="00E53EB6" w:rsidRPr="00494885" w:rsidRDefault="006500F5">
      <w:pPr>
        <w:pStyle w:val="ZitatmitEinzug"/>
        <w:rPr>
          <w:szCs w:val="18"/>
          <w:lang w:val="de-DE"/>
        </w:rPr>
      </w:pPr>
      <w:r w:rsidRPr="00494885">
        <w:rPr>
          <w:szCs w:val="18"/>
          <w:lang w:val="de-DE"/>
        </w:rPr>
        <w:t>Sāya</w:t>
      </w:r>
      <w:r w:rsidRPr="00494885">
        <w:rPr>
          <w:szCs w:val="18"/>
          <w:lang w:val="de-DE"/>
        </w:rPr>
        <w:t>ṇ</w:t>
      </w:r>
      <w:r w:rsidRPr="00494885">
        <w:rPr>
          <w:szCs w:val="18"/>
          <w:lang w:val="de-DE"/>
        </w:rPr>
        <w:t>a:</w:t>
      </w:r>
      <w:r w:rsidRPr="00494885">
        <w:rPr>
          <w:szCs w:val="18"/>
          <w:lang w:val="de-DE"/>
        </w:rPr>
        <w:t>∅</w:t>
      </w:r>
    </w:p>
    <w:p w14:paraId="68618909" w14:textId="77777777" w:rsidR="00E53EB6" w:rsidRPr="00494885" w:rsidRDefault="006500F5">
      <w:pPr>
        <w:pStyle w:val="ZitatmitEinzug"/>
        <w:rPr>
          <w:lang w:val="de-DE"/>
        </w:rPr>
      </w:pPr>
      <w:r w:rsidRPr="00494885">
        <w:rPr>
          <w:rStyle w:val="biblio-authorGEN"/>
          <w:sz w:val="18"/>
          <w:szCs w:val="18"/>
          <w:lang w:val="de-DE"/>
        </w:rPr>
        <w:t>Geldner</w:t>
      </w:r>
      <w:r w:rsidRPr="00494885">
        <w:rPr>
          <w:rStyle w:val="biblio-authorGEN"/>
          <w:sz w:val="18"/>
          <w:szCs w:val="18"/>
          <w:lang w:val="de-DE"/>
        </w:rPr>
        <w:t xml:space="preserve">: </w:t>
      </w:r>
      <w:r w:rsidRPr="00494885">
        <w:rPr>
          <w:szCs w:val="18"/>
          <w:lang w:val="de-DE"/>
        </w:rPr>
        <w:t>I 187 “</w:t>
      </w:r>
      <w:r w:rsidRPr="00494885">
        <w:rPr>
          <w:szCs w:val="18"/>
          <w:lang w:val="de-DE"/>
        </w:rPr>
        <w:t>gewinnt”</w:t>
      </w:r>
    </w:p>
    <w:p w14:paraId="00D2FBDC" w14:textId="77777777" w:rsidR="00E53EB6" w:rsidRPr="00494885" w:rsidRDefault="006500F5">
      <w:pPr>
        <w:pStyle w:val="ZitatmitEinzug"/>
        <w:rPr>
          <w:lang w:val="de-DE"/>
        </w:rPr>
      </w:pPr>
      <w:r w:rsidRPr="00494885">
        <w:rPr>
          <w:rStyle w:val="biblio-authorGEN"/>
          <w:sz w:val="18"/>
          <w:szCs w:val="18"/>
          <w:lang w:val="de-DE"/>
        </w:rPr>
        <w:t xml:space="preserve">Renou: </w:t>
      </w:r>
      <w:r w:rsidRPr="00494885">
        <w:rPr>
          <w:szCs w:val="18"/>
          <w:lang w:val="de-DE"/>
        </w:rPr>
        <w:t>XVII 48 “</w:t>
      </w:r>
      <w:r w:rsidRPr="00494885">
        <w:rPr>
          <w:szCs w:val="18"/>
          <w:lang w:val="de-DE"/>
        </w:rPr>
        <w:t>gagne”</w:t>
      </w:r>
    </w:p>
    <w:p w14:paraId="3914D561" w14:textId="77777777" w:rsidR="00E53EB6" w:rsidRPr="00494885" w:rsidRDefault="006500F5">
      <w:pPr>
        <w:pStyle w:val="ZitatmitEinzug"/>
        <w:rPr>
          <w:lang w:val="de-DE"/>
        </w:rPr>
      </w:pPr>
      <w:r w:rsidRPr="00494885">
        <w:rPr>
          <w:rStyle w:val="biblio-authorGEN"/>
          <w:sz w:val="18"/>
          <w:szCs w:val="15"/>
          <w:lang w:val="de-DE"/>
        </w:rPr>
        <w:t xml:space="preserve">Witzel-Gotō </w:t>
      </w:r>
      <w:r w:rsidRPr="00494885">
        <w:rPr>
          <w:szCs w:val="18"/>
          <w:lang w:val="de-DE"/>
        </w:rPr>
        <w:t>2007: 249 “gewinnt”</w:t>
      </w:r>
    </w:p>
    <w:p w14:paraId="6F4AB564" w14:textId="77777777" w:rsidR="00E53EB6" w:rsidRPr="00494885" w:rsidRDefault="00E53EB6">
      <w:pPr>
        <w:pStyle w:val="Zitat"/>
        <w:rPr>
          <w:lang w:val="de-DE"/>
        </w:rPr>
      </w:pPr>
    </w:p>
    <w:p w14:paraId="201DA9C0" w14:textId="77777777" w:rsidR="00E53EB6" w:rsidRDefault="006500F5">
      <w:pPr>
        <w:pStyle w:val="HaupttextnachZitat"/>
      </w:pPr>
      <w:r>
        <w:t>Vedic Web</w:t>
      </w:r>
    </w:p>
    <w:p w14:paraId="2D05FE4C" w14:textId="77777777" w:rsidR="00E53EB6" w:rsidRDefault="006500F5">
      <w:pPr>
        <w:pStyle w:val="HaupttextohneEinzug"/>
        <w:rPr>
          <w:szCs w:val="18"/>
        </w:rPr>
      </w:pPr>
      <w:r>
        <w:rPr>
          <w:szCs w:val="18"/>
        </w:rPr>
        <w:t xml:space="preserve">Mantra: R̥V </w:t>
      </w:r>
      <w:r>
        <w:rPr>
          <w:szCs w:val="21"/>
        </w:rPr>
        <w:t xml:space="preserve">1.133.7. </w:t>
      </w:r>
    </w:p>
    <w:p w14:paraId="59F97164" w14:textId="77777777" w:rsidR="00E53EB6" w:rsidRDefault="00E53EB6">
      <w:pPr>
        <w:pStyle w:val="HaupttextohneEinzug"/>
        <w:rPr>
          <w:szCs w:val="18"/>
        </w:rPr>
      </w:pPr>
    </w:p>
    <w:p w14:paraId="517FE39E" w14:textId="77777777" w:rsidR="00E53EB6" w:rsidRDefault="006500F5">
      <w:pPr>
        <w:pStyle w:val="HaupttextohneEinzug"/>
        <w:rPr>
          <w:szCs w:val="18"/>
        </w:rPr>
      </w:pPr>
      <w:r>
        <w:rPr>
          <w:szCs w:val="18"/>
        </w:rPr>
        <w:t>Rite</w:t>
      </w:r>
    </w:p>
    <w:p w14:paraId="324BF985" w14:textId="77777777" w:rsidR="00E53EB6" w:rsidRDefault="006500F5">
      <w:pPr>
        <w:pStyle w:val="HaupttextohneEinzug"/>
        <w:rPr>
          <w:szCs w:val="18"/>
        </w:rPr>
      </w:pPr>
      <w:r>
        <w:rPr>
          <w:i/>
          <w:iCs/>
          <w:szCs w:val="18"/>
        </w:rPr>
        <w:t>Pr̥</w:t>
      </w:r>
      <w:r>
        <w:rPr>
          <w:i/>
          <w:iCs/>
          <w:szCs w:val="18"/>
        </w:rPr>
        <w:t>ṣṭ</w:t>
      </w:r>
      <w:r>
        <w:rPr>
          <w:i/>
          <w:iCs/>
          <w:szCs w:val="18"/>
        </w:rPr>
        <w:t>hya</w:t>
      </w:r>
      <w:r>
        <w:rPr>
          <w:szCs w:val="18"/>
        </w:rPr>
        <w:t xml:space="preserve"> </w:t>
      </w:r>
      <w:r>
        <w:rPr>
          <w:i/>
          <w:iCs/>
          <w:szCs w:val="18"/>
        </w:rPr>
        <w:t>sa</w:t>
      </w:r>
      <w:r>
        <w:rPr>
          <w:i/>
          <w:iCs/>
          <w:szCs w:val="18"/>
        </w:rPr>
        <w:t>ḍ</w:t>
      </w:r>
      <w:r>
        <w:rPr>
          <w:i/>
          <w:iCs/>
          <w:szCs w:val="18"/>
        </w:rPr>
        <w:t>aha</w:t>
      </w:r>
      <w:r>
        <w:rPr>
          <w:szCs w:val="18"/>
        </w:rPr>
        <w:t xml:space="preserve">, a group of rites consisting of one </w:t>
      </w:r>
      <w:r>
        <w:rPr>
          <w:i/>
          <w:iCs/>
          <w:szCs w:val="18"/>
        </w:rPr>
        <w:t>Agni</w:t>
      </w:r>
      <w:r>
        <w:rPr>
          <w:i/>
          <w:iCs/>
          <w:szCs w:val="18"/>
        </w:rPr>
        <w:t>ṣṭ</w:t>
      </w:r>
      <w:r>
        <w:rPr>
          <w:i/>
          <w:iCs/>
          <w:szCs w:val="18"/>
        </w:rPr>
        <w:t>oma</w:t>
      </w:r>
      <w:r>
        <w:rPr>
          <w:szCs w:val="18"/>
        </w:rPr>
        <w:t xml:space="preserve">, two </w:t>
      </w:r>
      <w:r>
        <w:rPr>
          <w:i/>
          <w:iCs/>
          <w:szCs w:val="18"/>
        </w:rPr>
        <w:t>Ukthya</w:t>
      </w:r>
      <w:r>
        <w:rPr>
          <w:szCs w:val="18"/>
        </w:rPr>
        <w:t xml:space="preserve">, one </w:t>
      </w:r>
      <w:r>
        <w:rPr>
          <w:i/>
          <w:iCs/>
          <w:szCs w:val="18"/>
        </w:rPr>
        <w:t>Ṣ</w:t>
      </w:r>
      <w:r>
        <w:rPr>
          <w:i/>
          <w:iCs/>
          <w:szCs w:val="18"/>
        </w:rPr>
        <w:t>o</w:t>
      </w:r>
      <w:r>
        <w:rPr>
          <w:i/>
          <w:iCs/>
          <w:szCs w:val="18"/>
        </w:rPr>
        <w:t>ḍ</w:t>
      </w:r>
      <w:r>
        <w:rPr>
          <w:i/>
          <w:iCs/>
          <w:szCs w:val="18"/>
        </w:rPr>
        <w:t>aśin</w:t>
      </w:r>
      <w:r>
        <w:rPr>
          <w:szCs w:val="18"/>
        </w:rPr>
        <w:t xml:space="preserve"> and one more </w:t>
      </w:r>
      <w:r>
        <w:rPr>
          <w:i/>
          <w:iCs/>
          <w:szCs w:val="18"/>
        </w:rPr>
        <w:t>Ukthya</w:t>
      </w:r>
      <w:r>
        <w:rPr>
          <w:szCs w:val="18"/>
        </w:rPr>
        <w:t>.</w:t>
      </w:r>
    </w:p>
    <w:p w14:paraId="27B023FB" w14:textId="77777777" w:rsidR="00E53EB6" w:rsidRDefault="00E53EB6">
      <w:pPr>
        <w:pStyle w:val="HaupttextohneEinzug"/>
        <w:rPr>
          <w:szCs w:val="18"/>
        </w:rPr>
      </w:pPr>
    </w:p>
    <w:p w14:paraId="2B6124A8" w14:textId="77777777" w:rsidR="00E53EB6" w:rsidRDefault="006500F5">
      <w:pPr>
        <w:pStyle w:val="Heading5"/>
        <w:tabs>
          <w:tab w:val="left" w:pos="0"/>
        </w:tabs>
      </w:pPr>
      <w:r>
        <w:rPr>
          <w:szCs w:val="18"/>
          <w:u w:val="single"/>
        </w:rPr>
        <w:t>AVŚ 20.75.3</w:t>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p>
    <w:p w14:paraId="48C81E04" w14:textId="77777777" w:rsidR="00E53EB6" w:rsidRDefault="006500F5">
      <w:pPr>
        <w:pStyle w:val="Quotations"/>
      </w:pPr>
      <w:r>
        <w:t xml:space="preserve">20.75.3 </w:t>
      </w:r>
      <w:r>
        <w:rPr>
          <w:i/>
          <w:iCs/>
        </w:rPr>
        <w:t>ā́d ít te asyá vīryàsya carkiran máde</w:t>
      </w:r>
      <w:r>
        <w:rPr>
          <w:i/>
          <w:iCs/>
        </w:rPr>
        <w:t>ṣ</w:t>
      </w:r>
      <w:r>
        <w:rPr>
          <w:i/>
          <w:iCs/>
        </w:rPr>
        <w:t>u vr̥</w:t>
      </w:r>
      <w:r>
        <w:rPr>
          <w:i/>
          <w:iCs/>
        </w:rPr>
        <w:t>ṣ</w:t>
      </w:r>
      <w:r>
        <w:rPr>
          <w:i/>
          <w:iCs/>
        </w:rPr>
        <w:t xml:space="preserve">ann uśíjo yád ā́vitha sakhīyató yád ā́vitha / </w:t>
      </w:r>
    </w:p>
    <w:p w14:paraId="40346941" w14:textId="77777777" w:rsidR="00E53EB6" w:rsidRDefault="006500F5">
      <w:pPr>
        <w:pStyle w:val="ZitatnachZitat"/>
        <w:rPr>
          <w:i/>
          <w:iCs/>
        </w:rPr>
      </w:pPr>
      <w:r>
        <w:rPr>
          <w:i/>
          <w:iCs/>
        </w:rPr>
        <w:t>cakártha kārám ebhya</w:t>
      </w:r>
      <w:r>
        <w:rPr>
          <w:i/>
          <w:iCs/>
        </w:rPr>
        <w:t>ḥ</w:t>
      </w:r>
      <w:r>
        <w:rPr>
          <w:i/>
          <w:iCs/>
        </w:rPr>
        <w:t xml:space="preserve"> pŕ̥tanāsu právantave / </w:t>
      </w:r>
    </w:p>
    <w:p w14:paraId="35B6A85F" w14:textId="77777777" w:rsidR="00E53EB6" w:rsidRDefault="006500F5">
      <w:pPr>
        <w:pStyle w:val="ZitatnachZitat"/>
        <w:rPr>
          <w:i/>
          <w:iCs/>
        </w:rPr>
      </w:pPr>
      <w:r>
        <w:rPr>
          <w:i/>
          <w:iCs/>
        </w:rPr>
        <w:t>té anyā́manyā</w:t>
      </w:r>
      <w:r>
        <w:rPr>
          <w:i/>
          <w:iCs/>
        </w:rPr>
        <w:t>ṃ</w:t>
      </w:r>
      <w:r>
        <w:rPr>
          <w:i/>
          <w:iCs/>
        </w:rPr>
        <w:t xml:space="preserve"> nadyà</w:t>
      </w:r>
      <w:r>
        <w:rPr>
          <w:i/>
          <w:iCs/>
        </w:rPr>
        <w:t>ṃ</w:t>
      </w:r>
      <w:r>
        <w:rPr>
          <w:i/>
          <w:iCs/>
        </w:rPr>
        <w:t xml:space="preserve"> sani</w:t>
      </w:r>
      <w:r>
        <w:rPr>
          <w:i/>
          <w:iCs/>
        </w:rPr>
        <w:t>ṣṇ</w:t>
      </w:r>
      <w:r>
        <w:rPr>
          <w:i/>
          <w:iCs/>
        </w:rPr>
        <w:t>ata śrávasyánta</w:t>
      </w:r>
      <w:r>
        <w:rPr>
          <w:i/>
          <w:iCs/>
        </w:rPr>
        <w:t>ḥ</w:t>
      </w:r>
      <w:r>
        <w:rPr>
          <w:i/>
          <w:iCs/>
        </w:rPr>
        <w:t xml:space="preserve"> sani</w:t>
      </w:r>
      <w:r>
        <w:rPr>
          <w:i/>
          <w:iCs/>
        </w:rPr>
        <w:t>ṣṇ</w:t>
      </w:r>
      <w:r>
        <w:rPr>
          <w:i/>
          <w:iCs/>
        </w:rPr>
        <w:t>ata //</w:t>
      </w:r>
    </w:p>
    <w:p w14:paraId="3B662279" w14:textId="77777777" w:rsidR="00E53EB6" w:rsidRDefault="006500F5">
      <w:pPr>
        <w:pStyle w:val="Quotations"/>
      </w:pPr>
      <w:r>
        <w:rPr>
          <w:szCs w:val="18"/>
        </w:rPr>
        <w:t>Thereupon may they commemorate your heroic dee</w:t>
      </w:r>
      <w:r>
        <w:rPr>
          <w:szCs w:val="18"/>
        </w:rPr>
        <w:t xml:space="preserve">d </w:t>
      </w:r>
      <w:r>
        <w:rPr>
          <w:szCs w:val="18"/>
        </w:rPr>
        <w:t>in exhilarati</w:t>
      </w:r>
      <w:r>
        <w:rPr>
          <w:szCs w:val="18"/>
        </w:rPr>
        <w:t xml:space="preserve">on, </w:t>
      </w:r>
      <w:r>
        <w:rPr>
          <w:szCs w:val="18"/>
        </w:rPr>
        <w:t>o bull, when you protected the Uśij</w:t>
      </w:r>
      <w:r>
        <w:rPr>
          <w:rStyle w:val="FootnoteAnchor"/>
          <w:szCs w:val="18"/>
        </w:rPr>
        <w:footnoteReference w:id="550"/>
      </w:r>
      <w:r>
        <w:rPr>
          <w:szCs w:val="18"/>
        </w:rPr>
        <w:t xml:space="preserve"> who attend you as friend, when you protected; for them you did the action, for them to </w:t>
      </w:r>
      <w:r>
        <w:rPr>
          <w:szCs w:val="18"/>
          <w:u w:val="single"/>
        </w:rPr>
        <w:t>appropriate</w:t>
      </w:r>
      <w:r>
        <w:rPr>
          <w:szCs w:val="18"/>
        </w:rPr>
        <w:t xml:space="preserve"> you in the battles,</w:t>
      </w:r>
      <w:r>
        <w:rPr>
          <w:szCs w:val="18"/>
        </w:rPr>
        <w:t xml:space="preserve"> for you they gain one river after another going to the glory, they keep gaining.</w:t>
      </w:r>
    </w:p>
    <w:p w14:paraId="58454D41" w14:textId="77777777" w:rsidR="00E53EB6" w:rsidRDefault="006500F5">
      <w:pPr>
        <w:pStyle w:val="Quotations"/>
      </w:pPr>
      <w:r>
        <w:rPr>
          <w:i/>
          <w:iCs/>
        </w:rPr>
        <w:t xml:space="preserve">právantave: </w:t>
      </w:r>
      <w:r>
        <w:t>in</w:t>
      </w:r>
      <w:r>
        <w:t xml:space="preserve">f. dat., </w:t>
      </w:r>
      <w:r w:rsidRPr="00494885">
        <w:rPr>
          <w:szCs w:val="18"/>
          <w:lang w:val="en-US"/>
        </w:rPr>
        <w:t xml:space="preserve">cf. </w:t>
      </w:r>
      <w:r w:rsidRPr="00494885">
        <w:rPr>
          <w:smallCaps/>
          <w:szCs w:val="18"/>
          <w:lang w:val="en-US"/>
        </w:rPr>
        <w:t xml:space="preserve">Whitney </w:t>
      </w:r>
      <w:r w:rsidRPr="00494885">
        <w:rPr>
          <w:szCs w:val="18"/>
          <w:lang w:val="en-US"/>
        </w:rPr>
        <w:t>1888: §982.a</w:t>
      </w:r>
    </w:p>
    <w:p w14:paraId="75B19385" w14:textId="77777777" w:rsidR="00E53EB6" w:rsidRPr="00494885" w:rsidRDefault="006500F5">
      <w:pPr>
        <w:pStyle w:val="ZitatmitEinzug"/>
        <w:rPr>
          <w:szCs w:val="18"/>
          <w:lang w:val="de-DE"/>
        </w:rPr>
      </w:pPr>
      <w:r w:rsidRPr="00494885">
        <w:rPr>
          <w:rStyle w:val="biblio-authorGEN"/>
          <w:sz w:val="18"/>
          <w:szCs w:val="18"/>
          <w:lang w:val="de-DE"/>
        </w:rPr>
        <w:t>Geldner:</w:t>
      </w:r>
      <w:r w:rsidRPr="00494885">
        <w:rPr>
          <w:szCs w:val="18"/>
          <w:lang w:val="de-DE"/>
        </w:rPr>
        <w:t xml:space="preserve"> I 185 “den Sieg gewinnen”</w:t>
      </w:r>
    </w:p>
    <w:p w14:paraId="38755E83" w14:textId="77777777" w:rsidR="00E53EB6" w:rsidRPr="00494885" w:rsidRDefault="006500F5">
      <w:pPr>
        <w:pStyle w:val="ZitatmitEinzug"/>
        <w:rPr>
          <w:szCs w:val="18"/>
          <w:lang w:val="de-DE"/>
        </w:rPr>
      </w:pPr>
      <w:r w:rsidRPr="00494885">
        <w:rPr>
          <w:rStyle w:val="biblio-authorGEN"/>
          <w:sz w:val="18"/>
          <w:szCs w:val="18"/>
          <w:lang w:val="de-DE"/>
        </w:rPr>
        <w:t xml:space="preserve">Renou: </w:t>
      </w:r>
      <w:r w:rsidRPr="00494885">
        <w:rPr>
          <w:szCs w:val="18"/>
          <w:lang w:val="de-DE"/>
        </w:rPr>
        <w:t>XVII 46 “gagnent”</w:t>
      </w:r>
    </w:p>
    <w:p w14:paraId="09B7918C" w14:textId="77777777" w:rsidR="00E53EB6" w:rsidRPr="00494885" w:rsidRDefault="006500F5">
      <w:pPr>
        <w:pStyle w:val="ZitatmitEinzug"/>
        <w:rPr>
          <w:szCs w:val="18"/>
          <w:lang w:val="de-DE"/>
        </w:rPr>
      </w:pPr>
      <w:r w:rsidRPr="00494885">
        <w:rPr>
          <w:rStyle w:val="biblio-authorGEN"/>
          <w:sz w:val="18"/>
          <w:szCs w:val="15"/>
          <w:lang w:val="de-DE"/>
        </w:rPr>
        <w:t xml:space="preserve">Witzel-Gotō </w:t>
      </w:r>
      <w:r w:rsidRPr="00494885">
        <w:rPr>
          <w:szCs w:val="18"/>
          <w:lang w:val="de-DE"/>
        </w:rPr>
        <w:t>2007: 246 “gewinnen”</w:t>
      </w:r>
    </w:p>
    <w:p w14:paraId="6257660C" w14:textId="77777777" w:rsidR="00E53EB6" w:rsidRDefault="006500F5">
      <w:pPr>
        <w:pStyle w:val="ZitatmitEinzug"/>
        <w:rPr>
          <w:szCs w:val="18"/>
        </w:rPr>
      </w:pPr>
      <w:r>
        <w:rPr>
          <w:szCs w:val="18"/>
        </w:rPr>
        <w:t>Sāya</w:t>
      </w:r>
      <w:r>
        <w:rPr>
          <w:szCs w:val="18"/>
        </w:rPr>
        <w:t>ṇ</w:t>
      </w:r>
      <w:r>
        <w:rPr>
          <w:szCs w:val="18"/>
        </w:rPr>
        <w:t>a:</w:t>
      </w:r>
      <w:r>
        <w:rPr>
          <w:szCs w:val="18"/>
        </w:rPr>
        <w:t>∅</w:t>
      </w:r>
    </w:p>
    <w:p w14:paraId="4DF2D16B" w14:textId="77777777" w:rsidR="00E53EB6" w:rsidRDefault="00E53EB6">
      <w:pPr>
        <w:pStyle w:val="ZitatmitEinzug"/>
        <w:rPr>
          <w:szCs w:val="18"/>
        </w:rPr>
      </w:pPr>
    </w:p>
    <w:p w14:paraId="7758E7C2" w14:textId="77777777" w:rsidR="00E53EB6" w:rsidRDefault="006500F5">
      <w:pPr>
        <w:pStyle w:val="ZitatmitEinzug"/>
      </w:pPr>
      <w:r>
        <w:rPr>
          <w:szCs w:val="18"/>
        </w:rPr>
        <w:t xml:space="preserve">*The prefix </w:t>
      </w:r>
      <w:r>
        <w:rPr>
          <w:i/>
          <w:iCs/>
          <w:szCs w:val="18"/>
        </w:rPr>
        <w:t xml:space="preserve">pra </w:t>
      </w:r>
      <w:r>
        <w:rPr>
          <w:szCs w:val="18"/>
        </w:rPr>
        <w:t xml:space="preserve">is used only here and in R̥V 10.96.1b, which is quoted in AVŚ 20.30.1. In that case the man appropriates the </w:t>
      </w:r>
      <w:r>
        <w:rPr>
          <w:i/>
          <w:iCs/>
          <w:szCs w:val="18"/>
        </w:rPr>
        <w:t>soma,</w:t>
      </w:r>
      <w:r>
        <w:rPr>
          <w:szCs w:val="18"/>
        </w:rPr>
        <w:t xml:space="preserve"> which is the drink of Indra, who indeed by means of this magic plant performs heroic deeds. As there the men </w:t>
      </w:r>
      <w:r>
        <w:rPr>
          <w:i/>
          <w:iCs/>
          <w:szCs w:val="18"/>
        </w:rPr>
        <w:t xml:space="preserve">pra-van- </w:t>
      </w:r>
      <w:r>
        <w:rPr>
          <w:szCs w:val="18"/>
        </w:rPr>
        <w:t xml:space="preserve">the </w:t>
      </w:r>
      <w:r>
        <w:rPr>
          <w:i/>
          <w:iCs/>
          <w:szCs w:val="18"/>
        </w:rPr>
        <w:t xml:space="preserve">soma </w:t>
      </w:r>
      <w:r>
        <w:rPr>
          <w:szCs w:val="18"/>
        </w:rPr>
        <w:t>that gives str</w:t>
      </w:r>
      <w:r>
        <w:rPr>
          <w:szCs w:val="18"/>
        </w:rPr>
        <w:t xml:space="preserve">ength, imitating Indra, in the same way here the Uśij </w:t>
      </w:r>
      <w:r>
        <w:rPr>
          <w:i/>
          <w:iCs/>
          <w:szCs w:val="18"/>
        </w:rPr>
        <w:t xml:space="preserve">pra-van- </w:t>
      </w:r>
      <w:r>
        <w:rPr>
          <w:szCs w:val="18"/>
        </w:rPr>
        <w:t xml:space="preserve">Indra who makes them stronger. Indeed Indra is the god that both armies address before the battle: to whom Indra may grant his favour, that is the winner. Here </w:t>
      </w:r>
      <w:r>
        <w:rPr>
          <w:i/>
          <w:iCs/>
        </w:rPr>
        <w:t>van-</w:t>
      </w:r>
      <w:r>
        <w:t xml:space="preserve"> expresses the idea of making</w:t>
      </w:r>
      <w:r>
        <w:t xml:space="preserve"> someone else enter into a circle of friendship, and that is a peculiar feature of the relationship between Indra and his </w:t>
      </w:r>
      <w:r>
        <w:rPr>
          <w:i/>
          <w:iCs/>
        </w:rPr>
        <w:t>sakhi:</w:t>
      </w:r>
      <w:r>
        <w:t xml:space="preserve"> “they appropriate you and therefore they are your mates”.</w:t>
      </w:r>
    </w:p>
    <w:p w14:paraId="28C00147" w14:textId="77777777" w:rsidR="00E53EB6" w:rsidRDefault="006500F5">
      <w:pPr>
        <w:pStyle w:val="HaupttextnachZitat"/>
      </w:pPr>
      <w:r>
        <w:t>Vedic Web</w:t>
      </w:r>
    </w:p>
    <w:p w14:paraId="68FDC7BF" w14:textId="77777777" w:rsidR="00E53EB6" w:rsidRDefault="006500F5">
      <w:pPr>
        <w:pStyle w:val="HaupttextohneEinzug"/>
        <w:rPr>
          <w:szCs w:val="18"/>
        </w:rPr>
      </w:pPr>
      <w:r>
        <w:rPr>
          <w:szCs w:val="18"/>
        </w:rPr>
        <w:t xml:space="preserve">Mantra: </w:t>
      </w:r>
      <w:r>
        <w:rPr>
          <w:szCs w:val="21"/>
        </w:rPr>
        <w:t>R̥V 1.131.5.</w:t>
      </w:r>
    </w:p>
    <w:p w14:paraId="6AE4EB1C" w14:textId="77777777" w:rsidR="00E53EB6" w:rsidRDefault="00E53EB6">
      <w:pPr>
        <w:pStyle w:val="HaupttextohneEinzug"/>
        <w:rPr>
          <w:szCs w:val="18"/>
        </w:rPr>
      </w:pPr>
    </w:p>
    <w:p w14:paraId="6B1C939F" w14:textId="77777777" w:rsidR="00E53EB6" w:rsidRDefault="006500F5">
      <w:pPr>
        <w:pStyle w:val="HaupttextohneEinzug"/>
        <w:rPr>
          <w:szCs w:val="18"/>
        </w:rPr>
      </w:pPr>
      <w:r>
        <w:rPr>
          <w:szCs w:val="18"/>
        </w:rPr>
        <w:t>Rite</w:t>
      </w:r>
    </w:p>
    <w:p w14:paraId="42581DBE" w14:textId="77777777" w:rsidR="00E53EB6" w:rsidRDefault="006500F5">
      <w:pPr>
        <w:pStyle w:val="HaupttextohneEinzug"/>
        <w:rPr>
          <w:szCs w:val="18"/>
        </w:rPr>
      </w:pPr>
      <w:r>
        <w:rPr>
          <w:i/>
          <w:iCs/>
          <w:szCs w:val="18"/>
        </w:rPr>
        <w:t>Pr̥</w:t>
      </w:r>
      <w:r>
        <w:rPr>
          <w:i/>
          <w:iCs/>
          <w:szCs w:val="18"/>
        </w:rPr>
        <w:t>ṣṭ</w:t>
      </w:r>
      <w:r>
        <w:rPr>
          <w:i/>
          <w:iCs/>
          <w:szCs w:val="18"/>
        </w:rPr>
        <w:t>hya sa</w:t>
      </w:r>
      <w:r>
        <w:rPr>
          <w:i/>
          <w:iCs/>
          <w:szCs w:val="18"/>
        </w:rPr>
        <w:t>ḍ</w:t>
      </w:r>
      <w:r>
        <w:rPr>
          <w:i/>
          <w:iCs/>
          <w:szCs w:val="18"/>
        </w:rPr>
        <w:t>aha</w:t>
      </w:r>
      <w:r>
        <w:rPr>
          <w:szCs w:val="18"/>
        </w:rPr>
        <w:t>, a group of rite</w:t>
      </w:r>
      <w:r>
        <w:rPr>
          <w:szCs w:val="18"/>
        </w:rPr>
        <w:t xml:space="preserve">s consisting of one </w:t>
      </w:r>
      <w:r>
        <w:rPr>
          <w:i/>
          <w:iCs/>
          <w:szCs w:val="18"/>
        </w:rPr>
        <w:t>Agni</w:t>
      </w:r>
      <w:r>
        <w:rPr>
          <w:i/>
          <w:iCs/>
          <w:szCs w:val="18"/>
        </w:rPr>
        <w:t>ṣṭ</w:t>
      </w:r>
      <w:r>
        <w:rPr>
          <w:i/>
          <w:iCs/>
          <w:szCs w:val="18"/>
        </w:rPr>
        <w:t>oma</w:t>
      </w:r>
      <w:r>
        <w:rPr>
          <w:szCs w:val="18"/>
        </w:rPr>
        <w:t xml:space="preserve">, two </w:t>
      </w:r>
      <w:r>
        <w:rPr>
          <w:i/>
          <w:iCs/>
          <w:szCs w:val="18"/>
        </w:rPr>
        <w:t>Ukthya</w:t>
      </w:r>
      <w:r>
        <w:rPr>
          <w:szCs w:val="18"/>
        </w:rPr>
        <w:t xml:space="preserve">, one </w:t>
      </w:r>
      <w:r>
        <w:rPr>
          <w:i/>
          <w:iCs/>
          <w:szCs w:val="18"/>
        </w:rPr>
        <w:t>Ṣ</w:t>
      </w:r>
      <w:r>
        <w:rPr>
          <w:i/>
          <w:iCs/>
          <w:szCs w:val="18"/>
        </w:rPr>
        <w:t>o</w:t>
      </w:r>
      <w:r>
        <w:rPr>
          <w:i/>
          <w:iCs/>
          <w:szCs w:val="18"/>
        </w:rPr>
        <w:t>ḍ</w:t>
      </w:r>
      <w:r>
        <w:rPr>
          <w:i/>
          <w:iCs/>
          <w:szCs w:val="18"/>
        </w:rPr>
        <w:t>aśin</w:t>
      </w:r>
      <w:r>
        <w:rPr>
          <w:szCs w:val="18"/>
        </w:rPr>
        <w:t xml:space="preserve"> and one </w:t>
      </w:r>
      <w:r>
        <w:rPr>
          <w:szCs w:val="18"/>
        </w:rPr>
        <w:lastRenderedPageBreak/>
        <w:t xml:space="preserve">more </w:t>
      </w:r>
      <w:r>
        <w:rPr>
          <w:i/>
          <w:iCs/>
          <w:szCs w:val="18"/>
        </w:rPr>
        <w:t>Ukthya</w:t>
      </w:r>
      <w:r>
        <w:rPr>
          <w:szCs w:val="18"/>
        </w:rPr>
        <w:t>.</w:t>
      </w:r>
    </w:p>
    <w:p w14:paraId="4979D9EA" w14:textId="77777777" w:rsidR="00E53EB6" w:rsidRDefault="00E53EB6">
      <w:pPr>
        <w:pStyle w:val="HaupttextohneEinzug"/>
        <w:rPr>
          <w:szCs w:val="18"/>
        </w:rPr>
      </w:pPr>
    </w:p>
    <w:p w14:paraId="62A9C251" w14:textId="77777777" w:rsidR="00E53EB6" w:rsidRDefault="006500F5">
      <w:pPr>
        <w:pStyle w:val="Heading5"/>
        <w:tabs>
          <w:tab w:val="left" w:pos="0"/>
        </w:tabs>
      </w:pPr>
      <w:r>
        <w:rPr>
          <w:szCs w:val="18"/>
          <w:u w:val="single"/>
        </w:rPr>
        <w:t>AVŚ 20.143.2</w:t>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p>
    <w:p w14:paraId="2590953D" w14:textId="77777777" w:rsidR="00E53EB6" w:rsidRDefault="006500F5">
      <w:pPr>
        <w:pStyle w:val="Quotations"/>
      </w:pPr>
      <w:r>
        <w:t xml:space="preserve">20.143.2 </w:t>
      </w:r>
      <w:r>
        <w:rPr>
          <w:i/>
          <w:iCs/>
        </w:rPr>
        <w:t>yuvá</w:t>
      </w:r>
      <w:r>
        <w:rPr>
          <w:i/>
          <w:iCs/>
        </w:rPr>
        <w:t>ṃ</w:t>
      </w:r>
      <w:r>
        <w:rPr>
          <w:i/>
          <w:iCs/>
        </w:rPr>
        <w:t xml:space="preserve"> śríyam aśvinā devátā tā́</w:t>
      </w:r>
      <w:r>
        <w:rPr>
          <w:i/>
          <w:iCs/>
        </w:rPr>
        <w:t>ṃ</w:t>
      </w:r>
      <w:r>
        <w:rPr>
          <w:i/>
          <w:iCs/>
        </w:rPr>
        <w:t xml:space="preserve"> dívo napātā vanatha</w:t>
      </w:r>
      <w:r>
        <w:rPr>
          <w:i/>
          <w:iCs/>
        </w:rPr>
        <w:t>ḥ</w:t>
      </w:r>
      <w:r>
        <w:rPr>
          <w:i/>
          <w:iCs/>
        </w:rPr>
        <w:t xml:space="preserve"> śácībhi</w:t>
      </w:r>
      <w:r>
        <w:rPr>
          <w:i/>
          <w:iCs/>
        </w:rPr>
        <w:t>ḥ</w:t>
      </w:r>
      <w:r>
        <w:rPr>
          <w:i/>
          <w:iCs/>
        </w:rPr>
        <w:t xml:space="preserve"> / </w:t>
      </w:r>
    </w:p>
    <w:p w14:paraId="36BA09A5" w14:textId="77777777" w:rsidR="00E53EB6" w:rsidRDefault="006500F5">
      <w:pPr>
        <w:pStyle w:val="ZitatnachZitat"/>
        <w:rPr>
          <w:i/>
          <w:iCs/>
        </w:rPr>
      </w:pPr>
      <w:r>
        <w:rPr>
          <w:i/>
          <w:iCs/>
        </w:rPr>
        <w:t>yuvór vápur abhí pŕ̥k</w:t>
      </w:r>
      <w:r>
        <w:rPr>
          <w:i/>
          <w:iCs/>
        </w:rPr>
        <w:t>ṣ</w:t>
      </w:r>
      <w:r>
        <w:rPr>
          <w:i/>
          <w:iCs/>
        </w:rPr>
        <w:t>a</w:t>
      </w:r>
      <w:r>
        <w:rPr>
          <w:i/>
          <w:iCs/>
        </w:rPr>
        <w:t>ḥ</w:t>
      </w:r>
      <w:r>
        <w:rPr>
          <w:i/>
          <w:iCs/>
        </w:rPr>
        <w:t xml:space="preserve"> sacante váhanti yát kakuhā́so ráthe vām //</w:t>
      </w:r>
    </w:p>
    <w:p w14:paraId="1A10D988" w14:textId="77777777" w:rsidR="00E53EB6" w:rsidRDefault="006500F5">
      <w:pPr>
        <w:pStyle w:val="Quotations"/>
      </w:pPr>
      <w:r>
        <w:t xml:space="preserve">You, o Aśvin, among gods, </w:t>
      </w:r>
      <w:r>
        <w:rPr>
          <w:u w:val="single"/>
        </w:rPr>
        <w:t>appropriate</w:t>
      </w:r>
      <w:r>
        <w:t xml:space="preserve"> this beauty</w:t>
      </w:r>
      <w:r>
        <w:rPr>
          <w:rStyle w:val="FootnoteAnchor"/>
        </w:rPr>
        <w:footnoteReference w:id="551"/>
      </w:r>
      <w:r>
        <w:t xml:space="preserve"> with your powers, o sons of the sky, the nourishments follows your your form when the tall horses</w:t>
      </w:r>
      <w:r>
        <w:rPr>
          <w:rStyle w:val="FootnoteAnchor"/>
        </w:rPr>
        <w:footnoteReference w:id="552"/>
      </w:r>
      <w:r>
        <w:t xml:space="preserve">  pull your chariot.</w:t>
      </w:r>
    </w:p>
    <w:p w14:paraId="1376010A" w14:textId="77777777" w:rsidR="00E53EB6" w:rsidRPr="00494885" w:rsidRDefault="006500F5">
      <w:pPr>
        <w:pStyle w:val="Quotations"/>
        <w:rPr>
          <w:lang w:val="de-DE"/>
        </w:rPr>
      </w:pPr>
      <w:r w:rsidRPr="00494885">
        <w:rPr>
          <w:i/>
          <w:iCs/>
          <w:lang w:val="de-DE"/>
        </w:rPr>
        <w:t>vanatha</w:t>
      </w:r>
      <w:r w:rsidRPr="00494885">
        <w:rPr>
          <w:i/>
          <w:iCs/>
          <w:lang w:val="de-DE"/>
        </w:rPr>
        <w:t>ḥ</w:t>
      </w:r>
      <w:r w:rsidRPr="00494885">
        <w:rPr>
          <w:i/>
          <w:iCs/>
          <w:lang w:val="de-DE"/>
        </w:rPr>
        <w:t xml:space="preserve">: </w:t>
      </w:r>
      <w:r w:rsidRPr="00494885">
        <w:rPr>
          <w:iCs/>
          <w:lang w:val="de-DE"/>
        </w:rPr>
        <w:t>i</w:t>
      </w:r>
      <w:r w:rsidRPr="00494885">
        <w:rPr>
          <w:lang w:val="de-DE"/>
        </w:rPr>
        <w:t>nd. pres</w:t>
      </w:r>
      <w:r w:rsidRPr="00494885">
        <w:rPr>
          <w:lang w:val="de-DE"/>
        </w:rPr>
        <w:t xml:space="preserve">. </w:t>
      </w:r>
      <w:r w:rsidRPr="00494885">
        <w:rPr>
          <w:lang w:val="de-DE"/>
        </w:rPr>
        <w:t>2</w:t>
      </w:r>
      <w:r w:rsidRPr="00494885">
        <w:rPr>
          <w:vertAlign w:val="superscript"/>
          <w:lang w:val="de-DE"/>
        </w:rPr>
        <w:t>nd</w:t>
      </w:r>
      <w:r w:rsidRPr="00494885">
        <w:rPr>
          <w:lang w:val="de-DE"/>
        </w:rPr>
        <w:t xml:space="preserve"> du. I-VI cl.</w:t>
      </w:r>
    </w:p>
    <w:p w14:paraId="31128CD0" w14:textId="77777777" w:rsidR="00E53EB6" w:rsidRPr="00494885" w:rsidRDefault="006500F5">
      <w:pPr>
        <w:pStyle w:val="ZitatmitEinzug"/>
        <w:rPr>
          <w:szCs w:val="18"/>
          <w:lang w:val="de-DE"/>
        </w:rPr>
      </w:pPr>
      <w:r w:rsidRPr="00494885">
        <w:rPr>
          <w:rStyle w:val="biblio-authorGEN"/>
          <w:sz w:val="18"/>
          <w:szCs w:val="18"/>
          <w:lang w:val="de-DE"/>
        </w:rPr>
        <w:t>Geldner:</w:t>
      </w:r>
      <w:r w:rsidRPr="00494885">
        <w:rPr>
          <w:szCs w:val="18"/>
          <w:lang w:val="de-DE"/>
        </w:rPr>
        <w:t xml:space="preserve"> I 476 “habt Gewinn”</w:t>
      </w:r>
    </w:p>
    <w:p w14:paraId="2FB0D989" w14:textId="77777777" w:rsidR="00E53EB6" w:rsidRPr="00494885" w:rsidRDefault="006500F5">
      <w:pPr>
        <w:pStyle w:val="ZitatmitEinzug"/>
        <w:rPr>
          <w:szCs w:val="18"/>
          <w:lang w:val="de-DE"/>
        </w:rPr>
      </w:pPr>
      <w:r w:rsidRPr="00494885">
        <w:rPr>
          <w:szCs w:val="18"/>
          <w:lang w:val="de-DE"/>
        </w:rPr>
        <w:t>Sāya</w:t>
      </w:r>
      <w:r w:rsidRPr="00494885">
        <w:rPr>
          <w:szCs w:val="18"/>
          <w:lang w:val="de-DE"/>
        </w:rPr>
        <w:t>ṇ</w:t>
      </w:r>
      <w:r w:rsidRPr="00494885">
        <w:rPr>
          <w:szCs w:val="18"/>
          <w:lang w:val="de-DE"/>
        </w:rPr>
        <w:t>a:∅</w:t>
      </w:r>
    </w:p>
    <w:p w14:paraId="2E962BAC" w14:textId="77777777" w:rsidR="00E53EB6" w:rsidRPr="00494885" w:rsidRDefault="006500F5">
      <w:pPr>
        <w:pStyle w:val="HaupttextnachZitat"/>
        <w:rPr>
          <w:lang w:val="de-DE"/>
        </w:rPr>
      </w:pPr>
      <w:r w:rsidRPr="00494885">
        <w:rPr>
          <w:lang w:val="de-DE"/>
        </w:rPr>
        <w:t>Vedic We</w:t>
      </w:r>
      <w:r w:rsidRPr="00494885">
        <w:rPr>
          <w:lang w:val="de-DE"/>
        </w:rPr>
        <w:t>b</w:t>
      </w:r>
    </w:p>
    <w:p w14:paraId="52162339" w14:textId="77777777" w:rsidR="00E53EB6" w:rsidRDefault="006500F5">
      <w:pPr>
        <w:pStyle w:val="HaupttextohneEinzug"/>
        <w:rPr>
          <w:szCs w:val="18"/>
        </w:rPr>
      </w:pPr>
      <w:r>
        <w:rPr>
          <w:szCs w:val="18"/>
        </w:rPr>
        <w:t xml:space="preserve">Mantra: </w:t>
      </w:r>
      <w:r>
        <w:rPr>
          <w:szCs w:val="21"/>
        </w:rPr>
        <w:t>R̥V 4.44.2.</w:t>
      </w:r>
    </w:p>
    <w:p w14:paraId="36523553" w14:textId="77777777" w:rsidR="00E53EB6" w:rsidRDefault="00E53EB6">
      <w:pPr>
        <w:pStyle w:val="HaupttextohneEinzug"/>
        <w:rPr>
          <w:szCs w:val="18"/>
        </w:rPr>
      </w:pPr>
    </w:p>
    <w:p w14:paraId="0AD46F0C" w14:textId="77777777" w:rsidR="00E53EB6" w:rsidRDefault="006500F5">
      <w:pPr>
        <w:pStyle w:val="HaupttextohneEinzug"/>
        <w:rPr>
          <w:szCs w:val="18"/>
        </w:rPr>
      </w:pPr>
      <w:r>
        <w:rPr>
          <w:szCs w:val="18"/>
        </w:rPr>
        <w:t>Rite</w:t>
      </w:r>
    </w:p>
    <w:p w14:paraId="12B4D430" w14:textId="77777777" w:rsidR="00E53EB6" w:rsidRDefault="006500F5">
      <w:pPr>
        <w:pStyle w:val="HaupttextohneEinzug"/>
      </w:pPr>
      <w:r>
        <w:rPr>
          <w:i/>
          <w:iCs/>
        </w:rPr>
        <w:t>Atirātra</w:t>
      </w:r>
      <w:r>
        <w:t>.</w:t>
      </w:r>
    </w:p>
    <w:p w14:paraId="3E3CEB16" w14:textId="77777777" w:rsidR="00E53EB6" w:rsidRDefault="00E53EB6">
      <w:pPr>
        <w:pStyle w:val="HaupttextohneEinzug"/>
      </w:pPr>
    </w:p>
    <w:p w14:paraId="421386EE" w14:textId="77777777" w:rsidR="00E53EB6" w:rsidRDefault="006500F5">
      <w:pPr>
        <w:pStyle w:val="Heading5"/>
        <w:tabs>
          <w:tab w:val="left" w:pos="0"/>
        </w:tabs>
      </w:pPr>
      <w:r>
        <w:rPr>
          <w:szCs w:val="18"/>
          <w:u w:val="single"/>
        </w:rPr>
        <w:t>AVŚ 6.126.1</w:t>
      </w:r>
      <w:r>
        <w:rPr>
          <w:szCs w:val="18"/>
        </w:rPr>
        <w:tab/>
      </w:r>
      <w:r>
        <w:rPr>
          <w:szCs w:val="18"/>
        </w:rPr>
        <w:tab/>
      </w:r>
      <w:r>
        <w:rPr>
          <w:szCs w:val="18"/>
        </w:rPr>
        <w:tab/>
      </w:r>
      <w:r>
        <w:rPr>
          <w:szCs w:val="18"/>
        </w:rPr>
        <w:tab/>
      </w:r>
      <w:r>
        <w:rPr>
          <w:szCs w:val="18"/>
        </w:rPr>
        <w:tab/>
      </w:r>
      <w:r>
        <w:rPr>
          <w:szCs w:val="18"/>
        </w:rPr>
        <w:tab/>
      </w:r>
      <w:r>
        <w:rPr>
          <w:szCs w:val="18"/>
        </w:rPr>
        <w:tab/>
      </w:r>
      <w:r>
        <w:rPr>
          <w:szCs w:val="18"/>
        </w:rPr>
        <w:tab/>
      </w:r>
    </w:p>
    <w:p w14:paraId="022C2D6F" w14:textId="77777777" w:rsidR="00E53EB6" w:rsidRDefault="006500F5">
      <w:pPr>
        <w:pStyle w:val="Quotations"/>
      </w:pPr>
      <w:r>
        <w:t xml:space="preserve">6.126.1 </w:t>
      </w:r>
      <w:r>
        <w:rPr>
          <w:i/>
          <w:iCs/>
        </w:rPr>
        <w:t>úpa śvāsaya pr̥thivī́mutá dyā́</w:t>
      </w:r>
      <w:r>
        <w:rPr>
          <w:i/>
          <w:iCs/>
        </w:rPr>
        <w:t>ṃ</w:t>
      </w:r>
      <w:r>
        <w:rPr>
          <w:i/>
          <w:iCs/>
        </w:rPr>
        <w:t xml:space="preserve"> purutrā́ te vanvatā</w:t>
      </w:r>
      <w:r>
        <w:rPr>
          <w:i/>
          <w:iCs/>
        </w:rPr>
        <w:t>ṃ</w:t>
      </w:r>
      <w:r>
        <w:rPr>
          <w:i/>
          <w:iCs/>
        </w:rPr>
        <w:t xml:space="preserve"> ví</w:t>
      </w:r>
      <w:r>
        <w:rPr>
          <w:i/>
          <w:iCs/>
        </w:rPr>
        <w:t>ṣṭ</w:t>
      </w:r>
      <w:r>
        <w:rPr>
          <w:i/>
          <w:iCs/>
        </w:rPr>
        <w:t xml:space="preserve">hitam jágat / </w:t>
      </w:r>
    </w:p>
    <w:p w14:paraId="73D7AE0C" w14:textId="77777777" w:rsidR="00E53EB6" w:rsidRDefault="006500F5">
      <w:pPr>
        <w:pStyle w:val="ZitatnachZitat"/>
        <w:rPr>
          <w:i/>
          <w:iCs/>
        </w:rPr>
      </w:pPr>
      <w:r>
        <w:rPr>
          <w:i/>
          <w:iCs/>
        </w:rPr>
        <w:t>sá dundubhe sajū́ríndre</w:t>
      </w:r>
      <w:r>
        <w:rPr>
          <w:i/>
          <w:iCs/>
        </w:rPr>
        <w:t>ṇ</w:t>
      </w:r>
      <w:r>
        <w:rPr>
          <w:i/>
          <w:iCs/>
        </w:rPr>
        <w:t>a devaírdūrā́ddávīyo ápa sedha śátrūn //</w:t>
      </w:r>
    </w:p>
    <w:p w14:paraId="343D0171" w14:textId="77777777" w:rsidR="00E53EB6" w:rsidRDefault="006500F5">
      <w:pPr>
        <w:pStyle w:val="Quotations"/>
      </w:pPr>
      <w:r>
        <w:t xml:space="preserve">Fill with roaring the earth and the heaven, let the creatures scattered in many places </w:t>
      </w:r>
      <w:r>
        <w:rPr>
          <w:u w:val="single"/>
        </w:rPr>
        <w:t>appropriate for themselves</w:t>
      </w:r>
      <w:r>
        <w:t xml:space="preserve"> for you / of you; o drum, o you, at the same time together with Indra and the gods, drive away the enemies, farther than far.</w:t>
      </w:r>
    </w:p>
    <w:p w14:paraId="236D1901" w14:textId="77777777" w:rsidR="00E53EB6" w:rsidRDefault="006500F5">
      <w:pPr>
        <w:pStyle w:val="Quotations"/>
        <w:rPr>
          <w:i/>
          <w:iCs/>
        </w:rPr>
      </w:pPr>
      <w:r>
        <w:rPr>
          <w:i/>
          <w:iCs/>
        </w:rPr>
        <w:t>vanvatā</w:t>
      </w:r>
      <w:r>
        <w:rPr>
          <w:i/>
          <w:iCs/>
        </w:rPr>
        <w:t>ṃ</w:t>
      </w:r>
      <w:r>
        <w:rPr>
          <w:i/>
          <w:iCs/>
        </w:rPr>
        <w:t xml:space="preserve">: </w:t>
      </w:r>
      <w:r>
        <w:t xml:space="preserve">impv. </w:t>
      </w:r>
      <w:r>
        <w:t>pres. 3</w:t>
      </w:r>
      <w:r>
        <w:rPr>
          <w:vertAlign w:val="superscript"/>
        </w:rPr>
        <w:t>rd</w:t>
      </w:r>
      <w:r>
        <w:t xml:space="preserve"> pl. Ā VIII cl.</w:t>
      </w:r>
    </w:p>
    <w:p w14:paraId="2B6503BF" w14:textId="77777777" w:rsidR="00E53EB6" w:rsidRDefault="006500F5">
      <w:pPr>
        <w:pStyle w:val="ZitatmitEinzug"/>
      </w:pPr>
      <w:r>
        <w:rPr>
          <w:rStyle w:val="biblio-authorGEN"/>
          <w:sz w:val="18"/>
          <w:szCs w:val="18"/>
        </w:rPr>
        <w:t xml:space="preserve">Whitney </w:t>
      </w:r>
      <w:r>
        <w:rPr>
          <w:szCs w:val="18"/>
        </w:rPr>
        <w:t xml:space="preserve">1905: 375 “win”; Whitney translates “let them win for the scattered living creatures”, commenting that the translation is “according to the reading of our text”. In the R̥V </w:t>
      </w:r>
      <w:r>
        <w:rPr>
          <w:i/>
          <w:iCs/>
          <w:szCs w:val="18"/>
        </w:rPr>
        <w:t xml:space="preserve">mantra </w:t>
      </w:r>
      <w:r>
        <w:rPr>
          <w:szCs w:val="18"/>
        </w:rPr>
        <w:t>the living  creatures are the subject of th</w:t>
      </w:r>
      <w:r>
        <w:rPr>
          <w:szCs w:val="18"/>
        </w:rPr>
        <w:t xml:space="preserve">e sentence, and they think, commemorate </w:t>
      </w:r>
      <w:r>
        <w:rPr>
          <w:i/>
          <w:iCs/>
          <w:szCs w:val="18"/>
        </w:rPr>
        <w:t>(manutām)</w:t>
      </w:r>
      <w:r>
        <w:rPr>
          <w:szCs w:val="18"/>
        </w:rPr>
        <w:t xml:space="preserve"> the drum; I think here also the meaning should be maintained, </w:t>
      </w:r>
      <w:r>
        <w:rPr>
          <w:i/>
          <w:iCs/>
          <w:szCs w:val="18"/>
        </w:rPr>
        <w:t xml:space="preserve">van- </w:t>
      </w:r>
      <w:r>
        <w:rPr>
          <w:szCs w:val="18"/>
        </w:rPr>
        <w:t>meaning perhaps something different as “to win”. To be noticed that in this case the verb is used for the second time with the genitive.</w:t>
      </w:r>
    </w:p>
    <w:p w14:paraId="5D4D7BB2" w14:textId="77777777" w:rsidR="00E53EB6" w:rsidRDefault="006500F5">
      <w:pPr>
        <w:pStyle w:val="ZitatmitEinzug"/>
        <w:rPr>
          <w:szCs w:val="18"/>
        </w:rPr>
      </w:pPr>
      <w:r>
        <w:rPr>
          <w:szCs w:val="18"/>
        </w:rPr>
        <w:t>Sā</w:t>
      </w:r>
      <w:r>
        <w:rPr>
          <w:szCs w:val="18"/>
        </w:rPr>
        <w:t>ya</w:t>
      </w:r>
      <w:r>
        <w:rPr>
          <w:szCs w:val="18"/>
        </w:rPr>
        <w:t>ṇ</w:t>
      </w:r>
      <w:r>
        <w:rPr>
          <w:szCs w:val="18"/>
        </w:rPr>
        <w:t>a:</w:t>
      </w:r>
      <w:r>
        <w:rPr>
          <w:szCs w:val="18"/>
        </w:rPr>
        <w:t xml:space="preserve"> </w:t>
      </w:r>
      <w:r>
        <w:rPr>
          <w:i/>
          <w:iCs/>
          <w:szCs w:val="18"/>
        </w:rPr>
        <w:t>vanutām sambhajatām |</w:t>
      </w:r>
      <w:r>
        <w:rPr>
          <w:i/>
          <w:iCs/>
          <w:szCs w:val="18"/>
        </w:rPr>
        <w:t xml:space="preserve"> vana </w:t>
      </w:r>
      <w:r>
        <w:rPr>
          <w:i/>
          <w:iCs/>
          <w:szCs w:val="18"/>
        </w:rPr>
        <w:t>ṣ</w:t>
      </w:r>
      <w:r>
        <w:rPr>
          <w:i/>
          <w:iCs/>
          <w:szCs w:val="18"/>
        </w:rPr>
        <w:t>a</w:t>
      </w:r>
      <w:r>
        <w:rPr>
          <w:i/>
          <w:iCs/>
          <w:szCs w:val="18"/>
        </w:rPr>
        <w:t>ṇ</w:t>
      </w:r>
      <w:r>
        <w:rPr>
          <w:i/>
          <w:iCs/>
          <w:szCs w:val="18"/>
        </w:rPr>
        <w:t>a sambhaktau</w:t>
      </w:r>
    </w:p>
    <w:p w14:paraId="008F362E" w14:textId="77777777" w:rsidR="00E53EB6" w:rsidRDefault="006500F5">
      <w:pPr>
        <w:pStyle w:val="HaupttextnachZitat"/>
      </w:pPr>
      <w:r>
        <w:t>Vedic Web</w:t>
      </w:r>
    </w:p>
    <w:p w14:paraId="111E4660" w14:textId="77777777" w:rsidR="00E53EB6" w:rsidRDefault="006500F5">
      <w:pPr>
        <w:pStyle w:val="HaupttextohneEinzug"/>
        <w:rPr>
          <w:szCs w:val="18"/>
        </w:rPr>
      </w:pPr>
      <w:r>
        <w:rPr>
          <w:szCs w:val="18"/>
        </w:rPr>
        <w:t>Mantra: R̥V 6.47.29; AVP 15.11.9; VS 29.55; TS 4.6.6.6a MS 3.16.3: 187.8 (</w:t>
      </w:r>
      <w:r>
        <w:rPr>
          <w:i/>
          <w:iCs/>
          <w:szCs w:val="18"/>
        </w:rPr>
        <w:t>sa</w:t>
      </w:r>
      <w:r>
        <w:rPr>
          <w:i/>
          <w:iCs/>
          <w:szCs w:val="18"/>
        </w:rPr>
        <w:t>ṃ</w:t>
      </w:r>
      <w:r>
        <w:rPr>
          <w:szCs w:val="18"/>
        </w:rPr>
        <w:t xml:space="preserve"> instead of </w:t>
      </w:r>
      <w:r>
        <w:rPr>
          <w:i/>
          <w:iCs/>
          <w:szCs w:val="18"/>
        </w:rPr>
        <w:t>sa</w:t>
      </w:r>
      <w:r>
        <w:rPr>
          <w:szCs w:val="18"/>
        </w:rPr>
        <w:t xml:space="preserve">); </w:t>
      </w:r>
      <w:r>
        <w:rPr>
          <w:szCs w:val="18"/>
        </w:rPr>
        <w:t xml:space="preserve">KS Aśvamedha </w:t>
      </w:r>
      <w:r>
        <w:rPr>
          <w:i/>
          <w:iCs/>
          <w:szCs w:val="18"/>
        </w:rPr>
        <w:t>grantha</w:t>
      </w:r>
      <w:r>
        <w:rPr>
          <w:szCs w:val="18"/>
        </w:rPr>
        <w:t xml:space="preserve"> 6.1: III 174,5-6</w:t>
      </w:r>
      <w:r>
        <w:rPr>
          <w:szCs w:val="18"/>
        </w:rPr>
        <w:t xml:space="preserve">. All the </w:t>
      </w:r>
      <w:r>
        <w:rPr>
          <w:i/>
          <w:iCs/>
          <w:szCs w:val="18"/>
        </w:rPr>
        <w:t>mantra</w:t>
      </w:r>
      <w:r>
        <w:rPr>
          <w:szCs w:val="18"/>
        </w:rPr>
        <w:t xml:space="preserve">s read </w:t>
      </w:r>
      <w:r>
        <w:rPr>
          <w:i/>
          <w:iCs/>
          <w:szCs w:val="18"/>
        </w:rPr>
        <w:t xml:space="preserve">manutām </w:t>
      </w:r>
      <w:r>
        <w:rPr>
          <w:szCs w:val="18"/>
        </w:rPr>
        <w:t xml:space="preserve">instead of </w:t>
      </w:r>
      <w:r>
        <w:rPr>
          <w:i/>
          <w:iCs/>
          <w:szCs w:val="18"/>
        </w:rPr>
        <w:t xml:space="preserve">vanvatām. </w:t>
      </w:r>
      <w:r>
        <w:rPr>
          <w:szCs w:val="18"/>
        </w:rPr>
        <w:t xml:space="preserve">In AVP Bhattacharya edition “tena sunutām”. </w:t>
      </w:r>
    </w:p>
    <w:p w14:paraId="517E852D" w14:textId="77777777" w:rsidR="00E53EB6" w:rsidRDefault="00E53EB6">
      <w:pPr>
        <w:pStyle w:val="HaupttextohneEinzug"/>
        <w:rPr>
          <w:szCs w:val="18"/>
        </w:rPr>
      </w:pPr>
    </w:p>
    <w:p w14:paraId="7DC7EC71" w14:textId="77777777" w:rsidR="00E53EB6" w:rsidRDefault="006500F5">
      <w:pPr>
        <w:pStyle w:val="HaupttextohneEinzug"/>
        <w:rPr>
          <w:szCs w:val="18"/>
        </w:rPr>
      </w:pPr>
      <w:r>
        <w:rPr>
          <w:szCs w:val="18"/>
        </w:rPr>
        <w:t>Rite</w:t>
      </w:r>
    </w:p>
    <w:p w14:paraId="79C6B285" w14:textId="77777777" w:rsidR="00E53EB6" w:rsidRDefault="006500F5">
      <w:pPr>
        <w:pStyle w:val="HaupttextohneEinzug"/>
        <w:rPr>
          <w:szCs w:val="18"/>
        </w:rPr>
      </w:pPr>
      <w:r>
        <w:rPr>
          <w:szCs w:val="18"/>
        </w:rPr>
        <w:t>To the drum: for success against the foe.</w:t>
      </w:r>
    </w:p>
    <w:p w14:paraId="56BB81BD" w14:textId="77777777" w:rsidR="00E53EB6" w:rsidRDefault="00E53EB6">
      <w:pPr>
        <w:pStyle w:val="HaupttextohneEinzug"/>
        <w:rPr>
          <w:szCs w:val="18"/>
        </w:rPr>
      </w:pPr>
    </w:p>
    <w:p w14:paraId="726D1F60" w14:textId="77777777" w:rsidR="00E53EB6" w:rsidRDefault="00E53EB6">
      <w:pPr>
        <w:pStyle w:val="HaupttextohneEinzug"/>
        <w:rPr>
          <w:szCs w:val="18"/>
        </w:rPr>
      </w:pPr>
    </w:p>
    <w:p w14:paraId="5F599F68" w14:textId="77777777" w:rsidR="00E53EB6" w:rsidRDefault="006500F5">
      <w:pPr>
        <w:pStyle w:val="Heading4"/>
        <w:tabs>
          <w:tab w:val="left" w:pos="0"/>
        </w:tabs>
      </w:pPr>
      <w:r>
        <w:rPr>
          <w:rFonts w:eastAsia="Arial Unicode MS" w:cs="Times Ext Roman"/>
          <w:iCs w:val="0"/>
          <w:color w:val="000000"/>
          <w:lang w:eastAsia="it-IT" w:bidi="it-IT"/>
        </w:rPr>
        <w:lastRenderedPageBreak/>
        <w:t xml:space="preserve">Non-R̥V </w:t>
      </w:r>
      <w:r>
        <w:rPr>
          <w:rFonts w:eastAsia="Arial Unicode MS" w:cs="Times Ext Roman"/>
          <w:i/>
          <w:color w:val="000000"/>
          <w:lang w:eastAsia="it-IT" w:bidi="it-IT"/>
        </w:rPr>
        <w:t>mantra</w:t>
      </w:r>
      <w:r>
        <w:rPr>
          <w:rFonts w:eastAsia="Arial Unicode MS" w:cs="Times Ext Roman"/>
          <w:iCs w:val="0"/>
          <w:color w:val="000000"/>
          <w:lang w:eastAsia="it-IT" w:bidi="it-IT"/>
        </w:rPr>
        <w:t>s</w:t>
      </w:r>
    </w:p>
    <w:p w14:paraId="0C454A9A" w14:textId="77777777" w:rsidR="00E53EB6" w:rsidRDefault="006500F5">
      <w:pPr>
        <w:pStyle w:val="Heading5"/>
        <w:tabs>
          <w:tab w:val="left" w:pos="0"/>
        </w:tabs>
        <w:rPr>
          <w:b/>
        </w:rPr>
      </w:pPr>
      <w:r>
        <w:rPr>
          <w:b/>
        </w:rPr>
        <w:t>Śaunaka occurrences</w:t>
      </w:r>
    </w:p>
    <w:p w14:paraId="594BA60C" w14:textId="77777777" w:rsidR="00E53EB6" w:rsidRDefault="006500F5">
      <w:pPr>
        <w:pStyle w:val="Heading5"/>
        <w:tabs>
          <w:tab w:val="left" w:pos="0"/>
        </w:tabs>
      </w:pPr>
      <w:r>
        <w:rPr>
          <w:u w:val="single"/>
        </w:rPr>
        <w:t>AVŚ 1.34.4</w:t>
      </w:r>
      <w:r>
        <w:tab/>
      </w:r>
      <w:r>
        <w:tab/>
      </w:r>
      <w:r>
        <w:tab/>
      </w:r>
      <w:r>
        <w:tab/>
      </w:r>
      <w:r>
        <w:tab/>
      </w:r>
      <w:r>
        <w:tab/>
      </w:r>
      <w:r>
        <w:tab/>
      </w:r>
      <w:r>
        <w:tab/>
      </w:r>
      <w:r>
        <w:tab/>
      </w:r>
      <w:r>
        <w:tab/>
      </w:r>
    </w:p>
    <w:p w14:paraId="462E0BBA" w14:textId="77777777" w:rsidR="00E53EB6" w:rsidRDefault="006500F5">
      <w:pPr>
        <w:pStyle w:val="Quotations"/>
        <w:rPr>
          <w:i/>
          <w:iCs/>
        </w:rPr>
      </w:pPr>
      <w:r>
        <w:t xml:space="preserve">1.34.4 </w:t>
      </w:r>
      <w:r>
        <w:rPr>
          <w:i/>
          <w:iCs/>
        </w:rPr>
        <w:t>mádhorasmi mádhutaro madúghānmádhumattara</w:t>
      </w:r>
      <w:r>
        <w:rPr>
          <w:i/>
          <w:iCs/>
        </w:rPr>
        <w:t>ḥ</w:t>
      </w:r>
      <w:r>
        <w:rPr>
          <w:i/>
          <w:iCs/>
        </w:rPr>
        <w:t xml:space="preserve"> / </w:t>
      </w:r>
    </w:p>
    <w:p w14:paraId="6F84B197" w14:textId="77777777" w:rsidR="00E53EB6" w:rsidRDefault="006500F5">
      <w:pPr>
        <w:pStyle w:val="ZitatnachZitat"/>
        <w:rPr>
          <w:i/>
          <w:iCs/>
        </w:rPr>
      </w:pPr>
      <w:r>
        <w:rPr>
          <w:i/>
          <w:iCs/>
        </w:rPr>
        <w:t>mā́mít kíla tvá</w:t>
      </w:r>
      <w:r>
        <w:rPr>
          <w:i/>
          <w:iCs/>
        </w:rPr>
        <w:t>ṃ</w:t>
      </w:r>
      <w:r>
        <w:rPr>
          <w:i/>
          <w:iCs/>
        </w:rPr>
        <w:t xml:space="preserve"> vánā</w:t>
      </w:r>
      <w:r>
        <w:rPr>
          <w:i/>
          <w:iCs/>
        </w:rPr>
        <w:t>ḥ</w:t>
      </w:r>
      <w:r>
        <w:rPr>
          <w:i/>
          <w:iCs/>
        </w:rPr>
        <w:t xml:space="preserve"> śā́khā</w:t>
      </w:r>
      <w:r>
        <w:rPr>
          <w:i/>
          <w:iCs/>
        </w:rPr>
        <w:t>ṃ</w:t>
      </w:r>
      <w:r>
        <w:rPr>
          <w:i/>
          <w:iCs/>
        </w:rPr>
        <w:t xml:space="preserve"> </w:t>
      </w:r>
      <w:r>
        <w:rPr>
          <w:i/>
          <w:iCs/>
        </w:rPr>
        <w:t>mádhumatīmiva //</w:t>
      </w:r>
    </w:p>
    <w:p w14:paraId="509DD196" w14:textId="77777777" w:rsidR="00E53EB6" w:rsidRDefault="006500F5">
      <w:pPr>
        <w:pStyle w:val="Quotations"/>
      </w:pPr>
      <w:r>
        <w:t xml:space="preserve">I am sweeter than the sweet, possessing more sweet than the Madugha plant, may you </w:t>
      </w:r>
      <w:r>
        <w:rPr>
          <w:u w:val="single"/>
        </w:rPr>
        <w:t>desire</w:t>
      </w:r>
      <w:r>
        <w:rPr>
          <w:i/>
          <w:iCs/>
        </w:rPr>
        <w:t xml:space="preserve"> </w:t>
      </w:r>
      <w:r>
        <w:t>me indeed as a branch full of sweet.</w:t>
      </w:r>
    </w:p>
    <w:p w14:paraId="517E3857" w14:textId="77777777" w:rsidR="00E53EB6" w:rsidRDefault="006500F5">
      <w:pPr>
        <w:pStyle w:val="Quotations"/>
      </w:pPr>
      <w:r>
        <w:rPr>
          <w:i/>
          <w:iCs/>
        </w:rPr>
        <w:t>vánā</w:t>
      </w:r>
      <w:r>
        <w:rPr>
          <w:i/>
          <w:iCs/>
        </w:rPr>
        <w:t>ḥ</w:t>
      </w:r>
      <w:r>
        <w:rPr>
          <w:i/>
          <w:iCs/>
        </w:rPr>
        <w:t xml:space="preserve">: </w:t>
      </w:r>
      <w:r>
        <w:t>subj. pres. 2</w:t>
      </w:r>
      <w:r>
        <w:rPr>
          <w:vertAlign w:val="superscript"/>
        </w:rPr>
        <w:t>nd</w:t>
      </w:r>
      <w:r>
        <w:t xml:space="preserve"> sing. I-VI cl.</w:t>
      </w:r>
    </w:p>
    <w:p w14:paraId="72443B11" w14:textId="77777777" w:rsidR="00E53EB6" w:rsidRDefault="006500F5">
      <w:pPr>
        <w:pStyle w:val="ZitatmitEinzug"/>
      </w:pPr>
      <w:r>
        <w:rPr>
          <w:rStyle w:val="biblio-authorGEN"/>
          <w:sz w:val="18"/>
          <w:szCs w:val="18"/>
        </w:rPr>
        <w:t xml:space="preserve">Whitney </w:t>
      </w:r>
      <w:r>
        <w:t>1905: 35 “shalt thou be fond (?</w:t>
      </w:r>
      <w:r>
        <w:rPr>
          <w:i/>
          <w:iCs/>
        </w:rPr>
        <w:t>van</w:t>
      </w:r>
      <w:r>
        <w:t>)”</w:t>
      </w:r>
    </w:p>
    <w:p w14:paraId="3E9AF6BC" w14:textId="77777777" w:rsidR="00E53EB6" w:rsidRDefault="006500F5">
      <w:pPr>
        <w:pStyle w:val="ZitatmitEinzug"/>
      </w:pPr>
      <w:r>
        <w:t>Sāya</w:t>
      </w:r>
      <w:r>
        <w:t>ṇ</w:t>
      </w:r>
      <w:r>
        <w:t xml:space="preserve">a: </w:t>
      </w:r>
      <w:r>
        <w:rPr>
          <w:i/>
          <w:iCs/>
        </w:rPr>
        <w:t>sambhaje</w:t>
      </w:r>
      <w:r>
        <w:rPr>
          <w:i/>
          <w:iCs/>
        </w:rPr>
        <w:t>ḥ</w:t>
      </w:r>
      <w:r>
        <w:t xml:space="preserve"> “to share, to join in” and he regards the plant as also addressed in the final </w:t>
      </w:r>
      <w:r>
        <w:rPr>
          <w:i/>
          <w:iCs/>
        </w:rPr>
        <w:t>pāda</w:t>
      </w:r>
      <w:r>
        <w:t>s.</w:t>
      </w:r>
    </w:p>
    <w:p w14:paraId="59F85201" w14:textId="77777777" w:rsidR="00E53EB6" w:rsidRDefault="006500F5">
      <w:pPr>
        <w:pStyle w:val="HaupttextnachZitat"/>
      </w:pPr>
      <w:r>
        <w:t>Vedic Web</w:t>
      </w:r>
    </w:p>
    <w:p w14:paraId="266EC3AF" w14:textId="77777777" w:rsidR="00E53EB6" w:rsidRDefault="006500F5">
      <w:pPr>
        <w:pStyle w:val="HaupttextohneEinzug"/>
      </w:pPr>
      <w:r>
        <w:t>Mantra: AVP 1.55.4.</w:t>
      </w:r>
    </w:p>
    <w:p w14:paraId="0255E9D1" w14:textId="77777777" w:rsidR="00E53EB6" w:rsidRDefault="00E53EB6">
      <w:pPr>
        <w:pStyle w:val="HaupttextohneEinzug"/>
      </w:pPr>
    </w:p>
    <w:p w14:paraId="34F7B737" w14:textId="77777777" w:rsidR="00E53EB6" w:rsidRDefault="006500F5">
      <w:pPr>
        <w:pStyle w:val="HaupttextohneEinzug"/>
      </w:pPr>
      <w:r>
        <w:t>Rite</w:t>
      </w:r>
    </w:p>
    <w:p w14:paraId="1E3C8CFB" w14:textId="77777777" w:rsidR="00E53EB6" w:rsidRDefault="006500F5">
      <w:pPr>
        <w:pStyle w:val="HaupttextohneEinzug"/>
      </w:pPr>
      <w:r>
        <w:t>Love-spell with a sweet herb. In Kāuśika Sūtra is used for superiority in disputation and in nuptial ceremonies.</w:t>
      </w:r>
    </w:p>
    <w:p w14:paraId="13F9350E" w14:textId="77777777" w:rsidR="00E53EB6" w:rsidRDefault="00E53EB6">
      <w:pPr>
        <w:pStyle w:val="HaupttextohneEinzug"/>
      </w:pPr>
    </w:p>
    <w:p w14:paraId="5A751295" w14:textId="77777777" w:rsidR="00E53EB6" w:rsidRDefault="006500F5">
      <w:pPr>
        <w:pStyle w:val="Heading5"/>
        <w:tabs>
          <w:tab w:val="left" w:pos="0"/>
        </w:tabs>
      </w:pPr>
      <w:r>
        <w:rPr>
          <w:u w:val="single"/>
        </w:rPr>
        <w:t>AVŚ 4.15.10</w:t>
      </w:r>
      <w:r>
        <w:tab/>
      </w:r>
      <w:r>
        <w:tab/>
      </w:r>
      <w:r>
        <w:tab/>
      </w:r>
      <w:r>
        <w:tab/>
      </w:r>
      <w:r>
        <w:tab/>
      </w:r>
      <w:r>
        <w:tab/>
      </w:r>
      <w:r>
        <w:tab/>
      </w:r>
      <w:r>
        <w:tab/>
      </w:r>
      <w:r>
        <w:tab/>
      </w:r>
      <w:r>
        <w:tab/>
      </w:r>
    </w:p>
    <w:p w14:paraId="5856B651" w14:textId="77777777" w:rsidR="00E53EB6" w:rsidRDefault="006500F5">
      <w:pPr>
        <w:pStyle w:val="Quotations"/>
        <w:rPr>
          <w:i/>
          <w:iCs/>
        </w:rPr>
      </w:pPr>
      <w:r>
        <w:t xml:space="preserve">4.15.10 </w:t>
      </w:r>
      <w:r>
        <w:rPr>
          <w:i/>
          <w:iCs/>
        </w:rPr>
        <w:t>apā́magnístanū́bhi</w:t>
      </w:r>
      <w:r>
        <w:rPr>
          <w:i/>
          <w:iCs/>
        </w:rPr>
        <w:t>ḥ</w:t>
      </w:r>
      <w:r>
        <w:rPr>
          <w:i/>
          <w:iCs/>
        </w:rPr>
        <w:t xml:space="preserve"> sa</w:t>
      </w:r>
      <w:r>
        <w:rPr>
          <w:i/>
          <w:iCs/>
        </w:rPr>
        <w:t>ṃ</w:t>
      </w:r>
      <w:r>
        <w:rPr>
          <w:i/>
          <w:iCs/>
        </w:rPr>
        <w:t>vidānó yá ó</w:t>
      </w:r>
      <w:r>
        <w:rPr>
          <w:i/>
          <w:iCs/>
        </w:rPr>
        <w:t>ṣ</w:t>
      </w:r>
      <w:r>
        <w:rPr>
          <w:i/>
          <w:iCs/>
        </w:rPr>
        <w:t xml:space="preserve">adhīnāmadhipā́ babhū́va / </w:t>
      </w:r>
    </w:p>
    <w:p w14:paraId="119D399D" w14:textId="77777777" w:rsidR="00E53EB6" w:rsidRDefault="006500F5">
      <w:pPr>
        <w:pStyle w:val="ZitatnachZitat"/>
        <w:rPr>
          <w:i/>
          <w:iCs/>
        </w:rPr>
      </w:pPr>
      <w:r>
        <w:rPr>
          <w:i/>
          <w:iCs/>
        </w:rPr>
        <w:t>sá no var</w:t>
      </w:r>
      <w:r>
        <w:rPr>
          <w:i/>
          <w:iCs/>
        </w:rPr>
        <w:t>ṣ</w:t>
      </w:r>
      <w:r>
        <w:rPr>
          <w:i/>
          <w:iCs/>
        </w:rPr>
        <w:t>á</w:t>
      </w:r>
      <w:r>
        <w:rPr>
          <w:i/>
          <w:iCs/>
        </w:rPr>
        <w:t>ṃ</w:t>
      </w:r>
      <w:r>
        <w:rPr>
          <w:i/>
          <w:iCs/>
        </w:rPr>
        <w:t xml:space="preserve"> vanutā</w:t>
      </w:r>
      <w:r>
        <w:rPr>
          <w:i/>
          <w:iCs/>
        </w:rPr>
        <w:t>ṃ</w:t>
      </w:r>
      <w:r>
        <w:rPr>
          <w:i/>
          <w:iCs/>
        </w:rPr>
        <w:t xml:space="preserve"> jātávedā</w:t>
      </w:r>
      <w:r>
        <w:rPr>
          <w:i/>
          <w:iCs/>
        </w:rPr>
        <w:t>ḥ</w:t>
      </w:r>
      <w:r>
        <w:rPr>
          <w:i/>
          <w:iCs/>
        </w:rPr>
        <w:t xml:space="preserve"> prā</w:t>
      </w:r>
      <w:r>
        <w:rPr>
          <w:i/>
          <w:iCs/>
        </w:rPr>
        <w:t>ṇ</w:t>
      </w:r>
      <w:r>
        <w:rPr>
          <w:i/>
          <w:iCs/>
        </w:rPr>
        <w:t>á</w:t>
      </w:r>
      <w:r>
        <w:rPr>
          <w:i/>
          <w:iCs/>
        </w:rPr>
        <w:t>ṃ</w:t>
      </w:r>
      <w:r>
        <w:rPr>
          <w:i/>
          <w:iCs/>
        </w:rPr>
        <w:t xml:space="preserve"> prajā́bhyo amŕ̥ta</w:t>
      </w:r>
      <w:r>
        <w:rPr>
          <w:i/>
          <w:iCs/>
        </w:rPr>
        <w:t>ṃ</w:t>
      </w:r>
      <w:r>
        <w:rPr>
          <w:i/>
          <w:iCs/>
        </w:rPr>
        <w:t xml:space="preserve"> divás pári //</w:t>
      </w:r>
    </w:p>
    <w:p w14:paraId="57B7FCFF" w14:textId="77777777" w:rsidR="00E53EB6" w:rsidRDefault="006500F5">
      <w:pPr>
        <w:pStyle w:val="Quotations"/>
      </w:pPr>
      <w:r>
        <w:t>This Agni united with the bodies of the waters who has become the king of the herbs, he, the Jātavedas, should</w:t>
      </w:r>
      <w:r>
        <w:t xml:space="preserve"> </w:t>
      </w:r>
      <w:r>
        <w:rPr>
          <w:u w:val="single"/>
        </w:rPr>
        <w:t>a</w:t>
      </w:r>
      <w:r>
        <w:rPr>
          <w:u w:val="single"/>
        </w:rPr>
        <w:t>ppropriate</w:t>
      </w:r>
      <w:r>
        <w:t xml:space="preserve"> for us the rain, the breath for the offspring, the immortality</w:t>
      </w:r>
      <w:r>
        <w:rPr>
          <w:rStyle w:val="FootnoteAnchor"/>
        </w:rPr>
        <w:footnoteReference w:id="553"/>
      </w:r>
      <w:r>
        <w:t xml:space="preserve"> (</w:t>
      </w:r>
      <w:r>
        <w:rPr>
          <w:i/>
          <w:iCs/>
        </w:rPr>
        <w:t xml:space="preserve">amŕ̥ta) </w:t>
      </w:r>
      <w:r>
        <w:t>from the sky.</w:t>
      </w:r>
    </w:p>
    <w:p w14:paraId="4871AEFC" w14:textId="77777777" w:rsidR="00E53EB6" w:rsidRDefault="006500F5">
      <w:pPr>
        <w:pStyle w:val="Quotations"/>
      </w:pPr>
      <w:r>
        <w:rPr>
          <w:i/>
          <w:iCs/>
        </w:rPr>
        <w:t>vanutā</w:t>
      </w:r>
      <w:r>
        <w:rPr>
          <w:i/>
          <w:iCs/>
        </w:rPr>
        <w:t>ṃ</w:t>
      </w:r>
      <w:r>
        <w:rPr>
          <w:i/>
          <w:iCs/>
        </w:rPr>
        <w:t>:</w:t>
      </w:r>
      <w:r>
        <w:t xml:space="preserve"> impv. pres. 3</w:t>
      </w:r>
      <w:r>
        <w:rPr>
          <w:vertAlign w:val="superscript"/>
        </w:rPr>
        <w:t>rd</w:t>
      </w:r>
      <w:r>
        <w:t xml:space="preserve"> sing. Ā VIII cl.</w:t>
      </w:r>
    </w:p>
    <w:p w14:paraId="4C52C60C" w14:textId="77777777" w:rsidR="00E53EB6" w:rsidRDefault="006500F5">
      <w:pPr>
        <w:pStyle w:val="ZitatmitEinzug"/>
      </w:pPr>
      <w:r>
        <w:rPr>
          <w:rStyle w:val="biblio-authorGEN"/>
          <w:sz w:val="18"/>
          <w:szCs w:val="18"/>
        </w:rPr>
        <w:t xml:space="preserve">Whitney </w:t>
      </w:r>
      <w:r>
        <w:rPr>
          <w:szCs w:val="18"/>
        </w:rPr>
        <w:t>1905: 174 “win (</w:t>
      </w:r>
      <w:r>
        <w:rPr>
          <w:i/>
          <w:iCs/>
          <w:szCs w:val="18"/>
        </w:rPr>
        <w:t>van</w:t>
      </w:r>
      <w:r>
        <w:rPr>
          <w:szCs w:val="18"/>
        </w:rPr>
        <w:t>)”</w:t>
      </w:r>
    </w:p>
    <w:p w14:paraId="1E84A5A9" w14:textId="77777777" w:rsidR="00E53EB6" w:rsidRDefault="006500F5">
      <w:pPr>
        <w:pStyle w:val="ZitatmitEinzug"/>
        <w:rPr>
          <w:szCs w:val="18"/>
        </w:rPr>
      </w:pPr>
      <w:r>
        <w:rPr>
          <w:szCs w:val="18"/>
        </w:rPr>
        <w:t>Sāya</w:t>
      </w:r>
      <w:r>
        <w:rPr>
          <w:szCs w:val="18"/>
        </w:rPr>
        <w:t>ṇ</w:t>
      </w:r>
      <w:r>
        <w:rPr>
          <w:szCs w:val="18"/>
        </w:rPr>
        <w:t xml:space="preserve">a: </w:t>
      </w:r>
      <w:r>
        <w:rPr>
          <w:i/>
          <w:iCs/>
          <w:szCs w:val="18"/>
        </w:rPr>
        <w:t>prayacchatu</w:t>
      </w:r>
      <w:r>
        <w:rPr>
          <w:szCs w:val="18"/>
        </w:rPr>
        <w:t xml:space="preserve"> “to stretch forth, to present, to grant”</w:t>
      </w:r>
    </w:p>
    <w:p w14:paraId="61D3FC11" w14:textId="77777777" w:rsidR="00E53EB6" w:rsidRDefault="006500F5">
      <w:pPr>
        <w:pStyle w:val="HaupttextnachZitat"/>
      </w:pPr>
      <w:r>
        <w:t>Vedic Web</w:t>
      </w:r>
    </w:p>
    <w:p w14:paraId="1C79F072" w14:textId="77777777" w:rsidR="00E53EB6" w:rsidRDefault="006500F5">
      <w:pPr>
        <w:pStyle w:val="HaupttextohneEinzug"/>
        <w:rPr>
          <w:szCs w:val="18"/>
        </w:rPr>
      </w:pPr>
      <w:r>
        <w:rPr>
          <w:szCs w:val="18"/>
        </w:rPr>
        <w:t>Mantra: AVP 5.7.8.</w:t>
      </w:r>
    </w:p>
    <w:p w14:paraId="0D09F7D8" w14:textId="77777777" w:rsidR="00E53EB6" w:rsidRDefault="00E53EB6">
      <w:pPr>
        <w:pStyle w:val="HaupttextohneEinzug"/>
        <w:rPr>
          <w:szCs w:val="18"/>
        </w:rPr>
      </w:pPr>
    </w:p>
    <w:p w14:paraId="5275D64F" w14:textId="77777777" w:rsidR="00E53EB6" w:rsidRDefault="006500F5">
      <w:pPr>
        <w:pStyle w:val="HaupttextohneEinzug"/>
        <w:rPr>
          <w:szCs w:val="18"/>
        </w:rPr>
      </w:pPr>
      <w:r>
        <w:rPr>
          <w:szCs w:val="18"/>
        </w:rPr>
        <w:t>Rite</w:t>
      </w:r>
    </w:p>
    <w:p w14:paraId="0DAB816C" w14:textId="77777777" w:rsidR="00E53EB6" w:rsidRDefault="006500F5">
      <w:pPr>
        <w:pStyle w:val="HaupttextohneEinzug"/>
        <w:rPr>
          <w:szCs w:val="18"/>
        </w:rPr>
      </w:pPr>
      <w:r>
        <w:rPr>
          <w:szCs w:val="18"/>
        </w:rPr>
        <w:t xml:space="preserve">This hymn is used to get abundant rain. This and stanza 11 are used specifically with oblations to Agni and Prajāpati in expiation of the portent of inundations, see </w:t>
      </w:r>
      <w:r>
        <w:rPr>
          <w:rStyle w:val="biblio-authorGEN"/>
          <w:szCs w:val="18"/>
        </w:rPr>
        <w:t xml:space="preserve">Whitney </w:t>
      </w:r>
      <w:r>
        <w:rPr>
          <w:szCs w:val="18"/>
        </w:rPr>
        <w:t>1905: 172.</w:t>
      </w:r>
    </w:p>
    <w:p w14:paraId="0790D538" w14:textId="77777777" w:rsidR="00E53EB6" w:rsidRDefault="00E53EB6">
      <w:pPr>
        <w:pStyle w:val="HaupttextohneEinzug"/>
        <w:rPr>
          <w:szCs w:val="18"/>
        </w:rPr>
      </w:pPr>
    </w:p>
    <w:p w14:paraId="5A5075AC" w14:textId="77777777" w:rsidR="00E53EB6" w:rsidRDefault="006500F5">
      <w:pPr>
        <w:pStyle w:val="Heading5"/>
        <w:tabs>
          <w:tab w:val="left" w:pos="0"/>
        </w:tabs>
      </w:pPr>
      <w:r>
        <w:rPr>
          <w:u w:val="single"/>
        </w:rPr>
        <w:t>AVŚ 4.15.15</w:t>
      </w:r>
      <w:r>
        <w:tab/>
      </w:r>
      <w:r>
        <w:tab/>
      </w:r>
      <w:r>
        <w:tab/>
      </w:r>
      <w:r>
        <w:tab/>
      </w:r>
      <w:r>
        <w:tab/>
      </w:r>
      <w:r>
        <w:tab/>
      </w:r>
      <w:r>
        <w:tab/>
      </w:r>
      <w:r>
        <w:tab/>
      </w:r>
      <w:r>
        <w:tab/>
      </w:r>
      <w:r>
        <w:tab/>
      </w:r>
    </w:p>
    <w:p w14:paraId="5BBF2764" w14:textId="77777777" w:rsidR="00E53EB6" w:rsidRDefault="006500F5">
      <w:pPr>
        <w:pStyle w:val="Quotations"/>
        <w:rPr>
          <w:i/>
          <w:iCs/>
        </w:rPr>
      </w:pPr>
      <w:r>
        <w:t xml:space="preserve">4.15.15 </w:t>
      </w:r>
      <w:r>
        <w:rPr>
          <w:i/>
          <w:iCs/>
        </w:rPr>
        <w:t>kha</w:t>
      </w:r>
      <w:r>
        <w:rPr>
          <w:i/>
          <w:iCs/>
        </w:rPr>
        <w:t>ṇ</w:t>
      </w:r>
      <w:r>
        <w:rPr>
          <w:i/>
          <w:iCs/>
        </w:rPr>
        <w:t xml:space="preserve">vakhā́ i khaimakhā́ i mádhye taduri </w:t>
      </w:r>
      <w:r>
        <w:rPr>
          <w:i/>
          <w:iCs/>
        </w:rPr>
        <w:t xml:space="preserve">/ </w:t>
      </w:r>
    </w:p>
    <w:p w14:paraId="4F571459" w14:textId="77777777" w:rsidR="00E53EB6" w:rsidRDefault="006500F5">
      <w:pPr>
        <w:pStyle w:val="ZitatnachZitat"/>
        <w:rPr>
          <w:i/>
          <w:iCs/>
        </w:rPr>
      </w:pPr>
      <w:r>
        <w:rPr>
          <w:i/>
          <w:iCs/>
        </w:rPr>
        <w:t>var</w:t>
      </w:r>
      <w:r>
        <w:rPr>
          <w:i/>
          <w:iCs/>
        </w:rPr>
        <w:t>ṣ</w:t>
      </w:r>
      <w:r>
        <w:rPr>
          <w:i/>
          <w:iCs/>
        </w:rPr>
        <w:t>á</w:t>
      </w:r>
      <w:r>
        <w:rPr>
          <w:i/>
          <w:iCs/>
        </w:rPr>
        <w:t>ṃ</w:t>
      </w:r>
      <w:r>
        <w:rPr>
          <w:i/>
          <w:iCs/>
        </w:rPr>
        <w:t xml:space="preserve"> vanudhva</w:t>
      </w:r>
      <w:r>
        <w:rPr>
          <w:i/>
          <w:iCs/>
        </w:rPr>
        <w:t>ṃ</w:t>
      </w:r>
      <w:r>
        <w:rPr>
          <w:i/>
          <w:iCs/>
        </w:rPr>
        <w:t xml:space="preserve"> pitaro marútā</w:t>
      </w:r>
      <w:r>
        <w:rPr>
          <w:i/>
          <w:iCs/>
        </w:rPr>
        <w:t>ṃ</w:t>
      </w:r>
      <w:r>
        <w:rPr>
          <w:i/>
          <w:iCs/>
        </w:rPr>
        <w:t xml:space="preserve"> mána icchata // </w:t>
      </w:r>
    </w:p>
    <w:p w14:paraId="5AB47F2F" w14:textId="77777777" w:rsidR="00E53EB6" w:rsidRDefault="006500F5">
      <w:pPr>
        <w:pStyle w:val="Quotations"/>
      </w:pPr>
      <w:r>
        <w:t>O Kha</w:t>
      </w:r>
      <w:r>
        <w:t>ṇ</w:t>
      </w:r>
      <w:r>
        <w:t>vakhā, o khaimakhā, in the middle o Taduri</w:t>
      </w:r>
      <w:r>
        <w:rPr>
          <w:rStyle w:val="FootnoteAnchor"/>
        </w:rPr>
        <w:footnoteReference w:id="554"/>
      </w:r>
      <w:r>
        <w:t xml:space="preserve">! </w:t>
      </w:r>
      <w:r>
        <w:rPr>
          <w:u w:val="single"/>
        </w:rPr>
        <w:t>appropriate</w:t>
      </w:r>
      <w:r>
        <w:t xml:space="preserve"> (</w:t>
      </w:r>
      <w:r>
        <w:rPr>
          <w:u w:val="single"/>
        </w:rPr>
        <w:t>for yourselves</w:t>
      </w:r>
      <w:r>
        <w:t xml:space="preserve">) the rain, o fathers, seek the </w:t>
      </w:r>
      <w:r>
        <w:lastRenderedPageBreak/>
        <w:t>spirit</w:t>
      </w:r>
      <w:r>
        <w:rPr>
          <w:rStyle w:val="FootnoteAnchor"/>
        </w:rPr>
        <w:footnoteReference w:id="555"/>
      </w:r>
      <w:r>
        <w:t xml:space="preserve"> of the Marut!</w:t>
      </w:r>
    </w:p>
    <w:p w14:paraId="59801AA5" w14:textId="77777777" w:rsidR="00E53EB6" w:rsidRDefault="006500F5">
      <w:pPr>
        <w:pStyle w:val="Quotations"/>
        <w:rPr>
          <w:i/>
          <w:iCs/>
        </w:rPr>
      </w:pPr>
      <w:r>
        <w:rPr>
          <w:i/>
          <w:iCs/>
        </w:rPr>
        <w:t>vanudhva</w:t>
      </w:r>
      <w:r>
        <w:rPr>
          <w:i/>
          <w:iCs/>
        </w:rPr>
        <w:t>ṃ</w:t>
      </w:r>
      <w:r>
        <w:rPr>
          <w:i/>
          <w:iCs/>
        </w:rPr>
        <w:t xml:space="preserve">: </w:t>
      </w:r>
      <w:r>
        <w:t>impv. pres. 2</w:t>
      </w:r>
      <w:r>
        <w:rPr>
          <w:vertAlign w:val="superscript"/>
        </w:rPr>
        <w:t>nd</w:t>
      </w:r>
      <w:r>
        <w:t xml:space="preserve"> pl. Ā VIII cl.</w:t>
      </w:r>
    </w:p>
    <w:p w14:paraId="228B0D5A" w14:textId="77777777" w:rsidR="00E53EB6" w:rsidRDefault="006500F5">
      <w:pPr>
        <w:pStyle w:val="ZitatmitEinzug"/>
      </w:pPr>
      <w:r>
        <w:rPr>
          <w:rStyle w:val="biblio-authorGEN"/>
          <w:sz w:val="18"/>
          <w:szCs w:val="18"/>
        </w:rPr>
        <w:t xml:space="preserve">Whitney </w:t>
      </w:r>
      <w:r>
        <w:rPr>
          <w:szCs w:val="18"/>
        </w:rPr>
        <w:t>1905: 175 “won”</w:t>
      </w:r>
    </w:p>
    <w:p w14:paraId="4B8BEE44" w14:textId="77777777" w:rsidR="00E53EB6" w:rsidRDefault="006500F5">
      <w:pPr>
        <w:pStyle w:val="ZitatmitEinzug"/>
        <w:rPr>
          <w:szCs w:val="18"/>
        </w:rPr>
      </w:pPr>
      <w:r>
        <w:rPr>
          <w:szCs w:val="18"/>
        </w:rPr>
        <w:t>Sāya</w:t>
      </w:r>
      <w:r>
        <w:rPr>
          <w:szCs w:val="18"/>
        </w:rPr>
        <w:t>ṇ</w:t>
      </w:r>
      <w:r>
        <w:rPr>
          <w:szCs w:val="18"/>
        </w:rPr>
        <w:t>a: “prayacchata”</w:t>
      </w:r>
    </w:p>
    <w:p w14:paraId="524085DC" w14:textId="77777777" w:rsidR="00E53EB6" w:rsidRDefault="006500F5">
      <w:pPr>
        <w:pStyle w:val="HaupttextnachZitat"/>
      </w:pPr>
      <w:r>
        <w:t>Vedic Web</w:t>
      </w:r>
    </w:p>
    <w:p w14:paraId="105C3CFD" w14:textId="77777777" w:rsidR="00E53EB6" w:rsidRDefault="006500F5">
      <w:pPr>
        <w:pStyle w:val="HaupttextohneEinzug"/>
        <w:rPr>
          <w:szCs w:val="18"/>
        </w:rPr>
      </w:pPr>
      <w:r>
        <w:rPr>
          <w:szCs w:val="18"/>
        </w:rPr>
        <w:t>∅</w:t>
      </w:r>
    </w:p>
    <w:p w14:paraId="3D9C7740" w14:textId="77777777" w:rsidR="00E53EB6" w:rsidRDefault="00E53EB6">
      <w:pPr>
        <w:pStyle w:val="HaupttextohneEinzug"/>
        <w:rPr>
          <w:szCs w:val="18"/>
        </w:rPr>
      </w:pPr>
    </w:p>
    <w:p w14:paraId="369794B6" w14:textId="77777777" w:rsidR="00E53EB6" w:rsidRDefault="006500F5">
      <w:pPr>
        <w:pStyle w:val="HaupttextohneEinzug"/>
        <w:rPr>
          <w:szCs w:val="18"/>
        </w:rPr>
      </w:pPr>
      <w:r>
        <w:rPr>
          <w:szCs w:val="18"/>
        </w:rPr>
        <w:t>Rite</w:t>
      </w:r>
    </w:p>
    <w:p w14:paraId="7030E860" w14:textId="77777777" w:rsidR="00E53EB6" w:rsidRDefault="006500F5">
      <w:pPr>
        <w:pStyle w:val="HaupttextohneEinzug"/>
        <w:rPr>
          <w:szCs w:val="18"/>
        </w:rPr>
      </w:pPr>
      <w:r>
        <w:rPr>
          <w:szCs w:val="18"/>
        </w:rPr>
        <w:t>This hymn is used to get abundant rain.</w:t>
      </w:r>
    </w:p>
    <w:p w14:paraId="1F4F980C" w14:textId="77777777" w:rsidR="00E53EB6" w:rsidRDefault="00E53EB6">
      <w:pPr>
        <w:pStyle w:val="HaupttextohneEinzug"/>
        <w:rPr>
          <w:szCs w:val="18"/>
        </w:rPr>
      </w:pPr>
    </w:p>
    <w:p w14:paraId="4B88D0DC" w14:textId="77777777" w:rsidR="00E53EB6" w:rsidRDefault="00E53EB6">
      <w:pPr>
        <w:pStyle w:val="HaupttextohneEinzug"/>
        <w:rPr>
          <w:szCs w:val="18"/>
        </w:rPr>
      </w:pPr>
    </w:p>
    <w:p w14:paraId="5AC17338" w14:textId="77777777" w:rsidR="00E53EB6" w:rsidRDefault="006500F5">
      <w:pPr>
        <w:pStyle w:val="Heading5"/>
        <w:tabs>
          <w:tab w:val="left" w:pos="0"/>
        </w:tabs>
      </w:pPr>
      <w:r>
        <w:rPr>
          <w:szCs w:val="18"/>
          <w:u w:val="single"/>
        </w:rPr>
        <w:t>AVŚ 5.4.3-4</w:t>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p>
    <w:p w14:paraId="4A6E0961" w14:textId="77777777" w:rsidR="00E53EB6" w:rsidRDefault="006500F5">
      <w:pPr>
        <w:pStyle w:val="Quotations"/>
        <w:rPr>
          <w:szCs w:val="18"/>
        </w:rPr>
      </w:pPr>
      <w:r>
        <w:rPr>
          <w:szCs w:val="18"/>
        </w:rPr>
        <w:t xml:space="preserve">5.4.3 </w:t>
      </w:r>
      <w:r>
        <w:rPr>
          <w:i/>
          <w:iCs/>
          <w:szCs w:val="18"/>
        </w:rPr>
        <w:t xml:space="preserve">aśvatthó devasádanastr̥tī́yasyāmitó diví / </w:t>
      </w:r>
    </w:p>
    <w:p w14:paraId="7A6AA680" w14:textId="77777777" w:rsidR="00E53EB6" w:rsidRDefault="006500F5">
      <w:pPr>
        <w:pStyle w:val="ZitatnachZitat"/>
        <w:rPr>
          <w:i/>
          <w:iCs/>
          <w:szCs w:val="18"/>
        </w:rPr>
      </w:pPr>
      <w:r>
        <w:rPr>
          <w:i/>
          <w:iCs/>
          <w:szCs w:val="18"/>
        </w:rPr>
        <w:t>tátrāmŕ̥tasya cák</w:t>
      </w:r>
      <w:r>
        <w:rPr>
          <w:i/>
          <w:iCs/>
          <w:szCs w:val="18"/>
        </w:rPr>
        <w:t>ṣ</w:t>
      </w:r>
      <w:r>
        <w:rPr>
          <w:i/>
          <w:iCs/>
          <w:szCs w:val="18"/>
        </w:rPr>
        <w:t>a</w:t>
      </w:r>
      <w:r>
        <w:rPr>
          <w:i/>
          <w:iCs/>
          <w:szCs w:val="18"/>
        </w:rPr>
        <w:t>ṇ</w:t>
      </w:r>
      <w:r>
        <w:rPr>
          <w:i/>
          <w:iCs/>
          <w:szCs w:val="18"/>
        </w:rPr>
        <w:t>a</w:t>
      </w:r>
      <w:r>
        <w:rPr>
          <w:i/>
          <w:iCs/>
          <w:szCs w:val="18"/>
        </w:rPr>
        <w:t>ṃ</w:t>
      </w:r>
      <w:r>
        <w:rPr>
          <w:i/>
          <w:iCs/>
          <w:szCs w:val="18"/>
        </w:rPr>
        <w:t xml:space="preserve"> devā́</w:t>
      </w:r>
      <w:r>
        <w:rPr>
          <w:i/>
          <w:iCs/>
          <w:szCs w:val="18"/>
        </w:rPr>
        <w:t>ḥ</w:t>
      </w:r>
      <w:r>
        <w:rPr>
          <w:i/>
          <w:iCs/>
          <w:szCs w:val="18"/>
        </w:rPr>
        <w:t xml:space="preserve"> kú</w:t>
      </w:r>
      <w:r>
        <w:rPr>
          <w:i/>
          <w:iCs/>
          <w:szCs w:val="18"/>
        </w:rPr>
        <w:t>ṣṭ</w:t>
      </w:r>
      <w:r>
        <w:rPr>
          <w:i/>
          <w:iCs/>
          <w:szCs w:val="18"/>
        </w:rPr>
        <w:t>hamavanvata //</w:t>
      </w:r>
    </w:p>
    <w:p w14:paraId="68827BA7" w14:textId="77777777" w:rsidR="00E53EB6" w:rsidRDefault="006500F5">
      <w:pPr>
        <w:pStyle w:val="ZitatnachZitat"/>
        <w:rPr>
          <w:szCs w:val="18"/>
        </w:rPr>
      </w:pPr>
      <w:r>
        <w:rPr>
          <w:szCs w:val="18"/>
        </w:rPr>
        <w:t xml:space="preserve">[4] </w:t>
      </w:r>
      <w:r>
        <w:rPr>
          <w:i/>
          <w:iCs/>
          <w:szCs w:val="18"/>
        </w:rPr>
        <w:t>hira</w:t>
      </w:r>
      <w:r>
        <w:rPr>
          <w:i/>
          <w:iCs/>
          <w:szCs w:val="18"/>
        </w:rPr>
        <w:t>ṇ</w:t>
      </w:r>
      <w:r>
        <w:rPr>
          <w:i/>
          <w:iCs/>
          <w:szCs w:val="18"/>
        </w:rPr>
        <w:t>yáyī naúracaraddhíra</w:t>
      </w:r>
      <w:r>
        <w:rPr>
          <w:i/>
          <w:iCs/>
          <w:szCs w:val="18"/>
        </w:rPr>
        <w:t>ṇ</w:t>
      </w:r>
      <w:r>
        <w:rPr>
          <w:i/>
          <w:iCs/>
          <w:szCs w:val="18"/>
        </w:rPr>
        <w:t xml:space="preserve">yabandhanā diví / </w:t>
      </w:r>
    </w:p>
    <w:p w14:paraId="70CE98F2" w14:textId="77777777" w:rsidR="00E53EB6" w:rsidRDefault="006500F5">
      <w:pPr>
        <w:pStyle w:val="ZitatnachZitat"/>
        <w:rPr>
          <w:i/>
          <w:iCs/>
          <w:szCs w:val="18"/>
        </w:rPr>
      </w:pPr>
      <w:r>
        <w:rPr>
          <w:i/>
          <w:iCs/>
          <w:szCs w:val="18"/>
        </w:rPr>
        <w:t>tátr</w:t>
      </w:r>
      <w:r>
        <w:rPr>
          <w:i/>
          <w:iCs/>
          <w:szCs w:val="18"/>
        </w:rPr>
        <w:t>āmŕ̥tasya pú</w:t>
      </w:r>
      <w:r>
        <w:rPr>
          <w:i/>
          <w:iCs/>
          <w:szCs w:val="18"/>
        </w:rPr>
        <w:t>ṣ</w:t>
      </w:r>
      <w:r>
        <w:rPr>
          <w:i/>
          <w:iCs/>
          <w:szCs w:val="18"/>
        </w:rPr>
        <w:t>ya</w:t>
      </w:r>
      <w:r>
        <w:rPr>
          <w:i/>
          <w:iCs/>
          <w:szCs w:val="18"/>
        </w:rPr>
        <w:t>ṃ</w:t>
      </w:r>
      <w:r>
        <w:rPr>
          <w:i/>
          <w:iCs/>
          <w:szCs w:val="18"/>
        </w:rPr>
        <w:t xml:space="preserve"> devā́</w:t>
      </w:r>
      <w:r>
        <w:rPr>
          <w:i/>
          <w:iCs/>
          <w:szCs w:val="18"/>
        </w:rPr>
        <w:t>ḥ</w:t>
      </w:r>
      <w:r>
        <w:rPr>
          <w:i/>
          <w:iCs/>
          <w:szCs w:val="18"/>
        </w:rPr>
        <w:t xml:space="preserve"> kú</w:t>
      </w:r>
      <w:r>
        <w:rPr>
          <w:i/>
          <w:iCs/>
          <w:szCs w:val="18"/>
        </w:rPr>
        <w:t>ṣṭ</w:t>
      </w:r>
      <w:r>
        <w:rPr>
          <w:i/>
          <w:iCs/>
          <w:szCs w:val="18"/>
        </w:rPr>
        <w:t>hamavanvata //</w:t>
      </w:r>
    </w:p>
    <w:p w14:paraId="40CE6F9B" w14:textId="77777777" w:rsidR="00E53EB6" w:rsidRDefault="006500F5">
      <w:pPr>
        <w:pStyle w:val="Quotations"/>
        <w:rPr>
          <w:szCs w:val="18"/>
        </w:rPr>
      </w:pPr>
      <w:r>
        <w:rPr>
          <w:szCs w:val="18"/>
        </w:rPr>
        <w:t xml:space="preserve">The holy fig tree, seat of the gods, is in the third heaven from here; there the gods </w:t>
      </w:r>
      <w:r>
        <w:rPr>
          <w:szCs w:val="18"/>
          <w:u w:val="single"/>
        </w:rPr>
        <w:t>appropriated (for themselves)</w:t>
      </w:r>
      <w:r>
        <w:rPr>
          <w:szCs w:val="18"/>
        </w:rPr>
        <w:t xml:space="preserve"> the appearing (the image)</w:t>
      </w:r>
      <w:r>
        <w:rPr>
          <w:rStyle w:val="FootnoteAnchor"/>
          <w:szCs w:val="18"/>
        </w:rPr>
        <w:footnoteReference w:id="556"/>
      </w:r>
      <w:r>
        <w:rPr>
          <w:szCs w:val="18"/>
        </w:rPr>
        <w:t xml:space="preserve"> of immortality, the </w:t>
      </w:r>
      <w:r>
        <w:rPr>
          <w:i/>
          <w:iCs/>
          <w:szCs w:val="18"/>
        </w:rPr>
        <w:t>ku</w:t>
      </w:r>
      <w:r>
        <w:rPr>
          <w:i/>
          <w:iCs/>
          <w:szCs w:val="18"/>
        </w:rPr>
        <w:t>ṣṭ</w:t>
      </w:r>
      <w:r>
        <w:rPr>
          <w:i/>
          <w:iCs/>
          <w:szCs w:val="18"/>
        </w:rPr>
        <w:t xml:space="preserve">ha </w:t>
      </w:r>
      <w:r>
        <w:rPr>
          <w:szCs w:val="18"/>
        </w:rPr>
        <w:t>plant.</w:t>
      </w:r>
    </w:p>
    <w:p w14:paraId="4A9C522B" w14:textId="77777777" w:rsidR="00E53EB6" w:rsidRDefault="006500F5">
      <w:pPr>
        <w:pStyle w:val="ZitatnachZitat"/>
        <w:rPr>
          <w:szCs w:val="18"/>
        </w:rPr>
      </w:pPr>
      <w:r>
        <w:rPr>
          <w:szCs w:val="18"/>
        </w:rPr>
        <w:t xml:space="preserve">The golden boat with golden bands moved about in the heaven; there the gods </w:t>
      </w:r>
      <w:r>
        <w:rPr>
          <w:szCs w:val="18"/>
          <w:u w:val="single"/>
        </w:rPr>
        <w:t>appropriated (for themselves)</w:t>
      </w:r>
      <w:r>
        <w:rPr>
          <w:szCs w:val="18"/>
        </w:rPr>
        <w:t xml:space="preserve"> the blossom of immortality, the </w:t>
      </w:r>
      <w:r>
        <w:rPr>
          <w:i/>
          <w:iCs/>
          <w:szCs w:val="18"/>
        </w:rPr>
        <w:t>ku</w:t>
      </w:r>
      <w:r>
        <w:rPr>
          <w:i/>
          <w:iCs/>
          <w:szCs w:val="18"/>
        </w:rPr>
        <w:t>ṣṭ</w:t>
      </w:r>
      <w:r>
        <w:rPr>
          <w:i/>
          <w:iCs/>
          <w:szCs w:val="18"/>
        </w:rPr>
        <w:t xml:space="preserve">ha </w:t>
      </w:r>
      <w:r>
        <w:rPr>
          <w:szCs w:val="18"/>
        </w:rPr>
        <w:t>plant.</w:t>
      </w:r>
    </w:p>
    <w:p w14:paraId="6A0912AF" w14:textId="77777777" w:rsidR="00E53EB6" w:rsidRDefault="006500F5">
      <w:pPr>
        <w:pStyle w:val="Quotations"/>
        <w:rPr>
          <w:szCs w:val="18"/>
        </w:rPr>
      </w:pPr>
      <w:r>
        <w:rPr>
          <w:szCs w:val="18"/>
        </w:rPr>
        <w:t>2x</w:t>
      </w:r>
      <w:r>
        <w:rPr>
          <w:i/>
          <w:iCs/>
          <w:szCs w:val="18"/>
        </w:rPr>
        <w:t xml:space="preserve">  avanvata: </w:t>
      </w:r>
      <w:r>
        <w:rPr>
          <w:szCs w:val="18"/>
        </w:rPr>
        <w:t>ind. impf. 3</w:t>
      </w:r>
      <w:r>
        <w:rPr>
          <w:szCs w:val="18"/>
          <w:vertAlign w:val="superscript"/>
        </w:rPr>
        <w:t>rd</w:t>
      </w:r>
      <w:r>
        <w:rPr>
          <w:szCs w:val="18"/>
        </w:rPr>
        <w:t xml:space="preserve"> pl. Ā VIII cl.</w:t>
      </w:r>
    </w:p>
    <w:p w14:paraId="791EC652" w14:textId="77777777" w:rsidR="00E53EB6" w:rsidRDefault="006500F5">
      <w:pPr>
        <w:pStyle w:val="ZitatmitEinzug"/>
      </w:pPr>
      <w:r>
        <w:rPr>
          <w:rStyle w:val="biblio-authorGEN"/>
          <w:sz w:val="18"/>
          <w:szCs w:val="18"/>
        </w:rPr>
        <w:t xml:space="preserve">Whitney </w:t>
      </w:r>
      <w:r>
        <w:rPr>
          <w:szCs w:val="18"/>
        </w:rPr>
        <w:t>1905: 227 “won”</w:t>
      </w:r>
    </w:p>
    <w:p w14:paraId="2CAB3692" w14:textId="77777777" w:rsidR="00E53EB6" w:rsidRPr="00494885" w:rsidRDefault="006500F5">
      <w:pPr>
        <w:pStyle w:val="ZitatmitEinzug"/>
        <w:rPr>
          <w:lang w:val="it-IT"/>
        </w:rPr>
      </w:pPr>
      <w:r w:rsidRPr="00494885">
        <w:rPr>
          <w:szCs w:val="18"/>
          <w:lang w:val="it-IT"/>
        </w:rPr>
        <w:t>Sāya</w:t>
      </w:r>
      <w:r w:rsidRPr="00494885">
        <w:rPr>
          <w:szCs w:val="18"/>
          <w:lang w:val="it-IT"/>
        </w:rPr>
        <w:t>ṇ</w:t>
      </w:r>
      <w:r w:rsidRPr="00494885">
        <w:rPr>
          <w:szCs w:val="18"/>
          <w:lang w:val="it-IT"/>
        </w:rPr>
        <w:t xml:space="preserve">a </w:t>
      </w:r>
      <w:r w:rsidRPr="00494885">
        <w:rPr>
          <w:szCs w:val="18"/>
          <w:lang w:val="it-IT"/>
        </w:rPr>
        <w:t>∅</w:t>
      </w:r>
    </w:p>
    <w:p w14:paraId="3F593F67" w14:textId="77777777" w:rsidR="00E53EB6" w:rsidRPr="00494885" w:rsidRDefault="006500F5">
      <w:pPr>
        <w:pStyle w:val="HaupttextnachZitat"/>
        <w:rPr>
          <w:lang w:val="it-IT"/>
        </w:rPr>
      </w:pPr>
      <w:r w:rsidRPr="00494885">
        <w:rPr>
          <w:lang w:val="it-IT"/>
        </w:rPr>
        <w:t>Vedic Web</w:t>
      </w:r>
    </w:p>
    <w:p w14:paraId="5DE22D61" w14:textId="77777777" w:rsidR="00E53EB6" w:rsidRPr="00494885" w:rsidRDefault="006500F5">
      <w:pPr>
        <w:pStyle w:val="HaupttextohneEinzug"/>
        <w:rPr>
          <w:lang w:val="it-IT"/>
        </w:rPr>
      </w:pPr>
      <w:r w:rsidRPr="00494885">
        <w:rPr>
          <w:lang w:val="it-IT"/>
        </w:rPr>
        <w:t xml:space="preserve">Mantra: = AVŚ </w:t>
      </w:r>
      <w:r w:rsidRPr="00494885">
        <w:rPr>
          <w:lang w:val="it-IT"/>
        </w:rPr>
        <w:t>6.95.1</w:t>
      </w:r>
    </w:p>
    <w:p w14:paraId="48F3CFB5" w14:textId="77777777" w:rsidR="00E53EB6" w:rsidRPr="00494885" w:rsidRDefault="00E53EB6">
      <w:pPr>
        <w:pStyle w:val="HaupttextohneEinzug"/>
        <w:rPr>
          <w:szCs w:val="18"/>
          <w:lang w:val="it-IT"/>
        </w:rPr>
      </w:pPr>
    </w:p>
    <w:p w14:paraId="4C743B0E" w14:textId="77777777" w:rsidR="00E53EB6" w:rsidRDefault="006500F5">
      <w:pPr>
        <w:pStyle w:val="HaupttextohneEinzug"/>
        <w:rPr>
          <w:szCs w:val="18"/>
        </w:rPr>
      </w:pPr>
      <w:r>
        <w:rPr>
          <w:szCs w:val="18"/>
        </w:rPr>
        <w:t>Rite</w:t>
      </w:r>
    </w:p>
    <w:p w14:paraId="220A5BEF" w14:textId="77777777" w:rsidR="00E53EB6" w:rsidRDefault="006500F5">
      <w:pPr>
        <w:pStyle w:val="HaupttextohneEinzug"/>
      </w:pPr>
      <w:r>
        <w:rPr>
          <w:szCs w:val="18"/>
        </w:rPr>
        <w:t xml:space="preserve">This hymn is dedicated to the plant </w:t>
      </w:r>
      <w:r>
        <w:rPr>
          <w:i/>
          <w:iCs/>
          <w:szCs w:val="18"/>
        </w:rPr>
        <w:t>ku</w:t>
      </w:r>
      <w:r>
        <w:rPr>
          <w:i/>
          <w:iCs/>
          <w:szCs w:val="18"/>
        </w:rPr>
        <w:t>ṣṭ</w:t>
      </w:r>
      <w:r>
        <w:rPr>
          <w:i/>
          <w:iCs/>
          <w:szCs w:val="18"/>
        </w:rPr>
        <w:t xml:space="preserve">ha, </w:t>
      </w:r>
      <w:r>
        <w:rPr>
          <w:szCs w:val="18"/>
        </w:rPr>
        <w:t>that is invoked against a fever (</w:t>
      </w:r>
      <w:r>
        <w:rPr>
          <w:i/>
          <w:iCs/>
          <w:szCs w:val="18"/>
        </w:rPr>
        <w:t>takmán</w:t>
      </w:r>
      <w:r>
        <w:rPr>
          <w:szCs w:val="18"/>
        </w:rPr>
        <w:t xml:space="preserve">). The plant is described as born in the north, in the mountain and brought down to men. These verses are connected with the divine aspect of the plant, and in </w:t>
      </w:r>
      <w:r>
        <w:rPr>
          <w:szCs w:val="18"/>
        </w:rPr>
        <w:t>this section (st. 3-5) the word “gold” is repeatedly used. In the last part the attention is on the man that has to be healed by the plant.</w:t>
      </w:r>
    </w:p>
    <w:p w14:paraId="02759D1F" w14:textId="77777777" w:rsidR="00E53EB6" w:rsidRDefault="00E53EB6">
      <w:pPr>
        <w:pStyle w:val="HaupttextohneEinzug"/>
        <w:rPr>
          <w:szCs w:val="18"/>
        </w:rPr>
      </w:pPr>
    </w:p>
    <w:p w14:paraId="751951B3" w14:textId="77777777" w:rsidR="00E53EB6" w:rsidRDefault="006500F5">
      <w:pPr>
        <w:pStyle w:val="Heading5"/>
        <w:tabs>
          <w:tab w:val="left" w:pos="0"/>
        </w:tabs>
      </w:pPr>
      <w:r>
        <w:rPr>
          <w:szCs w:val="18"/>
          <w:u w:val="single"/>
        </w:rPr>
        <w:t>AVŚ 5.20.9</w:t>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p>
    <w:p w14:paraId="67603D02" w14:textId="77777777" w:rsidR="00E53EB6" w:rsidRDefault="006500F5">
      <w:pPr>
        <w:pStyle w:val="Quotations"/>
      </w:pPr>
      <w:r>
        <w:t xml:space="preserve">5.20.9 </w:t>
      </w:r>
      <w:r>
        <w:rPr>
          <w:i/>
          <w:iCs/>
        </w:rPr>
        <w:t>sa</w:t>
      </w:r>
      <w:r>
        <w:rPr>
          <w:i/>
          <w:iCs/>
        </w:rPr>
        <w:t>ṃ</w:t>
      </w:r>
      <w:r>
        <w:rPr>
          <w:i/>
          <w:iCs/>
        </w:rPr>
        <w:t>krándana</w:t>
      </w:r>
      <w:r>
        <w:rPr>
          <w:i/>
          <w:iCs/>
        </w:rPr>
        <w:t>ḥ</w:t>
      </w:r>
      <w:r>
        <w:rPr>
          <w:i/>
          <w:iCs/>
        </w:rPr>
        <w:t xml:space="preserve"> pravadó dhr̥</w:t>
      </w:r>
      <w:r>
        <w:rPr>
          <w:i/>
          <w:iCs/>
        </w:rPr>
        <w:t>ṣṇ</w:t>
      </w:r>
      <w:r>
        <w:rPr>
          <w:i/>
          <w:iCs/>
        </w:rPr>
        <w:t>ú</w:t>
      </w:r>
      <w:r>
        <w:rPr>
          <w:i/>
          <w:iCs/>
        </w:rPr>
        <w:t>ṣ</w:t>
      </w:r>
      <w:r>
        <w:rPr>
          <w:i/>
          <w:iCs/>
        </w:rPr>
        <w:t>e</w:t>
      </w:r>
      <w:r>
        <w:rPr>
          <w:i/>
          <w:iCs/>
        </w:rPr>
        <w:t>ṇ</w:t>
      </w:r>
      <w:r>
        <w:rPr>
          <w:i/>
          <w:iCs/>
        </w:rPr>
        <w:t>a</w:t>
      </w:r>
      <w:r>
        <w:rPr>
          <w:i/>
          <w:iCs/>
        </w:rPr>
        <w:t>ḥ</w:t>
      </w:r>
      <w:r>
        <w:rPr>
          <w:i/>
          <w:iCs/>
        </w:rPr>
        <w:t xml:space="preserve"> pravedakŕ̥dbahudhā́ grāmagho</w:t>
      </w:r>
      <w:r>
        <w:rPr>
          <w:i/>
          <w:iCs/>
        </w:rPr>
        <w:t>ṣ</w:t>
      </w:r>
      <w:r>
        <w:rPr>
          <w:i/>
          <w:iCs/>
        </w:rPr>
        <w:t xml:space="preserve">ī́ / </w:t>
      </w:r>
    </w:p>
    <w:p w14:paraId="721165BE" w14:textId="77777777" w:rsidR="00E53EB6" w:rsidRDefault="006500F5">
      <w:pPr>
        <w:pStyle w:val="ZitatnachZitat"/>
        <w:rPr>
          <w:i/>
          <w:iCs/>
        </w:rPr>
      </w:pPr>
      <w:r>
        <w:rPr>
          <w:i/>
          <w:iCs/>
        </w:rPr>
        <w:t>śríyo vanvanó vayú</w:t>
      </w:r>
      <w:r>
        <w:rPr>
          <w:i/>
          <w:iCs/>
        </w:rPr>
        <w:t>nāni vidvā́nkīrtím bahúbhyo ví hara dvirājé //</w:t>
      </w:r>
    </w:p>
    <w:p w14:paraId="20791912" w14:textId="77777777" w:rsidR="00E53EB6" w:rsidRDefault="006500F5">
      <w:pPr>
        <w:pStyle w:val="Quotations"/>
      </w:pPr>
      <w:r>
        <w:t>Roaring drum</w:t>
      </w:r>
      <w:r>
        <w:rPr>
          <w:rStyle w:val="FootnoteAnchor"/>
        </w:rPr>
        <w:footnoteReference w:id="557"/>
      </w:r>
      <w:r>
        <w:t xml:space="preserve">, with bold army, making known in many directions, sounding among men, </w:t>
      </w:r>
      <w:r>
        <w:rPr>
          <w:u w:val="single"/>
        </w:rPr>
        <w:t>appropriating</w:t>
      </w:r>
      <w:r>
        <w:t xml:space="preserve"> </w:t>
      </w:r>
      <w:r>
        <w:lastRenderedPageBreak/>
        <w:t>glory (power), knowing the ways</w:t>
      </w:r>
      <w:r>
        <w:rPr>
          <w:rStyle w:val="FootnoteAnchor"/>
        </w:rPr>
        <w:footnoteReference w:id="558"/>
      </w:r>
      <w:r>
        <w:t>, do distribute</w:t>
      </w:r>
      <w:r>
        <w:rPr>
          <w:rStyle w:val="FootnoteAnchor"/>
        </w:rPr>
        <w:footnoteReference w:id="559"/>
      </w:r>
      <w:r>
        <w:t xml:space="preserve"> the glory to many in the battle of the two kings.</w:t>
      </w:r>
    </w:p>
    <w:p w14:paraId="60C38282" w14:textId="77777777" w:rsidR="00E53EB6" w:rsidRDefault="006500F5">
      <w:pPr>
        <w:pStyle w:val="Quotations"/>
        <w:rPr>
          <w:i/>
          <w:iCs/>
        </w:rPr>
      </w:pPr>
      <w:r>
        <w:rPr>
          <w:i/>
          <w:iCs/>
        </w:rPr>
        <w:t>vanvaná</w:t>
      </w:r>
      <w:r>
        <w:rPr>
          <w:i/>
          <w:iCs/>
        </w:rPr>
        <w:t>ḥ</w:t>
      </w:r>
      <w:r>
        <w:rPr>
          <w:i/>
          <w:iCs/>
        </w:rPr>
        <w:t xml:space="preserve">: </w:t>
      </w:r>
      <w:r>
        <w:t>part. pres. nom. m. sing. Ā VIII cl.</w:t>
      </w:r>
    </w:p>
    <w:p w14:paraId="47728D31" w14:textId="77777777" w:rsidR="00E53EB6" w:rsidRDefault="006500F5">
      <w:pPr>
        <w:pStyle w:val="ZitatmitEinzug"/>
      </w:pPr>
      <w:r>
        <w:rPr>
          <w:rStyle w:val="biblio-authorGEN"/>
          <w:sz w:val="18"/>
          <w:szCs w:val="18"/>
        </w:rPr>
        <w:t xml:space="preserve">Whitney </w:t>
      </w:r>
      <w:r>
        <w:rPr>
          <w:szCs w:val="18"/>
        </w:rPr>
        <w:t>1905: 256 “winning”</w:t>
      </w:r>
    </w:p>
    <w:p w14:paraId="109F7416" w14:textId="77777777" w:rsidR="00E53EB6" w:rsidRDefault="006500F5">
      <w:pPr>
        <w:pStyle w:val="ZitatmitEinzug"/>
        <w:rPr>
          <w:szCs w:val="18"/>
        </w:rPr>
      </w:pPr>
      <w:r>
        <w:rPr>
          <w:szCs w:val="18"/>
        </w:rPr>
        <w:t>Sāya</w:t>
      </w:r>
      <w:r>
        <w:rPr>
          <w:szCs w:val="18"/>
        </w:rPr>
        <w:t>ṇ</w:t>
      </w:r>
      <w:r>
        <w:rPr>
          <w:szCs w:val="18"/>
        </w:rPr>
        <w:t>a:</w:t>
      </w:r>
      <w:r>
        <w:rPr>
          <w:szCs w:val="18"/>
        </w:rPr>
        <w:t>∅</w:t>
      </w:r>
    </w:p>
    <w:p w14:paraId="503516F4" w14:textId="77777777" w:rsidR="00E53EB6" w:rsidRDefault="006500F5">
      <w:pPr>
        <w:pStyle w:val="HaupttextnachZitat"/>
      </w:pPr>
      <w:r>
        <w:t>Vedic Web</w:t>
      </w:r>
    </w:p>
    <w:p w14:paraId="1FBE79DE" w14:textId="77777777" w:rsidR="00E53EB6" w:rsidRDefault="006500F5">
      <w:pPr>
        <w:pStyle w:val="HaupttextohneEinzug"/>
        <w:rPr>
          <w:szCs w:val="18"/>
        </w:rPr>
      </w:pPr>
      <w:r>
        <w:rPr>
          <w:szCs w:val="18"/>
        </w:rPr>
        <w:t>Mantra: cf. AVP 9.27.9</w:t>
      </w:r>
    </w:p>
    <w:p w14:paraId="6955EA5A" w14:textId="77777777" w:rsidR="00E53EB6" w:rsidRDefault="00E53EB6">
      <w:pPr>
        <w:pStyle w:val="HaupttextohneEinzug"/>
        <w:rPr>
          <w:szCs w:val="18"/>
        </w:rPr>
      </w:pPr>
    </w:p>
    <w:p w14:paraId="200C5B16" w14:textId="77777777" w:rsidR="00E53EB6" w:rsidRDefault="006500F5">
      <w:pPr>
        <w:pStyle w:val="HaupttextohneEinzug"/>
        <w:rPr>
          <w:szCs w:val="18"/>
        </w:rPr>
      </w:pPr>
      <w:r>
        <w:rPr>
          <w:szCs w:val="18"/>
        </w:rPr>
        <w:t>Rite</w:t>
      </w:r>
    </w:p>
    <w:p w14:paraId="150F0D0C" w14:textId="77777777" w:rsidR="00E53EB6" w:rsidRDefault="006500F5">
      <w:pPr>
        <w:pStyle w:val="HaupttextohneEinzug"/>
        <w:rPr>
          <w:szCs w:val="18"/>
        </w:rPr>
      </w:pPr>
      <w:r>
        <w:rPr>
          <w:szCs w:val="18"/>
        </w:rPr>
        <w:t>Hymn to the war drum. This hymn is quoted by Kāuśika Sūtra in a battle rite, for infusing terror into a hostile army and in Vāitāna S</w:t>
      </w:r>
      <w:r>
        <w:rPr>
          <w:szCs w:val="18"/>
        </w:rPr>
        <w:t xml:space="preserve">ūtra with beating of a drum in a </w:t>
      </w:r>
      <w:r>
        <w:rPr>
          <w:i/>
          <w:iCs/>
          <w:szCs w:val="18"/>
        </w:rPr>
        <w:t>sattra</w:t>
      </w:r>
      <w:r>
        <w:rPr>
          <w:szCs w:val="18"/>
        </w:rPr>
        <w:t xml:space="preserve"> sacrifice.</w:t>
      </w:r>
    </w:p>
    <w:p w14:paraId="7D7445B8" w14:textId="77777777" w:rsidR="00E53EB6" w:rsidRDefault="00E53EB6">
      <w:pPr>
        <w:pStyle w:val="HaupttextohneEinzug"/>
        <w:rPr>
          <w:szCs w:val="18"/>
        </w:rPr>
      </w:pPr>
    </w:p>
    <w:p w14:paraId="70A3A52B" w14:textId="77777777" w:rsidR="00E53EB6" w:rsidRDefault="00E53EB6">
      <w:pPr>
        <w:pStyle w:val="HaupttextohneEinzug"/>
        <w:rPr>
          <w:szCs w:val="18"/>
        </w:rPr>
      </w:pPr>
    </w:p>
    <w:p w14:paraId="5104503E" w14:textId="77777777" w:rsidR="00E53EB6" w:rsidRDefault="006500F5">
      <w:pPr>
        <w:pStyle w:val="Heading5"/>
        <w:tabs>
          <w:tab w:val="left" w:pos="0"/>
        </w:tabs>
      </w:pPr>
      <w:r>
        <w:rPr>
          <w:szCs w:val="18"/>
          <w:u w:val="single"/>
        </w:rPr>
        <w:t>AVŚ 6.9.3</w:t>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p>
    <w:p w14:paraId="2D872A79" w14:textId="77777777" w:rsidR="00E53EB6" w:rsidRDefault="006500F5">
      <w:pPr>
        <w:pStyle w:val="Quotations"/>
        <w:rPr>
          <w:szCs w:val="18"/>
        </w:rPr>
      </w:pPr>
      <w:r>
        <w:rPr>
          <w:szCs w:val="18"/>
        </w:rPr>
        <w:t xml:space="preserve">6.9.3  </w:t>
      </w:r>
      <w:r>
        <w:rPr>
          <w:i/>
          <w:iCs/>
          <w:szCs w:val="18"/>
        </w:rPr>
        <w:t>yā́sā</w:t>
      </w:r>
      <w:r>
        <w:rPr>
          <w:i/>
          <w:iCs/>
          <w:szCs w:val="18"/>
        </w:rPr>
        <w:t>ṃ</w:t>
      </w:r>
      <w:r>
        <w:rPr>
          <w:i/>
          <w:iCs/>
          <w:szCs w:val="18"/>
        </w:rPr>
        <w:t xml:space="preserve"> nā́bhir āréha</w:t>
      </w:r>
      <w:r>
        <w:rPr>
          <w:i/>
          <w:iCs/>
          <w:szCs w:val="18"/>
        </w:rPr>
        <w:t>ṇ</w:t>
      </w:r>
      <w:r>
        <w:rPr>
          <w:i/>
          <w:iCs/>
          <w:szCs w:val="18"/>
        </w:rPr>
        <w:t>a</w:t>
      </w:r>
      <w:r>
        <w:rPr>
          <w:i/>
          <w:iCs/>
          <w:szCs w:val="18"/>
        </w:rPr>
        <w:t>ṃ</w:t>
      </w:r>
      <w:r>
        <w:rPr>
          <w:i/>
          <w:iCs/>
          <w:szCs w:val="18"/>
        </w:rPr>
        <w:t xml:space="preserve"> hr̥dí sa</w:t>
      </w:r>
      <w:r>
        <w:rPr>
          <w:i/>
          <w:iCs/>
          <w:szCs w:val="18"/>
        </w:rPr>
        <w:t>ṃ</w:t>
      </w:r>
      <w:r>
        <w:rPr>
          <w:i/>
          <w:iCs/>
          <w:szCs w:val="18"/>
        </w:rPr>
        <w:t>vánana</w:t>
      </w:r>
      <w:r>
        <w:rPr>
          <w:i/>
          <w:iCs/>
          <w:szCs w:val="18"/>
        </w:rPr>
        <w:t>ṃ</w:t>
      </w:r>
      <w:r>
        <w:rPr>
          <w:i/>
          <w:iCs/>
          <w:szCs w:val="18"/>
        </w:rPr>
        <w:t xml:space="preserve"> kr̥tám gā́vo ghr̥tásya mātáro ‘mū́</w:t>
      </w:r>
      <w:r>
        <w:rPr>
          <w:i/>
          <w:iCs/>
          <w:szCs w:val="18"/>
        </w:rPr>
        <w:t>ṃ</w:t>
      </w:r>
      <w:r>
        <w:rPr>
          <w:i/>
          <w:iCs/>
          <w:szCs w:val="18"/>
        </w:rPr>
        <w:t xml:space="preserve"> sá</w:t>
      </w:r>
      <w:r>
        <w:rPr>
          <w:i/>
          <w:iCs/>
          <w:szCs w:val="18"/>
        </w:rPr>
        <w:t>ṃ</w:t>
      </w:r>
      <w:r>
        <w:rPr>
          <w:i/>
          <w:iCs/>
          <w:szCs w:val="18"/>
        </w:rPr>
        <w:t xml:space="preserve"> vānayantu me</w:t>
      </w:r>
      <w:r>
        <w:rPr>
          <w:szCs w:val="18"/>
        </w:rPr>
        <w:t xml:space="preserve"> //</w:t>
      </w:r>
    </w:p>
    <w:p w14:paraId="35753687" w14:textId="77777777" w:rsidR="00E53EB6" w:rsidRDefault="006500F5">
      <w:pPr>
        <w:pStyle w:val="Quotations"/>
        <w:rPr>
          <w:szCs w:val="18"/>
        </w:rPr>
      </w:pPr>
      <w:r>
        <w:rPr>
          <w:szCs w:val="18"/>
        </w:rPr>
        <w:t>Whose navel is a kissing</w:t>
      </w:r>
      <w:r>
        <w:rPr>
          <w:rStyle w:val="FootnoteAnchor"/>
          <w:szCs w:val="18"/>
        </w:rPr>
        <w:footnoteReference w:id="560"/>
      </w:r>
      <w:r>
        <w:rPr>
          <w:szCs w:val="18"/>
        </w:rPr>
        <w:t xml:space="preserve">, in whose heart there is the </w:t>
      </w:r>
      <w:r>
        <w:rPr>
          <w:szCs w:val="18"/>
          <w:u w:val="single"/>
        </w:rPr>
        <w:t>subduing /charming</w:t>
      </w:r>
      <w:r>
        <w:rPr>
          <w:szCs w:val="18"/>
        </w:rPr>
        <w:t xml:space="preserve"> (the mutual fondness), let the cows, mothers of the clarified butter, </w:t>
      </w:r>
      <w:r>
        <w:rPr>
          <w:szCs w:val="18"/>
          <w:u w:val="single"/>
        </w:rPr>
        <w:t>make</w:t>
      </w:r>
      <w:r>
        <w:rPr>
          <w:szCs w:val="18"/>
        </w:rPr>
        <w:t xml:space="preserve"> her there </w:t>
      </w:r>
      <w:r>
        <w:rPr>
          <w:szCs w:val="18"/>
          <w:u w:val="single"/>
        </w:rPr>
        <w:t>love</w:t>
      </w:r>
      <w:r>
        <w:rPr>
          <w:szCs w:val="18"/>
        </w:rPr>
        <w:t xml:space="preserve"> me.</w:t>
      </w:r>
    </w:p>
    <w:p w14:paraId="6CB9B953" w14:textId="77777777" w:rsidR="00E53EB6" w:rsidRDefault="006500F5">
      <w:pPr>
        <w:pStyle w:val="Quotations"/>
        <w:rPr>
          <w:szCs w:val="18"/>
        </w:rPr>
      </w:pPr>
      <w:r>
        <w:rPr>
          <w:i/>
          <w:iCs/>
          <w:szCs w:val="18"/>
        </w:rPr>
        <w:t>sá</w:t>
      </w:r>
      <w:r>
        <w:rPr>
          <w:i/>
          <w:iCs/>
          <w:szCs w:val="18"/>
        </w:rPr>
        <w:t>ṃ</w:t>
      </w:r>
      <w:r>
        <w:rPr>
          <w:i/>
          <w:iCs/>
          <w:szCs w:val="18"/>
        </w:rPr>
        <w:t xml:space="preserve"> vānayantu: </w:t>
      </w:r>
      <w:r>
        <w:rPr>
          <w:szCs w:val="18"/>
        </w:rPr>
        <w:t>impv. pres. 3</w:t>
      </w:r>
      <w:r>
        <w:rPr>
          <w:szCs w:val="18"/>
          <w:vertAlign w:val="superscript"/>
        </w:rPr>
        <w:t>rd</w:t>
      </w:r>
      <w:r>
        <w:rPr>
          <w:szCs w:val="18"/>
        </w:rPr>
        <w:t xml:space="preserve"> pl. of the causative </w:t>
      </w:r>
      <w:r>
        <w:rPr>
          <w:i/>
          <w:iCs/>
          <w:szCs w:val="18"/>
        </w:rPr>
        <w:t>vānaya-</w:t>
      </w:r>
    </w:p>
    <w:p w14:paraId="2C078EA7" w14:textId="77777777" w:rsidR="00E53EB6" w:rsidRDefault="006500F5">
      <w:pPr>
        <w:pStyle w:val="ZitatmitEinzug"/>
      </w:pPr>
      <w:r>
        <w:rPr>
          <w:rStyle w:val="biblio-authorGEN"/>
          <w:sz w:val="18"/>
          <w:szCs w:val="18"/>
        </w:rPr>
        <w:t xml:space="preserve">Whitney </w:t>
      </w:r>
      <w:r>
        <w:rPr>
          <w:szCs w:val="18"/>
        </w:rPr>
        <w:t>1905: 288 “conciliate”</w:t>
      </w:r>
    </w:p>
    <w:p w14:paraId="38F86CEB" w14:textId="77777777" w:rsidR="00E53EB6" w:rsidRDefault="006500F5">
      <w:pPr>
        <w:pStyle w:val="ZitatmitEinzug"/>
        <w:rPr>
          <w:szCs w:val="18"/>
        </w:rPr>
      </w:pPr>
      <w:r>
        <w:rPr>
          <w:szCs w:val="18"/>
        </w:rPr>
        <w:t>Sāya</w:t>
      </w:r>
      <w:r>
        <w:rPr>
          <w:szCs w:val="18"/>
        </w:rPr>
        <w:t>ṇ</w:t>
      </w:r>
      <w:r>
        <w:rPr>
          <w:szCs w:val="18"/>
        </w:rPr>
        <w:t xml:space="preserve">a </w:t>
      </w:r>
      <w:r>
        <w:rPr>
          <w:i/>
          <w:iCs/>
          <w:szCs w:val="18"/>
        </w:rPr>
        <w:t>vaśīkurvantu “</w:t>
      </w:r>
      <w:r>
        <w:rPr>
          <w:szCs w:val="18"/>
        </w:rPr>
        <w:t xml:space="preserve">make fascination-subduing” </w:t>
      </w:r>
    </w:p>
    <w:p w14:paraId="2D773B74" w14:textId="77777777" w:rsidR="00E53EB6" w:rsidRDefault="006500F5">
      <w:pPr>
        <w:pStyle w:val="HaupttextnachZitat"/>
      </w:pPr>
      <w:r>
        <w:t>Vedic Web</w:t>
      </w:r>
    </w:p>
    <w:p w14:paraId="5230A0F0" w14:textId="77777777" w:rsidR="00E53EB6" w:rsidRDefault="006500F5">
      <w:pPr>
        <w:pStyle w:val="HaupttextohneEinzug"/>
        <w:rPr>
          <w:szCs w:val="18"/>
        </w:rPr>
      </w:pPr>
      <w:r>
        <w:rPr>
          <w:szCs w:val="18"/>
        </w:rPr>
        <w:t>Mantra: AVP 2.90.4</w:t>
      </w:r>
    </w:p>
    <w:p w14:paraId="2E9B0230" w14:textId="77777777" w:rsidR="00E53EB6" w:rsidRDefault="00E53EB6">
      <w:pPr>
        <w:pStyle w:val="HaupttextohneEinzug"/>
        <w:rPr>
          <w:szCs w:val="18"/>
        </w:rPr>
      </w:pPr>
    </w:p>
    <w:p w14:paraId="0BAFAD9A" w14:textId="77777777" w:rsidR="00E53EB6" w:rsidRDefault="006500F5">
      <w:pPr>
        <w:pStyle w:val="HaupttextohneEinzug"/>
        <w:rPr>
          <w:szCs w:val="18"/>
        </w:rPr>
      </w:pPr>
      <w:r>
        <w:rPr>
          <w:szCs w:val="18"/>
        </w:rPr>
        <w:t>Rite</w:t>
      </w:r>
    </w:p>
    <w:p w14:paraId="6DA3AF54" w14:textId="77777777" w:rsidR="00E53EB6" w:rsidRDefault="006500F5">
      <w:pPr>
        <w:pStyle w:val="HaupttextohneEinzug"/>
        <w:rPr>
          <w:szCs w:val="18"/>
        </w:rPr>
      </w:pPr>
      <w:r>
        <w:rPr>
          <w:szCs w:val="18"/>
        </w:rPr>
        <w:t>To win a woman’s love. The whole hymn is used together with 6.8 to bring a woman under one’s control.</w:t>
      </w:r>
    </w:p>
    <w:p w14:paraId="3B8A272C" w14:textId="77777777" w:rsidR="00E53EB6" w:rsidRDefault="00E53EB6">
      <w:pPr>
        <w:pStyle w:val="HaupttextohneEinzug"/>
        <w:rPr>
          <w:szCs w:val="18"/>
        </w:rPr>
      </w:pPr>
    </w:p>
    <w:p w14:paraId="3E0D8DFD" w14:textId="77777777" w:rsidR="00E53EB6" w:rsidRDefault="00E53EB6">
      <w:pPr>
        <w:pStyle w:val="HaupttextohneEinzug"/>
        <w:rPr>
          <w:szCs w:val="18"/>
        </w:rPr>
      </w:pPr>
    </w:p>
    <w:p w14:paraId="290CF5EF" w14:textId="77777777" w:rsidR="00E53EB6" w:rsidRDefault="006500F5">
      <w:pPr>
        <w:pStyle w:val="Heading5"/>
        <w:tabs>
          <w:tab w:val="left" w:pos="0"/>
        </w:tabs>
      </w:pPr>
      <w:r>
        <w:rPr>
          <w:szCs w:val="18"/>
          <w:u w:val="single"/>
        </w:rPr>
        <w:t>AVŚ 6.82.1</w:t>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p>
    <w:p w14:paraId="71438F30" w14:textId="77777777" w:rsidR="00E53EB6" w:rsidRDefault="006500F5">
      <w:pPr>
        <w:pStyle w:val="Quotations"/>
      </w:pPr>
      <w:r>
        <w:t xml:space="preserve">6.82.1 </w:t>
      </w:r>
      <w:r>
        <w:rPr>
          <w:i/>
          <w:iCs/>
        </w:rPr>
        <w:t>āgáchata ā́gatasya nā́ma gr̥h</w:t>
      </w:r>
      <w:r>
        <w:rPr>
          <w:i/>
          <w:iCs/>
        </w:rPr>
        <w:t>ṇ</w:t>
      </w:r>
      <w:r>
        <w:rPr>
          <w:i/>
          <w:iCs/>
        </w:rPr>
        <w:t>āmyāyatá</w:t>
      </w:r>
      <w:r>
        <w:rPr>
          <w:i/>
          <w:iCs/>
        </w:rPr>
        <w:t>ḥ</w:t>
      </w:r>
      <w:r>
        <w:rPr>
          <w:i/>
          <w:iCs/>
        </w:rPr>
        <w:t xml:space="preserve"> / </w:t>
      </w:r>
    </w:p>
    <w:p w14:paraId="47D91B93" w14:textId="77777777" w:rsidR="00E53EB6" w:rsidRDefault="006500F5">
      <w:pPr>
        <w:pStyle w:val="ZitatnachZitat"/>
        <w:rPr>
          <w:i/>
          <w:iCs/>
        </w:rPr>
      </w:pPr>
      <w:r>
        <w:rPr>
          <w:i/>
          <w:iCs/>
        </w:rPr>
        <w:t xml:space="preserve"> </w:t>
      </w:r>
      <w:r>
        <w:rPr>
          <w:i/>
          <w:iCs/>
        </w:rPr>
        <w:t>índrasya vr̥traghnó vanve vāsavásya śatákrato</w:t>
      </w:r>
      <w:r>
        <w:rPr>
          <w:i/>
          <w:iCs/>
        </w:rPr>
        <w:t>ḥ</w:t>
      </w:r>
      <w:r>
        <w:rPr>
          <w:i/>
          <w:iCs/>
        </w:rPr>
        <w:t xml:space="preserve"> //</w:t>
      </w:r>
    </w:p>
    <w:p w14:paraId="6F03A90C" w14:textId="77777777" w:rsidR="00E53EB6" w:rsidRDefault="006500F5">
      <w:pPr>
        <w:pStyle w:val="Quotations"/>
      </w:pPr>
      <w:r>
        <w:t xml:space="preserve">I take the name of the arriving, of the arrived, of the one who is coming near; I </w:t>
      </w:r>
      <w:r>
        <w:rPr>
          <w:u w:val="single"/>
        </w:rPr>
        <w:t>appropriate</w:t>
      </w:r>
      <w:r>
        <w:rPr>
          <w:i/>
          <w:iCs/>
          <w:u w:val="single"/>
        </w:rPr>
        <w:t xml:space="preserve"> </w:t>
      </w:r>
      <w:r>
        <w:rPr>
          <w:u w:val="single"/>
        </w:rPr>
        <w:t>for myself</w:t>
      </w:r>
      <w:r>
        <w:t xml:space="preserve"> (the name) of Indra, the Vr̥tra-slayer, the one related to the Vasu, the one with hundred skills.</w:t>
      </w:r>
    </w:p>
    <w:p w14:paraId="7A79189B" w14:textId="77777777" w:rsidR="00E53EB6" w:rsidRDefault="006500F5">
      <w:pPr>
        <w:pStyle w:val="Quotations"/>
        <w:rPr>
          <w:i/>
          <w:iCs/>
        </w:rPr>
      </w:pPr>
      <w:r>
        <w:rPr>
          <w:i/>
          <w:iCs/>
        </w:rPr>
        <w:t>van</w:t>
      </w:r>
      <w:r>
        <w:rPr>
          <w:i/>
          <w:iCs/>
        </w:rPr>
        <w:t xml:space="preserve">ve: </w:t>
      </w:r>
      <w:r>
        <w:t>ind. pres. 1</w:t>
      </w:r>
      <w:r>
        <w:rPr>
          <w:vertAlign w:val="superscript"/>
        </w:rPr>
        <w:t>st</w:t>
      </w:r>
      <w:r>
        <w:t xml:space="preserve"> sing. Ā VIII cl.</w:t>
      </w:r>
    </w:p>
    <w:p w14:paraId="12B1FE34" w14:textId="77777777" w:rsidR="00E53EB6" w:rsidRDefault="006500F5">
      <w:pPr>
        <w:pStyle w:val="ZitatmitEinzug"/>
      </w:pPr>
      <w:r>
        <w:rPr>
          <w:rStyle w:val="biblio-authorGEN"/>
          <w:sz w:val="18"/>
          <w:szCs w:val="18"/>
        </w:rPr>
        <w:t xml:space="preserve">Whitney </w:t>
      </w:r>
      <w:r>
        <w:rPr>
          <w:szCs w:val="18"/>
        </w:rPr>
        <w:t xml:space="preserve">1905: 342 “win”, and considered </w:t>
      </w:r>
      <w:r>
        <w:rPr>
          <w:i/>
          <w:iCs/>
          <w:szCs w:val="18"/>
        </w:rPr>
        <w:t xml:space="preserve">índrasya </w:t>
      </w:r>
      <w:r>
        <w:rPr>
          <w:szCs w:val="18"/>
        </w:rPr>
        <w:t xml:space="preserve">as object of the verb and noticed the construction of </w:t>
      </w:r>
      <w:r>
        <w:rPr>
          <w:i/>
          <w:iCs/>
          <w:szCs w:val="18"/>
        </w:rPr>
        <w:t xml:space="preserve">van- </w:t>
      </w:r>
      <w:r>
        <w:rPr>
          <w:szCs w:val="18"/>
        </w:rPr>
        <w:t>+ gen. as elsewhere unknown and of doubtful meaning.</w:t>
      </w:r>
    </w:p>
    <w:p w14:paraId="5171C929" w14:textId="77777777" w:rsidR="00E53EB6" w:rsidRDefault="006500F5">
      <w:pPr>
        <w:pStyle w:val="ZitatmitEinzug"/>
        <w:rPr>
          <w:szCs w:val="18"/>
        </w:rPr>
      </w:pPr>
      <w:r>
        <w:rPr>
          <w:szCs w:val="18"/>
        </w:rPr>
        <w:t>Sāya</w:t>
      </w:r>
      <w:r>
        <w:rPr>
          <w:szCs w:val="18"/>
        </w:rPr>
        <w:t>ṇ</w:t>
      </w:r>
      <w:r>
        <w:rPr>
          <w:szCs w:val="18"/>
        </w:rPr>
        <w:t>a:</w:t>
      </w:r>
      <w:r>
        <w:rPr>
          <w:szCs w:val="18"/>
        </w:rPr>
        <w:t xml:space="preserve"> </w:t>
      </w:r>
      <w:r>
        <w:rPr>
          <w:i/>
          <w:iCs/>
          <w:szCs w:val="18"/>
        </w:rPr>
        <w:t>aham abhimataphala</w:t>
      </w:r>
      <w:r>
        <w:rPr>
          <w:i/>
          <w:iCs/>
          <w:szCs w:val="18"/>
        </w:rPr>
        <w:t>ṃ</w:t>
      </w:r>
      <w:r>
        <w:rPr>
          <w:i/>
          <w:iCs/>
          <w:szCs w:val="18"/>
        </w:rPr>
        <w:t xml:space="preserve"> yāchāmi</w:t>
      </w:r>
    </w:p>
    <w:p w14:paraId="153F138C" w14:textId="77777777" w:rsidR="00E53EB6" w:rsidRDefault="006500F5">
      <w:pPr>
        <w:pStyle w:val="HaupttextnachZitat"/>
      </w:pPr>
      <w:r>
        <w:lastRenderedPageBreak/>
        <w:t>Vedic Web</w:t>
      </w:r>
    </w:p>
    <w:p w14:paraId="2FDD99AF" w14:textId="77777777" w:rsidR="00E53EB6" w:rsidRDefault="006500F5">
      <w:pPr>
        <w:pStyle w:val="HaupttextohneEinzug"/>
        <w:rPr>
          <w:szCs w:val="18"/>
        </w:rPr>
      </w:pPr>
      <w:r>
        <w:rPr>
          <w:szCs w:val="18"/>
        </w:rPr>
        <w:t>Mantra: AVP 1</w:t>
      </w:r>
      <w:r>
        <w:rPr>
          <w:szCs w:val="18"/>
        </w:rPr>
        <w:t xml:space="preserve">9.17.4 </w:t>
      </w:r>
      <w:r>
        <w:rPr>
          <w:i/>
          <w:iCs/>
          <w:szCs w:val="18"/>
        </w:rPr>
        <w:t xml:space="preserve">rajño </w:t>
      </w:r>
      <w:r>
        <w:rPr>
          <w:szCs w:val="18"/>
        </w:rPr>
        <w:t xml:space="preserve">instead of </w:t>
      </w:r>
      <w:r>
        <w:rPr>
          <w:i/>
          <w:iCs/>
          <w:szCs w:val="18"/>
        </w:rPr>
        <w:t>vanve</w:t>
      </w:r>
      <w:r>
        <w:rPr>
          <w:szCs w:val="18"/>
        </w:rPr>
        <w:t>.</w:t>
      </w:r>
    </w:p>
    <w:p w14:paraId="635D8E69" w14:textId="77777777" w:rsidR="00E53EB6" w:rsidRDefault="00E53EB6">
      <w:pPr>
        <w:pStyle w:val="HaupttextohneEinzug"/>
        <w:rPr>
          <w:szCs w:val="18"/>
        </w:rPr>
      </w:pPr>
    </w:p>
    <w:p w14:paraId="172D490F" w14:textId="77777777" w:rsidR="00E53EB6" w:rsidRDefault="006500F5">
      <w:pPr>
        <w:pStyle w:val="HaupttextohneEinzug"/>
        <w:rPr>
          <w:szCs w:val="18"/>
        </w:rPr>
      </w:pPr>
      <w:r>
        <w:rPr>
          <w:szCs w:val="18"/>
        </w:rPr>
        <w:t>Rite</w:t>
      </w:r>
    </w:p>
    <w:p w14:paraId="3F58820A" w14:textId="77777777" w:rsidR="00E53EB6" w:rsidRDefault="006500F5">
      <w:pPr>
        <w:pStyle w:val="HaupttextohneEinzug"/>
        <w:rPr>
          <w:szCs w:val="18"/>
        </w:rPr>
      </w:pPr>
      <w:r>
        <w:rPr>
          <w:szCs w:val="18"/>
        </w:rPr>
        <w:t xml:space="preserve">To obtain a wife. The hymn is used by Kāuśika Sūtra in a </w:t>
      </w:r>
      <w:r>
        <w:rPr>
          <w:i/>
          <w:iCs/>
          <w:szCs w:val="18"/>
        </w:rPr>
        <w:t>kāmya</w:t>
      </w:r>
      <w:r>
        <w:rPr>
          <w:szCs w:val="18"/>
        </w:rPr>
        <w:t xml:space="preserve"> rite by one desiring a wife, and in nuptial ceremonies. It consist in 3 stanzas, and Indra is addressed to assign the wife by means of his golden hook (</w:t>
      </w:r>
      <w:r>
        <w:rPr>
          <w:i/>
          <w:iCs/>
          <w:szCs w:val="18"/>
        </w:rPr>
        <w:t>a</w:t>
      </w:r>
      <w:r>
        <w:rPr>
          <w:i/>
          <w:iCs/>
          <w:szCs w:val="18"/>
        </w:rPr>
        <w:t>ṅ</w:t>
      </w:r>
      <w:r>
        <w:rPr>
          <w:i/>
          <w:iCs/>
          <w:szCs w:val="18"/>
        </w:rPr>
        <w:t>ku</w:t>
      </w:r>
      <w:r>
        <w:rPr>
          <w:i/>
          <w:iCs/>
          <w:szCs w:val="18"/>
        </w:rPr>
        <w:t>śa</w:t>
      </w:r>
      <w:r>
        <w:rPr>
          <w:szCs w:val="18"/>
        </w:rPr>
        <w:t>).</w:t>
      </w:r>
    </w:p>
    <w:p w14:paraId="41819F50" w14:textId="77777777" w:rsidR="00E53EB6" w:rsidRDefault="006500F5">
      <w:pPr>
        <w:pStyle w:val="HaupttextohneEinzug"/>
        <w:rPr>
          <w:szCs w:val="18"/>
        </w:rPr>
      </w:pPr>
      <w:r>
        <w:rPr>
          <w:szCs w:val="18"/>
        </w:rPr>
        <w:t xml:space="preserve"> </w:t>
      </w:r>
    </w:p>
    <w:p w14:paraId="24C98633" w14:textId="77777777" w:rsidR="00E53EB6" w:rsidRDefault="006500F5">
      <w:pPr>
        <w:pStyle w:val="Heading5"/>
        <w:tabs>
          <w:tab w:val="left" w:pos="0"/>
        </w:tabs>
      </w:pPr>
      <w:r>
        <w:rPr>
          <w:szCs w:val="18"/>
          <w:u w:val="single"/>
        </w:rPr>
        <w:t>AVŚ 6.95.1-2</w:t>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p>
    <w:p w14:paraId="622E069A" w14:textId="77777777" w:rsidR="00E53EB6" w:rsidRDefault="006500F5">
      <w:pPr>
        <w:pStyle w:val="Quotations"/>
        <w:rPr>
          <w:szCs w:val="18"/>
        </w:rPr>
      </w:pPr>
      <w:r>
        <w:rPr>
          <w:szCs w:val="18"/>
        </w:rPr>
        <w:t xml:space="preserve">6.95.1 </w:t>
      </w:r>
      <w:r>
        <w:rPr>
          <w:i/>
          <w:iCs/>
          <w:szCs w:val="18"/>
        </w:rPr>
        <w:t xml:space="preserve">aśvatthó devasádanastr̥tī́yasyāmitó diví / </w:t>
      </w:r>
    </w:p>
    <w:p w14:paraId="1AC02501" w14:textId="77777777" w:rsidR="00E53EB6" w:rsidRDefault="006500F5">
      <w:pPr>
        <w:pStyle w:val="ZitatnachZitat"/>
        <w:rPr>
          <w:i/>
          <w:iCs/>
          <w:szCs w:val="18"/>
        </w:rPr>
      </w:pPr>
      <w:r>
        <w:rPr>
          <w:i/>
          <w:iCs/>
          <w:szCs w:val="18"/>
        </w:rPr>
        <w:t>tátrāmŕ̥tasya cák</w:t>
      </w:r>
      <w:r>
        <w:rPr>
          <w:i/>
          <w:iCs/>
          <w:szCs w:val="18"/>
        </w:rPr>
        <w:t>ṣ</w:t>
      </w:r>
      <w:r>
        <w:rPr>
          <w:i/>
          <w:iCs/>
          <w:szCs w:val="18"/>
        </w:rPr>
        <w:t>a</w:t>
      </w:r>
      <w:r>
        <w:rPr>
          <w:i/>
          <w:iCs/>
          <w:szCs w:val="18"/>
        </w:rPr>
        <w:t>ṇ</w:t>
      </w:r>
      <w:r>
        <w:rPr>
          <w:i/>
          <w:iCs/>
          <w:szCs w:val="18"/>
        </w:rPr>
        <w:t>a</w:t>
      </w:r>
      <w:r>
        <w:rPr>
          <w:i/>
          <w:iCs/>
          <w:szCs w:val="18"/>
        </w:rPr>
        <w:t>ṃ</w:t>
      </w:r>
      <w:r>
        <w:rPr>
          <w:i/>
          <w:iCs/>
          <w:szCs w:val="18"/>
        </w:rPr>
        <w:t xml:space="preserve"> devā́</w:t>
      </w:r>
      <w:r>
        <w:rPr>
          <w:i/>
          <w:iCs/>
          <w:szCs w:val="18"/>
        </w:rPr>
        <w:t>ḥ</w:t>
      </w:r>
      <w:r>
        <w:rPr>
          <w:i/>
          <w:iCs/>
          <w:szCs w:val="18"/>
        </w:rPr>
        <w:t xml:space="preserve"> kú</w:t>
      </w:r>
      <w:r>
        <w:rPr>
          <w:i/>
          <w:iCs/>
          <w:szCs w:val="18"/>
        </w:rPr>
        <w:t>ṣṭ</w:t>
      </w:r>
      <w:r>
        <w:rPr>
          <w:i/>
          <w:iCs/>
          <w:szCs w:val="18"/>
        </w:rPr>
        <w:t>hamavanvata //</w:t>
      </w:r>
    </w:p>
    <w:p w14:paraId="58584FC8" w14:textId="77777777" w:rsidR="00E53EB6" w:rsidRDefault="006500F5">
      <w:pPr>
        <w:pStyle w:val="ZitatnachZitat"/>
        <w:rPr>
          <w:szCs w:val="18"/>
        </w:rPr>
      </w:pPr>
      <w:r>
        <w:rPr>
          <w:szCs w:val="18"/>
        </w:rPr>
        <w:t xml:space="preserve">[2] </w:t>
      </w:r>
      <w:r>
        <w:rPr>
          <w:i/>
          <w:iCs/>
          <w:szCs w:val="18"/>
        </w:rPr>
        <w:t>hira</w:t>
      </w:r>
      <w:r>
        <w:rPr>
          <w:i/>
          <w:iCs/>
          <w:szCs w:val="18"/>
        </w:rPr>
        <w:t>ṇ</w:t>
      </w:r>
      <w:r>
        <w:rPr>
          <w:i/>
          <w:iCs/>
          <w:szCs w:val="18"/>
        </w:rPr>
        <w:t>yáyī naúracaraddhíra</w:t>
      </w:r>
      <w:r>
        <w:rPr>
          <w:i/>
          <w:iCs/>
          <w:szCs w:val="18"/>
        </w:rPr>
        <w:t>ṇ</w:t>
      </w:r>
      <w:r>
        <w:rPr>
          <w:i/>
          <w:iCs/>
          <w:szCs w:val="18"/>
        </w:rPr>
        <w:t xml:space="preserve">yabandhanā diví / </w:t>
      </w:r>
    </w:p>
    <w:p w14:paraId="4EF9A33E" w14:textId="77777777" w:rsidR="00E53EB6" w:rsidRDefault="006500F5">
      <w:pPr>
        <w:pStyle w:val="ZitatnachZitat"/>
        <w:rPr>
          <w:i/>
          <w:iCs/>
          <w:szCs w:val="18"/>
        </w:rPr>
      </w:pPr>
      <w:r>
        <w:rPr>
          <w:i/>
          <w:iCs/>
          <w:szCs w:val="18"/>
        </w:rPr>
        <w:t>tátrāmŕ̥tasya pú</w:t>
      </w:r>
      <w:r>
        <w:rPr>
          <w:i/>
          <w:iCs/>
          <w:szCs w:val="18"/>
        </w:rPr>
        <w:t>ṣ</w:t>
      </w:r>
      <w:r>
        <w:rPr>
          <w:i/>
          <w:iCs/>
          <w:szCs w:val="18"/>
        </w:rPr>
        <w:t>pa</w:t>
      </w:r>
      <w:r>
        <w:rPr>
          <w:i/>
          <w:iCs/>
          <w:szCs w:val="18"/>
        </w:rPr>
        <w:t>ṃ</w:t>
      </w:r>
      <w:r>
        <w:rPr>
          <w:i/>
          <w:iCs/>
          <w:szCs w:val="18"/>
        </w:rPr>
        <w:t xml:space="preserve"> devā́</w:t>
      </w:r>
      <w:r>
        <w:rPr>
          <w:i/>
          <w:iCs/>
          <w:szCs w:val="18"/>
        </w:rPr>
        <w:t>ḥ</w:t>
      </w:r>
      <w:r>
        <w:rPr>
          <w:i/>
          <w:iCs/>
          <w:szCs w:val="18"/>
        </w:rPr>
        <w:t xml:space="preserve"> kú</w:t>
      </w:r>
      <w:r>
        <w:rPr>
          <w:i/>
          <w:iCs/>
          <w:szCs w:val="18"/>
        </w:rPr>
        <w:t>ṣṭ</w:t>
      </w:r>
      <w:r>
        <w:rPr>
          <w:i/>
          <w:iCs/>
          <w:szCs w:val="18"/>
        </w:rPr>
        <w:t>hamavanvata //</w:t>
      </w:r>
    </w:p>
    <w:p w14:paraId="59F85777" w14:textId="77777777" w:rsidR="00E53EB6" w:rsidRDefault="006500F5">
      <w:pPr>
        <w:pStyle w:val="Quotations"/>
        <w:rPr>
          <w:szCs w:val="18"/>
        </w:rPr>
      </w:pPr>
      <w:r>
        <w:rPr>
          <w:szCs w:val="18"/>
        </w:rPr>
        <w:t xml:space="preserve">The holy fig tree, seat of the gods, is in the third heaven from here; there the gods </w:t>
      </w:r>
      <w:r>
        <w:rPr>
          <w:szCs w:val="18"/>
          <w:u w:val="single"/>
        </w:rPr>
        <w:t>appropriated (for themselves)</w:t>
      </w:r>
      <w:r>
        <w:rPr>
          <w:szCs w:val="18"/>
        </w:rPr>
        <w:t xml:space="preserve"> the appearing (the image)</w:t>
      </w:r>
      <w:r>
        <w:rPr>
          <w:rStyle w:val="FootnoteAnchor"/>
          <w:szCs w:val="18"/>
        </w:rPr>
        <w:footnoteReference w:id="561"/>
      </w:r>
      <w:r>
        <w:rPr>
          <w:szCs w:val="18"/>
        </w:rPr>
        <w:t xml:space="preserve"> of immortality, the </w:t>
      </w:r>
      <w:r>
        <w:rPr>
          <w:i/>
          <w:iCs/>
          <w:szCs w:val="18"/>
        </w:rPr>
        <w:t>ku</w:t>
      </w:r>
      <w:r>
        <w:rPr>
          <w:i/>
          <w:iCs/>
          <w:szCs w:val="18"/>
        </w:rPr>
        <w:t>ṣṭ</w:t>
      </w:r>
      <w:r>
        <w:rPr>
          <w:i/>
          <w:iCs/>
          <w:szCs w:val="18"/>
        </w:rPr>
        <w:t xml:space="preserve">ha </w:t>
      </w:r>
      <w:r>
        <w:rPr>
          <w:szCs w:val="18"/>
        </w:rPr>
        <w:t>plant.</w:t>
      </w:r>
    </w:p>
    <w:p w14:paraId="2740572F" w14:textId="77777777" w:rsidR="00E53EB6" w:rsidRDefault="006500F5">
      <w:pPr>
        <w:pStyle w:val="ZitatnachZitat"/>
        <w:rPr>
          <w:szCs w:val="18"/>
        </w:rPr>
      </w:pPr>
      <w:r>
        <w:rPr>
          <w:szCs w:val="18"/>
        </w:rPr>
        <w:t xml:space="preserve">The golden boat with golden bands moved about in the heaven; there the gods </w:t>
      </w:r>
      <w:r>
        <w:rPr>
          <w:szCs w:val="18"/>
          <w:u w:val="single"/>
        </w:rPr>
        <w:t>ap</w:t>
      </w:r>
      <w:r>
        <w:rPr>
          <w:szCs w:val="18"/>
          <w:u w:val="single"/>
        </w:rPr>
        <w:t>propriated (for themselves)</w:t>
      </w:r>
      <w:r>
        <w:rPr>
          <w:szCs w:val="18"/>
        </w:rPr>
        <w:t xml:space="preserve"> the blossom of immortality, the </w:t>
      </w:r>
      <w:r>
        <w:rPr>
          <w:i/>
          <w:iCs/>
          <w:szCs w:val="18"/>
        </w:rPr>
        <w:t>ku</w:t>
      </w:r>
      <w:r>
        <w:rPr>
          <w:i/>
          <w:iCs/>
          <w:szCs w:val="18"/>
        </w:rPr>
        <w:t>ṣṭ</w:t>
      </w:r>
      <w:r>
        <w:rPr>
          <w:i/>
          <w:iCs/>
          <w:szCs w:val="18"/>
        </w:rPr>
        <w:t xml:space="preserve">ha </w:t>
      </w:r>
      <w:r>
        <w:rPr>
          <w:szCs w:val="18"/>
        </w:rPr>
        <w:t>plant.</w:t>
      </w:r>
    </w:p>
    <w:p w14:paraId="6A5D6F94" w14:textId="77777777" w:rsidR="00E53EB6" w:rsidRDefault="006500F5">
      <w:pPr>
        <w:pStyle w:val="Quotations"/>
        <w:rPr>
          <w:szCs w:val="18"/>
        </w:rPr>
      </w:pPr>
      <w:r>
        <w:rPr>
          <w:szCs w:val="18"/>
        </w:rPr>
        <w:t>2x</w:t>
      </w:r>
      <w:r>
        <w:rPr>
          <w:i/>
          <w:iCs/>
          <w:szCs w:val="18"/>
        </w:rPr>
        <w:t xml:space="preserve">  avanvata: </w:t>
      </w:r>
      <w:r>
        <w:rPr>
          <w:szCs w:val="18"/>
        </w:rPr>
        <w:t>ind. impf. 3</w:t>
      </w:r>
      <w:r>
        <w:rPr>
          <w:szCs w:val="18"/>
          <w:vertAlign w:val="superscript"/>
        </w:rPr>
        <w:t>rd</w:t>
      </w:r>
      <w:r>
        <w:rPr>
          <w:szCs w:val="18"/>
        </w:rPr>
        <w:t xml:space="preserve"> pl. Ā VIII cl.</w:t>
      </w:r>
    </w:p>
    <w:p w14:paraId="1D8E61E0" w14:textId="77777777" w:rsidR="00E53EB6" w:rsidRDefault="006500F5">
      <w:pPr>
        <w:pStyle w:val="ZitatmitEinzug"/>
      </w:pPr>
      <w:r>
        <w:rPr>
          <w:rStyle w:val="biblio-authorGEN"/>
          <w:sz w:val="18"/>
          <w:szCs w:val="18"/>
        </w:rPr>
        <w:t xml:space="preserve">Whitney </w:t>
      </w:r>
      <w:r>
        <w:rPr>
          <w:szCs w:val="18"/>
        </w:rPr>
        <w:t>1905: 350 “won”</w:t>
      </w:r>
    </w:p>
    <w:p w14:paraId="7A4D916F" w14:textId="77777777" w:rsidR="00E53EB6" w:rsidRPr="00494885" w:rsidRDefault="006500F5">
      <w:pPr>
        <w:pStyle w:val="ZitatmitEinzug"/>
        <w:rPr>
          <w:szCs w:val="18"/>
          <w:lang w:val="it-IT"/>
        </w:rPr>
      </w:pPr>
      <w:r w:rsidRPr="00494885">
        <w:rPr>
          <w:szCs w:val="18"/>
          <w:lang w:val="it-IT"/>
        </w:rPr>
        <w:t>Sāya</w:t>
      </w:r>
      <w:r w:rsidRPr="00494885">
        <w:rPr>
          <w:szCs w:val="18"/>
          <w:lang w:val="it-IT"/>
        </w:rPr>
        <w:t>ṇ</w:t>
      </w:r>
      <w:r w:rsidRPr="00494885">
        <w:rPr>
          <w:szCs w:val="18"/>
          <w:lang w:val="it-IT"/>
        </w:rPr>
        <w:t>a ∅</w:t>
      </w:r>
    </w:p>
    <w:p w14:paraId="0CD13EF9" w14:textId="77777777" w:rsidR="00E53EB6" w:rsidRPr="00494885" w:rsidRDefault="006500F5">
      <w:pPr>
        <w:pStyle w:val="HaupttextnachZitat"/>
        <w:rPr>
          <w:lang w:val="it-IT"/>
        </w:rPr>
      </w:pPr>
      <w:r w:rsidRPr="00494885">
        <w:rPr>
          <w:lang w:val="it-IT"/>
        </w:rPr>
        <w:t>Vedic Web</w:t>
      </w:r>
    </w:p>
    <w:p w14:paraId="52697C72" w14:textId="77777777" w:rsidR="00E53EB6" w:rsidRPr="00494885" w:rsidRDefault="006500F5">
      <w:pPr>
        <w:pStyle w:val="HaupttextohneEinzug"/>
        <w:rPr>
          <w:szCs w:val="18"/>
          <w:lang w:val="it-IT"/>
        </w:rPr>
      </w:pPr>
      <w:r w:rsidRPr="00494885">
        <w:rPr>
          <w:szCs w:val="18"/>
          <w:lang w:val="it-IT"/>
        </w:rPr>
        <w:t>Mantra: =AVŚ 5.4.3-4</w:t>
      </w:r>
    </w:p>
    <w:p w14:paraId="33D7FEC7" w14:textId="77777777" w:rsidR="00E53EB6" w:rsidRPr="00494885" w:rsidRDefault="00E53EB6">
      <w:pPr>
        <w:pStyle w:val="HaupttextohneEinzug"/>
        <w:rPr>
          <w:szCs w:val="18"/>
          <w:lang w:val="it-IT"/>
        </w:rPr>
      </w:pPr>
    </w:p>
    <w:p w14:paraId="0055D836" w14:textId="77777777" w:rsidR="00E53EB6" w:rsidRDefault="006500F5">
      <w:pPr>
        <w:pStyle w:val="HaupttextohneEinzug"/>
        <w:rPr>
          <w:szCs w:val="18"/>
        </w:rPr>
      </w:pPr>
      <w:r>
        <w:rPr>
          <w:szCs w:val="18"/>
        </w:rPr>
        <w:t>Rite</w:t>
      </w:r>
    </w:p>
    <w:p w14:paraId="785440C4" w14:textId="77777777" w:rsidR="00E53EB6" w:rsidRDefault="006500F5">
      <w:pPr>
        <w:pStyle w:val="HaupttextohneEinzug"/>
        <w:rPr>
          <w:szCs w:val="18"/>
        </w:rPr>
      </w:pPr>
      <w:r>
        <w:rPr>
          <w:szCs w:val="18"/>
        </w:rPr>
        <w:t xml:space="preserve">For relief from disease with </w:t>
      </w:r>
      <w:r>
        <w:rPr>
          <w:i/>
          <w:iCs/>
          <w:szCs w:val="18"/>
        </w:rPr>
        <w:t>ku</w:t>
      </w:r>
      <w:r>
        <w:rPr>
          <w:i/>
          <w:iCs/>
          <w:szCs w:val="18"/>
        </w:rPr>
        <w:t>ṣṭ</w:t>
      </w:r>
      <w:r>
        <w:rPr>
          <w:i/>
          <w:iCs/>
          <w:szCs w:val="18"/>
        </w:rPr>
        <w:t xml:space="preserve">ha. </w:t>
      </w:r>
      <w:r>
        <w:rPr>
          <w:szCs w:val="18"/>
        </w:rPr>
        <w:t xml:space="preserve">It is included in the same passage of 5.4, and these two stanzas are exactly the same as 5.4.3-4 except for </w:t>
      </w:r>
      <w:r>
        <w:rPr>
          <w:i/>
          <w:iCs/>
          <w:szCs w:val="18"/>
        </w:rPr>
        <w:t>pu</w:t>
      </w:r>
      <w:r>
        <w:rPr>
          <w:i/>
          <w:iCs/>
          <w:szCs w:val="18"/>
        </w:rPr>
        <w:t>ṣ</w:t>
      </w:r>
      <w:r>
        <w:rPr>
          <w:i/>
          <w:iCs/>
          <w:szCs w:val="18"/>
        </w:rPr>
        <w:t xml:space="preserve">pam </w:t>
      </w:r>
      <w:r>
        <w:rPr>
          <w:szCs w:val="18"/>
        </w:rPr>
        <w:t xml:space="preserve">instead of </w:t>
      </w:r>
      <w:r>
        <w:rPr>
          <w:i/>
          <w:iCs/>
          <w:szCs w:val="18"/>
        </w:rPr>
        <w:t>pu</w:t>
      </w:r>
      <w:r>
        <w:rPr>
          <w:i/>
          <w:iCs/>
          <w:szCs w:val="18"/>
        </w:rPr>
        <w:t>ṣ</w:t>
      </w:r>
      <w:r>
        <w:rPr>
          <w:i/>
          <w:iCs/>
          <w:szCs w:val="18"/>
        </w:rPr>
        <w:t xml:space="preserve">yam, </w:t>
      </w:r>
      <w:r>
        <w:rPr>
          <w:szCs w:val="18"/>
        </w:rPr>
        <w:t>whereas</w:t>
      </w:r>
      <w:r>
        <w:rPr>
          <w:i/>
          <w:iCs/>
          <w:szCs w:val="18"/>
        </w:rPr>
        <w:t xml:space="preserve"> </w:t>
      </w:r>
      <w:r>
        <w:rPr>
          <w:szCs w:val="18"/>
        </w:rPr>
        <w:t>both words mean “flower, blossom” and the Sanskrit writing in this case could be misleading (as also in 5.4.4, som</w:t>
      </w:r>
      <w:r>
        <w:rPr>
          <w:szCs w:val="18"/>
        </w:rPr>
        <w:t xml:space="preserve">e manuscripts read </w:t>
      </w:r>
      <w:r>
        <w:rPr>
          <w:i/>
          <w:iCs/>
          <w:szCs w:val="18"/>
        </w:rPr>
        <w:t>pu</w:t>
      </w:r>
      <w:r>
        <w:rPr>
          <w:i/>
          <w:iCs/>
          <w:szCs w:val="18"/>
        </w:rPr>
        <w:t>ṣ</w:t>
      </w:r>
      <w:r>
        <w:rPr>
          <w:i/>
          <w:iCs/>
          <w:szCs w:val="18"/>
        </w:rPr>
        <w:t>pam</w:t>
      </w:r>
      <w:r>
        <w:rPr>
          <w:szCs w:val="18"/>
        </w:rPr>
        <w:t xml:space="preserve">). In the third and last </w:t>
      </w:r>
      <w:r>
        <w:rPr>
          <w:szCs w:val="18"/>
        </w:rPr>
        <w:t>stanza</w:t>
      </w:r>
      <w:r>
        <w:rPr>
          <w:szCs w:val="18"/>
        </w:rPr>
        <w:t xml:space="preserve"> the plant is addressed as young, as coming from the snowy mountain and it is asked to relieve man from disease.</w:t>
      </w:r>
    </w:p>
    <w:p w14:paraId="5345A566" w14:textId="77777777" w:rsidR="00E53EB6" w:rsidRDefault="00E53EB6">
      <w:pPr>
        <w:pStyle w:val="HaupttextohneEinzug"/>
        <w:rPr>
          <w:szCs w:val="18"/>
        </w:rPr>
      </w:pPr>
    </w:p>
    <w:p w14:paraId="31E72E92" w14:textId="77777777" w:rsidR="00E53EB6" w:rsidRDefault="006500F5">
      <w:pPr>
        <w:pStyle w:val="Heading5"/>
        <w:tabs>
          <w:tab w:val="left" w:pos="0"/>
        </w:tabs>
      </w:pPr>
      <w:r>
        <w:rPr>
          <w:szCs w:val="18"/>
          <w:u w:val="single"/>
        </w:rPr>
        <w:t>AVŚ 7.103.1</w:t>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p>
    <w:p w14:paraId="0CF25BD4" w14:textId="77777777" w:rsidR="00E53EB6" w:rsidRDefault="006500F5">
      <w:pPr>
        <w:pStyle w:val="Quotations"/>
      </w:pPr>
      <w:r>
        <w:t xml:space="preserve">7.103.1 </w:t>
      </w:r>
      <w:r>
        <w:rPr>
          <w:i/>
          <w:iCs/>
        </w:rPr>
        <w:t xml:space="preserve"> kó asyā́ no druhó 'vadyávatyā únne</w:t>
      </w:r>
      <w:r>
        <w:rPr>
          <w:i/>
          <w:iCs/>
        </w:rPr>
        <w:t>ṣ</w:t>
      </w:r>
      <w:r>
        <w:rPr>
          <w:i/>
          <w:iCs/>
        </w:rPr>
        <w:t>yati k</w:t>
      </w:r>
      <w:r>
        <w:rPr>
          <w:i/>
          <w:iCs/>
        </w:rPr>
        <w:t>ṣ</w:t>
      </w:r>
      <w:r>
        <w:rPr>
          <w:i/>
          <w:iCs/>
        </w:rPr>
        <w:t xml:space="preserve">atríyo vásya </w:t>
      </w:r>
      <w:r>
        <w:rPr>
          <w:i/>
          <w:iCs/>
        </w:rPr>
        <w:t xml:space="preserve">ichán / </w:t>
      </w:r>
    </w:p>
    <w:p w14:paraId="48B97DC0" w14:textId="77777777" w:rsidR="00E53EB6" w:rsidRDefault="006500F5">
      <w:pPr>
        <w:pStyle w:val="ZitatnachZitat"/>
        <w:rPr>
          <w:i/>
          <w:iCs/>
        </w:rPr>
      </w:pPr>
      <w:r>
        <w:rPr>
          <w:i/>
          <w:iCs/>
        </w:rPr>
        <w:t>kó yajñákāma</w:t>
      </w:r>
      <w:r>
        <w:rPr>
          <w:i/>
          <w:iCs/>
        </w:rPr>
        <w:t>ḥ</w:t>
      </w:r>
      <w:r>
        <w:rPr>
          <w:i/>
          <w:iCs/>
        </w:rPr>
        <w:t xml:space="preserve"> ká u pū́rtikāma</w:t>
      </w:r>
      <w:r>
        <w:rPr>
          <w:i/>
          <w:iCs/>
        </w:rPr>
        <w:t>ḥ</w:t>
      </w:r>
      <w:r>
        <w:rPr>
          <w:i/>
          <w:iCs/>
        </w:rPr>
        <w:t xml:space="preserve"> kó devé</w:t>
      </w:r>
      <w:r>
        <w:rPr>
          <w:i/>
          <w:iCs/>
        </w:rPr>
        <w:t>ṣ</w:t>
      </w:r>
      <w:r>
        <w:rPr>
          <w:i/>
          <w:iCs/>
        </w:rPr>
        <w:t>u vanute dīrghám ā́yu</w:t>
      </w:r>
      <w:r>
        <w:rPr>
          <w:i/>
          <w:iCs/>
        </w:rPr>
        <w:t>ḥ</w:t>
      </w:r>
      <w:r>
        <w:rPr>
          <w:i/>
          <w:iCs/>
        </w:rPr>
        <w:t xml:space="preserve"> // </w:t>
      </w:r>
    </w:p>
    <w:p w14:paraId="0F1A0F43" w14:textId="77777777" w:rsidR="00E53EB6" w:rsidRDefault="006500F5">
      <w:pPr>
        <w:pStyle w:val="Quotations"/>
      </w:pPr>
      <w:r>
        <w:t xml:space="preserve">Who will lead us out of this disgraceful harm (offence – harmful situation)? the </w:t>
      </w:r>
      <w:r>
        <w:rPr>
          <w:i/>
          <w:iCs/>
        </w:rPr>
        <w:t>k</w:t>
      </w:r>
      <w:r>
        <w:rPr>
          <w:i/>
          <w:iCs/>
        </w:rPr>
        <w:t>ṣ</w:t>
      </w:r>
      <w:r>
        <w:rPr>
          <w:i/>
          <w:iCs/>
        </w:rPr>
        <w:t xml:space="preserve">atriya </w:t>
      </w:r>
      <w:r>
        <w:t xml:space="preserve">(the king) seeking after an increasing wealth? who, the one desiring the sacrifice or that </w:t>
      </w:r>
      <w:r>
        <w:t xml:space="preserve">desiring the reward, who </w:t>
      </w:r>
      <w:r>
        <w:rPr>
          <w:u w:val="single"/>
        </w:rPr>
        <w:t xml:space="preserve">appropriates </w:t>
      </w:r>
      <w:r>
        <w:t xml:space="preserve"> a long life-time among the gods?</w:t>
      </w:r>
    </w:p>
    <w:p w14:paraId="75C82F04" w14:textId="77777777" w:rsidR="00E53EB6" w:rsidRDefault="006500F5">
      <w:pPr>
        <w:pStyle w:val="Quotations"/>
        <w:rPr>
          <w:i/>
          <w:iCs/>
        </w:rPr>
      </w:pPr>
      <w:r>
        <w:rPr>
          <w:i/>
          <w:iCs/>
        </w:rPr>
        <w:t xml:space="preserve">vanute: </w:t>
      </w:r>
      <w:r>
        <w:t>ind. pres. 3</w:t>
      </w:r>
      <w:r>
        <w:rPr>
          <w:vertAlign w:val="superscript"/>
        </w:rPr>
        <w:t>rd</w:t>
      </w:r>
      <w:r>
        <w:t xml:space="preserve"> sing. Ā VIII cl.</w:t>
      </w:r>
    </w:p>
    <w:p w14:paraId="1BC096B4" w14:textId="77777777" w:rsidR="00E53EB6" w:rsidRDefault="006500F5">
      <w:pPr>
        <w:pStyle w:val="ZitatmitEinzug"/>
      </w:pPr>
      <w:r>
        <w:rPr>
          <w:rStyle w:val="biblio-authorGEN"/>
          <w:sz w:val="18"/>
          <w:szCs w:val="18"/>
        </w:rPr>
        <w:t xml:space="preserve">Whitney 1905: </w:t>
      </w:r>
      <w:r>
        <w:rPr>
          <w:szCs w:val="18"/>
        </w:rPr>
        <w:t>462 “wins”</w:t>
      </w:r>
    </w:p>
    <w:p w14:paraId="466240BF" w14:textId="77777777" w:rsidR="00E53EB6" w:rsidRDefault="006500F5">
      <w:pPr>
        <w:pStyle w:val="ZitatmitEinzug"/>
        <w:rPr>
          <w:szCs w:val="18"/>
        </w:rPr>
      </w:pPr>
      <w:r>
        <w:rPr>
          <w:szCs w:val="18"/>
        </w:rPr>
        <w:t>Sāya</w:t>
      </w:r>
      <w:r>
        <w:rPr>
          <w:szCs w:val="18"/>
        </w:rPr>
        <w:t>ṇ</w:t>
      </w:r>
      <w:r>
        <w:rPr>
          <w:szCs w:val="18"/>
        </w:rPr>
        <w:t>a:</w:t>
      </w:r>
      <w:r>
        <w:rPr>
          <w:szCs w:val="18"/>
        </w:rPr>
        <w:t xml:space="preserve"> </w:t>
      </w:r>
      <w:r>
        <w:rPr>
          <w:i/>
          <w:iCs/>
          <w:szCs w:val="18"/>
        </w:rPr>
        <w:t xml:space="preserve">sambhajate | vana </w:t>
      </w:r>
      <w:r>
        <w:rPr>
          <w:i/>
          <w:iCs/>
          <w:szCs w:val="18"/>
        </w:rPr>
        <w:t>ṣ</w:t>
      </w:r>
      <w:r>
        <w:rPr>
          <w:i/>
          <w:iCs/>
          <w:szCs w:val="18"/>
        </w:rPr>
        <w:t>a</w:t>
      </w:r>
      <w:r>
        <w:rPr>
          <w:i/>
          <w:iCs/>
          <w:szCs w:val="18"/>
        </w:rPr>
        <w:t>ṇ</w:t>
      </w:r>
      <w:r>
        <w:rPr>
          <w:i/>
          <w:iCs/>
          <w:szCs w:val="18"/>
        </w:rPr>
        <w:t>a sambhaktau</w:t>
      </w:r>
    </w:p>
    <w:p w14:paraId="425AB28F" w14:textId="77777777" w:rsidR="00E53EB6" w:rsidRPr="00494885" w:rsidRDefault="006500F5">
      <w:pPr>
        <w:pStyle w:val="HaupttextnachZitat"/>
        <w:rPr>
          <w:lang w:val="it-IT"/>
        </w:rPr>
      </w:pPr>
      <w:r w:rsidRPr="00494885">
        <w:rPr>
          <w:lang w:val="it-IT"/>
        </w:rPr>
        <w:t>Vedic Web</w:t>
      </w:r>
    </w:p>
    <w:p w14:paraId="2C80E341" w14:textId="77777777" w:rsidR="00E53EB6" w:rsidRPr="00494885" w:rsidRDefault="006500F5">
      <w:pPr>
        <w:pStyle w:val="HaupttextohneEinzug"/>
        <w:rPr>
          <w:szCs w:val="18"/>
          <w:lang w:val="it-IT"/>
        </w:rPr>
      </w:pPr>
      <w:r w:rsidRPr="00494885">
        <w:rPr>
          <w:szCs w:val="18"/>
          <w:lang w:val="it-IT"/>
        </w:rPr>
        <w:t xml:space="preserve">Mantra: AVP(K.) 20.3.5.                                                                                                                                                                                                                                         </w:t>
      </w:r>
      <w:r w:rsidRPr="00494885">
        <w:rPr>
          <w:szCs w:val="18"/>
          <w:lang w:val="it-IT"/>
        </w:rPr>
        <w:t xml:space="preserve">                                                                                                                                                                                                                   </w:t>
      </w:r>
    </w:p>
    <w:p w14:paraId="679AFD24" w14:textId="77777777" w:rsidR="00E53EB6" w:rsidRPr="00494885" w:rsidRDefault="00E53EB6">
      <w:pPr>
        <w:pStyle w:val="HaupttextohneEinzug"/>
        <w:rPr>
          <w:szCs w:val="18"/>
          <w:lang w:val="it-IT"/>
        </w:rPr>
      </w:pPr>
    </w:p>
    <w:p w14:paraId="3FEE47B0" w14:textId="77777777" w:rsidR="00E53EB6" w:rsidRDefault="006500F5">
      <w:pPr>
        <w:pStyle w:val="HaupttextohneEinzug"/>
        <w:rPr>
          <w:szCs w:val="18"/>
        </w:rPr>
      </w:pPr>
      <w:r>
        <w:rPr>
          <w:szCs w:val="18"/>
        </w:rPr>
        <w:t>Rite</w:t>
      </w:r>
    </w:p>
    <w:p w14:paraId="3340FD36" w14:textId="77777777" w:rsidR="00E53EB6" w:rsidRDefault="006500F5">
      <w:pPr>
        <w:pStyle w:val="HaupttextohneEinzug"/>
        <w:rPr>
          <w:szCs w:val="18"/>
        </w:rPr>
      </w:pPr>
      <w:r>
        <w:rPr>
          <w:szCs w:val="18"/>
        </w:rPr>
        <w:t xml:space="preserve">For betterment. Probably a </w:t>
      </w:r>
      <w:r>
        <w:rPr>
          <w:szCs w:val="18"/>
        </w:rPr>
        <w:t>Brahmán</w:t>
      </w:r>
      <w:r>
        <w:rPr>
          <w:i/>
          <w:iCs/>
          <w:szCs w:val="18"/>
        </w:rPr>
        <w:t xml:space="preserve"> </w:t>
      </w:r>
      <w:r>
        <w:rPr>
          <w:szCs w:val="18"/>
        </w:rPr>
        <w:t xml:space="preserve">seeking employment. </w:t>
      </w:r>
      <w:r>
        <w:rPr>
          <w:i/>
          <w:iCs/>
          <w:szCs w:val="18"/>
        </w:rPr>
        <w:t>ātmadaivatam</w:t>
      </w:r>
      <w:r>
        <w:rPr>
          <w:szCs w:val="18"/>
        </w:rPr>
        <w:t xml:space="preserve"> (worshipping one’s self – having one’s self as god?).</w:t>
      </w:r>
    </w:p>
    <w:p w14:paraId="5F3EC506" w14:textId="77777777" w:rsidR="00E53EB6" w:rsidRDefault="00E53EB6">
      <w:pPr>
        <w:pStyle w:val="HaupttextohneEinzug"/>
        <w:rPr>
          <w:szCs w:val="18"/>
        </w:rPr>
      </w:pPr>
    </w:p>
    <w:p w14:paraId="0619712B" w14:textId="77777777" w:rsidR="00E53EB6" w:rsidRDefault="006500F5">
      <w:pPr>
        <w:pStyle w:val="Heading5"/>
        <w:tabs>
          <w:tab w:val="left" w:pos="0"/>
        </w:tabs>
      </w:pPr>
      <w:r>
        <w:rPr>
          <w:szCs w:val="18"/>
          <w:u w:val="single"/>
        </w:rPr>
        <w:t>AVŚ 8.2.13</w:t>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p>
    <w:p w14:paraId="19172703" w14:textId="77777777" w:rsidR="00E53EB6" w:rsidRDefault="006500F5">
      <w:pPr>
        <w:pStyle w:val="Quotations"/>
      </w:pPr>
      <w:r>
        <w:t xml:space="preserve">8.2.13 </w:t>
      </w:r>
      <w:r>
        <w:rPr>
          <w:i/>
          <w:iCs/>
        </w:rPr>
        <w:t>agné</w:t>
      </w:r>
      <w:r>
        <w:rPr>
          <w:i/>
          <w:iCs/>
        </w:rPr>
        <w:t>ṣṭ</w:t>
      </w:r>
      <w:r>
        <w:rPr>
          <w:i/>
          <w:iCs/>
        </w:rPr>
        <w:t>e prānámamŕ̥tādā́yu</w:t>
      </w:r>
      <w:r>
        <w:rPr>
          <w:i/>
          <w:iCs/>
        </w:rPr>
        <w:t>ṣ</w:t>
      </w:r>
      <w:r>
        <w:rPr>
          <w:i/>
          <w:iCs/>
        </w:rPr>
        <w:t>mato vanve jātávedasa</w:t>
      </w:r>
      <w:r>
        <w:rPr>
          <w:i/>
          <w:iCs/>
        </w:rPr>
        <w:t>ḥ</w:t>
      </w:r>
      <w:r>
        <w:rPr>
          <w:i/>
          <w:iCs/>
        </w:rPr>
        <w:t xml:space="preserve"> / </w:t>
      </w:r>
    </w:p>
    <w:p w14:paraId="28404DE5" w14:textId="77777777" w:rsidR="00E53EB6" w:rsidRDefault="006500F5">
      <w:pPr>
        <w:pStyle w:val="ZitatnachZitat"/>
        <w:rPr>
          <w:i/>
          <w:iCs/>
        </w:rPr>
      </w:pPr>
      <w:r>
        <w:rPr>
          <w:i/>
          <w:iCs/>
        </w:rPr>
        <w:t>yáthā ná rí</w:t>
      </w:r>
      <w:r>
        <w:rPr>
          <w:i/>
          <w:iCs/>
        </w:rPr>
        <w:t>ṣ</w:t>
      </w:r>
      <w:r>
        <w:rPr>
          <w:i/>
          <w:iCs/>
        </w:rPr>
        <w:t>yā amŕ̥ta</w:t>
      </w:r>
      <w:r>
        <w:rPr>
          <w:i/>
          <w:iCs/>
        </w:rPr>
        <w:t>ḥ</w:t>
      </w:r>
      <w:r>
        <w:rPr>
          <w:i/>
          <w:iCs/>
        </w:rPr>
        <w:t xml:space="preserve"> sajū́rásastátte kr̥</w:t>
      </w:r>
      <w:r>
        <w:rPr>
          <w:i/>
          <w:iCs/>
        </w:rPr>
        <w:t>ṇ</w:t>
      </w:r>
      <w:r>
        <w:rPr>
          <w:i/>
          <w:iCs/>
        </w:rPr>
        <w:t>omi tádu te sámr̥dhyatām //</w:t>
      </w:r>
    </w:p>
    <w:p w14:paraId="45F91FAF" w14:textId="77777777" w:rsidR="00E53EB6" w:rsidRDefault="006500F5">
      <w:pPr>
        <w:pStyle w:val="Quotations"/>
      </w:pPr>
      <w:r>
        <w:t xml:space="preserve">I </w:t>
      </w:r>
      <w:r>
        <w:rPr>
          <w:u w:val="single"/>
        </w:rPr>
        <w:t>appropr</w:t>
      </w:r>
      <w:r>
        <w:rPr>
          <w:u w:val="single"/>
        </w:rPr>
        <w:t>iate (in myself)</w:t>
      </w:r>
      <w:r>
        <w:t xml:space="preserve"> for you the breath from Agni, the immortal, the long lived, the Jātavedas, so that you may not be hurt and at the same time be immortal, that I make for you, let that be accomplished on your behalf.</w:t>
      </w:r>
    </w:p>
    <w:p w14:paraId="01416015" w14:textId="77777777" w:rsidR="00E53EB6" w:rsidRDefault="006500F5">
      <w:pPr>
        <w:pStyle w:val="Quotations"/>
        <w:rPr>
          <w:i/>
          <w:iCs/>
        </w:rPr>
      </w:pPr>
      <w:r>
        <w:rPr>
          <w:i/>
          <w:iCs/>
        </w:rPr>
        <w:t xml:space="preserve"> vanve: </w:t>
      </w:r>
      <w:r>
        <w:t>ind. pres. 1</w:t>
      </w:r>
      <w:r>
        <w:rPr>
          <w:vertAlign w:val="superscript"/>
        </w:rPr>
        <w:t>st</w:t>
      </w:r>
      <w:r>
        <w:t xml:space="preserve"> sing. Ā VIII cl.</w:t>
      </w:r>
    </w:p>
    <w:p w14:paraId="440FC17F" w14:textId="77777777" w:rsidR="00E53EB6" w:rsidRDefault="006500F5">
      <w:pPr>
        <w:pStyle w:val="ZitatmitEinzug"/>
      </w:pPr>
      <w:r>
        <w:rPr>
          <w:rStyle w:val="biblio-authorGEN"/>
          <w:sz w:val="18"/>
          <w:szCs w:val="18"/>
        </w:rPr>
        <w:t>Whitney</w:t>
      </w:r>
      <w:r>
        <w:rPr>
          <w:rStyle w:val="biblio-authorGEN"/>
          <w:szCs w:val="18"/>
        </w:rPr>
        <w:t xml:space="preserve"> </w:t>
      </w:r>
      <w:r>
        <w:rPr>
          <w:szCs w:val="18"/>
        </w:rPr>
        <w:t>1905: 478 “win”</w:t>
      </w:r>
      <w:r>
        <w:rPr>
          <w:szCs w:val="18"/>
        </w:rPr>
        <w:t xml:space="preserve"> </w:t>
      </w:r>
    </w:p>
    <w:p w14:paraId="2B7F0400" w14:textId="77777777" w:rsidR="00E53EB6" w:rsidRDefault="006500F5">
      <w:pPr>
        <w:pStyle w:val="ZitatmitEinzug"/>
        <w:rPr>
          <w:szCs w:val="18"/>
        </w:rPr>
      </w:pPr>
      <w:r>
        <w:rPr>
          <w:szCs w:val="18"/>
        </w:rPr>
        <w:t>Sāya</w:t>
      </w:r>
      <w:r>
        <w:rPr>
          <w:szCs w:val="18"/>
        </w:rPr>
        <w:t>ṇ</w:t>
      </w:r>
      <w:r>
        <w:rPr>
          <w:szCs w:val="18"/>
        </w:rPr>
        <w:t>a:</w:t>
      </w:r>
      <w:r>
        <w:rPr>
          <w:szCs w:val="18"/>
        </w:rPr>
        <w:t xml:space="preserve"> </w:t>
      </w:r>
      <w:r>
        <w:rPr>
          <w:i/>
          <w:iCs/>
          <w:szCs w:val="18"/>
        </w:rPr>
        <w:t>yāce</w:t>
      </w:r>
      <w:r>
        <w:rPr>
          <w:szCs w:val="18"/>
        </w:rPr>
        <w:t xml:space="preserve"> (for Sāya</w:t>
      </w:r>
      <w:r>
        <w:rPr>
          <w:szCs w:val="18"/>
        </w:rPr>
        <w:t>ṇ</w:t>
      </w:r>
      <w:r>
        <w:rPr>
          <w:szCs w:val="18"/>
        </w:rPr>
        <w:t xml:space="preserve">a is even not achieved, it is still a asked). It is very clear here that the meaning of </w:t>
      </w:r>
      <w:r>
        <w:rPr>
          <w:i/>
          <w:iCs/>
          <w:szCs w:val="18"/>
        </w:rPr>
        <w:t xml:space="preserve">van- </w:t>
      </w:r>
      <w:r>
        <w:rPr>
          <w:szCs w:val="18"/>
        </w:rPr>
        <w:t xml:space="preserve">conveys an idea of passage, rather than a posses, as it is also pointed out by the occurrences in the R̥V </w:t>
      </w:r>
      <w:r>
        <w:rPr>
          <w:szCs w:val="18"/>
        </w:rPr>
        <w:t>where Agni takes (</w:t>
      </w:r>
      <w:r>
        <w:rPr>
          <w:i/>
          <w:iCs/>
          <w:szCs w:val="18"/>
        </w:rPr>
        <w:t>van-</w:t>
      </w:r>
      <w:r>
        <w:rPr>
          <w:szCs w:val="18"/>
        </w:rPr>
        <w:t>) goods in order to held them down to men.</w:t>
      </w:r>
    </w:p>
    <w:p w14:paraId="42C9314B" w14:textId="77777777" w:rsidR="00E53EB6" w:rsidRDefault="006500F5">
      <w:pPr>
        <w:pStyle w:val="HaupttextnachZitat"/>
      </w:pPr>
      <w:r>
        <w:t>Vedic Web</w:t>
      </w:r>
    </w:p>
    <w:p w14:paraId="3B74D40D" w14:textId="77777777" w:rsidR="00E53EB6" w:rsidRDefault="006500F5">
      <w:pPr>
        <w:pStyle w:val="HaupttextohneEinzug"/>
        <w:rPr>
          <w:szCs w:val="18"/>
        </w:rPr>
      </w:pPr>
      <w:r>
        <w:rPr>
          <w:szCs w:val="18"/>
        </w:rPr>
        <w:t>Mantra: AVP 16.4.3.</w:t>
      </w:r>
    </w:p>
    <w:p w14:paraId="0BF7CD58" w14:textId="77777777" w:rsidR="00E53EB6" w:rsidRDefault="00E53EB6">
      <w:pPr>
        <w:pStyle w:val="HaupttextohneEinzug"/>
        <w:rPr>
          <w:szCs w:val="18"/>
        </w:rPr>
      </w:pPr>
    </w:p>
    <w:p w14:paraId="3C8D5B8C" w14:textId="77777777" w:rsidR="00E53EB6" w:rsidRDefault="006500F5">
      <w:pPr>
        <w:pStyle w:val="HaupttextohneEinzug"/>
        <w:rPr>
          <w:szCs w:val="18"/>
        </w:rPr>
      </w:pPr>
      <w:r>
        <w:rPr>
          <w:szCs w:val="18"/>
        </w:rPr>
        <w:t>Rite</w:t>
      </w:r>
    </w:p>
    <w:p w14:paraId="15FDD4A4" w14:textId="77777777" w:rsidR="00E53EB6" w:rsidRDefault="006500F5">
      <w:pPr>
        <w:pStyle w:val="HaupttextohneEinzug"/>
        <w:rPr>
          <w:szCs w:val="18"/>
        </w:rPr>
      </w:pPr>
      <w:r>
        <w:rPr>
          <w:szCs w:val="18"/>
        </w:rPr>
        <w:t xml:space="preserve">To prolong someone’s life.  Together with hymn 8.1 is used in the </w:t>
      </w:r>
      <w:r>
        <w:rPr>
          <w:i/>
          <w:iCs/>
          <w:szCs w:val="18"/>
        </w:rPr>
        <w:t xml:space="preserve">upanayana </w:t>
      </w:r>
      <w:r>
        <w:fldChar w:fldCharType="begin"/>
      </w:r>
      <w:r>
        <w:rPr>
          <w:szCs w:val="18"/>
        </w:rPr>
        <w:instrText>XE "ceremony"</w:instrText>
      </w:r>
      <w:r>
        <w:rPr>
          <w:szCs w:val="18"/>
        </w:rPr>
        <w:fldChar w:fldCharType="end"/>
      </w:r>
      <w:r>
        <w:rPr>
          <w:szCs w:val="18"/>
        </w:rPr>
        <w:t>, and vss. 12-13 are specifically prescribed in case of family quarrel.</w:t>
      </w:r>
    </w:p>
    <w:p w14:paraId="45D355B2" w14:textId="77777777" w:rsidR="00E53EB6" w:rsidRDefault="006500F5">
      <w:pPr>
        <w:pStyle w:val="HaupttextohneEinzug"/>
        <w:rPr>
          <w:szCs w:val="18"/>
        </w:rPr>
      </w:pPr>
      <w:r>
        <w:rPr>
          <w:szCs w:val="18"/>
        </w:rPr>
        <w:t>The hymn is a pray against death and diseases in a very concret</w:t>
      </w:r>
      <w:r>
        <w:rPr>
          <w:szCs w:val="18"/>
        </w:rPr>
        <w:t>e way (food and drink as poison-less) but still connected with cosmological powers etc.</w:t>
      </w:r>
    </w:p>
    <w:p w14:paraId="578B5764" w14:textId="77777777" w:rsidR="00E53EB6" w:rsidRDefault="00E53EB6">
      <w:pPr>
        <w:pStyle w:val="HaupttextohneEinzug"/>
        <w:rPr>
          <w:szCs w:val="18"/>
        </w:rPr>
      </w:pPr>
    </w:p>
    <w:p w14:paraId="17A48D58" w14:textId="77777777" w:rsidR="00E53EB6" w:rsidRDefault="006500F5">
      <w:pPr>
        <w:pStyle w:val="Heading5"/>
        <w:tabs>
          <w:tab w:val="left" w:pos="0"/>
        </w:tabs>
      </w:pPr>
      <w:r>
        <w:rPr>
          <w:szCs w:val="18"/>
          <w:u w:val="single"/>
        </w:rPr>
        <w:t>AVŚ 9.1.14</w:t>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p>
    <w:p w14:paraId="1ECF1FAB" w14:textId="77777777" w:rsidR="00E53EB6" w:rsidRDefault="006500F5">
      <w:pPr>
        <w:pStyle w:val="Quotations"/>
      </w:pPr>
      <w:r>
        <w:t xml:space="preserve">9.1.14 </w:t>
      </w:r>
      <w:r>
        <w:rPr>
          <w:i/>
          <w:iCs/>
        </w:rPr>
        <w:t>mádhu jani</w:t>
      </w:r>
      <w:r>
        <w:rPr>
          <w:i/>
          <w:iCs/>
        </w:rPr>
        <w:t>ṣ</w:t>
      </w:r>
      <w:r>
        <w:rPr>
          <w:i/>
          <w:iCs/>
        </w:rPr>
        <w:t>īya mádhu va</w:t>
      </w:r>
      <w:r>
        <w:rPr>
          <w:i/>
          <w:iCs/>
        </w:rPr>
        <w:t>ṃ</w:t>
      </w:r>
      <w:r>
        <w:rPr>
          <w:i/>
          <w:iCs/>
        </w:rPr>
        <w:t>si</w:t>
      </w:r>
      <w:r>
        <w:rPr>
          <w:i/>
          <w:iCs/>
        </w:rPr>
        <w:t>ṣ</w:t>
      </w:r>
      <w:r>
        <w:rPr>
          <w:i/>
          <w:iCs/>
        </w:rPr>
        <w:t xml:space="preserve">īya / </w:t>
      </w:r>
    </w:p>
    <w:p w14:paraId="0AFEAD87" w14:textId="77777777" w:rsidR="00E53EB6" w:rsidRDefault="006500F5">
      <w:pPr>
        <w:pStyle w:val="ZitatnachZitat"/>
        <w:rPr>
          <w:i/>
          <w:iCs/>
        </w:rPr>
      </w:pPr>
      <w:r>
        <w:rPr>
          <w:i/>
          <w:iCs/>
        </w:rPr>
        <w:t>páyasvān agna ā́gama</w:t>
      </w:r>
      <w:r>
        <w:rPr>
          <w:i/>
          <w:iCs/>
        </w:rPr>
        <w:t>ṃ</w:t>
      </w:r>
      <w:r>
        <w:rPr>
          <w:i/>
          <w:iCs/>
        </w:rPr>
        <w:t xml:space="preserve"> tá</w:t>
      </w:r>
      <w:r>
        <w:rPr>
          <w:i/>
          <w:iCs/>
        </w:rPr>
        <w:t>ṃ</w:t>
      </w:r>
      <w:r>
        <w:rPr>
          <w:i/>
          <w:iCs/>
        </w:rPr>
        <w:t xml:space="preserve"> mā sá</w:t>
      </w:r>
      <w:r>
        <w:rPr>
          <w:i/>
          <w:iCs/>
        </w:rPr>
        <w:t>ṃ</w:t>
      </w:r>
      <w:r>
        <w:rPr>
          <w:i/>
          <w:iCs/>
        </w:rPr>
        <w:t xml:space="preserve"> sr̥ja várcasā //</w:t>
      </w:r>
    </w:p>
    <w:p w14:paraId="6753D5AE" w14:textId="77777777" w:rsidR="00E53EB6" w:rsidRDefault="006500F5">
      <w:pPr>
        <w:pStyle w:val="Quotations"/>
      </w:pPr>
      <w:r>
        <w:t>May I generate honey, may I</w:t>
      </w:r>
      <w:r>
        <w:t xml:space="preserve"> </w:t>
      </w:r>
      <w:r>
        <w:rPr>
          <w:u w:val="single"/>
        </w:rPr>
        <w:t>appropriate</w:t>
      </w:r>
      <w:r>
        <w:t xml:space="preserve"> honey; o Agni, </w:t>
      </w:r>
      <w:r>
        <w:t>I have come here full of milk, mix this me with the splendour (</w:t>
      </w:r>
      <w:r>
        <w:rPr>
          <w:i/>
          <w:iCs/>
        </w:rPr>
        <w:t>varcas</w:t>
      </w:r>
      <w:r>
        <w:t>).</w:t>
      </w:r>
    </w:p>
    <w:p w14:paraId="1639528C" w14:textId="77777777" w:rsidR="00E53EB6" w:rsidRDefault="006500F5">
      <w:pPr>
        <w:pStyle w:val="Quotations"/>
        <w:rPr>
          <w:i/>
          <w:iCs/>
        </w:rPr>
      </w:pPr>
      <w:r>
        <w:rPr>
          <w:i/>
          <w:iCs/>
        </w:rPr>
        <w:t>va</w:t>
      </w:r>
      <w:r>
        <w:rPr>
          <w:i/>
          <w:iCs/>
        </w:rPr>
        <w:t>ṃ</w:t>
      </w:r>
      <w:r>
        <w:rPr>
          <w:i/>
          <w:iCs/>
        </w:rPr>
        <w:t>si</w:t>
      </w:r>
      <w:r>
        <w:rPr>
          <w:i/>
          <w:iCs/>
        </w:rPr>
        <w:t>ṣ</w:t>
      </w:r>
      <w:r>
        <w:rPr>
          <w:i/>
          <w:iCs/>
        </w:rPr>
        <w:t xml:space="preserve">īya: </w:t>
      </w:r>
      <w:r>
        <w:t>opt. aor.  1</w:t>
      </w:r>
      <w:r>
        <w:rPr>
          <w:vertAlign w:val="superscript"/>
        </w:rPr>
        <w:t>st</w:t>
      </w:r>
      <w:r>
        <w:t xml:space="preserve"> sing. Ā sigmatic aorist (-</w:t>
      </w:r>
      <w:r>
        <w:rPr>
          <w:i/>
          <w:iCs/>
        </w:rPr>
        <w:t>sī</w:t>
      </w:r>
      <w:r>
        <w:rPr>
          <w:i/>
          <w:iCs/>
        </w:rPr>
        <w:t>ṣ</w:t>
      </w:r>
      <w:r>
        <w:t>)</w:t>
      </w:r>
    </w:p>
    <w:p w14:paraId="302092A3" w14:textId="77777777" w:rsidR="00E53EB6" w:rsidRDefault="006500F5">
      <w:pPr>
        <w:pStyle w:val="ZitatmitEinzug"/>
      </w:pPr>
      <w:r>
        <w:rPr>
          <w:rStyle w:val="biblio-authorGEN"/>
          <w:sz w:val="18"/>
          <w:szCs w:val="18"/>
        </w:rPr>
        <w:t>Whitney</w:t>
      </w:r>
      <w:r>
        <w:rPr>
          <w:rStyle w:val="biblio-authorGEN"/>
          <w:szCs w:val="18"/>
        </w:rPr>
        <w:t xml:space="preserve"> </w:t>
      </w:r>
      <w:r>
        <w:rPr>
          <w:szCs w:val="18"/>
        </w:rPr>
        <w:t>1905: 520 “may I win”</w:t>
      </w:r>
    </w:p>
    <w:p w14:paraId="6CA63F85" w14:textId="77777777" w:rsidR="00E53EB6" w:rsidRPr="00494885" w:rsidRDefault="006500F5">
      <w:pPr>
        <w:pStyle w:val="ZitatmitEinzug"/>
        <w:rPr>
          <w:szCs w:val="18"/>
          <w:lang w:val="it-IT"/>
        </w:rPr>
      </w:pPr>
      <w:r w:rsidRPr="00494885">
        <w:rPr>
          <w:szCs w:val="18"/>
          <w:lang w:val="it-IT"/>
        </w:rPr>
        <w:t>Sāya</w:t>
      </w:r>
      <w:r w:rsidRPr="00494885">
        <w:rPr>
          <w:szCs w:val="18"/>
          <w:lang w:val="it-IT"/>
        </w:rPr>
        <w:t>ṇ</w:t>
      </w:r>
      <w:r w:rsidRPr="00494885">
        <w:rPr>
          <w:szCs w:val="18"/>
          <w:lang w:val="it-IT"/>
        </w:rPr>
        <w:t>a:</w:t>
      </w:r>
      <w:r w:rsidRPr="00494885">
        <w:rPr>
          <w:szCs w:val="18"/>
          <w:lang w:val="it-IT"/>
        </w:rPr>
        <w:t>∅</w:t>
      </w:r>
    </w:p>
    <w:p w14:paraId="40DFB605" w14:textId="77777777" w:rsidR="00E53EB6" w:rsidRPr="00494885" w:rsidRDefault="006500F5">
      <w:pPr>
        <w:pStyle w:val="HaupttextnachZitat"/>
        <w:rPr>
          <w:lang w:val="it-IT"/>
        </w:rPr>
      </w:pPr>
      <w:r w:rsidRPr="00494885">
        <w:rPr>
          <w:lang w:val="it-IT"/>
        </w:rPr>
        <w:t>Vedic Web</w:t>
      </w:r>
    </w:p>
    <w:p w14:paraId="6156BC73" w14:textId="77777777" w:rsidR="00E53EB6" w:rsidRPr="00494885" w:rsidRDefault="006500F5">
      <w:pPr>
        <w:pStyle w:val="HaupttextohneEinzug"/>
        <w:rPr>
          <w:szCs w:val="18"/>
          <w:lang w:val="it-IT"/>
        </w:rPr>
      </w:pPr>
      <w:r w:rsidRPr="00494885">
        <w:rPr>
          <w:szCs w:val="18"/>
          <w:lang w:val="it-IT"/>
        </w:rPr>
        <w:t xml:space="preserve">Mantra: </w:t>
      </w:r>
      <w:r w:rsidRPr="00494885">
        <w:rPr>
          <w:szCs w:val="21"/>
          <w:lang w:val="it-IT"/>
        </w:rPr>
        <w:t>AVP 16.33.4.</w:t>
      </w:r>
    </w:p>
    <w:p w14:paraId="5788716D" w14:textId="77777777" w:rsidR="00E53EB6" w:rsidRPr="00494885" w:rsidRDefault="00E53EB6">
      <w:pPr>
        <w:pStyle w:val="HaupttextohneEinzug"/>
        <w:rPr>
          <w:szCs w:val="18"/>
          <w:lang w:val="it-IT"/>
        </w:rPr>
      </w:pPr>
    </w:p>
    <w:p w14:paraId="287440C9" w14:textId="77777777" w:rsidR="00E53EB6" w:rsidRDefault="006500F5">
      <w:pPr>
        <w:pStyle w:val="HaupttextohneEinzug"/>
        <w:rPr>
          <w:szCs w:val="18"/>
        </w:rPr>
      </w:pPr>
      <w:r>
        <w:rPr>
          <w:szCs w:val="18"/>
        </w:rPr>
        <w:t>Rite</w:t>
      </w:r>
    </w:p>
    <w:p w14:paraId="0EE61EDD" w14:textId="77777777" w:rsidR="00E53EB6" w:rsidRDefault="006500F5">
      <w:pPr>
        <w:pStyle w:val="HaupttextohneEinzug"/>
        <w:rPr>
          <w:szCs w:val="18"/>
        </w:rPr>
      </w:pPr>
      <w:r>
        <w:rPr>
          <w:szCs w:val="18"/>
        </w:rPr>
        <w:t>To the honey-whip (</w:t>
      </w:r>
      <w:r>
        <w:rPr>
          <w:i/>
          <w:iCs/>
          <w:szCs w:val="18"/>
        </w:rPr>
        <w:t>madhumatī káśā</w:t>
      </w:r>
      <w:r>
        <w:rPr>
          <w:szCs w:val="18"/>
        </w:rPr>
        <w:t xml:space="preserve">). In Vaitāna  Sūtra it accompanies the mixing of </w:t>
      </w:r>
      <w:r>
        <w:rPr>
          <w:i/>
          <w:iCs/>
          <w:szCs w:val="18"/>
        </w:rPr>
        <w:t xml:space="preserve">soma </w:t>
      </w:r>
      <w:r>
        <w:rPr>
          <w:szCs w:val="18"/>
        </w:rPr>
        <w:t>in the Agni</w:t>
      </w:r>
      <w:r>
        <w:rPr>
          <w:szCs w:val="18"/>
        </w:rPr>
        <w:t>ṣṭ</w:t>
      </w:r>
      <w:r>
        <w:rPr>
          <w:szCs w:val="18"/>
        </w:rPr>
        <w:t xml:space="preserve">oma rite. It is reckoned to the </w:t>
      </w:r>
      <w:r>
        <w:rPr>
          <w:i/>
          <w:iCs/>
          <w:szCs w:val="18"/>
        </w:rPr>
        <w:t>varcasya ga</w:t>
      </w:r>
      <w:r>
        <w:rPr>
          <w:i/>
          <w:iCs/>
          <w:szCs w:val="18"/>
        </w:rPr>
        <w:t>ṇ</w:t>
      </w:r>
      <w:r>
        <w:rPr>
          <w:i/>
          <w:iCs/>
          <w:szCs w:val="18"/>
        </w:rPr>
        <w:t xml:space="preserve">a. </w:t>
      </w:r>
      <w:r>
        <w:rPr>
          <w:szCs w:val="18"/>
        </w:rPr>
        <w:t xml:space="preserve">The </w:t>
      </w:r>
      <w:r>
        <w:rPr>
          <w:i/>
          <w:iCs/>
          <w:szCs w:val="18"/>
        </w:rPr>
        <w:t xml:space="preserve">madhumatī kaśā </w:t>
      </w:r>
      <w:r>
        <w:rPr>
          <w:szCs w:val="18"/>
        </w:rPr>
        <w:t xml:space="preserve">is in R̥V 1.22.3; 1.157.4; Oldenberg (1894: 209) thinks it refers to the morning dew, cf. </w:t>
      </w:r>
      <w:r>
        <w:rPr>
          <w:rFonts w:eastAsia="Arial Unicode MS" w:cs="Times Ext Roman"/>
          <w:smallCaps/>
          <w:szCs w:val="18"/>
        </w:rPr>
        <w:t xml:space="preserve">Macdonell </w:t>
      </w:r>
      <w:r>
        <w:rPr>
          <w:rFonts w:eastAsia="Arial Unicode MS" w:cs="Times Ext Roman"/>
          <w:szCs w:val="18"/>
        </w:rPr>
        <w:t>1898: §21</w:t>
      </w:r>
      <w:r>
        <w:rPr>
          <w:szCs w:val="18"/>
        </w:rPr>
        <w:t>.</w:t>
      </w:r>
    </w:p>
    <w:p w14:paraId="2D3AAE79" w14:textId="77777777" w:rsidR="00E53EB6" w:rsidRDefault="006500F5">
      <w:pPr>
        <w:pStyle w:val="HaupttextohneEinzug"/>
        <w:rPr>
          <w:szCs w:val="18"/>
        </w:rPr>
      </w:pPr>
      <w:r>
        <w:rPr>
          <w:szCs w:val="18"/>
        </w:rPr>
        <w:t>The hymn is</w:t>
      </w:r>
      <w:r>
        <w:rPr>
          <w:szCs w:val="18"/>
        </w:rPr>
        <w:t xml:space="preserve"> a description and extoll of the honey-whip that is also compared to an embryo.</w:t>
      </w:r>
    </w:p>
    <w:p w14:paraId="3F44158C" w14:textId="77777777" w:rsidR="00E53EB6" w:rsidRDefault="00E53EB6">
      <w:pPr>
        <w:pStyle w:val="HaupttextohneEinzug"/>
        <w:rPr>
          <w:szCs w:val="18"/>
        </w:rPr>
      </w:pPr>
    </w:p>
    <w:p w14:paraId="31FB818A" w14:textId="77777777" w:rsidR="00E53EB6" w:rsidRDefault="006500F5">
      <w:pPr>
        <w:pStyle w:val="Heading5"/>
        <w:tabs>
          <w:tab w:val="left" w:pos="0"/>
        </w:tabs>
      </w:pPr>
      <w:r>
        <w:rPr>
          <w:szCs w:val="18"/>
          <w:u w:val="single"/>
        </w:rPr>
        <w:lastRenderedPageBreak/>
        <w:t>AVŚ 12.1.58</w:t>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p>
    <w:p w14:paraId="18A55145" w14:textId="77777777" w:rsidR="00E53EB6" w:rsidRDefault="006500F5">
      <w:pPr>
        <w:pStyle w:val="Quotations"/>
      </w:pPr>
      <w:r>
        <w:t xml:space="preserve">12.1.58 </w:t>
      </w:r>
      <w:r>
        <w:rPr>
          <w:i/>
          <w:iCs/>
        </w:rPr>
        <w:t>yád vádāmi mádhumat tád vadāmi yád ī́k</w:t>
      </w:r>
      <w:r>
        <w:rPr>
          <w:i/>
          <w:iCs/>
        </w:rPr>
        <w:t>ṣ</w:t>
      </w:r>
      <w:r>
        <w:rPr>
          <w:i/>
          <w:iCs/>
        </w:rPr>
        <w:t xml:space="preserve">e tád vananti mā / </w:t>
      </w:r>
    </w:p>
    <w:p w14:paraId="192B7825" w14:textId="77777777" w:rsidR="00E53EB6" w:rsidRDefault="006500F5">
      <w:pPr>
        <w:pStyle w:val="ZitatnachZitat"/>
        <w:rPr>
          <w:i/>
          <w:iCs/>
        </w:rPr>
      </w:pPr>
      <w:r>
        <w:rPr>
          <w:i/>
          <w:iCs/>
        </w:rPr>
        <w:t>tví</w:t>
      </w:r>
      <w:r>
        <w:rPr>
          <w:i/>
          <w:iCs/>
        </w:rPr>
        <w:t>ṣ</w:t>
      </w:r>
      <w:r>
        <w:rPr>
          <w:i/>
          <w:iCs/>
        </w:rPr>
        <w:t>īmān asmi jūtimā́n ávānyā́n hanmi dódhata</w:t>
      </w:r>
      <w:r>
        <w:rPr>
          <w:i/>
          <w:iCs/>
        </w:rPr>
        <w:t>ḥ</w:t>
      </w:r>
      <w:r>
        <w:rPr>
          <w:i/>
          <w:iCs/>
        </w:rPr>
        <w:t xml:space="preserve"> //</w:t>
      </w:r>
    </w:p>
    <w:p w14:paraId="33ACE022" w14:textId="77777777" w:rsidR="00E53EB6" w:rsidRDefault="006500F5">
      <w:pPr>
        <w:pStyle w:val="Quotations"/>
      </w:pPr>
      <w:r>
        <w:t xml:space="preserve">What I speak, I speak it sweet; what I see, (is) </w:t>
      </w:r>
      <w:r>
        <w:t xml:space="preserve">that they </w:t>
      </w:r>
      <w:r>
        <w:rPr>
          <w:u w:val="single"/>
        </w:rPr>
        <w:t>desire</w:t>
      </w:r>
      <w:r>
        <w:t xml:space="preserve"> me</w:t>
      </w:r>
      <w:r>
        <w:t>; shining I am, being impetuous I smite the others that are violent (fierce).</w:t>
      </w:r>
    </w:p>
    <w:p w14:paraId="0A1F5724" w14:textId="77777777" w:rsidR="00E53EB6" w:rsidRPr="00494885" w:rsidRDefault="006500F5">
      <w:pPr>
        <w:pStyle w:val="Quotations"/>
        <w:rPr>
          <w:i/>
          <w:iCs/>
          <w:lang w:val="it-IT"/>
        </w:rPr>
      </w:pPr>
      <w:r w:rsidRPr="00494885">
        <w:rPr>
          <w:i/>
          <w:iCs/>
          <w:lang w:val="it-IT"/>
        </w:rPr>
        <w:t>vananti:</w:t>
      </w:r>
      <w:r w:rsidRPr="00494885">
        <w:rPr>
          <w:lang w:val="it-IT"/>
        </w:rPr>
        <w:t xml:space="preserve"> ind. pres. 3</w:t>
      </w:r>
      <w:r w:rsidRPr="00494885">
        <w:rPr>
          <w:vertAlign w:val="superscript"/>
          <w:lang w:val="it-IT"/>
        </w:rPr>
        <w:t>rd</w:t>
      </w:r>
      <w:r w:rsidRPr="00494885">
        <w:rPr>
          <w:lang w:val="it-IT"/>
        </w:rPr>
        <w:t xml:space="preserve"> pl. I-VI cl.</w:t>
      </w:r>
    </w:p>
    <w:p w14:paraId="6F5EAAEF" w14:textId="77777777" w:rsidR="00E53EB6" w:rsidRDefault="006500F5">
      <w:pPr>
        <w:pStyle w:val="ZitatmitEinzug"/>
      </w:pPr>
      <w:r>
        <w:rPr>
          <w:rStyle w:val="biblio-authorGEN"/>
          <w:sz w:val="18"/>
          <w:szCs w:val="18"/>
        </w:rPr>
        <w:t>Whitney</w:t>
      </w:r>
      <w:r>
        <w:rPr>
          <w:rStyle w:val="biblio-authorGEN"/>
          <w:szCs w:val="18"/>
        </w:rPr>
        <w:t xml:space="preserve"> </w:t>
      </w:r>
      <w:r>
        <w:rPr>
          <w:szCs w:val="18"/>
        </w:rPr>
        <w:t xml:space="preserve">1905: 671 “win”. He translates the final part of  </w:t>
      </w:r>
      <w:r>
        <w:rPr>
          <w:i/>
          <w:iCs/>
          <w:szCs w:val="18"/>
        </w:rPr>
        <w:t>padā</w:t>
      </w:r>
      <w:r>
        <w:rPr>
          <w:szCs w:val="18"/>
        </w:rPr>
        <w:t xml:space="preserve"> b “that th</w:t>
      </w:r>
      <w:r>
        <w:rPr>
          <w:szCs w:val="18"/>
        </w:rPr>
        <w:t>ey win (?</w:t>
      </w:r>
      <w:r>
        <w:rPr>
          <w:i/>
          <w:iCs/>
          <w:szCs w:val="18"/>
        </w:rPr>
        <w:t xml:space="preserve"> van</w:t>
      </w:r>
      <w:r>
        <w:rPr>
          <w:szCs w:val="18"/>
        </w:rPr>
        <w:t>) me”</w:t>
      </w:r>
    </w:p>
    <w:p w14:paraId="1DD08F22" w14:textId="77777777" w:rsidR="00E53EB6" w:rsidRDefault="006500F5">
      <w:pPr>
        <w:pStyle w:val="ZitatmitEinzug"/>
        <w:rPr>
          <w:szCs w:val="18"/>
        </w:rPr>
      </w:pPr>
      <w:r>
        <w:rPr>
          <w:szCs w:val="18"/>
        </w:rPr>
        <w:t>Sāya</w:t>
      </w:r>
      <w:r>
        <w:rPr>
          <w:szCs w:val="18"/>
        </w:rPr>
        <w:t>ṇ</w:t>
      </w:r>
      <w:r>
        <w:rPr>
          <w:szCs w:val="18"/>
        </w:rPr>
        <w:t>a:</w:t>
      </w:r>
      <w:r>
        <w:rPr>
          <w:szCs w:val="18"/>
        </w:rPr>
        <w:t>∅</w:t>
      </w:r>
    </w:p>
    <w:p w14:paraId="650FCC03" w14:textId="77777777" w:rsidR="00E53EB6" w:rsidRDefault="006500F5">
      <w:pPr>
        <w:pStyle w:val="HaupttextnachZitat"/>
      </w:pPr>
      <w:r>
        <w:t>Vedic Web</w:t>
      </w:r>
    </w:p>
    <w:p w14:paraId="2A1285EE" w14:textId="77777777" w:rsidR="00E53EB6" w:rsidRDefault="006500F5">
      <w:pPr>
        <w:pStyle w:val="HaupttextohneEinzug"/>
        <w:rPr>
          <w:szCs w:val="18"/>
        </w:rPr>
      </w:pPr>
      <w:r>
        <w:rPr>
          <w:szCs w:val="18"/>
        </w:rPr>
        <w:t xml:space="preserve">Mantra: AVP 17.6.5 </w:t>
      </w:r>
      <w:r>
        <w:rPr>
          <w:i/>
          <w:iCs/>
          <w:szCs w:val="18"/>
        </w:rPr>
        <w:t xml:space="preserve">vadantu </w:t>
      </w:r>
      <w:r>
        <w:rPr>
          <w:szCs w:val="18"/>
        </w:rPr>
        <w:t xml:space="preserve">instead of </w:t>
      </w:r>
      <w:r>
        <w:rPr>
          <w:i/>
          <w:iCs/>
          <w:szCs w:val="18"/>
        </w:rPr>
        <w:t>vananti.</w:t>
      </w:r>
    </w:p>
    <w:p w14:paraId="23A8B216" w14:textId="77777777" w:rsidR="00E53EB6" w:rsidRDefault="00E53EB6">
      <w:pPr>
        <w:pStyle w:val="HaupttextohneEinzug"/>
        <w:rPr>
          <w:szCs w:val="18"/>
        </w:rPr>
      </w:pPr>
    </w:p>
    <w:p w14:paraId="19C4B96E" w14:textId="77777777" w:rsidR="00E53EB6" w:rsidRDefault="006500F5">
      <w:pPr>
        <w:pStyle w:val="HaupttextohneEinzug"/>
        <w:rPr>
          <w:szCs w:val="18"/>
        </w:rPr>
      </w:pPr>
      <w:r>
        <w:rPr>
          <w:szCs w:val="18"/>
        </w:rPr>
        <w:t>Rite</w:t>
      </w:r>
    </w:p>
    <w:p w14:paraId="2B0A76B9" w14:textId="77777777" w:rsidR="00E53EB6" w:rsidRDefault="006500F5">
      <w:pPr>
        <w:pStyle w:val="HaupttextohneEinzug"/>
        <w:rPr>
          <w:szCs w:val="18"/>
        </w:rPr>
      </w:pPr>
      <w:r>
        <w:rPr>
          <w:szCs w:val="18"/>
        </w:rPr>
        <w:t xml:space="preserve">To the earth. It is used in </w:t>
      </w:r>
      <w:r>
        <w:fldChar w:fldCharType="begin"/>
      </w:r>
      <w:r>
        <w:rPr>
          <w:szCs w:val="18"/>
        </w:rPr>
        <w:instrText>XE "ceremony"</w:instrText>
      </w:r>
      <w:r>
        <w:rPr>
          <w:szCs w:val="18"/>
        </w:rPr>
        <w:fldChar w:fldCharType="end"/>
      </w:r>
      <w:r>
        <w:rPr>
          <w:szCs w:val="18"/>
        </w:rPr>
        <w:t xml:space="preserve"> for giving firmness to the building (</w:t>
      </w:r>
      <w:r>
        <w:rPr>
          <w:i/>
          <w:iCs/>
          <w:szCs w:val="18"/>
        </w:rPr>
        <w:t>vasto</w:t>
      </w:r>
      <w:r>
        <w:rPr>
          <w:i/>
          <w:iCs/>
          <w:szCs w:val="18"/>
        </w:rPr>
        <w:t>ṣ</w:t>
      </w:r>
      <w:r>
        <w:rPr>
          <w:i/>
          <w:iCs/>
          <w:szCs w:val="18"/>
        </w:rPr>
        <w:t>patya</w:t>
      </w:r>
      <w:r>
        <w:rPr>
          <w:szCs w:val="18"/>
        </w:rPr>
        <w:t xml:space="preserve">), or for safety from earthquake. The whole hymn is extolling the earth while asking, in the final verses, all kind of goods and </w:t>
      </w:r>
      <w:r>
        <w:rPr>
          <w:szCs w:val="18"/>
        </w:rPr>
        <w:t>protection, especially from enemies.</w:t>
      </w:r>
    </w:p>
    <w:p w14:paraId="4B794ECE" w14:textId="77777777" w:rsidR="00E53EB6" w:rsidRDefault="00E53EB6">
      <w:pPr>
        <w:pStyle w:val="HaupttextohneEinzug"/>
        <w:rPr>
          <w:szCs w:val="18"/>
        </w:rPr>
      </w:pPr>
    </w:p>
    <w:p w14:paraId="07D10623" w14:textId="77777777" w:rsidR="00E53EB6" w:rsidRDefault="006500F5">
      <w:pPr>
        <w:pStyle w:val="Heading5"/>
        <w:tabs>
          <w:tab w:val="left" w:pos="0"/>
        </w:tabs>
      </w:pPr>
      <w:r>
        <w:rPr>
          <w:szCs w:val="18"/>
          <w:u w:val="single"/>
        </w:rPr>
        <w:t>AVŚ 12.2.36</w:t>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p>
    <w:p w14:paraId="78E52342" w14:textId="77777777" w:rsidR="00E53EB6" w:rsidRDefault="006500F5">
      <w:pPr>
        <w:pStyle w:val="Quotations"/>
      </w:pPr>
      <w:r>
        <w:t>12.2.36</w:t>
      </w:r>
      <w:r>
        <w:rPr>
          <w:i/>
          <w:iCs/>
        </w:rPr>
        <w:t xml:space="preserve"> yát kr̥</w:t>
      </w:r>
      <w:r>
        <w:rPr>
          <w:i/>
          <w:iCs/>
        </w:rPr>
        <w:t>ṣ</w:t>
      </w:r>
      <w:r>
        <w:rPr>
          <w:i/>
          <w:iCs/>
        </w:rPr>
        <w:t xml:space="preserve">áte yád vanute yác ca vasnéna vindáte / </w:t>
      </w:r>
    </w:p>
    <w:p w14:paraId="0986A42D" w14:textId="77777777" w:rsidR="00E53EB6" w:rsidRDefault="006500F5">
      <w:pPr>
        <w:pStyle w:val="ZitatnachZitat"/>
        <w:rPr>
          <w:i/>
          <w:iCs/>
        </w:rPr>
      </w:pPr>
      <w:r>
        <w:rPr>
          <w:i/>
          <w:iCs/>
        </w:rPr>
        <w:t>sárva</w:t>
      </w:r>
      <w:r>
        <w:rPr>
          <w:i/>
          <w:iCs/>
        </w:rPr>
        <w:t>ṃ</w:t>
      </w:r>
      <w:r>
        <w:rPr>
          <w:i/>
          <w:iCs/>
        </w:rPr>
        <w:t xml:space="preserve"> mártyasya tán nā́sti kravyā́c céd ánirāhita</w:t>
      </w:r>
      <w:r>
        <w:rPr>
          <w:i/>
          <w:iCs/>
        </w:rPr>
        <w:t>ḥ</w:t>
      </w:r>
      <w:r>
        <w:rPr>
          <w:i/>
          <w:iCs/>
        </w:rPr>
        <w:t xml:space="preserve"> //</w:t>
      </w:r>
    </w:p>
    <w:p w14:paraId="0D54F5F1" w14:textId="77777777" w:rsidR="00E53EB6" w:rsidRDefault="006500F5">
      <w:pPr>
        <w:pStyle w:val="Quotations"/>
      </w:pPr>
      <w:r>
        <w:t xml:space="preserve">What one ploughs, what one </w:t>
      </w:r>
      <w:r>
        <w:rPr>
          <w:u w:val="single"/>
        </w:rPr>
        <w:t>appropriates</w:t>
      </w:r>
      <w:r>
        <w:t xml:space="preserve"> and what one finds by paying, all that is no</w:t>
      </w:r>
      <w:r>
        <w:t>t of a mortal if the flesh-eating one is not taken away.</w:t>
      </w:r>
    </w:p>
    <w:p w14:paraId="0F6BDCBF" w14:textId="77777777" w:rsidR="00E53EB6" w:rsidRDefault="006500F5">
      <w:pPr>
        <w:pStyle w:val="Quotations"/>
        <w:rPr>
          <w:i/>
          <w:iCs/>
        </w:rPr>
      </w:pPr>
      <w:r>
        <w:rPr>
          <w:i/>
          <w:iCs/>
        </w:rPr>
        <w:t xml:space="preserve">vanute: </w:t>
      </w:r>
      <w:r>
        <w:t>ind. pres. 3</w:t>
      </w:r>
      <w:r>
        <w:rPr>
          <w:vertAlign w:val="superscript"/>
        </w:rPr>
        <w:t>rd</w:t>
      </w:r>
      <w:r>
        <w:t xml:space="preserve"> sing. Ā VIII cl.</w:t>
      </w:r>
    </w:p>
    <w:p w14:paraId="380035B9" w14:textId="77777777" w:rsidR="00E53EB6" w:rsidRDefault="006500F5">
      <w:pPr>
        <w:pStyle w:val="ZitatmitEinzug"/>
      </w:pPr>
      <w:r>
        <w:rPr>
          <w:rStyle w:val="biblio-authorGEN"/>
          <w:sz w:val="18"/>
          <w:szCs w:val="18"/>
        </w:rPr>
        <w:t>Whitney</w:t>
      </w:r>
      <w:r>
        <w:rPr>
          <w:rStyle w:val="biblio-authorGEN"/>
          <w:szCs w:val="18"/>
        </w:rPr>
        <w:t xml:space="preserve"> </w:t>
      </w:r>
      <w:r>
        <w:rPr>
          <w:szCs w:val="18"/>
        </w:rPr>
        <w:t>1905: “wins (</w:t>
      </w:r>
      <w:r>
        <w:rPr>
          <w:i/>
          <w:iCs/>
          <w:szCs w:val="18"/>
        </w:rPr>
        <w:t>van</w:t>
      </w:r>
      <w:r>
        <w:rPr>
          <w:szCs w:val="18"/>
        </w:rPr>
        <w:t>)</w:t>
      </w:r>
    </w:p>
    <w:p w14:paraId="7B19C5BB" w14:textId="77777777" w:rsidR="00E53EB6" w:rsidRDefault="006500F5">
      <w:pPr>
        <w:pStyle w:val="ZitatmitEinzug"/>
        <w:rPr>
          <w:szCs w:val="18"/>
        </w:rPr>
      </w:pPr>
      <w:r>
        <w:rPr>
          <w:szCs w:val="18"/>
        </w:rPr>
        <w:t>Sāya</w:t>
      </w:r>
      <w:r>
        <w:rPr>
          <w:szCs w:val="18"/>
        </w:rPr>
        <w:t>ṇ</w:t>
      </w:r>
      <w:r>
        <w:rPr>
          <w:szCs w:val="18"/>
        </w:rPr>
        <w:t>a:</w:t>
      </w:r>
      <w:r>
        <w:rPr>
          <w:szCs w:val="18"/>
        </w:rPr>
        <w:t>∅</w:t>
      </w:r>
    </w:p>
    <w:p w14:paraId="26C39ABC" w14:textId="77777777" w:rsidR="00E53EB6" w:rsidRDefault="006500F5">
      <w:pPr>
        <w:pStyle w:val="HaupttextnachZitat"/>
      </w:pPr>
      <w:r>
        <w:t>Vedic Web</w:t>
      </w:r>
    </w:p>
    <w:p w14:paraId="3913E541" w14:textId="77777777" w:rsidR="00E53EB6" w:rsidRDefault="006500F5">
      <w:pPr>
        <w:pStyle w:val="HaupttextohneEinzug"/>
        <w:rPr>
          <w:szCs w:val="18"/>
        </w:rPr>
      </w:pPr>
      <w:r>
        <w:rPr>
          <w:szCs w:val="18"/>
        </w:rPr>
        <w:t xml:space="preserve">Mantra: </w:t>
      </w:r>
      <w:r>
        <w:rPr>
          <w:szCs w:val="21"/>
        </w:rPr>
        <w:t>∅</w:t>
      </w:r>
      <w:r>
        <w:rPr>
          <w:szCs w:val="21"/>
        </w:rPr>
        <w:t xml:space="preserve">  – AVP has the same hymn (17.33) but this stanza is missing.</w:t>
      </w:r>
    </w:p>
    <w:p w14:paraId="4B4EC8FA" w14:textId="77777777" w:rsidR="00E53EB6" w:rsidRDefault="00E53EB6">
      <w:pPr>
        <w:pStyle w:val="HaupttextohneEinzug"/>
        <w:rPr>
          <w:szCs w:val="18"/>
        </w:rPr>
      </w:pPr>
    </w:p>
    <w:p w14:paraId="2880FAE9" w14:textId="77777777" w:rsidR="00E53EB6" w:rsidRDefault="006500F5">
      <w:pPr>
        <w:pStyle w:val="HaupttextohneEinzug"/>
        <w:rPr>
          <w:szCs w:val="18"/>
        </w:rPr>
      </w:pPr>
      <w:r>
        <w:rPr>
          <w:szCs w:val="18"/>
        </w:rPr>
        <w:t>Rite</w:t>
      </w:r>
    </w:p>
    <w:p w14:paraId="7726792F" w14:textId="77777777" w:rsidR="00E53EB6" w:rsidRDefault="006500F5">
      <w:pPr>
        <w:pStyle w:val="HaupttextohneEinzug"/>
        <w:rPr>
          <w:szCs w:val="18"/>
        </w:rPr>
      </w:pPr>
      <w:r>
        <w:rPr>
          <w:szCs w:val="18"/>
        </w:rPr>
        <w:t xml:space="preserve">The flesh-eating and the householder’s fire. It is used in </w:t>
      </w:r>
      <w:r>
        <w:fldChar w:fldCharType="begin"/>
      </w:r>
      <w:r>
        <w:rPr>
          <w:szCs w:val="18"/>
        </w:rPr>
        <w:instrText>XE "ceremony"</w:instrText>
      </w:r>
      <w:r>
        <w:rPr>
          <w:szCs w:val="18"/>
        </w:rPr>
        <w:fldChar w:fldCharType="end"/>
      </w:r>
      <w:r>
        <w:rPr>
          <w:szCs w:val="18"/>
        </w:rPr>
        <w:t xml:space="preserve"> of preparing the house fire.</w:t>
      </w:r>
    </w:p>
    <w:p w14:paraId="1A03F74A" w14:textId="77777777" w:rsidR="00E53EB6" w:rsidRDefault="006500F5">
      <w:pPr>
        <w:pStyle w:val="HaupttextohneEinzug"/>
        <w:rPr>
          <w:szCs w:val="18"/>
        </w:rPr>
      </w:pPr>
      <w:r>
        <w:rPr>
          <w:szCs w:val="18"/>
        </w:rPr>
        <w:t xml:space="preserve">The hymn deals with all the moments of this procedure with much of attention and the author is not extolling the god Agni, but he is rather worried that something may disappoint the </w:t>
      </w:r>
      <w:r>
        <w:rPr>
          <w:szCs w:val="18"/>
        </w:rPr>
        <w:t>fires, the ritual and the non-ritual ones.</w:t>
      </w:r>
    </w:p>
    <w:p w14:paraId="25328510" w14:textId="77777777" w:rsidR="00E53EB6" w:rsidRDefault="00E53EB6">
      <w:pPr>
        <w:pStyle w:val="HaupttextohneEinzug"/>
        <w:rPr>
          <w:szCs w:val="18"/>
          <w:shd w:val="clear" w:color="auto" w:fill="FFFF00"/>
        </w:rPr>
      </w:pPr>
    </w:p>
    <w:p w14:paraId="1E276C9D" w14:textId="77777777" w:rsidR="00E53EB6" w:rsidRDefault="006500F5">
      <w:pPr>
        <w:pStyle w:val="Heading5"/>
        <w:tabs>
          <w:tab w:val="left" w:pos="0"/>
        </w:tabs>
      </w:pPr>
      <w:r>
        <w:rPr>
          <w:szCs w:val="18"/>
          <w:u w:val="single"/>
        </w:rPr>
        <w:t>AVŚ 12.3.53</w:t>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p>
    <w:p w14:paraId="697E868B" w14:textId="77777777" w:rsidR="00E53EB6" w:rsidRDefault="006500F5">
      <w:pPr>
        <w:pStyle w:val="Quotations"/>
      </w:pPr>
      <w:r>
        <w:t xml:space="preserve">12.3.53 </w:t>
      </w:r>
      <w:r>
        <w:rPr>
          <w:i/>
          <w:iCs/>
        </w:rPr>
        <w:t>v</w:t>
      </w:r>
      <w:r>
        <w:rPr>
          <w:i/>
          <w:iCs/>
        </w:rPr>
        <w:t>ar</w:t>
      </w:r>
      <w:r>
        <w:rPr>
          <w:i/>
          <w:iCs/>
        </w:rPr>
        <w:t>ṣ</w:t>
      </w:r>
      <w:r>
        <w:rPr>
          <w:i/>
          <w:iCs/>
        </w:rPr>
        <w:t>á</w:t>
      </w:r>
      <w:r>
        <w:rPr>
          <w:i/>
          <w:iCs/>
        </w:rPr>
        <w:t>ṃ</w:t>
      </w:r>
      <w:r>
        <w:rPr>
          <w:i/>
          <w:iCs/>
        </w:rPr>
        <w:t xml:space="preserve"> vanu</w:t>
      </w:r>
      <w:r>
        <w:rPr>
          <w:i/>
          <w:iCs/>
        </w:rPr>
        <w:t>ṣ</w:t>
      </w:r>
      <w:r>
        <w:rPr>
          <w:i/>
          <w:iCs/>
        </w:rPr>
        <w:t>vā́pi gacha devā́</w:t>
      </w:r>
      <w:r>
        <w:rPr>
          <w:i/>
          <w:iCs/>
        </w:rPr>
        <w:t>ṃ</w:t>
      </w:r>
      <w:r>
        <w:rPr>
          <w:i/>
          <w:iCs/>
        </w:rPr>
        <w:t>stvacó dhūmá</w:t>
      </w:r>
      <w:r>
        <w:rPr>
          <w:i/>
          <w:iCs/>
        </w:rPr>
        <w:t>ṃ</w:t>
      </w:r>
      <w:r>
        <w:rPr>
          <w:i/>
          <w:iCs/>
        </w:rPr>
        <w:t xml:space="preserve"> páryút pātayāsi / </w:t>
      </w:r>
    </w:p>
    <w:p w14:paraId="35FC7596" w14:textId="77777777" w:rsidR="00E53EB6" w:rsidRDefault="006500F5">
      <w:pPr>
        <w:pStyle w:val="ZitatnachZitat"/>
        <w:rPr>
          <w:i/>
          <w:iCs/>
        </w:rPr>
      </w:pPr>
      <w:r>
        <w:rPr>
          <w:i/>
          <w:iCs/>
        </w:rPr>
        <w:t>viśvávyacā ghr̥tápr̥</w:t>
      </w:r>
      <w:r>
        <w:rPr>
          <w:i/>
          <w:iCs/>
        </w:rPr>
        <w:t>ṣṭ</w:t>
      </w:r>
      <w:r>
        <w:rPr>
          <w:i/>
          <w:iCs/>
        </w:rPr>
        <w:t>ho bhavi</w:t>
      </w:r>
      <w:r>
        <w:rPr>
          <w:i/>
          <w:iCs/>
        </w:rPr>
        <w:t>ṣ</w:t>
      </w:r>
      <w:r>
        <w:rPr>
          <w:i/>
          <w:iCs/>
        </w:rPr>
        <w:t>yántsáyonirlokámúpa yāhyetám //</w:t>
      </w:r>
    </w:p>
    <w:p w14:paraId="3137D555" w14:textId="77777777" w:rsidR="00E53EB6" w:rsidRDefault="006500F5">
      <w:pPr>
        <w:pStyle w:val="Quotations"/>
      </w:pPr>
      <w:r>
        <w:rPr>
          <w:u w:val="single"/>
        </w:rPr>
        <w:t>Appropriate</w:t>
      </w:r>
      <w:r>
        <w:t xml:space="preserve"> the rain, also, reach the gods, make the smoke fly up from the hide; you who are going to embrace all</w:t>
      </w:r>
      <w:r>
        <w:rPr>
          <w:rStyle w:val="FootnoteAnchor"/>
        </w:rPr>
        <w:footnoteReference w:id="562"/>
      </w:r>
      <w:r>
        <w:t>, to have the ba</w:t>
      </w:r>
      <w:r>
        <w:t>ck shining with ghee, you of the same origin, go up to that world.</w:t>
      </w:r>
    </w:p>
    <w:p w14:paraId="45FFEF8D" w14:textId="77777777" w:rsidR="00E53EB6" w:rsidRDefault="006500F5">
      <w:pPr>
        <w:pStyle w:val="Quotations"/>
        <w:rPr>
          <w:i/>
          <w:iCs/>
        </w:rPr>
      </w:pPr>
      <w:r>
        <w:rPr>
          <w:i/>
          <w:iCs/>
        </w:rPr>
        <w:lastRenderedPageBreak/>
        <w:t>vanu</w:t>
      </w:r>
      <w:r>
        <w:rPr>
          <w:i/>
          <w:iCs/>
        </w:rPr>
        <w:t>ṣ</w:t>
      </w:r>
      <w:r>
        <w:rPr>
          <w:i/>
          <w:iCs/>
        </w:rPr>
        <w:t xml:space="preserve">va: </w:t>
      </w:r>
      <w:r>
        <w:t>impv. pres. 2</w:t>
      </w:r>
      <w:r>
        <w:rPr>
          <w:vertAlign w:val="superscript"/>
        </w:rPr>
        <w:t>nd</w:t>
      </w:r>
      <w:r>
        <w:t xml:space="preserve"> sing. Ā VIII cl.</w:t>
      </w:r>
    </w:p>
    <w:p w14:paraId="0695CD9E" w14:textId="77777777" w:rsidR="00E53EB6" w:rsidRDefault="006500F5">
      <w:pPr>
        <w:pStyle w:val="ZitatmitEinzug"/>
      </w:pPr>
      <w:r>
        <w:rPr>
          <w:rStyle w:val="biblio-authorGEN"/>
          <w:sz w:val="18"/>
          <w:szCs w:val="18"/>
        </w:rPr>
        <w:t>Whitney</w:t>
      </w:r>
      <w:r>
        <w:rPr>
          <w:rStyle w:val="biblio-authorGEN"/>
          <w:szCs w:val="18"/>
        </w:rPr>
        <w:t xml:space="preserve"> </w:t>
      </w:r>
      <w:r>
        <w:rPr>
          <w:szCs w:val="18"/>
        </w:rPr>
        <w:t>1905: 692 “win”</w:t>
      </w:r>
    </w:p>
    <w:p w14:paraId="3BFDCE43" w14:textId="77777777" w:rsidR="00E53EB6" w:rsidRDefault="006500F5">
      <w:pPr>
        <w:pStyle w:val="ZitatmitEinzug"/>
        <w:rPr>
          <w:szCs w:val="18"/>
        </w:rPr>
      </w:pPr>
      <w:r>
        <w:rPr>
          <w:szCs w:val="18"/>
        </w:rPr>
        <w:t>Sāya</w:t>
      </w:r>
      <w:r>
        <w:rPr>
          <w:szCs w:val="18"/>
        </w:rPr>
        <w:t>ṇ</w:t>
      </w:r>
      <w:r>
        <w:rPr>
          <w:szCs w:val="18"/>
        </w:rPr>
        <w:t>a:</w:t>
      </w:r>
      <w:r>
        <w:rPr>
          <w:szCs w:val="18"/>
        </w:rPr>
        <w:t>∅</w:t>
      </w:r>
    </w:p>
    <w:p w14:paraId="12DEAC18" w14:textId="77777777" w:rsidR="00E53EB6" w:rsidRDefault="006500F5">
      <w:pPr>
        <w:pStyle w:val="HaupttextnachZitat"/>
      </w:pPr>
      <w:r>
        <w:t>Vedic Web</w:t>
      </w:r>
    </w:p>
    <w:p w14:paraId="037CE0B3" w14:textId="77777777" w:rsidR="00E53EB6" w:rsidRDefault="006500F5">
      <w:pPr>
        <w:pStyle w:val="HaupttextohneEinzug"/>
        <w:rPr>
          <w:szCs w:val="18"/>
        </w:rPr>
      </w:pPr>
      <w:r>
        <w:rPr>
          <w:szCs w:val="18"/>
        </w:rPr>
        <w:t>Mantra: cf. AVP(K.) 17.41.3</w:t>
      </w:r>
    </w:p>
    <w:p w14:paraId="68C4ED8B" w14:textId="77777777" w:rsidR="00E53EB6" w:rsidRDefault="00E53EB6">
      <w:pPr>
        <w:pStyle w:val="HaupttextohneEinzug"/>
        <w:rPr>
          <w:szCs w:val="18"/>
        </w:rPr>
      </w:pPr>
    </w:p>
    <w:p w14:paraId="65D9E860" w14:textId="77777777" w:rsidR="00E53EB6" w:rsidRDefault="006500F5">
      <w:pPr>
        <w:pStyle w:val="HaupttextohneEinzug"/>
        <w:rPr>
          <w:szCs w:val="18"/>
        </w:rPr>
      </w:pPr>
      <w:r>
        <w:rPr>
          <w:szCs w:val="18"/>
        </w:rPr>
        <w:t>Rite</w:t>
      </w:r>
    </w:p>
    <w:p w14:paraId="73B4A6E1" w14:textId="77777777" w:rsidR="00E53EB6" w:rsidRDefault="006500F5">
      <w:pPr>
        <w:pStyle w:val="HaupttextohneEinzug"/>
        <w:rPr>
          <w:szCs w:val="18"/>
        </w:rPr>
      </w:pPr>
      <w:r>
        <w:rPr>
          <w:szCs w:val="18"/>
        </w:rPr>
        <w:t xml:space="preserve">Cremation as sacrifice, </w:t>
      </w:r>
      <w:r>
        <w:rPr>
          <w:i/>
          <w:iCs/>
          <w:szCs w:val="18"/>
        </w:rPr>
        <w:t>sava</w:t>
      </w:r>
      <w:r>
        <w:rPr>
          <w:szCs w:val="18"/>
        </w:rPr>
        <w:t xml:space="preserve"> </w:t>
      </w:r>
      <w:r>
        <w:fldChar w:fldCharType="begin"/>
      </w:r>
      <w:r>
        <w:rPr>
          <w:szCs w:val="18"/>
        </w:rPr>
        <w:instrText>XE "ceremony"</w:instrText>
      </w:r>
      <w:r>
        <w:rPr>
          <w:szCs w:val="18"/>
        </w:rPr>
        <w:fldChar w:fldCharType="end"/>
      </w:r>
      <w:r>
        <w:rPr>
          <w:szCs w:val="18"/>
        </w:rPr>
        <w:t>. The hymn often refers to two people, Whitney suggests it might be the husband and the wife.</w:t>
      </w:r>
    </w:p>
    <w:p w14:paraId="7472F72D" w14:textId="77777777" w:rsidR="00E53EB6" w:rsidRDefault="00E53EB6">
      <w:pPr>
        <w:pStyle w:val="HaupttextohneEinzug"/>
        <w:rPr>
          <w:szCs w:val="18"/>
        </w:rPr>
      </w:pPr>
    </w:p>
    <w:p w14:paraId="798179D9" w14:textId="77777777" w:rsidR="00E53EB6" w:rsidRDefault="006500F5">
      <w:pPr>
        <w:pStyle w:val="Heading5"/>
        <w:tabs>
          <w:tab w:val="left" w:pos="0"/>
        </w:tabs>
      </w:pPr>
      <w:r>
        <w:rPr>
          <w:szCs w:val="18"/>
          <w:u w:val="single"/>
        </w:rPr>
        <w:t>AVŚ 16.9.4</w:t>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p>
    <w:p w14:paraId="772C6773" w14:textId="77777777" w:rsidR="00E53EB6" w:rsidRDefault="006500F5">
      <w:pPr>
        <w:pStyle w:val="Quotations"/>
      </w:pPr>
      <w:r>
        <w:t xml:space="preserve">16.9.4 </w:t>
      </w:r>
      <w:r>
        <w:rPr>
          <w:i/>
          <w:iCs/>
        </w:rPr>
        <w:t xml:space="preserve"> vasyobhū́yāya vásumān yajñó vásu va</w:t>
      </w:r>
      <w:r>
        <w:rPr>
          <w:i/>
          <w:iCs/>
        </w:rPr>
        <w:t>ṃ</w:t>
      </w:r>
      <w:r>
        <w:rPr>
          <w:i/>
          <w:iCs/>
        </w:rPr>
        <w:t>si</w:t>
      </w:r>
      <w:r>
        <w:rPr>
          <w:i/>
          <w:iCs/>
        </w:rPr>
        <w:t>ṣ</w:t>
      </w:r>
      <w:r>
        <w:rPr>
          <w:i/>
          <w:iCs/>
        </w:rPr>
        <w:t>īy</w:t>
      </w:r>
      <w:r>
        <w:rPr>
          <w:i/>
          <w:iCs/>
        </w:rPr>
        <w:t>a vásumān bhūyāsa</w:t>
      </w:r>
      <w:r>
        <w:rPr>
          <w:i/>
          <w:iCs/>
        </w:rPr>
        <w:t>ṃ</w:t>
      </w:r>
      <w:r>
        <w:rPr>
          <w:i/>
          <w:iCs/>
        </w:rPr>
        <w:t xml:space="preserve"> vásu máyi dhehi //</w:t>
      </w:r>
    </w:p>
    <w:p w14:paraId="7D899D16" w14:textId="77777777" w:rsidR="00E53EB6" w:rsidRDefault="006500F5">
      <w:pPr>
        <w:pStyle w:val="Quotations"/>
      </w:pPr>
      <w:r>
        <w:t xml:space="preserve">For the increasing wealth, the sacrifice is rich in goods, </w:t>
      </w:r>
      <w:r>
        <w:rPr>
          <w:u w:val="single"/>
        </w:rPr>
        <w:t>may I appropriate</w:t>
      </w:r>
      <w:r>
        <w:t xml:space="preserve"> goods, may I be rich in goods, put goods in me.</w:t>
      </w:r>
    </w:p>
    <w:p w14:paraId="235C4E01" w14:textId="77777777" w:rsidR="00E53EB6" w:rsidRDefault="006500F5">
      <w:pPr>
        <w:pStyle w:val="Quotations"/>
        <w:rPr>
          <w:i/>
          <w:iCs/>
        </w:rPr>
      </w:pPr>
      <w:r>
        <w:rPr>
          <w:i/>
          <w:iCs/>
        </w:rPr>
        <w:t>va</w:t>
      </w:r>
      <w:r>
        <w:rPr>
          <w:i/>
          <w:iCs/>
        </w:rPr>
        <w:t>ṃ</w:t>
      </w:r>
      <w:r>
        <w:rPr>
          <w:i/>
          <w:iCs/>
        </w:rPr>
        <w:t>si</w:t>
      </w:r>
      <w:r>
        <w:rPr>
          <w:i/>
          <w:iCs/>
        </w:rPr>
        <w:t>ṣ</w:t>
      </w:r>
      <w:r>
        <w:rPr>
          <w:i/>
          <w:iCs/>
        </w:rPr>
        <w:t>īya:</w:t>
      </w:r>
      <w:r>
        <w:t xml:space="preserve"> opt. aor. 1</w:t>
      </w:r>
      <w:r>
        <w:rPr>
          <w:vertAlign w:val="superscript"/>
        </w:rPr>
        <w:t>st</w:t>
      </w:r>
      <w:r>
        <w:t xml:space="preserve"> sing. Ā sigmatic aorist</w:t>
      </w:r>
    </w:p>
    <w:p w14:paraId="27293D54" w14:textId="77777777" w:rsidR="00E53EB6" w:rsidRDefault="006500F5">
      <w:pPr>
        <w:pStyle w:val="ZitatmitEinzug"/>
      </w:pPr>
      <w:r>
        <w:rPr>
          <w:rStyle w:val="biblio-authorGEN"/>
          <w:sz w:val="18"/>
          <w:szCs w:val="18"/>
        </w:rPr>
        <w:t>Whitney</w:t>
      </w:r>
      <w:r>
        <w:rPr>
          <w:rStyle w:val="biblio-authorGEN"/>
          <w:szCs w:val="18"/>
        </w:rPr>
        <w:t xml:space="preserve"> </w:t>
      </w:r>
      <w:r>
        <w:rPr>
          <w:szCs w:val="18"/>
        </w:rPr>
        <w:t>1905: 803 “may I win (</w:t>
      </w:r>
      <w:r>
        <w:rPr>
          <w:i/>
          <w:iCs/>
          <w:szCs w:val="18"/>
        </w:rPr>
        <w:t>van</w:t>
      </w:r>
      <w:r>
        <w:rPr>
          <w:szCs w:val="18"/>
        </w:rPr>
        <w:t>?)</w:t>
      </w:r>
    </w:p>
    <w:p w14:paraId="7422857F" w14:textId="77777777" w:rsidR="00E53EB6" w:rsidRDefault="006500F5">
      <w:pPr>
        <w:pStyle w:val="ZitatmitEinzug"/>
        <w:rPr>
          <w:szCs w:val="18"/>
        </w:rPr>
      </w:pPr>
      <w:r>
        <w:rPr>
          <w:szCs w:val="18"/>
        </w:rPr>
        <w:t>Sāya</w:t>
      </w:r>
      <w:r>
        <w:rPr>
          <w:szCs w:val="18"/>
        </w:rPr>
        <w:t>ṇ</w:t>
      </w:r>
      <w:r>
        <w:rPr>
          <w:szCs w:val="18"/>
        </w:rPr>
        <w:t>a:</w:t>
      </w:r>
      <w:r>
        <w:rPr>
          <w:szCs w:val="18"/>
        </w:rPr>
        <w:t>∅</w:t>
      </w:r>
    </w:p>
    <w:p w14:paraId="6B684C00" w14:textId="77777777" w:rsidR="00E53EB6" w:rsidRDefault="006500F5">
      <w:pPr>
        <w:pStyle w:val="HaupttextnachZitat"/>
      </w:pPr>
      <w:r>
        <w:t>Vedic Web</w:t>
      </w:r>
    </w:p>
    <w:p w14:paraId="1B388760" w14:textId="77777777" w:rsidR="00E53EB6" w:rsidRDefault="006500F5">
      <w:pPr>
        <w:pStyle w:val="HaupttextohneEinzug"/>
        <w:rPr>
          <w:szCs w:val="21"/>
        </w:rPr>
      </w:pPr>
      <w:r>
        <w:rPr>
          <w:szCs w:val="21"/>
        </w:rPr>
        <w:t>∅</w:t>
      </w:r>
    </w:p>
    <w:p w14:paraId="62AE2C97" w14:textId="77777777" w:rsidR="00E53EB6" w:rsidRDefault="00E53EB6">
      <w:pPr>
        <w:pStyle w:val="HaupttextohneEinzug"/>
        <w:rPr>
          <w:szCs w:val="18"/>
        </w:rPr>
      </w:pPr>
    </w:p>
    <w:p w14:paraId="4EF177F8" w14:textId="77777777" w:rsidR="00E53EB6" w:rsidRDefault="006500F5">
      <w:pPr>
        <w:pStyle w:val="HaupttextohneEinzug"/>
        <w:rPr>
          <w:szCs w:val="18"/>
        </w:rPr>
      </w:pPr>
      <w:r>
        <w:rPr>
          <w:szCs w:val="18"/>
        </w:rPr>
        <w:t>Rite</w:t>
      </w:r>
    </w:p>
    <w:p w14:paraId="20943A24" w14:textId="77777777" w:rsidR="00E53EB6" w:rsidRDefault="006500F5">
      <w:pPr>
        <w:pStyle w:val="HaupttextohneEinzug"/>
        <w:rPr>
          <w:szCs w:val="18"/>
        </w:rPr>
      </w:pPr>
      <w:r>
        <w:rPr>
          <w:i/>
          <w:iCs/>
          <w:szCs w:val="18"/>
        </w:rPr>
        <w:t>Paryāya</w:t>
      </w:r>
      <w:r>
        <w:rPr>
          <w:szCs w:val="18"/>
        </w:rPr>
        <w:t xml:space="preserve"> (a regularly recurring series of formula, especially in the </w:t>
      </w:r>
      <w:r>
        <w:rPr>
          <w:i/>
          <w:iCs/>
          <w:szCs w:val="18"/>
        </w:rPr>
        <w:t>atirātra</w:t>
      </w:r>
      <w:r>
        <w:rPr>
          <w:szCs w:val="18"/>
        </w:rPr>
        <w:t>) the ninth.</w:t>
      </w:r>
    </w:p>
    <w:p w14:paraId="718730C5" w14:textId="77777777" w:rsidR="00E53EB6" w:rsidRDefault="00E53EB6">
      <w:pPr>
        <w:pStyle w:val="HaupttextohneEinzug"/>
        <w:rPr>
          <w:color w:val="7DA647"/>
          <w:szCs w:val="18"/>
        </w:rPr>
      </w:pPr>
    </w:p>
    <w:p w14:paraId="6A66F085" w14:textId="77777777" w:rsidR="00E53EB6" w:rsidRDefault="006500F5">
      <w:pPr>
        <w:pStyle w:val="Heading5"/>
        <w:tabs>
          <w:tab w:val="left" w:pos="0"/>
        </w:tabs>
      </w:pPr>
      <w:r>
        <w:rPr>
          <w:szCs w:val="18"/>
          <w:u w:val="single"/>
        </w:rPr>
        <w:t>AVŚ 20.132.6-7</w:t>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p>
    <w:p w14:paraId="0A26215F" w14:textId="77777777" w:rsidR="00E53EB6" w:rsidRDefault="006500F5">
      <w:pPr>
        <w:pStyle w:val="Quotations"/>
      </w:pPr>
      <w:r>
        <w:t xml:space="preserve">20.132.6 </w:t>
      </w:r>
      <w:r>
        <w:rPr>
          <w:i/>
          <w:iCs/>
        </w:rPr>
        <w:t>ugrá</w:t>
      </w:r>
      <w:r>
        <w:rPr>
          <w:i/>
          <w:iCs/>
        </w:rPr>
        <w:t>ṃ</w:t>
      </w:r>
      <w:r>
        <w:rPr>
          <w:i/>
          <w:iCs/>
        </w:rPr>
        <w:t xml:space="preserve"> vani</w:t>
      </w:r>
      <w:r>
        <w:rPr>
          <w:i/>
          <w:iCs/>
        </w:rPr>
        <w:t>ṣ</w:t>
      </w:r>
      <w:r>
        <w:rPr>
          <w:i/>
          <w:iCs/>
        </w:rPr>
        <w:t>ádātatam //</w:t>
      </w:r>
    </w:p>
    <w:p w14:paraId="73DAE112" w14:textId="77777777" w:rsidR="00E53EB6" w:rsidRDefault="006500F5">
      <w:pPr>
        <w:pStyle w:val="ZitatnachZitat"/>
      </w:pPr>
      <w:r>
        <w:t xml:space="preserve">[7] </w:t>
      </w:r>
      <w:r>
        <w:rPr>
          <w:i/>
          <w:iCs/>
        </w:rPr>
        <w:t>ná vani</w:t>
      </w:r>
      <w:r>
        <w:rPr>
          <w:i/>
          <w:iCs/>
        </w:rPr>
        <w:t>ṣ</w:t>
      </w:r>
      <w:r>
        <w:rPr>
          <w:i/>
          <w:iCs/>
        </w:rPr>
        <w:t>adánātatam //</w:t>
      </w:r>
    </w:p>
    <w:p w14:paraId="2EF96C25" w14:textId="77777777" w:rsidR="00E53EB6" w:rsidRDefault="006500F5">
      <w:pPr>
        <w:pStyle w:val="Quotations"/>
      </w:pPr>
      <w:r>
        <w:t xml:space="preserve">May he </w:t>
      </w:r>
      <w:r>
        <w:rPr>
          <w:u w:val="single"/>
        </w:rPr>
        <w:t>desire</w:t>
      </w:r>
      <w:r>
        <w:t xml:space="preserve"> it</w:t>
      </w:r>
      <w:r>
        <w:rPr>
          <w:rStyle w:val="FootnoteAnchor"/>
        </w:rPr>
        <w:footnoteReference w:id="563"/>
      </w:r>
      <w:r>
        <w:t xml:space="preserve"> powerful and stretched; may it not </w:t>
      </w:r>
      <w:r>
        <w:rPr>
          <w:u w:val="single"/>
        </w:rPr>
        <w:t>desire</w:t>
      </w:r>
      <w:r>
        <w:t xml:space="preserve"> it un-stretched.</w:t>
      </w:r>
    </w:p>
    <w:p w14:paraId="31B6A3FB" w14:textId="77777777" w:rsidR="00E53EB6" w:rsidRDefault="006500F5">
      <w:pPr>
        <w:pStyle w:val="Quotations"/>
      </w:pPr>
      <w:r>
        <w:t xml:space="preserve">2x </w:t>
      </w:r>
      <w:r>
        <w:rPr>
          <w:i/>
          <w:iCs/>
        </w:rPr>
        <w:t>vani</w:t>
      </w:r>
      <w:r>
        <w:rPr>
          <w:i/>
          <w:iCs/>
        </w:rPr>
        <w:t>ṣ</w:t>
      </w:r>
      <w:r>
        <w:rPr>
          <w:i/>
          <w:iCs/>
        </w:rPr>
        <w:t>ád:</w:t>
      </w:r>
      <w:r>
        <w:t xml:space="preserve"> subj. aor. 3</w:t>
      </w:r>
      <w:r>
        <w:rPr>
          <w:vertAlign w:val="superscript"/>
        </w:rPr>
        <w:t>rd</w:t>
      </w:r>
      <w:r>
        <w:t xml:space="preserve"> sing sigmatic aorist</w:t>
      </w:r>
      <w:r>
        <w:rPr>
          <w:szCs w:val="18"/>
        </w:rPr>
        <w:t xml:space="preserve"> </w:t>
      </w:r>
    </w:p>
    <w:p w14:paraId="46BD942C" w14:textId="77777777" w:rsidR="00E53EB6" w:rsidRDefault="006500F5">
      <w:pPr>
        <w:pStyle w:val="ZitatmitEinzug"/>
        <w:rPr>
          <w:szCs w:val="18"/>
        </w:rPr>
      </w:pPr>
      <w:r>
        <w:rPr>
          <w:szCs w:val="18"/>
        </w:rPr>
        <w:t>Sāya</w:t>
      </w:r>
      <w:r>
        <w:rPr>
          <w:szCs w:val="18"/>
        </w:rPr>
        <w:t>ṇ</w:t>
      </w:r>
      <w:r>
        <w:rPr>
          <w:szCs w:val="18"/>
        </w:rPr>
        <w:t>a:</w:t>
      </w:r>
      <w:r>
        <w:rPr>
          <w:szCs w:val="18"/>
        </w:rPr>
        <w:t>∅</w:t>
      </w:r>
    </w:p>
    <w:p w14:paraId="71EA3A77" w14:textId="77777777" w:rsidR="00E53EB6" w:rsidRDefault="006500F5">
      <w:pPr>
        <w:pStyle w:val="HaupttextnachZitat"/>
      </w:pPr>
      <w:r>
        <w:t>Vedic Web</w:t>
      </w:r>
    </w:p>
    <w:p w14:paraId="41D1E94E" w14:textId="77777777" w:rsidR="00E53EB6" w:rsidRDefault="006500F5">
      <w:pPr>
        <w:pStyle w:val="HaupttextohneEinzug"/>
        <w:rPr>
          <w:szCs w:val="18"/>
        </w:rPr>
      </w:pPr>
      <w:r>
        <w:rPr>
          <w:szCs w:val="21"/>
        </w:rPr>
        <w:t xml:space="preserve"> </w:t>
      </w:r>
      <w:r>
        <w:rPr>
          <w:szCs w:val="21"/>
        </w:rPr>
        <w:t>∅</w:t>
      </w:r>
    </w:p>
    <w:p w14:paraId="2CF03BC4" w14:textId="77777777" w:rsidR="00E53EB6" w:rsidRDefault="00E53EB6">
      <w:pPr>
        <w:pStyle w:val="HaupttextohneEinzug"/>
        <w:rPr>
          <w:szCs w:val="18"/>
        </w:rPr>
      </w:pPr>
    </w:p>
    <w:p w14:paraId="17318D4C" w14:textId="77777777" w:rsidR="00E53EB6" w:rsidRDefault="006500F5">
      <w:pPr>
        <w:pStyle w:val="HaupttextohneEinzug"/>
        <w:rPr>
          <w:szCs w:val="18"/>
        </w:rPr>
      </w:pPr>
      <w:r>
        <w:rPr>
          <w:szCs w:val="18"/>
        </w:rPr>
        <w:t>Rite</w:t>
      </w:r>
    </w:p>
    <w:p w14:paraId="63064DD6" w14:textId="77777777" w:rsidR="00E53EB6" w:rsidRDefault="006500F5">
      <w:pPr>
        <w:pStyle w:val="HaupttextohneEinzug"/>
        <w:rPr>
          <w:szCs w:val="18"/>
        </w:rPr>
      </w:pPr>
      <w:r>
        <w:rPr>
          <w:szCs w:val="18"/>
        </w:rPr>
        <w:t>The hymns concerns the preparation and use of some instruments, as a lute, a drum and a nest.</w:t>
      </w:r>
    </w:p>
    <w:p w14:paraId="03E4F18C" w14:textId="77777777" w:rsidR="00E53EB6" w:rsidRDefault="00E53EB6">
      <w:pPr>
        <w:pStyle w:val="HaupttextohneEinzug"/>
      </w:pPr>
    </w:p>
    <w:p w14:paraId="0113436E" w14:textId="77777777" w:rsidR="00E53EB6" w:rsidRDefault="00E53EB6">
      <w:pPr>
        <w:pStyle w:val="HaupttextohneEinzug"/>
      </w:pPr>
    </w:p>
    <w:p w14:paraId="5B0E95F2" w14:textId="77777777" w:rsidR="00E53EB6" w:rsidRDefault="006500F5">
      <w:pPr>
        <w:pStyle w:val="Heading5"/>
        <w:tabs>
          <w:tab w:val="left" w:pos="0"/>
        </w:tabs>
        <w:rPr>
          <w:b/>
        </w:rPr>
      </w:pPr>
      <w:r>
        <w:rPr>
          <w:b/>
        </w:rPr>
        <w:lastRenderedPageBreak/>
        <w:t xml:space="preserve">Paippalāda </w:t>
      </w:r>
      <w:r>
        <w:rPr>
          <w:b/>
        </w:rPr>
        <w:t>occurrences</w:t>
      </w:r>
    </w:p>
    <w:p w14:paraId="599B4D97" w14:textId="77777777" w:rsidR="00E53EB6" w:rsidRDefault="006500F5">
      <w:pPr>
        <w:pStyle w:val="Heading5"/>
        <w:tabs>
          <w:tab w:val="left" w:pos="0"/>
        </w:tabs>
      </w:pPr>
      <w:r>
        <w:rPr>
          <w:szCs w:val="18"/>
          <w:u w:val="single"/>
        </w:rPr>
        <w:t>AVP 1.55.4</w:t>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p>
    <w:p w14:paraId="35FC75A5" w14:textId="77777777" w:rsidR="00E53EB6" w:rsidRDefault="006500F5">
      <w:pPr>
        <w:pStyle w:val="Quotations"/>
      </w:pPr>
      <w:r>
        <w:t xml:space="preserve">1.55.4 </w:t>
      </w:r>
      <w:r>
        <w:rPr>
          <w:i/>
          <w:iCs/>
        </w:rPr>
        <w:t>madhumanmama nīsana</w:t>
      </w:r>
      <w:r>
        <w:rPr>
          <w:i/>
          <w:iCs/>
        </w:rPr>
        <w:t>ṃ</w:t>
      </w:r>
      <w:r>
        <w:rPr>
          <w:i/>
          <w:iCs/>
        </w:rPr>
        <w:t xml:space="preserve"> jaghana</w:t>
      </w:r>
      <w:r>
        <w:rPr>
          <w:i/>
          <w:iCs/>
        </w:rPr>
        <w:t>ṃ</w:t>
      </w:r>
      <w:r>
        <w:rPr>
          <w:i/>
          <w:iCs/>
        </w:rPr>
        <w:t xml:space="preserve"> madhumanmama / </w:t>
      </w:r>
    </w:p>
    <w:p w14:paraId="313A01FA" w14:textId="77777777" w:rsidR="00E53EB6" w:rsidRDefault="006500F5">
      <w:pPr>
        <w:pStyle w:val="ZitatnachZitat"/>
        <w:rPr>
          <w:i/>
          <w:iCs/>
        </w:rPr>
      </w:pPr>
      <w:r>
        <w:rPr>
          <w:i/>
          <w:iCs/>
        </w:rPr>
        <w:t>māmit kila tva</w:t>
      </w:r>
      <w:r>
        <w:rPr>
          <w:i/>
          <w:iCs/>
        </w:rPr>
        <w:t>ṃ</w:t>
      </w:r>
      <w:r>
        <w:rPr>
          <w:i/>
          <w:iCs/>
        </w:rPr>
        <w:t xml:space="preserve"> vāvana</w:t>
      </w:r>
      <w:r>
        <w:rPr>
          <w:i/>
          <w:iCs/>
        </w:rPr>
        <w:t>ḥ</w:t>
      </w:r>
      <w:r>
        <w:rPr>
          <w:i/>
          <w:iCs/>
        </w:rPr>
        <w:t xml:space="preserve"> śākhā</w:t>
      </w:r>
      <w:r>
        <w:rPr>
          <w:i/>
          <w:iCs/>
        </w:rPr>
        <w:t>ṃ</w:t>
      </w:r>
      <w:r>
        <w:rPr>
          <w:i/>
          <w:iCs/>
        </w:rPr>
        <w:t xml:space="preserve"> madhumatīmiva //</w:t>
      </w:r>
    </w:p>
    <w:p w14:paraId="196A8ECB" w14:textId="77777777" w:rsidR="00E53EB6" w:rsidRDefault="006500F5">
      <w:pPr>
        <w:pStyle w:val="Quotations"/>
      </w:pPr>
      <w:r>
        <w:t>Full of sweet is my bottom</w:t>
      </w:r>
      <w:r>
        <w:rPr>
          <w:rStyle w:val="FootnoteAnchor"/>
        </w:rPr>
        <w:footnoteReference w:id="564"/>
      </w:r>
      <w:r>
        <w:rPr>
          <w:i/>
          <w:iCs/>
        </w:rPr>
        <w:t xml:space="preserve"> </w:t>
      </w:r>
      <w:r>
        <w:t>full of sweet are my hips</w:t>
      </w:r>
      <w:r>
        <w:t xml:space="preserve">, may you have </w:t>
      </w:r>
      <w:r>
        <w:rPr>
          <w:u w:val="single"/>
        </w:rPr>
        <w:t>desired</w:t>
      </w:r>
      <w:r>
        <w:rPr>
          <w:i/>
          <w:iCs/>
        </w:rPr>
        <w:t xml:space="preserve"> </w:t>
      </w:r>
      <w:r>
        <w:t>me indeed as a branch full of sweet.</w:t>
      </w:r>
    </w:p>
    <w:p w14:paraId="27F4B35A" w14:textId="77777777" w:rsidR="00E53EB6" w:rsidRDefault="006500F5">
      <w:pPr>
        <w:pStyle w:val="Quotations"/>
      </w:pPr>
      <w:r>
        <w:rPr>
          <w:i/>
          <w:iCs/>
        </w:rPr>
        <w:t>vāvana</w:t>
      </w:r>
      <w:r>
        <w:rPr>
          <w:i/>
          <w:iCs/>
        </w:rPr>
        <w:t>ḥ</w:t>
      </w:r>
      <w:r>
        <w:rPr>
          <w:i/>
          <w:iCs/>
        </w:rPr>
        <w:t>:</w:t>
      </w:r>
      <w:r>
        <w:rPr>
          <w:i/>
          <w:iCs/>
        </w:rPr>
        <w:t xml:space="preserve"> </w:t>
      </w:r>
      <w:r>
        <w:t>subj. perf. 2</w:t>
      </w:r>
      <w:r>
        <w:rPr>
          <w:vertAlign w:val="superscript"/>
        </w:rPr>
        <w:t>nd</w:t>
      </w:r>
      <w:r>
        <w:t xml:space="preserve"> sing. I-VI cl.</w:t>
      </w:r>
    </w:p>
    <w:p w14:paraId="7191409C" w14:textId="77777777" w:rsidR="00E53EB6" w:rsidRDefault="006500F5">
      <w:pPr>
        <w:pStyle w:val="HaupttextnachZitat"/>
      </w:pPr>
      <w:r>
        <w:t>Vedic Web</w:t>
      </w:r>
    </w:p>
    <w:p w14:paraId="6C68945C" w14:textId="77777777" w:rsidR="00E53EB6" w:rsidRDefault="006500F5">
      <w:pPr>
        <w:pStyle w:val="HaupttextohneEinzug"/>
        <w:rPr>
          <w:szCs w:val="18"/>
        </w:rPr>
      </w:pPr>
      <w:r>
        <w:rPr>
          <w:szCs w:val="18"/>
        </w:rPr>
        <w:t xml:space="preserve">Mantra: cf. </w:t>
      </w:r>
      <w:r>
        <w:rPr>
          <w:szCs w:val="21"/>
        </w:rPr>
        <w:t>AVŚ 1.34.4cd</w:t>
      </w:r>
      <w:r>
        <w:rPr>
          <w:i/>
          <w:iCs/>
          <w:szCs w:val="21"/>
        </w:rPr>
        <w:t xml:space="preserve"> vanā</w:t>
      </w:r>
      <w:r>
        <w:rPr>
          <w:i/>
          <w:iCs/>
          <w:szCs w:val="21"/>
        </w:rPr>
        <w:t>ḥ</w:t>
      </w:r>
      <w:r>
        <w:rPr>
          <w:i/>
          <w:iCs/>
          <w:szCs w:val="21"/>
        </w:rPr>
        <w:t xml:space="preserve"> </w:t>
      </w:r>
      <w:r>
        <w:rPr>
          <w:szCs w:val="21"/>
        </w:rPr>
        <w:t xml:space="preserve">instead of </w:t>
      </w:r>
      <w:r>
        <w:rPr>
          <w:i/>
          <w:iCs/>
          <w:szCs w:val="21"/>
        </w:rPr>
        <w:t>vāvana</w:t>
      </w:r>
      <w:r>
        <w:rPr>
          <w:i/>
          <w:iCs/>
          <w:szCs w:val="21"/>
        </w:rPr>
        <w:t>ḥ</w:t>
      </w:r>
      <w:r>
        <w:rPr>
          <w:i/>
          <w:iCs/>
          <w:szCs w:val="21"/>
        </w:rPr>
        <w:t xml:space="preserve"> </w:t>
      </w:r>
      <w:r>
        <w:rPr>
          <w:szCs w:val="21"/>
        </w:rPr>
        <w:t xml:space="preserve">(K. </w:t>
      </w:r>
      <w:r>
        <w:rPr>
          <w:i/>
          <w:iCs/>
          <w:szCs w:val="21"/>
        </w:rPr>
        <w:t>sām atikr̥tva</w:t>
      </w:r>
      <w:r>
        <w:rPr>
          <w:i/>
          <w:iCs/>
          <w:szCs w:val="21"/>
        </w:rPr>
        <w:t>ṁ</w:t>
      </w:r>
      <w:r>
        <w:rPr>
          <w:i/>
          <w:iCs/>
          <w:szCs w:val="21"/>
        </w:rPr>
        <w:t xml:space="preserve"> </w:t>
      </w:r>
      <w:r>
        <w:rPr>
          <w:szCs w:val="21"/>
        </w:rPr>
        <w:t xml:space="preserve">instead of </w:t>
      </w:r>
      <w:r>
        <w:rPr>
          <w:i/>
          <w:iCs/>
          <w:szCs w:val="21"/>
        </w:rPr>
        <w:t>māmit kila tva</w:t>
      </w:r>
      <w:r>
        <w:rPr>
          <w:i/>
          <w:iCs/>
          <w:szCs w:val="21"/>
        </w:rPr>
        <w:t>ṃ</w:t>
      </w:r>
      <w:r>
        <w:rPr>
          <w:szCs w:val="21"/>
        </w:rPr>
        <w:t xml:space="preserve">).    </w:t>
      </w:r>
    </w:p>
    <w:p w14:paraId="031078A6" w14:textId="77777777" w:rsidR="00E53EB6" w:rsidRDefault="00E53EB6">
      <w:pPr>
        <w:pStyle w:val="HaupttextohneEinzug"/>
        <w:rPr>
          <w:szCs w:val="18"/>
        </w:rPr>
      </w:pPr>
    </w:p>
    <w:p w14:paraId="29F12916" w14:textId="77777777" w:rsidR="00E53EB6" w:rsidRDefault="006500F5">
      <w:pPr>
        <w:pStyle w:val="HaupttextohneEinzug"/>
        <w:rPr>
          <w:szCs w:val="18"/>
        </w:rPr>
      </w:pPr>
      <w:r>
        <w:rPr>
          <w:szCs w:val="18"/>
        </w:rPr>
        <w:t>Rite</w:t>
      </w:r>
    </w:p>
    <w:p w14:paraId="23C1EDFD" w14:textId="77777777" w:rsidR="00E53EB6" w:rsidRDefault="006500F5">
      <w:pPr>
        <w:pStyle w:val="HaupttextohneEinzug"/>
      </w:pPr>
      <w:r>
        <w:t>A love-charm.</w:t>
      </w:r>
    </w:p>
    <w:p w14:paraId="61D3C7D8" w14:textId="77777777" w:rsidR="00E53EB6" w:rsidRDefault="00E53EB6">
      <w:pPr>
        <w:pStyle w:val="HaupttextohneEinzug"/>
      </w:pPr>
    </w:p>
    <w:p w14:paraId="14A68782" w14:textId="77777777" w:rsidR="00E53EB6" w:rsidRDefault="006500F5">
      <w:pPr>
        <w:pStyle w:val="Heading5"/>
        <w:tabs>
          <w:tab w:val="left" w:pos="0"/>
        </w:tabs>
      </w:pPr>
      <w:r>
        <w:rPr>
          <w:szCs w:val="18"/>
          <w:u w:val="single"/>
        </w:rPr>
        <w:t>AVP 2.33.1</w:t>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p>
    <w:p w14:paraId="53A93821" w14:textId="77777777" w:rsidR="00E53EB6" w:rsidRDefault="006500F5">
      <w:pPr>
        <w:pStyle w:val="Quotations"/>
      </w:pPr>
      <w:r>
        <w:t xml:space="preserve">2.33.1 </w:t>
      </w:r>
      <w:r>
        <w:rPr>
          <w:i/>
          <w:iCs/>
        </w:rPr>
        <w:t xml:space="preserve">ūdhnā vana hr̥dā vana mukhena jihvayā vana / </w:t>
      </w:r>
    </w:p>
    <w:p w14:paraId="1DDB22C8" w14:textId="77777777" w:rsidR="00E53EB6" w:rsidRDefault="006500F5">
      <w:pPr>
        <w:pStyle w:val="ZitatnachZitat"/>
        <w:rPr>
          <w:i/>
          <w:iCs/>
        </w:rPr>
      </w:pPr>
      <w:r>
        <w:rPr>
          <w:i/>
          <w:iCs/>
        </w:rPr>
        <w:t>prapīnā payasā vana //</w:t>
      </w:r>
    </w:p>
    <w:p w14:paraId="7AD20F7F" w14:textId="77777777" w:rsidR="00E53EB6" w:rsidRDefault="006500F5">
      <w:pPr>
        <w:pStyle w:val="Quotations"/>
      </w:pPr>
      <w:r>
        <w:rPr>
          <w:u w:val="single"/>
        </w:rPr>
        <w:t>Let</w:t>
      </w:r>
      <w:r>
        <w:t xml:space="preserve"> you </w:t>
      </w:r>
      <w:r>
        <w:rPr>
          <w:u w:val="single"/>
        </w:rPr>
        <w:t>desire</w:t>
      </w:r>
      <w:r>
        <w:t xml:space="preserve"> with the breast, </w:t>
      </w:r>
      <w:r>
        <w:rPr>
          <w:u w:val="single"/>
        </w:rPr>
        <w:t>let</w:t>
      </w:r>
      <w:r>
        <w:t xml:space="preserve"> you </w:t>
      </w:r>
      <w:r>
        <w:rPr>
          <w:u w:val="single"/>
        </w:rPr>
        <w:t>desire</w:t>
      </w:r>
      <w:r>
        <w:t xml:space="preserve"> with the heart, </w:t>
      </w:r>
      <w:r>
        <w:rPr>
          <w:u w:val="single"/>
        </w:rPr>
        <w:t>let</w:t>
      </w:r>
      <w:r>
        <w:t xml:space="preserve"> you </w:t>
      </w:r>
      <w:r>
        <w:rPr>
          <w:u w:val="single"/>
        </w:rPr>
        <w:t>desire</w:t>
      </w:r>
      <w:r>
        <w:t xml:space="preserve"> with the mouth, with the tongue,  </w:t>
      </w:r>
      <w:r>
        <w:rPr>
          <w:u w:val="single"/>
        </w:rPr>
        <w:t>let</w:t>
      </w:r>
      <w:r>
        <w:t xml:space="preserve"> you </w:t>
      </w:r>
      <w:r>
        <w:rPr>
          <w:u w:val="single"/>
        </w:rPr>
        <w:t>desire</w:t>
      </w:r>
      <w:r>
        <w:t xml:space="preserve"> with the swollen out / overflowed vital fluid</w:t>
      </w:r>
      <w:r>
        <w:rPr>
          <w:rStyle w:val="FootnoteAnchor"/>
        </w:rPr>
        <w:footnoteReference w:id="565"/>
      </w:r>
      <w:r>
        <w:t>.</w:t>
      </w:r>
    </w:p>
    <w:p w14:paraId="67A967DB" w14:textId="77777777" w:rsidR="00E53EB6" w:rsidRPr="00494885" w:rsidRDefault="006500F5">
      <w:pPr>
        <w:pStyle w:val="Quotations"/>
        <w:rPr>
          <w:lang w:val="it-IT"/>
        </w:rPr>
      </w:pPr>
      <w:r w:rsidRPr="00494885">
        <w:rPr>
          <w:lang w:val="it-IT"/>
        </w:rPr>
        <w:t xml:space="preserve">4x </w:t>
      </w:r>
      <w:r w:rsidRPr="00494885">
        <w:rPr>
          <w:i/>
          <w:iCs/>
          <w:lang w:val="it-IT"/>
        </w:rPr>
        <w:t xml:space="preserve">vana: </w:t>
      </w:r>
      <w:r w:rsidRPr="00494885">
        <w:rPr>
          <w:lang w:val="it-IT"/>
        </w:rPr>
        <w:t>im</w:t>
      </w:r>
      <w:r w:rsidRPr="00494885">
        <w:rPr>
          <w:lang w:val="it-IT"/>
        </w:rPr>
        <w:t>pv. pres. 2</w:t>
      </w:r>
      <w:r w:rsidRPr="00494885">
        <w:rPr>
          <w:vertAlign w:val="superscript"/>
          <w:lang w:val="it-IT"/>
        </w:rPr>
        <w:t>nd</w:t>
      </w:r>
      <w:r w:rsidRPr="00494885">
        <w:rPr>
          <w:lang w:val="it-IT"/>
        </w:rPr>
        <w:t xml:space="preserve"> sing. I-VI cl.</w:t>
      </w:r>
    </w:p>
    <w:p w14:paraId="69022BFA" w14:textId="77777777" w:rsidR="00E53EB6" w:rsidRDefault="006500F5">
      <w:pPr>
        <w:pStyle w:val="ZitatmitEinzug"/>
      </w:pPr>
      <w:r>
        <w:rPr>
          <w:rStyle w:val="biblio-authorGEN"/>
          <w:sz w:val="18"/>
          <w:szCs w:val="15"/>
        </w:rPr>
        <w:t xml:space="preserve">Zehnder </w:t>
      </w:r>
      <w:r>
        <w:t>1999: 92 “liebe”</w:t>
      </w:r>
    </w:p>
    <w:p w14:paraId="135DF37C" w14:textId="77777777" w:rsidR="00E53EB6" w:rsidRDefault="006500F5">
      <w:pPr>
        <w:pStyle w:val="HaupttextnachZitat"/>
      </w:pPr>
      <w:r>
        <w:t>Vedic Web</w:t>
      </w:r>
    </w:p>
    <w:p w14:paraId="16529179" w14:textId="77777777" w:rsidR="00E53EB6" w:rsidRDefault="006500F5">
      <w:pPr>
        <w:pStyle w:val="HaupttextohneEinzug"/>
      </w:pPr>
      <w:r>
        <w:rPr>
          <w:szCs w:val="21"/>
        </w:rPr>
        <w:t xml:space="preserve"> </w:t>
      </w:r>
      <w:r>
        <w:rPr>
          <w:szCs w:val="21"/>
        </w:rPr>
        <w:t>∅</w:t>
      </w:r>
    </w:p>
    <w:p w14:paraId="78A395FC" w14:textId="77777777" w:rsidR="00E53EB6" w:rsidRDefault="00E53EB6">
      <w:pPr>
        <w:pStyle w:val="HaupttextohneEinzug"/>
        <w:rPr>
          <w:szCs w:val="18"/>
        </w:rPr>
      </w:pPr>
    </w:p>
    <w:p w14:paraId="36BDEC3E" w14:textId="77777777" w:rsidR="00E53EB6" w:rsidRDefault="006500F5">
      <w:pPr>
        <w:pStyle w:val="HaupttextohneEinzug"/>
        <w:rPr>
          <w:szCs w:val="18"/>
        </w:rPr>
      </w:pPr>
      <w:r>
        <w:rPr>
          <w:szCs w:val="18"/>
        </w:rPr>
        <w:t>Rite</w:t>
      </w:r>
    </w:p>
    <w:p w14:paraId="2F1CDE91" w14:textId="77777777" w:rsidR="00E53EB6" w:rsidRDefault="006500F5">
      <w:pPr>
        <w:pStyle w:val="HaupttextohneEinzug"/>
      </w:pPr>
      <w:r>
        <w:t>Hymn of love.</w:t>
      </w:r>
    </w:p>
    <w:p w14:paraId="01932491" w14:textId="77777777" w:rsidR="00E53EB6" w:rsidRDefault="00E53EB6">
      <w:pPr>
        <w:pStyle w:val="HaupttextohneEinzug"/>
      </w:pPr>
    </w:p>
    <w:p w14:paraId="04EE7185" w14:textId="77777777" w:rsidR="00E53EB6" w:rsidRDefault="006500F5">
      <w:pPr>
        <w:pStyle w:val="Heading5"/>
        <w:tabs>
          <w:tab w:val="left" w:pos="0"/>
        </w:tabs>
      </w:pPr>
      <w:r>
        <w:rPr>
          <w:szCs w:val="18"/>
          <w:u w:val="single"/>
        </w:rPr>
        <w:t>AVP 2.90.4</w:t>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p>
    <w:p w14:paraId="4A85C08D" w14:textId="77777777" w:rsidR="00E53EB6" w:rsidRDefault="006500F5">
      <w:pPr>
        <w:pStyle w:val="Quotations"/>
      </w:pPr>
      <w:r>
        <w:t xml:space="preserve">2.90.4 </w:t>
      </w:r>
      <w:r>
        <w:rPr>
          <w:i/>
          <w:iCs/>
          <w:szCs w:val="18"/>
        </w:rPr>
        <w:t>yāsā</w:t>
      </w:r>
      <w:r>
        <w:rPr>
          <w:i/>
          <w:iCs/>
          <w:szCs w:val="18"/>
        </w:rPr>
        <w:t>ṃ</w:t>
      </w:r>
      <w:r>
        <w:rPr>
          <w:i/>
          <w:iCs/>
          <w:szCs w:val="18"/>
        </w:rPr>
        <w:t xml:space="preserve"> nābhir āreha</w:t>
      </w:r>
      <w:r>
        <w:rPr>
          <w:i/>
          <w:iCs/>
          <w:szCs w:val="18"/>
        </w:rPr>
        <w:t>ṇ</w:t>
      </w:r>
      <w:r>
        <w:rPr>
          <w:i/>
          <w:iCs/>
          <w:szCs w:val="18"/>
        </w:rPr>
        <w:t>a</w:t>
      </w:r>
      <w:r>
        <w:rPr>
          <w:i/>
          <w:iCs/>
          <w:szCs w:val="18"/>
        </w:rPr>
        <w:t>ṃ</w:t>
      </w:r>
      <w:r>
        <w:rPr>
          <w:i/>
          <w:iCs/>
          <w:szCs w:val="18"/>
        </w:rPr>
        <w:t xml:space="preserve"> hr̥di sa</w:t>
      </w:r>
      <w:r>
        <w:rPr>
          <w:i/>
          <w:iCs/>
          <w:szCs w:val="18"/>
        </w:rPr>
        <w:t>ṃ</w:t>
      </w:r>
      <w:r>
        <w:rPr>
          <w:i/>
          <w:iCs/>
          <w:szCs w:val="18"/>
        </w:rPr>
        <w:t>vanana</w:t>
      </w:r>
      <w:r>
        <w:rPr>
          <w:i/>
          <w:iCs/>
          <w:szCs w:val="18"/>
        </w:rPr>
        <w:t>ṃ</w:t>
      </w:r>
      <w:r>
        <w:rPr>
          <w:i/>
          <w:iCs/>
          <w:szCs w:val="18"/>
        </w:rPr>
        <w:t xml:space="preserve"> kr̥tam gāvo ghr̥tasya mātaro ‘mū</w:t>
      </w:r>
      <w:r>
        <w:rPr>
          <w:i/>
          <w:iCs/>
          <w:szCs w:val="18"/>
        </w:rPr>
        <w:t>ṃ</w:t>
      </w:r>
      <w:r>
        <w:rPr>
          <w:i/>
          <w:iCs/>
          <w:szCs w:val="18"/>
        </w:rPr>
        <w:t xml:space="preserve"> sa</w:t>
      </w:r>
      <w:r>
        <w:rPr>
          <w:i/>
          <w:iCs/>
          <w:szCs w:val="18"/>
        </w:rPr>
        <w:t>ṃ</w:t>
      </w:r>
      <w:r>
        <w:rPr>
          <w:i/>
          <w:iCs/>
          <w:szCs w:val="18"/>
        </w:rPr>
        <w:t xml:space="preserve"> vānayantu me</w:t>
      </w:r>
      <w:r>
        <w:rPr>
          <w:szCs w:val="18"/>
        </w:rPr>
        <w:t xml:space="preserve"> //</w:t>
      </w:r>
    </w:p>
    <w:p w14:paraId="0838C045" w14:textId="77777777" w:rsidR="00E53EB6" w:rsidRDefault="006500F5">
      <w:pPr>
        <w:pStyle w:val="Quotations"/>
        <w:rPr>
          <w:szCs w:val="18"/>
        </w:rPr>
      </w:pPr>
      <w:r>
        <w:rPr>
          <w:szCs w:val="18"/>
        </w:rPr>
        <w:t>Whose navel is a kissing</w:t>
      </w:r>
      <w:r>
        <w:rPr>
          <w:rStyle w:val="FootnoteAnchor"/>
          <w:szCs w:val="18"/>
        </w:rPr>
        <w:footnoteReference w:id="566"/>
      </w:r>
      <w:r>
        <w:rPr>
          <w:szCs w:val="18"/>
        </w:rPr>
        <w:t xml:space="preserve">, in whose heart there is the subduing /charming (the mutual fondness), let the cows, mothers of the clarified butter, </w:t>
      </w:r>
      <w:r>
        <w:rPr>
          <w:szCs w:val="18"/>
          <w:u w:val="single"/>
        </w:rPr>
        <w:t>make</w:t>
      </w:r>
      <w:r>
        <w:rPr>
          <w:szCs w:val="18"/>
        </w:rPr>
        <w:t xml:space="preserve"> her there </w:t>
      </w:r>
      <w:r>
        <w:rPr>
          <w:szCs w:val="18"/>
          <w:u w:val="single"/>
        </w:rPr>
        <w:t>love</w:t>
      </w:r>
      <w:r>
        <w:rPr>
          <w:szCs w:val="18"/>
        </w:rPr>
        <w:t xml:space="preserve"> me.</w:t>
      </w:r>
    </w:p>
    <w:p w14:paraId="0434BF88" w14:textId="77777777" w:rsidR="00E53EB6" w:rsidRDefault="006500F5">
      <w:pPr>
        <w:pStyle w:val="Quotations"/>
      </w:pPr>
      <w:r>
        <w:rPr>
          <w:i/>
          <w:iCs/>
          <w:szCs w:val="18"/>
        </w:rPr>
        <w:lastRenderedPageBreak/>
        <w:t>sá</w:t>
      </w:r>
      <w:r>
        <w:rPr>
          <w:i/>
          <w:iCs/>
          <w:szCs w:val="18"/>
        </w:rPr>
        <w:t>ṃ</w:t>
      </w:r>
      <w:r>
        <w:rPr>
          <w:i/>
          <w:iCs/>
          <w:szCs w:val="18"/>
        </w:rPr>
        <w:t xml:space="preserve"> vānayantu: </w:t>
      </w:r>
      <w:r>
        <w:rPr>
          <w:szCs w:val="18"/>
        </w:rPr>
        <w:t>impv. pres. 3</w:t>
      </w:r>
      <w:r>
        <w:t>rd</w:t>
      </w:r>
      <w:r>
        <w:rPr>
          <w:szCs w:val="18"/>
        </w:rPr>
        <w:t xml:space="preserve"> pl. of the causative </w:t>
      </w:r>
      <w:r>
        <w:rPr>
          <w:i/>
          <w:iCs/>
          <w:szCs w:val="18"/>
        </w:rPr>
        <w:t>vānaya-</w:t>
      </w:r>
    </w:p>
    <w:p w14:paraId="76A47B2D" w14:textId="77777777" w:rsidR="00E53EB6" w:rsidRPr="00494885" w:rsidRDefault="006500F5">
      <w:pPr>
        <w:pStyle w:val="ZitatmitEinzug"/>
        <w:rPr>
          <w:lang w:val="de-DE"/>
        </w:rPr>
      </w:pPr>
      <w:r w:rsidRPr="00494885">
        <w:rPr>
          <w:rStyle w:val="biblio-authorGEN"/>
          <w:sz w:val="18"/>
          <w:szCs w:val="15"/>
          <w:lang w:val="de-DE"/>
        </w:rPr>
        <w:t xml:space="preserve">Zehnder </w:t>
      </w:r>
      <w:r w:rsidRPr="00494885">
        <w:rPr>
          <w:lang w:val="de-DE"/>
        </w:rPr>
        <w:t>1999: 197 “zugeneigt machen”</w:t>
      </w:r>
    </w:p>
    <w:p w14:paraId="1F166516" w14:textId="77777777" w:rsidR="00E53EB6" w:rsidRPr="00494885" w:rsidRDefault="006500F5">
      <w:pPr>
        <w:pStyle w:val="HaupttextnachZitat"/>
        <w:rPr>
          <w:lang w:val="de-DE"/>
        </w:rPr>
      </w:pPr>
      <w:r w:rsidRPr="00494885">
        <w:rPr>
          <w:lang w:val="de-DE"/>
        </w:rPr>
        <w:t>Vedic Web</w:t>
      </w:r>
    </w:p>
    <w:p w14:paraId="3930BAA9" w14:textId="77777777" w:rsidR="00E53EB6" w:rsidRPr="00494885" w:rsidRDefault="006500F5">
      <w:pPr>
        <w:pStyle w:val="HaupttextohneEinzug"/>
        <w:rPr>
          <w:szCs w:val="18"/>
          <w:lang w:val="de-DE"/>
        </w:rPr>
      </w:pPr>
      <w:r w:rsidRPr="00494885">
        <w:rPr>
          <w:szCs w:val="18"/>
          <w:lang w:val="de-DE"/>
        </w:rPr>
        <w:t>Mantra</w:t>
      </w:r>
      <w:r w:rsidRPr="00494885">
        <w:rPr>
          <w:szCs w:val="18"/>
          <w:lang w:val="de-DE"/>
        </w:rPr>
        <w:t xml:space="preserve">: </w:t>
      </w:r>
      <w:r w:rsidRPr="00494885">
        <w:rPr>
          <w:szCs w:val="21"/>
          <w:lang w:val="de-DE"/>
        </w:rPr>
        <w:t>AVŚ 6.9.3.</w:t>
      </w:r>
    </w:p>
    <w:p w14:paraId="1D75ABAE" w14:textId="77777777" w:rsidR="00E53EB6" w:rsidRPr="00494885" w:rsidRDefault="00E53EB6">
      <w:pPr>
        <w:pStyle w:val="HaupttextohneEinzug"/>
        <w:rPr>
          <w:szCs w:val="18"/>
          <w:lang w:val="de-DE"/>
        </w:rPr>
      </w:pPr>
    </w:p>
    <w:p w14:paraId="4647F439" w14:textId="77777777" w:rsidR="00E53EB6" w:rsidRDefault="006500F5">
      <w:pPr>
        <w:pStyle w:val="HaupttextohneEinzug"/>
        <w:rPr>
          <w:szCs w:val="18"/>
        </w:rPr>
      </w:pPr>
      <w:r>
        <w:rPr>
          <w:szCs w:val="18"/>
        </w:rPr>
        <w:t>Rite</w:t>
      </w:r>
    </w:p>
    <w:p w14:paraId="51710985" w14:textId="77777777" w:rsidR="00E53EB6" w:rsidRDefault="006500F5">
      <w:pPr>
        <w:pStyle w:val="HaupttextohneEinzug"/>
      </w:pPr>
      <w:r>
        <w:t>To win a woman’s love, cf. AVŚ 6.9.3.</w:t>
      </w:r>
    </w:p>
    <w:p w14:paraId="788712D9" w14:textId="77777777" w:rsidR="00E53EB6" w:rsidRDefault="00E53EB6">
      <w:pPr>
        <w:pStyle w:val="HaupttextohneEinzug"/>
      </w:pPr>
    </w:p>
    <w:p w14:paraId="70EAFF5F" w14:textId="77777777" w:rsidR="00E53EB6" w:rsidRDefault="006500F5">
      <w:pPr>
        <w:pStyle w:val="Heading5"/>
        <w:tabs>
          <w:tab w:val="left" w:pos="0"/>
        </w:tabs>
      </w:pPr>
      <w:r>
        <w:rPr>
          <w:szCs w:val="18"/>
          <w:u w:val="single"/>
        </w:rPr>
        <w:t>AVP 5.7.8</w:t>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p>
    <w:p w14:paraId="0253D920" w14:textId="77777777" w:rsidR="00E53EB6" w:rsidRDefault="006500F5">
      <w:pPr>
        <w:pStyle w:val="Quotations"/>
      </w:pPr>
      <w:r>
        <w:t xml:space="preserve">5.7.8 </w:t>
      </w:r>
      <w:r>
        <w:rPr>
          <w:i/>
          <w:iCs/>
        </w:rPr>
        <w:t>apāmagnistanūbhi</w:t>
      </w:r>
      <w:r>
        <w:rPr>
          <w:i/>
          <w:iCs/>
        </w:rPr>
        <w:t>ḥ</w:t>
      </w:r>
      <w:r>
        <w:rPr>
          <w:i/>
          <w:iCs/>
        </w:rPr>
        <w:t xml:space="preserve"> sa</w:t>
      </w:r>
      <w:r>
        <w:rPr>
          <w:i/>
          <w:iCs/>
        </w:rPr>
        <w:t>ṃ</w:t>
      </w:r>
      <w:r>
        <w:rPr>
          <w:i/>
          <w:iCs/>
        </w:rPr>
        <w:t>vidāno ya o</w:t>
      </w:r>
      <w:r>
        <w:rPr>
          <w:i/>
          <w:iCs/>
        </w:rPr>
        <w:t>ṣ</w:t>
      </w:r>
      <w:r>
        <w:rPr>
          <w:i/>
          <w:iCs/>
        </w:rPr>
        <w:t xml:space="preserve">adhīnāmadhipā babhūva / </w:t>
      </w:r>
    </w:p>
    <w:p w14:paraId="65BD4C9B" w14:textId="77777777" w:rsidR="00E53EB6" w:rsidRDefault="006500F5">
      <w:pPr>
        <w:pStyle w:val="ZitatnachZitat"/>
        <w:rPr>
          <w:i/>
          <w:iCs/>
        </w:rPr>
      </w:pPr>
      <w:r>
        <w:rPr>
          <w:i/>
          <w:iCs/>
        </w:rPr>
        <w:t>sá no var</w:t>
      </w:r>
      <w:r>
        <w:rPr>
          <w:i/>
          <w:iCs/>
        </w:rPr>
        <w:t>ṣ</w:t>
      </w:r>
      <w:r>
        <w:rPr>
          <w:i/>
          <w:iCs/>
        </w:rPr>
        <w:t>a</w:t>
      </w:r>
      <w:r>
        <w:rPr>
          <w:i/>
          <w:iCs/>
        </w:rPr>
        <w:t>ṃ</w:t>
      </w:r>
      <w:r>
        <w:rPr>
          <w:i/>
          <w:iCs/>
        </w:rPr>
        <w:t xml:space="preserve"> vanutā</w:t>
      </w:r>
      <w:r>
        <w:rPr>
          <w:i/>
          <w:iCs/>
        </w:rPr>
        <w:t>ṃ</w:t>
      </w:r>
      <w:r>
        <w:rPr>
          <w:i/>
          <w:iCs/>
        </w:rPr>
        <w:t xml:space="preserve"> jātavedā</w:t>
      </w:r>
      <w:r>
        <w:rPr>
          <w:i/>
          <w:iCs/>
        </w:rPr>
        <w:t>ḥ</w:t>
      </w:r>
      <w:r>
        <w:rPr>
          <w:i/>
          <w:iCs/>
        </w:rPr>
        <w:t xml:space="preserve"> prā</w:t>
      </w:r>
      <w:r>
        <w:rPr>
          <w:i/>
          <w:iCs/>
        </w:rPr>
        <w:t>ṇ</w:t>
      </w:r>
      <w:r>
        <w:rPr>
          <w:i/>
          <w:iCs/>
        </w:rPr>
        <w:t>a</w:t>
      </w:r>
      <w:r>
        <w:rPr>
          <w:i/>
          <w:iCs/>
        </w:rPr>
        <w:t>ṃ</w:t>
      </w:r>
      <w:r>
        <w:rPr>
          <w:i/>
          <w:iCs/>
        </w:rPr>
        <w:t xml:space="preserve"> prajābhyo amr̥ta</w:t>
      </w:r>
      <w:r>
        <w:rPr>
          <w:i/>
          <w:iCs/>
        </w:rPr>
        <w:t>ṃ</w:t>
      </w:r>
      <w:r>
        <w:rPr>
          <w:i/>
          <w:iCs/>
        </w:rPr>
        <w:t xml:space="preserve"> divas pari //</w:t>
      </w:r>
    </w:p>
    <w:p w14:paraId="2A30C80E" w14:textId="77777777" w:rsidR="00E53EB6" w:rsidRDefault="006500F5">
      <w:pPr>
        <w:pStyle w:val="Quotations"/>
      </w:pPr>
      <w:r>
        <w:t xml:space="preserve">This Agni united with the bodies of the </w:t>
      </w:r>
      <w:r>
        <w:t>waters who has become the king of the herbs, he, the Jātavedas, should</w:t>
      </w:r>
      <w:r>
        <w:t xml:space="preserve"> </w:t>
      </w:r>
      <w:r>
        <w:rPr>
          <w:u w:val="single"/>
        </w:rPr>
        <w:t>appropriate</w:t>
      </w:r>
      <w:r>
        <w:t xml:space="preserve"> for us the rain, the breath for the offspring, the immortality</w:t>
      </w:r>
      <w:r>
        <w:rPr>
          <w:rStyle w:val="FootnoteAnchor"/>
        </w:rPr>
        <w:footnoteReference w:id="567"/>
      </w:r>
      <w:r>
        <w:t xml:space="preserve"> (</w:t>
      </w:r>
      <w:r>
        <w:rPr>
          <w:i/>
          <w:iCs/>
        </w:rPr>
        <w:t xml:space="preserve">amr̥ta) </w:t>
      </w:r>
      <w:r>
        <w:t>from the sky.</w:t>
      </w:r>
    </w:p>
    <w:p w14:paraId="2C77813A" w14:textId="77777777" w:rsidR="00E53EB6" w:rsidRDefault="006500F5">
      <w:pPr>
        <w:pStyle w:val="Quotations"/>
      </w:pPr>
      <w:r>
        <w:rPr>
          <w:i/>
          <w:iCs/>
        </w:rPr>
        <w:t>vanutā</w:t>
      </w:r>
      <w:r>
        <w:rPr>
          <w:i/>
          <w:iCs/>
        </w:rPr>
        <w:t>ṃ</w:t>
      </w:r>
      <w:r>
        <w:rPr>
          <w:i/>
          <w:iCs/>
        </w:rPr>
        <w:t>:</w:t>
      </w:r>
      <w:r>
        <w:t xml:space="preserve"> impv. pres. 3</w:t>
      </w:r>
      <w:r>
        <w:rPr>
          <w:vertAlign w:val="superscript"/>
        </w:rPr>
        <w:t>rd</w:t>
      </w:r>
      <w:r>
        <w:t xml:space="preserve"> sing. Ā VIII cl.</w:t>
      </w:r>
    </w:p>
    <w:p w14:paraId="7FA55420" w14:textId="77777777" w:rsidR="00E53EB6" w:rsidRDefault="006500F5">
      <w:pPr>
        <w:pStyle w:val="ZitatmitEinzug"/>
      </w:pPr>
      <w:r>
        <w:rPr>
          <w:rStyle w:val="biblio-authorGEN"/>
          <w:sz w:val="18"/>
          <w:szCs w:val="15"/>
        </w:rPr>
        <w:t xml:space="preserve">Lubotksy </w:t>
      </w:r>
      <w:r>
        <w:t>2002: 34 “let get”</w:t>
      </w:r>
    </w:p>
    <w:p w14:paraId="04994976" w14:textId="77777777" w:rsidR="00E53EB6" w:rsidRDefault="006500F5">
      <w:pPr>
        <w:pStyle w:val="HaupttextnachZitat"/>
      </w:pPr>
      <w:r>
        <w:t>Vedic Web</w:t>
      </w:r>
    </w:p>
    <w:p w14:paraId="07A3F4D5" w14:textId="77777777" w:rsidR="00E53EB6" w:rsidRDefault="006500F5">
      <w:pPr>
        <w:pStyle w:val="HaupttextohneEinzug"/>
        <w:rPr>
          <w:szCs w:val="18"/>
        </w:rPr>
      </w:pPr>
      <w:r>
        <w:rPr>
          <w:szCs w:val="18"/>
        </w:rPr>
        <w:t>Mantr</w:t>
      </w:r>
      <w:r>
        <w:rPr>
          <w:szCs w:val="18"/>
        </w:rPr>
        <w:t xml:space="preserve">a: </w:t>
      </w:r>
      <w:r>
        <w:rPr>
          <w:szCs w:val="21"/>
        </w:rPr>
        <w:t>AVŚ 4.15.10.</w:t>
      </w:r>
    </w:p>
    <w:p w14:paraId="37F4555D" w14:textId="77777777" w:rsidR="00E53EB6" w:rsidRDefault="00E53EB6">
      <w:pPr>
        <w:pStyle w:val="HaupttextohneEinzug"/>
        <w:rPr>
          <w:szCs w:val="18"/>
        </w:rPr>
      </w:pPr>
    </w:p>
    <w:p w14:paraId="337B9D4A" w14:textId="77777777" w:rsidR="00E53EB6" w:rsidRDefault="006500F5">
      <w:pPr>
        <w:pStyle w:val="HaupttextohneEinzug"/>
        <w:rPr>
          <w:szCs w:val="18"/>
        </w:rPr>
      </w:pPr>
      <w:r>
        <w:rPr>
          <w:szCs w:val="18"/>
        </w:rPr>
        <w:t>Rite</w:t>
      </w:r>
    </w:p>
    <w:p w14:paraId="284DE4D2" w14:textId="77777777" w:rsidR="00E53EB6" w:rsidRDefault="006500F5">
      <w:pPr>
        <w:pStyle w:val="HaupttextohneEinzug"/>
      </w:pPr>
      <w:r>
        <w:t>Hymn for abundant rain.</w:t>
      </w:r>
    </w:p>
    <w:p w14:paraId="4F5003F6" w14:textId="77777777" w:rsidR="00E53EB6" w:rsidRDefault="00E53EB6">
      <w:pPr>
        <w:pStyle w:val="HaupttextohneEinzug"/>
      </w:pPr>
    </w:p>
    <w:p w14:paraId="4BB4CCA2" w14:textId="77777777" w:rsidR="00E53EB6" w:rsidRDefault="006500F5">
      <w:pPr>
        <w:pStyle w:val="Heading5"/>
        <w:tabs>
          <w:tab w:val="left" w:pos="0"/>
        </w:tabs>
      </w:pPr>
      <w:r>
        <w:rPr>
          <w:szCs w:val="18"/>
          <w:u w:val="single"/>
        </w:rPr>
        <w:t>AVP 5.37.8</w:t>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p>
    <w:p w14:paraId="721B3BA4" w14:textId="77777777" w:rsidR="00E53EB6" w:rsidRDefault="006500F5">
      <w:pPr>
        <w:pStyle w:val="Quotations"/>
      </w:pPr>
      <w:r>
        <w:t xml:space="preserve">5.37.8 </w:t>
      </w:r>
      <w:r>
        <w:rPr>
          <w:i/>
          <w:iCs/>
        </w:rPr>
        <w:t>vanve te putra</w:t>
      </w:r>
      <w:r>
        <w:rPr>
          <w:i/>
          <w:iCs/>
        </w:rPr>
        <w:t>ṃ</w:t>
      </w:r>
      <w:r>
        <w:rPr>
          <w:i/>
          <w:iCs/>
        </w:rPr>
        <w:t xml:space="preserve"> pari devatābhyo anu manyantā</w:t>
      </w:r>
      <w:r>
        <w:rPr>
          <w:i/>
          <w:iCs/>
        </w:rPr>
        <w:t>ṃ</w:t>
      </w:r>
      <w:r>
        <w:rPr>
          <w:i/>
          <w:iCs/>
        </w:rPr>
        <w:t xml:space="preserve"> maruta</w:t>
      </w:r>
      <w:r>
        <w:rPr>
          <w:i/>
          <w:iCs/>
        </w:rPr>
        <w:t>ḥ</w:t>
      </w:r>
      <w:r>
        <w:rPr>
          <w:i/>
          <w:iCs/>
        </w:rPr>
        <w:t xml:space="preserve"> pr̥śnimātara</w:t>
      </w:r>
      <w:r>
        <w:rPr>
          <w:i/>
          <w:iCs/>
        </w:rPr>
        <w:t>ḥ</w:t>
      </w:r>
      <w:r>
        <w:rPr>
          <w:i/>
          <w:iCs/>
        </w:rPr>
        <w:t xml:space="preserve"> /</w:t>
      </w:r>
    </w:p>
    <w:p w14:paraId="19CBE5C9" w14:textId="77777777" w:rsidR="00E53EB6" w:rsidRDefault="006500F5">
      <w:pPr>
        <w:pStyle w:val="ZitatnachZitat"/>
        <w:rPr>
          <w:i/>
          <w:iCs/>
        </w:rPr>
      </w:pPr>
      <w:r>
        <w:rPr>
          <w:i/>
          <w:iCs/>
        </w:rPr>
        <w:t>garbhas tvā daśamāsya</w:t>
      </w:r>
      <w:r>
        <w:rPr>
          <w:i/>
          <w:iCs/>
        </w:rPr>
        <w:t>ḥ</w:t>
      </w:r>
      <w:r>
        <w:rPr>
          <w:i/>
          <w:iCs/>
        </w:rPr>
        <w:t xml:space="preserve"> pra viśatu kumāra</w:t>
      </w:r>
      <w:r>
        <w:rPr>
          <w:i/>
          <w:iCs/>
        </w:rPr>
        <w:t>ṃ</w:t>
      </w:r>
      <w:r>
        <w:rPr>
          <w:i/>
          <w:iCs/>
        </w:rPr>
        <w:t xml:space="preserve"> jāta</w:t>
      </w:r>
      <w:r>
        <w:rPr>
          <w:i/>
          <w:iCs/>
        </w:rPr>
        <w:t>ṃ</w:t>
      </w:r>
      <w:r>
        <w:rPr>
          <w:i/>
          <w:iCs/>
        </w:rPr>
        <w:t xml:space="preserve"> pipr̥tām</w:t>
      </w:r>
      <w:r>
        <w:rPr>
          <w:rStyle w:val="FootnoteAnchor"/>
          <w:i/>
          <w:iCs/>
        </w:rPr>
        <w:footnoteReference w:id="568"/>
      </w:r>
      <w:r>
        <w:rPr>
          <w:i/>
          <w:iCs/>
        </w:rPr>
        <w:t xml:space="preserve"> upasthe //</w:t>
      </w:r>
    </w:p>
    <w:p w14:paraId="3E3B1661" w14:textId="77777777" w:rsidR="00E53EB6" w:rsidRDefault="006500F5">
      <w:pPr>
        <w:pStyle w:val="Quotations"/>
      </w:pPr>
      <w:r>
        <w:t xml:space="preserve">“I </w:t>
      </w:r>
      <w:r>
        <w:rPr>
          <w:u w:val="single"/>
        </w:rPr>
        <w:t>appropriate for myself</w:t>
      </w:r>
      <w:r>
        <w:t xml:space="preserve"> a son from the divinities, let the Marut, sons of Pr̥śni, approve; let the embryo of ten months enter into you, let these two protect the child born in the lap.”</w:t>
      </w:r>
      <w:r>
        <w:t xml:space="preserve">” </w:t>
      </w:r>
    </w:p>
    <w:p w14:paraId="7BD65037" w14:textId="77777777" w:rsidR="00E53EB6" w:rsidRDefault="006500F5">
      <w:pPr>
        <w:pStyle w:val="Quotations"/>
      </w:pPr>
      <w:r>
        <w:rPr>
          <w:i/>
          <w:iCs/>
        </w:rPr>
        <w:t>vanve:</w:t>
      </w:r>
      <w:r>
        <w:t xml:space="preserve"> ind. pres</w:t>
      </w:r>
      <w:r>
        <w:rPr>
          <w:szCs w:val="18"/>
        </w:rPr>
        <w:t>. 1</w:t>
      </w:r>
      <w:r>
        <w:rPr>
          <w:szCs w:val="18"/>
          <w:vertAlign w:val="superscript"/>
        </w:rPr>
        <w:t>st</w:t>
      </w:r>
      <w:r>
        <w:rPr>
          <w:szCs w:val="18"/>
        </w:rPr>
        <w:t xml:space="preserve"> sing. Ā VIII cl.</w:t>
      </w:r>
    </w:p>
    <w:p w14:paraId="67D04B09" w14:textId="77777777" w:rsidR="00E53EB6" w:rsidRDefault="006500F5">
      <w:pPr>
        <w:pStyle w:val="ZitatmitEinzug"/>
      </w:pPr>
      <w:r>
        <w:rPr>
          <w:rStyle w:val="biblio-authorGEN"/>
          <w:sz w:val="18"/>
          <w:szCs w:val="18"/>
        </w:rPr>
        <w:t xml:space="preserve">Lubotsky </w:t>
      </w:r>
      <w:r>
        <w:t>2002: 133 “ask”</w:t>
      </w:r>
    </w:p>
    <w:p w14:paraId="3CDB7841" w14:textId="77777777" w:rsidR="00E53EB6" w:rsidRDefault="006500F5">
      <w:pPr>
        <w:pStyle w:val="HaupttextnachZitat"/>
      </w:pPr>
      <w:r>
        <w:t>Vedic Web</w:t>
      </w:r>
    </w:p>
    <w:p w14:paraId="4AA1233D" w14:textId="77777777" w:rsidR="00E53EB6" w:rsidRDefault="006500F5">
      <w:pPr>
        <w:pStyle w:val="HaupttextohneEinzug"/>
        <w:rPr>
          <w:szCs w:val="18"/>
        </w:rPr>
      </w:pPr>
      <w:r>
        <w:rPr>
          <w:szCs w:val="18"/>
        </w:rPr>
        <w:t xml:space="preserve"> </w:t>
      </w:r>
      <w:r>
        <w:rPr>
          <w:szCs w:val="21"/>
        </w:rPr>
        <w:t>∅</w:t>
      </w:r>
    </w:p>
    <w:p w14:paraId="22D1BBE5" w14:textId="77777777" w:rsidR="00E53EB6" w:rsidRDefault="00E53EB6">
      <w:pPr>
        <w:pStyle w:val="HaupttextohneEinzug"/>
        <w:rPr>
          <w:szCs w:val="18"/>
        </w:rPr>
      </w:pPr>
    </w:p>
    <w:p w14:paraId="632206C6" w14:textId="77777777" w:rsidR="00E53EB6" w:rsidRDefault="006500F5">
      <w:pPr>
        <w:pStyle w:val="HaupttextohneEinzug"/>
        <w:rPr>
          <w:szCs w:val="18"/>
        </w:rPr>
      </w:pPr>
      <w:r>
        <w:rPr>
          <w:szCs w:val="18"/>
        </w:rPr>
        <w:t>Rite</w:t>
      </w:r>
    </w:p>
    <w:p w14:paraId="2B6AB7D1" w14:textId="77777777" w:rsidR="00E53EB6" w:rsidRDefault="006500F5">
      <w:pPr>
        <w:pStyle w:val="HaupttextohneEinzug"/>
        <w:rPr>
          <w:szCs w:val="18"/>
        </w:rPr>
      </w:pPr>
      <w:r>
        <w:rPr>
          <w:szCs w:val="18"/>
        </w:rPr>
        <w:t>Hymn for</w:t>
      </w:r>
      <w:r>
        <w:rPr>
          <w:szCs w:val="18"/>
        </w:rPr>
        <w:t xml:space="preserve"> the birth of a son.</w:t>
      </w:r>
    </w:p>
    <w:p w14:paraId="381A9741" w14:textId="77777777" w:rsidR="00E53EB6" w:rsidRDefault="00E53EB6">
      <w:pPr>
        <w:pStyle w:val="HaupttextohneEinzug"/>
        <w:rPr>
          <w:szCs w:val="18"/>
        </w:rPr>
      </w:pPr>
    </w:p>
    <w:p w14:paraId="6F2979A5" w14:textId="77777777" w:rsidR="00E53EB6" w:rsidRDefault="006500F5">
      <w:pPr>
        <w:pStyle w:val="Heading5"/>
        <w:tabs>
          <w:tab w:val="left" w:pos="0"/>
        </w:tabs>
      </w:pPr>
      <w:r>
        <w:rPr>
          <w:szCs w:val="18"/>
          <w:u w:val="single"/>
        </w:rPr>
        <w:lastRenderedPageBreak/>
        <w:t>AVP 7.15.5</w:t>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p>
    <w:p w14:paraId="252C9166" w14:textId="77777777" w:rsidR="00E53EB6" w:rsidRPr="00494885" w:rsidRDefault="006500F5">
      <w:pPr>
        <w:pStyle w:val="Quotations"/>
        <w:rPr>
          <w:lang w:val="it-IT"/>
        </w:rPr>
      </w:pPr>
      <w:r w:rsidRPr="00494885">
        <w:rPr>
          <w:lang w:val="it-IT"/>
        </w:rPr>
        <w:t xml:space="preserve">7.15.5 </w:t>
      </w:r>
      <w:r w:rsidRPr="00494885">
        <w:rPr>
          <w:i/>
          <w:iCs/>
          <w:lang w:val="it-IT"/>
        </w:rPr>
        <w:t>annena prā</w:t>
      </w:r>
      <w:r w:rsidRPr="00494885">
        <w:rPr>
          <w:i/>
          <w:iCs/>
          <w:lang w:val="it-IT"/>
        </w:rPr>
        <w:t>ṇ</w:t>
      </w:r>
      <w:r w:rsidRPr="00494885">
        <w:rPr>
          <w:i/>
          <w:iCs/>
          <w:lang w:val="it-IT"/>
        </w:rPr>
        <w:t>a</w:t>
      </w:r>
      <w:r w:rsidRPr="00494885">
        <w:rPr>
          <w:i/>
          <w:iCs/>
          <w:lang w:val="it-IT"/>
        </w:rPr>
        <w:t>ṃ</w:t>
      </w:r>
      <w:r w:rsidRPr="00494885">
        <w:rPr>
          <w:i/>
          <w:iCs/>
          <w:lang w:val="it-IT"/>
        </w:rPr>
        <w:t xml:space="preserve"> vanute tiro dhatte paridhānena yak</w:t>
      </w:r>
      <w:r w:rsidRPr="00494885">
        <w:rPr>
          <w:i/>
          <w:iCs/>
          <w:lang w:val="it-IT"/>
        </w:rPr>
        <w:t>ṣ</w:t>
      </w:r>
      <w:r w:rsidRPr="00494885">
        <w:rPr>
          <w:i/>
          <w:iCs/>
          <w:lang w:val="it-IT"/>
        </w:rPr>
        <w:t xml:space="preserve">mam </w:t>
      </w:r>
    </w:p>
    <w:p w14:paraId="39D2C39B" w14:textId="77777777" w:rsidR="00E53EB6" w:rsidRPr="00494885" w:rsidRDefault="006500F5">
      <w:pPr>
        <w:pStyle w:val="ZitatnachZitat"/>
        <w:rPr>
          <w:i/>
          <w:iCs/>
          <w:lang w:val="it-IT"/>
        </w:rPr>
      </w:pPr>
      <w:r w:rsidRPr="00494885">
        <w:rPr>
          <w:i/>
          <w:iCs/>
          <w:lang w:val="it-IT"/>
        </w:rPr>
        <w:t>hira</w:t>
      </w:r>
      <w:r w:rsidRPr="00494885">
        <w:rPr>
          <w:i/>
          <w:iCs/>
          <w:lang w:val="it-IT"/>
        </w:rPr>
        <w:t>ṇ</w:t>
      </w:r>
      <w:r w:rsidRPr="00494885">
        <w:rPr>
          <w:i/>
          <w:iCs/>
          <w:lang w:val="it-IT"/>
        </w:rPr>
        <w:t>yamaśva</w:t>
      </w:r>
      <w:r w:rsidRPr="00494885">
        <w:rPr>
          <w:i/>
          <w:iCs/>
          <w:lang w:val="it-IT"/>
        </w:rPr>
        <w:t>ṃ</w:t>
      </w:r>
      <w:r w:rsidRPr="00494885">
        <w:rPr>
          <w:i/>
          <w:iCs/>
          <w:lang w:val="it-IT"/>
        </w:rPr>
        <w:t xml:space="preserve"> gā</w:t>
      </w:r>
      <w:r w:rsidRPr="00494885">
        <w:rPr>
          <w:i/>
          <w:iCs/>
          <w:lang w:val="it-IT"/>
        </w:rPr>
        <w:t>ṃ</w:t>
      </w:r>
      <w:r w:rsidRPr="00494885">
        <w:rPr>
          <w:i/>
          <w:iCs/>
          <w:lang w:val="it-IT"/>
        </w:rPr>
        <w:t xml:space="preserve"> dadat kr̥</w:t>
      </w:r>
      <w:r w:rsidRPr="00494885">
        <w:rPr>
          <w:i/>
          <w:iCs/>
          <w:lang w:val="it-IT"/>
        </w:rPr>
        <w:t>ṇ</w:t>
      </w:r>
      <w:r w:rsidRPr="00494885">
        <w:rPr>
          <w:i/>
          <w:iCs/>
          <w:lang w:val="it-IT"/>
        </w:rPr>
        <w:t>ute varma dak</w:t>
      </w:r>
      <w:r w:rsidRPr="00494885">
        <w:rPr>
          <w:i/>
          <w:iCs/>
          <w:lang w:val="it-IT"/>
        </w:rPr>
        <w:t>ṣ</w:t>
      </w:r>
      <w:r w:rsidRPr="00494885">
        <w:rPr>
          <w:i/>
          <w:iCs/>
          <w:lang w:val="it-IT"/>
        </w:rPr>
        <w:t>i</w:t>
      </w:r>
      <w:r w:rsidRPr="00494885">
        <w:rPr>
          <w:i/>
          <w:iCs/>
          <w:lang w:val="it-IT"/>
        </w:rPr>
        <w:t>ṇ</w:t>
      </w:r>
      <w:r w:rsidRPr="00494885">
        <w:rPr>
          <w:i/>
          <w:iCs/>
          <w:lang w:val="it-IT"/>
        </w:rPr>
        <w:t>ām</w:t>
      </w:r>
    </w:p>
    <w:p w14:paraId="65A6EB12" w14:textId="77777777" w:rsidR="00E53EB6" w:rsidRDefault="006500F5">
      <w:pPr>
        <w:pStyle w:val="Quotations"/>
      </w:pPr>
      <w:r>
        <w:t xml:space="preserve">He </w:t>
      </w:r>
      <w:r>
        <w:rPr>
          <w:u w:val="single"/>
        </w:rPr>
        <w:t>appropriates for himself</w:t>
      </w:r>
      <w:r>
        <w:rPr>
          <w:i/>
          <w:iCs/>
        </w:rPr>
        <w:t xml:space="preserve"> </w:t>
      </w:r>
      <w:r>
        <w:t xml:space="preserve">the breath by means of the food, he removes the sickness by means of the </w:t>
      </w:r>
      <w:r>
        <w:t>garment, may he grant-pay (granting) a cow, a golden horse, he makes for himself the ritual fee (</w:t>
      </w:r>
      <w:r>
        <w:rPr>
          <w:i/>
          <w:iCs/>
        </w:rPr>
        <w:t>dak</w:t>
      </w:r>
      <w:r>
        <w:rPr>
          <w:i/>
          <w:iCs/>
        </w:rPr>
        <w:t>ṣ</w:t>
      </w:r>
      <w:r>
        <w:rPr>
          <w:i/>
          <w:iCs/>
        </w:rPr>
        <w:t>inā</w:t>
      </w:r>
      <w:r>
        <w:t>) a shelter.</w:t>
      </w:r>
    </w:p>
    <w:p w14:paraId="4F95029B" w14:textId="77777777" w:rsidR="00E53EB6" w:rsidRDefault="006500F5">
      <w:pPr>
        <w:pStyle w:val="Quotations"/>
      </w:pPr>
      <w:r>
        <w:rPr>
          <w:i/>
          <w:iCs/>
        </w:rPr>
        <w:t>vanute:</w:t>
      </w:r>
      <w:r>
        <w:t xml:space="preserve"> ind. pres</w:t>
      </w:r>
      <w:r>
        <w:rPr>
          <w:szCs w:val="18"/>
        </w:rPr>
        <w:t>. 3</w:t>
      </w:r>
      <w:r>
        <w:rPr>
          <w:szCs w:val="18"/>
          <w:vertAlign w:val="superscript"/>
        </w:rPr>
        <w:t>rd</w:t>
      </w:r>
      <w:r>
        <w:rPr>
          <w:szCs w:val="18"/>
        </w:rPr>
        <w:t xml:space="preserve"> sing. Ā VIII cl.</w:t>
      </w:r>
    </w:p>
    <w:p w14:paraId="2291D1D2" w14:textId="77777777" w:rsidR="00E53EB6" w:rsidRDefault="006500F5">
      <w:pPr>
        <w:pStyle w:val="ZitatmitEinzug"/>
      </w:pPr>
      <w:r>
        <w:rPr>
          <w:rStyle w:val="biblio-authorGEN"/>
        </w:rPr>
        <w:t xml:space="preserve">Griffiths </w:t>
      </w:r>
      <w:r>
        <w:rPr>
          <w:szCs w:val="18"/>
        </w:rPr>
        <w:t>2009: 406 “gains”</w:t>
      </w:r>
    </w:p>
    <w:p w14:paraId="4F2B3324" w14:textId="77777777" w:rsidR="00E53EB6" w:rsidRDefault="006500F5">
      <w:pPr>
        <w:pStyle w:val="HaupttextnachZitat"/>
      </w:pPr>
      <w:r>
        <w:t>Vedic Web</w:t>
      </w:r>
    </w:p>
    <w:p w14:paraId="4755BB5A" w14:textId="77777777" w:rsidR="00E53EB6" w:rsidRDefault="006500F5">
      <w:pPr>
        <w:pStyle w:val="HaupttextohneEinzug"/>
        <w:rPr>
          <w:szCs w:val="18"/>
        </w:rPr>
      </w:pPr>
      <w:r>
        <w:rPr>
          <w:szCs w:val="18"/>
        </w:rPr>
        <w:t xml:space="preserve"> </w:t>
      </w:r>
      <w:r>
        <w:rPr>
          <w:szCs w:val="21"/>
        </w:rPr>
        <w:t>∅</w:t>
      </w:r>
    </w:p>
    <w:p w14:paraId="3F014C47" w14:textId="77777777" w:rsidR="00E53EB6" w:rsidRDefault="006500F5">
      <w:pPr>
        <w:pStyle w:val="Heading5"/>
        <w:tabs>
          <w:tab w:val="left" w:pos="0"/>
        </w:tabs>
      </w:pPr>
      <w:r>
        <w:rPr>
          <w:u w:val="single"/>
        </w:rPr>
        <w:t>AVP 9.27.9</w:t>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p>
    <w:p w14:paraId="2FD81ECE" w14:textId="77777777" w:rsidR="00E53EB6" w:rsidRDefault="006500F5">
      <w:pPr>
        <w:pStyle w:val="Quotations"/>
      </w:pPr>
      <w:r>
        <w:t xml:space="preserve">9.27.9 </w:t>
      </w:r>
      <w:r>
        <w:rPr>
          <w:i/>
          <w:iCs/>
        </w:rPr>
        <w:t>sa</w:t>
      </w:r>
      <w:r>
        <w:rPr>
          <w:i/>
          <w:iCs/>
        </w:rPr>
        <w:t>ṃ</w:t>
      </w:r>
      <w:r>
        <w:rPr>
          <w:i/>
          <w:iCs/>
        </w:rPr>
        <w:t>krandana</w:t>
      </w:r>
      <w:r>
        <w:rPr>
          <w:i/>
          <w:iCs/>
        </w:rPr>
        <w:t>ḥ</w:t>
      </w:r>
      <w:r>
        <w:rPr>
          <w:i/>
          <w:iCs/>
        </w:rPr>
        <w:t xml:space="preserve"> </w:t>
      </w:r>
      <w:r>
        <w:rPr>
          <w:i/>
          <w:iCs/>
        </w:rPr>
        <w:t xml:space="preserve">pravedo </w:t>
      </w:r>
      <w:r>
        <w:rPr>
          <w:i/>
          <w:iCs/>
        </w:rPr>
        <w:t>dhr̥</w:t>
      </w:r>
      <w:r>
        <w:rPr>
          <w:i/>
          <w:iCs/>
        </w:rPr>
        <w:t>ṣṇ</w:t>
      </w:r>
      <w:r>
        <w:rPr>
          <w:i/>
          <w:iCs/>
        </w:rPr>
        <w:t>u</w:t>
      </w:r>
      <w:r>
        <w:rPr>
          <w:i/>
          <w:iCs/>
        </w:rPr>
        <w:t>ṣ</w:t>
      </w:r>
      <w:r>
        <w:rPr>
          <w:i/>
          <w:iCs/>
        </w:rPr>
        <w:t>e</w:t>
      </w:r>
      <w:r>
        <w:rPr>
          <w:i/>
          <w:iCs/>
        </w:rPr>
        <w:t>ṇ</w:t>
      </w:r>
      <w:r>
        <w:rPr>
          <w:i/>
          <w:iCs/>
        </w:rPr>
        <w:t>a</w:t>
      </w:r>
      <w:r>
        <w:rPr>
          <w:i/>
          <w:iCs/>
        </w:rPr>
        <w:t>ḥ</w:t>
      </w:r>
      <w:r>
        <w:rPr>
          <w:i/>
          <w:iCs/>
        </w:rPr>
        <w:t xml:space="preserve"> pravedakr̥dbahudhā grāmagho</w:t>
      </w:r>
      <w:r>
        <w:rPr>
          <w:i/>
          <w:iCs/>
        </w:rPr>
        <w:t>ṣ</w:t>
      </w:r>
      <w:r>
        <w:rPr>
          <w:i/>
          <w:iCs/>
        </w:rPr>
        <w:t xml:space="preserve">ī / </w:t>
      </w:r>
    </w:p>
    <w:p w14:paraId="1122849A" w14:textId="77777777" w:rsidR="00E53EB6" w:rsidRDefault="006500F5">
      <w:pPr>
        <w:pStyle w:val="ZitatnachZitat"/>
        <w:rPr>
          <w:i/>
          <w:iCs/>
        </w:rPr>
      </w:pPr>
      <w:r>
        <w:rPr>
          <w:i/>
          <w:iCs/>
        </w:rPr>
        <w:t>śreyo vanvano vayunāni vidvānkīrtim bahubhyo vi bhaja dvirāje //</w:t>
      </w:r>
    </w:p>
    <w:p w14:paraId="7445D186" w14:textId="77777777" w:rsidR="00E53EB6" w:rsidRDefault="006500F5">
      <w:pPr>
        <w:pStyle w:val="Quotations"/>
      </w:pPr>
      <w:r>
        <w:t xml:space="preserve">Roaring </w:t>
      </w:r>
      <w:r>
        <w:t>drum</w:t>
      </w:r>
      <w:r>
        <w:rPr>
          <w:rStyle w:val="FootnoteAnchor"/>
        </w:rPr>
        <w:footnoteReference w:id="569"/>
      </w:r>
      <w:r>
        <w:t xml:space="preserve">, with bold army, making known in many directions, sounding among men, </w:t>
      </w:r>
      <w:r>
        <w:rPr>
          <w:u w:val="single"/>
        </w:rPr>
        <w:t>appropriating</w:t>
      </w:r>
      <w:r>
        <w:t xml:space="preserve"> the better position, knowing the ways</w:t>
      </w:r>
      <w:r>
        <w:rPr>
          <w:rStyle w:val="FootnoteAnchor"/>
        </w:rPr>
        <w:footnoteReference w:id="570"/>
      </w:r>
      <w:r>
        <w:t>, do di</w:t>
      </w:r>
      <w:r>
        <w:t>stribute</w:t>
      </w:r>
      <w:r>
        <w:rPr>
          <w:rStyle w:val="FootnoteAnchor"/>
        </w:rPr>
        <w:footnoteReference w:id="571"/>
      </w:r>
      <w:r>
        <w:t xml:space="preserve"> the glory to many in the battle of the two kings.</w:t>
      </w:r>
    </w:p>
    <w:p w14:paraId="3583E9C2" w14:textId="77777777" w:rsidR="00E53EB6" w:rsidRPr="00494885" w:rsidRDefault="006500F5">
      <w:pPr>
        <w:pStyle w:val="Quotations"/>
        <w:rPr>
          <w:i/>
          <w:iCs/>
          <w:lang w:val="it-IT"/>
        </w:rPr>
      </w:pPr>
      <w:r>
        <w:rPr>
          <w:i/>
          <w:iCs/>
        </w:rPr>
        <w:t>vanvana</w:t>
      </w:r>
      <w:r>
        <w:rPr>
          <w:i/>
          <w:iCs/>
        </w:rPr>
        <w:t>ḥ</w:t>
      </w:r>
      <w:r>
        <w:rPr>
          <w:i/>
          <w:iCs/>
        </w:rPr>
        <w:t xml:space="preserve">: </w:t>
      </w:r>
      <w:r>
        <w:t xml:space="preserve">part. pres. nom. m. sing. </w:t>
      </w:r>
      <w:r w:rsidRPr="00494885">
        <w:rPr>
          <w:lang w:val="it-IT"/>
        </w:rPr>
        <w:t>Ā VIII cl.</w:t>
      </w:r>
    </w:p>
    <w:p w14:paraId="20AB767E" w14:textId="77777777" w:rsidR="00E53EB6" w:rsidRPr="00494885" w:rsidRDefault="006500F5">
      <w:pPr>
        <w:pStyle w:val="HaupttextnachZitat"/>
        <w:rPr>
          <w:lang w:val="it-IT"/>
        </w:rPr>
      </w:pPr>
      <w:r w:rsidRPr="00494885">
        <w:rPr>
          <w:lang w:val="it-IT"/>
        </w:rPr>
        <w:t>Vedic Web</w:t>
      </w:r>
    </w:p>
    <w:p w14:paraId="6CED9065" w14:textId="77777777" w:rsidR="00E53EB6" w:rsidRPr="00494885" w:rsidRDefault="006500F5">
      <w:pPr>
        <w:pStyle w:val="HaupttextohneEinzug"/>
        <w:rPr>
          <w:szCs w:val="18"/>
          <w:lang w:val="it-IT"/>
        </w:rPr>
      </w:pPr>
      <w:r w:rsidRPr="00494885">
        <w:rPr>
          <w:szCs w:val="18"/>
          <w:lang w:val="it-IT"/>
        </w:rPr>
        <w:t xml:space="preserve">Mantra: cf. </w:t>
      </w:r>
      <w:r w:rsidRPr="00494885">
        <w:rPr>
          <w:szCs w:val="21"/>
          <w:lang w:val="it-IT"/>
        </w:rPr>
        <w:t>AVŚ 5.20.9</w:t>
      </w:r>
    </w:p>
    <w:p w14:paraId="70C95D9D" w14:textId="77777777" w:rsidR="00E53EB6" w:rsidRPr="00494885" w:rsidRDefault="00E53EB6">
      <w:pPr>
        <w:pStyle w:val="HaupttextohneEinzug"/>
        <w:rPr>
          <w:szCs w:val="18"/>
          <w:lang w:val="it-IT"/>
        </w:rPr>
      </w:pPr>
    </w:p>
    <w:p w14:paraId="781931AA" w14:textId="77777777" w:rsidR="00E53EB6" w:rsidRDefault="006500F5">
      <w:pPr>
        <w:pStyle w:val="Heading5"/>
        <w:tabs>
          <w:tab w:val="left" w:pos="0"/>
        </w:tabs>
      </w:pPr>
      <w:r>
        <w:rPr>
          <w:szCs w:val="18"/>
          <w:u w:val="single"/>
        </w:rPr>
        <w:t>AVP 16.4.3</w:t>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p>
    <w:p w14:paraId="79933AAB" w14:textId="77777777" w:rsidR="00E53EB6" w:rsidRDefault="006500F5">
      <w:pPr>
        <w:pStyle w:val="Quotations"/>
      </w:pPr>
      <w:r>
        <w:t xml:space="preserve">16.4.3 </w:t>
      </w:r>
      <w:r>
        <w:rPr>
          <w:i/>
          <w:iCs/>
        </w:rPr>
        <w:t>agne</w:t>
      </w:r>
      <w:r>
        <w:rPr>
          <w:i/>
          <w:iCs/>
        </w:rPr>
        <w:t>ṣṭ</w:t>
      </w:r>
      <w:r>
        <w:rPr>
          <w:i/>
          <w:iCs/>
        </w:rPr>
        <w:t>e prānamamr̥tādāyu</w:t>
      </w:r>
      <w:r>
        <w:rPr>
          <w:i/>
          <w:iCs/>
        </w:rPr>
        <w:t>ṣ</w:t>
      </w:r>
      <w:r>
        <w:rPr>
          <w:i/>
          <w:iCs/>
        </w:rPr>
        <w:t>mato manave jātavedasa</w:t>
      </w:r>
      <w:r>
        <w:rPr>
          <w:i/>
          <w:iCs/>
        </w:rPr>
        <w:t>ḥ</w:t>
      </w:r>
      <w:r>
        <w:rPr>
          <w:i/>
          <w:iCs/>
        </w:rPr>
        <w:t xml:space="preserve"> / </w:t>
      </w:r>
    </w:p>
    <w:p w14:paraId="203EB253" w14:textId="77777777" w:rsidR="00E53EB6" w:rsidRDefault="006500F5">
      <w:pPr>
        <w:pStyle w:val="ZitatnachZitat"/>
        <w:rPr>
          <w:i/>
          <w:iCs/>
        </w:rPr>
      </w:pPr>
      <w:r>
        <w:rPr>
          <w:i/>
          <w:iCs/>
        </w:rPr>
        <w:t>yathā na ri</w:t>
      </w:r>
      <w:r>
        <w:rPr>
          <w:i/>
          <w:iCs/>
        </w:rPr>
        <w:t>ṣ</w:t>
      </w:r>
      <w:r>
        <w:rPr>
          <w:i/>
          <w:iCs/>
        </w:rPr>
        <w:t>yā amr̥ta</w:t>
      </w:r>
      <w:r>
        <w:rPr>
          <w:i/>
          <w:iCs/>
        </w:rPr>
        <w:t>ḥ</w:t>
      </w:r>
      <w:r>
        <w:rPr>
          <w:i/>
          <w:iCs/>
        </w:rPr>
        <w:t xml:space="preserve"> sajūrasasta</w:t>
      </w:r>
      <w:r>
        <w:rPr>
          <w:i/>
          <w:iCs/>
        </w:rPr>
        <w:t>tte kr̥</w:t>
      </w:r>
      <w:r>
        <w:rPr>
          <w:i/>
          <w:iCs/>
        </w:rPr>
        <w:t>ṇ</w:t>
      </w:r>
      <w:r>
        <w:rPr>
          <w:i/>
          <w:iCs/>
        </w:rPr>
        <w:t>omi tadu te samr̥dhyatām //</w:t>
      </w:r>
    </w:p>
    <w:p w14:paraId="204BEBE7" w14:textId="77777777" w:rsidR="00E53EB6" w:rsidRDefault="006500F5">
      <w:pPr>
        <w:pStyle w:val="Quotations"/>
      </w:pPr>
      <w:r>
        <w:t xml:space="preserve">I </w:t>
      </w:r>
      <w:r>
        <w:t>comprehend for you the breath from Agni, the immortal, the long lived, the Jātavedas, so that you may not be hurt and at the same time be immortal, that I make for you, let that be accomplished on your behalf.</w:t>
      </w:r>
    </w:p>
    <w:p w14:paraId="1BA5B6EA" w14:textId="77777777" w:rsidR="00E53EB6" w:rsidRDefault="006500F5">
      <w:pPr>
        <w:pStyle w:val="Quotations"/>
        <w:rPr>
          <w:i/>
          <w:iCs/>
        </w:rPr>
      </w:pPr>
      <w:r>
        <w:t xml:space="preserve">K. reads </w:t>
      </w:r>
      <w:r>
        <w:rPr>
          <w:i/>
          <w:iCs/>
        </w:rPr>
        <w:t xml:space="preserve">vanave </w:t>
      </w:r>
      <w:r>
        <w:t xml:space="preserve">instead of </w:t>
      </w:r>
      <w:r>
        <w:rPr>
          <w:i/>
          <w:iCs/>
        </w:rPr>
        <w:t>manave.</w:t>
      </w:r>
    </w:p>
    <w:p w14:paraId="3F66F91D" w14:textId="77777777" w:rsidR="00E53EB6" w:rsidRDefault="006500F5">
      <w:pPr>
        <w:pStyle w:val="ZitatnachZitat"/>
      </w:pPr>
      <w:r>
        <w:t xml:space="preserve">AVŚ reads </w:t>
      </w:r>
      <w:r>
        <w:rPr>
          <w:i/>
          <w:iCs/>
        </w:rPr>
        <w:t>vavne.</w:t>
      </w:r>
    </w:p>
    <w:p w14:paraId="6C6F99A9" w14:textId="77777777" w:rsidR="00E53EB6" w:rsidRDefault="00E53EB6">
      <w:pPr>
        <w:pStyle w:val="ZitatmitEinzug"/>
        <w:rPr>
          <w:szCs w:val="18"/>
        </w:rPr>
      </w:pPr>
    </w:p>
    <w:p w14:paraId="1066D737" w14:textId="77777777" w:rsidR="00E53EB6" w:rsidRDefault="006500F5">
      <w:pPr>
        <w:pStyle w:val="HaupttextnachZitat"/>
      </w:pPr>
      <w:r>
        <w:t>Vedic Web</w:t>
      </w:r>
    </w:p>
    <w:p w14:paraId="545B2555" w14:textId="77777777" w:rsidR="00E53EB6" w:rsidRDefault="006500F5">
      <w:pPr>
        <w:pStyle w:val="HaupttextohneEinzug"/>
        <w:rPr>
          <w:szCs w:val="18"/>
        </w:rPr>
      </w:pPr>
      <w:r>
        <w:rPr>
          <w:szCs w:val="18"/>
        </w:rPr>
        <w:t>Mantra: AVŚ 8.2.13.</w:t>
      </w:r>
    </w:p>
    <w:p w14:paraId="47B40B3D" w14:textId="77777777" w:rsidR="00E53EB6" w:rsidRDefault="00E53EB6">
      <w:pPr>
        <w:pStyle w:val="HaupttextohneEinzug"/>
        <w:rPr>
          <w:szCs w:val="18"/>
        </w:rPr>
      </w:pPr>
    </w:p>
    <w:p w14:paraId="61200970" w14:textId="77777777" w:rsidR="00E53EB6" w:rsidRDefault="006500F5">
      <w:pPr>
        <w:pStyle w:val="Heading5"/>
        <w:tabs>
          <w:tab w:val="left" w:pos="0"/>
        </w:tabs>
      </w:pPr>
      <w:r>
        <w:rPr>
          <w:szCs w:val="18"/>
          <w:u w:val="single"/>
        </w:rPr>
        <w:t>AVP 16.33.4</w:t>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p>
    <w:p w14:paraId="2516E535" w14:textId="77777777" w:rsidR="00E53EB6" w:rsidRDefault="006500F5">
      <w:pPr>
        <w:pStyle w:val="Quotations"/>
      </w:pPr>
      <w:r>
        <w:t xml:space="preserve">16.33.4 </w:t>
      </w:r>
      <w:r>
        <w:rPr>
          <w:i/>
          <w:iCs/>
        </w:rPr>
        <w:t>madhu jani</w:t>
      </w:r>
      <w:r>
        <w:rPr>
          <w:i/>
          <w:iCs/>
        </w:rPr>
        <w:t>ṣ</w:t>
      </w:r>
      <w:r>
        <w:rPr>
          <w:i/>
          <w:iCs/>
        </w:rPr>
        <w:t>īya madhu ma</w:t>
      </w:r>
      <w:r>
        <w:rPr>
          <w:i/>
          <w:iCs/>
        </w:rPr>
        <w:t>ṃ</w:t>
      </w:r>
      <w:r>
        <w:rPr>
          <w:i/>
          <w:iCs/>
        </w:rPr>
        <w:t>si</w:t>
      </w:r>
      <w:r>
        <w:rPr>
          <w:i/>
          <w:iCs/>
        </w:rPr>
        <w:t>ṣ</w:t>
      </w:r>
      <w:r>
        <w:rPr>
          <w:i/>
          <w:iCs/>
        </w:rPr>
        <w:t xml:space="preserve">īya / </w:t>
      </w:r>
    </w:p>
    <w:p w14:paraId="7A63DBB8" w14:textId="77777777" w:rsidR="00E53EB6" w:rsidRDefault="006500F5">
      <w:pPr>
        <w:pStyle w:val="ZitatnachZitat"/>
        <w:rPr>
          <w:i/>
          <w:iCs/>
        </w:rPr>
      </w:pPr>
      <w:r>
        <w:rPr>
          <w:i/>
          <w:iCs/>
        </w:rPr>
        <w:t>payasvānagna ā́gama</w:t>
      </w:r>
      <w:r>
        <w:rPr>
          <w:i/>
          <w:iCs/>
        </w:rPr>
        <w:t>ṃ</w:t>
      </w:r>
      <w:r>
        <w:rPr>
          <w:i/>
          <w:iCs/>
        </w:rPr>
        <w:t xml:space="preserve"> ta</w:t>
      </w:r>
      <w:r>
        <w:rPr>
          <w:i/>
          <w:iCs/>
        </w:rPr>
        <w:t>ṃ</w:t>
      </w:r>
      <w:r>
        <w:rPr>
          <w:i/>
          <w:iCs/>
        </w:rPr>
        <w:t xml:space="preserve"> mā sa</w:t>
      </w:r>
      <w:r>
        <w:rPr>
          <w:i/>
          <w:iCs/>
        </w:rPr>
        <w:t>ṃ</w:t>
      </w:r>
      <w:r>
        <w:rPr>
          <w:i/>
          <w:iCs/>
        </w:rPr>
        <w:t xml:space="preserve"> sr̥ja varcasā //</w:t>
      </w:r>
    </w:p>
    <w:p w14:paraId="63F12E42" w14:textId="77777777" w:rsidR="00E53EB6" w:rsidRDefault="006500F5">
      <w:pPr>
        <w:pStyle w:val="Quotations"/>
      </w:pPr>
      <w:r>
        <w:lastRenderedPageBreak/>
        <w:t>May I generate honey, may I</w:t>
      </w:r>
      <w:r>
        <w:t xml:space="preserve"> </w:t>
      </w:r>
      <w:r>
        <w:t>perceive</w:t>
      </w:r>
      <w:r>
        <w:t xml:space="preserve"> honey; o Agni, I have come here full of milk, mix this me with the splendour (</w:t>
      </w:r>
      <w:r>
        <w:rPr>
          <w:i/>
          <w:iCs/>
        </w:rPr>
        <w:t>varcas-</w:t>
      </w:r>
      <w:r>
        <w:t>).</w:t>
      </w:r>
    </w:p>
    <w:p w14:paraId="3688831A" w14:textId="77777777" w:rsidR="00E53EB6" w:rsidRDefault="006500F5">
      <w:pPr>
        <w:pStyle w:val="Quotations"/>
      </w:pPr>
      <w:r>
        <w:rPr>
          <w:szCs w:val="18"/>
        </w:rPr>
        <w:t xml:space="preserve">AVŚ reads </w:t>
      </w:r>
      <w:r>
        <w:rPr>
          <w:i/>
          <w:iCs/>
          <w:szCs w:val="18"/>
        </w:rPr>
        <w:t>va</w:t>
      </w:r>
      <w:r>
        <w:rPr>
          <w:i/>
          <w:iCs/>
          <w:szCs w:val="18"/>
        </w:rPr>
        <w:t>ṃ</w:t>
      </w:r>
      <w:r>
        <w:rPr>
          <w:i/>
          <w:iCs/>
          <w:szCs w:val="18"/>
        </w:rPr>
        <w:t>si</w:t>
      </w:r>
      <w:r>
        <w:rPr>
          <w:i/>
          <w:iCs/>
          <w:szCs w:val="18"/>
        </w:rPr>
        <w:t>ṣ</w:t>
      </w:r>
      <w:r>
        <w:rPr>
          <w:i/>
          <w:iCs/>
          <w:szCs w:val="18"/>
        </w:rPr>
        <w:t xml:space="preserve">īya </w:t>
      </w:r>
      <w:r>
        <w:rPr>
          <w:szCs w:val="18"/>
        </w:rPr>
        <w:t xml:space="preserve">instead of  </w:t>
      </w:r>
      <w:r>
        <w:rPr>
          <w:i/>
          <w:iCs/>
          <w:szCs w:val="18"/>
        </w:rPr>
        <w:t>ma</w:t>
      </w:r>
      <w:r>
        <w:rPr>
          <w:i/>
          <w:iCs/>
          <w:szCs w:val="18"/>
        </w:rPr>
        <w:t>ṃ</w:t>
      </w:r>
      <w:r>
        <w:rPr>
          <w:i/>
          <w:iCs/>
          <w:szCs w:val="18"/>
        </w:rPr>
        <w:t>si</w:t>
      </w:r>
      <w:r>
        <w:rPr>
          <w:i/>
          <w:iCs/>
          <w:szCs w:val="18"/>
        </w:rPr>
        <w:t>ṣ</w:t>
      </w:r>
      <w:r>
        <w:rPr>
          <w:i/>
          <w:iCs/>
          <w:szCs w:val="18"/>
        </w:rPr>
        <w:t>īya.</w:t>
      </w:r>
    </w:p>
    <w:p w14:paraId="2E1A5037" w14:textId="77777777" w:rsidR="00E53EB6" w:rsidRDefault="006500F5">
      <w:pPr>
        <w:pStyle w:val="HaupttextnachZitat"/>
      </w:pPr>
      <w:r>
        <w:t>Vedic Web</w:t>
      </w:r>
    </w:p>
    <w:p w14:paraId="42842AAB" w14:textId="77777777" w:rsidR="00E53EB6" w:rsidRDefault="006500F5">
      <w:pPr>
        <w:pStyle w:val="HaupttextohneEinzug"/>
        <w:rPr>
          <w:szCs w:val="21"/>
        </w:rPr>
      </w:pPr>
      <w:r>
        <w:rPr>
          <w:szCs w:val="21"/>
        </w:rPr>
        <w:t>Mantra: AVŚ 9.1.14</w:t>
      </w:r>
    </w:p>
    <w:p w14:paraId="6365B00B" w14:textId="77777777" w:rsidR="00E53EB6" w:rsidRDefault="00E53EB6">
      <w:pPr>
        <w:pStyle w:val="HaupttextohneEinzug"/>
        <w:rPr>
          <w:szCs w:val="21"/>
        </w:rPr>
      </w:pPr>
    </w:p>
    <w:p w14:paraId="4F1F929A" w14:textId="77777777" w:rsidR="00E53EB6" w:rsidRDefault="006500F5">
      <w:pPr>
        <w:pStyle w:val="Heading5"/>
        <w:tabs>
          <w:tab w:val="left" w:pos="0"/>
        </w:tabs>
      </w:pPr>
      <w:r>
        <w:rPr>
          <w:szCs w:val="18"/>
          <w:u w:val="single"/>
        </w:rPr>
        <w:t>AVP(K.) 17.41.3</w:t>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p>
    <w:p w14:paraId="0947FA69" w14:textId="77777777" w:rsidR="00E53EB6" w:rsidRDefault="006500F5">
      <w:pPr>
        <w:pStyle w:val="Quotations"/>
      </w:pPr>
      <w:r>
        <w:t xml:space="preserve">17.41.3 </w:t>
      </w:r>
      <w:r>
        <w:rPr>
          <w:i/>
          <w:iCs/>
        </w:rPr>
        <w:t>var</w:t>
      </w:r>
      <w:r>
        <w:rPr>
          <w:i/>
          <w:iCs/>
        </w:rPr>
        <w:t>ṣ</w:t>
      </w:r>
      <w:r>
        <w:rPr>
          <w:i/>
          <w:iCs/>
        </w:rPr>
        <w:t>a</w:t>
      </w:r>
      <w:r>
        <w:rPr>
          <w:i/>
          <w:iCs/>
        </w:rPr>
        <w:t>ṃ</w:t>
      </w:r>
      <w:r>
        <w:rPr>
          <w:i/>
          <w:iCs/>
        </w:rPr>
        <w:t xml:space="preserve"> vani</w:t>
      </w:r>
      <w:r>
        <w:rPr>
          <w:i/>
          <w:iCs/>
        </w:rPr>
        <w:t>ṣ</w:t>
      </w:r>
      <w:r>
        <w:rPr>
          <w:i/>
          <w:iCs/>
        </w:rPr>
        <w:t>vāpi gaccha devā</w:t>
      </w:r>
      <w:r>
        <w:rPr>
          <w:i/>
          <w:iCs/>
        </w:rPr>
        <w:t>ṃ</w:t>
      </w:r>
      <w:r>
        <w:rPr>
          <w:i/>
          <w:iCs/>
        </w:rPr>
        <w:t>s tato dhūma</w:t>
      </w:r>
      <w:r>
        <w:rPr>
          <w:i/>
          <w:iCs/>
        </w:rPr>
        <w:t>ṃ</w:t>
      </w:r>
      <w:r>
        <w:rPr>
          <w:i/>
          <w:iCs/>
        </w:rPr>
        <w:t xml:space="preserve"> pari utpātayāmi / </w:t>
      </w:r>
    </w:p>
    <w:p w14:paraId="295E472B" w14:textId="77777777" w:rsidR="00E53EB6" w:rsidRDefault="006500F5">
      <w:pPr>
        <w:pStyle w:val="ZitatnachZitat"/>
        <w:rPr>
          <w:i/>
          <w:iCs/>
        </w:rPr>
      </w:pPr>
      <w:r>
        <w:rPr>
          <w:i/>
          <w:iCs/>
        </w:rPr>
        <w:t>viśvavyacā viśvakarma svargas sayoni</w:t>
      </w:r>
      <w:r>
        <w:rPr>
          <w:i/>
          <w:iCs/>
        </w:rPr>
        <w:t>ṃ</w:t>
      </w:r>
      <w:r>
        <w:rPr>
          <w:i/>
          <w:iCs/>
        </w:rPr>
        <w:t xml:space="preserve"> loka</w:t>
      </w:r>
      <w:r>
        <w:rPr>
          <w:i/>
          <w:iCs/>
        </w:rPr>
        <w:t>ṃ</w:t>
      </w:r>
      <w:r>
        <w:rPr>
          <w:i/>
          <w:iCs/>
        </w:rPr>
        <w:t xml:space="preserve"> upa yāhy etam //</w:t>
      </w:r>
    </w:p>
    <w:p w14:paraId="20DCF8DE" w14:textId="77777777" w:rsidR="00E53EB6" w:rsidRDefault="006500F5">
      <w:pPr>
        <w:pStyle w:val="Quotations"/>
      </w:pPr>
      <w:r>
        <w:rPr>
          <w:u w:val="single"/>
        </w:rPr>
        <w:t>Appropriate</w:t>
      </w:r>
      <w:r>
        <w:t xml:space="preserve"> the rain, also, reach the gods, make the smoke fly up from here; you embracing all</w:t>
      </w:r>
      <w:r>
        <w:rPr>
          <w:rStyle w:val="FootnoteAnchor"/>
        </w:rPr>
        <w:footnoteReference w:id="572"/>
      </w:r>
      <w:r>
        <w:t>, accomplishing everything, going to heaven, you of the same origin, go up to that world.</w:t>
      </w:r>
    </w:p>
    <w:p w14:paraId="5844119F" w14:textId="77777777" w:rsidR="00E53EB6" w:rsidRDefault="006500F5">
      <w:pPr>
        <w:pStyle w:val="Quotations"/>
      </w:pPr>
      <w:r>
        <w:rPr>
          <w:szCs w:val="18"/>
        </w:rPr>
        <w:t xml:space="preserve">AVŚ reads </w:t>
      </w:r>
      <w:r>
        <w:rPr>
          <w:i/>
          <w:iCs/>
          <w:szCs w:val="18"/>
        </w:rPr>
        <w:t>vanu</w:t>
      </w:r>
      <w:r>
        <w:rPr>
          <w:i/>
          <w:iCs/>
          <w:szCs w:val="18"/>
        </w:rPr>
        <w:t>ṣ</w:t>
      </w:r>
      <w:r>
        <w:rPr>
          <w:i/>
          <w:iCs/>
          <w:szCs w:val="18"/>
        </w:rPr>
        <w:t xml:space="preserve">va </w:t>
      </w:r>
      <w:r>
        <w:rPr>
          <w:szCs w:val="18"/>
        </w:rPr>
        <w:t>(impv. pres. 2</w:t>
      </w:r>
      <w:r>
        <w:rPr>
          <w:szCs w:val="18"/>
          <w:vertAlign w:val="superscript"/>
        </w:rPr>
        <w:t>nd</w:t>
      </w:r>
      <w:r>
        <w:rPr>
          <w:szCs w:val="18"/>
        </w:rPr>
        <w:t xml:space="preserve"> sing. Ā VIIIcl.) instead of  </w:t>
      </w:r>
      <w:r>
        <w:rPr>
          <w:i/>
          <w:iCs/>
          <w:szCs w:val="18"/>
        </w:rPr>
        <w:t>vani</w:t>
      </w:r>
      <w:r>
        <w:rPr>
          <w:i/>
          <w:iCs/>
          <w:szCs w:val="18"/>
        </w:rPr>
        <w:t>ṣ</w:t>
      </w:r>
      <w:r>
        <w:rPr>
          <w:i/>
          <w:iCs/>
          <w:szCs w:val="18"/>
        </w:rPr>
        <w:t>va.</w:t>
      </w:r>
      <w:r>
        <w:rPr>
          <w:szCs w:val="18"/>
        </w:rPr>
        <w:t xml:space="preserve"> </w:t>
      </w:r>
      <w:r>
        <w:rPr>
          <w:szCs w:val="18"/>
        </w:rPr>
        <w:t xml:space="preserve">Barret reads </w:t>
      </w:r>
      <w:r>
        <w:rPr>
          <w:i/>
          <w:iCs/>
          <w:szCs w:val="18"/>
        </w:rPr>
        <w:t>vani</w:t>
      </w:r>
      <w:r>
        <w:rPr>
          <w:i/>
          <w:iCs/>
          <w:szCs w:val="18"/>
        </w:rPr>
        <w:t>ṣ</w:t>
      </w:r>
      <w:r>
        <w:rPr>
          <w:i/>
          <w:iCs/>
          <w:szCs w:val="18"/>
        </w:rPr>
        <w:t xml:space="preserve">va </w:t>
      </w:r>
      <w:r>
        <w:rPr>
          <w:szCs w:val="18"/>
        </w:rPr>
        <w:t>(ind. aor. 1</w:t>
      </w:r>
      <w:r>
        <w:rPr>
          <w:szCs w:val="18"/>
          <w:vertAlign w:val="superscript"/>
        </w:rPr>
        <w:t>st</w:t>
      </w:r>
      <w:r>
        <w:rPr>
          <w:szCs w:val="18"/>
        </w:rPr>
        <w:t xml:space="preserve"> du. -</w:t>
      </w:r>
      <w:r>
        <w:rPr>
          <w:i/>
          <w:iCs/>
          <w:szCs w:val="18"/>
        </w:rPr>
        <w:t>i</w:t>
      </w:r>
      <w:r>
        <w:rPr>
          <w:i/>
          <w:iCs/>
          <w:szCs w:val="18"/>
        </w:rPr>
        <w:t>ṣ</w:t>
      </w:r>
      <w:r>
        <w:rPr>
          <w:i/>
          <w:iCs/>
          <w:szCs w:val="18"/>
        </w:rPr>
        <w:t xml:space="preserve"> </w:t>
      </w:r>
      <w:r>
        <w:rPr>
          <w:szCs w:val="18"/>
        </w:rPr>
        <w:t>aorist).</w:t>
      </w:r>
      <w:r>
        <w:rPr>
          <w:i/>
          <w:iCs/>
          <w:szCs w:val="18"/>
        </w:rPr>
        <w:t xml:space="preserve"> </w:t>
      </w:r>
      <w:r>
        <w:rPr>
          <w:szCs w:val="18"/>
        </w:rPr>
        <w:t xml:space="preserve">The original </w:t>
      </w:r>
      <w:r>
        <w:rPr>
          <w:i/>
          <w:iCs/>
          <w:szCs w:val="18"/>
        </w:rPr>
        <w:t>śarada</w:t>
      </w:r>
      <w:r>
        <w:rPr>
          <w:szCs w:val="18"/>
        </w:rPr>
        <w:t xml:space="preserve"> manuscript reads </w:t>
      </w:r>
      <w:r>
        <w:rPr>
          <w:i/>
          <w:iCs/>
          <w:szCs w:val="18"/>
        </w:rPr>
        <w:t>vanu</w:t>
      </w:r>
      <w:r>
        <w:rPr>
          <w:i/>
          <w:iCs/>
          <w:szCs w:val="18"/>
        </w:rPr>
        <w:t>ṣ</w:t>
      </w:r>
      <w:r>
        <w:rPr>
          <w:i/>
          <w:iCs/>
          <w:szCs w:val="18"/>
        </w:rPr>
        <w:t xml:space="preserve">vāpi </w:t>
      </w:r>
      <w:r>
        <w:rPr>
          <w:szCs w:val="18"/>
        </w:rPr>
        <w:t>[f227b].</w:t>
      </w:r>
    </w:p>
    <w:p w14:paraId="4664EAB6" w14:textId="77777777" w:rsidR="00E53EB6" w:rsidRPr="00494885" w:rsidRDefault="006500F5">
      <w:pPr>
        <w:pStyle w:val="HaupttextnachZitat"/>
        <w:rPr>
          <w:lang w:val="it-IT"/>
        </w:rPr>
      </w:pPr>
      <w:r w:rsidRPr="00494885">
        <w:rPr>
          <w:lang w:val="it-IT"/>
        </w:rPr>
        <w:t>Vedic Web</w:t>
      </w:r>
    </w:p>
    <w:p w14:paraId="288D1BD0" w14:textId="77777777" w:rsidR="00E53EB6" w:rsidRPr="00494885" w:rsidRDefault="006500F5">
      <w:pPr>
        <w:pStyle w:val="HaupttextohneEinzug"/>
        <w:rPr>
          <w:szCs w:val="21"/>
          <w:lang w:val="it-IT"/>
        </w:rPr>
      </w:pPr>
      <w:r w:rsidRPr="00494885">
        <w:rPr>
          <w:szCs w:val="21"/>
          <w:lang w:val="it-IT"/>
        </w:rPr>
        <w:t>Mantra: cf. AVŚ 12.3.53</w:t>
      </w:r>
    </w:p>
    <w:p w14:paraId="4870D048" w14:textId="77777777" w:rsidR="00E53EB6" w:rsidRPr="00494885" w:rsidRDefault="00E53EB6">
      <w:pPr>
        <w:pStyle w:val="HaupttextohneEinzug"/>
        <w:rPr>
          <w:szCs w:val="18"/>
          <w:lang w:val="it-IT"/>
        </w:rPr>
      </w:pPr>
    </w:p>
    <w:p w14:paraId="2AF32C34" w14:textId="77777777" w:rsidR="00E53EB6" w:rsidRDefault="006500F5">
      <w:pPr>
        <w:pStyle w:val="Heading5"/>
        <w:tabs>
          <w:tab w:val="left" w:pos="0"/>
        </w:tabs>
      </w:pPr>
      <w:r>
        <w:rPr>
          <w:szCs w:val="18"/>
          <w:u w:val="single"/>
        </w:rPr>
        <w:t>AVP(K.) 19.26.5</w:t>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p>
    <w:p w14:paraId="4DF39CC2" w14:textId="77777777" w:rsidR="00E53EB6" w:rsidRDefault="006500F5">
      <w:pPr>
        <w:pStyle w:val="Quotations"/>
      </w:pPr>
      <w:r>
        <w:t xml:space="preserve">19.26.5 </w:t>
      </w:r>
      <w:r>
        <w:rPr>
          <w:i/>
          <w:iCs/>
        </w:rPr>
        <w:t>vanu</w:t>
      </w:r>
      <w:r>
        <w:rPr>
          <w:i/>
          <w:iCs/>
        </w:rPr>
        <w:t>ṣ</w:t>
      </w:r>
      <w:r>
        <w:rPr>
          <w:i/>
          <w:iCs/>
        </w:rPr>
        <w:t>va viśvadeve</w:t>
      </w:r>
      <w:r>
        <w:rPr>
          <w:i/>
          <w:iCs/>
        </w:rPr>
        <w:t>ṣ</w:t>
      </w:r>
      <w:r>
        <w:rPr>
          <w:i/>
          <w:iCs/>
        </w:rPr>
        <w:t>u vanu</w:t>
      </w:r>
      <w:r>
        <w:rPr>
          <w:i/>
          <w:iCs/>
        </w:rPr>
        <w:t>ṣ</w:t>
      </w:r>
      <w:r>
        <w:rPr>
          <w:i/>
          <w:iCs/>
        </w:rPr>
        <w:t>va tva</w:t>
      </w:r>
      <w:r>
        <w:rPr>
          <w:i/>
          <w:iCs/>
        </w:rPr>
        <w:t>ṃ</w:t>
      </w:r>
      <w:r>
        <w:rPr>
          <w:i/>
          <w:iCs/>
        </w:rPr>
        <w:t xml:space="preserve"> vr̥haspatāu / ghr̥tena prajā</w:t>
      </w:r>
      <w:r>
        <w:rPr>
          <w:i/>
          <w:iCs/>
        </w:rPr>
        <w:t>ṃ</w:t>
      </w:r>
      <w:r>
        <w:rPr>
          <w:i/>
          <w:iCs/>
        </w:rPr>
        <w:t xml:space="preserve"> vanute ghr̥tena rayim a</w:t>
      </w:r>
      <w:r>
        <w:rPr>
          <w:i/>
          <w:iCs/>
        </w:rPr>
        <w:t>ṣ</w:t>
      </w:r>
      <w:r>
        <w:rPr>
          <w:i/>
          <w:iCs/>
        </w:rPr>
        <w:t>nute</w:t>
      </w:r>
      <w:r>
        <w:rPr>
          <w:i/>
          <w:iCs/>
        </w:rPr>
        <w:t xml:space="preserve"> //</w:t>
      </w:r>
    </w:p>
    <w:p w14:paraId="15D19E76" w14:textId="77777777" w:rsidR="00E53EB6" w:rsidRDefault="006500F5">
      <w:pPr>
        <w:pStyle w:val="Quotations"/>
      </w:pPr>
      <w:r>
        <w:rPr>
          <w:u w:val="single"/>
        </w:rPr>
        <w:t>Appropriate</w:t>
      </w:r>
      <w:r>
        <w:t xml:space="preserve"> among all the gods, </w:t>
      </w:r>
      <w:r>
        <w:rPr>
          <w:u w:val="single"/>
        </w:rPr>
        <w:t>appropriate</w:t>
      </w:r>
      <w:r>
        <w:t xml:space="preserve"> among Br̥haspati,</w:t>
      </w:r>
      <w:r>
        <w:rPr>
          <w:rStyle w:val="FootnoteAnchor"/>
        </w:rPr>
        <w:footnoteReference w:id="573"/>
      </w:r>
      <w:r>
        <w:t xml:space="preserve"> you, he </w:t>
      </w:r>
      <w:r>
        <w:rPr>
          <w:u w:val="single"/>
        </w:rPr>
        <w:t>appropriates</w:t>
      </w:r>
      <w:r>
        <w:t xml:space="preserve"> the offspring through the clarified butter, he obtains the richness with the</w:t>
      </w:r>
      <w:r>
        <w:t xml:space="preserve"> clarified butter.</w:t>
      </w:r>
    </w:p>
    <w:p w14:paraId="25B8E27F" w14:textId="77777777" w:rsidR="00E53EB6" w:rsidRDefault="006500F5">
      <w:pPr>
        <w:pStyle w:val="Quotations"/>
        <w:rPr>
          <w:i/>
          <w:iCs/>
        </w:rPr>
      </w:pPr>
      <w:r>
        <w:rPr>
          <w:szCs w:val="18"/>
        </w:rPr>
        <w:t>2x</w:t>
      </w:r>
      <w:r>
        <w:rPr>
          <w:i/>
          <w:iCs/>
          <w:szCs w:val="18"/>
        </w:rPr>
        <w:t xml:space="preserve"> vanu</w:t>
      </w:r>
      <w:r>
        <w:rPr>
          <w:i/>
          <w:iCs/>
          <w:szCs w:val="18"/>
        </w:rPr>
        <w:t>ṣ</w:t>
      </w:r>
      <w:r>
        <w:rPr>
          <w:i/>
          <w:iCs/>
          <w:szCs w:val="18"/>
        </w:rPr>
        <w:t>va:</w:t>
      </w:r>
      <w:r>
        <w:rPr>
          <w:szCs w:val="18"/>
        </w:rPr>
        <w:t xml:space="preserve"> impv. pres. 2</w:t>
      </w:r>
      <w:r>
        <w:rPr>
          <w:szCs w:val="18"/>
          <w:vertAlign w:val="superscript"/>
        </w:rPr>
        <w:t>nd</w:t>
      </w:r>
      <w:r>
        <w:rPr>
          <w:szCs w:val="18"/>
        </w:rPr>
        <w:t xml:space="preserve"> sing. Ā VIII cl.</w:t>
      </w:r>
    </w:p>
    <w:p w14:paraId="40D5DC82" w14:textId="77777777" w:rsidR="00E53EB6" w:rsidRPr="00494885" w:rsidRDefault="006500F5">
      <w:pPr>
        <w:pStyle w:val="Quotations"/>
        <w:rPr>
          <w:i/>
          <w:iCs/>
          <w:lang w:val="it-IT"/>
        </w:rPr>
      </w:pPr>
      <w:r>
        <w:rPr>
          <w:i/>
          <w:iCs/>
          <w:szCs w:val="18"/>
        </w:rPr>
        <w:t xml:space="preserve">vanute, </w:t>
      </w:r>
      <w:r>
        <w:rPr>
          <w:szCs w:val="18"/>
        </w:rPr>
        <w:t>ind. pres. 3</w:t>
      </w:r>
      <w:r>
        <w:rPr>
          <w:szCs w:val="18"/>
          <w:vertAlign w:val="superscript"/>
        </w:rPr>
        <w:t>rd</w:t>
      </w:r>
      <w:r>
        <w:rPr>
          <w:szCs w:val="18"/>
        </w:rPr>
        <w:t xml:space="preserve"> sing. </w:t>
      </w:r>
      <w:r w:rsidRPr="00494885">
        <w:rPr>
          <w:szCs w:val="18"/>
          <w:lang w:val="it-IT"/>
        </w:rPr>
        <w:t>Ā VIII cl.</w:t>
      </w:r>
    </w:p>
    <w:p w14:paraId="67792DCF" w14:textId="77777777" w:rsidR="00E53EB6" w:rsidRPr="00494885" w:rsidRDefault="006500F5">
      <w:pPr>
        <w:pStyle w:val="HaupttextnachZitat"/>
        <w:rPr>
          <w:lang w:val="it-IT"/>
        </w:rPr>
      </w:pPr>
      <w:r w:rsidRPr="00494885">
        <w:rPr>
          <w:lang w:val="it-IT"/>
        </w:rPr>
        <w:t>Vedic Web</w:t>
      </w:r>
    </w:p>
    <w:p w14:paraId="2EDF3C16" w14:textId="77777777" w:rsidR="00E53EB6" w:rsidRPr="00494885" w:rsidRDefault="006500F5">
      <w:pPr>
        <w:pStyle w:val="HaupttextohneEinzug"/>
        <w:rPr>
          <w:lang w:val="it-IT"/>
        </w:rPr>
      </w:pPr>
      <w:r w:rsidRPr="00494885">
        <w:rPr>
          <w:lang w:val="it-IT"/>
        </w:rPr>
        <w:t>∅</w:t>
      </w:r>
    </w:p>
    <w:p w14:paraId="4510E252" w14:textId="77777777" w:rsidR="00E53EB6" w:rsidRPr="00494885" w:rsidRDefault="00E53EB6">
      <w:pPr>
        <w:pStyle w:val="HaupttextohneEinzug"/>
        <w:rPr>
          <w:szCs w:val="21"/>
          <w:lang w:val="it-IT"/>
        </w:rPr>
      </w:pPr>
    </w:p>
    <w:p w14:paraId="33C744D3" w14:textId="77777777" w:rsidR="00E53EB6" w:rsidRDefault="006500F5">
      <w:pPr>
        <w:pStyle w:val="Heading5"/>
        <w:tabs>
          <w:tab w:val="left" w:pos="0"/>
        </w:tabs>
      </w:pPr>
      <w:r>
        <w:rPr>
          <w:szCs w:val="18"/>
          <w:u w:val="single"/>
        </w:rPr>
        <w:t>AVP(K.) 19.26.6</w:t>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p>
    <w:p w14:paraId="7EA80EBE" w14:textId="77777777" w:rsidR="00E53EB6" w:rsidRDefault="006500F5">
      <w:pPr>
        <w:pStyle w:val="Quotations"/>
      </w:pPr>
      <w:r>
        <w:t xml:space="preserve">19.26.6 </w:t>
      </w:r>
      <w:r>
        <w:rPr>
          <w:i/>
          <w:iCs/>
        </w:rPr>
        <w:t>ghr̥tenāyu</w:t>
      </w:r>
      <w:r>
        <w:rPr>
          <w:i/>
          <w:iCs/>
        </w:rPr>
        <w:t>ṣ</w:t>
      </w:r>
      <w:r>
        <w:rPr>
          <w:i/>
          <w:iCs/>
        </w:rPr>
        <w:t>ya</w:t>
      </w:r>
      <w:r>
        <w:rPr>
          <w:i/>
          <w:iCs/>
        </w:rPr>
        <w:t>ṃ</w:t>
      </w:r>
      <w:r>
        <w:rPr>
          <w:i/>
          <w:iCs/>
        </w:rPr>
        <w:t xml:space="preserve"> varcasya</w:t>
      </w:r>
      <w:r>
        <w:rPr>
          <w:i/>
          <w:iCs/>
        </w:rPr>
        <w:t>ṃ</w:t>
      </w:r>
      <w:r>
        <w:rPr>
          <w:i/>
          <w:iCs/>
        </w:rPr>
        <w:t xml:space="preserve"> devebhyo vanute pari / parjanya</w:t>
      </w:r>
      <w:r>
        <w:rPr>
          <w:i/>
          <w:iCs/>
        </w:rPr>
        <w:t>ḥ</w:t>
      </w:r>
      <w:r>
        <w:rPr>
          <w:i/>
          <w:iCs/>
        </w:rPr>
        <w:t xml:space="preserve"> pippala</w:t>
      </w:r>
      <w:r>
        <w:rPr>
          <w:i/>
          <w:iCs/>
        </w:rPr>
        <w:t>ṃ</w:t>
      </w:r>
      <w:r>
        <w:rPr>
          <w:i/>
          <w:iCs/>
        </w:rPr>
        <w:t xml:space="preserve"> tu</w:t>
      </w:r>
      <w:r>
        <w:rPr>
          <w:i/>
          <w:iCs/>
        </w:rPr>
        <w:t>ṣ</w:t>
      </w:r>
      <w:r>
        <w:rPr>
          <w:i/>
          <w:iCs/>
        </w:rPr>
        <w:t>yān nadyo garbha</w:t>
      </w:r>
      <w:r>
        <w:rPr>
          <w:i/>
          <w:iCs/>
        </w:rPr>
        <w:t>ṃ</w:t>
      </w:r>
      <w:r>
        <w:rPr>
          <w:i/>
          <w:iCs/>
        </w:rPr>
        <w:t xml:space="preserve"> svastaye //</w:t>
      </w:r>
    </w:p>
    <w:p w14:paraId="104A82CA" w14:textId="77777777" w:rsidR="00E53EB6" w:rsidRDefault="006500F5">
      <w:pPr>
        <w:pStyle w:val="Quotations"/>
      </w:pPr>
      <w:r>
        <w:t xml:space="preserve">With the clarified butter he </w:t>
      </w:r>
      <w:r>
        <w:rPr>
          <w:u w:val="single"/>
        </w:rPr>
        <w:t>appropriates</w:t>
      </w:r>
      <w:r>
        <w:t xml:space="preserve"> what gives a long life and the vital power, may the rain-cloud satisfy Pippala, offspring of the river, for a good fortune.</w:t>
      </w:r>
    </w:p>
    <w:p w14:paraId="15884B4A" w14:textId="77777777" w:rsidR="00E53EB6" w:rsidRDefault="006500F5">
      <w:pPr>
        <w:pStyle w:val="Quotations"/>
      </w:pPr>
      <w:r>
        <w:rPr>
          <w:i/>
          <w:iCs/>
          <w:szCs w:val="18"/>
        </w:rPr>
        <w:t xml:space="preserve">vanute: </w:t>
      </w:r>
      <w:r>
        <w:rPr>
          <w:szCs w:val="18"/>
        </w:rPr>
        <w:t>ind. pres. 3</w:t>
      </w:r>
      <w:r>
        <w:rPr>
          <w:szCs w:val="18"/>
          <w:vertAlign w:val="superscript"/>
        </w:rPr>
        <w:t>rd</w:t>
      </w:r>
      <w:r>
        <w:rPr>
          <w:szCs w:val="18"/>
        </w:rPr>
        <w:t xml:space="preserve"> sing. Ā VIII cl.</w:t>
      </w:r>
    </w:p>
    <w:p w14:paraId="28BD096F" w14:textId="77777777" w:rsidR="00E53EB6" w:rsidRDefault="006500F5">
      <w:pPr>
        <w:pStyle w:val="HaupttextnachZitat"/>
      </w:pPr>
      <w:r>
        <w:t>Vedic Web</w:t>
      </w:r>
    </w:p>
    <w:p w14:paraId="771FBFF6" w14:textId="77777777" w:rsidR="00E53EB6" w:rsidRDefault="006500F5">
      <w:pPr>
        <w:pStyle w:val="HaupttextohneEinzug"/>
        <w:rPr>
          <w:szCs w:val="21"/>
        </w:rPr>
      </w:pPr>
      <w:r>
        <w:rPr>
          <w:szCs w:val="21"/>
        </w:rPr>
        <w:t>∅</w:t>
      </w:r>
    </w:p>
    <w:p w14:paraId="18143C00" w14:textId="77777777" w:rsidR="00E53EB6" w:rsidRDefault="00E53EB6">
      <w:pPr>
        <w:pStyle w:val="HaupttextohneEinzug"/>
      </w:pPr>
    </w:p>
    <w:p w14:paraId="5B4E9AC0" w14:textId="77777777" w:rsidR="00E53EB6" w:rsidRDefault="006500F5">
      <w:pPr>
        <w:pStyle w:val="Heading5"/>
        <w:tabs>
          <w:tab w:val="left" w:pos="0"/>
        </w:tabs>
      </w:pPr>
      <w:r>
        <w:rPr>
          <w:szCs w:val="18"/>
          <w:u w:val="single"/>
        </w:rPr>
        <w:t>AVP(K.) 19.26.10</w:t>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p>
    <w:p w14:paraId="71938DEA" w14:textId="77777777" w:rsidR="00E53EB6" w:rsidRDefault="006500F5">
      <w:pPr>
        <w:pStyle w:val="Zitat"/>
      </w:pPr>
      <w:r>
        <w:t xml:space="preserve">19.26.10 </w:t>
      </w:r>
      <w:r>
        <w:rPr>
          <w:i/>
          <w:iCs/>
        </w:rPr>
        <w:t>indrasya prathama</w:t>
      </w:r>
      <w:r>
        <w:rPr>
          <w:i/>
          <w:iCs/>
        </w:rPr>
        <w:t>ṃ</w:t>
      </w:r>
      <w:r>
        <w:rPr>
          <w:i/>
          <w:iCs/>
        </w:rPr>
        <w:t xml:space="preserve"> vaco devānām apara</w:t>
      </w:r>
      <w:r>
        <w:rPr>
          <w:i/>
          <w:iCs/>
        </w:rPr>
        <w:t>ṃ</w:t>
      </w:r>
      <w:r>
        <w:rPr>
          <w:i/>
          <w:iCs/>
        </w:rPr>
        <w:t xml:space="preserve"> vaca</w:t>
      </w:r>
      <w:r>
        <w:rPr>
          <w:i/>
          <w:iCs/>
        </w:rPr>
        <w:t>ḥ</w:t>
      </w:r>
      <w:r>
        <w:rPr>
          <w:i/>
          <w:iCs/>
        </w:rPr>
        <w:t xml:space="preserve"> / tr̥tīyam aśvinor vacas tena gā</w:t>
      </w:r>
      <w:r>
        <w:rPr>
          <w:i/>
          <w:iCs/>
        </w:rPr>
        <w:t>ṃ</w:t>
      </w:r>
      <w:r>
        <w:rPr>
          <w:i/>
          <w:iCs/>
        </w:rPr>
        <w:t xml:space="preserve"> vānayāmasi //</w:t>
      </w:r>
    </w:p>
    <w:p w14:paraId="44B845DD" w14:textId="77777777" w:rsidR="00E53EB6" w:rsidRDefault="006500F5">
      <w:pPr>
        <w:pStyle w:val="Quotations"/>
      </w:pPr>
      <w:r>
        <w:t xml:space="preserve">The first speech is that of Indra, later the speech of the gods, third the speech of the Aśvin, with this we </w:t>
      </w:r>
      <w:r>
        <w:rPr>
          <w:u w:val="single"/>
        </w:rPr>
        <w:t>make</w:t>
      </w:r>
      <w:r>
        <w:t xml:space="preserve"> the cow/you (if along Barret we read </w:t>
      </w:r>
      <w:r>
        <w:rPr>
          <w:i/>
          <w:iCs/>
        </w:rPr>
        <w:t>tva</w:t>
      </w:r>
      <w:r>
        <w:rPr>
          <w:i/>
          <w:iCs/>
        </w:rPr>
        <w:t>m</w:t>
      </w:r>
      <w:r>
        <w:t xml:space="preserve"> (Agni) instead of </w:t>
      </w:r>
      <w:r>
        <w:rPr>
          <w:i/>
          <w:iCs/>
        </w:rPr>
        <w:t>gā</w:t>
      </w:r>
      <w:r>
        <w:rPr>
          <w:i/>
          <w:iCs/>
        </w:rPr>
        <w:t>ṃ</w:t>
      </w:r>
      <w:r>
        <w:rPr>
          <w:i/>
          <w:iCs/>
        </w:rPr>
        <w:t xml:space="preserve"> </w:t>
      </w:r>
      <w:r>
        <w:t xml:space="preserve">) </w:t>
      </w:r>
      <w:r>
        <w:rPr>
          <w:u w:val="single"/>
        </w:rPr>
        <w:t>desirous</w:t>
      </w:r>
      <w:r>
        <w:t xml:space="preserve">. </w:t>
      </w:r>
    </w:p>
    <w:p w14:paraId="6C5D12DD" w14:textId="77777777" w:rsidR="00E53EB6" w:rsidRDefault="006500F5">
      <w:pPr>
        <w:pStyle w:val="Quotations"/>
      </w:pPr>
      <w:r>
        <w:rPr>
          <w:i/>
          <w:iCs/>
          <w:szCs w:val="18"/>
        </w:rPr>
        <w:t xml:space="preserve">vānayāmasi: </w:t>
      </w:r>
      <w:r>
        <w:rPr>
          <w:szCs w:val="18"/>
        </w:rPr>
        <w:t>ind. pres. 1</w:t>
      </w:r>
      <w:r>
        <w:rPr>
          <w:szCs w:val="18"/>
          <w:vertAlign w:val="superscript"/>
        </w:rPr>
        <w:t>st</w:t>
      </w:r>
      <w:r>
        <w:rPr>
          <w:szCs w:val="18"/>
        </w:rPr>
        <w:t xml:space="preserve"> pl. of the causative </w:t>
      </w:r>
      <w:r>
        <w:rPr>
          <w:i/>
          <w:iCs/>
          <w:szCs w:val="18"/>
        </w:rPr>
        <w:t>vānaya-</w:t>
      </w:r>
    </w:p>
    <w:p w14:paraId="49A9917C" w14:textId="77777777" w:rsidR="00E53EB6" w:rsidRPr="00494885" w:rsidRDefault="006500F5">
      <w:pPr>
        <w:pStyle w:val="Quotations"/>
        <w:rPr>
          <w:lang w:val="de-DE"/>
        </w:rPr>
      </w:pPr>
      <w:r w:rsidRPr="00494885">
        <w:rPr>
          <w:szCs w:val="18"/>
          <w:lang w:val="de-DE"/>
        </w:rPr>
        <w:t xml:space="preserve">EWAia: II 501 “lieben machen” cf. </w:t>
      </w:r>
      <w:r w:rsidRPr="00494885">
        <w:rPr>
          <w:rStyle w:val="biblio-authorGEN"/>
          <w:szCs w:val="18"/>
          <w:lang w:val="de-DE"/>
        </w:rPr>
        <w:t>Jamison</w:t>
      </w:r>
      <w:r w:rsidRPr="00494885">
        <w:rPr>
          <w:szCs w:val="18"/>
          <w:lang w:val="de-DE"/>
        </w:rPr>
        <w:t xml:space="preserve"> 1983: 89f.</w:t>
      </w:r>
    </w:p>
    <w:p w14:paraId="093F1CCA" w14:textId="77777777" w:rsidR="00E53EB6" w:rsidRDefault="006500F5">
      <w:pPr>
        <w:pStyle w:val="HaupttextnachZitat"/>
      </w:pPr>
      <w:r>
        <w:t>Vedic Web</w:t>
      </w:r>
    </w:p>
    <w:p w14:paraId="55402395" w14:textId="77777777" w:rsidR="00E53EB6" w:rsidRDefault="006500F5">
      <w:pPr>
        <w:pStyle w:val="HaupttextohneEinzug"/>
        <w:rPr>
          <w:szCs w:val="21"/>
        </w:rPr>
      </w:pPr>
      <w:r>
        <w:rPr>
          <w:szCs w:val="21"/>
        </w:rPr>
        <w:t>∅</w:t>
      </w:r>
    </w:p>
    <w:p w14:paraId="18A1FFCC" w14:textId="77777777" w:rsidR="00E53EB6" w:rsidRDefault="00E53EB6">
      <w:pPr>
        <w:pStyle w:val="HaupttextohneEinzug"/>
        <w:rPr>
          <w:szCs w:val="21"/>
        </w:rPr>
      </w:pPr>
    </w:p>
    <w:p w14:paraId="19DEE178" w14:textId="77777777" w:rsidR="00E53EB6" w:rsidRDefault="006500F5">
      <w:pPr>
        <w:pStyle w:val="Heading5"/>
        <w:tabs>
          <w:tab w:val="left" w:pos="0"/>
        </w:tabs>
      </w:pPr>
      <w:r>
        <w:rPr>
          <w:szCs w:val="18"/>
          <w:u w:val="single"/>
        </w:rPr>
        <w:t>AVP(K.) 20.3.5</w:t>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p>
    <w:p w14:paraId="167C8074" w14:textId="77777777" w:rsidR="00E53EB6" w:rsidRDefault="006500F5">
      <w:pPr>
        <w:pStyle w:val="Zitat"/>
      </w:pPr>
      <w:r>
        <w:t>20.3.5</w:t>
      </w:r>
      <w:r>
        <w:rPr>
          <w:i/>
          <w:iCs/>
        </w:rPr>
        <w:t xml:space="preserve"> ko no asya druho avadyavatyā unne</w:t>
      </w:r>
      <w:r>
        <w:rPr>
          <w:i/>
          <w:iCs/>
        </w:rPr>
        <w:t>ṣ</w:t>
      </w:r>
      <w:r>
        <w:rPr>
          <w:i/>
          <w:iCs/>
        </w:rPr>
        <w:t>yati k</w:t>
      </w:r>
      <w:r>
        <w:rPr>
          <w:i/>
          <w:iCs/>
        </w:rPr>
        <w:t>ṣ</w:t>
      </w:r>
      <w:r>
        <w:rPr>
          <w:i/>
          <w:iCs/>
        </w:rPr>
        <w:t xml:space="preserve">atriyo vasya icchan / </w:t>
      </w:r>
    </w:p>
    <w:p w14:paraId="41589D09" w14:textId="77777777" w:rsidR="00E53EB6" w:rsidRDefault="006500F5">
      <w:pPr>
        <w:pStyle w:val="ZitatnachZitat"/>
        <w:rPr>
          <w:i/>
          <w:iCs/>
        </w:rPr>
      </w:pPr>
      <w:r>
        <w:rPr>
          <w:i/>
          <w:iCs/>
        </w:rPr>
        <w:t>ka</w:t>
      </w:r>
      <w:r>
        <w:rPr>
          <w:i/>
          <w:iCs/>
        </w:rPr>
        <w:t>ṣ</w:t>
      </w:r>
      <w:r>
        <w:rPr>
          <w:i/>
          <w:iCs/>
        </w:rPr>
        <w:t xml:space="preserve"> pūrtikāma</w:t>
      </w:r>
      <w:r>
        <w:rPr>
          <w:i/>
          <w:iCs/>
        </w:rPr>
        <w:t>ṣ</w:t>
      </w:r>
      <w:r>
        <w:rPr>
          <w:i/>
          <w:iCs/>
        </w:rPr>
        <w:t xml:space="preserve"> ko u yajñakāma</w:t>
      </w:r>
      <w:r>
        <w:rPr>
          <w:i/>
          <w:iCs/>
        </w:rPr>
        <w:t>ṣ</w:t>
      </w:r>
      <w:r>
        <w:rPr>
          <w:i/>
          <w:iCs/>
        </w:rPr>
        <w:t xml:space="preserve"> ko deve</w:t>
      </w:r>
      <w:r>
        <w:rPr>
          <w:i/>
          <w:iCs/>
        </w:rPr>
        <w:t>ṣ</w:t>
      </w:r>
      <w:r>
        <w:rPr>
          <w:i/>
          <w:iCs/>
        </w:rPr>
        <w:t>u vanute dīrgham āyu</w:t>
      </w:r>
      <w:r>
        <w:rPr>
          <w:i/>
          <w:iCs/>
        </w:rPr>
        <w:t>ḥ</w:t>
      </w:r>
      <w:r>
        <w:rPr>
          <w:i/>
          <w:iCs/>
        </w:rPr>
        <w:t xml:space="preserve"> // </w:t>
      </w:r>
    </w:p>
    <w:p w14:paraId="7F8D3343" w14:textId="77777777" w:rsidR="00E53EB6" w:rsidRDefault="006500F5">
      <w:pPr>
        <w:pStyle w:val="Quotations"/>
      </w:pPr>
      <w:r>
        <w:t xml:space="preserve">Who will lead us out of this disgraceful harm (offence – harmful situation)? The </w:t>
      </w:r>
      <w:r>
        <w:rPr>
          <w:i/>
          <w:iCs/>
        </w:rPr>
        <w:t>k</w:t>
      </w:r>
      <w:r>
        <w:rPr>
          <w:i/>
          <w:iCs/>
        </w:rPr>
        <w:t>ṣ</w:t>
      </w:r>
      <w:r>
        <w:rPr>
          <w:i/>
          <w:iCs/>
        </w:rPr>
        <w:t xml:space="preserve">atriya </w:t>
      </w:r>
      <w:r>
        <w:t xml:space="preserve">(the king) seeking after an increasing wealth? Who, the one desiring the reward or that desiring the </w:t>
      </w:r>
      <w:r>
        <w:t xml:space="preserve">sacrifice, who </w:t>
      </w:r>
      <w:r>
        <w:rPr>
          <w:u w:val="single"/>
        </w:rPr>
        <w:t>appropriates for himself</w:t>
      </w:r>
      <w:r>
        <w:t xml:space="preserve"> a long life-time among the gods?</w:t>
      </w:r>
    </w:p>
    <w:p w14:paraId="66F49F1A" w14:textId="77777777" w:rsidR="00E53EB6" w:rsidRDefault="006500F5">
      <w:pPr>
        <w:pStyle w:val="Quotations"/>
        <w:rPr>
          <w:i/>
          <w:iCs/>
        </w:rPr>
      </w:pPr>
      <w:r>
        <w:rPr>
          <w:i/>
          <w:iCs/>
          <w:szCs w:val="18"/>
        </w:rPr>
        <w:t xml:space="preserve">vanute: </w:t>
      </w:r>
      <w:r>
        <w:rPr>
          <w:szCs w:val="18"/>
        </w:rPr>
        <w:t>ind. pres. 3</w:t>
      </w:r>
      <w:r>
        <w:rPr>
          <w:szCs w:val="18"/>
          <w:vertAlign w:val="superscript"/>
        </w:rPr>
        <w:t>rd</w:t>
      </w:r>
      <w:r>
        <w:rPr>
          <w:szCs w:val="18"/>
        </w:rPr>
        <w:t xml:space="preserve"> sing. Ā VIII cl.</w:t>
      </w:r>
    </w:p>
    <w:p w14:paraId="51889BC2" w14:textId="77777777" w:rsidR="00E53EB6" w:rsidRDefault="006500F5">
      <w:pPr>
        <w:pStyle w:val="HaupttextnachZitat"/>
      </w:pPr>
      <w:r>
        <w:t>Vedic</w:t>
      </w:r>
      <w:r>
        <w:t xml:space="preserve"> Web</w:t>
      </w:r>
    </w:p>
    <w:p w14:paraId="00CC503A" w14:textId="77777777" w:rsidR="00E53EB6" w:rsidRDefault="006500F5">
      <w:pPr>
        <w:pStyle w:val="HaupttextohneEinzug"/>
        <w:rPr>
          <w:szCs w:val="21"/>
        </w:rPr>
      </w:pPr>
      <w:r>
        <w:rPr>
          <w:szCs w:val="21"/>
        </w:rPr>
        <w:t>Mantra: AVŚ 7.103.1</w:t>
      </w:r>
    </w:p>
    <w:p w14:paraId="392E6004" w14:textId="77777777" w:rsidR="00E53EB6" w:rsidRDefault="00E53EB6">
      <w:pPr>
        <w:pStyle w:val="HaupttextohneEinzug"/>
        <w:rPr>
          <w:szCs w:val="21"/>
        </w:rPr>
      </w:pPr>
    </w:p>
    <w:p w14:paraId="432653F8" w14:textId="77777777" w:rsidR="00E53EB6" w:rsidRDefault="006500F5">
      <w:pPr>
        <w:pStyle w:val="Heading5"/>
        <w:tabs>
          <w:tab w:val="left" w:pos="0"/>
        </w:tabs>
      </w:pPr>
      <w:r>
        <w:rPr>
          <w:szCs w:val="18"/>
          <w:u w:val="single"/>
        </w:rPr>
        <w:t>AVP(K.) 20.24.4</w:t>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p>
    <w:p w14:paraId="30702038" w14:textId="77777777" w:rsidR="00E53EB6" w:rsidRDefault="006500F5">
      <w:pPr>
        <w:pStyle w:val="Zitat"/>
      </w:pPr>
      <w:r>
        <w:t>20.24.4</w:t>
      </w:r>
      <w:r>
        <w:rPr>
          <w:i/>
          <w:iCs/>
        </w:rPr>
        <w:t xml:space="preserve"> indras tvāgre vānayat savitā tvā tato ‘para</w:t>
      </w:r>
      <w:r>
        <w:rPr>
          <w:i/>
          <w:iCs/>
        </w:rPr>
        <w:t>ḥ</w:t>
      </w:r>
      <w:r>
        <w:rPr>
          <w:i/>
          <w:iCs/>
        </w:rPr>
        <w:t xml:space="preserve"> / tr̥tīyam aśvinā tvāgre va</w:t>
      </w:r>
      <w:r>
        <w:rPr>
          <w:i/>
          <w:iCs/>
        </w:rPr>
        <w:t>ṃ</w:t>
      </w:r>
      <w:r>
        <w:rPr>
          <w:i/>
          <w:iCs/>
        </w:rPr>
        <w:t>sata</w:t>
      </w:r>
      <w:r>
        <w:rPr>
          <w:i/>
          <w:iCs/>
        </w:rPr>
        <w:t>ḥ</w:t>
      </w:r>
      <w:r>
        <w:rPr>
          <w:i/>
          <w:iCs/>
        </w:rPr>
        <w:t xml:space="preserve"> </w:t>
      </w:r>
      <w:r>
        <w:rPr>
          <w:i/>
          <w:iCs/>
        </w:rPr>
        <w:t>//</w:t>
      </w:r>
    </w:p>
    <w:p w14:paraId="5890D6FD" w14:textId="77777777" w:rsidR="00E53EB6" w:rsidRDefault="006500F5">
      <w:pPr>
        <w:pStyle w:val="Quotations"/>
      </w:pPr>
      <w:r>
        <w:t>Let Indra first</w:t>
      </w:r>
      <w:r>
        <w:rPr>
          <w:u w:val="single"/>
        </w:rPr>
        <w:t xml:space="preserve"> </w:t>
      </w:r>
      <w:r>
        <w:rPr>
          <w:u w:val="single"/>
        </w:rPr>
        <w:t>make</w:t>
      </w:r>
      <w:r>
        <w:t xml:space="preserve"> </w:t>
      </w:r>
      <w:r>
        <w:t xml:space="preserve">you </w:t>
      </w:r>
      <w:r>
        <w:rPr>
          <w:u w:val="single"/>
        </w:rPr>
        <w:t>desirous</w:t>
      </w:r>
      <w:r>
        <w:t>,</w:t>
      </w:r>
      <w:r>
        <w:t xml:space="preserve"> then Savitr̥ later, third the Aśvin may </w:t>
      </w:r>
      <w:r>
        <w:rPr>
          <w:u w:val="single"/>
        </w:rPr>
        <w:t>appropriate</w:t>
      </w:r>
      <w:r>
        <w:t xml:space="preserve"> you.</w:t>
      </w:r>
    </w:p>
    <w:p w14:paraId="47948F29" w14:textId="77777777" w:rsidR="00E53EB6" w:rsidRDefault="006500F5">
      <w:pPr>
        <w:pStyle w:val="Quotations"/>
        <w:rPr>
          <w:i/>
          <w:iCs/>
        </w:rPr>
      </w:pPr>
      <w:r>
        <w:rPr>
          <w:i/>
          <w:iCs/>
          <w:szCs w:val="18"/>
        </w:rPr>
        <w:t xml:space="preserve">vānayat: </w:t>
      </w:r>
      <w:r>
        <w:rPr>
          <w:szCs w:val="18"/>
        </w:rPr>
        <w:t>inj. pres. 3</w:t>
      </w:r>
      <w:r>
        <w:rPr>
          <w:szCs w:val="18"/>
          <w:vertAlign w:val="superscript"/>
        </w:rPr>
        <w:t>rd</w:t>
      </w:r>
      <w:r>
        <w:rPr>
          <w:szCs w:val="18"/>
        </w:rPr>
        <w:t xml:space="preserve"> sing. of the causative </w:t>
      </w:r>
      <w:r>
        <w:rPr>
          <w:i/>
          <w:iCs/>
          <w:szCs w:val="18"/>
        </w:rPr>
        <w:t>vānaya-</w:t>
      </w:r>
    </w:p>
    <w:p w14:paraId="2944FD46" w14:textId="77777777" w:rsidR="00E53EB6" w:rsidRDefault="006500F5">
      <w:pPr>
        <w:pStyle w:val="Quotations"/>
        <w:rPr>
          <w:i/>
          <w:iCs/>
        </w:rPr>
      </w:pPr>
      <w:r>
        <w:rPr>
          <w:i/>
          <w:iCs/>
          <w:szCs w:val="18"/>
        </w:rPr>
        <w:t>va</w:t>
      </w:r>
      <w:r>
        <w:rPr>
          <w:i/>
          <w:iCs/>
          <w:szCs w:val="18"/>
        </w:rPr>
        <w:t>ṃ</w:t>
      </w:r>
      <w:r>
        <w:rPr>
          <w:i/>
          <w:iCs/>
          <w:szCs w:val="18"/>
        </w:rPr>
        <w:t>sata</w:t>
      </w:r>
      <w:r>
        <w:rPr>
          <w:i/>
          <w:iCs/>
          <w:szCs w:val="18"/>
        </w:rPr>
        <w:t>ḥ</w:t>
      </w:r>
      <w:r>
        <w:rPr>
          <w:i/>
          <w:iCs/>
          <w:szCs w:val="18"/>
        </w:rPr>
        <w:t xml:space="preserve">, </w:t>
      </w:r>
      <w:r>
        <w:rPr>
          <w:szCs w:val="18"/>
        </w:rPr>
        <w:t>subj. root aor. 3</w:t>
      </w:r>
      <w:r>
        <w:rPr>
          <w:szCs w:val="18"/>
          <w:vertAlign w:val="superscript"/>
        </w:rPr>
        <w:t>rd</w:t>
      </w:r>
      <w:r>
        <w:rPr>
          <w:szCs w:val="18"/>
        </w:rPr>
        <w:t xml:space="preserve"> du. </w:t>
      </w:r>
    </w:p>
    <w:p w14:paraId="56B5370D" w14:textId="77777777" w:rsidR="00E53EB6" w:rsidRDefault="006500F5">
      <w:pPr>
        <w:pStyle w:val="HaupttextnachZitat"/>
      </w:pPr>
      <w:r>
        <w:t>Vedic</w:t>
      </w:r>
      <w:r>
        <w:t xml:space="preserve"> Web</w:t>
      </w:r>
    </w:p>
    <w:p w14:paraId="010DD8A6" w14:textId="77777777" w:rsidR="00E53EB6" w:rsidRDefault="006500F5">
      <w:pPr>
        <w:pStyle w:val="HaupttextohneEinzug"/>
        <w:rPr>
          <w:szCs w:val="21"/>
        </w:rPr>
      </w:pPr>
      <w:r>
        <w:rPr>
          <w:szCs w:val="21"/>
        </w:rPr>
        <w:t>∅</w:t>
      </w:r>
    </w:p>
    <w:p w14:paraId="0B3D1380" w14:textId="77777777" w:rsidR="00E53EB6" w:rsidRDefault="00E53EB6">
      <w:pPr>
        <w:pStyle w:val="HaupttextohneEinzug"/>
        <w:rPr>
          <w:szCs w:val="21"/>
        </w:rPr>
      </w:pPr>
    </w:p>
    <w:p w14:paraId="4121DC02" w14:textId="77777777" w:rsidR="00E53EB6" w:rsidRDefault="006500F5">
      <w:pPr>
        <w:pStyle w:val="Heading5"/>
        <w:tabs>
          <w:tab w:val="left" w:pos="0"/>
        </w:tabs>
      </w:pPr>
      <w:r>
        <w:rPr>
          <w:szCs w:val="18"/>
          <w:u w:val="single"/>
        </w:rPr>
        <w:t>AVP(K.) 20.61.11</w:t>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p>
    <w:p w14:paraId="4B021B25" w14:textId="77777777" w:rsidR="00E53EB6" w:rsidRDefault="006500F5">
      <w:pPr>
        <w:pStyle w:val="Zitat"/>
      </w:pPr>
      <w:r>
        <w:t xml:space="preserve">20.61.11 </w:t>
      </w:r>
      <w:r>
        <w:rPr>
          <w:i/>
          <w:iCs/>
        </w:rPr>
        <w:t>śālālā tva</w:t>
      </w:r>
      <w:r>
        <w:rPr>
          <w:i/>
          <w:iCs/>
        </w:rPr>
        <w:t>ṃ</w:t>
      </w:r>
      <w:r>
        <w:rPr>
          <w:i/>
          <w:iCs/>
        </w:rPr>
        <w:t xml:space="preserve"> sa</w:t>
      </w:r>
      <w:r>
        <w:rPr>
          <w:i/>
          <w:iCs/>
        </w:rPr>
        <w:t>ṃ</w:t>
      </w:r>
      <w:r>
        <w:rPr>
          <w:i/>
          <w:iCs/>
        </w:rPr>
        <w:t>vanana</w:t>
      </w:r>
      <w:r>
        <w:rPr>
          <w:i/>
          <w:iCs/>
        </w:rPr>
        <w:t>ṃ</w:t>
      </w:r>
      <w:r>
        <w:rPr>
          <w:i/>
          <w:iCs/>
        </w:rPr>
        <w:t xml:space="preserve"> vanād vananam ādr̥tam / yena gayo gandharvo ‘psarasā</w:t>
      </w:r>
      <w:r>
        <w:rPr>
          <w:i/>
          <w:iCs/>
        </w:rPr>
        <w:t>ṃ</w:t>
      </w:r>
      <w:r>
        <w:rPr>
          <w:i/>
          <w:iCs/>
        </w:rPr>
        <w:t xml:space="preserve"> samavānayat / tenāham amūm iha vā nayāmy ā mr̥tyor ā parāvata</w:t>
      </w:r>
      <w:r>
        <w:rPr>
          <w:i/>
          <w:iCs/>
        </w:rPr>
        <w:t>ḥ</w:t>
      </w:r>
      <w:r>
        <w:rPr>
          <w:i/>
          <w:iCs/>
        </w:rPr>
        <w:t xml:space="preserve"> // </w:t>
      </w:r>
    </w:p>
    <w:p w14:paraId="2AD83781" w14:textId="77777777" w:rsidR="00E53EB6" w:rsidRDefault="006500F5">
      <w:pPr>
        <w:pStyle w:val="Quotations"/>
      </w:pPr>
      <w:r>
        <w:t xml:space="preserve">You the house (?), may he </w:t>
      </w:r>
      <w:r>
        <w:rPr>
          <w:u w:val="single"/>
        </w:rPr>
        <w:t>appropriate</w:t>
      </w:r>
      <w:r>
        <w:t xml:space="preserve"> the attentive </w:t>
      </w:r>
      <w:r>
        <w:rPr>
          <w:u w:val="single"/>
        </w:rPr>
        <w:t>desire causing mutual fondness</w:t>
      </w:r>
      <w:r>
        <w:t xml:space="preserve">, with which the </w:t>
      </w:r>
      <w:r>
        <w:rPr>
          <w:i/>
          <w:iCs/>
        </w:rPr>
        <w:t>gandharva</w:t>
      </w:r>
      <w:r>
        <w:t xml:space="preserve"> Gay</w:t>
      </w:r>
      <w:r>
        <w:t xml:space="preserve">a </w:t>
      </w:r>
      <w:r>
        <w:rPr>
          <w:u w:val="single"/>
        </w:rPr>
        <w:t>made</w:t>
      </w:r>
      <w:r>
        <w:t xml:space="preserve"> t</w:t>
      </w:r>
      <w:r>
        <w:t xml:space="preserve">he </w:t>
      </w:r>
      <w:r>
        <w:rPr>
          <w:i/>
          <w:iCs/>
        </w:rPr>
        <w:t xml:space="preserve">apsaras </w:t>
      </w:r>
      <w:r>
        <w:rPr>
          <w:u w:val="single"/>
        </w:rPr>
        <w:t>love</w:t>
      </w:r>
      <w:r>
        <w:t>,</w:t>
      </w:r>
      <w:r>
        <w:t xml:space="preserve"> with that I lead her here from the death, from the distance (or : from the distance of death).</w:t>
      </w:r>
    </w:p>
    <w:p w14:paraId="43D61A44" w14:textId="77777777" w:rsidR="00E53EB6" w:rsidRPr="00494885" w:rsidRDefault="006500F5">
      <w:pPr>
        <w:pStyle w:val="Quotations"/>
        <w:rPr>
          <w:i/>
          <w:iCs/>
          <w:lang w:val="it-IT"/>
        </w:rPr>
      </w:pPr>
      <w:r>
        <w:rPr>
          <w:i/>
          <w:iCs/>
          <w:szCs w:val="18"/>
        </w:rPr>
        <w:t xml:space="preserve">vanād: </w:t>
      </w:r>
      <w:r>
        <w:rPr>
          <w:szCs w:val="18"/>
        </w:rPr>
        <w:t>subj. pres. 3</w:t>
      </w:r>
      <w:r>
        <w:rPr>
          <w:szCs w:val="18"/>
          <w:vertAlign w:val="superscript"/>
        </w:rPr>
        <w:t>rd</w:t>
      </w:r>
      <w:r>
        <w:rPr>
          <w:szCs w:val="18"/>
        </w:rPr>
        <w:t xml:space="preserve"> sing. </w:t>
      </w:r>
      <w:r w:rsidRPr="00494885">
        <w:rPr>
          <w:szCs w:val="18"/>
          <w:lang w:val="it-IT"/>
        </w:rPr>
        <w:t>I-VI cl.</w:t>
      </w:r>
    </w:p>
    <w:p w14:paraId="07BA8AB5" w14:textId="77777777" w:rsidR="00E53EB6" w:rsidRDefault="006500F5">
      <w:pPr>
        <w:pStyle w:val="Zitat"/>
        <w:rPr>
          <w:i/>
          <w:iCs/>
        </w:rPr>
      </w:pPr>
      <w:r w:rsidRPr="00494885">
        <w:rPr>
          <w:i/>
          <w:iCs/>
          <w:lang w:val="it-IT"/>
        </w:rPr>
        <w:lastRenderedPageBreak/>
        <w:t xml:space="preserve">samavānayat, </w:t>
      </w:r>
      <w:r w:rsidRPr="00494885">
        <w:rPr>
          <w:lang w:val="it-IT"/>
        </w:rPr>
        <w:t xml:space="preserve">ind. impf. </w:t>
      </w:r>
      <w:r>
        <w:t>3</w:t>
      </w:r>
      <w:r>
        <w:rPr>
          <w:vertAlign w:val="superscript"/>
        </w:rPr>
        <w:t>rd</w:t>
      </w:r>
      <w:r>
        <w:t xml:space="preserve"> sing of the causative </w:t>
      </w:r>
      <w:r>
        <w:rPr>
          <w:i/>
          <w:iCs/>
        </w:rPr>
        <w:t>vānaya-</w:t>
      </w:r>
    </w:p>
    <w:p w14:paraId="1A67F9BA" w14:textId="77777777" w:rsidR="00E53EB6" w:rsidRDefault="006500F5">
      <w:pPr>
        <w:pStyle w:val="Zitat"/>
        <w:rPr>
          <w:i/>
          <w:iCs/>
        </w:rPr>
      </w:pPr>
      <w:r>
        <w:rPr>
          <w:i/>
          <w:iCs/>
        </w:rPr>
        <w:t>sa</w:t>
      </w:r>
      <w:r>
        <w:rPr>
          <w:i/>
          <w:iCs/>
        </w:rPr>
        <w:t>ṃ</w:t>
      </w:r>
      <w:r>
        <w:rPr>
          <w:i/>
          <w:iCs/>
        </w:rPr>
        <w:t>vanana</w:t>
      </w:r>
      <w:r>
        <w:rPr>
          <w:i/>
          <w:iCs/>
        </w:rPr>
        <w:t>ṃ</w:t>
      </w:r>
      <w:r>
        <w:rPr>
          <w:i/>
          <w:iCs/>
        </w:rPr>
        <w:t xml:space="preserve">, </w:t>
      </w:r>
      <w:r>
        <w:t xml:space="preserve">acc. sing. neu. of </w:t>
      </w:r>
      <w:r>
        <w:rPr>
          <w:i/>
          <w:iCs/>
        </w:rPr>
        <w:t>sa</w:t>
      </w:r>
      <w:r>
        <w:rPr>
          <w:i/>
          <w:iCs/>
        </w:rPr>
        <w:t>ṃ</w:t>
      </w:r>
      <w:r>
        <w:rPr>
          <w:i/>
          <w:iCs/>
        </w:rPr>
        <w:t xml:space="preserve">vanana-, </w:t>
      </w:r>
      <w:r>
        <w:t xml:space="preserve">adj. “propitiating, causing mutual fondness”  cf. </w:t>
      </w:r>
      <w:r>
        <w:rPr>
          <w:i/>
          <w:iCs/>
        </w:rPr>
        <w:t>sa</w:t>
      </w:r>
      <w:r>
        <w:rPr>
          <w:i/>
          <w:iCs/>
        </w:rPr>
        <w:t>ṃ</w:t>
      </w:r>
      <w:r>
        <w:rPr>
          <w:i/>
          <w:iCs/>
        </w:rPr>
        <w:t>-vānaya-</w:t>
      </w:r>
    </w:p>
    <w:p w14:paraId="21E42259" w14:textId="77777777" w:rsidR="00E53EB6" w:rsidRDefault="006500F5">
      <w:pPr>
        <w:pStyle w:val="Zitat"/>
        <w:rPr>
          <w:i/>
          <w:iCs/>
        </w:rPr>
      </w:pPr>
      <w:r>
        <w:rPr>
          <w:i/>
          <w:iCs/>
        </w:rPr>
        <w:t xml:space="preserve">vananam, </w:t>
      </w:r>
      <w:r>
        <w:t xml:space="preserve">acc. neu. sing. of </w:t>
      </w:r>
      <w:r>
        <w:rPr>
          <w:i/>
          <w:iCs/>
        </w:rPr>
        <w:t xml:space="preserve">vanana </w:t>
      </w:r>
      <w:r>
        <w:t xml:space="preserve">n. (Nir. .. ) there is </w:t>
      </w:r>
      <w:r>
        <w:rPr>
          <w:i/>
          <w:iCs/>
        </w:rPr>
        <w:t xml:space="preserve">vananā </w:t>
      </w:r>
      <w:r>
        <w:t>f. “wish, desire” (R̥V 9.86.40)</w:t>
      </w:r>
    </w:p>
    <w:p w14:paraId="480678A3" w14:textId="77777777" w:rsidR="00E53EB6" w:rsidRDefault="006500F5">
      <w:pPr>
        <w:pStyle w:val="HaupttextnachZitat"/>
      </w:pPr>
      <w:r>
        <w:t>Vedic</w:t>
      </w:r>
      <w:r>
        <w:t xml:space="preserve"> Web</w:t>
      </w:r>
    </w:p>
    <w:p w14:paraId="3B4EE9EB" w14:textId="77777777" w:rsidR="00E53EB6" w:rsidRDefault="006500F5">
      <w:pPr>
        <w:pStyle w:val="HaupttextohneEinzug"/>
        <w:rPr>
          <w:szCs w:val="21"/>
        </w:rPr>
      </w:pPr>
      <w:r>
        <w:rPr>
          <w:szCs w:val="21"/>
        </w:rPr>
        <w:t>∅</w:t>
      </w:r>
    </w:p>
    <w:p w14:paraId="5D70BB01" w14:textId="77777777" w:rsidR="00E53EB6" w:rsidRDefault="00E53EB6">
      <w:pPr>
        <w:pStyle w:val="Hauptext"/>
      </w:pPr>
    </w:p>
    <w:p w14:paraId="48C2FF03" w14:textId="77777777" w:rsidR="00E53EB6" w:rsidRDefault="00E53EB6">
      <w:pPr>
        <w:pStyle w:val="HaupttextohneEinzug"/>
      </w:pPr>
    </w:p>
    <w:p w14:paraId="7BBDF445" w14:textId="77777777" w:rsidR="00E53EB6" w:rsidRDefault="00E53EB6">
      <w:pPr>
        <w:pStyle w:val="HaupttextohneEinzug"/>
      </w:pPr>
    </w:p>
    <w:p w14:paraId="415107A2" w14:textId="77777777" w:rsidR="00E53EB6" w:rsidRDefault="00E53EB6">
      <w:pPr>
        <w:pStyle w:val="HaupttextohneEinzug"/>
      </w:pPr>
    </w:p>
    <w:p w14:paraId="5C9EA266" w14:textId="77777777" w:rsidR="00E53EB6" w:rsidRDefault="00E53EB6">
      <w:pPr>
        <w:pStyle w:val="Hauptext"/>
      </w:pPr>
    </w:p>
    <w:p w14:paraId="4CC90702" w14:textId="77777777" w:rsidR="00E53EB6" w:rsidRDefault="00E53EB6">
      <w:pPr>
        <w:pStyle w:val="HaupttextohneEinzug"/>
      </w:pPr>
    </w:p>
    <w:p w14:paraId="571EBD67" w14:textId="77777777" w:rsidR="00E53EB6" w:rsidRDefault="006500F5">
      <w:pPr>
        <w:pStyle w:val="Heading3"/>
        <w:tabs>
          <w:tab w:val="left" w:pos="0"/>
        </w:tabs>
      </w:pPr>
      <w:r>
        <w:t>IV.2.2 Analysis of the Atharvaveda Occurrences</w:t>
      </w:r>
    </w:p>
    <w:p w14:paraId="515504EA" w14:textId="77777777" w:rsidR="00E53EB6" w:rsidRDefault="006500F5">
      <w:pPr>
        <w:pStyle w:val="Hauptext"/>
      </w:pPr>
      <w:r>
        <w:t>I</w:t>
      </w:r>
      <w:r>
        <w:t xml:space="preserve">n the first place, we may notice that, </w:t>
      </w:r>
      <w:r>
        <w:t>unlike all other post-R̥gvedic texts,</w:t>
      </w:r>
      <w:r>
        <w:t xml:space="preserve"> there are few R̥gvedic quotations among the occurrences of </w:t>
      </w:r>
      <w:r>
        <w:rPr>
          <w:i/>
          <w:iCs/>
        </w:rPr>
        <w:t>van- / van</w:t>
      </w:r>
      <w:r>
        <w:rPr>
          <w:i/>
          <w:iCs/>
          <w:vertAlign w:val="superscript"/>
        </w:rPr>
        <w:t>i</w:t>
      </w:r>
      <w:r>
        <w:rPr>
          <w:i/>
          <w:iCs/>
        </w:rPr>
        <w:t xml:space="preserve">- </w:t>
      </w:r>
      <w:r>
        <w:t>in the Atharvaveda Sa</w:t>
      </w:r>
      <w:r>
        <w:t>ṃ</w:t>
      </w:r>
      <w:r>
        <w:t xml:space="preserve">hitās.  This is not surprising as long as we bear in mind that the fourth Veda </w:t>
      </w:r>
      <w:r>
        <w:t>doesn’t belong to the same tradition as the others, as mentioned before. Nonetheless, we can again find the verb used to convey the idea of a possession as in AVŚ 16.9.4 which is very similar to many R̥gvedic attestations:</w:t>
      </w:r>
    </w:p>
    <w:p w14:paraId="45AA5F72" w14:textId="77777777" w:rsidR="00E53EB6" w:rsidRDefault="006500F5">
      <w:pPr>
        <w:pStyle w:val="Quotations"/>
      </w:pPr>
      <w:r>
        <w:t xml:space="preserve">AVŚ 16.9.4 </w:t>
      </w:r>
      <w:r>
        <w:rPr>
          <w:i/>
          <w:iCs/>
        </w:rPr>
        <w:t xml:space="preserve"> vasyobhū́yāya vásumān</w:t>
      </w:r>
      <w:r>
        <w:rPr>
          <w:i/>
          <w:iCs/>
        </w:rPr>
        <w:t xml:space="preserve"> yajñó vásu va</w:t>
      </w:r>
      <w:r>
        <w:rPr>
          <w:i/>
          <w:iCs/>
        </w:rPr>
        <w:t>ṃ</w:t>
      </w:r>
      <w:r>
        <w:rPr>
          <w:i/>
          <w:iCs/>
        </w:rPr>
        <w:t>si</w:t>
      </w:r>
      <w:r>
        <w:rPr>
          <w:i/>
          <w:iCs/>
        </w:rPr>
        <w:t>ṣ</w:t>
      </w:r>
      <w:r>
        <w:rPr>
          <w:i/>
          <w:iCs/>
        </w:rPr>
        <w:t>īya vásumān bhūyāsa</w:t>
      </w:r>
      <w:r>
        <w:rPr>
          <w:i/>
          <w:iCs/>
        </w:rPr>
        <w:t>ṃ</w:t>
      </w:r>
      <w:r>
        <w:rPr>
          <w:i/>
          <w:iCs/>
        </w:rPr>
        <w:t xml:space="preserve"> vásu máyi dhehi //</w:t>
      </w:r>
    </w:p>
    <w:p w14:paraId="341C7B78" w14:textId="77777777" w:rsidR="00E53EB6" w:rsidRDefault="006500F5">
      <w:pPr>
        <w:pStyle w:val="Quotations"/>
      </w:pPr>
      <w:r>
        <w:t xml:space="preserve">For the increasing wealth, the sacrifice is rich in goods, </w:t>
      </w:r>
      <w:r>
        <w:rPr>
          <w:u w:val="single"/>
        </w:rPr>
        <w:t>may I appropriate</w:t>
      </w:r>
      <w:r>
        <w:t xml:space="preserve"> goods, may I be rich in goods, put goods in me.</w:t>
      </w:r>
    </w:p>
    <w:p w14:paraId="43B98961" w14:textId="77777777" w:rsidR="00E53EB6" w:rsidRDefault="006500F5">
      <w:pPr>
        <w:pStyle w:val="HaupttextnachZitat"/>
      </w:pPr>
      <w:r>
        <w:t>On the other side, here the verb is also deployed within the semantic fie</w:t>
      </w:r>
      <w:r>
        <w:t>ld of “to love, to desire” and the appropriation, in many cases, seems to be almost connected with a “love-conquest”.</w:t>
      </w:r>
    </w:p>
    <w:p w14:paraId="3FD81F76" w14:textId="77777777" w:rsidR="00E53EB6" w:rsidRDefault="006500F5">
      <w:pPr>
        <w:pStyle w:val="HaupttextohneEinzug"/>
      </w:pPr>
      <w:r>
        <w:t>If we systematically consider the attestations of the verb, w</w:t>
      </w:r>
      <w:r>
        <w:t>e may outline three types of occurrences: firstly, those where the meaning is</w:t>
      </w:r>
      <w:r>
        <w:t xml:space="preserve"> still “to appropriate”</w:t>
      </w:r>
      <w:r>
        <w:rPr>
          <w:i/>
          <w:iCs/>
          <w:szCs w:val="21"/>
        </w:rPr>
        <w:t xml:space="preserve">, </w:t>
      </w:r>
      <w:r>
        <w:rPr>
          <w:szCs w:val="21"/>
        </w:rPr>
        <w:t>like the previous example or -a frequent case- those where the object is the rain (AVŚ 4.15.10 = AVP 5.7.8; AVŚ 4.15.15; 12.3.53; AVP 17.41.3), and this is an object we have already seen in the liturgical texts. Secondly, a group o</w:t>
      </w:r>
      <w:r>
        <w:rPr>
          <w:szCs w:val="21"/>
        </w:rPr>
        <w:t>f occurrences that leaves room for speculating, because in these cases is not easy to settle for “to appropriate”, and the meaning of the verb seems to shift to the idea of sharing or granting, it is worth noticing that we already noticed a similar develop</w:t>
      </w:r>
      <w:r>
        <w:rPr>
          <w:szCs w:val="21"/>
        </w:rPr>
        <w:t>ment in the post-R̥gvedic occurrences:</w:t>
      </w:r>
    </w:p>
    <w:p w14:paraId="613BC7CF" w14:textId="77777777" w:rsidR="00E53EB6" w:rsidRDefault="006500F5">
      <w:pPr>
        <w:pStyle w:val="Zitat"/>
      </w:pPr>
      <w:r>
        <w:t xml:space="preserve">AVŚ 7.103.1 </w:t>
      </w:r>
      <w:r>
        <w:rPr>
          <w:i/>
          <w:iCs/>
        </w:rPr>
        <w:t xml:space="preserve"> kó asyā́ no druhó 'vadyávatyā únne</w:t>
      </w:r>
      <w:r>
        <w:rPr>
          <w:i/>
          <w:iCs/>
        </w:rPr>
        <w:t>ṣ</w:t>
      </w:r>
      <w:r>
        <w:rPr>
          <w:i/>
          <w:iCs/>
        </w:rPr>
        <w:t>yati k</w:t>
      </w:r>
      <w:r>
        <w:rPr>
          <w:i/>
          <w:iCs/>
        </w:rPr>
        <w:t>ṣ</w:t>
      </w:r>
      <w:r>
        <w:rPr>
          <w:i/>
          <w:iCs/>
        </w:rPr>
        <w:t xml:space="preserve">atríyo vásya ichán / </w:t>
      </w:r>
    </w:p>
    <w:p w14:paraId="4D6D3726" w14:textId="77777777" w:rsidR="00E53EB6" w:rsidRDefault="006500F5">
      <w:pPr>
        <w:pStyle w:val="ZitatnachZitat"/>
        <w:rPr>
          <w:i/>
          <w:iCs/>
        </w:rPr>
      </w:pPr>
      <w:r>
        <w:rPr>
          <w:i/>
          <w:iCs/>
        </w:rPr>
        <w:t>kó yajñákāma</w:t>
      </w:r>
      <w:r>
        <w:rPr>
          <w:i/>
          <w:iCs/>
        </w:rPr>
        <w:t>ḥ</w:t>
      </w:r>
      <w:r>
        <w:rPr>
          <w:i/>
          <w:iCs/>
        </w:rPr>
        <w:t xml:space="preserve"> ká u pū́rtikāma</w:t>
      </w:r>
      <w:r>
        <w:rPr>
          <w:i/>
          <w:iCs/>
        </w:rPr>
        <w:t>ḥ</w:t>
      </w:r>
      <w:r>
        <w:rPr>
          <w:i/>
          <w:iCs/>
        </w:rPr>
        <w:t xml:space="preserve"> kó devé</w:t>
      </w:r>
      <w:r>
        <w:rPr>
          <w:i/>
          <w:iCs/>
        </w:rPr>
        <w:t>ṣ</w:t>
      </w:r>
      <w:r>
        <w:rPr>
          <w:i/>
          <w:iCs/>
        </w:rPr>
        <w:t>u vanute dīrghám ā́yu</w:t>
      </w:r>
      <w:r>
        <w:rPr>
          <w:i/>
          <w:iCs/>
        </w:rPr>
        <w:t>ḥ</w:t>
      </w:r>
      <w:r>
        <w:rPr>
          <w:i/>
          <w:iCs/>
        </w:rPr>
        <w:t xml:space="preserve"> // </w:t>
      </w:r>
    </w:p>
    <w:p w14:paraId="71E99CAB" w14:textId="77777777" w:rsidR="00E53EB6" w:rsidRDefault="006500F5">
      <w:pPr>
        <w:pStyle w:val="Zitat"/>
      </w:pPr>
      <w:r>
        <w:t>“</w:t>
      </w:r>
      <w:r>
        <w:t xml:space="preserve">Who will lead us out of this disgraceful harm (offence – harmful situation)? the </w:t>
      </w:r>
      <w:r>
        <w:rPr>
          <w:i/>
          <w:iCs/>
        </w:rPr>
        <w:t>k</w:t>
      </w:r>
      <w:r>
        <w:rPr>
          <w:i/>
          <w:iCs/>
        </w:rPr>
        <w:t>ṣ</w:t>
      </w:r>
      <w:r>
        <w:rPr>
          <w:i/>
          <w:iCs/>
        </w:rPr>
        <w:t xml:space="preserve">atriya </w:t>
      </w:r>
      <w:r>
        <w:t xml:space="preserve">(the king) seeking after an increasing wealth? who, the one desiring the sacrifice or that desiring the reward, who </w:t>
      </w:r>
      <w:r>
        <w:rPr>
          <w:u w:val="single"/>
        </w:rPr>
        <w:t xml:space="preserve">appropriates </w:t>
      </w:r>
      <w:r>
        <w:t>a long life-time among the gods?”</w:t>
      </w:r>
    </w:p>
    <w:p w14:paraId="2A2C5398" w14:textId="77777777" w:rsidR="00E53EB6" w:rsidRDefault="006500F5">
      <w:pPr>
        <w:pStyle w:val="HaupttextnachZitat"/>
      </w:pPr>
      <w:r>
        <w:t>The</w:t>
      </w:r>
      <w:r>
        <w:t xml:space="preserve"> hymn AVŚ 7.103 is for improving one’s own condition and is probably referring to a Brahmán, hence we may think that he wouldn’t simply appropriate a long life-time but rather appropriate and grant it to his patron, that is to share it; the stanza AVP 19.2</w:t>
      </w:r>
      <w:r>
        <w:t xml:space="preserve">6.6 conveys a similar idea. Finally, we can spot a third group where “to desire” seems to be just the meaning intended. </w:t>
      </w:r>
      <w:r>
        <w:t xml:space="preserve">The stanza AVŚ 6.82.1 may not be considered a positive example, but the syntactical construction of the </w:t>
      </w:r>
      <w:r>
        <w:rPr>
          <w:i/>
          <w:iCs/>
        </w:rPr>
        <w:t>pāda</w:t>
      </w:r>
      <w:r>
        <w:t xml:space="preserve"> c seems to point to a diffe</w:t>
      </w:r>
      <w:r>
        <w:t xml:space="preserve">rent interpretation of </w:t>
      </w:r>
      <w:r>
        <w:rPr>
          <w:i/>
          <w:iCs/>
        </w:rPr>
        <w:t>van- / van</w:t>
      </w:r>
      <w:r>
        <w:rPr>
          <w:i/>
          <w:iCs/>
          <w:vertAlign w:val="superscript"/>
        </w:rPr>
        <w:t>i</w:t>
      </w:r>
      <w:r>
        <w:rPr>
          <w:i/>
          <w:iCs/>
        </w:rPr>
        <w:t xml:space="preserve">- </w:t>
      </w:r>
      <w:r>
        <w:t xml:space="preserve">other than “to appropriate” : </w:t>
      </w:r>
    </w:p>
    <w:p w14:paraId="018FB149" w14:textId="77777777" w:rsidR="00E53EB6" w:rsidRDefault="006500F5">
      <w:pPr>
        <w:pStyle w:val="Zitat"/>
      </w:pPr>
      <w:r>
        <w:t xml:space="preserve">AVŚ 6.82.1 </w:t>
      </w:r>
      <w:r>
        <w:rPr>
          <w:i/>
          <w:iCs/>
        </w:rPr>
        <w:t>āgáchata ā́gatasya nā́ma gr̥h</w:t>
      </w:r>
      <w:r>
        <w:rPr>
          <w:i/>
          <w:iCs/>
        </w:rPr>
        <w:t>ṇ</w:t>
      </w:r>
      <w:r>
        <w:rPr>
          <w:i/>
          <w:iCs/>
        </w:rPr>
        <w:t>āmyāyatá</w:t>
      </w:r>
      <w:r>
        <w:rPr>
          <w:i/>
          <w:iCs/>
        </w:rPr>
        <w:t>ḥ</w:t>
      </w:r>
      <w:r>
        <w:rPr>
          <w:i/>
          <w:iCs/>
        </w:rPr>
        <w:t xml:space="preserve"> / </w:t>
      </w:r>
    </w:p>
    <w:p w14:paraId="0090E071" w14:textId="77777777" w:rsidR="00E53EB6" w:rsidRDefault="006500F5">
      <w:pPr>
        <w:pStyle w:val="ZitatnachZitat"/>
      </w:pPr>
      <w:r>
        <w:lastRenderedPageBreak/>
        <w:t xml:space="preserve"> </w:t>
      </w:r>
      <w:r>
        <w:rPr>
          <w:i/>
          <w:iCs/>
        </w:rPr>
        <w:t>índrasya vr̥traghnó vanve vāsavásya śatákrato</w:t>
      </w:r>
      <w:r>
        <w:rPr>
          <w:i/>
          <w:iCs/>
        </w:rPr>
        <w:t>ḥ</w:t>
      </w:r>
      <w:r>
        <w:rPr>
          <w:i/>
          <w:iCs/>
        </w:rPr>
        <w:t xml:space="preserve"> //</w:t>
      </w:r>
    </w:p>
    <w:p w14:paraId="50FEF4E4" w14:textId="77777777" w:rsidR="00E53EB6" w:rsidRDefault="006500F5">
      <w:pPr>
        <w:pStyle w:val="Zitat"/>
      </w:pPr>
      <w:r>
        <w:t>I take the name of the arriving, of the arrived, of the one who is coming near; I ap</w:t>
      </w:r>
      <w:r>
        <w:t xml:space="preserve">propriate for myself (the name) of Indra, the Vr̥tra-slayer, the one related to the Vasu, the one with hundred skills. </w:t>
      </w:r>
    </w:p>
    <w:p w14:paraId="6005A9C0" w14:textId="77777777" w:rsidR="00E53EB6" w:rsidRDefault="006500F5">
      <w:pPr>
        <w:pStyle w:val="HaupttextnachZitat"/>
      </w:pPr>
      <w:r>
        <w:t>Here the verb</w:t>
      </w:r>
      <w:r>
        <w:rPr>
          <w:i/>
          <w:iCs/>
        </w:rPr>
        <w:t xml:space="preserve"> </w:t>
      </w:r>
      <w:r>
        <w:t>takes the genitive of the object, and Whitney noticed that this verb has never been used that way; it is of course possibl</w:t>
      </w:r>
      <w:r>
        <w:t xml:space="preserve">e to settle for inserting  </w:t>
      </w:r>
      <w:r>
        <w:rPr>
          <w:i/>
          <w:iCs/>
        </w:rPr>
        <w:t>nā́ma</w:t>
      </w:r>
      <w:r>
        <w:t xml:space="preserve"> from the </w:t>
      </w:r>
      <w:r>
        <w:rPr>
          <w:i/>
          <w:iCs/>
        </w:rPr>
        <w:t>pāda</w:t>
      </w:r>
      <w:r>
        <w:t xml:space="preserve"> a. On the other side, we may explain this construction in analogy with that of desiderative verbs, often accompanied by the genitive. The meaning of the </w:t>
      </w:r>
      <w:r>
        <w:rPr>
          <w:i/>
          <w:iCs/>
        </w:rPr>
        <w:t>pāda</w:t>
      </w:r>
      <w:r>
        <w:t xml:space="preserve"> could thus be “I desire for me Indra, the Vr̥tra-sl</w:t>
      </w:r>
      <w:r>
        <w:t xml:space="preserve">ayer”. There is only one other occurrences where </w:t>
      </w:r>
      <w:r>
        <w:rPr>
          <w:i/>
          <w:iCs/>
        </w:rPr>
        <w:t>van- / van</w:t>
      </w:r>
      <w:r>
        <w:rPr>
          <w:i/>
          <w:iCs/>
          <w:vertAlign w:val="superscript"/>
        </w:rPr>
        <w:t>i</w:t>
      </w:r>
      <w:r>
        <w:rPr>
          <w:i/>
          <w:iCs/>
        </w:rPr>
        <w:t xml:space="preserve">- </w:t>
      </w:r>
      <w:r>
        <w:t xml:space="preserve">takes the genitive, in </w:t>
      </w:r>
      <w:r>
        <w:rPr>
          <w:szCs w:val="18"/>
        </w:rPr>
        <w:t>AVŚ 6.126.1</w:t>
      </w:r>
      <w:r>
        <w:rPr>
          <w:szCs w:val="18"/>
        </w:rPr>
        <w:t xml:space="preserve">, </w:t>
      </w:r>
      <w:r>
        <w:t xml:space="preserve">but this stanza is a R̥gvedic quotation and </w:t>
      </w:r>
      <w:r>
        <w:rPr>
          <w:szCs w:val="18"/>
        </w:rPr>
        <w:t xml:space="preserve">R̥V 6.47.29 </w:t>
      </w:r>
      <w:r>
        <w:rPr>
          <w:szCs w:val="18"/>
        </w:rPr>
        <w:t xml:space="preserve">reads </w:t>
      </w:r>
      <w:r>
        <w:rPr>
          <w:i/>
          <w:iCs/>
          <w:szCs w:val="21"/>
        </w:rPr>
        <w:t xml:space="preserve">manutām </w:t>
      </w:r>
      <w:r>
        <w:rPr>
          <w:szCs w:val="18"/>
        </w:rPr>
        <w:t xml:space="preserve">instead of </w:t>
      </w:r>
      <w:r>
        <w:rPr>
          <w:i/>
          <w:iCs/>
          <w:szCs w:val="18"/>
        </w:rPr>
        <w:t>vanvatā</w:t>
      </w:r>
      <w:r>
        <w:rPr>
          <w:i/>
          <w:iCs/>
          <w:szCs w:val="18"/>
        </w:rPr>
        <w:t>ṃ</w:t>
      </w:r>
      <w:r>
        <w:rPr>
          <w:i/>
          <w:iCs/>
          <w:szCs w:val="18"/>
        </w:rPr>
        <w:t xml:space="preserve">, </w:t>
      </w:r>
      <w:r>
        <w:rPr>
          <w:szCs w:val="18"/>
        </w:rPr>
        <w:t xml:space="preserve">it is thus difficult to settle for maintaining the reading of the text, being the interchange between </w:t>
      </w:r>
      <w:r>
        <w:rPr>
          <w:i/>
          <w:iCs/>
          <w:szCs w:val="18"/>
        </w:rPr>
        <w:t xml:space="preserve">-v- </w:t>
      </w:r>
      <w:r>
        <w:rPr>
          <w:szCs w:val="18"/>
        </w:rPr>
        <w:t xml:space="preserve">and </w:t>
      </w:r>
      <w:r>
        <w:rPr>
          <w:i/>
          <w:iCs/>
          <w:szCs w:val="18"/>
        </w:rPr>
        <w:t xml:space="preserve">-m- </w:t>
      </w:r>
      <w:r>
        <w:rPr>
          <w:szCs w:val="18"/>
        </w:rPr>
        <w:t xml:space="preserve">an old Indo-Iranian phenomenon that occurs especially with the two roots </w:t>
      </w:r>
      <w:r>
        <w:rPr>
          <w:i/>
          <w:iCs/>
          <w:szCs w:val="18"/>
        </w:rPr>
        <w:t xml:space="preserve">van- </w:t>
      </w:r>
      <w:r>
        <w:rPr>
          <w:szCs w:val="18"/>
        </w:rPr>
        <w:t xml:space="preserve">and </w:t>
      </w:r>
      <w:r>
        <w:rPr>
          <w:i/>
          <w:iCs/>
          <w:szCs w:val="18"/>
        </w:rPr>
        <w:t xml:space="preserve">man- </w:t>
      </w:r>
      <w:r>
        <w:rPr>
          <w:szCs w:val="18"/>
        </w:rPr>
        <w:t xml:space="preserve">and their derivatives already in the </w:t>
      </w:r>
      <w:r>
        <w:rPr>
          <w:i/>
          <w:iCs/>
          <w:szCs w:val="18"/>
        </w:rPr>
        <w:t>R̥gveda Sa</w:t>
      </w:r>
      <w:r>
        <w:rPr>
          <w:i/>
          <w:iCs/>
          <w:szCs w:val="18"/>
        </w:rPr>
        <w:t>ṃ</w:t>
      </w:r>
      <w:r>
        <w:rPr>
          <w:i/>
          <w:iCs/>
          <w:szCs w:val="18"/>
        </w:rPr>
        <w:t>hitā</w:t>
      </w:r>
      <w:r>
        <w:rPr>
          <w:rStyle w:val="FootnoteAnchor"/>
          <w:i/>
          <w:iCs/>
          <w:szCs w:val="18"/>
        </w:rPr>
        <w:footnoteReference w:id="574"/>
      </w:r>
      <w:r>
        <w:rPr>
          <w:i/>
          <w:iCs/>
          <w:szCs w:val="18"/>
        </w:rPr>
        <w:t>.</w:t>
      </w:r>
      <w:r>
        <w:rPr>
          <w:szCs w:val="18"/>
        </w:rPr>
        <w:tab/>
      </w:r>
      <w:r>
        <w:rPr>
          <w:szCs w:val="18"/>
        </w:rPr>
        <w:tab/>
      </w:r>
    </w:p>
    <w:p w14:paraId="544E10F4" w14:textId="77777777" w:rsidR="00E53EB6" w:rsidRDefault="006500F5">
      <w:pPr>
        <w:pStyle w:val="Quotations"/>
      </w:pPr>
      <w:r>
        <w:t xml:space="preserve">6.126.1 </w:t>
      </w:r>
      <w:r>
        <w:rPr>
          <w:i/>
          <w:iCs/>
        </w:rPr>
        <w:t>úpa śvāsaya pr̥thivī́mutá dyā́</w:t>
      </w:r>
      <w:r>
        <w:rPr>
          <w:i/>
          <w:iCs/>
        </w:rPr>
        <w:t>ṃ</w:t>
      </w:r>
      <w:r>
        <w:rPr>
          <w:i/>
          <w:iCs/>
        </w:rPr>
        <w:t xml:space="preserve"> purutrā́ te vanvatā</w:t>
      </w:r>
      <w:r>
        <w:rPr>
          <w:i/>
          <w:iCs/>
        </w:rPr>
        <w:t>ṃ</w:t>
      </w:r>
      <w:r>
        <w:rPr>
          <w:i/>
          <w:iCs/>
        </w:rPr>
        <w:t xml:space="preserve"> ví</w:t>
      </w:r>
      <w:r>
        <w:rPr>
          <w:i/>
          <w:iCs/>
        </w:rPr>
        <w:t>ṣṭ</w:t>
      </w:r>
      <w:r>
        <w:rPr>
          <w:i/>
          <w:iCs/>
        </w:rPr>
        <w:t xml:space="preserve">hitam jágat / </w:t>
      </w:r>
    </w:p>
    <w:p w14:paraId="51ED3130" w14:textId="77777777" w:rsidR="00E53EB6" w:rsidRDefault="006500F5">
      <w:pPr>
        <w:pStyle w:val="ZitatnachZitat"/>
        <w:rPr>
          <w:i/>
          <w:iCs/>
        </w:rPr>
      </w:pPr>
      <w:r>
        <w:rPr>
          <w:i/>
          <w:iCs/>
        </w:rPr>
        <w:t>sá dundubhe sajū́ríndre</w:t>
      </w:r>
      <w:r>
        <w:rPr>
          <w:i/>
          <w:iCs/>
        </w:rPr>
        <w:t>ṇ</w:t>
      </w:r>
      <w:r>
        <w:rPr>
          <w:i/>
          <w:iCs/>
        </w:rPr>
        <w:t>a devaírdūrā́ddávīyo ápa sedha śátrūn //</w:t>
      </w:r>
    </w:p>
    <w:p w14:paraId="1384E265" w14:textId="77777777" w:rsidR="00E53EB6" w:rsidRDefault="006500F5">
      <w:pPr>
        <w:pStyle w:val="Quotations"/>
      </w:pPr>
      <w:r>
        <w:t>Fill with roaring the earth and the heaven, let the creatures scattered in many places “</w:t>
      </w:r>
      <w:r>
        <w:rPr>
          <w:u w:val="single"/>
        </w:rPr>
        <w:t>appropriate”</w:t>
      </w:r>
      <w:r>
        <w:t xml:space="preserve"> for you</w:t>
      </w:r>
      <w:r>
        <w:t xml:space="preserve"> / of you; o drum, o you, at the same time together with Indra and the gods, drive away the enemies, farther than far.</w:t>
      </w:r>
    </w:p>
    <w:p w14:paraId="6BEDFC01" w14:textId="77777777" w:rsidR="00E53EB6" w:rsidRDefault="006500F5">
      <w:pPr>
        <w:pStyle w:val="HaupttextnachZitat"/>
      </w:pPr>
      <w:r>
        <w:t>Much more revealing is the stanza AVP 2.33.1, a hymn of love.</w:t>
      </w:r>
    </w:p>
    <w:p w14:paraId="23E99EDD" w14:textId="77777777" w:rsidR="00E53EB6" w:rsidRDefault="006500F5">
      <w:pPr>
        <w:pStyle w:val="Quotations"/>
      </w:pPr>
      <w:r>
        <w:t xml:space="preserve">2.33.1 </w:t>
      </w:r>
      <w:r>
        <w:rPr>
          <w:i/>
          <w:iCs/>
        </w:rPr>
        <w:t xml:space="preserve">ūdhnā vana hr̥dā vana mukhena jihvayā vana / </w:t>
      </w:r>
    </w:p>
    <w:p w14:paraId="5480385C" w14:textId="77777777" w:rsidR="00E53EB6" w:rsidRDefault="006500F5">
      <w:pPr>
        <w:pStyle w:val="ZitatnachZitat"/>
        <w:rPr>
          <w:i/>
          <w:iCs/>
        </w:rPr>
      </w:pPr>
      <w:r>
        <w:rPr>
          <w:i/>
          <w:iCs/>
        </w:rPr>
        <w:t>prapīnā payasā vana //</w:t>
      </w:r>
    </w:p>
    <w:p w14:paraId="55FF047A" w14:textId="77777777" w:rsidR="00E53EB6" w:rsidRDefault="006500F5">
      <w:pPr>
        <w:pStyle w:val="Quotations"/>
      </w:pPr>
      <w:r>
        <w:rPr>
          <w:u w:val="single"/>
        </w:rPr>
        <w:t>Let</w:t>
      </w:r>
      <w:r>
        <w:t xml:space="preserve"> you </w:t>
      </w:r>
      <w:r>
        <w:rPr>
          <w:u w:val="single"/>
        </w:rPr>
        <w:t>desire</w:t>
      </w:r>
      <w:r>
        <w:t xml:space="preserve"> with the breast, </w:t>
      </w:r>
      <w:r>
        <w:rPr>
          <w:u w:val="single"/>
        </w:rPr>
        <w:t>let</w:t>
      </w:r>
      <w:r>
        <w:t xml:space="preserve"> you </w:t>
      </w:r>
      <w:r>
        <w:rPr>
          <w:u w:val="single"/>
        </w:rPr>
        <w:t>desire</w:t>
      </w:r>
      <w:r>
        <w:t xml:space="preserve"> with the heart, </w:t>
      </w:r>
      <w:r>
        <w:rPr>
          <w:u w:val="single"/>
        </w:rPr>
        <w:t>let</w:t>
      </w:r>
      <w:r>
        <w:t xml:space="preserve"> you </w:t>
      </w:r>
      <w:r>
        <w:rPr>
          <w:u w:val="single"/>
        </w:rPr>
        <w:t>desire</w:t>
      </w:r>
      <w:r>
        <w:t xml:space="preserve"> with the mouth, with the tongue,  </w:t>
      </w:r>
      <w:r>
        <w:rPr>
          <w:u w:val="single"/>
        </w:rPr>
        <w:t>let</w:t>
      </w:r>
      <w:r>
        <w:t xml:space="preserve"> you </w:t>
      </w:r>
      <w:r>
        <w:rPr>
          <w:u w:val="single"/>
        </w:rPr>
        <w:t>desire</w:t>
      </w:r>
      <w:r>
        <w:t xml:space="preserve"> with the swollen out / overflowed vital fluid.</w:t>
      </w:r>
    </w:p>
    <w:p w14:paraId="335B9B1B" w14:textId="77777777" w:rsidR="00E53EB6" w:rsidRDefault="006500F5">
      <w:pPr>
        <w:pStyle w:val="HaupttextnachZitat"/>
      </w:pPr>
      <w:r>
        <w:t xml:space="preserve">The same use of </w:t>
      </w:r>
      <w:r>
        <w:rPr>
          <w:i/>
          <w:iCs/>
        </w:rPr>
        <w:t>van- / van</w:t>
      </w:r>
      <w:r>
        <w:rPr>
          <w:i/>
          <w:iCs/>
          <w:vertAlign w:val="superscript"/>
        </w:rPr>
        <w:t>i</w:t>
      </w:r>
      <w:r>
        <w:rPr>
          <w:i/>
          <w:iCs/>
        </w:rPr>
        <w:t xml:space="preserve">- </w:t>
      </w:r>
      <w:r>
        <w:t xml:space="preserve">is to be found also elsewhere, e.g. in AVŚ 1.34.4 and in AVP 1.55.4 where is deployed in a love charm, and the request in the second half of the stanza goes as follows: </w:t>
      </w:r>
      <w:r>
        <w:rPr>
          <w:i/>
          <w:iCs/>
        </w:rPr>
        <w:t>māmit kila tva</w:t>
      </w:r>
      <w:r>
        <w:rPr>
          <w:i/>
          <w:iCs/>
        </w:rPr>
        <w:t>ṃ</w:t>
      </w:r>
      <w:r>
        <w:rPr>
          <w:i/>
          <w:iCs/>
        </w:rPr>
        <w:t xml:space="preserve"> vāvana</w:t>
      </w:r>
      <w:r>
        <w:rPr>
          <w:i/>
          <w:iCs/>
        </w:rPr>
        <w:t>ḥ</w:t>
      </w:r>
      <w:r>
        <w:rPr>
          <w:i/>
          <w:iCs/>
        </w:rPr>
        <w:t xml:space="preserve"> śākhā</w:t>
      </w:r>
      <w:r>
        <w:rPr>
          <w:i/>
          <w:iCs/>
        </w:rPr>
        <w:t>ṃ</w:t>
      </w:r>
      <w:r>
        <w:rPr>
          <w:i/>
          <w:iCs/>
        </w:rPr>
        <w:t xml:space="preserve"> madhumatīmiva “</w:t>
      </w:r>
      <w:r>
        <w:t>full of sweet are my hips</w:t>
      </w:r>
      <w:r>
        <w:t xml:space="preserve">, may you have </w:t>
      </w:r>
      <w:r>
        <w:t>d</w:t>
      </w:r>
      <w:r>
        <w:t>esired</w:t>
      </w:r>
      <w:r>
        <w:rPr>
          <w:i/>
          <w:iCs/>
        </w:rPr>
        <w:t xml:space="preserve"> </w:t>
      </w:r>
      <w:r>
        <w:t xml:space="preserve">me indeed as a branch full of sweet”. </w:t>
      </w:r>
      <w:r>
        <w:t xml:space="preserve">As a further development of this semantic field, we can see the use of a causative form that emerges only in the Atharvaveda. The verb, often connected with the noun-adj. </w:t>
      </w:r>
      <w:r>
        <w:rPr>
          <w:i/>
          <w:iCs/>
        </w:rPr>
        <w:t>sa</w:t>
      </w:r>
      <w:r>
        <w:rPr>
          <w:i/>
          <w:iCs/>
        </w:rPr>
        <w:t>ṃ</w:t>
      </w:r>
      <w:r>
        <w:rPr>
          <w:i/>
          <w:iCs/>
        </w:rPr>
        <w:t>vanana-</w:t>
      </w:r>
      <w:r>
        <w:t>,  clearly conveys the idea “t</w:t>
      </w:r>
      <w:r>
        <w:t xml:space="preserve">o make desirous”, and we find it also as </w:t>
      </w:r>
      <w:r>
        <w:rPr>
          <w:i/>
          <w:iCs/>
        </w:rPr>
        <w:t>sam-vānaya-</w:t>
      </w:r>
      <w:r>
        <w:t xml:space="preserve"> </w:t>
      </w:r>
    </w:p>
    <w:p w14:paraId="5C5A2C08" w14:textId="77777777" w:rsidR="00E53EB6" w:rsidRDefault="006500F5">
      <w:pPr>
        <w:pStyle w:val="Zitat"/>
      </w:pPr>
      <w:r>
        <w:t xml:space="preserve">20.61.11 </w:t>
      </w:r>
      <w:r>
        <w:rPr>
          <w:i/>
          <w:iCs/>
        </w:rPr>
        <w:t>śālālā tva</w:t>
      </w:r>
      <w:r>
        <w:rPr>
          <w:i/>
          <w:iCs/>
        </w:rPr>
        <w:t>ṃ</w:t>
      </w:r>
      <w:r>
        <w:rPr>
          <w:i/>
          <w:iCs/>
        </w:rPr>
        <w:t xml:space="preserve"> sa</w:t>
      </w:r>
      <w:r>
        <w:rPr>
          <w:i/>
          <w:iCs/>
        </w:rPr>
        <w:t>ṃ</w:t>
      </w:r>
      <w:r>
        <w:rPr>
          <w:i/>
          <w:iCs/>
        </w:rPr>
        <w:t>vanana</w:t>
      </w:r>
      <w:r>
        <w:rPr>
          <w:i/>
          <w:iCs/>
        </w:rPr>
        <w:t>ṃ</w:t>
      </w:r>
      <w:r>
        <w:rPr>
          <w:i/>
          <w:iCs/>
        </w:rPr>
        <w:t xml:space="preserve"> vanād vananam ādr̥tam / yena gayo gandharvo ‘psarasā</w:t>
      </w:r>
      <w:r>
        <w:rPr>
          <w:i/>
          <w:iCs/>
        </w:rPr>
        <w:t>ṃ</w:t>
      </w:r>
      <w:r>
        <w:rPr>
          <w:i/>
          <w:iCs/>
        </w:rPr>
        <w:t xml:space="preserve"> samavānayat / tenāham amūm iha vā nayāmy ā mr̥tyor ā parāvata</w:t>
      </w:r>
      <w:r>
        <w:rPr>
          <w:i/>
          <w:iCs/>
        </w:rPr>
        <w:t>ḥ</w:t>
      </w:r>
      <w:r>
        <w:rPr>
          <w:i/>
          <w:iCs/>
        </w:rPr>
        <w:t xml:space="preserve"> // </w:t>
      </w:r>
    </w:p>
    <w:p w14:paraId="0A5804DA" w14:textId="77777777" w:rsidR="00E53EB6" w:rsidRDefault="006500F5">
      <w:pPr>
        <w:pStyle w:val="Zitat"/>
      </w:pPr>
      <w:r>
        <w:t>You the house (?), may he</w:t>
      </w:r>
      <w:r>
        <w:rPr>
          <w:u w:val="single"/>
        </w:rPr>
        <w:t xml:space="preserve"> appropriate</w:t>
      </w:r>
      <w:r>
        <w:t xml:space="preserve"> the attenti</w:t>
      </w:r>
      <w:r>
        <w:t xml:space="preserve">ve </w:t>
      </w:r>
      <w:r>
        <w:rPr>
          <w:u w:val="single"/>
        </w:rPr>
        <w:t>desire causing mutual fondness,</w:t>
      </w:r>
      <w:r>
        <w:t xml:space="preserve"> with which the </w:t>
      </w:r>
      <w:r>
        <w:rPr>
          <w:i/>
          <w:iCs/>
        </w:rPr>
        <w:t>gandharva</w:t>
      </w:r>
      <w:r>
        <w:t xml:space="preserve"> Gaya </w:t>
      </w:r>
      <w:r>
        <w:rPr>
          <w:u w:val="single"/>
        </w:rPr>
        <w:t>made</w:t>
      </w:r>
      <w:r>
        <w:t xml:space="preserve"> the </w:t>
      </w:r>
      <w:r>
        <w:rPr>
          <w:i/>
          <w:iCs/>
        </w:rPr>
        <w:t xml:space="preserve">apsaras </w:t>
      </w:r>
      <w:r>
        <w:rPr>
          <w:u w:val="single"/>
        </w:rPr>
        <w:t>love,</w:t>
      </w:r>
      <w:r>
        <w:t xml:space="preserve"> with that I lead her here from the death, from the distance (or : from the distance of death).</w:t>
      </w:r>
    </w:p>
    <w:p w14:paraId="6DBEDFC8" w14:textId="77777777" w:rsidR="00E53EB6" w:rsidRDefault="006500F5">
      <w:pPr>
        <w:pStyle w:val="HaupttextnachZitat"/>
      </w:pPr>
      <w:r>
        <w:t>We may go on speculating and consider if the verb, together with the pref</w:t>
      </w:r>
      <w:r>
        <w:t xml:space="preserve">ix </w:t>
      </w:r>
      <w:r>
        <w:rPr>
          <w:i/>
          <w:iCs/>
        </w:rPr>
        <w:t>sa</w:t>
      </w:r>
      <w:r>
        <w:rPr>
          <w:i/>
          <w:iCs/>
        </w:rPr>
        <w:t>ṃ</w:t>
      </w:r>
      <w:r>
        <w:rPr>
          <w:i/>
          <w:iCs/>
        </w:rPr>
        <w:t>,</w:t>
      </w:r>
      <w:r>
        <w:t xml:space="preserve"> could even have a “perfective” meaning, that is “to make (s.o.) love”</w:t>
      </w:r>
      <w:r>
        <w:t xml:space="preserve">. It is worth noticing that </w:t>
      </w:r>
      <w:r>
        <w:rPr>
          <w:i/>
          <w:iCs/>
        </w:rPr>
        <w:t>sa</w:t>
      </w:r>
      <w:r>
        <w:rPr>
          <w:i/>
          <w:iCs/>
        </w:rPr>
        <w:t>ṃ</w:t>
      </w:r>
      <w:r>
        <w:rPr>
          <w:i/>
          <w:iCs/>
        </w:rPr>
        <w:t>-van-</w:t>
      </w:r>
      <w:r>
        <w:t xml:space="preserve"> is used in two occurrences out of four (in 19.26.10 and 20.24.4  we find </w:t>
      </w:r>
      <w:r>
        <w:rPr>
          <w:i/>
          <w:iCs/>
        </w:rPr>
        <w:t xml:space="preserve">vānayāmasi </w:t>
      </w:r>
      <w:r>
        <w:t xml:space="preserve">and </w:t>
      </w:r>
      <w:r>
        <w:rPr>
          <w:i/>
          <w:iCs/>
        </w:rPr>
        <w:t>vānayat</w:t>
      </w:r>
      <w:r>
        <w:t xml:space="preserve">), while throughout the </w:t>
      </w:r>
      <w:r>
        <w:rPr>
          <w:i/>
          <w:iCs/>
        </w:rPr>
        <w:t>R̥gveda Sa</w:t>
      </w:r>
      <w:r>
        <w:rPr>
          <w:i/>
          <w:iCs/>
        </w:rPr>
        <w:t>ṃ</w:t>
      </w:r>
      <w:r>
        <w:rPr>
          <w:i/>
          <w:iCs/>
        </w:rPr>
        <w:t>hitā</w:t>
      </w:r>
      <w:r>
        <w:rPr>
          <w:szCs w:val="21"/>
        </w:rPr>
        <w:t xml:space="preserve"> the ver</w:t>
      </w:r>
      <w:r>
        <w:rPr>
          <w:szCs w:val="21"/>
        </w:rPr>
        <w:t xml:space="preserve">b occurs with the prefix </w:t>
      </w:r>
      <w:r>
        <w:rPr>
          <w:i/>
          <w:iCs/>
          <w:szCs w:val="21"/>
        </w:rPr>
        <w:t>sam</w:t>
      </w:r>
      <w:r>
        <w:rPr>
          <w:szCs w:val="21"/>
        </w:rPr>
        <w:t xml:space="preserve"> only once in 5.7.3, where it conveys the idea of the complete fulfilment of the action.</w:t>
      </w:r>
      <w:r>
        <w:rPr>
          <w:i/>
          <w:iCs/>
          <w:color w:val="000000"/>
          <w:szCs w:val="21"/>
        </w:rPr>
        <w:t xml:space="preserve"> </w:t>
      </w:r>
      <w:r>
        <w:rPr>
          <w:color w:val="000000"/>
          <w:szCs w:val="21"/>
        </w:rPr>
        <w:t xml:space="preserve">In the following stanza, it is also clear that the aim is to get a woman’s love and the semantic context is that of desire, expressed also by </w:t>
      </w:r>
      <w:r>
        <w:rPr>
          <w:color w:val="000000"/>
          <w:szCs w:val="21"/>
        </w:rPr>
        <w:lastRenderedPageBreak/>
        <w:t xml:space="preserve">the noun </w:t>
      </w:r>
      <w:r>
        <w:rPr>
          <w:i/>
          <w:iCs/>
          <w:color w:val="000000"/>
          <w:szCs w:val="21"/>
        </w:rPr>
        <w:t>samvánana-.</w:t>
      </w:r>
    </w:p>
    <w:p w14:paraId="4E9BEB86" w14:textId="77777777" w:rsidR="00E53EB6" w:rsidRDefault="006500F5">
      <w:pPr>
        <w:pStyle w:val="Zitat"/>
        <w:rPr>
          <w:i/>
          <w:iCs/>
        </w:rPr>
      </w:pPr>
      <w:r>
        <w:t>6.9.3</w:t>
      </w:r>
      <w:r>
        <w:rPr>
          <w:i/>
          <w:iCs/>
        </w:rPr>
        <w:t xml:space="preserve">  yā́sā</w:t>
      </w:r>
      <w:r>
        <w:rPr>
          <w:i/>
          <w:iCs/>
        </w:rPr>
        <w:t>ṃ</w:t>
      </w:r>
      <w:r>
        <w:rPr>
          <w:i/>
          <w:iCs/>
        </w:rPr>
        <w:t xml:space="preserve"> nā́bhir āréha</w:t>
      </w:r>
      <w:r>
        <w:rPr>
          <w:i/>
          <w:iCs/>
        </w:rPr>
        <w:t>ṇ</w:t>
      </w:r>
      <w:r>
        <w:rPr>
          <w:i/>
          <w:iCs/>
        </w:rPr>
        <w:t>a</w:t>
      </w:r>
      <w:r>
        <w:rPr>
          <w:i/>
          <w:iCs/>
        </w:rPr>
        <w:t>ṃ</w:t>
      </w:r>
      <w:r>
        <w:rPr>
          <w:i/>
          <w:iCs/>
        </w:rPr>
        <w:t xml:space="preserve"> hr̥dí sa</w:t>
      </w:r>
      <w:r>
        <w:rPr>
          <w:i/>
          <w:iCs/>
        </w:rPr>
        <w:t>ṃ</w:t>
      </w:r>
      <w:r>
        <w:rPr>
          <w:i/>
          <w:iCs/>
        </w:rPr>
        <w:t>vánana</w:t>
      </w:r>
      <w:r>
        <w:rPr>
          <w:i/>
          <w:iCs/>
        </w:rPr>
        <w:t>ṃ</w:t>
      </w:r>
      <w:r>
        <w:rPr>
          <w:i/>
          <w:iCs/>
        </w:rPr>
        <w:t xml:space="preserve"> kr̥tám gā́vo ghr̥tásya mātáro ‘mū́</w:t>
      </w:r>
      <w:r>
        <w:rPr>
          <w:i/>
          <w:iCs/>
        </w:rPr>
        <w:t>ṃ</w:t>
      </w:r>
      <w:r>
        <w:rPr>
          <w:i/>
          <w:iCs/>
        </w:rPr>
        <w:t xml:space="preserve"> sá</w:t>
      </w:r>
      <w:r>
        <w:rPr>
          <w:i/>
          <w:iCs/>
        </w:rPr>
        <w:t>ṃ</w:t>
      </w:r>
      <w:r>
        <w:rPr>
          <w:i/>
          <w:iCs/>
        </w:rPr>
        <w:t xml:space="preserve"> vānay</w:t>
      </w:r>
      <w:r>
        <w:rPr>
          <w:i/>
          <w:iCs/>
        </w:rPr>
        <w:t>antu me //</w:t>
      </w:r>
    </w:p>
    <w:p w14:paraId="4EA754DC" w14:textId="77777777" w:rsidR="00E53EB6" w:rsidRDefault="006500F5">
      <w:pPr>
        <w:pStyle w:val="Zitat"/>
      </w:pPr>
      <w:r>
        <w:t xml:space="preserve">Whose navel is a kissing, in whose heart there is the </w:t>
      </w:r>
      <w:r>
        <w:rPr>
          <w:u w:val="single"/>
        </w:rPr>
        <w:t>subduing /charming (the mutual fondness)</w:t>
      </w:r>
      <w:r>
        <w:t xml:space="preserve">, let the cows, mothers of the clarified butter, </w:t>
      </w:r>
      <w:r>
        <w:rPr>
          <w:u w:val="single"/>
        </w:rPr>
        <w:t>make</w:t>
      </w:r>
      <w:r>
        <w:t xml:space="preserve"> her there </w:t>
      </w:r>
      <w:r>
        <w:rPr>
          <w:u w:val="single"/>
        </w:rPr>
        <w:t>love</w:t>
      </w:r>
      <w:r>
        <w:t xml:space="preserve"> me. </w:t>
      </w:r>
    </w:p>
    <w:p w14:paraId="046F6C51" w14:textId="77777777" w:rsidR="00E53EB6" w:rsidRDefault="006500F5">
      <w:pPr>
        <w:pStyle w:val="HaupttextnachZitat"/>
      </w:pPr>
      <w:r>
        <w:t xml:space="preserve">Moreover, if we take into consideration the hymn AVŚ 6.9 (= AVP 2.90.2-4) we </w:t>
      </w:r>
      <w:r>
        <w:t xml:space="preserve">also find another derivative of </w:t>
      </w:r>
      <w:r>
        <w:rPr>
          <w:i/>
        </w:rPr>
        <w:t>van- / van</w:t>
      </w:r>
      <w:r>
        <w:rPr>
          <w:i/>
          <w:vertAlign w:val="superscript"/>
        </w:rPr>
        <w:t>i</w:t>
      </w:r>
      <w:r>
        <w:rPr>
          <w:i/>
        </w:rPr>
        <w:t>-</w:t>
      </w:r>
      <w:r>
        <w:rPr>
          <w:i/>
        </w:rPr>
        <w:t xml:space="preserve"> </w:t>
      </w:r>
      <w:r>
        <w:t xml:space="preserve">which is quite interesting, namely </w:t>
      </w:r>
      <w:r>
        <w:rPr>
          <w:i/>
        </w:rPr>
        <w:t xml:space="preserve">vāñch-, </w:t>
      </w:r>
      <w:r>
        <w:t>a verbal derivative whose meaning is clearly “to wish” “to desire”</w:t>
      </w:r>
      <w:r>
        <w:rPr>
          <w:rStyle w:val="FootnoteAnchor"/>
        </w:rPr>
        <w:footnoteReference w:id="575"/>
      </w:r>
      <w:r>
        <w:t>. This verb occurs almost only in the texts of the Atharvaveda school, for we find it only once in R</w:t>
      </w:r>
      <w:r>
        <w:t>̥</w:t>
      </w:r>
      <w:r>
        <w:t>V 10.173.1, where the verb already conveys the same idea we will meet in the Atharvavedic passages:</w:t>
      </w:r>
    </w:p>
    <w:p w14:paraId="419B2496" w14:textId="77777777" w:rsidR="00E53EB6" w:rsidRDefault="006500F5">
      <w:pPr>
        <w:pStyle w:val="Zitat"/>
      </w:pPr>
      <w:r>
        <w:t>10.173.1</w:t>
      </w:r>
      <w:r>
        <w:rPr>
          <w:i/>
          <w:iCs/>
        </w:rPr>
        <w:t xml:space="preserve"> ā́ tvāhār</w:t>
      </w:r>
      <w:r>
        <w:rPr>
          <w:i/>
          <w:iCs/>
        </w:rPr>
        <w:t>ṣ</w:t>
      </w:r>
      <w:r>
        <w:rPr>
          <w:i/>
          <w:iCs/>
        </w:rPr>
        <w:t>am antár</w:t>
      </w:r>
    </w:p>
    <w:p w14:paraId="77D75B11" w14:textId="77777777" w:rsidR="00E53EB6" w:rsidRDefault="006500F5">
      <w:pPr>
        <w:pStyle w:val="ZitatnachZitat"/>
        <w:rPr>
          <w:i/>
          <w:iCs/>
        </w:rPr>
      </w:pPr>
      <w:r>
        <w:rPr>
          <w:i/>
          <w:iCs/>
        </w:rPr>
        <w:t>edhi dhruvás ti</w:t>
      </w:r>
      <w:r>
        <w:rPr>
          <w:i/>
          <w:iCs/>
        </w:rPr>
        <w:t>ṣṭ</w:t>
      </w:r>
      <w:r>
        <w:rPr>
          <w:i/>
          <w:iCs/>
        </w:rPr>
        <w:t>hā́vicācali</w:t>
      </w:r>
      <w:r>
        <w:rPr>
          <w:i/>
          <w:iCs/>
        </w:rPr>
        <w:t>ḥ</w:t>
      </w:r>
    </w:p>
    <w:p w14:paraId="1BCD8D72" w14:textId="77777777" w:rsidR="00E53EB6" w:rsidRDefault="006500F5">
      <w:pPr>
        <w:pStyle w:val="ZitatnachZitat"/>
        <w:rPr>
          <w:i/>
          <w:iCs/>
        </w:rPr>
      </w:pPr>
      <w:r>
        <w:rPr>
          <w:i/>
          <w:iCs/>
        </w:rPr>
        <w:t xml:space="preserve">víśas tvā sárvā vāñchantu </w:t>
      </w:r>
    </w:p>
    <w:p w14:paraId="37B8020A" w14:textId="77777777" w:rsidR="00E53EB6" w:rsidRDefault="006500F5">
      <w:pPr>
        <w:pStyle w:val="ZitatnachZitat"/>
        <w:rPr>
          <w:i/>
          <w:iCs/>
        </w:rPr>
      </w:pPr>
      <w:r>
        <w:rPr>
          <w:i/>
          <w:iCs/>
        </w:rPr>
        <w:t>mā́ tvád rā</w:t>
      </w:r>
      <w:r>
        <w:rPr>
          <w:i/>
          <w:iCs/>
        </w:rPr>
        <w:t>ṣṭ</w:t>
      </w:r>
      <w:r>
        <w:rPr>
          <w:i/>
          <w:iCs/>
        </w:rPr>
        <w:t xml:space="preserve">rám ádhi bhraśat </w:t>
      </w:r>
    </w:p>
    <w:p w14:paraId="2933193E" w14:textId="77777777" w:rsidR="00E53EB6" w:rsidRDefault="006500F5">
      <w:pPr>
        <w:pStyle w:val="Zitat"/>
      </w:pPr>
      <w:r>
        <w:t xml:space="preserve">I fetched you, be among [us], stand unchangeable and firm, </w:t>
      </w:r>
      <w:r>
        <w:rPr>
          <w:u w:val="single"/>
        </w:rPr>
        <w:t>let</w:t>
      </w:r>
      <w:r>
        <w:t xml:space="preserve"> all the tribes </w:t>
      </w:r>
      <w:r>
        <w:rPr>
          <w:u w:val="single"/>
        </w:rPr>
        <w:t>desire</w:t>
      </w:r>
      <w:r>
        <w:t xml:space="preserve"> you, may the kingdom never abandon you.</w:t>
      </w:r>
    </w:p>
    <w:p w14:paraId="285C30AC" w14:textId="77777777" w:rsidR="00E53EB6" w:rsidRDefault="006500F5">
      <w:pPr>
        <w:pStyle w:val="HaupttextnachZitat"/>
      </w:pPr>
      <w:r>
        <w:t xml:space="preserve">The same stanza is then quoted, with different degrees of manipulation, in TS 4.2.1.4; 5.2.1.4; MS 2.7.8; KS 16.8; 19.11; KpS 31.1 </w:t>
      </w:r>
      <w:r>
        <w:t xml:space="preserve">as well as in VS 12.11 and ŚB 6.7.3.7, all concerning the preparation of the fire ground and the placing of the fire in the pan on the throne during the </w:t>
      </w:r>
      <w:r>
        <w:rPr>
          <w:i/>
        </w:rPr>
        <w:t>Agnicayana</w:t>
      </w:r>
      <w:r>
        <w:t>. While in KS 37.9; AVŚ 4.8.4 and in TB 2.7.15.4 the stanza is used to accompany the consecra</w:t>
      </w:r>
      <w:r>
        <w:t xml:space="preserve">tion of the king (cf. </w:t>
      </w:r>
      <w:r>
        <w:rPr>
          <w:rStyle w:val="biblio-authorGEN"/>
        </w:rPr>
        <w:t>Proferes</w:t>
      </w:r>
      <w:r>
        <w:t xml:space="preserve"> 2007: 124). The corresponding AVP 4.2.5, and AVP 4.27.4, have </w:t>
      </w:r>
      <w:r>
        <w:rPr>
          <w:i/>
        </w:rPr>
        <w:t xml:space="preserve">āyantu </w:t>
      </w:r>
      <w:r>
        <w:t xml:space="preserve">instead of </w:t>
      </w:r>
      <w:r>
        <w:rPr>
          <w:i/>
        </w:rPr>
        <w:t>vāñchantu</w:t>
      </w:r>
      <w:r>
        <w:t xml:space="preserve">. AVŚ 6.87.1; KS 35.7; KpS 48.9 and TB 2.4.2.8 are also connected with kingship, and the first three stanzas of R̥V 10.173 are </w:t>
      </w:r>
      <w:r>
        <w:t>indeed used to establish one’s sovereignty.</w:t>
      </w:r>
    </w:p>
    <w:p w14:paraId="73C40575" w14:textId="77777777" w:rsidR="00E53EB6" w:rsidRDefault="006500F5">
      <w:pPr>
        <w:pStyle w:val="HaupttextnachZitat"/>
      </w:pPr>
      <w:r>
        <w:t>We find the same royal context outlined above in the liturgical use of the R̥gvedic stanza also in AVP 10.26.6-7:</w:t>
      </w:r>
    </w:p>
    <w:p w14:paraId="42124494" w14:textId="77777777" w:rsidR="00E53EB6" w:rsidRDefault="006500F5">
      <w:pPr>
        <w:pStyle w:val="Zitat"/>
      </w:pPr>
      <w:r>
        <w:t xml:space="preserve">AVP 10.2.6-7 </w:t>
      </w:r>
      <w:r>
        <w:rPr>
          <w:i/>
          <w:iCs/>
        </w:rPr>
        <w:t>tubhya</w:t>
      </w:r>
      <w:r>
        <w:rPr>
          <w:i/>
          <w:iCs/>
        </w:rPr>
        <w:t>ṃ</w:t>
      </w:r>
      <w:r>
        <w:rPr>
          <w:i/>
          <w:iCs/>
        </w:rPr>
        <w:t xml:space="preserve"> sa</w:t>
      </w:r>
      <w:r>
        <w:rPr>
          <w:i/>
          <w:iCs/>
        </w:rPr>
        <w:t>ṃ</w:t>
      </w:r>
      <w:r>
        <w:rPr>
          <w:i/>
          <w:iCs/>
        </w:rPr>
        <w:t xml:space="preserve"> yantu valayastubhya</w:t>
      </w:r>
      <w:r>
        <w:rPr>
          <w:i/>
          <w:iCs/>
        </w:rPr>
        <w:t>ṃ</w:t>
      </w:r>
      <w:r>
        <w:rPr>
          <w:i/>
          <w:iCs/>
        </w:rPr>
        <w:t xml:space="preserve"> śulka</w:t>
      </w:r>
      <w:r>
        <w:rPr>
          <w:i/>
          <w:iCs/>
        </w:rPr>
        <w:t>ḥ</w:t>
      </w:r>
      <w:r>
        <w:rPr>
          <w:i/>
          <w:iCs/>
        </w:rPr>
        <w:t xml:space="preserve"> pra vīyatām / tubhya</w:t>
      </w:r>
      <w:r>
        <w:rPr>
          <w:i/>
          <w:iCs/>
        </w:rPr>
        <w:t>ṃ</w:t>
      </w:r>
      <w:r>
        <w:rPr>
          <w:i/>
          <w:iCs/>
        </w:rPr>
        <w:t xml:space="preserve"> virā</w:t>
      </w:r>
      <w:r>
        <w:rPr>
          <w:i/>
          <w:iCs/>
        </w:rPr>
        <w:t>ṭ</w:t>
      </w:r>
      <w:r>
        <w:rPr>
          <w:i/>
          <w:iCs/>
        </w:rPr>
        <w:t xml:space="preserve"> payo duhā</w:t>
      </w:r>
      <w:r>
        <w:rPr>
          <w:i/>
          <w:iCs/>
        </w:rPr>
        <w:t>ṃ</w:t>
      </w:r>
      <w:r>
        <w:rPr>
          <w:i/>
          <w:iCs/>
        </w:rPr>
        <w:t xml:space="preserve"> tvā</w:t>
      </w:r>
      <w:r>
        <w:rPr>
          <w:i/>
          <w:iCs/>
        </w:rPr>
        <w:t>ṃ</w:t>
      </w:r>
      <w:r>
        <w:rPr>
          <w:i/>
          <w:iCs/>
        </w:rPr>
        <w:t xml:space="preserve"> v</w:t>
      </w:r>
      <w:r>
        <w:rPr>
          <w:i/>
          <w:iCs/>
        </w:rPr>
        <w:t>āñchantu viśo mahī</w:t>
      </w:r>
      <w:r>
        <w:rPr>
          <w:i/>
          <w:iCs/>
        </w:rPr>
        <w:t>ḥ</w:t>
      </w:r>
      <w:r>
        <w:rPr>
          <w:i/>
          <w:iCs/>
        </w:rPr>
        <w:t xml:space="preserve"> // 6</w:t>
      </w:r>
    </w:p>
    <w:p w14:paraId="51DDAAF8" w14:textId="77777777" w:rsidR="00E53EB6" w:rsidRDefault="006500F5">
      <w:pPr>
        <w:pStyle w:val="ZitatnachZitat"/>
        <w:rPr>
          <w:i/>
          <w:iCs/>
        </w:rPr>
      </w:pPr>
      <w:r>
        <w:rPr>
          <w:i/>
          <w:iCs/>
        </w:rPr>
        <w:t>vāñchatu tvā br̥hadrā</w:t>
      </w:r>
      <w:r>
        <w:rPr>
          <w:i/>
          <w:iCs/>
        </w:rPr>
        <w:t>ṣṭ</w:t>
      </w:r>
      <w:r>
        <w:rPr>
          <w:i/>
          <w:iCs/>
        </w:rPr>
        <w:t xml:space="preserve">ram </w:t>
      </w:r>
      <w:r>
        <w:rPr>
          <w:i/>
          <w:iCs/>
        </w:rPr>
        <w:t>tvi</w:t>
      </w:r>
      <w:r>
        <w:rPr>
          <w:i/>
          <w:iCs/>
        </w:rPr>
        <w:t>ṣ</w:t>
      </w:r>
      <w:r>
        <w:rPr>
          <w:i/>
          <w:iCs/>
        </w:rPr>
        <w:t>iste mukha āhitā</w:t>
      </w:r>
      <w:r>
        <w:rPr>
          <w:i/>
          <w:iCs/>
        </w:rPr>
        <w:t xml:space="preserve"> / tva</w:t>
      </w:r>
      <w:r>
        <w:rPr>
          <w:i/>
          <w:iCs/>
        </w:rPr>
        <w:t>ṃ</w:t>
      </w:r>
      <w:r>
        <w:rPr>
          <w:i/>
          <w:iCs/>
        </w:rPr>
        <w:t xml:space="preserve"> devānā</w:t>
      </w:r>
      <w:r>
        <w:rPr>
          <w:i/>
          <w:iCs/>
        </w:rPr>
        <w:t>ṃ</w:t>
      </w:r>
      <w:r>
        <w:rPr>
          <w:i/>
          <w:iCs/>
        </w:rPr>
        <w:t xml:space="preserve"> bhava priyastvayi gāvo adhi śritā</w:t>
      </w:r>
      <w:r>
        <w:rPr>
          <w:i/>
          <w:iCs/>
        </w:rPr>
        <w:t>ḥ</w:t>
      </w:r>
      <w:r>
        <w:rPr>
          <w:i/>
          <w:iCs/>
        </w:rPr>
        <w:t xml:space="preserve"> // 7</w:t>
      </w:r>
    </w:p>
    <w:p w14:paraId="3FF4D7B1" w14:textId="77777777" w:rsidR="00E53EB6" w:rsidRDefault="006500F5">
      <w:pPr>
        <w:pStyle w:val="Zitat"/>
      </w:pPr>
      <w:r>
        <w:t>6. Let the gifts arrive to you, let the price be strived after (</w:t>
      </w:r>
      <w:r>
        <w:rPr>
          <w:i/>
          <w:iCs/>
        </w:rPr>
        <w:t>pravīyatām</w:t>
      </w:r>
      <w:r>
        <w:t>) for you, let the vital power of the milking ones shi</w:t>
      </w:r>
      <w:r>
        <w:t xml:space="preserve">ne forth for you, let the tribes, the earth desire you. 7. Let a wide kingdom </w:t>
      </w:r>
      <w:r>
        <w:rPr>
          <w:u w:val="single"/>
        </w:rPr>
        <w:t>desire</w:t>
      </w:r>
      <w:r>
        <w:t xml:space="preserve"> you,</w:t>
      </w:r>
      <w:r>
        <w:t xml:space="preserve"> let the vehemence be placed in your mouth, </w:t>
      </w:r>
      <w:r>
        <w:t>be the dear among gods, let the cows be attached to you.</w:t>
      </w:r>
    </w:p>
    <w:p w14:paraId="2F0374D9" w14:textId="77777777" w:rsidR="00E53EB6" w:rsidRDefault="006500F5">
      <w:pPr>
        <w:pStyle w:val="HaupttextnachZitat"/>
      </w:pPr>
      <w:r>
        <w:t>Except for the quotations of the R̥gvedic stanza, we find the verb</w:t>
      </w:r>
      <w:r>
        <w:t xml:space="preserve"> </w:t>
      </w:r>
      <w:r>
        <w:rPr>
          <w:i/>
          <w:iCs/>
        </w:rPr>
        <w:t xml:space="preserve">vāñch- </w:t>
      </w:r>
      <w:r>
        <w:t xml:space="preserve">outside the Atharvaveda tradition only in KauB 25.15. This passage concerns the </w:t>
      </w:r>
      <w:r>
        <w:rPr>
          <w:i/>
          <w:iCs/>
        </w:rPr>
        <w:t>Agni</w:t>
      </w:r>
      <w:r>
        <w:rPr>
          <w:i/>
          <w:iCs/>
        </w:rPr>
        <w:t>ṣṭ</w:t>
      </w:r>
      <w:r>
        <w:rPr>
          <w:i/>
          <w:iCs/>
        </w:rPr>
        <w:t>oma</w:t>
      </w:r>
      <w:r>
        <w:t xml:space="preserve">, and in particular the one-day soma sacrifice </w:t>
      </w:r>
      <w:r>
        <w:rPr>
          <w:i/>
          <w:iCs/>
        </w:rPr>
        <w:t>viśvajit.</w:t>
      </w:r>
      <w:r>
        <w:t xml:space="preserve"> </w:t>
      </w:r>
    </w:p>
    <w:p w14:paraId="32A6709D" w14:textId="77777777" w:rsidR="00E53EB6" w:rsidRDefault="006500F5">
      <w:pPr>
        <w:pStyle w:val="Zitat"/>
        <w:rPr>
          <w:i/>
          <w:iCs/>
        </w:rPr>
      </w:pPr>
      <w:r>
        <w:t>25.15</w:t>
      </w:r>
      <w:r>
        <w:rPr>
          <w:i/>
          <w:iCs/>
        </w:rPr>
        <w:t xml:space="preserve"> vatsachavī</w:t>
      </w:r>
      <w:r>
        <w:rPr>
          <w:i/>
          <w:iCs/>
        </w:rPr>
        <w:t>ṃ</w:t>
      </w:r>
      <w:r>
        <w:rPr>
          <w:i/>
          <w:iCs/>
        </w:rPr>
        <w:t xml:space="preserve"> paridadhīta riricāna iva vā etasyā ātmā bhavati ya</w:t>
      </w:r>
      <w:r>
        <w:rPr>
          <w:i/>
          <w:iCs/>
        </w:rPr>
        <w:t>ḥ</w:t>
      </w:r>
      <w:r>
        <w:rPr>
          <w:i/>
          <w:iCs/>
        </w:rPr>
        <w:t xml:space="preserve"> sarva</w:t>
      </w:r>
      <w:r>
        <w:rPr>
          <w:i/>
          <w:iCs/>
        </w:rPr>
        <w:t>ṃ</w:t>
      </w:r>
      <w:r>
        <w:rPr>
          <w:i/>
          <w:iCs/>
        </w:rPr>
        <w:t xml:space="preserve"> dadāti vatsa</w:t>
      </w:r>
      <w:r>
        <w:rPr>
          <w:i/>
          <w:iCs/>
        </w:rPr>
        <w:t>ṃ</w:t>
      </w:r>
      <w:r>
        <w:rPr>
          <w:i/>
          <w:iCs/>
        </w:rPr>
        <w:t xml:space="preserve"> vai paśavo</w:t>
      </w:r>
      <w:r>
        <w:rPr>
          <w:i/>
          <w:iCs/>
        </w:rPr>
        <w:t xml:space="preserve"> vāñchanti punarmā paśavo vāñchāniti</w:t>
      </w:r>
    </w:p>
    <w:p w14:paraId="363B1153" w14:textId="77777777" w:rsidR="00E53EB6" w:rsidRDefault="006500F5">
      <w:pPr>
        <w:pStyle w:val="Zitat"/>
      </w:pPr>
      <w:r>
        <w:t xml:space="preserve">May he wear the skin of a calf, and emptied, as it were, becomes the Self of the one who gives everything ‘The cattle </w:t>
      </w:r>
      <w:r>
        <w:rPr>
          <w:u w:val="single"/>
        </w:rPr>
        <w:t>desire</w:t>
      </w:r>
      <w:r>
        <w:t xml:space="preserve"> the calf, further may the cattle </w:t>
      </w:r>
      <w:r>
        <w:rPr>
          <w:u w:val="single"/>
        </w:rPr>
        <w:t>desire</w:t>
      </w:r>
      <w:r>
        <w:t xml:space="preserve"> me’.</w:t>
      </w:r>
    </w:p>
    <w:p w14:paraId="13147246" w14:textId="77777777" w:rsidR="00E53EB6" w:rsidRDefault="006500F5">
      <w:pPr>
        <w:pStyle w:val="HaupttextnachZitat"/>
      </w:pPr>
      <w:r>
        <w:t>Here the verb is used within the ritual procedure</w:t>
      </w:r>
      <w:r>
        <w:t xml:space="preserve">, as part of a </w:t>
      </w:r>
      <w:r>
        <w:rPr>
          <w:i/>
        </w:rPr>
        <w:t xml:space="preserve">yajus </w:t>
      </w:r>
      <w:r>
        <w:t xml:space="preserve">that the sacrificer has to think </w:t>
      </w:r>
      <w:r>
        <w:lastRenderedPageBreak/>
        <w:t>while wearing the calfskin. Both in this occurrence as in the previous ones, though the context is not that of love or physical desire, nonetheless the verb conveys the idea of a tension, a kind of attr</w:t>
      </w:r>
      <w:r>
        <w:t>action which will link the king to his kingdom or the sacrificer to the cattle. The context of next passages is a different one; let us start with the hymn AVŚ 6.9</w:t>
      </w:r>
      <w:r>
        <w:rPr>
          <w:rStyle w:val="FootnoteAnchor"/>
        </w:rPr>
        <w:footnoteReference w:id="576"/>
      </w:r>
      <w:r>
        <w:t>.</w:t>
      </w:r>
    </w:p>
    <w:p w14:paraId="1270A819" w14:textId="77777777" w:rsidR="00E53EB6" w:rsidRDefault="006500F5">
      <w:pPr>
        <w:pStyle w:val="Zitat"/>
      </w:pPr>
      <w:r>
        <w:t xml:space="preserve">6.9 </w:t>
      </w:r>
      <w:r>
        <w:rPr>
          <w:i/>
          <w:iCs/>
        </w:rPr>
        <w:t>vā́ñcha</w:t>
      </w:r>
      <w:r>
        <w:rPr>
          <w:i/>
          <w:iCs/>
        </w:rPr>
        <w:t xml:space="preserve"> me tanvà</w:t>
      </w:r>
      <w:r>
        <w:rPr>
          <w:i/>
          <w:iCs/>
        </w:rPr>
        <w:t>ṃ</w:t>
      </w:r>
      <w:r>
        <w:rPr>
          <w:i/>
          <w:iCs/>
        </w:rPr>
        <w:t xml:space="preserve"> pā́dau </w:t>
      </w:r>
      <w:r>
        <w:rPr>
          <w:i/>
          <w:iCs/>
        </w:rPr>
        <w:t>vā́ñchāk</w:t>
      </w:r>
      <w:r>
        <w:rPr>
          <w:i/>
          <w:iCs/>
        </w:rPr>
        <w:t>ṣ</w:t>
      </w:r>
      <w:r>
        <w:rPr>
          <w:i/>
          <w:iCs/>
        </w:rPr>
        <w:t>yaù</w:t>
      </w:r>
      <w:r>
        <w:rPr>
          <w:i/>
          <w:iCs/>
        </w:rPr>
        <w:t xml:space="preserve"> </w:t>
      </w:r>
      <w:r>
        <w:rPr>
          <w:i/>
          <w:iCs/>
        </w:rPr>
        <w:t>vā́ñcha</w:t>
      </w:r>
      <w:r>
        <w:rPr>
          <w:i/>
          <w:iCs/>
        </w:rPr>
        <w:t xml:space="preserve"> sakthyaù /ak</w:t>
      </w:r>
      <w:r>
        <w:rPr>
          <w:i/>
          <w:iCs/>
        </w:rPr>
        <w:t>ṣ</w:t>
      </w:r>
      <w:r>
        <w:rPr>
          <w:i/>
          <w:iCs/>
        </w:rPr>
        <w:t>yaù vr̥</w:t>
      </w:r>
      <w:r>
        <w:rPr>
          <w:i/>
          <w:iCs/>
        </w:rPr>
        <w:t>ṣ</w:t>
      </w:r>
      <w:r>
        <w:rPr>
          <w:i/>
          <w:iCs/>
        </w:rPr>
        <w:t>a</w:t>
      </w:r>
      <w:r>
        <w:rPr>
          <w:i/>
          <w:iCs/>
        </w:rPr>
        <w:t>ṇ</w:t>
      </w:r>
      <w:r>
        <w:rPr>
          <w:i/>
          <w:iCs/>
        </w:rPr>
        <w:t>yántyā</w:t>
      </w:r>
      <w:r>
        <w:rPr>
          <w:i/>
          <w:iCs/>
        </w:rPr>
        <w:t>ḥ</w:t>
      </w:r>
      <w:r>
        <w:rPr>
          <w:i/>
          <w:iCs/>
        </w:rPr>
        <w:t xml:space="preserve"> kéśā mā́</w:t>
      </w:r>
      <w:r>
        <w:rPr>
          <w:i/>
          <w:iCs/>
        </w:rPr>
        <w:t>ṃ</w:t>
      </w:r>
      <w:r>
        <w:rPr>
          <w:i/>
          <w:iCs/>
        </w:rPr>
        <w:t xml:space="preserve"> te kā́mena śu</w:t>
      </w:r>
      <w:r>
        <w:rPr>
          <w:i/>
          <w:iCs/>
        </w:rPr>
        <w:t>ṣ</w:t>
      </w:r>
      <w:r>
        <w:rPr>
          <w:i/>
          <w:iCs/>
        </w:rPr>
        <w:t>yantu // 1</w:t>
      </w:r>
    </w:p>
    <w:p w14:paraId="06ED7132" w14:textId="77777777" w:rsidR="00E53EB6" w:rsidRDefault="006500F5">
      <w:pPr>
        <w:pStyle w:val="ZitatnachZitat"/>
      </w:pPr>
      <w:r>
        <w:rPr>
          <w:i/>
          <w:iCs/>
        </w:rPr>
        <w:t>máma tvā́ do</w:t>
      </w:r>
      <w:r>
        <w:rPr>
          <w:i/>
          <w:iCs/>
        </w:rPr>
        <w:t>ṣ</w:t>
      </w:r>
      <w:r>
        <w:rPr>
          <w:i/>
          <w:iCs/>
        </w:rPr>
        <w:t>a</w:t>
      </w:r>
      <w:r>
        <w:rPr>
          <w:i/>
          <w:iCs/>
        </w:rPr>
        <w:t>ṇ</w:t>
      </w:r>
      <w:r>
        <w:rPr>
          <w:i/>
          <w:iCs/>
        </w:rPr>
        <w:t>iśrí</w:t>
      </w:r>
      <w:r>
        <w:rPr>
          <w:i/>
          <w:iCs/>
        </w:rPr>
        <w:t>ṣ</w:t>
      </w:r>
      <w:r>
        <w:rPr>
          <w:i/>
          <w:iCs/>
        </w:rPr>
        <w:t>a</w:t>
      </w:r>
      <w:r>
        <w:rPr>
          <w:i/>
          <w:iCs/>
        </w:rPr>
        <w:t>ṃ</w:t>
      </w:r>
      <w:r>
        <w:rPr>
          <w:i/>
          <w:iCs/>
        </w:rPr>
        <w:t xml:space="preserve"> kr̥</w:t>
      </w:r>
      <w:r>
        <w:rPr>
          <w:i/>
          <w:iCs/>
        </w:rPr>
        <w:t>ṇ</w:t>
      </w:r>
      <w:r>
        <w:rPr>
          <w:i/>
          <w:iCs/>
        </w:rPr>
        <w:t>ómi hr̥dayaśrí</w:t>
      </w:r>
      <w:r>
        <w:rPr>
          <w:i/>
          <w:iCs/>
        </w:rPr>
        <w:t>ṣ</w:t>
      </w:r>
      <w:r>
        <w:rPr>
          <w:i/>
          <w:iCs/>
        </w:rPr>
        <w:t xml:space="preserve">am / yáthā máma krátāv áso máma cittám upā́yasi </w:t>
      </w:r>
      <w:r>
        <w:t>// 2</w:t>
      </w:r>
    </w:p>
    <w:p w14:paraId="5E1C41C9" w14:textId="77777777" w:rsidR="00E53EB6" w:rsidRDefault="006500F5">
      <w:pPr>
        <w:pStyle w:val="ZitatnachZitat"/>
      </w:pPr>
      <w:r>
        <w:rPr>
          <w:i/>
          <w:iCs/>
        </w:rPr>
        <w:t>yā́sā</w:t>
      </w:r>
      <w:r>
        <w:rPr>
          <w:i/>
          <w:iCs/>
        </w:rPr>
        <w:t>ṃ</w:t>
      </w:r>
      <w:r>
        <w:rPr>
          <w:i/>
          <w:iCs/>
        </w:rPr>
        <w:t xml:space="preserve"> nā́bhir āréha</w:t>
      </w:r>
      <w:r>
        <w:rPr>
          <w:i/>
          <w:iCs/>
        </w:rPr>
        <w:t>ṇ</w:t>
      </w:r>
      <w:r>
        <w:rPr>
          <w:i/>
          <w:iCs/>
        </w:rPr>
        <w:t>a</w:t>
      </w:r>
      <w:r>
        <w:rPr>
          <w:i/>
          <w:iCs/>
        </w:rPr>
        <w:t>ṃ</w:t>
      </w:r>
      <w:r>
        <w:rPr>
          <w:i/>
          <w:iCs/>
        </w:rPr>
        <w:t xml:space="preserve"> hr̥dí </w:t>
      </w:r>
      <w:r>
        <w:rPr>
          <w:i/>
          <w:iCs/>
        </w:rPr>
        <w:t>sa</w:t>
      </w:r>
      <w:r>
        <w:rPr>
          <w:i/>
          <w:iCs/>
        </w:rPr>
        <w:t>ṃ</w:t>
      </w:r>
      <w:r>
        <w:rPr>
          <w:i/>
          <w:iCs/>
        </w:rPr>
        <w:t>vánana</w:t>
      </w:r>
      <w:r>
        <w:rPr>
          <w:i/>
          <w:iCs/>
        </w:rPr>
        <w:t>ṃ</w:t>
      </w:r>
      <w:r>
        <w:rPr>
          <w:i/>
          <w:iCs/>
        </w:rPr>
        <w:t xml:space="preserve"> kr̥tám gā́vo ghr̥tásya mātáro ‘mū́</w:t>
      </w:r>
      <w:r>
        <w:rPr>
          <w:i/>
          <w:iCs/>
        </w:rPr>
        <w:t>ṃ</w:t>
      </w:r>
      <w:r>
        <w:rPr>
          <w:i/>
          <w:iCs/>
        </w:rPr>
        <w:t xml:space="preserve"> sá</w:t>
      </w:r>
      <w:r>
        <w:rPr>
          <w:i/>
          <w:iCs/>
        </w:rPr>
        <w:t>ṃ</w:t>
      </w:r>
      <w:r>
        <w:rPr>
          <w:i/>
          <w:iCs/>
        </w:rPr>
        <w:t xml:space="preserve"> </w:t>
      </w:r>
      <w:r>
        <w:rPr>
          <w:i/>
          <w:iCs/>
        </w:rPr>
        <w:t>vānayantu</w:t>
      </w:r>
      <w:r>
        <w:rPr>
          <w:i/>
          <w:iCs/>
        </w:rPr>
        <w:t xml:space="preserve"> me</w:t>
      </w:r>
      <w:r>
        <w:t xml:space="preserve"> // 3</w:t>
      </w:r>
    </w:p>
    <w:p w14:paraId="7D14A5D1" w14:textId="77777777" w:rsidR="00E53EB6" w:rsidRDefault="006500F5">
      <w:pPr>
        <w:pStyle w:val="Zitat"/>
      </w:pPr>
      <w:r>
        <w:t xml:space="preserve">1. </w:t>
      </w:r>
      <w:r>
        <w:rPr>
          <w:u w:val="single"/>
        </w:rPr>
        <w:t>Desire</w:t>
      </w:r>
      <w:r>
        <w:t xml:space="preserve"> the body of me, </w:t>
      </w:r>
      <w:r>
        <w:rPr>
          <w:u w:val="single"/>
        </w:rPr>
        <w:t>desire</w:t>
      </w:r>
      <w:r>
        <w:t xml:space="preserve"> the feet, </w:t>
      </w:r>
      <w:r>
        <w:rPr>
          <w:u w:val="single"/>
        </w:rPr>
        <w:t>desire</w:t>
      </w:r>
      <w:r>
        <w:t xml:space="preserve"> the eyes, the thigh; let the eyes and the hairs of you lusting</w:t>
      </w:r>
      <w:r>
        <w:rPr>
          <w:rStyle w:val="FootnoteAnchor"/>
        </w:rPr>
        <w:footnoteReference w:id="577"/>
      </w:r>
      <w:r>
        <w:t xml:space="preserve"> for me</w:t>
      </w:r>
      <w:r>
        <w:rPr>
          <w:rStyle w:val="FootnoteAnchor"/>
        </w:rPr>
        <w:footnoteReference w:id="578"/>
      </w:r>
      <w:r>
        <w:t xml:space="preserve"> dry up with love. 2. I make you clasp to my forearm, to my heart; so that you may be in my power, that you may fall into my intention. 3. Who</w:t>
      </w:r>
      <w:r>
        <w:t>se navel is a kissing, in whose heart there is</w:t>
      </w:r>
      <w:r>
        <w:rPr>
          <w:u w:val="single"/>
        </w:rPr>
        <w:t xml:space="preserve"> the subduing /charming (the mutual fondness)</w:t>
      </w:r>
      <w:r>
        <w:t xml:space="preserve">, let the cows, mothers of the clarified butter, </w:t>
      </w:r>
      <w:r>
        <w:rPr>
          <w:u w:val="single"/>
        </w:rPr>
        <w:t>make</w:t>
      </w:r>
      <w:r>
        <w:t xml:space="preserve"> her there </w:t>
      </w:r>
      <w:r>
        <w:rPr>
          <w:u w:val="single"/>
        </w:rPr>
        <w:t>love</w:t>
      </w:r>
      <w:r>
        <w:t xml:space="preserve"> me. </w:t>
      </w:r>
    </w:p>
    <w:p w14:paraId="1C2A2F0D" w14:textId="77777777" w:rsidR="00E53EB6" w:rsidRDefault="006500F5">
      <w:pPr>
        <w:pStyle w:val="HaupttextnachZitat"/>
      </w:pPr>
      <w:r>
        <w:t>This hymn is used to win a woman’s love: the expressions are all very physical and point to</w:t>
      </w:r>
      <w:r>
        <w:t xml:space="preserve"> the importance of “kindling” the desire, which will enable the man to have the woman in his power, and in fact the word </w:t>
      </w:r>
      <w:r>
        <w:rPr>
          <w:i/>
          <w:iCs/>
        </w:rPr>
        <w:t>sa</w:t>
      </w:r>
      <w:r>
        <w:rPr>
          <w:i/>
          <w:iCs/>
        </w:rPr>
        <w:t>ṃ</w:t>
      </w:r>
      <w:r>
        <w:rPr>
          <w:i/>
          <w:iCs/>
        </w:rPr>
        <w:t>vánana</w:t>
      </w:r>
      <w:r>
        <w:t xml:space="preserve"> conveys this tension, which is invoked three times at the very beginning through the verb </w:t>
      </w:r>
      <w:r>
        <w:rPr>
          <w:i/>
          <w:iCs/>
        </w:rPr>
        <w:t>vāñch-:</w:t>
      </w:r>
      <w:r>
        <w:t xml:space="preserve"> this seems to confirm the h</w:t>
      </w:r>
      <w:r>
        <w:t xml:space="preserve">ypothesis that here the root </w:t>
      </w:r>
      <w:r>
        <w:rPr>
          <w:i/>
          <w:iCs/>
        </w:rPr>
        <w:t>van- / van</w:t>
      </w:r>
      <w:r>
        <w:rPr>
          <w:i/>
          <w:iCs/>
          <w:vertAlign w:val="superscript"/>
        </w:rPr>
        <w:t>i</w:t>
      </w:r>
      <w:r>
        <w:rPr>
          <w:i/>
          <w:iCs/>
        </w:rPr>
        <w:t>-</w:t>
      </w:r>
      <w:r>
        <w:t xml:space="preserve"> is mainly connected with the idea of desire, </w:t>
      </w:r>
      <w:r>
        <w:t>concerning both its nominal and verbal</w:t>
      </w:r>
      <w:r>
        <w:t xml:space="preserve"> derivatives. The hymn 2.33 belongs to the same context; it is a hymn to love, and here again the same stanza as in 6.9.1 occurs in</w:t>
      </w:r>
      <w:r>
        <w:t xml:space="preserve"> 2.33.2, while in the first verse of the hymn we again find </w:t>
      </w:r>
      <w:r>
        <w:rPr>
          <w:i/>
          <w:iCs/>
        </w:rPr>
        <w:t>van</w:t>
      </w:r>
      <w:r>
        <w:t>-.</w:t>
      </w:r>
    </w:p>
    <w:p w14:paraId="195BBD66" w14:textId="77777777" w:rsidR="00E53EB6" w:rsidRDefault="006500F5">
      <w:pPr>
        <w:pStyle w:val="Zitat"/>
      </w:pPr>
      <w:r>
        <w:t xml:space="preserve">AVP 2.33.1 </w:t>
      </w:r>
      <w:r>
        <w:rPr>
          <w:i/>
          <w:iCs/>
        </w:rPr>
        <w:t xml:space="preserve">ūdhnā vana hr̥dā vana mukhena jihvayā vana / prapīnā payasā vana // </w:t>
      </w:r>
      <w:r>
        <w:t>1</w:t>
      </w:r>
    </w:p>
    <w:p w14:paraId="6F7DA3F4" w14:textId="77777777" w:rsidR="00E53EB6" w:rsidRDefault="006500F5">
      <w:pPr>
        <w:pStyle w:val="ZitatnachZitat"/>
      </w:pPr>
      <w:r>
        <w:rPr>
          <w:i/>
          <w:iCs/>
        </w:rPr>
        <w:t>vāñcha pado vāñcha tvaca</w:t>
      </w:r>
      <w:r>
        <w:rPr>
          <w:i/>
          <w:iCs/>
        </w:rPr>
        <w:t>ṃ</w:t>
      </w:r>
      <w:r>
        <w:rPr>
          <w:i/>
          <w:iCs/>
        </w:rPr>
        <w:t xml:space="preserve"> / vāñchak</w:t>
      </w:r>
      <w:r>
        <w:rPr>
          <w:i/>
          <w:iCs/>
        </w:rPr>
        <w:t>ṣ</w:t>
      </w:r>
      <w:r>
        <w:rPr>
          <w:i/>
          <w:iCs/>
        </w:rPr>
        <w:t>yau vāñcha sakthyau /vatsamanu pra te mano nimna</w:t>
      </w:r>
      <w:r>
        <w:rPr>
          <w:i/>
          <w:iCs/>
        </w:rPr>
        <w:t>ṃ</w:t>
      </w:r>
      <w:r>
        <w:rPr>
          <w:i/>
          <w:iCs/>
        </w:rPr>
        <w:t xml:space="preserve"> vāriva dhāvatu // </w:t>
      </w:r>
      <w:r>
        <w:t>2</w:t>
      </w:r>
    </w:p>
    <w:p w14:paraId="4207C6CB" w14:textId="77777777" w:rsidR="00E53EB6" w:rsidRDefault="006500F5">
      <w:pPr>
        <w:pStyle w:val="Zitat"/>
      </w:pPr>
      <w:r>
        <w:t xml:space="preserve">1. </w:t>
      </w:r>
      <w:r>
        <w:rPr>
          <w:u w:val="single"/>
        </w:rPr>
        <w:t>Do love</w:t>
      </w:r>
      <w:r>
        <w:t xml:space="preserve"> with the breast, </w:t>
      </w:r>
      <w:r>
        <w:rPr>
          <w:u w:val="single"/>
        </w:rPr>
        <w:t>do love</w:t>
      </w:r>
      <w:r>
        <w:t xml:space="preserve"> with the heart, </w:t>
      </w:r>
      <w:r>
        <w:rPr>
          <w:u w:val="single"/>
        </w:rPr>
        <w:t>do love</w:t>
      </w:r>
      <w:r>
        <w:t xml:space="preserve"> with the mouth, with the tongue, </w:t>
      </w:r>
      <w:r>
        <w:rPr>
          <w:u w:val="single"/>
        </w:rPr>
        <w:t>do love</w:t>
      </w:r>
      <w:r>
        <w:t xml:space="preserve"> with the  overflowed vital fluid. 2. </w:t>
      </w:r>
      <w:r>
        <w:rPr>
          <w:u w:val="single"/>
        </w:rPr>
        <w:t>Desire</w:t>
      </w:r>
      <w:r>
        <w:t xml:space="preserve"> [my] feet, </w:t>
      </w:r>
      <w:r>
        <w:rPr>
          <w:u w:val="single"/>
        </w:rPr>
        <w:t>desire</w:t>
      </w:r>
      <w:r>
        <w:t xml:space="preserve"> [my] skin, </w:t>
      </w:r>
      <w:r>
        <w:rPr>
          <w:u w:val="single"/>
        </w:rPr>
        <w:t>desire</w:t>
      </w:r>
      <w:r>
        <w:t xml:space="preserve"> [my] thigh; let your spirit run after [me] the calf</w:t>
      </w:r>
      <w:r>
        <w:rPr>
          <w:rStyle w:val="FootnoteAnchor"/>
        </w:rPr>
        <w:footnoteReference w:id="579"/>
      </w:r>
      <w:r>
        <w:t xml:space="preserve"> like the water in the ho</w:t>
      </w:r>
      <w:r>
        <w:t xml:space="preserve">llow. </w:t>
      </w:r>
    </w:p>
    <w:p w14:paraId="3F623D07" w14:textId="77777777" w:rsidR="00E53EB6" w:rsidRDefault="006500F5">
      <w:pPr>
        <w:pStyle w:val="HaupttextnachZitat"/>
      </w:pPr>
      <w:r>
        <w:t xml:space="preserve">It is worth noting that in most of the occurrences this verb appears together with </w:t>
      </w:r>
      <w:r>
        <w:rPr>
          <w:i/>
        </w:rPr>
        <w:t>van- / van</w:t>
      </w:r>
      <w:r>
        <w:rPr>
          <w:i/>
          <w:vertAlign w:val="superscript"/>
        </w:rPr>
        <w:t>i</w:t>
      </w:r>
      <w:r>
        <w:rPr>
          <w:i/>
        </w:rPr>
        <w:t xml:space="preserve">- </w:t>
      </w:r>
      <w:r>
        <w:t>or with another derivative of the verb, linking the primary verbal root and its cognates within the semantic field of desire. If we take the points we ma</w:t>
      </w:r>
      <w:r>
        <w:t xml:space="preserve">de with regard to the Atharvaveda occurrences in conjunction with the uses of the verb </w:t>
      </w:r>
      <w:r>
        <w:rPr>
          <w:i/>
        </w:rPr>
        <w:t>vāñch-</w:t>
      </w:r>
      <w:r>
        <w:rPr>
          <w:rStyle w:val="FootnoteAnchor"/>
          <w:i/>
          <w:iCs/>
        </w:rPr>
        <w:footnoteReference w:id="580"/>
      </w:r>
      <w:r>
        <w:rPr>
          <w:i/>
        </w:rPr>
        <w:t xml:space="preserve">, </w:t>
      </w:r>
      <w:r>
        <w:t xml:space="preserve">we may go on to conjecture that the meaning of the verb </w:t>
      </w:r>
      <w:r>
        <w:rPr>
          <w:i/>
        </w:rPr>
        <w:t>van- / van</w:t>
      </w:r>
      <w:r>
        <w:rPr>
          <w:i/>
          <w:vertAlign w:val="superscript"/>
        </w:rPr>
        <w:t>i</w:t>
      </w:r>
      <w:r>
        <w:rPr>
          <w:i/>
        </w:rPr>
        <w:t xml:space="preserve">- </w:t>
      </w:r>
      <w:r>
        <w:t xml:space="preserve">“to desire” was not only present in the Atharvaveda, but was in fact a rather strong feature of its semantic field. Additionally, we have seen that, among the derivatives of </w:t>
      </w:r>
      <w:r>
        <w:rPr>
          <w:i/>
          <w:iCs/>
        </w:rPr>
        <w:t>van- / van</w:t>
      </w:r>
      <w:r>
        <w:rPr>
          <w:i/>
          <w:iCs/>
          <w:vertAlign w:val="superscript"/>
        </w:rPr>
        <w:t>i</w:t>
      </w:r>
      <w:r>
        <w:rPr>
          <w:i/>
          <w:iCs/>
        </w:rPr>
        <w:t xml:space="preserve">-, </w:t>
      </w:r>
      <w:r>
        <w:t>the attestations showing a possible link to this meaning are to be f</w:t>
      </w:r>
      <w:r>
        <w:t>ound once again in the Atharvaveda texts.</w:t>
      </w:r>
    </w:p>
    <w:p w14:paraId="36CC02DF" w14:textId="77777777" w:rsidR="00E53EB6" w:rsidRDefault="006500F5">
      <w:pPr>
        <w:pStyle w:val="HaupttextohneEinzug"/>
        <w:sectPr w:rsidR="00E53EB6">
          <w:headerReference w:type="even" r:id="rId36"/>
          <w:headerReference w:type="default" r:id="rId37"/>
          <w:footerReference w:type="even" r:id="rId38"/>
          <w:footerReference w:type="default" r:id="rId39"/>
          <w:pgSz w:w="11906" w:h="16838"/>
          <w:pgMar w:top="1917" w:right="1418" w:bottom="2235" w:left="1700" w:header="1418" w:footer="1700" w:gutter="0"/>
          <w:cols w:space="720"/>
          <w:formProt w:val="0"/>
          <w:docGrid w:linePitch="600" w:charSpace="38911"/>
        </w:sectPr>
      </w:pPr>
      <w:r>
        <w:t xml:space="preserve">To sum up, we may settle that </w:t>
      </w:r>
      <w:r>
        <w:rPr>
          <w:szCs w:val="21"/>
        </w:rPr>
        <w:t xml:space="preserve">in fact it is just in the Atharvaveda that we can clearly spot the meaning “to desire” and  reckon it as positive meaning of the verb </w:t>
      </w:r>
      <w:r>
        <w:rPr>
          <w:i/>
          <w:iCs/>
          <w:szCs w:val="21"/>
        </w:rPr>
        <w:t>van- / van</w:t>
      </w:r>
      <w:r>
        <w:rPr>
          <w:i/>
          <w:iCs/>
          <w:szCs w:val="21"/>
          <w:vertAlign w:val="superscript"/>
        </w:rPr>
        <w:t>i</w:t>
      </w:r>
      <w:r>
        <w:rPr>
          <w:i/>
          <w:iCs/>
          <w:szCs w:val="21"/>
        </w:rPr>
        <w:t xml:space="preserve">-, </w:t>
      </w:r>
      <w:r>
        <w:rPr>
          <w:szCs w:val="21"/>
        </w:rPr>
        <w:t>which is though still conveying the idea of possession and also that of sharing. It is then worth noticing t</w:t>
      </w:r>
      <w:r>
        <w:rPr>
          <w:szCs w:val="21"/>
        </w:rPr>
        <w:t xml:space="preserve">hat “to </w:t>
      </w:r>
      <w:r>
        <w:rPr>
          <w:szCs w:val="21"/>
        </w:rPr>
        <w:lastRenderedPageBreak/>
        <w:t xml:space="preserve">desire” does not rule out the other meanings of the verb, but is rather coincident. If we consider this and the peculiar position of the Atharvaveda, e.g. its manifold chronological strata, we may conclude that “to desire” and “to appropriate” are </w:t>
      </w:r>
      <w:r>
        <w:rPr>
          <w:szCs w:val="21"/>
        </w:rPr>
        <w:t>to be considered as a concurrent meanings, with a different development.</w:t>
      </w:r>
    </w:p>
    <w:p w14:paraId="4B96E9DF" w14:textId="77777777" w:rsidR="00E53EB6" w:rsidRDefault="006500F5">
      <w:pPr>
        <w:pStyle w:val="Heading1"/>
        <w:tabs>
          <w:tab w:val="left" w:pos="0"/>
        </w:tabs>
      </w:pPr>
      <w:r>
        <w:lastRenderedPageBreak/>
        <w:t>V. Conclusions</w:t>
      </w:r>
    </w:p>
    <w:p w14:paraId="7796E713" w14:textId="77777777" w:rsidR="00E53EB6" w:rsidRDefault="006500F5">
      <w:pPr>
        <w:pStyle w:val="Heading2"/>
        <w:tabs>
          <w:tab w:val="left" w:pos="0"/>
        </w:tabs>
      </w:pPr>
      <w:r>
        <w:t>V.1 Diachronic Analysis: A ritual Development</w:t>
      </w:r>
    </w:p>
    <w:p w14:paraId="732BC6A6" w14:textId="77777777" w:rsidR="00E53EB6" w:rsidRDefault="006500F5">
      <w:pPr>
        <w:pStyle w:val="Hauptext"/>
      </w:pPr>
      <w:r>
        <w:rPr>
          <w:szCs w:val="21"/>
          <w:lang w:bidi="it-IT"/>
        </w:rPr>
        <w:t xml:space="preserve">The research has focused on the uses of the verbal root </w:t>
      </w:r>
      <w:r>
        <w:rPr>
          <w:i/>
          <w:szCs w:val="21"/>
          <w:lang w:bidi="it-IT"/>
        </w:rPr>
        <w:t>van- / van</w:t>
      </w:r>
      <w:r>
        <w:rPr>
          <w:i/>
          <w:szCs w:val="21"/>
          <w:vertAlign w:val="superscript"/>
          <w:lang w:bidi="it-IT"/>
        </w:rPr>
        <w:t>i</w:t>
      </w:r>
      <w:r>
        <w:rPr>
          <w:i/>
          <w:szCs w:val="21"/>
          <w:lang w:bidi="it-IT"/>
        </w:rPr>
        <w:t>-</w:t>
      </w:r>
      <w:r>
        <w:rPr>
          <w:i/>
          <w:szCs w:val="21"/>
          <w:lang w:bidi="it-IT"/>
        </w:rPr>
        <w:t xml:space="preserve"> </w:t>
      </w:r>
      <w:r>
        <w:rPr>
          <w:szCs w:val="21"/>
          <w:lang w:bidi="it-IT"/>
        </w:rPr>
        <w:t>throughout the Sa</w:t>
      </w:r>
      <w:r>
        <w:rPr>
          <w:szCs w:val="21"/>
          <w:lang w:bidi="it-IT"/>
        </w:rPr>
        <w:t>ṃ</w:t>
      </w:r>
      <w:r>
        <w:rPr>
          <w:szCs w:val="21"/>
          <w:lang w:bidi="it-IT"/>
        </w:rPr>
        <w:t>hitās and Brāhma</w:t>
      </w:r>
      <w:r>
        <w:rPr>
          <w:szCs w:val="21"/>
          <w:lang w:bidi="it-IT"/>
        </w:rPr>
        <w:t>ṇ</w:t>
      </w:r>
      <w:r>
        <w:rPr>
          <w:szCs w:val="21"/>
          <w:lang w:bidi="it-IT"/>
        </w:rPr>
        <w:t xml:space="preserve">as. I set out to </w:t>
      </w:r>
      <w:r>
        <w:rPr>
          <w:szCs w:val="21"/>
          <w:lang w:bidi="it-IT"/>
        </w:rPr>
        <w:t>investigate the semantic changes within the first steps of the Vedic ritual language, and I chose a verb that, given its own semantic duplicity already at an Indo-European level, would provide us with an interesting complexity.</w:t>
      </w:r>
    </w:p>
    <w:p w14:paraId="7170CD28" w14:textId="77777777" w:rsidR="00E53EB6" w:rsidRDefault="006500F5">
      <w:pPr>
        <w:pStyle w:val="Hauptext"/>
      </w:pPr>
      <w:r>
        <w:t xml:space="preserve">With regard to the question </w:t>
      </w:r>
      <w:r>
        <w:t>we first addressed, about the possibility of reading two different forms (</w:t>
      </w:r>
      <w:r>
        <w:rPr>
          <w:i/>
        </w:rPr>
        <w:t>*u̯en / *u̯en-H</w:t>
      </w:r>
      <w:r>
        <w:t xml:space="preserve"> ) endowed with two different meanings, on the evidence of the analysis of the occurrences within the Vedic texts the outcome of the verbal root and its derivatives do</w:t>
      </w:r>
      <w:r>
        <w:t xml:space="preserve"> not show any such symmetry between pseudo-morphologising phonetics and semantics. As we have already said, we may conclude that it hardly appears appropriate to establish a biunique correspondence between the two meanings – or the different senses which t</w:t>
      </w:r>
      <w:r>
        <w:t xml:space="preserve">he Sanskrit shows – and the morphological alternation. </w:t>
      </w:r>
      <w:r>
        <w:rPr>
          <w:szCs w:val="21"/>
        </w:rPr>
        <w:t xml:space="preserve">The presence of the laryngeal, which is </w:t>
      </w:r>
      <w:r w:rsidRPr="00494885">
        <w:rPr>
          <w:szCs w:val="21"/>
          <w:lang w:val="en-US"/>
        </w:rPr>
        <w:t xml:space="preserve">transparent </w:t>
      </w:r>
      <w:r>
        <w:rPr>
          <w:szCs w:val="21"/>
        </w:rPr>
        <w:t>from an Indo-European point of view, does not seem to imply a semantic value: there is an alternation, which cannot be seen as arbitrary or random, a</w:t>
      </w:r>
      <w:r>
        <w:rPr>
          <w:szCs w:val="21"/>
        </w:rPr>
        <w:t>nd which could – according to some authors – have its own distinctive role. The shortcoming of occurrences where the presences of a laryngeal is beyond doubts makes any conclusive statement rather elusive. As to the R̥gvedic and post R̥gvedic liturgical te</w:t>
      </w:r>
      <w:r>
        <w:rPr>
          <w:szCs w:val="21"/>
        </w:rPr>
        <w:t xml:space="preserve">xts we shall speculate </w:t>
      </w:r>
      <w:r>
        <w:rPr>
          <w:rFonts w:eastAsia="SabonUnicode" w:cs="SabonUnicode"/>
          <w:szCs w:val="21"/>
        </w:rPr>
        <w:t xml:space="preserve">a coalescence of the reconstructed I.E. verbal root, assuming a hiatus between the two I.E. forms and the Vedic outcome. </w:t>
      </w:r>
    </w:p>
    <w:p w14:paraId="0F7B654E" w14:textId="77777777" w:rsidR="00E53EB6" w:rsidRDefault="006500F5">
      <w:pPr>
        <w:pStyle w:val="Hauptext"/>
      </w:pPr>
      <w:r>
        <w:rPr>
          <w:rFonts w:eastAsia="SabonUnicode" w:cs="SabonUnicode"/>
          <w:szCs w:val="21"/>
        </w:rPr>
        <w:t>Moreover, through a functional analysis of the R̥gvedic attestations we charted two usages of the verb. In m</w:t>
      </w:r>
      <w:r>
        <w:rPr>
          <w:rFonts w:ascii="SabonUnicode" w:eastAsia="SabonUnicode" w:hAnsi="SabonUnicode" w:cs="SabonUnicode"/>
          <w:szCs w:val="21"/>
        </w:rPr>
        <w:t>ost</w:t>
      </w:r>
      <w:r>
        <w:rPr>
          <w:rFonts w:ascii="SabonUnicode" w:eastAsia="SabonUnicode" w:hAnsi="SabonUnicode" w:cs="SabonUnicode"/>
          <w:szCs w:val="21"/>
        </w:rPr>
        <w:t xml:space="preserve"> of the occurrences of the </w:t>
      </w:r>
      <w:r>
        <w:rPr>
          <w:rFonts w:ascii="SabonUnicode" w:eastAsia="SabonUnicode" w:hAnsi="SabonUnicode" w:cs="SabonUnicode"/>
          <w:i/>
          <w:iCs/>
          <w:szCs w:val="21"/>
        </w:rPr>
        <w:t>R̥gveda Sa</w:t>
      </w:r>
      <w:r>
        <w:rPr>
          <w:rFonts w:ascii="SabonUnicode" w:eastAsia="SabonUnicode" w:hAnsi="SabonUnicode" w:cs="SabonUnicode"/>
          <w:i/>
          <w:iCs/>
          <w:szCs w:val="21"/>
        </w:rPr>
        <w:t>ṃ</w:t>
      </w:r>
      <w:r>
        <w:rPr>
          <w:rFonts w:ascii="SabonUnicode" w:eastAsia="SabonUnicode" w:hAnsi="SabonUnicode" w:cs="SabonUnicode"/>
          <w:i/>
          <w:iCs/>
          <w:szCs w:val="21"/>
        </w:rPr>
        <w:t>hitā van- / van</w:t>
      </w:r>
      <w:r>
        <w:rPr>
          <w:rFonts w:ascii="SabonUnicode" w:eastAsia="SabonUnicode" w:hAnsi="SabonUnicode" w:cs="SabonUnicode"/>
          <w:i/>
          <w:iCs/>
          <w:szCs w:val="21"/>
          <w:vertAlign w:val="superscript"/>
        </w:rPr>
        <w:t>i</w:t>
      </w:r>
      <w:r>
        <w:rPr>
          <w:rFonts w:ascii="SabonUnicode" w:eastAsia="SabonUnicode" w:hAnsi="SabonUnicode" w:cs="SabonUnicode"/>
          <w:i/>
          <w:iCs/>
          <w:szCs w:val="21"/>
        </w:rPr>
        <w:t xml:space="preserve">- </w:t>
      </w:r>
      <w:r>
        <w:rPr>
          <w:rFonts w:ascii="SabonUnicode" w:eastAsia="SabonUnicode" w:hAnsi="SabonUnicode" w:cs="SabonUnicode"/>
          <w:szCs w:val="21"/>
        </w:rPr>
        <w:t>shows different nuances of</w:t>
      </w:r>
      <w:r>
        <w:rPr>
          <w:rFonts w:ascii="SabonUnicode" w:eastAsia="SabonUnicode" w:hAnsi="SabonUnicode" w:cs="SabonUnicode"/>
          <w:i/>
          <w:iCs/>
          <w:szCs w:val="21"/>
        </w:rPr>
        <w:t xml:space="preserve"> </w:t>
      </w:r>
      <w:r>
        <w:rPr>
          <w:rFonts w:eastAsia="SabonUnicode" w:cs="SabonUnicode"/>
          <w:szCs w:val="21"/>
        </w:rPr>
        <w:t>a</w:t>
      </w:r>
      <w:r>
        <w:rPr>
          <w:rFonts w:ascii="SabonUnicode" w:eastAsia="SabonUnicode" w:hAnsi="SabonUnicode" w:cs="SabonUnicode"/>
          <w:szCs w:val="21"/>
        </w:rPr>
        <w:t xml:space="preserve"> single nuclear meaning “to appropriate”, that has to be understood differently according to the various contexts. We proposed three main context-bound variants of the nuclear meaning, namely “to possess” “to win / to conquer” and “to appropriate” on behal</w:t>
      </w:r>
      <w:r>
        <w:rPr>
          <w:rFonts w:ascii="SabonUnicode" w:eastAsia="SabonUnicode" w:hAnsi="SabonUnicode" w:cs="SabonUnicode"/>
          <w:szCs w:val="21"/>
        </w:rPr>
        <w:t xml:space="preserve">f of someone, the last one </w:t>
      </w:r>
      <w:r>
        <w:rPr>
          <w:rFonts w:ascii="SabonUnicode" w:eastAsia="SabonUnicode" w:hAnsi="SabonUnicode" w:cs="SabonUnicode"/>
          <w:szCs w:val="21"/>
        </w:rPr>
        <w:t>implying</w:t>
      </w:r>
      <w:r>
        <w:rPr>
          <w:rFonts w:ascii="SabonUnicode" w:eastAsia="SabonUnicode" w:hAnsi="SabonUnicode" w:cs="SabonUnicode"/>
          <w:szCs w:val="21"/>
        </w:rPr>
        <w:t xml:space="preserve"> a further act of sharing. On the other side,  a ritual value is attached to the verb when the action is bound to an actual moment of the sacrifice and conveys the idea of letting some one enter in the sacrificial area; </w:t>
      </w:r>
      <w:r>
        <w:rPr>
          <w:szCs w:val="21"/>
          <w:lang w:bidi="it-IT"/>
        </w:rPr>
        <w:t>t</w:t>
      </w:r>
      <w:r>
        <w:rPr>
          <w:szCs w:val="21"/>
          <w:lang w:bidi="it-IT"/>
        </w:rPr>
        <w:t xml:space="preserve">his second aspect of the verb entails the one most basic aspect of the Vedic culture, namely the sacrifice. </w:t>
      </w:r>
    </w:p>
    <w:p w14:paraId="0BEA18DC" w14:textId="77777777" w:rsidR="00E53EB6" w:rsidRDefault="006500F5">
      <w:pPr>
        <w:pStyle w:val="Hauptext"/>
        <w:ind w:firstLine="0"/>
      </w:pPr>
      <w:r>
        <w:t>In the post-R̥gvedic Sa</w:t>
      </w:r>
      <w:r>
        <w:t>ṃ</w:t>
      </w:r>
      <w:r>
        <w:t>hitās and Brāhma</w:t>
      </w:r>
      <w:r>
        <w:t>ṇ</w:t>
      </w:r>
      <w:r>
        <w:t>as the verb hardly keeps its ritual value; it is rather employed to express the idea of a possessing, or a</w:t>
      </w:r>
      <w:r>
        <w:t xml:space="preserve">n appropriation and even a sharing, as a further development of the idea of transference and exchange, in any case no longer involving a ritual exchange. Indeed, </w:t>
      </w:r>
      <w:r>
        <w:t>the non-R̥V occurrences besides showing the absence of the ritual meaning, they witness the sh</w:t>
      </w:r>
      <w:r>
        <w:t xml:space="preserve">ift of the verb toward an “extreme” sharing, which will result in a giving, as it is also hinted at by the commentators who gloss the verb with </w:t>
      </w:r>
      <w:r>
        <w:rPr>
          <w:i/>
          <w:iCs/>
        </w:rPr>
        <w:t>dā</w:t>
      </w:r>
      <w:r>
        <w:t xml:space="preserve">- “to give” or </w:t>
      </w:r>
      <w:r>
        <w:rPr>
          <w:i/>
          <w:iCs/>
        </w:rPr>
        <w:t>sambhaj</w:t>
      </w:r>
      <w:r>
        <w:t>- “to grant” “to distribute”. The idea of possessing is almost completely lost (as we wi</w:t>
      </w:r>
      <w:r>
        <w:t xml:space="preserve">ll also see in the Atharvavedic and classic Sanskrit occurrences). </w:t>
      </w:r>
      <w:r>
        <w:t xml:space="preserve">The different uses which </w:t>
      </w:r>
      <w:r>
        <w:rPr>
          <w:i/>
        </w:rPr>
        <w:t>van- / van</w:t>
      </w:r>
      <w:r>
        <w:rPr>
          <w:i/>
          <w:vertAlign w:val="superscript"/>
        </w:rPr>
        <w:t>i</w:t>
      </w:r>
      <w:r>
        <w:rPr>
          <w:i/>
        </w:rPr>
        <w:t>-</w:t>
      </w:r>
      <w:r>
        <w:rPr>
          <w:i/>
          <w:vertAlign w:val="superscript"/>
        </w:rPr>
        <w:t xml:space="preserve"> </w:t>
      </w:r>
      <w:r>
        <w:t>undergoes, can be traced back to a change in the perception of the rite. In fact, t</w:t>
      </w:r>
      <w:r>
        <w:t>he model and purpose of the Vedic ritual is to produce an epiphany, to bring the gods to the humans’ ritual ground in order to partake of the oblations and to satisfy the requests. Nevertheless, the R̥gvedic and post R̥gvedic passages present us with a dif</w:t>
      </w:r>
      <w:r>
        <w:t xml:space="preserve">ferent scenarios; in the </w:t>
      </w:r>
      <w:r>
        <w:rPr>
          <w:i/>
        </w:rPr>
        <w:t>R̥gveda Sa</w:t>
      </w:r>
      <w:r>
        <w:rPr>
          <w:i/>
        </w:rPr>
        <w:t>ṃ</w:t>
      </w:r>
      <w:r>
        <w:rPr>
          <w:i/>
        </w:rPr>
        <w:t xml:space="preserve">hitā </w:t>
      </w:r>
      <w:r>
        <w:t xml:space="preserve">the verb </w:t>
      </w:r>
      <w:r>
        <w:rPr>
          <w:i/>
        </w:rPr>
        <w:t>van- / van</w:t>
      </w:r>
      <w:r>
        <w:rPr>
          <w:i/>
          <w:vertAlign w:val="superscript"/>
        </w:rPr>
        <w:t>i</w:t>
      </w:r>
      <w:r>
        <w:rPr>
          <w:i/>
        </w:rPr>
        <w:t>-</w:t>
      </w:r>
      <w:r>
        <w:rPr>
          <w:i/>
        </w:rPr>
        <w:t xml:space="preserve"> </w:t>
      </w:r>
      <w:r>
        <w:t xml:space="preserve">is often used at the moment of evoking the gods an its ritual meaning is deeply connected with the semantic field of inspiration, that is with the supremely important skill to have </w:t>
      </w:r>
      <w:r>
        <w:t>the presence</w:t>
      </w:r>
      <w:r>
        <w:t xml:space="preserve"> of god</w:t>
      </w:r>
      <w:r>
        <w:t xml:space="preserve">s. Indeed, within the hymns, the semantic field of inspiration is very frequent (see, e.g., the presence of words like </w:t>
      </w:r>
      <w:r>
        <w:rPr>
          <w:i/>
          <w:iCs/>
        </w:rPr>
        <w:t xml:space="preserve">dhī́ </w:t>
      </w:r>
      <w:r>
        <w:t xml:space="preserve">or </w:t>
      </w:r>
      <w:r>
        <w:rPr>
          <w:i/>
          <w:iCs/>
        </w:rPr>
        <w:t>vipas</w:t>
      </w:r>
      <w:r>
        <w:t xml:space="preserve">), and the </w:t>
      </w:r>
      <w:r>
        <w:rPr>
          <w:i/>
          <w:iCs/>
        </w:rPr>
        <w:t>topos</w:t>
      </w:r>
      <w:r>
        <w:t xml:space="preserve"> of getting the inspiration, the “inspired chant”,  can be reckoned as one of the central subjects of</w:t>
      </w:r>
      <w:r>
        <w:t xml:space="preserve"> the first Sa</w:t>
      </w:r>
      <w:r>
        <w:t>ṃ</w:t>
      </w:r>
      <w:r>
        <w:t>hitā.</w:t>
      </w:r>
      <w:r>
        <w:rPr>
          <w:i/>
          <w:iCs/>
        </w:rPr>
        <w:t xml:space="preserve"> </w:t>
      </w:r>
      <w:r>
        <w:t>On the other side,</w:t>
      </w:r>
      <w:r>
        <w:t xml:space="preserve"> in the later texts, the action of having the gods enter the circle of sacrifice no longer represents an important stage in the sacrifice.  Due to a “standardisation” of the procedure of the rite itself, it is then nec</w:t>
      </w:r>
      <w:r>
        <w:t xml:space="preserve">essary to be in command </w:t>
      </w:r>
      <w:r>
        <w:lastRenderedPageBreak/>
        <w:t>of the sacrificial result and to be able to guarantee its success, therefore the uncertainty that the idea of inspiration entails could no longer play a major role. Within this development, whatever was connected with the semantic a</w:t>
      </w:r>
      <w:r>
        <w:t xml:space="preserve">rea of the poetic inspiration would also be fading out. </w:t>
      </w:r>
      <w:r>
        <w:rPr>
          <w:szCs w:val="21"/>
          <w:lang w:bidi="it-IT"/>
        </w:rPr>
        <w:t>The sacrifice of the post-R̥gvedic period had to be predictable, and every step, pro</w:t>
      </w:r>
      <w:r>
        <w:rPr>
          <w:szCs w:val="21"/>
          <w:lang w:bidi="it-IT"/>
        </w:rPr>
        <w:t xml:space="preserve">vided that is performed as prescribed, should bring the same result, while </w:t>
      </w:r>
      <w:r>
        <w:rPr>
          <w:rFonts w:eastAsia="CharisSIL" w:cs="CharisSIL"/>
          <w:color w:val="000000"/>
          <w:szCs w:val="21"/>
          <w:lang w:bidi="it-IT"/>
        </w:rPr>
        <w:t>the action of evoking entails the possibi</w:t>
      </w:r>
      <w:r>
        <w:rPr>
          <w:rFonts w:eastAsia="CharisSIL" w:cs="CharisSIL"/>
          <w:color w:val="000000"/>
          <w:szCs w:val="21"/>
          <w:lang w:bidi="it-IT"/>
        </w:rPr>
        <w:t xml:space="preserve">lity of failure. The inspiration and the skills of a single individual cannot play anymore a significant role within the whole process. </w:t>
      </w:r>
      <w:r>
        <w:t>Finally, we may consider the ritual development, or in other words the development of the verb in the compositions of th</w:t>
      </w:r>
      <w:r>
        <w:t xml:space="preserve">e Brahmanical part of Vedic corpus, as a “path” where </w:t>
      </w:r>
      <w:r>
        <w:rPr>
          <w:i/>
        </w:rPr>
        <w:t>van- / van</w:t>
      </w:r>
      <w:r>
        <w:rPr>
          <w:i/>
          <w:vertAlign w:val="superscript"/>
        </w:rPr>
        <w:t>i</w:t>
      </w:r>
      <w:r>
        <w:rPr>
          <w:i/>
        </w:rPr>
        <w:t>-</w:t>
      </w:r>
      <w:r>
        <w:rPr>
          <w:i/>
        </w:rPr>
        <w:t xml:space="preserve"> </w:t>
      </w:r>
      <w:r>
        <w:t xml:space="preserve">loses the concrete ritual aspect and the functional meanings we detected in the </w:t>
      </w:r>
      <w:r>
        <w:rPr>
          <w:i/>
        </w:rPr>
        <w:t>R̥gvedasā</w:t>
      </w:r>
      <w:r>
        <w:rPr>
          <w:i/>
        </w:rPr>
        <w:t>ṃ</w:t>
      </w:r>
      <w:r>
        <w:rPr>
          <w:i/>
        </w:rPr>
        <w:t xml:space="preserve">hitā, </w:t>
      </w:r>
      <w:r>
        <w:t xml:space="preserve">whereas the strong need for a precise specialist vocabulary drove the word towards </w:t>
      </w:r>
      <w:r>
        <w:t>the idea o</w:t>
      </w:r>
      <w:r>
        <w:t xml:space="preserve">f sharing which can be conceived as a development of the idea of “passage” that we saw as a potentiality of the nuclear meaning. </w:t>
      </w:r>
    </w:p>
    <w:p w14:paraId="2EC87A41" w14:textId="77777777" w:rsidR="00E53EB6" w:rsidRDefault="00E53EB6">
      <w:pPr>
        <w:pStyle w:val="Hauptext"/>
      </w:pPr>
    </w:p>
    <w:p w14:paraId="5C06CA48" w14:textId="77777777" w:rsidR="00E53EB6" w:rsidRDefault="00E53EB6">
      <w:pPr>
        <w:pStyle w:val="HaupttextohneEinzug"/>
      </w:pPr>
    </w:p>
    <w:p w14:paraId="0B8B0E9E" w14:textId="77777777" w:rsidR="00E53EB6" w:rsidRDefault="006500F5">
      <w:pPr>
        <w:pStyle w:val="Heading2"/>
        <w:tabs>
          <w:tab w:val="left" w:pos="0"/>
        </w:tabs>
      </w:pPr>
      <w:r>
        <w:t>V.2 Diastratic Analysis: A Social Counterpart?</w:t>
      </w:r>
    </w:p>
    <w:p w14:paraId="70BC6A6F" w14:textId="77777777" w:rsidR="00E53EB6" w:rsidRDefault="006500F5">
      <w:pPr>
        <w:pStyle w:val="Hauptext"/>
      </w:pPr>
      <w:r>
        <w:t>The semantic field of desire, though it could be arguably considered as absent in the R̥gvedic occurrences of the verb, is attested at the Indo-European level and in the Atharvavedic tradition. The hypothesis that this work has presented is that the two li</w:t>
      </w:r>
      <w:r>
        <w:t xml:space="preserve">nguistic traditions have survived independently one from the other: the one that came down to us through the </w:t>
      </w:r>
      <w:r>
        <w:rPr>
          <w:i/>
          <w:iCs/>
        </w:rPr>
        <w:t>R̥gveda Sa</w:t>
      </w:r>
      <w:r>
        <w:rPr>
          <w:i/>
          <w:iCs/>
        </w:rPr>
        <w:t>ṃ</w:t>
      </w:r>
      <w:r>
        <w:rPr>
          <w:i/>
          <w:iCs/>
        </w:rPr>
        <w:t>hitā</w:t>
      </w:r>
      <w:r>
        <w:t xml:space="preserve"> and the other one that is partially recorded in the Atharvedic sources. In the latter the meaning to desire is clearly present, whi</w:t>
      </w:r>
      <w:r>
        <w:t>le in the first one has almost disappeared. Nevertheless the linguistic tradition fragmentary attested in the Atharvaveda texts might date back to the I.E. period and it is plausible to suppose that it has continued –although we have but scanty attestation</w:t>
      </w:r>
      <w:r>
        <w:t xml:space="preserve">s of it –  later on through the Vedic period up to the moment when Sanskrit appears. </w:t>
      </w:r>
      <w:r>
        <w:t>The shift in meaning between the two groups of texts is not a development to be caught within a diachronic perspective alone, but rather as a differentiation/dissimilation</w:t>
      </w:r>
      <w:r>
        <w:t xml:space="preserve"> that takes place on a social level, a synchronic polysemy to be analysed with a diastratic frame of reference. As we have seen, in the Atharvaveda occurrences the semantic field of desire plays a relevant role: this meaning, given in the etymological Lexi</w:t>
      </w:r>
      <w:r>
        <w:t xml:space="preserve">con for the Indo-European reconstructed root </w:t>
      </w:r>
      <w:r>
        <w:rPr>
          <w:i/>
          <w:sz w:val="20"/>
        </w:rPr>
        <w:t xml:space="preserve">*u̯en / *u̯en-H, </w:t>
      </w:r>
      <w:r>
        <w:rPr>
          <w:sz w:val="20"/>
        </w:rPr>
        <w:t>occurs in all the other textual evidences only as a secondary development among the derivatives</w:t>
      </w:r>
      <w:r>
        <w:rPr>
          <w:szCs w:val="21"/>
        </w:rPr>
        <w:t>, but in fact the Atharvaveda setting is quite different.</w:t>
      </w:r>
      <w:r>
        <w:rPr>
          <w:szCs w:val="21"/>
        </w:rPr>
        <w:t xml:space="preserve"> As it is evident from the attestations, i</w:t>
      </w:r>
      <w:r>
        <w:rPr>
          <w:szCs w:val="21"/>
        </w:rPr>
        <w:t>n this tradition the meaning “to desire” is a primary one.</w:t>
      </w:r>
    </w:p>
    <w:p w14:paraId="074C1685" w14:textId="77777777" w:rsidR="00E53EB6" w:rsidRDefault="006500F5">
      <w:pPr>
        <w:pStyle w:val="Hauptext"/>
      </w:pPr>
      <w:r>
        <w:t>It would then be possible to speculate that what we see in the Atharvaveda occurrences is a social counterpart of the ritual meaning eventually lost in the Brāhma</w:t>
      </w:r>
      <w:r>
        <w:t>ṇ</w:t>
      </w:r>
      <w:r>
        <w:t xml:space="preserve">as. Hints, traces, of this are to </w:t>
      </w:r>
      <w:r>
        <w:t xml:space="preserve">be found, as we have seen, also in the noun derivative, both in the post-R̥gvedic occurrences as well as in the </w:t>
      </w:r>
      <w:r>
        <w:rPr>
          <w:i/>
        </w:rPr>
        <w:t xml:space="preserve">R̥gvedasaṃhitā </w:t>
      </w:r>
      <w:r>
        <w:t xml:space="preserve">itself. Nonetheless it is precisely only in the fourth Veda that we are confronted with so many cases where the verb </w:t>
      </w:r>
      <w:r>
        <w:rPr>
          <w:i/>
        </w:rPr>
        <w:t xml:space="preserve">van- </w:t>
      </w:r>
      <w:r>
        <w:t>is po</w:t>
      </w:r>
      <w:r>
        <w:t xml:space="preserve">sitively pointing to the value “to desire” “to love”. With regard to the relevant social features of the substratum of the Atharvavedic texts as a different one from that of the so called Brahmanical tradition, there is not much to be disputed, whereas we </w:t>
      </w:r>
      <w:r>
        <w:t xml:space="preserve">are unable to describe the non-Brahmanical elements that affected these texts with any precision, and a clear picture of that substratum is far from being traced out. </w:t>
      </w:r>
      <w:r>
        <w:t>In addition, the extant Atharvaveda texts contain variegated material partially hailing f</w:t>
      </w:r>
      <w:r>
        <w:t>rom elder strata of the Indo-Aryan waves of migrations.</w:t>
      </w:r>
      <w:r>
        <w:rPr>
          <w:rStyle w:val="FootnoteAnchor"/>
        </w:rPr>
        <w:footnoteReference w:id="581"/>
      </w:r>
    </w:p>
    <w:p w14:paraId="0D0898E7" w14:textId="77777777" w:rsidR="00E53EB6" w:rsidRDefault="006500F5">
      <w:pPr>
        <w:pStyle w:val="Hauptext"/>
      </w:pPr>
      <w:r>
        <w:t xml:space="preserve">Within this broad picture, we can settle on an interpretation of the semantic differentiation  </w:t>
      </w:r>
      <w:r>
        <w:lastRenderedPageBreak/>
        <w:t>following a pattern that could be “that which I have enter my circle, I make mine” / “that which is goo</w:t>
      </w:r>
      <w:r>
        <w:t xml:space="preserve">d” &gt; “that which is desirable, the good which I stretch out to”, not really as a diachronic development, but rather as the different outcomes of two concurrent meanings. One spreads in the </w:t>
      </w:r>
      <w:r>
        <w:rPr>
          <w:i/>
        </w:rPr>
        <w:t>R̥gveda Sa</w:t>
      </w:r>
      <w:r>
        <w:rPr>
          <w:i/>
        </w:rPr>
        <w:t>ṃ</w:t>
      </w:r>
      <w:r>
        <w:rPr>
          <w:i/>
        </w:rPr>
        <w:t xml:space="preserve">hitā </w:t>
      </w:r>
      <w:r>
        <w:t>and in the liturgical texts, leaving no room for th</w:t>
      </w:r>
      <w:r>
        <w:t>e other which is, instead, positively present in the Atharvaveda together with the first one. In this analysis it is worth noting that in the post-R̥gvedic Sa</w:t>
      </w:r>
      <w:r>
        <w:t>ṃ</w:t>
      </w:r>
      <w:r>
        <w:t>hitās and Brāhma</w:t>
      </w:r>
      <w:r>
        <w:t>ṇ</w:t>
      </w:r>
      <w:r>
        <w:t xml:space="preserve">as the school where we find the highest number of occurrences of </w:t>
      </w:r>
      <w:r>
        <w:rPr>
          <w:i/>
        </w:rPr>
        <w:t>van- / van</w:t>
      </w:r>
      <w:r>
        <w:rPr>
          <w:i/>
          <w:vertAlign w:val="superscript"/>
        </w:rPr>
        <w:t>i</w:t>
      </w:r>
      <w:r>
        <w:rPr>
          <w:i/>
        </w:rPr>
        <w:t xml:space="preserve">- </w:t>
      </w:r>
      <w:r>
        <w:t>is</w:t>
      </w:r>
      <w:r>
        <w:t xml:space="preserve"> the Atharvaveda one. Moreover, among the liturgical texts the R̥gvedic quotations account for the majority of the occurrences, while the opposite situation is to be seen in the Atharvaveda. This could suggest, as already mentioned, that the nuclear meanin</w:t>
      </w:r>
      <w:r>
        <w:t>g, and even more the ritual meaning, which were alive in the R̥gvedic period, fade away in the Brahmanical period, i.e. when the redactional enterprise to create a common rite took place, while the meaning “to desire” which was at the very outset not conne</w:t>
      </w:r>
      <w:r>
        <w:t xml:space="preserve">cted with this part of the society, escaped, as it were, this vanishing process. </w:t>
      </w:r>
      <w:r>
        <w:t>In conclusion, we may say that the analysis of the texts where the meaning “to desire” occurs sheds light on the different strata of Vedic society and seems to suggest that th</w:t>
      </w:r>
      <w:r>
        <w:t xml:space="preserve">is sense does not represent a secondary development of the idea of appropriating, but is rather a concurrent meaning which might have been widespread among a group or groups other than the sacerdotal – Brahmanical class, and which were clearly part of the </w:t>
      </w:r>
      <w:r>
        <w:t xml:space="preserve">Vedic society, though perhaps not belonging to the same wave of migrations as that of the R̥gvedic one. </w:t>
      </w:r>
    </w:p>
    <w:p w14:paraId="1DDE8C51" w14:textId="77777777" w:rsidR="00E53EB6" w:rsidRDefault="006500F5">
      <w:pPr>
        <w:pStyle w:val="Hauptext"/>
      </w:pPr>
      <w:r>
        <w:t>To sum up, we started, at the Indo-European level with two possible meanings “to desire” “to win” and we decided to replace this opposition with the nu</w:t>
      </w:r>
      <w:r>
        <w:t>clear meaning ‘to appropriate’- ‘to make one’s own’; besides this meaning we also detected a ritual meaning, and we followed its development within the liturgical texts of the Yajurveda school in particular. Throughout this analysis the meaning “to desire”</w:t>
      </w:r>
      <w:r>
        <w:t xml:space="preserve"> was totally absent, except for few derivatives. The Atharvaveda occurrences prove the meaning “to desire” not to be a secondary derivation of the nuclear meaning, but rather a concurrent meaning that develops beside the other. The examination of the root </w:t>
      </w:r>
      <w:r>
        <w:rPr>
          <w:i/>
          <w:iCs/>
        </w:rPr>
        <w:t>van- / van</w:t>
      </w:r>
      <w:r>
        <w:rPr>
          <w:i/>
          <w:iCs/>
          <w:vertAlign w:val="superscript"/>
        </w:rPr>
        <w:t>i</w:t>
      </w:r>
      <w:r>
        <w:rPr>
          <w:i/>
          <w:iCs/>
        </w:rPr>
        <w:t>-</w:t>
      </w:r>
      <w:r>
        <w:t xml:space="preserve"> furnished us with a deeper understanding of the perception of ritual within the passages between the </w:t>
      </w:r>
      <w:r>
        <w:rPr>
          <w:i/>
          <w:iCs/>
        </w:rPr>
        <w:t>R̥gveda Sa</w:t>
      </w:r>
      <w:r>
        <w:rPr>
          <w:i/>
          <w:iCs/>
        </w:rPr>
        <w:t>ṃ</w:t>
      </w:r>
      <w:r>
        <w:rPr>
          <w:i/>
          <w:iCs/>
        </w:rPr>
        <w:t>hitā,</w:t>
      </w:r>
      <w:r>
        <w:t xml:space="preserve"> the first Yajurveda Sa</w:t>
      </w:r>
      <w:r>
        <w:t>ṃ</w:t>
      </w:r>
      <w:r>
        <w:t>hitās and the later Brāhma</w:t>
      </w:r>
      <w:r>
        <w:t>ṇ</w:t>
      </w:r>
      <w:r>
        <w:t>as; on the top of it, has provided important elements on  the strong presen</w:t>
      </w:r>
      <w:r>
        <w:t>ce within the Vedic society of what may be called “heterodox” groups leaving their traces within the texts. The present work has only analysed a portion of the Vedic corpus, but it could be meaningful to enlarge the research, not only going further and sur</w:t>
      </w:r>
      <w:r>
        <w:t xml:space="preserve">veying the Śrauta Sūtra manuals, but also going “back”, that is to concentrate on the Indo-European level. Considering the frequency of the laryngeal form (cf. §5.1.2), it could be interesting to investigate the occurrences of the verbal root in the other </w:t>
      </w:r>
      <w:r>
        <w:t>Indo-European languages focusing on the percentage of the form</w:t>
      </w:r>
      <w:r>
        <w:rPr>
          <w:i/>
        </w:rPr>
        <w:t xml:space="preserve"> *u̯en-H.</w:t>
      </w:r>
      <w:r>
        <w:t xml:space="preserve"> In the Vedic corpus it’s not possible to detect a sharp semantic division between </w:t>
      </w:r>
      <w:r>
        <w:rPr>
          <w:i/>
          <w:iCs/>
        </w:rPr>
        <w:t xml:space="preserve">van- </w:t>
      </w:r>
      <w:r>
        <w:t xml:space="preserve">and </w:t>
      </w:r>
      <w:r>
        <w:rPr>
          <w:i/>
          <w:iCs/>
        </w:rPr>
        <w:t>van</w:t>
      </w:r>
      <w:r>
        <w:rPr>
          <w:i/>
          <w:iCs/>
          <w:vertAlign w:val="superscript"/>
        </w:rPr>
        <w:t>i</w:t>
      </w:r>
      <w:r>
        <w:rPr>
          <w:i/>
          <w:iCs/>
        </w:rPr>
        <w:t>-</w:t>
      </w:r>
      <w:r>
        <w:t>, nonetheless, the outcomes of the laryngeal form seem to increase in the later verbal a</w:t>
      </w:r>
      <w:r>
        <w:t xml:space="preserve">nd nominal derivatives. Analysing the extant outcomes of the Indo-European root under this perspective may lead to discover if there is any kind of significant division in the usage of </w:t>
      </w:r>
      <w:r>
        <w:rPr>
          <w:i/>
        </w:rPr>
        <w:t xml:space="preserve">*u̯en </w:t>
      </w:r>
      <w:r>
        <w:t xml:space="preserve">and </w:t>
      </w:r>
      <w:r>
        <w:rPr>
          <w:i/>
        </w:rPr>
        <w:t xml:space="preserve">*u̯en-H </w:t>
      </w:r>
      <w:r>
        <w:t>at a earlier level of the language.</w:t>
      </w:r>
      <w:r>
        <w:t xml:space="preserve"> </w:t>
      </w:r>
      <w:r>
        <w:t xml:space="preserve">With regard to the semantic shift we outlined for the ritual meaning, between the </w:t>
      </w:r>
      <w:r>
        <w:rPr>
          <w:i/>
          <w:iCs/>
        </w:rPr>
        <w:t>R̥gveda Sa</w:t>
      </w:r>
      <w:r>
        <w:rPr>
          <w:i/>
          <w:iCs/>
        </w:rPr>
        <w:t>ṃ</w:t>
      </w:r>
      <w:r>
        <w:rPr>
          <w:i/>
          <w:iCs/>
        </w:rPr>
        <w:t>hitā</w:t>
      </w:r>
      <w:r>
        <w:t xml:space="preserve"> and Brāhma</w:t>
      </w:r>
      <w:r>
        <w:t>ṇ</w:t>
      </w:r>
      <w:r>
        <w:t>as, it is worth underling once more that the shift took place within a change in the perception of the rite that especially involved the role of in</w:t>
      </w:r>
      <w:r>
        <w:t>spiration. A wide survey of other terms belonging to the semantic area of inspiration would also be very important. Finally, the heterodox elements within the Atharvaveda tradition are an important field of research that still need to be investigated -when</w:t>
      </w:r>
      <w:r>
        <w:t xml:space="preserve"> it comes to the data, and that can shed a light on those parts of the Vedic society which didn’t belong to the Brahmanical group. </w:t>
      </w:r>
    </w:p>
    <w:p w14:paraId="7DB9D451" w14:textId="77777777" w:rsidR="00E53EB6" w:rsidRDefault="006500F5">
      <w:pPr>
        <w:pStyle w:val="HaupttextohneEinzug"/>
      </w:pPr>
      <w:r>
        <w:tab/>
        <w:t xml:space="preserve">In the effort to have a clearer idea of the different usages of the verbal root </w:t>
      </w:r>
      <w:r>
        <w:rPr>
          <w:i/>
        </w:rPr>
        <w:t>van- / van</w:t>
      </w:r>
      <w:r>
        <w:rPr>
          <w:i/>
          <w:position w:val="7"/>
          <w:sz w:val="17"/>
        </w:rPr>
        <w:t>i</w:t>
      </w:r>
      <w:r>
        <w:rPr>
          <w:i/>
        </w:rPr>
        <w:t>-</w:t>
      </w:r>
      <w:r>
        <w:rPr>
          <w:i/>
          <w:position w:val="7"/>
          <w:sz w:val="17"/>
        </w:rPr>
        <w:t xml:space="preserve"> </w:t>
      </w:r>
      <w:r>
        <w:t>and its developments, we try t</w:t>
      </w:r>
      <w:r>
        <w:t>o</w:t>
      </w:r>
      <w:r>
        <w:t xml:space="preserve"> represent them all in a scheme, and thus attempt to resume the intricate avenues of this work in one and the same draw to be used as a map of the labyrinth, </w:t>
      </w:r>
      <w:r>
        <w:lastRenderedPageBreak/>
        <w:t xml:space="preserve">which forms, as always, at the end. </w:t>
      </w:r>
    </w:p>
    <w:p w14:paraId="5D131FE9" w14:textId="77777777" w:rsidR="00E53EB6" w:rsidRDefault="00E53EB6">
      <w:pPr>
        <w:pStyle w:val="HaupttextohneEinzug"/>
      </w:pPr>
    </w:p>
    <w:p w14:paraId="41BC0A7B" w14:textId="77777777" w:rsidR="00E53EB6" w:rsidRDefault="00E53EB6">
      <w:pPr>
        <w:pStyle w:val="HaupttextohneEinzug"/>
      </w:pPr>
    </w:p>
    <w:p w14:paraId="65EAEC8B" w14:textId="77777777" w:rsidR="00E53EB6" w:rsidRDefault="00E53EB6">
      <w:pPr>
        <w:pStyle w:val="HaupttextohneEinzug"/>
      </w:pPr>
    </w:p>
    <w:p w14:paraId="008184DD" w14:textId="77777777" w:rsidR="00E53EB6" w:rsidRDefault="006500F5">
      <w:pPr>
        <w:pStyle w:val="HaupttextohneEinzug"/>
        <w:rPr>
          <w:shd w:val="clear" w:color="auto" w:fill="FFFF00"/>
        </w:rPr>
        <w:sectPr w:rsidR="00E53EB6">
          <w:headerReference w:type="even" r:id="rId40"/>
          <w:headerReference w:type="default" r:id="rId41"/>
          <w:footerReference w:type="even" r:id="rId42"/>
          <w:footerReference w:type="default" r:id="rId43"/>
          <w:pgSz w:w="11906" w:h="16838"/>
          <w:pgMar w:top="1917" w:right="1418" w:bottom="2235" w:left="1700" w:header="1418" w:footer="1700" w:gutter="0"/>
          <w:cols w:space="720"/>
          <w:formProt w:val="0"/>
          <w:docGrid w:linePitch="600" w:charSpace="38911"/>
        </w:sectPr>
      </w:pPr>
      <w:r>
        <w:rPr>
          <w:noProof/>
          <w:shd w:val="clear" w:color="auto" w:fill="FFFF00"/>
        </w:rPr>
        <w:drawing>
          <wp:anchor distT="0" distB="0" distL="0" distR="0" simplePos="0" relativeHeight="5" behindDoc="0" locked="0" layoutInCell="0" allowOverlap="1" wp14:anchorId="27B3746B" wp14:editId="2A85EFEF">
            <wp:simplePos x="0" y="0"/>
            <wp:positionH relativeFrom="column">
              <wp:align>center</wp:align>
            </wp:positionH>
            <wp:positionV relativeFrom="paragraph">
              <wp:posOffset>635</wp:posOffset>
            </wp:positionV>
            <wp:extent cx="5580380" cy="3487420"/>
            <wp:effectExtent l="0" t="0" r="0" b="0"/>
            <wp:wrapSquare wrapText="largest"/>
            <wp:docPr id="5" name="graphic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s3"/>
                    <pic:cNvPicPr>
                      <a:picLocks noChangeAspect="1" noChangeArrowheads="1"/>
                    </pic:cNvPicPr>
                  </pic:nvPicPr>
                  <pic:blipFill>
                    <a:blip r:embed="rId44"/>
                    <a:stretch>
                      <a:fillRect/>
                    </a:stretch>
                  </pic:blipFill>
                  <pic:spPr bwMode="auto">
                    <a:xfrm>
                      <a:off x="0" y="0"/>
                      <a:ext cx="5580380" cy="3487420"/>
                    </a:xfrm>
                    <a:prstGeom prst="rect">
                      <a:avLst/>
                    </a:prstGeom>
                  </pic:spPr>
                </pic:pic>
              </a:graphicData>
            </a:graphic>
          </wp:anchor>
        </w:drawing>
      </w:r>
    </w:p>
    <w:p w14:paraId="03D2C923" w14:textId="77777777" w:rsidR="00E53EB6" w:rsidRDefault="006500F5">
      <w:pPr>
        <w:pStyle w:val="Heading1"/>
        <w:tabs>
          <w:tab w:val="left" w:pos="0"/>
        </w:tabs>
      </w:pPr>
      <w:r>
        <w:lastRenderedPageBreak/>
        <w:t xml:space="preserve">VI. Appendix </w:t>
      </w:r>
    </w:p>
    <w:p w14:paraId="487AF5B1" w14:textId="77777777" w:rsidR="00E53EB6" w:rsidRDefault="006500F5">
      <w:pPr>
        <w:pStyle w:val="Heading2"/>
        <w:tabs>
          <w:tab w:val="left" w:pos="0"/>
        </w:tabs>
      </w:pPr>
      <w:r>
        <w:t>VI.1 Tables</w:t>
      </w:r>
    </w:p>
    <w:p w14:paraId="3030728F" w14:textId="77777777" w:rsidR="00E53EB6" w:rsidRDefault="006500F5">
      <w:pPr>
        <w:pStyle w:val="Heading3"/>
        <w:tabs>
          <w:tab w:val="left" w:pos="0"/>
        </w:tabs>
      </w:pPr>
      <w:r>
        <w:t xml:space="preserve">VI.1.1 Laryngeal and non-laryngeal attestations of the verb in the </w:t>
      </w:r>
      <w:r>
        <w:rPr>
          <w:i/>
          <w:iCs/>
        </w:rPr>
        <w:t>R̥gveda Sa</w:t>
      </w:r>
      <w:r>
        <w:rPr>
          <w:i/>
          <w:iCs/>
        </w:rPr>
        <w:t>ṃ</w:t>
      </w:r>
      <w:r>
        <w:rPr>
          <w:i/>
          <w:iCs/>
        </w:rPr>
        <w:t>hitā</w:t>
      </w:r>
    </w:p>
    <w:p w14:paraId="4DA797B6" w14:textId="77777777" w:rsidR="00E53EB6" w:rsidRDefault="00E53EB6">
      <w:pPr>
        <w:pStyle w:val="HaupttextohneEinzug"/>
        <w:rPr>
          <w:b/>
          <w:bCs/>
        </w:rPr>
      </w:pPr>
    </w:p>
    <w:p w14:paraId="31741110" w14:textId="77777777" w:rsidR="00E53EB6" w:rsidRDefault="006500F5">
      <w:pPr>
        <w:pStyle w:val="HaupttextohneEinzug"/>
        <w:rPr>
          <w:b/>
          <w:bCs/>
        </w:rPr>
      </w:pPr>
      <w:r>
        <w:rPr>
          <w:b/>
          <w:bCs/>
        </w:rPr>
        <w:t>a- Laryngeal</w:t>
      </w:r>
    </w:p>
    <w:p w14:paraId="4CBF5486" w14:textId="77777777" w:rsidR="00E53EB6" w:rsidRDefault="00E53EB6">
      <w:pPr>
        <w:pStyle w:val="HaupttextohneEinzug"/>
      </w:pPr>
    </w:p>
    <w:tbl>
      <w:tblPr>
        <w:tblW w:w="8676" w:type="dxa"/>
        <w:tblInd w:w="6" w:type="dxa"/>
        <w:tblLayout w:type="fixed"/>
        <w:tblCellMar>
          <w:top w:w="55" w:type="dxa"/>
          <w:left w:w="55" w:type="dxa"/>
          <w:bottom w:w="55" w:type="dxa"/>
          <w:right w:w="55" w:type="dxa"/>
        </w:tblCellMar>
        <w:tblLook w:val="04A0" w:firstRow="1" w:lastRow="0" w:firstColumn="1" w:lastColumn="0" w:noHBand="0" w:noVBand="1"/>
      </w:tblPr>
      <w:tblGrid>
        <w:gridCol w:w="1203"/>
        <w:gridCol w:w="3237"/>
        <w:gridCol w:w="3061"/>
        <w:gridCol w:w="1175"/>
      </w:tblGrid>
      <w:tr w:rsidR="00E53EB6" w14:paraId="2E4007BD" w14:textId="77777777">
        <w:tc>
          <w:tcPr>
            <w:tcW w:w="1203" w:type="dxa"/>
            <w:tcBorders>
              <w:top w:val="single" w:sz="2" w:space="0" w:color="000000"/>
              <w:left w:val="single" w:sz="2" w:space="0" w:color="000000"/>
              <w:bottom w:val="single" w:sz="2" w:space="0" w:color="000000"/>
            </w:tcBorders>
          </w:tcPr>
          <w:p w14:paraId="631A7DFB" w14:textId="77777777" w:rsidR="00E53EB6" w:rsidRDefault="006500F5">
            <w:pPr>
              <w:pStyle w:val="HaupttextohneEinzug"/>
            </w:pPr>
            <w:r>
              <w:t>Verbal form</w:t>
            </w:r>
          </w:p>
        </w:tc>
        <w:tc>
          <w:tcPr>
            <w:tcW w:w="3237" w:type="dxa"/>
            <w:tcBorders>
              <w:top w:val="single" w:sz="2" w:space="0" w:color="000000"/>
              <w:left w:val="single" w:sz="2" w:space="0" w:color="000000"/>
              <w:bottom w:val="single" w:sz="2" w:space="0" w:color="000000"/>
            </w:tcBorders>
          </w:tcPr>
          <w:p w14:paraId="0A5FF634" w14:textId="77777777" w:rsidR="00E53EB6" w:rsidRDefault="006500F5">
            <w:pPr>
              <w:pStyle w:val="HaupttextohneEinzug"/>
              <w:rPr>
                <w:i/>
                <w:iCs/>
              </w:rPr>
            </w:pPr>
            <w:r>
              <w:rPr>
                <w:i/>
                <w:iCs/>
              </w:rPr>
              <w:t>pāda</w:t>
            </w:r>
          </w:p>
        </w:tc>
        <w:tc>
          <w:tcPr>
            <w:tcW w:w="3061" w:type="dxa"/>
            <w:tcBorders>
              <w:top w:val="single" w:sz="2" w:space="0" w:color="000000"/>
              <w:left w:val="single" w:sz="2" w:space="0" w:color="000000"/>
              <w:bottom w:val="single" w:sz="2" w:space="0" w:color="000000"/>
            </w:tcBorders>
          </w:tcPr>
          <w:p w14:paraId="1E74F193" w14:textId="77777777" w:rsidR="00E53EB6" w:rsidRDefault="006500F5">
            <w:pPr>
              <w:pStyle w:val="HaupttextohneEinzug"/>
            </w:pPr>
            <w:r>
              <w:t xml:space="preserve">translation </w:t>
            </w:r>
            <w:r>
              <w:t>Geldner-Renou</w:t>
            </w:r>
          </w:p>
        </w:tc>
        <w:tc>
          <w:tcPr>
            <w:tcW w:w="1175" w:type="dxa"/>
            <w:tcBorders>
              <w:top w:val="single" w:sz="2" w:space="0" w:color="000000"/>
              <w:left w:val="single" w:sz="2" w:space="0" w:color="000000"/>
              <w:bottom w:val="single" w:sz="2" w:space="0" w:color="000000"/>
              <w:right w:val="single" w:sz="2" w:space="0" w:color="000000"/>
            </w:tcBorders>
          </w:tcPr>
          <w:p w14:paraId="07644F3A" w14:textId="77777777" w:rsidR="00E53EB6" w:rsidRDefault="006500F5">
            <w:pPr>
              <w:pStyle w:val="HaupttextohneEinzug"/>
            </w:pPr>
            <w:r>
              <w:t>I.E. root</w:t>
            </w:r>
          </w:p>
        </w:tc>
      </w:tr>
      <w:tr w:rsidR="00E53EB6" w14:paraId="20DB6C5B" w14:textId="77777777">
        <w:tc>
          <w:tcPr>
            <w:tcW w:w="1203" w:type="dxa"/>
            <w:tcBorders>
              <w:left w:val="single" w:sz="2" w:space="0" w:color="000000"/>
              <w:bottom w:val="single" w:sz="2" w:space="0" w:color="000000"/>
            </w:tcBorders>
          </w:tcPr>
          <w:p w14:paraId="6975A2D1" w14:textId="77777777" w:rsidR="00E53EB6" w:rsidRDefault="006500F5">
            <w:pPr>
              <w:pStyle w:val="HaupttextohneEinzug"/>
              <w:rPr>
                <w:b/>
                <w:bCs/>
              </w:rPr>
            </w:pPr>
            <w:r>
              <w:rPr>
                <w:b/>
                <w:bCs/>
              </w:rPr>
              <w:t>Indicative</w:t>
            </w:r>
          </w:p>
        </w:tc>
        <w:tc>
          <w:tcPr>
            <w:tcW w:w="3237" w:type="dxa"/>
            <w:tcBorders>
              <w:left w:val="single" w:sz="2" w:space="0" w:color="000000"/>
              <w:bottom w:val="single" w:sz="2" w:space="0" w:color="000000"/>
            </w:tcBorders>
          </w:tcPr>
          <w:p w14:paraId="60F41EDD" w14:textId="77777777" w:rsidR="00E53EB6" w:rsidRDefault="00E53EB6">
            <w:pPr>
              <w:pStyle w:val="HaupttextohneEinzug"/>
            </w:pPr>
          </w:p>
        </w:tc>
        <w:tc>
          <w:tcPr>
            <w:tcW w:w="3061" w:type="dxa"/>
            <w:tcBorders>
              <w:left w:val="single" w:sz="2" w:space="0" w:color="000000"/>
              <w:bottom w:val="single" w:sz="2" w:space="0" w:color="000000"/>
            </w:tcBorders>
          </w:tcPr>
          <w:p w14:paraId="1050F68E" w14:textId="77777777" w:rsidR="00E53EB6" w:rsidRDefault="00E53EB6">
            <w:pPr>
              <w:pStyle w:val="HaupttextohneEinzug"/>
            </w:pPr>
          </w:p>
        </w:tc>
        <w:tc>
          <w:tcPr>
            <w:tcW w:w="1175" w:type="dxa"/>
            <w:tcBorders>
              <w:left w:val="single" w:sz="2" w:space="0" w:color="000000"/>
              <w:bottom w:val="single" w:sz="2" w:space="0" w:color="000000"/>
              <w:right w:val="single" w:sz="2" w:space="0" w:color="000000"/>
            </w:tcBorders>
          </w:tcPr>
          <w:p w14:paraId="0D0F5924" w14:textId="77777777" w:rsidR="00E53EB6" w:rsidRDefault="00E53EB6">
            <w:pPr>
              <w:pStyle w:val="HaupttextohneEinzug"/>
            </w:pPr>
          </w:p>
        </w:tc>
      </w:tr>
      <w:tr w:rsidR="00E53EB6" w14:paraId="16C42D5D" w14:textId="77777777">
        <w:tc>
          <w:tcPr>
            <w:tcW w:w="1203" w:type="dxa"/>
            <w:tcBorders>
              <w:left w:val="single" w:sz="2" w:space="0" w:color="000000"/>
              <w:bottom w:val="single" w:sz="2" w:space="0" w:color="000000"/>
            </w:tcBorders>
          </w:tcPr>
          <w:p w14:paraId="1CD8B454" w14:textId="77777777" w:rsidR="00E53EB6" w:rsidRPr="00494885" w:rsidRDefault="006500F5">
            <w:pPr>
              <w:pStyle w:val="HaupttextohneEinzug"/>
              <w:rPr>
                <w:i/>
                <w:iCs/>
                <w:lang w:val="it-IT"/>
              </w:rPr>
            </w:pPr>
            <w:r w:rsidRPr="00494885">
              <w:rPr>
                <w:i/>
                <w:iCs/>
                <w:lang w:val="it-IT"/>
              </w:rPr>
              <w:t>vananti</w:t>
            </w:r>
          </w:p>
          <w:p w14:paraId="408AC91E" w14:textId="77777777" w:rsidR="00E53EB6" w:rsidRPr="00494885" w:rsidRDefault="006500F5">
            <w:pPr>
              <w:pStyle w:val="HaupttextohneEinzug"/>
              <w:rPr>
                <w:lang w:val="it-IT"/>
              </w:rPr>
            </w:pPr>
            <w:r w:rsidRPr="00494885">
              <w:rPr>
                <w:lang w:val="it-IT"/>
              </w:rPr>
              <w:t>(ind. pres. 3</w:t>
            </w:r>
            <w:r w:rsidRPr="00494885">
              <w:rPr>
                <w:vertAlign w:val="superscript"/>
                <w:lang w:val="it-IT"/>
              </w:rPr>
              <w:t>rd</w:t>
            </w:r>
            <w:r w:rsidRPr="00494885">
              <w:rPr>
                <w:lang w:val="it-IT"/>
              </w:rPr>
              <w:t xml:space="preserve"> pl. I-VI cl.)</w:t>
            </w:r>
          </w:p>
        </w:tc>
        <w:tc>
          <w:tcPr>
            <w:tcW w:w="3237" w:type="dxa"/>
            <w:tcBorders>
              <w:left w:val="single" w:sz="2" w:space="0" w:color="000000"/>
              <w:bottom w:val="single" w:sz="2" w:space="0" w:color="000000"/>
            </w:tcBorders>
          </w:tcPr>
          <w:p w14:paraId="27524C22" w14:textId="77777777" w:rsidR="00E53EB6" w:rsidRPr="00494885" w:rsidRDefault="006500F5">
            <w:pPr>
              <w:pStyle w:val="HaupttextohneEinzug"/>
              <w:rPr>
                <w:lang w:val="it-IT"/>
              </w:rPr>
            </w:pPr>
            <w:r w:rsidRPr="00494885">
              <w:rPr>
                <w:sz w:val="20"/>
                <w:szCs w:val="20"/>
                <w:lang w:val="it-IT"/>
              </w:rPr>
              <w:t>6.6.3d</w:t>
            </w:r>
            <w:r w:rsidRPr="00494885">
              <w:rPr>
                <w:i/>
                <w:iCs/>
                <w:sz w:val="20"/>
                <w:szCs w:val="20"/>
                <w:lang w:val="it-IT"/>
              </w:rPr>
              <w:t xml:space="preserve"> vánā vananti dhr̥</w:t>
            </w:r>
            <w:r w:rsidRPr="00494885">
              <w:rPr>
                <w:i/>
                <w:iCs/>
                <w:sz w:val="20"/>
                <w:szCs w:val="20"/>
                <w:lang w:val="it-IT"/>
              </w:rPr>
              <w:t>ṣ</w:t>
            </w:r>
            <w:r w:rsidRPr="00494885">
              <w:rPr>
                <w:i/>
                <w:iCs/>
                <w:sz w:val="20"/>
                <w:szCs w:val="20"/>
                <w:lang w:val="it-IT"/>
              </w:rPr>
              <w:t>atā́ rujánta</w:t>
            </w:r>
            <w:r w:rsidRPr="00494885">
              <w:rPr>
                <w:i/>
                <w:iCs/>
                <w:sz w:val="20"/>
                <w:szCs w:val="20"/>
                <w:lang w:val="it-IT"/>
              </w:rPr>
              <w:t>ḥ</w:t>
            </w:r>
            <w:r w:rsidRPr="00494885">
              <w:rPr>
                <w:i/>
                <w:iCs/>
                <w:sz w:val="20"/>
                <w:szCs w:val="20"/>
                <w:lang w:val="it-IT"/>
              </w:rPr>
              <w:t xml:space="preserve"> </w:t>
            </w:r>
          </w:p>
        </w:tc>
        <w:tc>
          <w:tcPr>
            <w:tcW w:w="3061" w:type="dxa"/>
            <w:tcBorders>
              <w:left w:val="single" w:sz="2" w:space="0" w:color="000000"/>
              <w:bottom w:val="single" w:sz="2" w:space="0" w:color="000000"/>
            </w:tcBorders>
          </w:tcPr>
          <w:p w14:paraId="1B3F6BBA" w14:textId="77777777" w:rsidR="00E53EB6" w:rsidRDefault="006500F5">
            <w:pPr>
              <w:pStyle w:val="HaupttextohneEinzug"/>
            </w:pPr>
            <w:r>
              <w:t>überwinden</w:t>
            </w:r>
          </w:p>
          <w:p w14:paraId="6B147AF6" w14:textId="77777777" w:rsidR="00E53EB6" w:rsidRDefault="006500F5">
            <w:pPr>
              <w:pStyle w:val="HaupttextohneEinzug"/>
            </w:pPr>
            <w:r>
              <w:t>triomphent</w:t>
            </w:r>
          </w:p>
        </w:tc>
        <w:tc>
          <w:tcPr>
            <w:tcW w:w="1175" w:type="dxa"/>
            <w:tcBorders>
              <w:left w:val="single" w:sz="2" w:space="0" w:color="000000"/>
              <w:bottom w:val="single" w:sz="2" w:space="0" w:color="000000"/>
              <w:right w:val="single" w:sz="2" w:space="0" w:color="000000"/>
            </w:tcBorders>
          </w:tcPr>
          <w:p w14:paraId="0BBE18A5" w14:textId="77777777" w:rsidR="00E53EB6" w:rsidRDefault="006500F5">
            <w:pPr>
              <w:pStyle w:val="HaupttextohneEinzug"/>
            </w:pPr>
            <w:r>
              <w:t>*u̯en-H-e-</w:t>
            </w:r>
          </w:p>
        </w:tc>
      </w:tr>
      <w:tr w:rsidR="00E53EB6" w14:paraId="658FDBBB" w14:textId="77777777">
        <w:tc>
          <w:tcPr>
            <w:tcW w:w="1203" w:type="dxa"/>
            <w:tcBorders>
              <w:left w:val="single" w:sz="2" w:space="0" w:color="000000"/>
              <w:bottom w:val="single" w:sz="2" w:space="0" w:color="000000"/>
            </w:tcBorders>
          </w:tcPr>
          <w:p w14:paraId="7F0CFDD5" w14:textId="77777777" w:rsidR="00E53EB6" w:rsidRDefault="006500F5">
            <w:pPr>
              <w:pStyle w:val="HaupttextohneEinzug"/>
              <w:rPr>
                <w:i/>
                <w:iCs/>
              </w:rPr>
            </w:pPr>
            <w:r>
              <w:rPr>
                <w:i/>
                <w:iCs/>
              </w:rPr>
              <w:t>vanate</w:t>
            </w:r>
          </w:p>
          <w:p w14:paraId="3072C54C" w14:textId="77777777" w:rsidR="00E53EB6" w:rsidRDefault="006500F5">
            <w:pPr>
              <w:pStyle w:val="HaupttextohneEinzug"/>
            </w:pPr>
            <w:r>
              <w:t>(ind. pres. 3</w:t>
            </w:r>
            <w:r>
              <w:rPr>
                <w:vertAlign w:val="superscript"/>
              </w:rPr>
              <w:t>rd</w:t>
            </w:r>
            <w:r>
              <w:t xml:space="preserve"> sing. Ā I-VI cl.)</w:t>
            </w:r>
          </w:p>
        </w:tc>
        <w:tc>
          <w:tcPr>
            <w:tcW w:w="3237" w:type="dxa"/>
            <w:tcBorders>
              <w:left w:val="single" w:sz="2" w:space="0" w:color="000000"/>
              <w:bottom w:val="single" w:sz="2" w:space="0" w:color="000000"/>
            </w:tcBorders>
          </w:tcPr>
          <w:p w14:paraId="3E07C442" w14:textId="77777777" w:rsidR="00E53EB6" w:rsidRDefault="006500F5">
            <w:pPr>
              <w:pStyle w:val="HaupttextohneEinzug"/>
            </w:pPr>
            <w:r>
              <w:t xml:space="preserve">5.65.1d  </w:t>
            </w:r>
            <w:r>
              <w:rPr>
                <w:i/>
                <w:iCs/>
              </w:rPr>
              <w:t>mitró vā vánate gíra</w:t>
            </w:r>
            <w:r>
              <w:rPr>
                <w:i/>
                <w:iCs/>
              </w:rPr>
              <w:t>ḥ</w:t>
            </w:r>
            <w:r>
              <w:t xml:space="preserve"> </w:t>
            </w:r>
          </w:p>
          <w:p w14:paraId="4B00F50A" w14:textId="77777777" w:rsidR="00E53EB6" w:rsidRDefault="00E53EB6">
            <w:pPr>
              <w:pStyle w:val="HaupttextohneEinzug"/>
            </w:pPr>
          </w:p>
          <w:p w14:paraId="7EC54B08" w14:textId="77777777" w:rsidR="00E53EB6" w:rsidRDefault="00E53EB6">
            <w:pPr>
              <w:pStyle w:val="HaupttextohneEinzug"/>
            </w:pPr>
          </w:p>
          <w:p w14:paraId="71DC8044" w14:textId="77777777" w:rsidR="00E53EB6" w:rsidRDefault="006500F5">
            <w:pPr>
              <w:pStyle w:val="HaupttextohneEinzug"/>
            </w:pPr>
            <w:r>
              <w:t xml:space="preserve">5.65.4b  </w:t>
            </w:r>
            <w:r>
              <w:rPr>
                <w:i/>
                <w:iCs/>
              </w:rPr>
              <w:t>k</w:t>
            </w:r>
            <w:r>
              <w:rPr>
                <w:i/>
                <w:iCs/>
              </w:rPr>
              <w:t>ṣ</w:t>
            </w:r>
            <w:r>
              <w:rPr>
                <w:i/>
                <w:iCs/>
              </w:rPr>
              <w:t>áyāya gātú</w:t>
            </w:r>
            <w:r>
              <w:rPr>
                <w:i/>
                <w:iCs/>
              </w:rPr>
              <w:t>ṃ</w:t>
            </w:r>
            <w:r>
              <w:rPr>
                <w:i/>
                <w:iCs/>
              </w:rPr>
              <w:t xml:space="preserve"> vanate </w:t>
            </w:r>
          </w:p>
          <w:p w14:paraId="3331B567" w14:textId="77777777" w:rsidR="00E53EB6" w:rsidRDefault="00E53EB6">
            <w:pPr>
              <w:pStyle w:val="HaupttextohneEinzug"/>
            </w:pPr>
          </w:p>
          <w:p w14:paraId="1508FE45" w14:textId="77777777" w:rsidR="00E53EB6" w:rsidRDefault="00E53EB6">
            <w:pPr>
              <w:pStyle w:val="HaupttextohneEinzug"/>
            </w:pPr>
          </w:p>
          <w:p w14:paraId="150F6C58" w14:textId="77777777" w:rsidR="00E53EB6" w:rsidRDefault="006500F5">
            <w:pPr>
              <w:pStyle w:val="HaupttextohneEinzug"/>
            </w:pPr>
            <w:r>
              <w:t xml:space="preserve">6.38.1d  </w:t>
            </w:r>
            <w:r>
              <w:rPr>
                <w:i/>
                <w:iCs/>
              </w:rPr>
              <w:t xml:space="preserve"> jánasya rātí</w:t>
            </w:r>
            <w:r>
              <w:rPr>
                <w:i/>
                <w:iCs/>
              </w:rPr>
              <w:t>ṃ</w:t>
            </w:r>
            <w:r>
              <w:rPr>
                <w:i/>
                <w:iCs/>
              </w:rPr>
              <w:t xml:space="preserve"> vanate sudā́nu</w:t>
            </w:r>
            <w:r>
              <w:rPr>
                <w:i/>
                <w:iCs/>
              </w:rPr>
              <w:t>ḥ</w:t>
            </w:r>
            <w:r>
              <w:rPr>
                <w:i/>
                <w:iCs/>
              </w:rPr>
              <w:t xml:space="preserve"> </w:t>
            </w:r>
          </w:p>
          <w:p w14:paraId="0BBC2631" w14:textId="77777777" w:rsidR="00E53EB6" w:rsidRDefault="00E53EB6">
            <w:pPr>
              <w:pStyle w:val="HaupttextohneEinzug"/>
            </w:pPr>
          </w:p>
          <w:p w14:paraId="4C11DE72" w14:textId="77777777" w:rsidR="00E53EB6" w:rsidRDefault="00E53EB6">
            <w:pPr>
              <w:pStyle w:val="HaupttextohneEinzug"/>
            </w:pPr>
          </w:p>
          <w:p w14:paraId="648FA18A" w14:textId="77777777" w:rsidR="00E53EB6" w:rsidRDefault="006500F5">
            <w:pPr>
              <w:pStyle w:val="HaupttextohneEinzug"/>
            </w:pPr>
            <w:r>
              <w:t>10.53.11d</w:t>
            </w:r>
            <w:r>
              <w:rPr>
                <w:i/>
                <w:iCs/>
              </w:rPr>
              <w:t xml:space="preserve"> (abhí) si</w:t>
            </w:r>
            <w:r>
              <w:rPr>
                <w:i/>
                <w:iCs/>
              </w:rPr>
              <w:t>ṣ</w:t>
            </w:r>
            <w:r>
              <w:rPr>
                <w:i/>
                <w:iCs/>
              </w:rPr>
              <w:t>āsánir vanate kārá íj jítim</w:t>
            </w:r>
            <w:r>
              <w:t xml:space="preserve"> </w:t>
            </w:r>
          </w:p>
          <w:p w14:paraId="75351B13" w14:textId="77777777" w:rsidR="00E53EB6" w:rsidRDefault="00E53EB6">
            <w:pPr>
              <w:pStyle w:val="HaupttextohneEinzug"/>
            </w:pPr>
          </w:p>
          <w:p w14:paraId="115C8FFB" w14:textId="77777777" w:rsidR="00E53EB6" w:rsidRDefault="00E53EB6">
            <w:pPr>
              <w:pStyle w:val="HaupttextohneEinzug"/>
            </w:pPr>
          </w:p>
          <w:p w14:paraId="270C4F33" w14:textId="77777777" w:rsidR="00E53EB6" w:rsidRDefault="00E53EB6">
            <w:pPr>
              <w:pStyle w:val="HaupttextohneEinzug"/>
            </w:pPr>
          </w:p>
          <w:p w14:paraId="1E472827" w14:textId="77777777" w:rsidR="00E53EB6" w:rsidRPr="00494885" w:rsidRDefault="006500F5">
            <w:pPr>
              <w:pStyle w:val="HaupttextohneEinzug"/>
              <w:rPr>
                <w:lang w:val="it-IT"/>
              </w:rPr>
            </w:pPr>
            <w:r w:rsidRPr="00494885">
              <w:rPr>
                <w:lang w:val="it-IT"/>
              </w:rPr>
              <w:t xml:space="preserve">5.41.17c  </w:t>
            </w:r>
            <w:r w:rsidRPr="00494885">
              <w:rPr>
                <w:i/>
                <w:iCs/>
                <w:lang w:val="it-IT"/>
              </w:rPr>
              <w:t>ā́ devāso vanate mártiyo va</w:t>
            </w:r>
            <w:r w:rsidRPr="00494885">
              <w:rPr>
                <w:i/>
                <w:iCs/>
                <w:lang w:val="it-IT"/>
              </w:rPr>
              <w:t>ḥ</w:t>
            </w:r>
            <w:r w:rsidRPr="00494885">
              <w:rPr>
                <w:i/>
                <w:iCs/>
                <w:lang w:val="it-IT"/>
              </w:rPr>
              <w:t xml:space="preserve">  </w:t>
            </w:r>
          </w:p>
          <w:p w14:paraId="2ADC24BB" w14:textId="77777777" w:rsidR="00E53EB6" w:rsidRPr="00494885" w:rsidRDefault="00E53EB6">
            <w:pPr>
              <w:pStyle w:val="HaupttextohneEinzug"/>
              <w:rPr>
                <w:lang w:val="it-IT"/>
              </w:rPr>
            </w:pPr>
          </w:p>
          <w:p w14:paraId="5A79D520" w14:textId="77777777" w:rsidR="00E53EB6" w:rsidRPr="00494885" w:rsidRDefault="00E53EB6">
            <w:pPr>
              <w:pStyle w:val="HaupttextohneEinzug"/>
              <w:rPr>
                <w:lang w:val="it-IT"/>
              </w:rPr>
            </w:pPr>
          </w:p>
          <w:p w14:paraId="0EF21980" w14:textId="77777777" w:rsidR="00E53EB6" w:rsidRPr="00494885" w:rsidRDefault="006500F5">
            <w:pPr>
              <w:pStyle w:val="HaupttextohneEinzug"/>
              <w:rPr>
                <w:lang w:val="it-IT"/>
              </w:rPr>
            </w:pPr>
            <w:r w:rsidRPr="00494885">
              <w:rPr>
                <w:lang w:val="it-IT"/>
              </w:rPr>
              <w:t xml:space="preserve">6.15.6d-e  </w:t>
            </w:r>
            <w:r w:rsidRPr="00494885">
              <w:rPr>
                <w:i/>
                <w:iCs/>
                <w:lang w:val="it-IT"/>
              </w:rPr>
              <w:t>devó devé</w:t>
            </w:r>
            <w:r w:rsidRPr="00494885">
              <w:rPr>
                <w:i/>
                <w:iCs/>
                <w:lang w:val="it-IT"/>
              </w:rPr>
              <w:t>ṣ</w:t>
            </w:r>
            <w:r w:rsidRPr="00494885">
              <w:rPr>
                <w:i/>
                <w:iCs/>
                <w:lang w:val="it-IT"/>
              </w:rPr>
              <w:t>u vánate hí vā́riya</w:t>
            </w:r>
            <w:r w:rsidRPr="00494885">
              <w:rPr>
                <w:i/>
                <w:iCs/>
                <w:lang w:val="it-IT"/>
              </w:rPr>
              <w:t>ṃ</w:t>
            </w:r>
          </w:p>
          <w:p w14:paraId="78C8F40D" w14:textId="77777777" w:rsidR="00E53EB6" w:rsidRPr="00494885" w:rsidRDefault="006500F5">
            <w:pPr>
              <w:pStyle w:val="HaupttextohneEinzug"/>
              <w:rPr>
                <w:i/>
                <w:iCs/>
                <w:lang w:val="it-IT"/>
              </w:rPr>
            </w:pPr>
            <w:r w:rsidRPr="00494885">
              <w:rPr>
                <w:i/>
                <w:iCs/>
                <w:lang w:val="it-IT"/>
              </w:rPr>
              <w:t>devó devé</w:t>
            </w:r>
            <w:r w:rsidRPr="00494885">
              <w:rPr>
                <w:i/>
                <w:iCs/>
                <w:lang w:val="it-IT"/>
              </w:rPr>
              <w:t>ṣ</w:t>
            </w:r>
            <w:r w:rsidRPr="00494885">
              <w:rPr>
                <w:i/>
                <w:iCs/>
                <w:lang w:val="it-IT"/>
              </w:rPr>
              <w:t>u vánate hí no dúva</w:t>
            </w:r>
            <w:r w:rsidRPr="00494885">
              <w:rPr>
                <w:i/>
                <w:iCs/>
                <w:lang w:val="it-IT"/>
              </w:rPr>
              <w:t>ḥ</w:t>
            </w:r>
            <w:r w:rsidRPr="00494885">
              <w:rPr>
                <w:i/>
                <w:iCs/>
                <w:lang w:val="it-IT"/>
              </w:rPr>
              <w:t xml:space="preserve"> </w:t>
            </w:r>
            <w:r w:rsidRPr="00494885">
              <w:rPr>
                <w:lang w:val="it-IT"/>
              </w:rPr>
              <w:t xml:space="preserve">(-c  </w:t>
            </w:r>
            <w:r w:rsidRPr="00494885">
              <w:rPr>
                <w:i/>
                <w:iCs/>
                <w:lang w:val="it-IT"/>
              </w:rPr>
              <w:t>úpa vo gīrbhír amŕ̥ta</w:t>
            </w:r>
            <w:r w:rsidRPr="00494885">
              <w:rPr>
                <w:i/>
                <w:iCs/>
                <w:lang w:val="it-IT"/>
              </w:rPr>
              <w:t>ṃ</w:t>
            </w:r>
            <w:r w:rsidRPr="00494885">
              <w:rPr>
                <w:i/>
                <w:iCs/>
                <w:lang w:val="it-IT"/>
              </w:rPr>
              <w:t xml:space="preserve"> vivāsata</w:t>
            </w:r>
            <w:r w:rsidRPr="00494885">
              <w:rPr>
                <w:lang w:val="it-IT"/>
              </w:rPr>
              <w:t>)</w:t>
            </w:r>
          </w:p>
          <w:p w14:paraId="50478B89" w14:textId="77777777" w:rsidR="00E53EB6" w:rsidRPr="00494885" w:rsidRDefault="00E53EB6">
            <w:pPr>
              <w:pStyle w:val="HaupttextohneEinzug"/>
              <w:rPr>
                <w:lang w:val="it-IT"/>
              </w:rPr>
            </w:pPr>
          </w:p>
          <w:p w14:paraId="63C0E780" w14:textId="77777777" w:rsidR="00E53EB6" w:rsidRPr="00494885" w:rsidRDefault="00E53EB6">
            <w:pPr>
              <w:pStyle w:val="HaupttextohneEinzug"/>
              <w:rPr>
                <w:lang w:val="it-IT"/>
              </w:rPr>
            </w:pPr>
          </w:p>
          <w:p w14:paraId="7A7E0671" w14:textId="77777777" w:rsidR="00E53EB6" w:rsidRPr="00494885" w:rsidRDefault="006500F5">
            <w:pPr>
              <w:pStyle w:val="HaupttextohneEinzug"/>
              <w:rPr>
                <w:lang w:val="it-IT"/>
              </w:rPr>
            </w:pPr>
            <w:r w:rsidRPr="00494885">
              <w:rPr>
                <w:lang w:val="it-IT"/>
              </w:rPr>
              <w:t xml:space="preserve">6 20.9a  </w:t>
            </w:r>
            <w:r w:rsidRPr="00494885">
              <w:rPr>
                <w:i/>
                <w:iCs/>
                <w:lang w:val="it-IT"/>
              </w:rPr>
              <w:t xml:space="preserve"> sá ī</w:t>
            </w:r>
            <w:r w:rsidRPr="00494885">
              <w:rPr>
                <w:i/>
                <w:iCs/>
                <w:lang w:val="it-IT"/>
              </w:rPr>
              <w:t>ṃ</w:t>
            </w:r>
            <w:r w:rsidRPr="00494885">
              <w:rPr>
                <w:i/>
                <w:iCs/>
                <w:lang w:val="it-IT"/>
              </w:rPr>
              <w:t xml:space="preserve"> spŕ̥dho vanate ápratīto </w:t>
            </w:r>
          </w:p>
          <w:p w14:paraId="4FCA214C" w14:textId="77777777" w:rsidR="00E53EB6" w:rsidRPr="00494885" w:rsidRDefault="00E53EB6">
            <w:pPr>
              <w:pStyle w:val="HaupttextohneEinzug"/>
              <w:rPr>
                <w:lang w:val="it-IT"/>
              </w:rPr>
            </w:pPr>
          </w:p>
          <w:p w14:paraId="186C5161" w14:textId="77777777" w:rsidR="00E53EB6" w:rsidRPr="00494885" w:rsidRDefault="00E53EB6">
            <w:pPr>
              <w:pStyle w:val="HaupttextohneEinzug"/>
              <w:rPr>
                <w:lang w:val="it-IT"/>
              </w:rPr>
            </w:pPr>
          </w:p>
          <w:p w14:paraId="0E7AB7E1" w14:textId="77777777" w:rsidR="00E53EB6" w:rsidRPr="00494885" w:rsidRDefault="006500F5">
            <w:pPr>
              <w:pStyle w:val="HaupttextohneEinzug"/>
              <w:rPr>
                <w:lang w:val="it-IT"/>
              </w:rPr>
            </w:pPr>
            <w:r w:rsidRPr="00494885">
              <w:rPr>
                <w:lang w:val="it-IT"/>
              </w:rPr>
              <w:t xml:space="preserve">6.25.4a  </w:t>
            </w:r>
            <w:r w:rsidRPr="00494885">
              <w:rPr>
                <w:i/>
                <w:iCs/>
                <w:lang w:val="it-IT"/>
              </w:rPr>
              <w:t>śū́ro vā śū́ra</w:t>
            </w:r>
            <w:r w:rsidRPr="00494885">
              <w:rPr>
                <w:i/>
                <w:iCs/>
                <w:lang w:val="it-IT"/>
              </w:rPr>
              <w:t>ṃ</w:t>
            </w:r>
            <w:r w:rsidRPr="00494885">
              <w:rPr>
                <w:i/>
                <w:iCs/>
                <w:lang w:val="it-IT"/>
              </w:rPr>
              <w:t xml:space="preserve"> vanate </w:t>
            </w:r>
            <w:r w:rsidRPr="00494885">
              <w:rPr>
                <w:i/>
                <w:iCs/>
                <w:lang w:val="it-IT"/>
              </w:rPr>
              <w:lastRenderedPageBreak/>
              <w:t xml:space="preserve">śárīrais </w:t>
            </w:r>
          </w:p>
          <w:p w14:paraId="14ECEAB6" w14:textId="77777777" w:rsidR="00E53EB6" w:rsidRPr="00494885" w:rsidRDefault="00E53EB6">
            <w:pPr>
              <w:pStyle w:val="HaupttextohneEinzug"/>
              <w:rPr>
                <w:lang w:val="it-IT"/>
              </w:rPr>
            </w:pPr>
          </w:p>
          <w:p w14:paraId="5FF515E4" w14:textId="77777777" w:rsidR="00E53EB6" w:rsidRPr="00494885" w:rsidRDefault="00E53EB6">
            <w:pPr>
              <w:pStyle w:val="HaupttextohneEinzug"/>
              <w:rPr>
                <w:lang w:val="it-IT"/>
              </w:rPr>
            </w:pPr>
          </w:p>
          <w:p w14:paraId="5855BA7F" w14:textId="77777777" w:rsidR="00E53EB6" w:rsidRPr="00494885" w:rsidRDefault="006500F5">
            <w:pPr>
              <w:pStyle w:val="HaupttextohneEinzug"/>
              <w:rPr>
                <w:lang w:val="it-IT"/>
              </w:rPr>
            </w:pPr>
            <w:r w:rsidRPr="00494885">
              <w:rPr>
                <w:lang w:val="it-IT"/>
              </w:rPr>
              <w:t xml:space="preserve">3.19.1d   </w:t>
            </w:r>
            <w:r w:rsidRPr="00494885">
              <w:rPr>
                <w:i/>
                <w:iCs/>
                <w:lang w:val="it-IT"/>
              </w:rPr>
              <w:t xml:space="preserve"> rāyé vā́jāya vanate maghā́ni </w:t>
            </w:r>
          </w:p>
        </w:tc>
        <w:tc>
          <w:tcPr>
            <w:tcW w:w="3061" w:type="dxa"/>
            <w:tcBorders>
              <w:left w:val="single" w:sz="2" w:space="0" w:color="000000"/>
              <w:bottom w:val="single" w:sz="2" w:space="0" w:color="000000"/>
            </w:tcBorders>
          </w:tcPr>
          <w:p w14:paraId="6BE07ED7" w14:textId="77777777" w:rsidR="00E53EB6" w:rsidRPr="00494885" w:rsidRDefault="006500F5">
            <w:pPr>
              <w:pStyle w:val="HaupttextohneEinzug"/>
              <w:rPr>
                <w:lang w:val="de-DE"/>
              </w:rPr>
            </w:pPr>
            <w:r w:rsidRPr="00494885">
              <w:rPr>
                <w:lang w:val="de-DE"/>
              </w:rPr>
              <w:lastRenderedPageBreak/>
              <w:t>gut auf nehmen</w:t>
            </w:r>
          </w:p>
          <w:p w14:paraId="1E6EDCBE" w14:textId="77777777" w:rsidR="00E53EB6" w:rsidRPr="00494885" w:rsidRDefault="006500F5">
            <w:pPr>
              <w:pStyle w:val="HaupttextohneEinzug"/>
              <w:rPr>
                <w:lang w:val="de-DE"/>
              </w:rPr>
            </w:pPr>
            <w:r w:rsidRPr="00494885">
              <w:rPr>
                <w:lang w:val="de-DE"/>
              </w:rPr>
              <w:t>aimée</w:t>
            </w:r>
          </w:p>
          <w:p w14:paraId="1E172863" w14:textId="77777777" w:rsidR="00E53EB6" w:rsidRPr="00494885" w:rsidRDefault="00E53EB6">
            <w:pPr>
              <w:pStyle w:val="HaupttextohneEinzug"/>
              <w:rPr>
                <w:lang w:val="de-DE"/>
              </w:rPr>
            </w:pPr>
          </w:p>
          <w:p w14:paraId="79751CC0" w14:textId="77777777" w:rsidR="00E53EB6" w:rsidRPr="00494885" w:rsidRDefault="006500F5">
            <w:pPr>
              <w:pStyle w:val="HaupttextohneEinzug"/>
              <w:rPr>
                <w:lang w:val="de-DE"/>
              </w:rPr>
            </w:pPr>
            <w:r w:rsidRPr="00494885">
              <w:rPr>
                <w:lang w:val="de-DE"/>
              </w:rPr>
              <w:t>gewinnt</w:t>
            </w:r>
          </w:p>
          <w:p w14:paraId="1CDCFA32" w14:textId="77777777" w:rsidR="00E53EB6" w:rsidRPr="00494885" w:rsidRDefault="006500F5">
            <w:pPr>
              <w:pStyle w:val="HaupttextohneEinzug"/>
              <w:rPr>
                <w:lang w:val="de-DE"/>
              </w:rPr>
            </w:pPr>
            <w:r w:rsidRPr="00494885">
              <w:rPr>
                <w:lang w:val="de-DE"/>
              </w:rPr>
              <w:t>gagne</w:t>
            </w:r>
          </w:p>
          <w:p w14:paraId="64772129" w14:textId="77777777" w:rsidR="00E53EB6" w:rsidRPr="00494885" w:rsidRDefault="00E53EB6">
            <w:pPr>
              <w:pStyle w:val="HaupttextohneEinzug"/>
              <w:rPr>
                <w:lang w:val="de-DE"/>
              </w:rPr>
            </w:pPr>
          </w:p>
          <w:p w14:paraId="4940094C" w14:textId="77777777" w:rsidR="00E53EB6" w:rsidRPr="00494885" w:rsidRDefault="006500F5">
            <w:pPr>
              <w:pStyle w:val="HaupttextohneEinzug"/>
              <w:rPr>
                <w:lang w:val="de-DE"/>
              </w:rPr>
            </w:pPr>
            <w:r w:rsidRPr="00494885">
              <w:rPr>
                <w:lang w:val="de-DE"/>
              </w:rPr>
              <w:t>begehert</w:t>
            </w:r>
          </w:p>
          <w:p w14:paraId="38B17590" w14:textId="77777777" w:rsidR="00E53EB6" w:rsidRPr="00494885" w:rsidRDefault="00E53EB6">
            <w:pPr>
              <w:pStyle w:val="HaupttextohneEinzug"/>
              <w:rPr>
                <w:lang w:val="de-DE"/>
              </w:rPr>
            </w:pPr>
          </w:p>
          <w:p w14:paraId="0AF7DDB2" w14:textId="77777777" w:rsidR="00E53EB6" w:rsidRPr="00494885" w:rsidRDefault="00E53EB6">
            <w:pPr>
              <w:pStyle w:val="HaupttextohneEinzug"/>
              <w:rPr>
                <w:lang w:val="de-DE"/>
              </w:rPr>
            </w:pPr>
          </w:p>
          <w:p w14:paraId="6200BAF9" w14:textId="77777777" w:rsidR="00E53EB6" w:rsidRPr="00494885" w:rsidRDefault="00E53EB6">
            <w:pPr>
              <w:pStyle w:val="HaupttextohneEinzug"/>
              <w:rPr>
                <w:lang w:val="de-DE"/>
              </w:rPr>
            </w:pPr>
          </w:p>
          <w:p w14:paraId="5111BCF8" w14:textId="77777777" w:rsidR="00E53EB6" w:rsidRPr="00494885" w:rsidRDefault="006500F5">
            <w:pPr>
              <w:pStyle w:val="HaupttextohneEinzug"/>
              <w:rPr>
                <w:lang w:val="de-DE"/>
              </w:rPr>
            </w:pPr>
            <w:r w:rsidRPr="00494885">
              <w:rPr>
                <w:lang w:val="de-DE"/>
              </w:rPr>
              <w:t>pflegt</w:t>
            </w:r>
            <w:r w:rsidRPr="00494885">
              <w:rPr>
                <w:lang w:val="de-DE"/>
              </w:rPr>
              <w:t xml:space="preserve">  den Sieg zu erringen </w:t>
            </w:r>
          </w:p>
          <w:p w14:paraId="308B601E" w14:textId="77777777" w:rsidR="00E53EB6" w:rsidRPr="00494885" w:rsidRDefault="006500F5">
            <w:pPr>
              <w:pStyle w:val="HaupttextohneEinzug"/>
              <w:rPr>
                <w:lang w:val="de-DE"/>
              </w:rPr>
            </w:pPr>
            <w:r w:rsidRPr="00494885">
              <w:rPr>
                <w:lang w:val="de-DE"/>
              </w:rPr>
              <w:t>gagnera</w:t>
            </w:r>
          </w:p>
          <w:p w14:paraId="6DF3398F" w14:textId="77777777" w:rsidR="00E53EB6" w:rsidRPr="00494885" w:rsidRDefault="00E53EB6">
            <w:pPr>
              <w:pStyle w:val="HaupttextohneEinzug"/>
              <w:rPr>
                <w:lang w:val="de-DE"/>
              </w:rPr>
            </w:pPr>
          </w:p>
          <w:p w14:paraId="26F41AE9" w14:textId="77777777" w:rsidR="00E53EB6" w:rsidRPr="00494885" w:rsidRDefault="00E53EB6">
            <w:pPr>
              <w:pStyle w:val="HaupttextohneEinzug"/>
              <w:rPr>
                <w:lang w:val="de-DE"/>
              </w:rPr>
            </w:pPr>
          </w:p>
          <w:p w14:paraId="7DB92F23" w14:textId="77777777" w:rsidR="00E53EB6" w:rsidRPr="00494885" w:rsidRDefault="00E53EB6">
            <w:pPr>
              <w:pStyle w:val="HaupttextohneEinzug"/>
              <w:rPr>
                <w:lang w:val="de-DE"/>
              </w:rPr>
            </w:pPr>
          </w:p>
          <w:p w14:paraId="44525165" w14:textId="77777777" w:rsidR="00E53EB6" w:rsidRPr="00494885" w:rsidRDefault="006500F5">
            <w:pPr>
              <w:pStyle w:val="HaupttextohneEinzug"/>
              <w:rPr>
                <w:lang w:val="de-DE"/>
              </w:rPr>
            </w:pPr>
            <w:r w:rsidRPr="00494885">
              <w:rPr>
                <w:lang w:val="de-DE"/>
              </w:rPr>
              <w:t>gewinnt</w:t>
            </w:r>
          </w:p>
          <w:p w14:paraId="250956F3" w14:textId="77777777" w:rsidR="00E53EB6" w:rsidRPr="00494885" w:rsidRDefault="006500F5">
            <w:pPr>
              <w:pStyle w:val="HaupttextohneEinzug"/>
              <w:rPr>
                <w:lang w:val="de-DE"/>
              </w:rPr>
            </w:pPr>
            <w:r w:rsidRPr="00494885">
              <w:rPr>
                <w:lang w:val="de-DE"/>
              </w:rPr>
              <w:t>gagner</w:t>
            </w:r>
          </w:p>
          <w:p w14:paraId="72597826" w14:textId="77777777" w:rsidR="00E53EB6" w:rsidRPr="00494885" w:rsidRDefault="00E53EB6">
            <w:pPr>
              <w:pStyle w:val="HaupttextohneEinzug"/>
              <w:rPr>
                <w:lang w:val="de-DE"/>
              </w:rPr>
            </w:pPr>
          </w:p>
          <w:p w14:paraId="6D633BC5" w14:textId="77777777" w:rsidR="00E53EB6" w:rsidRPr="00494885" w:rsidRDefault="00E53EB6">
            <w:pPr>
              <w:pStyle w:val="HaupttextohneEinzug"/>
              <w:rPr>
                <w:lang w:val="de-DE"/>
              </w:rPr>
            </w:pPr>
          </w:p>
          <w:p w14:paraId="12F8D90C" w14:textId="77777777" w:rsidR="00E53EB6" w:rsidRPr="00494885" w:rsidRDefault="006500F5">
            <w:pPr>
              <w:pStyle w:val="HaupttextohneEinzug"/>
              <w:rPr>
                <w:lang w:val="de-DE"/>
              </w:rPr>
            </w:pPr>
            <w:r w:rsidRPr="00494885">
              <w:rPr>
                <w:lang w:val="de-DE"/>
              </w:rPr>
              <w:t>gewinnt</w:t>
            </w:r>
          </w:p>
          <w:p w14:paraId="6FAB6B29" w14:textId="77777777" w:rsidR="00E53EB6" w:rsidRPr="00494885" w:rsidRDefault="006500F5">
            <w:pPr>
              <w:pStyle w:val="HaupttextohneEinzug"/>
              <w:rPr>
                <w:lang w:val="de-DE"/>
              </w:rPr>
            </w:pPr>
            <w:r w:rsidRPr="00494885">
              <w:rPr>
                <w:lang w:val="de-DE"/>
              </w:rPr>
              <w:t>gagne</w:t>
            </w:r>
          </w:p>
          <w:p w14:paraId="1E3B00E1" w14:textId="77777777" w:rsidR="00E53EB6" w:rsidRPr="00494885" w:rsidRDefault="00E53EB6">
            <w:pPr>
              <w:pStyle w:val="HaupttextohneEinzug"/>
              <w:rPr>
                <w:lang w:val="de-DE"/>
              </w:rPr>
            </w:pPr>
          </w:p>
          <w:p w14:paraId="589D6A50" w14:textId="77777777" w:rsidR="00E53EB6" w:rsidRPr="00494885" w:rsidRDefault="00E53EB6">
            <w:pPr>
              <w:pStyle w:val="HaupttextohneEinzug"/>
              <w:rPr>
                <w:lang w:val="de-DE"/>
              </w:rPr>
            </w:pPr>
          </w:p>
          <w:p w14:paraId="2A047035" w14:textId="77777777" w:rsidR="00E53EB6" w:rsidRPr="00494885" w:rsidRDefault="00E53EB6">
            <w:pPr>
              <w:pStyle w:val="HaupttextohneEinzug"/>
              <w:rPr>
                <w:lang w:val="de-DE"/>
              </w:rPr>
            </w:pPr>
          </w:p>
          <w:p w14:paraId="07515F60" w14:textId="77777777" w:rsidR="00E53EB6" w:rsidRPr="00494885" w:rsidRDefault="00E53EB6">
            <w:pPr>
              <w:pStyle w:val="HaupttextohneEinzug"/>
              <w:rPr>
                <w:lang w:val="de-DE"/>
              </w:rPr>
            </w:pPr>
          </w:p>
          <w:p w14:paraId="57C4893D" w14:textId="77777777" w:rsidR="00E53EB6" w:rsidRPr="00494885" w:rsidRDefault="00E53EB6">
            <w:pPr>
              <w:pStyle w:val="HaupttextohneEinzug"/>
              <w:rPr>
                <w:lang w:val="de-DE"/>
              </w:rPr>
            </w:pPr>
          </w:p>
          <w:p w14:paraId="29D1DF2D" w14:textId="77777777" w:rsidR="00E53EB6" w:rsidRPr="00494885" w:rsidRDefault="006500F5">
            <w:pPr>
              <w:pStyle w:val="HaupttextohneEinzug"/>
              <w:rPr>
                <w:lang w:val="de-DE"/>
              </w:rPr>
            </w:pPr>
            <w:r w:rsidRPr="00494885">
              <w:rPr>
                <w:lang w:val="de-DE"/>
              </w:rPr>
              <w:t>überwinden</w:t>
            </w:r>
          </w:p>
          <w:p w14:paraId="736B780B" w14:textId="77777777" w:rsidR="00E53EB6" w:rsidRPr="00494885" w:rsidRDefault="00E53EB6">
            <w:pPr>
              <w:pStyle w:val="HaupttextohneEinzug"/>
              <w:rPr>
                <w:lang w:val="de-DE"/>
              </w:rPr>
            </w:pPr>
          </w:p>
          <w:p w14:paraId="7CE92EC3" w14:textId="77777777" w:rsidR="00E53EB6" w:rsidRPr="00494885" w:rsidRDefault="00E53EB6">
            <w:pPr>
              <w:pStyle w:val="HaupttextohneEinzug"/>
              <w:rPr>
                <w:lang w:val="de-DE"/>
              </w:rPr>
            </w:pPr>
          </w:p>
          <w:p w14:paraId="18B3D6EB" w14:textId="77777777" w:rsidR="00E53EB6" w:rsidRPr="00494885" w:rsidRDefault="00E53EB6">
            <w:pPr>
              <w:pStyle w:val="HaupttextohneEinzug"/>
              <w:rPr>
                <w:lang w:val="de-DE"/>
              </w:rPr>
            </w:pPr>
          </w:p>
          <w:p w14:paraId="4648B463" w14:textId="77777777" w:rsidR="00E53EB6" w:rsidRDefault="006500F5">
            <w:pPr>
              <w:pStyle w:val="HaupttextohneEinzug"/>
            </w:pPr>
            <w:r>
              <w:lastRenderedPageBreak/>
              <w:t>überwindet</w:t>
            </w:r>
          </w:p>
          <w:p w14:paraId="6E3D0A96" w14:textId="77777777" w:rsidR="00E53EB6" w:rsidRDefault="00E53EB6">
            <w:pPr>
              <w:pStyle w:val="HaupttextohneEinzug"/>
            </w:pPr>
          </w:p>
          <w:p w14:paraId="36CC076A" w14:textId="77777777" w:rsidR="00E53EB6" w:rsidRDefault="00E53EB6">
            <w:pPr>
              <w:pStyle w:val="HaupttextohneEinzug"/>
            </w:pPr>
          </w:p>
          <w:p w14:paraId="4C454F24" w14:textId="77777777" w:rsidR="00E53EB6" w:rsidRDefault="00E53EB6">
            <w:pPr>
              <w:pStyle w:val="HaupttextohneEinzug"/>
            </w:pPr>
          </w:p>
          <w:p w14:paraId="19F9E58E" w14:textId="77777777" w:rsidR="00E53EB6" w:rsidRDefault="006500F5">
            <w:pPr>
              <w:pStyle w:val="HaupttextohneEinzug"/>
            </w:pPr>
            <w:r>
              <w:t>erwirkt</w:t>
            </w:r>
          </w:p>
          <w:p w14:paraId="22E84B62" w14:textId="77777777" w:rsidR="00E53EB6" w:rsidRDefault="006500F5">
            <w:pPr>
              <w:pStyle w:val="HaupttextohneEinzug"/>
            </w:pPr>
            <w:r>
              <w:t>gagne</w:t>
            </w:r>
          </w:p>
        </w:tc>
        <w:tc>
          <w:tcPr>
            <w:tcW w:w="1175" w:type="dxa"/>
            <w:tcBorders>
              <w:left w:val="single" w:sz="2" w:space="0" w:color="000000"/>
              <w:bottom w:val="single" w:sz="2" w:space="0" w:color="000000"/>
              <w:right w:val="single" w:sz="2" w:space="0" w:color="000000"/>
            </w:tcBorders>
          </w:tcPr>
          <w:p w14:paraId="44A0BD6D" w14:textId="77777777" w:rsidR="00E53EB6" w:rsidRDefault="006500F5">
            <w:pPr>
              <w:pStyle w:val="HaupttextohneEinzug"/>
            </w:pPr>
            <w:r>
              <w:lastRenderedPageBreak/>
              <w:t>*u̯en-H-e-</w:t>
            </w:r>
          </w:p>
        </w:tc>
      </w:tr>
      <w:tr w:rsidR="00E53EB6" w14:paraId="2B07E1F8" w14:textId="77777777">
        <w:tc>
          <w:tcPr>
            <w:tcW w:w="1203" w:type="dxa"/>
            <w:tcBorders>
              <w:left w:val="single" w:sz="2" w:space="0" w:color="000000"/>
              <w:bottom w:val="single" w:sz="2" w:space="0" w:color="000000"/>
            </w:tcBorders>
          </w:tcPr>
          <w:p w14:paraId="5AED8CAB" w14:textId="77777777" w:rsidR="00E53EB6" w:rsidRDefault="006500F5">
            <w:pPr>
              <w:pStyle w:val="HaupttextohneEinzug"/>
              <w:rPr>
                <w:i/>
                <w:iCs/>
              </w:rPr>
            </w:pPr>
            <w:r>
              <w:rPr>
                <w:i/>
                <w:iCs/>
              </w:rPr>
              <w:t>vanase</w:t>
            </w:r>
          </w:p>
          <w:p w14:paraId="663A6000" w14:textId="77777777" w:rsidR="00E53EB6" w:rsidRDefault="006500F5">
            <w:pPr>
              <w:pStyle w:val="HaupttextohneEinzug"/>
            </w:pPr>
            <w:r>
              <w:t>(ind. pres. 2</w:t>
            </w:r>
            <w:r>
              <w:rPr>
                <w:vertAlign w:val="superscript"/>
              </w:rPr>
              <w:t>nd</w:t>
            </w:r>
            <w:r>
              <w:t xml:space="preserve"> sing. Ā I-VI cl.)</w:t>
            </w:r>
            <w:r>
              <w:tab/>
            </w:r>
            <w:r>
              <w:tab/>
            </w:r>
          </w:p>
          <w:p w14:paraId="6881BEB5" w14:textId="77777777" w:rsidR="00E53EB6" w:rsidRDefault="00E53EB6">
            <w:pPr>
              <w:pStyle w:val="HaupttextohneEinzug"/>
            </w:pPr>
          </w:p>
        </w:tc>
        <w:tc>
          <w:tcPr>
            <w:tcW w:w="3237" w:type="dxa"/>
            <w:tcBorders>
              <w:left w:val="single" w:sz="2" w:space="0" w:color="000000"/>
              <w:bottom w:val="single" w:sz="2" w:space="0" w:color="000000"/>
            </w:tcBorders>
          </w:tcPr>
          <w:p w14:paraId="547E165F" w14:textId="77777777" w:rsidR="00E53EB6" w:rsidRDefault="006500F5">
            <w:pPr>
              <w:pStyle w:val="HaupttextohneEinzug"/>
            </w:pPr>
            <w:r>
              <w:t>1.140.11d</w:t>
            </w:r>
            <w:r>
              <w:rPr>
                <w:i/>
                <w:iCs/>
              </w:rPr>
              <w:t xml:space="preserve"> ténāsmábhya</w:t>
            </w:r>
            <w:r>
              <w:rPr>
                <w:i/>
                <w:iCs/>
              </w:rPr>
              <w:t>ṃ</w:t>
            </w:r>
            <w:r>
              <w:rPr>
                <w:i/>
                <w:iCs/>
              </w:rPr>
              <w:t xml:space="preserve"> vanase rátnam ā́ tuvám </w:t>
            </w:r>
          </w:p>
        </w:tc>
        <w:tc>
          <w:tcPr>
            <w:tcW w:w="3061" w:type="dxa"/>
            <w:tcBorders>
              <w:left w:val="single" w:sz="2" w:space="0" w:color="000000"/>
              <w:bottom w:val="single" w:sz="2" w:space="0" w:color="000000"/>
            </w:tcBorders>
          </w:tcPr>
          <w:p w14:paraId="042D1494" w14:textId="77777777" w:rsidR="00E53EB6" w:rsidRDefault="006500F5">
            <w:pPr>
              <w:pStyle w:val="HaupttextohneEinzug"/>
            </w:pPr>
            <w:r>
              <w:t>gewinnst</w:t>
            </w:r>
          </w:p>
          <w:p w14:paraId="507B31FA" w14:textId="77777777" w:rsidR="00E53EB6" w:rsidRDefault="006500F5">
            <w:pPr>
              <w:pStyle w:val="HaupttextohneEinzug"/>
            </w:pPr>
            <w:r>
              <w:t>gagnes</w:t>
            </w:r>
          </w:p>
        </w:tc>
        <w:tc>
          <w:tcPr>
            <w:tcW w:w="1175" w:type="dxa"/>
            <w:tcBorders>
              <w:left w:val="single" w:sz="2" w:space="0" w:color="000000"/>
              <w:bottom w:val="single" w:sz="2" w:space="0" w:color="000000"/>
              <w:right w:val="single" w:sz="2" w:space="0" w:color="000000"/>
            </w:tcBorders>
          </w:tcPr>
          <w:p w14:paraId="21393736" w14:textId="77777777" w:rsidR="00E53EB6" w:rsidRDefault="006500F5">
            <w:pPr>
              <w:pStyle w:val="HaupttextohneEinzug"/>
            </w:pPr>
            <w:r>
              <w:t>*u̯en-H-e-</w:t>
            </w:r>
          </w:p>
        </w:tc>
      </w:tr>
      <w:tr w:rsidR="00E53EB6" w14:paraId="69EFB4DA" w14:textId="77777777">
        <w:tc>
          <w:tcPr>
            <w:tcW w:w="1203" w:type="dxa"/>
            <w:tcBorders>
              <w:left w:val="single" w:sz="2" w:space="0" w:color="000000"/>
              <w:bottom w:val="single" w:sz="2" w:space="0" w:color="000000"/>
            </w:tcBorders>
          </w:tcPr>
          <w:p w14:paraId="6874A847" w14:textId="77777777" w:rsidR="00E53EB6" w:rsidRDefault="006500F5">
            <w:pPr>
              <w:pStyle w:val="HaupttextohneEinzug"/>
              <w:rPr>
                <w:i/>
                <w:iCs/>
              </w:rPr>
            </w:pPr>
            <w:r>
              <w:rPr>
                <w:i/>
                <w:iCs/>
              </w:rPr>
              <w:t>vanāmahe</w:t>
            </w:r>
          </w:p>
          <w:p w14:paraId="5E68AD0B" w14:textId="77777777" w:rsidR="00E53EB6" w:rsidRDefault="006500F5">
            <w:pPr>
              <w:pStyle w:val="HaupttextohneEinzug"/>
            </w:pPr>
            <w:r>
              <w:t>(ind. pres. 1</w:t>
            </w:r>
            <w:r>
              <w:rPr>
                <w:vertAlign w:val="superscript"/>
              </w:rPr>
              <w:t>st</w:t>
            </w:r>
            <w:r>
              <w:t xml:space="preserve"> pl. Ā I-VI cl.)        </w:t>
            </w:r>
          </w:p>
          <w:p w14:paraId="70C3657F" w14:textId="77777777" w:rsidR="00E53EB6" w:rsidRDefault="00E53EB6">
            <w:pPr>
              <w:pStyle w:val="HaupttextohneEinzug"/>
            </w:pPr>
          </w:p>
          <w:p w14:paraId="1319A590" w14:textId="77777777" w:rsidR="00E53EB6" w:rsidRDefault="00E53EB6">
            <w:pPr>
              <w:pStyle w:val="HaupttextohneEinzug"/>
            </w:pPr>
          </w:p>
          <w:p w14:paraId="59F1327E" w14:textId="77777777" w:rsidR="00E53EB6" w:rsidRDefault="00E53EB6">
            <w:pPr>
              <w:pStyle w:val="HaupttextohneEinzug"/>
            </w:pPr>
          </w:p>
        </w:tc>
        <w:tc>
          <w:tcPr>
            <w:tcW w:w="3237" w:type="dxa"/>
            <w:tcBorders>
              <w:left w:val="single" w:sz="2" w:space="0" w:color="000000"/>
              <w:bottom w:val="single" w:sz="2" w:space="0" w:color="000000"/>
            </w:tcBorders>
          </w:tcPr>
          <w:p w14:paraId="152AF9EC" w14:textId="77777777" w:rsidR="00E53EB6" w:rsidRDefault="006500F5">
            <w:pPr>
              <w:pStyle w:val="HaupttextohneEinzug"/>
            </w:pPr>
            <w:r>
              <w:t xml:space="preserve">5.7.3a </w:t>
            </w:r>
            <w:r>
              <w:rPr>
                <w:i/>
                <w:iCs/>
              </w:rPr>
              <w:t>sá</w:t>
            </w:r>
            <w:r>
              <w:rPr>
                <w:i/>
                <w:iCs/>
              </w:rPr>
              <w:t>ṃ</w:t>
            </w:r>
            <w:r>
              <w:rPr>
                <w:i/>
                <w:iCs/>
              </w:rPr>
              <w:t xml:space="preserve"> yád i</w:t>
            </w:r>
            <w:r>
              <w:rPr>
                <w:i/>
                <w:iCs/>
              </w:rPr>
              <w:t>ṣ</w:t>
            </w:r>
            <w:r>
              <w:rPr>
                <w:i/>
                <w:iCs/>
              </w:rPr>
              <w:t>ó vánāmahe</w:t>
            </w:r>
            <w:r>
              <w:t xml:space="preserve"> </w:t>
            </w:r>
          </w:p>
          <w:p w14:paraId="2CC286A9" w14:textId="77777777" w:rsidR="00E53EB6" w:rsidRDefault="00E53EB6">
            <w:pPr>
              <w:pStyle w:val="HaupttextohneEinzug"/>
            </w:pPr>
          </w:p>
          <w:p w14:paraId="3DB4D683" w14:textId="77777777" w:rsidR="00E53EB6" w:rsidRDefault="00E53EB6">
            <w:pPr>
              <w:pStyle w:val="HaupttextohneEinzug"/>
            </w:pPr>
          </w:p>
          <w:p w14:paraId="5D96469D" w14:textId="77777777" w:rsidR="00E53EB6" w:rsidRDefault="006500F5">
            <w:pPr>
              <w:pStyle w:val="HaupttextohneEinzug"/>
            </w:pPr>
            <w:r>
              <w:t xml:space="preserve">8.95.6d </w:t>
            </w:r>
            <w:r>
              <w:rPr>
                <w:i/>
                <w:iCs/>
              </w:rPr>
              <w:t>sí</w:t>
            </w:r>
            <w:r>
              <w:rPr>
                <w:i/>
                <w:iCs/>
              </w:rPr>
              <w:t>ṣ</w:t>
            </w:r>
            <w:r>
              <w:rPr>
                <w:i/>
                <w:iCs/>
              </w:rPr>
              <w:t>āsanto vanāmahe</w:t>
            </w:r>
          </w:p>
          <w:p w14:paraId="691FEBDF" w14:textId="77777777" w:rsidR="00E53EB6" w:rsidRDefault="00E53EB6">
            <w:pPr>
              <w:pStyle w:val="HaupttextohneEinzug"/>
            </w:pPr>
          </w:p>
          <w:p w14:paraId="08A8A700" w14:textId="77777777" w:rsidR="00E53EB6" w:rsidRDefault="00E53EB6">
            <w:pPr>
              <w:pStyle w:val="HaupttextohneEinzug"/>
            </w:pPr>
          </w:p>
          <w:p w14:paraId="491B6E6F" w14:textId="77777777" w:rsidR="00E53EB6" w:rsidRDefault="006500F5">
            <w:pPr>
              <w:pStyle w:val="HaupttextohneEinzug"/>
            </w:pPr>
            <w:r>
              <w:t xml:space="preserve">9.61.11c  </w:t>
            </w:r>
            <w:r>
              <w:rPr>
                <w:i/>
                <w:iCs/>
              </w:rPr>
              <w:t>sí</w:t>
            </w:r>
            <w:r>
              <w:rPr>
                <w:i/>
                <w:iCs/>
              </w:rPr>
              <w:t>ṣ</w:t>
            </w:r>
            <w:r>
              <w:rPr>
                <w:i/>
                <w:iCs/>
              </w:rPr>
              <w:t xml:space="preserve">āsanto vanāmahe </w:t>
            </w:r>
          </w:p>
          <w:p w14:paraId="3C688472" w14:textId="77777777" w:rsidR="00E53EB6" w:rsidRDefault="00E53EB6">
            <w:pPr>
              <w:pStyle w:val="HaupttextohneEinzug"/>
            </w:pPr>
          </w:p>
          <w:p w14:paraId="10ADE761" w14:textId="77777777" w:rsidR="00E53EB6" w:rsidRDefault="00E53EB6">
            <w:pPr>
              <w:pStyle w:val="HaupttextohneEinzug"/>
            </w:pPr>
          </w:p>
          <w:p w14:paraId="7A921F2B" w14:textId="77777777" w:rsidR="00E53EB6" w:rsidRDefault="006500F5">
            <w:pPr>
              <w:pStyle w:val="HaupttextohneEinzug"/>
            </w:pPr>
            <w:r>
              <w:t xml:space="preserve">1.15.8c </w:t>
            </w:r>
            <w:r>
              <w:rPr>
                <w:i/>
                <w:iCs/>
              </w:rPr>
              <w:t>devé</w:t>
            </w:r>
            <w:r>
              <w:rPr>
                <w:i/>
                <w:iCs/>
              </w:rPr>
              <w:t>ṣ</w:t>
            </w:r>
            <w:r>
              <w:rPr>
                <w:i/>
                <w:iCs/>
              </w:rPr>
              <w:t>u tā́ vanāmahe</w:t>
            </w:r>
          </w:p>
        </w:tc>
        <w:tc>
          <w:tcPr>
            <w:tcW w:w="3061" w:type="dxa"/>
            <w:tcBorders>
              <w:left w:val="single" w:sz="2" w:space="0" w:color="000000"/>
              <w:bottom w:val="single" w:sz="2" w:space="0" w:color="000000"/>
            </w:tcBorders>
          </w:tcPr>
          <w:p w14:paraId="52C2B7E5" w14:textId="77777777" w:rsidR="00E53EB6" w:rsidRPr="00494885" w:rsidRDefault="006500F5">
            <w:pPr>
              <w:pStyle w:val="HaupttextohneEinzug"/>
              <w:rPr>
                <w:lang w:val="de-DE"/>
              </w:rPr>
            </w:pPr>
            <w:r w:rsidRPr="00494885">
              <w:rPr>
                <w:lang w:val="de-DE"/>
              </w:rPr>
              <w:t>zusammen bringen</w:t>
            </w:r>
          </w:p>
          <w:p w14:paraId="1315AF06" w14:textId="77777777" w:rsidR="00E53EB6" w:rsidRPr="00494885" w:rsidRDefault="006500F5">
            <w:pPr>
              <w:pStyle w:val="HaupttextohneEinzug"/>
              <w:rPr>
                <w:lang w:val="de-DE"/>
              </w:rPr>
            </w:pPr>
            <w:r w:rsidRPr="00494885">
              <w:rPr>
                <w:lang w:val="de-DE"/>
              </w:rPr>
              <w:t>gagnons ensemble</w:t>
            </w:r>
          </w:p>
          <w:p w14:paraId="41E8430F" w14:textId="77777777" w:rsidR="00E53EB6" w:rsidRPr="00494885" w:rsidRDefault="00E53EB6">
            <w:pPr>
              <w:pStyle w:val="HaupttextohneEinzug"/>
              <w:rPr>
                <w:lang w:val="de-DE"/>
              </w:rPr>
            </w:pPr>
          </w:p>
          <w:p w14:paraId="0661740A" w14:textId="77777777" w:rsidR="00E53EB6" w:rsidRPr="00494885" w:rsidRDefault="006500F5">
            <w:pPr>
              <w:pStyle w:val="HaupttextohneEinzug"/>
              <w:rPr>
                <w:lang w:val="de-DE"/>
              </w:rPr>
            </w:pPr>
            <w:r w:rsidRPr="00494885">
              <w:rPr>
                <w:lang w:val="de-DE"/>
              </w:rPr>
              <w:t>sind siegreich</w:t>
            </w:r>
          </w:p>
          <w:p w14:paraId="63AD5216" w14:textId="77777777" w:rsidR="00E53EB6" w:rsidRPr="00494885" w:rsidRDefault="00E53EB6">
            <w:pPr>
              <w:pStyle w:val="HaupttextohneEinzug"/>
              <w:rPr>
                <w:lang w:val="de-DE"/>
              </w:rPr>
            </w:pPr>
          </w:p>
          <w:p w14:paraId="0B330783" w14:textId="77777777" w:rsidR="00E53EB6" w:rsidRPr="00494885" w:rsidRDefault="00E53EB6">
            <w:pPr>
              <w:pStyle w:val="HaupttextohneEinzug"/>
              <w:rPr>
                <w:lang w:val="de-DE"/>
              </w:rPr>
            </w:pPr>
          </w:p>
          <w:p w14:paraId="3FB3E72F" w14:textId="77777777" w:rsidR="00E53EB6" w:rsidRPr="00494885" w:rsidRDefault="006500F5">
            <w:pPr>
              <w:pStyle w:val="HaupttextohneEinzug"/>
              <w:rPr>
                <w:lang w:val="de-DE"/>
              </w:rPr>
            </w:pPr>
            <w:r w:rsidRPr="00494885">
              <w:rPr>
                <w:lang w:val="de-DE"/>
              </w:rPr>
              <w:t>sind siegreich</w:t>
            </w:r>
          </w:p>
          <w:p w14:paraId="73B8D18F" w14:textId="77777777" w:rsidR="00E53EB6" w:rsidRPr="00494885" w:rsidRDefault="006500F5">
            <w:pPr>
              <w:pStyle w:val="HaupttextohneEinzug"/>
              <w:rPr>
                <w:lang w:val="de-DE"/>
              </w:rPr>
            </w:pPr>
            <w:r w:rsidRPr="00494885">
              <w:rPr>
                <w:lang w:val="de-DE"/>
              </w:rPr>
              <w:t xml:space="preserve">voulons </w:t>
            </w:r>
            <w:r w:rsidRPr="00494885">
              <w:rPr>
                <w:lang w:val="de-DE"/>
              </w:rPr>
              <w:t>gagner</w:t>
            </w:r>
          </w:p>
          <w:p w14:paraId="144C52D6" w14:textId="77777777" w:rsidR="00E53EB6" w:rsidRPr="00494885" w:rsidRDefault="00E53EB6">
            <w:pPr>
              <w:pStyle w:val="HaupttextohneEinzug"/>
              <w:rPr>
                <w:lang w:val="de-DE"/>
              </w:rPr>
            </w:pPr>
          </w:p>
          <w:p w14:paraId="4F12A732" w14:textId="77777777" w:rsidR="00E53EB6" w:rsidRPr="00494885" w:rsidRDefault="006500F5">
            <w:pPr>
              <w:pStyle w:val="HaupttextohneEinzug"/>
              <w:rPr>
                <w:lang w:val="de-DE"/>
              </w:rPr>
            </w:pPr>
            <w:r w:rsidRPr="00494885">
              <w:rPr>
                <w:lang w:val="de-DE"/>
              </w:rPr>
              <w:t>erwirken</w:t>
            </w:r>
          </w:p>
        </w:tc>
        <w:tc>
          <w:tcPr>
            <w:tcW w:w="1175" w:type="dxa"/>
            <w:tcBorders>
              <w:left w:val="single" w:sz="2" w:space="0" w:color="000000"/>
              <w:bottom w:val="single" w:sz="2" w:space="0" w:color="000000"/>
              <w:right w:val="single" w:sz="2" w:space="0" w:color="000000"/>
            </w:tcBorders>
          </w:tcPr>
          <w:p w14:paraId="19A4FFA2" w14:textId="77777777" w:rsidR="00E53EB6" w:rsidRDefault="006500F5">
            <w:pPr>
              <w:pStyle w:val="HaupttextohneEinzug"/>
            </w:pPr>
            <w:r>
              <w:t>*u̯en-H-e-</w:t>
            </w:r>
          </w:p>
        </w:tc>
      </w:tr>
      <w:tr w:rsidR="00E53EB6" w14:paraId="3DAA3B41" w14:textId="77777777">
        <w:tc>
          <w:tcPr>
            <w:tcW w:w="1203" w:type="dxa"/>
            <w:tcBorders>
              <w:left w:val="single" w:sz="2" w:space="0" w:color="000000"/>
              <w:bottom w:val="single" w:sz="2" w:space="0" w:color="000000"/>
            </w:tcBorders>
          </w:tcPr>
          <w:p w14:paraId="2BFA0895" w14:textId="77777777" w:rsidR="00E53EB6" w:rsidRPr="00494885" w:rsidRDefault="006500F5">
            <w:pPr>
              <w:pStyle w:val="HaupttextohneEinzug"/>
              <w:rPr>
                <w:i/>
                <w:iCs/>
                <w:lang w:val="de-DE"/>
              </w:rPr>
            </w:pPr>
            <w:r w:rsidRPr="00494885">
              <w:rPr>
                <w:i/>
                <w:iCs/>
                <w:lang w:val="de-DE"/>
              </w:rPr>
              <w:t>vanatha</w:t>
            </w:r>
            <w:r w:rsidRPr="00494885">
              <w:rPr>
                <w:i/>
                <w:iCs/>
                <w:lang w:val="de-DE"/>
              </w:rPr>
              <w:t>ḥ</w:t>
            </w:r>
          </w:p>
          <w:p w14:paraId="3227F97F" w14:textId="77777777" w:rsidR="00E53EB6" w:rsidRDefault="006500F5">
            <w:pPr>
              <w:pStyle w:val="HaupttextohneEinzug"/>
            </w:pPr>
            <w:r w:rsidRPr="00494885">
              <w:rPr>
                <w:lang w:val="de-DE"/>
              </w:rPr>
              <w:t>(ind. pres. 2</w:t>
            </w:r>
            <w:r w:rsidRPr="00494885">
              <w:rPr>
                <w:vertAlign w:val="superscript"/>
                <w:lang w:val="de-DE"/>
              </w:rPr>
              <w:t>nd</w:t>
            </w:r>
            <w:r w:rsidRPr="00494885">
              <w:rPr>
                <w:lang w:val="de-DE"/>
              </w:rPr>
              <w:t xml:space="preserve"> du.  </w:t>
            </w:r>
            <w:r>
              <w:t>I-VI cl.)</w:t>
            </w:r>
          </w:p>
        </w:tc>
        <w:tc>
          <w:tcPr>
            <w:tcW w:w="3237" w:type="dxa"/>
            <w:tcBorders>
              <w:left w:val="single" w:sz="2" w:space="0" w:color="000000"/>
              <w:bottom w:val="single" w:sz="2" w:space="0" w:color="000000"/>
            </w:tcBorders>
          </w:tcPr>
          <w:p w14:paraId="429B4DE9" w14:textId="77777777" w:rsidR="00E53EB6" w:rsidRDefault="006500F5">
            <w:pPr>
              <w:pStyle w:val="HaupttextohneEinzug"/>
            </w:pPr>
            <w:r>
              <w:t xml:space="preserve">4.44.2b </w:t>
            </w:r>
            <w:r>
              <w:rPr>
                <w:i/>
                <w:iCs/>
              </w:rPr>
              <w:t>dívo napātā vanatha</w:t>
            </w:r>
            <w:r>
              <w:rPr>
                <w:i/>
                <w:iCs/>
              </w:rPr>
              <w:t>ḥ</w:t>
            </w:r>
            <w:r>
              <w:t xml:space="preserve"> </w:t>
            </w:r>
            <w:r>
              <w:rPr>
                <w:i/>
                <w:iCs/>
              </w:rPr>
              <w:t>śácībhi</w:t>
            </w:r>
            <w:r>
              <w:rPr>
                <w:i/>
                <w:iCs/>
              </w:rPr>
              <w:t>ḥ</w:t>
            </w:r>
            <w:r>
              <w:t xml:space="preserve"> </w:t>
            </w:r>
          </w:p>
          <w:p w14:paraId="5B08B624" w14:textId="77777777" w:rsidR="00E53EB6" w:rsidRDefault="00E53EB6">
            <w:pPr>
              <w:pStyle w:val="HaupttextohneEinzug"/>
            </w:pPr>
          </w:p>
          <w:p w14:paraId="78405C64" w14:textId="77777777" w:rsidR="00E53EB6" w:rsidRDefault="00E53EB6">
            <w:pPr>
              <w:pStyle w:val="HaupttextohneEinzug"/>
            </w:pPr>
          </w:p>
          <w:p w14:paraId="582555F2" w14:textId="77777777" w:rsidR="00E53EB6" w:rsidRDefault="006500F5">
            <w:pPr>
              <w:pStyle w:val="HaupttextohneEinzug"/>
            </w:pPr>
            <w:r>
              <w:t>1.46.14c</w:t>
            </w:r>
            <w:r>
              <w:rPr>
                <w:i/>
                <w:iCs/>
              </w:rPr>
              <w:t xml:space="preserve"> r̥tā́ vanatho aktúbhi</w:t>
            </w:r>
            <w:r>
              <w:rPr>
                <w:i/>
                <w:iCs/>
              </w:rPr>
              <w:t>ḥ</w:t>
            </w:r>
          </w:p>
          <w:p w14:paraId="2B5F1B3A" w14:textId="77777777" w:rsidR="00E53EB6" w:rsidRDefault="00E53EB6">
            <w:pPr>
              <w:pStyle w:val="HaupttextohneEinzug"/>
            </w:pPr>
          </w:p>
          <w:p w14:paraId="7AA452A3" w14:textId="77777777" w:rsidR="00E53EB6" w:rsidRDefault="00E53EB6">
            <w:pPr>
              <w:pStyle w:val="HaupttextohneEinzug"/>
            </w:pPr>
          </w:p>
          <w:p w14:paraId="0D033DDD" w14:textId="77777777" w:rsidR="00E53EB6" w:rsidRDefault="006500F5">
            <w:pPr>
              <w:pStyle w:val="HaupttextohneEinzug"/>
            </w:pPr>
            <w:r>
              <w:t xml:space="preserve">7.2.7d </w:t>
            </w:r>
            <w:r>
              <w:rPr>
                <w:i/>
                <w:iCs/>
              </w:rPr>
              <w:t>tā́ devé</w:t>
            </w:r>
            <w:r>
              <w:rPr>
                <w:i/>
                <w:iCs/>
              </w:rPr>
              <w:t>ṣ</w:t>
            </w:r>
            <w:r>
              <w:rPr>
                <w:i/>
                <w:iCs/>
              </w:rPr>
              <w:t>u vanatho vā́riyā</w:t>
            </w:r>
            <w:r>
              <w:rPr>
                <w:i/>
                <w:iCs/>
              </w:rPr>
              <w:t>ṇ</w:t>
            </w:r>
            <w:r>
              <w:rPr>
                <w:i/>
                <w:iCs/>
              </w:rPr>
              <w:t>i</w:t>
            </w:r>
          </w:p>
        </w:tc>
        <w:tc>
          <w:tcPr>
            <w:tcW w:w="3061" w:type="dxa"/>
            <w:tcBorders>
              <w:left w:val="single" w:sz="2" w:space="0" w:color="000000"/>
              <w:bottom w:val="single" w:sz="2" w:space="0" w:color="000000"/>
            </w:tcBorders>
          </w:tcPr>
          <w:p w14:paraId="50690A7F" w14:textId="77777777" w:rsidR="00E53EB6" w:rsidRPr="00494885" w:rsidRDefault="006500F5">
            <w:pPr>
              <w:pStyle w:val="HaupttextohneEinzug"/>
              <w:rPr>
                <w:lang w:val="de-DE"/>
              </w:rPr>
            </w:pPr>
            <w:r w:rsidRPr="00494885">
              <w:rPr>
                <w:lang w:val="de-DE"/>
              </w:rPr>
              <w:t>habt Gewinn</w:t>
            </w:r>
          </w:p>
          <w:p w14:paraId="68C4815A" w14:textId="77777777" w:rsidR="00E53EB6" w:rsidRPr="00494885" w:rsidRDefault="00E53EB6">
            <w:pPr>
              <w:pStyle w:val="HaupttextohneEinzug"/>
              <w:rPr>
                <w:lang w:val="de-DE"/>
              </w:rPr>
            </w:pPr>
          </w:p>
          <w:p w14:paraId="55A34404" w14:textId="77777777" w:rsidR="00E53EB6" w:rsidRPr="00494885" w:rsidRDefault="00E53EB6">
            <w:pPr>
              <w:pStyle w:val="HaupttextohneEinzug"/>
              <w:rPr>
                <w:lang w:val="de-DE"/>
              </w:rPr>
            </w:pPr>
          </w:p>
          <w:p w14:paraId="737543FD" w14:textId="77777777" w:rsidR="00E53EB6" w:rsidRPr="00494885" w:rsidRDefault="00E53EB6">
            <w:pPr>
              <w:pStyle w:val="HaupttextohneEinzug"/>
              <w:rPr>
                <w:lang w:val="de-DE"/>
              </w:rPr>
            </w:pPr>
          </w:p>
          <w:p w14:paraId="74BE2862" w14:textId="77777777" w:rsidR="00E53EB6" w:rsidRPr="00494885" w:rsidRDefault="006500F5">
            <w:pPr>
              <w:pStyle w:val="HaupttextohneEinzug"/>
              <w:rPr>
                <w:lang w:val="de-DE"/>
              </w:rPr>
            </w:pPr>
            <w:r w:rsidRPr="00494885">
              <w:rPr>
                <w:lang w:val="de-DE"/>
              </w:rPr>
              <w:t>gewinnet</w:t>
            </w:r>
          </w:p>
          <w:p w14:paraId="3E2031F6" w14:textId="77777777" w:rsidR="00E53EB6" w:rsidRPr="00494885" w:rsidRDefault="006500F5">
            <w:pPr>
              <w:pStyle w:val="HaupttextohneEinzug"/>
              <w:rPr>
                <w:lang w:val="de-DE"/>
              </w:rPr>
            </w:pPr>
            <w:r w:rsidRPr="00494885">
              <w:rPr>
                <w:lang w:val="de-DE"/>
              </w:rPr>
              <w:t>gagnez</w:t>
            </w:r>
          </w:p>
          <w:p w14:paraId="742975AB" w14:textId="77777777" w:rsidR="00E53EB6" w:rsidRPr="00494885" w:rsidRDefault="00E53EB6">
            <w:pPr>
              <w:pStyle w:val="HaupttextohneEinzug"/>
              <w:rPr>
                <w:lang w:val="de-DE"/>
              </w:rPr>
            </w:pPr>
          </w:p>
          <w:p w14:paraId="75941003" w14:textId="77777777" w:rsidR="00E53EB6" w:rsidRPr="00494885" w:rsidRDefault="006500F5">
            <w:pPr>
              <w:pStyle w:val="HaupttextohneEinzug"/>
              <w:rPr>
                <w:lang w:val="de-DE"/>
              </w:rPr>
            </w:pPr>
            <w:r w:rsidRPr="00494885">
              <w:rPr>
                <w:lang w:val="de-DE"/>
              </w:rPr>
              <w:t>gewinnt</w:t>
            </w:r>
          </w:p>
          <w:p w14:paraId="4C373CB3" w14:textId="77777777" w:rsidR="00E53EB6" w:rsidRPr="00494885" w:rsidRDefault="006500F5">
            <w:pPr>
              <w:pStyle w:val="HaupttextohneEinzug"/>
              <w:rPr>
                <w:lang w:val="de-DE"/>
              </w:rPr>
            </w:pPr>
            <w:r w:rsidRPr="00494885">
              <w:rPr>
                <w:lang w:val="de-DE"/>
              </w:rPr>
              <w:t>gagnez</w:t>
            </w:r>
          </w:p>
        </w:tc>
        <w:tc>
          <w:tcPr>
            <w:tcW w:w="1175" w:type="dxa"/>
            <w:tcBorders>
              <w:left w:val="single" w:sz="2" w:space="0" w:color="000000"/>
              <w:bottom w:val="single" w:sz="2" w:space="0" w:color="000000"/>
              <w:right w:val="single" w:sz="2" w:space="0" w:color="000000"/>
            </w:tcBorders>
          </w:tcPr>
          <w:p w14:paraId="7E20715F" w14:textId="77777777" w:rsidR="00E53EB6" w:rsidRDefault="006500F5">
            <w:pPr>
              <w:pStyle w:val="HaupttextohneEinzug"/>
            </w:pPr>
            <w:r>
              <w:t>*u̯en-H-e-</w:t>
            </w:r>
          </w:p>
        </w:tc>
      </w:tr>
      <w:tr w:rsidR="00E53EB6" w14:paraId="1BD716EB" w14:textId="77777777">
        <w:tc>
          <w:tcPr>
            <w:tcW w:w="1203" w:type="dxa"/>
            <w:tcBorders>
              <w:left w:val="single" w:sz="2" w:space="0" w:color="000000"/>
              <w:bottom w:val="single" w:sz="2" w:space="0" w:color="000000"/>
            </w:tcBorders>
          </w:tcPr>
          <w:p w14:paraId="46AFFC43" w14:textId="77777777" w:rsidR="00E53EB6" w:rsidRDefault="006500F5">
            <w:pPr>
              <w:pStyle w:val="HaupttextohneEinzug"/>
            </w:pPr>
            <w:r>
              <w:rPr>
                <w:i/>
                <w:iCs/>
              </w:rPr>
              <w:t>vāvā́na</w:t>
            </w:r>
            <w:r>
              <w:t xml:space="preserve"> </w:t>
            </w:r>
          </w:p>
          <w:p w14:paraId="686D7366" w14:textId="77777777" w:rsidR="00E53EB6" w:rsidRDefault="006500F5">
            <w:pPr>
              <w:pStyle w:val="HaupttextohneEinzug"/>
            </w:pPr>
            <w:r>
              <w:t>(ind. perf. 3</w:t>
            </w:r>
            <w:r>
              <w:rPr>
                <w:vertAlign w:val="superscript"/>
              </w:rPr>
              <w:t>rd</w:t>
            </w:r>
            <w:r>
              <w:t xml:space="preserve"> sing.)</w:t>
            </w:r>
          </w:p>
        </w:tc>
        <w:tc>
          <w:tcPr>
            <w:tcW w:w="3237" w:type="dxa"/>
            <w:tcBorders>
              <w:left w:val="single" w:sz="2" w:space="0" w:color="000000"/>
              <w:bottom w:val="single" w:sz="2" w:space="0" w:color="000000"/>
            </w:tcBorders>
          </w:tcPr>
          <w:p w14:paraId="49F100D2" w14:textId="77777777" w:rsidR="00E53EB6" w:rsidRDefault="006500F5">
            <w:pPr>
              <w:pStyle w:val="HaupttextohneEinzug"/>
            </w:pPr>
            <w:r>
              <w:t xml:space="preserve">6.23.5a  </w:t>
            </w:r>
            <w:r>
              <w:rPr>
                <w:i/>
                <w:iCs/>
              </w:rPr>
              <w:t>ásmai vayá</w:t>
            </w:r>
            <w:r>
              <w:rPr>
                <w:i/>
                <w:iCs/>
              </w:rPr>
              <w:t>ṃ</w:t>
            </w:r>
            <w:r>
              <w:rPr>
                <w:i/>
                <w:iCs/>
              </w:rPr>
              <w:t xml:space="preserve"> yád vāvā́na tád vivi</w:t>
            </w:r>
            <w:r>
              <w:rPr>
                <w:i/>
                <w:iCs/>
              </w:rPr>
              <w:t>ṣ</w:t>
            </w:r>
            <w:r>
              <w:rPr>
                <w:i/>
                <w:iCs/>
              </w:rPr>
              <w:t xml:space="preserve">ma </w:t>
            </w:r>
          </w:p>
          <w:p w14:paraId="3DB9604A" w14:textId="77777777" w:rsidR="00E53EB6" w:rsidRDefault="00E53EB6">
            <w:pPr>
              <w:pStyle w:val="HaupttextohneEinzug"/>
            </w:pPr>
          </w:p>
          <w:p w14:paraId="0BAFD539" w14:textId="77777777" w:rsidR="00E53EB6" w:rsidRDefault="00E53EB6">
            <w:pPr>
              <w:pStyle w:val="HaupttextohneEinzug"/>
            </w:pPr>
          </w:p>
          <w:p w14:paraId="7393931E" w14:textId="77777777" w:rsidR="00E53EB6" w:rsidRDefault="006500F5">
            <w:pPr>
              <w:pStyle w:val="HaupttextohneEinzug"/>
            </w:pPr>
            <w:r>
              <w:t xml:space="preserve">10.74.6a  </w:t>
            </w:r>
            <w:r>
              <w:rPr>
                <w:i/>
                <w:iCs/>
              </w:rPr>
              <w:t>yád vāvā́na purutámam purā</w:t>
            </w:r>
            <w:r>
              <w:rPr>
                <w:i/>
                <w:iCs/>
              </w:rPr>
              <w:t>ṣ</w:t>
            </w:r>
            <w:r>
              <w:rPr>
                <w:i/>
                <w:iCs/>
              </w:rPr>
              <w:t>ā́</w:t>
            </w:r>
            <w:r>
              <w:rPr>
                <w:i/>
                <w:iCs/>
              </w:rPr>
              <w:t>ḷ</w:t>
            </w:r>
            <w:r>
              <w:rPr>
                <w:i/>
                <w:iCs/>
              </w:rPr>
              <w:t xml:space="preserve"> </w:t>
            </w:r>
          </w:p>
        </w:tc>
        <w:tc>
          <w:tcPr>
            <w:tcW w:w="3061" w:type="dxa"/>
            <w:tcBorders>
              <w:left w:val="single" w:sz="2" w:space="0" w:color="000000"/>
              <w:bottom w:val="single" w:sz="2" w:space="0" w:color="000000"/>
            </w:tcBorders>
          </w:tcPr>
          <w:p w14:paraId="7F7FD490" w14:textId="77777777" w:rsidR="00E53EB6" w:rsidRPr="00494885" w:rsidRDefault="006500F5">
            <w:pPr>
              <w:pStyle w:val="HaupttextohneEinzug"/>
              <w:rPr>
                <w:lang w:val="de-DE"/>
              </w:rPr>
            </w:pPr>
            <w:r w:rsidRPr="00494885">
              <w:rPr>
                <w:lang w:val="de-DE"/>
              </w:rPr>
              <w:t>verdient hat (guadagnare)</w:t>
            </w:r>
          </w:p>
          <w:p w14:paraId="660AA374" w14:textId="77777777" w:rsidR="00E53EB6" w:rsidRPr="00494885" w:rsidRDefault="00E53EB6">
            <w:pPr>
              <w:pStyle w:val="HaupttextohneEinzug"/>
              <w:rPr>
                <w:lang w:val="de-DE"/>
              </w:rPr>
            </w:pPr>
          </w:p>
          <w:p w14:paraId="412D7ED2" w14:textId="77777777" w:rsidR="00E53EB6" w:rsidRPr="00494885" w:rsidRDefault="00E53EB6">
            <w:pPr>
              <w:pStyle w:val="HaupttextohneEinzug"/>
              <w:rPr>
                <w:lang w:val="de-DE"/>
              </w:rPr>
            </w:pPr>
          </w:p>
          <w:p w14:paraId="0967046D" w14:textId="77777777" w:rsidR="00E53EB6" w:rsidRPr="00494885" w:rsidRDefault="00E53EB6">
            <w:pPr>
              <w:pStyle w:val="HaupttextohneEinzug"/>
              <w:rPr>
                <w:lang w:val="de-DE"/>
              </w:rPr>
            </w:pPr>
          </w:p>
          <w:p w14:paraId="50217DAC" w14:textId="77777777" w:rsidR="00E53EB6" w:rsidRPr="00494885" w:rsidRDefault="006500F5">
            <w:pPr>
              <w:pStyle w:val="HaupttextohneEinzug"/>
              <w:rPr>
                <w:lang w:val="de-DE"/>
              </w:rPr>
            </w:pPr>
            <w:r w:rsidRPr="00494885">
              <w:rPr>
                <w:lang w:val="de-DE"/>
              </w:rPr>
              <w:t>gewonnen hat</w:t>
            </w:r>
          </w:p>
        </w:tc>
        <w:tc>
          <w:tcPr>
            <w:tcW w:w="1175" w:type="dxa"/>
            <w:tcBorders>
              <w:left w:val="single" w:sz="2" w:space="0" w:color="000000"/>
              <w:bottom w:val="single" w:sz="2" w:space="0" w:color="000000"/>
              <w:right w:val="single" w:sz="2" w:space="0" w:color="000000"/>
            </w:tcBorders>
          </w:tcPr>
          <w:p w14:paraId="2FDF128A" w14:textId="77777777" w:rsidR="00E53EB6" w:rsidRDefault="006500F5">
            <w:pPr>
              <w:pStyle w:val="HaupttextohneEinzug"/>
            </w:pPr>
            <w:r>
              <w:t>*u̯e- u̯ónH / u̯nH-</w:t>
            </w:r>
          </w:p>
        </w:tc>
      </w:tr>
      <w:tr w:rsidR="00E53EB6" w14:paraId="2F45B45A" w14:textId="77777777">
        <w:tc>
          <w:tcPr>
            <w:tcW w:w="1203" w:type="dxa"/>
            <w:tcBorders>
              <w:left w:val="single" w:sz="2" w:space="0" w:color="000000"/>
              <w:bottom w:val="single" w:sz="2" w:space="0" w:color="000000"/>
            </w:tcBorders>
          </w:tcPr>
          <w:p w14:paraId="25970698" w14:textId="77777777" w:rsidR="00E53EB6" w:rsidRDefault="006500F5">
            <w:pPr>
              <w:pStyle w:val="HaupttextohneEinzug"/>
            </w:pPr>
            <w:r>
              <w:rPr>
                <w:b/>
                <w:bCs/>
              </w:rPr>
              <w:t>Subjunctive</w:t>
            </w:r>
            <w:r>
              <w:t xml:space="preserve"> </w:t>
            </w:r>
          </w:p>
        </w:tc>
        <w:tc>
          <w:tcPr>
            <w:tcW w:w="3237" w:type="dxa"/>
            <w:tcBorders>
              <w:left w:val="single" w:sz="2" w:space="0" w:color="000000"/>
              <w:bottom w:val="single" w:sz="2" w:space="0" w:color="000000"/>
            </w:tcBorders>
          </w:tcPr>
          <w:p w14:paraId="2DE4CB2A" w14:textId="77777777" w:rsidR="00E53EB6" w:rsidRDefault="00E53EB6">
            <w:pPr>
              <w:pStyle w:val="HaupttextohneEinzug"/>
            </w:pPr>
          </w:p>
        </w:tc>
        <w:tc>
          <w:tcPr>
            <w:tcW w:w="3061" w:type="dxa"/>
            <w:tcBorders>
              <w:left w:val="single" w:sz="2" w:space="0" w:color="000000"/>
              <w:bottom w:val="single" w:sz="2" w:space="0" w:color="000000"/>
            </w:tcBorders>
          </w:tcPr>
          <w:p w14:paraId="3D52CAD9" w14:textId="77777777" w:rsidR="00E53EB6" w:rsidRDefault="00E53EB6">
            <w:pPr>
              <w:pStyle w:val="HaupttextohneEinzug"/>
            </w:pPr>
          </w:p>
        </w:tc>
        <w:tc>
          <w:tcPr>
            <w:tcW w:w="1175" w:type="dxa"/>
            <w:tcBorders>
              <w:left w:val="single" w:sz="2" w:space="0" w:color="000000"/>
              <w:bottom w:val="single" w:sz="2" w:space="0" w:color="000000"/>
              <w:right w:val="single" w:sz="2" w:space="0" w:color="000000"/>
            </w:tcBorders>
          </w:tcPr>
          <w:p w14:paraId="2C3CB057" w14:textId="77777777" w:rsidR="00E53EB6" w:rsidRDefault="00E53EB6">
            <w:pPr>
              <w:pStyle w:val="HaupttextohneEinzug"/>
            </w:pPr>
          </w:p>
        </w:tc>
      </w:tr>
      <w:tr w:rsidR="00E53EB6" w14:paraId="138160AC" w14:textId="77777777">
        <w:tc>
          <w:tcPr>
            <w:tcW w:w="1203" w:type="dxa"/>
            <w:tcBorders>
              <w:left w:val="single" w:sz="2" w:space="0" w:color="000000"/>
              <w:bottom w:val="single" w:sz="2" w:space="0" w:color="000000"/>
            </w:tcBorders>
          </w:tcPr>
          <w:p w14:paraId="2024A3C2" w14:textId="77777777" w:rsidR="00E53EB6" w:rsidRDefault="006500F5">
            <w:pPr>
              <w:pStyle w:val="HaupttextohneEinzug"/>
            </w:pPr>
            <w:r>
              <w:rPr>
                <w:i/>
                <w:iCs/>
              </w:rPr>
              <w:t>vanā́ti</w:t>
            </w:r>
            <w:r>
              <w:t xml:space="preserve"> </w:t>
            </w:r>
          </w:p>
          <w:p w14:paraId="38AB12C2" w14:textId="77777777" w:rsidR="00E53EB6" w:rsidRDefault="006500F5">
            <w:pPr>
              <w:pStyle w:val="HaupttextohneEinzug"/>
            </w:pPr>
            <w:r>
              <w:t>(subj. pres. 3</w:t>
            </w:r>
            <w:r>
              <w:rPr>
                <w:vertAlign w:val="superscript"/>
              </w:rPr>
              <w:t>rd</w:t>
            </w:r>
            <w:r>
              <w:t xml:space="preserve"> sing. I-VI cl.)</w:t>
            </w:r>
          </w:p>
        </w:tc>
        <w:tc>
          <w:tcPr>
            <w:tcW w:w="3237" w:type="dxa"/>
            <w:tcBorders>
              <w:left w:val="single" w:sz="2" w:space="0" w:color="000000"/>
              <w:bottom w:val="single" w:sz="2" w:space="0" w:color="000000"/>
            </w:tcBorders>
          </w:tcPr>
          <w:p w14:paraId="15FB68AE" w14:textId="77777777" w:rsidR="00E53EB6" w:rsidRDefault="006500F5">
            <w:pPr>
              <w:pStyle w:val="HaupttextohneEinzug"/>
            </w:pPr>
            <w:r>
              <w:t xml:space="preserve">7.15.4c   </w:t>
            </w:r>
            <w:r>
              <w:rPr>
                <w:i/>
                <w:iCs/>
              </w:rPr>
              <w:t>vásva</w:t>
            </w:r>
            <w:r>
              <w:rPr>
                <w:i/>
                <w:iCs/>
              </w:rPr>
              <w:t>ḥ</w:t>
            </w:r>
            <w:r>
              <w:rPr>
                <w:i/>
                <w:iCs/>
              </w:rPr>
              <w:t xml:space="preserve"> kuvíd vanā́ti na</w:t>
            </w:r>
            <w:r>
              <w:rPr>
                <w:i/>
                <w:iCs/>
              </w:rPr>
              <w:t>ḥ</w:t>
            </w:r>
          </w:p>
        </w:tc>
        <w:tc>
          <w:tcPr>
            <w:tcW w:w="3061" w:type="dxa"/>
            <w:tcBorders>
              <w:left w:val="single" w:sz="2" w:space="0" w:color="000000"/>
              <w:bottom w:val="single" w:sz="2" w:space="0" w:color="000000"/>
            </w:tcBorders>
          </w:tcPr>
          <w:p w14:paraId="68EBAAA2" w14:textId="77777777" w:rsidR="00E53EB6" w:rsidRDefault="006500F5">
            <w:pPr>
              <w:pStyle w:val="HaupttextohneEinzug"/>
            </w:pPr>
            <w:r>
              <w:t>erwinken</w:t>
            </w:r>
          </w:p>
          <w:p w14:paraId="33FDF75F" w14:textId="77777777" w:rsidR="00E53EB6" w:rsidRDefault="006500F5">
            <w:pPr>
              <w:pStyle w:val="HaupttextohneEinzug"/>
            </w:pPr>
            <w:r>
              <w:t xml:space="preserve">gagnera-t-il </w:t>
            </w:r>
          </w:p>
        </w:tc>
        <w:tc>
          <w:tcPr>
            <w:tcW w:w="1175" w:type="dxa"/>
            <w:tcBorders>
              <w:left w:val="single" w:sz="2" w:space="0" w:color="000000"/>
              <w:bottom w:val="single" w:sz="2" w:space="0" w:color="000000"/>
              <w:right w:val="single" w:sz="2" w:space="0" w:color="000000"/>
            </w:tcBorders>
          </w:tcPr>
          <w:p w14:paraId="3107CE48" w14:textId="77777777" w:rsidR="00E53EB6" w:rsidRDefault="006500F5">
            <w:pPr>
              <w:pStyle w:val="HaupttextohneEinzug"/>
            </w:pPr>
            <w:r>
              <w:t>* u̯énH-</w:t>
            </w:r>
          </w:p>
        </w:tc>
      </w:tr>
      <w:tr w:rsidR="00E53EB6" w14:paraId="24029051" w14:textId="77777777">
        <w:tc>
          <w:tcPr>
            <w:tcW w:w="1203" w:type="dxa"/>
            <w:tcBorders>
              <w:left w:val="single" w:sz="2" w:space="0" w:color="000000"/>
              <w:bottom w:val="single" w:sz="2" w:space="0" w:color="000000"/>
            </w:tcBorders>
          </w:tcPr>
          <w:p w14:paraId="65666905" w14:textId="77777777" w:rsidR="00E53EB6" w:rsidRDefault="006500F5">
            <w:pPr>
              <w:pStyle w:val="HaupttextohneEinzug"/>
              <w:rPr>
                <w:i/>
                <w:iCs/>
              </w:rPr>
            </w:pPr>
            <w:r>
              <w:rPr>
                <w:i/>
                <w:iCs/>
              </w:rPr>
              <w:t>vánāmahai</w:t>
            </w:r>
          </w:p>
          <w:p w14:paraId="24D7CA0C" w14:textId="77777777" w:rsidR="00E53EB6" w:rsidRDefault="006500F5">
            <w:pPr>
              <w:pStyle w:val="HaupttextohneEinzug"/>
            </w:pPr>
            <w:r>
              <w:t>(subj. pres. 1</w:t>
            </w:r>
            <w:r>
              <w:rPr>
                <w:vertAlign w:val="superscript"/>
              </w:rPr>
              <w:t>st</w:t>
            </w:r>
            <w:r>
              <w:t xml:space="preserve"> pl. Ā I-VI  </w:t>
            </w:r>
            <w:r>
              <w:lastRenderedPageBreak/>
              <w:t>cl.)</w:t>
            </w:r>
          </w:p>
        </w:tc>
        <w:tc>
          <w:tcPr>
            <w:tcW w:w="3237" w:type="dxa"/>
            <w:tcBorders>
              <w:left w:val="single" w:sz="2" w:space="0" w:color="000000"/>
              <w:bottom w:val="single" w:sz="2" w:space="0" w:color="000000"/>
            </w:tcBorders>
          </w:tcPr>
          <w:p w14:paraId="056EF10D" w14:textId="77777777" w:rsidR="00E53EB6" w:rsidRDefault="006500F5">
            <w:pPr>
              <w:pStyle w:val="HaupttextohneEinzug"/>
            </w:pPr>
            <w:r>
              <w:lastRenderedPageBreak/>
              <w:t xml:space="preserve">9.101.9d </w:t>
            </w:r>
            <w:r>
              <w:rPr>
                <w:i/>
                <w:iCs/>
              </w:rPr>
              <w:t xml:space="preserve"> rayí</w:t>
            </w:r>
            <w:r>
              <w:rPr>
                <w:i/>
                <w:iCs/>
              </w:rPr>
              <w:t>ṃ</w:t>
            </w:r>
            <w:r>
              <w:rPr>
                <w:i/>
                <w:iCs/>
              </w:rPr>
              <w:t xml:space="preserve"> yéna vánāmahai</w:t>
            </w:r>
            <w:r>
              <w:t xml:space="preserve"> </w:t>
            </w:r>
          </w:p>
        </w:tc>
        <w:tc>
          <w:tcPr>
            <w:tcW w:w="3061" w:type="dxa"/>
            <w:tcBorders>
              <w:left w:val="single" w:sz="2" w:space="0" w:color="000000"/>
              <w:bottom w:val="single" w:sz="2" w:space="0" w:color="000000"/>
            </w:tcBorders>
          </w:tcPr>
          <w:p w14:paraId="0C22262A" w14:textId="77777777" w:rsidR="00E53EB6" w:rsidRPr="00494885" w:rsidRDefault="006500F5">
            <w:pPr>
              <w:pStyle w:val="HaupttextohneEinzug"/>
              <w:rPr>
                <w:lang w:val="de-DE"/>
              </w:rPr>
            </w:pPr>
            <w:r w:rsidRPr="00494885">
              <w:rPr>
                <w:lang w:val="de-DE"/>
              </w:rPr>
              <w:t>Sieger sein werden</w:t>
            </w:r>
          </w:p>
          <w:p w14:paraId="151ED3B4" w14:textId="77777777" w:rsidR="00E53EB6" w:rsidRPr="00494885" w:rsidRDefault="006500F5">
            <w:pPr>
              <w:pStyle w:val="HaupttextohneEinzug"/>
              <w:rPr>
                <w:lang w:val="de-DE"/>
              </w:rPr>
            </w:pPr>
            <w:r w:rsidRPr="00494885">
              <w:rPr>
                <w:lang w:val="de-DE"/>
              </w:rPr>
              <w:t>serons vainqueurs</w:t>
            </w:r>
          </w:p>
        </w:tc>
        <w:tc>
          <w:tcPr>
            <w:tcW w:w="1175" w:type="dxa"/>
            <w:tcBorders>
              <w:left w:val="single" w:sz="2" w:space="0" w:color="000000"/>
              <w:bottom w:val="single" w:sz="2" w:space="0" w:color="000000"/>
              <w:right w:val="single" w:sz="2" w:space="0" w:color="000000"/>
            </w:tcBorders>
          </w:tcPr>
          <w:p w14:paraId="5AAC6DF1" w14:textId="77777777" w:rsidR="00E53EB6" w:rsidRDefault="006500F5">
            <w:pPr>
              <w:pStyle w:val="HaupttextohneEinzug"/>
            </w:pPr>
            <w:r>
              <w:t>* u̯énH-</w:t>
            </w:r>
          </w:p>
        </w:tc>
      </w:tr>
      <w:tr w:rsidR="00E53EB6" w14:paraId="7E43A1DA" w14:textId="77777777">
        <w:tc>
          <w:tcPr>
            <w:tcW w:w="1203" w:type="dxa"/>
            <w:tcBorders>
              <w:left w:val="single" w:sz="2" w:space="0" w:color="000000"/>
              <w:bottom w:val="single" w:sz="2" w:space="0" w:color="000000"/>
            </w:tcBorders>
          </w:tcPr>
          <w:p w14:paraId="11673E22" w14:textId="77777777" w:rsidR="00E53EB6" w:rsidRDefault="006500F5">
            <w:pPr>
              <w:pStyle w:val="HaupttextohneEinzug"/>
            </w:pPr>
            <w:r>
              <w:rPr>
                <w:i/>
                <w:iCs/>
              </w:rPr>
              <w:t>vánāva</w:t>
            </w:r>
            <w:r>
              <w:t xml:space="preserve"> </w:t>
            </w:r>
          </w:p>
          <w:p w14:paraId="40C75580" w14:textId="77777777" w:rsidR="00E53EB6" w:rsidRDefault="006500F5">
            <w:pPr>
              <w:pStyle w:val="HaupttextohneEinzug"/>
            </w:pPr>
            <w:r>
              <w:t>(subj. pres. 1</w:t>
            </w:r>
            <w:r>
              <w:rPr>
                <w:vertAlign w:val="superscript"/>
              </w:rPr>
              <w:t>st</w:t>
            </w:r>
            <w:r>
              <w:t xml:space="preserve"> du. I-VI cl.)</w:t>
            </w:r>
          </w:p>
        </w:tc>
        <w:tc>
          <w:tcPr>
            <w:tcW w:w="3237" w:type="dxa"/>
            <w:tcBorders>
              <w:left w:val="single" w:sz="2" w:space="0" w:color="000000"/>
              <w:bottom w:val="single" w:sz="2" w:space="0" w:color="000000"/>
            </w:tcBorders>
          </w:tcPr>
          <w:p w14:paraId="3A27DD5A" w14:textId="77777777" w:rsidR="00E53EB6" w:rsidRDefault="006500F5">
            <w:pPr>
              <w:pStyle w:val="HaupttextohneEinzug"/>
            </w:pPr>
            <w:r>
              <w:t xml:space="preserve">10.98.3c </w:t>
            </w:r>
            <w:r>
              <w:rPr>
                <w:i/>
                <w:iCs/>
              </w:rPr>
              <w:t xml:space="preserve"> yáyā vr̥</w:t>
            </w:r>
            <w:r>
              <w:rPr>
                <w:i/>
                <w:iCs/>
              </w:rPr>
              <w:t>ṣṭ</w:t>
            </w:r>
            <w:r>
              <w:rPr>
                <w:i/>
                <w:iCs/>
              </w:rPr>
              <w:t>í</w:t>
            </w:r>
            <w:r>
              <w:rPr>
                <w:i/>
                <w:iCs/>
              </w:rPr>
              <w:t>ṃ</w:t>
            </w:r>
            <w:r>
              <w:rPr>
                <w:i/>
                <w:iCs/>
              </w:rPr>
              <w:t xml:space="preserve"> śá</w:t>
            </w:r>
            <w:r>
              <w:rPr>
                <w:i/>
                <w:iCs/>
              </w:rPr>
              <w:t>ṃ</w:t>
            </w:r>
            <w:r>
              <w:rPr>
                <w:i/>
                <w:iCs/>
              </w:rPr>
              <w:t>tanave ván</w:t>
            </w:r>
            <w:r>
              <w:rPr>
                <w:i/>
                <w:iCs/>
              </w:rPr>
              <w:t>āva</w:t>
            </w:r>
          </w:p>
        </w:tc>
        <w:tc>
          <w:tcPr>
            <w:tcW w:w="3061" w:type="dxa"/>
            <w:tcBorders>
              <w:left w:val="single" w:sz="2" w:space="0" w:color="000000"/>
              <w:bottom w:val="single" w:sz="2" w:space="0" w:color="000000"/>
            </w:tcBorders>
          </w:tcPr>
          <w:p w14:paraId="266394F9" w14:textId="77777777" w:rsidR="00E53EB6" w:rsidRDefault="006500F5">
            <w:pPr>
              <w:pStyle w:val="HaupttextohneEinzug"/>
            </w:pPr>
            <w:r>
              <w:t>können gewinnen</w:t>
            </w:r>
          </w:p>
        </w:tc>
        <w:tc>
          <w:tcPr>
            <w:tcW w:w="1175" w:type="dxa"/>
            <w:tcBorders>
              <w:left w:val="single" w:sz="2" w:space="0" w:color="000000"/>
              <w:bottom w:val="single" w:sz="2" w:space="0" w:color="000000"/>
              <w:right w:val="single" w:sz="2" w:space="0" w:color="000000"/>
            </w:tcBorders>
          </w:tcPr>
          <w:p w14:paraId="5556CEAD" w14:textId="77777777" w:rsidR="00E53EB6" w:rsidRDefault="006500F5">
            <w:pPr>
              <w:pStyle w:val="HaupttextohneEinzug"/>
            </w:pPr>
            <w:r>
              <w:t>* u̯énH-</w:t>
            </w:r>
          </w:p>
        </w:tc>
      </w:tr>
      <w:tr w:rsidR="00E53EB6" w14:paraId="1F875C6F" w14:textId="77777777">
        <w:tc>
          <w:tcPr>
            <w:tcW w:w="1203" w:type="dxa"/>
            <w:tcBorders>
              <w:left w:val="single" w:sz="2" w:space="0" w:color="000000"/>
              <w:bottom w:val="single" w:sz="2" w:space="0" w:color="000000"/>
            </w:tcBorders>
          </w:tcPr>
          <w:p w14:paraId="03A534B1" w14:textId="77777777" w:rsidR="00E53EB6" w:rsidRDefault="006500F5">
            <w:pPr>
              <w:pStyle w:val="HaupttextohneEinzug"/>
            </w:pPr>
            <w:r>
              <w:rPr>
                <w:b/>
                <w:bCs/>
              </w:rPr>
              <w:t>Imperative</w:t>
            </w:r>
            <w:r>
              <w:t xml:space="preserve"> </w:t>
            </w:r>
          </w:p>
        </w:tc>
        <w:tc>
          <w:tcPr>
            <w:tcW w:w="3237" w:type="dxa"/>
            <w:tcBorders>
              <w:left w:val="single" w:sz="2" w:space="0" w:color="000000"/>
              <w:bottom w:val="single" w:sz="2" w:space="0" w:color="000000"/>
            </w:tcBorders>
          </w:tcPr>
          <w:p w14:paraId="73E30D97" w14:textId="77777777" w:rsidR="00E53EB6" w:rsidRDefault="00E53EB6">
            <w:pPr>
              <w:pStyle w:val="HaupttextohneEinzug"/>
            </w:pPr>
          </w:p>
        </w:tc>
        <w:tc>
          <w:tcPr>
            <w:tcW w:w="3061" w:type="dxa"/>
            <w:tcBorders>
              <w:left w:val="single" w:sz="2" w:space="0" w:color="000000"/>
              <w:bottom w:val="single" w:sz="2" w:space="0" w:color="000000"/>
            </w:tcBorders>
          </w:tcPr>
          <w:p w14:paraId="688D48E6" w14:textId="77777777" w:rsidR="00E53EB6" w:rsidRDefault="00E53EB6">
            <w:pPr>
              <w:pStyle w:val="HaupttextohneEinzug"/>
            </w:pPr>
          </w:p>
        </w:tc>
        <w:tc>
          <w:tcPr>
            <w:tcW w:w="1175" w:type="dxa"/>
            <w:tcBorders>
              <w:left w:val="single" w:sz="2" w:space="0" w:color="000000"/>
              <w:bottom w:val="single" w:sz="2" w:space="0" w:color="000000"/>
              <w:right w:val="single" w:sz="2" w:space="0" w:color="000000"/>
            </w:tcBorders>
          </w:tcPr>
          <w:p w14:paraId="0F3280E4" w14:textId="77777777" w:rsidR="00E53EB6" w:rsidRDefault="00E53EB6">
            <w:pPr>
              <w:pStyle w:val="HaupttextohneEinzug"/>
            </w:pPr>
          </w:p>
        </w:tc>
      </w:tr>
      <w:tr w:rsidR="00E53EB6" w14:paraId="3A244684" w14:textId="77777777">
        <w:tc>
          <w:tcPr>
            <w:tcW w:w="1203" w:type="dxa"/>
            <w:tcBorders>
              <w:left w:val="single" w:sz="2" w:space="0" w:color="000000"/>
              <w:bottom w:val="single" w:sz="2" w:space="0" w:color="000000"/>
            </w:tcBorders>
          </w:tcPr>
          <w:p w14:paraId="26F1CB3E" w14:textId="77777777" w:rsidR="00E53EB6" w:rsidRPr="00494885" w:rsidRDefault="006500F5">
            <w:pPr>
              <w:pStyle w:val="HaupttextohneEinzug"/>
              <w:rPr>
                <w:i/>
                <w:iCs/>
                <w:lang w:val="de-DE"/>
              </w:rPr>
            </w:pPr>
            <w:r w:rsidRPr="00494885">
              <w:rPr>
                <w:i/>
                <w:iCs/>
                <w:lang w:val="de-DE"/>
              </w:rPr>
              <w:t>vánatam</w:t>
            </w:r>
          </w:p>
          <w:p w14:paraId="250ED6DA" w14:textId="77777777" w:rsidR="00E53EB6" w:rsidRDefault="006500F5">
            <w:pPr>
              <w:pStyle w:val="HaupttextohneEinzug"/>
            </w:pPr>
            <w:r w:rsidRPr="00494885">
              <w:rPr>
                <w:lang w:val="de-DE"/>
              </w:rPr>
              <w:t>(impv. pres. 2</w:t>
            </w:r>
            <w:r w:rsidRPr="00494885">
              <w:rPr>
                <w:vertAlign w:val="superscript"/>
                <w:lang w:val="de-DE"/>
              </w:rPr>
              <w:t>nd</w:t>
            </w:r>
            <w:r w:rsidRPr="00494885">
              <w:rPr>
                <w:lang w:val="de-DE"/>
              </w:rPr>
              <w:t xml:space="preserve"> du. </w:t>
            </w:r>
            <w:r>
              <w:t>I-VI cl.)</w:t>
            </w:r>
          </w:p>
        </w:tc>
        <w:tc>
          <w:tcPr>
            <w:tcW w:w="3237" w:type="dxa"/>
            <w:tcBorders>
              <w:left w:val="single" w:sz="2" w:space="0" w:color="000000"/>
              <w:bottom w:val="single" w:sz="2" w:space="0" w:color="000000"/>
            </w:tcBorders>
          </w:tcPr>
          <w:p w14:paraId="45552E0E" w14:textId="77777777" w:rsidR="00E53EB6" w:rsidRDefault="006500F5">
            <w:pPr>
              <w:pStyle w:val="HaupttextohneEinzug"/>
            </w:pPr>
            <w:r>
              <w:t xml:space="preserve">1.3.2c  </w:t>
            </w:r>
            <w:r>
              <w:rPr>
                <w:i/>
                <w:iCs/>
              </w:rPr>
              <w:t>dhí</w:t>
            </w:r>
            <w:r>
              <w:rPr>
                <w:i/>
                <w:iCs/>
              </w:rPr>
              <w:t>ṣṇ</w:t>
            </w:r>
            <w:r>
              <w:rPr>
                <w:i/>
                <w:iCs/>
              </w:rPr>
              <w:t>iyā vánata</w:t>
            </w:r>
            <w:r>
              <w:rPr>
                <w:i/>
                <w:iCs/>
              </w:rPr>
              <w:t>ṃ</w:t>
            </w:r>
            <w:r>
              <w:rPr>
                <w:i/>
                <w:iCs/>
              </w:rPr>
              <w:t xml:space="preserve"> gíra</w:t>
            </w:r>
            <w:r>
              <w:rPr>
                <w:i/>
                <w:iCs/>
              </w:rPr>
              <w:t>ḥ</w:t>
            </w:r>
            <w:r>
              <w:t xml:space="preserve"> </w:t>
            </w:r>
          </w:p>
          <w:p w14:paraId="6FD4A626" w14:textId="77777777" w:rsidR="00E53EB6" w:rsidRDefault="00E53EB6">
            <w:pPr>
              <w:pStyle w:val="HaupttextohneEinzug"/>
            </w:pPr>
          </w:p>
          <w:p w14:paraId="4BF7028E" w14:textId="77777777" w:rsidR="00E53EB6" w:rsidRDefault="00E53EB6">
            <w:pPr>
              <w:pStyle w:val="HaupttextohneEinzug"/>
            </w:pPr>
          </w:p>
          <w:p w14:paraId="5E29DA13" w14:textId="77777777" w:rsidR="00E53EB6" w:rsidRDefault="006500F5">
            <w:pPr>
              <w:pStyle w:val="HaupttextohneEinzug"/>
            </w:pPr>
            <w:r>
              <w:t xml:space="preserve">7.94.2b  </w:t>
            </w:r>
            <w:r>
              <w:rPr>
                <w:i/>
                <w:iCs/>
              </w:rPr>
              <w:t>índrāgnī vánata</w:t>
            </w:r>
            <w:r>
              <w:rPr>
                <w:i/>
                <w:iCs/>
              </w:rPr>
              <w:t>ṃ</w:t>
            </w:r>
            <w:r>
              <w:rPr>
                <w:i/>
                <w:iCs/>
              </w:rPr>
              <w:t xml:space="preserve"> gíra</w:t>
            </w:r>
            <w:r>
              <w:rPr>
                <w:i/>
                <w:iCs/>
              </w:rPr>
              <w:t>ḥ</w:t>
            </w:r>
            <w:r>
              <w:rPr>
                <w:i/>
                <w:iCs/>
              </w:rPr>
              <w:t xml:space="preserve"> </w:t>
            </w:r>
          </w:p>
          <w:p w14:paraId="069FF89A" w14:textId="77777777" w:rsidR="00E53EB6" w:rsidRDefault="00E53EB6">
            <w:pPr>
              <w:pStyle w:val="HaupttextohneEinzug"/>
            </w:pPr>
          </w:p>
          <w:p w14:paraId="4210DC6D" w14:textId="77777777" w:rsidR="00E53EB6" w:rsidRDefault="00E53EB6">
            <w:pPr>
              <w:pStyle w:val="HaupttextohneEinzug"/>
            </w:pPr>
          </w:p>
          <w:p w14:paraId="1BE50915" w14:textId="77777777" w:rsidR="00E53EB6" w:rsidRDefault="006500F5">
            <w:pPr>
              <w:pStyle w:val="HaupttextohneEinzug"/>
            </w:pPr>
            <w:r>
              <w:t xml:space="preserve">1.93.9b  </w:t>
            </w:r>
            <w:r>
              <w:rPr>
                <w:i/>
                <w:iCs/>
              </w:rPr>
              <w:t>sáhūtī vanata</w:t>
            </w:r>
            <w:r>
              <w:rPr>
                <w:i/>
                <w:iCs/>
              </w:rPr>
              <w:t>ṃ</w:t>
            </w:r>
            <w:r>
              <w:rPr>
                <w:i/>
                <w:iCs/>
              </w:rPr>
              <w:t xml:space="preserve"> gíra</w:t>
            </w:r>
            <w:r>
              <w:rPr>
                <w:i/>
                <w:iCs/>
              </w:rPr>
              <w:t>ḥ</w:t>
            </w:r>
            <w:r>
              <w:rPr>
                <w:i/>
                <w:iCs/>
              </w:rPr>
              <w:t xml:space="preserve"> </w:t>
            </w:r>
            <w:r>
              <w:t xml:space="preserve"> </w:t>
            </w:r>
          </w:p>
        </w:tc>
        <w:tc>
          <w:tcPr>
            <w:tcW w:w="3061" w:type="dxa"/>
            <w:tcBorders>
              <w:left w:val="single" w:sz="2" w:space="0" w:color="000000"/>
              <w:bottom w:val="single" w:sz="2" w:space="0" w:color="000000"/>
            </w:tcBorders>
          </w:tcPr>
          <w:p w14:paraId="3C9A290B" w14:textId="77777777" w:rsidR="00E53EB6" w:rsidRPr="00494885" w:rsidRDefault="006500F5">
            <w:pPr>
              <w:pStyle w:val="HaupttextohneEinzug"/>
              <w:rPr>
                <w:lang w:val="de-DE"/>
              </w:rPr>
            </w:pPr>
            <w:r w:rsidRPr="00494885">
              <w:rPr>
                <w:lang w:val="de-DE"/>
              </w:rPr>
              <w:t xml:space="preserve">nehmet gut auf </w:t>
            </w:r>
          </w:p>
          <w:p w14:paraId="0125709A" w14:textId="77777777" w:rsidR="00E53EB6" w:rsidRPr="00494885" w:rsidRDefault="00E53EB6">
            <w:pPr>
              <w:pStyle w:val="HaupttextohneEinzug"/>
              <w:rPr>
                <w:lang w:val="de-DE"/>
              </w:rPr>
            </w:pPr>
          </w:p>
          <w:p w14:paraId="145D831D" w14:textId="77777777" w:rsidR="00E53EB6" w:rsidRPr="00494885" w:rsidRDefault="00E53EB6">
            <w:pPr>
              <w:pStyle w:val="HaupttextohneEinzug"/>
              <w:rPr>
                <w:lang w:val="de-DE"/>
              </w:rPr>
            </w:pPr>
          </w:p>
          <w:p w14:paraId="627BA7BB" w14:textId="77777777" w:rsidR="00E53EB6" w:rsidRPr="00494885" w:rsidRDefault="00E53EB6">
            <w:pPr>
              <w:pStyle w:val="HaupttextohneEinzug"/>
              <w:rPr>
                <w:lang w:val="de-DE"/>
              </w:rPr>
            </w:pPr>
          </w:p>
          <w:p w14:paraId="3CDE9F1E" w14:textId="77777777" w:rsidR="00E53EB6" w:rsidRPr="00494885" w:rsidRDefault="006500F5">
            <w:pPr>
              <w:pStyle w:val="HaupttextohneEinzug"/>
              <w:rPr>
                <w:lang w:val="de-DE"/>
              </w:rPr>
            </w:pPr>
            <w:r w:rsidRPr="00494885">
              <w:rPr>
                <w:lang w:val="de-DE"/>
              </w:rPr>
              <w:t>nehmet gut auf</w:t>
            </w:r>
          </w:p>
          <w:p w14:paraId="438B0C87" w14:textId="77777777" w:rsidR="00E53EB6" w:rsidRPr="00494885" w:rsidRDefault="006500F5">
            <w:pPr>
              <w:pStyle w:val="HaupttextohneEinzug"/>
              <w:rPr>
                <w:lang w:val="de-DE"/>
              </w:rPr>
            </w:pPr>
            <w:r w:rsidRPr="00494885">
              <w:rPr>
                <w:lang w:val="de-DE"/>
              </w:rPr>
              <w:t>gagnez (a votre cause)</w:t>
            </w:r>
          </w:p>
          <w:p w14:paraId="486C6D96" w14:textId="77777777" w:rsidR="00E53EB6" w:rsidRPr="00494885" w:rsidRDefault="00E53EB6">
            <w:pPr>
              <w:pStyle w:val="HaupttextohneEinzug"/>
              <w:rPr>
                <w:lang w:val="de-DE"/>
              </w:rPr>
            </w:pPr>
          </w:p>
          <w:p w14:paraId="02B4E578" w14:textId="77777777" w:rsidR="00E53EB6" w:rsidRPr="00494885" w:rsidRDefault="00E53EB6">
            <w:pPr>
              <w:pStyle w:val="HaupttextohneEinzug"/>
              <w:rPr>
                <w:lang w:val="de-DE"/>
              </w:rPr>
            </w:pPr>
          </w:p>
          <w:p w14:paraId="70D3D521" w14:textId="77777777" w:rsidR="00E53EB6" w:rsidRPr="00494885" w:rsidRDefault="006500F5">
            <w:pPr>
              <w:pStyle w:val="HaupttextohneEinzug"/>
              <w:rPr>
                <w:lang w:val="de-DE"/>
              </w:rPr>
            </w:pPr>
            <w:r w:rsidRPr="00494885">
              <w:rPr>
                <w:lang w:val="de-DE"/>
              </w:rPr>
              <w:t>nehmet gut auf</w:t>
            </w:r>
          </w:p>
          <w:p w14:paraId="09A43719" w14:textId="77777777" w:rsidR="00E53EB6" w:rsidRDefault="006500F5">
            <w:pPr>
              <w:pStyle w:val="HaupttextohneEinzug"/>
            </w:pPr>
            <w:r>
              <w:t>trouvez agréable</w:t>
            </w:r>
          </w:p>
        </w:tc>
        <w:tc>
          <w:tcPr>
            <w:tcW w:w="1175" w:type="dxa"/>
            <w:tcBorders>
              <w:left w:val="single" w:sz="2" w:space="0" w:color="000000"/>
              <w:bottom w:val="single" w:sz="2" w:space="0" w:color="000000"/>
              <w:right w:val="single" w:sz="2" w:space="0" w:color="000000"/>
            </w:tcBorders>
          </w:tcPr>
          <w:p w14:paraId="7BE2780B" w14:textId="77777777" w:rsidR="00E53EB6" w:rsidRDefault="006500F5">
            <w:pPr>
              <w:pStyle w:val="HaupttextohneEinzug"/>
            </w:pPr>
            <w:r>
              <w:t>* u̯en-H</w:t>
            </w:r>
          </w:p>
        </w:tc>
      </w:tr>
      <w:tr w:rsidR="00E53EB6" w14:paraId="0D169F26" w14:textId="77777777">
        <w:tc>
          <w:tcPr>
            <w:tcW w:w="1203" w:type="dxa"/>
            <w:tcBorders>
              <w:left w:val="single" w:sz="2" w:space="0" w:color="000000"/>
              <w:bottom w:val="single" w:sz="2" w:space="0" w:color="000000"/>
            </w:tcBorders>
          </w:tcPr>
          <w:p w14:paraId="1CB20DFF" w14:textId="77777777" w:rsidR="00E53EB6" w:rsidRPr="00494885" w:rsidRDefault="006500F5">
            <w:pPr>
              <w:pStyle w:val="HaupttextohneEinzug"/>
              <w:rPr>
                <w:i/>
                <w:iCs/>
                <w:lang w:val="it-IT"/>
              </w:rPr>
            </w:pPr>
            <w:r w:rsidRPr="00494885">
              <w:rPr>
                <w:i/>
                <w:iCs/>
                <w:lang w:val="it-IT"/>
              </w:rPr>
              <w:t>vanata</w:t>
            </w:r>
          </w:p>
          <w:p w14:paraId="75CFB385" w14:textId="77777777" w:rsidR="00E53EB6" w:rsidRPr="00494885" w:rsidRDefault="006500F5">
            <w:pPr>
              <w:pStyle w:val="HaupttextohneEinzug"/>
              <w:rPr>
                <w:lang w:val="it-IT"/>
              </w:rPr>
            </w:pPr>
            <w:r w:rsidRPr="00494885">
              <w:rPr>
                <w:lang w:val="it-IT"/>
              </w:rPr>
              <w:t xml:space="preserve">(impv. pres. </w:t>
            </w:r>
          </w:p>
          <w:p w14:paraId="3C26E4E3" w14:textId="77777777" w:rsidR="00E53EB6" w:rsidRDefault="006500F5">
            <w:pPr>
              <w:pStyle w:val="HaupttextohneEinzug"/>
            </w:pPr>
            <w:r w:rsidRPr="00494885">
              <w:rPr>
                <w:lang w:val="it-IT"/>
              </w:rPr>
              <w:t>2</w:t>
            </w:r>
            <w:r w:rsidRPr="00494885">
              <w:rPr>
                <w:vertAlign w:val="superscript"/>
                <w:lang w:val="it-IT"/>
              </w:rPr>
              <w:t>nd</w:t>
            </w:r>
            <w:r w:rsidRPr="00494885">
              <w:rPr>
                <w:lang w:val="it-IT"/>
              </w:rPr>
              <w:t xml:space="preserve"> pl. </w:t>
            </w:r>
            <w:r>
              <w:t>I-VI cl.)</w:t>
            </w:r>
          </w:p>
        </w:tc>
        <w:tc>
          <w:tcPr>
            <w:tcW w:w="3237" w:type="dxa"/>
            <w:tcBorders>
              <w:left w:val="single" w:sz="2" w:space="0" w:color="000000"/>
              <w:bottom w:val="single" w:sz="2" w:space="0" w:color="000000"/>
            </w:tcBorders>
          </w:tcPr>
          <w:p w14:paraId="3B279DC6" w14:textId="77777777" w:rsidR="00E53EB6" w:rsidRPr="00494885" w:rsidRDefault="006500F5">
            <w:pPr>
              <w:pStyle w:val="HaupttextohneEinzug"/>
              <w:rPr>
                <w:lang w:val="it-IT"/>
              </w:rPr>
            </w:pPr>
            <w:r w:rsidRPr="00494885">
              <w:rPr>
                <w:lang w:val="it-IT"/>
              </w:rPr>
              <w:t xml:space="preserve">8.7.9c </w:t>
            </w:r>
            <w:r w:rsidRPr="00494885">
              <w:rPr>
                <w:i/>
                <w:iCs/>
                <w:lang w:val="it-IT"/>
              </w:rPr>
              <w:t xml:space="preserve">(vanatā metri causa)  imám me vanatā hávam </w:t>
            </w:r>
          </w:p>
        </w:tc>
        <w:tc>
          <w:tcPr>
            <w:tcW w:w="3061" w:type="dxa"/>
            <w:tcBorders>
              <w:left w:val="single" w:sz="2" w:space="0" w:color="000000"/>
              <w:bottom w:val="single" w:sz="2" w:space="0" w:color="000000"/>
            </w:tcBorders>
          </w:tcPr>
          <w:p w14:paraId="79DC8F71" w14:textId="77777777" w:rsidR="00E53EB6" w:rsidRDefault="006500F5">
            <w:pPr>
              <w:pStyle w:val="HaupttextohneEinzug"/>
            </w:pPr>
            <w:r>
              <w:t>nehmet gut auf</w:t>
            </w:r>
          </w:p>
          <w:p w14:paraId="1D77CC14" w14:textId="77777777" w:rsidR="00E53EB6" w:rsidRDefault="006500F5">
            <w:pPr>
              <w:pStyle w:val="HaupttextohneEinzug"/>
            </w:pPr>
            <w:r>
              <w:t>agréer</w:t>
            </w:r>
          </w:p>
        </w:tc>
        <w:tc>
          <w:tcPr>
            <w:tcW w:w="1175" w:type="dxa"/>
            <w:tcBorders>
              <w:left w:val="single" w:sz="2" w:space="0" w:color="000000"/>
              <w:bottom w:val="single" w:sz="2" w:space="0" w:color="000000"/>
              <w:right w:val="single" w:sz="2" w:space="0" w:color="000000"/>
            </w:tcBorders>
          </w:tcPr>
          <w:p w14:paraId="17DCCFA5" w14:textId="77777777" w:rsidR="00E53EB6" w:rsidRDefault="006500F5">
            <w:pPr>
              <w:pStyle w:val="HaupttextohneEinzug"/>
            </w:pPr>
            <w:r>
              <w:t>* u̯en-H</w:t>
            </w:r>
          </w:p>
        </w:tc>
      </w:tr>
      <w:tr w:rsidR="00E53EB6" w14:paraId="44C1DF7E" w14:textId="77777777">
        <w:tc>
          <w:tcPr>
            <w:tcW w:w="1203" w:type="dxa"/>
            <w:tcBorders>
              <w:left w:val="single" w:sz="2" w:space="0" w:color="000000"/>
              <w:bottom w:val="single" w:sz="2" w:space="0" w:color="000000"/>
            </w:tcBorders>
          </w:tcPr>
          <w:p w14:paraId="37E41CBE" w14:textId="77777777" w:rsidR="00E53EB6" w:rsidRDefault="006500F5">
            <w:pPr>
              <w:pStyle w:val="HaupttextohneEinzug"/>
            </w:pPr>
            <w:r>
              <w:rPr>
                <w:i/>
                <w:iCs/>
              </w:rPr>
              <w:t>vanatām</w:t>
            </w:r>
            <w:r>
              <w:t xml:space="preserve"> </w:t>
            </w:r>
          </w:p>
          <w:p w14:paraId="452F77BF" w14:textId="77777777" w:rsidR="00E53EB6" w:rsidRDefault="006500F5">
            <w:pPr>
              <w:pStyle w:val="HaupttextohneEinzug"/>
            </w:pPr>
            <w:r>
              <w:t>(impv. pres. 3</w:t>
            </w:r>
            <w:r>
              <w:rPr>
                <w:vertAlign w:val="superscript"/>
              </w:rPr>
              <w:t>rd</w:t>
            </w:r>
            <w:r>
              <w:t xml:space="preserve"> sing. Ā I-VI cl.)</w:t>
            </w:r>
          </w:p>
        </w:tc>
        <w:tc>
          <w:tcPr>
            <w:tcW w:w="3237" w:type="dxa"/>
            <w:tcBorders>
              <w:left w:val="single" w:sz="2" w:space="0" w:color="000000"/>
              <w:bottom w:val="single" w:sz="2" w:space="0" w:color="000000"/>
            </w:tcBorders>
          </w:tcPr>
          <w:p w14:paraId="4911A23E" w14:textId="77777777" w:rsidR="00E53EB6" w:rsidRDefault="006500F5">
            <w:pPr>
              <w:pStyle w:val="HaupttextohneEinzug"/>
            </w:pPr>
            <w:r>
              <w:t>1.162.22d</w:t>
            </w:r>
            <w:r>
              <w:rPr>
                <w:i/>
                <w:iCs/>
              </w:rPr>
              <w:t xml:space="preserve"> k</w:t>
            </w:r>
            <w:r>
              <w:rPr>
                <w:i/>
                <w:iCs/>
              </w:rPr>
              <w:t>ṣ</w:t>
            </w:r>
            <w:r>
              <w:rPr>
                <w:i/>
                <w:iCs/>
              </w:rPr>
              <w:t>atrá</w:t>
            </w:r>
            <w:r>
              <w:rPr>
                <w:i/>
                <w:iCs/>
              </w:rPr>
              <w:t>ṃ</w:t>
            </w:r>
            <w:r>
              <w:rPr>
                <w:i/>
                <w:iCs/>
              </w:rPr>
              <w:t xml:space="preserve"> no áśvo vanatā</w:t>
            </w:r>
            <w:r>
              <w:rPr>
                <w:i/>
                <w:iCs/>
              </w:rPr>
              <w:t>ṃ</w:t>
            </w:r>
            <w:r>
              <w:rPr>
                <w:i/>
                <w:iCs/>
              </w:rPr>
              <w:t xml:space="preserve"> haví</w:t>
            </w:r>
            <w:r>
              <w:rPr>
                <w:i/>
                <w:iCs/>
              </w:rPr>
              <w:t>ṣ</w:t>
            </w:r>
            <w:r>
              <w:rPr>
                <w:i/>
                <w:iCs/>
              </w:rPr>
              <w:t xml:space="preserve">mān  </w:t>
            </w:r>
          </w:p>
        </w:tc>
        <w:tc>
          <w:tcPr>
            <w:tcW w:w="3061" w:type="dxa"/>
            <w:tcBorders>
              <w:left w:val="single" w:sz="2" w:space="0" w:color="000000"/>
              <w:bottom w:val="single" w:sz="2" w:space="0" w:color="000000"/>
            </w:tcBorders>
          </w:tcPr>
          <w:p w14:paraId="448A05C8" w14:textId="77777777" w:rsidR="00E53EB6" w:rsidRDefault="006500F5">
            <w:pPr>
              <w:pStyle w:val="HaupttextohneEinzug"/>
            </w:pPr>
            <w:r>
              <w:t>soll erringen</w:t>
            </w:r>
          </w:p>
          <w:p w14:paraId="7E0C9AA6" w14:textId="77777777" w:rsidR="00E53EB6" w:rsidRDefault="00E53EB6">
            <w:pPr>
              <w:pStyle w:val="HaupttextohneEinzug"/>
            </w:pPr>
          </w:p>
        </w:tc>
        <w:tc>
          <w:tcPr>
            <w:tcW w:w="1175" w:type="dxa"/>
            <w:tcBorders>
              <w:left w:val="single" w:sz="2" w:space="0" w:color="000000"/>
              <w:bottom w:val="single" w:sz="2" w:space="0" w:color="000000"/>
              <w:right w:val="single" w:sz="2" w:space="0" w:color="000000"/>
            </w:tcBorders>
          </w:tcPr>
          <w:p w14:paraId="4495E012" w14:textId="77777777" w:rsidR="00E53EB6" w:rsidRDefault="006500F5">
            <w:pPr>
              <w:pStyle w:val="HaupttextohneEinzug"/>
            </w:pPr>
            <w:r>
              <w:t>* u̯en-H</w:t>
            </w:r>
          </w:p>
        </w:tc>
      </w:tr>
      <w:tr w:rsidR="00E53EB6" w14:paraId="20C25197" w14:textId="77777777">
        <w:tc>
          <w:tcPr>
            <w:tcW w:w="1203" w:type="dxa"/>
            <w:tcBorders>
              <w:left w:val="single" w:sz="2" w:space="0" w:color="000000"/>
              <w:bottom w:val="single" w:sz="2" w:space="0" w:color="000000"/>
            </w:tcBorders>
          </w:tcPr>
          <w:p w14:paraId="5CA7AD27" w14:textId="77777777" w:rsidR="00E53EB6" w:rsidRPr="00494885" w:rsidRDefault="006500F5">
            <w:pPr>
              <w:pStyle w:val="HaupttextohneEinzug"/>
              <w:rPr>
                <w:lang w:val="it-IT"/>
              </w:rPr>
            </w:pPr>
            <w:r w:rsidRPr="00494885">
              <w:rPr>
                <w:i/>
                <w:iCs/>
                <w:lang w:val="it-IT"/>
              </w:rPr>
              <w:t>vāvandhi</w:t>
            </w:r>
            <w:r w:rsidRPr="00494885">
              <w:rPr>
                <w:lang w:val="it-IT"/>
              </w:rPr>
              <w:t xml:space="preserve"> </w:t>
            </w:r>
          </w:p>
          <w:p w14:paraId="27AA9CD7" w14:textId="77777777" w:rsidR="00E53EB6" w:rsidRPr="00494885" w:rsidRDefault="006500F5">
            <w:pPr>
              <w:pStyle w:val="HaupttextohneEinzug"/>
              <w:rPr>
                <w:lang w:val="it-IT"/>
              </w:rPr>
            </w:pPr>
            <w:r w:rsidRPr="00494885">
              <w:rPr>
                <w:lang w:val="it-IT"/>
              </w:rPr>
              <w:t>(impv. perf. 2</w:t>
            </w:r>
            <w:r w:rsidRPr="00494885">
              <w:rPr>
                <w:vertAlign w:val="superscript"/>
                <w:lang w:val="it-IT"/>
              </w:rPr>
              <w:t>nd</w:t>
            </w:r>
            <w:r w:rsidRPr="00494885">
              <w:rPr>
                <w:lang w:val="it-IT"/>
              </w:rPr>
              <w:t xml:space="preserve"> sing.)</w:t>
            </w:r>
          </w:p>
        </w:tc>
        <w:tc>
          <w:tcPr>
            <w:tcW w:w="3237" w:type="dxa"/>
            <w:tcBorders>
              <w:left w:val="single" w:sz="2" w:space="0" w:color="000000"/>
              <w:bottom w:val="single" w:sz="2" w:space="0" w:color="000000"/>
            </w:tcBorders>
          </w:tcPr>
          <w:p w14:paraId="574FBE9E" w14:textId="77777777" w:rsidR="00E53EB6" w:rsidRPr="00494885" w:rsidRDefault="006500F5">
            <w:pPr>
              <w:pStyle w:val="HaupttextohneEinzug"/>
              <w:rPr>
                <w:lang w:val="it-IT"/>
              </w:rPr>
            </w:pPr>
            <w:r w:rsidRPr="00494885">
              <w:rPr>
                <w:lang w:val="it-IT"/>
              </w:rPr>
              <w:t>5.31.13c</w:t>
            </w:r>
            <w:r w:rsidRPr="00494885">
              <w:rPr>
                <w:i/>
                <w:iCs/>
                <w:lang w:val="it-IT"/>
              </w:rPr>
              <w:t xml:space="preserve"> vāvandhí yájyūm̐r utá té</w:t>
            </w:r>
            <w:r w:rsidRPr="00494885">
              <w:rPr>
                <w:i/>
                <w:iCs/>
                <w:lang w:val="it-IT"/>
              </w:rPr>
              <w:t>ṣ</w:t>
            </w:r>
            <w:r w:rsidRPr="00494885">
              <w:rPr>
                <w:i/>
                <w:iCs/>
                <w:lang w:val="it-IT"/>
              </w:rPr>
              <w:t>u dhehi</w:t>
            </w:r>
          </w:p>
        </w:tc>
        <w:tc>
          <w:tcPr>
            <w:tcW w:w="3061" w:type="dxa"/>
            <w:tcBorders>
              <w:left w:val="single" w:sz="2" w:space="0" w:color="000000"/>
              <w:bottom w:val="single" w:sz="2" w:space="0" w:color="000000"/>
            </w:tcBorders>
          </w:tcPr>
          <w:p w14:paraId="29509D6C" w14:textId="77777777" w:rsidR="00E53EB6" w:rsidRDefault="006500F5">
            <w:pPr>
              <w:pStyle w:val="HaupttextohneEinzug"/>
            </w:pPr>
            <w:r>
              <w:t xml:space="preserve">begünstige </w:t>
            </w:r>
          </w:p>
        </w:tc>
        <w:tc>
          <w:tcPr>
            <w:tcW w:w="1175" w:type="dxa"/>
            <w:tcBorders>
              <w:left w:val="single" w:sz="2" w:space="0" w:color="000000"/>
              <w:bottom w:val="single" w:sz="2" w:space="0" w:color="000000"/>
              <w:right w:val="single" w:sz="2" w:space="0" w:color="000000"/>
            </w:tcBorders>
          </w:tcPr>
          <w:p w14:paraId="14B412E7" w14:textId="77777777" w:rsidR="00E53EB6" w:rsidRDefault="006500F5">
            <w:pPr>
              <w:pStyle w:val="HaupttextohneEinzug"/>
            </w:pPr>
            <w:r>
              <w:t>*u̯e- u̯ónH/     u̯</w:t>
            </w:r>
            <w:r>
              <w:t>ṇ</w:t>
            </w:r>
            <w:r>
              <w:t>H-</w:t>
            </w:r>
          </w:p>
          <w:p w14:paraId="5B45D326" w14:textId="77777777" w:rsidR="00E53EB6" w:rsidRDefault="006500F5">
            <w:pPr>
              <w:pStyle w:val="HaupttextohneEinzug"/>
            </w:pPr>
            <w:r>
              <w:t>(?)</w:t>
            </w:r>
          </w:p>
        </w:tc>
      </w:tr>
      <w:tr w:rsidR="00E53EB6" w14:paraId="6C75F41E" w14:textId="77777777">
        <w:tc>
          <w:tcPr>
            <w:tcW w:w="1203" w:type="dxa"/>
            <w:tcBorders>
              <w:left w:val="single" w:sz="2" w:space="0" w:color="000000"/>
              <w:bottom w:val="single" w:sz="2" w:space="0" w:color="000000"/>
            </w:tcBorders>
          </w:tcPr>
          <w:p w14:paraId="59C0E033" w14:textId="77777777" w:rsidR="00E53EB6" w:rsidRDefault="006500F5">
            <w:pPr>
              <w:pStyle w:val="HaupttextohneEinzug"/>
            </w:pPr>
            <w:r>
              <w:rPr>
                <w:b/>
                <w:bCs/>
              </w:rPr>
              <w:t>Injunctive</w:t>
            </w:r>
            <w:r>
              <w:t xml:space="preserve"> </w:t>
            </w:r>
          </w:p>
        </w:tc>
        <w:tc>
          <w:tcPr>
            <w:tcW w:w="3237" w:type="dxa"/>
            <w:tcBorders>
              <w:left w:val="single" w:sz="2" w:space="0" w:color="000000"/>
              <w:bottom w:val="single" w:sz="2" w:space="0" w:color="000000"/>
            </w:tcBorders>
          </w:tcPr>
          <w:p w14:paraId="5765F644" w14:textId="77777777" w:rsidR="00E53EB6" w:rsidRDefault="00E53EB6">
            <w:pPr>
              <w:pStyle w:val="HaupttextohneEinzug"/>
              <w:rPr>
                <w:i/>
                <w:iCs/>
              </w:rPr>
            </w:pPr>
          </w:p>
        </w:tc>
        <w:tc>
          <w:tcPr>
            <w:tcW w:w="3061" w:type="dxa"/>
            <w:tcBorders>
              <w:left w:val="single" w:sz="2" w:space="0" w:color="000000"/>
              <w:bottom w:val="single" w:sz="2" w:space="0" w:color="000000"/>
            </w:tcBorders>
          </w:tcPr>
          <w:p w14:paraId="7DA58490" w14:textId="77777777" w:rsidR="00E53EB6" w:rsidRDefault="00E53EB6">
            <w:pPr>
              <w:pStyle w:val="HaupttextohneEinzug"/>
            </w:pPr>
          </w:p>
        </w:tc>
        <w:tc>
          <w:tcPr>
            <w:tcW w:w="1175" w:type="dxa"/>
            <w:tcBorders>
              <w:left w:val="single" w:sz="2" w:space="0" w:color="000000"/>
              <w:bottom w:val="single" w:sz="2" w:space="0" w:color="000000"/>
              <w:right w:val="single" w:sz="2" w:space="0" w:color="000000"/>
            </w:tcBorders>
          </w:tcPr>
          <w:p w14:paraId="51DB7DCD" w14:textId="77777777" w:rsidR="00E53EB6" w:rsidRDefault="00E53EB6">
            <w:pPr>
              <w:pStyle w:val="HaupttextohneEinzug"/>
            </w:pPr>
          </w:p>
        </w:tc>
      </w:tr>
      <w:tr w:rsidR="00E53EB6" w14:paraId="126F8554" w14:textId="77777777">
        <w:tc>
          <w:tcPr>
            <w:tcW w:w="1203" w:type="dxa"/>
            <w:tcBorders>
              <w:left w:val="single" w:sz="2" w:space="0" w:color="000000"/>
              <w:bottom w:val="single" w:sz="2" w:space="0" w:color="000000"/>
            </w:tcBorders>
          </w:tcPr>
          <w:p w14:paraId="04230A27" w14:textId="77777777" w:rsidR="00E53EB6" w:rsidRDefault="006500F5">
            <w:pPr>
              <w:pStyle w:val="HaupttextohneEinzug"/>
              <w:rPr>
                <w:i/>
                <w:iCs/>
              </w:rPr>
            </w:pPr>
            <w:r>
              <w:rPr>
                <w:i/>
                <w:iCs/>
              </w:rPr>
              <w:t>vana</w:t>
            </w:r>
            <w:r>
              <w:rPr>
                <w:i/>
                <w:iCs/>
              </w:rPr>
              <w:t>ḥ</w:t>
            </w:r>
          </w:p>
          <w:p w14:paraId="4F493955" w14:textId="77777777" w:rsidR="00E53EB6" w:rsidRDefault="006500F5">
            <w:pPr>
              <w:pStyle w:val="HaupttextohneEinzug"/>
            </w:pPr>
            <w:r>
              <w:t>(inj. pres. 2</w:t>
            </w:r>
            <w:r>
              <w:rPr>
                <w:vertAlign w:val="superscript"/>
              </w:rPr>
              <w:t>nd</w:t>
            </w:r>
            <w:r>
              <w:t xml:space="preserve"> sing.</w:t>
            </w:r>
          </w:p>
          <w:p w14:paraId="47295070" w14:textId="77777777" w:rsidR="00E53EB6" w:rsidRDefault="006500F5">
            <w:pPr>
              <w:pStyle w:val="HaupttextohneEinzug"/>
            </w:pPr>
            <w:r>
              <w:t>I\VI cl.)</w:t>
            </w:r>
          </w:p>
        </w:tc>
        <w:tc>
          <w:tcPr>
            <w:tcW w:w="3237" w:type="dxa"/>
            <w:tcBorders>
              <w:left w:val="single" w:sz="2" w:space="0" w:color="000000"/>
              <w:bottom w:val="single" w:sz="2" w:space="0" w:color="000000"/>
            </w:tcBorders>
          </w:tcPr>
          <w:p w14:paraId="16FFBB5F" w14:textId="77777777" w:rsidR="00E53EB6" w:rsidRDefault="006500F5">
            <w:pPr>
              <w:pStyle w:val="HaupttextohneEinzug"/>
              <w:rPr>
                <w:i/>
                <w:iCs/>
              </w:rPr>
            </w:pPr>
            <w:r>
              <w:t xml:space="preserve">8.45.23c </w:t>
            </w:r>
            <w:r>
              <w:rPr>
                <w:i/>
                <w:iCs/>
              </w:rPr>
              <w:t xml:space="preserve">mā́kīm </w:t>
            </w:r>
            <w:r>
              <w:rPr>
                <w:i/>
                <w:iCs/>
              </w:rPr>
              <w:t>brahmadví</w:t>
            </w:r>
            <w:r>
              <w:rPr>
                <w:i/>
                <w:iCs/>
              </w:rPr>
              <w:t>ṣ</w:t>
            </w:r>
            <w:r>
              <w:rPr>
                <w:i/>
                <w:iCs/>
              </w:rPr>
              <w:t>o vana</w:t>
            </w:r>
            <w:r>
              <w:rPr>
                <w:i/>
                <w:iCs/>
              </w:rPr>
              <w:t>ḥ</w:t>
            </w:r>
          </w:p>
        </w:tc>
        <w:tc>
          <w:tcPr>
            <w:tcW w:w="3061" w:type="dxa"/>
            <w:tcBorders>
              <w:left w:val="single" w:sz="2" w:space="0" w:color="000000"/>
              <w:bottom w:val="single" w:sz="2" w:space="0" w:color="000000"/>
            </w:tcBorders>
          </w:tcPr>
          <w:p w14:paraId="6BC3E774" w14:textId="77777777" w:rsidR="00E53EB6" w:rsidRPr="00494885" w:rsidRDefault="006500F5">
            <w:pPr>
              <w:pStyle w:val="HaupttextohneEinzug"/>
              <w:rPr>
                <w:lang w:val="de-DE"/>
              </w:rPr>
            </w:pPr>
            <w:r w:rsidRPr="00494885">
              <w:rPr>
                <w:lang w:val="de-DE"/>
              </w:rPr>
              <w:t>vorziehen</w:t>
            </w:r>
          </w:p>
          <w:p w14:paraId="559332F8" w14:textId="77777777" w:rsidR="00E53EB6" w:rsidRPr="00494885" w:rsidRDefault="006500F5">
            <w:pPr>
              <w:pStyle w:val="HaupttextohneEinzug"/>
              <w:rPr>
                <w:lang w:val="de-DE"/>
              </w:rPr>
            </w:pPr>
            <w:r w:rsidRPr="00494885">
              <w:rPr>
                <w:lang w:val="de-DE"/>
              </w:rPr>
              <w:t xml:space="preserve">n’attire pas à toi </w:t>
            </w:r>
          </w:p>
        </w:tc>
        <w:tc>
          <w:tcPr>
            <w:tcW w:w="1175" w:type="dxa"/>
            <w:tcBorders>
              <w:left w:val="single" w:sz="2" w:space="0" w:color="000000"/>
              <w:bottom w:val="single" w:sz="2" w:space="0" w:color="000000"/>
              <w:right w:val="single" w:sz="2" w:space="0" w:color="000000"/>
            </w:tcBorders>
          </w:tcPr>
          <w:p w14:paraId="0B17283E" w14:textId="77777777" w:rsidR="00E53EB6" w:rsidRDefault="006500F5">
            <w:pPr>
              <w:pStyle w:val="HaupttextohneEinzug"/>
            </w:pPr>
            <w:r>
              <w:t>* u̯en-H</w:t>
            </w:r>
          </w:p>
        </w:tc>
      </w:tr>
    </w:tbl>
    <w:p w14:paraId="5B5AA0D6" w14:textId="77777777" w:rsidR="00E53EB6" w:rsidRDefault="00E53EB6">
      <w:pPr>
        <w:rPr>
          <w:lang w:val="en-GB"/>
        </w:rPr>
      </w:pPr>
    </w:p>
    <w:p w14:paraId="3ED909DC" w14:textId="77777777" w:rsidR="00E53EB6" w:rsidRDefault="00E53EB6">
      <w:pPr>
        <w:rPr>
          <w:lang w:val="en-GB"/>
        </w:rPr>
      </w:pPr>
    </w:p>
    <w:p w14:paraId="275C07C7" w14:textId="77777777" w:rsidR="00E53EB6" w:rsidRDefault="00E53EB6">
      <w:pPr>
        <w:rPr>
          <w:lang w:val="en-GB"/>
        </w:rPr>
      </w:pPr>
    </w:p>
    <w:p w14:paraId="10A32261" w14:textId="77777777" w:rsidR="00E53EB6" w:rsidRDefault="006500F5">
      <w:pPr>
        <w:pStyle w:val="HaupttextohneEinzug"/>
        <w:rPr>
          <w:b/>
          <w:bCs/>
        </w:rPr>
      </w:pPr>
      <w:r>
        <w:rPr>
          <w:b/>
          <w:bCs/>
        </w:rPr>
        <w:t>b- Non-Laryngeal</w:t>
      </w:r>
    </w:p>
    <w:p w14:paraId="5D6AA8D8" w14:textId="77777777" w:rsidR="00E53EB6" w:rsidRDefault="00E53EB6">
      <w:pPr>
        <w:pStyle w:val="HaupttextohneEinzug"/>
      </w:pPr>
    </w:p>
    <w:tbl>
      <w:tblPr>
        <w:tblW w:w="8684" w:type="dxa"/>
        <w:tblInd w:w="-2" w:type="dxa"/>
        <w:tblLayout w:type="fixed"/>
        <w:tblCellMar>
          <w:top w:w="55" w:type="dxa"/>
          <w:left w:w="55" w:type="dxa"/>
          <w:bottom w:w="55" w:type="dxa"/>
          <w:right w:w="55" w:type="dxa"/>
        </w:tblCellMar>
        <w:tblLook w:val="04A0" w:firstRow="1" w:lastRow="0" w:firstColumn="1" w:lastColumn="0" w:noHBand="0" w:noVBand="1"/>
      </w:tblPr>
      <w:tblGrid>
        <w:gridCol w:w="1210"/>
        <w:gridCol w:w="3236"/>
        <w:gridCol w:w="3062"/>
        <w:gridCol w:w="1176"/>
      </w:tblGrid>
      <w:tr w:rsidR="00E53EB6" w14:paraId="77C51FC7" w14:textId="77777777">
        <w:tc>
          <w:tcPr>
            <w:tcW w:w="1210" w:type="dxa"/>
            <w:tcBorders>
              <w:top w:val="single" w:sz="2" w:space="0" w:color="000000"/>
              <w:left w:val="single" w:sz="2" w:space="0" w:color="000000"/>
              <w:bottom w:val="single" w:sz="2" w:space="0" w:color="000000"/>
            </w:tcBorders>
          </w:tcPr>
          <w:p w14:paraId="5FDC5CDB" w14:textId="77777777" w:rsidR="00E53EB6" w:rsidRDefault="006500F5">
            <w:pPr>
              <w:pStyle w:val="HaupttextohneEinzug"/>
            </w:pPr>
            <w:r>
              <w:t>Verbal form</w:t>
            </w:r>
          </w:p>
        </w:tc>
        <w:tc>
          <w:tcPr>
            <w:tcW w:w="3236" w:type="dxa"/>
            <w:tcBorders>
              <w:top w:val="single" w:sz="2" w:space="0" w:color="000000"/>
              <w:left w:val="single" w:sz="2" w:space="0" w:color="000000"/>
              <w:bottom w:val="single" w:sz="2" w:space="0" w:color="000000"/>
            </w:tcBorders>
          </w:tcPr>
          <w:p w14:paraId="23E3171A" w14:textId="77777777" w:rsidR="00E53EB6" w:rsidRDefault="006500F5">
            <w:pPr>
              <w:pStyle w:val="HaupttextohneEinzug"/>
              <w:rPr>
                <w:i/>
                <w:iCs/>
              </w:rPr>
            </w:pPr>
            <w:r>
              <w:rPr>
                <w:i/>
                <w:iCs/>
              </w:rPr>
              <w:t>pāda</w:t>
            </w:r>
          </w:p>
        </w:tc>
        <w:tc>
          <w:tcPr>
            <w:tcW w:w="3062" w:type="dxa"/>
            <w:tcBorders>
              <w:top w:val="single" w:sz="2" w:space="0" w:color="000000"/>
              <w:left w:val="single" w:sz="2" w:space="0" w:color="000000"/>
              <w:bottom w:val="single" w:sz="2" w:space="0" w:color="000000"/>
            </w:tcBorders>
          </w:tcPr>
          <w:p w14:paraId="59F9F63E" w14:textId="77777777" w:rsidR="00E53EB6" w:rsidRDefault="006500F5">
            <w:pPr>
              <w:pStyle w:val="HaupttextohneEinzug"/>
            </w:pPr>
            <w:r>
              <w:t>translation Geldner-Renou</w:t>
            </w:r>
          </w:p>
        </w:tc>
        <w:tc>
          <w:tcPr>
            <w:tcW w:w="1176" w:type="dxa"/>
            <w:tcBorders>
              <w:top w:val="single" w:sz="2" w:space="0" w:color="000000"/>
              <w:left w:val="single" w:sz="2" w:space="0" w:color="000000"/>
              <w:bottom w:val="single" w:sz="2" w:space="0" w:color="000000"/>
              <w:right w:val="single" w:sz="2" w:space="0" w:color="000000"/>
            </w:tcBorders>
          </w:tcPr>
          <w:p w14:paraId="65689265" w14:textId="77777777" w:rsidR="00E53EB6" w:rsidRDefault="006500F5">
            <w:pPr>
              <w:pStyle w:val="HaupttextohneEinzug"/>
            </w:pPr>
            <w:r>
              <w:t>I.E. root</w:t>
            </w:r>
          </w:p>
        </w:tc>
      </w:tr>
      <w:tr w:rsidR="00E53EB6" w14:paraId="39E94496" w14:textId="77777777">
        <w:tc>
          <w:tcPr>
            <w:tcW w:w="1210" w:type="dxa"/>
            <w:tcBorders>
              <w:left w:val="single" w:sz="2" w:space="0" w:color="000000"/>
              <w:bottom w:val="single" w:sz="2" w:space="0" w:color="000000"/>
            </w:tcBorders>
          </w:tcPr>
          <w:p w14:paraId="6061157E" w14:textId="77777777" w:rsidR="00E53EB6" w:rsidRDefault="006500F5">
            <w:pPr>
              <w:pStyle w:val="HaupttextohneEinzug"/>
              <w:rPr>
                <w:b/>
                <w:bCs/>
              </w:rPr>
            </w:pPr>
            <w:r>
              <w:rPr>
                <w:b/>
                <w:bCs/>
              </w:rPr>
              <w:t>Indicative</w:t>
            </w:r>
          </w:p>
        </w:tc>
        <w:tc>
          <w:tcPr>
            <w:tcW w:w="3236" w:type="dxa"/>
            <w:tcBorders>
              <w:left w:val="single" w:sz="2" w:space="0" w:color="000000"/>
              <w:bottom w:val="single" w:sz="2" w:space="0" w:color="000000"/>
            </w:tcBorders>
          </w:tcPr>
          <w:p w14:paraId="07827AE3" w14:textId="77777777" w:rsidR="00E53EB6" w:rsidRDefault="00E53EB6">
            <w:pPr>
              <w:pStyle w:val="HaupttextohneEinzug"/>
            </w:pPr>
          </w:p>
        </w:tc>
        <w:tc>
          <w:tcPr>
            <w:tcW w:w="3062" w:type="dxa"/>
            <w:tcBorders>
              <w:left w:val="single" w:sz="2" w:space="0" w:color="000000"/>
              <w:bottom w:val="single" w:sz="2" w:space="0" w:color="000000"/>
            </w:tcBorders>
          </w:tcPr>
          <w:p w14:paraId="33B11076" w14:textId="77777777" w:rsidR="00E53EB6" w:rsidRDefault="00E53EB6">
            <w:pPr>
              <w:pStyle w:val="HaupttextohneEinzug"/>
            </w:pPr>
          </w:p>
        </w:tc>
        <w:tc>
          <w:tcPr>
            <w:tcW w:w="1176" w:type="dxa"/>
            <w:tcBorders>
              <w:left w:val="single" w:sz="2" w:space="0" w:color="000000"/>
              <w:bottom w:val="single" w:sz="2" w:space="0" w:color="000000"/>
              <w:right w:val="single" w:sz="2" w:space="0" w:color="000000"/>
            </w:tcBorders>
          </w:tcPr>
          <w:p w14:paraId="2AD148F9" w14:textId="77777777" w:rsidR="00E53EB6" w:rsidRDefault="00E53EB6">
            <w:pPr>
              <w:pStyle w:val="HaupttextohneEinzug"/>
            </w:pPr>
          </w:p>
        </w:tc>
      </w:tr>
      <w:tr w:rsidR="00E53EB6" w14:paraId="3C207567" w14:textId="77777777">
        <w:tc>
          <w:tcPr>
            <w:tcW w:w="1210" w:type="dxa"/>
            <w:tcBorders>
              <w:left w:val="single" w:sz="2" w:space="0" w:color="000000"/>
              <w:bottom w:val="single" w:sz="2" w:space="0" w:color="000000"/>
            </w:tcBorders>
          </w:tcPr>
          <w:p w14:paraId="44F8F6F3" w14:textId="77777777" w:rsidR="00E53EB6" w:rsidRDefault="006500F5">
            <w:pPr>
              <w:pStyle w:val="HaupttextohneEinzug"/>
            </w:pPr>
            <w:r>
              <w:rPr>
                <w:i/>
                <w:iCs/>
              </w:rPr>
              <w:t>vanve</w:t>
            </w:r>
            <w:r>
              <w:t xml:space="preserve"> </w:t>
            </w:r>
          </w:p>
          <w:p w14:paraId="1E26948F" w14:textId="77777777" w:rsidR="00E53EB6" w:rsidRDefault="006500F5">
            <w:pPr>
              <w:pStyle w:val="HaupttextohneEinzug"/>
            </w:pPr>
            <w:r>
              <w:t>(ind. pres. 1</w:t>
            </w:r>
            <w:r>
              <w:rPr>
                <w:vertAlign w:val="superscript"/>
              </w:rPr>
              <w:t>st</w:t>
            </w:r>
            <w:r>
              <w:t xml:space="preserve"> sing. Ā VIII cl.)</w:t>
            </w:r>
          </w:p>
        </w:tc>
        <w:tc>
          <w:tcPr>
            <w:tcW w:w="3236" w:type="dxa"/>
            <w:tcBorders>
              <w:left w:val="single" w:sz="2" w:space="0" w:color="000000"/>
              <w:bottom w:val="single" w:sz="2" w:space="0" w:color="000000"/>
            </w:tcBorders>
          </w:tcPr>
          <w:p w14:paraId="491DE1FA" w14:textId="77777777" w:rsidR="00E53EB6" w:rsidRDefault="006500F5">
            <w:pPr>
              <w:pStyle w:val="HaupttextohneEinzug"/>
              <w:rPr>
                <w:i/>
                <w:iCs/>
                <w:szCs w:val="21"/>
              </w:rPr>
            </w:pPr>
            <w:r>
              <w:rPr>
                <w:szCs w:val="21"/>
              </w:rPr>
              <w:t>10.96.1b</w:t>
            </w:r>
            <w:r>
              <w:rPr>
                <w:i/>
                <w:iCs/>
                <w:szCs w:val="21"/>
              </w:rPr>
              <w:t xml:space="preserve"> prá te vanve vanú</w:t>
            </w:r>
            <w:r>
              <w:rPr>
                <w:i/>
                <w:iCs/>
                <w:szCs w:val="21"/>
              </w:rPr>
              <w:t>ṣ</w:t>
            </w:r>
            <w:r>
              <w:rPr>
                <w:i/>
                <w:iCs/>
                <w:szCs w:val="21"/>
              </w:rPr>
              <w:t>o haryatám mádam</w:t>
            </w:r>
          </w:p>
        </w:tc>
        <w:tc>
          <w:tcPr>
            <w:tcW w:w="3062" w:type="dxa"/>
            <w:tcBorders>
              <w:left w:val="single" w:sz="2" w:space="0" w:color="000000"/>
              <w:bottom w:val="single" w:sz="2" w:space="0" w:color="000000"/>
            </w:tcBorders>
          </w:tcPr>
          <w:p w14:paraId="1A731E39" w14:textId="77777777" w:rsidR="00E53EB6" w:rsidRDefault="006500F5">
            <w:pPr>
              <w:pStyle w:val="HaupttextohneEinzug"/>
            </w:pPr>
            <w:r>
              <w:t>habe Gewinn</w:t>
            </w:r>
          </w:p>
        </w:tc>
        <w:tc>
          <w:tcPr>
            <w:tcW w:w="1176" w:type="dxa"/>
            <w:tcBorders>
              <w:left w:val="single" w:sz="2" w:space="0" w:color="000000"/>
              <w:bottom w:val="single" w:sz="2" w:space="0" w:color="000000"/>
              <w:right w:val="single" w:sz="2" w:space="0" w:color="000000"/>
            </w:tcBorders>
          </w:tcPr>
          <w:p w14:paraId="4D5B217C" w14:textId="77777777" w:rsidR="00E53EB6" w:rsidRDefault="006500F5">
            <w:pPr>
              <w:pStyle w:val="HaupttextohneEinzug"/>
            </w:pPr>
            <w:r>
              <w:t>*u̯</w:t>
            </w:r>
            <w:r>
              <w:t>ṇ</w:t>
            </w:r>
            <w:r>
              <w:t xml:space="preserve"> -néu̯ / nu-</w:t>
            </w:r>
          </w:p>
        </w:tc>
      </w:tr>
      <w:tr w:rsidR="00E53EB6" w14:paraId="60DB03FD" w14:textId="77777777">
        <w:tc>
          <w:tcPr>
            <w:tcW w:w="1210" w:type="dxa"/>
            <w:tcBorders>
              <w:left w:val="single" w:sz="2" w:space="0" w:color="000000"/>
              <w:bottom w:val="single" w:sz="2" w:space="0" w:color="000000"/>
            </w:tcBorders>
          </w:tcPr>
          <w:p w14:paraId="4444C4B6" w14:textId="77777777" w:rsidR="00E53EB6" w:rsidRDefault="006500F5">
            <w:pPr>
              <w:pStyle w:val="HaupttextohneEinzug"/>
            </w:pPr>
            <w:r>
              <w:rPr>
                <w:i/>
                <w:iCs/>
              </w:rPr>
              <w:lastRenderedPageBreak/>
              <w:t>vanó</w:t>
            </w:r>
            <w:r>
              <w:rPr>
                <w:i/>
                <w:iCs/>
              </w:rPr>
              <w:t>ṣ</w:t>
            </w:r>
            <w:r>
              <w:rPr>
                <w:i/>
                <w:iCs/>
              </w:rPr>
              <w:t>i</w:t>
            </w:r>
            <w:r>
              <w:t xml:space="preserve"> </w:t>
            </w:r>
          </w:p>
          <w:p w14:paraId="1D3B6139" w14:textId="77777777" w:rsidR="00E53EB6" w:rsidRDefault="006500F5">
            <w:pPr>
              <w:pStyle w:val="HaupttextohneEinzug"/>
            </w:pPr>
            <w:r>
              <w:t>(ind. pres. 2</w:t>
            </w:r>
            <w:r>
              <w:rPr>
                <w:vertAlign w:val="superscript"/>
              </w:rPr>
              <w:t>nd</w:t>
            </w:r>
            <w:r>
              <w:t xml:space="preserve"> sing. VIII cl.)</w:t>
            </w:r>
          </w:p>
        </w:tc>
        <w:tc>
          <w:tcPr>
            <w:tcW w:w="3236" w:type="dxa"/>
            <w:tcBorders>
              <w:left w:val="single" w:sz="2" w:space="0" w:color="000000"/>
              <w:bottom w:val="single" w:sz="2" w:space="0" w:color="000000"/>
            </w:tcBorders>
          </w:tcPr>
          <w:p w14:paraId="0A0D78CA" w14:textId="77777777" w:rsidR="00E53EB6" w:rsidRDefault="006500F5">
            <w:pPr>
              <w:pStyle w:val="HaupttextohneEinzug"/>
              <w:rPr>
                <w:i/>
                <w:iCs/>
              </w:rPr>
            </w:pPr>
            <w:r>
              <w:t>1.31.13d</w:t>
            </w:r>
            <w:r>
              <w:rPr>
                <w:i/>
                <w:iCs/>
              </w:rPr>
              <w:t xml:space="preserve"> kīréś cin mántram mánasā vanó</w:t>
            </w:r>
            <w:r>
              <w:rPr>
                <w:i/>
                <w:iCs/>
              </w:rPr>
              <w:t>ṣ</w:t>
            </w:r>
            <w:r>
              <w:rPr>
                <w:i/>
                <w:iCs/>
              </w:rPr>
              <w:t xml:space="preserve">i tám </w:t>
            </w:r>
          </w:p>
          <w:p w14:paraId="41DF8FE2" w14:textId="77777777" w:rsidR="00E53EB6" w:rsidRDefault="00E53EB6">
            <w:pPr>
              <w:pStyle w:val="HaupttextohneEinzug"/>
              <w:rPr>
                <w:i/>
                <w:iCs/>
              </w:rPr>
            </w:pPr>
          </w:p>
          <w:p w14:paraId="389FBB47" w14:textId="77777777" w:rsidR="00E53EB6" w:rsidRDefault="00E53EB6">
            <w:pPr>
              <w:pStyle w:val="HaupttextohneEinzug"/>
              <w:rPr>
                <w:i/>
                <w:iCs/>
              </w:rPr>
            </w:pPr>
          </w:p>
          <w:p w14:paraId="62E05507" w14:textId="77777777" w:rsidR="00E53EB6" w:rsidRDefault="006500F5">
            <w:pPr>
              <w:pStyle w:val="HaupttextohneEinzug"/>
              <w:rPr>
                <w:i/>
                <w:iCs/>
              </w:rPr>
            </w:pPr>
            <w:r>
              <w:t>1.31.14b</w:t>
            </w:r>
            <w:r>
              <w:rPr>
                <w:i/>
                <w:iCs/>
              </w:rPr>
              <w:t xml:space="preserve"> spārhá</w:t>
            </w:r>
            <w:r>
              <w:rPr>
                <w:i/>
                <w:iCs/>
              </w:rPr>
              <w:t>ṃ</w:t>
            </w:r>
            <w:r>
              <w:rPr>
                <w:i/>
                <w:iCs/>
              </w:rPr>
              <w:t xml:space="preserve"> yád rék</w:t>
            </w:r>
            <w:r>
              <w:rPr>
                <w:i/>
                <w:iCs/>
              </w:rPr>
              <w:t>ṇ</w:t>
            </w:r>
            <w:r>
              <w:rPr>
                <w:i/>
                <w:iCs/>
              </w:rPr>
              <w:t>a</w:t>
            </w:r>
            <w:r>
              <w:rPr>
                <w:i/>
                <w:iCs/>
              </w:rPr>
              <w:t>ḥ</w:t>
            </w:r>
            <w:r>
              <w:rPr>
                <w:i/>
                <w:iCs/>
              </w:rPr>
              <w:t xml:space="preserve"> paramá</w:t>
            </w:r>
            <w:r>
              <w:rPr>
                <w:i/>
                <w:iCs/>
              </w:rPr>
              <w:t>ṃ</w:t>
            </w:r>
            <w:r>
              <w:rPr>
                <w:i/>
                <w:iCs/>
              </w:rPr>
              <w:t xml:space="preserve"> vanó</w:t>
            </w:r>
            <w:r>
              <w:rPr>
                <w:i/>
                <w:iCs/>
              </w:rPr>
              <w:t>ṣ</w:t>
            </w:r>
            <w:r>
              <w:rPr>
                <w:i/>
                <w:iCs/>
              </w:rPr>
              <w:t>i tát</w:t>
            </w:r>
          </w:p>
        </w:tc>
        <w:tc>
          <w:tcPr>
            <w:tcW w:w="3062" w:type="dxa"/>
            <w:tcBorders>
              <w:left w:val="single" w:sz="2" w:space="0" w:color="000000"/>
              <w:bottom w:val="single" w:sz="2" w:space="0" w:color="000000"/>
            </w:tcBorders>
          </w:tcPr>
          <w:p w14:paraId="532ADD43" w14:textId="77777777" w:rsidR="00E53EB6" w:rsidRPr="00494885" w:rsidRDefault="006500F5">
            <w:pPr>
              <w:pStyle w:val="HaupttextohneEinzug"/>
              <w:rPr>
                <w:lang w:val="de-DE"/>
              </w:rPr>
            </w:pPr>
            <w:r w:rsidRPr="00494885">
              <w:rPr>
                <w:lang w:val="de-DE"/>
              </w:rPr>
              <w:t>begehrst</w:t>
            </w:r>
          </w:p>
          <w:p w14:paraId="2E772683" w14:textId="77777777" w:rsidR="00E53EB6" w:rsidRPr="00494885" w:rsidRDefault="006500F5">
            <w:pPr>
              <w:pStyle w:val="HaupttextohneEinzug"/>
              <w:rPr>
                <w:lang w:val="de-DE"/>
              </w:rPr>
            </w:pPr>
            <w:r w:rsidRPr="00494885">
              <w:rPr>
                <w:lang w:val="de-DE"/>
              </w:rPr>
              <w:t>gagne en ton cor</w:t>
            </w:r>
          </w:p>
          <w:p w14:paraId="2C0D3AE5" w14:textId="77777777" w:rsidR="00E53EB6" w:rsidRPr="00494885" w:rsidRDefault="00E53EB6">
            <w:pPr>
              <w:pStyle w:val="HaupttextohneEinzug"/>
              <w:rPr>
                <w:lang w:val="de-DE"/>
              </w:rPr>
            </w:pPr>
          </w:p>
          <w:p w14:paraId="12992BBA" w14:textId="77777777" w:rsidR="00E53EB6" w:rsidRPr="00494885" w:rsidRDefault="00E53EB6">
            <w:pPr>
              <w:pStyle w:val="HaupttextohneEinzug"/>
              <w:rPr>
                <w:lang w:val="de-DE"/>
              </w:rPr>
            </w:pPr>
          </w:p>
          <w:p w14:paraId="192F2B74" w14:textId="77777777" w:rsidR="00E53EB6" w:rsidRPr="00494885" w:rsidRDefault="006500F5">
            <w:pPr>
              <w:pStyle w:val="HaupttextohneEinzug"/>
              <w:rPr>
                <w:lang w:val="de-DE"/>
              </w:rPr>
            </w:pPr>
            <w:r w:rsidRPr="00494885">
              <w:rPr>
                <w:lang w:val="de-DE"/>
              </w:rPr>
              <w:t>gewinnst</w:t>
            </w:r>
          </w:p>
          <w:p w14:paraId="41A2D36A" w14:textId="77777777" w:rsidR="00E53EB6" w:rsidRDefault="006500F5">
            <w:pPr>
              <w:pStyle w:val="HaupttextohneEinzug"/>
            </w:pPr>
            <w:r>
              <w:t>gagne</w:t>
            </w:r>
          </w:p>
        </w:tc>
        <w:tc>
          <w:tcPr>
            <w:tcW w:w="1176" w:type="dxa"/>
            <w:tcBorders>
              <w:left w:val="single" w:sz="2" w:space="0" w:color="000000"/>
              <w:bottom w:val="single" w:sz="2" w:space="0" w:color="000000"/>
              <w:right w:val="single" w:sz="2" w:space="0" w:color="000000"/>
            </w:tcBorders>
          </w:tcPr>
          <w:p w14:paraId="1E954DEB" w14:textId="77777777" w:rsidR="00E53EB6" w:rsidRDefault="006500F5">
            <w:pPr>
              <w:pStyle w:val="HaupttextohneEinzug"/>
            </w:pPr>
            <w:r>
              <w:t>*u̯</w:t>
            </w:r>
            <w:r>
              <w:t>ṇ</w:t>
            </w:r>
            <w:r>
              <w:t xml:space="preserve"> -néu̯ /</w:t>
            </w:r>
            <w:r>
              <w:t xml:space="preserve"> nu-</w:t>
            </w:r>
          </w:p>
        </w:tc>
      </w:tr>
      <w:tr w:rsidR="00E53EB6" w14:paraId="60B25CDE" w14:textId="77777777">
        <w:tc>
          <w:tcPr>
            <w:tcW w:w="1210" w:type="dxa"/>
            <w:tcBorders>
              <w:left w:val="single" w:sz="2" w:space="0" w:color="000000"/>
              <w:bottom w:val="single" w:sz="2" w:space="0" w:color="000000"/>
            </w:tcBorders>
          </w:tcPr>
          <w:p w14:paraId="4D34F606" w14:textId="77777777" w:rsidR="00E53EB6" w:rsidRDefault="006500F5">
            <w:pPr>
              <w:pStyle w:val="HaupttextohneEinzug"/>
            </w:pPr>
            <w:r>
              <w:rPr>
                <w:i/>
                <w:iCs/>
              </w:rPr>
              <w:t>vanóti</w:t>
            </w:r>
            <w:r>
              <w:t xml:space="preserve"> </w:t>
            </w:r>
          </w:p>
          <w:p w14:paraId="03CF1A5A" w14:textId="77777777" w:rsidR="00E53EB6" w:rsidRDefault="006500F5">
            <w:pPr>
              <w:pStyle w:val="HaupttextohneEinzug"/>
            </w:pPr>
            <w:r>
              <w:t>(ind. pres. 3</w:t>
            </w:r>
            <w:r>
              <w:rPr>
                <w:vertAlign w:val="superscript"/>
              </w:rPr>
              <w:t>rd</w:t>
            </w:r>
            <w:r>
              <w:t xml:space="preserve"> sing. VIII cl.)</w:t>
            </w:r>
          </w:p>
        </w:tc>
        <w:tc>
          <w:tcPr>
            <w:tcW w:w="3236" w:type="dxa"/>
            <w:tcBorders>
              <w:left w:val="single" w:sz="2" w:space="0" w:color="000000"/>
              <w:bottom w:val="single" w:sz="2" w:space="0" w:color="000000"/>
            </w:tcBorders>
          </w:tcPr>
          <w:p w14:paraId="3B329DD3" w14:textId="77777777" w:rsidR="00E53EB6" w:rsidRDefault="006500F5">
            <w:pPr>
              <w:pStyle w:val="HaupttextohneEinzug"/>
              <w:rPr>
                <w:i/>
                <w:iCs/>
              </w:rPr>
            </w:pPr>
            <w:r>
              <w:t>1.133.7a</w:t>
            </w:r>
            <w:r>
              <w:rPr>
                <w:i/>
                <w:iCs/>
              </w:rPr>
              <w:t xml:space="preserve"> vanóti hí sunván k</w:t>
            </w:r>
            <w:r>
              <w:rPr>
                <w:i/>
                <w:iCs/>
              </w:rPr>
              <w:t>ṣ</w:t>
            </w:r>
            <w:r>
              <w:rPr>
                <w:i/>
                <w:iCs/>
              </w:rPr>
              <w:t>áyam párī</w:t>
            </w:r>
            <w:r>
              <w:rPr>
                <w:i/>
                <w:iCs/>
              </w:rPr>
              <w:t>ṇ</w:t>
            </w:r>
            <w:r>
              <w:rPr>
                <w:i/>
                <w:iCs/>
              </w:rPr>
              <w:t>asa</w:t>
            </w:r>
            <w:r>
              <w:rPr>
                <w:i/>
                <w:iCs/>
              </w:rPr>
              <w:t>ḥ</w:t>
            </w:r>
            <w:r>
              <w:rPr>
                <w:i/>
                <w:iCs/>
              </w:rPr>
              <w:t xml:space="preserve"> </w:t>
            </w:r>
          </w:p>
          <w:p w14:paraId="1FDD8B29" w14:textId="77777777" w:rsidR="00E53EB6" w:rsidRDefault="00E53EB6">
            <w:pPr>
              <w:pStyle w:val="HaupttextohneEinzug"/>
              <w:rPr>
                <w:i/>
                <w:iCs/>
              </w:rPr>
            </w:pPr>
          </w:p>
          <w:p w14:paraId="11305FC4" w14:textId="77777777" w:rsidR="00E53EB6" w:rsidRDefault="00E53EB6">
            <w:pPr>
              <w:pStyle w:val="HaupttextohneEinzug"/>
              <w:rPr>
                <w:i/>
                <w:iCs/>
              </w:rPr>
            </w:pPr>
          </w:p>
          <w:p w14:paraId="07D69AB4" w14:textId="77777777" w:rsidR="00E53EB6" w:rsidRDefault="006500F5">
            <w:pPr>
              <w:pStyle w:val="HaupttextohneEinzug"/>
              <w:rPr>
                <w:i/>
                <w:iCs/>
              </w:rPr>
            </w:pPr>
            <w:r>
              <w:t xml:space="preserve">4.23.10a </w:t>
            </w:r>
            <w:r>
              <w:rPr>
                <w:i/>
                <w:iCs/>
              </w:rPr>
              <w:t xml:space="preserve">    r̥tá</w:t>
            </w:r>
            <w:r>
              <w:rPr>
                <w:i/>
                <w:iCs/>
              </w:rPr>
              <w:t>ṃ</w:t>
            </w:r>
            <w:r>
              <w:rPr>
                <w:i/>
                <w:iCs/>
              </w:rPr>
              <w:t xml:space="preserve"> yemāná r̥tám íd vanoti</w:t>
            </w:r>
          </w:p>
          <w:p w14:paraId="4EF99D38" w14:textId="77777777" w:rsidR="00E53EB6" w:rsidRDefault="00E53EB6">
            <w:pPr>
              <w:pStyle w:val="HaupttextohneEinzug"/>
              <w:rPr>
                <w:i/>
                <w:iCs/>
              </w:rPr>
            </w:pPr>
          </w:p>
          <w:p w14:paraId="59113F2A" w14:textId="77777777" w:rsidR="00E53EB6" w:rsidRDefault="00E53EB6">
            <w:pPr>
              <w:pStyle w:val="HaupttextohneEinzug"/>
              <w:rPr>
                <w:i/>
                <w:iCs/>
              </w:rPr>
            </w:pPr>
          </w:p>
          <w:p w14:paraId="05B11596" w14:textId="77777777" w:rsidR="00E53EB6" w:rsidRDefault="006500F5">
            <w:pPr>
              <w:pStyle w:val="HaupttextohneEinzug"/>
              <w:rPr>
                <w:i/>
                <w:iCs/>
              </w:rPr>
            </w:pPr>
            <w:r>
              <w:t>10.105.5c</w:t>
            </w:r>
            <w:r>
              <w:rPr>
                <w:i/>
                <w:iCs/>
              </w:rPr>
              <w:t xml:space="preserve"> vanóti śíprābhyā</w:t>
            </w:r>
            <w:r>
              <w:rPr>
                <w:i/>
                <w:iCs/>
              </w:rPr>
              <w:t>ṃ</w:t>
            </w:r>
            <w:r>
              <w:rPr>
                <w:i/>
                <w:iCs/>
              </w:rPr>
              <w:t xml:space="preserve"> śiprí</w:t>
            </w:r>
            <w:r>
              <w:rPr>
                <w:i/>
                <w:iCs/>
              </w:rPr>
              <w:t>ṇ</w:t>
            </w:r>
            <w:r>
              <w:rPr>
                <w:i/>
                <w:iCs/>
              </w:rPr>
              <w:t>īvān</w:t>
            </w:r>
          </w:p>
        </w:tc>
        <w:tc>
          <w:tcPr>
            <w:tcW w:w="3062" w:type="dxa"/>
            <w:tcBorders>
              <w:left w:val="single" w:sz="2" w:space="0" w:color="000000"/>
              <w:bottom w:val="single" w:sz="2" w:space="0" w:color="000000"/>
            </w:tcBorders>
          </w:tcPr>
          <w:p w14:paraId="7595E179" w14:textId="77777777" w:rsidR="00E53EB6" w:rsidRPr="00494885" w:rsidRDefault="006500F5">
            <w:pPr>
              <w:pStyle w:val="HaupttextohneEinzug"/>
              <w:rPr>
                <w:lang w:val="de-DE"/>
              </w:rPr>
            </w:pPr>
            <w:r w:rsidRPr="00494885">
              <w:rPr>
                <w:lang w:val="de-DE"/>
              </w:rPr>
              <w:t>gewinnt</w:t>
            </w:r>
          </w:p>
          <w:p w14:paraId="11F7D1D3" w14:textId="77777777" w:rsidR="00E53EB6" w:rsidRPr="00494885" w:rsidRDefault="006500F5">
            <w:pPr>
              <w:pStyle w:val="HaupttextohneEinzug"/>
              <w:rPr>
                <w:lang w:val="de-DE"/>
              </w:rPr>
            </w:pPr>
            <w:r w:rsidRPr="00494885">
              <w:rPr>
                <w:lang w:val="de-DE"/>
              </w:rPr>
              <w:t xml:space="preserve">gagne </w:t>
            </w:r>
          </w:p>
          <w:p w14:paraId="6B3950A9" w14:textId="77777777" w:rsidR="00E53EB6" w:rsidRPr="00494885" w:rsidRDefault="00E53EB6">
            <w:pPr>
              <w:pStyle w:val="HaupttextohneEinzug"/>
              <w:rPr>
                <w:lang w:val="de-DE"/>
              </w:rPr>
            </w:pPr>
          </w:p>
          <w:p w14:paraId="10D84867" w14:textId="77777777" w:rsidR="00E53EB6" w:rsidRPr="00494885" w:rsidRDefault="00E53EB6">
            <w:pPr>
              <w:pStyle w:val="HaupttextohneEinzug"/>
              <w:rPr>
                <w:lang w:val="de-DE"/>
              </w:rPr>
            </w:pPr>
          </w:p>
          <w:p w14:paraId="545E4533" w14:textId="77777777" w:rsidR="00E53EB6" w:rsidRPr="00494885" w:rsidRDefault="006500F5">
            <w:pPr>
              <w:pStyle w:val="HaupttextohneEinzug"/>
              <w:rPr>
                <w:lang w:val="de-DE"/>
              </w:rPr>
            </w:pPr>
            <w:r w:rsidRPr="00494885">
              <w:rPr>
                <w:lang w:val="de-DE"/>
              </w:rPr>
              <w:t>hat Gewinn von der Wahrheit</w:t>
            </w:r>
          </w:p>
          <w:p w14:paraId="3F918EB1" w14:textId="77777777" w:rsidR="00E53EB6" w:rsidRPr="00494885" w:rsidRDefault="00E53EB6">
            <w:pPr>
              <w:pStyle w:val="HaupttextohneEinzug"/>
              <w:rPr>
                <w:lang w:val="de-DE"/>
              </w:rPr>
            </w:pPr>
          </w:p>
          <w:p w14:paraId="4E1BFBFC" w14:textId="77777777" w:rsidR="00E53EB6" w:rsidRPr="00494885" w:rsidRDefault="00E53EB6">
            <w:pPr>
              <w:pStyle w:val="HaupttextohneEinzug"/>
              <w:rPr>
                <w:lang w:val="de-DE"/>
              </w:rPr>
            </w:pPr>
          </w:p>
          <w:p w14:paraId="229ECAAA" w14:textId="77777777" w:rsidR="00E53EB6" w:rsidRPr="00494885" w:rsidRDefault="00E53EB6">
            <w:pPr>
              <w:pStyle w:val="HaupttextohneEinzug"/>
              <w:rPr>
                <w:lang w:val="de-DE"/>
              </w:rPr>
            </w:pPr>
          </w:p>
          <w:p w14:paraId="40D1A69D" w14:textId="77777777" w:rsidR="00E53EB6" w:rsidRDefault="006500F5">
            <w:pPr>
              <w:pStyle w:val="HaupttextohneEinzug"/>
            </w:pPr>
            <w:r>
              <w:t xml:space="preserve">verlangt </w:t>
            </w:r>
          </w:p>
        </w:tc>
        <w:tc>
          <w:tcPr>
            <w:tcW w:w="1176" w:type="dxa"/>
            <w:tcBorders>
              <w:left w:val="single" w:sz="2" w:space="0" w:color="000000"/>
              <w:bottom w:val="single" w:sz="2" w:space="0" w:color="000000"/>
              <w:right w:val="single" w:sz="2" w:space="0" w:color="000000"/>
            </w:tcBorders>
          </w:tcPr>
          <w:p w14:paraId="45F19A1E" w14:textId="77777777" w:rsidR="00E53EB6" w:rsidRDefault="006500F5">
            <w:pPr>
              <w:pStyle w:val="HaupttextohneEinzug"/>
            </w:pPr>
            <w:r>
              <w:t>*u̯</w:t>
            </w:r>
            <w:r>
              <w:t>ṇ</w:t>
            </w:r>
            <w:r>
              <w:t xml:space="preserve"> -néu̯ / nu-</w:t>
            </w:r>
          </w:p>
        </w:tc>
      </w:tr>
      <w:tr w:rsidR="00E53EB6" w14:paraId="7C3328AC" w14:textId="77777777">
        <w:tc>
          <w:tcPr>
            <w:tcW w:w="1210" w:type="dxa"/>
            <w:tcBorders>
              <w:left w:val="single" w:sz="2" w:space="0" w:color="000000"/>
              <w:bottom w:val="single" w:sz="2" w:space="0" w:color="000000"/>
            </w:tcBorders>
          </w:tcPr>
          <w:p w14:paraId="35A1A709" w14:textId="77777777" w:rsidR="00E53EB6" w:rsidRPr="00494885" w:rsidRDefault="006500F5">
            <w:pPr>
              <w:pStyle w:val="HaupttextohneEinzug"/>
              <w:rPr>
                <w:lang w:val="de-DE"/>
              </w:rPr>
            </w:pPr>
            <w:r w:rsidRPr="00494885">
              <w:rPr>
                <w:i/>
                <w:iCs/>
                <w:lang w:val="de-DE"/>
              </w:rPr>
              <w:t>vanuthá</w:t>
            </w:r>
            <w:r w:rsidRPr="00494885">
              <w:rPr>
                <w:i/>
                <w:iCs/>
                <w:lang w:val="de-DE"/>
              </w:rPr>
              <w:t>ḥ</w:t>
            </w:r>
            <w:r w:rsidRPr="00494885">
              <w:rPr>
                <w:lang w:val="de-DE"/>
              </w:rPr>
              <w:t xml:space="preserve"> </w:t>
            </w:r>
          </w:p>
          <w:p w14:paraId="1591DDD0" w14:textId="77777777" w:rsidR="00E53EB6" w:rsidRDefault="006500F5">
            <w:pPr>
              <w:pStyle w:val="HaupttextohneEinzug"/>
            </w:pPr>
            <w:r w:rsidRPr="00494885">
              <w:rPr>
                <w:lang w:val="de-DE"/>
              </w:rPr>
              <w:t>(ind. pres. 2</w:t>
            </w:r>
            <w:r w:rsidRPr="00494885">
              <w:rPr>
                <w:vertAlign w:val="superscript"/>
                <w:lang w:val="de-DE"/>
              </w:rPr>
              <w:t>nd</w:t>
            </w:r>
            <w:r w:rsidRPr="00494885">
              <w:rPr>
                <w:lang w:val="de-DE"/>
              </w:rPr>
              <w:t xml:space="preserve"> du. </w:t>
            </w:r>
            <w:r>
              <w:t>VIII cl.)</w:t>
            </w:r>
          </w:p>
        </w:tc>
        <w:tc>
          <w:tcPr>
            <w:tcW w:w="3236" w:type="dxa"/>
            <w:tcBorders>
              <w:left w:val="single" w:sz="2" w:space="0" w:color="000000"/>
              <w:bottom w:val="single" w:sz="2" w:space="0" w:color="000000"/>
            </w:tcBorders>
          </w:tcPr>
          <w:p w14:paraId="17F72A5D" w14:textId="77777777" w:rsidR="00E53EB6" w:rsidRDefault="006500F5">
            <w:pPr>
              <w:pStyle w:val="HaupttextohneEinzug"/>
              <w:rPr>
                <w:i/>
                <w:iCs/>
              </w:rPr>
            </w:pPr>
            <w:r>
              <w:t>2.30.6a</w:t>
            </w:r>
            <w:r>
              <w:rPr>
                <w:i/>
                <w:iCs/>
              </w:rPr>
              <w:t xml:space="preserve">   prá hí krátu</w:t>
            </w:r>
            <w:r>
              <w:rPr>
                <w:i/>
                <w:iCs/>
              </w:rPr>
              <w:t>ṃ</w:t>
            </w:r>
            <w:r>
              <w:rPr>
                <w:i/>
                <w:iCs/>
              </w:rPr>
              <w:t xml:space="preserve"> vr̥hátho yá</w:t>
            </w:r>
            <w:r>
              <w:rPr>
                <w:i/>
                <w:iCs/>
              </w:rPr>
              <w:t>ṃ</w:t>
            </w:r>
            <w:r>
              <w:rPr>
                <w:i/>
                <w:iCs/>
              </w:rPr>
              <w:t xml:space="preserve"> vanuthó</w:t>
            </w:r>
          </w:p>
          <w:p w14:paraId="0020F54D" w14:textId="77777777" w:rsidR="00E53EB6" w:rsidRDefault="00E53EB6">
            <w:pPr>
              <w:pStyle w:val="HaupttextohneEinzug"/>
              <w:rPr>
                <w:i/>
                <w:iCs/>
              </w:rPr>
            </w:pPr>
          </w:p>
          <w:p w14:paraId="0B6F3157" w14:textId="77777777" w:rsidR="00E53EB6" w:rsidRDefault="00E53EB6">
            <w:pPr>
              <w:pStyle w:val="HaupttextohneEinzug"/>
              <w:rPr>
                <w:i/>
                <w:iCs/>
              </w:rPr>
            </w:pPr>
          </w:p>
          <w:p w14:paraId="43C48A15" w14:textId="77777777" w:rsidR="00E53EB6" w:rsidRDefault="006500F5">
            <w:pPr>
              <w:pStyle w:val="HaupttextohneEinzug"/>
              <w:rPr>
                <w:i/>
                <w:iCs/>
              </w:rPr>
            </w:pPr>
            <w:r>
              <w:t>10.61.3b</w:t>
            </w:r>
            <w:r>
              <w:rPr>
                <w:i/>
                <w:iCs/>
              </w:rPr>
              <w:t xml:space="preserve"> vípa</w:t>
            </w:r>
            <w:r>
              <w:rPr>
                <w:i/>
                <w:iCs/>
              </w:rPr>
              <w:t>ḥ</w:t>
            </w:r>
            <w:r>
              <w:rPr>
                <w:i/>
                <w:iCs/>
              </w:rPr>
              <w:t xml:space="preserve"> śáciyā vanuthó drávantā</w:t>
            </w:r>
          </w:p>
        </w:tc>
        <w:tc>
          <w:tcPr>
            <w:tcW w:w="3062" w:type="dxa"/>
            <w:tcBorders>
              <w:left w:val="single" w:sz="2" w:space="0" w:color="000000"/>
              <w:bottom w:val="single" w:sz="2" w:space="0" w:color="000000"/>
            </w:tcBorders>
          </w:tcPr>
          <w:p w14:paraId="65F227AD" w14:textId="77777777" w:rsidR="00E53EB6" w:rsidRPr="00494885" w:rsidRDefault="006500F5">
            <w:pPr>
              <w:pStyle w:val="HaupttextohneEinzug"/>
              <w:rPr>
                <w:lang w:val="de-DE"/>
              </w:rPr>
            </w:pPr>
            <w:r w:rsidRPr="00494885">
              <w:rPr>
                <w:lang w:val="de-DE"/>
              </w:rPr>
              <w:t xml:space="preserve">abgesehen habt auf </w:t>
            </w:r>
          </w:p>
          <w:p w14:paraId="15E90386" w14:textId="77777777" w:rsidR="00E53EB6" w:rsidRPr="00494885" w:rsidRDefault="00E53EB6">
            <w:pPr>
              <w:pStyle w:val="HaupttextohneEinzug"/>
              <w:rPr>
                <w:lang w:val="de-DE"/>
              </w:rPr>
            </w:pPr>
          </w:p>
          <w:p w14:paraId="2738DFD5" w14:textId="77777777" w:rsidR="00E53EB6" w:rsidRPr="00494885" w:rsidRDefault="00E53EB6">
            <w:pPr>
              <w:pStyle w:val="HaupttextohneEinzug"/>
              <w:rPr>
                <w:lang w:val="de-DE"/>
              </w:rPr>
            </w:pPr>
          </w:p>
          <w:p w14:paraId="4BEFB20A" w14:textId="77777777" w:rsidR="00E53EB6" w:rsidRPr="00494885" w:rsidRDefault="00E53EB6">
            <w:pPr>
              <w:pStyle w:val="HaupttextohneEinzug"/>
              <w:rPr>
                <w:lang w:val="de-DE"/>
              </w:rPr>
            </w:pPr>
          </w:p>
          <w:p w14:paraId="458E044C" w14:textId="77777777" w:rsidR="00E53EB6" w:rsidRPr="00494885" w:rsidRDefault="006500F5">
            <w:pPr>
              <w:pStyle w:val="HaupttextohneEinzug"/>
              <w:rPr>
                <w:lang w:val="de-DE"/>
              </w:rPr>
            </w:pPr>
            <w:r w:rsidRPr="00494885">
              <w:rPr>
                <w:lang w:val="de-DE"/>
              </w:rPr>
              <w:t>gut aufnehmet</w:t>
            </w:r>
          </w:p>
        </w:tc>
        <w:tc>
          <w:tcPr>
            <w:tcW w:w="1176" w:type="dxa"/>
            <w:tcBorders>
              <w:left w:val="single" w:sz="2" w:space="0" w:color="000000"/>
              <w:bottom w:val="single" w:sz="2" w:space="0" w:color="000000"/>
              <w:right w:val="single" w:sz="2" w:space="0" w:color="000000"/>
            </w:tcBorders>
          </w:tcPr>
          <w:p w14:paraId="7447A934" w14:textId="77777777" w:rsidR="00E53EB6" w:rsidRDefault="006500F5">
            <w:pPr>
              <w:pStyle w:val="HaupttextohneEinzug"/>
            </w:pPr>
            <w:r>
              <w:t>*u̯</w:t>
            </w:r>
            <w:r>
              <w:t>ṇ</w:t>
            </w:r>
            <w:r>
              <w:t xml:space="preserve"> -néu̯ / nu-</w:t>
            </w:r>
          </w:p>
        </w:tc>
      </w:tr>
      <w:tr w:rsidR="00E53EB6" w14:paraId="2E5F45C3" w14:textId="77777777">
        <w:tc>
          <w:tcPr>
            <w:tcW w:w="1210" w:type="dxa"/>
            <w:tcBorders>
              <w:left w:val="single" w:sz="2" w:space="0" w:color="000000"/>
              <w:bottom w:val="single" w:sz="2" w:space="0" w:color="000000"/>
            </w:tcBorders>
          </w:tcPr>
          <w:p w14:paraId="51AC4731" w14:textId="77777777" w:rsidR="00E53EB6" w:rsidRDefault="006500F5">
            <w:pPr>
              <w:pStyle w:val="HaupttextohneEinzug"/>
              <w:rPr>
                <w:i/>
                <w:iCs/>
              </w:rPr>
            </w:pPr>
            <w:r>
              <w:rPr>
                <w:i/>
                <w:iCs/>
              </w:rPr>
              <w:t>vanute</w:t>
            </w:r>
          </w:p>
          <w:p w14:paraId="5934149E" w14:textId="77777777" w:rsidR="00E53EB6" w:rsidRDefault="006500F5">
            <w:pPr>
              <w:pStyle w:val="HaupttextohneEinzug"/>
            </w:pPr>
            <w:r>
              <w:t>(ind. pres. 3</w:t>
            </w:r>
            <w:r>
              <w:rPr>
                <w:vertAlign w:val="superscript"/>
              </w:rPr>
              <w:t>rd</w:t>
            </w:r>
            <w:r>
              <w:t xml:space="preserve"> sing. Ā VIII cl.)</w:t>
            </w:r>
          </w:p>
        </w:tc>
        <w:tc>
          <w:tcPr>
            <w:tcW w:w="3236" w:type="dxa"/>
            <w:tcBorders>
              <w:left w:val="single" w:sz="2" w:space="0" w:color="000000"/>
              <w:bottom w:val="single" w:sz="2" w:space="0" w:color="000000"/>
            </w:tcBorders>
          </w:tcPr>
          <w:p w14:paraId="3E07C7DE" w14:textId="77777777" w:rsidR="00E53EB6" w:rsidRDefault="006500F5">
            <w:pPr>
              <w:pStyle w:val="HaupttextohneEinzug"/>
              <w:rPr>
                <w:i/>
                <w:iCs/>
              </w:rPr>
            </w:pPr>
            <w:r>
              <w:t>10.27.12d</w:t>
            </w:r>
            <w:r>
              <w:rPr>
                <w:i/>
                <w:iCs/>
              </w:rPr>
              <w:t xml:space="preserve">  svayá</w:t>
            </w:r>
            <w:r>
              <w:rPr>
                <w:i/>
                <w:iCs/>
              </w:rPr>
              <w:t>ṃ</w:t>
            </w:r>
            <w:r>
              <w:rPr>
                <w:i/>
                <w:iCs/>
              </w:rPr>
              <w:t xml:space="preserve"> sā́ mitrá</w:t>
            </w:r>
            <w:r>
              <w:rPr>
                <w:i/>
                <w:iCs/>
              </w:rPr>
              <w:t>ṃ</w:t>
            </w:r>
            <w:r>
              <w:rPr>
                <w:i/>
                <w:iCs/>
              </w:rPr>
              <w:t xml:space="preserve"> vanute jáne cit</w:t>
            </w:r>
          </w:p>
          <w:p w14:paraId="4B8B5AA7" w14:textId="77777777" w:rsidR="00E53EB6" w:rsidRDefault="00E53EB6">
            <w:pPr>
              <w:pStyle w:val="HaupttextohneEinzug"/>
              <w:rPr>
                <w:i/>
                <w:iCs/>
              </w:rPr>
            </w:pPr>
          </w:p>
          <w:p w14:paraId="3C218BB0" w14:textId="77777777" w:rsidR="00E53EB6" w:rsidRDefault="00E53EB6">
            <w:pPr>
              <w:pStyle w:val="HaupttextohneEinzug"/>
              <w:rPr>
                <w:i/>
                <w:iCs/>
              </w:rPr>
            </w:pPr>
          </w:p>
          <w:p w14:paraId="6DF8C2AA" w14:textId="77777777" w:rsidR="00E53EB6" w:rsidRDefault="006500F5">
            <w:pPr>
              <w:pStyle w:val="HaupttextohneEinzug"/>
              <w:rPr>
                <w:i/>
                <w:iCs/>
              </w:rPr>
            </w:pPr>
            <w:r>
              <w:t xml:space="preserve">10.107.7c  </w:t>
            </w:r>
            <w:r>
              <w:rPr>
                <w:i/>
                <w:iCs/>
              </w:rPr>
              <w:t xml:space="preserve">   dák</w:t>
            </w:r>
            <w:r>
              <w:rPr>
                <w:i/>
                <w:iCs/>
              </w:rPr>
              <w:t>ṣ</w:t>
            </w:r>
            <w:r>
              <w:rPr>
                <w:i/>
                <w:iCs/>
              </w:rPr>
              <w:t>i</w:t>
            </w:r>
            <w:r>
              <w:rPr>
                <w:i/>
                <w:iCs/>
              </w:rPr>
              <w:t>ṇ</w:t>
            </w:r>
            <w:r>
              <w:rPr>
                <w:i/>
                <w:iCs/>
              </w:rPr>
              <w:t>ā́nna</w:t>
            </w:r>
            <w:r>
              <w:rPr>
                <w:i/>
                <w:iCs/>
              </w:rPr>
              <w:t>ṃ</w:t>
            </w:r>
            <w:r>
              <w:rPr>
                <w:i/>
                <w:iCs/>
              </w:rPr>
              <w:t xml:space="preserve"> vanute yó na ātmā</w:t>
            </w:r>
          </w:p>
        </w:tc>
        <w:tc>
          <w:tcPr>
            <w:tcW w:w="3062" w:type="dxa"/>
            <w:tcBorders>
              <w:left w:val="single" w:sz="2" w:space="0" w:color="000000"/>
              <w:bottom w:val="single" w:sz="2" w:space="0" w:color="000000"/>
            </w:tcBorders>
          </w:tcPr>
          <w:p w14:paraId="7B50EAE4" w14:textId="77777777" w:rsidR="00E53EB6" w:rsidRDefault="006500F5">
            <w:pPr>
              <w:pStyle w:val="HaupttextohneEinzug"/>
            </w:pPr>
            <w:r>
              <w:t>gewinnt</w:t>
            </w:r>
          </w:p>
          <w:p w14:paraId="6A5025D6" w14:textId="77777777" w:rsidR="00E53EB6" w:rsidRDefault="00E53EB6">
            <w:pPr>
              <w:pStyle w:val="HaupttextohneEinzug"/>
            </w:pPr>
          </w:p>
          <w:p w14:paraId="1FC86A12" w14:textId="77777777" w:rsidR="00E53EB6" w:rsidRDefault="00E53EB6">
            <w:pPr>
              <w:pStyle w:val="HaupttextohneEinzug"/>
            </w:pPr>
          </w:p>
          <w:p w14:paraId="6699FA85" w14:textId="77777777" w:rsidR="00E53EB6" w:rsidRDefault="00E53EB6">
            <w:pPr>
              <w:pStyle w:val="HaupttextohneEinzug"/>
            </w:pPr>
          </w:p>
          <w:p w14:paraId="3C2CB32F" w14:textId="77777777" w:rsidR="00E53EB6" w:rsidRDefault="006500F5">
            <w:pPr>
              <w:pStyle w:val="HaupttextohneEinzug"/>
            </w:pPr>
            <w:r>
              <w:t>bringt ein</w:t>
            </w:r>
          </w:p>
        </w:tc>
        <w:tc>
          <w:tcPr>
            <w:tcW w:w="1176" w:type="dxa"/>
            <w:tcBorders>
              <w:left w:val="single" w:sz="2" w:space="0" w:color="000000"/>
              <w:bottom w:val="single" w:sz="2" w:space="0" w:color="000000"/>
              <w:right w:val="single" w:sz="2" w:space="0" w:color="000000"/>
            </w:tcBorders>
          </w:tcPr>
          <w:p w14:paraId="19E2D703" w14:textId="77777777" w:rsidR="00E53EB6" w:rsidRDefault="006500F5">
            <w:pPr>
              <w:pStyle w:val="HaupttextohneEinzug"/>
            </w:pPr>
            <w:r>
              <w:t>*u̯</w:t>
            </w:r>
            <w:r>
              <w:t>ṇ</w:t>
            </w:r>
            <w:r>
              <w:t xml:space="preserve"> -néu̯ / nu-</w:t>
            </w:r>
          </w:p>
        </w:tc>
      </w:tr>
      <w:tr w:rsidR="00E53EB6" w14:paraId="79EA2111" w14:textId="77777777">
        <w:tc>
          <w:tcPr>
            <w:tcW w:w="1210" w:type="dxa"/>
            <w:tcBorders>
              <w:left w:val="single" w:sz="2" w:space="0" w:color="000000"/>
              <w:bottom w:val="single" w:sz="2" w:space="0" w:color="000000"/>
            </w:tcBorders>
          </w:tcPr>
          <w:p w14:paraId="1804221C" w14:textId="77777777" w:rsidR="00E53EB6" w:rsidRDefault="006500F5">
            <w:pPr>
              <w:pStyle w:val="HaupttextohneEinzug"/>
              <w:rPr>
                <w:i/>
                <w:iCs/>
              </w:rPr>
            </w:pPr>
            <w:r>
              <w:rPr>
                <w:i/>
                <w:iCs/>
              </w:rPr>
              <w:t>avanvan</w:t>
            </w:r>
          </w:p>
          <w:p w14:paraId="719D3E99" w14:textId="77777777" w:rsidR="00E53EB6" w:rsidRDefault="006500F5">
            <w:pPr>
              <w:pStyle w:val="HaupttextohneEinzug"/>
            </w:pPr>
            <w:r>
              <w:t>(ind. impf. 3</w:t>
            </w:r>
            <w:r>
              <w:rPr>
                <w:vertAlign w:val="superscript"/>
              </w:rPr>
              <w:t>rd</w:t>
            </w:r>
            <w:r>
              <w:t xml:space="preserve"> pl. VIII cl.)</w:t>
            </w:r>
          </w:p>
        </w:tc>
        <w:tc>
          <w:tcPr>
            <w:tcW w:w="3236" w:type="dxa"/>
            <w:tcBorders>
              <w:left w:val="single" w:sz="2" w:space="0" w:color="000000"/>
              <w:bottom w:val="single" w:sz="2" w:space="0" w:color="000000"/>
            </w:tcBorders>
          </w:tcPr>
          <w:p w14:paraId="387756CA" w14:textId="77777777" w:rsidR="00E53EB6" w:rsidRDefault="006500F5">
            <w:pPr>
              <w:pStyle w:val="HaupttextohneEinzug"/>
              <w:rPr>
                <w:i/>
                <w:iCs/>
              </w:rPr>
            </w:pPr>
            <w:r>
              <w:t xml:space="preserve">1.51.2 </w:t>
            </w:r>
            <w:r>
              <w:rPr>
                <w:i/>
                <w:iCs/>
              </w:rPr>
              <w:t>abhī́m avanvan suabhi</w:t>
            </w:r>
            <w:r>
              <w:rPr>
                <w:i/>
                <w:iCs/>
              </w:rPr>
              <w:t>ṣṭ</w:t>
            </w:r>
            <w:r>
              <w:rPr>
                <w:i/>
                <w:iCs/>
              </w:rPr>
              <w:t>ím ūtáyo</w:t>
            </w:r>
          </w:p>
        </w:tc>
        <w:tc>
          <w:tcPr>
            <w:tcW w:w="3062" w:type="dxa"/>
            <w:tcBorders>
              <w:left w:val="single" w:sz="2" w:space="0" w:color="000000"/>
              <w:bottom w:val="single" w:sz="2" w:space="0" w:color="000000"/>
            </w:tcBorders>
          </w:tcPr>
          <w:p w14:paraId="554949BD" w14:textId="77777777" w:rsidR="00E53EB6" w:rsidRPr="00494885" w:rsidRDefault="006500F5">
            <w:pPr>
              <w:pStyle w:val="HaupttextohneEinzug"/>
              <w:rPr>
                <w:lang w:val="de-DE"/>
              </w:rPr>
            </w:pPr>
            <w:r w:rsidRPr="00494885">
              <w:rPr>
                <w:lang w:val="de-DE"/>
              </w:rPr>
              <w:t>bevorzugten</w:t>
            </w:r>
          </w:p>
          <w:p w14:paraId="779EC700" w14:textId="77777777" w:rsidR="00E53EB6" w:rsidRPr="00494885" w:rsidRDefault="006500F5">
            <w:pPr>
              <w:pStyle w:val="HaupttextohneEinzug"/>
              <w:rPr>
                <w:lang w:val="de-DE"/>
              </w:rPr>
            </w:pPr>
            <w:r w:rsidRPr="00494885">
              <w:rPr>
                <w:lang w:val="de-DE"/>
              </w:rPr>
              <w:t>ont gagné à eux</w:t>
            </w:r>
          </w:p>
        </w:tc>
        <w:tc>
          <w:tcPr>
            <w:tcW w:w="1176" w:type="dxa"/>
            <w:tcBorders>
              <w:left w:val="single" w:sz="2" w:space="0" w:color="000000"/>
              <w:bottom w:val="single" w:sz="2" w:space="0" w:color="000000"/>
              <w:right w:val="single" w:sz="2" w:space="0" w:color="000000"/>
            </w:tcBorders>
          </w:tcPr>
          <w:p w14:paraId="2145480F" w14:textId="77777777" w:rsidR="00E53EB6" w:rsidRDefault="006500F5">
            <w:pPr>
              <w:pStyle w:val="HaupttextohneEinzug"/>
            </w:pPr>
            <w:r>
              <w:t>*u̯</w:t>
            </w:r>
            <w:r>
              <w:t>ṇ</w:t>
            </w:r>
            <w:r>
              <w:t xml:space="preserve"> -néu̯ / nu-</w:t>
            </w:r>
          </w:p>
        </w:tc>
      </w:tr>
      <w:tr w:rsidR="00E53EB6" w14:paraId="48CF4906" w14:textId="77777777">
        <w:tc>
          <w:tcPr>
            <w:tcW w:w="1210" w:type="dxa"/>
            <w:tcBorders>
              <w:left w:val="single" w:sz="2" w:space="0" w:color="000000"/>
              <w:bottom w:val="single" w:sz="2" w:space="0" w:color="000000"/>
            </w:tcBorders>
          </w:tcPr>
          <w:p w14:paraId="26037D2B" w14:textId="77777777" w:rsidR="00E53EB6" w:rsidRDefault="006500F5">
            <w:pPr>
              <w:pStyle w:val="HaupttextohneEinzug"/>
            </w:pPr>
            <w:r>
              <w:rPr>
                <w:i/>
                <w:iCs/>
              </w:rPr>
              <w:t>avano</w:t>
            </w:r>
            <w:r>
              <w:rPr>
                <w:i/>
                <w:iCs/>
              </w:rPr>
              <w:t>ḥ</w:t>
            </w:r>
            <w:r>
              <w:t xml:space="preserve"> </w:t>
            </w:r>
          </w:p>
          <w:p w14:paraId="6EE594FD" w14:textId="77777777" w:rsidR="00E53EB6" w:rsidRDefault="006500F5">
            <w:pPr>
              <w:pStyle w:val="HaupttextohneEinzug"/>
            </w:pPr>
            <w:r>
              <w:t>(ind. impf. 2</w:t>
            </w:r>
            <w:r>
              <w:rPr>
                <w:vertAlign w:val="superscript"/>
              </w:rPr>
              <w:t>nd</w:t>
            </w:r>
            <w:r>
              <w:t xml:space="preserve"> sing. VIII cl.)</w:t>
            </w:r>
          </w:p>
        </w:tc>
        <w:tc>
          <w:tcPr>
            <w:tcW w:w="3236" w:type="dxa"/>
            <w:tcBorders>
              <w:left w:val="single" w:sz="2" w:space="0" w:color="000000"/>
              <w:bottom w:val="single" w:sz="2" w:space="0" w:color="000000"/>
            </w:tcBorders>
          </w:tcPr>
          <w:p w14:paraId="78919ADA" w14:textId="77777777" w:rsidR="00E53EB6" w:rsidRPr="00494885" w:rsidRDefault="006500F5">
            <w:pPr>
              <w:pStyle w:val="HaupttextohneEinzug"/>
              <w:rPr>
                <w:i/>
                <w:iCs/>
                <w:lang w:val="it-IT"/>
              </w:rPr>
            </w:pPr>
            <w:r w:rsidRPr="00494885">
              <w:rPr>
                <w:lang w:val="it-IT"/>
              </w:rPr>
              <w:t xml:space="preserve">5.29.9d </w:t>
            </w:r>
            <w:r w:rsidRPr="00494885">
              <w:rPr>
                <w:i/>
                <w:iCs/>
                <w:lang w:val="it-IT"/>
              </w:rPr>
              <w:t>kútsena devaír ávanor ha śú</w:t>
            </w:r>
            <w:r w:rsidRPr="00494885">
              <w:rPr>
                <w:i/>
                <w:iCs/>
                <w:lang w:val="it-IT"/>
              </w:rPr>
              <w:t>ṣṇ</w:t>
            </w:r>
            <w:r w:rsidRPr="00494885">
              <w:rPr>
                <w:i/>
                <w:iCs/>
                <w:lang w:val="it-IT"/>
              </w:rPr>
              <w:t xml:space="preserve">am </w:t>
            </w:r>
          </w:p>
          <w:p w14:paraId="04EEA199" w14:textId="77777777" w:rsidR="00E53EB6" w:rsidRPr="00494885" w:rsidRDefault="00E53EB6">
            <w:pPr>
              <w:pStyle w:val="HaupttextohneEinzug"/>
              <w:rPr>
                <w:i/>
                <w:iCs/>
                <w:lang w:val="it-IT"/>
              </w:rPr>
            </w:pPr>
          </w:p>
          <w:p w14:paraId="51BA1C8F" w14:textId="77777777" w:rsidR="00E53EB6" w:rsidRPr="00494885" w:rsidRDefault="00E53EB6">
            <w:pPr>
              <w:pStyle w:val="HaupttextohneEinzug"/>
              <w:rPr>
                <w:i/>
                <w:iCs/>
                <w:lang w:val="it-IT"/>
              </w:rPr>
            </w:pPr>
          </w:p>
          <w:p w14:paraId="6BE679B5" w14:textId="77777777" w:rsidR="00E53EB6" w:rsidRPr="00494885" w:rsidRDefault="006500F5">
            <w:pPr>
              <w:pStyle w:val="HaupttextohneEinzug"/>
              <w:rPr>
                <w:i/>
                <w:iCs/>
                <w:lang w:val="it-IT"/>
              </w:rPr>
            </w:pPr>
            <w:r w:rsidRPr="00494885">
              <w:rPr>
                <w:lang w:val="it-IT"/>
              </w:rPr>
              <w:t xml:space="preserve">6.18.3b </w:t>
            </w:r>
            <w:r w:rsidRPr="00494885">
              <w:rPr>
                <w:i/>
                <w:iCs/>
                <w:lang w:val="it-IT"/>
              </w:rPr>
              <w:t>éka</w:t>
            </w:r>
            <w:r w:rsidRPr="00494885">
              <w:rPr>
                <w:i/>
                <w:iCs/>
                <w:lang w:val="it-IT"/>
              </w:rPr>
              <w:t>ḥ</w:t>
            </w:r>
            <w:r w:rsidRPr="00494885">
              <w:rPr>
                <w:i/>
                <w:iCs/>
                <w:lang w:val="it-IT"/>
              </w:rPr>
              <w:t xml:space="preserve"> kr̥</w:t>
            </w:r>
            <w:r w:rsidRPr="00494885">
              <w:rPr>
                <w:i/>
                <w:iCs/>
                <w:lang w:val="it-IT"/>
              </w:rPr>
              <w:t>ṣṭ</w:t>
            </w:r>
            <w:r w:rsidRPr="00494885">
              <w:rPr>
                <w:i/>
                <w:iCs/>
                <w:lang w:val="it-IT"/>
              </w:rPr>
              <w:t xml:space="preserve">ī́r avanor ā́riyāya </w:t>
            </w:r>
          </w:p>
          <w:p w14:paraId="03D7F3D8" w14:textId="77777777" w:rsidR="00E53EB6" w:rsidRPr="00494885" w:rsidRDefault="00E53EB6">
            <w:pPr>
              <w:pStyle w:val="HaupttextohneEinzug"/>
              <w:rPr>
                <w:i/>
                <w:iCs/>
                <w:lang w:val="it-IT"/>
              </w:rPr>
            </w:pPr>
          </w:p>
          <w:p w14:paraId="0EB245EB" w14:textId="77777777" w:rsidR="00E53EB6" w:rsidRPr="00494885" w:rsidRDefault="00E53EB6">
            <w:pPr>
              <w:pStyle w:val="HaupttextohneEinzug"/>
              <w:rPr>
                <w:i/>
                <w:iCs/>
                <w:lang w:val="it-IT"/>
              </w:rPr>
            </w:pPr>
          </w:p>
          <w:p w14:paraId="6830EE6F" w14:textId="77777777" w:rsidR="00E53EB6" w:rsidRPr="00494885" w:rsidRDefault="006500F5">
            <w:pPr>
              <w:pStyle w:val="HaupttextohneEinzug"/>
              <w:rPr>
                <w:i/>
                <w:iCs/>
                <w:lang w:val="it-IT"/>
              </w:rPr>
            </w:pPr>
            <w:r w:rsidRPr="00494885">
              <w:rPr>
                <w:lang w:val="it-IT"/>
              </w:rPr>
              <w:t>10.69.10d</w:t>
            </w:r>
            <w:r w:rsidRPr="00494885">
              <w:rPr>
                <w:i/>
                <w:iCs/>
                <w:lang w:val="it-IT"/>
              </w:rPr>
              <w:t xml:space="preserve"> utá pū́rvām̐ avanor vrā́dhataś cit </w:t>
            </w:r>
          </w:p>
        </w:tc>
        <w:tc>
          <w:tcPr>
            <w:tcW w:w="3062" w:type="dxa"/>
            <w:tcBorders>
              <w:left w:val="single" w:sz="2" w:space="0" w:color="000000"/>
              <w:bottom w:val="single" w:sz="2" w:space="0" w:color="000000"/>
            </w:tcBorders>
          </w:tcPr>
          <w:p w14:paraId="3837FCA7" w14:textId="77777777" w:rsidR="00E53EB6" w:rsidRPr="00494885" w:rsidRDefault="006500F5">
            <w:pPr>
              <w:pStyle w:val="HaupttextohneEinzug"/>
              <w:rPr>
                <w:lang w:val="de-DE"/>
              </w:rPr>
            </w:pPr>
            <w:r w:rsidRPr="00494885">
              <w:rPr>
                <w:lang w:val="de-DE"/>
              </w:rPr>
              <w:t>hattest  überwunden</w:t>
            </w:r>
          </w:p>
          <w:p w14:paraId="56E474D3" w14:textId="77777777" w:rsidR="00E53EB6" w:rsidRPr="00494885" w:rsidRDefault="00E53EB6">
            <w:pPr>
              <w:pStyle w:val="HaupttextohneEinzug"/>
              <w:rPr>
                <w:lang w:val="de-DE"/>
              </w:rPr>
            </w:pPr>
          </w:p>
          <w:p w14:paraId="15629A8C" w14:textId="77777777" w:rsidR="00E53EB6" w:rsidRPr="00494885" w:rsidRDefault="00E53EB6">
            <w:pPr>
              <w:pStyle w:val="HaupttextohneEinzug"/>
              <w:rPr>
                <w:lang w:val="de-DE"/>
              </w:rPr>
            </w:pPr>
          </w:p>
          <w:p w14:paraId="02CFA2D0" w14:textId="77777777" w:rsidR="00E53EB6" w:rsidRPr="00494885" w:rsidRDefault="00E53EB6">
            <w:pPr>
              <w:pStyle w:val="HaupttextohneEinzug"/>
              <w:rPr>
                <w:lang w:val="de-DE"/>
              </w:rPr>
            </w:pPr>
          </w:p>
          <w:p w14:paraId="72A5B0A5" w14:textId="77777777" w:rsidR="00E53EB6" w:rsidRPr="00494885" w:rsidRDefault="006500F5">
            <w:pPr>
              <w:pStyle w:val="HaupttextohneEinzug"/>
              <w:rPr>
                <w:lang w:val="de-DE"/>
              </w:rPr>
            </w:pPr>
            <w:r w:rsidRPr="00494885">
              <w:rPr>
                <w:lang w:val="de-DE"/>
              </w:rPr>
              <w:t>gewannst</w:t>
            </w:r>
          </w:p>
          <w:p w14:paraId="597694CA" w14:textId="77777777" w:rsidR="00E53EB6" w:rsidRPr="00494885" w:rsidRDefault="00E53EB6">
            <w:pPr>
              <w:pStyle w:val="HaupttextohneEinzug"/>
              <w:rPr>
                <w:lang w:val="de-DE"/>
              </w:rPr>
            </w:pPr>
          </w:p>
          <w:p w14:paraId="3536FB0D" w14:textId="77777777" w:rsidR="00E53EB6" w:rsidRPr="00494885" w:rsidRDefault="00E53EB6">
            <w:pPr>
              <w:pStyle w:val="HaupttextohneEinzug"/>
              <w:rPr>
                <w:lang w:val="de-DE"/>
              </w:rPr>
            </w:pPr>
          </w:p>
          <w:p w14:paraId="1949EA42" w14:textId="77777777" w:rsidR="00E53EB6" w:rsidRPr="00494885" w:rsidRDefault="00E53EB6">
            <w:pPr>
              <w:pStyle w:val="HaupttextohneEinzug"/>
              <w:rPr>
                <w:lang w:val="de-DE"/>
              </w:rPr>
            </w:pPr>
          </w:p>
          <w:p w14:paraId="43AC92DC" w14:textId="77777777" w:rsidR="00E53EB6" w:rsidRPr="00494885" w:rsidRDefault="006500F5">
            <w:pPr>
              <w:pStyle w:val="HaupttextohneEinzug"/>
              <w:rPr>
                <w:lang w:val="de-DE"/>
              </w:rPr>
            </w:pPr>
            <w:r w:rsidRPr="00494885">
              <w:rPr>
                <w:lang w:val="de-DE"/>
              </w:rPr>
              <w:t>hast überwunden</w:t>
            </w:r>
          </w:p>
          <w:p w14:paraId="4E8AD431" w14:textId="77777777" w:rsidR="00E53EB6" w:rsidRPr="00494885" w:rsidRDefault="006500F5">
            <w:pPr>
              <w:pStyle w:val="HaupttextohneEinzug"/>
              <w:rPr>
                <w:lang w:val="de-DE"/>
              </w:rPr>
            </w:pPr>
            <w:r w:rsidRPr="00494885">
              <w:rPr>
                <w:lang w:val="de-DE"/>
              </w:rPr>
              <w:t>as gagné à toi</w:t>
            </w:r>
          </w:p>
        </w:tc>
        <w:tc>
          <w:tcPr>
            <w:tcW w:w="1176" w:type="dxa"/>
            <w:tcBorders>
              <w:left w:val="single" w:sz="2" w:space="0" w:color="000000"/>
              <w:bottom w:val="single" w:sz="2" w:space="0" w:color="000000"/>
              <w:right w:val="single" w:sz="2" w:space="0" w:color="000000"/>
            </w:tcBorders>
          </w:tcPr>
          <w:p w14:paraId="3EFB4693" w14:textId="77777777" w:rsidR="00E53EB6" w:rsidRDefault="006500F5">
            <w:pPr>
              <w:pStyle w:val="HaupttextohneEinzug"/>
            </w:pPr>
            <w:r>
              <w:t>*u̯</w:t>
            </w:r>
            <w:r>
              <w:t>ṇ</w:t>
            </w:r>
            <w:r>
              <w:t xml:space="preserve"> -néu̯ / nu-</w:t>
            </w:r>
          </w:p>
        </w:tc>
      </w:tr>
      <w:tr w:rsidR="00E53EB6" w14:paraId="698A4E4D" w14:textId="77777777">
        <w:tc>
          <w:tcPr>
            <w:tcW w:w="1210" w:type="dxa"/>
            <w:tcBorders>
              <w:left w:val="single" w:sz="2" w:space="0" w:color="000000"/>
              <w:bottom w:val="single" w:sz="2" w:space="0" w:color="000000"/>
            </w:tcBorders>
          </w:tcPr>
          <w:p w14:paraId="533139EE" w14:textId="77777777" w:rsidR="00E53EB6" w:rsidRDefault="006500F5">
            <w:pPr>
              <w:pStyle w:val="HaupttextohneEinzug"/>
            </w:pPr>
            <w:r>
              <w:rPr>
                <w:i/>
                <w:iCs/>
              </w:rPr>
              <w:t>vavne</w:t>
            </w:r>
            <w:r>
              <w:t xml:space="preserve"> </w:t>
            </w:r>
          </w:p>
          <w:p w14:paraId="228835A1" w14:textId="77777777" w:rsidR="00E53EB6" w:rsidRDefault="006500F5">
            <w:pPr>
              <w:pStyle w:val="HaupttextohneEinzug"/>
            </w:pPr>
            <w:r>
              <w:t>(ind. perf. 3</w:t>
            </w:r>
            <w:r>
              <w:rPr>
                <w:vertAlign w:val="superscript"/>
              </w:rPr>
              <w:t>rd</w:t>
            </w:r>
            <w:r>
              <w:t xml:space="preserve"> sing  Ā </w:t>
            </w:r>
            <w:r>
              <w:lastRenderedPageBreak/>
              <w:t>double stem)</w:t>
            </w:r>
          </w:p>
        </w:tc>
        <w:tc>
          <w:tcPr>
            <w:tcW w:w="3236" w:type="dxa"/>
            <w:tcBorders>
              <w:left w:val="single" w:sz="2" w:space="0" w:color="000000"/>
              <w:bottom w:val="single" w:sz="2" w:space="0" w:color="000000"/>
            </w:tcBorders>
          </w:tcPr>
          <w:p w14:paraId="5E7E36FB" w14:textId="77777777" w:rsidR="00E53EB6" w:rsidRDefault="006500F5">
            <w:pPr>
              <w:pStyle w:val="HaupttextohneEinzug"/>
              <w:rPr>
                <w:i/>
                <w:iCs/>
              </w:rPr>
            </w:pPr>
            <w:r>
              <w:lastRenderedPageBreak/>
              <w:t>1.36.17a</w:t>
            </w:r>
            <w:r>
              <w:rPr>
                <w:i/>
                <w:iCs/>
              </w:rPr>
              <w:t xml:space="preserve">  agnír vavne suvī́riyam</w:t>
            </w:r>
          </w:p>
          <w:p w14:paraId="2B101EB1" w14:textId="77777777" w:rsidR="00E53EB6" w:rsidRDefault="00E53EB6">
            <w:pPr>
              <w:pStyle w:val="HaupttextohneEinzug"/>
              <w:rPr>
                <w:i/>
                <w:iCs/>
              </w:rPr>
            </w:pPr>
          </w:p>
          <w:p w14:paraId="2476282C" w14:textId="77777777" w:rsidR="00E53EB6" w:rsidRDefault="00E53EB6">
            <w:pPr>
              <w:pStyle w:val="HaupttextohneEinzug"/>
              <w:rPr>
                <w:i/>
                <w:iCs/>
              </w:rPr>
            </w:pPr>
          </w:p>
          <w:p w14:paraId="63EFD87A" w14:textId="77777777" w:rsidR="00E53EB6" w:rsidRDefault="006500F5">
            <w:pPr>
              <w:pStyle w:val="HaupttextohneEinzug"/>
              <w:rPr>
                <w:i/>
                <w:iCs/>
              </w:rPr>
            </w:pPr>
            <w:r>
              <w:lastRenderedPageBreak/>
              <w:t>1.61.15b</w:t>
            </w:r>
            <w:r>
              <w:rPr>
                <w:i/>
                <w:iCs/>
              </w:rPr>
              <w:t xml:space="preserve"> éko yád vavné bhū́rer ī́śāna</w:t>
            </w:r>
            <w:r>
              <w:rPr>
                <w:i/>
                <w:iCs/>
              </w:rPr>
              <w:t>ḥ</w:t>
            </w:r>
          </w:p>
          <w:p w14:paraId="0350BEE1" w14:textId="77777777" w:rsidR="00E53EB6" w:rsidRDefault="00E53EB6">
            <w:pPr>
              <w:pStyle w:val="HaupttextohneEinzug"/>
              <w:rPr>
                <w:i/>
                <w:iCs/>
              </w:rPr>
            </w:pPr>
          </w:p>
          <w:p w14:paraId="4BB76932" w14:textId="77777777" w:rsidR="00E53EB6" w:rsidRDefault="00E53EB6">
            <w:pPr>
              <w:pStyle w:val="HaupttextohneEinzug"/>
              <w:rPr>
                <w:i/>
                <w:iCs/>
              </w:rPr>
            </w:pPr>
          </w:p>
          <w:p w14:paraId="564B8A7E" w14:textId="77777777" w:rsidR="00E53EB6" w:rsidRDefault="006500F5">
            <w:pPr>
              <w:pStyle w:val="HaupttextohneEinzug"/>
              <w:rPr>
                <w:i/>
                <w:iCs/>
              </w:rPr>
            </w:pPr>
            <w:r>
              <w:t>5.74.7b</w:t>
            </w:r>
            <w:r>
              <w:rPr>
                <w:i/>
                <w:iCs/>
              </w:rPr>
              <w:t xml:space="preserve">  ā́ vavne mártiyānām</w:t>
            </w:r>
          </w:p>
        </w:tc>
        <w:tc>
          <w:tcPr>
            <w:tcW w:w="3062" w:type="dxa"/>
            <w:tcBorders>
              <w:left w:val="single" w:sz="2" w:space="0" w:color="000000"/>
              <w:bottom w:val="single" w:sz="2" w:space="0" w:color="000000"/>
            </w:tcBorders>
          </w:tcPr>
          <w:p w14:paraId="2B0CE0C3" w14:textId="77777777" w:rsidR="00E53EB6" w:rsidRPr="00494885" w:rsidRDefault="006500F5">
            <w:pPr>
              <w:pStyle w:val="HaupttextohneEinzug"/>
              <w:rPr>
                <w:lang w:val="de-DE"/>
              </w:rPr>
            </w:pPr>
            <w:r w:rsidRPr="00494885">
              <w:rPr>
                <w:lang w:val="de-DE"/>
              </w:rPr>
              <w:lastRenderedPageBreak/>
              <w:t>gewann</w:t>
            </w:r>
          </w:p>
          <w:p w14:paraId="28175C47" w14:textId="77777777" w:rsidR="00E53EB6" w:rsidRPr="00494885" w:rsidRDefault="006500F5">
            <w:pPr>
              <w:pStyle w:val="HaupttextohneEinzug"/>
              <w:rPr>
                <w:lang w:val="de-DE"/>
              </w:rPr>
            </w:pPr>
            <w:r w:rsidRPr="00494885">
              <w:rPr>
                <w:lang w:val="de-DE"/>
              </w:rPr>
              <w:t>a gagné</w:t>
            </w:r>
          </w:p>
          <w:p w14:paraId="233BD58E" w14:textId="77777777" w:rsidR="00E53EB6" w:rsidRPr="00494885" w:rsidRDefault="00E53EB6">
            <w:pPr>
              <w:pStyle w:val="HaupttextohneEinzug"/>
              <w:rPr>
                <w:lang w:val="de-DE"/>
              </w:rPr>
            </w:pPr>
          </w:p>
          <w:p w14:paraId="497C602F" w14:textId="77777777" w:rsidR="00E53EB6" w:rsidRPr="00494885" w:rsidRDefault="006500F5">
            <w:pPr>
              <w:pStyle w:val="HaupttextohneEinzug"/>
              <w:rPr>
                <w:lang w:val="de-DE"/>
              </w:rPr>
            </w:pPr>
            <w:r w:rsidRPr="00494885">
              <w:rPr>
                <w:lang w:val="de-DE"/>
              </w:rPr>
              <w:lastRenderedPageBreak/>
              <w:t>errungen hat</w:t>
            </w:r>
          </w:p>
          <w:p w14:paraId="4382BC5F" w14:textId="77777777" w:rsidR="00E53EB6" w:rsidRPr="00494885" w:rsidRDefault="006500F5">
            <w:pPr>
              <w:pStyle w:val="HaupttextohneEinzug"/>
              <w:rPr>
                <w:lang w:val="de-DE"/>
              </w:rPr>
            </w:pPr>
            <w:r w:rsidRPr="00494885">
              <w:rPr>
                <w:lang w:val="de-DE"/>
              </w:rPr>
              <w:t>a gagné</w:t>
            </w:r>
          </w:p>
          <w:p w14:paraId="0981656D" w14:textId="77777777" w:rsidR="00E53EB6" w:rsidRPr="00494885" w:rsidRDefault="00E53EB6">
            <w:pPr>
              <w:pStyle w:val="HaupttextohneEinzug"/>
              <w:rPr>
                <w:lang w:val="de-DE"/>
              </w:rPr>
            </w:pPr>
          </w:p>
          <w:p w14:paraId="441CC311" w14:textId="77777777" w:rsidR="00E53EB6" w:rsidRPr="00494885" w:rsidRDefault="00E53EB6">
            <w:pPr>
              <w:pStyle w:val="HaupttextohneEinzug"/>
              <w:rPr>
                <w:lang w:val="de-DE"/>
              </w:rPr>
            </w:pPr>
          </w:p>
          <w:p w14:paraId="1E742D0F" w14:textId="77777777" w:rsidR="00E53EB6" w:rsidRDefault="006500F5">
            <w:pPr>
              <w:pStyle w:val="HaupttextohneEinzug"/>
            </w:pPr>
            <w:r>
              <w:t>hat gewonnen</w:t>
            </w:r>
          </w:p>
        </w:tc>
        <w:tc>
          <w:tcPr>
            <w:tcW w:w="1176" w:type="dxa"/>
            <w:tcBorders>
              <w:left w:val="single" w:sz="2" w:space="0" w:color="000000"/>
              <w:bottom w:val="single" w:sz="2" w:space="0" w:color="000000"/>
              <w:right w:val="single" w:sz="2" w:space="0" w:color="000000"/>
            </w:tcBorders>
          </w:tcPr>
          <w:p w14:paraId="69F14FAB" w14:textId="77777777" w:rsidR="00E53EB6" w:rsidRDefault="006500F5">
            <w:pPr>
              <w:pStyle w:val="HaupttextohneEinzug"/>
            </w:pPr>
            <w:r>
              <w:lastRenderedPageBreak/>
              <w:t>*u̯en</w:t>
            </w:r>
          </w:p>
        </w:tc>
      </w:tr>
      <w:tr w:rsidR="00E53EB6" w14:paraId="0EA70D1C" w14:textId="77777777">
        <w:tc>
          <w:tcPr>
            <w:tcW w:w="1210" w:type="dxa"/>
            <w:tcBorders>
              <w:left w:val="single" w:sz="2" w:space="0" w:color="000000"/>
              <w:bottom w:val="single" w:sz="2" w:space="0" w:color="000000"/>
            </w:tcBorders>
          </w:tcPr>
          <w:p w14:paraId="79EAD17C" w14:textId="77777777" w:rsidR="00E53EB6" w:rsidRDefault="006500F5">
            <w:pPr>
              <w:pStyle w:val="HaupttextohneEinzug"/>
            </w:pPr>
            <w:r>
              <w:rPr>
                <w:i/>
                <w:iCs/>
              </w:rPr>
              <w:t>vavanmā́</w:t>
            </w:r>
            <w:r>
              <w:t xml:space="preserve"> </w:t>
            </w:r>
          </w:p>
          <w:p w14:paraId="4073895E" w14:textId="77777777" w:rsidR="00E53EB6" w:rsidRDefault="006500F5">
            <w:pPr>
              <w:pStyle w:val="HaupttextohneEinzug"/>
            </w:pPr>
            <w:r>
              <w:t>(ind. perf. 1 pl. double stem)</w:t>
            </w:r>
          </w:p>
        </w:tc>
        <w:tc>
          <w:tcPr>
            <w:tcW w:w="3236" w:type="dxa"/>
            <w:tcBorders>
              <w:left w:val="single" w:sz="2" w:space="0" w:color="000000"/>
              <w:bottom w:val="single" w:sz="2" w:space="0" w:color="000000"/>
            </w:tcBorders>
          </w:tcPr>
          <w:p w14:paraId="2B69B6CA" w14:textId="77777777" w:rsidR="00E53EB6" w:rsidRDefault="006500F5">
            <w:pPr>
              <w:pStyle w:val="HaupttextohneEinzug"/>
              <w:rPr>
                <w:i/>
                <w:iCs/>
              </w:rPr>
            </w:pPr>
            <w:r>
              <w:t>7.37.5c</w:t>
            </w:r>
            <w:r>
              <w:rPr>
                <w:i/>
                <w:iCs/>
              </w:rPr>
              <w:t xml:space="preserve">  vavanmā́ nú te yújiyābhir ūtī </w:t>
            </w:r>
          </w:p>
        </w:tc>
        <w:tc>
          <w:tcPr>
            <w:tcW w:w="3062" w:type="dxa"/>
            <w:tcBorders>
              <w:left w:val="single" w:sz="2" w:space="0" w:color="000000"/>
              <w:bottom w:val="single" w:sz="2" w:space="0" w:color="000000"/>
            </w:tcBorders>
          </w:tcPr>
          <w:p w14:paraId="11961C7B" w14:textId="77777777" w:rsidR="00E53EB6" w:rsidRPr="00494885" w:rsidRDefault="006500F5">
            <w:pPr>
              <w:pStyle w:val="HaupttextohneEinzug"/>
              <w:rPr>
                <w:lang w:val="de-DE"/>
              </w:rPr>
            </w:pPr>
            <w:r w:rsidRPr="00494885">
              <w:rPr>
                <w:lang w:val="de-DE"/>
              </w:rPr>
              <w:t>haben Gewinn gehabt</w:t>
            </w:r>
          </w:p>
          <w:p w14:paraId="46CF5DE5" w14:textId="77777777" w:rsidR="00E53EB6" w:rsidRPr="00494885" w:rsidRDefault="006500F5">
            <w:pPr>
              <w:pStyle w:val="HaupttextohneEinzug"/>
              <w:rPr>
                <w:lang w:val="de-DE"/>
              </w:rPr>
            </w:pPr>
            <w:r w:rsidRPr="00494885">
              <w:rPr>
                <w:lang w:val="de-DE"/>
              </w:rPr>
              <w:t>avons gagné</w:t>
            </w:r>
          </w:p>
        </w:tc>
        <w:tc>
          <w:tcPr>
            <w:tcW w:w="1176" w:type="dxa"/>
            <w:tcBorders>
              <w:left w:val="single" w:sz="2" w:space="0" w:color="000000"/>
              <w:bottom w:val="single" w:sz="2" w:space="0" w:color="000000"/>
              <w:right w:val="single" w:sz="2" w:space="0" w:color="000000"/>
            </w:tcBorders>
          </w:tcPr>
          <w:p w14:paraId="1C51F169" w14:textId="77777777" w:rsidR="00E53EB6" w:rsidRDefault="006500F5">
            <w:pPr>
              <w:pStyle w:val="HaupttextohneEinzug"/>
            </w:pPr>
            <w:r>
              <w:t>*u̯e u̯ón / u̯n-</w:t>
            </w:r>
          </w:p>
        </w:tc>
      </w:tr>
      <w:tr w:rsidR="00E53EB6" w14:paraId="4893BCF6" w14:textId="77777777">
        <w:tc>
          <w:tcPr>
            <w:tcW w:w="1210" w:type="dxa"/>
            <w:tcBorders>
              <w:left w:val="single" w:sz="2" w:space="0" w:color="000000"/>
              <w:bottom w:val="single" w:sz="2" w:space="0" w:color="000000"/>
            </w:tcBorders>
          </w:tcPr>
          <w:p w14:paraId="39AE94FC" w14:textId="77777777" w:rsidR="00E53EB6" w:rsidRDefault="006500F5">
            <w:pPr>
              <w:pStyle w:val="HaupttextohneEinzug"/>
            </w:pPr>
            <w:r>
              <w:rPr>
                <w:i/>
                <w:iCs/>
              </w:rPr>
              <w:t>vāvántha</w:t>
            </w:r>
            <w:r>
              <w:t xml:space="preserve"> </w:t>
            </w:r>
          </w:p>
          <w:p w14:paraId="799648A8" w14:textId="77777777" w:rsidR="00E53EB6" w:rsidRDefault="006500F5">
            <w:pPr>
              <w:pStyle w:val="HaupttextohneEinzug"/>
            </w:pPr>
            <w:r>
              <w:t>(ind. perf. 2</w:t>
            </w:r>
            <w:r>
              <w:rPr>
                <w:vertAlign w:val="superscript"/>
              </w:rPr>
              <w:t>nd</w:t>
            </w:r>
            <w:r>
              <w:t xml:space="preserve"> sing. double stem)</w:t>
            </w:r>
          </w:p>
        </w:tc>
        <w:tc>
          <w:tcPr>
            <w:tcW w:w="3236" w:type="dxa"/>
            <w:tcBorders>
              <w:left w:val="single" w:sz="2" w:space="0" w:color="000000"/>
              <w:bottom w:val="single" w:sz="2" w:space="0" w:color="000000"/>
            </w:tcBorders>
          </w:tcPr>
          <w:p w14:paraId="156E4F51" w14:textId="77777777" w:rsidR="00E53EB6" w:rsidRDefault="006500F5">
            <w:pPr>
              <w:pStyle w:val="HaupttextohneEinzug"/>
              <w:rPr>
                <w:i/>
                <w:iCs/>
              </w:rPr>
            </w:pPr>
            <w:r>
              <w:t>8.13.33 c</w:t>
            </w:r>
            <w:r>
              <w:rPr>
                <w:i/>
                <w:iCs/>
              </w:rPr>
              <w:t xml:space="preserve">  vāvántha hí práti</w:t>
            </w:r>
            <w:r>
              <w:rPr>
                <w:i/>
                <w:iCs/>
              </w:rPr>
              <w:t>ṣṭ</w:t>
            </w:r>
            <w:r>
              <w:rPr>
                <w:i/>
                <w:iCs/>
              </w:rPr>
              <w:t>uti</w:t>
            </w:r>
            <w:r>
              <w:rPr>
                <w:i/>
                <w:iCs/>
              </w:rPr>
              <w:t>ṃ</w:t>
            </w:r>
            <w:r>
              <w:rPr>
                <w:i/>
                <w:iCs/>
              </w:rPr>
              <w:t xml:space="preserve"> vŕ̥</w:t>
            </w:r>
            <w:r>
              <w:rPr>
                <w:i/>
                <w:iCs/>
              </w:rPr>
              <w:t>ṣ</w:t>
            </w:r>
            <w:r>
              <w:rPr>
                <w:i/>
                <w:iCs/>
              </w:rPr>
              <w:t>ā háva</w:t>
            </w:r>
            <w:r>
              <w:rPr>
                <w:i/>
                <w:iCs/>
              </w:rPr>
              <w:t>ḥ</w:t>
            </w:r>
            <w:r>
              <w:rPr>
                <w:i/>
                <w:iCs/>
              </w:rPr>
              <w:t xml:space="preserve"> </w:t>
            </w:r>
          </w:p>
          <w:p w14:paraId="43E59AAF" w14:textId="77777777" w:rsidR="00E53EB6" w:rsidRDefault="00E53EB6">
            <w:pPr>
              <w:pStyle w:val="HaupttextohneEinzug"/>
              <w:rPr>
                <w:i/>
                <w:iCs/>
              </w:rPr>
            </w:pPr>
          </w:p>
          <w:p w14:paraId="5A6C179F" w14:textId="77777777" w:rsidR="00E53EB6" w:rsidRDefault="00E53EB6">
            <w:pPr>
              <w:pStyle w:val="HaupttextohneEinzug"/>
              <w:rPr>
                <w:i/>
                <w:iCs/>
              </w:rPr>
            </w:pPr>
          </w:p>
          <w:p w14:paraId="7FD305C0" w14:textId="77777777" w:rsidR="00E53EB6" w:rsidRDefault="006500F5">
            <w:pPr>
              <w:pStyle w:val="HaupttextohneEinzug"/>
              <w:rPr>
                <w:i/>
                <w:iCs/>
              </w:rPr>
            </w:pPr>
            <w:r>
              <w:t xml:space="preserve">8.66.5 a </w:t>
            </w:r>
            <w:r>
              <w:rPr>
                <w:i/>
                <w:iCs/>
              </w:rPr>
              <w:t xml:space="preserve">  yád vāvántha puru</w:t>
            </w:r>
            <w:r>
              <w:rPr>
                <w:i/>
                <w:iCs/>
              </w:rPr>
              <w:t>ṣṭ</w:t>
            </w:r>
            <w:r>
              <w:rPr>
                <w:i/>
                <w:iCs/>
              </w:rPr>
              <w:t>uta</w:t>
            </w:r>
          </w:p>
        </w:tc>
        <w:tc>
          <w:tcPr>
            <w:tcW w:w="3062" w:type="dxa"/>
            <w:tcBorders>
              <w:left w:val="single" w:sz="2" w:space="0" w:color="000000"/>
              <w:bottom w:val="single" w:sz="2" w:space="0" w:color="000000"/>
            </w:tcBorders>
          </w:tcPr>
          <w:p w14:paraId="5D909288" w14:textId="77777777" w:rsidR="00E53EB6" w:rsidRDefault="006500F5">
            <w:pPr>
              <w:pStyle w:val="HaupttextohneEinzug"/>
            </w:pPr>
            <w:r>
              <w:t xml:space="preserve">hast Ausspruch </w:t>
            </w:r>
          </w:p>
          <w:p w14:paraId="0E5247F2" w14:textId="77777777" w:rsidR="00E53EB6" w:rsidRDefault="00E53EB6">
            <w:pPr>
              <w:pStyle w:val="HaupttextohneEinzug"/>
            </w:pPr>
          </w:p>
          <w:p w14:paraId="059ECEE8" w14:textId="77777777" w:rsidR="00E53EB6" w:rsidRDefault="00E53EB6">
            <w:pPr>
              <w:pStyle w:val="HaupttextohneEinzug"/>
            </w:pPr>
          </w:p>
          <w:p w14:paraId="38745267" w14:textId="77777777" w:rsidR="00E53EB6" w:rsidRDefault="00E53EB6">
            <w:pPr>
              <w:pStyle w:val="HaupttextohneEinzug"/>
            </w:pPr>
          </w:p>
          <w:p w14:paraId="618A1521" w14:textId="77777777" w:rsidR="00E53EB6" w:rsidRDefault="006500F5">
            <w:pPr>
              <w:pStyle w:val="HaupttextohneEinzug"/>
            </w:pPr>
            <w:r>
              <w:t>verdient hast</w:t>
            </w:r>
          </w:p>
        </w:tc>
        <w:tc>
          <w:tcPr>
            <w:tcW w:w="1176" w:type="dxa"/>
            <w:tcBorders>
              <w:left w:val="single" w:sz="2" w:space="0" w:color="000000"/>
              <w:bottom w:val="single" w:sz="2" w:space="0" w:color="000000"/>
              <w:right w:val="single" w:sz="2" w:space="0" w:color="000000"/>
            </w:tcBorders>
          </w:tcPr>
          <w:p w14:paraId="0959796B" w14:textId="77777777" w:rsidR="00E53EB6" w:rsidRDefault="006500F5">
            <w:pPr>
              <w:pStyle w:val="HaupttextohneEinzug"/>
            </w:pPr>
            <w:r>
              <w:t>*u̯e u̯ón / u̯n-</w:t>
            </w:r>
          </w:p>
        </w:tc>
      </w:tr>
      <w:tr w:rsidR="00E53EB6" w14:paraId="7DBD030B" w14:textId="77777777">
        <w:tc>
          <w:tcPr>
            <w:tcW w:w="1210" w:type="dxa"/>
            <w:tcBorders>
              <w:left w:val="single" w:sz="2" w:space="0" w:color="000000"/>
              <w:bottom w:val="single" w:sz="2" w:space="0" w:color="000000"/>
            </w:tcBorders>
          </w:tcPr>
          <w:p w14:paraId="66C500F5" w14:textId="77777777" w:rsidR="00E53EB6" w:rsidRDefault="006500F5">
            <w:pPr>
              <w:pStyle w:val="HaupttextohneEinzug"/>
            </w:pPr>
            <w:r>
              <w:rPr>
                <w:b/>
                <w:bCs/>
              </w:rPr>
              <w:t>Subjunctive</w:t>
            </w:r>
            <w:r>
              <w:t xml:space="preserve"> </w:t>
            </w:r>
          </w:p>
        </w:tc>
        <w:tc>
          <w:tcPr>
            <w:tcW w:w="3236" w:type="dxa"/>
            <w:tcBorders>
              <w:left w:val="single" w:sz="2" w:space="0" w:color="000000"/>
              <w:bottom w:val="single" w:sz="2" w:space="0" w:color="000000"/>
            </w:tcBorders>
          </w:tcPr>
          <w:p w14:paraId="2EC29DCF" w14:textId="77777777" w:rsidR="00E53EB6" w:rsidRDefault="00E53EB6">
            <w:pPr>
              <w:pStyle w:val="HaupttextohneEinzug"/>
            </w:pPr>
          </w:p>
        </w:tc>
        <w:tc>
          <w:tcPr>
            <w:tcW w:w="3062" w:type="dxa"/>
            <w:tcBorders>
              <w:left w:val="single" w:sz="2" w:space="0" w:color="000000"/>
              <w:bottom w:val="single" w:sz="2" w:space="0" w:color="000000"/>
            </w:tcBorders>
          </w:tcPr>
          <w:p w14:paraId="7B2CC9C4" w14:textId="77777777" w:rsidR="00E53EB6" w:rsidRDefault="00E53EB6">
            <w:pPr>
              <w:pStyle w:val="HaupttextohneEinzug"/>
            </w:pPr>
          </w:p>
        </w:tc>
        <w:tc>
          <w:tcPr>
            <w:tcW w:w="1176" w:type="dxa"/>
            <w:tcBorders>
              <w:left w:val="single" w:sz="2" w:space="0" w:color="000000"/>
              <w:bottom w:val="single" w:sz="2" w:space="0" w:color="000000"/>
              <w:right w:val="single" w:sz="2" w:space="0" w:color="000000"/>
            </w:tcBorders>
          </w:tcPr>
          <w:p w14:paraId="00454D8E" w14:textId="77777777" w:rsidR="00E53EB6" w:rsidRDefault="00E53EB6">
            <w:pPr>
              <w:pStyle w:val="HaupttextohneEinzug"/>
            </w:pPr>
          </w:p>
        </w:tc>
      </w:tr>
      <w:tr w:rsidR="00E53EB6" w14:paraId="447F1111" w14:textId="77777777">
        <w:tc>
          <w:tcPr>
            <w:tcW w:w="1210" w:type="dxa"/>
            <w:tcBorders>
              <w:left w:val="single" w:sz="2" w:space="0" w:color="000000"/>
              <w:bottom w:val="single" w:sz="2" w:space="0" w:color="000000"/>
            </w:tcBorders>
          </w:tcPr>
          <w:p w14:paraId="572AC19F" w14:textId="77777777" w:rsidR="00E53EB6" w:rsidRDefault="006500F5">
            <w:pPr>
              <w:pStyle w:val="HaupttextohneEinzug"/>
            </w:pPr>
            <w:r>
              <w:rPr>
                <w:i/>
                <w:iCs/>
              </w:rPr>
              <w:t>vanavat</w:t>
            </w:r>
            <w:r>
              <w:t xml:space="preserve"> </w:t>
            </w:r>
          </w:p>
          <w:p w14:paraId="1E52C5F5" w14:textId="77777777" w:rsidR="00E53EB6" w:rsidRDefault="006500F5">
            <w:pPr>
              <w:pStyle w:val="HaupttextohneEinzug"/>
            </w:pPr>
            <w:r>
              <w:t>(subj. pres.  3</w:t>
            </w:r>
            <w:r>
              <w:rPr>
                <w:vertAlign w:val="superscript"/>
              </w:rPr>
              <w:t>rd</w:t>
            </w:r>
            <w:r>
              <w:t xml:space="preserve"> sing. VIII cl.)</w:t>
            </w:r>
          </w:p>
        </w:tc>
        <w:tc>
          <w:tcPr>
            <w:tcW w:w="3236" w:type="dxa"/>
            <w:tcBorders>
              <w:left w:val="single" w:sz="2" w:space="0" w:color="000000"/>
              <w:bottom w:val="single" w:sz="2" w:space="0" w:color="000000"/>
            </w:tcBorders>
          </w:tcPr>
          <w:p w14:paraId="68810FA2" w14:textId="77777777" w:rsidR="00E53EB6" w:rsidRDefault="006500F5">
            <w:pPr>
              <w:pStyle w:val="HaupttextohneEinzug"/>
              <w:rPr>
                <w:i/>
                <w:iCs/>
              </w:rPr>
            </w:pPr>
            <w:r>
              <w:t>2.25.1a</w:t>
            </w:r>
            <w:r>
              <w:rPr>
                <w:i/>
                <w:iCs/>
              </w:rPr>
              <w:t xml:space="preserve">  índhāno agní</w:t>
            </w:r>
            <w:r>
              <w:rPr>
                <w:i/>
                <w:iCs/>
              </w:rPr>
              <w:t>ṃ</w:t>
            </w:r>
            <w:r>
              <w:rPr>
                <w:i/>
                <w:iCs/>
              </w:rPr>
              <w:t xml:space="preserve"> vanavad vanu</w:t>
            </w:r>
            <w:r>
              <w:rPr>
                <w:i/>
                <w:iCs/>
              </w:rPr>
              <w:t>ṣ</w:t>
            </w:r>
            <w:r>
              <w:rPr>
                <w:i/>
                <w:iCs/>
              </w:rPr>
              <w:t>yatá</w:t>
            </w:r>
            <w:r>
              <w:rPr>
                <w:i/>
                <w:iCs/>
              </w:rPr>
              <w:t>ḥ</w:t>
            </w:r>
            <w:r>
              <w:rPr>
                <w:i/>
                <w:iCs/>
              </w:rPr>
              <w:t xml:space="preserve"> </w:t>
            </w:r>
          </w:p>
          <w:p w14:paraId="3A41AC91" w14:textId="77777777" w:rsidR="00E53EB6" w:rsidRDefault="00E53EB6">
            <w:pPr>
              <w:pStyle w:val="HaupttextohneEinzug"/>
              <w:rPr>
                <w:i/>
                <w:iCs/>
              </w:rPr>
            </w:pPr>
          </w:p>
          <w:p w14:paraId="0486140A" w14:textId="77777777" w:rsidR="00E53EB6" w:rsidRDefault="006500F5">
            <w:pPr>
              <w:pStyle w:val="HaupttextohneEinzug"/>
              <w:rPr>
                <w:i/>
                <w:iCs/>
              </w:rPr>
            </w:pPr>
            <w:r>
              <w:t>2.25.2a</w:t>
            </w:r>
            <w:r>
              <w:rPr>
                <w:i/>
                <w:iCs/>
              </w:rPr>
              <w:t xml:space="preserve">   vīrébhir vīrā́n vanavad vanu</w:t>
            </w:r>
            <w:r>
              <w:rPr>
                <w:i/>
                <w:iCs/>
              </w:rPr>
              <w:t>ṣ</w:t>
            </w:r>
            <w:r>
              <w:rPr>
                <w:i/>
                <w:iCs/>
              </w:rPr>
              <w:t xml:space="preserve">yató </w:t>
            </w:r>
          </w:p>
          <w:p w14:paraId="26BB838C" w14:textId="77777777" w:rsidR="00E53EB6" w:rsidRDefault="00E53EB6">
            <w:pPr>
              <w:pStyle w:val="HaupttextohneEinzug"/>
              <w:rPr>
                <w:i/>
                <w:iCs/>
              </w:rPr>
            </w:pPr>
          </w:p>
          <w:p w14:paraId="02B26961" w14:textId="77777777" w:rsidR="00E53EB6" w:rsidRDefault="006500F5">
            <w:pPr>
              <w:pStyle w:val="HaupttextohneEinzug"/>
              <w:rPr>
                <w:i/>
                <w:iCs/>
              </w:rPr>
            </w:pPr>
            <w:r>
              <w:t>2.26.1c</w:t>
            </w:r>
            <w:r>
              <w:rPr>
                <w:i/>
                <w:iCs/>
              </w:rPr>
              <w:t xml:space="preserve">  suprāvī́r íd vanavat pr̥tsú du</w:t>
            </w:r>
            <w:r>
              <w:rPr>
                <w:i/>
                <w:iCs/>
              </w:rPr>
              <w:t>ṣṭ</w:t>
            </w:r>
            <w:r>
              <w:rPr>
                <w:i/>
                <w:iCs/>
              </w:rPr>
              <w:t>ára</w:t>
            </w:r>
            <w:r>
              <w:rPr>
                <w:i/>
                <w:iCs/>
              </w:rPr>
              <w:t>ṃ</w:t>
            </w:r>
          </w:p>
          <w:p w14:paraId="118167B6" w14:textId="77777777" w:rsidR="00E53EB6" w:rsidRDefault="00E53EB6">
            <w:pPr>
              <w:pStyle w:val="HaupttextohneEinzug"/>
              <w:rPr>
                <w:i/>
                <w:iCs/>
              </w:rPr>
            </w:pPr>
          </w:p>
          <w:p w14:paraId="2C7470CF" w14:textId="77777777" w:rsidR="00E53EB6" w:rsidRDefault="00E53EB6">
            <w:pPr>
              <w:pStyle w:val="HaupttextohneEinzug"/>
              <w:rPr>
                <w:i/>
                <w:iCs/>
              </w:rPr>
            </w:pPr>
          </w:p>
          <w:p w14:paraId="0A188ED1" w14:textId="77777777" w:rsidR="00E53EB6" w:rsidRPr="00494885" w:rsidRDefault="006500F5">
            <w:pPr>
              <w:pStyle w:val="HaupttextohneEinzug"/>
              <w:rPr>
                <w:i/>
                <w:iCs/>
                <w:lang w:val="it-IT"/>
              </w:rPr>
            </w:pPr>
            <w:r w:rsidRPr="00494885">
              <w:rPr>
                <w:lang w:val="it-IT"/>
              </w:rPr>
              <w:t>5.3.5d</w:t>
            </w:r>
            <w:r w:rsidRPr="00494885">
              <w:rPr>
                <w:i/>
                <w:iCs/>
                <w:lang w:val="it-IT"/>
              </w:rPr>
              <w:t xml:space="preserve">  sá yajñéna vanavad deva mártān </w:t>
            </w:r>
          </w:p>
          <w:p w14:paraId="6B2BA4B1" w14:textId="77777777" w:rsidR="00E53EB6" w:rsidRPr="00494885" w:rsidRDefault="00E53EB6">
            <w:pPr>
              <w:pStyle w:val="HaupttextohneEinzug"/>
              <w:rPr>
                <w:i/>
                <w:iCs/>
                <w:lang w:val="it-IT"/>
              </w:rPr>
            </w:pPr>
          </w:p>
          <w:p w14:paraId="045A000F" w14:textId="77777777" w:rsidR="00E53EB6" w:rsidRPr="00494885" w:rsidRDefault="00E53EB6">
            <w:pPr>
              <w:pStyle w:val="HaupttextohneEinzug"/>
              <w:rPr>
                <w:i/>
                <w:iCs/>
                <w:lang w:val="it-IT"/>
              </w:rPr>
            </w:pPr>
          </w:p>
          <w:p w14:paraId="0BC0E657" w14:textId="77777777" w:rsidR="00E53EB6" w:rsidRPr="00494885" w:rsidRDefault="006500F5">
            <w:pPr>
              <w:pStyle w:val="HaupttextohneEinzug"/>
              <w:rPr>
                <w:i/>
                <w:iCs/>
                <w:lang w:val="it-IT"/>
              </w:rPr>
            </w:pPr>
            <w:r w:rsidRPr="00494885">
              <w:rPr>
                <w:lang w:val="it-IT"/>
              </w:rPr>
              <w:t>5.37.2a</w:t>
            </w:r>
            <w:r w:rsidRPr="00494885">
              <w:rPr>
                <w:i/>
                <w:iCs/>
                <w:lang w:val="it-IT"/>
              </w:rPr>
              <w:t xml:space="preserve">  sámiddhāgnir vanavat stīr</w:t>
            </w:r>
            <w:r w:rsidRPr="00494885">
              <w:rPr>
                <w:i/>
                <w:iCs/>
                <w:lang w:val="it-IT"/>
              </w:rPr>
              <w:t>ṇ</w:t>
            </w:r>
            <w:r w:rsidRPr="00494885">
              <w:rPr>
                <w:i/>
                <w:iCs/>
                <w:lang w:val="it-IT"/>
              </w:rPr>
              <w:t xml:space="preserve">ábarhir </w:t>
            </w:r>
          </w:p>
          <w:p w14:paraId="02515580" w14:textId="77777777" w:rsidR="00E53EB6" w:rsidRPr="00494885" w:rsidRDefault="00E53EB6">
            <w:pPr>
              <w:pStyle w:val="HaupttextohneEinzug"/>
              <w:rPr>
                <w:i/>
                <w:iCs/>
                <w:lang w:val="it-IT"/>
              </w:rPr>
            </w:pPr>
          </w:p>
          <w:p w14:paraId="0549C454" w14:textId="77777777" w:rsidR="00E53EB6" w:rsidRPr="00494885" w:rsidRDefault="006500F5">
            <w:pPr>
              <w:pStyle w:val="HaupttextohneEinzug"/>
              <w:rPr>
                <w:i/>
                <w:iCs/>
                <w:lang w:val="it-IT"/>
              </w:rPr>
            </w:pPr>
            <w:r w:rsidRPr="00494885">
              <w:rPr>
                <w:lang w:val="it-IT"/>
              </w:rPr>
              <w:t>5.44.7d</w:t>
            </w:r>
            <w:r w:rsidRPr="00494885">
              <w:rPr>
                <w:i/>
                <w:iCs/>
                <w:lang w:val="it-IT"/>
              </w:rPr>
              <w:t xml:space="preserve">  asmā́ka</w:t>
            </w:r>
            <w:r w:rsidRPr="00494885">
              <w:rPr>
                <w:i/>
                <w:iCs/>
                <w:lang w:val="it-IT"/>
              </w:rPr>
              <w:t>ṃ</w:t>
            </w:r>
            <w:r w:rsidRPr="00494885">
              <w:rPr>
                <w:i/>
                <w:iCs/>
                <w:lang w:val="it-IT"/>
              </w:rPr>
              <w:t xml:space="preserve"> śárma vanavat suā́vasu</w:t>
            </w:r>
            <w:r w:rsidRPr="00494885">
              <w:rPr>
                <w:i/>
                <w:iCs/>
                <w:lang w:val="it-IT"/>
              </w:rPr>
              <w:t>ḥ</w:t>
            </w:r>
          </w:p>
          <w:p w14:paraId="79FD802A" w14:textId="77777777" w:rsidR="00E53EB6" w:rsidRPr="00494885" w:rsidRDefault="00E53EB6">
            <w:pPr>
              <w:pStyle w:val="HaupttextohneEinzug"/>
              <w:rPr>
                <w:i/>
                <w:iCs/>
                <w:lang w:val="it-IT"/>
              </w:rPr>
            </w:pPr>
          </w:p>
          <w:p w14:paraId="0D2ABE31" w14:textId="77777777" w:rsidR="00E53EB6" w:rsidRPr="00494885" w:rsidRDefault="00E53EB6">
            <w:pPr>
              <w:pStyle w:val="HaupttextohneEinzug"/>
              <w:rPr>
                <w:i/>
                <w:iCs/>
                <w:lang w:val="it-IT"/>
              </w:rPr>
            </w:pPr>
          </w:p>
          <w:p w14:paraId="3BCF1A91" w14:textId="77777777" w:rsidR="00E53EB6" w:rsidRPr="00494885" w:rsidRDefault="006500F5">
            <w:pPr>
              <w:pStyle w:val="HaupttextohneEinzug"/>
              <w:rPr>
                <w:i/>
                <w:iCs/>
                <w:lang w:val="it-IT"/>
              </w:rPr>
            </w:pPr>
            <w:r w:rsidRPr="00494885">
              <w:rPr>
                <w:lang w:val="it-IT"/>
              </w:rPr>
              <w:t>6.33.1c</w:t>
            </w:r>
            <w:r w:rsidRPr="00494885">
              <w:rPr>
                <w:i/>
                <w:iCs/>
                <w:lang w:val="it-IT"/>
              </w:rPr>
              <w:t xml:space="preserve"> saúvaśviya</w:t>
            </w:r>
            <w:r w:rsidRPr="00494885">
              <w:rPr>
                <w:i/>
                <w:iCs/>
                <w:lang w:val="it-IT"/>
              </w:rPr>
              <w:t>ṃ</w:t>
            </w:r>
            <w:r w:rsidRPr="00494885">
              <w:rPr>
                <w:i/>
                <w:iCs/>
                <w:lang w:val="it-IT"/>
              </w:rPr>
              <w:t xml:space="preserve"> yó vanávat suáśvo </w:t>
            </w:r>
          </w:p>
          <w:p w14:paraId="133B126E" w14:textId="77777777" w:rsidR="00E53EB6" w:rsidRPr="00494885" w:rsidRDefault="00E53EB6">
            <w:pPr>
              <w:pStyle w:val="HaupttextohneEinzug"/>
              <w:rPr>
                <w:i/>
                <w:iCs/>
                <w:lang w:val="it-IT"/>
              </w:rPr>
            </w:pPr>
          </w:p>
          <w:p w14:paraId="5C3ED310" w14:textId="77777777" w:rsidR="00E53EB6" w:rsidRPr="00494885" w:rsidRDefault="00E53EB6">
            <w:pPr>
              <w:pStyle w:val="HaupttextohneEinzug"/>
              <w:rPr>
                <w:i/>
                <w:iCs/>
                <w:lang w:val="it-IT"/>
              </w:rPr>
            </w:pPr>
          </w:p>
          <w:p w14:paraId="7133E321" w14:textId="77777777" w:rsidR="00E53EB6" w:rsidRPr="00494885" w:rsidRDefault="006500F5">
            <w:pPr>
              <w:pStyle w:val="HaupttextohneEinzug"/>
              <w:rPr>
                <w:i/>
                <w:iCs/>
                <w:lang w:val="it-IT"/>
              </w:rPr>
            </w:pPr>
            <w:r w:rsidRPr="00494885">
              <w:rPr>
                <w:lang w:val="it-IT"/>
              </w:rPr>
              <w:t>9.77.4a</w:t>
            </w:r>
            <w:r w:rsidRPr="00494885">
              <w:rPr>
                <w:i/>
                <w:iCs/>
                <w:lang w:val="it-IT"/>
              </w:rPr>
              <w:t xml:space="preserve">  ayá</w:t>
            </w:r>
            <w:r w:rsidRPr="00494885">
              <w:rPr>
                <w:i/>
                <w:iCs/>
                <w:lang w:val="it-IT"/>
              </w:rPr>
              <w:t>ṃ</w:t>
            </w:r>
            <w:r w:rsidRPr="00494885">
              <w:rPr>
                <w:i/>
                <w:iCs/>
                <w:lang w:val="it-IT"/>
              </w:rPr>
              <w:t xml:space="preserve"> no vidvā́n vanavad vanu</w:t>
            </w:r>
            <w:r w:rsidRPr="00494885">
              <w:rPr>
                <w:i/>
                <w:iCs/>
                <w:lang w:val="it-IT"/>
              </w:rPr>
              <w:t>ṣ</w:t>
            </w:r>
            <w:r w:rsidRPr="00494885">
              <w:rPr>
                <w:i/>
                <w:iCs/>
                <w:lang w:val="it-IT"/>
              </w:rPr>
              <w:t xml:space="preserve">yatá </w:t>
            </w:r>
          </w:p>
          <w:p w14:paraId="6E9D4C6A" w14:textId="77777777" w:rsidR="00E53EB6" w:rsidRPr="00494885" w:rsidRDefault="00E53EB6">
            <w:pPr>
              <w:pStyle w:val="HaupttextohneEinzug"/>
              <w:rPr>
                <w:i/>
                <w:iCs/>
                <w:lang w:val="it-IT"/>
              </w:rPr>
            </w:pPr>
          </w:p>
          <w:p w14:paraId="23898036" w14:textId="77777777" w:rsidR="00E53EB6" w:rsidRDefault="006500F5">
            <w:pPr>
              <w:pStyle w:val="HaupttextohneEinzug"/>
              <w:rPr>
                <w:i/>
                <w:iCs/>
              </w:rPr>
            </w:pPr>
            <w:r>
              <w:t>10.27.18d</w:t>
            </w:r>
            <w:r>
              <w:rPr>
                <w:i/>
                <w:iCs/>
              </w:rPr>
              <w:t xml:space="preserve"> drúanna íd vanavat sarpíranna</w:t>
            </w:r>
            <w:r>
              <w:rPr>
                <w:i/>
                <w:iCs/>
              </w:rPr>
              <w:t>ḥ</w:t>
            </w:r>
          </w:p>
          <w:p w14:paraId="6D085B46" w14:textId="77777777" w:rsidR="00E53EB6" w:rsidRDefault="00E53EB6">
            <w:pPr>
              <w:pStyle w:val="HaupttextohneEinzug"/>
              <w:rPr>
                <w:i/>
                <w:iCs/>
              </w:rPr>
            </w:pPr>
          </w:p>
        </w:tc>
        <w:tc>
          <w:tcPr>
            <w:tcW w:w="3062" w:type="dxa"/>
            <w:tcBorders>
              <w:left w:val="single" w:sz="2" w:space="0" w:color="000000"/>
              <w:bottom w:val="single" w:sz="2" w:space="0" w:color="000000"/>
            </w:tcBorders>
          </w:tcPr>
          <w:p w14:paraId="74A28D74" w14:textId="77777777" w:rsidR="00E53EB6" w:rsidRPr="00494885" w:rsidRDefault="006500F5">
            <w:pPr>
              <w:pStyle w:val="HaupttextohneEinzug"/>
              <w:rPr>
                <w:lang w:val="de-DE"/>
              </w:rPr>
            </w:pPr>
            <w:r w:rsidRPr="00494885">
              <w:rPr>
                <w:lang w:val="de-DE"/>
              </w:rPr>
              <w:t>wir</w:t>
            </w:r>
            <w:r w:rsidRPr="00494885">
              <w:rPr>
                <w:lang w:val="de-DE"/>
              </w:rPr>
              <w:t>d überwinden</w:t>
            </w:r>
          </w:p>
          <w:p w14:paraId="1B199341" w14:textId="77777777" w:rsidR="00E53EB6" w:rsidRPr="00494885" w:rsidRDefault="006500F5">
            <w:pPr>
              <w:pStyle w:val="HaupttextohneEinzug"/>
              <w:rPr>
                <w:lang w:val="de-DE"/>
              </w:rPr>
            </w:pPr>
            <w:r w:rsidRPr="00494885">
              <w:rPr>
                <w:lang w:val="de-DE"/>
              </w:rPr>
              <w:t>vaincra</w:t>
            </w:r>
          </w:p>
          <w:p w14:paraId="3F32DEAF" w14:textId="77777777" w:rsidR="00E53EB6" w:rsidRPr="00494885" w:rsidRDefault="00E53EB6">
            <w:pPr>
              <w:pStyle w:val="HaupttextohneEinzug"/>
              <w:rPr>
                <w:lang w:val="de-DE"/>
              </w:rPr>
            </w:pPr>
          </w:p>
          <w:p w14:paraId="1D95B0A6" w14:textId="77777777" w:rsidR="00E53EB6" w:rsidRPr="00494885" w:rsidRDefault="006500F5">
            <w:pPr>
              <w:pStyle w:val="HaupttextohneEinzug"/>
              <w:rPr>
                <w:lang w:val="de-DE"/>
              </w:rPr>
            </w:pPr>
            <w:r w:rsidRPr="00494885">
              <w:rPr>
                <w:lang w:val="de-DE"/>
              </w:rPr>
              <w:t>wird überwinden</w:t>
            </w:r>
          </w:p>
          <w:p w14:paraId="12A69850" w14:textId="77777777" w:rsidR="00E53EB6" w:rsidRPr="00494885" w:rsidRDefault="006500F5">
            <w:pPr>
              <w:pStyle w:val="HaupttextohneEinzug"/>
              <w:rPr>
                <w:lang w:val="de-DE"/>
              </w:rPr>
            </w:pPr>
            <w:r w:rsidRPr="00494885">
              <w:rPr>
                <w:lang w:val="de-DE"/>
              </w:rPr>
              <w:t>vaincra</w:t>
            </w:r>
          </w:p>
          <w:p w14:paraId="1C2DFDE5" w14:textId="77777777" w:rsidR="00E53EB6" w:rsidRPr="00494885" w:rsidRDefault="00E53EB6">
            <w:pPr>
              <w:pStyle w:val="HaupttextohneEinzug"/>
              <w:rPr>
                <w:lang w:val="de-DE"/>
              </w:rPr>
            </w:pPr>
          </w:p>
          <w:p w14:paraId="2B7202F3" w14:textId="77777777" w:rsidR="00E53EB6" w:rsidRPr="00494885" w:rsidRDefault="006500F5">
            <w:pPr>
              <w:pStyle w:val="HaupttextohneEinzug"/>
              <w:rPr>
                <w:lang w:val="de-DE"/>
              </w:rPr>
            </w:pPr>
            <w:r w:rsidRPr="00494885">
              <w:rPr>
                <w:lang w:val="de-DE"/>
              </w:rPr>
              <w:t>wird überwinden</w:t>
            </w:r>
          </w:p>
          <w:p w14:paraId="4FE7E610" w14:textId="77777777" w:rsidR="00E53EB6" w:rsidRPr="00494885" w:rsidRDefault="006500F5">
            <w:pPr>
              <w:pStyle w:val="HaupttextohneEinzug"/>
              <w:rPr>
                <w:lang w:val="de-DE"/>
              </w:rPr>
            </w:pPr>
            <w:r w:rsidRPr="00494885">
              <w:rPr>
                <w:lang w:val="de-DE"/>
              </w:rPr>
              <w:t>vaincra</w:t>
            </w:r>
          </w:p>
          <w:p w14:paraId="0E71E016" w14:textId="77777777" w:rsidR="00E53EB6" w:rsidRPr="00494885" w:rsidRDefault="00E53EB6">
            <w:pPr>
              <w:pStyle w:val="HaupttextohneEinzug"/>
              <w:rPr>
                <w:lang w:val="de-DE"/>
              </w:rPr>
            </w:pPr>
          </w:p>
          <w:p w14:paraId="41AE7187" w14:textId="77777777" w:rsidR="00E53EB6" w:rsidRPr="00494885" w:rsidRDefault="00E53EB6">
            <w:pPr>
              <w:pStyle w:val="HaupttextohneEinzug"/>
              <w:rPr>
                <w:lang w:val="de-DE"/>
              </w:rPr>
            </w:pPr>
          </w:p>
          <w:p w14:paraId="5C461119" w14:textId="77777777" w:rsidR="00E53EB6" w:rsidRPr="00494885" w:rsidRDefault="006500F5">
            <w:pPr>
              <w:pStyle w:val="HaupttextohneEinzug"/>
              <w:rPr>
                <w:lang w:val="de-DE"/>
              </w:rPr>
            </w:pPr>
            <w:r w:rsidRPr="00494885">
              <w:rPr>
                <w:lang w:val="de-DE"/>
              </w:rPr>
              <w:t xml:space="preserve">wird  überbieten                 </w:t>
            </w:r>
          </w:p>
          <w:p w14:paraId="070AC9BF" w14:textId="77777777" w:rsidR="00E53EB6" w:rsidRPr="00494885" w:rsidRDefault="006500F5">
            <w:pPr>
              <w:pStyle w:val="HaupttextohneEinzug"/>
              <w:rPr>
                <w:lang w:val="de-DE"/>
              </w:rPr>
            </w:pPr>
            <w:r w:rsidRPr="00494885">
              <w:rPr>
                <w:lang w:val="de-DE"/>
              </w:rPr>
              <w:t>l’emportera sur</w:t>
            </w:r>
          </w:p>
          <w:p w14:paraId="43EA59D0" w14:textId="77777777" w:rsidR="00E53EB6" w:rsidRPr="00494885" w:rsidRDefault="00E53EB6">
            <w:pPr>
              <w:pStyle w:val="HaupttextohneEinzug"/>
              <w:rPr>
                <w:lang w:val="de-DE"/>
              </w:rPr>
            </w:pPr>
          </w:p>
          <w:p w14:paraId="10844799" w14:textId="77777777" w:rsidR="00E53EB6" w:rsidRPr="00494885" w:rsidRDefault="00E53EB6">
            <w:pPr>
              <w:pStyle w:val="HaupttextohneEinzug"/>
              <w:rPr>
                <w:lang w:val="de-DE"/>
              </w:rPr>
            </w:pPr>
          </w:p>
          <w:p w14:paraId="3DBB738D" w14:textId="77777777" w:rsidR="00E53EB6" w:rsidRPr="00494885" w:rsidRDefault="006500F5">
            <w:pPr>
              <w:pStyle w:val="HaupttextohneEinzug"/>
              <w:rPr>
                <w:lang w:val="de-DE"/>
              </w:rPr>
            </w:pPr>
            <w:r w:rsidRPr="00494885">
              <w:rPr>
                <w:lang w:val="de-DE"/>
              </w:rPr>
              <w:t>den Vorrang gewinnen soll</w:t>
            </w:r>
          </w:p>
          <w:p w14:paraId="5B4CC030" w14:textId="77777777" w:rsidR="00E53EB6" w:rsidRPr="00494885" w:rsidRDefault="00E53EB6">
            <w:pPr>
              <w:pStyle w:val="HaupttextohneEinzug"/>
              <w:rPr>
                <w:lang w:val="de-DE"/>
              </w:rPr>
            </w:pPr>
          </w:p>
          <w:p w14:paraId="2A75D4B8" w14:textId="77777777" w:rsidR="00E53EB6" w:rsidRPr="00494885" w:rsidRDefault="00E53EB6">
            <w:pPr>
              <w:pStyle w:val="HaupttextohneEinzug"/>
              <w:rPr>
                <w:lang w:val="de-DE"/>
              </w:rPr>
            </w:pPr>
          </w:p>
          <w:p w14:paraId="056E642C" w14:textId="77777777" w:rsidR="00E53EB6" w:rsidRPr="00494885" w:rsidRDefault="006500F5">
            <w:pPr>
              <w:pStyle w:val="HaupttextohneEinzug"/>
              <w:rPr>
                <w:lang w:val="de-DE"/>
              </w:rPr>
            </w:pPr>
            <w:r w:rsidRPr="00494885">
              <w:rPr>
                <w:lang w:val="de-DE"/>
              </w:rPr>
              <w:t xml:space="preserve">möge zuwenden </w:t>
            </w:r>
          </w:p>
          <w:p w14:paraId="7705B0D7" w14:textId="77777777" w:rsidR="00E53EB6" w:rsidRPr="00494885" w:rsidRDefault="006500F5">
            <w:pPr>
              <w:pStyle w:val="HaupttextohneEinzug"/>
              <w:rPr>
                <w:lang w:val="de-DE"/>
              </w:rPr>
            </w:pPr>
            <w:r w:rsidRPr="00494885">
              <w:rPr>
                <w:lang w:val="de-DE"/>
              </w:rPr>
              <w:t>assure nous</w:t>
            </w:r>
          </w:p>
          <w:p w14:paraId="305E2589" w14:textId="77777777" w:rsidR="00E53EB6" w:rsidRPr="00494885" w:rsidRDefault="00E53EB6">
            <w:pPr>
              <w:pStyle w:val="HaupttextohneEinzug"/>
              <w:rPr>
                <w:lang w:val="de-DE"/>
              </w:rPr>
            </w:pPr>
          </w:p>
          <w:p w14:paraId="26D2D54F" w14:textId="77777777" w:rsidR="00E53EB6" w:rsidRPr="00494885" w:rsidRDefault="00E53EB6">
            <w:pPr>
              <w:pStyle w:val="HaupttextohneEinzug"/>
              <w:rPr>
                <w:lang w:val="de-DE"/>
              </w:rPr>
            </w:pPr>
          </w:p>
          <w:p w14:paraId="014DF7B1" w14:textId="77777777" w:rsidR="00E53EB6" w:rsidRPr="00494885" w:rsidRDefault="006500F5">
            <w:pPr>
              <w:pStyle w:val="HaupttextohneEinzug"/>
              <w:rPr>
                <w:lang w:val="de-DE"/>
              </w:rPr>
            </w:pPr>
            <w:r w:rsidRPr="00494885">
              <w:rPr>
                <w:lang w:val="de-DE"/>
              </w:rPr>
              <w:t>gewinnt</w:t>
            </w:r>
          </w:p>
          <w:p w14:paraId="2723F96D" w14:textId="77777777" w:rsidR="00E53EB6" w:rsidRPr="00494885" w:rsidRDefault="00E53EB6">
            <w:pPr>
              <w:pStyle w:val="HaupttextohneEinzug"/>
              <w:rPr>
                <w:lang w:val="de-DE"/>
              </w:rPr>
            </w:pPr>
          </w:p>
          <w:p w14:paraId="2A247FF3" w14:textId="77777777" w:rsidR="00E53EB6" w:rsidRPr="00494885" w:rsidRDefault="00E53EB6">
            <w:pPr>
              <w:pStyle w:val="HaupttextohneEinzug"/>
              <w:rPr>
                <w:lang w:val="de-DE"/>
              </w:rPr>
            </w:pPr>
          </w:p>
          <w:p w14:paraId="554D58D7" w14:textId="77777777" w:rsidR="00E53EB6" w:rsidRPr="00494885" w:rsidRDefault="00E53EB6">
            <w:pPr>
              <w:pStyle w:val="HaupttextohneEinzug"/>
              <w:rPr>
                <w:lang w:val="de-DE"/>
              </w:rPr>
            </w:pPr>
          </w:p>
          <w:p w14:paraId="13562436" w14:textId="77777777" w:rsidR="00E53EB6" w:rsidRPr="00494885" w:rsidRDefault="006500F5">
            <w:pPr>
              <w:pStyle w:val="HaupttextohneEinzug"/>
              <w:rPr>
                <w:lang w:val="de-DE"/>
              </w:rPr>
            </w:pPr>
            <w:r w:rsidRPr="00494885">
              <w:rPr>
                <w:lang w:val="de-DE"/>
              </w:rPr>
              <w:t>soll überbieten</w:t>
            </w:r>
          </w:p>
          <w:p w14:paraId="6AB7DD38" w14:textId="77777777" w:rsidR="00E53EB6" w:rsidRPr="00494885" w:rsidRDefault="006500F5">
            <w:pPr>
              <w:pStyle w:val="HaupttextohneEinzug"/>
              <w:rPr>
                <w:lang w:val="de-DE"/>
              </w:rPr>
            </w:pPr>
            <w:r w:rsidRPr="00494885">
              <w:rPr>
                <w:lang w:val="de-DE"/>
              </w:rPr>
              <w:t>l’emporte</w:t>
            </w:r>
          </w:p>
          <w:p w14:paraId="2AAE90A0" w14:textId="77777777" w:rsidR="00E53EB6" w:rsidRPr="00494885" w:rsidRDefault="00E53EB6">
            <w:pPr>
              <w:pStyle w:val="HaupttextohneEinzug"/>
              <w:rPr>
                <w:lang w:val="de-DE"/>
              </w:rPr>
            </w:pPr>
          </w:p>
          <w:p w14:paraId="05EF1774" w14:textId="77777777" w:rsidR="00E53EB6" w:rsidRDefault="006500F5">
            <w:pPr>
              <w:pStyle w:val="HaupttextohneEinzug"/>
            </w:pPr>
            <w:r>
              <w:t>wird gewinnen</w:t>
            </w:r>
          </w:p>
        </w:tc>
        <w:tc>
          <w:tcPr>
            <w:tcW w:w="1176" w:type="dxa"/>
            <w:tcBorders>
              <w:left w:val="single" w:sz="2" w:space="0" w:color="000000"/>
              <w:bottom w:val="single" w:sz="2" w:space="0" w:color="000000"/>
              <w:right w:val="single" w:sz="2" w:space="0" w:color="000000"/>
            </w:tcBorders>
          </w:tcPr>
          <w:p w14:paraId="40638200" w14:textId="77777777" w:rsidR="00E53EB6" w:rsidRDefault="006500F5">
            <w:pPr>
              <w:pStyle w:val="HaupttextohneEinzug"/>
            </w:pPr>
            <w:r>
              <w:t>* u̯en</w:t>
            </w:r>
          </w:p>
        </w:tc>
      </w:tr>
      <w:tr w:rsidR="00E53EB6" w14:paraId="34047917" w14:textId="77777777">
        <w:tc>
          <w:tcPr>
            <w:tcW w:w="1210" w:type="dxa"/>
            <w:tcBorders>
              <w:left w:val="single" w:sz="2" w:space="0" w:color="000000"/>
              <w:bottom w:val="single" w:sz="2" w:space="0" w:color="000000"/>
            </w:tcBorders>
          </w:tcPr>
          <w:p w14:paraId="59BE9590" w14:textId="77777777" w:rsidR="00E53EB6" w:rsidRDefault="006500F5">
            <w:pPr>
              <w:pStyle w:val="HaupttextohneEinzug"/>
            </w:pPr>
            <w:r>
              <w:rPr>
                <w:i/>
                <w:iCs/>
              </w:rPr>
              <w:lastRenderedPageBreak/>
              <w:t>vanavase</w:t>
            </w:r>
            <w:r>
              <w:t xml:space="preserve"> </w:t>
            </w:r>
          </w:p>
          <w:p w14:paraId="7F7C8DB9" w14:textId="77777777" w:rsidR="00E53EB6" w:rsidRDefault="006500F5">
            <w:pPr>
              <w:pStyle w:val="HaupttextohneEinzug"/>
            </w:pPr>
            <w:r>
              <w:t>(subj. pres. 2</w:t>
            </w:r>
            <w:r>
              <w:rPr>
                <w:vertAlign w:val="superscript"/>
              </w:rPr>
              <w:t>nd</w:t>
            </w:r>
            <w:r>
              <w:t xml:space="preserve"> sing. Ā VIII cl.)</w:t>
            </w:r>
          </w:p>
        </w:tc>
        <w:tc>
          <w:tcPr>
            <w:tcW w:w="3236" w:type="dxa"/>
            <w:tcBorders>
              <w:left w:val="single" w:sz="2" w:space="0" w:color="000000"/>
              <w:bottom w:val="single" w:sz="2" w:space="0" w:color="000000"/>
            </w:tcBorders>
          </w:tcPr>
          <w:p w14:paraId="6855FF4B" w14:textId="77777777" w:rsidR="00E53EB6" w:rsidRDefault="006500F5">
            <w:pPr>
              <w:pStyle w:val="HaupttextohneEinzug"/>
            </w:pPr>
            <w:r>
              <w:t xml:space="preserve">6.16.18c </w:t>
            </w:r>
            <w:r>
              <w:rPr>
                <w:i/>
                <w:iCs/>
              </w:rPr>
              <w:t>áthā dúvo vanavase</w:t>
            </w:r>
          </w:p>
        </w:tc>
        <w:tc>
          <w:tcPr>
            <w:tcW w:w="3062" w:type="dxa"/>
            <w:tcBorders>
              <w:left w:val="single" w:sz="2" w:space="0" w:color="000000"/>
              <w:bottom w:val="single" w:sz="2" w:space="0" w:color="000000"/>
            </w:tcBorders>
          </w:tcPr>
          <w:p w14:paraId="462FE1A6" w14:textId="77777777" w:rsidR="00E53EB6" w:rsidRDefault="006500F5">
            <w:pPr>
              <w:pStyle w:val="HaupttextohneEinzug"/>
            </w:pPr>
            <w:r>
              <w:t>wirst gewinnen</w:t>
            </w:r>
          </w:p>
          <w:p w14:paraId="35F06B62" w14:textId="77777777" w:rsidR="00E53EB6" w:rsidRDefault="006500F5">
            <w:pPr>
              <w:pStyle w:val="HaupttextohneEinzug"/>
            </w:pPr>
            <w:r>
              <w:t>procureras</w:t>
            </w:r>
          </w:p>
        </w:tc>
        <w:tc>
          <w:tcPr>
            <w:tcW w:w="1176" w:type="dxa"/>
            <w:tcBorders>
              <w:left w:val="single" w:sz="2" w:space="0" w:color="000000"/>
              <w:bottom w:val="single" w:sz="2" w:space="0" w:color="000000"/>
              <w:right w:val="single" w:sz="2" w:space="0" w:color="000000"/>
            </w:tcBorders>
          </w:tcPr>
          <w:p w14:paraId="63544C6A" w14:textId="77777777" w:rsidR="00E53EB6" w:rsidRDefault="006500F5">
            <w:pPr>
              <w:pStyle w:val="HaupttextohneEinzug"/>
            </w:pPr>
            <w:r>
              <w:t>* u̯en</w:t>
            </w:r>
          </w:p>
        </w:tc>
      </w:tr>
      <w:tr w:rsidR="00E53EB6" w14:paraId="38B172C0" w14:textId="77777777">
        <w:tc>
          <w:tcPr>
            <w:tcW w:w="1210" w:type="dxa"/>
            <w:tcBorders>
              <w:left w:val="single" w:sz="2" w:space="0" w:color="000000"/>
              <w:bottom w:val="single" w:sz="2" w:space="0" w:color="000000"/>
            </w:tcBorders>
          </w:tcPr>
          <w:p w14:paraId="2AA6477D" w14:textId="77777777" w:rsidR="00E53EB6" w:rsidRDefault="006500F5">
            <w:pPr>
              <w:pStyle w:val="HaupttextohneEinzug"/>
            </w:pPr>
            <w:r>
              <w:rPr>
                <w:i/>
                <w:iCs/>
              </w:rPr>
              <w:t>vanate</w:t>
            </w:r>
            <w:r>
              <w:t xml:space="preserve"> </w:t>
            </w:r>
          </w:p>
          <w:p w14:paraId="481161F9" w14:textId="77777777" w:rsidR="00E53EB6" w:rsidRDefault="006500F5">
            <w:pPr>
              <w:pStyle w:val="HaupttextohneEinzug"/>
            </w:pPr>
            <w:r>
              <w:t>(subj.  aor. 3</w:t>
            </w:r>
            <w:r>
              <w:rPr>
                <w:vertAlign w:val="superscript"/>
              </w:rPr>
              <w:t>rd</w:t>
            </w:r>
            <w:r>
              <w:t xml:space="preserve"> sing. Ā VIII cl.)</w:t>
            </w:r>
          </w:p>
        </w:tc>
        <w:tc>
          <w:tcPr>
            <w:tcW w:w="3236" w:type="dxa"/>
            <w:tcBorders>
              <w:left w:val="single" w:sz="2" w:space="0" w:color="000000"/>
              <w:bottom w:val="single" w:sz="2" w:space="0" w:color="000000"/>
            </w:tcBorders>
          </w:tcPr>
          <w:p w14:paraId="5DE865F2" w14:textId="77777777" w:rsidR="00E53EB6" w:rsidRDefault="006500F5">
            <w:pPr>
              <w:pStyle w:val="HaupttextohneEinzug"/>
              <w:rPr>
                <w:i/>
                <w:iCs/>
              </w:rPr>
            </w:pPr>
            <w:r>
              <w:t>5.3.10d</w:t>
            </w:r>
            <w:r>
              <w:rPr>
                <w:i/>
                <w:iCs/>
              </w:rPr>
              <w:t xml:space="preserve">  sumnám agnír vanate vāvr̥dhāná</w:t>
            </w:r>
            <w:r>
              <w:rPr>
                <w:i/>
                <w:iCs/>
              </w:rPr>
              <w:t>ḥ</w:t>
            </w:r>
            <w:r>
              <w:rPr>
                <w:i/>
                <w:iCs/>
              </w:rPr>
              <w:t xml:space="preserve"> </w:t>
            </w:r>
          </w:p>
          <w:p w14:paraId="379BE29C" w14:textId="77777777" w:rsidR="00E53EB6" w:rsidRDefault="00E53EB6">
            <w:pPr>
              <w:pStyle w:val="HaupttextohneEinzug"/>
              <w:rPr>
                <w:i/>
                <w:iCs/>
              </w:rPr>
            </w:pPr>
          </w:p>
          <w:p w14:paraId="72515183" w14:textId="77777777" w:rsidR="00E53EB6" w:rsidRDefault="006500F5">
            <w:pPr>
              <w:pStyle w:val="HaupttextohneEinzug"/>
              <w:rPr>
                <w:i/>
                <w:iCs/>
              </w:rPr>
            </w:pPr>
            <w:r>
              <w:t>5.4.3d</w:t>
            </w:r>
            <w:r>
              <w:rPr>
                <w:i/>
                <w:iCs/>
              </w:rPr>
              <w:t xml:space="preserve">   sá devé</w:t>
            </w:r>
            <w:r>
              <w:rPr>
                <w:i/>
                <w:iCs/>
              </w:rPr>
              <w:t>ṣ</w:t>
            </w:r>
            <w:r>
              <w:rPr>
                <w:i/>
                <w:iCs/>
              </w:rPr>
              <w:t>u vanate vā́riyā</w:t>
            </w:r>
            <w:r>
              <w:rPr>
                <w:i/>
                <w:iCs/>
              </w:rPr>
              <w:t>ṇ</w:t>
            </w:r>
            <w:r>
              <w:rPr>
                <w:i/>
                <w:iCs/>
              </w:rPr>
              <w:t xml:space="preserve">i </w:t>
            </w:r>
          </w:p>
          <w:p w14:paraId="34B0FC70" w14:textId="77777777" w:rsidR="00E53EB6" w:rsidRDefault="00E53EB6">
            <w:pPr>
              <w:pStyle w:val="HaupttextohneEinzug"/>
              <w:rPr>
                <w:i/>
                <w:iCs/>
              </w:rPr>
            </w:pPr>
          </w:p>
          <w:p w14:paraId="04D11342" w14:textId="77777777" w:rsidR="00E53EB6" w:rsidRPr="00494885" w:rsidRDefault="006500F5">
            <w:pPr>
              <w:pStyle w:val="HaupttextohneEinzug"/>
              <w:rPr>
                <w:i/>
                <w:iCs/>
                <w:lang w:val="it-IT"/>
              </w:rPr>
            </w:pPr>
            <w:r w:rsidRPr="00494885">
              <w:rPr>
                <w:lang w:val="it-IT"/>
              </w:rPr>
              <w:t>6.16.28c</w:t>
            </w:r>
            <w:r w:rsidRPr="00494885">
              <w:rPr>
                <w:i/>
                <w:iCs/>
                <w:lang w:val="it-IT"/>
              </w:rPr>
              <w:t xml:space="preserve"> agnír no vanate </w:t>
            </w:r>
            <w:r w:rsidRPr="00494885">
              <w:rPr>
                <w:i/>
                <w:iCs/>
                <w:lang w:val="it-IT"/>
              </w:rPr>
              <w:t xml:space="preserve">rayím </w:t>
            </w:r>
          </w:p>
          <w:p w14:paraId="63DC71CA" w14:textId="77777777" w:rsidR="00E53EB6" w:rsidRPr="00494885" w:rsidRDefault="00E53EB6">
            <w:pPr>
              <w:pStyle w:val="HaupttextohneEinzug"/>
              <w:rPr>
                <w:i/>
                <w:iCs/>
                <w:lang w:val="it-IT"/>
              </w:rPr>
            </w:pPr>
          </w:p>
          <w:p w14:paraId="1B062FAC" w14:textId="77777777" w:rsidR="00E53EB6" w:rsidRPr="00494885" w:rsidRDefault="00E53EB6">
            <w:pPr>
              <w:pStyle w:val="HaupttextohneEinzug"/>
              <w:rPr>
                <w:i/>
                <w:iCs/>
                <w:lang w:val="it-IT"/>
              </w:rPr>
            </w:pPr>
          </w:p>
          <w:p w14:paraId="575F926E" w14:textId="77777777" w:rsidR="00E53EB6" w:rsidRPr="00494885" w:rsidRDefault="006500F5">
            <w:pPr>
              <w:pStyle w:val="HaupttextohneEinzug"/>
              <w:rPr>
                <w:i/>
                <w:iCs/>
                <w:lang w:val="it-IT"/>
              </w:rPr>
            </w:pPr>
            <w:r w:rsidRPr="00494885">
              <w:rPr>
                <w:lang w:val="it-IT"/>
              </w:rPr>
              <w:t>8.72.1b</w:t>
            </w:r>
            <w:r w:rsidRPr="00494885">
              <w:rPr>
                <w:i/>
                <w:iCs/>
                <w:lang w:val="it-IT"/>
              </w:rPr>
              <w:t xml:space="preserve">  adhvaryúr vanate púna</w:t>
            </w:r>
            <w:r w:rsidRPr="00494885">
              <w:rPr>
                <w:i/>
                <w:iCs/>
                <w:lang w:val="it-IT"/>
              </w:rPr>
              <w:t>ḥ</w:t>
            </w:r>
          </w:p>
        </w:tc>
        <w:tc>
          <w:tcPr>
            <w:tcW w:w="3062" w:type="dxa"/>
            <w:tcBorders>
              <w:left w:val="single" w:sz="2" w:space="0" w:color="000000"/>
              <w:bottom w:val="single" w:sz="2" w:space="0" w:color="000000"/>
            </w:tcBorders>
          </w:tcPr>
          <w:p w14:paraId="0881619A" w14:textId="77777777" w:rsidR="00E53EB6" w:rsidRPr="00494885" w:rsidRDefault="006500F5">
            <w:pPr>
              <w:pStyle w:val="HaupttextohneEinzug"/>
              <w:rPr>
                <w:lang w:val="de-DE"/>
              </w:rPr>
            </w:pPr>
            <w:r w:rsidRPr="00494885">
              <w:rPr>
                <w:lang w:val="de-DE"/>
              </w:rPr>
              <w:t>wird gewinnen</w:t>
            </w:r>
          </w:p>
          <w:p w14:paraId="668A0A0A" w14:textId="77777777" w:rsidR="00E53EB6" w:rsidRPr="00494885" w:rsidRDefault="006500F5">
            <w:pPr>
              <w:pStyle w:val="HaupttextohneEinzug"/>
              <w:rPr>
                <w:lang w:val="de-DE"/>
              </w:rPr>
            </w:pPr>
            <w:r w:rsidRPr="00494885">
              <w:rPr>
                <w:lang w:val="de-DE"/>
              </w:rPr>
              <w:t>gagnera</w:t>
            </w:r>
          </w:p>
          <w:p w14:paraId="58B00B35" w14:textId="77777777" w:rsidR="00E53EB6" w:rsidRPr="00494885" w:rsidRDefault="00E53EB6">
            <w:pPr>
              <w:pStyle w:val="HaupttextohneEinzug"/>
              <w:rPr>
                <w:lang w:val="de-DE"/>
              </w:rPr>
            </w:pPr>
          </w:p>
          <w:p w14:paraId="74AAC778" w14:textId="77777777" w:rsidR="00E53EB6" w:rsidRPr="00494885" w:rsidRDefault="006500F5">
            <w:pPr>
              <w:pStyle w:val="HaupttextohneEinzug"/>
              <w:rPr>
                <w:lang w:val="de-DE"/>
              </w:rPr>
            </w:pPr>
            <w:r w:rsidRPr="00494885">
              <w:rPr>
                <w:lang w:val="de-DE"/>
              </w:rPr>
              <w:t>erlangen</w:t>
            </w:r>
          </w:p>
          <w:p w14:paraId="56B330EA" w14:textId="77777777" w:rsidR="00E53EB6" w:rsidRPr="00494885" w:rsidRDefault="006500F5">
            <w:pPr>
              <w:pStyle w:val="HaupttextohneEinzug"/>
              <w:rPr>
                <w:lang w:val="de-DE"/>
              </w:rPr>
            </w:pPr>
            <w:r w:rsidRPr="00494885">
              <w:rPr>
                <w:lang w:val="de-DE"/>
              </w:rPr>
              <w:t>gagne</w:t>
            </w:r>
          </w:p>
          <w:p w14:paraId="3368779F" w14:textId="77777777" w:rsidR="00E53EB6" w:rsidRPr="00494885" w:rsidRDefault="006500F5">
            <w:pPr>
              <w:pStyle w:val="HaupttextohneEinzug"/>
              <w:rPr>
                <w:lang w:val="de-DE"/>
              </w:rPr>
            </w:pPr>
            <w:r w:rsidRPr="00494885">
              <w:rPr>
                <w:lang w:val="de-DE"/>
              </w:rPr>
              <w:t>soll gewinnen</w:t>
            </w:r>
          </w:p>
          <w:p w14:paraId="49C1D6D8" w14:textId="77777777" w:rsidR="00E53EB6" w:rsidRDefault="006500F5">
            <w:pPr>
              <w:pStyle w:val="HaupttextohneEinzug"/>
            </w:pPr>
            <w:r>
              <w:t>gagne</w:t>
            </w:r>
          </w:p>
          <w:p w14:paraId="2C5BEC45" w14:textId="77777777" w:rsidR="00E53EB6" w:rsidRDefault="00E53EB6">
            <w:pPr>
              <w:pStyle w:val="HaupttextohneEinzug"/>
            </w:pPr>
          </w:p>
          <w:p w14:paraId="5D83D7B3" w14:textId="77777777" w:rsidR="00E53EB6" w:rsidRDefault="006500F5">
            <w:pPr>
              <w:pStyle w:val="HaupttextohneEinzug"/>
            </w:pPr>
            <w:r>
              <w:t>verlangt</w:t>
            </w:r>
          </w:p>
          <w:p w14:paraId="25F6D68E" w14:textId="77777777" w:rsidR="00E53EB6" w:rsidRDefault="006500F5">
            <w:pPr>
              <w:pStyle w:val="HaupttextohneEinzug"/>
            </w:pPr>
            <w:r>
              <w:t xml:space="preserve">gagne </w:t>
            </w:r>
          </w:p>
        </w:tc>
        <w:tc>
          <w:tcPr>
            <w:tcW w:w="1176" w:type="dxa"/>
            <w:tcBorders>
              <w:left w:val="single" w:sz="2" w:space="0" w:color="000000"/>
              <w:bottom w:val="single" w:sz="2" w:space="0" w:color="000000"/>
              <w:right w:val="single" w:sz="2" w:space="0" w:color="000000"/>
            </w:tcBorders>
          </w:tcPr>
          <w:p w14:paraId="0991C7FA" w14:textId="77777777" w:rsidR="00E53EB6" w:rsidRDefault="006500F5">
            <w:pPr>
              <w:pStyle w:val="HaupttextohneEinzug"/>
            </w:pPr>
            <w:r>
              <w:t>* u̯en</w:t>
            </w:r>
          </w:p>
        </w:tc>
      </w:tr>
      <w:tr w:rsidR="00E53EB6" w14:paraId="7DF79F53" w14:textId="77777777">
        <w:tc>
          <w:tcPr>
            <w:tcW w:w="1210" w:type="dxa"/>
            <w:tcBorders>
              <w:left w:val="single" w:sz="2" w:space="0" w:color="000000"/>
              <w:bottom w:val="single" w:sz="2" w:space="0" w:color="000000"/>
            </w:tcBorders>
          </w:tcPr>
          <w:p w14:paraId="0A8BFAAF" w14:textId="77777777" w:rsidR="00E53EB6" w:rsidRDefault="006500F5">
            <w:pPr>
              <w:pStyle w:val="HaupttextohneEinzug"/>
              <w:rPr>
                <w:i/>
                <w:iCs/>
              </w:rPr>
            </w:pPr>
            <w:r>
              <w:rPr>
                <w:i/>
                <w:iCs/>
              </w:rPr>
              <w:t>vá</w:t>
            </w:r>
            <w:r>
              <w:rPr>
                <w:i/>
                <w:iCs/>
              </w:rPr>
              <w:t>ṃ</w:t>
            </w:r>
            <w:r>
              <w:rPr>
                <w:i/>
                <w:iCs/>
              </w:rPr>
              <w:t>sāma</w:t>
            </w:r>
          </w:p>
          <w:p w14:paraId="371CB144" w14:textId="77777777" w:rsidR="00E53EB6" w:rsidRDefault="006500F5">
            <w:pPr>
              <w:pStyle w:val="HaupttextohneEinzug"/>
            </w:pPr>
            <w:r>
              <w:t>(subj. aor. 1</w:t>
            </w:r>
            <w:r>
              <w:rPr>
                <w:vertAlign w:val="superscript"/>
              </w:rPr>
              <w:t>st</w:t>
            </w:r>
            <w:r>
              <w:t xml:space="preserve"> pl. )</w:t>
            </w:r>
          </w:p>
        </w:tc>
        <w:tc>
          <w:tcPr>
            <w:tcW w:w="3236" w:type="dxa"/>
            <w:tcBorders>
              <w:left w:val="single" w:sz="2" w:space="0" w:color="000000"/>
              <w:bottom w:val="single" w:sz="2" w:space="0" w:color="000000"/>
            </w:tcBorders>
          </w:tcPr>
          <w:p w14:paraId="62C93F30" w14:textId="77777777" w:rsidR="00E53EB6" w:rsidRDefault="006500F5">
            <w:pPr>
              <w:pStyle w:val="HaupttextohneEinzug"/>
              <w:rPr>
                <w:i/>
                <w:iCs/>
              </w:rPr>
            </w:pPr>
            <w:r>
              <w:t xml:space="preserve">6.19.8c </w:t>
            </w:r>
            <w:r>
              <w:rPr>
                <w:i/>
                <w:iCs/>
              </w:rPr>
              <w:t xml:space="preserve">  yéna vá</w:t>
            </w:r>
            <w:r>
              <w:rPr>
                <w:i/>
                <w:iCs/>
              </w:rPr>
              <w:t>ṃ</w:t>
            </w:r>
            <w:r>
              <w:rPr>
                <w:i/>
                <w:iCs/>
              </w:rPr>
              <w:t>sāma pŕ̥tanāsu śátrūn</w:t>
            </w:r>
          </w:p>
          <w:p w14:paraId="5D8A0B33" w14:textId="77777777" w:rsidR="00E53EB6" w:rsidRDefault="00E53EB6">
            <w:pPr>
              <w:pStyle w:val="HaupttextohneEinzug"/>
              <w:rPr>
                <w:i/>
                <w:iCs/>
              </w:rPr>
            </w:pPr>
          </w:p>
          <w:p w14:paraId="13DC798C" w14:textId="77777777" w:rsidR="00E53EB6" w:rsidRDefault="00E53EB6">
            <w:pPr>
              <w:pStyle w:val="HaupttextohneEinzug"/>
              <w:rPr>
                <w:i/>
                <w:iCs/>
              </w:rPr>
            </w:pPr>
          </w:p>
          <w:p w14:paraId="0C2FB76B" w14:textId="77777777" w:rsidR="00E53EB6" w:rsidRDefault="006500F5">
            <w:pPr>
              <w:pStyle w:val="HaupttextohneEinzug"/>
              <w:rPr>
                <w:i/>
                <w:iCs/>
              </w:rPr>
            </w:pPr>
            <w:r>
              <w:t>8.60.12a</w:t>
            </w:r>
            <w:r>
              <w:rPr>
                <w:i/>
                <w:iCs/>
              </w:rPr>
              <w:t xml:space="preserve">  yéna vá</w:t>
            </w:r>
            <w:r>
              <w:rPr>
                <w:i/>
                <w:iCs/>
              </w:rPr>
              <w:t>ṃ</w:t>
            </w:r>
            <w:r>
              <w:rPr>
                <w:i/>
                <w:iCs/>
              </w:rPr>
              <w:t>sāma pŕ̥tanāsu śárdhatas</w:t>
            </w:r>
          </w:p>
        </w:tc>
        <w:tc>
          <w:tcPr>
            <w:tcW w:w="3062" w:type="dxa"/>
            <w:tcBorders>
              <w:left w:val="single" w:sz="2" w:space="0" w:color="000000"/>
              <w:bottom w:val="single" w:sz="2" w:space="0" w:color="000000"/>
            </w:tcBorders>
          </w:tcPr>
          <w:p w14:paraId="1D9C4942" w14:textId="77777777" w:rsidR="00E53EB6" w:rsidRPr="00494885" w:rsidRDefault="006500F5">
            <w:pPr>
              <w:pStyle w:val="HaupttextohneEinzug"/>
              <w:rPr>
                <w:lang w:val="de-DE"/>
              </w:rPr>
            </w:pPr>
            <w:r w:rsidRPr="00494885">
              <w:rPr>
                <w:lang w:val="de-DE"/>
              </w:rPr>
              <w:t>können überwinden</w:t>
            </w:r>
          </w:p>
          <w:p w14:paraId="0FB32419" w14:textId="77777777" w:rsidR="00E53EB6" w:rsidRPr="00494885" w:rsidRDefault="00E53EB6">
            <w:pPr>
              <w:pStyle w:val="HaupttextohneEinzug"/>
              <w:rPr>
                <w:lang w:val="de-DE"/>
              </w:rPr>
            </w:pPr>
          </w:p>
          <w:p w14:paraId="667C929F" w14:textId="77777777" w:rsidR="00E53EB6" w:rsidRPr="00494885" w:rsidRDefault="00E53EB6">
            <w:pPr>
              <w:pStyle w:val="HaupttextohneEinzug"/>
              <w:rPr>
                <w:lang w:val="de-DE"/>
              </w:rPr>
            </w:pPr>
          </w:p>
          <w:p w14:paraId="5411B8CC" w14:textId="77777777" w:rsidR="00E53EB6" w:rsidRPr="00494885" w:rsidRDefault="00E53EB6">
            <w:pPr>
              <w:pStyle w:val="HaupttextohneEinzug"/>
              <w:rPr>
                <w:lang w:val="de-DE"/>
              </w:rPr>
            </w:pPr>
          </w:p>
          <w:p w14:paraId="46EB5E8C" w14:textId="77777777" w:rsidR="00E53EB6" w:rsidRPr="00494885" w:rsidRDefault="006500F5">
            <w:pPr>
              <w:pStyle w:val="HaupttextohneEinzug"/>
              <w:rPr>
                <w:lang w:val="de-DE"/>
              </w:rPr>
            </w:pPr>
            <w:r w:rsidRPr="00494885">
              <w:rPr>
                <w:lang w:val="de-DE"/>
              </w:rPr>
              <w:t xml:space="preserve">überwinden </w:t>
            </w:r>
          </w:p>
          <w:p w14:paraId="4E97050A" w14:textId="77777777" w:rsidR="00E53EB6" w:rsidRPr="00494885" w:rsidRDefault="006500F5">
            <w:pPr>
              <w:pStyle w:val="HaupttextohneEinzug"/>
              <w:rPr>
                <w:lang w:val="de-DE"/>
              </w:rPr>
            </w:pPr>
            <w:r w:rsidRPr="00494885">
              <w:rPr>
                <w:lang w:val="de-DE"/>
              </w:rPr>
              <w:t>puissions vaincre</w:t>
            </w:r>
          </w:p>
        </w:tc>
        <w:tc>
          <w:tcPr>
            <w:tcW w:w="1176" w:type="dxa"/>
            <w:tcBorders>
              <w:left w:val="single" w:sz="2" w:space="0" w:color="000000"/>
              <w:bottom w:val="single" w:sz="2" w:space="0" w:color="000000"/>
              <w:right w:val="single" w:sz="2" w:space="0" w:color="000000"/>
            </w:tcBorders>
          </w:tcPr>
          <w:p w14:paraId="12A924DB" w14:textId="77777777" w:rsidR="00E53EB6" w:rsidRDefault="006500F5">
            <w:pPr>
              <w:pStyle w:val="HaupttextohneEinzug"/>
            </w:pPr>
            <w:r>
              <w:t>* u̯en</w:t>
            </w:r>
          </w:p>
        </w:tc>
      </w:tr>
      <w:tr w:rsidR="00E53EB6" w14:paraId="28F910D0" w14:textId="77777777">
        <w:tc>
          <w:tcPr>
            <w:tcW w:w="1210" w:type="dxa"/>
            <w:tcBorders>
              <w:left w:val="single" w:sz="2" w:space="0" w:color="000000"/>
              <w:bottom w:val="single" w:sz="2" w:space="0" w:color="000000"/>
            </w:tcBorders>
          </w:tcPr>
          <w:p w14:paraId="1FA83515" w14:textId="77777777" w:rsidR="00E53EB6" w:rsidRDefault="006500F5">
            <w:pPr>
              <w:pStyle w:val="HaupttextohneEinzug"/>
            </w:pPr>
            <w:r>
              <w:rPr>
                <w:i/>
                <w:iCs/>
              </w:rPr>
              <w:t>vá</w:t>
            </w:r>
            <w:r>
              <w:rPr>
                <w:i/>
                <w:iCs/>
              </w:rPr>
              <w:t>ṃ</w:t>
            </w:r>
            <w:r>
              <w:rPr>
                <w:i/>
                <w:iCs/>
              </w:rPr>
              <w:t>sat</w:t>
            </w:r>
            <w:r>
              <w:t xml:space="preserve"> </w:t>
            </w:r>
          </w:p>
          <w:p w14:paraId="130918E9" w14:textId="77777777" w:rsidR="00E53EB6" w:rsidRDefault="006500F5">
            <w:pPr>
              <w:pStyle w:val="HaupttextohneEinzug"/>
            </w:pPr>
            <w:r>
              <w:t>(subj. aor. 3</w:t>
            </w:r>
            <w:r>
              <w:rPr>
                <w:vertAlign w:val="superscript"/>
              </w:rPr>
              <w:t>rd</w:t>
            </w:r>
            <w:r>
              <w:t xml:space="preserve"> sing.)</w:t>
            </w:r>
          </w:p>
        </w:tc>
        <w:tc>
          <w:tcPr>
            <w:tcW w:w="3236" w:type="dxa"/>
            <w:tcBorders>
              <w:left w:val="single" w:sz="2" w:space="0" w:color="000000"/>
              <w:bottom w:val="single" w:sz="2" w:space="0" w:color="000000"/>
            </w:tcBorders>
          </w:tcPr>
          <w:p w14:paraId="5F0D518C" w14:textId="77777777" w:rsidR="00E53EB6" w:rsidRDefault="006500F5">
            <w:pPr>
              <w:pStyle w:val="HaupttextohneEinzug"/>
              <w:rPr>
                <w:i/>
                <w:iCs/>
              </w:rPr>
            </w:pPr>
            <w:r>
              <w:t>6.68.5d</w:t>
            </w:r>
            <w:r>
              <w:rPr>
                <w:i/>
                <w:iCs/>
              </w:rPr>
              <w:t xml:space="preserve">  vá</w:t>
            </w:r>
            <w:r>
              <w:rPr>
                <w:i/>
                <w:iCs/>
              </w:rPr>
              <w:t>ṃ</w:t>
            </w:r>
            <w:r>
              <w:rPr>
                <w:i/>
                <w:iCs/>
              </w:rPr>
              <w:t>sad rayí</w:t>
            </w:r>
            <w:r>
              <w:rPr>
                <w:i/>
                <w:iCs/>
              </w:rPr>
              <w:t>ṃ</w:t>
            </w:r>
            <w:r>
              <w:rPr>
                <w:i/>
                <w:iCs/>
              </w:rPr>
              <w:t xml:space="preserve"> rayivátaś ca jánān </w:t>
            </w:r>
          </w:p>
          <w:p w14:paraId="1CFE5CD3" w14:textId="77777777" w:rsidR="00E53EB6" w:rsidRDefault="00E53EB6">
            <w:pPr>
              <w:pStyle w:val="HaupttextohneEinzug"/>
              <w:rPr>
                <w:i/>
                <w:iCs/>
              </w:rPr>
            </w:pPr>
          </w:p>
          <w:p w14:paraId="653BD2E2" w14:textId="77777777" w:rsidR="00E53EB6" w:rsidRDefault="006500F5">
            <w:pPr>
              <w:pStyle w:val="HaupttextohneEinzug"/>
              <w:rPr>
                <w:i/>
                <w:iCs/>
              </w:rPr>
            </w:pPr>
            <w:r>
              <w:t>10.26.2c</w:t>
            </w:r>
            <w:r>
              <w:rPr>
                <w:i/>
                <w:iCs/>
              </w:rPr>
              <w:t xml:space="preserve"> vípra ā́ va</w:t>
            </w:r>
            <w:r>
              <w:rPr>
                <w:i/>
                <w:iCs/>
              </w:rPr>
              <w:t>ṃ</w:t>
            </w:r>
            <w:r>
              <w:rPr>
                <w:i/>
                <w:iCs/>
              </w:rPr>
              <w:t>sad dhītíbhiś</w:t>
            </w:r>
          </w:p>
        </w:tc>
        <w:tc>
          <w:tcPr>
            <w:tcW w:w="3062" w:type="dxa"/>
            <w:tcBorders>
              <w:left w:val="single" w:sz="2" w:space="0" w:color="000000"/>
              <w:bottom w:val="single" w:sz="2" w:space="0" w:color="000000"/>
            </w:tcBorders>
          </w:tcPr>
          <w:p w14:paraId="431605D6" w14:textId="77777777" w:rsidR="00E53EB6" w:rsidRPr="00494885" w:rsidRDefault="006500F5">
            <w:pPr>
              <w:pStyle w:val="HaupttextohneEinzug"/>
              <w:rPr>
                <w:lang w:val="de-DE"/>
              </w:rPr>
            </w:pPr>
            <w:r w:rsidRPr="00494885">
              <w:rPr>
                <w:lang w:val="de-DE"/>
              </w:rPr>
              <w:t>soll gewinnen</w:t>
            </w:r>
          </w:p>
          <w:p w14:paraId="3EEAC580" w14:textId="77777777" w:rsidR="00E53EB6" w:rsidRPr="00494885" w:rsidRDefault="006500F5">
            <w:pPr>
              <w:pStyle w:val="HaupttextohneEinzug"/>
              <w:rPr>
                <w:lang w:val="de-DE"/>
              </w:rPr>
            </w:pPr>
            <w:r w:rsidRPr="00494885">
              <w:rPr>
                <w:lang w:val="de-DE"/>
              </w:rPr>
              <w:t>gagne</w:t>
            </w:r>
          </w:p>
          <w:p w14:paraId="4FA78269" w14:textId="77777777" w:rsidR="00E53EB6" w:rsidRPr="00494885" w:rsidRDefault="00E53EB6">
            <w:pPr>
              <w:pStyle w:val="HaupttextohneEinzug"/>
              <w:rPr>
                <w:lang w:val="de-DE"/>
              </w:rPr>
            </w:pPr>
          </w:p>
          <w:p w14:paraId="6842D7D9" w14:textId="77777777" w:rsidR="00E53EB6" w:rsidRPr="00494885" w:rsidRDefault="006500F5">
            <w:pPr>
              <w:pStyle w:val="HaupttextohneEinzug"/>
              <w:rPr>
                <w:lang w:val="de-DE"/>
              </w:rPr>
            </w:pPr>
            <w:r w:rsidRPr="00494885">
              <w:rPr>
                <w:lang w:val="de-DE"/>
              </w:rPr>
              <w:t>möchte gewinnen</w:t>
            </w:r>
          </w:p>
          <w:p w14:paraId="675F9AA3" w14:textId="77777777" w:rsidR="00E53EB6" w:rsidRPr="00494885" w:rsidRDefault="006500F5">
            <w:pPr>
              <w:pStyle w:val="HaupttextohneEinzug"/>
              <w:rPr>
                <w:lang w:val="de-DE"/>
              </w:rPr>
            </w:pPr>
            <w:r w:rsidRPr="00494885">
              <w:rPr>
                <w:lang w:val="de-DE"/>
              </w:rPr>
              <w:t>souhaite gagner</w:t>
            </w:r>
          </w:p>
        </w:tc>
        <w:tc>
          <w:tcPr>
            <w:tcW w:w="1176" w:type="dxa"/>
            <w:tcBorders>
              <w:left w:val="single" w:sz="2" w:space="0" w:color="000000"/>
              <w:bottom w:val="single" w:sz="2" w:space="0" w:color="000000"/>
              <w:right w:val="single" w:sz="2" w:space="0" w:color="000000"/>
            </w:tcBorders>
          </w:tcPr>
          <w:p w14:paraId="59BC5440" w14:textId="77777777" w:rsidR="00E53EB6" w:rsidRDefault="006500F5">
            <w:pPr>
              <w:pStyle w:val="HaupttextohneEinzug"/>
            </w:pPr>
            <w:r>
              <w:t>* u̯en</w:t>
            </w:r>
          </w:p>
        </w:tc>
      </w:tr>
      <w:tr w:rsidR="00E53EB6" w14:paraId="3959E04E" w14:textId="77777777">
        <w:tc>
          <w:tcPr>
            <w:tcW w:w="1210" w:type="dxa"/>
            <w:tcBorders>
              <w:left w:val="single" w:sz="2" w:space="0" w:color="000000"/>
              <w:bottom w:val="single" w:sz="2" w:space="0" w:color="000000"/>
            </w:tcBorders>
          </w:tcPr>
          <w:p w14:paraId="7606D52C" w14:textId="77777777" w:rsidR="00E53EB6" w:rsidRDefault="006500F5">
            <w:pPr>
              <w:pStyle w:val="HaupttextohneEinzug"/>
            </w:pPr>
            <w:r>
              <w:rPr>
                <w:i/>
                <w:iCs/>
              </w:rPr>
              <w:t>vāvána</w:t>
            </w:r>
            <w:r>
              <w:rPr>
                <w:i/>
                <w:iCs/>
              </w:rPr>
              <w:t>ḥ</w:t>
            </w:r>
            <w:r>
              <w:t xml:space="preserve"> </w:t>
            </w:r>
          </w:p>
          <w:p w14:paraId="7F2D0279" w14:textId="77777777" w:rsidR="00E53EB6" w:rsidRDefault="006500F5">
            <w:pPr>
              <w:pStyle w:val="HaupttextohneEinzug"/>
            </w:pPr>
            <w:r>
              <w:t>(subj. perf. 2</w:t>
            </w:r>
            <w:r>
              <w:rPr>
                <w:vertAlign w:val="superscript"/>
              </w:rPr>
              <w:t>nd</w:t>
            </w:r>
            <w:r>
              <w:t xml:space="preserve"> sing. double stem)</w:t>
            </w:r>
          </w:p>
        </w:tc>
        <w:tc>
          <w:tcPr>
            <w:tcW w:w="3236" w:type="dxa"/>
            <w:tcBorders>
              <w:left w:val="single" w:sz="2" w:space="0" w:color="000000"/>
              <w:bottom w:val="single" w:sz="2" w:space="0" w:color="000000"/>
            </w:tcBorders>
          </w:tcPr>
          <w:p w14:paraId="7CC4E825" w14:textId="77777777" w:rsidR="00E53EB6" w:rsidRDefault="006500F5">
            <w:pPr>
              <w:pStyle w:val="HaupttextohneEinzug"/>
              <w:rPr>
                <w:i/>
                <w:iCs/>
              </w:rPr>
            </w:pPr>
            <w:r>
              <w:t xml:space="preserve">4.11.2c </w:t>
            </w:r>
            <w:r>
              <w:rPr>
                <w:i/>
                <w:iCs/>
              </w:rPr>
              <w:t>víśvebhir yád vāvána</w:t>
            </w:r>
            <w:r>
              <w:rPr>
                <w:i/>
                <w:iCs/>
              </w:rPr>
              <w:t>ḥ</w:t>
            </w:r>
            <w:r>
              <w:rPr>
                <w:i/>
                <w:iCs/>
              </w:rPr>
              <w:t xml:space="preserve"> śukra devaís</w:t>
            </w:r>
          </w:p>
        </w:tc>
        <w:tc>
          <w:tcPr>
            <w:tcW w:w="3062" w:type="dxa"/>
            <w:tcBorders>
              <w:left w:val="single" w:sz="2" w:space="0" w:color="000000"/>
              <w:bottom w:val="single" w:sz="2" w:space="0" w:color="000000"/>
            </w:tcBorders>
          </w:tcPr>
          <w:p w14:paraId="290ACDF3" w14:textId="77777777" w:rsidR="00E53EB6" w:rsidRDefault="006500F5">
            <w:pPr>
              <w:pStyle w:val="HaupttextohneEinzug"/>
            </w:pPr>
            <w:r>
              <w:t>aufnehmen wirst</w:t>
            </w:r>
          </w:p>
          <w:p w14:paraId="1E8BBC85" w14:textId="77777777" w:rsidR="00E53EB6" w:rsidRDefault="006500F5">
            <w:pPr>
              <w:pStyle w:val="HaupttextohneEinzug"/>
            </w:pPr>
            <w:r>
              <w:t>auras gagnée</w:t>
            </w:r>
          </w:p>
        </w:tc>
        <w:tc>
          <w:tcPr>
            <w:tcW w:w="1176" w:type="dxa"/>
            <w:tcBorders>
              <w:left w:val="single" w:sz="2" w:space="0" w:color="000000"/>
              <w:bottom w:val="single" w:sz="2" w:space="0" w:color="000000"/>
              <w:right w:val="single" w:sz="2" w:space="0" w:color="000000"/>
            </w:tcBorders>
          </w:tcPr>
          <w:p w14:paraId="71CBFA9A" w14:textId="77777777" w:rsidR="00E53EB6" w:rsidRDefault="006500F5">
            <w:pPr>
              <w:pStyle w:val="HaupttextohneEinzug"/>
            </w:pPr>
            <w:r>
              <w:t>*u̯e- u̯ón / u̯n-</w:t>
            </w:r>
          </w:p>
        </w:tc>
      </w:tr>
      <w:tr w:rsidR="00E53EB6" w14:paraId="05E662DB" w14:textId="77777777">
        <w:tc>
          <w:tcPr>
            <w:tcW w:w="1210" w:type="dxa"/>
            <w:tcBorders>
              <w:left w:val="single" w:sz="2" w:space="0" w:color="000000"/>
              <w:bottom w:val="single" w:sz="2" w:space="0" w:color="000000"/>
            </w:tcBorders>
          </w:tcPr>
          <w:p w14:paraId="47FEDBA4" w14:textId="77777777" w:rsidR="00E53EB6" w:rsidRDefault="006500F5">
            <w:pPr>
              <w:pStyle w:val="HaupttextohneEinzug"/>
            </w:pPr>
            <w:r>
              <w:t xml:space="preserve"> </w:t>
            </w:r>
            <w:r>
              <w:rPr>
                <w:b/>
                <w:bCs/>
              </w:rPr>
              <w:t>Optative</w:t>
            </w:r>
          </w:p>
        </w:tc>
        <w:tc>
          <w:tcPr>
            <w:tcW w:w="3236" w:type="dxa"/>
            <w:tcBorders>
              <w:left w:val="single" w:sz="2" w:space="0" w:color="000000"/>
              <w:bottom w:val="single" w:sz="2" w:space="0" w:color="000000"/>
            </w:tcBorders>
          </w:tcPr>
          <w:p w14:paraId="173CEB1D" w14:textId="77777777" w:rsidR="00E53EB6" w:rsidRDefault="00E53EB6">
            <w:pPr>
              <w:pStyle w:val="HaupttextohneEinzug"/>
            </w:pPr>
          </w:p>
        </w:tc>
        <w:tc>
          <w:tcPr>
            <w:tcW w:w="3062" w:type="dxa"/>
            <w:tcBorders>
              <w:left w:val="single" w:sz="2" w:space="0" w:color="000000"/>
              <w:bottom w:val="single" w:sz="2" w:space="0" w:color="000000"/>
            </w:tcBorders>
          </w:tcPr>
          <w:p w14:paraId="1714646C" w14:textId="77777777" w:rsidR="00E53EB6" w:rsidRDefault="00E53EB6">
            <w:pPr>
              <w:pStyle w:val="HaupttextohneEinzug"/>
            </w:pPr>
          </w:p>
        </w:tc>
        <w:tc>
          <w:tcPr>
            <w:tcW w:w="1176" w:type="dxa"/>
            <w:tcBorders>
              <w:left w:val="single" w:sz="2" w:space="0" w:color="000000"/>
              <w:bottom w:val="single" w:sz="2" w:space="0" w:color="000000"/>
              <w:right w:val="single" w:sz="2" w:space="0" w:color="000000"/>
            </w:tcBorders>
          </w:tcPr>
          <w:p w14:paraId="045D2F25" w14:textId="77777777" w:rsidR="00E53EB6" w:rsidRDefault="00E53EB6">
            <w:pPr>
              <w:pStyle w:val="HaupttextohneEinzug"/>
            </w:pPr>
          </w:p>
        </w:tc>
      </w:tr>
      <w:tr w:rsidR="00E53EB6" w:rsidRPr="00494885" w14:paraId="4C13EAAC" w14:textId="77777777">
        <w:tc>
          <w:tcPr>
            <w:tcW w:w="1210" w:type="dxa"/>
            <w:tcBorders>
              <w:left w:val="single" w:sz="2" w:space="0" w:color="000000"/>
              <w:bottom w:val="single" w:sz="2" w:space="0" w:color="000000"/>
            </w:tcBorders>
          </w:tcPr>
          <w:p w14:paraId="726B18D0" w14:textId="77777777" w:rsidR="00E53EB6" w:rsidRDefault="006500F5">
            <w:pPr>
              <w:pStyle w:val="HaupttextohneEinzug"/>
              <w:rPr>
                <w:i/>
                <w:iCs/>
              </w:rPr>
            </w:pPr>
            <w:r>
              <w:rPr>
                <w:i/>
                <w:iCs/>
              </w:rPr>
              <w:t>vane</w:t>
            </w:r>
            <w:r>
              <w:rPr>
                <w:i/>
                <w:iCs/>
              </w:rPr>
              <w:t>ḥ</w:t>
            </w:r>
          </w:p>
          <w:p w14:paraId="11A3D8AE" w14:textId="77777777" w:rsidR="00E53EB6" w:rsidRDefault="006500F5">
            <w:pPr>
              <w:pStyle w:val="HaupttextohneEinzug"/>
            </w:pPr>
            <w:r>
              <w:t>(opt. pres. 2</w:t>
            </w:r>
            <w:r>
              <w:rPr>
                <w:vertAlign w:val="superscript"/>
              </w:rPr>
              <w:t>nd</w:t>
            </w:r>
            <w:r>
              <w:t xml:space="preserve"> sing. I\VI cl.)</w:t>
            </w:r>
          </w:p>
        </w:tc>
        <w:tc>
          <w:tcPr>
            <w:tcW w:w="3236" w:type="dxa"/>
            <w:tcBorders>
              <w:left w:val="single" w:sz="2" w:space="0" w:color="000000"/>
              <w:bottom w:val="single" w:sz="2" w:space="0" w:color="000000"/>
            </w:tcBorders>
          </w:tcPr>
          <w:p w14:paraId="55BC3B17" w14:textId="77777777" w:rsidR="00E53EB6" w:rsidRDefault="006500F5">
            <w:pPr>
              <w:pStyle w:val="HaupttextohneEinzug"/>
            </w:pPr>
            <w:r>
              <w:t xml:space="preserve">2.6.1b </w:t>
            </w:r>
            <w:r>
              <w:rPr>
                <w:i/>
                <w:iCs/>
              </w:rPr>
              <w:t>imā́m upasáda</w:t>
            </w:r>
            <w:r>
              <w:rPr>
                <w:i/>
                <w:iCs/>
              </w:rPr>
              <w:t>ṃ</w:t>
            </w:r>
            <w:r>
              <w:rPr>
                <w:i/>
                <w:iCs/>
              </w:rPr>
              <w:t xml:space="preserve"> vane</w:t>
            </w:r>
            <w:r>
              <w:rPr>
                <w:i/>
                <w:iCs/>
              </w:rPr>
              <w:t>ḥ</w:t>
            </w:r>
          </w:p>
        </w:tc>
        <w:tc>
          <w:tcPr>
            <w:tcW w:w="3062" w:type="dxa"/>
            <w:tcBorders>
              <w:left w:val="single" w:sz="2" w:space="0" w:color="000000"/>
              <w:bottom w:val="single" w:sz="2" w:space="0" w:color="000000"/>
            </w:tcBorders>
          </w:tcPr>
          <w:p w14:paraId="3133BDD1" w14:textId="77777777" w:rsidR="00E53EB6" w:rsidRPr="00494885" w:rsidRDefault="006500F5">
            <w:pPr>
              <w:pStyle w:val="HaupttextohneEinzug"/>
              <w:rPr>
                <w:lang w:val="de-DE"/>
              </w:rPr>
            </w:pPr>
            <w:r w:rsidRPr="00494885">
              <w:rPr>
                <w:lang w:val="de-DE"/>
              </w:rPr>
              <w:t xml:space="preserve">mögest du </w:t>
            </w:r>
            <w:r w:rsidRPr="00494885">
              <w:rPr>
                <w:lang w:val="de-DE"/>
              </w:rPr>
              <w:t>gern annehmen</w:t>
            </w:r>
          </w:p>
          <w:p w14:paraId="2905DA50" w14:textId="77777777" w:rsidR="00E53EB6" w:rsidRPr="00494885" w:rsidRDefault="006500F5">
            <w:pPr>
              <w:pStyle w:val="HaupttextohneEinzug"/>
              <w:rPr>
                <w:lang w:val="de-DE"/>
              </w:rPr>
            </w:pPr>
            <w:r w:rsidRPr="00494885">
              <w:rPr>
                <w:lang w:val="de-DE"/>
              </w:rPr>
              <w:t>agréer</w:t>
            </w:r>
          </w:p>
        </w:tc>
        <w:tc>
          <w:tcPr>
            <w:tcW w:w="1176" w:type="dxa"/>
            <w:tcBorders>
              <w:left w:val="single" w:sz="2" w:space="0" w:color="000000"/>
              <w:bottom w:val="single" w:sz="2" w:space="0" w:color="000000"/>
              <w:right w:val="single" w:sz="2" w:space="0" w:color="000000"/>
            </w:tcBorders>
          </w:tcPr>
          <w:p w14:paraId="6094EB4E" w14:textId="77777777" w:rsidR="00E53EB6" w:rsidRDefault="006500F5">
            <w:pPr>
              <w:pStyle w:val="HaupttextohneEinzug"/>
            </w:pPr>
            <w:r>
              <w:t>*u̯en (thematic opt. from athematic aor.)</w:t>
            </w:r>
          </w:p>
        </w:tc>
      </w:tr>
      <w:tr w:rsidR="00E53EB6" w:rsidRPr="00494885" w14:paraId="53871D99" w14:textId="77777777">
        <w:tc>
          <w:tcPr>
            <w:tcW w:w="1210" w:type="dxa"/>
            <w:tcBorders>
              <w:left w:val="single" w:sz="2" w:space="0" w:color="000000"/>
              <w:bottom w:val="single" w:sz="2" w:space="0" w:color="000000"/>
            </w:tcBorders>
          </w:tcPr>
          <w:p w14:paraId="331EB26F" w14:textId="77777777" w:rsidR="00E53EB6" w:rsidRDefault="006500F5">
            <w:pPr>
              <w:pStyle w:val="HaupttextohneEinzug"/>
              <w:rPr>
                <w:i/>
                <w:iCs/>
              </w:rPr>
            </w:pPr>
            <w:r>
              <w:rPr>
                <w:i/>
                <w:iCs/>
              </w:rPr>
              <w:t>vanemahi</w:t>
            </w:r>
          </w:p>
          <w:p w14:paraId="3BB02005" w14:textId="77777777" w:rsidR="00E53EB6" w:rsidRDefault="006500F5">
            <w:pPr>
              <w:pStyle w:val="HaupttextohneEinzug"/>
            </w:pPr>
            <w:r>
              <w:t>( opt. pres. 1</w:t>
            </w:r>
            <w:r>
              <w:rPr>
                <w:vertAlign w:val="superscript"/>
              </w:rPr>
              <w:t>st</w:t>
            </w:r>
            <w:r>
              <w:t xml:space="preserve"> pl. Ā I\VI cl.)</w:t>
            </w:r>
          </w:p>
        </w:tc>
        <w:tc>
          <w:tcPr>
            <w:tcW w:w="3236" w:type="dxa"/>
            <w:tcBorders>
              <w:left w:val="single" w:sz="2" w:space="0" w:color="000000"/>
              <w:bottom w:val="single" w:sz="2" w:space="0" w:color="000000"/>
            </w:tcBorders>
          </w:tcPr>
          <w:p w14:paraId="6EC93588" w14:textId="77777777" w:rsidR="00E53EB6" w:rsidRDefault="006500F5">
            <w:pPr>
              <w:pStyle w:val="HaupttextohneEinzug"/>
            </w:pPr>
            <w:r>
              <w:t xml:space="preserve">7.94.9 c  </w:t>
            </w:r>
            <w:r>
              <w:rPr>
                <w:i/>
                <w:iCs/>
              </w:rPr>
              <w:t>índrāgnī tád vanemahi</w:t>
            </w:r>
          </w:p>
        </w:tc>
        <w:tc>
          <w:tcPr>
            <w:tcW w:w="3062" w:type="dxa"/>
            <w:tcBorders>
              <w:left w:val="single" w:sz="2" w:space="0" w:color="000000"/>
              <w:bottom w:val="single" w:sz="2" w:space="0" w:color="000000"/>
            </w:tcBorders>
          </w:tcPr>
          <w:p w14:paraId="38179AD1" w14:textId="77777777" w:rsidR="00E53EB6" w:rsidRPr="00494885" w:rsidRDefault="006500F5">
            <w:pPr>
              <w:pStyle w:val="HaupttextohneEinzug"/>
              <w:rPr>
                <w:lang w:val="de-DE"/>
              </w:rPr>
            </w:pPr>
            <w:r w:rsidRPr="00494885">
              <w:rPr>
                <w:lang w:val="de-DE"/>
              </w:rPr>
              <w:t>möchten gewinnen</w:t>
            </w:r>
          </w:p>
          <w:p w14:paraId="7C9B19DD" w14:textId="77777777" w:rsidR="00E53EB6" w:rsidRPr="00494885" w:rsidRDefault="006500F5">
            <w:pPr>
              <w:pStyle w:val="HaupttextohneEinzug"/>
              <w:rPr>
                <w:lang w:val="de-DE"/>
              </w:rPr>
            </w:pPr>
            <w:r w:rsidRPr="00494885">
              <w:rPr>
                <w:lang w:val="de-DE"/>
              </w:rPr>
              <w:t>gagner (pour soi)</w:t>
            </w:r>
          </w:p>
        </w:tc>
        <w:tc>
          <w:tcPr>
            <w:tcW w:w="1176" w:type="dxa"/>
            <w:tcBorders>
              <w:left w:val="single" w:sz="2" w:space="0" w:color="000000"/>
              <w:bottom w:val="single" w:sz="2" w:space="0" w:color="000000"/>
              <w:right w:val="single" w:sz="2" w:space="0" w:color="000000"/>
            </w:tcBorders>
          </w:tcPr>
          <w:p w14:paraId="653C4099" w14:textId="77777777" w:rsidR="00E53EB6" w:rsidRDefault="006500F5">
            <w:pPr>
              <w:pStyle w:val="HaupttextohneEinzug"/>
            </w:pPr>
            <w:r>
              <w:t>*u̯en (thematic opt. from athematic aor.)</w:t>
            </w:r>
          </w:p>
        </w:tc>
      </w:tr>
      <w:tr w:rsidR="00E53EB6" w:rsidRPr="00494885" w14:paraId="56511EBF" w14:textId="77777777">
        <w:tc>
          <w:tcPr>
            <w:tcW w:w="1210" w:type="dxa"/>
            <w:tcBorders>
              <w:left w:val="single" w:sz="2" w:space="0" w:color="000000"/>
              <w:bottom w:val="single" w:sz="2" w:space="0" w:color="000000"/>
            </w:tcBorders>
          </w:tcPr>
          <w:p w14:paraId="018765A1" w14:textId="77777777" w:rsidR="00E53EB6" w:rsidRDefault="006500F5">
            <w:pPr>
              <w:pStyle w:val="HaupttextohneEinzug"/>
              <w:rPr>
                <w:i/>
                <w:iCs/>
              </w:rPr>
            </w:pPr>
            <w:r>
              <w:rPr>
                <w:i/>
                <w:iCs/>
              </w:rPr>
              <w:t>vanema</w:t>
            </w:r>
          </w:p>
          <w:p w14:paraId="42528C4F" w14:textId="77777777" w:rsidR="00E53EB6" w:rsidRDefault="006500F5">
            <w:pPr>
              <w:pStyle w:val="HaupttextohneEinzug"/>
            </w:pPr>
            <w:r>
              <w:t>(opt. pres. 1</w:t>
            </w:r>
            <w:r>
              <w:rPr>
                <w:vertAlign w:val="superscript"/>
              </w:rPr>
              <w:t>st</w:t>
            </w:r>
            <w:r>
              <w:t xml:space="preserve"> pl.</w:t>
            </w:r>
          </w:p>
          <w:p w14:paraId="73DD7CBA" w14:textId="77777777" w:rsidR="00E53EB6" w:rsidRDefault="006500F5">
            <w:pPr>
              <w:pStyle w:val="HaupttextohneEinzug"/>
            </w:pPr>
            <w:r>
              <w:lastRenderedPageBreak/>
              <w:t>I/VI cl.)</w:t>
            </w:r>
          </w:p>
        </w:tc>
        <w:tc>
          <w:tcPr>
            <w:tcW w:w="3236" w:type="dxa"/>
            <w:tcBorders>
              <w:left w:val="single" w:sz="2" w:space="0" w:color="000000"/>
              <w:bottom w:val="single" w:sz="2" w:space="0" w:color="000000"/>
            </w:tcBorders>
          </w:tcPr>
          <w:p w14:paraId="1306E28F" w14:textId="77777777" w:rsidR="00E53EB6" w:rsidRDefault="006500F5">
            <w:pPr>
              <w:pStyle w:val="HaupttextohneEinzug"/>
            </w:pPr>
            <w:r>
              <w:lastRenderedPageBreak/>
              <w:t xml:space="preserve">8.92.31c  </w:t>
            </w:r>
            <w:r>
              <w:rPr>
                <w:i/>
                <w:iCs/>
              </w:rPr>
              <w:t xml:space="preserve">tuvā́ yujā́ vanema tát </w:t>
            </w:r>
          </w:p>
          <w:p w14:paraId="0A2E4C83" w14:textId="77777777" w:rsidR="00E53EB6" w:rsidRDefault="00E53EB6">
            <w:pPr>
              <w:pStyle w:val="HaupttextohneEinzug"/>
            </w:pPr>
          </w:p>
          <w:p w14:paraId="2D39F8C9" w14:textId="77777777" w:rsidR="00E53EB6" w:rsidRDefault="00E53EB6">
            <w:pPr>
              <w:pStyle w:val="HaupttextohneEinzug"/>
            </w:pPr>
          </w:p>
          <w:p w14:paraId="2409FD87" w14:textId="77777777" w:rsidR="00E53EB6" w:rsidRDefault="006500F5">
            <w:pPr>
              <w:pStyle w:val="HaupttextohneEinzug"/>
            </w:pPr>
            <w:r>
              <w:lastRenderedPageBreak/>
              <w:t xml:space="preserve">1.129.7a </w:t>
            </w:r>
            <w:r>
              <w:rPr>
                <w:i/>
                <w:iCs/>
              </w:rPr>
              <w:t xml:space="preserve">vanéma tád dhótarayā citántiyā </w:t>
            </w:r>
          </w:p>
          <w:p w14:paraId="2E4FFAF6" w14:textId="77777777" w:rsidR="00E53EB6" w:rsidRDefault="00E53EB6">
            <w:pPr>
              <w:pStyle w:val="HaupttextohneEinzug"/>
            </w:pPr>
          </w:p>
          <w:p w14:paraId="4D5B7DD1" w14:textId="77777777" w:rsidR="00E53EB6" w:rsidRDefault="00E53EB6">
            <w:pPr>
              <w:pStyle w:val="HaupttextohneEinzug"/>
            </w:pPr>
          </w:p>
          <w:p w14:paraId="49F69B95" w14:textId="77777777" w:rsidR="00E53EB6" w:rsidRDefault="006500F5">
            <w:pPr>
              <w:pStyle w:val="HaupttextohneEinzug"/>
            </w:pPr>
            <w:r>
              <w:t xml:space="preserve">2.5.7d     </w:t>
            </w:r>
            <w:r>
              <w:rPr>
                <w:i/>
                <w:iCs/>
              </w:rPr>
              <w:t>vanémā rarimā́ vayám</w:t>
            </w:r>
          </w:p>
          <w:p w14:paraId="14BB891C" w14:textId="77777777" w:rsidR="00E53EB6" w:rsidRDefault="00E53EB6">
            <w:pPr>
              <w:pStyle w:val="HaupttextohneEinzug"/>
              <w:rPr>
                <w:i/>
                <w:iCs/>
              </w:rPr>
            </w:pPr>
          </w:p>
          <w:p w14:paraId="7987B2D0" w14:textId="77777777" w:rsidR="00E53EB6" w:rsidRDefault="00E53EB6">
            <w:pPr>
              <w:pStyle w:val="HaupttextohneEinzug"/>
            </w:pPr>
          </w:p>
          <w:p w14:paraId="65E3C5E1" w14:textId="77777777" w:rsidR="00E53EB6" w:rsidRDefault="00E53EB6">
            <w:pPr>
              <w:pStyle w:val="HaupttextohneEinzug"/>
            </w:pPr>
          </w:p>
          <w:p w14:paraId="6E2B2D5D" w14:textId="77777777" w:rsidR="00E53EB6" w:rsidRDefault="00E53EB6">
            <w:pPr>
              <w:pStyle w:val="HaupttextohneEinzug"/>
            </w:pPr>
          </w:p>
          <w:p w14:paraId="097846D1" w14:textId="77777777" w:rsidR="00E53EB6" w:rsidRDefault="006500F5">
            <w:pPr>
              <w:pStyle w:val="HaupttextohneEinzug"/>
            </w:pPr>
            <w:r>
              <w:t xml:space="preserve">1.70.1a </w:t>
            </w:r>
            <w:r>
              <w:rPr>
                <w:i/>
                <w:iCs/>
              </w:rPr>
              <w:t>vanéma pūrvī́r aryó manī</w:t>
            </w:r>
            <w:r>
              <w:rPr>
                <w:i/>
                <w:iCs/>
              </w:rPr>
              <w:t>ṣ</w:t>
            </w:r>
            <w:r>
              <w:rPr>
                <w:i/>
                <w:iCs/>
              </w:rPr>
              <w:t>ā́</w:t>
            </w:r>
          </w:p>
          <w:p w14:paraId="6641877B" w14:textId="77777777" w:rsidR="00E53EB6" w:rsidRDefault="00E53EB6">
            <w:pPr>
              <w:pStyle w:val="HaupttextohneEinzug"/>
            </w:pPr>
          </w:p>
          <w:p w14:paraId="7AF7656D" w14:textId="77777777" w:rsidR="00E53EB6" w:rsidRDefault="00E53EB6">
            <w:pPr>
              <w:pStyle w:val="HaupttextohneEinzug"/>
            </w:pPr>
          </w:p>
          <w:p w14:paraId="7FFB0E70" w14:textId="77777777" w:rsidR="00E53EB6" w:rsidRDefault="00E53EB6">
            <w:pPr>
              <w:pStyle w:val="HaupttextohneEinzug"/>
            </w:pPr>
          </w:p>
          <w:p w14:paraId="5D65EB07" w14:textId="77777777" w:rsidR="00E53EB6" w:rsidRDefault="006500F5">
            <w:pPr>
              <w:pStyle w:val="HaupttextohneEinzug"/>
            </w:pPr>
            <w:r>
              <w:t xml:space="preserve">8.19.20 d  </w:t>
            </w:r>
            <w:r>
              <w:rPr>
                <w:i/>
                <w:iCs/>
              </w:rPr>
              <w:t xml:space="preserve"> vanémā te abhí</w:t>
            </w:r>
            <w:r>
              <w:rPr>
                <w:i/>
                <w:iCs/>
              </w:rPr>
              <w:t>ṣṭ</w:t>
            </w:r>
            <w:r>
              <w:rPr>
                <w:i/>
                <w:iCs/>
              </w:rPr>
              <w:t>ibhi</w:t>
            </w:r>
            <w:r>
              <w:rPr>
                <w:i/>
                <w:iCs/>
              </w:rPr>
              <w:t>ḥ</w:t>
            </w:r>
          </w:p>
          <w:p w14:paraId="29F64DA0" w14:textId="77777777" w:rsidR="00E53EB6" w:rsidRDefault="00E53EB6">
            <w:pPr>
              <w:pStyle w:val="HaupttextohneEinzug"/>
            </w:pPr>
          </w:p>
          <w:p w14:paraId="690CC40C" w14:textId="77777777" w:rsidR="00E53EB6" w:rsidRDefault="00E53EB6">
            <w:pPr>
              <w:pStyle w:val="HaupttextohneEinzug"/>
            </w:pPr>
          </w:p>
          <w:p w14:paraId="29C9E0CB" w14:textId="77777777" w:rsidR="00E53EB6" w:rsidRDefault="006500F5">
            <w:pPr>
              <w:pStyle w:val="HaupttextohneEinzug"/>
            </w:pPr>
            <w:r>
              <w:t xml:space="preserve">7.47.1d </w:t>
            </w:r>
            <w:r>
              <w:rPr>
                <w:i/>
                <w:iCs/>
              </w:rPr>
              <w:t>ghr̥taprú</w:t>
            </w:r>
            <w:r>
              <w:rPr>
                <w:i/>
                <w:iCs/>
              </w:rPr>
              <w:t>ṣ</w:t>
            </w:r>
            <w:r>
              <w:rPr>
                <w:i/>
                <w:iCs/>
              </w:rPr>
              <w:t>am mádhumanta</w:t>
            </w:r>
            <w:r>
              <w:rPr>
                <w:i/>
                <w:iCs/>
              </w:rPr>
              <w:t>ṃ</w:t>
            </w:r>
            <w:r>
              <w:rPr>
                <w:i/>
                <w:iCs/>
              </w:rPr>
              <w:t xml:space="preserve"> vanema </w:t>
            </w:r>
          </w:p>
          <w:p w14:paraId="40C19CD2" w14:textId="77777777" w:rsidR="00E53EB6" w:rsidRDefault="00E53EB6">
            <w:pPr>
              <w:pStyle w:val="HaupttextohneEinzug"/>
            </w:pPr>
          </w:p>
          <w:p w14:paraId="5EA9EC4B" w14:textId="77777777" w:rsidR="00E53EB6" w:rsidRDefault="00E53EB6">
            <w:pPr>
              <w:pStyle w:val="HaupttextohneEinzug"/>
            </w:pPr>
          </w:p>
          <w:p w14:paraId="37DAE871" w14:textId="77777777" w:rsidR="00E53EB6" w:rsidRDefault="006500F5">
            <w:pPr>
              <w:pStyle w:val="HaupttextohneEinzug"/>
            </w:pPr>
            <w:r>
              <w:t xml:space="preserve">2.11.2b </w:t>
            </w:r>
            <w:r>
              <w:rPr>
                <w:i/>
                <w:iCs/>
              </w:rPr>
              <w:t xml:space="preserve"> dhíya</w:t>
            </w:r>
            <w:r>
              <w:rPr>
                <w:i/>
                <w:iCs/>
              </w:rPr>
              <w:t>ṃ</w:t>
            </w:r>
            <w:r>
              <w:rPr>
                <w:i/>
                <w:iCs/>
              </w:rPr>
              <w:t xml:space="preserve"> vanema r̥tayā́ sápanta</w:t>
            </w:r>
            <w:r>
              <w:rPr>
                <w:i/>
                <w:iCs/>
              </w:rPr>
              <w:t>ḥ</w:t>
            </w:r>
            <w:r>
              <w:rPr>
                <w:i/>
                <w:iCs/>
              </w:rPr>
              <w:t xml:space="preserve"> </w:t>
            </w:r>
          </w:p>
          <w:p w14:paraId="6413FFCE" w14:textId="77777777" w:rsidR="00E53EB6" w:rsidRDefault="00E53EB6">
            <w:pPr>
              <w:pStyle w:val="HaupttextohneEinzug"/>
            </w:pPr>
          </w:p>
          <w:p w14:paraId="6E4969FC" w14:textId="77777777" w:rsidR="00E53EB6" w:rsidRDefault="00E53EB6">
            <w:pPr>
              <w:pStyle w:val="HaupttextohneEinzug"/>
            </w:pPr>
          </w:p>
          <w:p w14:paraId="1173D4D2" w14:textId="77777777" w:rsidR="00E53EB6" w:rsidRDefault="00E53EB6">
            <w:pPr>
              <w:pStyle w:val="HaupttextohneEinzug"/>
            </w:pPr>
          </w:p>
          <w:p w14:paraId="23B841E6" w14:textId="77777777" w:rsidR="00E53EB6" w:rsidRDefault="006500F5">
            <w:pPr>
              <w:pStyle w:val="HaupttextohneEinzug"/>
            </w:pPr>
            <w:r>
              <w:t xml:space="preserve">10.105.8b    </w:t>
            </w:r>
            <w:r>
              <w:rPr>
                <w:i/>
                <w:iCs/>
              </w:rPr>
              <w:t xml:space="preserve"> r̥cā́ vanema anŕ̥ca</w:t>
            </w:r>
            <w:r>
              <w:rPr>
                <w:i/>
                <w:iCs/>
              </w:rPr>
              <w:t>ḥ</w:t>
            </w:r>
            <w:r>
              <w:rPr>
                <w:i/>
                <w:iCs/>
              </w:rPr>
              <w:t xml:space="preserve"> </w:t>
            </w:r>
          </w:p>
        </w:tc>
        <w:tc>
          <w:tcPr>
            <w:tcW w:w="3062" w:type="dxa"/>
            <w:tcBorders>
              <w:left w:val="single" w:sz="2" w:space="0" w:color="000000"/>
              <w:bottom w:val="single" w:sz="2" w:space="0" w:color="000000"/>
            </w:tcBorders>
          </w:tcPr>
          <w:p w14:paraId="6EC4E493" w14:textId="77777777" w:rsidR="00E53EB6" w:rsidRPr="00494885" w:rsidRDefault="006500F5">
            <w:pPr>
              <w:pStyle w:val="HaupttextohneEinzug"/>
              <w:rPr>
                <w:lang w:val="de-DE"/>
              </w:rPr>
            </w:pPr>
            <w:r w:rsidRPr="00494885">
              <w:rPr>
                <w:lang w:val="de-DE"/>
              </w:rPr>
              <w:lastRenderedPageBreak/>
              <w:t>wollen gewinnen</w:t>
            </w:r>
          </w:p>
          <w:p w14:paraId="1281DB4F" w14:textId="77777777" w:rsidR="00E53EB6" w:rsidRPr="00494885" w:rsidRDefault="00E53EB6">
            <w:pPr>
              <w:pStyle w:val="HaupttextohneEinzug"/>
              <w:rPr>
                <w:lang w:val="de-DE"/>
              </w:rPr>
            </w:pPr>
          </w:p>
          <w:p w14:paraId="1AC71B93" w14:textId="77777777" w:rsidR="00E53EB6" w:rsidRPr="00494885" w:rsidRDefault="00E53EB6">
            <w:pPr>
              <w:pStyle w:val="HaupttextohneEinzug"/>
              <w:rPr>
                <w:lang w:val="de-DE"/>
              </w:rPr>
            </w:pPr>
          </w:p>
          <w:p w14:paraId="6379A0E1" w14:textId="77777777" w:rsidR="00E53EB6" w:rsidRPr="00494885" w:rsidRDefault="006500F5">
            <w:pPr>
              <w:pStyle w:val="HaupttextohneEinzug"/>
              <w:rPr>
                <w:lang w:val="de-DE"/>
              </w:rPr>
            </w:pPr>
            <w:r w:rsidRPr="00494885">
              <w:rPr>
                <w:lang w:val="de-DE"/>
              </w:rPr>
              <w:lastRenderedPageBreak/>
              <w:t>möchten gewinnen</w:t>
            </w:r>
          </w:p>
          <w:p w14:paraId="4C1DC6B5" w14:textId="77777777" w:rsidR="00E53EB6" w:rsidRPr="00494885" w:rsidRDefault="006500F5">
            <w:pPr>
              <w:pStyle w:val="HaupttextohneEinzug"/>
              <w:rPr>
                <w:lang w:val="de-DE"/>
              </w:rPr>
            </w:pPr>
            <w:r w:rsidRPr="00494885">
              <w:rPr>
                <w:lang w:val="de-DE"/>
              </w:rPr>
              <w:t>gagner</w:t>
            </w:r>
          </w:p>
          <w:p w14:paraId="2D5CE7F8" w14:textId="77777777" w:rsidR="00E53EB6" w:rsidRPr="00494885" w:rsidRDefault="00E53EB6">
            <w:pPr>
              <w:pStyle w:val="HaupttextohneEinzug"/>
              <w:rPr>
                <w:lang w:val="de-DE"/>
              </w:rPr>
            </w:pPr>
          </w:p>
          <w:p w14:paraId="603BE33E" w14:textId="77777777" w:rsidR="00E53EB6" w:rsidRPr="00494885" w:rsidRDefault="00E53EB6">
            <w:pPr>
              <w:pStyle w:val="HaupttextohneEinzug"/>
              <w:rPr>
                <w:lang w:val="de-DE"/>
              </w:rPr>
            </w:pPr>
          </w:p>
          <w:p w14:paraId="7489ACAB" w14:textId="77777777" w:rsidR="00E53EB6" w:rsidRPr="00494885" w:rsidRDefault="006500F5">
            <w:pPr>
              <w:pStyle w:val="HaupttextohneEinzug"/>
              <w:rPr>
                <w:lang w:val="de-DE"/>
              </w:rPr>
            </w:pPr>
            <w:r w:rsidRPr="00494885">
              <w:rPr>
                <w:lang w:val="de-DE"/>
              </w:rPr>
              <w:t>mögen Gewinn haben</w:t>
            </w:r>
          </w:p>
          <w:p w14:paraId="60B21295" w14:textId="77777777" w:rsidR="00E53EB6" w:rsidRPr="00494885" w:rsidRDefault="006500F5">
            <w:pPr>
              <w:pStyle w:val="HaupttextohneEinzug"/>
              <w:rPr>
                <w:lang w:val="de-DE"/>
              </w:rPr>
            </w:pPr>
            <w:r w:rsidRPr="00494885">
              <w:rPr>
                <w:lang w:val="de-DE"/>
              </w:rPr>
              <w:t>gagner</w:t>
            </w:r>
          </w:p>
          <w:p w14:paraId="2A7FBEB7" w14:textId="77777777" w:rsidR="00E53EB6" w:rsidRPr="00494885" w:rsidRDefault="00E53EB6">
            <w:pPr>
              <w:pStyle w:val="HaupttextohneEinzug"/>
              <w:rPr>
                <w:lang w:val="de-DE"/>
              </w:rPr>
            </w:pPr>
          </w:p>
          <w:p w14:paraId="01C42B21" w14:textId="77777777" w:rsidR="00E53EB6" w:rsidRPr="00494885" w:rsidRDefault="00E53EB6">
            <w:pPr>
              <w:pStyle w:val="HaupttextohneEinzug"/>
              <w:rPr>
                <w:lang w:val="de-DE"/>
              </w:rPr>
            </w:pPr>
          </w:p>
          <w:p w14:paraId="5DB750C0" w14:textId="77777777" w:rsidR="00E53EB6" w:rsidRPr="00494885" w:rsidRDefault="00E53EB6">
            <w:pPr>
              <w:pStyle w:val="HaupttextohneEinzug"/>
              <w:rPr>
                <w:lang w:val="de-DE"/>
              </w:rPr>
            </w:pPr>
          </w:p>
          <w:p w14:paraId="5CA1C5B2" w14:textId="77777777" w:rsidR="00E53EB6" w:rsidRPr="00494885" w:rsidRDefault="006500F5">
            <w:pPr>
              <w:pStyle w:val="HaupttextohneEinzug"/>
              <w:rPr>
                <w:lang w:val="de-DE"/>
              </w:rPr>
            </w:pPr>
            <w:r w:rsidRPr="00494885">
              <w:rPr>
                <w:lang w:val="de-DE"/>
              </w:rPr>
              <w:t>überbieten</w:t>
            </w:r>
          </w:p>
          <w:p w14:paraId="452A1661" w14:textId="77777777" w:rsidR="00E53EB6" w:rsidRPr="00494885" w:rsidRDefault="006500F5">
            <w:pPr>
              <w:pStyle w:val="HaupttextohneEinzug"/>
              <w:rPr>
                <w:lang w:val="de-DE"/>
              </w:rPr>
            </w:pPr>
            <w:r w:rsidRPr="00494885">
              <w:rPr>
                <w:lang w:val="de-DE"/>
              </w:rPr>
              <w:t>souhaitons emporter</w:t>
            </w:r>
          </w:p>
          <w:p w14:paraId="7AA96379" w14:textId="77777777" w:rsidR="00E53EB6" w:rsidRPr="00494885" w:rsidRDefault="00E53EB6">
            <w:pPr>
              <w:pStyle w:val="HaupttextohneEinzug"/>
              <w:rPr>
                <w:lang w:val="de-DE"/>
              </w:rPr>
            </w:pPr>
          </w:p>
          <w:p w14:paraId="4F5A09CC" w14:textId="77777777" w:rsidR="00E53EB6" w:rsidRPr="00494885" w:rsidRDefault="00E53EB6">
            <w:pPr>
              <w:pStyle w:val="HaupttextohneEinzug"/>
              <w:rPr>
                <w:lang w:val="de-DE"/>
              </w:rPr>
            </w:pPr>
          </w:p>
          <w:p w14:paraId="4C36C63A" w14:textId="77777777" w:rsidR="00E53EB6" w:rsidRPr="00494885" w:rsidRDefault="00E53EB6">
            <w:pPr>
              <w:pStyle w:val="HaupttextohneEinzug"/>
              <w:rPr>
                <w:lang w:val="de-DE"/>
              </w:rPr>
            </w:pPr>
          </w:p>
          <w:p w14:paraId="6C5F8738" w14:textId="77777777" w:rsidR="00E53EB6" w:rsidRPr="00494885" w:rsidRDefault="006500F5">
            <w:pPr>
              <w:pStyle w:val="HaupttextohneEinzug"/>
              <w:rPr>
                <w:lang w:val="de-DE"/>
              </w:rPr>
            </w:pPr>
            <w:r w:rsidRPr="00494885">
              <w:rPr>
                <w:lang w:val="de-DE"/>
              </w:rPr>
              <w:t>möchten gewinnen</w:t>
            </w:r>
          </w:p>
          <w:p w14:paraId="27D35B9E" w14:textId="77777777" w:rsidR="00E53EB6" w:rsidRPr="00494885" w:rsidRDefault="006500F5">
            <w:pPr>
              <w:pStyle w:val="HaupttextohneEinzug"/>
              <w:rPr>
                <w:lang w:val="de-DE"/>
              </w:rPr>
            </w:pPr>
            <w:r w:rsidRPr="00494885">
              <w:rPr>
                <w:lang w:val="de-DE"/>
              </w:rPr>
              <w:t xml:space="preserve">gagner </w:t>
            </w:r>
            <w:r w:rsidRPr="00494885">
              <w:rPr>
                <w:lang w:val="de-DE"/>
              </w:rPr>
              <w:t>(assoluto)</w:t>
            </w:r>
          </w:p>
          <w:p w14:paraId="726E8201" w14:textId="77777777" w:rsidR="00E53EB6" w:rsidRPr="00494885" w:rsidRDefault="00E53EB6">
            <w:pPr>
              <w:pStyle w:val="HaupttextohneEinzug"/>
              <w:rPr>
                <w:lang w:val="de-DE"/>
              </w:rPr>
            </w:pPr>
          </w:p>
          <w:p w14:paraId="147E56C1" w14:textId="77777777" w:rsidR="00E53EB6" w:rsidRPr="00494885" w:rsidRDefault="006500F5">
            <w:pPr>
              <w:pStyle w:val="HaupttextohneEinzug"/>
              <w:rPr>
                <w:lang w:val="de-DE"/>
              </w:rPr>
            </w:pPr>
            <w:r w:rsidRPr="00494885">
              <w:rPr>
                <w:lang w:val="de-DE"/>
              </w:rPr>
              <w:t>gewinnen</w:t>
            </w:r>
          </w:p>
          <w:p w14:paraId="4DD2DD4A" w14:textId="77777777" w:rsidR="00E53EB6" w:rsidRPr="00494885" w:rsidRDefault="006500F5">
            <w:pPr>
              <w:pStyle w:val="HaupttextohneEinzug"/>
              <w:rPr>
                <w:lang w:val="de-DE"/>
              </w:rPr>
            </w:pPr>
            <w:r w:rsidRPr="00494885">
              <w:rPr>
                <w:lang w:val="de-DE"/>
              </w:rPr>
              <w:t>gagner</w:t>
            </w:r>
          </w:p>
          <w:p w14:paraId="2D803C0C" w14:textId="77777777" w:rsidR="00E53EB6" w:rsidRPr="00494885" w:rsidRDefault="00E53EB6">
            <w:pPr>
              <w:pStyle w:val="HaupttextohneEinzug"/>
              <w:rPr>
                <w:lang w:val="de-DE"/>
              </w:rPr>
            </w:pPr>
          </w:p>
          <w:p w14:paraId="2B8C5BDF" w14:textId="77777777" w:rsidR="00E53EB6" w:rsidRPr="00494885" w:rsidRDefault="00E53EB6">
            <w:pPr>
              <w:pStyle w:val="HaupttextohneEinzug"/>
              <w:rPr>
                <w:lang w:val="de-DE"/>
              </w:rPr>
            </w:pPr>
          </w:p>
          <w:p w14:paraId="42AD46BD" w14:textId="77777777" w:rsidR="00E53EB6" w:rsidRPr="00494885" w:rsidRDefault="006500F5">
            <w:pPr>
              <w:pStyle w:val="HaupttextohneEinzug"/>
              <w:rPr>
                <w:lang w:val="de-DE"/>
              </w:rPr>
            </w:pPr>
            <w:r w:rsidRPr="00494885">
              <w:rPr>
                <w:lang w:val="de-DE"/>
              </w:rPr>
              <w:t xml:space="preserve">wollen Gewinn haben </w:t>
            </w:r>
          </w:p>
          <w:p w14:paraId="0C7F9A81" w14:textId="77777777" w:rsidR="00E53EB6" w:rsidRDefault="006500F5">
            <w:pPr>
              <w:pStyle w:val="HaupttextohneEinzug"/>
            </w:pPr>
            <w:r>
              <w:t>gagner</w:t>
            </w:r>
          </w:p>
          <w:p w14:paraId="1656F22D" w14:textId="77777777" w:rsidR="00E53EB6" w:rsidRDefault="00E53EB6">
            <w:pPr>
              <w:pStyle w:val="HaupttextohneEinzug"/>
            </w:pPr>
          </w:p>
          <w:p w14:paraId="20955B60" w14:textId="77777777" w:rsidR="00E53EB6" w:rsidRDefault="00E53EB6">
            <w:pPr>
              <w:pStyle w:val="HaupttextohneEinzug"/>
            </w:pPr>
          </w:p>
          <w:p w14:paraId="1CDF401A" w14:textId="77777777" w:rsidR="00E53EB6" w:rsidRDefault="00E53EB6">
            <w:pPr>
              <w:pStyle w:val="HaupttextohneEinzug"/>
            </w:pPr>
          </w:p>
          <w:p w14:paraId="3BAAF133" w14:textId="77777777" w:rsidR="00E53EB6" w:rsidRDefault="006500F5">
            <w:pPr>
              <w:pStyle w:val="HaupttextohneEinzug"/>
            </w:pPr>
            <w:r>
              <w:t>wollen überbieten</w:t>
            </w:r>
          </w:p>
        </w:tc>
        <w:tc>
          <w:tcPr>
            <w:tcW w:w="1176" w:type="dxa"/>
            <w:tcBorders>
              <w:left w:val="single" w:sz="2" w:space="0" w:color="000000"/>
              <w:bottom w:val="single" w:sz="2" w:space="0" w:color="000000"/>
              <w:right w:val="single" w:sz="2" w:space="0" w:color="000000"/>
            </w:tcBorders>
          </w:tcPr>
          <w:p w14:paraId="27F3FD82" w14:textId="77777777" w:rsidR="00E53EB6" w:rsidRDefault="006500F5">
            <w:pPr>
              <w:pStyle w:val="HaupttextohneEinzug"/>
            </w:pPr>
            <w:r>
              <w:lastRenderedPageBreak/>
              <w:t xml:space="preserve">*u̯en (thematic opt. from </w:t>
            </w:r>
            <w:r>
              <w:lastRenderedPageBreak/>
              <w:t>athematic aor.)</w:t>
            </w:r>
          </w:p>
        </w:tc>
      </w:tr>
      <w:tr w:rsidR="00E53EB6" w14:paraId="67D3D631" w14:textId="77777777">
        <w:tc>
          <w:tcPr>
            <w:tcW w:w="1210" w:type="dxa"/>
            <w:tcBorders>
              <w:left w:val="single" w:sz="2" w:space="0" w:color="000000"/>
              <w:bottom w:val="single" w:sz="2" w:space="0" w:color="000000"/>
            </w:tcBorders>
          </w:tcPr>
          <w:p w14:paraId="011559E9" w14:textId="77777777" w:rsidR="00E53EB6" w:rsidRDefault="006500F5">
            <w:pPr>
              <w:pStyle w:val="HaupttextohneEinzug"/>
              <w:rPr>
                <w:i/>
                <w:iCs/>
              </w:rPr>
            </w:pPr>
            <w:r>
              <w:rPr>
                <w:i/>
                <w:iCs/>
              </w:rPr>
              <w:t xml:space="preserve">vanuyāmā </w:t>
            </w:r>
          </w:p>
          <w:p w14:paraId="2B26EEED" w14:textId="77777777" w:rsidR="00E53EB6" w:rsidRDefault="006500F5">
            <w:pPr>
              <w:pStyle w:val="HaupttextohneEinzug"/>
              <w:rPr>
                <w:i/>
                <w:iCs/>
              </w:rPr>
            </w:pPr>
            <w:r>
              <w:t>(opt. pres. 1</w:t>
            </w:r>
            <w:r>
              <w:rPr>
                <w:vertAlign w:val="superscript"/>
              </w:rPr>
              <w:t>st</w:t>
            </w:r>
            <w:r>
              <w:t xml:space="preserve"> pl. VIII cl.) </w:t>
            </w:r>
          </w:p>
        </w:tc>
        <w:tc>
          <w:tcPr>
            <w:tcW w:w="3236" w:type="dxa"/>
            <w:tcBorders>
              <w:left w:val="single" w:sz="2" w:space="0" w:color="000000"/>
              <w:bottom w:val="single" w:sz="2" w:space="0" w:color="000000"/>
            </w:tcBorders>
          </w:tcPr>
          <w:p w14:paraId="0FA8C52E" w14:textId="77777777" w:rsidR="00E53EB6" w:rsidRDefault="006500F5">
            <w:pPr>
              <w:pStyle w:val="HaupttextohneEinzug"/>
            </w:pPr>
            <w:r>
              <w:t xml:space="preserve">1.73.9b </w:t>
            </w:r>
            <w:r>
              <w:rPr>
                <w:i/>
                <w:iCs/>
              </w:rPr>
              <w:t>vīraír vīrā́n vanuyāmā tuvótā</w:t>
            </w:r>
            <w:r>
              <w:rPr>
                <w:i/>
                <w:iCs/>
              </w:rPr>
              <w:t>ḥ</w:t>
            </w:r>
            <w:r>
              <w:rPr>
                <w:i/>
                <w:iCs/>
              </w:rPr>
              <w:t xml:space="preserve"> </w:t>
            </w:r>
          </w:p>
          <w:p w14:paraId="58A134D6" w14:textId="77777777" w:rsidR="00E53EB6" w:rsidRDefault="00E53EB6">
            <w:pPr>
              <w:pStyle w:val="HaupttextohneEinzug"/>
            </w:pPr>
          </w:p>
          <w:p w14:paraId="3B74E400" w14:textId="77777777" w:rsidR="00E53EB6" w:rsidRDefault="00E53EB6">
            <w:pPr>
              <w:pStyle w:val="HaupttextohneEinzug"/>
            </w:pPr>
          </w:p>
          <w:p w14:paraId="0E5BA586" w14:textId="77777777" w:rsidR="00E53EB6" w:rsidRDefault="006500F5">
            <w:pPr>
              <w:pStyle w:val="HaupttextohneEinzug"/>
            </w:pPr>
            <w:r>
              <w:t xml:space="preserve">1.132.1c </w:t>
            </w:r>
            <w:r>
              <w:rPr>
                <w:i/>
                <w:iCs/>
              </w:rPr>
              <w:t>vanuyā́ma vanu</w:t>
            </w:r>
            <w:r>
              <w:rPr>
                <w:i/>
                <w:iCs/>
              </w:rPr>
              <w:t>ṣ</w:t>
            </w:r>
            <w:r>
              <w:rPr>
                <w:i/>
                <w:iCs/>
              </w:rPr>
              <w:t>yatá</w:t>
            </w:r>
            <w:r>
              <w:rPr>
                <w:i/>
                <w:iCs/>
              </w:rPr>
              <w:t>ḥ</w:t>
            </w:r>
            <w:r>
              <w:t xml:space="preserve"> </w:t>
            </w:r>
          </w:p>
          <w:p w14:paraId="6CE9D121" w14:textId="77777777" w:rsidR="00E53EB6" w:rsidRDefault="00E53EB6">
            <w:pPr>
              <w:pStyle w:val="HaupttextohneEinzug"/>
            </w:pPr>
          </w:p>
          <w:p w14:paraId="6108DBD1" w14:textId="77777777" w:rsidR="00E53EB6" w:rsidRDefault="00E53EB6">
            <w:pPr>
              <w:pStyle w:val="HaupttextohneEinzug"/>
            </w:pPr>
          </w:p>
          <w:p w14:paraId="2BE5D272" w14:textId="77777777" w:rsidR="00E53EB6" w:rsidRPr="00494885" w:rsidRDefault="006500F5">
            <w:pPr>
              <w:pStyle w:val="HaupttextohneEinzug"/>
              <w:rPr>
                <w:lang w:val="it-IT"/>
              </w:rPr>
            </w:pPr>
            <w:r w:rsidRPr="00494885">
              <w:rPr>
                <w:lang w:val="it-IT"/>
              </w:rPr>
              <w:t>5.3.6 a</w:t>
            </w:r>
            <w:r w:rsidRPr="00494885">
              <w:rPr>
                <w:i/>
                <w:iCs/>
                <w:lang w:val="it-IT"/>
              </w:rPr>
              <w:t xml:space="preserve"> vayám agne vanuyāma tuvótā </w:t>
            </w:r>
          </w:p>
          <w:p w14:paraId="2AC71A02" w14:textId="77777777" w:rsidR="00E53EB6" w:rsidRPr="00494885" w:rsidRDefault="00E53EB6">
            <w:pPr>
              <w:pStyle w:val="HaupttextohneEinzug"/>
              <w:rPr>
                <w:lang w:val="it-IT"/>
              </w:rPr>
            </w:pPr>
          </w:p>
          <w:p w14:paraId="333D9A37" w14:textId="77777777" w:rsidR="00E53EB6" w:rsidRPr="00494885" w:rsidRDefault="00E53EB6">
            <w:pPr>
              <w:pStyle w:val="HaupttextohneEinzug"/>
              <w:rPr>
                <w:lang w:val="it-IT"/>
              </w:rPr>
            </w:pPr>
          </w:p>
          <w:p w14:paraId="5D520180" w14:textId="77777777" w:rsidR="00E53EB6" w:rsidRPr="00494885" w:rsidRDefault="006500F5">
            <w:pPr>
              <w:pStyle w:val="HaupttextohneEinzug"/>
              <w:rPr>
                <w:lang w:val="it-IT"/>
              </w:rPr>
            </w:pPr>
            <w:r w:rsidRPr="00494885">
              <w:rPr>
                <w:lang w:val="it-IT"/>
              </w:rPr>
              <w:t xml:space="preserve">8.40.7e  </w:t>
            </w:r>
            <w:r w:rsidRPr="00494885">
              <w:rPr>
                <w:i/>
                <w:iCs/>
                <w:lang w:val="it-IT"/>
              </w:rPr>
              <w:t>vanuyā́ma vanu</w:t>
            </w:r>
            <w:r w:rsidRPr="00494885">
              <w:rPr>
                <w:i/>
                <w:iCs/>
                <w:lang w:val="it-IT"/>
              </w:rPr>
              <w:t>ṣ</w:t>
            </w:r>
            <w:r w:rsidRPr="00494885">
              <w:rPr>
                <w:i/>
                <w:iCs/>
                <w:lang w:val="it-IT"/>
              </w:rPr>
              <w:t xml:space="preserve">yató </w:t>
            </w:r>
          </w:p>
          <w:p w14:paraId="2E107D51" w14:textId="77777777" w:rsidR="00E53EB6" w:rsidRPr="00494885" w:rsidRDefault="00E53EB6">
            <w:pPr>
              <w:pStyle w:val="HaupttextohneEinzug"/>
              <w:rPr>
                <w:lang w:val="it-IT"/>
              </w:rPr>
            </w:pPr>
          </w:p>
          <w:p w14:paraId="49A462E5" w14:textId="77777777" w:rsidR="00E53EB6" w:rsidRPr="00494885" w:rsidRDefault="006500F5">
            <w:pPr>
              <w:pStyle w:val="HaupttextohneEinzug"/>
              <w:rPr>
                <w:lang w:val="it-IT"/>
              </w:rPr>
            </w:pPr>
            <w:r w:rsidRPr="00494885">
              <w:rPr>
                <w:lang w:val="it-IT"/>
              </w:rPr>
              <w:t xml:space="preserve">10.38.3 d </w:t>
            </w:r>
            <w:r w:rsidRPr="00494885">
              <w:rPr>
                <w:i/>
                <w:iCs/>
                <w:lang w:val="it-IT"/>
              </w:rPr>
              <w:t>tváyā vayá</w:t>
            </w:r>
            <w:r w:rsidRPr="00494885">
              <w:rPr>
                <w:i/>
                <w:iCs/>
                <w:lang w:val="it-IT"/>
              </w:rPr>
              <w:t>ṃ</w:t>
            </w:r>
            <w:r w:rsidRPr="00494885">
              <w:rPr>
                <w:i/>
                <w:iCs/>
                <w:lang w:val="it-IT"/>
              </w:rPr>
              <w:t xml:space="preserve"> tā́n vanuyāma sa</w:t>
            </w:r>
            <w:r w:rsidRPr="00494885">
              <w:rPr>
                <w:i/>
                <w:iCs/>
                <w:lang w:val="it-IT"/>
              </w:rPr>
              <w:t>ṃ</w:t>
            </w:r>
            <w:r w:rsidRPr="00494885">
              <w:rPr>
                <w:i/>
                <w:iCs/>
                <w:lang w:val="it-IT"/>
              </w:rPr>
              <w:t xml:space="preserve">gamé </w:t>
            </w:r>
          </w:p>
        </w:tc>
        <w:tc>
          <w:tcPr>
            <w:tcW w:w="3062" w:type="dxa"/>
            <w:tcBorders>
              <w:left w:val="single" w:sz="2" w:space="0" w:color="000000"/>
              <w:bottom w:val="single" w:sz="2" w:space="0" w:color="000000"/>
            </w:tcBorders>
          </w:tcPr>
          <w:p w14:paraId="4272B632" w14:textId="77777777" w:rsidR="00E53EB6" w:rsidRPr="00494885" w:rsidRDefault="006500F5">
            <w:pPr>
              <w:pStyle w:val="HaupttextohneEinzug"/>
              <w:rPr>
                <w:lang w:val="de-DE"/>
              </w:rPr>
            </w:pPr>
            <w:r w:rsidRPr="00494885">
              <w:rPr>
                <w:lang w:val="de-DE"/>
              </w:rPr>
              <w:t>überbieten</w:t>
            </w:r>
          </w:p>
          <w:p w14:paraId="45C46F2F" w14:textId="77777777" w:rsidR="00E53EB6" w:rsidRPr="00494885" w:rsidRDefault="006500F5">
            <w:pPr>
              <w:pStyle w:val="HaupttextohneEinzug"/>
              <w:rPr>
                <w:lang w:val="de-DE"/>
              </w:rPr>
            </w:pPr>
            <w:r w:rsidRPr="00494885">
              <w:rPr>
                <w:lang w:val="de-DE"/>
              </w:rPr>
              <w:t>vaincre</w:t>
            </w:r>
          </w:p>
          <w:p w14:paraId="1BEA41CE" w14:textId="77777777" w:rsidR="00E53EB6" w:rsidRPr="00494885" w:rsidRDefault="00E53EB6">
            <w:pPr>
              <w:pStyle w:val="HaupttextohneEinzug"/>
              <w:rPr>
                <w:lang w:val="de-DE"/>
              </w:rPr>
            </w:pPr>
          </w:p>
          <w:p w14:paraId="04EB4C9D" w14:textId="77777777" w:rsidR="00E53EB6" w:rsidRPr="00494885" w:rsidRDefault="00E53EB6">
            <w:pPr>
              <w:pStyle w:val="HaupttextohneEinzug"/>
              <w:rPr>
                <w:lang w:val="de-DE"/>
              </w:rPr>
            </w:pPr>
          </w:p>
          <w:p w14:paraId="51E6CF2B" w14:textId="77777777" w:rsidR="00E53EB6" w:rsidRPr="00494885" w:rsidRDefault="006500F5">
            <w:pPr>
              <w:pStyle w:val="HaupttextohneEinzug"/>
              <w:rPr>
                <w:lang w:val="de-DE"/>
              </w:rPr>
            </w:pPr>
            <w:r w:rsidRPr="00494885">
              <w:rPr>
                <w:lang w:val="de-DE"/>
              </w:rPr>
              <w:t>wollen übertrumpfen</w:t>
            </w:r>
          </w:p>
          <w:p w14:paraId="1EA67DF0" w14:textId="77777777" w:rsidR="00E53EB6" w:rsidRPr="00494885" w:rsidRDefault="006500F5">
            <w:pPr>
              <w:pStyle w:val="HaupttextohneEinzug"/>
              <w:rPr>
                <w:lang w:val="de-DE"/>
              </w:rPr>
            </w:pPr>
            <w:r w:rsidRPr="00494885">
              <w:rPr>
                <w:lang w:val="de-DE"/>
              </w:rPr>
              <w:t>vaincre</w:t>
            </w:r>
          </w:p>
          <w:p w14:paraId="743A2771" w14:textId="77777777" w:rsidR="00E53EB6" w:rsidRPr="00494885" w:rsidRDefault="00E53EB6">
            <w:pPr>
              <w:pStyle w:val="HaupttextohneEinzug"/>
              <w:rPr>
                <w:lang w:val="de-DE"/>
              </w:rPr>
            </w:pPr>
          </w:p>
          <w:p w14:paraId="76081049" w14:textId="77777777" w:rsidR="00E53EB6" w:rsidRPr="00494885" w:rsidRDefault="006500F5">
            <w:pPr>
              <w:pStyle w:val="HaupttextohneEinzug"/>
              <w:rPr>
                <w:lang w:val="de-DE"/>
              </w:rPr>
            </w:pPr>
            <w:r w:rsidRPr="00494885">
              <w:rPr>
                <w:lang w:val="de-DE"/>
              </w:rPr>
              <w:t>wollen überbieten</w:t>
            </w:r>
          </w:p>
          <w:p w14:paraId="2E65B2A3" w14:textId="77777777" w:rsidR="00E53EB6" w:rsidRPr="00494885" w:rsidRDefault="006500F5">
            <w:pPr>
              <w:pStyle w:val="HaupttextohneEinzug"/>
              <w:rPr>
                <w:lang w:val="de-DE"/>
              </w:rPr>
            </w:pPr>
            <w:r w:rsidRPr="00494885">
              <w:rPr>
                <w:lang w:val="de-DE"/>
              </w:rPr>
              <w:t xml:space="preserve"> pouissions l’emporter            </w:t>
            </w:r>
          </w:p>
          <w:p w14:paraId="0E82E345" w14:textId="77777777" w:rsidR="00E53EB6" w:rsidRPr="00494885" w:rsidRDefault="00E53EB6">
            <w:pPr>
              <w:pStyle w:val="HaupttextohneEinzug"/>
              <w:rPr>
                <w:lang w:val="de-DE"/>
              </w:rPr>
            </w:pPr>
          </w:p>
          <w:p w14:paraId="4E558F8E" w14:textId="77777777" w:rsidR="00E53EB6" w:rsidRPr="00494885" w:rsidRDefault="00E53EB6">
            <w:pPr>
              <w:pStyle w:val="HaupttextohneEinzug"/>
              <w:rPr>
                <w:lang w:val="de-DE"/>
              </w:rPr>
            </w:pPr>
          </w:p>
          <w:p w14:paraId="43710AFC" w14:textId="77777777" w:rsidR="00E53EB6" w:rsidRPr="00494885" w:rsidRDefault="006500F5">
            <w:pPr>
              <w:pStyle w:val="HaupttextohneEinzug"/>
              <w:rPr>
                <w:lang w:val="de-DE"/>
              </w:rPr>
            </w:pPr>
            <w:r w:rsidRPr="00494885">
              <w:rPr>
                <w:lang w:val="de-DE"/>
              </w:rPr>
              <w:t>wollen überbieten</w:t>
            </w:r>
          </w:p>
          <w:p w14:paraId="62BF3B90" w14:textId="77777777" w:rsidR="00E53EB6" w:rsidRPr="00494885" w:rsidRDefault="006500F5">
            <w:pPr>
              <w:pStyle w:val="HaupttextohneEinzug"/>
              <w:rPr>
                <w:lang w:val="de-DE"/>
              </w:rPr>
            </w:pPr>
            <w:r w:rsidRPr="00494885">
              <w:rPr>
                <w:lang w:val="de-DE"/>
              </w:rPr>
              <w:t>vaincre</w:t>
            </w:r>
          </w:p>
          <w:p w14:paraId="5D5CF13B" w14:textId="77777777" w:rsidR="00E53EB6" w:rsidRPr="00494885" w:rsidRDefault="006500F5">
            <w:pPr>
              <w:pStyle w:val="HaupttextohneEinzug"/>
              <w:rPr>
                <w:lang w:val="de-DE"/>
              </w:rPr>
            </w:pPr>
            <w:r w:rsidRPr="00494885">
              <w:rPr>
                <w:lang w:val="de-DE"/>
              </w:rPr>
              <w:t xml:space="preserve">wollen </w:t>
            </w:r>
            <w:r w:rsidRPr="00494885">
              <w:rPr>
                <w:lang w:val="de-DE"/>
              </w:rPr>
              <w:t>überwinden</w:t>
            </w:r>
          </w:p>
        </w:tc>
        <w:tc>
          <w:tcPr>
            <w:tcW w:w="1176" w:type="dxa"/>
            <w:tcBorders>
              <w:left w:val="single" w:sz="2" w:space="0" w:color="000000"/>
              <w:bottom w:val="single" w:sz="2" w:space="0" w:color="000000"/>
              <w:right w:val="single" w:sz="2" w:space="0" w:color="000000"/>
            </w:tcBorders>
          </w:tcPr>
          <w:p w14:paraId="519F502E" w14:textId="77777777" w:rsidR="00E53EB6" w:rsidRDefault="006500F5">
            <w:pPr>
              <w:pStyle w:val="HaupttextohneEinzug"/>
            </w:pPr>
            <w:r>
              <w:t>*u̯en</w:t>
            </w:r>
          </w:p>
        </w:tc>
      </w:tr>
      <w:tr w:rsidR="00E53EB6" w14:paraId="23727C10" w14:textId="77777777">
        <w:tc>
          <w:tcPr>
            <w:tcW w:w="1210" w:type="dxa"/>
            <w:tcBorders>
              <w:left w:val="single" w:sz="2" w:space="0" w:color="000000"/>
              <w:bottom w:val="single" w:sz="2" w:space="0" w:color="000000"/>
            </w:tcBorders>
          </w:tcPr>
          <w:p w14:paraId="44CCFBB4" w14:textId="77777777" w:rsidR="00E53EB6" w:rsidRDefault="006500F5">
            <w:pPr>
              <w:pStyle w:val="HaupttextohneEinzug"/>
              <w:rPr>
                <w:i/>
                <w:iCs/>
              </w:rPr>
            </w:pPr>
            <w:r>
              <w:rPr>
                <w:i/>
                <w:iCs/>
              </w:rPr>
              <w:t>va</w:t>
            </w:r>
            <w:r>
              <w:rPr>
                <w:i/>
                <w:iCs/>
              </w:rPr>
              <w:t>ṃ</w:t>
            </w:r>
            <w:r>
              <w:rPr>
                <w:i/>
                <w:iCs/>
              </w:rPr>
              <w:t xml:space="preserve">sīmáhi </w:t>
            </w:r>
          </w:p>
          <w:p w14:paraId="06E1036F" w14:textId="77777777" w:rsidR="00E53EB6" w:rsidRDefault="006500F5">
            <w:pPr>
              <w:pStyle w:val="HaupttextohneEinzug"/>
            </w:pPr>
            <w:r>
              <w:t>(opt. aor. 1</w:t>
            </w:r>
            <w:r>
              <w:rPr>
                <w:vertAlign w:val="superscript"/>
              </w:rPr>
              <w:t>st</w:t>
            </w:r>
            <w:r>
              <w:t xml:space="preserve"> pl. double stem) </w:t>
            </w:r>
          </w:p>
        </w:tc>
        <w:tc>
          <w:tcPr>
            <w:tcW w:w="3236" w:type="dxa"/>
            <w:tcBorders>
              <w:left w:val="single" w:sz="2" w:space="0" w:color="000000"/>
              <w:bottom w:val="single" w:sz="2" w:space="0" w:color="000000"/>
            </w:tcBorders>
          </w:tcPr>
          <w:p w14:paraId="014D610A" w14:textId="77777777" w:rsidR="00E53EB6" w:rsidRDefault="006500F5">
            <w:pPr>
              <w:pStyle w:val="HaupttextohneEinzug"/>
            </w:pPr>
            <w:r>
              <w:t>6.19.10 b</w:t>
            </w:r>
            <w:r>
              <w:rPr>
                <w:i/>
                <w:iCs/>
              </w:rPr>
              <w:t xml:space="preserve"> va</w:t>
            </w:r>
            <w:r>
              <w:rPr>
                <w:i/>
                <w:iCs/>
              </w:rPr>
              <w:t>ṃ</w:t>
            </w:r>
            <w:r>
              <w:rPr>
                <w:i/>
                <w:iCs/>
              </w:rPr>
              <w:t>sīmáhi  vāmá</w:t>
            </w:r>
            <w:r>
              <w:rPr>
                <w:i/>
                <w:iCs/>
              </w:rPr>
              <w:t>ṃ</w:t>
            </w:r>
            <w:r>
              <w:rPr>
                <w:i/>
                <w:iCs/>
              </w:rPr>
              <w:t xml:space="preserve"> śrómatebhi</w:t>
            </w:r>
            <w:r>
              <w:rPr>
                <w:i/>
                <w:iCs/>
              </w:rPr>
              <w:t>ḥ</w:t>
            </w:r>
          </w:p>
          <w:p w14:paraId="10907A74" w14:textId="77777777" w:rsidR="00E53EB6" w:rsidRDefault="00E53EB6">
            <w:pPr>
              <w:pStyle w:val="HaupttextohneEinzug"/>
              <w:rPr>
                <w:i/>
                <w:iCs/>
              </w:rPr>
            </w:pPr>
          </w:p>
          <w:p w14:paraId="11B66200" w14:textId="77777777" w:rsidR="00E53EB6" w:rsidRDefault="006500F5">
            <w:pPr>
              <w:pStyle w:val="HaupttextohneEinzug"/>
            </w:pPr>
            <w:r>
              <w:t xml:space="preserve">9.72.8d  </w:t>
            </w:r>
            <w:r>
              <w:rPr>
                <w:i/>
                <w:iCs/>
              </w:rPr>
              <w:t>rayím piśá</w:t>
            </w:r>
            <w:r>
              <w:rPr>
                <w:i/>
                <w:iCs/>
              </w:rPr>
              <w:t>ṅ</w:t>
            </w:r>
            <w:r>
              <w:rPr>
                <w:i/>
                <w:iCs/>
              </w:rPr>
              <w:t>gam bahulá</w:t>
            </w:r>
            <w:r>
              <w:rPr>
                <w:i/>
                <w:iCs/>
              </w:rPr>
              <w:t>ṃ</w:t>
            </w:r>
            <w:r>
              <w:rPr>
                <w:i/>
                <w:iCs/>
              </w:rPr>
              <w:t xml:space="preserve"> vasīmahi</w:t>
            </w:r>
          </w:p>
        </w:tc>
        <w:tc>
          <w:tcPr>
            <w:tcW w:w="3062" w:type="dxa"/>
            <w:tcBorders>
              <w:left w:val="single" w:sz="2" w:space="0" w:color="000000"/>
              <w:bottom w:val="single" w:sz="2" w:space="0" w:color="000000"/>
            </w:tcBorders>
          </w:tcPr>
          <w:p w14:paraId="1CDA5F46" w14:textId="77777777" w:rsidR="00E53EB6" w:rsidRPr="00494885" w:rsidRDefault="006500F5">
            <w:pPr>
              <w:pStyle w:val="HaupttextohneEinzug"/>
              <w:rPr>
                <w:lang w:val="de-DE"/>
              </w:rPr>
            </w:pPr>
            <w:r w:rsidRPr="00494885">
              <w:rPr>
                <w:lang w:val="de-DE"/>
              </w:rPr>
              <w:t>möchten gewinnen</w:t>
            </w:r>
          </w:p>
          <w:p w14:paraId="0085C448" w14:textId="77777777" w:rsidR="00E53EB6" w:rsidRPr="00494885" w:rsidRDefault="00E53EB6">
            <w:pPr>
              <w:pStyle w:val="HaupttextohneEinzug"/>
              <w:rPr>
                <w:lang w:val="de-DE"/>
              </w:rPr>
            </w:pPr>
          </w:p>
          <w:p w14:paraId="26C7B0B2" w14:textId="77777777" w:rsidR="00E53EB6" w:rsidRPr="00494885" w:rsidRDefault="00E53EB6">
            <w:pPr>
              <w:pStyle w:val="HaupttextohneEinzug"/>
              <w:rPr>
                <w:lang w:val="de-DE"/>
              </w:rPr>
            </w:pPr>
          </w:p>
          <w:p w14:paraId="55D27724" w14:textId="77777777" w:rsidR="00E53EB6" w:rsidRPr="00494885" w:rsidRDefault="006500F5">
            <w:pPr>
              <w:pStyle w:val="HaupttextohneEinzug"/>
              <w:rPr>
                <w:lang w:val="de-DE"/>
              </w:rPr>
            </w:pPr>
            <w:r w:rsidRPr="00494885">
              <w:rPr>
                <w:lang w:val="de-DE"/>
              </w:rPr>
              <w:t xml:space="preserve">möchten uns umgeben </w:t>
            </w:r>
          </w:p>
          <w:p w14:paraId="06317EF1" w14:textId="77777777" w:rsidR="00E53EB6" w:rsidRPr="00494885" w:rsidRDefault="006500F5">
            <w:pPr>
              <w:pStyle w:val="HaupttextohneEinzug"/>
              <w:rPr>
                <w:lang w:val="de-DE"/>
              </w:rPr>
            </w:pPr>
            <w:r w:rsidRPr="00494885">
              <w:rPr>
                <w:lang w:val="de-DE"/>
              </w:rPr>
              <w:t>revêtir</w:t>
            </w:r>
          </w:p>
        </w:tc>
        <w:tc>
          <w:tcPr>
            <w:tcW w:w="1176" w:type="dxa"/>
            <w:tcBorders>
              <w:left w:val="single" w:sz="2" w:space="0" w:color="000000"/>
              <w:bottom w:val="single" w:sz="2" w:space="0" w:color="000000"/>
              <w:right w:val="single" w:sz="2" w:space="0" w:color="000000"/>
            </w:tcBorders>
          </w:tcPr>
          <w:p w14:paraId="33DF9561" w14:textId="77777777" w:rsidR="00E53EB6" w:rsidRDefault="006500F5">
            <w:pPr>
              <w:pStyle w:val="HaupttextohneEinzug"/>
            </w:pPr>
            <w:r>
              <w:t>*u̯en</w:t>
            </w:r>
          </w:p>
        </w:tc>
      </w:tr>
      <w:tr w:rsidR="00E53EB6" w14:paraId="3AC5C850" w14:textId="77777777">
        <w:tc>
          <w:tcPr>
            <w:tcW w:w="1210" w:type="dxa"/>
            <w:tcBorders>
              <w:left w:val="single" w:sz="2" w:space="0" w:color="000000"/>
              <w:bottom w:val="single" w:sz="2" w:space="0" w:color="000000"/>
            </w:tcBorders>
          </w:tcPr>
          <w:p w14:paraId="7A0E32C6" w14:textId="77777777" w:rsidR="00E53EB6" w:rsidRDefault="006500F5">
            <w:pPr>
              <w:pStyle w:val="HaupttextohneEinzug"/>
              <w:rPr>
                <w:b/>
                <w:bCs/>
              </w:rPr>
            </w:pPr>
            <w:r>
              <w:rPr>
                <w:b/>
                <w:bCs/>
              </w:rPr>
              <w:lastRenderedPageBreak/>
              <w:t>Imperative</w:t>
            </w:r>
          </w:p>
        </w:tc>
        <w:tc>
          <w:tcPr>
            <w:tcW w:w="3236" w:type="dxa"/>
            <w:tcBorders>
              <w:left w:val="single" w:sz="2" w:space="0" w:color="000000"/>
              <w:bottom w:val="single" w:sz="2" w:space="0" w:color="000000"/>
            </w:tcBorders>
          </w:tcPr>
          <w:p w14:paraId="0DBEC248" w14:textId="77777777" w:rsidR="00E53EB6" w:rsidRDefault="00E53EB6">
            <w:pPr>
              <w:pStyle w:val="HaupttextohneEinzug"/>
              <w:rPr>
                <w:i/>
                <w:iCs/>
              </w:rPr>
            </w:pPr>
          </w:p>
        </w:tc>
        <w:tc>
          <w:tcPr>
            <w:tcW w:w="3062" w:type="dxa"/>
            <w:tcBorders>
              <w:left w:val="single" w:sz="2" w:space="0" w:color="000000"/>
              <w:bottom w:val="single" w:sz="2" w:space="0" w:color="000000"/>
            </w:tcBorders>
          </w:tcPr>
          <w:p w14:paraId="6A2FEA71" w14:textId="77777777" w:rsidR="00E53EB6" w:rsidRDefault="00E53EB6">
            <w:pPr>
              <w:pStyle w:val="HaupttextohneEinzug"/>
            </w:pPr>
          </w:p>
        </w:tc>
        <w:tc>
          <w:tcPr>
            <w:tcW w:w="1176" w:type="dxa"/>
            <w:tcBorders>
              <w:left w:val="single" w:sz="2" w:space="0" w:color="000000"/>
              <w:bottom w:val="single" w:sz="2" w:space="0" w:color="000000"/>
              <w:right w:val="single" w:sz="2" w:space="0" w:color="000000"/>
            </w:tcBorders>
          </w:tcPr>
          <w:p w14:paraId="4B41EA49" w14:textId="77777777" w:rsidR="00E53EB6" w:rsidRDefault="00E53EB6">
            <w:pPr>
              <w:pStyle w:val="HaupttextohneEinzug"/>
            </w:pPr>
          </w:p>
        </w:tc>
      </w:tr>
      <w:tr w:rsidR="00E53EB6" w14:paraId="4AEBDB1B" w14:textId="77777777">
        <w:tc>
          <w:tcPr>
            <w:tcW w:w="1210" w:type="dxa"/>
            <w:tcBorders>
              <w:left w:val="single" w:sz="2" w:space="0" w:color="000000"/>
              <w:bottom w:val="single" w:sz="2" w:space="0" w:color="000000"/>
            </w:tcBorders>
          </w:tcPr>
          <w:p w14:paraId="50A27E14" w14:textId="77777777" w:rsidR="00E53EB6" w:rsidRDefault="006500F5">
            <w:pPr>
              <w:pStyle w:val="HaupttextohneEinzug"/>
            </w:pPr>
            <w:r>
              <w:rPr>
                <w:i/>
                <w:iCs/>
              </w:rPr>
              <w:t>vanu</w:t>
            </w:r>
            <w:r>
              <w:rPr>
                <w:i/>
                <w:iCs/>
              </w:rPr>
              <w:t>ṣ</w:t>
            </w:r>
            <w:r>
              <w:rPr>
                <w:i/>
                <w:iCs/>
              </w:rPr>
              <w:t>va</w:t>
            </w:r>
            <w:r>
              <w:t xml:space="preserve"> </w:t>
            </w:r>
          </w:p>
          <w:p w14:paraId="04CB9704" w14:textId="77777777" w:rsidR="00E53EB6" w:rsidRDefault="006500F5">
            <w:pPr>
              <w:pStyle w:val="HaupttextohneEinzug"/>
            </w:pPr>
            <w:r>
              <w:t>(imp. pres. 2</w:t>
            </w:r>
            <w:r>
              <w:rPr>
                <w:vertAlign w:val="superscript"/>
              </w:rPr>
              <w:t>nd</w:t>
            </w:r>
            <w:r>
              <w:t xml:space="preserve"> sing.  Ā VIII cl.) </w:t>
            </w:r>
          </w:p>
        </w:tc>
        <w:tc>
          <w:tcPr>
            <w:tcW w:w="3236" w:type="dxa"/>
            <w:tcBorders>
              <w:left w:val="single" w:sz="2" w:space="0" w:color="000000"/>
              <w:bottom w:val="single" w:sz="2" w:space="0" w:color="000000"/>
            </w:tcBorders>
          </w:tcPr>
          <w:p w14:paraId="116D2E73" w14:textId="77777777" w:rsidR="00E53EB6" w:rsidRDefault="006500F5">
            <w:pPr>
              <w:pStyle w:val="HaupttextohneEinzug"/>
              <w:rPr>
                <w:i/>
                <w:iCs/>
              </w:rPr>
            </w:pPr>
            <w:r>
              <w:t xml:space="preserve">1.169.1d  </w:t>
            </w:r>
            <w:r>
              <w:rPr>
                <w:i/>
                <w:iCs/>
              </w:rPr>
              <w:t>sumnā́ vanu</w:t>
            </w:r>
            <w:r>
              <w:rPr>
                <w:i/>
                <w:iCs/>
              </w:rPr>
              <w:t>ṣ</w:t>
            </w:r>
            <w:r>
              <w:rPr>
                <w:i/>
                <w:iCs/>
              </w:rPr>
              <w:t>va táva hí práyi</w:t>
            </w:r>
            <w:r>
              <w:rPr>
                <w:i/>
                <w:iCs/>
              </w:rPr>
              <w:t>ṣṭ</w:t>
            </w:r>
            <w:r>
              <w:rPr>
                <w:i/>
                <w:iCs/>
              </w:rPr>
              <w:t xml:space="preserve">hā </w:t>
            </w:r>
          </w:p>
        </w:tc>
        <w:tc>
          <w:tcPr>
            <w:tcW w:w="3062" w:type="dxa"/>
            <w:tcBorders>
              <w:left w:val="single" w:sz="2" w:space="0" w:color="000000"/>
              <w:bottom w:val="single" w:sz="2" w:space="0" w:color="000000"/>
            </w:tcBorders>
          </w:tcPr>
          <w:p w14:paraId="249BBBE2" w14:textId="77777777" w:rsidR="00E53EB6" w:rsidRDefault="006500F5">
            <w:pPr>
              <w:pStyle w:val="HaupttextohneEinzug"/>
            </w:pPr>
            <w:r>
              <w:t>gewinn</w:t>
            </w:r>
          </w:p>
          <w:p w14:paraId="0583993C" w14:textId="77777777" w:rsidR="00E53EB6" w:rsidRDefault="006500F5">
            <w:pPr>
              <w:pStyle w:val="HaupttextohneEinzug"/>
            </w:pPr>
            <w:r>
              <w:t>gagne</w:t>
            </w:r>
          </w:p>
        </w:tc>
        <w:tc>
          <w:tcPr>
            <w:tcW w:w="1176" w:type="dxa"/>
            <w:tcBorders>
              <w:left w:val="single" w:sz="2" w:space="0" w:color="000000"/>
              <w:bottom w:val="single" w:sz="2" w:space="0" w:color="000000"/>
              <w:right w:val="single" w:sz="2" w:space="0" w:color="000000"/>
            </w:tcBorders>
          </w:tcPr>
          <w:p w14:paraId="249A34E4" w14:textId="77777777" w:rsidR="00E53EB6" w:rsidRDefault="006500F5">
            <w:pPr>
              <w:pStyle w:val="HaupttextohneEinzug"/>
            </w:pPr>
            <w:r>
              <w:t>*u̯en</w:t>
            </w:r>
          </w:p>
        </w:tc>
      </w:tr>
      <w:tr w:rsidR="00E53EB6" w14:paraId="02A40959" w14:textId="77777777">
        <w:tc>
          <w:tcPr>
            <w:tcW w:w="1210" w:type="dxa"/>
            <w:tcBorders>
              <w:left w:val="single" w:sz="2" w:space="0" w:color="000000"/>
              <w:bottom w:val="single" w:sz="2" w:space="0" w:color="000000"/>
            </w:tcBorders>
          </w:tcPr>
          <w:p w14:paraId="55417133" w14:textId="77777777" w:rsidR="00E53EB6" w:rsidRDefault="006500F5">
            <w:pPr>
              <w:pStyle w:val="HaupttextohneEinzug"/>
            </w:pPr>
            <w:r>
              <w:rPr>
                <w:i/>
                <w:iCs/>
              </w:rPr>
              <w:t>vanvántu</w:t>
            </w:r>
            <w:r>
              <w:t xml:space="preserve"> </w:t>
            </w:r>
          </w:p>
          <w:p w14:paraId="4AA09BED" w14:textId="77777777" w:rsidR="00E53EB6" w:rsidRDefault="006500F5">
            <w:pPr>
              <w:pStyle w:val="HaupttextohneEinzug"/>
            </w:pPr>
            <w:r>
              <w:t>(imp. pres. 3</w:t>
            </w:r>
            <w:r>
              <w:rPr>
                <w:vertAlign w:val="superscript"/>
              </w:rPr>
              <w:t>rd</w:t>
            </w:r>
            <w:r>
              <w:t xml:space="preserve"> pl. VIII cl.)</w:t>
            </w:r>
          </w:p>
        </w:tc>
        <w:tc>
          <w:tcPr>
            <w:tcW w:w="3236" w:type="dxa"/>
            <w:tcBorders>
              <w:left w:val="single" w:sz="2" w:space="0" w:color="000000"/>
              <w:bottom w:val="single" w:sz="2" w:space="0" w:color="000000"/>
            </w:tcBorders>
          </w:tcPr>
          <w:p w14:paraId="0E8AAA3E" w14:textId="77777777" w:rsidR="00E53EB6" w:rsidRDefault="006500F5">
            <w:pPr>
              <w:pStyle w:val="HaupttextohneEinzug"/>
              <w:rPr>
                <w:i/>
                <w:iCs/>
              </w:rPr>
            </w:pPr>
            <w:r>
              <w:t xml:space="preserve">7.21.9c </w:t>
            </w:r>
            <w:r>
              <w:rPr>
                <w:i/>
                <w:iCs/>
              </w:rPr>
              <w:t xml:space="preserve"> vanvántu smā te ávasā samīké </w:t>
            </w:r>
          </w:p>
          <w:p w14:paraId="78B1C983" w14:textId="77777777" w:rsidR="00E53EB6" w:rsidRDefault="00E53EB6">
            <w:pPr>
              <w:pStyle w:val="HaupttextohneEinzug"/>
              <w:rPr>
                <w:i/>
                <w:iCs/>
              </w:rPr>
            </w:pPr>
          </w:p>
          <w:p w14:paraId="578CA13F" w14:textId="77777777" w:rsidR="00E53EB6" w:rsidRDefault="00E53EB6">
            <w:pPr>
              <w:pStyle w:val="HaupttextohneEinzug"/>
              <w:rPr>
                <w:i/>
                <w:iCs/>
              </w:rPr>
            </w:pPr>
          </w:p>
          <w:p w14:paraId="4912D510" w14:textId="77777777" w:rsidR="00E53EB6" w:rsidRDefault="006500F5">
            <w:pPr>
              <w:pStyle w:val="HaupttextohneEinzug"/>
              <w:rPr>
                <w:i/>
                <w:iCs/>
              </w:rPr>
            </w:pPr>
            <w:r>
              <w:t>10.32.2d</w:t>
            </w:r>
            <w:r>
              <w:rPr>
                <w:i/>
                <w:iCs/>
              </w:rPr>
              <w:t xml:space="preserve">  té sú vanvantu vagvanā́m̐ arādhása</w:t>
            </w:r>
            <w:r>
              <w:rPr>
                <w:i/>
                <w:iCs/>
              </w:rPr>
              <w:t>ḥ</w:t>
            </w:r>
            <w:r>
              <w:rPr>
                <w:i/>
                <w:iCs/>
              </w:rPr>
              <w:t xml:space="preserve"> </w:t>
            </w:r>
          </w:p>
        </w:tc>
        <w:tc>
          <w:tcPr>
            <w:tcW w:w="3062" w:type="dxa"/>
            <w:tcBorders>
              <w:left w:val="single" w:sz="2" w:space="0" w:color="000000"/>
              <w:bottom w:val="single" w:sz="2" w:space="0" w:color="000000"/>
            </w:tcBorders>
          </w:tcPr>
          <w:p w14:paraId="7284A538" w14:textId="77777777" w:rsidR="00E53EB6" w:rsidRDefault="006500F5">
            <w:pPr>
              <w:pStyle w:val="HaupttextohneEinzug"/>
            </w:pPr>
            <w:r>
              <w:t>sollen überwinden</w:t>
            </w:r>
          </w:p>
          <w:p w14:paraId="65C35073" w14:textId="77777777" w:rsidR="00E53EB6" w:rsidRDefault="00E53EB6">
            <w:pPr>
              <w:pStyle w:val="HaupttextohneEinzug"/>
            </w:pPr>
          </w:p>
          <w:p w14:paraId="10F23667" w14:textId="77777777" w:rsidR="00E53EB6" w:rsidRDefault="00E53EB6">
            <w:pPr>
              <w:pStyle w:val="HaupttextohneEinzug"/>
            </w:pPr>
          </w:p>
          <w:p w14:paraId="371DD31A" w14:textId="77777777" w:rsidR="00E53EB6" w:rsidRDefault="00E53EB6">
            <w:pPr>
              <w:pStyle w:val="HaupttextohneEinzug"/>
            </w:pPr>
          </w:p>
          <w:p w14:paraId="0E386371" w14:textId="77777777" w:rsidR="00E53EB6" w:rsidRDefault="006500F5">
            <w:pPr>
              <w:pStyle w:val="HaupttextohneEinzug"/>
            </w:pPr>
            <w:r>
              <w:t xml:space="preserve">sollen </w:t>
            </w:r>
            <w:r>
              <w:t>überbieten</w:t>
            </w:r>
          </w:p>
        </w:tc>
        <w:tc>
          <w:tcPr>
            <w:tcW w:w="1176" w:type="dxa"/>
            <w:tcBorders>
              <w:left w:val="single" w:sz="2" w:space="0" w:color="000000"/>
              <w:bottom w:val="single" w:sz="2" w:space="0" w:color="000000"/>
              <w:right w:val="single" w:sz="2" w:space="0" w:color="000000"/>
            </w:tcBorders>
          </w:tcPr>
          <w:p w14:paraId="244B951C" w14:textId="77777777" w:rsidR="00E53EB6" w:rsidRDefault="006500F5">
            <w:pPr>
              <w:pStyle w:val="HaupttextohneEinzug"/>
            </w:pPr>
            <w:r>
              <w:t>*u̯en</w:t>
            </w:r>
          </w:p>
        </w:tc>
      </w:tr>
      <w:tr w:rsidR="00E53EB6" w14:paraId="0DE4BC76" w14:textId="77777777">
        <w:tc>
          <w:tcPr>
            <w:tcW w:w="1210" w:type="dxa"/>
            <w:tcBorders>
              <w:left w:val="single" w:sz="2" w:space="0" w:color="000000"/>
              <w:bottom w:val="single" w:sz="2" w:space="0" w:color="000000"/>
            </w:tcBorders>
          </w:tcPr>
          <w:p w14:paraId="6A075B52" w14:textId="77777777" w:rsidR="00E53EB6" w:rsidRDefault="006500F5">
            <w:pPr>
              <w:pStyle w:val="HaupttextohneEinzug"/>
            </w:pPr>
            <w:r>
              <w:rPr>
                <w:i/>
                <w:iCs/>
              </w:rPr>
              <w:t>vá</w:t>
            </w:r>
            <w:r>
              <w:rPr>
                <w:i/>
                <w:iCs/>
              </w:rPr>
              <w:t>ṃ</w:t>
            </w:r>
            <w:r>
              <w:rPr>
                <w:i/>
                <w:iCs/>
              </w:rPr>
              <w:t>sva</w:t>
            </w:r>
            <w:r>
              <w:t xml:space="preserve"> </w:t>
            </w:r>
          </w:p>
          <w:p w14:paraId="37473747" w14:textId="77777777" w:rsidR="00E53EB6" w:rsidRDefault="006500F5">
            <w:pPr>
              <w:pStyle w:val="HaupttextohneEinzug"/>
            </w:pPr>
            <w:r>
              <w:t>(imp. aor. 2</w:t>
            </w:r>
            <w:r>
              <w:rPr>
                <w:vertAlign w:val="superscript"/>
              </w:rPr>
              <w:t>nd</w:t>
            </w:r>
            <w:r>
              <w:t xml:space="preserve"> sing. Ā double stem)</w:t>
            </w:r>
          </w:p>
        </w:tc>
        <w:tc>
          <w:tcPr>
            <w:tcW w:w="3236" w:type="dxa"/>
            <w:tcBorders>
              <w:left w:val="single" w:sz="2" w:space="0" w:color="000000"/>
              <w:bottom w:val="single" w:sz="2" w:space="0" w:color="000000"/>
            </w:tcBorders>
          </w:tcPr>
          <w:p w14:paraId="42206B25" w14:textId="77777777" w:rsidR="00E53EB6" w:rsidRDefault="006500F5">
            <w:pPr>
              <w:pStyle w:val="HaupttextohneEinzug"/>
              <w:rPr>
                <w:i/>
                <w:iCs/>
              </w:rPr>
            </w:pPr>
            <w:r>
              <w:t>1.48.11 a</w:t>
            </w:r>
            <w:r>
              <w:rPr>
                <w:i/>
                <w:iCs/>
              </w:rPr>
              <w:t xml:space="preserve">   ú</w:t>
            </w:r>
            <w:r>
              <w:rPr>
                <w:i/>
                <w:iCs/>
              </w:rPr>
              <w:t>ṣ</w:t>
            </w:r>
            <w:r>
              <w:rPr>
                <w:i/>
                <w:iCs/>
              </w:rPr>
              <w:t>o vā́ja</w:t>
            </w:r>
            <w:r>
              <w:rPr>
                <w:i/>
                <w:iCs/>
              </w:rPr>
              <w:t>ṃ</w:t>
            </w:r>
            <w:r>
              <w:rPr>
                <w:i/>
                <w:iCs/>
              </w:rPr>
              <w:t xml:space="preserve"> hí vá</w:t>
            </w:r>
            <w:r>
              <w:rPr>
                <w:i/>
                <w:iCs/>
              </w:rPr>
              <w:t>ṃ</w:t>
            </w:r>
            <w:r>
              <w:rPr>
                <w:i/>
                <w:iCs/>
              </w:rPr>
              <w:t xml:space="preserve">suva </w:t>
            </w:r>
          </w:p>
          <w:p w14:paraId="70BB47CD" w14:textId="77777777" w:rsidR="00E53EB6" w:rsidRDefault="00E53EB6">
            <w:pPr>
              <w:pStyle w:val="HaupttextohneEinzug"/>
              <w:rPr>
                <w:i/>
                <w:iCs/>
              </w:rPr>
            </w:pPr>
          </w:p>
          <w:p w14:paraId="5BBE69C0" w14:textId="77777777" w:rsidR="00E53EB6" w:rsidRDefault="00E53EB6">
            <w:pPr>
              <w:pStyle w:val="HaupttextohneEinzug"/>
              <w:rPr>
                <w:i/>
                <w:iCs/>
              </w:rPr>
            </w:pPr>
          </w:p>
          <w:p w14:paraId="32EBC258" w14:textId="77777777" w:rsidR="00E53EB6" w:rsidRDefault="006500F5">
            <w:pPr>
              <w:pStyle w:val="HaupttextohneEinzug"/>
              <w:rPr>
                <w:i/>
                <w:iCs/>
              </w:rPr>
            </w:pPr>
            <w:r>
              <w:t xml:space="preserve">6.48.4d </w:t>
            </w:r>
            <w:r>
              <w:rPr>
                <w:i/>
                <w:iCs/>
              </w:rPr>
              <w:t xml:space="preserve">    rā́sva vā́jotá va</w:t>
            </w:r>
            <w:r>
              <w:rPr>
                <w:i/>
                <w:iCs/>
              </w:rPr>
              <w:t>ṃ</w:t>
            </w:r>
            <w:r>
              <w:rPr>
                <w:i/>
                <w:iCs/>
              </w:rPr>
              <w:t>suva</w:t>
            </w:r>
          </w:p>
          <w:p w14:paraId="198B6A69" w14:textId="77777777" w:rsidR="00E53EB6" w:rsidRDefault="00E53EB6">
            <w:pPr>
              <w:pStyle w:val="HaupttextohneEinzug"/>
              <w:rPr>
                <w:i/>
                <w:iCs/>
              </w:rPr>
            </w:pPr>
          </w:p>
          <w:p w14:paraId="147DF9B7" w14:textId="77777777" w:rsidR="00E53EB6" w:rsidRDefault="00E53EB6">
            <w:pPr>
              <w:pStyle w:val="HaupttextohneEinzug"/>
              <w:rPr>
                <w:i/>
                <w:iCs/>
              </w:rPr>
            </w:pPr>
          </w:p>
          <w:p w14:paraId="3FE1A477" w14:textId="77777777" w:rsidR="00E53EB6" w:rsidRDefault="006500F5">
            <w:pPr>
              <w:pStyle w:val="HaupttextohneEinzug"/>
              <w:rPr>
                <w:i/>
                <w:iCs/>
              </w:rPr>
            </w:pPr>
            <w:r>
              <w:t xml:space="preserve">7.17.5a </w:t>
            </w:r>
            <w:r>
              <w:rPr>
                <w:i/>
                <w:iCs/>
              </w:rPr>
              <w:t>vá</w:t>
            </w:r>
            <w:r>
              <w:rPr>
                <w:i/>
                <w:iCs/>
              </w:rPr>
              <w:t>ṃ</w:t>
            </w:r>
            <w:r>
              <w:rPr>
                <w:i/>
                <w:iCs/>
              </w:rPr>
              <w:t>sva víśvā vā́riyā</w:t>
            </w:r>
            <w:r>
              <w:rPr>
                <w:i/>
                <w:iCs/>
              </w:rPr>
              <w:t>ṇ</w:t>
            </w:r>
            <w:r>
              <w:rPr>
                <w:i/>
                <w:iCs/>
              </w:rPr>
              <w:t>i praceta</w:t>
            </w:r>
            <w:r>
              <w:rPr>
                <w:i/>
                <w:iCs/>
              </w:rPr>
              <w:t>ḥ</w:t>
            </w:r>
            <w:r>
              <w:rPr>
                <w:i/>
                <w:iCs/>
              </w:rPr>
              <w:t xml:space="preserve"> </w:t>
            </w:r>
          </w:p>
          <w:p w14:paraId="4E6F51E8" w14:textId="77777777" w:rsidR="00E53EB6" w:rsidRDefault="00E53EB6">
            <w:pPr>
              <w:pStyle w:val="HaupttextohneEinzug"/>
              <w:rPr>
                <w:i/>
                <w:iCs/>
              </w:rPr>
            </w:pPr>
          </w:p>
          <w:p w14:paraId="1FA6019B" w14:textId="77777777" w:rsidR="00E53EB6" w:rsidRDefault="00E53EB6">
            <w:pPr>
              <w:pStyle w:val="HaupttextohneEinzug"/>
              <w:rPr>
                <w:i/>
                <w:iCs/>
              </w:rPr>
            </w:pPr>
          </w:p>
          <w:p w14:paraId="3E98665C" w14:textId="77777777" w:rsidR="00E53EB6" w:rsidRDefault="006500F5">
            <w:pPr>
              <w:pStyle w:val="HaupttextohneEinzug"/>
              <w:rPr>
                <w:i/>
                <w:iCs/>
              </w:rPr>
            </w:pPr>
            <w:r>
              <w:t xml:space="preserve">8.23.27a-b </w:t>
            </w:r>
            <w:r>
              <w:rPr>
                <w:i/>
                <w:iCs/>
              </w:rPr>
              <w:t>vá</w:t>
            </w:r>
            <w:r>
              <w:rPr>
                <w:i/>
                <w:iCs/>
              </w:rPr>
              <w:t>ṃ</w:t>
            </w:r>
            <w:r>
              <w:rPr>
                <w:i/>
                <w:iCs/>
              </w:rPr>
              <w:t>svā no vā́riyā purú /  vá</w:t>
            </w:r>
            <w:r>
              <w:rPr>
                <w:i/>
                <w:iCs/>
              </w:rPr>
              <w:t>ṃ</w:t>
            </w:r>
            <w:r>
              <w:rPr>
                <w:i/>
                <w:iCs/>
              </w:rPr>
              <w:t>sva rāyá</w:t>
            </w:r>
            <w:r>
              <w:rPr>
                <w:i/>
                <w:iCs/>
              </w:rPr>
              <w:t>ḥ</w:t>
            </w:r>
            <w:r>
              <w:rPr>
                <w:i/>
                <w:iCs/>
              </w:rPr>
              <w:t xml:space="preserve"> puruspŕ̥ha</w:t>
            </w:r>
            <w:r>
              <w:rPr>
                <w:i/>
                <w:iCs/>
              </w:rPr>
              <w:t>ḥ</w:t>
            </w:r>
          </w:p>
          <w:p w14:paraId="779BA319" w14:textId="77777777" w:rsidR="00E53EB6" w:rsidRDefault="00E53EB6">
            <w:pPr>
              <w:pStyle w:val="HaupttextohneEinzug"/>
              <w:rPr>
                <w:i/>
                <w:iCs/>
              </w:rPr>
            </w:pPr>
          </w:p>
          <w:p w14:paraId="28CCE175" w14:textId="77777777" w:rsidR="00E53EB6" w:rsidRDefault="00E53EB6">
            <w:pPr>
              <w:pStyle w:val="HaupttextohneEinzug"/>
              <w:rPr>
                <w:i/>
                <w:iCs/>
              </w:rPr>
            </w:pPr>
          </w:p>
          <w:p w14:paraId="56F20438" w14:textId="77777777" w:rsidR="00E53EB6" w:rsidRDefault="006500F5">
            <w:pPr>
              <w:pStyle w:val="HaupttextohneEinzug"/>
              <w:rPr>
                <w:i/>
                <w:iCs/>
              </w:rPr>
            </w:pPr>
            <w:r>
              <w:t xml:space="preserve">8.60. 14d </w:t>
            </w:r>
            <w:r>
              <w:rPr>
                <w:i/>
                <w:iCs/>
              </w:rPr>
              <w:t xml:space="preserve"> vá</w:t>
            </w:r>
            <w:r>
              <w:rPr>
                <w:i/>
                <w:iCs/>
              </w:rPr>
              <w:t>ṃ</w:t>
            </w:r>
            <w:r>
              <w:rPr>
                <w:i/>
                <w:iCs/>
              </w:rPr>
              <w:t xml:space="preserve">svā no vā́riyā purú </w:t>
            </w:r>
          </w:p>
        </w:tc>
        <w:tc>
          <w:tcPr>
            <w:tcW w:w="3062" w:type="dxa"/>
            <w:tcBorders>
              <w:left w:val="single" w:sz="2" w:space="0" w:color="000000"/>
              <w:bottom w:val="single" w:sz="2" w:space="0" w:color="000000"/>
            </w:tcBorders>
          </w:tcPr>
          <w:p w14:paraId="1D98B375" w14:textId="77777777" w:rsidR="00E53EB6" w:rsidRPr="00494885" w:rsidRDefault="006500F5">
            <w:pPr>
              <w:pStyle w:val="HaupttextohneEinzug"/>
              <w:rPr>
                <w:lang w:val="de-DE"/>
              </w:rPr>
            </w:pPr>
            <w:r w:rsidRPr="00494885">
              <w:rPr>
                <w:lang w:val="de-DE"/>
              </w:rPr>
              <w:t>gewinne</w:t>
            </w:r>
          </w:p>
          <w:p w14:paraId="0629648D" w14:textId="77777777" w:rsidR="00E53EB6" w:rsidRPr="00494885" w:rsidRDefault="006500F5">
            <w:pPr>
              <w:pStyle w:val="HaupttextohneEinzug"/>
              <w:rPr>
                <w:lang w:val="de-DE"/>
              </w:rPr>
            </w:pPr>
            <w:r w:rsidRPr="00494885">
              <w:rPr>
                <w:lang w:val="de-DE"/>
              </w:rPr>
              <w:t>gagne</w:t>
            </w:r>
          </w:p>
          <w:p w14:paraId="7D032EEA" w14:textId="77777777" w:rsidR="00E53EB6" w:rsidRPr="00494885" w:rsidRDefault="00E53EB6">
            <w:pPr>
              <w:pStyle w:val="HaupttextohneEinzug"/>
              <w:rPr>
                <w:lang w:val="de-DE"/>
              </w:rPr>
            </w:pPr>
          </w:p>
          <w:p w14:paraId="7E2BC1F6" w14:textId="77777777" w:rsidR="00E53EB6" w:rsidRPr="00494885" w:rsidRDefault="006500F5">
            <w:pPr>
              <w:pStyle w:val="HaupttextohneEinzug"/>
              <w:rPr>
                <w:lang w:val="de-DE"/>
              </w:rPr>
            </w:pPr>
            <w:r w:rsidRPr="00494885">
              <w:rPr>
                <w:lang w:val="de-DE"/>
              </w:rPr>
              <w:t>erwirke</w:t>
            </w:r>
          </w:p>
          <w:p w14:paraId="6FBCFD6A" w14:textId="77777777" w:rsidR="00E53EB6" w:rsidRPr="00494885" w:rsidRDefault="006500F5">
            <w:pPr>
              <w:pStyle w:val="HaupttextohneEinzug"/>
              <w:rPr>
                <w:lang w:val="de-DE"/>
              </w:rPr>
            </w:pPr>
            <w:r w:rsidRPr="00494885">
              <w:rPr>
                <w:lang w:val="de-DE"/>
              </w:rPr>
              <w:t>gagne</w:t>
            </w:r>
          </w:p>
          <w:p w14:paraId="4052BFDF" w14:textId="77777777" w:rsidR="00E53EB6" w:rsidRPr="00494885" w:rsidRDefault="00E53EB6">
            <w:pPr>
              <w:pStyle w:val="HaupttextohneEinzug"/>
              <w:rPr>
                <w:lang w:val="de-DE"/>
              </w:rPr>
            </w:pPr>
          </w:p>
          <w:p w14:paraId="4197AB4C" w14:textId="77777777" w:rsidR="00E53EB6" w:rsidRPr="00494885" w:rsidRDefault="006500F5">
            <w:pPr>
              <w:pStyle w:val="HaupttextohneEinzug"/>
              <w:rPr>
                <w:lang w:val="de-DE"/>
              </w:rPr>
            </w:pPr>
            <w:r w:rsidRPr="00494885">
              <w:rPr>
                <w:lang w:val="de-DE"/>
              </w:rPr>
              <w:t>erwerke</w:t>
            </w:r>
          </w:p>
          <w:p w14:paraId="729361EA" w14:textId="77777777" w:rsidR="00E53EB6" w:rsidRPr="00494885" w:rsidRDefault="006500F5">
            <w:pPr>
              <w:pStyle w:val="HaupttextohneEinzug"/>
              <w:rPr>
                <w:lang w:val="de-DE"/>
              </w:rPr>
            </w:pPr>
            <w:r w:rsidRPr="00494885">
              <w:rPr>
                <w:lang w:val="de-DE"/>
              </w:rPr>
              <w:t>gagne</w:t>
            </w:r>
          </w:p>
          <w:p w14:paraId="1B205003" w14:textId="77777777" w:rsidR="00E53EB6" w:rsidRPr="00494885" w:rsidRDefault="00E53EB6">
            <w:pPr>
              <w:pStyle w:val="HaupttextohneEinzug"/>
              <w:rPr>
                <w:lang w:val="de-DE"/>
              </w:rPr>
            </w:pPr>
          </w:p>
          <w:p w14:paraId="41AA3C43" w14:textId="77777777" w:rsidR="00E53EB6" w:rsidRPr="00494885" w:rsidRDefault="00E53EB6">
            <w:pPr>
              <w:pStyle w:val="HaupttextohneEinzug"/>
              <w:rPr>
                <w:lang w:val="de-DE"/>
              </w:rPr>
            </w:pPr>
          </w:p>
          <w:p w14:paraId="3AD6A085" w14:textId="77777777" w:rsidR="00E53EB6" w:rsidRPr="00494885" w:rsidRDefault="006500F5">
            <w:pPr>
              <w:pStyle w:val="HaupttextohneEinzug"/>
              <w:rPr>
                <w:lang w:val="de-DE"/>
              </w:rPr>
            </w:pPr>
            <w:r w:rsidRPr="00494885">
              <w:rPr>
                <w:lang w:val="de-DE"/>
              </w:rPr>
              <w:t>erwirk / erwirke</w:t>
            </w:r>
          </w:p>
          <w:p w14:paraId="56D8E169" w14:textId="77777777" w:rsidR="00E53EB6" w:rsidRPr="00494885" w:rsidRDefault="006500F5">
            <w:pPr>
              <w:pStyle w:val="HaupttextohneEinzug"/>
              <w:rPr>
                <w:lang w:val="de-DE"/>
              </w:rPr>
            </w:pPr>
            <w:r w:rsidRPr="00494885">
              <w:rPr>
                <w:lang w:val="de-DE"/>
              </w:rPr>
              <w:t>gagne</w:t>
            </w:r>
          </w:p>
          <w:p w14:paraId="594C63D7" w14:textId="77777777" w:rsidR="00E53EB6" w:rsidRPr="00494885" w:rsidRDefault="00E53EB6">
            <w:pPr>
              <w:pStyle w:val="HaupttextohneEinzug"/>
              <w:rPr>
                <w:lang w:val="de-DE"/>
              </w:rPr>
            </w:pPr>
          </w:p>
          <w:p w14:paraId="629F221E" w14:textId="77777777" w:rsidR="00E53EB6" w:rsidRPr="00494885" w:rsidRDefault="006500F5">
            <w:pPr>
              <w:pStyle w:val="HaupttextohneEinzug"/>
              <w:rPr>
                <w:lang w:val="de-DE"/>
              </w:rPr>
            </w:pPr>
            <w:r w:rsidRPr="00494885">
              <w:rPr>
                <w:lang w:val="de-DE"/>
              </w:rPr>
              <w:t>gewinn</w:t>
            </w:r>
          </w:p>
          <w:p w14:paraId="0DECD223" w14:textId="77777777" w:rsidR="00E53EB6" w:rsidRPr="00494885" w:rsidRDefault="006500F5">
            <w:pPr>
              <w:pStyle w:val="HaupttextohneEinzug"/>
              <w:rPr>
                <w:lang w:val="de-DE"/>
              </w:rPr>
            </w:pPr>
            <w:r w:rsidRPr="00494885">
              <w:rPr>
                <w:lang w:val="de-DE"/>
              </w:rPr>
              <w:t>gagne</w:t>
            </w:r>
          </w:p>
        </w:tc>
        <w:tc>
          <w:tcPr>
            <w:tcW w:w="1176" w:type="dxa"/>
            <w:tcBorders>
              <w:left w:val="single" w:sz="2" w:space="0" w:color="000000"/>
              <w:bottom w:val="single" w:sz="2" w:space="0" w:color="000000"/>
              <w:right w:val="single" w:sz="2" w:space="0" w:color="000000"/>
            </w:tcBorders>
          </w:tcPr>
          <w:p w14:paraId="51463825" w14:textId="77777777" w:rsidR="00E53EB6" w:rsidRDefault="006500F5">
            <w:pPr>
              <w:pStyle w:val="HaupttextohneEinzug"/>
            </w:pPr>
            <w:r>
              <w:t>*u̯en</w:t>
            </w:r>
          </w:p>
        </w:tc>
      </w:tr>
      <w:tr w:rsidR="00E53EB6" w14:paraId="07AB47B2" w14:textId="77777777">
        <w:tc>
          <w:tcPr>
            <w:tcW w:w="1210" w:type="dxa"/>
            <w:tcBorders>
              <w:left w:val="single" w:sz="2" w:space="0" w:color="000000"/>
              <w:bottom w:val="single" w:sz="2" w:space="0" w:color="000000"/>
            </w:tcBorders>
          </w:tcPr>
          <w:p w14:paraId="1B1EA641" w14:textId="77777777" w:rsidR="00E53EB6" w:rsidRDefault="006500F5">
            <w:pPr>
              <w:pStyle w:val="HaupttextohneEinzug"/>
            </w:pPr>
            <w:r>
              <w:rPr>
                <w:b/>
                <w:bCs/>
              </w:rPr>
              <w:t>Injunctive</w:t>
            </w:r>
            <w:r>
              <w:t xml:space="preserve"> </w:t>
            </w:r>
          </w:p>
        </w:tc>
        <w:tc>
          <w:tcPr>
            <w:tcW w:w="3236" w:type="dxa"/>
            <w:tcBorders>
              <w:left w:val="single" w:sz="2" w:space="0" w:color="000000"/>
              <w:bottom w:val="single" w:sz="2" w:space="0" w:color="000000"/>
            </w:tcBorders>
          </w:tcPr>
          <w:p w14:paraId="01DCC59D" w14:textId="77777777" w:rsidR="00E53EB6" w:rsidRDefault="00E53EB6">
            <w:pPr>
              <w:pStyle w:val="HaupttextohneEinzug"/>
              <w:rPr>
                <w:i/>
                <w:iCs/>
              </w:rPr>
            </w:pPr>
          </w:p>
        </w:tc>
        <w:tc>
          <w:tcPr>
            <w:tcW w:w="3062" w:type="dxa"/>
            <w:tcBorders>
              <w:left w:val="single" w:sz="2" w:space="0" w:color="000000"/>
              <w:bottom w:val="single" w:sz="2" w:space="0" w:color="000000"/>
            </w:tcBorders>
          </w:tcPr>
          <w:p w14:paraId="0D95BBC8" w14:textId="77777777" w:rsidR="00E53EB6" w:rsidRDefault="00E53EB6">
            <w:pPr>
              <w:pStyle w:val="HaupttextohneEinzug"/>
            </w:pPr>
          </w:p>
        </w:tc>
        <w:tc>
          <w:tcPr>
            <w:tcW w:w="1176" w:type="dxa"/>
            <w:tcBorders>
              <w:left w:val="single" w:sz="2" w:space="0" w:color="000000"/>
              <w:bottom w:val="single" w:sz="2" w:space="0" w:color="000000"/>
              <w:right w:val="single" w:sz="2" w:space="0" w:color="000000"/>
            </w:tcBorders>
          </w:tcPr>
          <w:p w14:paraId="44518D6C" w14:textId="77777777" w:rsidR="00E53EB6" w:rsidRDefault="00E53EB6">
            <w:pPr>
              <w:pStyle w:val="HaupttextohneEinzug"/>
            </w:pPr>
          </w:p>
        </w:tc>
      </w:tr>
      <w:tr w:rsidR="00E53EB6" w14:paraId="66781F32" w14:textId="77777777">
        <w:tc>
          <w:tcPr>
            <w:tcW w:w="1210" w:type="dxa"/>
            <w:tcBorders>
              <w:left w:val="single" w:sz="2" w:space="0" w:color="000000"/>
              <w:bottom w:val="single" w:sz="2" w:space="0" w:color="000000"/>
            </w:tcBorders>
          </w:tcPr>
          <w:p w14:paraId="50EA3AE0" w14:textId="77777777" w:rsidR="00E53EB6" w:rsidRDefault="006500F5">
            <w:pPr>
              <w:pStyle w:val="HaupttextohneEinzug"/>
            </w:pPr>
            <w:r>
              <w:rPr>
                <w:i/>
                <w:iCs/>
              </w:rPr>
              <w:t>vá</w:t>
            </w:r>
            <w:r>
              <w:rPr>
                <w:i/>
                <w:iCs/>
              </w:rPr>
              <w:t>ṃ</w:t>
            </w:r>
            <w:r>
              <w:rPr>
                <w:i/>
                <w:iCs/>
              </w:rPr>
              <w:t>si</w:t>
            </w:r>
            <w:r>
              <w:t xml:space="preserve"> </w:t>
            </w:r>
          </w:p>
          <w:p w14:paraId="44E17A97" w14:textId="77777777" w:rsidR="00E53EB6" w:rsidRDefault="006500F5">
            <w:pPr>
              <w:pStyle w:val="HaupttextohneEinzug"/>
            </w:pPr>
            <w:r>
              <w:t>(inj. aor. 1</w:t>
            </w:r>
            <w:r>
              <w:rPr>
                <w:vertAlign w:val="superscript"/>
              </w:rPr>
              <w:t>st</w:t>
            </w:r>
            <w:r>
              <w:t xml:space="preserve"> sing. double stem)</w:t>
            </w:r>
          </w:p>
        </w:tc>
        <w:tc>
          <w:tcPr>
            <w:tcW w:w="3236" w:type="dxa"/>
            <w:tcBorders>
              <w:left w:val="single" w:sz="2" w:space="0" w:color="000000"/>
              <w:bottom w:val="single" w:sz="2" w:space="0" w:color="000000"/>
            </w:tcBorders>
          </w:tcPr>
          <w:p w14:paraId="1928DD2E" w14:textId="77777777" w:rsidR="00E53EB6" w:rsidRDefault="006500F5">
            <w:pPr>
              <w:pStyle w:val="HaupttextohneEinzug"/>
              <w:rPr>
                <w:i/>
                <w:iCs/>
              </w:rPr>
            </w:pPr>
            <w:r>
              <w:t xml:space="preserve">5.70.1c </w:t>
            </w:r>
            <w:r>
              <w:rPr>
                <w:i/>
                <w:iCs/>
              </w:rPr>
              <w:t xml:space="preserve"> mítra vá</w:t>
            </w:r>
            <w:r>
              <w:rPr>
                <w:i/>
                <w:iCs/>
              </w:rPr>
              <w:t>ṃ</w:t>
            </w:r>
            <w:r>
              <w:rPr>
                <w:i/>
                <w:iCs/>
              </w:rPr>
              <w:t>si vā</w:t>
            </w:r>
            <w:r>
              <w:rPr>
                <w:i/>
                <w:iCs/>
              </w:rPr>
              <w:t>ṃ</w:t>
            </w:r>
            <w:r>
              <w:rPr>
                <w:i/>
                <w:iCs/>
              </w:rPr>
              <w:t xml:space="preserve"> sumatím</w:t>
            </w:r>
          </w:p>
        </w:tc>
        <w:tc>
          <w:tcPr>
            <w:tcW w:w="3062" w:type="dxa"/>
            <w:tcBorders>
              <w:left w:val="single" w:sz="2" w:space="0" w:color="000000"/>
              <w:bottom w:val="single" w:sz="2" w:space="0" w:color="000000"/>
            </w:tcBorders>
          </w:tcPr>
          <w:p w14:paraId="4FB9FDE2" w14:textId="77777777" w:rsidR="00E53EB6" w:rsidRPr="00494885" w:rsidRDefault="006500F5">
            <w:pPr>
              <w:pStyle w:val="HaupttextohneEinzug"/>
              <w:rPr>
                <w:lang w:val="de-DE"/>
              </w:rPr>
            </w:pPr>
            <w:r w:rsidRPr="00494885">
              <w:rPr>
                <w:lang w:val="de-DE"/>
              </w:rPr>
              <w:t>möchte gewinnen</w:t>
            </w:r>
          </w:p>
          <w:p w14:paraId="2D4DAE94" w14:textId="77777777" w:rsidR="00E53EB6" w:rsidRPr="00494885" w:rsidRDefault="006500F5">
            <w:pPr>
              <w:pStyle w:val="HaupttextohneEinzug"/>
              <w:rPr>
                <w:lang w:val="de-DE"/>
              </w:rPr>
            </w:pPr>
            <w:r w:rsidRPr="00494885">
              <w:rPr>
                <w:lang w:val="de-DE"/>
              </w:rPr>
              <w:t>je veux gagner</w:t>
            </w:r>
          </w:p>
        </w:tc>
        <w:tc>
          <w:tcPr>
            <w:tcW w:w="1176" w:type="dxa"/>
            <w:tcBorders>
              <w:left w:val="single" w:sz="2" w:space="0" w:color="000000"/>
              <w:bottom w:val="single" w:sz="2" w:space="0" w:color="000000"/>
              <w:right w:val="single" w:sz="2" w:space="0" w:color="000000"/>
            </w:tcBorders>
          </w:tcPr>
          <w:p w14:paraId="182F37B0" w14:textId="77777777" w:rsidR="00E53EB6" w:rsidRDefault="006500F5">
            <w:pPr>
              <w:pStyle w:val="HaupttextohneEinzug"/>
            </w:pPr>
            <w:r>
              <w:t xml:space="preserve">*u̯en </w:t>
            </w:r>
          </w:p>
        </w:tc>
      </w:tr>
      <w:tr w:rsidR="00E53EB6" w14:paraId="2AF360F4" w14:textId="77777777">
        <w:tc>
          <w:tcPr>
            <w:tcW w:w="1210" w:type="dxa"/>
            <w:tcBorders>
              <w:left w:val="single" w:sz="2" w:space="0" w:color="000000"/>
              <w:bottom w:val="single" w:sz="2" w:space="0" w:color="000000"/>
            </w:tcBorders>
          </w:tcPr>
          <w:p w14:paraId="2951AD36" w14:textId="77777777" w:rsidR="00E53EB6" w:rsidRDefault="006500F5">
            <w:pPr>
              <w:pStyle w:val="HaupttextohneEinzug"/>
            </w:pPr>
            <w:r>
              <w:rPr>
                <w:i/>
                <w:iCs/>
              </w:rPr>
              <w:t>vanvan</w:t>
            </w:r>
            <w:r>
              <w:t xml:space="preserve"> </w:t>
            </w:r>
          </w:p>
          <w:p w14:paraId="3D6EC79C" w14:textId="77777777" w:rsidR="00E53EB6" w:rsidRDefault="006500F5">
            <w:pPr>
              <w:pStyle w:val="HaupttextohneEinzug"/>
            </w:pPr>
            <w:r>
              <w:t>(inj. pres. 3</w:t>
            </w:r>
            <w:r>
              <w:rPr>
                <w:vertAlign w:val="superscript"/>
              </w:rPr>
              <w:t>rd</w:t>
            </w:r>
            <w:r>
              <w:t xml:space="preserve"> pl. VIII cl.)</w:t>
            </w:r>
          </w:p>
        </w:tc>
        <w:tc>
          <w:tcPr>
            <w:tcW w:w="3236" w:type="dxa"/>
            <w:tcBorders>
              <w:left w:val="single" w:sz="2" w:space="0" w:color="000000"/>
              <w:bottom w:val="single" w:sz="2" w:space="0" w:color="000000"/>
            </w:tcBorders>
          </w:tcPr>
          <w:p w14:paraId="5DEC8117" w14:textId="77777777" w:rsidR="00E53EB6" w:rsidRDefault="006500F5">
            <w:pPr>
              <w:pStyle w:val="HaupttextohneEinzug"/>
              <w:rPr>
                <w:i/>
                <w:iCs/>
              </w:rPr>
            </w:pPr>
            <w:r>
              <w:t xml:space="preserve">7.48.3b  </w:t>
            </w:r>
            <w:r>
              <w:rPr>
                <w:i/>
                <w:iCs/>
              </w:rPr>
              <w:t xml:space="preserve">   víśvām̐ aryá uparátāti vanvan</w:t>
            </w:r>
          </w:p>
        </w:tc>
        <w:tc>
          <w:tcPr>
            <w:tcW w:w="3062" w:type="dxa"/>
            <w:tcBorders>
              <w:left w:val="single" w:sz="2" w:space="0" w:color="000000"/>
              <w:bottom w:val="single" w:sz="2" w:space="0" w:color="000000"/>
            </w:tcBorders>
          </w:tcPr>
          <w:p w14:paraId="55212BE4" w14:textId="77777777" w:rsidR="00E53EB6" w:rsidRDefault="006500F5">
            <w:pPr>
              <w:pStyle w:val="HaupttextohneEinzug"/>
            </w:pPr>
            <w:r>
              <w:t>übertrumpfen</w:t>
            </w:r>
          </w:p>
          <w:p w14:paraId="749DB02D" w14:textId="77777777" w:rsidR="00E53EB6" w:rsidRDefault="006500F5">
            <w:pPr>
              <w:pStyle w:val="HaupttextohneEinzug"/>
            </w:pPr>
            <w:r>
              <w:t>vainquent</w:t>
            </w:r>
          </w:p>
        </w:tc>
        <w:tc>
          <w:tcPr>
            <w:tcW w:w="1176" w:type="dxa"/>
            <w:tcBorders>
              <w:left w:val="single" w:sz="2" w:space="0" w:color="000000"/>
              <w:bottom w:val="single" w:sz="2" w:space="0" w:color="000000"/>
              <w:right w:val="single" w:sz="2" w:space="0" w:color="000000"/>
            </w:tcBorders>
          </w:tcPr>
          <w:p w14:paraId="607CB332" w14:textId="77777777" w:rsidR="00E53EB6" w:rsidRDefault="006500F5">
            <w:pPr>
              <w:pStyle w:val="HaupttextohneEinzug"/>
            </w:pPr>
            <w:r>
              <w:t xml:space="preserve">*u̯en </w:t>
            </w:r>
          </w:p>
        </w:tc>
      </w:tr>
      <w:tr w:rsidR="00E53EB6" w14:paraId="426B833B" w14:textId="77777777">
        <w:tc>
          <w:tcPr>
            <w:tcW w:w="1210" w:type="dxa"/>
            <w:tcBorders>
              <w:left w:val="single" w:sz="2" w:space="0" w:color="000000"/>
              <w:bottom w:val="single" w:sz="2" w:space="0" w:color="000000"/>
            </w:tcBorders>
          </w:tcPr>
          <w:p w14:paraId="55DB37AC" w14:textId="77777777" w:rsidR="00E53EB6" w:rsidRDefault="006500F5">
            <w:pPr>
              <w:pStyle w:val="HaupttextohneEinzug"/>
            </w:pPr>
            <w:r>
              <w:rPr>
                <w:i/>
                <w:iCs/>
              </w:rPr>
              <w:t>vanu</w:t>
            </w:r>
            <w:r>
              <w:rPr>
                <w:i/>
                <w:iCs/>
              </w:rPr>
              <w:t>ṣ</w:t>
            </w:r>
            <w:r>
              <w:rPr>
                <w:i/>
                <w:iCs/>
              </w:rPr>
              <w:t>anta</w:t>
            </w:r>
            <w:r>
              <w:t xml:space="preserve"> </w:t>
            </w:r>
          </w:p>
          <w:p w14:paraId="55F3A2D1" w14:textId="77777777" w:rsidR="00E53EB6" w:rsidRDefault="006500F5">
            <w:pPr>
              <w:pStyle w:val="HaupttextohneEinzug"/>
            </w:pPr>
            <w:r>
              <w:t>(inj. pres. 3</w:t>
            </w:r>
            <w:r>
              <w:rPr>
                <w:vertAlign w:val="superscript"/>
              </w:rPr>
              <w:t>rd</w:t>
            </w:r>
            <w:r>
              <w:t xml:space="preserve"> pl. double stem)</w:t>
            </w:r>
          </w:p>
        </w:tc>
        <w:tc>
          <w:tcPr>
            <w:tcW w:w="3236" w:type="dxa"/>
            <w:tcBorders>
              <w:left w:val="single" w:sz="2" w:space="0" w:color="000000"/>
              <w:bottom w:val="single" w:sz="2" w:space="0" w:color="000000"/>
            </w:tcBorders>
          </w:tcPr>
          <w:p w14:paraId="7EBA03E3" w14:textId="77777777" w:rsidR="00E53EB6" w:rsidRDefault="006500F5">
            <w:pPr>
              <w:pStyle w:val="HaupttextohneEinzug"/>
              <w:rPr>
                <w:i/>
                <w:iCs/>
              </w:rPr>
            </w:pPr>
            <w:r>
              <w:t xml:space="preserve">10.128.3c  </w:t>
            </w:r>
            <w:r>
              <w:rPr>
                <w:i/>
                <w:iCs/>
              </w:rPr>
              <w:t>daívyā hótāro vanu</w:t>
            </w:r>
            <w:r>
              <w:rPr>
                <w:i/>
                <w:iCs/>
              </w:rPr>
              <w:t>ṣ</w:t>
            </w:r>
            <w:r>
              <w:rPr>
                <w:i/>
                <w:iCs/>
              </w:rPr>
              <w:t>anta pū́rve</w:t>
            </w:r>
          </w:p>
        </w:tc>
        <w:tc>
          <w:tcPr>
            <w:tcW w:w="3062" w:type="dxa"/>
            <w:tcBorders>
              <w:left w:val="single" w:sz="2" w:space="0" w:color="000000"/>
              <w:bottom w:val="single" w:sz="2" w:space="0" w:color="000000"/>
            </w:tcBorders>
          </w:tcPr>
          <w:p w14:paraId="4134251C" w14:textId="77777777" w:rsidR="00E53EB6" w:rsidRDefault="006500F5">
            <w:pPr>
              <w:pStyle w:val="HaupttextohneEinzug"/>
            </w:pPr>
            <w:r>
              <w:t>sollen Partei nehmen</w:t>
            </w:r>
          </w:p>
        </w:tc>
        <w:tc>
          <w:tcPr>
            <w:tcW w:w="1176" w:type="dxa"/>
            <w:tcBorders>
              <w:left w:val="single" w:sz="2" w:space="0" w:color="000000"/>
              <w:bottom w:val="single" w:sz="2" w:space="0" w:color="000000"/>
              <w:right w:val="single" w:sz="2" w:space="0" w:color="000000"/>
            </w:tcBorders>
          </w:tcPr>
          <w:p w14:paraId="08807094" w14:textId="77777777" w:rsidR="00E53EB6" w:rsidRDefault="006500F5">
            <w:pPr>
              <w:pStyle w:val="HaupttextohneEinzug"/>
            </w:pPr>
            <w:r>
              <w:t xml:space="preserve">*u̯en </w:t>
            </w:r>
          </w:p>
        </w:tc>
      </w:tr>
      <w:tr w:rsidR="00E53EB6" w14:paraId="6D0EF3C4" w14:textId="77777777">
        <w:tc>
          <w:tcPr>
            <w:tcW w:w="1210" w:type="dxa"/>
            <w:tcBorders>
              <w:left w:val="single" w:sz="2" w:space="0" w:color="000000"/>
              <w:bottom w:val="single" w:sz="2" w:space="0" w:color="000000"/>
            </w:tcBorders>
          </w:tcPr>
          <w:p w14:paraId="31964161" w14:textId="77777777" w:rsidR="00E53EB6" w:rsidRDefault="006500F5">
            <w:pPr>
              <w:pStyle w:val="HaupttextohneEinzug"/>
              <w:rPr>
                <w:b/>
                <w:bCs/>
              </w:rPr>
            </w:pPr>
            <w:r>
              <w:rPr>
                <w:b/>
                <w:bCs/>
              </w:rPr>
              <w:t xml:space="preserve">Infinite </w:t>
            </w:r>
          </w:p>
        </w:tc>
        <w:tc>
          <w:tcPr>
            <w:tcW w:w="3236" w:type="dxa"/>
            <w:tcBorders>
              <w:left w:val="single" w:sz="2" w:space="0" w:color="000000"/>
              <w:bottom w:val="single" w:sz="2" w:space="0" w:color="000000"/>
            </w:tcBorders>
          </w:tcPr>
          <w:p w14:paraId="6C5702FF" w14:textId="77777777" w:rsidR="00E53EB6" w:rsidRDefault="00E53EB6">
            <w:pPr>
              <w:pStyle w:val="HaupttextohneEinzug"/>
              <w:rPr>
                <w:i/>
                <w:iCs/>
              </w:rPr>
            </w:pPr>
          </w:p>
        </w:tc>
        <w:tc>
          <w:tcPr>
            <w:tcW w:w="3062" w:type="dxa"/>
            <w:tcBorders>
              <w:left w:val="single" w:sz="2" w:space="0" w:color="000000"/>
              <w:bottom w:val="single" w:sz="2" w:space="0" w:color="000000"/>
            </w:tcBorders>
          </w:tcPr>
          <w:p w14:paraId="611AEBE4" w14:textId="77777777" w:rsidR="00E53EB6" w:rsidRDefault="00E53EB6">
            <w:pPr>
              <w:pStyle w:val="HaupttextohneEinzug"/>
            </w:pPr>
          </w:p>
        </w:tc>
        <w:tc>
          <w:tcPr>
            <w:tcW w:w="1176" w:type="dxa"/>
            <w:tcBorders>
              <w:left w:val="single" w:sz="2" w:space="0" w:color="000000"/>
              <w:bottom w:val="single" w:sz="2" w:space="0" w:color="000000"/>
              <w:right w:val="single" w:sz="2" w:space="0" w:color="000000"/>
            </w:tcBorders>
          </w:tcPr>
          <w:p w14:paraId="60D88263" w14:textId="77777777" w:rsidR="00E53EB6" w:rsidRDefault="00E53EB6">
            <w:pPr>
              <w:pStyle w:val="HaupttextohneEinzug"/>
            </w:pPr>
          </w:p>
        </w:tc>
      </w:tr>
      <w:tr w:rsidR="00E53EB6" w14:paraId="197EBE3A" w14:textId="77777777">
        <w:tc>
          <w:tcPr>
            <w:tcW w:w="1210" w:type="dxa"/>
            <w:tcBorders>
              <w:left w:val="single" w:sz="2" w:space="0" w:color="000000"/>
              <w:bottom w:val="single" w:sz="2" w:space="0" w:color="000000"/>
            </w:tcBorders>
          </w:tcPr>
          <w:p w14:paraId="71AAA44E" w14:textId="77777777" w:rsidR="00E53EB6" w:rsidRDefault="006500F5">
            <w:pPr>
              <w:pStyle w:val="HaupttextohneEinzug"/>
            </w:pPr>
            <w:r>
              <w:rPr>
                <w:i/>
                <w:iCs/>
              </w:rPr>
              <w:t>vántave</w:t>
            </w:r>
            <w:r>
              <w:t xml:space="preserve"> </w:t>
            </w:r>
          </w:p>
          <w:p w14:paraId="3A6E3926" w14:textId="77777777" w:rsidR="00E53EB6" w:rsidRDefault="006500F5">
            <w:pPr>
              <w:pStyle w:val="HaupttextohneEinzug"/>
            </w:pPr>
            <w:r>
              <w:t>(dative)</w:t>
            </w:r>
          </w:p>
        </w:tc>
        <w:tc>
          <w:tcPr>
            <w:tcW w:w="3236" w:type="dxa"/>
            <w:tcBorders>
              <w:left w:val="single" w:sz="2" w:space="0" w:color="000000"/>
              <w:bottom w:val="single" w:sz="2" w:space="0" w:color="000000"/>
            </w:tcBorders>
          </w:tcPr>
          <w:p w14:paraId="3193478A" w14:textId="77777777" w:rsidR="00E53EB6" w:rsidRDefault="006500F5">
            <w:pPr>
              <w:pStyle w:val="HaupttextohneEinzug"/>
              <w:rPr>
                <w:i/>
                <w:iCs/>
              </w:rPr>
            </w:pPr>
            <w:r>
              <w:t xml:space="preserve">1.131.5e </w:t>
            </w:r>
            <w:r>
              <w:rPr>
                <w:i/>
                <w:iCs/>
              </w:rPr>
              <w:t xml:space="preserve">    pŕ̥tanāsu právantave</w:t>
            </w:r>
          </w:p>
        </w:tc>
        <w:tc>
          <w:tcPr>
            <w:tcW w:w="3062" w:type="dxa"/>
            <w:tcBorders>
              <w:left w:val="single" w:sz="2" w:space="0" w:color="000000"/>
              <w:bottom w:val="single" w:sz="2" w:space="0" w:color="000000"/>
            </w:tcBorders>
          </w:tcPr>
          <w:p w14:paraId="7A2C3FB6" w14:textId="77777777" w:rsidR="00E53EB6" w:rsidRDefault="006500F5">
            <w:pPr>
              <w:pStyle w:val="HaupttextohneEinzug"/>
            </w:pPr>
            <w:r>
              <w:t>den Sieg gewinnen</w:t>
            </w:r>
          </w:p>
          <w:p w14:paraId="0E952D5E" w14:textId="77777777" w:rsidR="00E53EB6" w:rsidRDefault="006500F5">
            <w:pPr>
              <w:pStyle w:val="HaupttextohneEinzug"/>
            </w:pPr>
            <w:r>
              <w:t>gagnent</w:t>
            </w:r>
          </w:p>
        </w:tc>
        <w:tc>
          <w:tcPr>
            <w:tcW w:w="1176" w:type="dxa"/>
            <w:tcBorders>
              <w:left w:val="single" w:sz="2" w:space="0" w:color="000000"/>
              <w:bottom w:val="single" w:sz="2" w:space="0" w:color="000000"/>
              <w:right w:val="single" w:sz="2" w:space="0" w:color="000000"/>
            </w:tcBorders>
          </w:tcPr>
          <w:p w14:paraId="0BFA398E" w14:textId="77777777" w:rsidR="00E53EB6" w:rsidRDefault="006500F5">
            <w:pPr>
              <w:pStyle w:val="HaupttextohneEinzug"/>
            </w:pPr>
            <w:r>
              <w:t xml:space="preserve">*u̯en </w:t>
            </w:r>
          </w:p>
        </w:tc>
      </w:tr>
      <w:tr w:rsidR="00E53EB6" w14:paraId="2F52F902" w14:textId="77777777">
        <w:tc>
          <w:tcPr>
            <w:tcW w:w="1210" w:type="dxa"/>
            <w:tcBorders>
              <w:left w:val="single" w:sz="2" w:space="0" w:color="000000"/>
              <w:bottom w:val="single" w:sz="2" w:space="0" w:color="000000"/>
            </w:tcBorders>
          </w:tcPr>
          <w:p w14:paraId="2E546F0B" w14:textId="77777777" w:rsidR="00E53EB6" w:rsidRDefault="006500F5">
            <w:pPr>
              <w:pStyle w:val="HaupttextohneEinzug"/>
            </w:pPr>
            <w:r>
              <w:rPr>
                <w:b/>
                <w:bCs/>
              </w:rPr>
              <w:t>Precative</w:t>
            </w:r>
            <w:r>
              <w:t xml:space="preserve"> </w:t>
            </w:r>
          </w:p>
        </w:tc>
        <w:tc>
          <w:tcPr>
            <w:tcW w:w="3236" w:type="dxa"/>
            <w:tcBorders>
              <w:left w:val="single" w:sz="2" w:space="0" w:color="000000"/>
              <w:bottom w:val="single" w:sz="2" w:space="0" w:color="000000"/>
            </w:tcBorders>
          </w:tcPr>
          <w:p w14:paraId="7834C6C5" w14:textId="77777777" w:rsidR="00E53EB6" w:rsidRDefault="00E53EB6">
            <w:pPr>
              <w:pStyle w:val="HaupttextohneEinzug"/>
              <w:rPr>
                <w:i/>
                <w:iCs/>
              </w:rPr>
            </w:pPr>
          </w:p>
        </w:tc>
        <w:tc>
          <w:tcPr>
            <w:tcW w:w="3062" w:type="dxa"/>
            <w:tcBorders>
              <w:left w:val="single" w:sz="2" w:space="0" w:color="000000"/>
              <w:bottom w:val="single" w:sz="2" w:space="0" w:color="000000"/>
            </w:tcBorders>
          </w:tcPr>
          <w:p w14:paraId="1BBA623D" w14:textId="77777777" w:rsidR="00E53EB6" w:rsidRDefault="00E53EB6">
            <w:pPr>
              <w:pStyle w:val="HaupttextohneEinzug"/>
            </w:pPr>
          </w:p>
        </w:tc>
        <w:tc>
          <w:tcPr>
            <w:tcW w:w="1176" w:type="dxa"/>
            <w:tcBorders>
              <w:left w:val="single" w:sz="2" w:space="0" w:color="000000"/>
              <w:bottom w:val="single" w:sz="2" w:space="0" w:color="000000"/>
              <w:right w:val="single" w:sz="2" w:space="0" w:color="000000"/>
            </w:tcBorders>
          </w:tcPr>
          <w:p w14:paraId="58577C93" w14:textId="77777777" w:rsidR="00E53EB6" w:rsidRDefault="00E53EB6">
            <w:pPr>
              <w:pStyle w:val="HaupttextohneEinzug"/>
            </w:pPr>
          </w:p>
        </w:tc>
      </w:tr>
      <w:tr w:rsidR="00E53EB6" w14:paraId="509E6B8D" w14:textId="77777777">
        <w:tc>
          <w:tcPr>
            <w:tcW w:w="1210" w:type="dxa"/>
            <w:tcBorders>
              <w:left w:val="single" w:sz="2" w:space="0" w:color="000000"/>
              <w:bottom w:val="single" w:sz="2" w:space="0" w:color="000000"/>
            </w:tcBorders>
          </w:tcPr>
          <w:p w14:paraId="1D2780E5" w14:textId="77777777" w:rsidR="00E53EB6" w:rsidRDefault="006500F5">
            <w:pPr>
              <w:pStyle w:val="HaupttextohneEinzug"/>
            </w:pPr>
            <w:r>
              <w:rPr>
                <w:i/>
                <w:iCs/>
              </w:rPr>
              <w:lastRenderedPageBreak/>
              <w:t>vani</w:t>
            </w:r>
            <w:r>
              <w:rPr>
                <w:i/>
                <w:iCs/>
              </w:rPr>
              <w:t>ṣ</w:t>
            </w:r>
            <w:r>
              <w:rPr>
                <w:i/>
                <w:iCs/>
              </w:rPr>
              <w:t>ī</w:t>
            </w:r>
            <w:r>
              <w:rPr>
                <w:i/>
                <w:iCs/>
              </w:rPr>
              <w:t>ṣ</w:t>
            </w:r>
            <w:r>
              <w:rPr>
                <w:i/>
                <w:iCs/>
              </w:rPr>
              <w:t>ta</w:t>
            </w:r>
            <w:r>
              <w:t xml:space="preserve"> (prec. pres. 3</w:t>
            </w:r>
            <w:r>
              <w:rPr>
                <w:vertAlign w:val="superscript"/>
              </w:rPr>
              <w:t>rd</w:t>
            </w:r>
            <w:r>
              <w:t xml:space="preserve"> sing. Ā )</w:t>
            </w:r>
          </w:p>
        </w:tc>
        <w:tc>
          <w:tcPr>
            <w:tcW w:w="3236" w:type="dxa"/>
            <w:tcBorders>
              <w:left w:val="single" w:sz="2" w:space="0" w:color="000000"/>
              <w:bottom w:val="single" w:sz="2" w:space="0" w:color="000000"/>
            </w:tcBorders>
          </w:tcPr>
          <w:p w14:paraId="0F888964" w14:textId="77777777" w:rsidR="00E53EB6" w:rsidRDefault="006500F5">
            <w:pPr>
              <w:pStyle w:val="HaupttextohneEinzug"/>
              <w:rPr>
                <w:i/>
                <w:iCs/>
              </w:rPr>
            </w:pPr>
            <w:r>
              <w:t xml:space="preserve">1.127.7g   </w:t>
            </w:r>
            <w:r>
              <w:rPr>
                <w:i/>
                <w:iCs/>
              </w:rPr>
              <w:t xml:space="preserve">  ā́ vani</w:t>
            </w:r>
            <w:r>
              <w:rPr>
                <w:i/>
                <w:iCs/>
              </w:rPr>
              <w:t>ṣ</w:t>
            </w:r>
            <w:r>
              <w:rPr>
                <w:i/>
                <w:iCs/>
              </w:rPr>
              <w:t>ī</w:t>
            </w:r>
            <w:r>
              <w:rPr>
                <w:i/>
                <w:iCs/>
              </w:rPr>
              <w:t>ṣṭ</w:t>
            </w:r>
            <w:r>
              <w:rPr>
                <w:i/>
                <w:iCs/>
              </w:rPr>
              <w:t>a médhira</w:t>
            </w:r>
            <w:r>
              <w:rPr>
                <w:i/>
                <w:iCs/>
              </w:rPr>
              <w:t>ḥ</w:t>
            </w:r>
          </w:p>
        </w:tc>
        <w:tc>
          <w:tcPr>
            <w:tcW w:w="3062" w:type="dxa"/>
            <w:tcBorders>
              <w:left w:val="single" w:sz="2" w:space="0" w:color="000000"/>
              <w:bottom w:val="single" w:sz="2" w:space="0" w:color="000000"/>
            </w:tcBorders>
          </w:tcPr>
          <w:p w14:paraId="040B7DA6" w14:textId="77777777" w:rsidR="00E53EB6" w:rsidRDefault="006500F5">
            <w:pPr>
              <w:pStyle w:val="HaupttextohneEinzug"/>
            </w:pPr>
            <w:r>
              <w:t>möge überwinden</w:t>
            </w:r>
          </w:p>
          <w:p w14:paraId="47E0053F" w14:textId="77777777" w:rsidR="00E53EB6" w:rsidRDefault="006500F5">
            <w:pPr>
              <w:pStyle w:val="HaupttextohneEinzug"/>
            </w:pPr>
            <w:r>
              <w:t>puisse conquérir</w:t>
            </w:r>
          </w:p>
        </w:tc>
        <w:tc>
          <w:tcPr>
            <w:tcW w:w="1176" w:type="dxa"/>
            <w:tcBorders>
              <w:left w:val="single" w:sz="2" w:space="0" w:color="000000"/>
              <w:bottom w:val="single" w:sz="2" w:space="0" w:color="000000"/>
              <w:right w:val="single" w:sz="2" w:space="0" w:color="000000"/>
            </w:tcBorders>
          </w:tcPr>
          <w:p w14:paraId="783627B6" w14:textId="77777777" w:rsidR="00E53EB6" w:rsidRDefault="006500F5">
            <w:pPr>
              <w:pStyle w:val="HaupttextohneEinzug"/>
            </w:pPr>
            <w:r>
              <w:t xml:space="preserve">*u̯en </w:t>
            </w:r>
          </w:p>
        </w:tc>
      </w:tr>
      <w:tr w:rsidR="00E53EB6" w14:paraId="797EA4DC" w14:textId="77777777">
        <w:tc>
          <w:tcPr>
            <w:tcW w:w="1210" w:type="dxa"/>
            <w:tcBorders>
              <w:left w:val="single" w:sz="2" w:space="0" w:color="000000"/>
              <w:bottom w:val="single" w:sz="2" w:space="0" w:color="000000"/>
            </w:tcBorders>
          </w:tcPr>
          <w:p w14:paraId="6890D291" w14:textId="77777777" w:rsidR="00E53EB6" w:rsidRDefault="006500F5">
            <w:pPr>
              <w:pStyle w:val="HaupttextohneEinzug"/>
            </w:pPr>
            <w:r>
              <w:rPr>
                <w:b/>
                <w:bCs/>
              </w:rPr>
              <w:t>Participle</w:t>
            </w:r>
            <w:r>
              <w:t xml:space="preserve"> </w:t>
            </w:r>
          </w:p>
        </w:tc>
        <w:tc>
          <w:tcPr>
            <w:tcW w:w="3236" w:type="dxa"/>
            <w:tcBorders>
              <w:left w:val="single" w:sz="2" w:space="0" w:color="000000"/>
              <w:bottom w:val="single" w:sz="2" w:space="0" w:color="000000"/>
            </w:tcBorders>
          </w:tcPr>
          <w:p w14:paraId="16EAF66B" w14:textId="77777777" w:rsidR="00E53EB6" w:rsidRDefault="00E53EB6">
            <w:pPr>
              <w:pStyle w:val="HaupttextohneEinzug"/>
              <w:rPr>
                <w:i/>
                <w:iCs/>
              </w:rPr>
            </w:pPr>
          </w:p>
        </w:tc>
        <w:tc>
          <w:tcPr>
            <w:tcW w:w="3062" w:type="dxa"/>
            <w:tcBorders>
              <w:left w:val="single" w:sz="2" w:space="0" w:color="000000"/>
              <w:bottom w:val="single" w:sz="2" w:space="0" w:color="000000"/>
            </w:tcBorders>
          </w:tcPr>
          <w:p w14:paraId="4EFC365F" w14:textId="77777777" w:rsidR="00E53EB6" w:rsidRDefault="00E53EB6">
            <w:pPr>
              <w:pStyle w:val="HaupttextohneEinzug"/>
            </w:pPr>
          </w:p>
        </w:tc>
        <w:tc>
          <w:tcPr>
            <w:tcW w:w="1176" w:type="dxa"/>
            <w:tcBorders>
              <w:left w:val="single" w:sz="2" w:space="0" w:color="000000"/>
              <w:bottom w:val="single" w:sz="2" w:space="0" w:color="000000"/>
              <w:right w:val="single" w:sz="2" w:space="0" w:color="000000"/>
            </w:tcBorders>
          </w:tcPr>
          <w:p w14:paraId="3CBEA9A3" w14:textId="77777777" w:rsidR="00E53EB6" w:rsidRDefault="00E53EB6">
            <w:pPr>
              <w:pStyle w:val="HaupttextohneEinzug"/>
            </w:pPr>
          </w:p>
        </w:tc>
      </w:tr>
      <w:tr w:rsidR="00E53EB6" w14:paraId="39229D95" w14:textId="77777777">
        <w:tc>
          <w:tcPr>
            <w:tcW w:w="1210" w:type="dxa"/>
            <w:tcBorders>
              <w:left w:val="single" w:sz="2" w:space="0" w:color="000000"/>
              <w:bottom w:val="single" w:sz="2" w:space="0" w:color="000000"/>
            </w:tcBorders>
          </w:tcPr>
          <w:p w14:paraId="0A87732D" w14:textId="77777777" w:rsidR="00E53EB6" w:rsidRDefault="006500F5">
            <w:pPr>
              <w:pStyle w:val="HaupttextohneEinzug"/>
            </w:pPr>
            <w:r>
              <w:rPr>
                <w:i/>
                <w:iCs/>
              </w:rPr>
              <w:t>vanván</w:t>
            </w:r>
            <w:r>
              <w:t xml:space="preserve"> </w:t>
            </w:r>
          </w:p>
          <w:p w14:paraId="095A4484" w14:textId="77777777" w:rsidR="00E53EB6" w:rsidRDefault="006500F5">
            <w:pPr>
              <w:pStyle w:val="HaupttextohneEinzug"/>
            </w:pPr>
            <w:r>
              <w:t xml:space="preserve">(part. pres. </w:t>
            </w:r>
            <w:r>
              <w:t>nom. m. sing. VIII cl.)</w:t>
            </w:r>
          </w:p>
        </w:tc>
        <w:tc>
          <w:tcPr>
            <w:tcW w:w="3236" w:type="dxa"/>
            <w:tcBorders>
              <w:left w:val="single" w:sz="2" w:space="0" w:color="000000"/>
              <w:bottom w:val="single" w:sz="2" w:space="0" w:color="000000"/>
            </w:tcBorders>
          </w:tcPr>
          <w:p w14:paraId="67033426" w14:textId="77777777" w:rsidR="00E53EB6" w:rsidRDefault="006500F5">
            <w:pPr>
              <w:pStyle w:val="HaupttextohneEinzug"/>
              <w:rPr>
                <w:i/>
                <w:iCs/>
              </w:rPr>
            </w:pPr>
            <w:r>
              <w:t>1.121.9c</w:t>
            </w:r>
            <w:r>
              <w:rPr>
                <w:i/>
                <w:iCs/>
              </w:rPr>
              <w:t xml:space="preserve">   kútsāya yátra puruhūta vanváñ </w:t>
            </w:r>
          </w:p>
          <w:p w14:paraId="00F4787D" w14:textId="77777777" w:rsidR="00E53EB6" w:rsidRDefault="00E53EB6">
            <w:pPr>
              <w:pStyle w:val="HaupttextohneEinzug"/>
              <w:rPr>
                <w:i/>
                <w:iCs/>
              </w:rPr>
            </w:pPr>
          </w:p>
          <w:p w14:paraId="3DBF0F5A" w14:textId="77777777" w:rsidR="00E53EB6" w:rsidRDefault="00E53EB6">
            <w:pPr>
              <w:pStyle w:val="HaupttextohneEinzug"/>
              <w:rPr>
                <w:i/>
                <w:iCs/>
              </w:rPr>
            </w:pPr>
          </w:p>
          <w:p w14:paraId="65BCD586" w14:textId="77777777" w:rsidR="00E53EB6" w:rsidRDefault="006500F5">
            <w:pPr>
              <w:pStyle w:val="HaupttextohneEinzug"/>
              <w:rPr>
                <w:i/>
                <w:iCs/>
              </w:rPr>
            </w:pPr>
            <w:r>
              <w:t>6.12.4c</w:t>
            </w:r>
            <w:r>
              <w:rPr>
                <w:i/>
                <w:iCs/>
              </w:rPr>
              <w:t xml:space="preserve"> drúanno vanván krátuvā ná árvā </w:t>
            </w:r>
          </w:p>
          <w:p w14:paraId="18585537" w14:textId="77777777" w:rsidR="00E53EB6" w:rsidRDefault="00E53EB6">
            <w:pPr>
              <w:pStyle w:val="HaupttextohneEinzug"/>
              <w:rPr>
                <w:i/>
                <w:iCs/>
              </w:rPr>
            </w:pPr>
          </w:p>
          <w:p w14:paraId="0FC9E92A" w14:textId="77777777" w:rsidR="00E53EB6" w:rsidRDefault="00E53EB6">
            <w:pPr>
              <w:pStyle w:val="HaupttextohneEinzug"/>
              <w:rPr>
                <w:i/>
                <w:iCs/>
              </w:rPr>
            </w:pPr>
          </w:p>
          <w:p w14:paraId="50029CFD" w14:textId="77777777" w:rsidR="00E53EB6" w:rsidRDefault="006500F5">
            <w:pPr>
              <w:pStyle w:val="HaupttextohneEinzug"/>
              <w:rPr>
                <w:i/>
                <w:iCs/>
              </w:rPr>
            </w:pPr>
            <w:r>
              <w:t>6.16.20c</w:t>
            </w:r>
            <w:r>
              <w:rPr>
                <w:i/>
                <w:iCs/>
              </w:rPr>
              <w:t xml:space="preserve"> vanvánn ávāto ástr̥ta</w:t>
            </w:r>
            <w:r>
              <w:rPr>
                <w:i/>
                <w:iCs/>
              </w:rPr>
              <w:t>ḥ</w:t>
            </w:r>
          </w:p>
          <w:p w14:paraId="0F4D809D" w14:textId="77777777" w:rsidR="00E53EB6" w:rsidRDefault="00E53EB6">
            <w:pPr>
              <w:pStyle w:val="HaupttextohneEinzug"/>
              <w:rPr>
                <w:i/>
                <w:iCs/>
              </w:rPr>
            </w:pPr>
          </w:p>
          <w:p w14:paraId="2B4BAD53" w14:textId="77777777" w:rsidR="00E53EB6" w:rsidRDefault="00E53EB6">
            <w:pPr>
              <w:pStyle w:val="HaupttextohneEinzug"/>
              <w:rPr>
                <w:i/>
                <w:iCs/>
              </w:rPr>
            </w:pPr>
          </w:p>
          <w:p w14:paraId="11451C07" w14:textId="77777777" w:rsidR="00E53EB6" w:rsidRDefault="006500F5">
            <w:pPr>
              <w:pStyle w:val="HaupttextohneEinzug"/>
              <w:rPr>
                <w:i/>
                <w:iCs/>
              </w:rPr>
            </w:pPr>
            <w:r>
              <w:t>6.16.26 b</w:t>
            </w:r>
            <w:r>
              <w:rPr>
                <w:i/>
                <w:iCs/>
              </w:rPr>
              <w:t xml:space="preserve">  adyá tvā vanván surék</w:t>
            </w:r>
            <w:r>
              <w:rPr>
                <w:i/>
                <w:iCs/>
              </w:rPr>
              <w:t>ṇ</w:t>
            </w:r>
            <w:r>
              <w:rPr>
                <w:i/>
                <w:iCs/>
              </w:rPr>
              <w:t>ā</w:t>
            </w:r>
            <w:r>
              <w:rPr>
                <w:i/>
                <w:iCs/>
              </w:rPr>
              <w:t>ḥ</w:t>
            </w:r>
            <w:r>
              <w:rPr>
                <w:i/>
                <w:iCs/>
              </w:rPr>
              <w:t xml:space="preserve"> </w:t>
            </w:r>
          </w:p>
          <w:p w14:paraId="2350E7FA" w14:textId="77777777" w:rsidR="00E53EB6" w:rsidRDefault="00E53EB6">
            <w:pPr>
              <w:pStyle w:val="HaupttextohneEinzug"/>
              <w:rPr>
                <w:i/>
                <w:iCs/>
              </w:rPr>
            </w:pPr>
          </w:p>
          <w:p w14:paraId="71E01478" w14:textId="77777777" w:rsidR="00E53EB6" w:rsidRDefault="00E53EB6">
            <w:pPr>
              <w:pStyle w:val="HaupttextohneEinzug"/>
              <w:rPr>
                <w:i/>
                <w:iCs/>
              </w:rPr>
            </w:pPr>
          </w:p>
          <w:p w14:paraId="3C7E37B4" w14:textId="77777777" w:rsidR="00E53EB6" w:rsidRDefault="006500F5">
            <w:pPr>
              <w:pStyle w:val="HaupttextohneEinzug"/>
              <w:rPr>
                <w:i/>
                <w:iCs/>
              </w:rPr>
            </w:pPr>
            <w:r>
              <w:t>6.18.1b</w:t>
            </w:r>
            <w:r>
              <w:rPr>
                <w:i/>
                <w:iCs/>
              </w:rPr>
              <w:t xml:space="preserve">  vanvánn ávāta</w:t>
            </w:r>
            <w:r>
              <w:rPr>
                <w:i/>
                <w:iCs/>
              </w:rPr>
              <w:t>ḥ</w:t>
            </w:r>
            <w:r>
              <w:rPr>
                <w:i/>
                <w:iCs/>
              </w:rPr>
              <w:t xml:space="preserve"> puruhūtá índra</w:t>
            </w:r>
            <w:r>
              <w:rPr>
                <w:i/>
                <w:iCs/>
              </w:rPr>
              <w:t>ḥ</w:t>
            </w:r>
          </w:p>
          <w:p w14:paraId="512BD4D3" w14:textId="77777777" w:rsidR="00E53EB6" w:rsidRDefault="00E53EB6">
            <w:pPr>
              <w:pStyle w:val="HaupttextohneEinzug"/>
              <w:rPr>
                <w:i/>
                <w:iCs/>
              </w:rPr>
            </w:pPr>
          </w:p>
          <w:p w14:paraId="199073BA" w14:textId="77777777" w:rsidR="00E53EB6" w:rsidRDefault="00E53EB6">
            <w:pPr>
              <w:pStyle w:val="HaupttextohneEinzug"/>
              <w:rPr>
                <w:i/>
                <w:iCs/>
              </w:rPr>
            </w:pPr>
          </w:p>
          <w:p w14:paraId="55B46E93" w14:textId="77777777" w:rsidR="00E53EB6" w:rsidRDefault="006500F5">
            <w:pPr>
              <w:pStyle w:val="HaupttextohneEinzug"/>
              <w:rPr>
                <w:i/>
                <w:iCs/>
              </w:rPr>
            </w:pPr>
            <w:r>
              <w:t>8.31.3c</w:t>
            </w:r>
            <w:r>
              <w:rPr>
                <w:i/>
                <w:iCs/>
              </w:rPr>
              <w:t xml:space="preserve"> víśvā vanvánn amitríyā </w:t>
            </w:r>
          </w:p>
          <w:p w14:paraId="0602EC9A" w14:textId="77777777" w:rsidR="00E53EB6" w:rsidRDefault="00E53EB6">
            <w:pPr>
              <w:pStyle w:val="HaupttextohneEinzug"/>
              <w:rPr>
                <w:i/>
                <w:iCs/>
              </w:rPr>
            </w:pPr>
          </w:p>
          <w:p w14:paraId="393B7257" w14:textId="77777777" w:rsidR="00E53EB6" w:rsidRDefault="00E53EB6">
            <w:pPr>
              <w:pStyle w:val="HaupttextohneEinzug"/>
              <w:rPr>
                <w:i/>
                <w:iCs/>
              </w:rPr>
            </w:pPr>
          </w:p>
          <w:p w14:paraId="389E3565" w14:textId="77777777" w:rsidR="00E53EB6" w:rsidRDefault="006500F5">
            <w:pPr>
              <w:pStyle w:val="HaupttextohneEinzug"/>
              <w:rPr>
                <w:i/>
                <w:iCs/>
              </w:rPr>
            </w:pPr>
            <w:r>
              <w:t>9.89.7a</w:t>
            </w:r>
            <w:r>
              <w:rPr>
                <w:i/>
                <w:iCs/>
              </w:rPr>
              <w:t xml:space="preserve"> vanvánn ávāto abhí devávītim</w:t>
            </w:r>
          </w:p>
          <w:p w14:paraId="2873299A" w14:textId="77777777" w:rsidR="00E53EB6" w:rsidRDefault="00E53EB6">
            <w:pPr>
              <w:pStyle w:val="HaupttextohneEinzug"/>
              <w:rPr>
                <w:i/>
                <w:iCs/>
              </w:rPr>
            </w:pPr>
          </w:p>
          <w:p w14:paraId="650FBE7A" w14:textId="77777777" w:rsidR="00E53EB6" w:rsidRDefault="00E53EB6">
            <w:pPr>
              <w:pStyle w:val="HaupttextohneEinzug"/>
              <w:rPr>
                <w:i/>
                <w:iCs/>
              </w:rPr>
            </w:pPr>
          </w:p>
          <w:p w14:paraId="280B3DBE" w14:textId="77777777" w:rsidR="00E53EB6" w:rsidRDefault="006500F5">
            <w:pPr>
              <w:pStyle w:val="HaupttextohneEinzug"/>
              <w:rPr>
                <w:i/>
                <w:iCs/>
              </w:rPr>
            </w:pPr>
            <w:r>
              <w:t>9.96.8a</w:t>
            </w:r>
            <w:r>
              <w:rPr>
                <w:i/>
                <w:iCs/>
              </w:rPr>
              <w:t xml:space="preserve"> sá matsará</w:t>
            </w:r>
            <w:r>
              <w:rPr>
                <w:i/>
                <w:iCs/>
              </w:rPr>
              <w:t>ḥ</w:t>
            </w:r>
            <w:r>
              <w:rPr>
                <w:i/>
                <w:iCs/>
              </w:rPr>
              <w:t xml:space="preserve"> pr̥tsú vanvánn ávāta</w:t>
            </w:r>
            <w:r>
              <w:rPr>
                <w:i/>
                <w:iCs/>
              </w:rPr>
              <w:t>ḥ</w:t>
            </w:r>
          </w:p>
          <w:p w14:paraId="524C5952" w14:textId="77777777" w:rsidR="00E53EB6" w:rsidRDefault="00E53EB6">
            <w:pPr>
              <w:pStyle w:val="HaupttextohneEinzug"/>
              <w:rPr>
                <w:i/>
                <w:iCs/>
              </w:rPr>
            </w:pPr>
          </w:p>
          <w:p w14:paraId="560B7A93" w14:textId="77777777" w:rsidR="00E53EB6" w:rsidRDefault="00E53EB6">
            <w:pPr>
              <w:pStyle w:val="HaupttextohneEinzug"/>
              <w:rPr>
                <w:i/>
                <w:iCs/>
              </w:rPr>
            </w:pPr>
          </w:p>
          <w:p w14:paraId="116A46CD" w14:textId="77777777" w:rsidR="00E53EB6" w:rsidRDefault="006500F5">
            <w:pPr>
              <w:pStyle w:val="HaupttextohneEinzug"/>
              <w:rPr>
                <w:i/>
                <w:iCs/>
              </w:rPr>
            </w:pPr>
            <w:r>
              <w:t>9.96.11c</w:t>
            </w:r>
            <w:r>
              <w:rPr>
                <w:i/>
                <w:iCs/>
              </w:rPr>
              <w:t xml:space="preserve"> vanvánn ávāta</w:t>
            </w:r>
            <w:r>
              <w:rPr>
                <w:i/>
                <w:iCs/>
              </w:rPr>
              <w:t>ḥ</w:t>
            </w:r>
            <w:r>
              <w:rPr>
                <w:i/>
                <w:iCs/>
              </w:rPr>
              <w:t xml:space="preserve"> paridhī́m̐r ápor</w:t>
            </w:r>
            <w:r>
              <w:rPr>
                <w:i/>
                <w:iCs/>
              </w:rPr>
              <w:t>ṇ</w:t>
            </w:r>
            <w:r>
              <w:rPr>
                <w:i/>
                <w:iCs/>
              </w:rPr>
              <w:t>u</w:t>
            </w:r>
          </w:p>
          <w:p w14:paraId="352AE171" w14:textId="77777777" w:rsidR="00E53EB6" w:rsidRDefault="00E53EB6">
            <w:pPr>
              <w:pStyle w:val="HaupttextohneEinzug"/>
              <w:rPr>
                <w:i/>
                <w:iCs/>
              </w:rPr>
            </w:pPr>
          </w:p>
          <w:p w14:paraId="49178404" w14:textId="77777777" w:rsidR="00E53EB6" w:rsidRDefault="00E53EB6">
            <w:pPr>
              <w:pStyle w:val="HaupttextohneEinzug"/>
              <w:rPr>
                <w:i/>
                <w:iCs/>
              </w:rPr>
            </w:pPr>
          </w:p>
          <w:p w14:paraId="263070BC" w14:textId="77777777" w:rsidR="00E53EB6" w:rsidRDefault="006500F5">
            <w:pPr>
              <w:pStyle w:val="HaupttextohneEinzug"/>
              <w:rPr>
                <w:i/>
                <w:iCs/>
              </w:rPr>
            </w:pPr>
            <w:r>
              <w:t xml:space="preserve">10.61.2a </w:t>
            </w:r>
            <w:r>
              <w:rPr>
                <w:i/>
                <w:iCs/>
              </w:rPr>
              <w:t xml:space="preserve">sá íd dānā́ya dábhiyāya vanváñ </w:t>
            </w:r>
          </w:p>
        </w:tc>
        <w:tc>
          <w:tcPr>
            <w:tcW w:w="3062" w:type="dxa"/>
            <w:tcBorders>
              <w:left w:val="single" w:sz="2" w:space="0" w:color="000000"/>
              <w:bottom w:val="single" w:sz="2" w:space="0" w:color="000000"/>
            </w:tcBorders>
          </w:tcPr>
          <w:p w14:paraId="2B61A9A0" w14:textId="77777777" w:rsidR="00E53EB6" w:rsidRPr="0071345C" w:rsidRDefault="006500F5">
            <w:pPr>
              <w:pStyle w:val="HaupttextohneEinzug"/>
              <w:rPr>
                <w:lang w:val="de-DE"/>
              </w:rPr>
            </w:pPr>
            <w:r w:rsidRPr="0071345C">
              <w:rPr>
                <w:lang w:val="de-DE"/>
              </w:rPr>
              <w:t>Partei nehmend</w:t>
            </w:r>
          </w:p>
          <w:p w14:paraId="5CB523FC" w14:textId="77777777" w:rsidR="00E53EB6" w:rsidRPr="0071345C" w:rsidRDefault="006500F5">
            <w:pPr>
              <w:pStyle w:val="HaupttextohneEinzug"/>
              <w:rPr>
                <w:lang w:val="de-DE"/>
              </w:rPr>
            </w:pPr>
            <w:r w:rsidRPr="0071345C">
              <w:rPr>
                <w:lang w:val="de-DE"/>
              </w:rPr>
              <w:t xml:space="preserve">gagnant la battaille </w:t>
            </w:r>
          </w:p>
          <w:p w14:paraId="2C32519D" w14:textId="77777777" w:rsidR="00E53EB6" w:rsidRPr="0071345C" w:rsidRDefault="00E53EB6">
            <w:pPr>
              <w:pStyle w:val="HaupttextohneEinzug"/>
              <w:rPr>
                <w:lang w:val="de-DE"/>
              </w:rPr>
            </w:pPr>
          </w:p>
          <w:p w14:paraId="2171D06D" w14:textId="77777777" w:rsidR="00E53EB6" w:rsidRPr="0071345C" w:rsidRDefault="00E53EB6">
            <w:pPr>
              <w:pStyle w:val="HaupttextohneEinzug"/>
              <w:rPr>
                <w:lang w:val="de-DE"/>
              </w:rPr>
            </w:pPr>
          </w:p>
          <w:p w14:paraId="265597A7" w14:textId="77777777" w:rsidR="00E53EB6" w:rsidRPr="0071345C" w:rsidRDefault="006500F5">
            <w:pPr>
              <w:pStyle w:val="HaupttextohneEinzug"/>
              <w:rPr>
                <w:lang w:val="de-DE"/>
              </w:rPr>
            </w:pPr>
            <w:r w:rsidRPr="0071345C">
              <w:rPr>
                <w:lang w:val="de-DE"/>
              </w:rPr>
              <w:t>der gewinnt</w:t>
            </w:r>
          </w:p>
          <w:p w14:paraId="3CA7A208" w14:textId="77777777" w:rsidR="00E53EB6" w:rsidRPr="0071345C" w:rsidRDefault="006500F5">
            <w:pPr>
              <w:pStyle w:val="HaupttextohneEinzug"/>
              <w:rPr>
                <w:lang w:val="de-DE"/>
              </w:rPr>
            </w:pPr>
            <w:r w:rsidRPr="0071345C">
              <w:rPr>
                <w:lang w:val="de-DE"/>
              </w:rPr>
              <w:t>gagnant</w:t>
            </w:r>
          </w:p>
          <w:p w14:paraId="05FFE7E0" w14:textId="77777777" w:rsidR="00E53EB6" w:rsidRPr="0071345C" w:rsidRDefault="00E53EB6">
            <w:pPr>
              <w:pStyle w:val="HaupttextohneEinzug"/>
              <w:rPr>
                <w:lang w:val="de-DE"/>
              </w:rPr>
            </w:pPr>
          </w:p>
          <w:p w14:paraId="456F1D1E" w14:textId="77777777" w:rsidR="00E53EB6" w:rsidRPr="0071345C" w:rsidRDefault="00E53EB6">
            <w:pPr>
              <w:pStyle w:val="HaupttextohneEinzug"/>
              <w:rPr>
                <w:lang w:val="de-DE"/>
              </w:rPr>
            </w:pPr>
          </w:p>
          <w:p w14:paraId="52BCF033" w14:textId="77777777" w:rsidR="00E53EB6" w:rsidRPr="0071345C" w:rsidRDefault="006500F5">
            <w:pPr>
              <w:pStyle w:val="HaupttextohneEinzug"/>
              <w:rPr>
                <w:lang w:val="de-DE"/>
              </w:rPr>
            </w:pPr>
            <w:r w:rsidRPr="0071345C">
              <w:rPr>
                <w:lang w:val="de-DE"/>
              </w:rPr>
              <w:t>Sieger</w:t>
            </w:r>
          </w:p>
          <w:p w14:paraId="3557A860" w14:textId="77777777" w:rsidR="00E53EB6" w:rsidRPr="0071345C" w:rsidRDefault="006500F5">
            <w:pPr>
              <w:pStyle w:val="HaupttextohneEinzug"/>
              <w:rPr>
                <w:lang w:val="de-DE"/>
              </w:rPr>
            </w:pPr>
            <w:r w:rsidRPr="0071345C">
              <w:rPr>
                <w:lang w:val="de-DE"/>
              </w:rPr>
              <w:t>qui vainc</w:t>
            </w:r>
          </w:p>
          <w:p w14:paraId="7EE3282A" w14:textId="77777777" w:rsidR="00E53EB6" w:rsidRPr="0071345C" w:rsidRDefault="00E53EB6">
            <w:pPr>
              <w:pStyle w:val="HaupttextohneEinzug"/>
              <w:rPr>
                <w:lang w:val="de-DE"/>
              </w:rPr>
            </w:pPr>
          </w:p>
          <w:p w14:paraId="6B88C36C" w14:textId="77777777" w:rsidR="00E53EB6" w:rsidRPr="0071345C" w:rsidRDefault="006500F5">
            <w:pPr>
              <w:pStyle w:val="HaupttextohneEinzug"/>
              <w:rPr>
                <w:lang w:val="de-DE"/>
              </w:rPr>
            </w:pPr>
            <w:r w:rsidRPr="0071345C">
              <w:rPr>
                <w:lang w:val="de-DE"/>
              </w:rPr>
              <w:t>der [...]  gewinnt</w:t>
            </w:r>
          </w:p>
          <w:p w14:paraId="78BE0349" w14:textId="77777777" w:rsidR="00E53EB6" w:rsidRPr="0071345C" w:rsidRDefault="006500F5">
            <w:pPr>
              <w:pStyle w:val="HaupttextohneEinzug"/>
              <w:rPr>
                <w:lang w:val="de-DE"/>
              </w:rPr>
            </w:pPr>
            <w:r w:rsidRPr="0071345C">
              <w:rPr>
                <w:lang w:val="de-DE"/>
              </w:rPr>
              <w:t>gagnant</w:t>
            </w:r>
          </w:p>
          <w:p w14:paraId="2C910DDE" w14:textId="77777777" w:rsidR="00E53EB6" w:rsidRPr="0071345C" w:rsidRDefault="00E53EB6">
            <w:pPr>
              <w:pStyle w:val="HaupttextohneEinzug"/>
              <w:rPr>
                <w:lang w:val="de-DE"/>
              </w:rPr>
            </w:pPr>
          </w:p>
          <w:p w14:paraId="53CDCB59" w14:textId="77777777" w:rsidR="00E53EB6" w:rsidRPr="0071345C" w:rsidRDefault="00E53EB6">
            <w:pPr>
              <w:pStyle w:val="HaupttextohneEinzug"/>
              <w:rPr>
                <w:lang w:val="de-DE"/>
              </w:rPr>
            </w:pPr>
          </w:p>
          <w:p w14:paraId="18FEFD09" w14:textId="77777777" w:rsidR="00E53EB6" w:rsidRPr="0071345C" w:rsidRDefault="006500F5">
            <w:pPr>
              <w:pStyle w:val="HaupttextohneEinzug"/>
              <w:rPr>
                <w:lang w:val="de-DE"/>
              </w:rPr>
            </w:pPr>
            <w:r w:rsidRPr="0071345C">
              <w:rPr>
                <w:lang w:val="de-DE"/>
              </w:rPr>
              <w:t>Sieger</w:t>
            </w:r>
          </w:p>
          <w:p w14:paraId="093E04BC" w14:textId="77777777" w:rsidR="00E53EB6" w:rsidRPr="0071345C" w:rsidRDefault="00E53EB6">
            <w:pPr>
              <w:pStyle w:val="HaupttextohneEinzug"/>
              <w:rPr>
                <w:lang w:val="de-DE"/>
              </w:rPr>
            </w:pPr>
          </w:p>
          <w:p w14:paraId="2B485832" w14:textId="77777777" w:rsidR="00E53EB6" w:rsidRPr="0071345C" w:rsidRDefault="00E53EB6">
            <w:pPr>
              <w:pStyle w:val="HaupttextohneEinzug"/>
              <w:rPr>
                <w:lang w:val="de-DE"/>
              </w:rPr>
            </w:pPr>
          </w:p>
          <w:p w14:paraId="116C3CF9" w14:textId="77777777" w:rsidR="00E53EB6" w:rsidRPr="0071345C" w:rsidRDefault="00E53EB6">
            <w:pPr>
              <w:pStyle w:val="HaupttextohneEinzug"/>
              <w:rPr>
                <w:lang w:val="de-DE"/>
              </w:rPr>
            </w:pPr>
          </w:p>
          <w:p w14:paraId="006BE8E3" w14:textId="77777777" w:rsidR="00E53EB6" w:rsidRPr="0071345C" w:rsidRDefault="006500F5">
            <w:pPr>
              <w:pStyle w:val="HaupttextohneEinzug"/>
              <w:rPr>
                <w:lang w:val="de-DE"/>
              </w:rPr>
            </w:pPr>
            <w:r w:rsidRPr="0071345C">
              <w:rPr>
                <w:lang w:val="de-DE"/>
              </w:rPr>
              <w:t>überwindend</w:t>
            </w:r>
          </w:p>
          <w:p w14:paraId="46D20A6E" w14:textId="77777777" w:rsidR="00E53EB6" w:rsidRPr="0071345C" w:rsidRDefault="00E53EB6">
            <w:pPr>
              <w:pStyle w:val="HaupttextohneEinzug"/>
              <w:rPr>
                <w:lang w:val="de-DE"/>
              </w:rPr>
            </w:pPr>
          </w:p>
          <w:p w14:paraId="02E7001F" w14:textId="77777777" w:rsidR="00E53EB6" w:rsidRPr="0071345C" w:rsidRDefault="00E53EB6">
            <w:pPr>
              <w:pStyle w:val="HaupttextohneEinzug"/>
              <w:rPr>
                <w:lang w:val="de-DE"/>
              </w:rPr>
            </w:pPr>
          </w:p>
          <w:p w14:paraId="72FC6240" w14:textId="77777777" w:rsidR="00E53EB6" w:rsidRPr="0071345C" w:rsidRDefault="006500F5">
            <w:pPr>
              <w:pStyle w:val="HaupttextohneEinzug"/>
              <w:rPr>
                <w:lang w:val="de-DE"/>
              </w:rPr>
            </w:pPr>
            <w:r w:rsidRPr="0071345C">
              <w:rPr>
                <w:lang w:val="de-DE"/>
              </w:rPr>
              <w:t>überwinder</w:t>
            </w:r>
          </w:p>
          <w:p w14:paraId="57522BE9" w14:textId="77777777" w:rsidR="00E53EB6" w:rsidRPr="0071345C" w:rsidRDefault="006500F5">
            <w:pPr>
              <w:pStyle w:val="HaupttextohneEinzug"/>
              <w:rPr>
                <w:lang w:val="de-DE"/>
              </w:rPr>
            </w:pPr>
            <w:r w:rsidRPr="0071345C">
              <w:rPr>
                <w:lang w:val="de-DE"/>
              </w:rPr>
              <w:t>qui gagnes</w:t>
            </w:r>
          </w:p>
          <w:p w14:paraId="066B6164" w14:textId="77777777" w:rsidR="00E53EB6" w:rsidRPr="0071345C" w:rsidRDefault="00E53EB6">
            <w:pPr>
              <w:pStyle w:val="HaupttextohneEinzug"/>
              <w:rPr>
                <w:lang w:val="de-DE"/>
              </w:rPr>
            </w:pPr>
          </w:p>
          <w:p w14:paraId="6083E157" w14:textId="77777777" w:rsidR="00E53EB6" w:rsidRPr="0071345C" w:rsidRDefault="00E53EB6">
            <w:pPr>
              <w:pStyle w:val="HaupttextohneEinzug"/>
              <w:rPr>
                <w:lang w:val="de-DE"/>
              </w:rPr>
            </w:pPr>
          </w:p>
          <w:p w14:paraId="3E68A04C" w14:textId="77777777" w:rsidR="00E53EB6" w:rsidRPr="0071345C" w:rsidRDefault="006500F5">
            <w:pPr>
              <w:pStyle w:val="HaupttextohneEinzug"/>
              <w:rPr>
                <w:lang w:val="de-DE"/>
              </w:rPr>
            </w:pPr>
            <w:r w:rsidRPr="0071345C">
              <w:rPr>
                <w:lang w:val="de-DE"/>
              </w:rPr>
              <w:t>überwinder</w:t>
            </w:r>
          </w:p>
          <w:p w14:paraId="4EDA4758" w14:textId="77777777" w:rsidR="00E53EB6" w:rsidRPr="0071345C" w:rsidRDefault="006500F5">
            <w:pPr>
              <w:pStyle w:val="HaupttextohneEinzug"/>
              <w:rPr>
                <w:lang w:val="de-DE"/>
              </w:rPr>
            </w:pPr>
            <w:r w:rsidRPr="0071345C">
              <w:rPr>
                <w:lang w:val="de-DE"/>
              </w:rPr>
              <w:t>qui gagnes</w:t>
            </w:r>
          </w:p>
          <w:p w14:paraId="26EFDC9A" w14:textId="77777777" w:rsidR="00E53EB6" w:rsidRPr="0071345C" w:rsidRDefault="00E53EB6">
            <w:pPr>
              <w:pStyle w:val="HaupttextohneEinzug"/>
              <w:rPr>
                <w:lang w:val="de-DE"/>
              </w:rPr>
            </w:pPr>
          </w:p>
          <w:p w14:paraId="5AEECD6B" w14:textId="77777777" w:rsidR="00E53EB6" w:rsidRPr="0071345C" w:rsidRDefault="00E53EB6">
            <w:pPr>
              <w:pStyle w:val="HaupttextohneEinzug"/>
              <w:rPr>
                <w:lang w:val="de-DE"/>
              </w:rPr>
            </w:pPr>
          </w:p>
          <w:p w14:paraId="164B7B08" w14:textId="77777777" w:rsidR="00E53EB6" w:rsidRPr="0071345C" w:rsidRDefault="006500F5">
            <w:pPr>
              <w:pStyle w:val="HaupttextohneEinzug"/>
              <w:rPr>
                <w:lang w:val="de-DE"/>
              </w:rPr>
            </w:pPr>
            <w:r w:rsidRPr="0071345C">
              <w:rPr>
                <w:lang w:val="de-DE"/>
              </w:rPr>
              <w:t>überwinder</w:t>
            </w:r>
          </w:p>
          <w:p w14:paraId="68BBB0BB" w14:textId="77777777" w:rsidR="00E53EB6" w:rsidRPr="0071345C" w:rsidRDefault="006500F5">
            <w:pPr>
              <w:pStyle w:val="HaupttextohneEinzug"/>
              <w:rPr>
                <w:lang w:val="de-DE"/>
              </w:rPr>
            </w:pPr>
            <w:r w:rsidRPr="0071345C">
              <w:rPr>
                <w:lang w:val="de-DE"/>
              </w:rPr>
              <w:t>qui gagnes</w:t>
            </w:r>
          </w:p>
          <w:p w14:paraId="0377D313" w14:textId="77777777" w:rsidR="00E53EB6" w:rsidRPr="0071345C" w:rsidRDefault="00E53EB6">
            <w:pPr>
              <w:pStyle w:val="HaupttextohneEinzug"/>
              <w:rPr>
                <w:lang w:val="de-DE"/>
              </w:rPr>
            </w:pPr>
          </w:p>
          <w:p w14:paraId="26E92AEA" w14:textId="77777777" w:rsidR="00E53EB6" w:rsidRPr="0071345C" w:rsidRDefault="00E53EB6">
            <w:pPr>
              <w:pStyle w:val="HaupttextohneEinzug"/>
              <w:rPr>
                <w:lang w:val="de-DE"/>
              </w:rPr>
            </w:pPr>
          </w:p>
          <w:p w14:paraId="5A201086" w14:textId="77777777" w:rsidR="00E53EB6" w:rsidRDefault="006500F5">
            <w:pPr>
              <w:pStyle w:val="HaupttextohneEinzug"/>
            </w:pPr>
            <w:r>
              <w:t>sich bemühte</w:t>
            </w:r>
          </w:p>
        </w:tc>
        <w:tc>
          <w:tcPr>
            <w:tcW w:w="1176" w:type="dxa"/>
            <w:tcBorders>
              <w:left w:val="single" w:sz="2" w:space="0" w:color="000000"/>
              <w:bottom w:val="single" w:sz="2" w:space="0" w:color="000000"/>
              <w:right w:val="single" w:sz="2" w:space="0" w:color="000000"/>
            </w:tcBorders>
          </w:tcPr>
          <w:p w14:paraId="1B26C364" w14:textId="77777777" w:rsidR="00E53EB6" w:rsidRDefault="006500F5">
            <w:pPr>
              <w:pStyle w:val="HaupttextohneEinzug"/>
            </w:pPr>
            <w:r>
              <w:t>*u̯</w:t>
            </w:r>
            <w:r>
              <w:t>ṇ</w:t>
            </w:r>
            <w:r>
              <w:t xml:space="preserve"> -néu̯ / nu-</w:t>
            </w:r>
          </w:p>
        </w:tc>
      </w:tr>
      <w:tr w:rsidR="00E53EB6" w14:paraId="48AE7912" w14:textId="77777777">
        <w:tc>
          <w:tcPr>
            <w:tcW w:w="1210" w:type="dxa"/>
            <w:tcBorders>
              <w:left w:val="single" w:sz="2" w:space="0" w:color="000000"/>
              <w:bottom w:val="single" w:sz="2" w:space="0" w:color="000000"/>
            </w:tcBorders>
          </w:tcPr>
          <w:p w14:paraId="00043732" w14:textId="77777777" w:rsidR="00E53EB6" w:rsidRDefault="006500F5">
            <w:pPr>
              <w:pStyle w:val="HaupttextohneEinzug"/>
            </w:pPr>
            <w:r>
              <w:rPr>
                <w:i/>
                <w:iCs/>
              </w:rPr>
              <w:t>vanvánta</w:t>
            </w:r>
            <w:r>
              <w:rPr>
                <w:i/>
                <w:iCs/>
              </w:rPr>
              <w:t>ḥ</w:t>
            </w:r>
            <w:r>
              <w:t xml:space="preserve"> </w:t>
            </w:r>
          </w:p>
          <w:p w14:paraId="3CC63961" w14:textId="77777777" w:rsidR="00E53EB6" w:rsidRDefault="006500F5">
            <w:pPr>
              <w:pStyle w:val="HaupttextohneEinzug"/>
            </w:pPr>
            <w:r>
              <w:t>(part. pres. nom. m. pl. VIII cl.)</w:t>
            </w:r>
          </w:p>
        </w:tc>
        <w:tc>
          <w:tcPr>
            <w:tcW w:w="3236" w:type="dxa"/>
            <w:tcBorders>
              <w:left w:val="single" w:sz="2" w:space="0" w:color="000000"/>
              <w:bottom w:val="single" w:sz="2" w:space="0" w:color="000000"/>
            </w:tcBorders>
          </w:tcPr>
          <w:p w14:paraId="1B940B45" w14:textId="77777777" w:rsidR="00E53EB6" w:rsidRDefault="006500F5">
            <w:pPr>
              <w:pStyle w:val="HaupttextohneEinzug"/>
              <w:rPr>
                <w:i/>
                <w:iCs/>
              </w:rPr>
            </w:pPr>
            <w:r>
              <w:t>2.4.9b</w:t>
            </w:r>
            <w:r>
              <w:rPr>
                <w:i/>
                <w:iCs/>
              </w:rPr>
              <w:t xml:space="preserve">  gúhā vanvánta úparām̐ abhí </w:t>
            </w:r>
            <w:r>
              <w:rPr>
                <w:i/>
                <w:iCs/>
              </w:rPr>
              <w:t>ṣ</w:t>
            </w:r>
            <w:r>
              <w:rPr>
                <w:i/>
                <w:iCs/>
              </w:rPr>
              <w:t>yú</w:t>
            </w:r>
            <w:r>
              <w:rPr>
                <w:i/>
                <w:iCs/>
              </w:rPr>
              <w:t>ḥ</w:t>
            </w:r>
          </w:p>
          <w:p w14:paraId="19810CEB" w14:textId="77777777" w:rsidR="00E53EB6" w:rsidRDefault="00E53EB6">
            <w:pPr>
              <w:pStyle w:val="HaupttextohneEinzug"/>
              <w:rPr>
                <w:i/>
                <w:iCs/>
              </w:rPr>
            </w:pPr>
          </w:p>
          <w:p w14:paraId="06D9455A" w14:textId="77777777" w:rsidR="00E53EB6" w:rsidRDefault="00E53EB6">
            <w:pPr>
              <w:pStyle w:val="HaupttextohneEinzug"/>
              <w:rPr>
                <w:i/>
                <w:iCs/>
              </w:rPr>
            </w:pPr>
          </w:p>
          <w:p w14:paraId="58464717" w14:textId="77777777" w:rsidR="00E53EB6" w:rsidRDefault="006500F5">
            <w:pPr>
              <w:pStyle w:val="HaupttextohneEinzug"/>
              <w:rPr>
                <w:i/>
                <w:iCs/>
              </w:rPr>
            </w:pPr>
            <w:r>
              <w:t>6.16.27d</w:t>
            </w:r>
            <w:r>
              <w:rPr>
                <w:i/>
                <w:iCs/>
              </w:rPr>
              <w:t xml:space="preserve"> vanvánto aryó árātī</w:t>
            </w:r>
            <w:r>
              <w:rPr>
                <w:i/>
                <w:iCs/>
              </w:rPr>
              <w:t>ḥ</w:t>
            </w:r>
            <w:r>
              <w:rPr>
                <w:i/>
                <w:iCs/>
              </w:rPr>
              <w:t xml:space="preserve"> </w:t>
            </w:r>
          </w:p>
          <w:p w14:paraId="1B221C71" w14:textId="77777777" w:rsidR="00E53EB6" w:rsidRDefault="00E53EB6">
            <w:pPr>
              <w:pStyle w:val="HaupttextohneEinzug"/>
              <w:rPr>
                <w:i/>
                <w:iCs/>
              </w:rPr>
            </w:pPr>
          </w:p>
          <w:p w14:paraId="06A9E1C9" w14:textId="77777777" w:rsidR="00E53EB6" w:rsidRDefault="00E53EB6">
            <w:pPr>
              <w:pStyle w:val="HaupttextohneEinzug"/>
              <w:rPr>
                <w:i/>
                <w:iCs/>
              </w:rPr>
            </w:pPr>
          </w:p>
          <w:p w14:paraId="3E47A17A" w14:textId="77777777" w:rsidR="00E53EB6" w:rsidRDefault="006500F5">
            <w:pPr>
              <w:pStyle w:val="HaupttextohneEinzug"/>
              <w:rPr>
                <w:i/>
                <w:iCs/>
              </w:rPr>
            </w:pPr>
            <w:r>
              <w:lastRenderedPageBreak/>
              <w:t>9.61.24b</w:t>
            </w:r>
            <w:r>
              <w:rPr>
                <w:i/>
                <w:iCs/>
              </w:rPr>
              <w:t xml:space="preserve"> syā́ma vanvánta āmúra</w:t>
            </w:r>
            <w:r>
              <w:rPr>
                <w:i/>
                <w:iCs/>
              </w:rPr>
              <w:t>ḥ</w:t>
            </w:r>
          </w:p>
        </w:tc>
        <w:tc>
          <w:tcPr>
            <w:tcW w:w="3062" w:type="dxa"/>
            <w:tcBorders>
              <w:left w:val="single" w:sz="2" w:space="0" w:color="000000"/>
              <w:bottom w:val="single" w:sz="2" w:space="0" w:color="000000"/>
            </w:tcBorders>
          </w:tcPr>
          <w:p w14:paraId="5D0AADC5" w14:textId="77777777" w:rsidR="00E53EB6" w:rsidRPr="0071345C" w:rsidRDefault="006500F5">
            <w:pPr>
              <w:pStyle w:val="HaupttextohneEinzug"/>
              <w:rPr>
                <w:lang w:val="de-DE"/>
              </w:rPr>
            </w:pPr>
            <w:r w:rsidRPr="0071345C">
              <w:rPr>
                <w:lang w:val="de-DE"/>
              </w:rPr>
              <w:lastRenderedPageBreak/>
              <w:t>überbieten</w:t>
            </w:r>
          </w:p>
          <w:p w14:paraId="7DB94058" w14:textId="77777777" w:rsidR="00E53EB6" w:rsidRPr="0071345C" w:rsidRDefault="006500F5">
            <w:pPr>
              <w:pStyle w:val="HaupttextohneEinzug"/>
              <w:rPr>
                <w:lang w:val="de-DE"/>
              </w:rPr>
            </w:pPr>
            <w:r w:rsidRPr="0071345C">
              <w:rPr>
                <w:lang w:val="de-DE"/>
              </w:rPr>
              <w:t>en gagnant</w:t>
            </w:r>
          </w:p>
          <w:p w14:paraId="46E671BF" w14:textId="77777777" w:rsidR="00E53EB6" w:rsidRPr="0071345C" w:rsidRDefault="00E53EB6">
            <w:pPr>
              <w:pStyle w:val="HaupttextohneEinzug"/>
              <w:rPr>
                <w:lang w:val="de-DE"/>
              </w:rPr>
            </w:pPr>
          </w:p>
          <w:p w14:paraId="11A676F2" w14:textId="77777777" w:rsidR="00E53EB6" w:rsidRPr="0071345C" w:rsidRDefault="00E53EB6">
            <w:pPr>
              <w:pStyle w:val="HaupttextohneEinzug"/>
              <w:rPr>
                <w:lang w:val="de-DE"/>
              </w:rPr>
            </w:pPr>
          </w:p>
          <w:p w14:paraId="3A2DCB20" w14:textId="77777777" w:rsidR="00E53EB6" w:rsidRPr="0071345C" w:rsidRDefault="006500F5">
            <w:pPr>
              <w:pStyle w:val="HaupttextohneEinzug"/>
              <w:rPr>
                <w:lang w:val="de-DE"/>
              </w:rPr>
            </w:pPr>
            <w:r w:rsidRPr="0071345C">
              <w:rPr>
                <w:lang w:val="de-DE"/>
              </w:rPr>
              <w:t>die […] überwinden</w:t>
            </w:r>
          </w:p>
          <w:p w14:paraId="09D660B9" w14:textId="77777777" w:rsidR="00E53EB6" w:rsidRPr="0071345C" w:rsidRDefault="006500F5">
            <w:pPr>
              <w:pStyle w:val="HaupttextohneEinzug"/>
              <w:rPr>
                <w:lang w:val="de-DE"/>
              </w:rPr>
            </w:pPr>
            <w:r w:rsidRPr="0071345C">
              <w:rPr>
                <w:lang w:val="de-DE"/>
              </w:rPr>
              <w:t>vainquant</w:t>
            </w:r>
          </w:p>
          <w:p w14:paraId="0049415F" w14:textId="77777777" w:rsidR="00E53EB6" w:rsidRPr="0071345C" w:rsidRDefault="00E53EB6">
            <w:pPr>
              <w:pStyle w:val="HaupttextohneEinzug"/>
              <w:rPr>
                <w:lang w:val="de-DE"/>
              </w:rPr>
            </w:pPr>
          </w:p>
          <w:p w14:paraId="155D9AC7" w14:textId="77777777" w:rsidR="00E53EB6" w:rsidRDefault="006500F5">
            <w:pPr>
              <w:pStyle w:val="HaupttextohneEinzug"/>
            </w:pPr>
            <w:r>
              <w:lastRenderedPageBreak/>
              <w:t>wollen überwinden</w:t>
            </w:r>
          </w:p>
          <w:p w14:paraId="43077FCA" w14:textId="77777777" w:rsidR="00E53EB6" w:rsidRDefault="006500F5">
            <w:pPr>
              <w:pStyle w:val="HaupttextohneEinzug"/>
            </w:pPr>
            <w:r>
              <w:t>qui vainquent</w:t>
            </w:r>
          </w:p>
        </w:tc>
        <w:tc>
          <w:tcPr>
            <w:tcW w:w="1176" w:type="dxa"/>
            <w:tcBorders>
              <w:left w:val="single" w:sz="2" w:space="0" w:color="000000"/>
              <w:bottom w:val="single" w:sz="2" w:space="0" w:color="000000"/>
              <w:right w:val="single" w:sz="2" w:space="0" w:color="000000"/>
            </w:tcBorders>
          </w:tcPr>
          <w:p w14:paraId="11BE32C5" w14:textId="77777777" w:rsidR="00E53EB6" w:rsidRDefault="006500F5">
            <w:pPr>
              <w:pStyle w:val="HaupttextohneEinzug"/>
            </w:pPr>
            <w:r>
              <w:lastRenderedPageBreak/>
              <w:t>*u̯</w:t>
            </w:r>
            <w:r>
              <w:t>ṇ</w:t>
            </w:r>
            <w:r>
              <w:t xml:space="preserve"> -néu̯ / nu-</w:t>
            </w:r>
          </w:p>
        </w:tc>
      </w:tr>
      <w:tr w:rsidR="00E53EB6" w14:paraId="0B95B398" w14:textId="77777777">
        <w:tc>
          <w:tcPr>
            <w:tcW w:w="1210" w:type="dxa"/>
            <w:tcBorders>
              <w:left w:val="single" w:sz="2" w:space="0" w:color="000000"/>
              <w:bottom w:val="single" w:sz="2" w:space="0" w:color="000000"/>
            </w:tcBorders>
          </w:tcPr>
          <w:p w14:paraId="686788A5" w14:textId="77777777" w:rsidR="00E53EB6" w:rsidRDefault="006500F5">
            <w:pPr>
              <w:pStyle w:val="HaupttextohneEinzug"/>
            </w:pPr>
            <w:r>
              <w:rPr>
                <w:i/>
                <w:iCs/>
              </w:rPr>
              <w:t>vanvaté</w:t>
            </w:r>
            <w:r>
              <w:t xml:space="preserve"> </w:t>
            </w:r>
          </w:p>
          <w:p w14:paraId="66F20B5D" w14:textId="77777777" w:rsidR="00E53EB6" w:rsidRDefault="006500F5">
            <w:pPr>
              <w:pStyle w:val="HaupttextohneEinzug"/>
            </w:pPr>
            <w:r>
              <w:t>(part. pres. dat. m. sing. VIII cl.)</w:t>
            </w:r>
          </w:p>
        </w:tc>
        <w:tc>
          <w:tcPr>
            <w:tcW w:w="3236" w:type="dxa"/>
            <w:tcBorders>
              <w:left w:val="single" w:sz="2" w:space="0" w:color="000000"/>
              <w:bottom w:val="single" w:sz="2" w:space="0" w:color="000000"/>
            </w:tcBorders>
          </w:tcPr>
          <w:p w14:paraId="6EAADE6D" w14:textId="77777777" w:rsidR="00E53EB6" w:rsidRDefault="006500F5">
            <w:pPr>
              <w:pStyle w:val="HaupttextohneEinzug"/>
              <w:rPr>
                <w:i/>
                <w:iCs/>
              </w:rPr>
            </w:pPr>
            <w:r>
              <w:t>2.21.2 a</w:t>
            </w:r>
            <w:r>
              <w:rPr>
                <w:i/>
                <w:iCs/>
              </w:rPr>
              <w:t xml:space="preserve">  abhibhúve abhibha</w:t>
            </w:r>
            <w:r>
              <w:rPr>
                <w:i/>
                <w:iCs/>
              </w:rPr>
              <w:t>ṅ</w:t>
            </w:r>
            <w:r>
              <w:rPr>
                <w:i/>
                <w:iCs/>
              </w:rPr>
              <w:t>gā́ya vanvate</w:t>
            </w:r>
          </w:p>
        </w:tc>
        <w:tc>
          <w:tcPr>
            <w:tcW w:w="3062" w:type="dxa"/>
            <w:tcBorders>
              <w:left w:val="single" w:sz="2" w:space="0" w:color="000000"/>
              <w:bottom w:val="single" w:sz="2" w:space="0" w:color="000000"/>
            </w:tcBorders>
          </w:tcPr>
          <w:p w14:paraId="2C23EE2A" w14:textId="77777777" w:rsidR="00E53EB6" w:rsidRDefault="006500F5">
            <w:pPr>
              <w:pStyle w:val="HaupttextohneEinzug"/>
            </w:pPr>
            <w:r>
              <w:t>gewinnenden</w:t>
            </w:r>
          </w:p>
          <w:p w14:paraId="797490C1" w14:textId="77777777" w:rsidR="00E53EB6" w:rsidRDefault="006500F5">
            <w:pPr>
              <w:pStyle w:val="HaupttextohneEinzug"/>
            </w:pPr>
            <w:r>
              <w:t>vainqueur</w:t>
            </w:r>
          </w:p>
        </w:tc>
        <w:tc>
          <w:tcPr>
            <w:tcW w:w="1176" w:type="dxa"/>
            <w:tcBorders>
              <w:left w:val="single" w:sz="2" w:space="0" w:color="000000"/>
              <w:bottom w:val="single" w:sz="2" w:space="0" w:color="000000"/>
              <w:right w:val="single" w:sz="2" w:space="0" w:color="000000"/>
            </w:tcBorders>
          </w:tcPr>
          <w:p w14:paraId="07E2319B" w14:textId="77777777" w:rsidR="00E53EB6" w:rsidRDefault="006500F5">
            <w:pPr>
              <w:pStyle w:val="HaupttextohneEinzug"/>
            </w:pPr>
            <w:r>
              <w:t>*u̯</w:t>
            </w:r>
            <w:r>
              <w:t>ṇ</w:t>
            </w:r>
            <w:r>
              <w:t xml:space="preserve"> -néu̯ / nu-</w:t>
            </w:r>
          </w:p>
        </w:tc>
      </w:tr>
      <w:tr w:rsidR="00E53EB6" w14:paraId="71816E04" w14:textId="77777777">
        <w:tc>
          <w:tcPr>
            <w:tcW w:w="1210" w:type="dxa"/>
            <w:tcBorders>
              <w:left w:val="single" w:sz="2" w:space="0" w:color="000000"/>
              <w:bottom w:val="single" w:sz="2" w:space="0" w:color="000000"/>
            </w:tcBorders>
          </w:tcPr>
          <w:p w14:paraId="09178F1C" w14:textId="77777777" w:rsidR="00E53EB6" w:rsidRDefault="006500F5">
            <w:pPr>
              <w:pStyle w:val="HaupttextohneEinzug"/>
            </w:pPr>
            <w:r>
              <w:rPr>
                <w:i/>
                <w:iCs/>
              </w:rPr>
              <w:t>vanvántā</w:t>
            </w:r>
            <w:r>
              <w:t xml:space="preserve"> </w:t>
            </w:r>
          </w:p>
          <w:p w14:paraId="67D9E42F" w14:textId="77777777" w:rsidR="00E53EB6" w:rsidRDefault="006500F5">
            <w:pPr>
              <w:pStyle w:val="HaupttextohneEinzug"/>
            </w:pPr>
            <w:r>
              <w:t>(part. pres. nom. m. du. VIII cl.)</w:t>
            </w:r>
          </w:p>
        </w:tc>
        <w:tc>
          <w:tcPr>
            <w:tcW w:w="3236" w:type="dxa"/>
            <w:tcBorders>
              <w:left w:val="single" w:sz="2" w:space="0" w:color="000000"/>
              <w:bottom w:val="single" w:sz="2" w:space="0" w:color="000000"/>
            </w:tcBorders>
          </w:tcPr>
          <w:p w14:paraId="2D13D610" w14:textId="77777777" w:rsidR="00E53EB6" w:rsidRDefault="006500F5">
            <w:pPr>
              <w:pStyle w:val="HaupttextohneEinzug"/>
              <w:rPr>
                <w:i/>
                <w:iCs/>
              </w:rPr>
            </w:pPr>
            <w:r>
              <w:t>7.83.4b</w:t>
            </w:r>
            <w:r>
              <w:rPr>
                <w:i/>
                <w:iCs/>
              </w:rPr>
              <w:t xml:space="preserve">     bhedá</w:t>
            </w:r>
            <w:r>
              <w:rPr>
                <w:i/>
                <w:iCs/>
              </w:rPr>
              <w:t>ṃ</w:t>
            </w:r>
            <w:r>
              <w:rPr>
                <w:i/>
                <w:iCs/>
              </w:rPr>
              <w:t xml:space="preserve"> vanvántā prá sudā́sam āvatam</w:t>
            </w:r>
          </w:p>
        </w:tc>
        <w:tc>
          <w:tcPr>
            <w:tcW w:w="3062" w:type="dxa"/>
            <w:tcBorders>
              <w:left w:val="single" w:sz="2" w:space="0" w:color="000000"/>
              <w:bottom w:val="single" w:sz="2" w:space="0" w:color="000000"/>
            </w:tcBorders>
          </w:tcPr>
          <w:p w14:paraId="6D07E85F" w14:textId="77777777" w:rsidR="00E53EB6" w:rsidRDefault="006500F5">
            <w:pPr>
              <w:pStyle w:val="HaupttextohneEinzug"/>
            </w:pPr>
            <w:r>
              <w:t>überwandet</w:t>
            </w:r>
          </w:p>
          <w:p w14:paraId="636A6611" w14:textId="77777777" w:rsidR="00E53EB6" w:rsidRDefault="006500F5">
            <w:pPr>
              <w:pStyle w:val="HaupttextohneEinzug"/>
            </w:pPr>
            <w:r>
              <w:t>vainquant</w:t>
            </w:r>
          </w:p>
        </w:tc>
        <w:tc>
          <w:tcPr>
            <w:tcW w:w="1176" w:type="dxa"/>
            <w:tcBorders>
              <w:left w:val="single" w:sz="2" w:space="0" w:color="000000"/>
              <w:bottom w:val="single" w:sz="2" w:space="0" w:color="000000"/>
              <w:right w:val="single" w:sz="2" w:space="0" w:color="000000"/>
            </w:tcBorders>
          </w:tcPr>
          <w:p w14:paraId="03DA8733" w14:textId="77777777" w:rsidR="00E53EB6" w:rsidRDefault="006500F5">
            <w:pPr>
              <w:pStyle w:val="HaupttextohneEinzug"/>
            </w:pPr>
            <w:r>
              <w:t>*u̯</w:t>
            </w:r>
            <w:r>
              <w:t>ṇ</w:t>
            </w:r>
            <w:r>
              <w:t xml:space="preserve"> -néu̯ / nu-</w:t>
            </w:r>
          </w:p>
        </w:tc>
      </w:tr>
      <w:tr w:rsidR="00E53EB6" w14:paraId="1F25235A" w14:textId="77777777">
        <w:tc>
          <w:tcPr>
            <w:tcW w:w="1210" w:type="dxa"/>
            <w:tcBorders>
              <w:left w:val="single" w:sz="2" w:space="0" w:color="000000"/>
              <w:bottom w:val="single" w:sz="2" w:space="0" w:color="000000"/>
            </w:tcBorders>
          </w:tcPr>
          <w:p w14:paraId="0D667C07" w14:textId="77777777" w:rsidR="00E53EB6" w:rsidRDefault="006500F5">
            <w:pPr>
              <w:pStyle w:val="HaupttextohneEinzug"/>
            </w:pPr>
            <w:r>
              <w:rPr>
                <w:i/>
                <w:iCs/>
              </w:rPr>
              <w:t>vanvāná</w:t>
            </w:r>
            <w:r>
              <w:rPr>
                <w:i/>
                <w:iCs/>
              </w:rPr>
              <w:t>ḥ</w:t>
            </w:r>
            <w:r>
              <w:t xml:space="preserve"> </w:t>
            </w:r>
          </w:p>
          <w:p w14:paraId="2FB0D3AA" w14:textId="77777777" w:rsidR="00E53EB6" w:rsidRDefault="006500F5">
            <w:pPr>
              <w:pStyle w:val="HaupttextohneEinzug"/>
            </w:pPr>
            <w:r>
              <w:t xml:space="preserve">(part. pres. nom. m. sing. Ā </w:t>
            </w:r>
            <w:r>
              <w:t>VIII cl.)</w:t>
            </w:r>
          </w:p>
        </w:tc>
        <w:tc>
          <w:tcPr>
            <w:tcW w:w="3236" w:type="dxa"/>
            <w:tcBorders>
              <w:left w:val="single" w:sz="2" w:space="0" w:color="000000"/>
              <w:bottom w:val="single" w:sz="2" w:space="0" w:color="000000"/>
            </w:tcBorders>
          </w:tcPr>
          <w:p w14:paraId="2DB4E04C" w14:textId="77777777" w:rsidR="00E53EB6" w:rsidRDefault="006500F5">
            <w:pPr>
              <w:pStyle w:val="HaupttextohneEinzug"/>
              <w:rPr>
                <w:i/>
                <w:iCs/>
              </w:rPr>
            </w:pPr>
            <w:r>
              <w:t>3.8.2b</w:t>
            </w:r>
            <w:r>
              <w:rPr>
                <w:i/>
                <w:iCs/>
              </w:rPr>
              <w:t xml:space="preserve"> bráhma vanvānó ajára</w:t>
            </w:r>
            <w:r>
              <w:rPr>
                <w:i/>
                <w:iCs/>
              </w:rPr>
              <w:t>ṃ</w:t>
            </w:r>
            <w:r>
              <w:rPr>
                <w:i/>
                <w:iCs/>
              </w:rPr>
              <w:t xml:space="preserve"> suvī́ram</w:t>
            </w:r>
          </w:p>
          <w:p w14:paraId="0F0D9EA7" w14:textId="77777777" w:rsidR="00E53EB6" w:rsidRDefault="00E53EB6">
            <w:pPr>
              <w:pStyle w:val="HaupttextohneEinzug"/>
              <w:rPr>
                <w:i/>
                <w:iCs/>
              </w:rPr>
            </w:pPr>
          </w:p>
          <w:p w14:paraId="188C1462" w14:textId="77777777" w:rsidR="00E53EB6" w:rsidRDefault="006500F5">
            <w:pPr>
              <w:pStyle w:val="HaupttextohneEinzug"/>
              <w:rPr>
                <w:i/>
                <w:iCs/>
              </w:rPr>
            </w:pPr>
            <w:r>
              <w:t xml:space="preserve">5.29.9 c </w:t>
            </w:r>
            <w:r>
              <w:rPr>
                <w:i/>
                <w:iCs/>
              </w:rPr>
              <w:t xml:space="preserve"> vanvānó átra sarátha</w:t>
            </w:r>
            <w:r>
              <w:rPr>
                <w:i/>
                <w:iCs/>
              </w:rPr>
              <w:t>ṃ</w:t>
            </w:r>
            <w:r>
              <w:rPr>
                <w:i/>
                <w:iCs/>
              </w:rPr>
              <w:t xml:space="preserve"> yayātha + avano</w:t>
            </w:r>
            <w:r>
              <w:rPr>
                <w:i/>
                <w:iCs/>
              </w:rPr>
              <w:t>ḥ</w:t>
            </w:r>
            <w:r>
              <w:rPr>
                <w:i/>
                <w:iCs/>
              </w:rPr>
              <w:t xml:space="preserve"> </w:t>
            </w:r>
            <w:r>
              <w:t>cf.</w:t>
            </w:r>
          </w:p>
        </w:tc>
        <w:tc>
          <w:tcPr>
            <w:tcW w:w="3062" w:type="dxa"/>
            <w:tcBorders>
              <w:left w:val="single" w:sz="2" w:space="0" w:color="000000"/>
              <w:bottom w:val="single" w:sz="2" w:space="0" w:color="000000"/>
            </w:tcBorders>
          </w:tcPr>
          <w:p w14:paraId="50F6B16B" w14:textId="77777777" w:rsidR="00E53EB6" w:rsidRDefault="006500F5">
            <w:pPr>
              <w:pStyle w:val="HaupttextohneEinzug"/>
            </w:pPr>
            <w:r>
              <w:t>gewinnst</w:t>
            </w:r>
          </w:p>
          <w:p w14:paraId="23012A18" w14:textId="77777777" w:rsidR="00E53EB6" w:rsidRDefault="00E53EB6">
            <w:pPr>
              <w:pStyle w:val="HaupttextohneEinzug"/>
            </w:pPr>
          </w:p>
          <w:p w14:paraId="7EB8947C" w14:textId="77777777" w:rsidR="00E53EB6" w:rsidRDefault="00E53EB6">
            <w:pPr>
              <w:pStyle w:val="HaupttextohneEinzug"/>
            </w:pPr>
          </w:p>
          <w:p w14:paraId="0A255AFA" w14:textId="77777777" w:rsidR="00E53EB6" w:rsidRDefault="006500F5">
            <w:pPr>
              <w:pStyle w:val="HaupttextohneEinzug"/>
            </w:pPr>
            <w:r>
              <w:t>der überwinder</w:t>
            </w:r>
          </w:p>
        </w:tc>
        <w:tc>
          <w:tcPr>
            <w:tcW w:w="1176" w:type="dxa"/>
            <w:tcBorders>
              <w:left w:val="single" w:sz="2" w:space="0" w:color="000000"/>
              <w:bottom w:val="single" w:sz="2" w:space="0" w:color="000000"/>
              <w:right w:val="single" w:sz="2" w:space="0" w:color="000000"/>
            </w:tcBorders>
          </w:tcPr>
          <w:p w14:paraId="561FDB19" w14:textId="77777777" w:rsidR="00E53EB6" w:rsidRDefault="006500F5">
            <w:pPr>
              <w:pStyle w:val="HaupttextohneEinzug"/>
            </w:pPr>
            <w:r>
              <w:t>*u̯</w:t>
            </w:r>
            <w:r>
              <w:t>ṇ</w:t>
            </w:r>
            <w:r>
              <w:t xml:space="preserve"> -néu̯ / nu-</w:t>
            </w:r>
          </w:p>
        </w:tc>
      </w:tr>
      <w:tr w:rsidR="00E53EB6" w14:paraId="3E94F354" w14:textId="77777777">
        <w:tc>
          <w:tcPr>
            <w:tcW w:w="1210" w:type="dxa"/>
            <w:tcBorders>
              <w:left w:val="single" w:sz="2" w:space="0" w:color="000000"/>
              <w:bottom w:val="single" w:sz="2" w:space="0" w:color="000000"/>
            </w:tcBorders>
          </w:tcPr>
          <w:p w14:paraId="6ECA024B" w14:textId="77777777" w:rsidR="00E53EB6" w:rsidRDefault="006500F5">
            <w:pPr>
              <w:pStyle w:val="HaupttextohneEinzug"/>
            </w:pPr>
            <w:r>
              <w:rPr>
                <w:i/>
                <w:iCs/>
              </w:rPr>
              <w:t>vanvānā́</w:t>
            </w:r>
            <w:r>
              <w:rPr>
                <w:i/>
                <w:iCs/>
              </w:rPr>
              <w:t>ḥ</w:t>
            </w:r>
            <w:r>
              <w:t xml:space="preserve"> </w:t>
            </w:r>
          </w:p>
          <w:p w14:paraId="56C6E5D7" w14:textId="77777777" w:rsidR="00E53EB6" w:rsidRDefault="006500F5">
            <w:pPr>
              <w:pStyle w:val="HaupttextohneEinzug"/>
            </w:pPr>
            <w:r>
              <w:t>(part. pres. nom. m. pl. Ā VIII cl.)</w:t>
            </w:r>
          </w:p>
        </w:tc>
        <w:tc>
          <w:tcPr>
            <w:tcW w:w="3236" w:type="dxa"/>
            <w:tcBorders>
              <w:left w:val="single" w:sz="2" w:space="0" w:color="000000"/>
              <w:bottom w:val="single" w:sz="2" w:space="0" w:color="000000"/>
            </w:tcBorders>
          </w:tcPr>
          <w:p w14:paraId="276C46D8" w14:textId="77777777" w:rsidR="00E53EB6" w:rsidRDefault="006500F5">
            <w:pPr>
              <w:pStyle w:val="HaupttextohneEinzug"/>
              <w:rPr>
                <w:i/>
                <w:iCs/>
              </w:rPr>
            </w:pPr>
            <w:r>
              <w:t>7.88.7c</w:t>
            </w:r>
            <w:r>
              <w:rPr>
                <w:i/>
                <w:iCs/>
              </w:rPr>
              <w:t xml:space="preserve"> ávo vanvānā́ áditer upásthād</w:t>
            </w:r>
          </w:p>
        </w:tc>
        <w:tc>
          <w:tcPr>
            <w:tcW w:w="3062" w:type="dxa"/>
            <w:tcBorders>
              <w:left w:val="single" w:sz="2" w:space="0" w:color="000000"/>
              <w:bottom w:val="single" w:sz="2" w:space="0" w:color="000000"/>
            </w:tcBorders>
          </w:tcPr>
          <w:p w14:paraId="7FE688DB" w14:textId="77777777" w:rsidR="00E53EB6" w:rsidRDefault="006500F5">
            <w:pPr>
              <w:pStyle w:val="HaupttextohneEinzug"/>
            </w:pPr>
            <w:r>
              <w:t>gewinnend</w:t>
            </w:r>
          </w:p>
          <w:p w14:paraId="4A1D4932" w14:textId="77777777" w:rsidR="00E53EB6" w:rsidRDefault="006500F5">
            <w:pPr>
              <w:pStyle w:val="HaupttextohneEinzug"/>
            </w:pPr>
            <w:r>
              <w:t>gagnant</w:t>
            </w:r>
          </w:p>
        </w:tc>
        <w:tc>
          <w:tcPr>
            <w:tcW w:w="1176" w:type="dxa"/>
            <w:tcBorders>
              <w:left w:val="single" w:sz="2" w:space="0" w:color="000000"/>
              <w:bottom w:val="single" w:sz="2" w:space="0" w:color="000000"/>
              <w:right w:val="single" w:sz="2" w:space="0" w:color="000000"/>
            </w:tcBorders>
          </w:tcPr>
          <w:p w14:paraId="608DE4F2" w14:textId="77777777" w:rsidR="00E53EB6" w:rsidRDefault="006500F5">
            <w:pPr>
              <w:pStyle w:val="HaupttextohneEinzug"/>
            </w:pPr>
            <w:r>
              <w:t>*u̯</w:t>
            </w:r>
            <w:r>
              <w:t>ṇ</w:t>
            </w:r>
            <w:r>
              <w:t xml:space="preserve"> -néu̯ / nu-</w:t>
            </w:r>
          </w:p>
        </w:tc>
      </w:tr>
      <w:tr w:rsidR="00E53EB6" w14:paraId="5162977C" w14:textId="77777777">
        <w:tc>
          <w:tcPr>
            <w:tcW w:w="1210" w:type="dxa"/>
            <w:tcBorders>
              <w:left w:val="single" w:sz="2" w:space="0" w:color="000000"/>
              <w:bottom w:val="single" w:sz="2" w:space="0" w:color="000000"/>
            </w:tcBorders>
          </w:tcPr>
          <w:p w14:paraId="7347A811" w14:textId="77777777" w:rsidR="00E53EB6" w:rsidRDefault="006500F5">
            <w:pPr>
              <w:pStyle w:val="HaupttextohneEinzug"/>
              <w:rPr>
                <w:i/>
                <w:iCs/>
              </w:rPr>
            </w:pPr>
            <w:r>
              <w:rPr>
                <w:i/>
                <w:iCs/>
              </w:rPr>
              <w:t>vavanvā́n</w:t>
            </w:r>
          </w:p>
          <w:p w14:paraId="1F078A1E" w14:textId="77777777" w:rsidR="00E53EB6" w:rsidRDefault="006500F5">
            <w:pPr>
              <w:pStyle w:val="HaupttextohneEinzug"/>
            </w:pPr>
            <w:r>
              <w:t>(part. perf. nom. m. sing.)</w:t>
            </w:r>
          </w:p>
        </w:tc>
        <w:tc>
          <w:tcPr>
            <w:tcW w:w="3236" w:type="dxa"/>
            <w:tcBorders>
              <w:left w:val="single" w:sz="2" w:space="0" w:color="000000"/>
              <w:bottom w:val="single" w:sz="2" w:space="0" w:color="000000"/>
            </w:tcBorders>
          </w:tcPr>
          <w:p w14:paraId="7F4A50C6" w14:textId="77777777" w:rsidR="00E53EB6" w:rsidRDefault="006500F5">
            <w:pPr>
              <w:pStyle w:val="HaupttextohneEinzug"/>
              <w:rPr>
                <w:i/>
                <w:iCs/>
              </w:rPr>
            </w:pPr>
            <w:r>
              <w:t>10.27.9d</w:t>
            </w:r>
            <w:r>
              <w:rPr>
                <w:i/>
                <w:iCs/>
              </w:rPr>
              <w:t xml:space="preserve">  átho áyukta</w:t>
            </w:r>
            <w:r>
              <w:rPr>
                <w:i/>
                <w:iCs/>
              </w:rPr>
              <w:t>ṃ</w:t>
            </w:r>
            <w:r>
              <w:rPr>
                <w:i/>
                <w:iCs/>
              </w:rPr>
              <w:t xml:space="preserve"> yunajad vavanvā́n</w:t>
            </w:r>
          </w:p>
        </w:tc>
        <w:tc>
          <w:tcPr>
            <w:tcW w:w="3062" w:type="dxa"/>
            <w:tcBorders>
              <w:left w:val="single" w:sz="2" w:space="0" w:color="000000"/>
              <w:bottom w:val="single" w:sz="2" w:space="0" w:color="000000"/>
            </w:tcBorders>
          </w:tcPr>
          <w:p w14:paraId="6109BEC1" w14:textId="77777777" w:rsidR="00E53EB6" w:rsidRDefault="006500F5">
            <w:pPr>
              <w:pStyle w:val="HaupttextohneEinzug"/>
            </w:pPr>
            <w:r>
              <w:t>der Sieger</w:t>
            </w:r>
          </w:p>
        </w:tc>
        <w:tc>
          <w:tcPr>
            <w:tcW w:w="1176" w:type="dxa"/>
            <w:tcBorders>
              <w:left w:val="single" w:sz="2" w:space="0" w:color="000000"/>
              <w:bottom w:val="single" w:sz="2" w:space="0" w:color="000000"/>
              <w:right w:val="single" w:sz="2" w:space="0" w:color="000000"/>
            </w:tcBorders>
          </w:tcPr>
          <w:p w14:paraId="4DE7D1A5" w14:textId="77777777" w:rsidR="00E53EB6" w:rsidRDefault="006500F5">
            <w:pPr>
              <w:pStyle w:val="HaupttextohneEinzug"/>
            </w:pPr>
            <w:r>
              <w:t>*u̯</w:t>
            </w:r>
            <w:r>
              <w:t>ṇ</w:t>
            </w:r>
            <w:r>
              <w:t xml:space="preserve"> -néu̯ / nu-</w:t>
            </w:r>
          </w:p>
        </w:tc>
      </w:tr>
      <w:tr w:rsidR="00E53EB6" w14:paraId="0D1C1EB0" w14:textId="77777777">
        <w:tc>
          <w:tcPr>
            <w:tcW w:w="1210" w:type="dxa"/>
            <w:tcBorders>
              <w:left w:val="single" w:sz="2" w:space="0" w:color="000000"/>
              <w:bottom w:val="single" w:sz="2" w:space="0" w:color="000000"/>
            </w:tcBorders>
          </w:tcPr>
          <w:p w14:paraId="4E5A4324" w14:textId="77777777" w:rsidR="00E53EB6" w:rsidRDefault="006500F5">
            <w:pPr>
              <w:pStyle w:val="HaupttextohneEinzug"/>
            </w:pPr>
            <w:r>
              <w:rPr>
                <w:i/>
                <w:iCs/>
              </w:rPr>
              <w:t>vavanvā́</w:t>
            </w:r>
            <w:r>
              <w:rPr>
                <w:i/>
                <w:iCs/>
              </w:rPr>
              <w:t>ṃ</w:t>
            </w:r>
            <w:r>
              <w:rPr>
                <w:i/>
                <w:iCs/>
              </w:rPr>
              <w:t>sā</w:t>
            </w:r>
            <w:r>
              <w:t xml:space="preserve"> (part. perf. voc. m. du.)</w:t>
            </w:r>
          </w:p>
        </w:tc>
        <w:tc>
          <w:tcPr>
            <w:tcW w:w="3236" w:type="dxa"/>
            <w:tcBorders>
              <w:left w:val="single" w:sz="2" w:space="0" w:color="000000"/>
              <w:bottom w:val="single" w:sz="2" w:space="0" w:color="000000"/>
            </w:tcBorders>
          </w:tcPr>
          <w:p w14:paraId="77CEA6C6" w14:textId="77777777" w:rsidR="00E53EB6" w:rsidRDefault="006500F5">
            <w:pPr>
              <w:pStyle w:val="HaupttextohneEinzug"/>
              <w:rPr>
                <w:i/>
                <w:iCs/>
              </w:rPr>
            </w:pPr>
            <w:r>
              <w:t>10.61.4d</w:t>
            </w:r>
            <w:r>
              <w:rPr>
                <w:i/>
                <w:iCs/>
              </w:rPr>
              <w:t xml:space="preserve">  vavanvā́</w:t>
            </w:r>
            <w:r>
              <w:rPr>
                <w:i/>
                <w:iCs/>
              </w:rPr>
              <w:t>ṃ</w:t>
            </w:r>
            <w:r>
              <w:rPr>
                <w:i/>
                <w:iCs/>
              </w:rPr>
              <w:t>sā ná í</w:t>
            </w:r>
            <w:r>
              <w:rPr>
                <w:i/>
                <w:iCs/>
              </w:rPr>
              <w:t>ṣ</w:t>
            </w:r>
            <w:r>
              <w:rPr>
                <w:i/>
                <w:iCs/>
              </w:rPr>
              <w:t>am ásmr̥tadhrū</w:t>
            </w:r>
          </w:p>
        </w:tc>
        <w:tc>
          <w:tcPr>
            <w:tcW w:w="3062" w:type="dxa"/>
            <w:tcBorders>
              <w:left w:val="single" w:sz="2" w:space="0" w:color="000000"/>
              <w:bottom w:val="single" w:sz="2" w:space="0" w:color="000000"/>
            </w:tcBorders>
          </w:tcPr>
          <w:p w14:paraId="4DE0ECF2" w14:textId="77777777" w:rsidR="00E53EB6" w:rsidRDefault="006500F5">
            <w:pPr>
              <w:pStyle w:val="HaupttextohneEinzug"/>
            </w:pPr>
            <w:r>
              <w:t>die Gewinner</w:t>
            </w:r>
          </w:p>
        </w:tc>
        <w:tc>
          <w:tcPr>
            <w:tcW w:w="1176" w:type="dxa"/>
            <w:tcBorders>
              <w:left w:val="single" w:sz="2" w:space="0" w:color="000000"/>
              <w:bottom w:val="single" w:sz="2" w:space="0" w:color="000000"/>
              <w:right w:val="single" w:sz="2" w:space="0" w:color="000000"/>
            </w:tcBorders>
          </w:tcPr>
          <w:p w14:paraId="48EED2DC" w14:textId="77777777" w:rsidR="00E53EB6" w:rsidRDefault="006500F5">
            <w:pPr>
              <w:pStyle w:val="HaupttextohneEinzug"/>
            </w:pPr>
            <w:r>
              <w:t>*u̯</w:t>
            </w:r>
            <w:r>
              <w:t>ṇ</w:t>
            </w:r>
            <w:r>
              <w:t xml:space="preserve"> -néu̯ / nu-</w:t>
            </w:r>
          </w:p>
        </w:tc>
      </w:tr>
    </w:tbl>
    <w:p w14:paraId="0AD1F479" w14:textId="77777777" w:rsidR="00E53EB6" w:rsidRDefault="00E53EB6">
      <w:pPr>
        <w:rPr>
          <w:lang w:val="en-GB"/>
        </w:rPr>
      </w:pPr>
    </w:p>
    <w:p w14:paraId="339C71B7" w14:textId="77777777" w:rsidR="00E53EB6" w:rsidRDefault="006500F5">
      <w:pPr>
        <w:pStyle w:val="Heading3"/>
        <w:tabs>
          <w:tab w:val="left" w:pos="0"/>
        </w:tabs>
      </w:pPr>
      <w:r>
        <w:t xml:space="preserve">VI.1.2 Laryngeal and non-laryngeal attestations of the verb in the </w:t>
      </w:r>
      <w:r>
        <w:t>post-R̥gvedic Sa</w:t>
      </w:r>
      <w:r>
        <w:t>ṃ</w:t>
      </w:r>
      <w:r>
        <w:t>hitās,  Brāhma</w:t>
      </w:r>
      <w:r>
        <w:t>ṇ</w:t>
      </w:r>
      <w:r>
        <w:t>as and in the Atharvaveda (barring R̥V-quotations)</w:t>
      </w:r>
    </w:p>
    <w:p w14:paraId="13C35652" w14:textId="77777777" w:rsidR="00E53EB6" w:rsidRDefault="00E53EB6">
      <w:pPr>
        <w:pStyle w:val="Hauptext"/>
      </w:pPr>
    </w:p>
    <w:p w14:paraId="47D33D4A" w14:textId="77777777" w:rsidR="00E53EB6" w:rsidRDefault="006500F5">
      <w:pPr>
        <w:pStyle w:val="Hauptext"/>
        <w:rPr>
          <w:b/>
          <w:bCs/>
        </w:rPr>
      </w:pPr>
      <w:r>
        <w:rPr>
          <w:b/>
          <w:bCs/>
        </w:rPr>
        <w:t xml:space="preserve">a-Laryngeal </w:t>
      </w:r>
    </w:p>
    <w:p w14:paraId="0DE30DE3" w14:textId="77777777" w:rsidR="00E53EB6" w:rsidRDefault="00E53EB6">
      <w:pPr>
        <w:pStyle w:val="HaupttextohneEinzug"/>
      </w:pPr>
    </w:p>
    <w:tbl>
      <w:tblPr>
        <w:tblW w:w="8673" w:type="dxa"/>
        <w:tblInd w:w="6" w:type="dxa"/>
        <w:tblLayout w:type="fixed"/>
        <w:tblCellMar>
          <w:top w:w="55" w:type="dxa"/>
          <w:left w:w="55" w:type="dxa"/>
          <w:bottom w:w="55" w:type="dxa"/>
          <w:right w:w="55" w:type="dxa"/>
        </w:tblCellMar>
        <w:tblLook w:val="04A0" w:firstRow="1" w:lastRow="0" w:firstColumn="1" w:lastColumn="0" w:noHBand="0" w:noVBand="1"/>
      </w:tblPr>
      <w:tblGrid>
        <w:gridCol w:w="1202"/>
        <w:gridCol w:w="3589"/>
        <w:gridCol w:w="2709"/>
        <w:gridCol w:w="1173"/>
      </w:tblGrid>
      <w:tr w:rsidR="00E53EB6" w14:paraId="451F560E" w14:textId="77777777">
        <w:tc>
          <w:tcPr>
            <w:tcW w:w="1202" w:type="dxa"/>
            <w:tcBorders>
              <w:top w:val="single" w:sz="2" w:space="0" w:color="000000"/>
              <w:left w:val="single" w:sz="2" w:space="0" w:color="000000"/>
              <w:bottom w:val="single" w:sz="2" w:space="0" w:color="000000"/>
            </w:tcBorders>
          </w:tcPr>
          <w:p w14:paraId="5A987450" w14:textId="77777777" w:rsidR="00E53EB6" w:rsidRDefault="006500F5">
            <w:pPr>
              <w:pStyle w:val="HaupttextohneEinzug"/>
            </w:pPr>
            <w:r>
              <w:t>Verbal form</w:t>
            </w:r>
          </w:p>
        </w:tc>
        <w:tc>
          <w:tcPr>
            <w:tcW w:w="3589" w:type="dxa"/>
            <w:tcBorders>
              <w:top w:val="single" w:sz="2" w:space="0" w:color="000000"/>
              <w:left w:val="single" w:sz="2" w:space="0" w:color="000000"/>
              <w:bottom w:val="single" w:sz="2" w:space="0" w:color="000000"/>
            </w:tcBorders>
          </w:tcPr>
          <w:p w14:paraId="25B2F968" w14:textId="77777777" w:rsidR="00E53EB6" w:rsidRDefault="006500F5">
            <w:pPr>
              <w:pStyle w:val="HaupttextohneEinzug"/>
            </w:pPr>
            <w:r>
              <w:t>occurrence</w:t>
            </w:r>
          </w:p>
        </w:tc>
        <w:tc>
          <w:tcPr>
            <w:tcW w:w="2709" w:type="dxa"/>
            <w:tcBorders>
              <w:top w:val="single" w:sz="2" w:space="0" w:color="000000"/>
              <w:left w:val="single" w:sz="2" w:space="0" w:color="000000"/>
              <w:bottom w:val="single" w:sz="2" w:space="0" w:color="000000"/>
            </w:tcBorders>
          </w:tcPr>
          <w:p w14:paraId="5E16C42D" w14:textId="77777777" w:rsidR="00E53EB6" w:rsidRDefault="006500F5">
            <w:pPr>
              <w:pStyle w:val="HaupttextohneEinzug"/>
            </w:pPr>
            <w:r>
              <w:t xml:space="preserve">translation </w:t>
            </w:r>
          </w:p>
        </w:tc>
        <w:tc>
          <w:tcPr>
            <w:tcW w:w="1173" w:type="dxa"/>
            <w:tcBorders>
              <w:top w:val="single" w:sz="2" w:space="0" w:color="000000"/>
              <w:left w:val="single" w:sz="2" w:space="0" w:color="000000"/>
              <w:bottom w:val="single" w:sz="2" w:space="0" w:color="000000"/>
              <w:right w:val="single" w:sz="2" w:space="0" w:color="000000"/>
            </w:tcBorders>
          </w:tcPr>
          <w:p w14:paraId="2A70D16F" w14:textId="77777777" w:rsidR="00E53EB6" w:rsidRDefault="006500F5">
            <w:pPr>
              <w:pStyle w:val="HaupttextohneEinzug"/>
            </w:pPr>
            <w:r>
              <w:t>I.E. root</w:t>
            </w:r>
          </w:p>
        </w:tc>
      </w:tr>
      <w:tr w:rsidR="00E53EB6" w14:paraId="735A83BE" w14:textId="77777777">
        <w:tc>
          <w:tcPr>
            <w:tcW w:w="1202" w:type="dxa"/>
            <w:tcBorders>
              <w:left w:val="single" w:sz="2" w:space="0" w:color="000000"/>
              <w:bottom w:val="single" w:sz="2" w:space="0" w:color="000000"/>
            </w:tcBorders>
          </w:tcPr>
          <w:p w14:paraId="5E3542E8" w14:textId="77777777" w:rsidR="00E53EB6" w:rsidRDefault="006500F5">
            <w:pPr>
              <w:pStyle w:val="HaupttextohneEinzug"/>
              <w:rPr>
                <w:b/>
                <w:bCs/>
              </w:rPr>
            </w:pPr>
            <w:r>
              <w:rPr>
                <w:b/>
                <w:bCs/>
              </w:rPr>
              <w:t>Indicative</w:t>
            </w:r>
          </w:p>
        </w:tc>
        <w:tc>
          <w:tcPr>
            <w:tcW w:w="3589" w:type="dxa"/>
            <w:tcBorders>
              <w:left w:val="single" w:sz="2" w:space="0" w:color="000000"/>
              <w:bottom w:val="single" w:sz="2" w:space="0" w:color="000000"/>
            </w:tcBorders>
          </w:tcPr>
          <w:p w14:paraId="3C54A6BB" w14:textId="77777777" w:rsidR="00E53EB6" w:rsidRDefault="00E53EB6">
            <w:pPr>
              <w:pStyle w:val="HaupttextohneEinzug"/>
            </w:pPr>
          </w:p>
        </w:tc>
        <w:tc>
          <w:tcPr>
            <w:tcW w:w="2709" w:type="dxa"/>
            <w:tcBorders>
              <w:left w:val="single" w:sz="2" w:space="0" w:color="000000"/>
              <w:bottom w:val="single" w:sz="2" w:space="0" w:color="000000"/>
            </w:tcBorders>
          </w:tcPr>
          <w:p w14:paraId="168D35B8" w14:textId="77777777" w:rsidR="00E53EB6" w:rsidRDefault="00E53EB6">
            <w:pPr>
              <w:pStyle w:val="HaupttextohneEinzug"/>
            </w:pPr>
          </w:p>
        </w:tc>
        <w:tc>
          <w:tcPr>
            <w:tcW w:w="1173" w:type="dxa"/>
            <w:tcBorders>
              <w:left w:val="single" w:sz="2" w:space="0" w:color="000000"/>
              <w:bottom w:val="single" w:sz="2" w:space="0" w:color="000000"/>
              <w:right w:val="single" w:sz="2" w:space="0" w:color="000000"/>
            </w:tcBorders>
          </w:tcPr>
          <w:p w14:paraId="425288E5" w14:textId="77777777" w:rsidR="00E53EB6" w:rsidRDefault="00E53EB6">
            <w:pPr>
              <w:pStyle w:val="HaupttextohneEinzug"/>
            </w:pPr>
          </w:p>
        </w:tc>
      </w:tr>
      <w:tr w:rsidR="00E53EB6" w14:paraId="464EC388" w14:textId="77777777">
        <w:tc>
          <w:tcPr>
            <w:tcW w:w="1202" w:type="dxa"/>
            <w:tcBorders>
              <w:left w:val="single" w:sz="2" w:space="0" w:color="000000"/>
              <w:bottom w:val="single" w:sz="2" w:space="0" w:color="000000"/>
            </w:tcBorders>
          </w:tcPr>
          <w:p w14:paraId="727D05F5" w14:textId="77777777" w:rsidR="00E53EB6" w:rsidRPr="0071345C" w:rsidRDefault="006500F5">
            <w:pPr>
              <w:pStyle w:val="HaupttextohneEinzug"/>
              <w:rPr>
                <w:i/>
                <w:iCs/>
                <w:lang w:val="it-IT"/>
              </w:rPr>
            </w:pPr>
            <w:r w:rsidRPr="0071345C">
              <w:rPr>
                <w:i/>
                <w:iCs/>
                <w:lang w:val="it-IT"/>
              </w:rPr>
              <w:t>vananti</w:t>
            </w:r>
          </w:p>
          <w:p w14:paraId="415A849C" w14:textId="77777777" w:rsidR="00E53EB6" w:rsidRPr="0071345C" w:rsidRDefault="006500F5">
            <w:pPr>
              <w:pStyle w:val="HaupttextohneEinzug"/>
              <w:rPr>
                <w:lang w:val="it-IT"/>
              </w:rPr>
            </w:pPr>
            <w:r w:rsidRPr="0071345C">
              <w:rPr>
                <w:lang w:val="it-IT"/>
              </w:rPr>
              <w:t>(ind. pres. 3</w:t>
            </w:r>
            <w:r w:rsidRPr="0071345C">
              <w:rPr>
                <w:vertAlign w:val="superscript"/>
                <w:lang w:val="it-IT"/>
              </w:rPr>
              <w:t>rd</w:t>
            </w:r>
            <w:r w:rsidRPr="0071345C">
              <w:rPr>
                <w:lang w:val="it-IT"/>
              </w:rPr>
              <w:t xml:space="preserve"> pl. I/VI cl.)</w:t>
            </w:r>
          </w:p>
        </w:tc>
        <w:tc>
          <w:tcPr>
            <w:tcW w:w="3589" w:type="dxa"/>
            <w:tcBorders>
              <w:left w:val="single" w:sz="2" w:space="0" w:color="000000"/>
              <w:bottom w:val="single" w:sz="2" w:space="0" w:color="000000"/>
            </w:tcBorders>
          </w:tcPr>
          <w:p w14:paraId="489E3135" w14:textId="77777777" w:rsidR="00E53EB6" w:rsidRPr="0071345C" w:rsidRDefault="006500F5">
            <w:pPr>
              <w:pStyle w:val="HaupttextohneEinzug"/>
              <w:rPr>
                <w:lang w:val="it-IT"/>
              </w:rPr>
            </w:pPr>
            <w:r w:rsidRPr="0071345C">
              <w:rPr>
                <w:lang w:val="it-IT"/>
              </w:rPr>
              <w:t xml:space="preserve">AVŚ 12.1.58 </w:t>
            </w:r>
            <w:r w:rsidRPr="0071345C">
              <w:rPr>
                <w:i/>
                <w:iCs/>
                <w:lang w:val="it-IT"/>
              </w:rPr>
              <w:t>yád vádāmi mádhumat tád vadāmi yád ī́k</w:t>
            </w:r>
            <w:r w:rsidRPr="0071345C">
              <w:rPr>
                <w:i/>
                <w:iCs/>
                <w:lang w:val="it-IT"/>
              </w:rPr>
              <w:t>ṣ</w:t>
            </w:r>
            <w:r w:rsidRPr="0071345C">
              <w:rPr>
                <w:i/>
                <w:iCs/>
                <w:lang w:val="it-IT"/>
              </w:rPr>
              <w:t>e tád vananti mā</w:t>
            </w:r>
          </w:p>
        </w:tc>
        <w:tc>
          <w:tcPr>
            <w:tcW w:w="2709" w:type="dxa"/>
            <w:tcBorders>
              <w:left w:val="single" w:sz="2" w:space="0" w:color="000000"/>
              <w:bottom w:val="single" w:sz="2" w:space="0" w:color="000000"/>
            </w:tcBorders>
          </w:tcPr>
          <w:p w14:paraId="77D2A49A" w14:textId="77777777" w:rsidR="00E53EB6" w:rsidRDefault="006500F5">
            <w:pPr>
              <w:pStyle w:val="HaupttextohneEinzug"/>
            </w:pPr>
            <w:r>
              <w:rPr>
                <w:rStyle w:val="biblio-authorGEN"/>
                <w:szCs w:val="21"/>
              </w:rPr>
              <w:t xml:space="preserve">Whitney </w:t>
            </w:r>
            <w:r>
              <w:rPr>
                <w:szCs w:val="21"/>
              </w:rPr>
              <w:t>1905: 671 “win”</w:t>
            </w:r>
          </w:p>
        </w:tc>
        <w:tc>
          <w:tcPr>
            <w:tcW w:w="1173" w:type="dxa"/>
            <w:tcBorders>
              <w:left w:val="single" w:sz="2" w:space="0" w:color="000000"/>
              <w:bottom w:val="single" w:sz="2" w:space="0" w:color="000000"/>
              <w:right w:val="single" w:sz="2" w:space="0" w:color="000000"/>
            </w:tcBorders>
          </w:tcPr>
          <w:p w14:paraId="6701ACCB" w14:textId="77777777" w:rsidR="00E53EB6" w:rsidRDefault="006500F5">
            <w:pPr>
              <w:pStyle w:val="HaupttextohneEinzug"/>
            </w:pPr>
            <w:r>
              <w:t>*u̯en-H-e-</w:t>
            </w:r>
          </w:p>
        </w:tc>
      </w:tr>
      <w:tr w:rsidR="00E53EB6" w14:paraId="4EC62070" w14:textId="77777777">
        <w:tc>
          <w:tcPr>
            <w:tcW w:w="1202" w:type="dxa"/>
            <w:tcBorders>
              <w:left w:val="single" w:sz="2" w:space="0" w:color="000000"/>
              <w:bottom w:val="single" w:sz="2" w:space="0" w:color="000000"/>
            </w:tcBorders>
          </w:tcPr>
          <w:p w14:paraId="56B025CD" w14:textId="77777777" w:rsidR="00E53EB6" w:rsidRDefault="006500F5">
            <w:pPr>
              <w:pStyle w:val="HaupttextohneEinzug"/>
              <w:rPr>
                <w:b/>
                <w:bCs/>
              </w:rPr>
            </w:pPr>
            <w:r>
              <w:rPr>
                <w:b/>
                <w:bCs/>
              </w:rPr>
              <w:t>Subjunctive</w:t>
            </w:r>
          </w:p>
        </w:tc>
        <w:tc>
          <w:tcPr>
            <w:tcW w:w="3589" w:type="dxa"/>
            <w:tcBorders>
              <w:left w:val="single" w:sz="2" w:space="0" w:color="000000"/>
              <w:bottom w:val="single" w:sz="2" w:space="0" w:color="000000"/>
            </w:tcBorders>
          </w:tcPr>
          <w:p w14:paraId="3EA70ACE" w14:textId="77777777" w:rsidR="00E53EB6" w:rsidRDefault="00E53EB6">
            <w:pPr>
              <w:pStyle w:val="HaupttextohneEinzug"/>
            </w:pPr>
          </w:p>
        </w:tc>
        <w:tc>
          <w:tcPr>
            <w:tcW w:w="2709" w:type="dxa"/>
            <w:tcBorders>
              <w:left w:val="single" w:sz="2" w:space="0" w:color="000000"/>
              <w:bottom w:val="single" w:sz="2" w:space="0" w:color="000000"/>
            </w:tcBorders>
          </w:tcPr>
          <w:p w14:paraId="295658CE" w14:textId="77777777" w:rsidR="00E53EB6" w:rsidRDefault="00E53EB6">
            <w:pPr>
              <w:pStyle w:val="HaupttextohneEinzug"/>
            </w:pPr>
          </w:p>
        </w:tc>
        <w:tc>
          <w:tcPr>
            <w:tcW w:w="1173" w:type="dxa"/>
            <w:tcBorders>
              <w:left w:val="single" w:sz="2" w:space="0" w:color="000000"/>
              <w:bottom w:val="single" w:sz="2" w:space="0" w:color="000000"/>
              <w:right w:val="single" w:sz="2" w:space="0" w:color="000000"/>
            </w:tcBorders>
          </w:tcPr>
          <w:p w14:paraId="709993C0" w14:textId="77777777" w:rsidR="00E53EB6" w:rsidRDefault="00E53EB6">
            <w:pPr>
              <w:pStyle w:val="HaupttextohneEinzug"/>
            </w:pPr>
          </w:p>
        </w:tc>
      </w:tr>
      <w:tr w:rsidR="00E53EB6" w14:paraId="0C4F215D" w14:textId="77777777">
        <w:tc>
          <w:tcPr>
            <w:tcW w:w="1202" w:type="dxa"/>
            <w:tcBorders>
              <w:left w:val="single" w:sz="2" w:space="0" w:color="000000"/>
              <w:bottom w:val="single" w:sz="2" w:space="0" w:color="000000"/>
            </w:tcBorders>
          </w:tcPr>
          <w:p w14:paraId="21D753E9" w14:textId="77777777" w:rsidR="00E53EB6" w:rsidRDefault="006500F5">
            <w:pPr>
              <w:pStyle w:val="HaupttextohneEinzug"/>
              <w:rPr>
                <w:i/>
                <w:iCs/>
              </w:rPr>
            </w:pPr>
            <w:r>
              <w:rPr>
                <w:i/>
                <w:iCs/>
              </w:rPr>
              <w:t>vanāmahe</w:t>
            </w:r>
          </w:p>
          <w:p w14:paraId="5CBAE8B6" w14:textId="77777777" w:rsidR="00E53EB6" w:rsidRDefault="006500F5">
            <w:pPr>
              <w:pStyle w:val="HaupttextohneEinzug"/>
            </w:pPr>
            <w:r>
              <w:t>(subj. pres. 1</w:t>
            </w:r>
            <w:r>
              <w:rPr>
                <w:vertAlign w:val="superscript"/>
              </w:rPr>
              <w:t>st</w:t>
            </w:r>
            <w:r>
              <w:t xml:space="preserve"> pl. Ā I/VI </w:t>
            </w:r>
            <w:r>
              <w:lastRenderedPageBreak/>
              <w:t>cl.)</w:t>
            </w:r>
          </w:p>
        </w:tc>
        <w:tc>
          <w:tcPr>
            <w:tcW w:w="3589" w:type="dxa"/>
            <w:tcBorders>
              <w:left w:val="single" w:sz="2" w:space="0" w:color="000000"/>
              <w:bottom w:val="single" w:sz="2" w:space="0" w:color="000000"/>
            </w:tcBorders>
          </w:tcPr>
          <w:p w14:paraId="097E6A82" w14:textId="77777777" w:rsidR="00E53EB6" w:rsidRDefault="006500F5">
            <w:pPr>
              <w:pStyle w:val="HaupttextohneEinzug"/>
            </w:pPr>
            <w:r>
              <w:rPr>
                <w:sz w:val="20"/>
                <w:szCs w:val="20"/>
              </w:rPr>
              <w:lastRenderedPageBreak/>
              <w:t xml:space="preserve">TS 1.6.4.2-3o </w:t>
            </w:r>
            <w:r>
              <w:rPr>
                <w:i/>
                <w:iCs/>
                <w:sz w:val="20"/>
                <w:szCs w:val="20"/>
              </w:rPr>
              <w:t>émā́ agmann dóhakāmā índravanta</w:t>
            </w:r>
            <w:r>
              <w:rPr>
                <w:i/>
                <w:iCs/>
                <w:sz w:val="20"/>
                <w:szCs w:val="20"/>
              </w:rPr>
              <w:t>ḥ</w:t>
            </w:r>
            <w:r>
              <w:rPr>
                <w:sz w:val="20"/>
                <w:szCs w:val="20"/>
              </w:rPr>
              <w:t xml:space="preserve"> / </w:t>
            </w:r>
            <w:r>
              <w:rPr>
                <w:i/>
                <w:iCs/>
                <w:sz w:val="20"/>
                <w:szCs w:val="20"/>
              </w:rPr>
              <w:t>vanāmahe dhuk</w:t>
            </w:r>
            <w:r>
              <w:rPr>
                <w:i/>
                <w:iCs/>
                <w:sz w:val="20"/>
                <w:szCs w:val="20"/>
              </w:rPr>
              <w:t>ṣ</w:t>
            </w:r>
            <w:r>
              <w:rPr>
                <w:i/>
                <w:iCs/>
                <w:sz w:val="20"/>
                <w:szCs w:val="20"/>
              </w:rPr>
              <w:t>imáhi prajā́m í</w:t>
            </w:r>
            <w:r>
              <w:rPr>
                <w:i/>
                <w:iCs/>
                <w:sz w:val="20"/>
                <w:szCs w:val="20"/>
              </w:rPr>
              <w:t>ṣ</w:t>
            </w:r>
            <w:r>
              <w:rPr>
                <w:i/>
                <w:iCs/>
                <w:sz w:val="20"/>
                <w:szCs w:val="20"/>
              </w:rPr>
              <w:t>am</w:t>
            </w:r>
          </w:p>
          <w:p w14:paraId="51C8AF47" w14:textId="77777777" w:rsidR="00E53EB6" w:rsidRDefault="00E53EB6">
            <w:pPr>
              <w:pStyle w:val="HaupttextohneEinzug"/>
              <w:rPr>
                <w:i/>
                <w:iCs/>
                <w:sz w:val="20"/>
                <w:szCs w:val="20"/>
              </w:rPr>
            </w:pPr>
          </w:p>
          <w:p w14:paraId="1AF91D86" w14:textId="77777777" w:rsidR="00E53EB6" w:rsidRDefault="006500F5">
            <w:pPr>
              <w:pStyle w:val="HaupttextohneEinzug"/>
            </w:pPr>
            <w:r>
              <w:rPr>
                <w:sz w:val="20"/>
                <w:szCs w:val="20"/>
              </w:rPr>
              <w:t>TS 3.2.7.1-2h</w:t>
            </w:r>
            <w:r>
              <w:rPr>
                <w:i/>
                <w:iCs/>
                <w:sz w:val="20"/>
                <w:szCs w:val="20"/>
              </w:rPr>
              <w:t xml:space="preserve"> indriyā́vanto vanāmahe dhuk</w:t>
            </w:r>
            <w:r>
              <w:rPr>
                <w:i/>
                <w:iCs/>
                <w:sz w:val="20"/>
                <w:szCs w:val="20"/>
              </w:rPr>
              <w:t>ṣ</w:t>
            </w:r>
            <w:r>
              <w:rPr>
                <w:i/>
                <w:iCs/>
                <w:sz w:val="20"/>
                <w:szCs w:val="20"/>
              </w:rPr>
              <w:t>imáhi prajā́m í</w:t>
            </w:r>
            <w:r>
              <w:rPr>
                <w:i/>
                <w:iCs/>
                <w:sz w:val="20"/>
                <w:szCs w:val="20"/>
              </w:rPr>
              <w:t>ṣ</w:t>
            </w:r>
            <w:r>
              <w:rPr>
                <w:i/>
                <w:iCs/>
                <w:sz w:val="20"/>
                <w:szCs w:val="20"/>
              </w:rPr>
              <w:t>am</w:t>
            </w:r>
          </w:p>
        </w:tc>
        <w:tc>
          <w:tcPr>
            <w:tcW w:w="2709" w:type="dxa"/>
            <w:tcBorders>
              <w:left w:val="single" w:sz="2" w:space="0" w:color="000000"/>
              <w:bottom w:val="single" w:sz="2" w:space="0" w:color="000000"/>
            </w:tcBorders>
          </w:tcPr>
          <w:p w14:paraId="61EE5247" w14:textId="77777777" w:rsidR="00E53EB6" w:rsidRDefault="006500F5">
            <w:pPr>
              <w:pStyle w:val="HaupttextohneEinzug"/>
            </w:pPr>
            <w:r>
              <w:rPr>
                <w:rStyle w:val="biblio-authorGEN"/>
              </w:rPr>
              <w:lastRenderedPageBreak/>
              <w:t xml:space="preserve">Keith </w:t>
            </w:r>
            <w:r>
              <w:t>1914: 87 “may we win”</w:t>
            </w:r>
          </w:p>
          <w:p w14:paraId="0ED75B44" w14:textId="77777777" w:rsidR="00E53EB6" w:rsidRDefault="00E53EB6">
            <w:pPr>
              <w:pStyle w:val="HaupttextohneEinzug"/>
            </w:pPr>
          </w:p>
          <w:p w14:paraId="76D501A3" w14:textId="77777777" w:rsidR="00E53EB6" w:rsidRDefault="00E53EB6">
            <w:pPr>
              <w:pStyle w:val="HaupttextohneEinzug"/>
            </w:pPr>
          </w:p>
          <w:p w14:paraId="64ACC46C" w14:textId="77777777" w:rsidR="00E53EB6" w:rsidRDefault="006500F5">
            <w:pPr>
              <w:pStyle w:val="HaupttextohneEinzug"/>
            </w:pPr>
            <w:r>
              <w:rPr>
                <w:rStyle w:val="biblio-authorGEN"/>
              </w:rPr>
              <w:t xml:space="preserve">Keith </w:t>
            </w:r>
            <w:r>
              <w:t>1914: 247 “may we conquer”</w:t>
            </w:r>
          </w:p>
          <w:p w14:paraId="52F846F7" w14:textId="77777777" w:rsidR="00E53EB6" w:rsidRDefault="00E53EB6">
            <w:pPr>
              <w:pStyle w:val="HaupttextohneEinzug"/>
            </w:pPr>
          </w:p>
        </w:tc>
        <w:tc>
          <w:tcPr>
            <w:tcW w:w="1173" w:type="dxa"/>
            <w:tcBorders>
              <w:left w:val="single" w:sz="2" w:space="0" w:color="000000"/>
              <w:bottom w:val="single" w:sz="2" w:space="0" w:color="000000"/>
              <w:right w:val="single" w:sz="2" w:space="0" w:color="000000"/>
            </w:tcBorders>
          </w:tcPr>
          <w:p w14:paraId="19C74281" w14:textId="77777777" w:rsidR="00E53EB6" w:rsidRDefault="006500F5">
            <w:pPr>
              <w:pStyle w:val="HaupttextohneEinzug"/>
            </w:pPr>
            <w:r>
              <w:lastRenderedPageBreak/>
              <w:t>*u̯en-H-e-</w:t>
            </w:r>
          </w:p>
        </w:tc>
      </w:tr>
      <w:tr w:rsidR="00E53EB6" w14:paraId="3BFDDDB5" w14:textId="77777777">
        <w:tc>
          <w:tcPr>
            <w:tcW w:w="1202" w:type="dxa"/>
            <w:tcBorders>
              <w:left w:val="single" w:sz="2" w:space="0" w:color="000000"/>
              <w:bottom w:val="single" w:sz="2" w:space="0" w:color="000000"/>
            </w:tcBorders>
          </w:tcPr>
          <w:p w14:paraId="52BF9FBC" w14:textId="77777777" w:rsidR="00E53EB6" w:rsidRDefault="006500F5">
            <w:pPr>
              <w:pStyle w:val="HaupttextohneEinzug"/>
              <w:rPr>
                <w:i/>
                <w:iCs/>
              </w:rPr>
            </w:pPr>
            <w:r>
              <w:rPr>
                <w:i/>
                <w:iCs/>
              </w:rPr>
              <w:t>vanā</w:t>
            </w:r>
            <w:r>
              <w:rPr>
                <w:i/>
                <w:iCs/>
              </w:rPr>
              <w:t>ḥ</w:t>
            </w:r>
          </w:p>
          <w:p w14:paraId="1C5FDCEB" w14:textId="77777777" w:rsidR="00E53EB6" w:rsidRDefault="006500F5">
            <w:pPr>
              <w:pStyle w:val="HaupttextohneEinzug"/>
            </w:pPr>
            <w:r>
              <w:t xml:space="preserve">(subj. </w:t>
            </w:r>
            <w:r>
              <w:t>pres. 2</w:t>
            </w:r>
            <w:r>
              <w:rPr>
                <w:vertAlign w:val="superscript"/>
              </w:rPr>
              <w:t>nd</w:t>
            </w:r>
            <w:r>
              <w:t xml:space="preserve"> sing.</w:t>
            </w:r>
          </w:p>
          <w:p w14:paraId="24AAF33F" w14:textId="77777777" w:rsidR="00E53EB6" w:rsidRDefault="006500F5">
            <w:pPr>
              <w:pStyle w:val="HaupttextohneEinzug"/>
            </w:pPr>
            <w:r>
              <w:t>I\VI cl.)</w:t>
            </w:r>
          </w:p>
        </w:tc>
        <w:tc>
          <w:tcPr>
            <w:tcW w:w="3589" w:type="dxa"/>
            <w:tcBorders>
              <w:left w:val="single" w:sz="2" w:space="0" w:color="000000"/>
              <w:bottom w:val="single" w:sz="2" w:space="0" w:color="000000"/>
            </w:tcBorders>
          </w:tcPr>
          <w:p w14:paraId="4D42837D" w14:textId="77777777" w:rsidR="00E53EB6" w:rsidRDefault="006500F5">
            <w:pPr>
              <w:pStyle w:val="HaupttextohneEinzug"/>
            </w:pPr>
            <w:r>
              <w:t xml:space="preserve">AVŚ 1.34.4 </w:t>
            </w:r>
            <w:r>
              <w:rPr>
                <w:i/>
                <w:iCs/>
              </w:rPr>
              <w:t>mā́mít kíla tvá</w:t>
            </w:r>
            <w:r>
              <w:rPr>
                <w:i/>
                <w:iCs/>
              </w:rPr>
              <w:t>ṃ</w:t>
            </w:r>
            <w:r>
              <w:rPr>
                <w:i/>
                <w:iCs/>
              </w:rPr>
              <w:t xml:space="preserve"> vánā</w:t>
            </w:r>
            <w:r>
              <w:rPr>
                <w:i/>
                <w:iCs/>
              </w:rPr>
              <w:t>ḥ</w:t>
            </w:r>
            <w:r>
              <w:rPr>
                <w:i/>
                <w:iCs/>
              </w:rPr>
              <w:t xml:space="preserve"> śā́khā</w:t>
            </w:r>
            <w:r>
              <w:rPr>
                <w:i/>
                <w:iCs/>
              </w:rPr>
              <w:t>ṃ</w:t>
            </w:r>
            <w:r>
              <w:rPr>
                <w:i/>
                <w:iCs/>
              </w:rPr>
              <w:t xml:space="preserve"> mádhumatīmiva</w:t>
            </w:r>
          </w:p>
        </w:tc>
        <w:tc>
          <w:tcPr>
            <w:tcW w:w="2709" w:type="dxa"/>
            <w:tcBorders>
              <w:left w:val="single" w:sz="2" w:space="0" w:color="000000"/>
              <w:bottom w:val="single" w:sz="2" w:space="0" w:color="000000"/>
            </w:tcBorders>
          </w:tcPr>
          <w:p w14:paraId="0BBB36D1" w14:textId="77777777" w:rsidR="00E53EB6" w:rsidRDefault="006500F5">
            <w:pPr>
              <w:pStyle w:val="HaupttextohneEinzug"/>
            </w:pPr>
            <w:r>
              <w:rPr>
                <w:rStyle w:val="biblio-authorGEN"/>
              </w:rPr>
              <w:t>Whitney</w:t>
            </w:r>
            <w:r>
              <w:t xml:space="preserve"> 1905: 35 “shalt thou be fond” </w:t>
            </w:r>
          </w:p>
        </w:tc>
        <w:tc>
          <w:tcPr>
            <w:tcW w:w="1173" w:type="dxa"/>
            <w:tcBorders>
              <w:left w:val="single" w:sz="2" w:space="0" w:color="000000"/>
              <w:bottom w:val="single" w:sz="2" w:space="0" w:color="000000"/>
              <w:right w:val="single" w:sz="2" w:space="0" w:color="000000"/>
            </w:tcBorders>
          </w:tcPr>
          <w:p w14:paraId="2832B2B0" w14:textId="77777777" w:rsidR="00E53EB6" w:rsidRDefault="006500F5">
            <w:pPr>
              <w:pStyle w:val="HaupttextohneEinzug"/>
            </w:pPr>
            <w:r>
              <w:t>* u̯en-H-e-</w:t>
            </w:r>
          </w:p>
        </w:tc>
      </w:tr>
      <w:tr w:rsidR="00E53EB6" w14:paraId="49822A2B" w14:textId="77777777">
        <w:tc>
          <w:tcPr>
            <w:tcW w:w="1202" w:type="dxa"/>
            <w:tcBorders>
              <w:left w:val="single" w:sz="2" w:space="0" w:color="000000"/>
              <w:bottom w:val="single" w:sz="2" w:space="0" w:color="000000"/>
            </w:tcBorders>
          </w:tcPr>
          <w:p w14:paraId="152F4571" w14:textId="77777777" w:rsidR="00E53EB6" w:rsidRDefault="006500F5">
            <w:pPr>
              <w:pStyle w:val="HaupttextohneEinzug"/>
              <w:rPr>
                <w:i/>
                <w:iCs/>
              </w:rPr>
            </w:pPr>
            <w:r>
              <w:rPr>
                <w:i/>
                <w:iCs/>
              </w:rPr>
              <w:t>vanād</w:t>
            </w:r>
          </w:p>
          <w:p w14:paraId="5187CDFA" w14:textId="77777777" w:rsidR="00E53EB6" w:rsidRDefault="006500F5">
            <w:pPr>
              <w:pStyle w:val="HaupttextohneEinzug"/>
            </w:pPr>
            <w:r>
              <w:t>(subj. pres. 3</w:t>
            </w:r>
            <w:r>
              <w:rPr>
                <w:vertAlign w:val="superscript"/>
              </w:rPr>
              <w:t>rd</w:t>
            </w:r>
            <w:r>
              <w:t xml:space="preserve"> sing. I/VI cl.)</w:t>
            </w:r>
          </w:p>
        </w:tc>
        <w:tc>
          <w:tcPr>
            <w:tcW w:w="3589" w:type="dxa"/>
            <w:tcBorders>
              <w:left w:val="single" w:sz="2" w:space="0" w:color="000000"/>
              <w:bottom w:val="single" w:sz="2" w:space="0" w:color="000000"/>
            </w:tcBorders>
          </w:tcPr>
          <w:p w14:paraId="61F5C610" w14:textId="77777777" w:rsidR="00E53EB6" w:rsidRDefault="006500F5">
            <w:pPr>
              <w:pStyle w:val="HaupttextohneEinzug"/>
            </w:pPr>
            <w:r>
              <w:t xml:space="preserve">AVP 20.61.11 </w:t>
            </w:r>
            <w:r>
              <w:rPr>
                <w:i/>
                <w:iCs/>
              </w:rPr>
              <w:t>śālālā tva</w:t>
            </w:r>
            <w:r>
              <w:rPr>
                <w:i/>
                <w:iCs/>
              </w:rPr>
              <w:t>ṃ</w:t>
            </w:r>
            <w:r>
              <w:rPr>
                <w:i/>
                <w:iCs/>
              </w:rPr>
              <w:t xml:space="preserve"> sa</w:t>
            </w:r>
            <w:r>
              <w:rPr>
                <w:i/>
                <w:iCs/>
              </w:rPr>
              <w:t>ṃ</w:t>
            </w:r>
            <w:r>
              <w:rPr>
                <w:i/>
                <w:iCs/>
              </w:rPr>
              <w:t>vanana</w:t>
            </w:r>
            <w:r>
              <w:rPr>
                <w:i/>
                <w:iCs/>
              </w:rPr>
              <w:t>ṃ</w:t>
            </w:r>
            <w:r>
              <w:rPr>
                <w:i/>
                <w:iCs/>
              </w:rPr>
              <w:t xml:space="preserve"> vanād vananam ādr̥tam</w:t>
            </w:r>
          </w:p>
        </w:tc>
        <w:tc>
          <w:tcPr>
            <w:tcW w:w="2709" w:type="dxa"/>
            <w:tcBorders>
              <w:left w:val="single" w:sz="2" w:space="0" w:color="000000"/>
              <w:bottom w:val="single" w:sz="2" w:space="0" w:color="000000"/>
            </w:tcBorders>
          </w:tcPr>
          <w:p w14:paraId="2CBC3047" w14:textId="77777777" w:rsidR="00E53EB6" w:rsidRDefault="00E53EB6">
            <w:pPr>
              <w:pStyle w:val="HaupttextohneEinzug"/>
            </w:pPr>
          </w:p>
        </w:tc>
        <w:tc>
          <w:tcPr>
            <w:tcW w:w="1173" w:type="dxa"/>
            <w:tcBorders>
              <w:left w:val="single" w:sz="2" w:space="0" w:color="000000"/>
              <w:bottom w:val="single" w:sz="2" w:space="0" w:color="000000"/>
              <w:right w:val="single" w:sz="2" w:space="0" w:color="000000"/>
            </w:tcBorders>
          </w:tcPr>
          <w:p w14:paraId="4A94CCD0" w14:textId="77777777" w:rsidR="00E53EB6" w:rsidRDefault="006500F5">
            <w:pPr>
              <w:pStyle w:val="HaupttextohneEinzug"/>
            </w:pPr>
            <w:r>
              <w:t>* u̯en-H-e-</w:t>
            </w:r>
          </w:p>
        </w:tc>
      </w:tr>
      <w:tr w:rsidR="00E53EB6" w14:paraId="6D1DF948" w14:textId="77777777">
        <w:tc>
          <w:tcPr>
            <w:tcW w:w="1202" w:type="dxa"/>
            <w:tcBorders>
              <w:left w:val="single" w:sz="2" w:space="0" w:color="000000"/>
              <w:bottom w:val="single" w:sz="2" w:space="0" w:color="000000"/>
            </w:tcBorders>
          </w:tcPr>
          <w:p w14:paraId="21988EF6" w14:textId="77777777" w:rsidR="00E53EB6" w:rsidRDefault="006500F5">
            <w:pPr>
              <w:pStyle w:val="HaupttextohneEinzug"/>
              <w:rPr>
                <w:b/>
                <w:bCs/>
              </w:rPr>
            </w:pPr>
            <w:r>
              <w:rPr>
                <w:b/>
                <w:bCs/>
              </w:rPr>
              <w:t>Imperative</w:t>
            </w:r>
          </w:p>
        </w:tc>
        <w:tc>
          <w:tcPr>
            <w:tcW w:w="3589" w:type="dxa"/>
            <w:tcBorders>
              <w:left w:val="single" w:sz="2" w:space="0" w:color="000000"/>
              <w:bottom w:val="single" w:sz="2" w:space="0" w:color="000000"/>
            </w:tcBorders>
          </w:tcPr>
          <w:p w14:paraId="74B136F3" w14:textId="77777777" w:rsidR="00E53EB6" w:rsidRDefault="00E53EB6">
            <w:pPr>
              <w:pStyle w:val="HaupttextohneEinzug"/>
            </w:pPr>
          </w:p>
        </w:tc>
        <w:tc>
          <w:tcPr>
            <w:tcW w:w="2709" w:type="dxa"/>
            <w:tcBorders>
              <w:left w:val="single" w:sz="2" w:space="0" w:color="000000"/>
              <w:bottom w:val="single" w:sz="2" w:space="0" w:color="000000"/>
            </w:tcBorders>
          </w:tcPr>
          <w:p w14:paraId="4D960256" w14:textId="77777777" w:rsidR="00E53EB6" w:rsidRDefault="00E53EB6">
            <w:pPr>
              <w:pStyle w:val="HaupttextohneEinzug"/>
            </w:pPr>
          </w:p>
        </w:tc>
        <w:tc>
          <w:tcPr>
            <w:tcW w:w="1173" w:type="dxa"/>
            <w:tcBorders>
              <w:left w:val="single" w:sz="2" w:space="0" w:color="000000"/>
              <w:bottom w:val="single" w:sz="2" w:space="0" w:color="000000"/>
              <w:right w:val="single" w:sz="2" w:space="0" w:color="000000"/>
            </w:tcBorders>
          </w:tcPr>
          <w:p w14:paraId="0EE4730A" w14:textId="77777777" w:rsidR="00E53EB6" w:rsidRDefault="00E53EB6">
            <w:pPr>
              <w:pStyle w:val="HaupttextohneEinzug"/>
            </w:pPr>
          </w:p>
        </w:tc>
      </w:tr>
      <w:tr w:rsidR="00E53EB6" w14:paraId="2C3FCAA7" w14:textId="77777777">
        <w:tc>
          <w:tcPr>
            <w:tcW w:w="1202" w:type="dxa"/>
            <w:tcBorders>
              <w:left w:val="single" w:sz="2" w:space="0" w:color="000000"/>
              <w:bottom w:val="single" w:sz="2" w:space="0" w:color="000000"/>
            </w:tcBorders>
          </w:tcPr>
          <w:p w14:paraId="31F13744" w14:textId="77777777" w:rsidR="00E53EB6" w:rsidRPr="0071345C" w:rsidRDefault="006500F5">
            <w:pPr>
              <w:pStyle w:val="HaupttextohneEinzug"/>
              <w:rPr>
                <w:i/>
                <w:iCs/>
                <w:lang w:val="de-DE"/>
              </w:rPr>
            </w:pPr>
            <w:r w:rsidRPr="0071345C">
              <w:rPr>
                <w:i/>
                <w:iCs/>
                <w:lang w:val="de-DE"/>
              </w:rPr>
              <w:t>vanatam</w:t>
            </w:r>
          </w:p>
          <w:p w14:paraId="0DE20C24" w14:textId="77777777" w:rsidR="00E53EB6" w:rsidRDefault="006500F5">
            <w:pPr>
              <w:pStyle w:val="HaupttextohneEinzug"/>
            </w:pPr>
            <w:r w:rsidRPr="0071345C">
              <w:rPr>
                <w:lang w:val="de-DE"/>
              </w:rPr>
              <w:t>(impv. pres. 2</w:t>
            </w:r>
            <w:r w:rsidRPr="0071345C">
              <w:rPr>
                <w:vertAlign w:val="superscript"/>
                <w:lang w:val="de-DE"/>
              </w:rPr>
              <w:t>nd</w:t>
            </w:r>
            <w:r w:rsidRPr="0071345C">
              <w:rPr>
                <w:lang w:val="de-DE"/>
              </w:rPr>
              <w:t xml:space="preserve"> du. </w:t>
            </w:r>
            <w:r>
              <w:t>I/VI cl.)</w:t>
            </w:r>
          </w:p>
        </w:tc>
        <w:tc>
          <w:tcPr>
            <w:tcW w:w="3589" w:type="dxa"/>
            <w:tcBorders>
              <w:left w:val="single" w:sz="2" w:space="0" w:color="000000"/>
              <w:bottom w:val="single" w:sz="2" w:space="0" w:color="000000"/>
            </w:tcBorders>
          </w:tcPr>
          <w:p w14:paraId="33F86BCA" w14:textId="77777777" w:rsidR="00E53EB6" w:rsidRDefault="006500F5">
            <w:pPr>
              <w:pStyle w:val="HaupttextohneEinzug"/>
            </w:pPr>
            <w:r>
              <w:t xml:space="preserve">TB 2.4.3.4-5 </w:t>
            </w:r>
            <w:r>
              <w:rPr>
                <w:i/>
                <w:iCs/>
              </w:rPr>
              <w:t>dīk</w:t>
            </w:r>
            <w:r>
              <w:rPr>
                <w:i/>
                <w:iCs/>
              </w:rPr>
              <w:t>ṣ</w:t>
            </w:r>
            <w:r>
              <w:rPr>
                <w:i/>
                <w:iCs/>
              </w:rPr>
              <w:t>āpālébhyo vánata</w:t>
            </w:r>
            <w:r>
              <w:rPr>
                <w:i/>
                <w:iCs/>
              </w:rPr>
              <w:t>ṃ</w:t>
            </w:r>
            <w:r>
              <w:rPr>
                <w:i/>
                <w:iCs/>
              </w:rPr>
              <w:t xml:space="preserve"> hí śakrā́</w:t>
            </w:r>
          </w:p>
        </w:tc>
        <w:tc>
          <w:tcPr>
            <w:tcW w:w="2709" w:type="dxa"/>
            <w:tcBorders>
              <w:left w:val="single" w:sz="2" w:space="0" w:color="000000"/>
              <w:bottom w:val="single" w:sz="2" w:space="0" w:color="000000"/>
            </w:tcBorders>
          </w:tcPr>
          <w:p w14:paraId="5C4BEC63" w14:textId="77777777" w:rsidR="00E53EB6" w:rsidRDefault="00E53EB6">
            <w:pPr>
              <w:pStyle w:val="HaupttextohneEinzug"/>
            </w:pPr>
          </w:p>
        </w:tc>
        <w:tc>
          <w:tcPr>
            <w:tcW w:w="1173" w:type="dxa"/>
            <w:tcBorders>
              <w:left w:val="single" w:sz="2" w:space="0" w:color="000000"/>
              <w:bottom w:val="single" w:sz="2" w:space="0" w:color="000000"/>
              <w:right w:val="single" w:sz="2" w:space="0" w:color="000000"/>
            </w:tcBorders>
          </w:tcPr>
          <w:p w14:paraId="67B88128" w14:textId="77777777" w:rsidR="00E53EB6" w:rsidRDefault="006500F5">
            <w:pPr>
              <w:pStyle w:val="HaupttextohneEinzug"/>
            </w:pPr>
            <w:r>
              <w:t>*u̯en-H-e-</w:t>
            </w:r>
          </w:p>
        </w:tc>
      </w:tr>
      <w:tr w:rsidR="00E53EB6" w14:paraId="500643BF" w14:textId="77777777">
        <w:tc>
          <w:tcPr>
            <w:tcW w:w="1202" w:type="dxa"/>
            <w:tcBorders>
              <w:left w:val="single" w:sz="2" w:space="0" w:color="000000"/>
              <w:bottom w:val="single" w:sz="2" w:space="0" w:color="000000"/>
            </w:tcBorders>
          </w:tcPr>
          <w:p w14:paraId="264E2A75" w14:textId="77777777" w:rsidR="00E53EB6" w:rsidRPr="0071345C" w:rsidRDefault="006500F5">
            <w:pPr>
              <w:pStyle w:val="HaupttextohneEinzug"/>
              <w:rPr>
                <w:i/>
                <w:iCs/>
                <w:lang w:val="it-IT"/>
              </w:rPr>
            </w:pPr>
            <w:r w:rsidRPr="0071345C">
              <w:rPr>
                <w:i/>
                <w:iCs/>
                <w:lang w:val="it-IT"/>
              </w:rPr>
              <w:t>vana</w:t>
            </w:r>
          </w:p>
          <w:p w14:paraId="1FBF906A" w14:textId="77777777" w:rsidR="00E53EB6" w:rsidRPr="0071345C" w:rsidRDefault="006500F5">
            <w:pPr>
              <w:pStyle w:val="HaupttextohneEinzug"/>
              <w:rPr>
                <w:lang w:val="it-IT"/>
              </w:rPr>
            </w:pPr>
            <w:r w:rsidRPr="0071345C">
              <w:rPr>
                <w:lang w:val="it-IT"/>
              </w:rPr>
              <w:t>(impv. pres. 2</w:t>
            </w:r>
            <w:r w:rsidRPr="0071345C">
              <w:rPr>
                <w:vertAlign w:val="superscript"/>
                <w:lang w:val="it-IT"/>
              </w:rPr>
              <w:t>nd</w:t>
            </w:r>
            <w:r w:rsidRPr="0071345C">
              <w:rPr>
                <w:lang w:val="it-IT"/>
              </w:rPr>
              <w:t xml:space="preserve"> sing. I/VI cl.)</w:t>
            </w:r>
          </w:p>
        </w:tc>
        <w:tc>
          <w:tcPr>
            <w:tcW w:w="3589" w:type="dxa"/>
            <w:tcBorders>
              <w:left w:val="single" w:sz="2" w:space="0" w:color="000000"/>
              <w:bottom w:val="single" w:sz="2" w:space="0" w:color="000000"/>
            </w:tcBorders>
          </w:tcPr>
          <w:p w14:paraId="1313F80B" w14:textId="77777777" w:rsidR="00E53EB6" w:rsidRPr="0071345C" w:rsidRDefault="006500F5">
            <w:pPr>
              <w:pStyle w:val="HaupttextohneEinzug"/>
              <w:rPr>
                <w:lang w:val="it-IT"/>
              </w:rPr>
            </w:pPr>
            <w:r w:rsidRPr="0071345C">
              <w:rPr>
                <w:lang w:val="it-IT"/>
              </w:rPr>
              <w:t xml:space="preserve">AVP 2.33.1 </w:t>
            </w:r>
            <w:r w:rsidRPr="0071345C">
              <w:rPr>
                <w:i/>
                <w:iCs/>
                <w:lang w:val="it-IT"/>
              </w:rPr>
              <w:t xml:space="preserve">ūdhnā vana hr̥dā vana mukhena jihvayā vana / </w:t>
            </w:r>
          </w:p>
          <w:p w14:paraId="001F870E" w14:textId="77777777" w:rsidR="00E53EB6" w:rsidRDefault="006500F5">
            <w:pPr>
              <w:pStyle w:val="HaupttextohneEinzug"/>
              <w:rPr>
                <w:i/>
                <w:iCs/>
              </w:rPr>
            </w:pPr>
            <w:r>
              <w:rPr>
                <w:i/>
                <w:iCs/>
              </w:rPr>
              <w:t>prapīnā payasā vana</w:t>
            </w:r>
          </w:p>
        </w:tc>
        <w:tc>
          <w:tcPr>
            <w:tcW w:w="2709" w:type="dxa"/>
            <w:tcBorders>
              <w:left w:val="single" w:sz="2" w:space="0" w:color="000000"/>
              <w:bottom w:val="single" w:sz="2" w:space="0" w:color="000000"/>
            </w:tcBorders>
          </w:tcPr>
          <w:p w14:paraId="548CDB62" w14:textId="77777777" w:rsidR="00E53EB6" w:rsidRDefault="00E53EB6">
            <w:pPr>
              <w:pStyle w:val="HaupttextohneEinzug"/>
            </w:pPr>
          </w:p>
        </w:tc>
        <w:tc>
          <w:tcPr>
            <w:tcW w:w="1173" w:type="dxa"/>
            <w:tcBorders>
              <w:left w:val="single" w:sz="2" w:space="0" w:color="000000"/>
              <w:bottom w:val="single" w:sz="2" w:space="0" w:color="000000"/>
              <w:right w:val="single" w:sz="2" w:space="0" w:color="000000"/>
            </w:tcBorders>
          </w:tcPr>
          <w:p w14:paraId="3AC91A64" w14:textId="77777777" w:rsidR="00E53EB6" w:rsidRDefault="006500F5">
            <w:pPr>
              <w:pStyle w:val="HaupttextohneEinzug"/>
            </w:pPr>
            <w:r>
              <w:t>*u̯en-H-e-</w:t>
            </w:r>
          </w:p>
        </w:tc>
      </w:tr>
    </w:tbl>
    <w:p w14:paraId="1B61D2ED" w14:textId="77777777" w:rsidR="00E53EB6" w:rsidRDefault="00E53EB6">
      <w:pPr>
        <w:pStyle w:val="Hauptext"/>
        <w:rPr>
          <w:b/>
          <w:bCs/>
        </w:rPr>
      </w:pPr>
    </w:p>
    <w:p w14:paraId="12E58E17" w14:textId="77777777" w:rsidR="00E53EB6" w:rsidRDefault="00E53EB6">
      <w:pPr>
        <w:pStyle w:val="Hauptext"/>
        <w:rPr>
          <w:b/>
          <w:bCs/>
        </w:rPr>
      </w:pPr>
    </w:p>
    <w:p w14:paraId="0B88C07B" w14:textId="77777777" w:rsidR="00E53EB6" w:rsidRDefault="006500F5">
      <w:pPr>
        <w:pStyle w:val="Hauptext"/>
        <w:rPr>
          <w:b/>
          <w:bCs/>
        </w:rPr>
      </w:pPr>
      <w:r>
        <w:rPr>
          <w:b/>
          <w:bCs/>
        </w:rPr>
        <w:t xml:space="preserve">b-Non-Laryngeal </w:t>
      </w:r>
    </w:p>
    <w:p w14:paraId="184CE409" w14:textId="77777777" w:rsidR="00E53EB6" w:rsidRDefault="00E53EB6">
      <w:pPr>
        <w:pStyle w:val="HaupttextohneEinzug"/>
        <w:rPr>
          <w:b/>
          <w:bCs/>
        </w:rPr>
      </w:pPr>
    </w:p>
    <w:tbl>
      <w:tblPr>
        <w:tblW w:w="8673" w:type="dxa"/>
        <w:tblInd w:w="6" w:type="dxa"/>
        <w:tblLayout w:type="fixed"/>
        <w:tblCellMar>
          <w:top w:w="55" w:type="dxa"/>
          <w:left w:w="55" w:type="dxa"/>
          <w:bottom w:w="55" w:type="dxa"/>
          <w:right w:w="55" w:type="dxa"/>
        </w:tblCellMar>
        <w:tblLook w:val="04A0" w:firstRow="1" w:lastRow="0" w:firstColumn="1" w:lastColumn="0" w:noHBand="0" w:noVBand="1"/>
      </w:tblPr>
      <w:tblGrid>
        <w:gridCol w:w="1202"/>
        <w:gridCol w:w="3589"/>
        <w:gridCol w:w="2709"/>
        <w:gridCol w:w="1173"/>
      </w:tblGrid>
      <w:tr w:rsidR="00E53EB6" w14:paraId="057CD97F" w14:textId="77777777">
        <w:tc>
          <w:tcPr>
            <w:tcW w:w="1202" w:type="dxa"/>
            <w:tcBorders>
              <w:top w:val="single" w:sz="2" w:space="0" w:color="000000"/>
              <w:left w:val="single" w:sz="2" w:space="0" w:color="000000"/>
              <w:bottom w:val="single" w:sz="2" w:space="0" w:color="000000"/>
            </w:tcBorders>
          </w:tcPr>
          <w:p w14:paraId="58D4ED55" w14:textId="77777777" w:rsidR="00E53EB6" w:rsidRDefault="006500F5">
            <w:pPr>
              <w:pStyle w:val="HaupttextohneEinzug"/>
            </w:pPr>
            <w:r>
              <w:t>Verbal form</w:t>
            </w:r>
          </w:p>
        </w:tc>
        <w:tc>
          <w:tcPr>
            <w:tcW w:w="3589" w:type="dxa"/>
            <w:tcBorders>
              <w:top w:val="single" w:sz="2" w:space="0" w:color="000000"/>
              <w:left w:val="single" w:sz="2" w:space="0" w:color="000000"/>
              <w:bottom w:val="single" w:sz="2" w:space="0" w:color="000000"/>
            </w:tcBorders>
          </w:tcPr>
          <w:p w14:paraId="7BA1BB54" w14:textId="77777777" w:rsidR="00E53EB6" w:rsidRDefault="006500F5">
            <w:pPr>
              <w:pStyle w:val="HaupttextohneEinzug"/>
            </w:pPr>
            <w:r>
              <w:t>occurrence</w:t>
            </w:r>
          </w:p>
        </w:tc>
        <w:tc>
          <w:tcPr>
            <w:tcW w:w="2709" w:type="dxa"/>
            <w:tcBorders>
              <w:top w:val="single" w:sz="2" w:space="0" w:color="000000"/>
              <w:left w:val="single" w:sz="2" w:space="0" w:color="000000"/>
              <w:bottom w:val="single" w:sz="2" w:space="0" w:color="000000"/>
            </w:tcBorders>
          </w:tcPr>
          <w:p w14:paraId="069C8379" w14:textId="77777777" w:rsidR="00E53EB6" w:rsidRDefault="006500F5">
            <w:pPr>
              <w:pStyle w:val="HaupttextohneEinzug"/>
            </w:pPr>
            <w:r>
              <w:t xml:space="preserve">translation </w:t>
            </w:r>
          </w:p>
        </w:tc>
        <w:tc>
          <w:tcPr>
            <w:tcW w:w="1173" w:type="dxa"/>
            <w:tcBorders>
              <w:top w:val="single" w:sz="2" w:space="0" w:color="000000"/>
              <w:left w:val="single" w:sz="2" w:space="0" w:color="000000"/>
              <w:bottom w:val="single" w:sz="2" w:space="0" w:color="000000"/>
              <w:right w:val="single" w:sz="2" w:space="0" w:color="000000"/>
            </w:tcBorders>
          </w:tcPr>
          <w:p w14:paraId="3D6C7979" w14:textId="77777777" w:rsidR="00E53EB6" w:rsidRDefault="006500F5">
            <w:pPr>
              <w:pStyle w:val="HaupttextohneEinzug"/>
            </w:pPr>
            <w:r>
              <w:t>I.E. root</w:t>
            </w:r>
          </w:p>
        </w:tc>
      </w:tr>
      <w:tr w:rsidR="00E53EB6" w14:paraId="354969F6" w14:textId="77777777">
        <w:tc>
          <w:tcPr>
            <w:tcW w:w="1202" w:type="dxa"/>
            <w:tcBorders>
              <w:left w:val="single" w:sz="2" w:space="0" w:color="000000"/>
              <w:bottom w:val="single" w:sz="2" w:space="0" w:color="000000"/>
            </w:tcBorders>
          </w:tcPr>
          <w:p w14:paraId="21B09C01" w14:textId="77777777" w:rsidR="00E53EB6" w:rsidRDefault="006500F5">
            <w:pPr>
              <w:pStyle w:val="HaupttextohneEinzug"/>
              <w:rPr>
                <w:b/>
                <w:bCs/>
              </w:rPr>
            </w:pPr>
            <w:r>
              <w:rPr>
                <w:b/>
                <w:bCs/>
              </w:rPr>
              <w:t>Indicative</w:t>
            </w:r>
          </w:p>
        </w:tc>
        <w:tc>
          <w:tcPr>
            <w:tcW w:w="3589" w:type="dxa"/>
            <w:tcBorders>
              <w:left w:val="single" w:sz="2" w:space="0" w:color="000000"/>
              <w:bottom w:val="single" w:sz="2" w:space="0" w:color="000000"/>
            </w:tcBorders>
          </w:tcPr>
          <w:p w14:paraId="0F5D950E" w14:textId="77777777" w:rsidR="00E53EB6" w:rsidRDefault="00E53EB6">
            <w:pPr>
              <w:pStyle w:val="HaupttextohneEinzug"/>
            </w:pPr>
          </w:p>
        </w:tc>
        <w:tc>
          <w:tcPr>
            <w:tcW w:w="2709" w:type="dxa"/>
            <w:tcBorders>
              <w:left w:val="single" w:sz="2" w:space="0" w:color="000000"/>
              <w:bottom w:val="single" w:sz="2" w:space="0" w:color="000000"/>
            </w:tcBorders>
          </w:tcPr>
          <w:p w14:paraId="142BE087" w14:textId="77777777" w:rsidR="00E53EB6" w:rsidRDefault="00E53EB6">
            <w:pPr>
              <w:pStyle w:val="HaupttextohneEinzug"/>
            </w:pPr>
          </w:p>
        </w:tc>
        <w:tc>
          <w:tcPr>
            <w:tcW w:w="1173" w:type="dxa"/>
            <w:tcBorders>
              <w:left w:val="single" w:sz="2" w:space="0" w:color="000000"/>
              <w:bottom w:val="single" w:sz="2" w:space="0" w:color="000000"/>
              <w:right w:val="single" w:sz="2" w:space="0" w:color="000000"/>
            </w:tcBorders>
          </w:tcPr>
          <w:p w14:paraId="7251557C" w14:textId="77777777" w:rsidR="00E53EB6" w:rsidRDefault="00E53EB6">
            <w:pPr>
              <w:pStyle w:val="HaupttextohneEinzug"/>
            </w:pPr>
          </w:p>
        </w:tc>
      </w:tr>
      <w:tr w:rsidR="00E53EB6" w14:paraId="62415831" w14:textId="77777777">
        <w:tc>
          <w:tcPr>
            <w:tcW w:w="1202" w:type="dxa"/>
            <w:tcBorders>
              <w:left w:val="single" w:sz="2" w:space="0" w:color="000000"/>
              <w:bottom w:val="single" w:sz="2" w:space="0" w:color="000000"/>
            </w:tcBorders>
          </w:tcPr>
          <w:p w14:paraId="5C72DC34" w14:textId="77777777" w:rsidR="00E53EB6" w:rsidRDefault="006500F5">
            <w:pPr>
              <w:pStyle w:val="HaupttextohneEinzug"/>
              <w:rPr>
                <w:i/>
                <w:iCs/>
              </w:rPr>
            </w:pPr>
            <w:r>
              <w:rPr>
                <w:i/>
                <w:iCs/>
              </w:rPr>
              <w:t xml:space="preserve">vanute </w:t>
            </w:r>
          </w:p>
          <w:p w14:paraId="3D76AEED" w14:textId="77777777" w:rsidR="00E53EB6" w:rsidRDefault="006500F5">
            <w:pPr>
              <w:pStyle w:val="HaupttextohneEinzug"/>
              <w:rPr>
                <w:szCs w:val="21"/>
              </w:rPr>
            </w:pPr>
            <w:r>
              <w:rPr>
                <w:rFonts w:eastAsia="MS Mincho;ＭＳ 明朝" w:cs="Times Ext Roman"/>
                <w:szCs w:val="21"/>
                <w:lang w:eastAsia="hi-IN" w:bidi="en-GB"/>
              </w:rPr>
              <w:t>(ind. pres. 3</w:t>
            </w:r>
            <w:r>
              <w:rPr>
                <w:rFonts w:eastAsia="MS Mincho;ＭＳ 明朝" w:cs="Times Ext Roman"/>
                <w:szCs w:val="21"/>
                <w:vertAlign w:val="superscript"/>
                <w:lang w:eastAsia="hi-IN" w:bidi="en-GB"/>
              </w:rPr>
              <w:t>rd</w:t>
            </w:r>
            <w:r>
              <w:rPr>
                <w:rFonts w:eastAsia="MS Mincho;ＭＳ 明朝" w:cs="Times Ext Roman"/>
                <w:szCs w:val="21"/>
                <w:lang w:eastAsia="hi-IN" w:bidi="en-GB"/>
              </w:rPr>
              <w:t xml:space="preserve"> sing. Ā VIII cl.)</w:t>
            </w:r>
          </w:p>
        </w:tc>
        <w:tc>
          <w:tcPr>
            <w:tcW w:w="3589" w:type="dxa"/>
            <w:tcBorders>
              <w:left w:val="single" w:sz="2" w:space="0" w:color="000000"/>
              <w:bottom w:val="single" w:sz="2" w:space="0" w:color="000000"/>
            </w:tcBorders>
          </w:tcPr>
          <w:p w14:paraId="0D21937E" w14:textId="77777777" w:rsidR="00E53EB6" w:rsidRDefault="006500F5">
            <w:pPr>
              <w:pStyle w:val="HaupttextohneEinzug"/>
            </w:pPr>
            <w:r>
              <w:t xml:space="preserve">KS 10.3 </w:t>
            </w:r>
            <w:r>
              <w:t>(2x)</w:t>
            </w:r>
            <w:r>
              <w:rPr>
                <w:i/>
                <w:iCs/>
              </w:rPr>
              <w:t xml:space="preserve"> </w:t>
            </w:r>
            <w:r>
              <w:rPr>
                <w:i/>
                <w:iCs/>
              </w:rPr>
              <w:t>sātā</w:t>
            </w:r>
            <w:r>
              <w:rPr>
                <w:i/>
                <w:iCs/>
              </w:rPr>
              <w:t>ṃ</w:t>
            </w:r>
            <w:r>
              <w:rPr>
                <w:i/>
                <w:iCs/>
              </w:rPr>
              <w:t xml:space="preserve"> sani</w:t>
            </w:r>
            <w:r>
              <w:rPr>
                <w:i/>
                <w:iCs/>
              </w:rPr>
              <w:t>ṃ</w:t>
            </w:r>
            <w:r>
              <w:rPr>
                <w:i/>
                <w:iCs/>
              </w:rPr>
              <w:t xml:space="preserve"> vanute</w:t>
            </w:r>
            <w:r>
              <w:t xml:space="preserve"> […]</w:t>
            </w:r>
            <w:r>
              <w:rPr>
                <w:i/>
                <w:iCs/>
              </w:rPr>
              <w:t>etad etasmai sanoti yad vanute</w:t>
            </w:r>
            <w:r>
              <w:t xml:space="preserve"> </w:t>
            </w:r>
          </w:p>
          <w:p w14:paraId="5C23F0A2" w14:textId="77777777" w:rsidR="00E53EB6" w:rsidRDefault="00E53EB6">
            <w:pPr>
              <w:pStyle w:val="HaupttextohneEinzug"/>
            </w:pPr>
          </w:p>
          <w:p w14:paraId="69D368F7" w14:textId="77777777" w:rsidR="00E53EB6" w:rsidRDefault="006500F5">
            <w:pPr>
              <w:pStyle w:val="HaupttextohneEinzug"/>
            </w:pPr>
            <w:r>
              <w:t xml:space="preserve">MS 2.1.2 (2x)  </w:t>
            </w:r>
            <w:r>
              <w:rPr>
                <w:i/>
                <w:iCs/>
              </w:rPr>
              <w:t>sātā</w:t>
            </w:r>
            <w:r>
              <w:rPr>
                <w:i/>
                <w:iCs/>
              </w:rPr>
              <w:t>ṃ</w:t>
            </w:r>
            <w:r>
              <w:rPr>
                <w:i/>
                <w:iCs/>
              </w:rPr>
              <w:t xml:space="preserve"> sani</w:t>
            </w:r>
            <w:r>
              <w:rPr>
                <w:i/>
                <w:iCs/>
              </w:rPr>
              <w:t>ṃ</w:t>
            </w:r>
            <w:r>
              <w:rPr>
                <w:i/>
                <w:iCs/>
              </w:rPr>
              <w:t xml:space="preserve"> vanute </w:t>
            </w:r>
            <w:r>
              <w:t>[...]</w:t>
            </w:r>
            <w:r>
              <w:rPr>
                <w:i/>
                <w:iCs/>
              </w:rPr>
              <w:t xml:space="preserve"> </w:t>
            </w:r>
            <w:r>
              <w:rPr>
                <w:i/>
                <w:iCs/>
              </w:rPr>
              <w:t>sa</w:t>
            </w:r>
            <w:r>
              <w:rPr>
                <w:i/>
                <w:iCs/>
              </w:rPr>
              <w:t>ṃ</w:t>
            </w:r>
            <w:r>
              <w:rPr>
                <w:i/>
                <w:iCs/>
              </w:rPr>
              <w:t xml:space="preserve">vatsará etásmai </w:t>
            </w:r>
            <w:r>
              <w:rPr>
                <w:i/>
                <w:iCs/>
              </w:rPr>
              <w:t>vanute</w:t>
            </w:r>
          </w:p>
          <w:p w14:paraId="6E6EBE12" w14:textId="77777777" w:rsidR="00E53EB6" w:rsidRDefault="00E53EB6">
            <w:pPr>
              <w:pStyle w:val="HaupttextohneEinzug"/>
              <w:rPr>
                <w:i/>
                <w:iCs/>
              </w:rPr>
            </w:pPr>
          </w:p>
          <w:p w14:paraId="297E996C" w14:textId="77777777" w:rsidR="00E53EB6" w:rsidRDefault="006500F5">
            <w:pPr>
              <w:pStyle w:val="HaupttextohneEinzug"/>
            </w:pPr>
            <w:r>
              <w:t xml:space="preserve">MS 3.6.9 </w:t>
            </w:r>
            <w:r>
              <w:rPr>
                <w:i/>
                <w:iCs/>
              </w:rPr>
              <w:t>bhr̥ti</w:t>
            </w:r>
            <w:r>
              <w:rPr>
                <w:i/>
                <w:iCs/>
              </w:rPr>
              <w:t>ṃ</w:t>
            </w:r>
            <w:r>
              <w:rPr>
                <w:i/>
                <w:iCs/>
              </w:rPr>
              <w:t xml:space="preserve"> vanute yajñasya</w:t>
            </w:r>
          </w:p>
          <w:p w14:paraId="78D098D3" w14:textId="77777777" w:rsidR="00E53EB6" w:rsidRDefault="00E53EB6">
            <w:pPr>
              <w:pStyle w:val="HaupttextohneEinzug"/>
              <w:rPr>
                <w:i/>
                <w:iCs/>
              </w:rPr>
            </w:pPr>
          </w:p>
          <w:p w14:paraId="7583D9A0" w14:textId="77777777" w:rsidR="00E53EB6" w:rsidRDefault="006500F5">
            <w:pPr>
              <w:pStyle w:val="HaupttextohneEinzug"/>
            </w:pPr>
            <w:r>
              <w:t xml:space="preserve">KS 23.6 (2x) </w:t>
            </w:r>
            <w:r>
              <w:rPr>
                <w:i/>
                <w:iCs/>
              </w:rPr>
              <w:t xml:space="preserve">rāsate yadvanute </w:t>
            </w:r>
            <w:r>
              <w:t xml:space="preserve">[…] </w:t>
            </w:r>
            <w:r>
              <w:rPr>
                <w:i/>
                <w:iCs/>
              </w:rPr>
              <w:t>dīk</w:t>
            </w:r>
            <w:r>
              <w:rPr>
                <w:i/>
                <w:iCs/>
              </w:rPr>
              <w:t>ṣ</w:t>
            </w:r>
            <w:r>
              <w:rPr>
                <w:i/>
                <w:iCs/>
              </w:rPr>
              <w:t>ito bhr̥ti</w:t>
            </w:r>
            <w:r>
              <w:rPr>
                <w:i/>
                <w:iCs/>
              </w:rPr>
              <w:t>ṃ</w:t>
            </w:r>
            <w:r>
              <w:rPr>
                <w:i/>
                <w:iCs/>
              </w:rPr>
              <w:t xml:space="preserve"> vanute</w:t>
            </w:r>
          </w:p>
          <w:p w14:paraId="5E40BC72" w14:textId="77777777" w:rsidR="00E53EB6" w:rsidRDefault="00E53EB6">
            <w:pPr>
              <w:pStyle w:val="HaupttextohneEinzug"/>
              <w:rPr>
                <w:i/>
                <w:iCs/>
              </w:rPr>
            </w:pPr>
          </w:p>
          <w:p w14:paraId="748A3BDA" w14:textId="77777777" w:rsidR="00E53EB6" w:rsidRDefault="006500F5">
            <w:pPr>
              <w:pStyle w:val="HaupttextohneEinzug"/>
            </w:pPr>
            <w:r>
              <w:t xml:space="preserve">MS 4.1.10 </w:t>
            </w:r>
            <w:r>
              <w:rPr>
                <w:i/>
                <w:iCs/>
              </w:rPr>
              <w:t>te  parjányādevá vŕ̥</w:t>
            </w:r>
            <w:r>
              <w:rPr>
                <w:i/>
                <w:iCs/>
              </w:rPr>
              <w:t>ṣṭ</w:t>
            </w:r>
            <w:r>
              <w:rPr>
                <w:i/>
                <w:iCs/>
              </w:rPr>
              <w:t xml:space="preserve">im̐ vanute </w:t>
            </w:r>
          </w:p>
          <w:p w14:paraId="7626FD3F" w14:textId="77777777" w:rsidR="00E53EB6" w:rsidRDefault="00E53EB6">
            <w:pPr>
              <w:pStyle w:val="HaupttextohneEinzug"/>
              <w:rPr>
                <w:i/>
                <w:iCs/>
              </w:rPr>
            </w:pPr>
          </w:p>
          <w:p w14:paraId="50CE5F2F" w14:textId="77777777" w:rsidR="00E53EB6" w:rsidRDefault="006500F5">
            <w:pPr>
              <w:pStyle w:val="HaupttextohneEinzug"/>
            </w:pPr>
            <w:r>
              <w:t xml:space="preserve">MS 4.1.14 </w:t>
            </w:r>
            <w:r>
              <w:rPr>
                <w:i/>
                <w:iCs/>
              </w:rPr>
              <w:t>marúdbhya evá vŕ̥</w:t>
            </w:r>
            <w:r>
              <w:rPr>
                <w:i/>
                <w:iCs/>
              </w:rPr>
              <w:t>ṣ</w:t>
            </w:r>
            <w:r>
              <w:rPr>
                <w:i/>
                <w:iCs/>
              </w:rPr>
              <w:t>r̥i</w:t>
            </w:r>
            <w:r>
              <w:rPr>
                <w:i/>
                <w:iCs/>
              </w:rPr>
              <w:t>ṃ</w:t>
            </w:r>
            <w:r>
              <w:rPr>
                <w:i/>
                <w:iCs/>
              </w:rPr>
              <w:t xml:space="preserve"> vanute</w:t>
            </w:r>
          </w:p>
          <w:p w14:paraId="18266D50" w14:textId="77777777" w:rsidR="00E53EB6" w:rsidRDefault="00E53EB6">
            <w:pPr>
              <w:pStyle w:val="HaupttextohneEinzug"/>
              <w:rPr>
                <w:rFonts w:eastAsia="Arial" w:cs="Times Ext Roman"/>
                <w:i/>
                <w:iCs/>
                <w:szCs w:val="21"/>
                <w:lang w:eastAsia="hi-IN" w:bidi="en-GB"/>
              </w:rPr>
            </w:pPr>
          </w:p>
          <w:p w14:paraId="153C445F" w14:textId="77777777" w:rsidR="00E53EB6" w:rsidRDefault="006500F5">
            <w:pPr>
              <w:pStyle w:val="HaupttextohneEinzug"/>
            </w:pPr>
            <w:r>
              <w:rPr>
                <w:rFonts w:eastAsia="Arial" w:cs="Times Ext Roman"/>
                <w:szCs w:val="21"/>
                <w:lang w:eastAsia="hi-IN" w:bidi="en-GB"/>
              </w:rPr>
              <w:lastRenderedPageBreak/>
              <w:t>TS 2.6.9.8</w:t>
            </w:r>
            <w:r>
              <w:rPr>
                <w:rFonts w:eastAsia="Arial" w:cs="Times Ext Roman"/>
                <w:i/>
                <w:iCs/>
                <w:szCs w:val="21"/>
                <w:lang w:eastAsia="hi-IN" w:bidi="en-GB"/>
              </w:rPr>
              <w:t xml:space="preserve"> āhāgnír devébhyo vanuté</w:t>
            </w:r>
          </w:p>
          <w:p w14:paraId="4417ADBA" w14:textId="77777777" w:rsidR="00E53EB6" w:rsidRDefault="00E53EB6">
            <w:pPr>
              <w:pStyle w:val="HaupttextohneEinzug"/>
              <w:rPr>
                <w:rFonts w:eastAsia="Arial" w:cs="Times Ext Roman"/>
                <w:i/>
                <w:iCs/>
                <w:szCs w:val="21"/>
                <w:lang w:eastAsia="hi-IN" w:bidi="en-GB"/>
              </w:rPr>
            </w:pPr>
          </w:p>
          <w:p w14:paraId="5B70A1C5" w14:textId="77777777" w:rsidR="00E53EB6" w:rsidRDefault="006500F5">
            <w:pPr>
              <w:pStyle w:val="HaupttextohneEinzug"/>
            </w:pPr>
            <w:r>
              <w:rPr>
                <w:rFonts w:eastAsia="Arial" w:cs="Times Ext Roman"/>
                <w:szCs w:val="21"/>
                <w:lang w:eastAsia="hi-IN" w:bidi="en-GB"/>
              </w:rPr>
              <w:t xml:space="preserve">ŚB 3.8.2.22 (2x) </w:t>
            </w:r>
            <w:r>
              <w:rPr>
                <w:rFonts w:eastAsia="Arial" w:cs="Times Ext Roman"/>
                <w:i/>
                <w:iCs/>
                <w:szCs w:val="21"/>
                <w:lang w:eastAsia="hi-IN" w:bidi="en-GB"/>
              </w:rPr>
              <w:t>agnirvŕ̥</w:t>
            </w:r>
            <w:r>
              <w:rPr>
                <w:rFonts w:eastAsia="Arial" w:cs="Times Ext Roman"/>
                <w:i/>
                <w:iCs/>
                <w:szCs w:val="21"/>
                <w:lang w:eastAsia="hi-IN" w:bidi="en-GB"/>
              </w:rPr>
              <w:t>ṣṭ</w:t>
            </w:r>
            <w:r>
              <w:rPr>
                <w:rFonts w:eastAsia="Arial" w:cs="Times Ext Roman"/>
                <w:i/>
                <w:iCs/>
                <w:szCs w:val="21"/>
                <w:lang w:eastAsia="hi-IN" w:bidi="en-GB"/>
              </w:rPr>
              <w:t>i</w:t>
            </w:r>
            <w:r>
              <w:rPr>
                <w:rFonts w:eastAsia="Arial" w:cs="Times Ext Roman"/>
                <w:i/>
                <w:iCs/>
                <w:szCs w:val="21"/>
                <w:lang w:eastAsia="hi-IN" w:bidi="en-GB"/>
              </w:rPr>
              <w:t>ṃ</w:t>
            </w:r>
            <w:r>
              <w:rPr>
                <w:rFonts w:eastAsia="Arial" w:cs="Times Ext Roman"/>
                <w:i/>
                <w:iCs/>
                <w:szCs w:val="21"/>
                <w:lang w:eastAsia="hi-IN" w:bidi="en-GB"/>
              </w:rPr>
              <w:t xml:space="preserve"> van</w:t>
            </w:r>
            <w:r>
              <w:rPr>
                <w:rFonts w:eastAsia="Arial" w:cs="Times Ext Roman"/>
                <w:i/>
                <w:iCs/>
                <w:szCs w:val="21"/>
                <w:lang w:eastAsia="hi-IN" w:bidi="en-GB"/>
              </w:rPr>
              <w:t>ute sá etaí stokaíretā́ntstokā́nvanute</w:t>
            </w:r>
          </w:p>
          <w:p w14:paraId="0AFADD4F" w14:textId="77777777" w:rsidR="00E53EB6" w:rsidRDefault="00E53EB6">
            <w:pPr>
              <w:pStyle w:val="HaupttextohneEinzug"/>
              <w:rPr>
                <w:rFonts w:eastAsia="Arial" w:cs="Times Ext Roman"/>
                <w:i/>
                <w:iCs/>
                <w:szCs w:val="21"/>
                <w:lang w:eastAsia="hi-IN" w:bidi="en-GB"/>
              </w:rPr>
            </w:pPr>
          </w:p>
          <w:p w14:paraId="5508D1E6" w14:textId="77777777" w:rsidR="00E53EB6" w:rsidRDefault="006500F5">
            <w:pPr>
              <w:pStyle w:val="HaupttextohneEinzug"/>
            </w:pPr>
            <w:r>
              <w:rPr>
                <w:rFonts w:eastAsia="Arial" w:cs="Times Ext Roman"/>
                <w:szCs w:val="21"/>
                <w:lang w:eastAsia="hi-IN" w:bidi="en-GB"/>
              </w:rPr>
              <w:t xml:space="preserve">AVŚ 7.103.1 </w:t>
            </w:r>
            <w:r>
              <w:rPr>
                <w:rFonts w:eastAsia="Arial" w:cs="Times Ext Roman"/>
                <w:i/>
                <w:iCs/>
                <w:szCs w:val="21"/>
                <w:lang w:eastAsia="hi-IN" w:bidi="en-GB"/>
              </w:rPr>
              <w:t>kó yajñákāma</w:t>
            </w:r>
            <w:r>
              <w:rPr>
                <w:rFonts w:eastAsia="Arial" w:cs="Times Ext Roman"/>
                <w:i/>
                <w:iCs/>
                <w:szCs w:val="21"/>
                <w:lang w:eastAsia="hi-IN" w:bidi="en-GB"/>
              </w:rPr>
              <w:t>ḥ</w:t>
            </w:r>
            <w:r>
              <w:rPr>
                <w:rFonts w:eastAsia="Arial" w:cs="Times Ext Roman"/>
                <w:i/>
                <w:iCs/>
                <w:szCs w:val="21"/>
                <w:lang w:eastAsia="hi-IN" w:bidi="en-GB"/>
              </w:rPr>
              <w:t xml:space="preserve"> ká u pū́rtikāma</w:t>
            </w:r>
            <w:r>
              <w:rPr>
                <w:rFonts w:eastAsia="Arial" w:cs="Times Ext Roman"/>
                <w:i/>
                <w:iCs/>
                <w:szCs w:val="21"/>
                <w:lang w:eastAsia="hi-IN" w:bidi="en-GB"/>
              </w:rPr>
              <w:t>ḥ</w:t>
            </w:r>
            <w:r>
              <w:rPr>
                <w:rFonts w:eastAsia="Arial" w:cs="Times Ext Roman"/>
                <w:i/>
                <w:iCs/>
                <w:szCs w:val="21"/>
                <w:lang w:eastAsia="hi-IN" w:bidi="en-GB"/>
              </w:rPr>
              <w:t xml:space="preserve"> kó devé</w:t>
            </w:r>
            <w:r>
              <w:rPr>
                <w:rFonts w:eastAsia="Arial" w:cs="Times Ext Roman"/>
                <w:i/>
                <w:iCs/>
                <w:szCs w:val="21"/>
                <w:lang w:eastAsia="hi-IN" w:bidi="en-GB"/>
              </w:rPr>
              <w:t>ṣ</w:t>
            </w:r>
            <w:r>
              <w:rPr>
                <w:rFonts w:eastAsia="Arial" w:cs="Times Ext Roman"/>
                <w:i/>
                <w:iCs/>
                <w:szCs w:val="21"/>
                <w:lang w:eastAsia="hi-IN" w:bidi="en-GB"/>
              </w:rPr>
              <w:t>u vanute dīrghám ā́yu</w:t>
            </w:r>
            <w:r>
              <w:rPr>
                <w:rFonts w:eastAsia="Arial" w:cs="Times Ext Roman"/>
                <w:i/>
                <w:iCs/>
                <w:szCs w:val="21"/>
                <w:lang w:eastAsia="hi-IN" w:bidi="en-GB"/>
              </w:rPr>
              <w:t>ḥ</w:t>
            </w:r>
          </w:p>
          <w:p w14:paraId="4E695938" w14:textId="77777777" w:rsidR="00E53EB6" w:rsidRDefault="00E53EB6">
            <w:pPr>
              <w:pStyle w:val="HaupttextohneEinzug"/>
              <w:rPr>
                <w:rFonts w:eastAsia="Arial" w:cs="Times Ext Roman"/>
                <w:szCs w:val="21"/>
                <w:lang w:eastAsia="hi-IN" w:bidi="en-GB"/>
              </w:rPr>
            </w:pPr>
          </w:p>
          <w:p w14:paraId="3A908C11" w14:textId="77777777" w:rsidR="00E53EB6" w:rsidRDefault="006500F5">
            <w:pPr>
              <w:pStyle w:val="HaupttextohneEinzug"/>
            </w:pPr>
            <w:r>
              <w:rPr>
                <w:rFonts w:eastAsia="Arial" w:cs="Times Ext Roman"/>
                <w:szCs w:val="21"/>
                <w:lang w:eastAsia="hi-IN" w:bidi="en-GB"/>
              </w:rPr>
              <w:t xml:space="preserve">AVŚ 12.2.36 </w:t>
            </w:r>
            <w:r>
              <w:rPr>
                <w:rFonts w:eastAsia="Arial" w:cs="Times Ext Roman"/>
                <w:i/>
                <w:iCs/>
                <w:szCs w:val="21"/>
                <w:lang w:eastAsia="hi-IN" w:bidi="en-GB"/>
              </w:rPr>
              <w:t>yát kr̥</w:t>
            </w:r>
            <w:r>
              <w:rPr>
                <w:rFonts w:eastAsia="Arial" w:cs="Times Ext Roman"/>
                <w:i/>
                <w:iCs/>
                <w:szCs w:val="21"/>
                <w:lang w:eastAsia="hi-IN" w:bidi="en-GB"/>
              </w:rPr>
              <w:t>ṣ</w:t>
            </w:r>
            <w:r>
              <w:rPr>
                <w:rFonts w:eastAsia="Arial" w:cs="Times Ext Roman"/>
                <w:i/>
                <w:iCs/>
                <w:szCs w:val="21"/>
                <w:lang w:eastAsia="hi-IN" w:bidi="en-GB"/>
              </w:rPr>
              <w:t>áte yád vanute yác ca vasnéna vindáte</w:t>
            </w:r>
          </w:p>
          <w:p w14:paraId="565A3008" w14:textId="77777777" w:rsidR="00E53EB6" w:rsidRDefault="00E53EB6">
            <w:pPr>
              <w:pStyle w:val="HaupttextohneEinzug"/>
              <w:rPr>
                <w:rFonts w:eastAsia="Arial" w:cs="Times Ext Roman"/>
                <w:i/>
                <w:iCs/>
                <w:szCs w:val="21"/>
                <w:lang w:eastAsia="hi-IN" w:bidi="en-GB"/>
              </w:rPr>
            </w:pPr>
          </w:p>
          <w:p w14:paraId="5CF18429" w14:textId="77777777" w:rsidR="00E53EB6" w:rsidRDefault="006500F5">
            <w:pPr>
              <w:pStyle w:val="HaupttextohneEinzug"/>
            </w:pPr>
            <w:r>
              <w:rPr>
                <w:rFonts w:eastAsia="Arial" w:cs="Times Ext Roman"/>
                <w:szCs w:val="21"/>
                <w:lang w:eastAsia="hi-IN" w:bidi="en-GB"/>
              </w:rPr>
              <w:t xml:space="preserve">AVP 7.15.5 </w:t>
            </w:r>
            <w:r>
              <w:rPr>
                <w:rFonts w:eastAsia="Arial" w:cs="Times Ext Roman"/>
                <w:i/>
                <w:iCs/>
                <w:szCs w:val="21"/>
                <w:lang w:eastAsia="hi-IN" w:bidi="en-GB"/>
              </w:rPr>
              <w:t>annena prā</w:t>
            </w:r>
            <w:r>
              <w:rPr>
                <w:rFonts w:eastAsia="Arial" w:cs="Times Ext Roman"/>
                <w:i/>
                <w:iCs/>
                <w:szCs w:val="21"/>
                <w:lang w:eastAsia="hi-IN" w:bidi="en-GB"/>
              </w:rPr>
              <w:t>ṇ</w:t>
            </w:r>
            <w:r>
              <w:rPr>
                <w:rFonts w:eastAsia="Arial" w:cs="Times Ext Roman"/>
                <w:i/>
                <w:iCs/>
                <w:szCs w:val="21"/>
                <w:lang w:eastAsia="hi-IN" w:bidi="en-GB"/>
              </w:rPr>
              <w:t>a</w:t>
            </w:r>
            <w:r>
              <w:rPr>
                <w:rFonts w:eastAsia="Arial" w:cs="Times Ext Roman"/>
                <w:i/>
                <w:iCs/>
                <w:szCs w:val="21"/>
                <w:lang w:eastAsia="hi-IN" w:bidi="en-GB"/>
              </w:rPr>
              <w:t>ṃ</w:t>
            </w:r>
            <w:r>
              <w:rPr>
                <w:rFonts w:eastAsia="Arial" w:cs="Times Ext Roman"/>
                <w:i/>
                <w:iCs/>
                <w:szCs w:val="21"/>
                <w:lang w:eastAsia="hi-IN" w:bidi="en-GB"/>
              </w:rPr>
              <w:t xml:space="preserve"> vanute tiro dhatte paridhānena yak</w:t>
            </w:r>
            <w:r>
              <w:rPr>
                <w:rFonts w:eastAsia="Arial" w:cs="Times Ext Roman"/>
                <w:i/>
                <w:iCs/>
                <w:szCs w:val="21"/>
                <w:lang w:eastAsia="hi-IN" w:bidi="en-GB"/>
              </w:rPr>
              <w:t>ṣ</w:t>
            </w:r>
            <w:r>
              <w:rPr>
                <w:rFonts w:eastAsia="Arial" w:cs="Times Ext Roman"/>
                <w:i/>
                <w:iCs/>
                <w:szCs w:val="21"/>
                <w:lang w:eastAsia="hi-IN" w:bidi="en-GB"/>
              </w:rPr>
              <w:t>mam</w:t>
            </w:r>
          </w:p>
          <w:p w14:paraId="38681042" w14:textId="77777777" w:rsidR="00E53EB6" w:rsidRDefault="00E53EB6">
            <w:pPr>
              <w:pStyle w:val="HaupttextohneEinzug"/>
              <w:rPr>
                <w:rFonts w:eastAsia="Arial" w:cs="Times Ext Roman"/>
                <w:i/>
                <w:iCs/>
                <w:szCs w:val="21"/>
                <w:lang w:eastAsia="hi-IN" w:bidi="en-GB"/>
              </w:rPr>
            </w:pPr>
          </w:p>
          <w:p w14:paraId="0B447505" w14:textId="77777777" w:rsidR="00E53EB6" w:rsidRDefault="006500F5">
            <w:pPr>
              <w:pStyle w:val="HaupttextohneEinzug"/>
            </w:pPr>
            <w:r>
              <w:rPr>
                <w:rFonts w:eastAsia="Arial" w:cs="Times Ext Roman"/>
                <w:szCs w:val="21"/>
                <w:lang w:eastAsia="hi-IN" w:bidi="en-GB"/>
              </w:rPr>
              <w:t xml:space="preserve">AVP 19.26.5 </w:t>
            </w:r>
            <w:r>
              <w:rPr>
                <w:rFonts w:eastAsia="Arial" w:cs="Times Ext Roman"/>
                <w:i/>
                <w:iCs/>
                <w:szCs w:val="21"/>
                <w:lang w:eastAsia="hi-IN" w:bidi="en-GB"/>
              </w:rPr>
              <w:t>ghr̥tena prajā</w:t>
            </w:r>
            <w:r>
              <w:rPr>
                <w:rFonts w:eastAsia="Arial" w:cs="Times Ext Roman"/>
                <w:i/>
                <w:iCs/>
                <w:szCs w:val="21"/>
                <w:lang w:eastAsia="hi-IN" w:bidi="en-GB"/>
              </w:rPr>
              <w:t>ṃ</w:t>
            </w:r>
            <w:r>
              <w:rPr>
                <w:rFonts w:eastAsia="Arial" w:cs="Times Ext Roman"/>
                <w:i/>
                <w:iCs/>
                <w:szCs w:val="21"/>
                <w:lang w:eastAsia="hi-IN" w:bidi="en-GB"/>
              </w:rPr>
              <w:t xml:space="preserve"> vanute ghr̥tena rayim a</w:t>
            </w:r>
            <w:r>
              <w:rPr>
                <w:rFonts w:eastAsia="Arial" w:cs="Times Ext Roman"/>
                <w:i/>
                <w:iCs/>
                <w:szCs w:val="21"/>
                <w:lang w:eastAsia="hi-IN" w:bidi="en-GB"/>
              </w:rPr>
              <w:t>ṣ</w:t>
            </w:r>
            <w:r>
              <w:rPr>
                <w:rFonts w:eastAsia="Arial" w:cs="Times Ext Roman"/>
                <w:i/>
                <w:iCs/>
                <w:szCs w:val="21"/>
                <w:lang w:eastAsia="hi-IN" w:bidi="en-GB"/>
              </w:rPr>
              <w:t>nute</w:t>
            </w:r>
          </w:p>
          <w:p w14:paraId="5C49E767" w14:textId="77777777" w:rsidR="00E53EB6" w:rsidRDefault="00E53EB6">
            <w:pPr>
              <w:pStyle w:val="HaupttextohneEinzug"/>
              <w:rPr>
                <w:rFonts w:eastAsia="Arial" w:cs="Times Ext Roman"/>
                <w:i/>
                <w:iCs/>
                <w:szCs w:val="21"/>
                <w:lang w:eastAsia="hi-IN" w:bidi="en-GB"/>
              </w:rPr>
            </w:pPr>
          </w:p>
          <w:p w14:paraId="1A3F492A" w14:textId="77777777" w:rsidR="00E53EB6" w:rsidRDefault="006500F5">
            <w:pPr>
              <w:pStyle w:val="HaupttextohneEinzug"/>
            </w:pPr>
            <w:r>
              <w:rPr>
                <w:rFonts w:eastAsia="Arial" w:cs="Times Ext Roman"/>
                <w:szCs w:val="21"/>
                <w:lang w:eastAsia="hi-IN" w:bidi="en-GB"/>
              </w:rPr>
              <w:t>AVP 19.26.6</w:t>
            </w:r>
            <w:r>
              <w:rPr>
                <w:rFonts w:eastAsia="Arial" w:cs="Times Ext Roman"/>
                <w:i/>
                <w:iCs/>
                <w:szCs w:val="21"/>
                <w:lang w:eastAsia="hi-IN" w:bidi="en-GB"/>
              </w:rPr>
              <w:t>ghr̥tenāyu</w:t>
            </w:r>
            <w:r>
              <w:rPr>
                <w:rFonts w:eastAsia="Arial" w:cs="Times Ext Roman"/>
                <w:i/>
                <w:iCs/>
                <w:szCs w:val="21"/>
                <w:lang w:eastAsia="hi-IN" w:bidi="en-GB"/>
              </w:rPr>
              <w:t>ṣ</w:t>
            </w:r>
            <w:r>
              <w:rPr>
                <w:rFonts w:eastAsia="Arial" w:cs="Times Ext Roman"/>
                <w:i/>
                <w:iCs/>
                <w:szCs w:val="21"/>
                <w:lang w:eastAsia="hi-IN" w:bidi="en-GB"/>
              </w:rPr>
              <w:t>ya</w:t>
            </w:r>
            <w:r>
              <w:rPr>
                <w:rFonts w:eastAsia="Arial" w:cs="Times Ext Roman"/>
                <w:i/>
                <w:iCs/>
                <w:szCs w:val="21"/>
                <w:lang w:eastAsia="hi-IN" w:bidi="en-GB"/>
              </w:rPr>
              <w:t>ṃ</w:t>
            </w:r>
            <w:r>
              <w:rPr>
                <w:rFonts w:eastAsia="Arial" w:cs="Times Ext Roman"/>
                <w:i/>
                <w:iCs/>
                <w:szCs w:val="21"/>
                <w:lang w:eastAsia="hi-IN" w:bidi="en-GB"/>
              </w:rPr>
              <w:t xml:space="preserve"> varcasya</w:t>
            </w:r>
            <w:r>
              <w:rPr>
                <w:rFonts w:eastAsia="Arial" w:cs="Times Ext Roman"/>
                <w:i/>
                <w:iCs/>
                <w:szCs w:val="21"/>
                <w:lang w:eastAsia="hi-IN" w:bidi="en-GB"/>
              </w:rPr>
              <w:t>ṃ</w:t>
            </w:r>
            <w:r>
              <w:rPr>
                <w:rFonts w:eastAsia="Arial" w:cs="Times Ext Roman"/>
                <w:i/>
                <w:iCs/>
                <w:szCs w:val="21"/>
                <w:lang w:eastAsia="hi-IN" w:bidi="en-GB"/>
              </w:rPr>
              <w:t xml:space="preserve"> devebhyo vanute pari </w:t>
            </w:r>
          </w:p>
          <w:p w14:paraId="08E69592" w14:textId="77777777" w:rsidR="00E53EB6" w:rsidRDefault="00E53EB6">
            <w:pPr>
              <w:pStyle w:val="HaupttextohneEinzug"/>
              <w:rPr>
                <w:rFonts w:eastAsia="Arial" w:cs="Times Ext Roman"/>
                <w:i/>
                <w:iCs/>
                <w:szCs w:val="21"/>
                <w:lang w:eastAsia="hi-IN" w:bidi="en-GB"/>
              </w:rPr>
            </w:pPr>
          </w:p>
          <w:p w14:paraId="1104B631" w14:textId="77777777" w:rsidR="00E53EB6" w:rsidRDefault="006500F5">
            <w:pPr>
              <w:pStyle w:val="HaupttextohneEinzug"/>
            </w:pPr>
            <w:r>
              <w:rPr>
                <w:rFonts w:eastAsia="Arial" w:cs="Times Ext Roman"/>
                <w:szCs w:val="21"/>
                <w:lang w:eastAsia="hi-IN" w:bidi="en-GB"/>
              </w:rPr>
              <w:t xml:space="preserve">AVP 20.3.5 </w:t>
            </w:r>
            <w:r>
              <w:rPr>
                <w:rFonts w:eastAsia="Arial" w:cs="Times Ext Roman"/>
                <w:i/>
                <w:iCs/>
                <w:szCs w:val="21"/>
                <w:lang w:eastAsia="hi-IN" w:bidi="en-GB"/>
              </w:rPr>
              <w:t>ka</w:t>
            </w:r>
            <w:r>
              <w:rPr>
                <w:rFonts w:eastAsia="Arial" w:cs="Times Ext Roman"/>
                <w:i/>
                <w:iCs/>
                <w:szCs w:val="21"/>
                <w:lang w:eastAsia="hi-IN" w:bidi="en-GB"/>
              </w:rPr>
              <w:t>ṣ</w:t>
            </w:r>
            <w:r>
              <w:rPr>
                <w:rFonts w:eastAsia="Arial" w:cs="Times Ext Roman"/>
                <w:i/>
                <w:iCs/>
                <w:szCs w:val="21"/>
                <w:lang w:eastAsia="hi-IN" w:bidi="en-GB"/>
              </w:rPr>
              <w:t xml:space="preserve"> pūrtikāma</w:t>
            </w:r>
            <w:r>
              <w:rPr>
                <w:rFonts w:eastAsia="Arial" w:cs="Times Ext Roman"/>
                <w:i/>
                <w:iCs/>
                <w:szCs w:val="21"/>
                <w:lang w:eastAsia="hi-IN" w:bidi="en-GB"/>
              </w:rPr>
              <w:t>ṣ</w:t>
            </w:r>
            <w:r>
              <w:rPr>
                <w:rFonts w:eastAsia="Arial" w:cs="Times Ext Roman"/>
                <w:i/>
                <w:iCs/>
                <w:szCs w:val="21"/>
                <w:lang w:eastAsia="hi-IN" w:bidi="en-GB"/>
              </w:rPr>
              <w:t xml:space="preserve"> ko u yajñakāma</w:t>
            </w:r>
            <w:r>
              <w:rPr>
                <w:rFonts w:eastAsia="Arial" w:cs="Times Ext Roman"/>
                <w:i/>
                <w:iCs/>
                <w:szCs w:val="21"/>
                <w:lang w:eastAsia="hi-IN" w:bidi="en-GB"/>
              </w:rPr>
              <w:t>ṣ</w:t>
            </w:r>
            <w:r>
              <w:rPr>
                <w:rFonts w:eastAsia="Arial" w:cs="Times Ext Roman"/>
                <w:i/>
                <w:iCs/>
                <w:szCs w:val="21"/>
                <w:lang w:eastAsia="hi-IN" w:bidi="en-GB"/>
              </w:rPr>
              <w:t xml:space="preserve"> ko deve</w:t>
            </w:r>
            <w:r>
              <w:rPr>
                <w:rFonts w:eastAsia="Arial" w:cs="Times Ext Roman"/>
                <w:i/>
                <w:iCs/>
                <w:szCs w:val="21"/>
                <w:lang w:eastAsia="hi-IN" w:bidi="en-GB"/>
              </w:rPr>
              <w:t>ṣ</w:t>
            </w:r>
            <w:r>
              <w:rPr>
                <w:rFonts w:eastAsia="Arial" w:cs="Times Ext Roman"/>
                <w:i/>
                <w:iCs/>
                <w:szCs w:val="21"/>
                <w:lang w:eastAsia="hi-IN" w:bidi="en-GB"/>
              </w:rPr>
              <w:t>u vanute dīrgham āyu</w:t>
            </w:r>
            <w:r>
              <w:rPr>
                <w:rFonts w:eastAsia="Arial" w:cs="Times Ext Roman"/>
                <w:i/>
                <w:iCs/>
                <w:szCs w:val="21"/>
                <w:lang w:eastAsia="hi-IN" w:bidi="en-GB"/>
              </w:rPr>
              <w:t>ḥ</w:t>
            </w:r>
          </w:p>
        </w:tc>
        <w:tc>
          <w:tcPr>
            <w:tcW w:w="2709" w:type="dxa"/>
            <w:tcBorders>
              <w:left w:val="single" w:sz="2" w:space="0" w:color="000000"/>
              <w:bottom w:val="single" w:sz="2" w:space="0" w:color="000000"/>
            </w:tcBorders>
          </w:tcPr>
          <w:p w14:paraId="7CCE3975" w14:textId="77777777" w:rsidR="00E53EB6" w:rsidRDefault="00E53EB6">
            <w:pPr>
              <w:pStyle w:val="HaupttextohneEinzug"/>
            </w:pPr>
          </w:p>
          <w:p w14:paraId="0E7F3E89" w14:textId="77777777" w:rsidR="00E53EB6" w:rsidRDefault="00E53EB6">
            <w:pPr>
              <w:pStyle w:val="HaupttextohneEinzug"/>
            </w:pPr>
          </w:p>
          <w:p w14:paraId="428EB927" w14:textId="77777777" w:rsidR="00E53EB6" w:rsidRDefault="00E53EB6">
            <w:pPr>
              <w:pStyle w:val="HaupttextohneEinzug"/>
            </w:pPr>
          </w:p>
          <w:p w14:paraId="7861ED86" w14:textId="77777777" w:rsidR="00E53EB6" w:rsidRDefault="00E53EB6">
            <w:pPr>
              <w:pStyle w:val="HaupttextohneEinzug"/>
            </w:pPr>
          </w:p>
          <w:p w14:paraId="5FE21E25" w14:textId="77777777" w:rsidR="00E53EB6" w:rsidRDefault="00E53EB6">
            <w:pPr>
              <w:pStyle w:val="HaupttextohneEinzug"/>
            </w:pPr>
          </w:p>
          <w:p w14:paraId="00AB6403" w14:textId="77777777" w:rsidR="00E53EB6" w:rsidRDefault="00E53EB6">
            <w:pPr>
              <w:pStyle w:val="HaupttextohneEinzug"/>
            </w:pPr>
          </w:p>
          <w:p w14:paraId="4A287026" w14:textId="77777777" w:rsidR="00E53EB6" w:rsidRDefault="00E53EB6">
            <w:pPr>
              <w:pStyle w:val="HaupttextohneEinzug"/>
            </w:pPr>
          </w:p>
          <w:p w14:paraId="0C635054" w14:textId="77777777" w:rsidR="00E53EB6" w:rsidRDefault="00E53EB6">
            <w:pPr>
              <w:pStyle w:val="HaupttextohneEinzug"/>
            </w:pPr>
          </w:p>
          <w:p w14:paraId="590D6262" w14:textId="77777777" w:rsidR="00E53EB6" w:rsidRDefault="00E53EB6">
            <w:pPr>
              <w:pStyle w:val="HaupttextohneEinzug"/>
            </w:pPr>
          </w:p>
          <w:p w14:paraId="71842875" w14:textId="77777777" w:rsidR="00E53EB6" w:rsidRDefault="00E53EB6">
            <w:pPr>
              <w:pStyle w:val="HaupttextohneEinzug"/>
            </w:pPr>
          </w:p>
          <w:p w14:paraId="76110F0E" w14:textId="77777777" w:rsidR="00E53EB6" w:rsidRDefault="00E53EB6">
            <w:pPr>
              <w:pStyle w:val="HaupttextohneEinzug"/>
            </w:pPr>
          </w:p>
          <w:p w14:paraId="077B845A" w14:textId="77777777" w:rsidR="00E53EB6" w:rsidRDefault="00E53EB6">
            <w:pPr>
              <w:pStyle w:val="HaupttextohneEinzug"/>
            </w:pPr>
          </w:p>
          <w:p w14:paraId="28911257" w14:textId="77777777" w:rsidR="00E53EB6" w:rsidRDefault="00E53EB6">
            <w:pPr>
              <w:pStyle w:val="HaupttextohneEinzug"/>
            </w:pPr>
          </w:p>
          <w:p w14:paraId="60795C6F" w14:textId="77777777" w:rsidR="00E53EB6" w:rsidRDefault="00E53EB6">
            <w:pPr>
              <w:pStyle w:val="HaupttextohneEinzug"/>
            </w:pPr>
          </w:p>
          <w:p w14:paraId="2ADBFD72" w14:textId="77777777" w:rsidR="00E53EB6" w:rsidRDefault="00E53EB6">
            <w:pPr>
              <w:pStyle w:val="HaupttextohneEinzug"/>
            </w:pPr>
          </w:p>
          <w:p w14:paraId="5496C033" w14:textId="77777777" w:rsidR="00E53EB6" w:rsidRDefault="00E53EB6">
            <w:pPr>
              <w:pStyle w:val="HaupttextohneEinzug"/>
            </w:pPr>
          </w:p>
          <w:p w14:paraId="365850CD" w14:textId="77777777" w:rsidR="00E53EB6" w:rsidRDefault="00E53EB6">
            <w:pPr>
              <w:pStyle w:val="HaupttextohneEinzug"/>
            </w:pPr>
          </w:p>
          <w:p w14:paraId="75208E01" w14:textId="77777777" w:rsidR="00E53EB6" w:rsidRDefault="006500F5">
            <w:pPr>
              <w:pStyle w:val="HaupttextohneEinzug"/>
            </w:pPr>
            <w:r>
              <w:rPr>
                <w:rStyle w:val="biblio-authorGEN"/>
              </w:rPr>
              <w:lastRenderedPageBreak/>
              <w:t>Keith</w:t>
            </w:r>
            <w:r>
              <w:t xml:space="preserve"> 1914: 219 “wins”</w:t>
            </w:r>
          </w:p>
          <w:p w14:paraId="7CF4ABC7" w14:textId="77777777" w:rsidR="00E53EB6" w:rsidRDefault="00E53EB6">
            <w:pPr>
              <w:pStyle w:val="HaupttextohneEinzug"/>
            </w:pPr>
          </w:p>
          <w:p w14:paraId="516EF564" w14:textId="77777777" w:rsidR="00E53EB6" w:rsidRDefault="006500F5">
            <w:pPr>
              <w:pStyle w:val="HaupttextohneEinzug"/>
            </w:pPr>
            <w:r>
              <w:rPr>
                <w:rStyle w:val="biblio-authorGEN"/>
              </w:rPr>
              <w:t>Eggeling</w:t>
            </w:r>
            <w:r>
              <w:t xml:space="preserve"> 1882: II 196 “obtains”</w:t>
            </w:r>
          </w:p>
          <w:p w14:paraId="28C8E029" w14:textId="77777777" w:rsidR="00E53EB6" w:rsidRDefault="00E53EB6">
            <w:pPr>
              <w:pStyle w:val="HaupttextohneEinzug"/>
            </w:pPr>
          </w:p>
          <w:p w14:paraId="3D4C4EC6" w14:textId="77777777" w:rsidR="00E53EB6" w:rsidRDefault="006500F5">
            <w:pPr>
              <w:pStyle w:val="HaupttextohneEinzug"/>
            </w:pPr>
            <w:r>
              <w:rPr>
                <w:rStyle w:val="biblio-authorGEN"/>
                <w:szCs w:val="21"/>
              </w:rPr>
              <w:t xml:space="preserve">Whitney 1905: </w:t>
            </w:r>
            <w:r>
              <w:rPr>
                <w:szCs w:val="21"/>
              </w:rPr>
              <w:t>462 “wins”</w:t>
            </w:r>
          </w:p>
          <w:p w14:paraId="3376DF84" w14:textId="77777777" w:rsidR="00E53EB6" w:rsidRDefault="00E53EB6">
            <w:pPr>
              <w:pStyle w:val="HaupttextohneEinzug"/>
              <w:rPr>
                <w:szCs w:val="21"/>
              </w:rPr>
            </w:pPr>
          </w:p>
          <w:p w14:paraId="72699FC5" w14:textId="77777777" w:rsidR="00E53EB6" w:rsidRDefault="00E53EB6">
            <w:pPr>
              <w:pStyle w:val="HaupttextohneEinzug"/>
              <w:rPr>
                <w:szCs w:val="21"/>
              </w:rPr>
            </w:pPr>
          </w:p>
          <w:p w14:paraId="59233A15" w14:textId="77777777" w:rsidR="00E53EB6" w:rsidRDefault="00E53EB6">
            <w:pPr>
              <w:pStyle w:val="HaupttextohneEinzug"/>
              <w:rPr>
                <w:szCs w:val="21"/>
              </w:rPr>
            </w:pPr>
          </w:p>
          <w:p w14:paraId="377818A9" w14:textId="77777777" w:rsidR="00E53EB6" w:rsidRDefault="006500F5">
            <w:pPr>
              <w:pStyle w:val="HaupttextohneEinzug"/>
            </w:pPr>
            <w:r>
              <w:rPr>
                <w:rStyle w:val="biblio-authorGEN"/>
                <w:szCs w:val="21"/>
              </w:rPr>
              <w:t xml:space="preserve">Whitney </w:t>
            </w:r>
            <w:r>
              <w:rPr>
                <w:szCs w:val="21"/>
              </w:rPr>
              <w:t>1905: “wins”</w:t>
            </w:r>
          </w:p>
          <w:p w14:paraId="1556EDDA" w14:textId="77777777" w:rsidR="00E53EB6" w:rsidRDefault="00E53EB6">
            <w:pPr>
              <w:pStyle w:val="HaupttextohneEinzug"/>
              <w:rPr>
                <w:szCs w:val="21"/>
              </w:rPr>
            </w:pPr>
          </w:p>
          <w:p w14:paraId="42EF9199" w14:textId="77777777" w:rsidR="00E53EB6" w:rsidRDefault="00E53EB6">
            <w:pPr>
              <w:pStyle w:val="HaupttextohneEinzug"/>
              <w:rPr>
                <w:szCs w:val="21"/>
              </w:rPr>
            </w:pPr>
          </w:p>
          <w:p w14:paraId="7BB16668" w14:textId="77777777" w:rsidR="00E53EB6" w:rsidRDefault="006500F5">
            <w:pPr>
              <w:pStyle w:val="HaupttextohneEinzug"/>
            </w:pPr>
            <w:r>
              <w:rPr>
                <w:rStyle w:val="biblio-authorGEN"/>
                <w:szCs w:val="21"/>
              </w:rPr>
              <w:t xml:space="preserve">Griffiths </w:t>
            </w:r>
            <w:r>
              <w:rPr>
                <w:szCs w:val="21"/>
              </w:rPr>
              <w:t>2009: 406 “gains”</w:t>
            </w:r>
          </w:p>
        </w:tc>
        <w:tc>
          <w:tcPr>
            <w:tcW w:w="1173" w:type="dxa"/>
            <w:tcBorders>
              <w:left w:val="single" w:sz="2" w:space="0" w:color="000000"/>
              <w:bottom w:val="single" w:sz="2" w:space="0" w:color="000000"/>
              <w:right w:val="single" w:sz="2" w:space="0" w:color="000000"/>
            </w:tcBorders>
          </w:tcPr>
          <w:p w14:paraId="5FB29D17" w14:textId="77777777" w:rsidR="00E53EB6" w:rsidRDefault="006500F5">
            <w:pPr>
              <w:pStyle w:val="HaupttextohneEinzug"/>
            </w:pPr>
            <w:r>
              <w:lastRenderedPageBreak/>
              <w:t>*u̯en-</w:t>
            </w:r>
          </w:p>
        </w:tc>
      </w:tr>
      <w:tr w:rsidR="00E53EB6" w14:paraId="3708A623" w14:textId="77777777">
        <w:tc>
          <w:tcPr>
            <w:tcW w:w="1202" w:type="dxa"/>
            <w:tcBorders>
              <w:left w:val="single" w:sz="2" w:space="0" w:color="000000"/>
              <w:bottom w:val="single" w:sz="2" w:space="0" w:color="000000"/>
            </w:tcBorders>
          </w:tcPr>
          <w:p w14:paraId="7FE12BA9" w14:textId="77777777" w:rsidR="00E53EB6" w:rsidRDefault="006500F5">
            <w:pPr>
              <w:pStyle w:val="HaupttextohneEinzug"/>
              <w:rPr>
                <w:i/>
                <w:iCs/>
              </w:rPr>
            </w:pPr>
            <w:r>
              <w:rPr>
                <w:i/>
                <w:iCs/>
              </w:rPr>
              <w:t>vanve</w:t>
            </w:r>
          </w:p>
          <w:p w14:paraId="7C54E6C1" w14:textId="77777777" w:rsidR="00E53EB6" w:rsidRDefault="006500F5">
            <w:pPr>
              <w:pStyle w:val="HaupttextohneEinzug"/>
            </w:pPr>
            <w:r>
              <w:t>(ind. pres. 1</w:t>
            </w:r>
            <w:r>
              <w:rPr>
                <w:vertAlign w:val="superscript"/>
              </w:rPr>
              <w:t>st</w:t>
            </w:r>
            <w:r>
              <w:t xml:space="preserve"> sing. Ā VIII cl.)</w:t>
            </w:r>
          </w:p>
        </w:tc>
        <w:tc>
          <w:tcPr>
            <w:tcW w:w="3589" w:type="dxa"/>
            <w:tcBorders>
              <w:left w:val="single" w:sz="2" w:space="0" w:color="000000"/>
              <w:bottom w:val="single" w:sz="2" w:space="0" w:color="000000"/>
            </w:tcBorders>
          </w:tcPr>
          <w:p w14:paraId="60257DC3" w14:textId="77777777" w:rsidR="00E53EB6" w:rsidRDefault="006500F5">
            <w:pPr>
              <w:pStyle w:val="HaupttextohneEinzug"/>
            </w:pPr>
            <w:r>
              <w:t xml:space="preserve">AVŚ 6.82.1 </w:t>
            </w:r>
            <w:r>
              <w:rPr>
                <w:i/>
                <w:iCs/>
              </w:rPr>
              <w:t>índrasya vr̥traghnó vanve vāsavásya śatákrato</w:t>
            </w:r>
            <w:r>
              <w:rPr>
                <w:i/>
                <w:iCs/>
              </w:rPr>
              <w:t>ḥ</w:t>
            </w:r>
          </w:p>
          <w:p w14:paraId="1956813A" w14:textId="77777777" w:rsidR="00E53EB6" w:rsidRDefault="00E53EB6">
            <w:pPr>
              <w:pStyle w:val="HaupttextohneEinzug"/>
              <w:rPr>
                <w:i/>
                <w:iCs/>
              </w:rPr>
            </w:pPr>
          </w:p>
          <w:p w14:paraId="26A84A51" w14:textId="77777777" w:rsidR="00E53EB6" w:rsidRDefault="006500F5">
            <w:pPr>
              <w:pStyle w:val="HaupttextohneEinzug"/>
            </w:pPr>
            <w:r>
              <w:t xml:space="preserve">AVŚ 8.2.13 </w:t>
            </w:r>
            <w:r>
              <w:rPr>
                <w:i/>
                <w:iCs/>
              </w:rPr>
              <w:t>agné</w:t>
            </w:r>
            <w:r>
              <w:rPr>
                <w:i/>
                <w:iCs/>
              </w:rPr>
              <w:t>ṣṭ</w:t>
            </w:r>
            <w:r>
              <w:rPr>
                <w:i/>
                <w:iCs/>
              </w:rPr>
              <w:t xml:space="preserve">e </w:t>
            </w:r>
            <w:r>
              <w:rPr>
                <w:i/>
                <w:iCs/>
              </w:rPr>
              <w:t>prānámamŕ̥tādā́yu</w:t>
            </w:r>
            <w:r>
              <w:rPr>
                <w:i/>
                <w:iCs/>
              </w:rPr>
              <w:t>ṣ</w:t>
            </w:r>
            <w:r>
              <w:rPr>
                <w:i/>
                <w:iCs/>
              </w:rPr>
              <w:t>mato vanve jātávedasa</w:t>
            </w:r>
            <w:r>
              <w:rPr>
                <w:i/>
                <w:iCs/>
              </w:rPr>
              <w:t>ḥ</w:t>
            </w:r>
          </w:p>
          <w:p w14:paraId="2137BA67" w14:textId="77777777" w:rsidR="00E53EB6" w:rsidRDefault="00E53EB6">
            <w:pPr>
              <w:pStyle w:val="HaupttextohneEinzug"/>
              <w:rPr>
                <w:i/>
                <w:iCs/>
              </w:rPr>
            </w:pPr>
          </w:p>
          <w:p w14:paraId="71F6C500" w14:textId="77777777" w:rsidR="00E53EB6" w:rsidRDefault="006500F5">
            <w:pPr>
              <w:pStyle w:val="HaupttextohneEinzug"/>
            </w:pPr>
            <w:r>
              <w:t xml:space="preserve">AVP 5.37.8 </w:t>
            </w:r>
            <w:r>
              <w:rPr>
                <w:i/>
                <w:iCs/>
              </w:rPr>
              <w:t>vanve te putra</w:t>
            </w:r>
            <w:r>
              <w:rPr>
                <w:i/>
                <w:iCs/>
              </w:rPr>
              <w:t>ṃ</w:t>
            </w:r>
            <w:r>
              <w:rPr>
                <w:i/>
                <w:iCs/>
              </w:rPr>
              <w:t xml:space="preserve"> pari devatābhyo anu manyantā</w:t>
            </w:r>
            <w:r>
              <w:rPr>
                <w:i/>
                <w:iCs/>
              </w:rPr>
              <w:t>ṃ</w:t>
            </w:r>
            <w:r>
              <w:rPr>
                <w:i/>
                <w:iCs/>
              </w:rPr>
              <w:t xml:space="preserve"> maruta</w:t>
            </w:r>
            <w:r>
              <w:rPr>
                <w:i/>
                <w:iCs/>
              </w:rPr>
              <w:t>ḥ</w:t>
            </w:r>
            <w:r>
              <w:rPr>
                <w:i/>
                <w:iCs/>
              </w:rPr>
              <w:t xml:space="preserve"> pr̥śnimātara</w:t>
            </w:r>
            <w:r>
              <w:rPr>
                <w:i/>
                <w:iCs/>
              </w:rPr>
              <w:t>ḥ</w:t>
            </w:r>
          </w:p>
        </w:tc>
        <w:tc>
          <w:tcPr>
            <w:tcW w:w="2709" w:type="dxa"/>
            <w:tcBorders>
              <w:left w:val="single" w:sz="2" w:space="0" w:color="000000"/>
              <w:bottom w:val="single" w:sz="2" w:space="0" w:color="000000"/>
            </w:tcBorders>
          </w:tcPr>
          <w:p w14:paraId="22F08B0F" w14:textId="77777777" w:rsidR="00E53EB6" w:rsidRDefault="006500F5">
            <w:pPr>
              <w:pStyle w:val="HaupttextohneEinzug"/>
            </w:pPr>
            <w:r>
              <w:rPr>
                <w:rStyle w:val="biblio-authorGEN"/>
                <w:szCs w:val="21"/>
              </w:rPr>
              <w:t xml:space="preserve">Whitney </w:t>
            </w:r>
            <w:r>
              <w:rPr>
                <w:szCs w:val="21"/>
              </w:rPr>
              <w:t>1905: 342 “win”</w:t>
            </w:r>
          </w:p>
          <w:p w14:paraId="0113943F" w14:textId="77777777" w:rsidR="00E53EB6" w:rsidRDefault="00E53EB6">
            <w:pPr>
              <w:pStyle w:val="HaupttextohneEinzug"/>
              <w:rPr>
                <w:szCs w:val="21"/>
              </w:rPr>
            </w:pPr>
          </w:p>
          <w:p w14:paraId="672AE789" w14:textId="77777777" w:rsidR="00E53EB6" w:rsidRDefault="00E53EB6">
            <w:pPr>
              <w:pStyle w:val="HaupttextohneEinzug"/>
              <w:rPr>
                <w:szCs w:val="21"/>
              </w:rPr>
            </w:pPr>
          </w:p>
          <w:p w14:paraId="74016AE1" w14:textId="77777777" w:rsidR="00E53EB6" w:rsidRDefault="006500F5">
            <w:pPr>
              <w:pStyle w:val="HaupttextohneEinzug"/>
            </w:pPr>
            <w:r>
              <w:rPr>
                <w:rStyle w:val="biblio-authorGEN"/>
                <w:szCs w:val="21"/>
              </w:rPr>
              <w:t xml:space="preserve">Whitney </w:t>
            </w:r>
            <w:r>
              <w:rPr>
                <w:szCs w:val="21"/>
              </w:rPr>
              <w:t>1905: 478 “win”</w:t>
            </w:r>
            <w:r>
              <w:rPr>
                <w:szCs w:val="18"/>
              </w:rPr>
              <w:t xml:space="preserve"> </w:t>
            </w:r>
          </w:p>
          <w:p w14:paraId="756E258F" w14:textId="77777777" w:rsidR="00E53EB6" w:rsidRDefault="00E53EB6">
            <w:pPr>
              <w:pStyle w:val="HaupttextohneEinzug"/>
              <w:rPr>
                <w:szCs w:val="18"/>
              </w:rPr>
            </w:pPr>
          </w:p>
          <w:p w14:paraId="1DA3C77A" w14:textId="77777777" w:rsidR="00E53EB6" w:rsidRDefault="00E53EB6">
            <w:pPr>
              <w:pStyle w:val="HaupttextohneEinzug"/>
              <w:rPr>
                <w:szCs w:val="18"/>
              </w:rPr>
            </w:pPr>
          </w:p>
          <w:p w14:paraId="2F2855C8" w14:textId="77777777" w:rsidR="00E53EB6" w:rsidRDefault="00E53EB6">
            <w:pPr>
              <w:pStyle w:val="HaupttextohneEinzug"/>
              <w:rPr>
                <w:szCs w:val="18"/>
              </w:rPr>
            </w:pPr>
          </w:p>
          <w:p w14:paraId="396FB7EB" w14:textId="77777777" w:rsidR="00E53EB6" w:rsidRDefault="006500F5">
            <w:pPr>
              <w:pStyle w:val="HaupttextohneEinzug"/>
            </w:pPr>
            <w:r>
              <w:rPr>
                <w:rStyle w:val="biblio-authorGEN"/>
                <w:szCs w:val="21"/>
              </w:rPr>
              <w:t xml:space="preserve">Lubotsky </w:t>
            </w:r>
            <w:r>
              <w:rPr>
                <w:szCs w:val="21"/>
              </w:rPr>
              <w:t>2002: 133 “ask”</w:t>
            </w:r>
          </w:p>
        </w:tc>
        <w:tc>
          <w:tcPr>
            <w:tcW w:w="1173" w:type="dxa"/>
            <w:tcBorders>
              <w:left w:val="single" w:sz="2" w:space="0" w:color="000000"/>
              <w:bottom w:val="single" w:sz="2" w:space="0" w:color="000000"/>
              <w:right w:val="single" w:sz="2" w:space="0" w:color="000000"/>
            </w:tcBorders>
          </w:tcPr>
          <w:p w14:paraId="0DEF792F" w14:textId="77777777" w:rsidR="00E53EB6" w:rsidRDefault="006500F5">
            <w:pPr>
              <w:pStyle w:val="HaupttextohneEinzug"/>
            </w:pPr>
            <w:r>
              <w:t>*u̯en-</w:t>
            </w:r>
          </w:p>
        </w:tc>
      </w:tr>
      <w:tr w:rsidR="00E53EB6" w14:paraId="53EC5C74" w14:textId="77777777">
        <w:tc>
          <w:tcPr>
            <w:tcW w:w="1202" w:type="dxa"/>
            <w:tcBorders>
              <w:left w:val="single" w:sz="2" w:space="0" w:color="000000"/>
              <w:bottom w:val="single" w:sz="2" w:space="0" w:color="000000"/>
            </w:tcBorders>
          </w:tcPr>
          <w:p w14:paraId="61DA710B" w14:textId="77777777" w:rsidR="00E53EB6" w:rsidRDefault="006500F5">
            <w:pPr>
              <w:pStyle w:val="HaupttextohneEinzug"/>
              <w:rPr>
                <w:szCs w:val="21"/>
              </w:rPr>
            </w:pPr>
            <w:r>
              <w:rPr>
                <w:rFonts w:eastAsia="MS Mincho;ＭＳ 明朝" w:cs="Times Ext Roman"/>
                <w:i/>
                <w:iCs/>
                <w:szCs w:val="21"/>
                <w:lang w:eastAsia="hi-IN" w:bidi="en-GB"/>
              </w:rPr>
              <w:t>avanvata</w:t>
            </w:r>
            <w:r>
              <w:rPr>
                <w:rFonts w:eastAsia="MS Mincho;ＭＳ 明朝" w:cs="Times Ext Roman"/>
                <w:szCs w:val="21"/>
                <w:lang w:eastAsia="hi-IN" w:bidi="en-GB"/>
              </w:rPr>
              <w:t xml:space="preserve"> (ind. impf. 3</w:t>
            </w:r>
            <w:r>
              <w:rPr>
                <w:rFonts w:eastAsia="MS Mincho;ＭＳ 明朝" w:cs="Times Ext Roman"/>
                <w:szCs w:val="21"/>
                <w:vertAlign w:val="superscript"/>
                <w:lang w:eastAsia="hi-IN" w:bidi="en-GB"/>
              </w:rPr>
              <w:t>rd</w:t>
            </w:r>
            <w:r>
              <w:rPr>
                <w:rFonts w:eastAsia="MS Mincho;ＭＳ 明朝" w:cs="Times Ext Roman"/>
                <w:szCs w:val="21"/>
                <w:lang w:eastAsia="hi-IN" w:bidi="en-GB"/>
              </w:rPr>
              <w:t xml:space="preserve"> pl. Ā VIII cl.)</w:t>
            </w:r>
          </w:p>
        </w:tc>
        <w:tc>
          <w:tcPr>
            <w:tcW w:w="3589" w:type="dxa"/>
            <w:tcBorders>
              <w:left w:val="single" w:sz="2" w:space="0" w:color="000000"/>
              <w:bottom w:val="single" w:sz="2" w:space="0" w:color="000000"/>
            </w:tcBorders>
          </w:tcPr>
          <w:p w14:paraId="142F9528" w14:textId="77777777" w:rsidR="00E53EB6" w:rsidRDefault="006500F5">
            <w:pPr>
              <w:pStyle w:val="HaupttextohneEinzug"/>
              <w:rPr>
                <w:szCs w:val="21"/>
              </w:rPr>
            </w:pPr>
            <w:r>
              <w:rPr>
                <w:szCs w:val="21"/>
              </w:rPr>
              <w:t xml:space="preserve">KS 10.6  </w:t>
            </w:r>
            <w:r>
              <w:rPr>
                <w:rFonts w:eastAsia="MS Mincho;ＭＳ 明朝" w:cs="Times Ext Roman"/>
                <w:i/>
                <w:iCs/>
                <w:szCs w:val="21"/>
                <w:lang w:eastAsia="hi-IN" w:bidi="en-GB"/>
              </w:rPr>
              <w:t>kurupañcāle</w:t>
            </w:r>
            <w:r>
              <w:rPr>
                <w:rFonts w:eastAsia="MS Mincho;ＭＳ 明朝" w:cs="Times Ext Roman"/>
                <w:i/>
                <w:iCs/>
                <w:szCs w:val="21"/>
                <w:lang w:eastAsia="hi-IN" w:bidi="en-GB"/>
              </w:rPr>
              <w:t>ṣ</w:t>
            </w:r>
            <w:r>
              <w:rPr>
                <w:rFonts w:eastAsia="MS Mincho;ＭＳ 明朝" w:cs="Times Ext Roman"/>
                <w:i/>
                <w:iCs/>
                <w:szCs w:val="21"/>
                <w:lang w:eastAsia="hi-IN" w:bidi="en-GB"/>
              </w:rPr>
              <w:t>u vatsatarānavanvata</w:t>
            </w:r>
          </w:p>
          <w:p w14:paraId="0079D110" w14:textId="77777777" w:rsidR="00E53EB6" w:rsidRDefault="00E53EB6">
            <w:pPr>
              <w:pStyle w:val="HaupttextohneEinzug"/>
              <w:rPr>
                <w:rFonts w:eastAsia="MS Mincho;ＭＳ 明朝" w:cs="Times Ext Roman"/>
                <w:i/>
                <w:iCs/>
                <w:szCs w:val="21"/>
                <w:lang w:eastAsia="hi-IN" w:bidi="en-GB"/>
              </w:rPr>
            </w:pPr>
          </w:p>
          <w:p w14:paraId="5C5608C2" w14:textId="77777777" w:rsidR="00E53EB6" w:rsidRDefault="006500F5">
            <w:pPr>
              <w:pStyle w:val="HaupttextohneEinzug"/>
              <w:rPr>
                <w:szCs w:val="21"/>
              </w:rPr>
            </w:pPr>
            <w:r>
              <w:rPr>
                <w:rFonts w:eastAsia="MS Mincho;ＭＳ 明朝" w:cs="Times Ext Roman"/>
                <w:szCs w:val="21"/>
                <w:lang w:eastAsia="hi-IN" w:bidi="en-GB"/>
              </w:rPr>
              <w:t xml:space="preserve">AVŚ 5.4.3 </w:t>
            </w:r>
            <w:r>
              <w:rPr>
                <w:rFonts w:eastAsia="MS Mincho;ＭＳ 明朝" w:cs="Times Ext Roman"/>
                <w:i/>
                <w:iCs/>
                <w:szCs w:val="21"/>
                <w:lang w:eastAsia="hi-IN" w:bidi="en-GB"/>
              </w:rPr>
              <w:t>tátrāmŕ̥tasya cák</w:t>
            </w:r>
            <w:r>
              <w:rPr>
                <w:rFonts w:eastAsia="MS Mincho;ＭＳ 明朝" w:cs="Times Ext Roman"/>
                <w:i/>
                <w:iCs/>
                <w:szCs w:val="21"/>
                <w:lang w:eastAsia="hi-IN" w:bidi="en-GB"/>
              </w:rPr>
              <w:t>ṣ</w:t>
            </w:r>
            <w:r>
              <w:rPr>
                <w:rFonts w:eastAsia="MS Mincho;ＭＳ 明朝" w:cs="Times Ext Roman"/>
                <w:i/>
                <w:iCs/>
                <w:szCs w:val="21"/>
                <w:lang w:eastAsia="hi-IN" w:bidi="en-GB"/>
              </w:rPr>
              <w:t>a</w:t>
            </w:r>
            <w:r>
              <w:rPr>
                <w:rFonts w:eastAsia="MS Mincho;ＭＳ 明朝" w:cs="Times Ext Roman"/>
                <w:i/>
                <w:iCs/>
                <w:szCs w:val="21"/>
                <w:lang w:eastAsia="hi-IN" w:bidi="en-GB"/>
              </w:rPr>
              <w:t>ṇ</w:t>
            </w:r>
            <w:r>
              <w:rPr>
                <w:rFonts w:eastAsia="MS Mincho;ＭＳ 明朝" w:cs="Times Ext Roman"/>
                <w:i/>
                <w:iCs/>
                <w:szCs w:val="21"/>
                <w:lang w:eastAsia="hi-IN" w:bidi="en-GB"/>
              </w:rPr>
              <w:t>a</w:t>
            </w:r>
            <w:r>
              <w:rPr>
                <w:rFonts w:eastAsia="MS Mincho;ＭＳ 明朝" w:cs="Times Ext Roman"/>
                <w:i/>
                <w:iCs/>
                <w:szCs w:val="21"/>
                <w:lang w:eastAsia="hi-IN" w:bidi="en-GB"/>
              </w:rPr>
              <w:t>ṃ</w:t>
            </w:r>
            <w:r>
              <w:rPr>
                <w:rFonts w:eastAsia="MS Mincho;ＭＳ 明朝" w:cs="Times Ext Roman"/>
                <w:i/>
                <w:iCs/>
                <w:szCs w:val="21"/>
                <w:lang w:eastAsia="hi-IN" w:bidi="en-GB"/>
              </w:rPr>
              <w:t xml:space="preserve"> devā́</w:t>
            </w:r>
            <w:r>
              <w:rPr>
                <w:rFonts w:eastAsia="MS Mincho;ＭＳ 明朝" w:cs="Times Ext Roman"/>
                <w:i/>
                <w:iCs/>
                <w:szCs w:val="21"/>
                <w:lang w:eastAsia="hi-IN" w:bidi="en-GB"/>
              </w:rPr>
              <w:t>ḥ</w:t>
            </w:r>
            <w:r>
              <w:rPr>
                <w:rFonts w:eastAsia="MS Mincho;ＭＳ 明朝" w:cs="Times Ext Roman"/>
                <w:i/>
                <w:iCs/>
                <w:szCs w:val="21"/>
                <w:lang w:eastAsia="hi-IN" w:bidi="en-GB"/>
              </w:rPr>
              <w:t xml:space="preserve"> kú</w:t>
            </w:r>
            <w:r>
              <w:rPr>
                <w:rFonts w:eastAsia="MS Mincho;ＭＳ 明朝" w:cs="Times Ext Roman"/>
                <w:i/>
                <w:iCs/>
                <w:szCs w:val="21"/>
                <w:lang w:eastAsia="hi-IN" w:bidi="en-GB"/>
              </w:rPr>
              <w:t>ṣṭ</w:t>
            </w:r>
            <w:r>
              <w:rPr>
                <w:rFonts w:eastAsia="MS Mincho;ＭＳ 明朝" w:cs="Times Ext Roman"/>
                <w:i/>
                <w:iCs/>
                <w:szCs w:val="21"/>
                <w:lang w:eastAsia="hi-IN" w:bidi="en-GB"/>
              </w:rPr>
              <w:t>hamavanvata</w:t>
            </w:r>
          </w:p>
          <w:p w14:paraId="6B9AF249" w14:textId="77777777" w:rsidR="00E53EB6" w:rsidRDefault="00E53EB6">
            <w:pPr>
              <w:pStyle w:val="HaupttextohneEinzug"/>
              <w:rPr>
                <w:rFonts w:eastAsia="MS Mincho;ＭＳ 明朝" w:cs="Times Ext Roman"/>
                <w:i/>
                <w:iCs/>
                <w:szCs w:val="21"/>
                <w:lang w:eastAsia="hi-IN" w:bidi="en-GB"/>
              </w:rPr>
            </w:pPr>
          </w:p>
          <w:p w14:paraId="324DD0D5" w14:textId="77777777" w:rsidR="00E53EB6" w:rsidRDefault="006500F5">
            <w:pPr>
              <w:pStyle w:val="HaupttextohneEinzug"/>
              <w:rPr>
                <w:szCs w:val="21"/>
              </w:rPr>
            </w:pPr>
            <w:r>
              <w:rPr>
                <w:rFonts w:eastAsia="MS Mincho;ＭＳ 明朝" w:cs="Times Ext Roman"/>
                <w:szCs w:val="21"/>
                <w:lang w:eastAsia="hi-IN" w:bidi="en-GB"/>
              </w:rPr>
              <w:t xml:space="preserve">AVŚ 5.4.4 </w:t>
            </w:r>
            <w:r>
              <w:rPr>
                <w:rFonts w:eastAsia="MS Mincho;ＭＳ 明朝" w:cs="Times Ext Roman"/>
                <w:i/>
                <w:iCs/>
                <w:szCs w:val="21"/>
                <w:lang w:eastAsia="hi-IN" w:bidi="en-GB"/>
              </w:rPr>
              <w:t>tátrāmŕ̥tasya pú</w:t>
            </w:r>
            <w:r>
              <w:rPr>
                <w:rFonts w:eastAsia="MS Mincho;ＭＳ 明朝" w:cs="Times Ext Roman"/>
                <w:i/>
                <w:iCs/>
                <w:szCs w:val="21"/>
                <w:lang w:eastAsia="hi-IN" w:bidi="en-GB"/>
              </w:rPr>
              <w:t>ṣ</w:t>
            </w:r>
            <w:r>
              <w:rPr>
                <w:rFonts w:eastAsia="MS Mincho;ＭＳ 明朝" w:cs="Times Ext Roman"/>
                <w:i/>
                <w:iCs/>
                <w:szCs w:val="21"/>
                <w:lang w:eastAsia="hi-IN" w:bidi="en-GB"/>
              </w:rPr>
              <w:t>ya</w:t>
            </w:r>
            <w:r>
              <w:rPr>
                <w:rFonts w:eastAsia="MS Mincho;ＭＳ 明朝" w:cs="Times Ext Roman"/>
                <w:i/>
                <w:iCs/>
                <w:szCs w:val="21"/>
                <w:lang w:eastAsia="hi-IN" w:bidi="en-GB"/>
              </w:rPr>
              <w:t>ṃ</w:t>
            </w:r>
            <w:r>
              <w:rPr>
                <w:rFonts w:eastAsia="MS Mincho;ＭＳ 明朝" w:cs="Times Ext Roman"/>
                <w:i/>
                <w:iCs/>
                <w:szCs w:val="21"/>
                <w:lang w:eastAsia="hi-IN" w:bidi="en-GB"/>
              </w:rPr>
              <w:t xml:space="preserve"> devā́</w:t>
            </w:r>
            <w:r>
              <w:rPr>
                <w:rFonts w:eastAsia="MS Mincho;ＭＳ 明朝" w:cs="Times Ext Roman"/>
                <w:i/>
                <w:iCs/>
                <w:szCs w:val="21"/>
                <w:lang w:eastAsia="hi-IN" w:bidi="en-GB"/>
              </w:rPr>
              <w:t>ḥ</w:t>
            </w:r>
            <w:r>
              <w:rPr>
                <w:rFonts w:eastAsia="MS Mincho;ＭＳ 明朝" w:cs="Times Ext Roman"/>
                <w:i/>
                <w:iCs/>
                <w:szCs w:val="21"/>
                <w:lang w:eastAsia="hi-IN" w:bidi="en-GB"/>
              </w:rPr>
              <w:t xml:space="preserve"> kú</w:t>
            </w:r>
            <w:r>
              <w:rPr>
                <w:rFonts w:eastAsia="MS Mincho;ＭＳ 明朝" w:cs="Times Ext Roman"/>
                <w:i/>
                <w:iCs/>
                <w:szCs w:val="21"/>
                <w:lang w:eastAsia="hi-IN" w:bidi="en-GB"/>
              </w:rPr>
              <w:t>ṣṭ</w:t>
            </w:r>
            <w:r>
              <w:rPr>
                <w:rFonts w:eastAsia="MS Mincho;ＭＳ 明朝" w:cs="Times Ext Roman"/>
                <w:i/>
                <w:iCs/>
                <w:szCs w:val="21"/>
                <w:lang w:eastAsia="hi-IN" w:bidi="en-GB"/>
              </w:rPr>
              <w:t>hamavanvata</w:t>
            </w:r>
          </w:p>
          <w:p w14:paraId="6E514E06" w14:textId="77777777" w:rsidR="00E53EB6" w:rsidRDefault="00E53EB6">
            <w:pPr>
              <w:pStyle w:val="HaupttextohneEinzug"/>
              <w:rPr>
                <w:rFonts w:eastAsia="MS Mincho;ＭＳ 明朝" w:cs="Times Ext Roman"/>
                <w:i/>
                <w:iCs/>
                <w:szCs w:val="21"/>
                <w:lang w:eastAsia="hi-IN" w:bidi="en-GB"/>
              </w:rPr>
            </w:pPr>
          </w:p>
          <w:p w14:paraId="402B236E" w14:textId="77777777" w:rsidR="00E53EB6" w:rsidRDefault="006500F5">
            <w:pPr>
              <w:pStyle w:val="HaupttextohneEinzug"/>
            </w:pPr>
            <w:r>
              <w:rPr>
                <w:rFonts w:eastAsia="MS Mincho;ＭＳ 明朝" w:cs="Times Ext Roman"/>
                <w:lang w:eastAsia="hi-IN" w:bidi="en-GB"/>
              </w:rPr>
              <w:t>AVŚ 6.95.1</w:t>
            </w:r>
            <w:r>
              <w:rPr>
                <w:rFonts w:eastAsia="MS Mincho;ＭＳ 明朝" w:cs="Times Ext Roman"/>
                <w:szCs w:val="21"/>
                <w:lang w:eastAsia="hi-IN" w:bidi="en-GB"/>
              </w:rPr>
              <w:t xml:space="preserve"> </w:t>
            </w:r>
            <w:r>
              <w:rPr>
                <w:rFonts w:eastAsia="MS Mincho;ＭＳ 明朝" w:cs="Times Ext Roman"/>
                <w:i/>
                <w:iCs/>
                <w:szCs w:val="21"/>
                <w:lang w:eastAsia="hi-IN" w:bidi="en-GB"/>
              </w:rPr>
              <w:t>tátrāmŕ̥tasya cák</w:t>
            </w:r>
            <w:r>
              <w:rPr>
                <w:rFonts w:eastAsia="MS Mincho;ＭＳ 明朝" w:cs="Times Ext Roman"/>
                <w:i/>
                <w:iCs/>
                <w:szCs w:val="21"/>
                <w:lang w:eastAsia="hi-IN" w:bidi="en-GB"/>
              </w:rPr>
              <w:t>ṣ</w:t>
            </w:r>
            <w:r>
              <w:rPr>
                <w:rFonts w:eastAsia="MS Mincho;ＭＳ 明朝" w:cs="Times Ext Roman"/>
                <w:i/>
                <w:iCs/>
                <w:szCs w:val="21"/>
                <w:lang w:eastAsia="hi-IN" w:bidi="en-GB"/>
              </w:rPr>
              <w:t>a</w:t>
            </w:r>
            <w:r>
              <w:rPr>
                <w:rFonts w:eastAsia="MS Mincho;ＭＳ 明朝" w:cs="Times Ext Roman"/>
                <w:i/>
                <w:iCs/>
                <w:szCs w:val="21"/>
                <w:lang w:eastAsia="hi-IN" w:bidi="en-GB"/>
              </w:rPr>
              <w:t>ṇ</w:t>
            </w:r>
            <w:r>
              <w:rPr>
                <w:rFonts w:eastAsia="MS Mincho;ＭＳ 明朝" w:cs="Times Ext Roman"/>
                <w:i/>
                <w:iCs/>
                <w:szCs w:val="21"/>
                <w:lang w:eastAsia="hi-IN" w:bidi="en-GB"/>
              </w:rPr>
              <w:t>a</w:t>
            </w:r>
            <w:r>
              <w:rPr>
                <w:rFonts w:eastAsia="MS Mincho;ＭＳ 明朝" w:cs="Times Ext Roman"/>
                <w:i/>
                <w:iCs/>
                <w:szCs w:val="21"/>
                <w:lang w:eastAsia="hi-IN" w:bidi="en-GB"/>
              </w:rPr>
              <w:t>ṃ</w:t>
            </w:r>
            <w:r>
              <w:rPr>
                <w:rFonts w:eastAsia="MS Mincho;ＭＳ 明朝" w:cs="Times Ext Roman"/>
                <w:i/>
                <w:iCs/>
                <w:szCs w:val="21"/>
                <w:lang w:eastAsia="hi-IN" w:bidi="en-GB"/>
              </w:rPr>
              <w:t xml:space="preserve"> devā́</w:t>
            </w:r>
            <w:r>
              <w:rPr>
                <w:rFonts w:eastAsia="MS Mincho;ＭＳ 明朝" w:cs="Times Ext Roman"/>
                <w:i/>
                <w:iCs/>
                <w:szCs w:val="21"/>
                <w:lang w:eastAsia="hi-IN" w:bidi="en-GB"/>
              </w:rPr>
              <w:t>ḥ</w:t>
            </w:r>
            <w:r>
              <w:rPr>
                <w:rFonts w:eastAsia="MS Mincho;ＭＳ 明朝" w:cs="Times Ext Roman"/>
                <w:i/>
                <w:iCs/>
                <w:szCs w:val="21"/>
                <w:lang w:eastAsia="hi-IN" w:bidi="en-GB"/>
              </w:rPr>
              <w:t xml:space="preserve"> kú</w:t>
            </w:r>
            <w:r>
              <w:rPr>
                <w:rFonts w:eastAsia="MS Mincho;ＭＳ 明朝" w:cs="Times Ext Roman"/>
                <w:i/>
                <w:iCs/>
                <w:szCs w:val="21"/>
                <w:lang w:eastAsia="hi-IN" w:bidi="en-GB"/>
              </w:rPr>
              <w:t>ṣṭ</w:t>
            </w:r>
            <w:r>
              <w:rPr>
                <w:rFonts w:eastAsia="MS Mincho;ＭＳ 明朝" w:cs="Times Ext Roman"/>
                <w:i/>
                <w:iCs/>
                <w:szCs w:val="21"/>
                <w:lang w:eastAsia="hi-IN" w:bidi="en-GB"/>
              </w:rPr>
              <w:t>hamavanvata</w:t>
            </w:r>
          </w:p>
          <w:p w14:paraId="51FB187D" w14:textId="77777777" w:rsidR="00E53EB6" w:rsidRDefault="00E53EB6">
            <w:pPr>
              <w:pStyle w:val="HaupttextohneEinzug"/>
              <w:rPr>
                <w:rFonts w:eastAsia="MS Mincho;ＭＳ 明朝" w:cs="Times Ext Roman"/>
                <w:i/>
                <w:iCs/>
                <w:szCs w:val="21"/>
                <w:lang w:eastAsia="hi-IN" w:bidi="en-GB"/>
              </w:rPr>
            </w:pPr>
          </w:p>
          <w:p w14:paraId="28E751F9" w14:textId="77777777" w:rsidR="00E53EB6" w:rsidRDefault="006500F5">
            <w:pPr>
              <w:pStyle w:val="HaupttextohneEinzug"/>
            </w:pPr>
            <w:r>
              <w:rPr>
                <w:rFonts w:eastAsia="MS Mincho;ＭＳ 明朝" w:cs="Times Ext Roman"/>
                <w:lang w:eastAsia="hi-IN" w:bidi="en-GB"/>
              </w:rPr>
              <w:t xml:space="preserve">AVŚ 6.95.2 </w:t>
            </w:r>
            <w:r>
              <w:rPr>
                <w:rFonts w:eastAsia="MS Mincho;ＭＳ 明朝" w:cs="Times Ext Roman"/>
                <w:i/>
                <w:iCs/>
                <w:szCs w:val="21"/>
                <w:lang w:eastAsia="hi-IN" w:bidi="en-GB"/>
              </w:rPr>
              <w:t>tátrāmŕ̥tasya pú</w:t>
            </w:r>
            <w:r>
              <w:rPr>
                <w:rFonts w:eastAsia="MS Mincho;ＭＳ 明朝" w:cs="Times Ext Roman"/>
                <w:i/>
                <w:iCs/>
                <w:szCs w:val="21"/>
                <w:lang w:eastAsia="hi-IN" w:bidi="en-GB"/>
              </w:rPr>
              <w:t>ṣ</w:t>
            </w:r>
            <w:r>
              <w:rPr>
                <w:rFonts w:eastAsia="MS Mincho;ＭＳ 明朝" w:cs="Times Ext Roman"/>
                <w:i/>
                <w:iCs/>
                <w:szCs w:val="21"/>
                <w:lang w:eastAsia="hi-IN" w:bidi="en-GB"/>
              </w:rPr>
              <w:t>pa</w:t>
            </w:r>
            <w:r>
              <w:rPr>
                <w:rFonts w:eastAsia="MS Mincho;ＭＳ 明朝" w:cs="Times Ext Roman"/>
                <w:i/>
                <w:iCs/>
                <w:szCs w:val="21"/>
                <w:lang w:eastAsia="hi-IN" w:bidi="en-GB"/>
              </w:rPr>
              <w:t>ṃ</w:t>
            </w:r>
            <w:r>
              <w:rPr>
                <w:rFonts w:eastAsia="MS Mincho;ＭＳ 明朝" w:cs="Times Ext Roman"/>
                <w:i/>
                <w:iCs/>
                <w:szCs w:val="21"/>
                <w:lang w:eastAsia="hi-IN" w:bidi="en-GB"/>
              </w:rPr>
              <w:t xml:space="preserve"> </w:t>
            </w:r>
            <w:r>
              <w:rPr>
                <w:rFonts w:eastAsia="MS Mincho;ＭＳ 明朝" w:cs="Times Ext Roman"/>
                <w:i/>
                <w:iCs/>
                <w:szCs w:val="21"/>
                <w:lang w:eastAsia="hi-IN" w:bidi="en-GB"/>
              </w:rPr>
              <w:lastRenderedPageBreak/>
              <w:t>devā́</w:t>
            </w:r>
            <w:r>
              <w:rPr>
                <w:rFonts w:eastAsia="MS Mincho;ＭＳ 明朝" w:cs="Times Ext Roman"/>
                <w:i/>
                <w:iCs/>
                <w:szCs w:val="21"/>
                <w:lang w:eastAsia="hi-IN" w:bidi="en-GB"/>
              </w:rPr>
              <w:t>ḥ</w:t>
            </w:r>
            <w:r>
              <w:rPr>
                <w:rFonts w:eastAsia="MS Mincho;ＭＳ 明朝" w:cs="Times Ext Roman"/>
                <w:i/>
                <w:iCs/>
                <w:szCs w:val="21"/>
                <w:lang w:eastAsia="hi-IN" w:bidi="en-GB"/>
              </w:rPr>
              <w:t xml:space="preserve"> kú</w:t>
            </w:r>
            <w:r>
              <w:rPr>
                <w:rFonts w:eastAsia="MS Mincho;ＭＳ 明朝" w:cs="Times Ext Roman"/>
                <w:i/>
                <w:iCs/>
                <w:szCs w:val="21"/>
                <w:lang w:eastAsia="hi-IN" w:bidi="en-GB"/>
              </w:rPr>
              <w:t>ṣṭ</w:t>
            </w:r>
            <w:r>
              <w:rPr>
                <w:rFonts w:eastAsia="MS Mincho;ＭＳ 明朝" w:cs="Times Ext Roman"/>
                <w:i/>
                <w:iCs/>
                <w:szCs w:val="21"/>
                <w:lang w:eastAsia="hi-IN" w:bidi="en-GB"/>
              </w:rPr>
              <w:t>hamavanvata</w:t>
            </w:r>
          </w:p>
        </w:tc>
        <w:tc>
          <w:tcPr>
            <w:tcW w:w="2709" w:type="dxa"/>
            <w:tcBorders>
              <w:left w:val="single" w:sz="2" w:space="0" w:color="000000"/>
              <w:bottom w:val="single" w:sz="2" w:space="0" w:color="000000"/>
            </w:tcBorders>
          </w:tcPr>
          <w:p w14:paraId="4D4079C6" w14:textId="77777777" w:rsidR="00E53EB6" w:rsidRDefault="00E53EB6">
            <w:pPr>
              <w:pStyle w:val="HaupttextohneEinzug"/>
            </w:pPr>
          </w:p>
          <w:p w14:paraId="3D8C833C" w14:textId="77777777" w:rsidR="00E53EB6" w:rsidRDefault="00E53EB6">
            <w:pPr>
              <w:pStyle w:val="HaupttextohneEinzug"/>
            </w:pPr>
          </w:p>
          <w:p w14:paraId="52937AA0" w14:textId="77777777" w:rsidR="00E53EB6" w:rsidRDefault="00E53EB6">
            <w:pPr>
              <w:pStyle w:val="HaupttextohneEinzug"/>
            </w:pPr>
          </w:p>
          <w:p w14:paraId="7ED42031" w14:textId="77777777" w:rsidR="00E53EB6" w:rsidRDefault="006500F5">
            <w:pPr>
              <w:pStyle w:val="HaupttextohneEinzug"/>
            </w:pPr>
            <w:r>
              <w:rPr>
                <w:rStyle w:val="biblio-authorGEN"/>
                <w:szCs w:val="21"/>
              </w:rPr>
              <w:t xml:space="preserve">Whitney </w:t>
            </w:r>
            <w:r>
              <w:rPr>
                <w:szCs w:val="21"/>
              </w:rPr>
              <w:t>1905: 227 “won”</w:t>
            </w:r>
          </w:p>
          <w:p w14:paraId="2AE3F05D" w14:textId="77777777" w:rsidR="00E53EB6" w:rsidRDefault="00E53EB6">
            <w:pPr>
              <w:pStyle w:val="HaupttextohneEinzug"/>
              <w:rPr>
                <w:szCs w:val="21"/>
              </w:rPr>
            </w:pPr>
          </w:p>
          <w:p w14:paraId="0588DD4E" w14:textId="77777777" w:rsidR="00E53EB6" w:rsidRDefault="00E53EB6">
            <w:pPr>
              <w:pStyle w:val="HaupttextohneEinzug"/>
              <w:rPr>
                <w:szCs w:val="21"/>
              </w:rPr>
            </w:pPr>
          </w:p>
          <w:p w14:paraId="6E9EB1AE" w14:textId="77777777" w:rsidR="00E53EB6" w:rsidRDefault="006500F5">
            <w:pPr>
              <w:pStyle w:val="HaupttextohneEinzug"/>
            </w:pPr>
            <w:r>
              <w:rPr>
                <w:rStyle w:val="biblio-authorGEN"/>
                <w:szCs w:val="21"/>
              </w:rPr>
              <w:t xml:space="preserve">Whitney </w:t>
            </w:r>
            <w:r>
              <w:rPr>
                <w:szCs w:val="21"/>
              </w:rPr>
              <w:t>1905: 227 “won”</w:t>
            </w:r>
          </w:p>
          <w:p w14:paraId="591350D4" w14:textId="77777777" w:rsidR="00E53EB6" w:rsidRDefault="00E53EB6">
            <w:pPr>
              <w:pStyle w:val="HaupttextohneEinzug"/>
              <w:rPr>
                <w:szCs w:val="21"/>
              </w:rPr>
            </w:pPr>
          </w:p>
          <w:p w14:paraId="5510AF27" w14:textId="77777777" w:rsidR="00E53EB6" w:rsidRDefault="00E53EB6">
            <w:pPr>
              <w:pStyle w:val="HaupttextohneEinzug"/>
              <w:rPr>
                <w:szCs w:val="21"/>
              </w:rPr>
            </w:pPr>
          </w:p>
          <w:p w14:paraId="7C1C58B6" w14:textId="77777777" w:rsidR="00E53EB6" w:rsidRDefault="006500F5">
            <w:pPr>
              <w:pStyle w:val="HaupttextohneEinzug"/>
            </w:pPr>
            <w:r>
              <w:rPr>
                <w:rStyle w:val="biblio-authorGEN"/>
                <w:szCs w:val="21"/>
              </w:rPr>
              <w:t xml:space="preserve">Whitney </w:t>
            </w:r>
            <w:r>
              <w:rPr>
                <w:szCs w:val="21"/>
              </w:rPr>
              <w:t>1905: 350 “won”</w:t>
            </w:r>
          </w:p>
          <w:p w14:paraId="66842D62" w14:textId="77777777" w:rsidR="00E53EB6" w:rsidRDefault="00E53EB6">
            <w:pPr>
              <w:pStyle w:val="HaupttextohneEinzug"/>
              <w:rPr>
                <w:szCs w:val="21"/>
              </w:rPr>
            </w:pPr>
          </w:p>
          <w:p w14:paraId="77CDFEC3" w14:textId="77777777" w:rsidR="00E53EB6" w:rsidRDefault="00E53EB6">
            <w:pPr>
              <w:pStyle w:val="HaupttextohneEinzug"/>
              <w:rPr>
                <w:szCs w:val="21"/>
              </w:rPr>
            </w:pPr>
          </w:p>
          <w:p w14:paraId="34B369D7" w14:textId="77777777" w:rsidR="00E53EB6" w:rsidRDefault="006500F5">
            <w:pPr>
              <w:pStyle w:val="HaupttextohneEinzug"/>
            </w:pPr>
            <w:r>
              <w:rPr>
                <w:rStyle w:val="biblio-authorGEN"/>
                <w:szCs w:val="21"/>
              </w:rPr>
              <w:t xml:space="preserve">Whitney </w:t>
            </w:r>
            <w:r>
              <w:rPr>
                <w:szCs w:val="21"/>
              </w:rPr>
              <w:t>1905: 350 “won”</w:t>
            </w:r>
          </w:p>
        </w:tc>
        <w:tc>
          <w:tcPr>
            <w:tcW w:w="1173" w:type="dxa"/>
            <w:tcBorders>
              <w:left w:val="single" w:sz="2" w:space="0" w:color="000000"/>
              <w:bottom w:val="single" w:sz="2" w:space="0" w:color="000000"/>
              <w:right w:val="single" w:sz="2" w:space="0" w:color="000000"/>
            </w:tcBorders>
          </w:tcPr>
          <w:p w14:paraId="61F01F44" w14:textId="77777777" w:rsidR="00E53EB6" w:rsidRDefault="006500F5">
            <w:pPr>
              <w:pStyle w:val="HaupttextohneEinzug"/>
            </w:pPr>
            <w:r>
              <w:t>*u̯en-</w:t>
            </w:r>
          </w:p>
        </w:tc>
      </w:tr>
      <w:tr w:rsidR="00E53EB6" w14:paraId="5F0CB4F0" w14:textId="77777777">
        <w:tc>
          <w:tcPr>
            <w:tcW w:w="1202" w:type="dxa"/>
            <w:tcBorders>
              <w:left w:val="single" w:sz="2" w:space="0" w:color="000000"/>
              <w:bottom w:val="single" w:sz="2" w:space="0" w:color="000000"/>
            </w:tcBorders>
          </w:tcPr>
          <w:p w14:paraId="2DA3A56F" w14:textId="77777777" w:rsidR="00E53EB6" w:rsidRDefault="006500F5">
            <w:pPr>
              <w:pStyle w:val="HaupttextohneEinzug"/>
              <w:rPr>
                <w:i/>
                <w:iCs/>
                <w:szCs w:val="21"/>
              </w:rPr>
            </w:pPr>
            <w:r>
              <w:rPr>
                <w:i/>
                <w:iCs/>
                <w:szCs w:val="21"/>
              </w:rPr>
              <w:t xml:space="preserve">vavnire </w:t>
            </w:r>
            <w:r>
              <w:rPr>
                <w:szCs w:val="21"/>
              </w:rPr>
              <w:t xml:space="preserve"> (ind. perf. 3</w:t>
            </w:r>
            <w:r>
              <w:rPr>
                <w:szCs w:val="21"/>
                <w:vertAlign w:val="superscript"/>
              </w:rPr>
              <w:t>rd</w:t>
            </w:r>
            <w:r>
              <w:rPr>
                <w:szCs w:val="21"/>
              </w:rPr>
              <w:t xml:space="preserve"> pl. Ā)</w:t>
            </w:r>
          </w:p>
        </w:tc>
        <w:tc>
          <w:tcPr>
            <w:tcW w:w="3589" w:type="dxa"/>
            <w:tcBorders>
              <w:left w:val="single" w:sz="2" w:space="0" w:color="000000"/>
              <w:bottom w:val="single" w:sz="2" w:space="0" w:color="000000"/>
            </w:tcBorders>
          </w:tcPr>
          <w:p w14:paraId="7A0E5E40" w14:textId="77777777" w:rsidR="00E53EB6" w:rsidRDefault="006500F5">
            <w:pPr>
              <w:pStyle w:val="HaupttextohneEinzug"/>
              <w:rPr>
                <w:szCs w:val="21"/>
              </w:rPr>
            </w:pPr>
            <w:r>
              <w:rPr>
                <w:szCs w:val="21"/>
              </w:rPr>
              <w:t xml:space="preserve">KS 30.8  </w:t>
            </w:r>
            <w:r>
              <w:rPr>
                <w:i/>
                <w:iCs/>
                <w:szCs w:val="21"/>
              </w:rPr>
              <w:t>te</w:t>
            </w:r>
            <w:r>
              <w:rPr>
                <w:i/>
                <w:iCs/>
                <w:szCs w:val="21"/>
              </w:rPr>
              <w:t>ṣ</w:t>
            </w:r>
            <w:r>
              <w:rPr>
                <w:i/>
                <w:iCs/>
                <w:szCs w:val="21"/>
              </w:rPr>
              <w:t>ā</w:t>
            </w:r>
            <w:r>
              <w:rPr>
                <w:i/>
                <w:iCs/>
                <w:szCs w:val="21"/>
              </w:rPr>
              <w:t>ṃ</w:t>
            </w:r>
            <w:r>
              <w:rPr>
                <w:i/>
                <w:iCs/>
                <w:szCs w:val="21"/>
              </w:rPr>
              <w:t xml:space="preserve"> ya</w:t>
            </w:r>
            <w:r>
              <w:rPr>
                <w:i/>
                <w:iCs/>
                <w:szCs w:val="21"/>
              </w:rPr>
              <w:t>ṃ</w:t>
            </w:r>
            <w:r>
              <w:rPr>
                <w:i/>
                <w:iCs/>
                <w:szCs w:val="21"/>
              </w:rPr>
              <w:t xml:space="preserve"> vavnire devāstam̐ svarā</w:t>
            </w:r>
            <w:r>
              <w:rPr>
                <w:i/>
                <w:iCs/>
                <w:szCs w:val="21"/>
              </w:rPr>
              <w:t>ḍ</w:t>
            </w:r>
            <w:r>
              <w:rPr>
                <w:i/>
                <w:iCs/>
                <w:szCs w:val="21"/>
              </w:rPr>
              <w:t>anumanyatām</w:t>
            </w:r>
          </w:p>
        </w:tc>
        <w:tc>
          <w:tcPr>
            <w:tcW w:w="2709" w:type="dxa"/>
            <w:tcBorders>
              <w:left w:val="single" w:sz="2" w:space="0" w:color="000000"/>
              <w:bottom w:val="single" w:sz="2" w:space="0" w:color="000000"/>
            </w:tcBorders>
          </w:tcPr>
          <w:p w14:paraId="1442AFAB" w14:textId="77777777" w:rsidR="00E53EB6" w:rsidRDefault="00E53EB6">
            <w:pPr>
              <w:pStyle w:val="HaupttextohneEinzug"/>
            </w:pPr>
          </w:p>
        </w:tc>
        <w:tc>
          <w:tcPr>
            <w:tcW w:w="1173" w:type="dxa"/>
            <w:tcBorders>
              <w:left w:val="single" w:sz="2" w:space="0" w:color="000000"/>
              <w:bottom w:val="single" w:sz="2" w:space="0" w:color="000000"/>
              <w:right w:val="single" w:sz="2" w:space="0" w:color="000000"/>
            </w:tcBorders>
          </w:tcPr>
          <w:p w14:paraId="5D59F4AF" w14:textId="77777777" w:rsidR="00E53EB6" w:rsidRDefault="006500F5">
            <w:pPr>
              <w:pStyle w:val="HaupttextohneEinzug"/>
            </w:pPr>
            <w:r>
              <w:t>*u̯en-</w:t>
            </w:r>
          </w:p>
        </w:tc>
      </w:tr>
      <w:tr w:rsidR="00E53EB6" w14:paraId="71B0FA39" w14:textId="77777777">
        <w:tc>
          <w:tcPr>
            <w:tcW w:w="1202" w:type="dxa"/>
            <w:tcBorders>
              <w:left w:val="single" w:sz="2" w:space="0" w:color="000000"/>
              <w:bottom w:val="single" w:sz="2" w:space="0" w:color="000000"/>
            </w:tcBorders>
          </w:tcPr>
          <w:p w14:paraId="05865374" w14:textId="77777777" w:rsidR="00E53EB6" w:rsidRDefault="006500F5">
            <w:pPr>
              <w:pStyle w:val="HaupttextohneEinzug"/>
              <w:rPr>
                <w:b/>
                <w:bCs/>
              </w:rPr>
            </w:pPr>
            <w:r>
              <w:rPr>
                <w:b/>
                <w:bCs/>
              </w:rPr>
              <w:t>Optative</w:t>
            </w:r>
          </w:p>
        </w:tc>
        <w:tc>
          <w:tcPr>
            <w:tcW w:w="3589" w:type="dxa"/>
            <w:tcBorders>
              <w:left w:val="single" w:sz="2" w:space="0" w:color="000000"/>
              <w:bottom w:val="single" w:sz="2" w:space="0" w:color="000000"/>
            </w:tcBorders>
          </w:tcPr>
          <w:p w14:paraId="0D3C2AB6" w14:textId="77777777" w:rsidR="00E53EB6" w:rsidRDefault="00E53EB6">
            <w:pPr>
              <w:pStyle w:val="HaupttextohneEinzug"/>
            </w:pPr>
          </w:p>
        </w:tc>
        <w:tc>
          <w:tcPr>
            <w:tcW w:w="2709" w:type="dxa"/>
            <w:tcBorders>
              <w:left w:val="single" w:sz="2" w:space="0" w:color="000000"/>
              <w:bottom w:val="single" w:sz="2" w:space="0" w:color="000000"/>
            </w:tcBorders>
          </w:tcPr>
          <w:p w14:paraId="583F49FA" w14:textId="77777777" w:rsidR="00E53EB6" w:rsidRDefault="00E53EB6">
            <w:pPr>
              <w:pStyle w:val="HaupttextohneEinzug"/>
            </w:pPr>
          </w:p>
        </w:tc>
        <w:tc>
          <w:tcPr>
            <w:tcW w:w="1173" w:type="dxa"/>
            <w:tcBorders>
              <w:left w:val="single" w:sz="2" w:space="0" w:color="000000"/>
              <w:bottom w:val="single" w:sz="2" w:space="0" w:color="000000"/>
              <w:right w:val="single" w:sz="2" w:space="0" w:color="000000"/>
            </w:tcBorders>
          </w:tcPr>
          <w:p w14:paraId="0F05EF10" w14:textId="77777777" w:rsidR="00E53EB6" w:rsidRDefault="00E53EB6">
            <w:pPr>
              <w:pStyle w:val="HaupttextohneEinzug"/>
            </w:pPr>
          </w:p>
        </w:tc>
      </w:tr>
      <w:tr w:rsidR="00E53EB6" w14:paraId="4EC2092C" w14:textId="77777777">
        <w:tc>
          <w:tcPr>
            <w:tcW w:w="1202" w:type="dxa"/>
            <w:tcBorders>
              <w:left w:val="single" w:sz="2" w:space="0" w:color="000000"/>
              <w:bottom w:val="single" w:sz="2" w:space="0" w:color="000000"/>
            </w:tcBorders>
          </w:tcPr>
          <w:p w14:paraId="2D7C4C80" w14:textId="77777777" w:rsidR="00E53EB6" w:rsidRDefault="006500F5">
            <w:pPr>
              <w:pStyle w:val="HaupttextohneEinzug"/>
              <w:rPr>
                <w:i/>
                <w:iCs/>
              </w:rPr>
            </w:pPr>
            <w:r>
              <w:rPr>
                <w:i/>
                <w:iCs/>
              </w:rPr>
              <w:t xml:space="preserve">vanvīta </w:t>
            </w:r>
            <w:r>
              <w:t>(opt. pres. 3</w:t>
            </w:r>
            <w:r>
              <w:rPr>
                <w:vertAlign w:val="superscript"/>
              </w:rPr>
              <w:t>rd</w:t>
            </w:r>
            <w:r>
              <w:t xml:space="preserve"> sing. Ā VIII cl.)</w:t>
            </w:r>
          </w:p>
        </w:tc>
        <w:tc>
          <w:tcPr>
            <w:tcW w:w="3589" w:type="dxa"/>
            <w:tcBorders>
              <w:left w:val="single" w:sz="2" w:space="0" w:color="000000"/>
              <w:bottom w:val="single" w:sz="2" w:space="0" w:color="000000"/>
            </w:tcBorders>
          </w:tcPr>
          <w:p w14:paraId="148FA4A4" w14:textId="77777777" w:rsidR="00E53EB6" w:rsidRDefault="006500F5">
            <w:pPr>
              <w:pStyle w:val="HaupttextohneEinzug"/>
            </w:pPr>
            <w:r>
              <w:t xml:space="preserve">MS 2.1.2  </w:t>
            </w:r>
            <w:r>
              <w:rPr>
                <w:i/>
                <w:iCs/>
              </w:rPr>
              <w:t xml:space="preserve">yadā́ vanvīta </w:t>
            </w:r>
          </w:p>
          <w:p w14:paraId="65ABEEC2" w14:textId="77777777" w:rsidR="00E53EB6" w:rsidRDefault="00E53EB6">
            <w:pPr>
              <w:pStyle w:val="HaupttextohneEinzug"/>
              <w:rPr>
                <w:i/>
                <w:iCs/>
              </w:rPr>
            </w:pPr>
          </w:p>
          <w:p w14:paraId="0FF377C0" w14:textId="77777777" w:rsidR="00E53EB6" w:rsidRDefault="006500F5">
            <w:pPr>
              <w:pStyle w:val="HaupttextohneEinzug"/>
            </w:pPr>
            <w:r>
              <w:t xml:space="preserve">KS 23.6 </w:t>
            </w:r>
            <w:r>
              <w:rPr>
                <w:i/>
                <w:iCs/>
              </w:rPr>
              <w:t>rātrīrdīk</w:t>
            </w:r>
            <w:r>
              <w:rPr>
                <w:i/>
                <w:iCs/>
              </w:rPr>
              <w:t>ṣ</w:t>
            </w:r>
            <w:r>
              <w:rPr>
                <w:i/>
                <w:iCs/>
              </w:rPr>
              <w:t>ito bhr̥ti</w:t>
            </w:r>
            <w:r>
              <w:rPr>
                <w:i/>
                <w:iCs/>
              </w:rPr>
              <w:t>ṃ</w:t>
            </w:r>
            <w:r>
              <w:rPr>
                <w:i/>
                <w:iCs/>
              </w:rPr>
              <w:t xml:space="preserve"> vanvīta</w:t>
            </w:r>
          </w:p>
        </w:tc>
        <w:tc>
          <w:tcPr>
            <w:tcW w:w="2709" w:type="dxa"/>
            <w:tcBorders>
              <w:left w:val="single" w:sz="2" w:space="0" w:color="000000"/>
              <w:bottom w:val="single" w:sz="2" w:space="0" w:color="000000"/>
            </w:tcBorders>
          </w:tcPr>
          <w:p w14:paraId="0A45AA1D" w14:textId="77777777" w:rsidR="00E53EB6" w:rsidRDefault="00E53EB6">
            <w:pPr>
              <w:pStyle w:val="HaupttextohneEinzug"/>
            </w:pPr>
          </w:p>
        </w:tc>
        <w:tc>
          <w:tcPr>
            <w:tcW w:w="1173" w:type="dxa"/>
            <w:tcBorders>
              <w:left w:val="single" w:sz="2" w:space="0" w:color="000000"/>
              <w:bottom w:val="single" w:sz="2" w:space="0" w:color="000000"/>
              <w:right w:val="single" w:sz="2" w:space="0" w:color="000000"/>
            </w:tcBorders>
          </w:tcPr>
          <w:p w14:paraId="2D9BD834" w14:textId="77777777" w:rsidR="00E53EB6" w:rsidRDefault="006500F5">
            <w:pPr>
              <w:pStyle w:val="HaupttextohneEinzug"/>
            </w:pPr>
            <w:r>
              <w:t>*u̯en-</w:t>
            </w:r>
          </w:p>
        </w:tc>
      </w:tr>
      <w:tr w:rsidR="00E53EB6" w14:paraId="4026EBE7" w14:textId="77777777">
        <w:tc>
          <w:tcPr>
            <w:tcW w:w="1202" w:type="dxa"/>
            <w:tcBorders>
              <w:left w:val="single" w:sz="2" w:space="0" w:color="000000"/>
              <w:bottom w:val="single" w:sz="2" w:space="0" w:color="000000"/>
            </w:tcBorders>
          </w:tcPr>
          <w:p w14:paraId="04E6C55D" w14:textId="77777777" w:rsidR="00E53EB6" w:rsidRDefault="006500F5">
            <w:pPr>
              <w:pStyle w:val="HaupttextohneEinzug"/>
              <w:rPr>
                <w:i/>
                <w:iCs/>
              </w:rPr>
            </w:pPr>
            <w:r>
              <w:rPr>
                <w:i/>
                <w:iCs/>
              </w:rPr>
              <w:t>va</w:t>
            </w:r>
            <w:r>
              <w:rPr>
                <w:i/>
                <w:iCs/>
              </w:rPr>
              <w:t>ṃ</w:t>
            </w:r>
            <w:r>
              <w:rPr>
                <w:i/>
                <w:iCs/>
              </w:rPr>
              <w:t>si</w:t>
            </w:r>
            <w:r>
              <w:rPr>
                <w:i/>
                <w:iCs/>
              </w:rPr>
              <w:t>ṣ</w:t>
            </w:r>
            <w:r>
              <w:rPr>
                <w:i/>
                <w:iCs/>
              </w:rPr>
              <w:t xml:space="preserve">īya, </w:t>
            </w:r>
            <w:r>
              <w:t>(opt. aor.  1</w:t>
            </w:r>
            <w:r>
              <w:rPr>
                <w:vertAlign w:val="superscript"/>
              </w:rPr>
              <w:t>st</w:t>
            </w:r>
            <w:r>
              <w:t xml:space="preserve"> sing. Ā sigmatic aorist)</w:t>
            </w:r>
          </w:p>
        </w:tc>
        <w:tc>
          <w:tcPr>
            <w:tcW w:w="3589" w:type="dxa"/>
            <w:tcBorders>
              <w:left w:val="single" w:sz="2" w:space="0" w:color="000000"/>
              <w:bottom w:val="single" w:sz="2" w:space="0" w:color="000000"/>
            </w:tcBorders>
          </w:tcPr>
          <w:p w14:paraId="242E353D" w14:textId="77777777" w:rsidR="00E53EB6" w:rsidRDefault="006500F5">
            <w:pPr>
              <w:pStyle w:val="HaupttextohneEinzug"/>
            </w:pPr>
            <w:r>
              <w:t xml:space="preserve">AVŚ 9.1.14 </w:t>
            </w:r>
            <w:r>
              <w:rPr>
                <w:i/>
                <w:iCs/>
              </w:rPr>
              <w:t>mádhu jani</w:t>
            </w:r>
            <w:r>
              <w:rPr>
                <w:i/>
                <w:iCs/>
              </w:rPr>
              <w:t>ṣ</w:t>
            </w:r>
            <w:r>
              <w:rPr>
                <w:i/>
                <w:iCs/>
              </w:rPr>
              <w:t>īya mádhu va</w:t>
            </w:r>
            <w:r>
              <w:rPr>
                <w:i/>
                <w:iCs/>
              </w:rPr>
              <w:t>ṃ</w:t>
            </w:r>
            <w:r>
              <w:rPr>
                <w:i/>
                <w:iCs/>
              </w:rPr>
              <w:t>si</w:t>
            </w:r>
            <w:r>
              <w:rPr>
                <w:i/>
                <w:iCs/>
              </w:rPr>
              <w:t>ṣ</w:t>
            </w:r>
            <w:r>
              <w:rPr>
                <w:i/>
                <w:iCs/>
              </w:rPr>
              <w:t>īya</w:t>
            </w:r>
          </w:p>
          <w:p w14:paraId="1BBD1E55" w14:textId="77777777" w:rsidR="00E53EB6" w:rsidRDefault="00E53EB6">
            <w:pPr>
              <w:pStyle w:val="HaupttextohneEinzug"/>
              <w:rPr>
                <w:i/>
                <w:iCs/>
              </w:rPr>
            </w:pPr>
          </w:p>
          <w:p w14:paraId="41416D0F" w14:textId="77777777" w:rsidR="00E53EB6" w:rsidRDefault="006500F5">
            <w:pPr>
              <w:pStyle w:val="HaupttextohneEinzug"/>
            </w:pPr>
            <w:r>
              <w:t xml:space="preserve">AVŚ 16.9.4 </w:t>
            </w:r>
            <w:r>
              <w:rPr>
                <w:i/>
                <w:iCs/>
              </w:rPr>
              <w:t xml:space="preserve">vasyobhū́yāya vásumān yajñó </w:t>
            </w:r>
            <w:r>
              <w:rPr>
                <w:i/>
                <w:iCs/>
              </w:rPr>
              <w:t>vásu va</w:t>
            </w:r>
            <w:r>
              <w:rPr>
                <w:i/>
                <w:iCs/>
              </w:rPr>
              <w:t>ṃ</w:t>
            </w:r>
            <w:r>
              <w:rPr>
                <w:i/>
                <w:iCs/>
              </w:rPr>
              <w:t>si</w:t>
            </w:r>
            <w:r>
              <w:rPr>
                <w:i/>
                <w:iCs/>
              </w:rPr>
              <w:t>ṣ</w:t>
            </w:r>
            <w:r>
              <w:rPr>
                <w:i/>
                <w:iCs/>
              </w:rPr>
              <w:t>īya vásumān bhūyāsa</w:t>
            </w:r>
            <w:r>
              <w:rPr>
                <w:i/>
                <w:iCs/>
              </w:rPr>
              <w:t>ṃ</w:t>
            </w:r>
            <w:r>
              <w:rPr>
                <w:i/>
                <w:iCs/>
              </w:rPr>
              <w:t xml:space="preserve"> vásu máyi dhehi</w:t>
            </w:r>
          </w:p>
        </w:tc>
        <w:tc>
          <w:tcPr>
            <w:tcW w:w="2709" w:type="dxa"/>
            <w:tcBorders>
              <w:left w:val="single" w:sz="2" w:space="0" w:color="000000"/>
              <w:bottom w:val="single" w:sz="2" w:space="0" w:color="000000"/>
            </w:tcBorders>
          </w:tcPr>
          <w:p w14:paraId="0601AB8C" w14:textId="77777777" w:rsidR="00E53EB6" w:rsidRDefault="006500F5">
            <w:pPr>
              <w:pStyle w:val="HaupttextohneEinzug"/>
            </w:pPr>
            <w:r>
              <w:rPr>
                <w:rStyle w:val="biblio-authorGEN"/>
                <w:szCs w:val="21"/>
              </w:rPr>
              <w:t xml:space="preserve">Whitney </w:t>
            </w:r>
            <w:r>
              <w:rPr>
                <w:szCs w:val="21"/>
              </w:rPr>
              <w:t>1905: 520 “may I win”</w:t>
            </w:r>
          </w:p>
          <w:p w14:paraId="091EDE33" w14:textId="77777777" w:rsidR="00E53EB6" w:rsidRDefault="00E53EB6">
            <w:pPr>
              <w:pStyle w:val="HaupttextohneEinzug"/>
              <w:rPr>
                <w:szCs w:val="21"/>
              </w:rPr>
            </w:pPr>
          </w:p>
          <w:p w14:paraId="003EF0D2" w14:textId="77777777" w:rsidR="00E53EB6" w:rsidRDefault="006500F5">
            <w:pPr>
              <w:pStyle w:val="HaupttextohneEinzug"/>
            </w:pPr>
            <w:r>
              <w:rPr>
                <w:rStyle w:val="biblio-authorGEN"/>
                <w:szCs w:val="21"/>
              </w:rPr>
              <w:t xml:space="preserve">Whitney </w:t>
            </w:r>
            <w:r>
              <w:rPr>
                <w:szCs w:val="21"/>
              </w:rPr>
              <w:t>1905: 803 “may I win”</w:t>
            </w:r>
          </w:p>
        </w:tc>
        <w:tc>
          <w:tcPr>
            <w:tcW w:w="1173" w:type="dxa"/>
            <w:tcBorders>
              <w:left w:val="single" w:sz="2" w:space="0" w:color="000000"/>
              <w:bottom w:val="single" w:sz="2" w:space="0" w:color="000000"/>
              <w:right w:val="single" w:sz="2" w:space="0" w:color="000000"/>
            </w:tcBorders>
          </w:tcPr>
          <w:p w14:paraId="09A954CD" w14:textId="77777777" w:rsidR="00E53EB6" w:rsidRDefault="006500F5">
            <w:pPr>
              <w:pStyle w:val="HaupttextohneEinzug"/>
            </w:pPr>
            <w:r>
              <w:t>*u̯en-</w:t>
            </w:r>
          </w:p>
        </w:tc>
      </w:tr>
      <w:tr w:rsidR="00E53EB6" w14:paraId="04CCFD9E" w14:textId="77777777">
        <w:tc>
          <w:tcPr>
            <w:tcW w:w="1202" w:type="dxa"/>
            <w:tcBorders>
              <w:left w:val="single" w:sz="2" w:space="0" w:color="000000"/>
              <w:bottom w:val="single" w:sz="2" w:space="0" w:color="000000"/>
            </w:tcBorders>
          </w:tcPr>
          <w:p w14:paraId="3034E450" w14:textId="77777777" w:rsidR="00E53EB6" w:rsidRDefault="006500F5">
            <w:pPr>
              <w:pStyle w:val="HaupttextohneEinzug"/>
              <w:rPr>
                <w:b/>
                <w:bCs/>
              </w:rPr>
            </w:pPr>
            <w:r>
              <w:rPr>
                <w:b/>
                <w:bCs/>
              </w:rPr>
              <w:t>Subjunctive</w:t>
            </w:r>
          </w:p>
        </w:tc>
        <w:tc>
          <w:tcPr>
            <w:tcW w:w="3589" w:type="dxa"/>
            <w:tcBorders>
              <w:left w:val="single" w:sz="2" w:space="0" w:color="000000"/>
              <w:bottom w:val="single" w:sz="2" w:space="0" w:color="000000"/>
            </w:tcBorders>
          </w:tcPr>
          <w:p w14:paraId="78278EBA" w14:textId="77777777" w:rsidR="00E53EB6" w:rsidRDefault="00E53EB6">
            <w:pPr>
              <w:pStyle w:val="HaupttextohneEinzug"/>
            </w:pPr>
          </w:p>
        </w:tc>
        <w:tc>
          <w:tcPr>
            <w:tcW w:w="2709" w:type="dxa"/>
            <w:tcBorders>
              <w:left w:val="single" w:sz="2" w:space="0" w:color="000000"/>
              <w:bottom w:val="single" w:sz="2" w:space="0" w:color="000000"/>
            </w:tcBorders>
          </w:tcPr>
          <w:p w14:paraId="209B6238" w14:textId="77777777" w:rsidR="00E53EB6" w:rsidRDefault="00E53EB6">
            <w:pPr>
              <w:pStyle w:val="HaupttextohneEinzug"/>
            </w:pPr>
          </w:p>
        </w:tc>
        <w:tc>
          <w:tcPr>
            <w:tcW w:w="1173" w:type="dxa"/>
            <w:tcBorders>
              <w:left w:val="single" w:sz="2" w:space="0" w:color="000000"/>
              <w:bottom w:val="single" w:sz="2" w:space="0" w:color="000000"/>
              <w:right w:val="single" w:sz="2" w:space="0" w:color="000000"/>
            </w:tcBorders>
          </w:tcPr>
          <w:p w14:paraId="0413C082" w14:textId="77777777" w:rsidR="00E53EB6" w:rsidRDefault="00E53EB6">
            <w:pPr>
              <w:pStyle w:val="HaupttextohneEinzug"/>
            </w:pPr>
          </w:p>
        </w:tc>
      </w:tr>
      <w:tr w:rsidR="00E53EB6" w14:paraId="08372408" w14:textId="77777777">
        <w:tc>
          <w:tcPr>
            <w:tcW w:w="1202" w:type="dxa"/>
            <w:tcBorders>
              <w:left w:val="single" w:sz="2" w:space="0" w:color="000000"/>
              <w:bottom w:val="single" w:sz="2" w:space="0" w:color="000000"/>
            </w:tcBorders>
          </w:tcPr>
          <w:p w14:paraId="472A4754" w14:textId="77777777" w:rsidR="00E53EB6" w:rsidRDefault="006500F5">
            <w:pPr>
              <w:pStyle w:val="HaupttextohneEinzug"/>
              <w:rPr>
                <w:i/>
                <w:iCs/>
              </w:rPr>
            </w:pPr>
            <w:r>
              <w:rPr>
                <w:i/>
                <w:iCs/>
              </w:rPr>
              <w:t xml:space="preserve">vanavāmahai </w:t>
            </w:r>
            <w:r>
              <w:t>(subj. pres. 1</w:t>
            </w:r>
            <w:r>
              <w:rPr>
                <w:vertAlign w:val="superscript"/>
              </w:rPr>
              <w:t>st</w:t>
            </w:r>
            <w:r>
              <w:t xml:space="preserve"> pl. Ā VIII cl.)</w:t>
            </w:r>
          </w:p>
        </w:tc>
        <w:tc>
          <w:tcPr>
            <w:tcW w:w="3589" w:type="dxa"/>
            <w:tcBorders>
              <w:left w:val="single" w:sz="2" w:space="0" w:color="000000"/>
              <w:bottom w:val="single" w:sz="2" w:space="0" w:color="000000"/>
            </w:tcBorders>
          </w:tcPr>
          <w:p w14:paraId="3BFF2C72" w14:textId="77777777" w:rsidR="00E53EB6" w:rsidRDefault="006500F5">
            <w:pPr>
              <w:pStyle w:val="HaupttextohneEinzug"/>
            </w:pPr>
            <w:r>
              <w:rPr>
                <w:rFonts w:eastAsia="Arial" w:cs="Times Ext Roman"/>
                <w:szCs w:val="21"/>
                <w:lang w:eastAsia="hi-IN" w:bidi="en-GB"/>
              </w:rPr>
              <w:t xml:space="preserve">ŚB 1.9.1.19 </w:t>
            </w:r>
            <w:r>
              <w:rPr>
                <w:rFonts w:eastAsia="MS Mincho;ＭＳ 明朝" w:cs="Times Ext Roman"/>
                <w:i/>
                <w:iCs/>
                <w:szCs w:val="21"/>
                <w:lang w:eastAsia="hi-IN" w:bidi="en-GB"/>
              </w:rPr>
              <w:t>vayámagnerádhyasmā etádvanavāmahā</w:t>
            </w:r>
          </w:p>
        </w:tc>
        <w:tc>
          <w:tcPr>
            <w:tcW w:w="2709" w:type="dxa"/>
            <w:tcBorders>
              <w:left w:val="single" w:sz="2" w:space="0" w:color="000000"/>
              <w:bottom w:val="single" w:sz="2" w:space="0" w:color="000000"/>
            </w:tcBorders>
          </w:tcPr>
          <w:p w14:paraId="4758DD77" w14:textId="77777777" w:rsidR="00E53EB6" w:rsidRDefault="006500F5">
            <w:pPr>
              <w:pStyle w:val="HaupttextohneEinzug"/>
            </w:pPr>
            <w:r>
              <w:rPr>
                <w:rStyle w:val="biblio-authorGEN"/>
              </w:rPr>
              <w:t>Eggeling</w:t>
            </w:r>
            <w:r>
              <w:t xml:space="preserve"> 1882: I 253 “will solicit”</w:t>
            </w:r>
          </w:p>
        </w:tc>
        <w:tc>
          <w:tcPr>
            <w:tcW w:w="1173" w:type="dxa"/>
            <w:tcBorders>
              <w:left w:val="single" w:sz="2" w:space="0" w:color="000000"/>
              <w:bottom w:val="single" w:sz="2" w:space="0" w:color="000000"/>
              <w:right w:val="single" w:sz="2" w:space="0" w:color="000000"/>
            </w:tcBorders>
          </w:tcPr>
          <w:p w14:paraId="37350615" w14:textId="77777777" w:rsidR="00E53EB6" w:rsidRDefault="006500F5">
            <w:pPr>
              <w:pStyle w:val="HaupttextohneEinzug"/>
            </w:pPr>
            <w:r>
              <w:t>*u̯en-</w:t>
            </w:r>
          </w:p>
        </w:tc>
      </w:tr>
      <w:tr w:rsidR="00E53EB6" w14:paraId="0FC7D3F1" w14:textId="77777777">
        <w:tc>
          <w:tcPr>
            <w:tcW w:w="1202" w:type="dxa"/>
            <w:tcBorders>
              <w:left w:val="single" w:sz="2" w:space="0" w:color="000000"/>
              <w:bottom w:val="single" w:sz="2" w:space="0" w:color="000000"/>
            </w:tcBorders>
          </w:tcPr>
          <w:p w14:paraId="466DF690" w14:textId="77777777" w:rsidR="00E53EB6" w:rsidRDefault="006500F5">
            <w:pPr>
              <w:pStyle w:val="HaupttextohneEinzug"/>
              <w:rPr>
                <w:i/>
                <w:iCs/>
              </w:rPr>
            </w:pPr>
            <w:r>
              <w:rPr>
                <w:i/>
                <w:iCs/>
              </w:rPr>
              <w:t xml:space="preserve">vanate </w:t>
            </w:r>
            <w:r>
              <w:t>(subj. aor. 3</w:t>
            </w:r>
            <w:r>
              <w:rPr>
                <w:vertAlign w:val="superscript"/>
              </w:rPr>
              <w:t>rd</w:t>
            </w:r>
            <w:r>
              <w:t xml:space="preserve"> sing.)</w:t>
            </w:r>
          </w:p>
        </w:tc>
        <w:tc>
          <w:tcPr>
            <w:tcW w:w="3589" w:type="dxa"/>
            <w:tcBorders>
              <w:left w:val="single" w:sz="2" w:space="0" w:color="000000"/>
              <w:bottom w:val="single" w:sz="2" w:space="0" w:color="000000"/>
            </w:tcBorders>
          </w:tcPr>
          <w:p w14:paraId="0398B9DF" w14:textId="77777777" w:rsidR="00E53EB6" w:rsidRDefault="006500F5">
            <w:pPr>
              <w:pStyle w:val="HaupttextohneEinzug"/>
            </w:pPr>
            <w:r>
              <w:t xml:space="preserve">TS 2.6.9.8 </w:t>
            </w:r>
            <w:r>
              <w:rPr>
                <w:rFonts w:eastAsia="Arial" w:cs="Times Ext Roman"/>
                <w:i/>
                <w:iCs/>
                <w:szCs w:val="21"/>
                <w:lang w:eastAsia="hi-IN" w:bidi="en-GB"/>
              </w:rPr>
              <w:t xml:space="preserve">tád agnír devó devébhyo vánate  </w:t>
            </w:r>
          </w:p>
          <w:p w14:paraId="151F6566" w14:textId="77777777" w:rsidR="00E53EB6" w:rsidRDefault="00E53EB6">
            <w:pPr>
              <w:pStyle w:val="HaupttextohneEinzug"/>
              <w:rPr>
                <w:rFonts w:eastAsia="Arial" w:cs="Times Ext Roman"/>
                <w:i/>
                <w:iCs/>
                <w:szCs w:val="21"/>
                <w:lang w:eastAsia="hi-IN" w:bidi="en-GB"/>
              </w:rPr>
            </w:pPr>
          </w:p>
          <w:p w14:paraId="7081B52C" w14:textId="77777777" w:rsidR="00E53EB6" w:rsidRDefault="006500F5">
            <w:pPr>
              <w:pStyle w:val="HaupttextohneEinzug"/>
            </w:pPr>
            <w:r>
              <w:rPr>
                <w:rFonts w:eastAsia="Arial" w:cs="Times Ext Roman"/>
                <w:lang w:eastAsia="hi-IN" w:bidi="en-GB"/>
              </w:rPr>
              <w:t xml:space="preserve">TB 3.5.10.5 </w:t>
            </w:r>
            <w:r>
              <w:rPr>
                <w:rFonts w:eastAsia="Arial" w:cs="Times Ext Roman"/>
                <w:lang w:eastAsia="hi-IN" w:bidi="en-GB"/>
              </w:rPr>
              <w:t xml:space="preserve"> tád agnír devó devébhyo vánate </w:t>
            </w:r>
          </w:p>
        </w:tc>
        <w:tc>
          <w:tcPr>
            <w:tcW w:w="2709" w:type="dxa"/>
            <w:tcBorders>
              <w:left w:val="single" w:sz="2" w:space="0" w:color="000000"/>
              <w:bottom w:val="single" w:sz="2" w:space="0" w:color="000000"/>
            </w:tcBorders>
          </w:tcPr>
          <w:p w14:paraId="3B103EE3" w14:textId="77777777" w:rsidR="00E53EB6" w:rsidRDefault="006500F5">
            <w:pPr>
              <w:pStyle w:val="HaupttextohneEinzug"/>
            </w:pPr>
            <w:r>
              <w:rPr>
                <w:rStyle w:val="biblio-authorGEN"/>
              </w:rPr>
              <w:t xml:space="preserve">Keith </w:t>
            </w:r>
            <w:r>
              <w:t xml:space="preserve">1914: 216 “shall win” </w:t>
            </w:r>
          </w:p>
        </w:tc>
        <w:tc>
          <w:tcPr>
            <w:tcW w:w="1173" w:type="dxa"/>
            <w:tcBorders>
              <w:left w:val="single" w:sz="2" w:space="0" w:color="000000"/>
              <w:bottom w:val="single" w:sz="2" w:space="0" w:color="000000"/>
              <w:right w:val="single" w:sz="2" w:space="0" w:color="000000"/>
            </w:tcBorders>
          </w:tcPr>
          <w:p w14:paraId="79496580" w14:textId="77777777" w:rsidR="00E53EB6" w:rsidRDefault="006500F5">
            <w:pPr>
              <w:pStyle w:val="HaupttextohneEinzug"/>
            </w:pPr>
            <w:r>
              <w:t>*u̯en-</w:t>
            </w:r>
          </w:p>
        </w:tc>
      </w:tr>
      <w:tr w:rsidR="00E53EB6" w14:paraId="1151758D" w14:textId="77777777">
        <w:tc>
          <w:tcPr>
            <w:tcW w:w="1202" w:type="dxa"/>
            <w:tcBorders>
              <w:left w:val="single" w:sz="2" w:space="0" w:color="000000"/>
              <w:bottom w:val="single" w:sz="2" w:space="0" w:color="000000"/>
            </w:tcBorders>
          </w:tcPr>
          <w:p w14:paraId="001A8285" w14:textId="77777777" w:rsidR="00E53EB6" w:rsidRDefault="006500F5">
            <w:pPr>
              <w:pStyle w:val="HaupttextohneEinzug"/>
              <w:rPr>
                <w:i/>
                <w:iCs/>
              </w:rPr>
            </w:pPr>
            <w:r>
              <w:rPr>
                <w:i/>
                <w:iCs/>
              </w:rPr>
              <w:t>vani</w:t>
            </w:r>
            <w:r>
              <w:rPr>
                <w:i/>
                <w:iCs/>
              </w:rPr>
              <w:t>ṣ</w:t>
            </w:r>
            <w:r>
              <w:rPr>
                <w:i/>
                <w:iCs/>
              </w:rPr>
              <w:t>ád</w:t>
            </w:r>
          </w:p>
          <w:p w14:paraId="140DE41D" w14:textId="77777777" w:rsidR="00E53EB6" w:rsidRDefault="006500F5">
            <w:pPr>
              <w:pStyle w:val="HaupttextohneEinzug"/>
            </w:pPr>
            <w:r>
              <w:t>(subj. aor. 3</w:t>
            </w:r>
            <w:r>
              <w:rPr>
                <w:vertAlign w:val="superscript"/>
              </w:rPr>
              <w:t>rd</w:t>
            </w:r>
            <w:r>
              <w:t xml:space="preserve"> sing. sigmatic aorist)</w:t>
            </w:r>
          </w:p>
        </w:tc>
        <w:tc>
          <w:tcPr>
            <w:tcW w:w="3589" w:type="dxa"/>
            <w:tcBorders>
              <w:left w:val="single" w:sz="2" w:space="0" w:color="000000"/>
              <w:bottom w:val="single" w:sz="2" w:space="0" w:color="000000"/>
            </w:tcBorders>
          </w:tcPr>
          <w:p w14:paraId="73F4DE10" w14:textId="77777777" w:rsidR="00E53EB6" w:rsidRDefault="006500F5">
            <w:pPr>
              <w:pStyle w:val="HaupttextohneEinzug"/>
            </w:pPr>
            <w:r>
              <w:t xml:space="preserve">AVŚ 20.132.6 </w:t>
            </w:r>
            <w:r>
              <w:rPr>
                <w:i/>
                <w:iCs/>
              </w:rPr>
              <w:t>ugrá</w:t>
            </w:r>
            <w:r>
              <w:rPr>
                <w:i/>
                <w:iCs/>
              </w:rPr>
              <w:t>ṃ</w:t>
            </w:r>
            <w:r>
              <w:rPr>
                <w:i/>
                <w:iCs/>
              </w:rPr>
              <w:t xml:space="preserve"> vani</w:t>
            </w:r>
            <w:r>
              <w:rPr>
                <w:i/>
                <w:iCs/>
              </w:rPr>
              <w:t>ṣ</w:t>
            </w:r>
            <w:r>
              <w:rPr>
                <w:i/>
                <w:iCs/>
              </w:rPr>
              <w:t>ádātatam</w:t>
            </w:r>
          </w:p>
          <w:p w14:paraId="13F7F67F" w14:textId="77777777" w:rsidR="00E53EB6" w:rsidRDefault="00E53EB6">
            <w:pPr>
              <w:pStyle w:val="HaupttextohneEinzug"/>
            </w:pPr>
          </w:p>
          <w:p w14:paraId="2AB8145E" w14:textId="77777777" w:rsidR="00E53EB6" w:rsidRDefault="006500F5">
            <w:pPr>
              <w:pStyle w:val="HaupttextohneEinzug"/>
            </w:pPr>
            <w:r>
              <w:t xml:space="preserve">AVŚ 20.132.7 </w:t>
            </w:r>
            <w:r>
              <w:rPr>
                <w:i/>
                <w:iCs/>
              </w:rPr>
              <w:t>ná vani</w:t>
            </w:r>
            <w:r>
              <w:rPr>
                <w:i/>
                <w:iCs/>
              </w:rPr>
              <w:t>ṣ</w:t>
            </w:r>
            <w:r>
              <w:rPr>
                <w:i/>
                <w:iCs/>
              </w:rPr>
              <w:t xml:space="preserve">adánātatam </w:t>
            </w:r>
          </w:p>
        </w:tc>
        <w:tc>
          <w:tcPr>
            <w:tcW w:w="2709" w:type="dxa"/>
            <w:tcBorders>
              <w:left w:val="single" w:sz="2" w:space="0" w:color="000000"/>
              <w:bottom w:val="single" w:sz="2" w:space="0" w:color="000000"/>
            </w:tcBorders>
          </w:tcPr>
          <w:p w14:paraId="72F236C2" w14:textId="77777777" w:rsidR="00E53EB6" w:rsidRDefault="00E53EB6">
            <w:pPr>
              <w:pStyle w:val="HaupttextohneEinzug"/>
            </w:pPr>
          </w:p>
        </w:tc>
        <w:tc>
          <w:tcPr>
            <w:tcW w:w="1173" w:type="dxa"/>
            <w:tcBorders>
              <w:left w:val="single" w:sz="2" w:space="0" w:color="000000"/>
              <w:bottom w:val="single" w:sz="2" w:space="0" w:color="000000"/>
              <w:right w:val="single" w:sz="2" w:space="0" w:color="000000"/>
            </w:tcBorders>
          </w:tcPr>
          <w:p w14:paraId="512B9DCC" w14:textId="77777777" w:rsidR="00E53EB6" w:rsidRDefault="006500F5">
            <w:pPr>
              <w:pStyle w:val="HaupttextohneEinzug"/>
            </w:pPr>
            <w:r>
              <w:t>*u̯en-</w:t>
            </w:r>
          </w:p>
        </w:tc>
      </w:tr>
      <w:tr w:rsidR="00E53EB6" w14:paraId="4DFE356A" w14:textId="77777777">
        <w:tc>
          <w:tcPr>
            <w:tcW w:w="1202" w:type="dxa"/>
            <w:tcBorders>
              <w:left w:val="single" w:sz="2" w:space="0" w:color="000000"/>
              <w:bottom w:val="single" w:sz="2" w:space="0" w:color="000000"/>
            </w:tcBorders>
          </w:tcPr>
          <w:p w14:paraId="7D175EE9" w14:textId="77777777" w:rsidR="00E53EB6" w:rsidRPr="0071345C" w:rsidRDefault="006500F5">
            <w:pPr>
              <w:pStyle w:val="HaupttextohneEinzug"/>
              <w:rPr>
                <w:i/>
                <w:iCs/>
                <w:lang w:val="de-DE"/>
              </w:rPr>
            </w:pPr>
            <w:r w:rsidRPr="0071345C">
              <w:rPr>
                <w:i/>
                <w:iCs/>
                <w:lang w:val="de-DE"/>
              </w:rPr>
              <w:t>va</w:t>
            </w:r>
            <w:r w:rsidRPr="0071345C">
              <w:rPr>
                <w:i/>
                <w:iCs/>
                <w:lang w:val="de-DE"/>
              </w:rPr>
              <w:t>ṃ</w:t>
            </w:r>
            <w:r w:rsidRPr="0071345C">
              <w:rPr>
                <w:i/>
                <w:iCs/>
                <w:lang w:val="de-DE"/>
              </w:rPr>
              <w:t>sata</w:t>
            </w:r>
            <w:r w:rsidRPr="0071345C">
              <w:rPr>
                <w:i/>
                <w:iCs/>
                <w:lang w:val="de-DE"/>
              </w:rPr>
              <w:t>ḥ</w:t>
            </w:r>
          </w:p>
          <w:p w14:paraId="04A115CC" w14:textId="77777777" w:rsidR="00E53EB6" w:rsidRPr="0071345C" w:rsidRDefault="006500F5">
            <w:pPr>
              <w:pStyle w:val="HaupttextohneEinzug"/>
              <w:rPr>
                <w:lang w:val="de-DE"/>
              </w:rPr>
            </w:pPr>
            <w:r w:rsidRPr="0071345C">
              <w:rPr>
                <w:lang w:val="de-DE"/>
              </w:rPr>
              <w:t>(subj. aor. 3</w:t>
            </w:r>
            <w:r w:rsidRPr="0071345C">
              <w:rPr>
                <w:vertAlign w:val="superscript"/>
                <w:lang w:val="de-DE"/>
              </w:rPr>
              <w:t>rd</w:t>
            </w:r>
            <w:r w:rsidRPr="0071345C">
              <w:rPr>
                <w:lang w:val="de-DE"/>
              </w:rPr>
              <w:t xml:space="preserve"> du. root aorist)</w:t>
            </w:r>
          </w:p>
        </w:tc>
        <w:tc>
          <w:tcPr>
            <w:tcW w:w="3589" w:type="dxa"/>
            <w:tcBorders>
              <w:left w:val="single" w:sz="2" w:space="0" w:color="000000"/>
              <w:bottom w:val="single" w:sz="2" w:space="0" w:color="000000"/>
            </w:tcBorders>
          </w:tcPr>
          <w:p w14:paraId="32CDDE0B" w14:textId="77777777" w:rsidR="00E53EB6" w:rsidRPr="0071345C" w:rsidRDefault="006500F5">
            <w:pPr>
              <w:pStyle w:val="HaupttextohneEinzug"/>
              <w:rPr>
                <w:lang w:val="de-DE"/>
              </w:rPr>
            </w:pPr>
            <w:r w:rsidRPr="0071345C">
              <w:rPr>
                <w:lang w:val="de-DE"/>
              </w:rPr>
              <w:t xml:space="preserve">AVP 20.24.4 </w:t>
            </w:r>
            <w:r w:rsidRPr="0071345C">
              <w:rPr>
                <w:i/>
                <w:iCs/>
                <w:lang w:val="de-DE"/>
              </w:rPr>
              <w:t>tr̥tīyam aśvinā tvāgre va</w:t>
            </w:r>
            <w:r w:rsidRPr="0071345C">
              <w:rPr>
                <w:i/>
                <w:iCs/>
                <w:lang w:val="de-DE"/>
              </w:rPr>
              <w:t>ṃ</w:t>
            </w:r>
            <w:r w:rsidRPr="0071345C">
              <w:rPr>
                <w:i/>
                <w:iCs/>
                <w:lang w:val="de-DE"/>
              </w:rPr>
              <w:t>sata</w:t>
            </w:r>
            <w:r w:rsidRPr="0071345C">
              <w:rPr>
                <w:i/>
                <w:iCs/>
                <w:lang w:val="de-DE"/>
              </w:rPr>
              <w:t>ḥ</w:t>
            </w:r>
          </w:p>
        </w:tc>
        <w:tc>
          <w:tcPr>
            <w:tcW w:w="2709" w:type="dxa"/>
            <w:tcBorders>
              <w:left w:val="single" w:sz="2" w:space="0" w:color="000000"/>
              <w:bottom w:val="single" w:sz="2" w:space="0" w:color="000000"/>
            </w:tcBorders>
          </w:tcPr>
          <w:p w14:paraId="1ECC28E9" w14:textId="77777777" w:rsidR="00E53EB6" w:rsidRPr="0071345C" w:rsidRDefault="00E53EB6">
            <w:pPr>
              <w:pStyle w:val="HaupttextohneEinzug"/>
              <w:rPr>
                <w:lang w:val="de-DE"/>
              </w:rPr>
            </w:pPr>
          </w:p>
        </w:tc>
        <w:tc>
          <w:tcPr>
            <w:tcW w:w="1173" w:type="dxa"/>
            <w:tcBorders>
              <w:left w:val="single" w:sz="2" w:space="0" w:color="000000"/>
              <w:bottom w:val="single" w:sz="2" w:space="0" w:color="000000"/>
              <w:right w:val="single" w:sz="2" w:space="0" w:color="000000"/>
            </w:tcBorders>
          </w:tcPr>
          <w:p w14:paraId="194A2F1D" w14:textId="77777777" w:rsidR="00E53EB6" w:rsidRDefault="006500F5">
            <w:pPr>
              <w:pStyle w:val="HaupttextohneEinzug"/>
            </w:pPr>
            <w:r>
              <w:t>*u̯en-</w:t>
            </w:r>
          </w:p>
        </w:tc>
      </w:tr>
      <w:tr w:rsidR="00E53EB6" w14:paraId="5A44123A" w14:textId="77777777">
        <w:tc>
          <w:tcPr>
            <w:tcW w:w="1202" w:type="dxa"/>
            <w:tcBorders>
              <w:left w:val="single" w:sz="2" w:space="0" w:color="000000"/>
              <w:bottom w:val="single" w:sz="2" w:space="0" w:color="000000"/>
            </w:tcBorders>
          </w:tcPr>
          <w:p w14:paraId="2C540118" w14:textId="77777777" w:rsidR="00E53EB6" w:rsidRDefault="006500F5">
            <w:pPr>
              <w:pStyle w:val="HaupttextohneEinzug"/>
              <w:rPr>
                <w:i/>
                <w:iCs/>
              </w:rPr>
            </w:pPr>
            <w:r>
              <w:rPr>
                <w:i/>
                <w:iCs/>
              </w:rPr>
              <w:t xml:space="preserve">vāvanat </w:t>
            </w:r>
            <w:r>
              <w:t>(subj. perf. 3</w:t>
            </w:r>
            <w:r>
              <w:rPr>
                <w:vertAlign w:val="superscript"/>
              </w:rPr>
              <w:t>rd</w:t>
            </w:r>
            <w:r>
              <w:t xml:space="preserve"> sing.)</w:t>
            </w:r>
          </w:p>
        </w:tc>
        <w:tc>
          <w:tcPr>
            <w:tcW w:w="3589" w:type="dxa"/>
            <w:tcBorders>
              <w:left w:val="single" w:sz="2" w:space="0" w:color="000000"/>
              <w:bottom w:val="single" w:sz="2" w:space="0" w:color="000000"/>
            </w:tcBorders>
          </w:tcPr>
          <w:p w14:paraId="2DBACA8A" w14:textId="77777777" w:rsidR="00E53EB6" w:rsidRDefault="006500F5">
            <w:pPr>
              <w:pStyle w:val="HaupttextohneEinzug"/>
            </w:pPr>
            <w:r>
              <w:t xml:space="preserve">KS 13.16 </w:t>
            </w:r>
            <w:r>
              <w:rPr>
                <w:i/>
                <w:iCs/>
              </w:rPr>
              <w:t>sa na</w:t>
            </w:r>
            <w:r>
              <w:rPr>
                <w:i/>
                <w:iCs/>
              </w:rPr>
              <w:t>ḥ</w:t>
            </w:r>
            <w:r>
              <w:rPr>
                <w:i/>
                <w:iCs/>
              </w:rPr>
              <w:t xml:space="preserve"> </w:t>
            </w:r>
            <w:r>
              <w:rPr>
                <w:i/>
                <w:iCs/>
              </w:rPr>
              <w:t>pūr</w:t>
            </w:r>
            <w:r>
              <w:rPr>
                <w:i/>
                <w:iCs/>
              </w:rPr>
              <w:t>ṇ</w:t>
            </w:r>
            <w:r>
              <w:rPr>
                <w:i/>
                <w:iCs/>
              </w:rPr>
              <w:t>ena vāvanat</w:t>
            </w:r>
          </w:p>
          <w:p w14:paraId="71F8DB48" w14:textId="77777777" w:rsidR="00E53EB6" w:rsidRDefault="00E53EB6">
            <w:pPr>
              <w:pStyle w:val="HaupttextohneEinzug"/>
            </w:pPr>
          </w:p>
          <w:p w14:paraId="73016079" w14:textId="77777777" w:rsidR="00E53EB6" w:rsidRDefault="006500F5">
            <w:pPr>
              <w:pStyle w:val="HaupttextohneEinzug"/>
            </w:pPr>
            <w:r>
              <w:t xml:space="preserve">TS 2.4.5.1 </w:t>
            </w:r>
            <w:r>
              <w:rPr>
                <w:i/>
                <w:iCs/>
              </w:rPr>
              <w:t>sa na</w:t>
            </w:r>
            <w:r>
              <w:rPr>
                <w:i/>
                <w:iCs/>
              </w:rPr>
              <w:t>ḥ</w:t>
            </w:r>
            <w:r>
              <w:rPr>
                <w:i/>
                <w:iCs/>
              </w:rPr>
              <w:t xml:space="preserve"> pūr</w:t>
            </w:r>
            <w:r>
              <w:rPr>
                <w:i/>
                <w:iCs/>
              </w:rPr>
              <w:t>ṇ</w:t>
            </w:r>
            <w:r>
              <w:rPr>
                <w:i/>
                <w:iCs/>
              </w:rPr>
              <w:t>ena vāvanat</w:t>
            </w:r>
          </w:p>
        </w:tc>
        <w:tc>
          <w:tcPr>
            <w:tcW w:w="2709" w:type="dxa"/>
            <w:tcBorders>
              <w:left w:val="single" w:sz="2" w:space="0" w:color="000000"/>
              <w:bottom w:val="single" w:sz="2" w:space="0" w:color="000000"/>
            </w:tcBorders>
          </w:tcPr>
          <w:p w14:paraId="16DF03F6" w14:textId="77777777" w:rsidR="00E53EB6" w:rsidRDefault="00E53EB6">
            <w:pPr>
              <w:pStyle w:val="HaupttextohneEinzug"/>
            </w:pPr>
          </w:p>
          <w:p w14:paraId="04A7AD8B" w14:textId="77777777" w:rsidR="00E53EB6" w:rsidRDefault="00E53EB6">
            <w:pPr>
              <w:pStyle w:val="HaupttextohneEinzug"/>
            </w:pPr>
          </w:p>
          <w:p w14:paraId="2FB95150" w14:textId="77777777" w:rsidR="00E53EB6" w:rsidRDefault="006500F5">
            <w:pPr>
              <w:pStyle w:val="HaupttextohneEinzug"/>
            </w:pPr>
            <w:r>
              <w:rPr>
                <w:rStyle w:val="biblio-authorGEN"/>
              </w:rPr>
              <w:t>Keith</w:t>
            </w:r>
            <w:r>
              <w:t xml:space="preserve"> 1914: 179 “May favour us”</w:t>
            </w:r>
          </w:p>
        </w:tc>
        <w:tc>
          <w:tcPr>
            <w:tcW w:w="1173" w:type="dxa"/>
            <w:tcBorders>
              <w:left w:val="single" w:sz="2" w:space="0" w:color="000000"/>
              <w:bottom w:val="single" w:sz="2" w:space="0" w:color="000000"/>
              <w:right w:val="single" w:sz="2" w:space="0" w:color="000000"/>
            </w:tcBorders>
          </w:tcPr>
          <w:p w14:paraId="73713D28" w14:textId="77777777" w:rsidR="00E53EB6" w:rsidRDefault="006500F5">
            <w:pPr>
              <w:pStyle w:val="HaupttextohneEinzug"/>
            </w:pPr>
            <w:r>
              <w:t>*u̯en-</w:t>
            </w:r>
          </w:p>
        </w:tc>
      </w:tr>
      <w:tr w:rsidR="00E53EB6" w14:paraId="107D981F" w14:textId="77777777">
        <w:tc>
          <w:tcPr>
            <w:tcW w:w="1202" w:type="dxa"/>
            <w:tcBorders>
              <w:left w:val="single" w:sz="2" w:space="0" w:color="000000"/>
              <w:bottom w:val="single" w:sz="2" w:space="0" w:color="000000"/>
            </w:tcBorders>
          </w:tcPr>
          <w:p w14:paraId="007C2E17" w14:textId="77777777" w:rsidR="00E53EB6" w:rsidRDefault="006500F5">
            <w:pPr>
              <w:pStyle w:val="HaupttextohneEinzug"/>
              <w:rPr>
                <w:i/>
                <w:iCs/>
              </w:rPr>
            </w:pPr>
            <w:r>
              <w:rPr>
                <w:i/>
                <w:iCs/>
              </w:rPr>
              <w:t>vāvana</w:t>
            </w:r>
            <w:r>
              <w:rPr>
                <w:i/>
                <w:iCs/>
              </w:rPr>
              <w:t>ḥ</w:t>
            </w:r>
            <w:r>
              <w:rPr>
                <w:i/>
                <w:iCs/>
              </w:rPr>
              <w:t xml:space="preserve"> </w:t>
            </w:r>
            <w:r>
              <w:t xml:space="preserve">(subj. perf. </w:t>
            </w:r>
            <w:r>
              <w:rPr>
                <w:vertAlign w:val="superscript"/>
              </w:rPr>
              <w:t xml:space="preserve"> </w:t>
            </w:r>
            <w:r>
              <w:t xml:space="preserve"> 2</w:t>
            </w:r>
            <w:r>
              <w:rPr>
                <w:vertAlign w:val="superscript"/>
              </w:rPr>
              <w:t>nd</w:t>
            </w:r>
            <w:r>
              <w:t xml:space="preserve"> sing.)</w:t>
            </w:r>
          </w:p>
        </w:tc>
        <w:tc>
          <w:tcPr>
            <w:tcW w:w="3589" w:type="dxa"/>
            <w:tcBorders>
              <w:left w:val="single" w:sz="2" w:space="0" w:color="000000"/>
              <w:bottom w:val="single" w:sz="2" w:space="0" w:color="000000"/>
            </w:tcBorders>
          </w:tcPr>
          <w:p w14:paraId="3700D4DD" w14:textId="77777777" w:rsidR="00E53EB6" w:rsidRDefault="006500F5">
            <w:pPr>
              <w:pStyle w:val="HaupttextohneEinzug"/>
            </w:pPr>
            <w:r>
              <w:t xml:space="preserve">AVP 1.55.4 </w:t>
            </w:r>
            <w:r>
              <w:rPr>
                <w:i/>
                <w:iCs/>
              </w:rPr>
              <w:t>māmit kila tva</w:t>
            </w:r>
            <w:r>
              <w:rPr>
                <w:i/>
                <w:iCs/>
              </w:rPr>
              <w:t>ṃ</w:t>
            </w:r>
            <w:r>
              <w:rPr>
                <w:i/>
                <w:iCs/>
              </w:rPr>
              <w:t xml:space="preserve"> vāvana</w:t>
            </w:r>
            <w:r>
              <w:rPr>
                <w:i/>
                <w:iCs/>
              </w:rPr>
              <w:t>ḥ</w:t>
            </w:r>
            <w:r>
              <w:rPr>
                <w:i/>
                <w:iCs/>
              </w:rPr>
              <w:t xml:space="preserve"> śākhā</w:t>
            </w:r>
            <w:r>
              <w:rPr>
                <w:i/>
                <w:iCs/>
              </w:rPr>
              <w:t>ṃ</w:t>
            </w:r>
            <w:r>
              <w:rPr>
                <w:i/>
                <w:iCs/>
              </w:rPr>
              <w:t xml:space="preserve"> madhumatīmiva</w:t>
            </w:r>
          </w:p>
        </w:tc>
        <w:tc>
          <w:tcPr>
            <w:tcW w:w="2709" w:type="dxa"/>
            <w:tcBorders>
              <w:left w:val="single" w:sz="2" w:space="0" w:color="000000"/>
              <w:bottom w:val="single" w:sz="2" w:space="0" w:color="000000"/>
            </w:tcBorders>
          </w:tcPr>
          <w:p w14:paraId="35F2F815" w14:textId="77777777" w:rsidR="00E53EB6" w:rsidRDefault="00E53EB6">
            <w:pPr>
              <w:pStyle w:val="HaupttextohneEinzug"/>
            </w:pPr>
          </w:p>
        </w:tc>
        <w:tc>
          <w:tcPr>
            <w:tcW w:w="1173" w:type="dxa"/>
            <w:tcBorders>
              <w:left w:val="single" w:sz="2" w:space="0" w:color="000000"/>
              <w:bottom w:val="single" w:sz="2" w:space="0" w:color="000000"/>
              <w:right w:val="single" w:sz="2" w:space="0" w:color="000000"/>
            </w:tcBorders>
          </w:tcPr>
          <w:p w14:paraId="4523FBBF" w14:textId="77777777" w:rsidR="00E53EB6" w:rsidRDefault="006500F5">
            <w:pPr>
              <w:pStyle w:val="HaupttextohneEinzug"/>
            </w:pPr>
            <w:r>
              <w:t>*u̯en-</w:t>
            </w:r>
          </w:p>
        </w:tc>
      </w:tr>
      <w:tr w:rsidR="00E53EB6" w14:paraId="2CC519D1" w14:textId="77777777">
        <w:tc>
          <w:tcPr>
            <w:tcW w:w="1202" w:type="dxa"/>
            <w:tcBorders>
              <w:left w:val="single" w:sz="2" w:space="0" w:color="000000"/>
              <w:bottom w:val="single" w:sz="2" w:space="0" w:color="000000"/>
            </w:tcBorders>
          </w:tcPr>
          <w:p w14:paraId="3D41868C" w14:textId="77777777" w:rsidR="00E53EB6" w:rsidRDefault="006500F5">
            <w:pPr>
              <w:pStyle w:val="HaupttextohneEinzug"/>
              <w:rPr>
                <w:b/>
                <w:bCs/>
              </w:rPr>
            </w:pPr>
            <w:r>
              <w:rPr>
                <w:b/>
                <w:bCs/>
              </w:rPr>
              <w:t>Participle</w:t>
            </w:r>
          </w:p>
        </w:tc>
        <w:tc>
          <w:tcPr>
            <w:tcW w:w="3589" w:type="dxa"/>
            <w:tcBorders>
              <w:left w:val="single" w:sz="2" w:space="0" w:color="000000"/>
              <w:bottom w:val="single" w:sz="2" w:space="0" w:color="000000"/>
            </w:tcBorders>
          </w:tcPr>
          <w:p w14:paraId="15D385EC" w14:textId="77777777" w:rsidR="00E53EB6" w:rsidRDefault="00E53EB6">
            <w:pPr>
              <w:pStyle w:val="HaupttextohneEinzug"/>
            </w:pPr>
          </w:p>
        </w:tc>
        <w:tc>
          <w:tcPr>
            <w:tcW w:w="2709" w:type="dxa"/>
            <w:tcBorders>
              <w:left w:val="single" w:sz="2" w:space="0" w:color="000000"/>
              <w:bottom w:val="single" w:sz="2" w:space="0" w:color="000000"/>
            </w:tcBorders>
          </w:tcPr>
          <w:p w14:paraId="6EC57923" w14:textId="77777777" w:rsidR="00E53EB6" w:rsidRDefault="00E53EB6">
            <w:pPr>
              <w:pStyle w:val="HaupttextohneEinzug"/>
            </w:pPr>
          </w:p>
        </w:tc>
        <w:tc>
          <w:tcPr>
            <w:tcW w:w="1173" w:type="dxa"/>
            <w:tcBorders>
              <w:left w:val="single" w:sz="2" w:space="0" w:color="000000"/>
              <w:bottom w:val="single" w:sz="2" w:space="0" w:color="000000"/>
              <w:right w:val="single" w:sz="2" w:space="0" w:color="000000"/>
            </w:tcBorders>
          </w:tcPr>
          <w:p w14:paraId="28C51BB8" w14:textId="77777777" w:rsidR="00E53EB6" w:rsidRDefault="00E53EB6">
            <w:pPr>
              <w:pStyle w:val="HaupttextohneEinzug"/>
            </w:pPr>
          </w:p>
        </w:tc>
      </w:tr>
      <w:tr w:rsidR="00E53EB6" w14:paraId="24F259D0" w14:textId="77777777">
        <w:tc>
          <w:tcPr>
            <w:tcW w:w="1202" w:type="dxa"/>
            <w:tcBorders>
              <w:left w:val="single" w:sz="2" w:space="0" w:color="000000"/>
              <w:bottom w:val="single" w:sz="2" w:space="0" w:color="000000"/>
            </w:tcBorders>
          </w:tcPr>
          <w:p w14:paraId="207C34B4" w14:textId="77777777" w:rsidR="00E53EB6" w:rsidRDefault="006500F5">
            <w:pPr>
              <w:pStyle w:val="HaupttextohneEinzug"/>
              <w:rPr>
                <w:i/>
                <w:iCs/>
              </w:rPr>
            </w:pPr>
            <w:r>
              <w:rPr>
                <w:i/>
                <w:iCs/>
              </w:rPr>
              <w:lastRenderedPageBreak/>
              <w:t>vanvānā</w:t>
            </w:r>
            <w:r>
              <w:rPr>
                <w:i/>
                <w:iCs/>
              </w:rPr>
              <w:t>ḥ</w:t>
            </w:r>
            <w:r>
              <w:rPr>
                <w:i/>
                <w:iCs/>
              </w:rPr>
              <w:t xml:space="preserve"> </w:t>
            </w:r>
            <w:r>
              <w:t>(part. pres. nom. f. pl. Ā VIII cl.)</w:t>
            </w:r>
          </w:p>
        </w:tc>
        <w:tc>
          <w:tcPr>
            <w:tcW w:w="3589" w:type="dxa"/>
            <w:tcBorders>
              <w:left w:val="single" w:sz="2" w:space="0" w:color="000000"/>
              <w:bottom w:val="single" w:sz="2" w:space="0" w:color="000000"/>
            </w:tcBorders>
          </w:tcPr>
          <w:p w14:paraId="57FEA5B2" w14:textId="77777777" w:rsidR="00E53EB6" w:rsidRDefault="006500F5">
            <w:pPr>
              <w:pStyle w:val="HaupttextohneEinzug"/>
            </w:pPr>
            <w:r>
              <w:t>TS 1.8.12.1</w:t>
            </w:r>
            <w:r>
              <w:rPr>
                <w:szCs w:val="21"/>
              </w:rPr>
              <w:t xml:space="preserve"> </w:t>
            </w:r>
            <w:r>
              <w:rPr>
                <w:rFonts w:eastAsia="Arial" w:cs="Times Ext Roman"/>
                <w:i/>
                <w:iCs/>
                <w:szCs w:val="21"/>
                <w:lang w:eastAsia="hi-IN" w:bidi="en-GB"/>
              </w:rPr>
              <w:t>várca</w:t>
            </w:r>
            <w:r>
              <w:rPr>
                <w:rFonts w:eastAsia="Arial" w:cs="Times Ext Roman"/>
                <w:i/>
                <w:iCs/>
                <w:szCs w:val="21"/>
                <w:lang w:eastAsia="hi-IN" w:bidi="en-GB"/>
              </w:rPr>
              <w:t>ḥ</w:t>
            </w:r>
            <w:r>
              <w:rPr>
                <w:rFonts w:eastAsia="Arial" w:cs="Times Ext Roman"/>
                <w:i/>
                <w:iCs/>
                <w:szCs w:val="21"/>
                <w:lang w:eastAsia="hi-IN" w:bidi="en-GB"/>
              </w:rPr>
              <w:t xml:space="preserve"> k</w:t>
            </w:r>
            <w:r>
              <w:rPr>
                <w:rFonts w:eastAsia="Arial" w:cs="Times Ext Roman"/>
                <w:i/>
                <w:iCs/>
                <w:szCs w:val="21"/>
                <w:lang w:eastAsia="hi-IN" w:bidi="en-GB"/>
              </w:rPr>
              <w:t>ṣ</w:t>
            </w:r>
            <w:r>
              <w:rPr>
                <w:rFonts w:eastAsia="Arial" w:cs="Times Ext Roman"/>
                <w:i/>
                <w:iCs/>
                <w:szCs w:val="21"/>
                <w:lang w:eastAsia="hi-IN" w:bidi="en-GB"/>
              </w:rPr>
              <w:t xml:space="preserve">atríyāya vanvānā́s </w:t>
            </w:r>
          </w:p>
          <w:p w14:paraId="5F27825E" w14:textId="77777777" w:rsidR="00E53EB6" w:rsidRDefault="00E53EB6">
            <w:pPr>
              <w:pStyle w:val="HaupttextohneEinzug"/>
              <w:rPr>
                <w:rFonts w:eastAsia="Arial" w:cs="Times Ext Roman"/>
                <w:i/>
                <w:iCs/>
                <w:szCs w:val="21"/>
                <w:lang w:eastAsia="hi-IN" w:bidi="en-GB"/>
              </w:rPr>
            </w:pPr>
          </w:p>
          <w:p w14:paraId="09C12EC9" w14:textId="77777777" w:rsidR="00E53EB6" w:rsidRDefault="006500F5">
            <w:pPr>
              <w:pStyle w:val="HaupttextohneEinzug"/>
            </w:pPr>
            <w:r>
              <w:rPr>
                <w:rFonts w:eastAsia="Arial" w:cs="Times Ext Roman"/>
                <w:szCs w:val="21"/>
                <w:lang w:eastAsia="hi-IN" w:bidi="en-GB"/>
              </w:rPr>
              <w:t xml:space="preserve">MS 2.6.8 </w:t>
            </w:r>
            <w:r>
              <w:rPr>
                <w:rFonts w:eastAsia="Arial" w:cs="Sabon Unicode"/>
                <w:i/>
                <w:szCs w:val="21"/>
                <w:lang w:eastAsia="hi-IN" w:bidi="en-GB"/>
              </w:rPr>
              <w:t>k</w:t>
            </w:r>
            <w:r>
              <w:rPr>
                <w:rFonts w:eastAsia="Arial" w:cs="Sabon Unicode"/>
                <w:i/>
                <w:szCs w:val="21"/>
                <w:lang w:eastAsia="hi-IN" w:bidi="en-GB"/>
              </w:rPr>
              <w:t>ṣ</w:t>
            </w:r>
            <w:r>
              <w:rPr>
                <w:rFonts w:eastAsia="Arial" w:cs="Sabon Unicode"/>
                <w:i/>
                <w:szCs w:val="21"/>
                <w:lang w:eastAsia="hi-IN" w:bidi="en-GB"/>
              </w:rPr>
              <w:t>atrám k</w:t>
            </w:r>
            <w:r>
              <w:rPr>
                <w:rFonts w:eastAsia="Arial" w:cs="Sabon Unicode"/>
                <w:i/>
                <w:szCs w:val="21"/>
                <w:lang w:eastAsia="hi-IN" w:bidi="en-GB"/>
              </w:rPr>
              <w:t>ṣ</w:t>
            </w:r>
            <w:r>
              <w:rPr>
                <w:rFonts w:eastAsia="Arial" w:cs="Sabon Unicode"/>
                <w:i/>
                <w:szCs w:val="21"/>
                <w:lang w:eastAsia="hi-IN" w:bidi="en-GB"/>
              </w:rPr>
              <w:t>atríyāya vanvānā́</w:t>
            </w:r>
            <w:r>
              <w:rPr>
                <w:rFonts w:eastAsia="Arial" w:cs="Sabon Unicode"/>
                <w:i/>
                <w:szCs w:val="21"/>
                <w:lang w:eastAsia="hi-IN" w:bidi="en-GB"/>
              </w:rPr>
              <w:t>ḥ</w:t>
            </w:r>
          </w:p>
          <w:p w14:paraId="532C984E" w14:textId="77777777" w:rsidR="00E53EB6" w:rsidRDefault="00E53EB6">
            <w:pPr>
              <w:pStyle w:val="HaupttextohneEinzug"/>
              <w:rPr>
                <w:rFonts w:eastAsia="Arial" w:cs="Times Ext Roman"/>
                <w:i/>
                <w:iCs/>
                <w:szCs w:val="21"/>
                <w:lang w:eastAsia="hi-IN" w:bidi="en-GB"/>
              </w:rPr>
            </w:pPr>
          </w:p>
          <w:p w14:paraId="70DBC685" w14:textId="77777777" w:rsidR="00E53EB6" w:rsidRDefault="006500F5">
            <w:pPr>
              <w:pStyle w:val="HaupttextohneEinzug"/>
            </w:pPr>
            <w:r>
              <w:rPr>
                <w:rFonts w:eastAsia="Arial" w:cs="Times Ext Roman"/>
                <w:szCs w:val="21"/>
                <w:lang w:eastAsia="hi-IN" w:bidi="en-GB"/>
              </w:rPr>
              <w:t xml:space="preserve">MS 4.4.2 </w:t>
            </w:r>
            <w:r>
              <w:rPr>
                <w:rFonts w:eastAsia="Arial" w:cs="Sabon Unicode"/>
                <w:i/>
                <w:szCs w:val="21"/>
                <w:lang w:eastAsia="hi-IN" w:bidi="en-GB"/>
              </w:rPr>
              <w:t>k</w:t>
            </w:r>
            <w:r>
              <w:rPr>
                <w:rFonts w:eastAsia="Arial" w:cs="Sabon Unicode"/>
                <w:i/>
                <w:szCs w:val="21"/>
                <w:lang w:eastAsia="hi-IN" w:bidi="en-GB"/>
              </w:rPr>
              <w:t>ṣ</w:t>
            </w:r>
            <w:r>
              <w:rPr>
                <w:rFonts w:eastAsia="Arial" w:cs="Sabon Unicode"/>
                <w:i/>
                <w:szCs w:val="21"/>
                <w:lang w:eastAsia="hi-IN" w:bidi="en-GB"/>
              </w:rPr>
              <w:t>atrám k</w:t>
            </w:r>
            <w:r>
              <w:rPr>
                <w:rFonts w:eastAsia="Arial" w:cs="Sabon Unicode"/>
                <w:i/>
                <w:szCs w:val="21"/>
                <w:lang w:eastAsia="hi-IN" w:bidi="en-GB"/>
              </w:rPr>
              <w:t>ṣ</w:t>
            </w:r>
            <w:r>
              <w:rPr>
                <w:rFonts w:eastAsia="Arial" w:cs="Sabon Unicode"/>
                <w:i/>
                <w:szCs w:val="21"/>
                <w:lang w:eastAsia="hi-IN" w:bidi="en-GB"/>
              </w:rPr>
              <w:t>atríyāya vanvānā́</w:t>
            </w:r>
          </w:p>
          <w:p w14:paraId="3A5BC285" w14:textId="77777777" w:rsidR="00E53EB6" w:rsidRDefault="00E53EB6">
            <w:pPr>
              <w:pStyle w:val="HaupttextohneEinzug"/>
              <w:rPr>
                <w:rFonts w:eastAsia="Arial" w:cs="Sabon Unicode"/>
                <w:szCs w:val="21"/>
                <w:lang w:eastAsia="hi-IN" w:bidi="en-GB"/>
              </w:rPr>
            </w:pPr>
          </w:p>
          <w:p w14:paraId="6D4238DD" w14:textId="77777777" w:rsidR="00E53EB6" w:rsidRDefault="006500F5">
            <w:pPr>
              <w:pStyle w:val="HaupttextohneEinzug"/>
            </w:pPr>
            <w:r>
              <w:rPr>
                <w:rFonts w:eastAsia="Arial" w:cs="Sabon Unicode"/>
                <w:szCs w:val="21"/>
                <w:lang w:eastAsia="hi-IN" w:bidi="en-GB"/>
              </w:rPr>
              <w:t xml:space="preserve">VS 10.4 </w:t>
            </w:r>
            <w:r>
              <w:rPr>
                <w:rFonts w:eastAsia="Arial" w:cs="Sabon Unicode"/>
                <w:i/>
                <w:szCs w:val="21"/>
                <w:lang w:eastAsia="hi-IN" w:bidi="en-GB"/>
              </w:rPr>
              <w:t>k</w:t>
            </w:r>
            <w:r>
              <w:rPr>
                <w:rFonts w:eastAsia="Arial" w:cs="Sabon Unicode"/>
                <w:i/>
                <w:szCs w:val="21"/>
                <w:lang w:eastAsia="hi-IN" w:bidi="en-GB"/>
              </w:rPr>
              <w:t>ṣ</w:t>
            </w:r>
            <w:r>
              <w:rPr>
                <w:rFonts w:eastAsia="Arial" w:cs="Sabon Unicode"/>
                <w:i/>
                <w:szCs w:val="21"/>
                <w:lang w:eastAsia="hi-IN" w:bidi="en-GB"/>
              </w:rPr>
              <w:t>atrám k</w:t>
            </w:r>
            <w:r>
              <w:rPr>
                <w:rFonts w:eastAsia="Arial" w:cs="Sabon Unicode"/>
                <w:i/>
                <w:szCs w:val="21"/>
                <w:lang w:eastAsia="hi-IN" w:bidi="en-GB"/>
              </w:rPr>
              <w:t>ṣ</w:t>
            </w:r>
            <w:r>
              <w:rPr>
                <w:rFonts w:eastAsia="Arial" w:cs="Sabon Unicode"/>
                <w:i/>
                <w:szCs w:val="21"/>
                <w:lang w:eastAsia="hi-IN" w:bidi="en-GB"/>
              </w:rPr>
              <w:t>atríyāya vanvānā́</w:t>
            </w:r>
            <w:r>
              <w:rPr>
                <w:rFonts w:eastAsia="Arial" w:cs="Sabon Unicode"/>
                <w:i/>
                <w:szCs w:val="21"/>
                <w:lang w:eastAsia="hi-IN" w:bidi="en-GB"/>
              </w:rPr>
              <w:t>ḥ</w:t>
            </w:r>
          </w:p>
          <w:p w14:paraId="208C5A3E" w14:textId="77777777" w:rsidR="00E53EB6" w:rsidRDefault="00E53EB6">
            <w:pPr>
              <w:pStyle w:val="HaupttextohneEinzug"/>
              <w:rPr>
                <w:rFonts w:eastAsia="Arial" w:cs="Sabon Unicode"/>
                <w:szCs w:val="21"/>
                <w:lang w:eastAsia="hi-IN" w:bidi="en-GB"/>
              </w:rPr>
            </w:pPr>
          </w:p>
          <w:p w14:paraId="436EBBFD" w14:textId="77777777" w:rsidR="00E53EB6" w:rsidRDefault="006500F5">
            <w:pPr>
              <w:pStyle w:val="HaupttextohneEinzug"/>
            </w:pPr>
            <w:r>
              <w:rPr>
                <w:rFonts w:eastAsia="Arial" w:cs="Sabon Unicode"/>
                <w:szCs w:val="21"/>
                <w:lang w:eastAsia="hi-IN" w:bidi="en-GB"/>
              </w:rPr>
              <w:t xml:space="preserve">KS 15.6 </w:t>
            </w:r>
            <w:r>
              <w:rPr>
                <w:rFonts w:eastAsia="Arial" w:cs="Sabon Unicode"/>
                <w:i/>
                <w:szCs w:val="21"/>
                <w:lang w:eastAsia="hi-IN" w:bidi="en-GB"/>
              </w:rPr>
              <w:t>k</w:t>
            </w:r>
            <w:r>
              <w:rPr>
                <w:rFonts w:eastAsia="Arial" w:cs="Sabon Unicode"/>
                <w:i/>
                <w:szCs w:val="21"/>
                <w:lang w:eastAsia="hi-IN" w:bidi="en-GB"/>
              </w:rPr>
              <w:t>ṣ</w:t>
            </w:r>
            <w:r>
              <w:rPr>
                <w:rFonts w:eastAsia="Arial" w:cs="Sabon Unicode"/>
                <w:i/>
                <w:szCs w:val="21"/>
                <w:lang w:eastAsia="hi-IN" w:bidi="en-GB"/>
              </w:rPr>
              <w:t>atrám k</w:t>
            </w:r>
            <w:r>
              <w:rPr>
                <w:rFonts w:eastAsia="Arial" w:cs="Sabon Unicode"/>
                <w:i/>
                <w:szCs w:val="21"/>
                <w:lang w:eastAsia="hi-IN" w:bidi="en-GB"/>
              </w:rPr>
              <w:t>ṣ</w:t>
            </w:r>
            <w:r>
              <w:rPr>
                <w:rFonts w:eastAsia="Arial" w:cs="Sabon Unicode"/>
                <w:i/>
                <w:szCs w:val="21"/>
                <w:lang w:eastAsia="hi-IN" w:bidi="en-GB"/>
              </w:rPr>
              <w:t>atríyāya vanvānā́</w:t>
            </w:r>
            <w:r>
              <w:rPr>
                <w:rFonts w:eastAsia="Arial" w:cs="Sabon Unicode"/>
                <w:i/>
                <w:szCs w:val="21"/>
                <w:lang w:eastAsia="hi-IN" w:bidi="en-GB"/>
              </w:rPr>
              <w:t>ḥ</w:t>
            </w:r>
          </w:p>
          <w:p w14:paraId="0A2EACFC" w14:textId="77777777" w:rsidR="00E53EB6" w:rsidRDefault="00E53EB6">
            <w:pPr>
              <w:pStyle w:val="HaupttextohneEinzug"/>
              <w:rPr>
                <w:rFonts w:eastAsia="Arial" w:cs="Sabon Unicode"/>
                <w:szCs w:val="21"/>
                <w:lang w:eastAsia="hi-IN" w:bidi="en-GB"/>
              </w:rPr>
            </w:pPr>
          </w:p>
          <w:p w14:paraId="3BAEEB61" w14:textId="77777777" w:rsidR="00E53EB6" w:rsidRDefault="006500F5">
            <w:pPr>
              <w:pStyle w:val="HaupttextohneEinzug"/>
            </w:pPr>
            <w:r>
              <w:rPr>
                <w:rFonts w:eastAsia="Arial" w:cs="Sabon Unicode"/>
                <w:szCs w:val="21"/>
                <w:lang w:eastAsia="hi-IN" w:bidi="en-GB"/>
              </w:rPr>
              <w:t xml:space="preserve">ŚB 5.3.4.27 </w:t>
            </w:r>
            <w:r>
              <w:rPr>
                <w:rFonts w:eastAsia="Arial" w:cs="Sabon Unicode"/>
                <w:i/>
                <w:szCs w:val="21"/>
                <w:lang w:eastAsia="hi-IN" w:bidi="en-GB"/>
              </w:rPr>
              <w:t>k</w:t>
            </w:r>
            <w:r>
              <w:rPr>
                <w:rFonts w:eastAsia="Arial" w:cs="Sabon Unicode"/>
                <w:i/>
                <w:szCs w:val="21"/>
                <w:lang w:eastAsia="hi-IN" w:bidi="en-GB"/>
              </w:rPr>
              <w:t>ṣ</w:t>
            </w:r>
            <w:r>
              <w:rPr>
                <w:rFonts w:eastAsia="Arial" w:cs="Sabon Unicode"/>
                <w:i/>
                <w:szCs w:val="21"/>
                <w:lang w:eastAsia="hi-IN" w:bidi="en-GB"/>
              </w:rPr>
              <w:t>atrám k</w:t>
            </w:r>
            <w:r>
              <w:rPr>
                <w:rFonts w:eastAsia="Arial" w:cs="Sabon Unicode"/>
                <w:i/>
                <w:szCs w:val="21"/>
                <w:lang w:eastAsia="hi-IN" w:bidi="en-GB"/>
              </w:rPr>
              <w:t>ṣ</w:t>
            </w:r>
            <w:r>
              <w:rPr>
                <w:rFonts w:eastAsia="Arial" w:cs="Sabon Unicode"/>
                <w:i/>
                <w:szCs w:val="21"/>
                <w:lang w:eastAsia="hi-IN" w:bidi="en-GB"/>
              </w:rPr>
              <w:t>atríyāya vanvānā</w:t>
            </w:r>
          </w:p>
        </w:tc>
        <w:tc>
          <w:tcPr>
            <w:tcW w:w="2709" w:type="dxa"/>
            <w:tcBorders>
              <w:left w:val="single" w:sz="2" w:space="0" w:color="000000"/>
              <w:bottom w:val="single" w:sz="2" w:space="0" w:color="000000"/>
            </w:tcBorders>
          </w:tcPr>
          <w:p w14:paraId="4088CC0B" w14:textId="77777777" w:rsidR="00E53EB6" w:rsidRDefault="006500F5">
            <w:pPr>
              <w:pStyle w:val="HaupttextohneEinzug"/>
            </w:pPr>
            <w:r>
              <w:rPr>
                <w:rStyle w:val="biblio-authorGEN"/>
              </w:rPr>
              <w:t>Keith</w:t>
            </w:r>
            <w:r>
              <w:t xml:space="preserve"> 1914: 123 “Winning”</w:t>
            </w:r>
          </w:p>
          <w:p w14:paraId="5B0899BC" w14:textId="77777777" w:rsidR="00E53EB6" w:rsidRDefault="00E53EB6">
            <w:pPr>
              <w:pStyle w:val="HaupttextohneEinzug"/>
            </w:pPr>
          </w:p>
          <w:p w14:paraId="73FEB608" w14:textId="77777777" w:rsidR="00E53EB6" w:rsidRDefault="00E53EB6">
            <w:pPr>
              <w:pStyle w:val="HaupttextohneEinzug"/>
            </w:pPr>
          </w:p>
          <w:p w14:paraId="0D9A50F6" w14:textId="77777777" w:rsidR="00E53EB6" w:rsidRDefault="00E53EB6">
            <w:pPr>
              <w:pStyle w:val="HaupttextohneEinzug"/>
            </w:pPr>
          </w:p>
          <w:p w14:paraId="7420B12D" w14:textId="77777777" w:rsidR="00E53EB6" w:rsidRDefault="00E53EB6">
            <w:pPr>
              <w:pStyle w:val="HaupttextohneEinzug"/>
            </w:pPr>
          </w:p>
          <w:p w14:paraId="2539F3F3" w14:textId="77777777" w:rsidR="00E53EB6" w:rsidRDefault="00E53EB6">
            <w:pPr>
              <w:pStyle w:val="HaupttextohneEinzug"/>
            </w:pPr>
          </w:p>
          <w:p w14:paraId="3B507AA2" w14:textId="77777777" w:rsidR="00E53EB6" w:rsidRDefault="00E53EB6">
            <w:pPr>
              <w:pStyle w:val="HaupttextohneEinzug"/>
            </w:pPr>
          </w:p>
          <w:p w14:paraId="197D6C06" w14:textId="77777777" w:rsidR="00E53EB6" w:rsidRDefault="00E53EB6">
            <w:pPr>
              <w:pStyle w:val="HaupttextohneEinzug"/>
            </w:pPr>
          </w:p>
          <w:p w14:paraId="7BA5ED7B" w14:textId="77777777" w:rsidR="00E53EB6" w:rsidRDefault="00E53EB6">
            <w:pPr>
              <w:pStyle w:val="HaupttextohneEinzug"/>
            </w:pPr>
          </w:p>
          <w:p w14:paraId="27947694" w14:textId="77777777" w:rsidR="00E53EB6" w:rsidRDefault="00E53EB6">
            <w:pPr>
              <w:pStyle w:val="HaupttextohneEinzug"/>
            </w:pPr>
          </w:p>
          <w:p w14:paraId="0595DF04" w14:textId="77777777" w:rsidR="00E53EB6" w:rsidRDefault="00E53EB6">
            <w:pPr>
              <w:pStyle w:val="HaupttextohneEinzug"/>
            </w:pPr>
          </w:p>
          <w:p w14:paraId="6199485C" w14:textId="77777777" w:rsidR="00E53EB6" w:rsidRDefault="00E53EB6">
            <w:pPr>
              <w:pStyle w:val="HaupttextohneEinzug"/>
            </w:pPr>
          </w:p>
          <w:p w14:paraId="5079DC32" w14:textId="77777777" w:rsidR="00E53EB6" w:rsidRDefault="006500F5">
            <w:pPr>
              <w:pStyle w:val="HaupttextohneEinzug"/>
            </w:pPr>
            <w:r>
              <w:rPr>
                <w:rStyle w:val="biblio-authorGEN"/>
              </w:rPr>
              <w:t>Eggeling</w:t>
            </w:r>
            <w:r>
              <w:t xml:space="preserve"> 1882: III 80 “winning”</w:t>
            </w:r>
          </w:p>
          <w:p w14:paraId="6E013DC8" w14:textId="77777777" w:rsidR="00E53EB6" w:rsidRDefault="00E53EB6">
            <w:pPr>
              <w:pStyle w:val="HaupttextohneEinzug"/>
              <w:rPr>
                <w:szCs w:val="21"/>
              </w:rPr>
            </w:pPr>
          </w:p>
        </w:tc>
        <w:tc>
          <w:tcPr>
            <w:tcW w:w="1173" w:type="dxa"/>
            <w:tcBorders>
              <w:left w:val="single" w:sz="2" w:space="0" w:color="000000"/>
              <w:bottom w:val="single" w:sz="2" w:space="0" w:color="000000"/>
              <w:right w:val="single" w:sz="2" w:space="0" w:color="000000"/>
            </w:tcBorders>
          </w:tcPr>
          <w:p w14:paraId="40AC16C5" w14:textId="77777777" w:rsidR="00E53EB6" w:rsidRDefault="006500F5">
            <w:pPr>
              <w:pStyle w:val="HaupttextohneEinzug"/>
            </w:pPr>
            <w:r>
              <w:t>*u̯en-</w:t>
            </w:r>
          </w:p>
        </w:tc>
      </w:tr>
      <w:tr w:rsidR="00E53EB6" w14:paraId="6E5071A6" w14:textId="77777777">
        <w:tc>
          <w:tcPr>
            <w:tcW w:w="1202" w:type="dxa"/>
            <w:tcBorders>
              <w:left w:val="single" w:sz="2" w:space="0" w:color="000000"/>
              <w:bottom w:val="single" w:sz="2" w:space="0" w:color="000000"/>
            </w:tcBorders>
          </w:tcPr>
          <w:p w14:paraId="006C36AA" w14:textId="77777777" w:rsidR="00E53EB6" w:rsidRDefault="006500F5">
            <w:pPr>
              <w:pStyle w:val="HaupttextohneEinzug"/>
              <w:rPr>
                <w:i/>
                <w:iCs/>
              </w:rPr>
            </w:pPr>
            <w:r>
              <w:rPr>
                <w:i/>
                <w:iCs/>
              </w:rPr>
              <w:t>vanvaná</w:t>
            </w:r>
            <w:r>
              <w:rPr>
                <w:i/>
                <w:iCs/>
              </w:rPr>
              <w:t>ḥ</w:t>
            </w:r>
            <w:r>
              <w:rPr>
                <w:i/>
                <w:iCs/>
              </w:rPr>
              <w:t xml:space="preserve"> </w:t>
            </w:r>
            <w:r>
              <w:t>(part. pres. nom. m. sing. Ā VIII cl.)</w:t>
            </w:r>
          </w:p>
        </w:tc>
        <w:tc>
          <w:tcPr>
            <w:tcW w:w="3589" w:type="dxa"/>
            <w:tcBorders>
              <w:left w:val="single" w:sz="2" w:space="0" w:color="000000"/>
              <w:bottom w:val="single" w:sz="2" w:space="0" w:color="000000"/>
            </w:tcBorders>
          </w:tcPr>
          <w:p w14:paraId="5279D0C7" w14:textId="77777777" w:rsidR="00E53EB6" w:rsidRDefault="006500F5">
            <w:pPr>
              <w:pStyle w:val="HaupttextohneEinzug"/>
            </w:pPr>
            <w:r>
              <w:rPr>
                <w:rFonts w:eastAsia="Arial" w:cs="Sabon Unicode"/>
                <w:szCs w:val="21"/>
                <w:lang w:eastAsia="hi-IN" w:bidi="en-GB"/>
              </w:rPr>
              <w:t xml:space="preserve">AVŚ 5.20.9 </w:t>
            </w:r>
            <w:r>
              <w:rPr>
                <w:rFonts w:eastAsia="Arial" w:cs="Sabon Unicode"/>
                <w:i/>
                <w:iCs/>
                <w:szCs w:val="21"/>
                <w:lang w:eastAsia="hi-IN" w:bidi="en-GB"/>
              </w:rPr>
              <w:t xml:space="preserve">śríyo vanvanó vayúnāni vidvā́nkīrtím bahúbhyo ví hara dvirājé </w:t>
            </w:r>
          </w:p>
          <w:p w14:paraId="264B44E7" w14:textId="77777777" w:rsidR="00E53EB6" w:rsidRDefault="00E53EB6">
            <w:pPr>
              <w:pStyle w:val="HaupttextohneEinzug"/>
              <w:rPr>
                <w:rFonts w:eastAsia="Arial" w:cs="Sabon Unicode"/>
                <w:i/>
                <w:iCs/>
                <w:szCs w:val="21"/>
                <w:lang w:eastAsia="hi-IN" w:bidi="en-GB"/>
              </w:rPr>
            </w:pPr>
          </w:p>
          <w:p w14:paraId="309F125C" w14:textId="77777777" w:rsidR="00E53EB6" w:rsidRDefault="006500F5">
            <w:pPr>
              <w:pStyle w:val="HaupttextohneEinzug"/>
            </w:pPr>
            <w:r>
              <w:rPr>
                <w:rFonts w:eastAsia="Arial" w:cs="Sabon Unicode"/>
                <w:szCs w:val="21"/>
                <w:lang w:eastAsia="hi-IN" w:bidi="en-GB"/>
              </w:rPr>
              <w:t xml:space="preserve">AVP 9.27.9 </w:t>
            </w:r>
            <w:r>
              <w:rPr>
                <w:rFonts w:eastAsia="Arial" w:cs="Sabon Unicode"/>
                <w:i/>
                <w:iCs/>
                <w:szCs w:val="21"/>
                <w:lang w:eastAsia="hi-IN" w:bidi="en-GB"/>
              </w:rPr>
              <w:t xml:space="preserve">śreyo vanvano vayunāni vidvānkīrtim bahubhyo vi bhaja dvirāje </w:t>
            </w:r>
          </w:p>
        </w:tc>
        <w:tc>
          <w:tcPr>
            <w:tcW w:w="2709" w:type="dxa"/>
            <w:tcBorders>
              <w:left w:val="single" w:sz="2" w:space="0" w:color="000000"/>
              <w:bottom w:val="single" w:sz="2" w:space="0" w:color="000000"/>
            </w:tcBorders>
          </w:tcPr>
          <w:p w14:paraId="61900EFD" w14:textId="77777777" w:rsidR="00E53EB6" w:rsidRDefault="006500F5">
            <w:pPr>
              <w:pStyle w:val="HaupttextohneEinzug"/>
            </w:pPr>
            <w:r>
              <w:rPr>
                <w:rStyle w:val="biblio-authorGEN"/>
                <w:szCs w:val="21"/>
              </w:rPr>
              <w:t xml:space="preserve">Whitney </w:t>
            </w:r>
            <w:r>
              <w:rPr>
                <w:szCs w:val="21"/>
              </w:rPr>
              <w:t>1905: 256 “winning”</w:t>
            </w:r>
          </w:p>
        </w:tc>
        <w:tc>
          <w:tcPr>
            <w:tcW w:w="1173" w:type="dxa"/>
            <w:tcBorders>
              <w:left w:val="single" w:sz="2" w:space="0" w:color="000000"/>
              <w:bottom w:val="single" w:sz="2" w:space="0" w:color="000000"/>
              <w:right w:val="single" w:sz="2" w:space="0" w:color="000000"/>
            </w:tcBorders>
          </w:tcPr>
          <w:p w14:paraId="6E9BE942" w14:textId="77777777" w:rsidR="00E53EB6" w:rsidRDefault="006500F5">
            <w:pPr>
              <w:pStyle w:val="HaupttextohneEinzug"/>
            </w:pPr>
            <w:r>
              <w:t>*u̯en-</w:t>
            </w:r>
          </w:p>
        </w:tc>
      </w:tr>
      <w:tr w:rsidR="00E53EB6" w14:paraId="4A6BD38A" w14:textId="77777777">
        <w:tc>
          <w:tcPr>
            <w:tcW w:w="1202" w:type="dxa"/>
            <w:tcBorders>
              <w:left w:val="single" w:sz="2" w:space="0" w:color="000000"/>
              <w:bottom w:val="single" w:sz="2" w:space="0" w:color="000000"/>
            </w:tcBorders>
          </w:tcPr>
          <w:p w14:paraId="1F24E412" w14:textId="77777777" w:rsidR="00E53EB6" w:rsidRDefault="006500F5">
            <w:pPr>
              <w:pStyle w:val="HaupttextohneEinzug"/>
              <w:rPr>
                <w:b/>
                <w:bCs/>
              </w:rPr>
            </w:pPr>
            <w:r>
              <w:rPr>
                <w:b/>
                <w:bCs/>
              </w:rPr>
              <w:t>Imperative</w:t>
            </w:r>
          </w:p>
        </w:tc>
        <w:tc>
          <w:tcPr>
            <w:tcW w:w="3589" w:type="dxa"/>
            <w:tcBorders>
              <w:left w:val="single" w:sz="2" w:space="0" w:color="000000"/>
              <w:bottom w:val="single" w:sz="2" w:space="0" w:color="000000"/>
            </w:tcBorders>
          </w:tcPr>
          <w:p w14:paraId="654E3644" w14:textId="77777777" w:rsidR="00E53EB6" w:rsidRDefault="00E53EB6">
            <w:pPr>
              <w:pStyle w:val="HaupttextohneEinzug"/>
            </w:pPr>
          </w:p>
        </w:tc>
        <w:tc>
          <w:tcPr>
            <w:tcW w:w="2709" w:type="dxa"/>
            <w:tcBorders>
              <w:left w:val="single" w:sz="2" w:space="0" w:color="000000"/>
              <w:bottom w:val="single" w:sz="2" w:space="0" w:color="000000"/>
            </w:tcBorders>
          </w:tcPr>
          <w:p w14:paraId="0484C398" w14:textId="77777777" w:rsidR="00E53EB6" w:rsidRDefault="00E53EB6">
            <w:pPr>
              <w:pStyle w:val="HaupttextohneEinzug"/>
            </w:pPr>
          </w:p>
        </w:tc>
        <w:tc>
          <w:tcPr>
            <w:tcW w:w="1173" w:type="dxa"/>
            <w:tcBorders>
              <w:left w:val="single" w:sz="2" w:space="0" w:color="000000"/>
              <w:bottom w:val="single" w:sz="2" w:space="0" w:color="000000"/>
              <w:right w:val="single" w:sz="2" w:space="0" w:color="000000"/>
            </w:tcBorders>
          </w:tcPr>
          <w:p w14:paraId="74505F7A" w14:textId="77777777" w:rsidR="00E53EB6" w:rsidRDefault="00E53EB6">
            <w:pPr>
              <w:pStyle w:val="HaupttextohneEinzug"/>
            </w:pPr>
          </w:p>
        </w:tc>
      </w:tr>
      <w:tr w:rsidR="00E53EB6" w14:paraId="18F930CB" w14:textId="77777777">
        <w:tc>
          <w:tcPr>
            <w:tcW w:w="1202" w:type="dxa"/>
            <w:tcBorders>
              <w:left w:val="single" w:sz="2" w:space="0" w:color="000000"/>
              <w:bottom w:val="single" w:sz="2" w:space="0" w:color="000000"/>
            </w:tcBorders>
          </w:tcPr>
          <w:p w14:paraId="259F37AA" w14:textId="77777777" w:rsidR="00E53EB6" w:rsidRDefault="006500F5">
            <w:pPr>
              <w:pStyle w:val="HaupttextohneEinzug"/>
              <w:rPr>
                <w:i/>
                <w:iCs/>
              </w:rPr>
            </w:pPr>
            <w:r>
              <w:rPr>
                <w:i/>
                <w:iCs/>
              </w:rPr>
              <w:t>vanutā</w:t>
            </w:r>
            <w:r>
              <w:rPr>
                <w:i/>
                <w:iCs/>
              </w:rPr>
              <w:t>ṃ</w:t>
            </w:r>
            <w:r>
              <w:rPr>
                <w:i/>
                <w:iCs/>
              </w:rPr>
              <w:t xml:space="preserve"> </w:t>
            </w:r>
            <w:r>
              <w:t>(impv. pres. 3</w:t>
            </w:r>
            <w:r>
              <w:rPr>
                <w:vertAlign w:val="superscript"/>
              </w:rPr>
              <w:t>rd</w:t>
            </w:r>
            <w:r>
              <w:t xml:space="preserve"> sing. VIII cl.)</w:t>
            </w:r>
          </w:p>
        </w:tc>
        <w:tc>
          <w:tcPr>
            <w:tcW w:w="3589" w:type="dxa"/>
            <w:tcBorders>
              <w:left w:val="single" w:sz="2" w:space="0" w:color="000000"/>
              <w:bottom w:val="single" w:sz="2" w:space="0" w:color="000000"/>
            </w:tcBorders>
          </w:tcPr>
          <w:p w14:paraId="68274920" w14:textId="77777777" w:rsidR="00E53EB6" w:rsidRDefault="006500F5">
            <w:pPr>
              <w:pStyle w:val="HaupttextohneEinzug"/>
            </w:pPr>
            <w:r>
              <w:t xml:space="preserve">MS 4.13.9 </w:t>
            </w:r>
            <w:r>
              <w:rPr>
                <w:i/>
                <w:iCs/>
              </w:rPr>
              <w:t>agnír devó devébhyo vanutā</w:t>
            </w:r>
            <w:r>
              <w:rPr>
                <w:i/>
                <w:iCs/>
              </w:rPr>
              <w:t>ṃ</w:t>
            </w:r>
          </w:p>
          <w:p w14:paraId="462D3EB2" w14:textId="77777777" w:rsidR="00E53EB6" w:rsidRDefault="00E53EB6">
            <w:pPr>
              <w:pStyle w:val="HaupttextohneEinzug"/>
              <w:rPr>
                <w:i/>
                <w:iCs/>
              </w:rPr>
            </w:pPr>
          </w:p>
          <w:p w14:paraId="50CB05FC" w14:textId="77777777" w:rsidR="00E53EB6" w:rsidRDefault="006500F5">
            <w:pPr>
              <w:pStyle w:val="HaupttextohneEinzug"/>
            </w:pPr>
            <w:r>
              <w:t>ŚB 1.9.1.19</w:t>
            </w:r>
            <w:r>
              <w:rPr>
                <w:szCs w:val="21"/>
              </w:rPr>
              <w:t xml:space="preserve"> </w:t>
            </w:r>
            <w:r>
              <w:rPr>
                <w:i/>
                <w:iCs/>
                <w:szCs w:val="21"/>
              </w:rPr>
              <w:t>a</w:t>
            </w:r>
            <w:r>
              <w:rPr>
                <w:rFonts w:eastAsia="MS Mincho;ＭＳ 明朝" w:cs="Times Ext Roman"/>
                <w:i/>
                <w:iCs/>
                <w:szCs w:val="21"/>
                <w:lang w:eastAsia="hi-IN" w:bidi="en-GB"/>
              </w:rPr>
              <w:t>gnírdevó devébhyo vanutā</w:t>
            </w:r>
            <w:r>
              <w:rPr>
                <w:rFonts w:eastAsia="MS Mincho;ＭＳ 明朝" w:cs="Times Ext Roman"/>
                <w:i/>
                <w:iCs/>
                <w:szCs w:val="21"/>
                <w:lang w:eastAsia="hi-IN" w:bidi="en-GB"/>
              </w:rPr>
              <w:t>ṃ</w:t>
            </w:r>
            <w:r>
              <w:rPr>
                <w:rFonts w:eastAsia="MS Mincho;ＭＳ 明朝" w:cs="Times Ext Roman"/>
                <w:i/>
                <w:iCs/>
                <w:sz w:val="18"/>
                <w:szCs w:val="18"/>
                <w:lang w:eastAsia="hi-IN" w:bidi="en-GB"/>
              </w:rPr>
              <w:t xml:space="preserve"> </w:t>
            </w:r>
          </w:p>
          <w:p w14:paraId="17B16DCA" w14:textId="77777777" w:rsidR="00E53EB6" w:rsidRDefault="00E53EB6">
            <w:pPr>
              <w:pStyle w:val="HaupttextohneEinzug"/>
              <w:rPr>
                <w:rFonts w:eastAsia="MS Mincho;ＭＳ 明朝" w:cs="Times Ext Roman"/>
                <w:i/>
                <w:iCs/>
                <w:sz w:val="18"/>
                <w:szCs w:val="18"/>
                <w:lang w:eastAsia="hi-IN" w:bidi="en-GB"/>
              </w:rPr>
            </w:pPr>
          </w:p>
          <w:p w14:paraId="0CCD9EAD" w14:textId="77777777" w:rsidR="00E53EB6" w:rsidRDefault="006500F5">
            <w:pPr>
              <w:pStyle w:val="HaupttextohneEinzug"/>
              <w:rPr>
                <w:szCs w:val="18"/>
              </w:rPr>
            </w:pPr>
            <w:r>
              <w:rPr>
                <w:rFonts w:eastAsia="MS Mincho;ＭＳ 明朝" w:cs="Times Ext Roman"/>
                <w:szCs w:val="18"/>
                <w:lang w:eastAsia="hi-IN" w:bidi="en-GB"/>
              </w:rPr>
              <w:t xml:space="preserve">AVŚ 4.15.10 </w:t>
            </w:r>
            <w:r>
              <w:rPr>
                <w:rFonts w:eastAsia="MS Mincho;ＭＳ 明朝" w:cs="Times Ext Roman"/>
                <w:i/>
                <w:iCs/>
                <w:szCs w:val="18"/>
                <w:lang w:eastAsia="hi-IN" w:bidi="en-GB"/>
              </w:rPr>
              <w:t>sá no var</w:t>
            </w:r>
            <w:r>
              <w:rPr>
                <w:rFonts w:eastAsia="MS Mincho;ＭＳ 明朝" w:cs="Times Ext Roman"/>
                <w:i/>
                <w:iCs/>
                <w:szCs w:val="18"/>
                <w:lang w:eastAsia="hi-IN" w:bidi="en-GB"/>
              </w:rPr>
              <w:t>ṣ</w:t>
            </w:r>
            <w:r>
              <w:rPr>
                <w:rFonts w:eastAsia="MS Mincho;ＭＳ 明朝" w:cs="Times Ext Roman"/>
                <w:i/>
                <w:iCs/>
                <w:szCs w:val="18"/>
                <w:lang w:eastAsia="hi-IN" w:bidi="en-GB"/>
              </w:rPr>
              <w:t>á</w:t>
            </w:r>
            <w:r>
              <w:rPr>
                <w:rFonts w:eastAsia="MS Mincho;ＭＳ 明朝" w:cs="Times Ext Roman"/>
                <w:i/>
                <w:iCs/>
                <w:szCs w:val="18"/>
                <w:lang w:eastAsia="hi-IN" w:bidi="en-GB"/>
              </w:rPr>
              <w:t>ṃ</w:t>
            </w:r>
            <w:r>
              <w:rPr>
                <w:rFonts w:eastAsia="MS Mincho;ＭＳ 明朝" w:cs="Times Ext Roman"/>
                <w:i/>
                <w:iCs/>
                <w:szCs w:val="18"/>
                <w:lang w:eastAsia="hi-IN" w:bidi="en-GB"/>
              </w:rPr>
              <w:t xml:space="preserve"> vanutā</w:t>
            </w:r>
            <w:r>
              <w:rPr>
                <w:rFonts w:eastAsia="MS Mincho;ＭＳ 明朝" w:cs="Times Ext Roman"/>
                <w:i/>
                <w:iCs/>
                <w:szCs w:val="18"/>
                <w:lang w:eastAsia="hi-IN" w:bidi="en-GB"/>
              </w:rPr>
              <w:t>ṃ</w:t>
            </w:r>
            <w:r>
              <w:rPr>
                <w:rFonts w:eastAsia="MS Mincho;ＭＳ 明朝" w:cs="Times Ext Roman"/>
                <w:i/>
                <w:iCs/>
                <w:szCs w:val="18"/>
                <w:lang w:eastAsia="hi-IN" w:bidi="en-GB"/>
              </w:rPr>
              <w:t xml:space="preserve"> jātávedā</w:t>
            </w:r>
            <w:r>
              <w:rPr>
                <w:rFonts w:eastAsia="MS Mincho;ＭＳ 明朝" w:cs="Times Ext Roman"/>
                <w:i/>
                <w:iCs/>
                <w:szCs w:val="18"/>
                <w:lang w:eastAsia="hi-IN" w:bidi="en-GB"/>
              </w:rPr>
              <w:t>ḥ</w:t>
            </w:r>
            <w:r>
              <w:rPr>
                <w:rFonts w:eastAsia="MS Mincho;ＭＳ 明朝" w:cs="Times Ext Roman"/>
                <w:i/>
                <w:iCs/>
                <w:szCs w:val="18"/>
                <w:lang w:eastAsia="hi-IN" w:bidi="en-GB"/>
              </w:rPr>
              <w:t xml:space="preserve"> prā</w:t>
            </w:r>
            <w:r>
              <w:rPr>
                <w:rFonts w:eastAsia="MS Mincho;ＭＳ 明朝" w:cs="Times Ext Roman"/>
                <w:i/>
                <w:iCs/>
                <w:szCs w:val="18"/>
                <w:lang w:eastAsia="hi-IN" w:bidi="en-GB"/>
              </w:rPr>
              <w:t>ṇ</w:t>
            </w:r>
            <w:r>
              <w:rPr>
                <w:rFonts w:eastAsia="MS Mincho;ＭＳ 明朝" w:cs="Times Ext Roman"/>
                <w:i/>
                <w:iCs/>
                <w:szCs w:val="18"/>
                <w:lang w:eastAsia="hi-IN" w:bidi="en-GB"/>
              </w:rPr>
              <w:t>á</w:t>
            </w:r>
            <w:r>
              <w:rPr>
                <w:rFonts w:eastAsia="MS Mincho;ＭＳ 明朝" w:cs="Times Ext Roman"/>
                <w:i/>
                <w:iCs/>
                <w:szCs w:val="18"/>
                <w:lang w:eastAsia="hi-IN" w:bidi="en-GB"/>
              </w:rPr>
              <w:t>ṃ</w:t>
            </w:r>
            <w:r>
              <w:rPr>
                <w:rFonts w:eastAsia="MS Mincho;ＭＳ 明朝" w:cs="Times Ext Roman"/>
                <w:i/>
                <w:iCs/>
                <w:szCs w:val="18"/>
                <w:lang w:eastAsia="hi-IN" w:bidi="en-GB"/>
              </w:rPr>
              <w:t xml:space="preserve"> prajā́bhyo amŕ̥ta</w:t>
            </w:r>
            <w:r>
              <w:rPr>
                <w:rFonts w:eastAsia="MS Mincho;ＭＳ 明朝" w:cs="Times Ext Roman"/>
                <w:i/>
                <w:iCs/>
                <w:szCs w:val="18"/>
                <w:lang w:eastAsia="hi-IN" w:bidi="en-GB"/>
              </w:rPr>
              <w:t>ṃ</w:t>
            </w:r>
            <w:r>
              <w:rPr>
                <w:rFonts w:eastAsia="MS Mincho;ＭＳ 明朝" w:cs="Times Ext Roman"/>
                <w:i/>
                <w:iCs/>
                <w:szCs w:val="18"/>
                <w:lang w:eastAsia="hi-IN" w:bidi="en-GB"/>
              </w:rPr>
              <w:t xml:space="preserve"> divás pári</w:t>
            </w:r>
          </w:p>
          <w:p w14:paraId="474D007B" w14:textId="77777777" w:rsidR="00E53EB6" w:rsidRDefault="00E53EB6">
            <w:pPr>
              <w:pStyle w:val="HaupttextohneEinzug"/>
              <w:rPr>
                <w:rFonts w:eastAsia="MS Mincho;ＭＳ 明朝" w:cs="Times Ext Roman"/>
                <w:i/>
                <w:iCs/>
                <w:szCs w:val="18"/>
                <w:lang w:eastAsia="hi-IN" w:bidi="en-GB"/>
              </w:rPr>
            </w:pPr>
          </w:p>
          <w:p w14:paraId="701839E9" w14:textId="77777777" w:rsidR="00E53EB6" w:rsidRDefault="006500F5">
            <w:pPr>
              <w:pStyle w:val="HaupttextohneEinzug"/>
              <w:rPr>
                <w:szCs w:val="18"/>
              </w:rPr>
            </w:pPr>
            <w:r>
              <w:rPr>
                <w:rFonts w:eastAsia="MS Mincho;ＭＳ 明朝" w:cs="Times Ext Roman"/>
                <w:szCs w:val="18"/>
                <w:lang w:eastAsia="hi-IN" w:bidi="en-GB"/>
              </w:rPr>
              <w:t xml:space="preserve">AVP 5.7.8 </w:t>
            </w:r>
            <w:r>
              <w:rPr>
                <w:rFonts w:eastAsia="MS Mincho;ＭＳ 明朝" w:cs="Times Ext Roman"/>
                <w:i/>
                <w:iCs/>
                <w:szCs w:val="18"/>
                <w:lang w:eastAsia="hi-IN" w:bidi="en-GB"/>
              </w:rPr>
              <w:t>sá no var</w:t>
            </w:r>
            <w:r>
              <w:rPr>
                <w:rFonts w:eastAsia="MS Mincho;ＭＳ 明朝" w:cs="Times Ext Roman"/>
                <w:i/>
                <w:iCs/>
                <w:szCs w:val="18"/>
                <w:lang w:eastAsia="hi-IN" w:bidi="en-GB"/>
              </w:rPr>
              <w:t>ṣ</w:t>
            </w:r>
            <w:r>
              <w:rPr>
                <w:rFonts w:eastAsia="MS Mincho;ＭＳ 明朝" w:cs="Times Ext Roman"/>
                <w:i/>
                <w:iCs/>
                <w:szCs w:val="18"/>
                <w:lang w:eastAsia="hi-IN" w:bidi="en-GB"/>
              </w:rPr>
              <w:t>a</w:t>
            </w:r>
            <w:r>
              <w:rPr>
                <w:rFonts w:eastAsia="MS Mincho;ＭＳ 明朝" w:cs="Times Ext Roman"/>
                <w:i/>
                <w:iCs/>
                <w:szCs w:val="18"/>
                <w:lang w:eastAsia="hi-IN" w:bidi="en-GB"/>
              </w:rPr>
              <w:t>ṃ</w:t>
            </w:r>
            <w:r>
              <w:rPr>
                <w:rFonts w:eastAsia="MS Mincho;ＭＳ 明朝" w:cs="Times Ext Roman"/>
                <w:i/>
                <w:iCs/>
                <w:szCs w:val="18"/>
                <w:lang w:eastAsia="hi-IN" w:bidi="en-GB"/>
              </w:rPr>
              <w:t xml:space="preserve"> vanutā</w:t>
            </w:r>
            <w:r>
              <w:rPr>
                <w:rFonts w:eastAsia="MS Mincho;ＭＳ 明朝" w:cs="Times Ext Roman"/>
                <w:i/>
                <w:iCs/>
                <w:szCs w:val="18"/>
                <w:lang w:eastAsia="hi-IN" w:bidi="en-GB"/>
              </w:rPr>
              <w:t>ṃ</w:t>
            </w:r>
            <w:r>
              <w:rPr>
                <w:rFonts w:eastAsia="MS Mincho;ＭＳ 明朝" w:cs="Times Ext Roman"/>
                <w:i/>
                <w:iCs/>
                <w:szCs w:val="18"/>
                <w:lang w:eastAsia="hi-IN" w:bidi="en-GB"/>
              </w:rPr>
              <w:t xml:space="preserve"> jātavedā</w:t>
            </w:r>
            <w:r>
              <w:rPr>
                <w:rFonts w:eastAsia="MS Mincho;ＭＳ 明朝" w:cs="Times Ext Roman"/>
                <w:i/>
                <w:iCs/>
                <w:szCs w:val="18"/>
                <w:lang w:eastAsia="hi-IN" w:bidi="en-GB"/>
              </w:rPr>
              <w:t>ḥ</w:t>
            </w:r>
            <w:r>
              <w:rPr>
                <w:rFonts w:eastAsia="MS Mincho;ＭＳ 明朝" w:cs="Times Ext Roman"/>
                <w:i/>
                <w:iCs/>
                <w:szCs w:val="18"/>
                <w:lang w:eastAsia="hi-IN" w:bidi="en-GB"/>
              </w:rPr>
              <w:t xml:space="preserve"> prā</w:t>
            </w:r>
            <w:r>
              <w:rPr>
                <w:rFonts w:eastAsia="MS Mincho;ＭＳ 明朝" w:cs="Times Ext Roman"/>
                <w:i/>
                <w:iCs/>
                <w:szCs w:val="18"/>
                <w:lang w:eastAsia="hi-IN" w:bidi="en-GB"/>
              </w:rPr>
              <w:t>ṇ</w:t>
            </w:r>
            <w:r>
              <w:rPr>
                <w:rFonts w:eastAsia="MS Mincho;ＭＳ 明朝" w:cs="Times Ext Roman"/>
                <w:i/>
                <w:iCs/>
                <w:szCs w:val="18"/>
                <w:lang w:eastAsia="hi-IN" w:bidi="en-GB"/>
              </w:rPr>
              <w:t>a</w:t>
            </w:r>
            <w:r>
              <w:rPr>
                <w:rFonts w:eastAsia="MS Mincho;ＭＳ 明朝" w:cs="Times Ext Roman"/>
                <w:i/>
                <w:iCs/>
                <w:szCs w:val="18"/>
                <w:lang w:eastAsia="hi-IN" w:bidi="en-GB"/>
              </w:rPr>
              <w:t>ṃ</w:t>
            </w:r>
            <w:r>
              <w:rPr>
                <w:rFonts w:eastAsia="MS Mincho;ＭＳ 明朝" w:cs="Times Ext Roman"/>
                <w:i/>
                <w:iCs/>
                <w:szCs w:val="18"/>
                <w:lang w:eastAsia="hi-IN" w:bidi="en-GB"/>
              </w:rPr>
              <w:t xml:space="preserve"> prajābhyo amr̥ta</w:t>
            </w:r>
            <w:r>
              <w:rPr>
                <w:rFonts w:eastAsia="MS Mincho;ＭＳ 明朝" w:cs="Times Ext Roman"/>
                <w:i/>
                <w:iCs/>
                <w:szCs w:val="18"/>
                <w:lang w:eastAsia="hi-IN" w:bidi="en-GB"/>
              </w:rPr>
              <w:t>ṃ</w:t>
            </w:r>
            <w:r>
              <w:rPr>
                <w:rFonts w:eastAsia="MS Mincho;ＭＳ 明朝" w:cs="Times Ext Roman"/>
                <w:i/>
                <w:iCs/>
                <w:szCs w:val="18"/>
                <w:lang w:eastAsia="hi-IN" w:bidi="en-GB"/>
              </w:rPr>
              <w:t xml:space="preserve"> divas pari </w:t>
            </w:r>
          </w:p>
        </w:tc>
        <w:tc>
          <w:tcPr>
            <w:tcW w:w="2709" w:type="dxa"/>
            <w:tcBorders>
              <w:left w:val="single" w:sz="2" w:space="0" w:color="000000"/>
              <w:bottom w:val="single" w:sz="2" w:space="0" w:color="000000"/>
            </w:tcBorders>
          </w:tcPr>
          <w:p w14:paraId="6C728791" w14:textId="77777777" w:rsidR="00E53EB6" w:rsidRDefault="00E53EB6">
            <w:pPr>
              <w:pStyle w:val="HaupttextohneEinzug"/>
            </w:pPr>
          </w:p>
          <w:p w14:paraId="00C7C37C" w14:textId="77777777" w:rsidR="00E53EB6" w:rsidRDefault="00E53EB6">
            <w:pPr>
              <w:pStyle w:val="HaupttextohneEinzug"/>
            </w:pPr>
          </w:p>
          <w:p w14:paraId="0AA31EA1" w14:textId="77777777" w:rsidR="00E53EB6" w:rsidRDefault="00E53EB6">
            <w:pPr>
              <w:pStyle w:val="HaupttextohneEinzug"/>
            </w:pPr>
          </w:p>
          <w:p w14:paraId="2EDAAAE8" w14:textId="77777777" w:rsidR="00E53EB6" w:rsidRDefault="006500F5">
            <w:pPr>
              <w:pStyle w:val="HaupttextohneEinzug"/>
            </w:pPr>
            <w:r>
              <w:rPr>
                <w:rStyle w:val="biblio-authorGEN"/>
              </w:rPr>
              <w:t>Eggeling</w:t>
            </w:r>
            <w:r>
              <w:t xml:space="preserve"> 1882: I 253 “may solicit”</w:t>
            </w:r>
          </w:p>
          <w:p w14:paraId="15DB4FE7" w14:textId="77777777" w:rsidR="00E53EB6" w:rsidRDefault="00E53EB6">
            <w:pPr>
              <w:pStyle w:val="HaupttextohneEinzug"/>
            </w:pPr>
          </w:p>
          <w:p w14:paraId="199502EF" w14:textId="77777777" w:rsidR="00E53EB6" w:rsidRDefault="006500F5">
            <w:pPr>
              <w:pStyle w:val="HaupttextohneEinzug"/>
            </w:pPr>
            <w:r>
              <w:rPr>
                <w:rStyle w:val="biblio-authorGEN"/>
                <w:szCs w:val="21"/>
              </w:rPr>
              <w:t xml:space="preserve">Whitney </w:t>
            </w:r>
            <w:r>
              <w:rPr>
                <w:szCs w:val="21"/>
              </w:rPr>
              <w:t>1905: 174 “win”</w:t>
            </w:r>
          </w:p>
          <w:p w14:paraId="049E5AE4" w14:textId="77777777" w:rsidR="00E53EB6" w:rsidRDefault="00E53EB6">
            <w:pPr>
              <w:pStyle w:val="ZitatmitEinzug"/>
              <w:ind w:left="0" w:firstLine="0"/>
              <w:rPr>
                <w:sz w:val="21"/>
                <w:szCs w:val="21"/>
              </w:rPr>
            </w:pPr>
          </w:p>
          <w:p w14:paraId="4A11804E" w14:textId="77777777" w:rsidR="00E53EB6" w:rsidRDefault="00E53EB6">
            <w:pPr>
              <w:pStyle w:val="ZitatmitEinzug"/>
              <w:ind w:left="0" w:firstLine="0"/>
              <w:rPr>
                <w:sz w:val="21"/>
                <w:szCs w:val="21"/>
              </w:rPr>
            </w:pPr>
          </w:p>
          <w:p w14:paraId="1C741D9F" w14:textId="77777777" w:rsidR="00E53EB6" w:rsidRDefault="00E53EB6">
            <w:pPr>
              <w:pStyle w:val="ZitatmitEinzug"/>
              <w:ind w:left="0" w:firstLine="0"/>
              <w:rPr>
                <w:sz w:val="21"/>
                <w:szCs w:val="21"/>
              </w:rPr>
            </w:pPr>
          </w:p>
          <w:p w14:paraId="2DA12080" w14:textId="77777777" w:rsidR="00E53EB6" w:rsidRDefault="00E53EB6">
            <w:pPr>
              <w:pStyle w:val="ZitatmitEinzug"/>
              <w:ind w:left="0" w:firstLine="0"/>
              <w:rPr>
                <w:sz w:val="21"/>
                <w:szCs w:val="21"/>
              </w:rPr>
            </w:pPr>
          </w:p>
          <w:p w14:paraId="196889C5" w14:textId="77777777" w:rsidR="00E53EB6" w:rsidRDefault="006500F5">
            <w:pPr>
              <w:pStyle w:val="HaupttextohneEinzug"/>
            </w:pPr>
            <w:r>
              <w:rPr>
                <w:rStyle w:val="biblio-authorGEN"/>
                <w:szCs w:val="21"/>
              </w:rPr>
              <w:t xml:space="preserve">Lubotksy </w:t>
            </w:r>
            <w:r>
              <w:rPr>
                <w:szCs w:val="21"/>
              </w:rPr>
              <w:t xml:space="preserve">2002: 34 “let </w:t>
            </w:r>
            <w:r>
              <w:rPr>
                <w:szCs w:val="21"/>
              </w:rPr>
              <w:t>get”</w:t>
            </w:r>
          </w:p>
        </w:tc>
        <w:tc>
          <w:tcPr>
            <w:tcW w:w="1173" w:type="dxa"/>
            <w:tcBorders>
              <w:left w:val="single" w:sz="2" w:space="0" w:color="000000"/>
              <w:bottom w:val="single" w:sz="2" w:space="0" w:color="000000"/>
              <w:right w:val="single" w:sz="2" w:space="0" w:color="000000"/>
            </w:tcBorders>
          </w:tcPr>
          <w:p w14:paraId="5A7A180A" w14:textId="77777777" w:rsidR="00E53EB6" w:rsidRDefault="006500F5">
            <w:pPr>
              <w:pStyle w:val="HaupttextohneEinzug"/>
            </w:pPr>
            <w:r>
              <w:t>*u̯en-</w:t>
            </w:r>
          </w:p>
        </w:tc>
      </w:tr>
      <w:tr w:rsidR="00E53EB6" w14:paraId="34FD3CEB" w14:textId="77777777">
        <w:tc>
          <w:tcPr>
            <w:tcW w:w="1202" w:type="dxa"/>
            <w:tcBorders>
              <w:left w:val="single" w:sz="2" w:space="0" w:color="000000"/>
              <w:bottom w:val="single" w:sz="2" w:space="0" w:color="000000"/>
            </w:tcBorders>
          </w:tcPr>
          <w:p w14:paraId="2AD1AA93" w14:textId="77777777" w:rsidR="00E53EB6" w:rsidRDefault="006500F5">
            <w:pPr>
              <w:pStyle w:val="HaupttextohneEinzug"/>
            </w:pPr>
            <w:r>
              <w:rPr>
                <w:i/>
                <w:iCs/>
              </w:rPr>
              <w:t>vanudhva</w:t>
            </w:r>
            <w:r>
              <w:rPr>
                <w:i/>
                <w:iCs/>
              </w:rPr>
              <w:t>ṃ</w:t>
            </w:r>
            <w:r>
              <w:t>(impv. p</w:t>
            </w:r>
            <w:r>
              <w:t>res. 2</w:t>
            </w:r>
            <w:r>
              <w:rPr>
                <w:vertAlign w:val="superscript"/>
              </w:rPr>
              <w:t>nd</w:t>
            </w:r>
            <w:r>
              <w:t xml:space="preserve"> pl. Ā VIII cl.)</w:t>
            </w:r>
          </w:p>
        </w:tc>
        <w:tc>
          <w:tcPr>
            <w:tcW w:w="3589" w:type="dxa"/>
            <w:tcBorders>
              <w:left w:val="single" w:sz="2" w:space="0" w:color="000000"/>
              <w:bottom w:val="single" w:sz="2" w:space="0" w:color="000000"/>
            </w:tcBorders>
          </w:tcPr>
          <w:p w14:paraId="4889802D" w14:textId="77777777" w:rsidR="00E53EB6" w:rsidRDefault="006500F5">
            <w:pPr>
              <w:pStyle w:val="HaupttextohneEinzug"/>
            </w:pPr>
            <w:r>
              <w:t>AVŚ 4.15.15</w:t>
            </w:r>
            <w:r>
              <w:rPr>
                <w:i/>
                <w:iCs/>
              </w:rPr>
              <w:t xml:space="preserve"> var</w:t>
            </w:r>
            <w:r>
              <w:rPr>
                <w:i/>
                <w:iCs/>
              </w:rPr>
              <w:t>ṣ</w:t>
            </w:r>
            <w:r>
              <w:rPr>
                <w:i/>
                <w:iCs/>
              </w:rPr>
              <w:t>á</w:t>
            </w:r>
            <w:r>
              <w:rPr>
                <w:i/>
                <w:iCs/>
              </w:rPr>
              <w:t>ṃ</w:t>
            </w:r>
            <w:r>
              <w:rPr>
                <w:i/>
                <w:iCs/>
              </w:rPr>
              <w:t xml:space="preserve"> vanudhva</w:t>
            </w:r>
            <w:r>
              <w:rPr>
                <w:i/>
                <w:iCs/>
              </w:rPr>
              <w:t>ṃ</w:t>
            </w:r>
            <w:r>
              <w:rPr>
                <w:i/>
                <w:iCs/>
              </w:rPr>
              <w:t xml:space="preserve"> pitaro marútā</w:t>
            </w:r>
            <w:r>
              <w:rPr>
                <w:i/>
                <w:iCs/>
              </w:rPr>
              <w:t>ṃ</w:t>
            </w:r>
            <w:r>
              <w:rPr>
                <w:i/>
                <w:iCs/>
              </w:rPr>
              <w:t xml:space="preserve"> mána icchata</w:t>
            </w:r>
          </w:p>
        </w:tc>
        <w:tc>
          <w:tcPr>
            <w:tcW w:w="2709" w:type="dxa"/>
            <w:tcBorders>
              <w:left w:val="single" w:sz="2" w:space="0" w:color="000000"/>
              <w:bottom w:val="single" w:sz="2" w:space="0" w:color="000000"/>
            </w:tcBorders>
          </w:tcPr>
          <w:p w14:paraId="5E070FB8" w14:textId="77777777" w:rsidR="00E53EB6" w:rsidRDefault="006500F5">
            <w:pPr>
              <w:pStyle w:val="HaupttextohneEinzug"/>
            </w:pPr>
            <w:r>
              <w:rPr>
                <w:rStyle w:val="biblio-authorGEN"/>
                <w:szCs w:val="21"/>
              </w:rPr>
              <w:t xml:space="preserve">Whitney </w:t>
            </w:r>
            <w:r>
              <w:rPr>
                <w:szCs w:val="21"/>
              </w:rPr>
              <w:t>1905: 175 “won”</w:t>
            </w:r>
          </w:p>
        </w:tc>
        <w:tc>
          <w:tcPr>
            <w:tcW w:w="1173" w:type="dxa"/>
            <w:tcBorders>
              <w:left w:val="single" w:sz="2" w:space="0" w:color="000000"/>
              <w:bottom w:val="single" w:sz="2" w:space="0" w:color="000000"/>
              <w:right w:val="single" w:sz="2" w:space="0" w:color="000000"/>
            </w:tcBorders>
          </w:tcPr>
          <w:p w14:paraId="4FF2E9B9" w14:textId="77777777" w:rsidR="00E53EB6" w:rsidRDefault="006500F5">
            <w:pPr>
              <w:pStyle w:val="HaupttextohneEinzug"/>
            </w:pPr>
            <w:r>
              <w:t>*u̯en-</w:t>
            </w:r>
          </w:p>
        </w:tc>
      </w:tr>
      <w:tr w:rsidR="00E53EB6" w14:paraId="1FC4DA04" w14:textId="77777777">
        <w:tc>
          <w:tcPr>
            <w:tcW w:w="1202" w:type="dxa"/>
            <w:tcBorders>
              <w:left w:val="single" w:sz="2" w:space="0" w:color="000000"/>
              <w:bottom w:val="single" w:sz="2" w:space="0" w:color="000000"/>
            </w:tcBorders>
          </w:tcPr>
          <w:p w14:paraId="7216CD9F" w14:textId="77777777" w:rsidR="00E53EB6" w:rsidRDefault="006500F5">
            <w:pPr>
              <w:pStyle w:val="HaupttextohneEinzug"/>
              <w:rPr>
                <w:i/>
                <w:iCs/>
              </w:rPr>
            </w:pPr>
            <w:r>
              <w:rPr>
                <w:i/>
                <w:iCs/>
              </w:rPr>
              <w:t>vanu</w:t>
            </w:r>
            <w:r>
              <w:rPr>
                <w:i/>
                <w:iCs/>
              </w:rPr>
              <w:t>ṣ</w:t>
            </w:r>
            <w:r>
              <w:rPr>
                <w:i/>
                <w:iCs/>
              </w:rPr>
              <w:t>va</w:t>
            </w:r>
          </w:p>
          <w:p w14:paraId="6FDB4D30" w14:textId="77777777" w:rsidR="00E53EB6" w:rsidRDefault="006500F5">
            <w:pPr>
              <w:pStyle w:val="HaupttextohneEinzug"/>
            </w:pPr>
            <w:r>
              <w:t>(impv. pres. 2</w:t>
            </w:r>
            <w:r>
              <w:rPr>
                <w:vertAlign w:val="superscript"/>
              </w:rPr>
              <w:t>nd</w:t>
            </w:r>
            <w:r>
              <w:t xml:space="preserve"> sing. Ā VIII cl.)</w:t>
            </w:r>
          </w:p>
        </w:tc>
        <w:tc>
          <w:tcPr>
            <w:tcW w:w="3589" w:type="dxa"/>
            <w:tcBorders>
              <w:left w:val="single" w:sz="2" w:space="0" w:color="000000"/>
              <w:bottom w:val="single" w:sz="2" w:space="0" w:color="000000"/>
            </w:tcBorders>
          </w:tcPr>
          <w:p w14:paraId="4B2D112A" w14:textId="77777777" w:rsidR="00E53EB6" w:rsidRDefault="006500F5">
            <w:pPr>
              <w:pStyle w:val="HaupttextohneEinzug"/>
            </w:pPr>
            <w:r>
              <w:t xml:space="preserve">AVŚ 12.3.53 </w:t>
            </w:r>
            <w:r>
              <w:rPr>
                <w:i/>
                <w:iCs/>
              </w:rPr>
              <w:t>var</w:t>
            </w:r>
            <w:r>
              <w:rPr>
                <w:i/>
                <w:iCs/>
              </w:rPr>
              <w:t>ṣ</w:t>
            </w:r>
            <w:r>
              <w:rPr>
                <w:i/>
                <w:iCs/>
              </w:rPr>
              <w:t>á</w:t>
            </w:r>
            <w:r>
              <w:rPr>
                <w:i/>
                <w:iCs/>
              </w:rPr>
              <w:t>ṃ</w:t>
            </w:r>
            <w:r>
              <w:rPr>
                <w:i/>
                <w:iCs/>
              </w:rPr>
              <w:t xml:space="preserve"> vanu</w:t>
            </w:r>
            <w:r>
              <w:rPr>
                <w:i/>
                <w:iCs/>
              </w:rPr>
              <w:t>ṣ</w:t>
            </w:r>
            <w:r>
              <w:rPr>
                <w:i/>
                <w:iCs/>
              </w:rPr>
              <w:t>vā́pi gacha devā́</w:t>
            </w:r>
            <w:r>
              <w:rPr>
                <w:i/>
                <w:iCs/>
              </w:rPr>
              <w:t>ṃ</w:t>
            </w:r>
            <w:r>
              <w:rPr>
                <w:i/>
                <w:iCs/>
              </w:rPr>
              <w:t>stvacó dhūmá</w:t>
            </w:r>
            <w:r>
              <w:rPr>
                <w:i/>
                <w:iCs/>
              </w:rPr>
              <w:t>ṃ</w:t>
            </w:r>
            <w:r>
              <w:rPr>
                <w:i/>
                <w:iCs/>
              </w:rPr>
              <w:t xml:space="preserve"> páryút </w:t>
            </w:r>
            <w:r>
              <w:rPr>
                <w:i/>
                <w:iCs/>
              </w:rPr>
              <w:t>pātayāsi</w:t>
            </w:r>
          </w:p>
          <w:p w14:paraId="1AF8534C" w14:textId="77777777" w:rsidR="00E53EB6" w:rsidRDefault="00E53EB6">
            <w:pPr>
              <w:pStyle w:val="HaupttextohneEinzug"/>
              <w:rPr>
                <w:i/>
                <w:iCs/>
              </w:rPr>
            </w:pPr>
          </w:p>
          <w:p w14:paraId="43A058AF" w14:textId="77777777" w:rsidR="00E53EB6" w:rsidRDefault="006500F5">
            <w:pPr>
              <w:pStyle w:val="HaupttextohneEinzug"/>
            </w:pPr>
            <w:r>
              <w:t xml:space="preserve">AVP 19.26.5 </w:t>
            </w:r>
            <w:r>
              <w:rPr>
                <w:i/>
                <w:iCs/>
              </w:rPr>
              <w:t>vanu</w:t>
            </w:r>
            <w:r>
              <w:rPr>
                <w:i/>
                <w:iCs/>
              </w:rPr>
              <w:t>ṣ</w:t>
            </w:r>
            <w:r>
              <w:rPr>
                <w:i/>
                <w:iCs/>
              </w:rPr>
              <w:t>va viśvadeve</w:t>
            </w:r>
            <w:r>
              <w:rPr>
                <w:i/>
                <w:iCs/>
              </w:rPr>
              <w:t>ṣ</w:t>
            </w:r>
            <w:r>
              <w:rPr>
                <w:i/>
                <w:iCs/>
              </w:rPr>
              <w:t>u vanu</w:t>
            </w:r>
            <w:r>
              <w:rPr>
                <w:i/>
                <w:iCs/>
              </w:rPr>
              <w:t>ṣ</w:t>
            </w:r>
            <w:r>
              <w:rPr>
                <w:i/>
                <w:iCs/>
              </w:rPr>
              <w:t>va tva</w:t>
            </w:r>
            <w:r>
              <w:rPr>
                <w:i/>
                <w:iCs/>
              </w:rPr>
              <w:t>ṃ</w:t>
            </w:r>
            <w:r>
              <w:rPr>
                <w:i/>
                <w:iCs/>
              </w:rPr>
              <w:t xml:space="preserve"> vr̥haspatāu </w:t>
            </w:r>
          </w:p>
        </w:tc>
        <w:tc>
          <w:tcPr>
            <w:tcW w:w="2709" w:type="dxa"/>
            <w:tcBorders>
              <w:left w:val="single" w:sz="2" w:space="0" w:color="000000"/>
              <w:bottom w:val="single" w:sz="2" w:space="0" w:color="000000"/>
            </w:tcBorders>
          </w:tcPr>
          <w:p w14:paraId="797715C0" w14:textId="77777777" w:rsidR="00E53EB6" w:rsidRDefault="006500F5">
            <w:pPr>
              <w:pStyle w:val="HaupttextohneEinzug"/>
            </w:pPr>
            <w:r>
              <w:rPr>
                <w:rStyle w:val="biblio-authorGEN"/>
                <w:szCs w:val="21"/>
              </w:rPr>
              <w:t xml:space="preserve">Whitney </w:t>
            </w:r>
            <w:r>
              <w:rPr>
                <w:szCs w:val="21"/>
              </w:rPr>
              <w:t>1905: 692 “win”</w:t>
            </w:r>
          </w:p>
        </w:tc>
        <w:tc>
          <w:tcPr>
            <w:tcW w:w="1173" w:type="dxa"/>
            <w:tcBorders>
              <w:left w:val="single" w:sz="2" w:space="0" w:color="000000"/>
              <w:bottom w:val="single" w:sz="2" w:space="0" w:color="000000"/>
              <w:right w:val="single" w:sz="2" w:space="0" w:color="000000"/>
            </w:tcBorders>
          </w:tcPr>
          <w:p w14:paraId="688A6155" w14:textId="77777777" w:rsidR="00E53EB6" w:rsidRDefault="006500F5">
            <w:pPr>
              <w:pStyle w:val="HaupttextohneEinzug"/>
            </w:pPr>
            <w:r>
              <w:t>*u̯en-</w:t>
            </w:r>
          </w:p>
        </w:tc>
      </w:tr>
    </w:tbl>
    <w:p w14:paraId="5DEC80A7" w14:textId="77777777" w:rsidR="00E53EB6" w:rsidRDefault="00E53EB6">
      <w:pPr>
        <w:pStyle w:val="Hauptext"/>
      </w:pPr>
    </w:p>
    <w:p w14:paraId="55105F28" w14:textId="77777777" w:rsidR="00E53EB6" w:rsidRDefault="00E53EB6">
      <w:pPr>
        <w:pStyle w:val="HaupttextohneEinzug"/>
      </w:pPr>
    </w:p>
    <w:p w14:paraId="701F6F39" w14:textId="77777777" w:rsidR="00E53EB6" w:rsidRDefault="00E53EB6">
      <w:pPr>
        <w:pStyle w:val="HaupttextohneEinzug"/>
      </w:pPr>
    </w:p>
    <w:p w14:paraId="00FADAEB" w14:textId="77777777" w:rsidR="00E53EB6" w:rsidRDefault="006500F5">
      <w:pPr>
        <w:pStyle w:val="Heading2"/>
        <w:tabs>
          <w:tab w:val="left" w:pos="0"/>
        </w:tabs>
      </w:pPr>
      <w:r>
        <w:t>VI.2 Data-base</w:t>
      </w:r>
    </w:p>
    <w:p w14:paraId="32AD0A91" w14:textId="77777777" w:rsidR="00E53EB6" w:rsidRDefault="006500F5">
      <w:pPr>
        <w:pStyle w:val="Heading3"/>
        <w:tabs>
          <w:tab w:val="left" w:pos="0"/>
        </w:tabs>
      </w:pPr>
      <w:r>
        <w:t xml:space="preserve">VI.2.1 Objects of </w:t>
      </w:r>
      <w:r>
        <w:rPr>
          <w:i/>
          <w:iCs/>
        </w:rPr>
        <w:t>van</w:t>
      </w:r>
      <w:r>
        <w:t>-</w:t>
      </w:r>
      <w:r>
        <w:rPr>
          <w:i/>
          <w:iCs/>
        </w:rPr>
        <w:t xml:space="preserve"> / van</w:t>
      </w:r>
      <w:r>
        <w:rPr>
          <w:i/>
          <w:iCs/>
          <w:vertAlign w:val="superscript"/>
        </w:rPr>
        <w:t>i</w:t>
      </w:r>
      <w:r>
        <w:rPr>
          <w:i/>
          <w:iCs/>
        </w:rPr>
        <w:t>-</w:t>
      </w:r>
      <w:r>
        <w:t xml:space="preserve"> in the </w:t>
      </w:r>
      <w:r>
        <w:rPr>
          <w:i/>
          <w:iCs/>
        </w:rPr>
        <w:t>R̥gveda Saṃhitā</w:t>
      </w:r>
    </w:p>
    <w:p w14:paraId="337B2210" w14:textId="77777777" w:rsidR="00E53EB6" w:rsidRDefault="006500F5">
      <w:pPr>
        <w:pStyle w:val="HaupttextohneEinzug"/>
      </w:pPr>
      <w:r>
        <w:t>• = indicates that the subject/object is implied within the verse,when a pronoun r</w:t>
      </w:r>
      <w:r>
        <w:t>eferring to it is present, it is indicated.</w:t>
      </w:r>
    </w:p>
    <w:p w14:paraId="15D6866F" w14:textId="77777777" w:rsidR="00E53EB6" w:rsidRDefault="006500F5">
      <w:pPr>
        <w:pStyle w:val="HaupttextohneEinzug"/>
      </w:pPr>
      <w:r>
        <w:t xml:space="preserve"> Ø = the subject is the generic human side of the rite: “we”- “I”(all occ. are 1</w:t>
      </w:r>
      <w:r>
        <w:rPr>
          <w:vertAlign w:val="superscript"/>
        </w:rPr>
        <w:t>st</w:t>
      </w:r>
      <w:r>
        <w:t xml:space="preserve"> person, except one, which is nonetheless referring to the priests of the sacrifice).   </w:t>
      </w:r>
    </w:p>
    <w:p w14:paraId="61F01E83" w14:textId="77777777" w:rsidR="00E53EB6" w:rsidRDefault="00E53EB6">
      <w:pPr>
        <w:pStyle w:val="HaupttextohneEinzug"/>
        <w:rPr>
          <w:lang w:bidi="it-IT"/>
        </w:rPr>
      </w:pPr>
    </w:p>
    <w:p w14:paraId="53CF630A" w14:textId="77777777" w:rsidR="00E53EB6" w:rsidRDefault="006500F5">
      <w:pPr>
        <w:pStyle w:val="HaupttextohneEinzug"/>
      </w:pPr>
      <w:r>
        <w:t>a- “goods”</w:t>
      </w:r>
    </w:p>
    <w:p w14:paraId="561757E4" w14:textId="77777777" w:rsidR="00E53EB6" w:rsidRDefault="00E53EB6">
      <w:pPr>
        <w:pStyle w:val="HaupttextohneEinzug"/>
        <w:rPr>
          <w:sz w:val="24"/>
          <w:szCs w:val="24"/>
          <w:lang w:bidi="it-IT"/>
        </w:rPr>
      </w:pPr>
    </w:p>
    <w:tbl>
      <w:tblPr>
        <w:tblW w:w="8782" w:type="dxa"/>
        <w:tblLayout w:type="fixed"/>
        <w:tblCellMar>
          <w:top w:w="55" w:type="dxa"/>
          <w:left w:w="55" w:type="dxa"/>
          <w:bottom w:w="55" w:type="dxa"/>
          <w:right w:w="55" w:type="dxa"/>
        </w:tblCellMar>
        <w:tblLook w:val="04A0" w:firstRow="1" w:lastRow="0" w:firstColumn="1" w:lastColumn="0" w:noHBand="0" w:noVBand="1"/>
      </w:tblPr>
      <w:tblGrid>
        <w:gridCol w:w="1591"/>
        <w:gridCol w:w="538"/>
        <w:gridCol w:w="1441"/>
        <w:gridCol w:w="2114"/>
        <w:gridCol w:w="3098"/>
      </w:tblGrid>
      <w:tr w:rsidR="00E53EB6" w14:paraId="595F9A5B" w14:textId="77777777">
        <w:tc>
          <w:tcPr>
            <w:tcW w:w="1591" w:type="dxa"/>
            <w:tcBorders>
              <w:top w:val="single" w:sz="2" w:space="0" w:color="000000"/>
              <w:left w:val="single" w:sz="2" w:space="0" w:color="000000"/>
              <w:bottom w:val="single" w:sz="2" w:space="0" w:color="000000"/>
            </w:tcBorders>
          </w:tcPr>
          <w:p w14:paraId="589396D3" w14:textId="77777777" w:rsidR="00E53EB6" w:rsidRDefault="006500F5">
            <w:pPr>
              <w:pStyle w:val="TableContents"/>
            </w:pPr>
            <w:r>
              <w:t>object</w:t>
            </w:r>
          </w:p>
        </w:tc>
        <w:tc>
          <w:tcPr>
            <w:tcW w:w="538" w:type="dxa"/>
            <w:tcBorders>
              <w:top w:val="single" w:sz="2" w:space="0" w:color="000000"/>
              <w:left w:val="single" w:sz="2" w:space="0" w:color="000000"/>
              <w:bottom w:val="single" w:sz="2" w:space="0" w:color="000000"/>
            </w:tcBorders>
          </w:tcPr>
          <w:p w14:paraId="310E040E" w14:textId="77777777" w:rsidR="00E53EB6" w:rsidRDefault="006500F5">
            <w:pPr>
              <w:pStyle w:val="TableContents"/>
            </w:pPr>
            <w:r>
              <w:t>Q.</w:t>
            </w:r>
          </w:p>
        </w:tc>
        <w:tc>
          <w:tcPr>
            <w:tcW w:w="1441" w:type="dxa"/>
            <w:tcBorders>
              <w:top w:val="single" w:sz="2" w:space="0" w:color="000000"/>
              <w:left w:val="single" w:sz="2" w:space="0" w:color="000000"/>
              <w:bottom w:val="single" w:sz="2" w:space="0" w:color="000000"/>
            </w:tcBorders>
          </w:tcPr>
          <w:p w14:paraId="01BE5A0B" w14:textId="77777777" w:rsidR="00E53EB6" w:rsidRDefault="006500F5">
            <w:pPr>
              <w:pStyle w:val="TableContents"/>
            </w:pPr>
            <w:r>
              <w:t>occurrences</w:t>
            </w:r>
          </w:p>
        </w:tc>
        <w:tc>
          <w:tcPr>
            <w:tcW w:w="2114" w:type="dxa"/>
            <w:tcBorders>
              <w:top w:val="single" w:sz="2" w:space="0" w:color="000000"/>
              <w:left w:val="single" w:sz="2" w:space="0" w:color="000000"/>
              <w:bottom w:val="single" w:sz="2" w:space="0" w:color="000000"/>
            </w:tcBorders>
          </w:tcPr>
          <w:p w14:paraId="7E90FA03" w14:textId="77777777" w:rsidR="00E53EB6" w:rsidRDefault="006500F5">
            <w:pPr>
              <w:pStyle w:val="TableContents"/>
              <w:rPr>
                <w:i/>
                <w:iCs/>
              </w:rPr>
            </w:pPr>
            <w:r>
              <w:rPr>
                <w:i/>
                <w:iCs/>
              </w:rPr>
              <w:t>van- / van</w:t>
            </w:r>
            <w:r>
              <w:rPr>
                <w:i/>
                <w:iCs/>
                <w:vertAlign w:val="superscript"/>
              </w:rPr>
              <w:t>i</w:t>
            </w:r>
            <w:r>
              <w:rPr>
                <w:i/>
                <w:iCs/>
              </w:rPr>
              <w:t>-</w:t>
            </w:r>
          </w:p>
        </w:tc>
        <w:tc>
          <w:tcPr>
            <w:tcW w:w="3098" w:type="dxa"/>
            <w:tcBorders>
              <w:top w:val="single" w:sz="2" w:space="0" w:color="000000"/>
              <w:left w:val="single" w:sz="2" w:space="0" w:color="000000"/>
              <w:bottom w:val="single" w:sz="2" w:space="0" w:color="000000"/>
              <w:right w:val="single" w:sz="2" w:space="0" w:color="000000"/>
            </w:tcBorders>
          </w:tcPr>
          <w:p w14:paraId="1AD430C4" w14:textId="77777777" w:rsidR="00E53EB6" w:rsidRDefault="006500F5">
            <w:pPr>
              <w:pStyle w:val="TableContents"/>
            </w:pPr>
            <w:r>
              <w:t xml:space="preserve">subject/ notes </w:t>
            </w:r>
          </w:p>
        </w:tc>
      </w:tr>
      <w:tr w:rsidR="00E53EB6" w14:paraId="28A2D9DE" w14:textId="77777777">
        <w:tc>
          <w:tcPr>
            <w:tcW w:w="1591" w:type="dxa"/>
            <w:tcBorders>
              <w:left w:val="single" w:sz="2" w:space="0" w:color="000000"/>
              <w:bottom w:val="single" w:sz="2" w:space="0" w:color="000000"/>
            </w:tcBorders>
          </w:tcPr>
          <w:p w14:paraId="43B17604" w14:textId="77777777" w:rsidR="00E53EB6" w:rsidRDefault="006500F5">
            <w:pPr>
              <w:pStyle w:val="TableContents"/>
              <w:rPr>
                <w:i/>
                <w:iCs/>
              </w:rPr>
            </w:pPr>
            <w:r>
              <w:rPr>
                <w:i/>
                <w:iCs/>
              </w:rPr>
              <w:t xml:space="preserve">ánnam </w:t>
            </w:r>
          </w:p>
        </w:tc>
        <w:tc>
          <w:tcPr>
            <w:tcW w:w="538" w:type="dxa"/>
            <w:tcBorders>
              <w:left w:val="single" w:sz="2" w:space="0" w:color="000000"/>
              <w:bottom w:val="single" w:sz="2" w:space="0" w:color="000000"/>
            </w:tcBorders>
          </w:tcPr>
          <w:p w14:paraId="0A0952F2" w14:textId="77777777" w:rsidR="00E53EB6" w:rsidRDefault="006500F5">
            <w:pPr>
              <w:pStyle w:val="TableContents"/>
            </w:pPr>
            <w:r>
              <w:t>2</w:t>
            </w:r>
          </w:p>
        </w:tc>
        <w:tc>
          <w:tcPr>
            <w:tcW w:w="1441" w:type="dxa"/>
            <w:tcBorders>
              <w:left w:val="single" w:sz="2" w:space="0" w:color="000000"/>
              <w:bottom w:val="single" w:sz="2" w:space="0" w:color="000000"/>
            </w:tcBorders>
          </w:tcPr>
          <w:p w14:paraId="22BFB913" w14:textId="77777777" w:rsidR="00E53EB6" w:rsidRDefault="006500F5">
            <w:pPr>
              <w:pStyle w:val="TableContents"/>
            </w:pPr>
            <w:r>
              <w:t>10.107.7</w:t>
            </w:r>
          </w:p>
          <w:p w14:paraId="302BD95B" w14:textId="77777777" w:rsidR="00E53EB6" w:rsidRDefault="006500F5">
            <w:pPr>
              <w:pStyle w:val="TableContents"/>
            </w:pPr>
            <w:r>
              <w:t>10.61.4</w:t>
            </w:r>
          </w:p>
        </w:tc>
        <w:tc>
          <w:tcPr>
            <w:tcW w:w="2114" w:type="dxa"/>
            <w:tcBorders>
              <w:left w:val="single" w:sz="2" w:space="0" w:color="000000"/>
              <w:bottom w:val="single" w:sz="2" w:space="0" w:color="000000"/>
            </w:tcBorders>
          </w:tcPr>
          <w:p w14:paraId="1D3E4E87" w14:textId="77777777" w:rsidR="00E53EB6" w:rsidRDefault="006500F5">
            <w:pPr>
              <w:pStyle w:val="TableContents"/>
              <w:rPr>
                <w:i/>
                <w:iCs/>
              </w:rPr>
            </w:pPr>
            <w:r>
              <w:rPr>
                <w:i/>
                <w:iCs/>
              </w:rPr>
              <w:t>vanute</w:t>
            </w:r>
          </w:p>
          <w:p w14:paraId="7A575C0B" w14:textId="77777777" w:rsidR="00E53EB6" w:rsidRDefault="006500F5">
            <w:pPr>
              <w:pStyle w:val="TableContents"/>
              <w:rPr>
                <w:i/>
                <w:iCs/>
              </w:rPr>
            </w:pPr>
            <w:r>
              <w:rPr>
                <w:i/>
                <w:iCs/>
              </w:rPr>
              <w:t>vavanvā́</w:t>
            </w:r>
            <w:r>
              <w:rPr>
                <w:i/>
                <w:iCs/>
              </w:rPr>
              <w:t>ṃ</w:t>
            </w:r>
            <w:r>
              <w:rPr>
                <w:i/>
                <w:iCs/>
              </w:rPr>
              <w:t>sa</w:t>
            </w:r>
          </w:p>
        </w:tc>
        <w:tc>
          <w:tcPr>
            <w:tcW w:w="3098" w:type="dxa"/>
            <w:tcBorders>
              <w:left w:val="single" w:sz="2" w:space="0" w:color="000000"/>
              <w:bottom w:val="single" w:sz="2" w:space="0" w:color="000000"/>
              <w:right w:val="single" w:sz="2" w:space="0" w:color="000000"/>
            </w:tcBorders>
          </w:tcPr>
          <w:p w14:paraId="04730B62" w14:textId="77777777" w:rsidR="00E53EB6" w:rsidRDefault="006500F5">
            <w:pPr>
              <w:pStyle w:val="TableContents"/>
            </w:pPr>
            <w:r>
              <w:t>Dak</w:t>
            </w:r>
            <w:r>
              <w:t>ṣ</w:t>
            </w:r>
            <w:r>
              <w:t>ina</w:t>
            </w:r>
          </w:p>
          <w:p w14:paraId="4C886BF8" w14:textId="77777777" w:rsidR="00E53EB6" w:rsidRDefault="006500F5">
            <w:pPr>
              <w:pStyle w:val="TableContents"/>
            </w:pPr>
            <w:r>
              <w:t>Aśvin</w:t>
            </w:r>
          </w:p>
        </w:tc>
      </w:tr>
      <w:tr w:rsidR="00E53EB6" w14:paraId="29798EF9" w14:textId="77777777">
        <w:tc>
          <w:tcPr>
            <w:tcW w:w="1591" w:type="dxa"/>
            <w:tcBorders>
              <w:left w:val="single" w:sz="2" w:space="0" w:color="000000"/>
              <w:bottom w:val="single" w:sz="2" w:space="0" w:color="000000"/>
            </w:tcBorders>
          </w:tcPr>
          <w:p w14:paraId="0A8CEC26" w14:textId="77777777" w:rsidR="00E53EB6" w:rsidRDefault="006500F5">
            <w:pPr>
              <w:pStyle w:val="TableContents"/>
              <w:rPr>
                <w:i/>
                <w:iCs/>
              </w:rPr>
            </w:pPr>
            <w:r>
              <w:rPr>
                <w:i/>
                <w:iCs/>
              </w:rPr>
              <w:t>áyuktam</w:t>
            </w:r>
          </w:p>
        </w:tc>
        <w:tc>
          <w:tcPr>
            <w:tcW w:w="538" w:type="dxa"/>
            <w:tcBorders>
              <w:left w:val="single" w:sz="2" w:space="0" w:color="000000"/>
              <w:bottom w:val="single" w:sz="2" w:space="0" w:color="000000"/>
            </w:tcBorders>
          </w:tcPr>
          <w:p w14:paraId="5B4C20C1" w14:textId="77777777" w:rsidR="00E53EB6" w:rsidRDefault="006500F5">
            <w:pPr>
              <w:pStyle w:val="TableContents"/>
            </w:pPr>
            <w:r>
              <w:t>1</w:t>
            </w:r>
          </w:p>
        </w:tc>
        <w:tc>
          <w:tcPr>
            <w:tcW w:w="1441" w:type="dxa"/>
            <w:tcBorders>
              <w:left w:val="single" w:sz="2" w:space="0" w:color="000000"/>
              <w:bottom w:val="single" w:sz="2" w:space="0" w:color="000000"/>
            </w:tcBorders>
          </w:tcPr>
          <w:p w14:paraId="129179BD" w14:textId="77777777" w:rsidR="00E53EB6" w:rsidRDefault="006500F5">
            <w:pPr>
              <w:pStyle w:val="TableContents"/>
            </w:pPr>
            <w:r>
              <w:t>10.27.9</w:t>
            </w:r>
          </w:p>
        </w:tc>
        <w:tc>
          <w:tcPr>
            <w:tcW w:w="2114" w:type="dxa"/>
            <w:tcBorders>
              <w:left w:val="single" w:sz="2" w:space="0" w:color="000000"/>
              <w:bottom w:val="single" w:sz="2" w:space="0" w:color="000000"/>
            </w:tcBorders>
          </w:tcPr>
          <w:p w14:paraId="71F7F12B" w14:textId="77777777" w:rsidR="00E53EB6" w:rsidRDefault="006500F5">
            <w:pPr>
              <w:pStyle w:val="TableContents"/>
              <w:rPr>
                <w:i/>
                <w:iCs/>
              </w:rPr>
            </w:pPr>
            <w:r>
              <w:rPr>
                <w:i/>
                <w:iCs/>
              </w:rPr>
              <w:t xml:space="preserve">vavanvā́n </w:t>
            </w:r>
          </w:p>
        </w:tc>
        <w:tc>
          <w:tcPr>
            <w:tcW w:w="3098" w:type="dxa"/>
            <w:tcBorders>
              <w:left w:val="single" w:sz="2" w:space="0" w:color="000000"/>
              <w:bottom w:val="single" w:sz="2" w:space="0" w:color="000000"/>
              <w:right w:val="single" w:sz="2" w:space="0" w:color="000000"/>
            </w:tcBorders>
          </w:tcPr>
          <w:p w14:paraId="4FEBF096" w14:textId="77777777" w:rsidR="00E53EB6" w:rsidRDefault="006500F5">
            <w:pPr>
              <w:pStyle w:val="TableContents"/>
            </w:pPr>
            <w:r>
              <w:t>Indra• (horse•)</w:t>
            </w:r>
          </w:p>
        </w:tc>
      </w:tr>
      <w:tr w:rsidR="00E53EB6" w14:paraId="35E47A5A" w14:textId="77777777">
        <w:tc>
          <w:tcPr>
            <w:tcW w:w="1591" w:type="dxa"/>
            <w:tcBorders>
              <w:left w:val="single" w:sz="2" w:space="0" w:color="000000"/>
              <w:bottom w:val="single" w:sz="2" w:space="0" w:color="000000"/>
            </w:tcBorders>
          </w:tcPr>
          <w:p w14:paraId="376EB030" w14:textId="77777777" w:rsidR="00E53EB6" w:rsidRDefault="006500F5">
            <w:pPr>
              <w:pStyle w:val="TableContents"/>
              <w:rPr>
                <w:i/>
                <w:iCs/>
              </w:rPr>
            </w:pPr>
            <w:r>
              <w:rPr>
                <w:i/>
                <w:iCs/>
              </w:rPr>
              <w:t>kuvíd (váśva</w:t>
            </w:r>
            <w:r>
              <w:rPr>
                <w:i/>
                <w:iCs/>
              </w:rPr>
              <w:t>ḥ</w:t>
            </w:r>
            <w:r>
              <w:rPr>
                <w:i/>
                <w:iCs/>
              </w:rPr>
              <w:t>)</w:t>
            </w:r>
          </w:p>
        </w:tc>
        <w:tc>
          <w:tcPr>
            <w:tcW w:w="538" w:type="dxa"/>
            <w:tcBorders>
              <w:left w:val="single" w:sz="2" w:space="0" w:color="000000"/>
              <w:bottom w:val="single" w:sz="2" w:space="0" w:color="000000"/>
            </w:tcBorders>
          </w:tcPr>
          <w:p w14:paraId="2C69F116" w14:textId="77777777" w:rsidR="00E53EB6" w:rsidRDefault="006500F5">
            <w:pPr>
              <w:pStyle w:val="TableContents"/>
            </w:pPr>
            <w:r>
              <w:t>1</w:t>
            </w:r>
          </w:p>
        </w:tc>
        <w:tc>
          <w:tcPr>
            <w:tcW w:w="1441" w:type="dxa"/>
            <w:tcBorders>
              <w:left w:val="single" w:sz="2" w:space="0" w:color="000000"/>
              <w:bottom w:val="single" w:sz="2" w:space="0" w:color="000000"/>
            </w:tcBorders>
          </w:tcPr>
          <w:p w14:paraId="7752B60D" w14:textId="77777777" w:rsidR="00E53EB6" w:rsidRDefault="006500F5">
            <w:pPr>
              <w:pStyle w:val="TableContents"/>
            </w:pPr>
            <w:r>
              <w:t>7.15.4</w:t>
            </w:r>
          </w:p>
        </w:tc>
        <w:tc>
          <w:tcPr>
            <w:tcW w:w="2114" w:type="dxa"/>
            <w:tcBorders>
              <w:left w:val="single" w:sz="2" w:space="0" w:color="000000"/>
              <w:bottom w:val="single" w:sz="2" w:space="0" w:color="000000"/>
            </w:tcBorders>
          </w:tcPr>
          <w:p w14:paraId="3B1F017E" w14:textId="77777777" w:rsidR="00E53EB6" w:rsidRDefault="006500F5">
            <w:pPr>
              <w:pStyle w:val="TableContents"/>
              <w:rPr>
                <w:i/>
                <w:iCs/>
              </w:rPr>
            </w:pPr>
            <w:r>
              <w:rPr>
                <w:i/>
                <w:iCs/>
              </w:rPr>
              <w:t>vanā́ti (na</w:t>
            </w:r>
            <w:r>
              <w:rPr>
                <w:i/>
                <w:iCs/>
              </w:rPr>
              <w:t>ḥ</w:t>
            </w:r>
            <w:r>
              <w:rPr>
                <w:i/>
                <w:iCs/>
              </w:rPr>
              <w:t>)</w:t>
            </w:r>
          </w:p>
        </w:tc>
        <w:tc>
          <w:tcPr>
            <w:tcW w:w="3098" w:type="dxa"/>
            <w:tcBorders>
              <w:left w:val="single" w:sz="2" w:space="0" w:color="000000"/>
              <w:bottom w:val="single" w:sz="2" w:space="0" w:color="000000"/>
              <w:right w:val="single" w:sz="2" w:space="0" w:color="000000"/>
            </w:tcBorders>
          </w:tcPr>
          <w:p w14:paraId="2F89007D" w14:textId="77777777" w:rsidR="00E53EB6" w:rsidRDefault="006500F5">
            <w:pPr>
              <w:pStyle w:val="TableContents"/>
            </w:pPr>
            <w:r>
              <w:t>Agni</w:t>
            </w:r>
          </w:p>
        </w:tc>
      </w:tr>
      <w:tr w:rsidR="00E53EB6" w14:paraId="1890240C" w14:textId="77777777">
        <w:tc>
          <w:tcPr>
            <w:tcW w:w="1591" w:type="dxa"/>
            <w:tcBorders>
              <w:left w:val="single" w:sz="2" w:space="0" w:color="000000"/>
              <w:bottom w:val="single" w:sz="2" w:space="0" w:color="000000"/>
            </w:tcBorders>
          </w:tcPr>
          <w:p w14:paraId="1936985A" w14:textId="77777777" w:rsidR="00E53EB6" w:rsidRDefault="006500F5">
            <w:pPr>
              <w:pStyle w:val="TableContents"/>
              <w:rPr>
                <w:i/>
                <w:iCs/>
              </w:rPr>
            </w:pPr>
            <w:r>
              <w:rPr>
                <w:i/>
                <w:iCs/>
              </w:rPr>
              <w:t>k</w:t>
            </w:r>
            <w:r>
              <w:rPr>
                <w:i/>
                <w:iCs/>
              </w:rPr>
              <w:t>ṣ</w:t>
            </w:r>
            <w:r>
              <w:rPr>
                <w:i/>
                <w:iCs/>
              </w:rPr>
              <w:t>áyam</w:t>
            </w:r>
          </w:p>
        </w:tc>
        <w:tc>
          <w:tcPr>
            <w:tcW w:w="538" w:type="dxa"/>
            <w:tcBorders>
              <w:left w:val="single" w:sz="2" w:space="0" w:color="000000"/>
              <w:bottom w:val="single" w:sz="2" w:space="0" w:color="000000"/>
            </w:tcBorders>
          </w:tcPr>
          <w:p w14:paraId="5E7F7D60" w14:textId="77777777" w:rsidR="00E53EB6" w:rsidRDefault="006500F5">
            <w:pPr>
              <w:pStyle w:val="TableContents"/>
            </w:pPr>
            <w:r>
              <w:t>1</w:t>
            </w:r>
          </w:p>
        </w:tc>
        <w:tc>
          <w:tcPr>
            <w:tcW w:w="1441" w:type="dxa"/>
            <w:tcBorders>
              <w:left w:val="single" w:sz="2" w:space="0" w:color="000000"/>
              <w:bottom w:val="single" w:sz="2" w:space="0" w:color="000000"/>
            </w:tcBorders>
          </w:tcPr>
          <w:p w14:paraId="5BF9AD0E" w14:textId="77777777" w:rsidR="00E53EB6" w:rsidRDefault="006500F5">
            <w:pPr>
              <w:pStyle w:val="TableContents"/>
            </w:pPr>
            <w:r>
              <w:t>1.133.7</w:t>
            </w:r>
          </w:p>
        </w:tc>
        <w:tc>
          <w:tcPr>
            <w:tcW w:w="2114" w:type="dxa"/>
            <w:tcBorders>
              <w:left w:val="single" w:sz="2" w:space="0" w:color="000000"/>
              <w:bottom w:val="single" w:sz="2" w:space="0" w:color="000000"/>
            </w:tcBorders>
          </w:tcPr>
          <w:p w14:paraId="1470E27B" w14:textId="77777777" w:rsidR="00E53EB6" w:rsidRDefault="006500F5">
            <w:pPr>
              <w:pStyle w:val="TableContents"/>
              <w:rPr>
                <w:i/>
                <w:iCs/>
              </w:rPr>
            </w:pPr>
            <w:r>
              <w:rPr>
                <w:i/>
                <w:iCs/>
              </w:rPr>
              <w:t>vanoti</w:t>
            </w:r>
          </w:p>
        </w:tc>
        <w:tc>
          <w:tcPr>
            <w:tcW w:w="3098" w:type="dxa"/>
            <w:tcBorders>
              <w:left w:val="single" w:sz="2" w:space="0" w:color="000000"/>
              <w:bottom w:val="single" w:sz="2" w:space="0" w:color="000000"/>
              <w:right w:val="single" w:sz="2" w:space="0" w:color="000000"/>
            </w:tcBorders>
          </w:tcPr>
          <w:p w14:paraId="49AD4DD8" w14:textId="77777777" w:rsidR="00E53EB6" w:rsidRDefault="006500F5">
            <w:pPr>
              <w:pStyle w:val="TableContents"/>
              <w:rPr>
                <w:i/>
                <w:iCs/>
              </w:rPr>
            </w:pPr>
            <w:r>
              <w:rPr>
                <w:i/>
                <w:iCs/>
              </w:rPr>
              <w:t>sunvan</w:t>
            </w:r>
          </w:p>
        </w:tc>
      </w:tr>
      <w:tr w:rsidR="00E53EB6" w14:paraId="32AA2D9F" w14:textId="77777777">
        <w:tc>
          <w:tcPr>
            <w:tcW w:w="1591" w:type="dxa"/>
            <w:tcBorders>
              <w:left w:val="single" w:sz="2" w:space="0" w:color="000000"/>
              <w:bottom w:val="single" w:sz="2" w:space="0" w:color="000000"/>
            </w:tcBorders>
          </w:tcPr>
          <w:p w14:paraId="6CC3AC42" w14:textId="77777777" w:rsidR="00E53EB6" w:rsidRDefault="006500F5">
            <w:pPr>
              <w:pStyle w:val="TableContents"/>
              <w:rPr>
                <w:i/>
                <w:iCs/>
              </w:rPr>
            </w:pPr>
            <w:r>
              <w:rPr>
                <w:i/>
                <w:iCs/>
              </w:rPr>
              <w:t>gáyam</w:t>
            </w:r>
          </w:p>
        </w:tc>
        <w:tc>
          <w:tcPr>
            <w:tcW w:w="538" w:type="dxa"/>
            <w:tcBorders>
              <w:left w:val="single" w:sz="2" w:space="0" w:color="000000"/>
              <w:bottom w:val="single" w:sz="2" w:space="0" w:color="000000"/>
            </w:tcBorders>
          </w:tcPr>
          <w:p w14:paraId="29B46041" w14:textId="77777777" w:rsidR="00E53EB6" w:rsidRDefault="006500F5">
            <w:pPr>
              <w:pStyle w:val="TableContents"/>
            </w:pPr>
            <w:r>
              <w:t>1</w:t>
            </w:r>
          </w:p>
        </w:tc>
        <w:tc>
          <w:tcPr>
            <w:tcW w:w="1441" w:type="dxa"/>
            <w:tcBorders>
              <w:left w:val="single" w:sz="2" w:space="0" w:color="000000"/>
              <w:bottom w:val="single" w:sz="2" w:space="0" w:color="000000"/>
            </w:tcBorders>
          </w:tcPr>
          <w:p w14:paraId="07DD7642" w14:textId="77777777" w:rsidR="00E53EB6" w:rsidRDefault="006500F5">
            <w:pPr>
              <w:pStyle w:val="TableContents"/>
            </w:pPr>
            <w:r>
              <w:t>5.44.7</w:t>
            </w:r>
          </w:p>
        </w:tc>
        <w:tc>
          <w:tcPr>
            <w:tcW w:w="2114" w:type="dxa"/>
            <w:tcBorders>
              <w:left w:val="single" w:sz="2" w:space="0" w:color="000000"/>
              <w:bottom w:val="single" w:sz="2" w:space="0" w:color="000000"/>
            </w:tcBorders>
          </w:tcPr>
          <w:p w14:paraId="560E70E1" w14:textId="77777777" w:rsidR="00E53EB6" w:rsidRDefault="006500F5">
            <w:pPr>
              <w:pStyle w:val="TableContents"/>
            </w:pPr>
            <w:r>
              <w:rPr>
                <w:i/>
                <w:iCs/>
              </w:rPr>
              <w:t>vanavat (</w:t>
            </w:r>
            <w:r>
              <w:rPr>
                <w:rFonts w:eastAsia="Arial Unicode MS" w:cs="Times Ext Roman"/>
                <w:i/>
                <w:iCs/>
                <w:color w:val="000000"/>
                <w:szCs w:val="21"/>
                <w:lang w:val="fr-FR" w:eastAsia="it-IT" w:bidi="fr-FR"/>
              </w:rPr>
              <w:t>asmā́ka</w:t>
            </w:r>
            <w:r>
              <w:rPr>
                <w:rFonts w:eastAsia="Arial Unicode MS" w:cs="Times Ext Roman"/>
                <w:i/>
                <w:iCs/>
                <w:color w:val="000000"/>
                <w:szCs w:val="21"/>
                <w:lang w:val="fr-FR" w:eastAsia="it-IT" w:bidi="fr-FR"/>
              </w:rPr>
              <w:t>ṃ</w:t>
            </w:r>
            <w:r>
              <w:rPr>
                <w:rFonts w:eastAsia="Arial Unicode MS" w:cs="Times Ext Roman"/>
                <w:i/>
                <w:iCs/>
                <w:color w:val="000000"/>
                <w:szCs w:val="21"/>
                <w:lang w:val="fr-FR" w:eastAsia="it-IT" w:bidi="fr-FR"/>
              </w:rPr>
              <w:t>)</w:t>
            </w:r>
            <w:r>
              <w:rPr>
                <w:rFonts w:ascii="Times Ext Roman" w:eastAsia="Arial Unicode MS" w:hAnsi="Times Ext Roman" w:cs="Times Ext Roman"/>
                <w:color w:val="000000"/>
                <w:sz w:val="22"/>
                <w:szCs w:val="22"/>
                <w:lang w:val="fr-FR" w:eastAsia="it-IT" w:bidi="fr-FR"/>
              </w:rPr>
              <w:t xml:space="preserve"> </w:t>
            </w:r>
          </w:p>
        </w:tc>
        <w:tc>
          <w:tcPr>
            <w:tcW w:w="3098" w:type="dxa"/>
            <w:tcBorders>
              <w:left w:val="single" w:sz="2" w:space="0" w:color="000000"/>
              <w:bottom w:val="single" w:sz="2" w:space="0" w:color="000000"/>
              <w:right w:val="single" w:sz="2" w:space="0" w:color="000000"/>
            </w:tcBorders>
          </w:tcPr>
          <w:p w14:paraId="030D5CB5" w14:textId="77777777" w:rsidR="00E53EB6" w:rsidRDefault="006500F5">
            <w:pPr>
              <w:pStyle w:val="TableContents"/>
            </w:pPr>
            <w:r>
              <w:t xml:space="preserve"> Surya</w:t>
            </w:r>
          </w:p>
        </w:tc>
      </w:tr>
      <w:tr w:rsidR="00E53EB6" w14:paraId="465006FE" w14:textId="77777777">
        <w:tc>
          <w:tcPr>
            <w:tcW w:w="1591" w:type="dxa"/>
            <w:tcBorders>
              <w:left w:val="single" w:sz="2" w:space="0" w:color="000000"/>
              <w:bottom w:val="single" w:sz="2" w:space="0" w:color="000000"/>
            </w:tcBorders>
          </w:tcPr>
          <w:p w14:paraId="45A50A80" w14:textId="77777777" w:rsidR="00E53EB6" w:rsidRDefault="006500F5">
            <w:pPr>
              <w:pStyle w:val="TableContents"/>
              <w:rPr>
                <w:i/>
                <w:iCs/>
              </w:rPr>
            </w:pPr>
            <w:r>
              <w:rPr>
                <w:i/>
                <w:iCs/>
              </w:rPr>
              <w:t>gātúm</w:t>
            </w:r>
          </w:p>
        </w:tc>
        <w:tc>
          <w:tcPr>
            <w:tcW w:w="538" w:type="dxa"/>
            <w:tcBorders>
              <w:left w:val="single" w:sz="2" w:space="0" w:color="000000"/>
              <w:bottom w:val="single" w:sz="2" w:space="0" w:color="000000"/>
            </w:tcBorders>
          </w:tcPr>
          <w:p w14:paraId="6790A3E5" w14:textId="77777777" w:rsidR="00E53EB6" w:rsidRDefault="006500F5">
            <w:pPr>
              <w:pStyle w:val="TableContents"/>
            </w:pPr>
            <w:r>
              <w:t>1</w:t>
            </w:r>
          </w:p>
        </w:tc>
        <w:tc>
          <w:tcPr>
            <w:tcW w:w="1441" w:type="dxa"/>
            <w:tcBorders>
              <w:left w:val="single" w:sz="2" w:space="0" w:color="000000"/>
              <w:bottom w:val="single" w:sz="2" w:space="0" w:color="000000"/>
            </w:tcBorders>
          </w:tcPr>
          <w:p w14:paraId="32EC6867" w14:textId="77777777" w:rsidR="00E53EB6" w:rsidRDefault="006500F5">
            <w:pPr>
              <w:pStyle w:val="TableContents"/>
            </w:pPr>
            <w:r>
              <w:t>5.65.4</w:t>
            </w:r>
          </w:p>
        </w:tc>
        <w:tc>
          <w:tcPr>
            <w:tcW w:w="2114" w:type="dxa"/>
            <w:tcBorders>
              <w:left w:val="single" w:sz="2" w:space="0" w:color="000000"/>
              <w:bottom w:val="single" w:sz="2" w:space="0" w:color="000000"/>
            </w:tcBorders>
          </w:tcPr>
          <w:p w14:paraId="326DF396" w14:textId="77777777" w:rsidR="00E53EB6" w:rsidRDefault="006500F5">
            <w:pPr>
              <w:pStyle w:val="TableContents"/>
              <w:rPr>
                <w:i/>
                <w:iCs/>
              </w:rPr>
            </w:pPr>
            <w:r>
              <w:rPr>
                <w:i/>
                <w:iCs/>
              </w:rPr>
              <w:t>vanate</w:t>
            </w:r>
          </w:p>
        </w:tc>
        <w:tc>
          <w:tcPr>
            <w:tcW w:w="3098" w:type="dxa"/>
            <w:tcBorders>
              <w:left w:val="single" w:sz="2" w:space="0" w:color="000000"/>
              <w:bottom w:val="single" w:sz="2" w:space="0" w:color="000000"/>
              <w:right w:val="single" w:sz="2" w:space="0" w:color="000000"/>
            </w:tcBorders>
          </w:tcPr>
          <w:p w14:paraId="3F2695DD" w14:textId="77777777" w:rsidR="00E53EB6" w:rsidRDefault="006500F5">
            <w:pPr>
              <w:pStyle w:val="TableContents"/>
            </w:pPr>
            <w:r>
              <w:t>Mitra</w:t>
            </w:r>
          </w:p>
        </w:tc>
      </w:tr>
      <w:tr w:rsidR="00E53EB6" w14:paraId="5211D6FE" w14:textId="77777777">
        <w:tc>
          <w:tcPr>
            <w:tcW w:w="1591" w:type="dxa"/>
            <w:tcBorders>
              <w:left w:val="single" w:sz="2" w:space="0" w:color="000000"/>
              <w:bottom w:val="single" w:sz="2" w:space="0" w:color="000000"/>
            </w:tcBorders>
          </w:tcPr>
          <w:p w14:paraId="07291199" w14:textId="77777777" w:rsidR="00E53EB6" w:rsidRDefault="006500F5">
            <w:pPr>
              <w:pStyle w:val="TableContents"/>
              <w:rPr>
                <w:i/>
                <w:iCs/>
              </w:rPr>
            </w:pPr>
            <w:r>
              <w:rPr>
                <w:i/>
                <w:iCs/>
              </w:rPr>
              <w:t>jítim</w:t>
            </w:r>
          </w:p>
        </w:tc>
        <w:tc>
          <w:tcPr>
            <w:tcW w:w="538" w:type="dxa"/>
            <w:tcBorders>
              <w:left w:val="single" w:sz="2" w:space="0" w:color="000000"/>
              <w:bottom w:val="single" w:sz="2" w:space="0" w:color="000000"/>
            </w:tcBorders>
          </w:tcPr>
          <w:p w14:paraId="4D94CD75" w14:textId="77777777" w:rsidR="00E53EB6" w:rsidRDefault="006500F5">
            <w:pPr>
              <w:pStyle w:val="TableContents"/>
            </w:pPr>
            <w:r>
              <w:t>1</w:t>
            </w:r>
          </w:p>
        </w:tc>
        <w:tc>
          <w:tcPr>
            <w:tcW w:w="1441" w:type="dxa"/>
            <w:tcBorders>
              <w:left w:val="single" w:sz="2" w:space="0" w:color="000000"/>
              <w:bottom w:val="single" w:sz="2" w:space="0" w:color="000000"/>
            </w:tcBorders>
          </w:tcPr>
          <w:p w14:paraId="609AE827" w14:textId="77777777" w:rsidR="00E53EB6" w:rsidRDefault="006500F5">
            <w:pPr>
              <w:pStyle w:val="TableContents"/>
            </w:pPr>
            <w:r>
              <w:t>10.53.11</w:t>
            </w:r>
          </w:p>
        </w:tc>
        <w:tc>
          <w:tcPr>
            <w:tcW w:w="2114" w:type="dxa"/>
            <w:tcBorders>
              <w:left w:val="single" w:sz="2" w:space="0" w:color="000000"/>
              <w:bottom w:val="single" w:sz="2" w:space="0" w:color="000000"/>
            </w:tcBorders>
          </w:tcPr>
          <w:p w14:paraId="31C91A87" w14:textId="77777777" w:rsidR="00E53EB6" w:rsidRDefault="006500F5">
            <w:pPr>
              <w:pStyle w:val="TableContents"/>
              <w:rPr>
                <w:i/>
                <w:iCs/>
              </w:rPr>
            </w:pPr>
            <w:r>
              <w:rPr>
                <w:i/>
                <w:iCs/>
              </w:rPr>
              <w:t>vanate</w:t>
            </w:r>
          </w:p>
        </w:tc>
        <w:tc>
          <w:tcPr>
            <w:tcW w:w="3098" w:type="dxa"/>
            <w:tcBorders>
              <w:left w:val="single" w:sz="2" w:space="0" w:color="000000"/>
              <w:bottom w:val="single" w:sz="2" w:space="0" w:color="000000"/>
              <w:right w:val="single" w:sz="2" w:space="0" w:color="000000"/>
            </w:tcBorders>
          </w:tcPr>
          <w:p w14:paraId="0B0B7846" w14:textId="77777777" w:rsidR="00E53EB6" w:rsidRDefault="006500F5">
            <w:pPr>
              <w:pStyle w:val="TableContents"/>
              <w:rPr>
                <w:i/>
                <w:iCs/>
              </w:rPr>
            </w:pPr>
            <w:r>
              <w:rPr>
                <w:i/>
                <w:iCs/>
              </w:rPr>
              <w:t>sá</w:t>
            </w:r>
            <w:r>
              <w:rPr>
                <w:i/>
                <w:iCs/>
              </w:rPr>
              <w:t>ḥ</w:t>
            </w:r>
          </w:p>
        </w:tc>
      </w:tr>
      <w:tr w:rsidR="00E53EB6" w:rsidRPr="0071345C" w14:paraId="2411F7BE" w14:textId="77777777">
        <w:tc>
          <w:tcPr>
            <w:tcW w:w="1591" w:type="dxa"/>
            <w:tcBorders>
              <w:left w:val="single" w:sz="2" w:space="0" w:color="000000"/>
              <w:bottom w:val="single" w:sz="2" w:space="0" w:color="000000"/>
            </w:tcBorders>
          </w:tcPr>
          <w:p w14:paraId="1171A5A5" w14:textId="77777777" w:rsidR="00E53EB6" w:rsidRDefault="006500F5">
            <w:pPr>
              <w:pStyle w:val="TableContents"/>
              <w:rPr>
                <w:i/>
                <w:iCs/>
              </w:rPr>
            </w:pPr>
            <w:r>
              <w:rPr>
                <w:i/>
                <w:iCs/>
              </w:rPr>
              <w:t>dúvas</w:t>
            </w:r>
          </w:p>
        </w:tc>
        <w:tc>
          <w:tcPr>
            <w:tcW w:w="538" w:type="dxa"/>
            <w:tcBorders>
              <w:left w:val="single" w:sz="2" w:space="0" w:color="000000"/>
              <w:bottom w:val="single" w:sz="2" w:space="0" w:color="000000"/>
            </w:tcBorders>
          </w:tcPr>
          <w:p w14:paraId="4FEC5679" w14:textId="77777777" w:rsidR="00E53EB6" w:rsidRDefault="006500F5">
            <w:pPr>
              <w:pStyle w:val="TableContents"/>
            </w:pPr>
            <w:r>
              <w:t>2</w:t>
            </w:r>
          </w:p>
        </w:tc>
        <w:tc>
          <w:tcPr>
            <w:tcW w:w="1441" w:type="dxa"/>
            <w:tcBorders>
              <w:left w:val="single" w:sz="2" w:space="0" w:color="000000"/>
              <w:bottom w:val="single" w:sz="2" w:space="0" w:color="000000"/>
            </w:tcBorders>
          </w:tcPr>
          <w:p w14:paraId="38BE4E41" w14:textId="77777777" w:rsidR="00E53EB6" w:rsidRDefault="006500F5">
            <w:pPr>
              <w:pStyle w:val="TableContents"/>
            </w:pPr>
            <w:r>
              <w:t>6.15.6</w:t>
            </w:r>
          </w:p>
          <w:p w14:paraId="77CCD579" w14:textId="77777777" w:rsidR="00E53EB6" w:rsidRDefault="006500F5">
            <w:pPr>
              <w:pStyle w:val="TableContents"/>
            </w:pPr>
            <w:r>
              <w:t>6.16.18</w:t>
            </w:r>
          </w:p>
        </w:tc>
        <w:tc>
          <w:tcPr>
            <w:tcW w:w="2114" w:type="dxa"/>
            <w:tcBorders>
              <w:left w:val="single" w:sz="2" w:space="0" w:color="000000"/>
              <w:bottom w:val="single" w:sz="2" w:space="0" w:color="000000"/>
            </w:tcBorders>
          </w:tcPr>
          <w:p w14:paraId="08267633" w14:textId="77777777" w:rsidR="00E53EB6" w:rsidRDefault="006500F5">
            <w:pPr>
              <w:pStyle w:val="TableContents"/>
              <w:rPr>
                <w:i/>
                <w:iCs/>
              </w:rPr>
            </w:pPr>
            <w:r>
              <w:rPr>
                <w:i/>
                <w:iCs/>
              </w:rPr>
              <w:t>vánate (ná</w:t>
            </w:r>
            <w:r>
              <w:rPr>
                <w:i/>
                <w:iCs/>
              </w:rPr>
              <w:t>ḥ</w:t>
            </w:r>
            <w:r>
              <w:rPr>
                <w:i/>
                <w:iCs/>
              </w:rPr>
              <w:t>)</w:t>
            </w:r>
          </w:p>
          <w:p w14:paraId="46914417" w14:textId="77777777" w:rsidR="00E53EB6" w:rsidRDefault="006500F5">
            <w:pPr>
              <w:pStyle w:val="TableContents"/>
              <w:rPr>
                <w:i/>
                <w:iCs/>
              </w:rPr>
            </w:pPr>
            <w:r>
              <w:rPr>
                <w:i/>
                <w:iCs/>
              </w:rPr>
              <w:t>vanavase</w:t>
            </w:r>
          </w:p>
        </w:tc>
        <w:tc>
          <w:tcPr>
            <w:tcW w:w="3098" w:type="dxa"/>
            <w:tcBorders>
              <w:left w:val="single" w:sz="2" w:space="0" w:color="000000"/>
              <w:bottom w:val="single" w:sz="2" w:space="0" w:color="000000"/>
              <w:right w:val="single" w:sz="2" w:space="0" w:color="000000"/>
            </w:tcBorders>
          </w:tcPr>
          <w:p w14:paraId="4DEDFDB9" w14:textId="77777777" w:rsidR="00E53EB6" w:rsidRDefault="006500F5">
            <w:pPr>
              <w:pStyle w:val="TableContents"/>
            </w:pPr>
            <w:r>
              <w:t>Agni</w:t>
            </w:r>
          </w:p>
          <w:p w14:paraId="3E2B741B" w14:textId="77777777" w:rsidR="00E53EB6" w:rsidRDefault="006500F5">
            <w:pPr>
              <w:pStyle w:val="TableContents"/>
            </w:pPr>
            <w:r>
              <w:t>Agni•(as metaphor for oblation)</w:t>
            </w:r>
          </w:p>
        </w:tc>
      </w:tr>
      <w:tr w:rsidR="00E53EB6" w14:paraId="2A91DE6F" w14:textId="77777777">
        <w:tc>
          <w:tcPr>
            <w:tcW w:w="1591" w:type="dxa"/>
            <w:tcBorders>
              <w:left w:val="single" w:sz="2" w:space="0" w:color="000000"/>
              <w:bottom w:val="single" w:sz="2" w:space="0" w:color="000000"/>
            </w:tcBorders>
          </w:tcPr>
          <w:p w14:paraId="6059F5E2" w14:textId="77777777" w:rsidR="00E53EB6" w:rsidRDefault="006500F5">
            <w:pPr>
              <w:pStyle w:val="TableContents"/>
              <w:rPr>
                <w:i/>
                <w:iCs/>
              </w:rPr>
            </w:pPr>
            <w:r>
              <w:rPr>
                <w:i/>
                <w:iCs/>
              </w:rPr>
              <w:t>yáśa</w:t>
            </w:r>
            <w:r>
              <w:rPr>
                <w:i/>
                <w:iCs/>
              </w:rPr>
              <w:t>ḥ</w:t>
            </w:r>
          </w:p>
        </w:tc>
        <w:tc>
          <w:tcPr>
            <w:tcW w:w="538" w:type="dxa"/>
            <w:tcBorders>
              <w:left w:val="single" w:sz="2" w:space="0" w:color="000000"/>
              <w:bottom w:val="single" w:sz="2" w:space="0" w:color="000000"/>
            </w:tcBorders>
          </w:tcPr>
          <w:p w14:paraId="763AD257" w14:textId="77777777" w:rsidR="00E53EB6" w:rsidRDefault="006500F5">
            <w:pPr>
              <w:pStyle w:val="TableContents"/>
            </w:pPr>
            <w:r>
              <w:t>1</w:t>
            </w:r>
          </w:p>
        </w:tc>
        <w:tc>
          <w:tcPr>
            <w:tcW w:w="1441" w:type="dxa"/>
            <w:tcBorders>
              <w:left w:val="single" w:sz="2" w:space="0" w:color="000000"/>
              <w:bottom w:val="single" w:sz="2" w:space="0" w:color="000000"/>
            </w:tcBorders>
          </w:tcPr>
          <w:p w14:paraId="49A43B62" w14:textId="77777777" w:rsidR="00E53EB6" w:rsidRDefault="006500F5">
            <w:pPr>
              <w:pStyle w:val="TableContents"/>
            </w:pPr>
            <w:r>
              <w:t>8.103.9</w:t>
            </w:r>
          </w:p>
        </w:tc>
        <w:tc>
          <w:tcPr>
            <w:tcW w:w="2114" w:type="dxa"/>
            <w:tcBorders>
              <w:left w:val="single" w:sz="2" w:space="0" w:color="000000"/>
              <w:bottom w:val="single" w:sz="2" w:space="0" w:color="000000"/>
            </w:tcBorders>
          </w:tcPr>
          <w:p w14:paraId="3C86E81B" w14:textId="77777777" w:rsidR="00E53EB6" w:rsidRDefault="006500F5">
            <w:pPr>
              <w:pStyle w:val="TableContents"/>
              <w:rPr>
                <w:i/>
                <w:iCs/>
              </w:rPr>
            </w:pPr>
            <w:r>
              <w:rPr>
                <w:i/>
                <w:iCs/>
              </w:rPr>
              <w:t>ā́ va</w:t>
            </w:r>
            <w:r>
              <w:rPr>
                <w:i/>
                <w:iCs/>
              </w:rPr>
              <w:t>ṃ</w:t>
            </w:r>
            <w:r>
              <w:rPr>
                <w:i/>
                <w:iCs/>
              </w:rPr>
              <w:t>sate</w:t>
            </w:r>
          </w:p>
        </w:tc>
        <w:tc>
          <w:tcPr>
            <w:tcW w:w="3098" w:type="dxa"/>
            <w:tcBorders>
              <w:left w:val="single" w:sz="2" w:space="0" w:color="000000"/>
              <w:bottom w:val="single" w:sz="2" w:space="0" w:color="000000"/>
              <w:right w:val="single" w:sz="2" w:space="0" w:color="000000"/>
            </w:tcBorders>
          </w:tcPr>
          <w:p w14:paraId="1E8334EB" w14:textId="77777777" w:rsidR="00E53EB6" w:rsidRDefault="006500F5">
            <w:pPr>
              <w:pStyle w:val="TableContents"/>
            </w:pPr>
            <w:r>
              <w:t>Agni•</w:t>
            </w:r>
          </w:p>
        </w:tc>
      </w:tr>
      <w:tr w:rsidR="00E53EB6" w14:paraId="1FF57F88" w14:textId="77777777">
        <w:tc>
          <w:tcPr>
            <w:tcW w:w="1591" w:type="dxa"/>
            <w:tcBorders>
              <w:left w:val="single" w:sz="2" w:space="0" w:color="000000"/>
              <w:bottom w:val="single" w:sz="2" w:space="0" w:color="000000"/>
            </w:tcBorders>
          </w:tcPr>
          <w:p w14:paraId="390F119B" w14:textId="77777777" w:rsidR="00E53EB6" w:rsidRDefault="006500F5">
            <w:pPr>
              <w:pStyle w:val="TableContents"/>
              <w:rPr>
                <w:i/>
                <w:iCs/>
              </w:rPr>
            </w:pPr>
            <w:r>
              <w:rPr>
                <w:i/>
                <w:iCs/>
              </w:rPr>
              <w:t>rayím</w:t>
            </w:r>
          </w:p>
        </w:tc>
        <w:tc>
          <w:tcPr>
            <w:tcW w:w="538" w:type="dxa"/>
            <w:tcBorders>
              <w:left w:val="single" w:sz="2" w:space="0" w:color="000000"/>
              <w:bottom w:val="single" w:sz="2" w:space="0" w:color="000000"/>
            </w:tcBorders>
          </w:tcPr>
          <w:p w14:paraId="12233384" w14:textId="77777777" w:rsidR="00E53EB6" w:rsidRDefault="006500F5">
            <w:pPr>
              <w:pStyle w:val="TableContents"/>
            </w:pPr>
            <w:r>
              <w:t>7</w:t>
            </w:r>
          </w:p>
        </w:tc>
        <w:tc>
          <w:tcPr>
            <w:tcW w:w="1441" w:type="dxa"/>
            <w:tcBorders>
              <w:left w:val="single" w:sz="2" w:space="0" w:color="000000"/>
              <w:bottom w:val="single" w:sz="2" w:space="0" w:color="000000"/>
            </w:tcBorders>
          </w:tcPr>
          <w:p w14:paraId="6B7BF803" w14:textId="77777777" w:rsidR="00E53EB6" w:rsidRDefault="006500F5">
            <w:pPr>
              <w:pStyle w:val="TableContents"/>
            </w:pPr>
            <w:r>
              <w:t>6.16.28</w:t>
            </w:r>
          </w:p>
          <w:p w14:paraId="0DE6799D" w14:textId="77777777" w:rsidR="00E53EB6" w:rsidRDefault="006500F5">
            <w:pPr>
              <w:pStyle w:val="TableContents"/>
            </w:pPr>
            <w:r>
              <w:t>1.129.7</w:t>
            </w:r>
          </w:p>
          <w:p w14:paraId="5DD42C83" w14:textId="77777777" w:rsidR="00E53EB6" w:rsidRDefault="006500F5">
            <w:pPr>
              <w:pStyle w:val="TableContents"/>
            </w:pPr>
            <w:r>
              <w:t>6.68.5</w:t>
            </w:r>
          </w:p>
          <w:p w14:paraId="2FBC8B70" w14:textId="77777777" w:rsidR="00E53EB6" w:rsidRDefault="006500F5">
            <w:pPr>
              <w:pStyle w:val="TableContents"/>
            </w:pPr>
            <w:r>
              <w:t>9.72.8</w:t>
            </w:r>
          </w:p>
          <w:p w14:paraId="6F3E061A" w14:textId="77777777" w:rsidR="00E53EB6" w:rsidRDefault="006500F5">
            <w:pPr>
              <w:pStyle w:val="TableContents"/>
            </w:pPr>
            <w:r>
              <w:t>9.101.9</w:t>
            </w:r>
          </w:p>
          <w:p w14:paraId="397CF90C" w14:textId="77777777" w:rsidR="00E53EB6" w:rsidRDefault="006500F5">
            <w:pPr>
              <w:pStyle w:val="TableContents"/>
            </w:pPr>
            <w:r>
              <w:t>3.30.18</w:t>
            </w:r>
          </w:p>
          <w:p w14:paraId="0A6B26E4" w14:textId="77777777" w:rsidR="00E53EB6" w:rsidRDefault="006500F5">
            <w:pPr>
              <w:pStyle w:val="TableContents"/>
            </w:pPr>
            <w:r>
              <w:t>7.8.3</w:t>
            </w:r>
          </w:p>
        </w:tc>
        <w:tc>
          <w:tcPr>
            <w:tcW w:w="2114" w:type="dxa"/>
            <w:tcBorders>
              <w:left w:val="single" w:sz="2" w:space="0" w:color="000000"/>
              <w:bottom w:val="single" w:sz="2" w:space="0" w:color="000000"/>
            </w:tcBorders>
          </w:tcPr>
          <w:p w14:paraId="4BBFB106" w14:textId="77777777" w:rsidR="00E53EB6" w:rsidRDefault="006500F5">
            <w:pPr>
              <w:pStyle w:val="TableContents"/>
              <w:rPr>
                <w:i/>
                <w:iCs/>
              </w:rPr>
            </w:pPr>
            <w:r>
              <w:rPr>
                <w:i/>
                <w:iCs/>
              </w:rPr>
              <w:t>vanate (ná</w:t>
            </w:r>
            <w:r>
              <w:rPr>
                <w:i/>
                <w:iCs/>
              </w:rPr>
              <w:t>ḥ</w:t>
            </w:r>
            <w:r>
              <w:rPr>
                <w:i/>
                <w:iCs/>
              </w:rPr>
              <w:t>)</w:t>
            </w:r>
          </w:p>
          <w:p w14:paraId="13F715DD" w14:textId="77777777" w:rsidR="00E53EB6" w:rsidRDefault="006500F5">
            <w:pPr>
              <w:pStyle w:val="TableContents"/>
              <w:rPr>
                <w:i/>
                <w:iCs/>
              </w:rPr>
            </w:pPr>
            <w:r>
              <w:rPr>
                <w:i/>
                <w:iCs/>
              </w:rPr>
              <w:t>vanema</w:t>
            </w:r>
          </w:p>
          <w:p w14:paraId="090E7B3B" w14:textId="77777777" w:rsidR="00E53EB6" w:rsidRDefault="006500F5">
            <w:pPr>
              <w:pStyle w:val="TableContents"/>
              <w:rPr>
                <w:i/>
                <w:iCs/>
              </w:rPr>
            </w:pPr>
            <w:r>
              <w:rPr>
                <w:i/>
                <w:iCs/>
              </w:rPr>
              <w:t>vá</w:t>
            </w:r>
            <w:r>
              <w:rPr>
                <w:i/>
                <w:iCs/>
              </w:rPr>
              <w:t>ṃ</w:t>
            </w:r>
            <w:r>
              <w:rPr>
                <w:i/>
                <w:iCs/>
              </w:rPr>
              <w:t>sad</w:t>
            </w:r>
          </w:p>
          <w:p w14:paraId="0B9A45E7" w14:textId="77777777" w:rsidR="00E53EB6" w:rsidRDefault="006500F5">
            <w:pPr>
              <w:pStyle w:val="TableContents"/>
              <w:rPr>
                <w:i/>
                <w:iCs/>
              </w:rPr>
            </w:pPr>
            <w:r>
              <w:rPr>
                <w:i/>
                <w:iCs/>
              </w:rPr>
              <w:t>vasīmahi</w:t>
            </w:r>
          </w:p>
          <w:p w14:paraId="38785CA0" w14:textId="77777777" w:rsidR="00E53EB6" w:rsidRDefault="006500F5">
            <w:pPr>
              <w:pStyle w:val="TableContents"/>
              <w:rPr>
                <w:i/>
                <w:iCs/>
              </w:rPr>
            </w:pPr>
            <w:r>
              <w:rPr>
                <w:i/>
                <w:iCs/>
              </w:rPr>
              <w:t>vánāmahai</w:t>
            </w:r>
          </w:p>
          <w:p w14:paraId="7C863851" w14:textId="77777777" w:rsidR="00E53EB6" w:rsidRDefault="006500F5">
            <w:pPr>
              <w:pStyle w:val="TableContents"/>
              <w:rPr>
                <w:i/>
                <w:iCs/>
              </w:rPr>
            </w:pPr>
            <w:r>
              <w:rPr>
                <w:i/>
                <w:iCs/>
              </w:rPr>
              <w:t>vantā́ra</w:t>
            </w:r>
            <w:r>
              <w:rPr>
                <w:i/>
                <w:iCs/>
              </w:rPr>
              <w:t>ḥ</w:t>
            </w:r>
            <w:r>
              <w:rPr>
                <w:i/>
                <w:iCs/>
              </w:rPr>
              <w:t xml:space="preserve"> (syāma)</w:t>
            </w:r>
          </w:p>
          <w:p w14:paraId="442B8598" w14:textId="77777777" w:rsidR="00E53EB6" w:rsidRDefault="006500F5">
            <w:pPr>
              <w:pStyle w:val="TableContents"/>
              <w:rPr>
                <w:i/>
                <w:iCs/>
              </w:rPr>
            </w:pPr>
            <w:r>
              <w:rPr>
                <w:i/>
                <w:iCs/>
              </w:rPr>
              <w:t>vantā́ra</w:t>
            </w:r>
            <w:r>
              <w:rPr>
                <w:i/>
                <w:iCs/>
              </w:rPr>
              <w:t>ḥ</w:t>
            </w:r>
            <w:r>
              <w:rPr>
                <w:i/>
                <w:iCs/>
              </w:rPr>
              <w:t xml:space="preserve"> (bhavema)</w:t>
            </w:r>
          </w:p>
        </w:tc>
        <w:tc>
          <w:tcPr>
            <w:tcW w:w="3098" w:type="dxa"/>
            <w:tcBorders>
              <w:left w:val="single" w:sz="2" w:space="0" w:color="000000"/>
              <w:bottom w:val="single" w:sz="2" w:space="0" w:color="000000"/>
              <w:right w:val="single" w:sz="2" w:space="0" w:color="000000"/>
            </w:tcBorders>
          </w:tcPr>
          <w:p w14:paraId="54B0EFF5" w14:textId="77777777" w:rsidR="00E53EB6" w:rsidRDefault="006500F5">
            <w:pPr>
              <w:pStyle w:val="TableContents"/>
            </w:pPr>
            <w:r>
              <w:t>Agni</w:t>
            </w:r>
          </w:p>
          <w:p w14:paraId="22F27EBF" w14:textId="77777777" w:rsidR="00E53EB6" w:rsidRDefault="006500F5">
            <w:pPr>
              <w:pStyle w:val="TableContents"/>
            </w:pPr>
            <w:r>
              <w:t>Ø</w:t>
            </w:r>
          </w:p>
          <w:p w14:paraId="4BF518B6" w14:textId="77777777" w:rsidR="00E53EB6" w:rsidRDefault="006500F5">
            <w:pPr>
              <w:pStyle w:val="TableContents"/>
              <w:rPr>
                <w:i/>
                <w:iCs/>
              </w:rPr>
            </w:pPr>
            <w:r>
              <w:rPr>
                <w:i/>
                <w:iCs/>
              </w:rPr>
              <w:t>sá</w:t>
            </w:r>
            <w:r>
              <w:rPr>
                <w:i/>
                <w:iCs/>
              </w:rPr>
              <w:t>ḥ</w:t>
            </w:r>
          </w:p>
          <w:p w14:paraId="14C1E838" w14:textId="77777777" w:rsidR="00E53EB6" w:rsidRDefault="006500F5">
            <w:pPr>
              <w:pStyle w:val="TableContents"/>
            </w:pPr>
            <w:r>
              <w:t>Ø</w:t>
            </w:r>
          </w:p>
          <w:p w14:paraId="6DF6679C" w14:textId="77777777" w:rsidR="00E53EB6" w:rsidRDefault="006500F5">
            <w:pPr>
              <w:pStyle w:val="TableContents"/>
            </w:pPr>
            <w:r>
              <w:t>Ø</w:t>
            </w:r>
          </w:p>
          <w:p w14:paraId="20F1BF83" w14:textId="77777777" w:rsidR="00E53EB6" w:rsidRDefault="006500F5">
            <w:pPr>
              <w:pStyle w:val="TableContents"/>
            </w:pPr>
            <w:r>
              <w:t>Ø</w:t>
            </w:r>
          </w:p>
          <w:p w14:paraId="754CD788" w14:textId="77777777" w:rsidR="00E53EB6" w:rsidRDefault="006500F5">
            <w:pPr>
              <w:pStyle w:val="TableContents"/>
            </w:pPr>
            <w:r>
              <w:t>Ø</w:t>
            </w:r>
          </w:p>
        </w:tc>
      </w:tr>
      <w:tr w:rsidR="00E53EB6" w14:paraId="39DD4309" w14:textId="77777777">
        <w:tc>
          <w:tcPr>
            <w:tcW w:w="1591" w:type="dxa"/>
            <w:tcBorders>
              <w:left w:val="single" w:sz="2" w:space="0" w:color="000000"/>
              <w:bottom w:val="single" w:sz="2" w:space="0" w:color="000000"/>
            </w:tcBorders>
          </w:tcPr>
          <w:p w14:paraId="282A5974" w14:textId="77777777" w:rsidR="00E53EB6" w:rsidRDefault="006500F5">
            <w:pPr>
              <w:pStyle w:val="TableContents"/>
              <w:rPr>
                <w:i/>
                <w:iCs/>
              </w:rPr>
            </w:pPr>
            <w:r>
              <w:rPr>
                <w:i/>
                <w:iCs/>
              </w:rPr>
              <w:t>vásūni</w:t>
            </w:r>
          </w:p>
          <w:p w14:paraId="7BB670D5" w14:textId="77777777" w:rsidR="00E53EB6" w:rsidRDefault="006500F5">
            <w:pPr>
              <w:pStyle w:val="TableContents"/>
              <w:rPr>
                <w:i/>
                <w:iCs/>
              </w:rPr>
            </w:pPr>
            <w:r>
              <w:rPr>
                <w:i/>
                <w:iCs/>
              </w:rPr>
              <w:lastRenderedPageBreak/>
              <w:t>vásu</w:t>
            </w:r>
          </w:p>
        </w:tc>
        <w:tc>
          <w:tcPr>
            <w:tcW w:w="538" w:type="dxa"/>
            <w:tcBorders>
              <w:left w:val="single" w:sz="2" w:space="0" w:color="000000"/>
              <w:bottom w:val="single" w:sz="2" w:space="0" w:color="000000"/>
            </w:tcBorders>
          </w:tcPr>
          <w:p w14:paraId="21139657" w14:textId="77777777" w:rsidR="00E53EB6" w:rsidRDefault="006500F5">
            <w:pPr>
              <w:pStyle w:val="TableContents"/>
            </w:pPr>
            <w:r>
              <w:lastRenderedPageBreak/>
              <w:t>2</w:t>
            </w:r>
          </w:p>
        </w:tc>
        <w:tc>
          <w:tcPr>
            <w:tcW w:w="1441" w:type="dxa"/>
            <w:tcBorders>
              <w:left w:val="single" w:sz="2" w:space="0" w:color="000000"/>
              <w:bottom w:val="single" w:sz="2" w:space="0" w:color="000000"/>
            </w:tcBorders>
          </w:tcPr>
          <w:p w14:paraId="077B3DEF" w14:textId="77777777" w:rsidR="00E53EB6" w:rsidRDefault="006500F5">
            <w:pPr>
              <w:pStyle w:val="TableContents"/>
            </w:pPr>
            <w:r>
              <w:t>1.15.8</w:t>
            </w:r>
          </w:p>
          <w:p w14:paraId="1E03A164" w14:textId="77777777" w:rsidR="00E53EB6" w:rsidRDefault="006500F5">
            <w:pPr>
              <w:pStyle w:val="TableContents"/>
            </w:pPr>
            <w:r>
              <w:lastRenderedPageBreak/>
              <w:t>7.94.9</w:t>
            </w:r>
          </w:p>
        </w:tc>
        <w:tc>
          <w:tcPr>
            <w:tcW w:w="2114" w:type="dxa"/>
            <w:tcBorders>
              <w:left w:val="single" w:sz="2" w:space="0" w:color="000000"/>
              <w:bottom w:val="single" w:sz="2" w:space="0" w:color="000000"/>
            </w:tcBorders>
          </w:tcPr>
          <w:p w14:paraId="0C532936" w14:textId="77777777" w:rsidR="00E53EB6" w:rsidRDefault="006500F5">
            <w:pPr>
              <w:pStyle w:val="TableContents"/>
              <w:rPr>
                <w:i/>
                <w:iCs/>
              </w:rPr>
            </w:pPr>
            <w:r>
              <w:rPr>
                <w:i/>
                <w:iCs/>
              </w:rPr>
              <w:lastRenderedPageBreak/>
              <w:t>vanāmahe</w:t>
            </w:r>
          </w:p>
          <w:p w14:paraId="6D60B2B7" w14:textId="77777777" w:rsidR="00E53EB6" w:rsidRDefault="006500F5">
            <w:pPr>
              <w:pStyle w:val="TableContents"/>
              <w:rPr>
                <w:i/>
                <w:iCs/>
              </w:rPr>
            </w:pPr>
            <w:r>
              <w:rPr>
                <w:i/>
                <w:iCs/>
              </w:rPr>
              <w:lastRenderedPageBreak/>
              <w:t>vanemahi</w:t>
            </w:r>
          </w:p>
        </w:tc>
        <w:tc>
          <w:tcPr>
            <w:tcW w:w="3098" w:type="dxa"/>
            <w:tcBorders>
              <w:left w:val="single" w:sz="2" w:space="0" w:color="000000"/>
              <w:bottom w:val="single" w:sz="2" w:space="0" w:color="000000"/>
              <w:right w:val="single" w:sz="2" w:space="0" w:color="000000"/>
            </w:tcBorders>
          </w:tcPr>
          <w:p w14:paraId="31B4F5DE" w14:textId="77777777" w:rsidR="00E53EB6" w:rsidRDefault="006500F5">
            <w:pPr>
              <w:pStyle w:val="TableContents"/>
            </w:pPr>
            <w:r>
              <w:lastRenderedPageBreak/>
              <w:t>Ø</w:t>
            </w:r>
          </w:p>
          <w:p w14:paraId="064901F8" w14:textId="77777777" w:rsidR="00E53EB6" w:rsidRDefault="006500F5">
            <w:pPr>
              <w:pStyle w:val="TableContents"/>
            </w:pPr>
            <w:r>
              <w:lastRenderedPageBreak/>
              <w:t>Ø</w:t>
            </w:r>
          </w:p>
        </w:tc>
      </w:tr>
      <w:tr w:rsidR="00E53EB6" w14:paraId="08662289" w14:textId="77777777">
        <w:tc>
          <w:tcPr>
            <w:tcW w:w="1591" w:type="dxa"/>
            <w:tcBorders>
              <w:left w:val="single" w:sz="2" w:space="0" w:color="000000"/>
              <w:bottom w:val="single" w:sz="2" w:space="0" w:color="000000"/>
            </w:tcBorders>
          </w:tcPr>
          <w:p w14:paraId="78619618" w14:textId="77777777" w:rsidR="00E53EB6" w:rsidRDefault="006500F5">
            <w:pPr>
              <w:pStyle w:val="TableContents"/>
              <w:rPr>
                <w:i/>
                <w:iCs/>
              </w:rPr>
            </w:pPr>
            <w:r>
              <w:rPr>
                <w:i/>
                <w:iCs/>
              </w:rPr>
              <w:t>vā́ryāni</w:t>
            </w:r>
          </w:p>
          <w:p w14:paraId="52C81127" w14:textId="77777777" w:rsidR="00E53EB6" w:rsidRDefault="00E53EB6">
            <w:pPr>
              <w:pStyle w:val="TableContents"/>
              <w:rPr>
                <w:i/>
                <w:iCs/>
              </w:rPr>
            </w:pPr>
          </w:p>
          <w:p w14:paraId="6046D783" w14:textId="77777777" w:rsidR="00E53EB6" w:rsidRDefault="00E53EB6">
            <w:pPr>
              <w:pStyle w:val="TableContents"/>
              <w:rPr>
                <w:i/>
                <w:iCs/>
              </w:rPr>
            </w:pPr>
          </w:p>
          <w:p w14:paraId="18C6AE55" w14:textId="77777777" w:rsidR="00E53EB6" w:rsidRDefault="00E53EB6">
            <w:pPr>
              <w:pStyle w:val="TableContents"/>
              <w:rPr>
                <w:i/>
                <w:iCs/>
              </w:rPr>
            </w:pPr>
          </w:p>
          <w:p w14:paraId="191AC261" w14:textId="77777777" w:rsidR="00E53EB6" w:rsidRDefault="00E53EB6">
            <w:pPr>
              <w:pStyle w:val="TableContents"/>
              <w:rPr>
                <w:i/>
                <w:iCs/>
              </w:rPr>
            </w:pPr>
          </w:p>
          <w:p w14:paraId="329FD25D" w14:textId="77777777" w:rsidR="00E53EB6" w:rsidRDefault="006500F5">
            <w:pPr>
              <w:pStyle w:val="TableContents"/>
              <w:rPr>
                <w:i/>
                <w:iCs/>
              </w:rPr>
            </w:pPr>
            <w:r>
              <w:rPr>
                <w:i/>
                <w:iCs/>
              </w:rPr>
              <w:t>vā́ryam</w:t>
            </w:r>
          </w:p>
        </w:tc>
        <w:tc>
          <w:tcPr>
            <w:tcW w:w="538" w:type="dxa"/>
            <w:tcBorders>
              <w:left w:val="single" w:sz="2" w:space="0" w:color="000000"/>
              <w:bottom w:val="single" w:sz="2" w:space="0" w:color="000000"/>
            </w:tcBorders>
          </w:tcPr>
          <w:p w14:paraId="38560C6F" w14:textId="77777777" w:rsidR="00E53EB6" w:rsidRDefault="006500F5">
            <w:pPr>
              <w:pStyle w:val="TableContents"/>
            </w:pPr>
            <w:r>
              <w:t>6</w:t>
            </w:r>
          </w:p>
        </w:tc>
        <w:tc>
          <w:tcPr>
            <w:tcW w:w="1441" w:type="dxa"/>
            <w:tcBorders>
              <w:left w:val="single" w:sz="2" w:space="0" w:color="000000"/>
              <w:bottom w:val="single" w:sz="2" w:space="0" w:color="000000"/>
            </w:tcBorders>
          </w:tcPr>
          <w:p w14:paraId="5827BF36" w14:textId="77777777" w:rsidR="00E53EB6" w:rsidRDefault="006500F5">
            <w:pPr>
              <w:pStyle w:val="TableContents"/>
            </w:pPr>
            <w:r>
              <w:t>5.4.3</w:t>
            </w:r>
          </w:p>
          <w:p w14:paraId="07DF6000" w14:textId="77777777" w:rsidR="00E53EB6" w:rsidRDefault="006500F5">
            <w:pPr>
              <w:pStyle w:val="TableContents"/>
            </w:pPr>
            <w:r>
              <w:t>7.17.5</w:t>
            </w:r>
          </w:p>
          <w:p w14:paraId="1F728A43" w14:textId="77777777" w:rsidR="00E53EB6" w:rsidRDefault="006500F5">
            <w:pPr>
              <w:pStyle w:val="TableContents"/>
            </w:pPr>
            <w:r>
              <w:t>7.2.7</w:t>
            </w:r>
          </w:p>
          <w:p w14:paraId="082EF0E7" w14:textId="77777777" w:rsidR="00E53EB6" w:rsidRDefault="006500F5">
            <w:pPr>
              <w:pStyle w:val="TableContents"/>
            </w:pPr>
            <w:r>
              <w:t>8.23.27</w:t>
            </w:r>
          </w:p>
          <w:p w14:paraId="0BDC891D" w14:textId="77777777" w:rsidR="00E53EB6" w:rsidRDefault="006500F5">
            <w:pPr>
              <w:pStyle w:val="TableContents"/>
            </w:pPr>
            <w:r>
              <w:t>8.60.14</w:t>
            </w:r>
          </w:p>
          <w:p w14:paraId="2684E40B" w14:textId="77777777" w:rsidR="00E53EB6" w:rsidRDefault="006500F5">
            <w:pPr>
              <w:pStyle w:val="TableContents"/>
            </w:pPr>
            <w:r>
              <w:t>6.15.6</w:t>
            </w:r>
          </w:p>
        </w:tc>
        <w:tc>
          <w:tcPr>
            <w:tcW w:w="2114" w:type="dxa"/>
            <w:tcBorders>
              <w:left w:val="single" w:sz="2" w:space="0" w:color="000000"/>
              <w:bottom w:val="single" w:sz="2" w:space="0" w:color="000000"/>
            </w:tcBorders>
          </w:tcPr>
          <w:p w14:paraId="532D50E9" w14:textId="77777777" w:rsidR="00E53EB6" w:rsidRPr="0071345C" w:rsidRDefault="006500F5">
            <w:pPr>
              <w:pStyle w:val="TableContents"/>
              <w:rPr>
                <w:i/>
                <w:iCs/>
                <w:lang w:val="it-IT"/>
              </w:rPr>
            </w:pPr>
            <w:r w:rsidRPr="0071345C">
              <w:rPr>
                <w:i/>
                <w:iCs/>
                <w:lang w:val="it-IT"/>
              </w:rPr>
              <w:t>vanate</w:t>
            </w:r>
          </w:p>
          <w:p w14:paraId="0C85EF76" w14:textId="77777777" w:rsidR="00E53EB6" w:rsidRPr="0071345C" w:rsidRDefault="006500F5">
            <w:pPr>
              <w:pStyle w:val="TableContents"/>
              <w:rPr>
                <w:i/>
                <w:iCs/>
                <w:lang w:val="it-IT"/>
              </w:rPr>
            </w:pPr>
            <w:r w:rsidRPr="0071345C">
              <w:rPr>
                <w:i/>
                <w:iCs/>
                <w:lang w:val="it-IT"/>
              </w:rPr>
              <w:t>vá</w:t>
            </w:r>
            <w:r w:rsidRPr="0071345C">
              <w:rPr>
                <w:i/>
                <w:iCs/>
                <w:lang w:val="it-IT"/>
              </w:rPr>
              <w:t>ṃ</w:t>
            </w:r>
            <w:r w:rsidRPr="0071345C">
              <w:rPr>
                <w:i/>
                <w:iCs/>
                <w:lang w:val="it-IT"/>
              </w:rPr>
              <w:t>sva</w:t>
            </w:r>
          </w:p>
          <w:p w14:paraId="09403C2A" w14:textId="77777777" w:rsidR="00E53EB6" w:rsidRPr="0071345C" w:rsidRDefault="006500F5">
            <w:pPr>
              <w:pStyle w:val="TableContents"/>
              <w:rPr>
                <w:i/>
                <w:iCs/>
                <w:lang w:val="it-IT"/>
              </w:rPr>
            </w:pPr>
            <w:r w:rsidRPr="0071345C">
              <w:rPr>
                <w:i/>
                <w:iCs/>
                <w:lang w:val="it-IT"/>
              </w:rPr>
              <w:t>vanatha</w:t>
            </w:r>
            <w:r w:rsidRPr="0071345C">
              <w:rPr>
                <w:i/>
                <w:iCs/>
                <w:lang w:val="it-IT"/>
              </w:rPr>
              <w:t>ḥ</w:t>
            </w:r>
          </w:p>
          <w:p w14:paraId="0050D6E0" w14:textId="77777777" w:rsidR="00E53EB6" w:rsidRPr="0071345C" w:rsidRDefault="006500F5">
            <w:pPr>
              <w:pStyle w:val="TableContents"/>
              <w:rPr>
                <w:i/>
                <w:iCs/>
                <w:lang w:val="it-IT"/>
              </w:rPr>
            </w:pPr>
            <w:r w:rsidRPr="0071345C">
              <w:rPr>
                <w:i/>
                <w:iCs/>
                <w:lang w:val="it-IT"/>
              </w:rPr>
              <w:t>vamsvā (ná</w:t>
            </w:r>
            <w:r w:rsidRPr="0071345C">
              <w:rPr>
                <w:i/>
                <w:iCs/>
                <w:lang w:val="it-IT"/>
              </w:rPr>
              <w:t>ḥ</w:t>
            </w:r>
            <w:r w:rsidRPr="0071345C">
              <w:rPr>
                <w:i/>
                <w:iCs/>
                <w:lang w:val="it-IT"/>
              </w:rPr>
              <w:t>)</w:t>
            </w:r>
          </w:p>
          <w:p w14:paraId="38500B05" w14:textId="77777777" w:rsidR="00E53EB6" w:rsidRDefault="006500F5">
            <w:pPr>
              <w:pStyle w:val="TableContents"/>
              <w:rPr>
                <w:i/>
                <w:iCs/>
              </w:rPr>
            </w:pPr>
            <w:r>
              <w:rPr>
                <w:i/>
                <w:iCs/>
              </w:rPr>
              <w:t>vamsvā (ná</w:t>
            </w:r>
            <w:r>
              <w:rPr>
                <w:i/>
                <w:iCs/>
              </w:rPr>
              <w:t>ḥ</w:t>
            </w:r>
            <w:r>
              <w:rPr>
                <w:i/>
                <w:iCs/>
              </w:rPr>
              <w:t>)</w:t>
            </w:r>
          </w:p>
          <w:p w14:paraId="71C388C5" w14:textId="77777777" w:rsidR="00E53EB6" w:rsidRDefault="006500F5">
            <w:pPr>
              <w:pStyle w:val="TableContents"/>
              <w:rPr>
                <w:i/>
                <w:iCs/>
              </w:rPr>
            </w:pPr>
            <w:r>
              <w:rPr>
                <w:i/>
                <w:iCs/>
              </w:rPr>
              <w:t>vánate</w:t>
            </w:r>
          </w:p>
        </w:tc>
        <w:tc>
          <w:tcPr>
            <w:tcW w:w="3098" w:type="dxa"/>
            <w:tcBorders>
              <w:left w:val="single" w:sz="2" w:space="0" w:color="000000"/>
              <w:bottom w:val="single" w:sz="2" w:space="0" w:color="000000"/>
              <w:right w:val="single" w:sz="2" w:space="0" w:color="000000"/>
            </w:tcBorders>
          </w:tcPr>
          <w:p w14:paraId="7562E081" w14:textId="77777777" w:rsidR="00E53EB6" w:rsidRPr="0071345C" w:rsidRDefault="006500F5">
            <w:pPr>
              <w:pStyle w:val="TableContents"/>
              <w:rPr>
                <w:lang w:val="it-IT"/>
              </w:rPr>
            </w:pPr>
            <w:r w:rsidRPr="0071345C">
              <w:rPr>
                <w:lang w:val="it-IT"/>
              </w:rPr>
              <w:t>Agni</w:t>
            </w:r>
          </w:p>
          <w:p w14:paraId="6D4BA747" w14:textId="77777777" w:rsidR="00E53EB6" w:rsidRPr="0071345C" w:rsidRDefault="006500F5">
            <w:pPr>
              <w:pStyle w:val="TableContents"/>
              <w:rPr>
                <w:lang w:val="it-IT"/>
              </w:rPr>
            </w:pPr>
            <w:r w:rsidRPr="0071345C">
              <w:rPr>
                <w:lang w:val="it-IT"/>
              </w:rPr>
              <w:t>Agni•</w:t>
            </w:r>
          </w:p>
          <w:p w14:paraId="0A5D36B9" w14:textId="77777777" w:rsidR="00E53EB6" w:rsidRPr="0071345C" w:rsidRDefault="006500F5">
            <w:pPr>
              <w:pStyle w:val="TableContents"/>
              <w:rPr>
                <w:lang w:val="it-IT"/>
              </w:rPr>
            </w:pPr>
            <w:r w:rsidRPr="0071345C">
              <w:rPr>
                <w:lang w:val="it-IT"/>
              </w:rPr>
              <w:t>Agni (poet and Jataveda)•</w:t>
            </w:r>
          </w:p>
          <w:p w14:paraId="35090849" w14:textId="77777777" w:rsidR="00E53EB6" w:rsidRDefault="006500F5">
            <w:pPr>
              <w:pStyle w:val="TableContents"/>
            </w:pPr>
            <w:r>
              <w:t>Agni•</w:t>
            </w:r>
          </w:p>
          <w:p w14:paraId="368FB163" w14:textId="77777777" w:rsidR="00E53EB6" w:rsidRDefault="006500F5">
            <w:pPr>
              <w:pStyle w:val="TableContents"/>
            </w:pPr>
            <w:r>
              <w:t>Agni</w:t>
            </w:r>
          </w:p>
          <w:p w14:paraId="4194E6C6" w14:textId="77777777" w:rsidR="00E53EB6" w:rsidRDefault="006500F5">
            <w:pPr>
              <w:pStyle w:val="TableContents"/>
            </w:pPr>
            <w:r>
              <w:t>Agni (+</w:t>
            </w:r>
            <w:r>
              <w:rPr>
                <w:i/>
                <w:iCs/>
              </w:rPr>
              <w:t>duvas)</w:t>
            </w:r>
          </w:p>
        </w:tc>
      </w:tr>
      <w:tr w:rsidR="00E53EB6" w14:paraId="662BE4FC" w14:textId="77777777">
        <w:tc>
          <w:tcPr>
            <w:tcW w:w="1591" w:type="dxa"/>
            <w:tcBorders>
              <w:left w:val="single" w:sz="2" w:space="0" w:color="000000"/>
              <w:bottom w:val="single" w:sz="2" w:space="0" w:color="000000"/>
            </w:tcBorders>
          </w:tcPr>
          <w:p w14:paraId="514784C3" w14:textId="77777777" w:rsidR="00E53EB6" w:rsidRDefault="006500F5">
            <w:pPr>
              <w:pStyle w:val="TableContents"/>
              <w:rPr>
                <w:i/>
                <w:iCs/>
              </w:rPr>
            </w:pPr>
            <w:r>
              <w:rPr>
                <w:i/>
                <w:iCs/>
              </w:rPr>
              <w:t>vr̥</w:t>
            </w:r>
            <w:r>
              <w:rPr>
                <w:i/>
                <w:iCs/>
              </w:rPr>
              <w:t>ṣ</w:t>
            </w:r>
            <w:r>
              <w:rPr>
                <w:i/>
                <w:iCs/>
              </w:rPr>
              <w:t>tím</w:t>
            </w:r>
          </w:p>
        </w:tc>
        <w:tc>
          <w:tcPr>
            <w:tcW w:w="538" w:type="dxa"/>
            <w:tcBorders>
              <w:left w:val="single" w:sz="2" w:space="0" w:color="000000"/>
              <w:bottom w:val="single" w:sz="2" w:space="0" w:color="000000"/>
            </w:tcBorders>
          </w:tcPr>
          <w:p w14:paraId="3FBD0003" w14:textId="77777777" w:rsidR="00E53EB6" w:rsidRDefault="006500F5">
            <w:pPr>
              <w:pStyle w:val="TableContents"/>
            </w:pPr>
            <w:r>
              <w:t>1</w:t>
            </w:r>
          </w:p>
        </w:tc>
        <w:tc>
          <w:tcPr>
            <w:tcW w:w="1441" w:type="dxa"/>
            <w:tcBorders>
              <w:left w:val="single" w:sz="2" w:space="0" w:color="000000"/>
              <w:bottom w:val="single" w:sz="2" w:space="0" w:color="000000"/>
            </w:tcBorders>
          </w:tcPr>
          <w:p w14:paraId="50B63E64" w14:textId="77777777" w:rsidR="00E53EB6" w:rsidRDefault="006500F5">
            <w:pPr>
              <w:pStyle w:val="TableContents"/>
            </w:pPr>
            <w:r>
              <w:t>10.98.3</w:t>
            </w:r>
          </w:p>
        </w:tc>
        <w:tc>
          <w:tcPr>
            <w:tcW w:w="2114" w:type="dxa"/>
            <w:tcBorders>
              <w:left w:val="single" w:sz="2" w:space="0" w:color="000000"/>
              <w:bottom w:val="single" w:sz="2" w:space="0" w:color="000000"/>
            </w:tcBorders>
          </w:tcPr>
          <w:p w14:paraId="7A847138" w14:textId="77777777" w:rsidR="00E53EB6" w:rsidRDefault="006500F5">
            <w:pPr>
              <w:pStyle w:val="TableContents"/>
              <w:rPr>
                <w:i/>
                <w:iCs/>
              </w:rPr>
            </w:pPr>
            <w:r>
              <w:rPr>
                <w:i/>
                <w:iCs/>
              </w:rPr>
              <w:t>vanāva</w:t>
            </w:r>
          </w:p>
        </w:tc>
        <w:tc>
          <w:tcPr>
            <w:tcW w:w="3098" w:type="dxa"/>
            <w:tcBorders>
              <w:left w:val="single" w:sz="2" w:space="0" w:color="000000"/>
              <w:bottom w:val="single" w:sz="2" w:space="0" w:color="000000"/>
              <w:right w:val="single" w:sz="2" w:space="0" w:color="000000"/>
            </w:tcBorders>
          </w:tcPr>
          <w:p w14:paraId="45F86AF4" w14:textId="77777777" w:rsidR="00E53EB6" w:rsidRDefault="006500F5">
            <w:pPr>
              <w:pStyle w:val="TableContents"/>
            </w:pPr>
            <w:r>
              <w:t>Ø</w:t>
            </w:r>
          </w:p>
        </w:tc>
      </w:tr>
      <w:tr w:rsidR="00E53EB6" w14:paraId="220D00F7" w14:textId="77777777">
        <w:tc>
          <w:tcPr>
            <w:tcW w:w="1591" w:type="dxa"/>
            <w:tcBorders>
              <w:left w:val="single" w:sz="2" w:space="0" w:color="000000"/>
              <w:bottom w:val="single" w:sz="2" w:space="0" w:color="000000"/>
            </w:tcBorders>
          </w:tcPr>
          <w:p w14:paraId="3CFC894A" w14:textId="77777777" w:rsidR="00E53EB6" w:rsidRDefault="006500F5">
            <w:pPr>
              <w:pStyle w:val="TableContents"/>
              <w:rPr>
                <w:i/>
                <w:iCs/>
              </w:rPr>
            </w:pPr>
            <w:r>
              <w:rPr>
                <w:i/>
                <w:iCs/>
              </w:rPr>
              <w:t xml:space="preserve">suvī́ryam </w:t>
            </w:r>
          </w:p>
        </w:tc>
        <w:tc>
          <w:tcPr>
            <w:tcW w:w="538" w:type="dxa"/>
            <w:tcBorders>
              <w:left w:val="single" w:sz="2" w:space="0" w:color="000000"/>
              <w:bottom w:val="single" w:sz="2" w:space="0" w:color="000000"/>
            </w:tcBorders>
          </w:tcPr>
          <w:p w14:paraId="3F2BAB62" w14:textId="77777777" w:rsidR="00E53EB6" w:rsidRDefault="006500F5">
            <w:pPr>
              <w:pStyle w:val="TableContents"/>
            </w:pPr>
            <w:r>
              <w:t>1</w:t>
            </w:r>
          </w:p>
        </w:tc>
        <w:tc>
          <w:tcPr>
            <w:tcW w:w="1441" w:type="dxa"/>
            <w:tcBorders>
              <w:left w:val="single" w:sz="2" w:space="0" w:color="000000"/>
              <w:bottom w:val="single" w:sz="2" w:space="0" w:color="000000"/>
            </w:tcBorders>
          </w:tcPr>
          <w:p w14:paraId="095A9DBB" w14:textId="77777777" w:rsidR="00E53EB6" w:rsidRDefault="006500F5">
            <w:pPr>
              <w:pStyle w:val="TableContents"/>
            </w:pPr>
            <w:r>
              <w:t>1.36.17</w:t>
            </w:r>
          </w:p>
        </w:tc>
        <w:tc>
          <w:tcPr>
            <w:tcW w:w="2114" w:type="dxa"/>
            <w:tcBorders>
              <w:left w:val="single" w:sz="2" w:space="0" w:color="000000"/>
              <w:bottom w:val="single" w:sz="2" w:space="0" w:color="000000"/>
            </w:tcBorders>
          </w:tcPr>
          <w:p w14:paraId="7461BB37" w14:textId="77777777" w:rsidR="00E53EB6" w:rsidRDefault="006500F5">
            <w:pPr>
              <w:pStyle w:val="TableContents"/>
            </w:pPr>
            <w:r>
              <w:rPr>
                <w:i/>
                <w:iCs/>
              </w:rPr>
              <w:t>vavne (</w:t>
            </w:r>
            <w:r>
              <w:rPr>
                <w:rFonts w:eastAsia="Arial Unicode MS" w:cs="Times Ext Roman"/>
                <w:i/>
                <w:iCs/>
                <w:color w:val="000000"/>
                <w:szCs w:val="21"/>
                <w:lang w:val="it-IT" w:eastAsia="it-IT" w:bidi="it-IT"/>
              </w:rPr>
              <w:t>ká</w:t>
            </w:r>
            <w:r>
              <w:rPr>
                <w:rFonts w:eastAsia="Arial Unicode MS" w:cs="Times Ext Roman"/>
                <w:i/>
                <w:iCs/>
                <w:color w:val="000000"/>
                <w:szCs w:val="21"/>
                <w:lang w:val="it-IT" w:eastAsia="it-IT" w:bidi="it-IT"/>
              </w:rPr>
              <w:t>ṇ</w:t>
            </w:r>
            <w:r>
              <w:rPr>
                <w:rFonts w:eastAsia="Arial Unicode MS" w:cs="Times Ext Roman"/>
                <w:i/>
                <w:iCs/>
                <w:color w:val="000000"/>
                <w:szCs w:val="21"/>
                <w:lang w:val="it-IT" w:eastAsia="it-IT" w:bidi="it-IT"/>
              </w:rPr>
              <w:t>vāya)</w:t>
            </w:r>
          </w:p>
        </w:tc>
        <w:tc>
          <w:tcPr>
            <w:tcW w:w="3098" w:type="dxa"/>
            <w:tcBorders>
              <w:left w:val="single" w:sz="2" w:space="0" w:color="000000"/>
              <w:bottom w:val="single" w:sz="2" w:space="0" w:color="000000"/>
              <w:right w:val="single" w:sz="2" w:space="0" w:color="000000"/>
            </w:tcBorders>
          </w:tcPr>
          <w:p w14:paraId="6458143B" w14:textId="77777777" w:rsidR="00E53EB6" w:rsidRDefault="006500F5">
            <w:pPr>
              <w:pStyle w:val="TableContents"/>
            </w:pPr>
            <w:r>
              <w:t xml:space="preserve"> Agni</w:t>
            </w:r>
          </w:p>
        </w:tc>
      </w:tr>
      <w:tr w:rsidR="00E53EB6" w14:paraId="47C23C27" w14:textId="77777777">
        <w:tc>
          <w:tcPr>
            <w:tcW w:w="1591" w:type="dxa"/>
            <w:tcBorders>
              <w:left w:val="single" w:sz="2" w:space="0" w:color="000000"/>
              <w:bottom w:val="single" w:sz="2" w:space="0" w:color="000000"/>
            </w:tcBorders>
          </w:tcPr>
          <w:p w14:paraId="67EABBED" w14:textId="77777777" w:rsidR="00E53EB6" w:rsidRDefault="006500F5">
            <w:pPr>
              <w:pStyle w:val="TableContents"/>
              <w:rPr>
                <w:i/>
                <w:iCs/>
              </w:rPr>
            </w:pPr>
            <w:r>
              <w:t>Soma</w:t>
            </w:r>
            <w:r>
              <w:rPr>
                <w:i/>
                <w:iCs/>
              </w:rPr>
              <w:t>• yád</w:t>
            </w:r>
          </w:p>
          <w:p w14:paraId="333855C8" w14:textId="77777777" w:rsidR="00E53EB6" w:rsidRDefault="006500F5">
            <w:pPr>
              <w:pStyle w:val="TableContents"/>
            </w:pPr>
            <w:r>
              <w:t xml:space="preserve">• </w:t>
            </w:r>
            <w:r>
              <w:rPr>
                <w:i/>
                <w:iCs/>
              </w:rPr>
              <w:t>tád</w:t>
            </w:r>
          </w:p>
          <w:p w14:paraId="133F959A" w14:textId="77777777" w:rsidR="00E53EB6" w:rsidRDefault="006500F5">
            <w:pPr>
              <w:pStyle w:val="TableContents"/>
              <w:rPr>
                <w:i/>
                <w:iCs/>
              </w:rPr>
            </w:pPr>
            <w:r>
              <w:rPr>
                <w:i/>
                <w:iCs/>
              </w:rPr>
              <w:t>•</w:t>
            </w:r>
          </w:p>
        </w:tc>
        <w:tc>
          <w:tcPr>
            <w:tcW w:w="538" w:type="dxa"/>
            <w:tcBorders>
              <w:left w:val="single" w:sz="2" w:space="0" w:color="000000"/>
              <w:bottom w:val="single" w:sz="2" w:space="0" w:color="000000"/>
            </w:tcBorders>
          </w:tcPr>
          <w:p w14:paraId="095AF46A" w14:textId="77777777" w:rsidR="00E53EB6" w:rsidRDefault="006500F5">
            <w:pPr>
              <w:pStyle w:val="TableContents"/>
            </w:pPr>
            <w:r>
              <w:t>3</w:t>
            </w:r>
          </w:p>
        </w:tc>
        <w:tc>
          <w:tcPr>
            <w:tcW w:w="1441" w:type="dxa"/>
            <w:tcBorders>
              <w:left w:val="single" w:sz="2" w:space="0" w:color="000000"/>
              <w:bottom w:val="single" w:sz="2" w:space="0" w:color="000000"/>
            </w:tcBorders>
          </w:tcPr>
          <w:p w14:paraId="015F3438" w14:textId="77777777" w:rsidR="00E53EB6" w:rsidRDefault="006500F5">
            <w:pPr>
              <w:pStyle w:val="TableContents"/>
            </w:pPr>
            <w:r>
              <w:t>1.61.15</w:t>
            </w:r>
          </w:p>
          <w:p w14:paraId="3C62F42D" w14:textId="77777777" w:rsidR="00E53EB6" w:rsidRDefault="006500F5">
            <w:pPr>
              <w:pStyle w:val="TableContents"/>
            </w:pPr>
            <w:r>
              <w:t>6.23.5</w:t>
            </w:r>
          </w:p>
          <w:p w14:paraId="3B3E4627" w14:textId="77777777" w:rsidR="00E53EB6" w:rsidRDefault="006500F5">
            <w:pPr>
              <w:pStyle w:val="TableContents"/>
            </w:pPr>
            <w:r>
              <w:t>10.105.5</w:t>
            </w:r>
          </w:p>
        </w:tc>
        <w:tc>
          <w:tcPr>
            <w:tcW w:w="2114" w:type="dxa"/>
            <w:tcBorders>
              <w:left w:val="single" w:sz="2" w:space="0" w:color="000000"/>
              <w:bottom w:val="single" w:sz="2" w:space="0" w:color="000000"/>
            </w:tcBorders>
          </w:tcPr>
          <w:p w14:paraId="5F16295F" w14:textId="77777777" w:rsidR="00E53EB6" w:rsidRDefault="006500F5">
            <w:pPr>
              <w:pStyle w:val="TableContents"/>
              <w:rPr>
                <w:i/>
                <w:iCs/>
              </w:rPr>
            </w:pPr>
            <w:r>
              <w:rPr>
                <w:i/>
                <w:iCs/>
              </w:rPr>
              <w:t>vavné</w:t>
            </w:r>
          </w:p>
          <w:p w14:paraId="703E0E3B" w14:textId="77777777" w:rsidR="00E53EB6" w:rsidRDefault="006500F5">
            <w:pPr>
              <w:pStyle w:val="TableContents"/>
              <w:rPr>
                <w:i/>
                <w:iCs/>
              </w:rPr>
            </w:pPr>
            <w:r>
              <w:rPr>
                <w:i/>
                <w:iCs/>
              </w:rPr>
              <w:t>vāvā́na</w:t>
            </w:r>
          </w:p>
          <w:p w14:paraId="17B4DCC8" w14:textId="77777777" w:rsidR="00E53EB6" w:rsidRDefault="006500F5">
            <w:pPr>
              <w:pStyle w:val="TableContents"/>
              <w:rPr>
                <w:i/>
                <w:iCs/>
              </w:rPr>
            </w:pPr>
            <w:r>
              <w:rPr>
                <w:i/>
                <w:iCs/>
              </w:rPr>
              <w:t>vanóti</w:t>
            </w:r>
          </w:p>
        </w:tc>
        <w:tc>
          <w:tcPr>
            <w:tcW w:w="3098" w:type="dxa"/>
            <w:tcBorders>
              <w:left w:val="single" w:sz="2" w:space="0" w:color="000000"/>
              <w:bottom w:val="single" w:sz="2" w:space="0" w:color="000000"/>
              <w:right w:val="single" w:sz="2" w:space="0" w:color="000000"/>
            </w:tcBorders>
          </w:tcPr>
          <w:p w14:paraId="10869523" w14:textId="77777777" w:rsidR="00E53EB6" w:rsidRDefault="006500F5">
            <w:pPr>
              <w:pStyle w:val="TableContents"/>
            </w:pPr>
            <w:r>
              <w:t>Indra</w:t>
            </w:r>
          </w:p>
          <w:p w14:paraId="16142733" w14:textId="77777777" w:rsidR="00E53EB6" w:rsidRDefault="006500F5">
            <w:pPr>
              <w:pStyle w:val="TableContents"/>
            </w:pPr>
            <w:r>
              <w:t>Indra</w:t>
            </w:r>
          </w:p>
          <w:p w14:paraId="1E308DF2" w14:textId="77777777" w:rsidR="00E53EB6" w:rsidRDefault="006500F5">
            <w:pPr>
              <w:pStyle w:val="TableContents"/>
            </w:pPr>
            <w:r>
              <w:t>Indra•</w:t>
            </w:r>
          </w:p>
        </w:tc>
      </w:tr>
      <w:tr w:rsidR="00E53EB6" w14:paraId="2CDE2389" w14:textId="77777777">
        <w:tc>
          <w:tcPr>
            <w:tcW w:w="1591" w:type="dxa"/>
            <w:tcBorders>
              <w:left w:val="single" w:sz="2" w:space="0" w:color="000000"/>
              <w:bottom w:val="single" w:sz="2" w:space="0" w:color="000000"/>
            </w:tcBorders>
          </w:tcPr>
          <w:p w14:paraId="018A89B3" w14:textId="77777777" w:rsidR="00E53EB6" w:rsidRDefault="006500F5">
            <w:pPr>
              <w:pStyle w:val="TableContents"/>
              <w:rPr>
                <w:i/>
                <w:iCs/>
              </w:rPr>
            </w:pPr>
            <w:r>
              <w:rPr>
                <w:i/>
                <w:iCs/>
              </w:rPr>
              <w:t>śríyam</w:t>
            </w:r>
          </w:p>
        </w:tc>
        <w:tc>
          <w:tcPr>
            <w:tcW w:w="538" w:type="dxa"/>
            <w:tcBorders>
              <w:left w:val="single" w:sz="2" w:space="0" w:color="000000"/>
              <w:bottom w:val="single" w:sz="2" w:space="0" w:color="000000"/>
            </w:tcBorders>
          </w:tcPr>
          <w:p w14:paraId="3AD15039" w14:textId="77777777" w:rsidR="00E53EB6" w:rsidRDefault="006500F5">
            <w:pPr>
              <w:pStyle w:val="TableContents"/>
            </w:pPr>
            <w:r>
              <w:t>1</w:t>
            </w:r>
          </w:p>
        </w:tc>
        <w:tc>
          <w:tcPr>
            <w:tcW w:w="1441" w:type="dxa"/>
            <w:tcBorders>
              <w:left w:val="single" w:sz="2" w:space="0" w:color="000000"/>
              <w:bottom w:val="single" w:sz="2" w:space="0" w:color="000000"/>
            </w:tcBorders>
          </w:tcPr>
          <w:p w14:paraId="0AFF7D64" w14:textId="77777777" w:rsidR="00E53EB6" w:rsidRDefault="006500F5">
            <w:pPr>
              <w:pStyle w:val="TableContents"/>
            </w:pPr>
            <w:r>
              <w:t>4.44.2</w:t>
            </w:r>
          </w:p>
        </w:tc>
        <w:tc>
          <w:tcPr>
            <w:tcW w:w="2114" w:type="dxa"/>
            <w:tcBorders>
              <w:left w:val="single" w:sz="2" w:space="0" w:color="000000"/>
              <w:bottom w:val="single" w:sz="2" w:space="0" w:color="000000"/>
            </w:tcBorders>
          </w:tcPr>
          <w:p w14:paraId="067A2CBD" w14:textId="77777777" w:rsidR="00E53EB6" w:rsidRDefault="006500F5">
            <w:pPr>
              <w:pStyle w:val="TableContents"/>
            </w:pPr>
            <w:r>
              <w:rPr>
                <w:rFonts w:cs="Mangal"/>
                <w:i/>
                <w:iCs/>
              </w:rPr>
              <w:t>vanatha</w:t>
            </w:r>
            <w:r>
              <w:rPr>
                <w:rFonts w:cs="Tahoma"/>
                <w:i/>
                <w:iCs/>
              </w:rPr>
              <w:t>ḥ</w:t>
            </w:r>
          </w:p>
        </w:tc>
        <w:tc>
          <w:tcPr>
            <w:tcW w:w="3098" w:type="dxa"/>
            <w:tcBorders>
              <w:left w:val="single" w:sz="2" w:space="0" w:color="000000"/>
              <w:bottom w:val="single" w:sz="2" w:space="0" w:color="000000"/>
              <w:right w:val="single" w:sz="2" w:space="0" w:color="000000"/>
            </w:tcBorders>
          </w:tcPr>
          <w:p w14:paraId="1813061C" w14:textId="77777777" w:rsidR="00E53EB6" w:rsidRDefault="006500F5">
            <w:pPr>
              <w:pStyle w:val="TableContents"/>
            </w:pPr>
            <w:r>
              <w:t>Aśvin</w:t>
            </w:r>
          </w:p>
        </w:tc>
      </w:tr>
    </w:tbl>
    <w:p w14:paraId="6105FD8F" w14:textId="77777777" w:rsidR="00E53EB6" w:rsidRDefault="00E53EB6">
      <w:pPr>
        <w:pStyle w:val="HaupttextohneEinzug"/>
        <w:rPr>
          <w:sz w:val="24"/>
          <w:szCs w:val="24"/>
          <w:lang w:bidi="it-IT"/>
        </w:rPr>
      </w:pPr>
    </w:p>
    <w:p w14:paraId="3DDD3908" w14:textId="77777777" w:rsidR="00E53EB6" w:rsidRDefault="00E53EB6">
      <w:pPr>
        <w:pStyle w:val="HaupttextohneEinzug"/>
        <w:rPr>
          <w:lang w:bidi="it-IT"/>
        </w:rPr>
      </w:pPr>
    </w:p>
    <w:p w14:paraId="6AE1B8D4" w14:textId="77777777" w:rsidR="00E53EB6" w:rsidRDefault="00E53EB6">
      <w:pPr>
        <w:pStyle w:val="HaupttextohneEinzug"/>
        <w:rPr>
          <w:lang w:bidi="it-IT"/>
        </w:rPr>
      </w:pPr>
    </w:p>
    <w:p w14:paraId="707C7D72" w14:textId="77777777" w:rsidR="00E53EB6" w:rsidRDefault="006500F5">
      <w:pPr>
        <w:pStyle w:val="HaupttextohneEinzug"/>
        <w:rPr>
          <w:lang w:bidi="it-IT"/>
        </w:rPr>
      </w:pPr>
      <w:r>
        <w:rPr>
          <w:lang w:bidi="it-IT"/>
        </w:rPr>
        <w:t>b- a conquest</w:t>
      </w:r>
    </w:p>
    <w:p w14:paraId="72E575EC" w14:textId="77777777" w:rsidR="00E53EB6" w:rsidRDefault="00E53EB6">
      <w:pPr>
        <w:pStyle w:val="HaupttextohneEinzug"/>
        <w:rPr>
          <w:lang w:bidi="it-IT"/>
        </w:rPr>
      </w:pPr>
    </w:p>
    <w:tbl>
      <w:tblPr>
        <w:tblW w:w="8792" w:type="dxa"/>
        <w:tblLayout w:type="fixed"/>
        <w:tblCellMar>
          <w:top w:w="55" w:type="dxa"/>
          <w:left w:w="55" w:type="dxa"/>
          <w:bottom w:w="55" w:type="dxa"/>
          <w:right w:w="55" w:type="dxa"/>
        </w:tblCellMar>
        <w:tblLook w:val="04A0" w:firstRow="1" w:lastRow="0" w:firstColumn="1" w:lastColumn="0" w:noHBand="0" w:noVBand="1"/>
      </w:tblPr>
      <w:tblGrid>
        <w:gridCol w:w="1576"/>
        <w:gridCol w:w="645"/>
        <w:gridCol w:w="1364"/>
        <w:gridCol w:w="2118"/>
        <w:gridCol w:w="3089"/>
      </w:tblGrid>
      <w:tr w:rsidR="00E53EB6" w14:paraId="14D2CE09" w14:textId="77777777">
        <w:tc>
          <w:tcPr>
            <w:tcW w:w="1576" w:type="dxa"/>
            <w:tcBorders>
              <w:top w:val="single" w:sz="2" w:space="0" w:color="000000"/>
              <w:left w:val="single" w:sz="2" w:space="0" w:color="000000"/>
              <w:bottom w:val="single" w:sz="2" w:space="0" w:color="000000"/>
            </w:tcBorders>
          </w:tcPr>
          <w:p w14:paraId="67E9D425" w14:textId="77777777" w:rsidR="00E53EB6" w:rsidRDefault="006500F5">
            <w:pPr>
              <w:pStyle w:val="TableContents"/>
            </w:pPr>
            <w:r>
              <w:t>object</w:t>
            </w:r>
          </w:p>
        </w:tc>
        <w:tc>
          <w:tcPr>
            <w:tcW w:w="645" w:type="dxa"/>
            <w:tcBorders>
              <w:top w:val="single" w:sz="2" w:space="0" w:color="000000"/>
              <w:left w:val="single" w:sz="2" w:space="0" w:color="000000"/>
              <w:bottom w:val="single" w:sz="2" w:space="0" w:color="000000"/>
            </w:tcBorders>
          </w:tcPr>
          <w:p w14:paraId="107C818F" w14:textId="77777777" w:rsidR="00E53EB6" w:rsidRDefault="006500F5">
            <w:pPr>
              <w:pStyle w:val="TableContents"/>
            </w:pPr>
            <w:r>
              <w:t>Q.</w:t>
            </w:r>
          </w:p>
        </w:tc>
        <w:tc>
          <w:tcPr>
            <w:tcW w:w="1364" w:type="dxa"/>
            <w:tcBorders>
              <w:top w:val="single" w:sz="2" w:space="0" w:color="000000"/>
              <w:left w:val="single" w:sz="2" w:space="0" w:color="000000"/>
              <w:bottom w:val="single" w:sz="2" w:space="0" w:color="000000"/>
            </w:tcBorders>
          </w:tcPr>
          <w:p w14:paraId="138316EE" w14:textId="77777777" w:rsidR="00E53EB6" w:rsidRDefault="006500F5">
            <w:pPr>
              <w:pStyle w:val="TableContents"/>
            </w:pPr>
            <w:r>
              <w:t>occurrences</w:t>
            </w:r>
          </w:p>
        </w:tc>
        <w:tc>
          <w:tcPr>
            <w:tcW w:w="2118" w:type="dxa"/>
            <w:tcBorders>
              <w:top w:val="single" w:sz="2" w:space="0" w:color="000000"/>
              <w:left w:val="single" w:sz="2" w:space="0" w:color="000000"/>
              <w:bottom w:val="single" w:sz="2" w:space="0" w:color="000000"/>
            </w:tcBorders>
          </w:tcPr>
          <w:p w14:paraId="271362FB" w14:textId="77777777" w:rsidR="00E53EB6" w:rsidRDefault="006500F5">
            <w:pPr>
              <w:pStyle w:val="TableContents"/>
              <w:rPr>
                <w:i/>
                <w:iCs/>
              </w:rPr>
            </w:pPr>
            <w:r>
              <w:rPr>
                <w:i/>
                <w:iCs/>
              </w:rPr>
              <w:t>van- / van</w:t>
            </w:r>
            <w:r>
              <w:rPr>
                <w:i/>
                <w:iCs/>
                <w:vertAlign w:val="superscript"/>
              </w:rPr>
              <w:t>i</w:t>
            </w:r>
            <w:r>
              <w:rPr>
                <w:i/>
                <w:iCs/>
              </w:rPr>
              <w:t>-</w:t>
            </w:r>
          </w:p>
        </w:tc>
        <w:tc>
          <w:tcPr>
            <w:tcW w:w="3089" w:type="dxa"/>
            <w:tcBorders>
              <w:top w:val="single" w:sz="2" w:space="0" w:color="000000"/>
              <w:left w:val="single" w:sz="2" w:space="0" w:color="000000"/>
              <w:bottom w:val="single" w:sz="2" w:space="0" w:color="000000"/>
              <w:right w:val="single" w:sz="2" w:space="0" w:color="000000"/>
            </w:tcBorders>
          </w:tcPr>
          <w:p w14:paraId="2DC90BB4" w14:textId="77777777" w:rsidR="00E53EB6" w:rsidRDefault="006500F5">
            <w:pPr>
              <w:pStyle w:val="TableContents"/>
            </w:pPr>
            <w:r>
              <w:t>subject / notes</w:t>
            </w:r>
          </w:p>
        </w:tc>
      </w:tr>
      <w:tr w:rsidR="00E53EB6" w14:paraId="52A2C7A2" w14:textId="77777777">
        <w:tc>
          <w:tcPr>
            <w:tcW w:w="1576" w:type="dxa"/>
            <w:tcBorders>
              <w:left w:val="single" w:sz="2" w:space="0" w:color="000000"/>
              <w:bottom w:val="single" w:sz="2" w:space="0" w:color="000000"/>
            </w:tcBorders>
          </w:tcPr>
          <w:p w14:paraId="7636FA58" w14:textId="77777777" w:rsidR="00E53EB6" w:rsidRDefault="006500F5">
            <w:pPr>
              <w:pStyle w:val="TableContents"/>
              <w:rPr>
                <w:i/>
                <w:iCs/>
              </w:rPr>
            </w:pPr>
            <w:r>
              <w:rPr>
                <w:i/>
                <w:iCs/>
              </w:rPr>
              <w:t>amitríyā</w:t>
            </w:r>
          </w:p>
        </w:tc>
        <w:tc>
          <w:tcPr>
            <w:tcW w:w="645" w:type="dxa"/>
            <w:tcBorders>
              <w:left w:val="single" w:sz="2" w:space="0" w:color="000000"/>
              <w:bottom w:val="single" w:sz="2" w:space="0" w:color="000000"/>
            </w:tcBorders>
          </w:tcPr>
          <w:p w14:paraId="362F0252" w14:textId="77777777" w:rsidR="00E53EB6" w:rsidRDefault="006500F5">
            <w:pPr>
              <w:pStyle w:val="TableContents"/>
            </w:pPr>
            <w:r>
              <w:t>1</w:t>
            </w:r>
          </w:p>
        </w:tc>
        <w:tc>
          <w:tcPr>
            <w:tcW w:w="1364" w:type="dxa"/>
            <w:tcBorders>
              <w:left w:val="single" w:sz="2" w:space="0" w:color="000000"/>
              <w:bottom w:val="single" w:sz="2" w:space="0" w:color="000000"/>
            </w:tcBorders>
          </w:tcPr>
          <w:p w14:paraId="4478E379" w14:textId="77777777" w:rsidR="00E53EB6" w:rsidRDefault="006500F5">
            <w:pPr>
              <w:pStyle w:val="TableContents"/>
            </w:pPr>
            <w:r>
              <w:t>8.31.1</w:t>
            </w:r>
          </w:p>
        </w:tc>
        <w:tc>
          <w:tcPr>
            <w:tcW w:w="2118" w:type="dxa"/>
            <w:tcBorders>
              <w:left w:val="single" w:sz="2" w:space="0" w:color="000000"/>
              <w:bottom w:val="single" w:sz="2" w:space="0" w:color="000000"/>
            </w:tcBorders>
          </w:tcPr>
          <w:p w14:paraId="6CBB7112" w14:textId="77777777" w:rsidR="00E53EB6" w:rsidRDefault="006500F5">
            <w:pPr>
              <w:pStyle w:val="TableContents"/>
              <w:rPr>
                <w:i/>
                <w:iCs/>
              </w:rPr>
            </w:pPr>
            <w:r>
              <w:rPr>
                <w:i/>
                <w:iCs/>
              </w:rPr>
              <w:t>vanván</w:t>
            </w:r>
          </w:p>
        </w:tc>
        <w:tc>
          <w:tcPr>
            <w:tcW w:w="3089" w:type="dxa"/>
            <w:tcBorders>
              <w:left w:val="single" w:sz="2" w:space="0" w:color="000000"/>
              <w:bottom w:val="single" w:sz="2" w:space="0" w:color="000000"/>
              <w:right w:val="single" w:sz="2" w:space="0" w:color="000000"/>
            </w:tcBorders>
          </w:tcPr>
          <w:p w14:paraId="6DEDB0C1" w14:textId="77777777" w:rsidR="00E53EB6" w:rsidRDefault="006500F5">
            <w:pPr>
              <w:pStyle w:val="TableContents"/>
              <w:rPr>
                <w:i/>
                <w:iCs/>
              </w:rPr>
            </w:pPr>
            <w:r>
              <w:rPr>
                <w:i/>
                <w:iCs/>
                <w:color w:val="000000"/>
              </w:rPr>
              <w:t>rátha</w:t>
            </w:r>
            <w:r>
              <w:rPr>
                <w:i/>
                <w:iCs/>
                <w:color w:val="000000"/>
              </w:rPr>
              <w:t>ḥ</w:t>
            </w:r>
          </w:p>
        </w:tc>
      </w:tr>
      <w:tr w:rsidR="00E53EB6" w14:paraId="28D8746F" w14:textId="77777777">
        <w:tc>
          <w:tcPr>
            <w:tcW w:w="1576" w:type="dxa"/>
            <w:tcBorders>
              <w:left w:val="single" w:sz="2" w:space="0" w:color="000000"/>
              <w:bottom w:val="single" w:sz="2" w:space="0" w:color="000000"/>
            </w:tcBorders>
          </w:tcPr>
          <w:p w14:paraId="49D184DE" w14:textId="77777777" w:rsidR="00E53EB6" w:rsidRDefault="006500F5">
            <w:pPr>
              <w:pStyle w:val="TableContents"/>
              <w:rPr>
                <w:i/>
                <w:iCs/>
              </w:rPr>
            </w:pPr>
            <w:r>
              <w:rPr>
                <w:i/>
                <w:iCs/>
              </w:rPr>
              <w:t>arādhása</w:t>
            </w:r>
            <w:r>
              <w:rPr>
                <w:i/>
                <w:iCs/>
              </w:rPr>
              <w:t>ḥ</w:t>
            </w:r>
          </w:p>
        </w:tc>
        <w:tc>
          <w:tcPr>
            <w:tcW w:w="645" w:type="dxa"/>
            <w:tcBorders>
              <w:left w:val="single" w:sz="2" w:space="0" w:color="000000"/>
              <w:bottom w:val="single" w:sz="2" w:space="0" w:color="000000"/>
            </w:tcBorders>
          </w:tcPr>
          <w:p w14:paraId="05E30B86" w14:textId="77777777" w:rsidR="00E53EB6" w:rsidRDefault="006500F5">
            <w:pPr>
              <w:pStyle w:val="TableContents"/>
            </w:pPr>
            <w:r>
              <w:t>1</w:t>
            </w:r>
          </w:p>
        </w:tc>
        <w:tc>
          <w:tcPr>
            <w:tcW w:w="1364" w:type="dxa"/>
            <w:tcBorders>
              <w:left w:val="single" w:sz="2" w:space="0" w:color="000000"/>
              <w:bottom w:val="single" w:sz="2" w:space="0" w:color="000000"/>
            </w:tcBorders>
          </w:tcPr>
          <w:p w14:paraId="723DC31B" w14:textId="77777777" w:rsidR="00E53EB6" w:rsidRDefault="006500F5">
            <w:pPr>
              <w:pStyle w:val="TableContents"/>
            </w:pPr>
            <w:r>
              <w:t>10.32.2</w:t>
            </w:r>
          </w:p>
        </w:tc>
        <w:tc>
          <w:tcPr>
            <w:tcW w:w="2118" w:type="dxa"/>
            <w:tcBorders>
              <w:left w:val="single" w:sz="2" w:space="0" w:color="000000"/>
              <w:bottom w:val="single" w:sz="2" w:space="0" w:color="000000"/>
            </w:tcBorders>
          </w:tcPr>
          <w:p w14:paraId="4672E230" w14:textId="77777777" w:rsidR="00E53EB6" w:rsidRDefault="006500F5">
            <w:pPr>
              <w:pStyle w:val="TableContents"/>
              <w:rPr>
                <w:i/>
                <w:iCs/>
              </w:rPr>
            </w:pPr>
            <w:r>
              <w:rPr>
                <w:i/>
                <w:iCs/>
              </w:rPr>
              <w:t>vanvantu</w:t>
            </w:r>
          </w:p>
        </w:tc>
        <w:tc>
          <w:tcPr>
            <w:tcW w:w="3089" w:type="dxa"/>
            <w:tcBorders>
              <w:left w:val="single" w:sz="2" w:space="0" w:color="000000"/>
              <w:bottom w:val="single" w:sz="2" w:space="0" w:color="000000"/>
              <w:right w:val="single" w:sz="2" w:space="0" w:color="000000"/>
            </w:tcBorders>
          </w:tcPr>
          <w:p w14:paraId="405C1D2F" w14:textId="77777777" w:rsidR="00E53EB6" w:rsidRDefault="006500F5">
            <w:pPr>
              <w:pStyle w:val="TableContents"/>
              <w:rPr>
                <w:i/>
                <w:iCs/>
              </w:rPr>
            </w:pPr>
            <w:r>
              <w:rPr>
                <w:i/>
                <w:iCs/>
              </w:rPr>
              <w:t xml:space="preserve">té </w:t>
            </w:r>
            <w:r>
              <w:t>(Indra</w:t>
            </w:r>
            <w:r>
              <w:t>’s</w:t>
            </w:r>
            <w:r>
              <w:rPr>
                <w:color w:val="000000"/>
              </w:rPr>
              <w:t xml:space="preserve"> horses•)</w:t>
            </w:r>
          </w:p>
        </w:tc>
      </w:tr>
      <w:tr w:rsidR="00E53EB6" w:rsidRPr="0071345C" w14:paraId="391521AD" w14:textId="77777777">
        <w:tc>
          <w:tcPr>
            <w:tcW w:w="1576" w:type="dxa"/>
            <w:tcBorders>
              <w:left w:val="single" w:sz="2" w:space="0" w:color="000000"/>
              <w:bottom w:val="single" w:sz="2" w:space="0" w:color="000000"/>
            </w:tcBorders>
          </w:tcPr>
          <w:p w14:paraId="12F7906E" w14:textId="77777777" w:rsidR="00E53EB6" w:rsidRPr="0071345C" w:rsidRDefault="006500F5">
            <w:pPr>
              <w:pStyle w:val="TableContents"/>
              <w:rPr>
                <w:i/>
                <w:iCs/>
                <w:lang w:val="de-DE"/>
              </w:rPr>
            </w:pPr>
            <w:r w:rsidRPr="0071345C">
              <w:rPr>
                <w:i/>
                <w:iCs/>
                <w:lang w:val="de-DE"/>
              </w:rPr>
              <w:t>aryá</w:t>
            </w:r>
            <w:r w:rsidRPr="0071345C">
              <w:rPr>
                <w:i/>
                <w:iCs/>
                <w:lang w:val="de-DE"/>
              </w:rPr>
              <w:t>ḥ</w:t>
            </w:r>
          </w:p>
          <w:p w14:paraId="3E6C9817" w14:textId="77777777" w:rsidR="00E53EB6" w:rsidRPr="0071345C" w:rsidRDefault="006500F5">
            <w:pPr>
              <w:pStyle w:val="TableContents"/>
              <w:rPr>
                <w:i/>
                <w:iCs/>
                <w:lang w:val="de-DE"/>
              </w:rPr>
            </w:pPr>
            <w:r w:rsidRPr="0071345C">
              <w:rPr>
                <w:i/>
                <w:iCs/>
                <w:lang w:val="de-DE"/>
              </w:rPr>
              <w:t>*manī</w:t>
            </w:r>
            <w:r w:rsidRPr="0071345C">
              <w:rPr>
                <w:i/>
                <w:iCs/>
                <w:lang w:val="de-DE"/>
              </w:rPr>
              <w:t>ṣ</w:t>
            </w:r>
            <w:r w:rsidRPr="0071345C">
              <w:rPr>
                <w:i/>
                <w:iCs/>
                <w:lang w:val="de-DE"/>
              </w:rPr>
              <w:t>ā́</w:t>
            </w:r>
          </w:p>
          <w:p w14:paraId="671372CF" w14:textId="77777777" w:rsidR="00E53EB6" w:rsidRPr="0071345C" w:rsidRDefault="006500F5">
            <w:pPr>
              <w:pStyle w:val="TableContents"/>
              <w:rPr>
                <w:i/>
                <w:iCs/>
                <w:lang w:val="de-DE"/>
              </w:rPr>
            </w:pPr>
            <w:r w:rsidRPr="0071345C">
              <w:rPr>
                <w:i/>
                <w:iCs/>
                <w:lang w:val="de-DE"/>
              </w:rPr>
              <w:t xml:space="preserve"> árātī</w:t>
            </w:r>
            <w:r w:rsidRPr="0071345C">
              <w:rPr>
                <w:i/>
                <w:iCs/>
                <w:lang w:val="de-DE"/>
              </w:rPr>
              <w:t>ḥ</w:t>
            </w:r>
          </w:p>
          <w:p w14:paraId="702861D6" w14:textId="77777777" w:rsidR="00E53EB6" w:rsidRPr="0071345C" w:rsidRDefault="006500F5">
            <w:pPr>
              <w:pStyle w:val="TableContents"/>
              <w:rPr>
                <w:i/>
                <w:iCs/>
                <w:lang w:val="de-DE"/>
              </w:rPr>
            </w:pPr>
            <w:r w:rsidRPr="0071345C">
              <w:rPr>
                <w:i/>
                <w:iCs/>
                <w:lang w:val="de-DE"/>
              </w:rPr>
              <w:t xml:space="preserve"> śárdhata</w:t>
            </w:r>
            <w:r w:rsidRPr="0071345C">
              <w:rPr>
                <w:i/>
                <w:iCs/>
                <w:lang w:val="de-DE"/>
              </w:rPr>
              <w:t>ḥ</w:t>
            </w:r>
          </w:p>
          <w:p w14:paraId="583E4B7F" w14:textId="77777777" w:rsidR="00E53EB6" w:rsidRPr="0071345C" w:rsidRDefault="006500F5">
            <w:pPr>
              <w:pStyle w:val="TableContents"/>
              <w:rPr>
                <w:i/>
                <w:iCs/>
                <w:lang w:val="de-DE"/>
              </w:rPr>
            </w:pPr>
            <w:r w:rsidRPr="0071345C">
              <w:rPr>
                <w:i/>
                <w:iCs/>
                <w:lang w:val="de-DE"/>
              </w:rPr>
              <w:t xml:space="preserve"> dyumnā́ni</w:t>
            </w:r>
          </w:p>
          <w:p w14:paraId="68E3319C" w14:textId="77777777" w:rsidR="00E53EB6" w:rsidRPr="0071345C" w:rsidRDefault="006500F5">
            <w:pPr>
              <w:pStyle w:val="TableContents"/>
              <w:rPr>
                <w:i/>
                <w:iCs/>
                <w:lang w:val="de-DE"/>
              </w:rPr>
            </w:pPr>
            <w:r w:rsidRPr="0071345C">
              <w:rPr>
                <w:i/>
                <w:iCs/>
                <w:lang w:val="de-DE"/>
              </w:rPr>
              <w:t xml:space="preserve"> tā́n</w:t>
            </w:r>
          </w:p>
        </w:tc>
        <w:tc>
          <w:tcPr>
            <w:tcW w:w="645" w:type="dxa"/>
            <w:tcBorders>
              <w:left w:val="single" w:sz="2" w:space="0" w:color="000000"/>
              <w:bottom w:val="single" w:sz="2" w:space="0" w:color="000000"/>
            </w:tcBorders>
          </w:tcPr>
          <w:p w14:paraId="6EF30BC7" w14:textId="77777777" w:rsidR="00E53EB6" w:rsidRDefault="006500F5">
            <w:pPr>
              <w:pStyle w:val="TableContents"/>
            </w:pPr>
            <w:r>
              <w:t>1</w:t>
            </w:r>
          </w:p>
          <w:p w14:paraId="7D17D6E3" w14:textId="77777777" w:rsidR="00E53EB6" w:rsidRDefault="006500F5">
            <w:pPr>
              <w:pStyle w:val="TableContents"/>
            </w:pPr>
            <w:r>
              <w:t>5</w:t>
            </w:r>
          </w:p>
        </w:tc>
        <w:tc>
          <w:tcPr>
            <w:tcW w:w="1364" w:type="dxa"/>
            <w:tcBorders>
              <w:left w:val="single" w:sz="2" w:space="0" w:color="000000"/>
              <w:bottom w:val="single" w:sz="2" w:space="0" w:color="000000"/>
            </w:tcBorders>
          </w:tcPr>
          <w:p w14:paraId="169BBD93" w14:textId="77777777" w:rsidR="00E53EB6" w:rsidRDefault="006500F5">
            <w:pPr>
              <w:pStyle w:val="TableContents"/>
            </w:pPr>
            <w:r>
              <w:t>7.48.3</w:t>
            </w:r>
          </w:p>
          <w:p w14:paraId="6FC474A9" w14:textId="77777777" w:rsidR="00E53EB6" w:rsidRDefault="006500F5">
            <w:pPr>
              <w:pStyle w:val="TableContents"/>
            </w:pPr>
            <w:r>
              <w:t>1.70.1</w:t>
            </w:r>
          </w:p>
          <w:p w14:paraId="5EBC6371" w14:textId="77777777" w:rsidR="00E53EB6" w:rsidRDefault="006500F5">
            <w:pPr>
              <w:pStyle w:val="TableContents"/>
            </w:pPr>
            <w:r>
              <w:t>6.16.27</w:t>
            </w:r>
          </w:p>
          <w:p w14:paraId="7C3FBD30" w14:textId="77777777" w:rsidR="00E53EB6" w:rsidRDefault="006500F5">
            <w:pPr>
              <w:pStyle w:val="TableContents"/>
            </w:pPr>
            <w:r>
              <w:t>8.60.12</w:t>
            </w:r>
          </w:p>
          <w:p w14:paraId="3449E428" w14:textId="77777777" w:rsidR="00E53EB6" w:rsidRDefault="006500F5">
            <w:pPr>
              <w:pStyle w:val="TableContents"/>
            </w:pPr>
            <w:r>
              <w:t>9.61.11</w:t>
            </w:r>
          </w:p>
          <w:p w14:paraId="11C2A6FB" w14:textId="77777777" w:rsidR="00E53EB6" w:rsidRDefault="006500F5">
            <w:pPr>
              <w:pStyle w:val="TableContents"/>
            </w:pPr>
            <w:r>
              <w:t>10.83.3</w:t>
            </w:r>
          </w:p>
        </w:tc>
        <w:tc>
          <w:tcPr>
            <w:tcW w:w="2118" w:type="dxa"/>
            <w:tcBorders>
              <w:left w:val="single" w:sz="2" w:space="0" w:color="000000"/>
              <w:bottom w:val="single" w:sz="2" w:space="0" w:color="000000"/>
            </w:tcBorders>
          </w:tcPr>
          <w:p w14:paraId="738C937E" w14:textId="77777777" w:rsidR="00E53EB6" w:rsidRDefault="006500F5">
            <w:pPr>
              <w:pStyle w:val="TableContents"/>
              <w:rPr>
                <w:i/>
                <w:iCs/>
              </w:rPr>
            </w:pPr>
            <w:r>
              <w:rPr>
                <w:i/>
                <w:iCs/>
              </w:rPr>
              <w:t>vanvan</w:t>
            </w:r>
          </w:p>
          <w:p w14:paraId="73033E55" w14:textId="77777777" w:rsidR="00E53EB6" w:rsidRDefault="006500F5">
            <w:pPr>
              <w:pStyle w:val="TableContents"/>
              <w:rPr>
                <w:i/>
                <w:iCs/>
              </w:rPr>
            </w:pPr>
            <w:r>
              <w:rPr>
                <w:i/>
                <w:iCs/>
              </w:rPr>
              <w:t>vanema</w:t>
            </w:r>
          </w:p>
          <w:p w14:paraId="5E7B42EE" w14:textId="77777777" w:rsidR="00E53EB6" w:rsidRDefault="006500F5">
            <w:pPr>
              <w:pStyle w:val="TableContents"/>
              <w:rPr>
                <w:i/>
                <w:iCs/>
              </w:rPr>
            </w:pPr>
            <w:r>
              <w:rPr>
                <w:i/>
                <w:iCs/>
              </w:rPr>
              <w:t>vanvánta</w:t>
            </w:r>
            <w:r>
              <w:rPr>
                <w:i/>
                <w:iCs/>
              </w:rPr>
              <w:t>ḥ</w:t>
            </w:r>
          </w:p>
          <w:p w14:paraId="39C38EA3" w14:textId="77777777" w:rsidR="00E53EB6" w:rsidRDefault="006500F5">
            <w:pPr>
              <w:pStyle w:val="TableContents"/>
              <w:rPr>
                <w:i/>
                <w:iCs/>
              </w:rPr>
            </w:pPr>
            <w:r>
              <w:rPr>
                <w:i/>
                <w:iCs/>
              </w:rPr>
              <w:t>va</w:t>
            </w:r>
            <w:r>
              <w:rPr>
                <w:i/>
                <w:iCs/>
              </w:rPr>
              <w:t>ṃ</w:t>
            </w:r>
            <w:r>
              <w:rPr>
                <w:i/>
                <w:iCs/>
              </w:rPr>
              <w:t>sāma</w:t>
            </w:r>
          </w:p>
          <w:p w14:paraId="1E43C574" w14:textId="77777777" w:rsidR="00E53EB6" w:rsidRDefault="006500F5">
            <w:pPr>
              <w:pStyle w:val="TableContents"/>
              <w:rPr>
                <w:i/>
                <w:iCs/>
              </w:rPr>
            </w:pPr>
            <w:r>
              <w:rPr>
                <w:i/>
                <w:iCs/>
              </w:rPr>
              <w:t>vanāmahe</w:t>
            </w:r>
          </w:p>
          <w:p w14:paraId="28FABC7F" w14:textId="77777777" w:rsidR="00E53EB6" w:rsidRDefault="006500F5">
            <w:pPr>
              <w:pStyle w:val="TableContents"/>
              <w:rPr>
                <w:i/>
                <w:iCs/>
              </w:rPr>
            </w:pPr>
            <w:r>
              <w:rPr>
                <w:i/>
                <w:iCs/>
              </w:rPr>
              <w:t>vanuyāma</w:t>
            </w:r>
          </w:p>
        </w:tc>
        <w:tc>
          <w:tcPr>
            <w:tcW w:w="3089" w:type="dxa"/>
            <w:tcBorders>
              <w:left w:val="single" w:sz="2" w:space="0" w:color="000000"/>
              <w:bottom w:val="single" w:sz="2" w:space="0" w:color="000000"/>
              <w:right w:val="single" w:sz="2" w:space="0" w:color="000000"/>
            </w:tcBorders>
          </w:tcPr>
          <w:p w14:paraId="361E274F" w14:textId="77777777" w:rsidR="00E53EB6" w:rsidRDefault="006500F5">
            <w:pPr>
              <w:pStyle w:val="TableContents"/>
            </w:pPr>
            <w:r>
              <w:t>R̥bhu•</w:t>
            </w:r>
          </w:p>
          <w:p w14:paraId="3DD6CD01" w14:textId="77777777" w:rsidR="00E53EB6" w:rsidRDefault="006500F5">
            <w:pPr>
              <w:pStyle w:val="TableContents"/>
            </w:pPr>
            <w:r>
              <w:t>Ø (</w:t>
            </w:r>
            <w:r>
              <w:rPr>
                <w:i/>
                <w:iCs/>
              </w:rPr>
              <w:t>aryá</w:t>
            </w:r>
            <w:r>
              <w:rPr>
                <w:i/>
                <w:iCs/>
              </w:rPr>
              <w:t>ḥ</w:t>
            </w:r>
            <w:r>
              <w:t xml:space="preserve"> -gen.</w:t>
            </w:r>
            <w:r>
              <w:t>)</w:t>
            </w:r>
          </w:p>
          <w:p w14:paraId="748367E4" w14:textId="77777777" w:rsidR="00E53EB6" w:rsidRDefault="006500F5">
            <w:pPr>
              <w:pStyle w:val="TableContents"/>
              <w:rPr>
                <w:i/>
                <w:iCs/>
              </w:rPr>
            </w:pPr>
            <w:r>
              <w:rPr>
                <w:i/>
                <w:iCs/>
              </w:rPr>
              <w:t xml:space="preserve">té </w:t>
            </w:r>
            <w:r>
              <w:t>(men) (</w:t>
            </w:r>
            <w:r>
              <w:rPr>
                <w:i/>
                <w:iCs/>
              </w:rPr>
              <w:t>aryá</w:t>
            </w:r>
            <w:r>
              <w:rPr>
                <w:i/>
                <w:iCs/>
              </w:rPr>
              <w:t>ḥ</w:t>
            </w:r>
            <w:r>
              <w:rPr>
                <w:i/>
                <w:iCs/>
              </w:rPr>
              <w:t xml:space="preserve"> </w:t>
            </w:r>
            <w:r>
              <w:t xml:space="preserve"> -gen.)</w:t>
            </w:r>
          </w:p>
          <w:p w14:paraId="70358F6F" w14:textId="77777777" w:rsidR="00E53EB6" w:rsidRDefault="006500F5">
            <w:pPr>
              <w:pStyle w:val="TableContents"/>
            </w:pPr>
            <w:r>
              <w:t>Ø (</w:t>
            </w:r>
            <w:r>
              <w:rPr>
                <w:i/>
                <w:iCs/>
              </w:rPr>
              <w:t>táranto aryá ā́díśa</w:t>
            </w:r>
            <w:r>
              <w:rPr>
                <w:i/>
                <w:iCs/>
              </w:rPr>
              <w:t>ḥ</w:t>
            </w:r>
            <w:r>
              <w:t>)</w:t>
            </w:r>
          </w:p>
          <w:p w14:paraId="51CC8E08" w14:textId="77777777" w:rsidR="00E53EB6" w:rsidRDefault="006500F5">
            <w:pPr>
              <w:pStyle w:val="TableContents"/>
            </w:pPr>
            <w:r>
              <w:t>Ø (</w:t>
            </w:r>
            <w:r>
              <w:rPr>
                <w:i/>
                <w:iCs/>
              </w:rPr>
              <w:t xml:space="preserve">aryáh </w:t>
            </w:r>
            <w:r>
              <w:t xml:space="preserve"> -gen.</w:t>
            </w:r>
            <w:r>
              <w:rPr>
                <w:i/>
                <w:iCs/>
              </w:rPr>
              <w:t>)</w:t>
            </w:r>
          </w:p>
          <w:p w14:paraId="2F71BAB9" w14:textId="77777777" w:rsidR="00E53EB6" w:rsidRDefault="006500F5">
            <w:pPr>
              <w:pStyle w:val="TableContents"/>
              <w:rPr>
                <w:i/>
                <w:iCs/>
              </w:rPr>
            </w:pPr>
            <w:r>
              <w:rPr>
                <w:i/>
                <w:iCs/>
              </w:rPr>
              <w:t>vayám (yó no dā́sa ā́ryo vā)</w:t>
            </w:r>
          </w:p>
        </w:tc>
      </w:tr>
      <w:tr w:rsidR="00E53EB6" w14:paraId="19995F36" w14:textId="77777777">
        <w:tc>
          <w:tcPr>
            <w:tcW w:w="1576" w:type="dxa"/>
            <w:tcBorders>
              <w:left w:val="single" w:sz="2" w:space="0" w:color="000000"/>
              <w:bottom w:val="single" w:sz="2" w:space="0" w:color="000000"/>
            </w:tcBorders>
          </w:tcPr>
          <w:p w14:paraId="7AB9B4D9" w14:textId="77777777" w:rsidR="00E53EB6" w:rsidRDefault="006500F5">
            <w:pPr>
              <w:pStyle w:val="TableContents"/>
              <w:rPr>
                <w:i/>
                <w:iCs/>
              </w:rPr>
            </w:pPr>
            <w:r>
              <w:rPr>
                <w:i/>
                <w:iCs/>
              </w:rPr>
              <w:t>āmúra</w:t>
            </w:r>
            <w:r>
              <w:rPr>
                <w:i/>
                <w:iCs/>
              </w:rPr>
              <w:t>ḥ</w:t>
            </w:r>
          </w:p>
        </w:tc>
        <w:tc>
          <w:tcPr>
            <w:tcW w:w="645" w:type="dxa"/>
            <w:tcBorders>
              <w:left w:val="single" w:sz="2" w:space="0" w:color="000000"/>
              <w:bottom w:val="single" w:sz="2" w:space="0" w:color="000000"/>
            </w:tcBorders>
          </w:tcPr>
          <w:p w14:paraId="415BE237" w14:textId="77777777" w:rsidR="00E53EB6" w:rsidRDefault="006500F5">
            <w:pPr>
              <w:pStyle w:val="TableContents"/>
            </w:pPr>
            <w:r>
              <w:t>1</w:t>
            </w:r>
          </w:p>
        </w:tc>
        <w:tc>
          <w:tcPr>
            <w:tcW w:w="1364" w:type="dxa"/>
            <w:tcBorders>
              <w:left w:val="single" w:sz="2" w:space="0" w:color="000000"/>
              <w:bottom w:val="single" w:sz="2" w:space="0" w:color="000000"/>
            </w:tcBorders>
          </w:tcPr>
          <w:p w14:paraId="7D023BB5" w14:textId="77777777" w:rsidR="00E53EB6" w:rsidRDefault="006500F5">
            <w:pPr>
              <w:pStyle w:val="TableContents"/>
            </w:pPr>
            <w:r>
              <w:t>9.61.24</w:t>
            </w:r>
          </w:p>
        </w:tc>
        <w:tc>
          <w:tcPr>
            <w:tcW w:w="2118" w:type="dxa"/>
            <w:tcBorders>
              <w:left w:val="single" w:sz="2" w:space="0" w:color="000000"/>
              <w:bottom w:val="single" w:sz="2" w:space="0" w:color="000000"/>
            </w:tcBorders>
          </w:tcPr>
          <w:p w14:paraId="59B985E3" w14:textId="77777777" w:rsidR="00E53EB6" w:rsidRDefault="006500F5">
            <w:pPr>
              <w:pStyle w:val="TableContents"/>
              <w:rPr>
                <w:i/>
                <w:iCs/>
              </w:rPr>
            </w:pPr>
            <w:r>
              <w:rPr>
                <w:i/>
                <w:iCs/>
              </w:rPr>
              <w:t>vanvánta</w:t>
            </w:r>
            <w:r>
              <w:rPr>
                <w:i/>
                <w:iCs/>
              </w:rPr>
              <w:t>ḥ</w:t>
            </w:r>
          </w:p>
        </w:tc>
        <w:tc>
          <w:tcPr>
            <w:tcW w:w="3089" w:type="dxa"/>
            <w:tcBorders>
              <w:left w:val="single" w:sz="2" w:space="0" w:color="000000"/>
              <w:bottom w:val="single" w:sz="2" w:space="0" w:color="000000"/>
              <w:right w:val="single" w:sz="2" w:space="0" w:color="000000"/>
            </w:tcBorders>
          </w:tcPr>
          <w:p w14:paraId="3D524E79" w14:textId="77777777" w:rsidR="00E53EB6" w:rsidRDefault="006500F5">
            <w:pPr>
              <w:pStyle w:val="TableContents"/>
            </w:pPr>
            <w:r>
              <w:t>Ø</w:t>
            </w:r>
          </w:p>
        </w:tc>
      </w:tr>
      <w:tr w:rsidR="00E53EB6" w14:paraId="5CC020D0" w14:textId="77777777">
        <w:tc>
          <w:tcPr>
            <w:tcW w:w="1576" w:type="dxa"/>
            <w:tcBorders>
              <w:left w:val="single" w:sz="2" w:space="0" w:color="000000"/>
              <w:bottom w:val="single" w:sz="2" w:space="0" w:color="000000"/>
            </w:tcBorders>
          </w:tcPr>
          <w:p w14:paraId="2BE659A2" w14:textId="77777777" w:rsidR="00E53EB6" w:rsidRDefault="006500F5">
            <w:pPr>
              <w:pStyle w:val="TableContents"/>
              <w:rPr>
                <w:i/>
                <w:iCs/>
              </w:rPr>
            </w:pPr>
            <w:r>
              <w:rPr>
                <w:i/>
                <w:iCs/>
              </w:rPr>
              <w:t>kr̥</w:t>
            </w:r>
            <w:r>
              <w:rPr>
                <w:i/>
                <w:iCs/>
              </w:rPr>
              <w:t>ṣṭ</w:t>
            </w:r>
            <w:r>
              <w:rPr>
                <w:i/>
                <w:iCs/>
              </w:rPr>
              <w:t>ī́h</w:t>
            </w:r>
          </w:p>
        </w:tc>
        <w:tc>
          <w:tcPr>
            <w:tcW w:w="645" w:type="dxa"/>
            <w:tcBorders>
              <w:left w:val="single" w:sz="2" w:space="0" w:color="000000"/>
              <w:bottom w:val="single" w:sz="2" w:space="0" w:color="000000"/>
            </w:tcBorders>
          </w:tcPr>
          <w:p w14:paraId="3F096C7A" w14:textId="77777777" w:rsidR="00E53EB6" w:rsidRDefault="006500F5">
            <w:pPr>
              <w:pStyle w:val="TableContents"/>
            </w:pPr>
            <w:r>
              <w:t>1</w:t>
            </w:r>
          </w:p>
        </w:tc>
        <w:tc>
          <w:tcPr>
            <w:tcW w:w="1364" w:type="dxa"/>
            <w:tcBorders>
              <w:left w:val="single" w:sz="2" w:space="0" w:color="000000"/>
              <w:bottom w:val="single" w:sz="2" w:space="0" w:color="000000"/>
            </w:tcBorders>
          </w:tcPr>
          <w:p w14:paraId="679348E1" w14:textId="77777777" w:rsidR="00E53EB6" w:rsidRDefault="006500F5">
            <w:pPr>
              <w:pStyle w:val="TableContents"/>
            </w:pPr>
            <w:r>
              <w:t>6.18.3</w:t>
            </w:r>
          </w:p>
        </w:tc>
        <w:tc>
          <w:tcPr>
            <w:tcW w:w="2118" w:type="dxa"/>
            <w:tcBorders>
              <w:left w:val="single" w:sz="2" w:space="0" w:color="000000"/>
              <w:bottom w:val="single" w:sz="2" w:space="0" w:color="000000"/>
            </w:tcBorders>
          </w:tcPr>
          <w:p w14:paraId="185FC14C" w14:textId="77777777" w:rsidR="00E53EB6" w:rsidRDefault="006500F5">
            <w:pPr>
              <w:pStyle w:val="TableContents"/>
              <w:rPr>
                <w:i/>
                <w:iCs/>
              </w:rPr>
            </w:pPr>
            <w:r>
              <w:rPr>
                <w:i/>
                <w:iCs/>
              </w:rPr>
              <w:t>avano</w:t>
            </w:r>
            <w:r>
              <w:rPr>
                <w:i/>
                <w:iCs/>
              </w:rPr>
              <w:t>ḥ</w:t>
            </w:r>
          </w:p>
        </w:tc>
        <w:tc>
          <w:tcPr>
            <w:tcW w:w="3089" w:type="dxa"/>
            <w:tcBorders>
              <w:left w:val="single" w:sz="2" w:space="0" w:color="000000"/>
              <w:bottom w:val="single" w:sz="2" w:space="0" w:color="000000"/>
              <w:right w:val="single" w:sz="2" w:space="0" w:color="000000"/>
            </w:tcBorders>
          </w:tcPr>
          <w:p w14:paraId="2C87471E" w14:textId="77777777" w:rsidR="00E53EB6" w:rsidRDefault="006500F5">
            <w:pPr>
              <w:pStyle w:val="TableContents"/>
            </w:pPr>
            <w:r>
              <w:t>Indra</w:t>
            </w:r>
          </w:p>
        </w:tc>
      </w:tr>
      <w:tr w:rsidR="00E53EB6" w14:paraId="44A7CFAE" w14:textId="77777777">
        <w:tc>
          <w:tcPr>
            <w:tcW w:w="1576" w:type="dxa"/>
            <w:tcBorders>
              <w:left w:val="single" w:sz="2" w:space="0" w:color="000000"/>
              <w:bottom w:val="single" w:sz="2" w:space="0" w:color="000000"/>
            </w:tcBorders>
          </w:tcPr>
          <w:p w14:paraId="51B7C060" w14:textId="77777777" w:rsidR="00E53EB6" w:rsidRDefault="006500F5">
            <w:pPr>
              <w:pStyle w:val="TableContents"/>
              <w:rPr>
                <w:i/>
                <w:iCs/>
              </w:rPr>
            </w:pPr>
            <w:r>
              <w:rPr>
                <w:i/>
                <w:iCs/>
              </w:rPr>
              <w:t>purutámam</w:t>
            </w:r>
          </w:p>
        </w:tc>
        <w:tc>
          <w:tcPr>
            <w:tcW w:w="645" w:type="dxa"/>
            <w:tcBorders>
              <w:left w:val="single" w:sz="2" w:space="0" w:color="000000"/>
              <w:bottom w:val="single" w:sz="2" w:space="0" w:color="000000"/>
            </w:tcBorders>
          </w:tcPr>
          <w:p w14:paraId="115C0389" w14:textId="77777777" w:rsidR="00E53EB6" w:rsidRDefault="006500F5">
            <w:pPr>
              <w:pStyle w:val="TableContents"/>
            </w:pPr>
            <w:r>
              <w:t>1</w:t>
            </w:r>
          </w:p>
        </w:tc>
        <w:tc>
          <w:tcPr>
            <w:tcW w:w="1364" w:type="dxa"/>
            <w:tcBorders>
              <w:left w:val="single" w:sz="2" w:space="0" w:color="000000"/>
              <w:bottom w:val="single" w:sz="2" w:space="0" w:color="000000"/>
            </w:tcBorders>
          </w:tcPr>
          <w:p w14:paraId="12005E63" w14:textId="77777777" w:rsidR="00E53EB6" w:rsidRDefault="006500F5">
            <w:pPr>
              <w:pStyle w:val="TableContents"/>
            </w:pPr>
            <w:r>
              <w:t>10.74.6</w:t>
            </w:r>
          </w:p>
        </w:tc>
        <w:tc>
          <w:tcPr>
            <w:tcW w:w="2118" w:type="dxa"/>
            <w:tcBorders>
              <w:left w:val="single" w:sz="2" w:space="0" w:color="000000"/>
              <w:bottom w:val="single" w:sz="2" w:space="0" w:color="000000"/>
            </w:tcBorders>
          </w:tcPr>
          <w:p w14:paraId="3331B79C" w14:textId="77777777" w:rsidR="00E53EB6" w:rsidRDefault="006500F5">
            <w:pPr>
              <w:pStyle w:val="TableContents"/>
              <w:rPr>
                <w:i/>
                <w:iCs/>
              </w:rPr>
            </w:pPr>
            <w:r>
              <w:rPr>
                <w:i/>
                <w:iCs/>
              </w:rPr>
              <w:t>vavā́na</w:t>
            </w:r>
          </w:p>
        </w:tc>
        <w:tc>
          <w:tcPr>
            <w:tcW w:w="3089" w:type="dxa"/>
            <w:tcBorders>
              <w:left w:val="single" w:sz="2" w:space="0" w:color="000000"/>
              <w:bottom w:val="single" w:sz="2" w:space="0" w:color="000000"/>
              <w:right w:val="single" w:sz="2" w:space="0" w:color="000000"/>
            </w:tcBorders>
          </w:tcPr>
          <w:p w14:paraId="155DA5A1" w14:textId="77777777" w:rsidR="00E53EB6" w:rsidRDefault="006500F5">
            <w:pPr>
              <w:pStyle w:val="TableContents"/>
            </w:pPr>
            <w:r>
              <w:t>Indra•</w:t>
            </w:r>
          </w:p>
        </w:tc>
      </w:tr>
      <w:tr w:rsidR="00E53EB6" w14:paraId="076ECB5A" w14:textId="77777777">
        <w:tc>
          <w:tcPr>
            <w:tcW w:w="1576" w:type="dxa"/>
            <w:tcBorders>
              <w:left w:val="single" w:sz="2" w:space="0" w:color="000000"/>
              <w:bottom w:val="single" w:sz="2" w:space="0" w:color="000000"/>
            </w:tcBorders>
          </w:tcPr>
          <w:p w14:paraId="74D716E8" w14:textId="77777777" w:rsidR="00E53EB6" w:rsidRDefault="006500F5">
            <w:pPr>
              <w:pStyle w:val="TableContents"/>
              <w:rPr>
                <w:i/>
                <w:iCs/>
              </w:rPr>
            </w:pPr>
            <w:r>
              <w:rPr>
                <w:i/>
                <w:iCs/>
              </w:rPr>
              <w:t>pū́rvān</w:t>
            </w:r>
          </w:p>
        </w:tc>
        <w:tc>
          <w:tcPr>
            <w:tcW w:w="645" w:type="dxa"/>
            <w:tcBorders>
              <w:left w:val="single" w:sz="2" w:space="0" w:color="000000"/>
              <w:bottom w:val="single" w:sz="2" w:space="0" w:color="000000"/>
            </w:tcBorders>
          </w:tcPr>
          <w:p w14:paraId="7A96B42B" w14:textId="77777777" w:rsidR="00E53EB6" w:rsidRDefault="006500F5">
            <w:pPr>
              <w:pStyle w:val="TableContents"/>
            </w:pPr>
            <w:r>
              <w:t>1</w:t>
            </w:r>
          </w:p>
        </w:tc>
        <w:tc>
          <w:tcPr>
            <w:tcW w:w="1364" w:type="dxa"/>
            <w:tcBorders>
              <w:left w:val="single" w:sz="2" w:space="0" w:color="000000"/>
              <w:bottom w:val="single" w:sz="2" w:space="0" w:color="000000"/>
            </w:tcBorders>
          </w:tcPr>
          <w:p w14:paraId="028AD96D" w14:textId="77777777" w:rsidR="00E53EB6" w:rsidRDefault="006500F5">
            <w:pPr>
              <w:pStyle w:val="TableContents"/>
            </w:pPr>
            <w:r>
              <w:t>1.69.10</w:t>
            </w:r>
          </w:p>
        </w:tc>
        <w:tc>
          <w:tcPr>
            <w:tcW w:w="2118" w:type="dxa"/>
            <w:tcBorders>
              <w:left w:val="single" w:sz="2" w:space="0" w:color="000000"/>
              <w:bottom w:val="single" w:sz="2" w:space="0" w:color="000000"/>
            </w:tcBorders>
          </w:tcPr>
          <w:p w14:paraId="23C3CB32" w14:textId="77777777" w:rsidR="00E53EB6" w:rsidRDefault="006500F5">
            <w:pPr>
              <w:pStyle w:val="TableContents"/>
              <w:rPr>
                <w:i/>
                <w:iCs/>
              </w:rPr>
            </w:pPr>
            <w:r>
              <w:rPr>
                <w:i/>
                <w:iCs/>
              </w:rPr>
              <w:t>avano</w:t>
            </w:r>
            <w:r>
              <w:rPr>
                <w:i/>
                <w:iCs/>
              </w:rPr>
              <w:t>ḥ</w:t>
            </w:r>
          </w:p>
        </w:tc>
        <w:tc>
          <w:tcPr>
            <w:tcW w:w="3089" w:type="dxa"/>
            <w:tcBorders>
              <w:left w:val="single" w:sz="2" w:space="0" w:color="000000"/>
              <w:bottom w:val="single" w:sz="2" w:space="0" w:color="000000"/>
              <w:right w:val="single" w:sz="2" w:space="0" w:color="000000"/>
            </w:tcBorders>
          </w:tcPr>
          <w:p w14:paraId="2956F12B" w14:textId="77777777" w:rsidR="00E53EB6" w:rsidRDefault="006500F5">
            <w:pPr>
              <w:pStyle w:val="TableContents"/>
            </w:pPr>
            <w:r>
              <w:t>Agni</w:t>
            </w:r>
          </w:p>
        </w:tc>
      </w:tr>
      <w:tr w:rsidR="00E53EB6" w14:paraId="3DEB1AA1" w14:textId="77777777">
        <w:tc>
          <w:tcPr>
            <w:tcW w:w="1576" w:type="dxa"/>
            <w:tcBorders>
              <w:left w:val="single" w:sz="2" w:space="0" w:color="000000"/>
              <w:bottom w:val="single" w:sz="2" w:space="0" w:color="000000"/>
            </w:tcBorders>
          </w:tcPr>
          <w:p w14:paraId="407BEF2C" w14:textId="77777777" w:rsidR="00E53EB6" w:rsidRDefault="006500F5">
            <w:pPr>
              <w:pStyle w:val="TableContents"/>
              <w:rPr>
                <w:i/>
                <w:iCs/>
              </w:rPr>
            </w:pPr>
            <w:r>
              <w:rPr>
                <w:i/>
                <w:iCs/>
              </w:rPr>
              <w:lastRenderedPageBreak/>
              <w:t>brahmadví</w:t>
            </w:r>
            <w:r>
              <w:rPr>
                <w:i/>
                <w:iCs/>
              </w:rPr>
              <w:t>ṣ</w:t>
            </w:r>
            <w:r>
              <w:rPr>
                <w:i/>
                <w:iCs/>
              </w:rPr>
              <w:t>a</w:t>
            </w:r>
            <w:r>
              <w:rPr>
                <w:i/>
                <w:iCs/>
              </w:rPr>
              <w:t>ḥ</w:t>
            </w:r>
          </w:p>
        </w:tc>
        <w:tc>
          <w:tcPr>
            <w:tcW w:w="645" w:type="dxa"/>
            <w:tcBorders>
              <w:left w:val="single" w:sz="2" w:space="0" w:color="000000"/>
              <w:bottom w:val="single" w:sz="2" w:space="0" w:color="000000"/>
            </w:tcBorders>
          </w:tcPr>
          <w:p w14:paraId="6D933CA7" w14:textId="77777777" w:rsidR="00E53EB6" w:rsidRDefault="006500F5">
            <w:pPr>
              <w:pStyle w:val="TableContents"/>
            </w:pPr>
            <w:r>
              <w:t>1</w:t>
            </w:r>
          </w:p>
        </w:tc>
        <w:tc>
          <w:tcPr>
            <w:tcW w:w="1364" w:type="dxa"/>
            <w:tcBorders>
              <w:left w:val="single" w:sz="2" w:space="0" w:color="000000"/>
              <w:bottom w:val="single" w:sz="2" w:space="0" w:color="000000"/>
            </w:tcBorders>
          </w:tcPr>
          <w:p w14:paraId="448AD26C" w14:textId="77777777" w:rsidR="00E53EB6" w:rsidRDefault="006500F5">
            <w:pPr>
              <w:pStyle w:val="TableContents"/>
            </w:pPr>
            <w:r>
              <w:t>8.45.23</w:t>
            </w:r>
          </w:p>
        </w:tc>
        <w:tc>
          <w:tcPr>
            <w:tcW w:w="2118" w:type="dxa"/>
            <w:tcBorders>
              <w:left w:val="single" w:sz="2" w:space="0" w:color="000000"/>
              <w:bottom w:val="single" w:sz="2" w:space="0" w:color="000000"/>
            </w:tcBorders>
          </w:tcPr>
          <w:p w14:paraId="1CB74789" w14:textId="77777777" w:rsidR="00E53EB6" w:rsidRDefault="006500F5">
            <w:pPr>
              <w:pStyle w:val="TableContents"/>
              <w:rPr>
                <w:i/>
                <w:iCs/>
              </w:rPr>
            </w:pPr>
            <w:r>
              <w:rPr>
                <w:i/>
                <w:iCs/>
              </w:rPr>
              <w:t>vana</w:t>
            </w:r>
            <w:r>
              <w:rPr>
                <w:i/>
                <w:iCs/>
              </w:rPr>
              <w:t>ḥ</w:t>
            </w:r>
          </w:p>
        </w:tc>
        <w:tc>
          <w:tcPr>
            <w:tcW w:w="3089" w:type="dxa"/>
            <w:tcBorders>
              <w:left w:val="single" w:sz="2" w:space="0" w:color="000000"/>
              <w:bottom w:val="single" w:sz="2" w:space="0" w:color="000000"/>
              <w:right w:val="single" w:sz="2" w:space="0" w:color="000000"/>
            </w:tcBorders>
          </w:tcPr>
          <w:p w14:paraId="3E40257E" w14:textId="77777777" w:rsidR="00E53EB6" w:rsidRDefault="006500F5">
            <w:pPr>
              <w:pStyle w:val="TableContents"/>
            </w:pPr>
            <w:r>
              <w:t>Indra•</w:t>
            </w:r>
            <w:r>
              <w:rPr>
                <w:color w:val="800000"/>
                <w:u w:val="single"/>
              </w:rPr>
              <w:t xml:space="preserve"> ritual action</w:t>
            </w:r>
          </w:p>
        </w:tc>
      </w:tr>
      <w:tr w:rsidR="00E53EB6" w14:paraId="35731EB6" w14:textId="77777777">
        <w:tc>
          <w:tcPr>
            <w:tcW w:w="1576" w:type="dxa"/>
            <w:tcBorders>
              <w:left w:val="single" w:sz="2" w:space="0" w:color="000000"/>
              <w:bottom w:val="single" w:sz="2" w:space="0" w:color="000000"/>
            </w:tcBorders>
          </w:tcPr>
          <w:p w14:paraId="7F6973BE" w14:textId="77777777" w:rsidR="00E53EB6" w:rsidRDefault="006500F5">
            <w:pPr>
              <w:pStyle w:val="TableContents"/>
              <w:rPr>
                <w:i/>
                <w:iCs/>
              </w:rPr>
            </w:pPr>
            <w:r>
              <w:rPr>
                <w:i/>
                <w:iCs/>
              </w:rPr>
              <w:t>bhedám</w:t>
            </w:r>
          </w:p>
        </w:tc>
        <w:tc>
          <w:tcPr>
            <w:tcW w:w="645" w:type="dxa"/>
            <w:tcBorders>
              <w:left w:val="single" w:sz="2" w:space="0" w:color="000000"/>
              <w:bottom w:val="single" w:sz="2" w:space="0" w:color="000000"/>
            </w:tcBorders>
          </w:tcPr>
          <w:p w14:paraId="0B8A3763" w14:textId="77777777" w:rsidR="00E53EB6" w:rsidRDefault="006500F5">
            <w:pPr>
              <w:pStyle w:val="TableContents"/>
            </w:pPr>
            <w:r>
              <w:t>1</w:t>
            </w:r>
          </w:p>
        </w:tc>
        <w:tc>
          <w:tcPr>
            <w:tcW w:w="1364" w:type="dxa"/>
            <w:tcBorders>
              <w:left w:val="single" w:sz="2" w:space="0" w:color="000000"/>
              <w:bottom w:val="single" w:sz="2" w:space="0" w:color="000000"/>
            </w:tcBorders>
          </w:tcPr>
          <w:p w14:paraId="507B9214" w14:textId="77777777" w:rsidR="00E53EB6" w:rsidRDefault="006500F5">
            <w:pPr>
              <w:pStyle w:val="TableContents"/>
            </w:pPr>
            <w:r>
              <w:t>7.83.4</w:t>
            </w:r>
          </w:p>
        </w:tc>
        <w:tc>
          <w:tcPr>
            <w:tcW w:w="2118" w:type="dxa"/>
            <w:tcBorders>
              <w:left w:val="single" w:sz="2" w:space="0" w:color="000000"/>
              <w:bottom w:val="single" w:sz="2" w:space="0" w:color="000000"/>
            </w:tcBorders>
          </w:tcPr>
          <w:p w14:paraId="2F9FDD30" w14:textId="77777777" w:rsidR="00E53EB6" w:rsidRDefault="006500F5">
            <w:pPr>
              <w:pStyle w:val="TableContents"/>
              <w:rPr>
                <w:i/>
                <w:iCs/>
              </w:rPr>
            </w:pPr>
            <w:r>
              <w:rPr>
                <w:i/>
                <w:iCs/>
              </w:rPr>
              <w:t>vanvántā</w:t>
            </w:r>
          </w:p>
        </w:tc>
        <w:tc>
          <w:tcPr>
            <w:tcW w:w="3089" w:type="dxa"/>
            <w:tcBorders>
              <w:left w:val="single" w:sz="2" w:space="0" w:color="000000"/>
              <w:bottom w:val="single" w:sz="2" w:space="0" w:color="000000"/>
              <w:right w:val="single" w:sz="2" w:space="0" w:color="000000"/>
            </w:tcBorders>
          </w:tcPr>
          <w:p w14:paraId="22F53EB3" w14:textId="77777777" w:rsidR="00E53EB6" w:rsidRDefault="006500F5">
            <w:pPr>
              <w:pStyle w:val="TableContents"/>
            </w:pPr>
            <w:r>
              <w:t>Indra Varu</w:t>
            </w:r>
            <w:r>
              <w:t>ṇ</w:t>
            </w:r>
            <w:r>
              <w:t>a</w:t>
            </w:r>
          </w:p>
        </w:tc>
      </w:tr>
      <w:tr w:rsidR="00E53EB6" w14:paraId="43A8FF0F" w14:textId="77777777">
        <w:tc>
          <w:tcPr>
            <w:tcW w:w="1576" w:type="dxa"/>
            <w:tcBorders>
              <w:left w:val="single" w:sz="2" w:space="0" w:color="000000"/>
              <w:bottom w:val="single" w:sz="2" w:space="0" w:color="000000"/>
            </w:tcBorders>
          </w:tcPr>
          <w:p w14:paraId="1C6E031D" w14:textId="77777777" w:rsidR="00E53EB6" w:rsidRDefault="006500F5">
            <w:pPr>
              <w:pStyle w:val="TableContents"/>
              <w:rPr>
                <w:i/>
                <w:iCs/>
              </w:rPr>
            </w:pPr>
            <w:r>
              <w:rPr>
                <w:i/>
                <w:iCs/>
              </w:rPr>
              <w:t>mártān</w:t>
            </w:r>
          </w:p>
        </w:tc>
        <w:tc>
          <w:tcPr>
            <w:tcW w:w="645" w:type="dxa"/>
            <w:tcBorders>
              <w:left w:val="single" w:sz="2" w:space="0" w:color="000000"/>
              <w:bottom w:val="single" w:sz="2" w:space="0" w:color="000000"/>
            </w:tcBorders>
          </w:tcPr>
          <w:p w14:paraId="437A1E97" w14:textId="77777777" w:rsidR="00E53EB6" w:rsidRDefault="006500F5">
            <w:pPr>
              <w:pStyle w:val="TableContents"/>
            </w:pPr>
            <w:r>
              <w:t>2</w:t>
            </w:r>
          </w:p>
        </w:tc>
        <w:tc>
          <w:tcPr>
            <w:tcW w:w="1364" w:type="dxa"/>
            <w:tcBorders>
              <w:left w:val="single" w:sz="2" w:space="0" w:color="000000"/>
              <w:bottom w:val="single" w:sz="2" w:space="0" w:color="000000"/>
            </w:tcBorders>
          </w:tcPr>
          <w:p w14:paraId="3EF46364" w14:textId="77777777" w:rsidR="00E53EB6" w:rsidRDefault="006500F5">
            <w:pPr>
              <w:pStyle w:val="TableContents"/>
            </w:pPr>
            <w:r>
              <w:t>5.3.5</w:t>
            </w:r>
          </w:p>
          <w:p w14:paraId="4095D9AE" w14:textId="77777777" w:rsidR="00E53EB6" w:rsidRDefault="006500F5">
            <w:pPr>
              <w:pStyle w:val="TableContents"/>
            </w:pPr>
            <w:r>
              <w:t>5.3.6</w:t>
            </w:r>
          </w:p>
        </w:tc>
        <w:tc>
          <w:tcPr>
            <w:tcW w:w="2118" w:type="dxa"/>
            <w:tcBorders>
              <w:left w:val="single" w:sz="2" w:space="0" w:color="000000"/>
              <w:bottom w:val="single" w:sz="2" w:space="0" w:color="000000"/>
            </w:tcBorders>
          </w:tcPr>
          <w:p w14:paraId="4FCCC6B2" w14:textId="77777777" w:rsidR="00E53EB6" w:rsidRDefault="006500F5">
            <w:pPr>
              <w:pStyle w:val="TableContents"/>
              <w:rPr>
                <w:i/>
                <w:iCs/>
              </w:rPr>
            </w:pPr>
            <w:r>
              <w:rPr>
                <w:i/>
                <w:iCs/>
              </w:rPr>
              <w:t>vanavad</w:t>
            </w:r>
          </w:p>
          <w:p w14:paraId="7DEF765F" w14:textId="77777777" w:rsidR="00E53EB6" w:rsidRDefault="006500F5">
            <w:pPr>
              <w:pStyle w:val="TableContents"/>
              <w:rPr>
                <w:i/>
                <w:iCs/>
              </w:rPr>
            </w:pPr>
            <w:r>
              <w:rPr>
                <w:i/>
                <w:iCs/>
              </w:rPr>
              <w:t>vanuyāma</w:t>
            </w:r>
          </w:p>
        </w:tc>
        <w:tc>
          <w:tcPr>
            <w:tcW w:w="3089" w:type="dxa"/>
            <w:tcBorders>
              <w:left w:val="single" w:sz="2" w:space="0" w:color="000000"/>
              <w:bottom w:val="single" w:sz="2" w:space="0" w:color="000000"/>
              <w:right w:val="single" w:sz="2" w:space="0" w:color="000000"/>
            </w:tcBorders>
          </w:tcPr>
          <w:p w14:paraId="669D274D" w14:textId="77777777" w:rsidR="00E53EB6" w:rsidRDefault="006500F5">
            <w:pPr>
              <w:pStyle w:val="TableContents"/>
              <w:rPr>
                <w:i/>
                <w:iCs/>
              </w:rPr>
            </w:pPr>
            <w:r>
              <w:rPr>
                <w:i/>
                <w:iCs/>
              </w:rPr>
              <w:t>sá</w:t>
            </w:r>
            <w:r>
              <w:rPr>
                <w:i/>
                <w:iCs/>
              </w:rPr>
              <w:t>ḥ</w:t>
            </w:r>
          </w:p>
          <w:p w14:paraId="35F99A80" w14:textId="77777777" w:rsidR="00E53EB6" w:rsidRDefault="006500F5">
            <w:pPr>
              <w:pStyle w:val="TableContents"/>
              <w:rPr>
                <w:i/>
                <w:iCs/>
              </w:rPr>
            </w:pPr>
            <w:r>
              <w:rPr>
                <w:i/>
                <w:iCs/>
              </w:rPr>
              <w:t>vayám</w:t>
            </w:r>
          </w:p>
        </w:tc>
      </w:tr>
      <w:tr w:rsidR="00E53EB6" w14:paraId="40087479" w14:textId="77777777">
        <w:tc>
          <w:tcPr>
            <w:tcW w:w="1576" w:type="dxa"/>
            <w:tcBorders>
              <w:left w:val="single" w:sz="2" w:space="0" w:color="000000"/>
              <w:bottom w:val="single" w:sz="2" w:space="0" w:color="000000"/>
            </w:tcBorders>
          </w:tcPr>
          <w:p w14:paraId="454DC521" w14:textId="77777777" w:rsidR="00E53EB6" w:rsidRDefault="006500F5">
            <w:pPr>
              <w:pStyle w:val="TableContents"/>
              <w:rPr>
                <w:i/>
                <w:iCs/>
              </w:rPr>
            </w:pPr>
            <w:r>
              <w:rPr>
                <w:i/>
                <w:iCs/>
              </w:rPr>
              <w:t>mitrám</w:t>
            </w:r>
          </w:p>
        </w:tc>
        <w:tc>
          <w:tcPr>
            <w:tcW w:w="645" w:type="dxa"/>
            <w:tcBorders>
              <w:left w:val="single" w:sz="2" w:space="0" w:color="000000"/>
              <w:bottom w:val="single" w:sz="2" w:space="0" w:color="000000"/>
            </w:tcBorders>
          </w:tcPr>
          <w:p w14:paraId="5390654B" w14:textId="77777777" w:rsidR="00E53EB6" w:rsidRDefault="006500F5">
            <w:pPr>
              <w:pStyle w:val="TableContents"/>
            </w:pPr>
            <w:r>
              <w:t>1</w:t>
            </w:r>
          </w:p>
        </w:tc>
        <w:tc>
          <w:tcPr>
            <w:tcW w:w="1364" w:type="dxa"/>
            <w:tcBorders>
              <w:left w:val="single" w:sz="2" w:space="0" w:color="000000"/>
              <w:bottom w:val="single" w:sz="2" w:space="0" w:color="000000"/>
            </w:tcBorders>
          </w:tcPr>
          <w:p w14:paraId="658AD412" w14:textId="77777777" w:rsidR="00E53EB6" w:rsidRDefault="006500F5">
            <w:pPr>
              <w:pStyle w:val="TableContents"/>
            </w:pPr>
            <w:r>
              <w:t xml:space="preserve">10.27.12 </w:t>
            </w:r>
          </w:p>
        </w:tc>
        <w:tc>
          <w:tcPr>
            <w:tcW w:w="2118" w:type="dxa"/>
            <w:tcBorders>
              <w:left w:val="single" w:sz="2" w:space="0" w:color="000000"/>
              <w:bottom w:val="single" w:sz="2" w:space="0" w:color="000000"/>
            </w:tcBorders>
          </w:tcPr>
          <w:p w14:paraId="19F6B0F9" w14:textId="77777777" w:rsidR="00E53EB6" w:rsidRDefault="006500F5">
            <w:pPr>
              <w:pStyle w:val="TableContents"/>
              <w:rPr>
                <w:i/>
                <w:iCs/>
              </w:rPr>
            </w:pPr>
            <w:r>
              <w:rPr>
                <w:i/>
                <w:iCs/>
              </w:rPr>
              <w:t>vanute</w:t>
            </w:r>
          </w:p>
        </w:tc>
        <w:tc>
          <w:tcPr>
            <w:tcW w:w="3089" w:type="dxa"/>
            <w:tcBorders>
              <w:left w:val="single" w:sz="2" w:space="0" w:color="000000"/>
              <w:bottom w:val="single" w:sz="2" w:space="0" w:color="000000"/>
              <w:right w:val="single" w:sz="2" w:space="0" w:color="000000"/>
            </w:tcBorders>
          </w:tcPr>
          <w:p w14:paraId="27F012A8" w14:textId="77777777" w:rsidR="00E53EB6" w:rsidRDefault="006500F5">
            <w:pPr>
              <w:pStyle w:val="TableContents"/>
              <w:rPr>
                <w:i/>
                <w:iCs/>
              </w:rPr>
            </w:pPr>
            <w:r>
              <w:rPr>
                <w:i/>
                <w:iCs/>
              </w:rPr>
              <w:t>sā́</w:t>
            </w:r>
          </w:p>
        </w:tc>
      </w:tr>
      <w:tr w:rsidR="00E53EB6" w14:paraId="2280E390" w14:textId="77777777">
        <w:tc>
          <w:tcPr>
            <w:tcW w:w="1576" w:type="dxa"/>
            <w:tcBorders>
              <w:left w:val="single" w:sz="2" w:space="0" w:color="000000"/>
              <w:bottom w:val="single" w:sz="2" w:space="0" w:color="000000"/>
            </w:tcBorders>
          </w:tcPr>
          <w:p w14:paraId="1F691DB3" w14:textId="77777777" w:rsidR="00E53EB6" w:rsidRDefault="006500F5">
            <w:pPr>
              <w:pStyle w:val="TableContents"/>
              <w:rPr>
                <w:i/>
                <w:iCs/>
              </w:rPr>
            </w:pPr>
            <w:r>
              <w:rPr>
                <w:i/>
                <w:iCs/>
              </w:rPr>
              <w:t>yám</w:t>
            </w:r>
          </w:p>
        </w:tc>
        <w:tc>
          <w:tcPr>
            <w:tcW w:w="645" w:type="dxa"/>
            <w:tcBorders>
              <w:left w:val="single" w:sz="2" w:space="0" w:color="000000"/>
              <w:bottom w:val="single" w:sz="2" w:space="0" w:color="000000"/>
            </w:tcBorders>
          </w:tcPr>
          <w:p w14:paraId="1EA52A68" w14:textId="77777777" w:rsidR="00E53EB6" w:rsidRDefault="006500F5">
            <w:pPr>
              <w:pStyle w:val="TableContents"/>
            </w:pPr>
            <w:r>
              <w:t>1</w:t>
            </w:r>
          </w:p>
        </w:tc>
        <w:tc>
          <w:tcPr>
            <w:tcW w:w="1364" w:type="dxa"/>
            <w:tcBorders>
              <w:left w:val="single" w:sz="2" w:space="0" w:color="000000"/>
              <w:bottom w:val="single" w:sz="2" w:space="0" w:color="000000"/>
            </w:tcBorders>
          </w:tcPr>
          <w:p w14:paraId="41588B1B" w14:textId="77777777" w:rsidR="00E53EB6" w:rsidRDefault="006500F5">
            <w:pPr>
              <w:pStyle w:val="TableContents"/>
            </w:pPr>
            <w:r>
              <w:t>2.30.6</w:t>
            </w:r>
          </w:p>
        </w:tc>
        <w:tc>
          <w:tcPr>
            <w:tcW w:w="2118" w:type="dxa"/>
            <w:tcBorders>
              <w:left w:val="single" w:sz="2" w:space="0" w:color="000000"/>
              <w:bottom w:val="single" w:sz="2" w:space="0" w:color="000000"/>
            </w:tcBorders>
          </w:tcPr>
          <w:p w14:paraId="7CDD74E7" w14:textId="77777777" w:rsidR="00E53EB6" w:rsidRDefault="006500F5">
            <w:pPr>
              <w:pStyle w:val="TableContents"/>
              <w:rPr>
                <w:i/>
                <w:iCs/>
              </w:rPr>
            </w:pPr>
            <w:r>
              <w:rPr>
                <w:i/>
                <w:iCs/>
              </w:rPr>
              <w:t>vanutha</w:t>
            </w:r>
            <w:r>
              <w:rPr>
                <w:i/>
                <w:iCs/>
              </w:rPr>
              <w:t>ḥ</w:t>
            </w:r>
          </w:p>
        </w:tc>
        <w:tc>
          <w:tcPr>
            <w:tcW w:w="3089" w:type="dxa"/>
            <w:tcBorders>
              <w:left w:val="single" w:sz="2" w:space="0" w:color="000000"/>
              <w:bottom w:val="single" w:sz="2" w:space="0" w:color="000000"/>
              <w:right w:val="single" w:sz="2" w:space="0" w:color="000000"/>
            </w:tcBorders>
          </w:tcPr>
          <w:p w14:paraId="56DAC9E9" w14:textId="77777777" w:rsidR="00E53EB6" w:rsidRDefault="006500F5">
            <w:pPr>
              <w:pStyle w:val="TableContents"/>
            </w:pPr>
            <w:r>
              <w:t>Indra Soma</w:t>
            </w:r>
          </w:p>
        </w:tc>
      </w:tr>
      <w:tr w:rsidR="00E53EB6" w14:paraId="7BBF8AF9" w14:textId="77777777">
        <w:tc>
          <w:tcPr>
            <w:tcW w:w="1576" w:type="dxa"/>
            <w:tcBorders>
              <w:left w:val="single" w:sz="2" w:space="0" w:color="000000"/>
              <w:bottom w:val="single" w:sz="2" w:space="0" w:color="000000"/>
            </w:tcBorders>
          </w:tcPr>
          <w:p w14:paraId="45A6BEB7" w14:textId="77777777" w:rsidR="00E53EB6" w:rsidRDefault="006500F5">
            <w:pPr>
              <w:pStyle w:val="TableContents"/>
              <w:rPr>
                <w:i/>
                <w:iCs/>
              </w:rPr>
            </w:pPr>
            <w:r>
              <w:rPr>
                <w:i/>
                <w:iCs/>
              </w:rPr>
              <w:t>vīrā́n</w:t>
            </w:r>
          </w:p>
        </w:tc>
        <w:tc>
          <w:tcPr>
            <w:tcW w:w="645" w:type="dxa"/>
            <w:tcBorders>
              <w:left w:val="single" w:sz="2" w:space="0" w:color="000000"/>
              <w:bottom w:val="single" w:sz="2" w:space="0" w:color="000000"/>
            </w:tcBorders>
          </w:tcPr>
          <w:p w14:paraId="28EF3D30" w14:textId="77777777" w:rsidR="00E53EB6" w:rsidRDefault="006500F5">
            <w:pPr>
              <w:pStyle w:val="TableContents"/>
            </w:pPr>
            <w:r>
              <w:t>1</w:t>
            </w:r>
          </w:p>
        </w:tc>
        <w:tc>
          <w:tcPr>
            <w:tcW w:w="1364" w:type="dxa"/>
            <w:tcBorders>
              <w:left w:val="single" w:sz="2" w:space="0" w:color="000000"/>
              <w:bottom w:val="single" w:sz="2" w:space="0" w:color="000000"/>
            </w:tcBorders>
          </w:tcPr>
          <w:p w14:paraId="7D0B1195" w14:textId="77777777" w:rsidR="00E53EB6" w:rsidRDefault="006500F5">
            <w:pPr>
              <w:pStyle w:val="TableContents"/>
            </w:pPr>
            <w:r>
              <w:t>1.73.9</w:t>
            </w:r>
          </w:p>
        </w:tc>
        <w:tc>
          <w:tcPr>
            <w:tcW w:w="2118" w:type="dxa"/>
            <w:tcBorders>
              <w:left w:val="single" w:sz="2" w:space="0" w:color="000000"/>
              <w:bottom w:val="single" w:sz="2" w:space="0" w:color="000000"/>
            </w:tcBorders>
          </w:tcPr>
          <w:p w14:paraId="2CAE7558" w14:textId="77777777" w:rsidR="00E53EB6" w:rsidRDefault="006500F5">
            <w:pPr>
              <w:pStyle w:val="TableContents"/>
              <w:rPr>
                <w:i/>
                <w:iCs/>
              </w:rPr>
            </w:pPr>
            <w:r>
              <w:rPr>
                <w:i/>
                <w:iCs/>
              </w:rPr>
              <w:t>vanuyāmā</w:t>
            </w:r>
          </w:p>
        </w:tc>
        <w:tc>
          <w:tcPr>
            <w:tcW w:w="3089" w:type="dxa"/>
            <w:tcBorders>
              <w:left w:val="single" w:sz="2" w:space="0" w:color="000000"/>
              <w:bottom w:val="single" w:sz="2" w:space="0" w:color="000000"/>
              <w:right w:val="single" w:sz="2" w:space="0" w:color="000000"/>
            </w:tcBorders>
          </w:tcPr>
          <w:p w14:paraId="3BD88052" w14:textId="77777777" w:rsidR="00E53EB6" w:rsidRDefault="006500F5">
            <w:pPr>
              <w:pStyle w:val="TableContents"/>
            </w:pPr>
            <w:r>
              <w:t>Ø</w:t>
            </w:r>
          </w:p>
        </w:tc>
      </w:tr>
      <w:tr w:rsidR="00E53EB6" w14:paraId="0FAA719E" w14:textId="77777777">
        <w:tc>
          <w:tcPr>
            <w:tcW w:w="1576" w:type="dxa"/>
            <w:tcBorders>
              <w:left w:val="single" w:sz="2" w:space="0" w:color="000000"/>
              <w:bottom w:val="single" w:sz="2" w:space="0" w:color="000000"/>
            </w:tcBorders>
          </w:tcPr>
          <w:p w14:paraId="7E4373B4" w14:textId="77777777" w:rsidR="00E53EB6" w:rsidRDefault="006500F5">
            <w:pPr>
              <w:pStyle w:val="TableContents"/>
              <w:rPr>
                <w:i/>
                <w:iCs/>
              </w:rPr>
            </w:pPr>
            <w:r>
              <w:rPr>
                <w:i/>
                <w:iCs/>
              </w:rPr>
              <w:t>vr̥trā́</w:t>
            </w:r>
          </w:p>
        </w:tc>
        <w:tc>
          <w:tcPr>
            <w:tcW w:w="645" w:type="dxa"/>
            <w:tcBorders>
              <w:left w:val="single" w:sz="2" w:space="0" w:color="000000"/>
              <w:bottom w:val="single" w:sz="2" w:space="0" w:color="000000"/>
            </w:tcBorders>
          </w:tcPr>
          <w:p w14:paraId="7CBACD54" w14:textId="77777777" w:rsidR="00E53EB6" w:rsidRDefault="006500F5">
            <w:pPr>
              <w:pStyle w:val="TableContents"/>
            </w:pPr>
            <w:r>
              <w:t>1</w:t>
            </w:r>
          </w:p>
        </w:tc>
        <w:tc>
          <w:tcPr>
            <w:tcW w:w="1364" w:type="dxa"/>
            <w:tcBorders>
              <w:left w:val="single" w:sz="2" w:space="0" w:color="000000"/>
              <w:bottom w:val="single" w:sz="2" w:space="0" w:color="000000"/>
            </w:tcBorders>
          </w:tcPr>
          <w:p w14:paraId="256402FB" w14:textId="77777777" w:rsidR="00E53EB6" w:rsidRDefault="006500F5">
            <w:pPr>
              <w:pStyle w:val="TableContents"/>
            </w:pPr>
            <w:r>
              <w:t>6.33.1</w:t>
            </w:r>
          </w:p>
        </w:tc>
        <w:tc>
          <w:tcPr>
            <w:tcW w:w="2118" w:type="dxa"/>
            <w:tcBorders>
              <w:left w:val="single" w:sz="2" w:space="0" w:color="000000"/>
              <w:bottom w:val="single" w:sz="2" w:space="0" w:color="000000"/>
            </w:tcBorders>
          </w:tcPr>
          <w:p w14:paraId="08D32D94" w14:textId="77777777" w:rsidR="00E53EB6" w:rsidRDefault="006500F5">
            <w:pPr>
              <w:pStyle w:val="TableContents"/>
              <w:rPr>
                <w:i/>
                <w:iCs/>
              </w:rPr>
            </w:pPr>
            <w:r>
              <w:rPr>
                <w:i/>
                <w:iCs/>
              </w:rPr>
              <w:t>vanávat</w:t>
            </w:r>
          </w:p>
        </w:tc>
        <w:tc>
          <w:tcPr>
            <w:tcW w:w="3089" w:type="dxa"/>
            <w:tcBorders>
              <w:left w:val="single" w:sz="2" w:space="0" w:color="000000"/>
              <w:bottom w:val="single" w:sz="2" w:space="0" w:color="000000"/>
              <w:right w:val="single" w:sz="2" w:space="0" w:color="000000"/>
            </w:tcBorders>
          </w:tcPr>
          <w:p w14:paraId="28884ACD" w14:textId="77777777" w:rsidR="00E53EB6" w:rsidRDefault="006500F5">
            <w:pPr>
              <w:pStyle w:val="TableContents"/>
              <w:rPr>
                <w:i/>
                <w:iCs/>
              </w:rPr>
            </w:pPr>
            <w:r>
              <w:rPr>
                <w:i/>
                <w:iCs/>
              </w:rPr>
              <w:t>yá</w:t>
            </w:r>
            <w:r>
              <w:rPr>
                <w:i/>
                <w:iCs/>
              </w:rPr>
              <w:t>ḥ</w:t>
            </w:r>
            <w:r>
              <w:rPr>
                <w:i/>
                <w:iCs/>
              </w:rPr>
              <w:t xml:space="preserve"> </w:t>
            </w:r>
            <w:r>
              <w:t xml:space="preserve">(Indra’s </w:t>
            </w:r>
            <w:r>
              <w:rPr>
                <w:i/>
                <w:iCs/>
              </w:rPr>
              <w:t>máda</w:t>
            </w:r>
            <w:r>
              <w:rPr>
                <w:i/>
                <w:iCs/>
              </w:rPr>
              <w:t>ḥ</w:t>
            </w:r>
            <w:r>
              <w:t>)</w:t>
            </w:r>
          </w:p>
        </w:tc>
      </w:tr>
      <w:tr w:rsidR="00E53EB6" w14:paraId="1090B5FF" w14:textId="77777777">
        <w:tc>
          <w:tcPr>
            <w:tcW w:w="1576" w:type="dxa"/>
            <w:tcBorders>
              <w:left w:val="single" w:sz="2" w:space="0" w:color="000000"/>
              <w:bottom w:val="single" w:sz="2" w:space="0" w:color="000000"/>
            </w:tcBorders>
          </w:tcPr>
          <w:p w14:paraId="18D57765" w14:textId="77777777" w:rsidR="00E53EB6" w:rsidRDefault="006500F5">
            <w:pPr>
              <w:pStyle w:val="TableContents"/>
              <w:rPr>
                <w:i/>
                <w:iCs/>
              </w:rPr>
            </w:pPr>
            <w:r>
              <w:rPr>
                <w:i/>
                <w:iCs/>
              </w:rPr>
              <w:t>śú</w:t>
            </w:r>
            <w:r>
              <w:rPr>
                <w:i/>
                <w:iCs/>
              </w:rPr>
              <w:t>ṣṇ</w:t>
            </w:r>
            <w:r>
              <w:rPr>
                <w:i/>
                <w:iCs/>
              </w:rPr>
              <w:t>a</w:t>
            </w:r>
          </w:p>
        </w:tc>
        <w:tc>
          <w:tcPr>
            <w:tcW w:w="645" w:type="dxa"/>
            <w:tcBorders>
              <w:left w:val="single" w:sz="2" w:space="0" w:color="000000"/>
              <w:bottom w:val="single" w:sz="2" w:space="0" w:color="000000"/>
            </w:tcBorders>
          </w:tcPr>
          <w:p w14:paraId="50520B9F" w14:textId="77777777" w:rsidR="00E53EB6" w:rsidRDefault="006500F5">
            <w:pPr>
              <w:pStyle w:val="TableContents"/>
            </w:pPr>
            <w:r>
              <w:t>2</w:t>
            </w:r>
          </w:p>
        </w:tc>
        <w:tc>
          <w:tcPr>
            <w:tcW w:w="1364" w:type="dxa"/>
            <w:tcBorders>
              <w:left w:val="single" w:sz="2" w:space="0" w:color="000000"/>
              <w:bottom w:val="single" w:sz="2" w:space="0" w:color="000000"/>
            </w:tcBorders>
          </w:tcPr>
          <w:p w14:paraId="7694B9DC" w14:textId="77777777" w:rsidR="00E53EB6" w:rsidRDefault="006500F5">
            <w:pPr>
              <w:pStyle w:val="TableContents"/>
            </w:pPr>
            <w:r>
              <w:t>1.121.9</w:t>
            </w:r>
          </w:p>
          <w:p w14:paraId="42AB2ABA" w14:textId="77777777" w:rsidR="00E53EB6" w:rsidRDefault="006500F5">
            <w:pPr>
              <w:pStyle w:val="TableContents"/>
            </w:pPr>
            <w:r>
              <w:t>5.29.9</w:t>
            </w:r>
          </w:p>
        </w:tc>
        <w:tc>
          <w:tcPr>
            <w:tcW w:w="2118" w:type="dxa"/>
            <w:tcBorders>
              <w:left w:val="single" w:sz="2" w:space="0" w:color="000000"/>
              <w:bottom w:val="single" w:sz="2" w:space="0" w:color="000000"/>
            </w:tcBorders>
          </w:tcPr>
          <w:p w14:paraId="3B92FA83" w14:textId="77777777" w:rsidR="00E53EB6" w:rsidRDefault="006500F5">
            <w:pPr>
              <w:pStyle w:val="TableContents"/>
              <w:rPr>
                <w:i/>
                <w:iCs/>
              </w:rPr>
            </w:pPr>
            <w:r>
              <w:rPr>
                <w:i/>
                <w:iCs/>
              </w:rPr>
              <w:t>vanán</w:t>
            </w:r>
          </w:p>
          <w:p w14:paraId="10A13E5F" w14:textId="77777777" w:rsidR="00E53EB6" w:rsidRDefault="006500F5">
            <w:pPr>
              <w:pStyle w:val="TableContents"/>
              <w:rPr>
                <w:i/>
                <w:iCs/>
              </w:rPr>
            </w:pPr>
            <w:r>
              <w:rPr>
                <w:i/>
                <w:iCs/>
              </w:rPr>
              <w:t>avano</w:t>
            </w:r>
            <w:r>
              <w:rPr>
                <w:i/>
                <w:iCs/>
              </w:rPr>
              <w:t>ḥ</w:t>
            </w:r>
          </w:p>
        </w:tc>
        <w:tc>
          <w:tcPr>
            <w:tcW w:w="3089" w:type="dxa"/>
            <w:tcBorders>
              <w:left w:val="single" w:sz="2" w:space="0" w:color="000000"/>
              <w:bottom w:val="single" w:sz="2" w:space="0" w:color="000000"/>
              <w:right w:val="single" w:sz="2" w:space="0" w:color="000000"/>
            </w:tcBorders>
          </w:tcPr>
          <w:p w14:paraId="14E280A1" w14:textId="77777777" w:rsidR="00E53EB6" w:rsidRDefault="006500F5">
            <w:pPr>
              <w:pStyle w:val="TableContents"/>
            </w:pPr>
            <w:r>
              <w:t>Indra•</w:t>
            </w:r>
          </w:p>
          <w:p w14:paraId="506D6A38" w14:textId="77777777" w:rsidR="00E53EB6" w:rsidRDefault="006500F5">
            <w:pPr>
              <w:pStyle w:val="TableContents"/>
            </w:pPr>
            <w:r>
              <w:t>Indra•</w:t>
            </w:r>
          </w:p>
        </w:tc>
      </w:tr>
      <w:tr w:rsidR="00E53EB6" w14:paraId="4F80E7D4" w14:textId="77777777">
        <w:tc>
          <w:tcPr>
            <w:tcW w:w="1576" w:type="dxa"/>
            <w:tcBorders>
              <w:left w:val="single" w:sz="2" w:space="0" w:color="000000"/>
              <w:bottom w:val="single" w:sz="2" w:space="0" w:color="000000"/>
            </w:tcBorders>
          </w:tcPr>
          <w:p w14:paraId="1AA2AE56" w14:textId="77777777" w:rsidR="00E53EB6" w:rsidRDefault="006500F5">
            <w:pPr>
              <w:pStyle w:val="TableContents"/>
              <w:rPr>
                <w:i/>
                <w:iCs/>
              </w:rPr>
            </w:pPr>
            <w:r>
              <w:rPr>
                <w:i/>
                <w:iCs/>
              </w:rPr>
              <w:t>sthirā́</w:t>
            </w:r>
          </w:p>
        </w:tc>
        <w:tc>
          <w:tcPr>
            <w:tcW w:w="645" w:type="dxa"/>
            <w:tcBorders>
              <w:left w:val="single" w:sz="2" w:space="0" w:color="000000"/>
              <w:bottom w:val="single" w:sz="2" w:space="0" w:color="000000"/>
            </w:tcBorders>
          </w:tcPr>
          <w:p w14:paraId="6E06E3A5" w14:textId="77777777" w:rsidR="00E53EB6" w:rsidRDefault="006500F5">
            <w:pPr>
              <w:pStyle w:val="TableContents"/>
            </w:pPr>
            <w:r>
              <w:t>1</w:t>
            </w:r>
          </w:p>
        </w:tc>
        <w:tc>
          <w:tcPr>
            <w:tcW w:w="1364" w:type="dxa"/>
            <w:tcBorders>
              <w:left w:val="single" w:sz="2" w:space="0" w:color="000000"/>
              <w:bottom w:val="single" w:sz="2" w:space="0" w:color="000000"/>
            </w:tcBorders>
          </w:tcPr>
          <w:p w14:paraId="195818F2" w14:textId="77777777" w:rsidR="00E53EB6" w:rsidRDefault="006500F5">
            <w:pPr>
              <w:pStyle w:val="TableContents"/>
            </w:pPr>
            <w:r>
              <w:t>8.19.20</w:t>
            </w:r>
          </w:p>
        </w:tc>
        <w:tc>
          <w:tcPr>
            <w:tcW w:w="2118" w:type="dxa"/>
            <w:tcBorders>
              <w:left w:val="single" w:sz="2" w:space="0" w:color="000000"/>
              <w:bottom w:val="single" w:sz="2" w:space="0" w:color="000000"/>
            </w:tcBorders>
          </w:tcPr>
          <w:p w14:paraId="63C1B3E2" w14:textId="77777777" w:rsidR="00E53EB6" w:rsidRDefault="006500F5">
            <w:pPr>
              <w:pStyle w:val="TableContents"/>
              <w:rPr>
                <w:i/>
                <w:iCs/>
              </w:rPr>
            </w:pPr>
            <w:r>
              <w:rPr>
                <w:i/>
                <w:iCs/>
              </w:rPr>
              <w:t>vanémā</w:t>
            </w:r>
          </w:p>
        </w:tc>
        <w:tc>
          <w:tcPr>
            <w:tcW w:w="3089" w:type="dxa"/>
            <w:tcBorders>
              <w:left w:val="single" w:sz="2" w:space="0" w:color="000000"/>
              <w:bottom w:val="single" w:sz="2" w:space="0" w:color="000000"/>
              <w:right w:val="single" w:sz="2" w:space="0" w:color="000000"/>
            </w:tcBorders>
          </w:tcPr>
          <w:p w14:paraId="191ED93E" w14:textId="77777777" w:rsidR="00E53EB6" w:rsidRDefault="006500F5">
            <w:pPr>
              <w:pStyle w:val="TableContents"/>
            </w:pPr>
            <w:r>
              <w:t>Ø</w:t>
            </w:r>
          </w:p>
        </w:tc>
      </w:tr>
      <w:tr w:rsidR="00E53EB6" w14:paraId="62604E2F" w14:textId="77777777">
        <w:tc>
          <w:tcPr>
            <w:tcW w:w="1576" w:type="dxa"/>
            <w:tcBorders>
              <w:left w:val="single" w:sz="2" w:space="0" w:color="000000"/>
              <w:bottom w:val="single" w:sz="2" w:space="0" w:color="000000"/>
            </w:tcBorders>
          </w:tcPr>
          <w:p w14:paraId="1F4A94B9" w14:textId="77777777" w:rsidR="00E53EB6" w:rsidRDefault="006500F5">
            <w:pPr>
              <w:pStyle w:val="TableContents"/>
              <w:rPr>
                <w:i/>
                <w:iCs/>
              </w:rPr>
            </w:pPr>
            <w:r>
              <w:rPr>
                <w:i/>
                <w:iCs/>
              </w:rPr>
              <w:t>spŕ̥dha</w:t>
            </w:r>
            <w:r>
              <w:rPr>
                <w:i/>
                <w:iCs/>
              </w:rPr>
              <w:t>ḥ</w:t>
            </w:r>
          </w:p>
        </w:tc>
        <w:tc>
          <w:tcPr>
            <w:tcW w:w="645" w:type="dxa"/>
            <w:tcBorders>
              <w:left w:val="single" w:sz="2" w:space="0" w:color="000000"/>
              <w:bottom w:val="single" w:sz="2" w:space="0" w:color="000000"/>
            </w:tcBorders>
          </w:tcPr>
          <w:p w14:paraId="0B38357B" w14:textId="77777777" w:rsidR="00E53EB6" w:rsidRDefault="006500F5">
            <w:pPr>
              <w:pStyle w:val="TableContents"/>
            </w:pPr>
            <w:r>
              <w:t>1</w:t>
            </w:r>
          </w:p>
        </w:tc>
        <w:tc>
          <w:tcPr>
            <w:tcW w:w="1364" w:type="dxa"/>
            <w:tcBorders>
              <w:left w:val="single" w:sz="2" w:space="0" w:color="000000"/>
              <w:bottom w:val="single" w:sz="2" w:space="0" w:color="000000"/>
            </w:tcBorders>
          </w:tcPr>
          <w:p w14:paraId="066872F9" w14:textId="77777777" w:rsidR="00E53EB6" w:rsidRDefault="006500F5">
            <w:pPr>
              <w:pStyle w:val="TableContents"/>
            </w:pPr>
            <w:r>
              <w:t>6.20.9</w:t>
            </w:r>
          </w:p>
        </w:tc>
        <w:tc>
          <w:tcPr>
            <w:tcW w:w="2118" w:type="dxa"/>
            <w:tcBorders>
              <w:left w:val="single" w:sz="2" w:space="0" w:color="000000"/>
              <w:bottom w:val="single" w:sz="2" w:space="0" w:color="000000"/>
            </w:tcBorders>
          </w:tcPr>
          <w:p w14:paraId="700F7247" w14:textId="77777777" w:rsidR="00E53EB6" w:rsidRDefault="006500F5">
            <w:pPr>
              <w:pStyle w:val="TableContents"/>
              <w:rPr>
                <w:i/>
                <w:iCs/>
              </w:rPr>
            </w:pPr>
            <w:r>
              <w:rPr>
                <w:i/>
                <w:iCs/>
              </w:rPr>
              <w:t>vanate</w:t>
            </w:r>
          </w:p>
        </w:tc>
        <w:tc>
          <w:tcPr>
            <w:tcW w:w="3089" w:type="dxa"/>
            <w:tcBorders>
              <w:left w:val="single" w:sz="2" w:space="0" w:color="000000"/>
              <w:bottom w:val="single" w:sz="2" w:space="0" w:color="000000"/>
              <w:right w:val="single" w:sz="2" w:space="0" w:color="000000"/>
            </w:tcBorders>
          </w:tcPr>
          <w:p w14:paraId="1B9FF3FF" w14:textId="77777777" w:rsidR="00E53EB6" w:rsidRDefault="006500F5">
            <w:pPr>
              <w:pStyle w:val="TableContents"/>
            </w:pPr>
            <w:r>
              <w:t>Indra</w:t>
            </w:r>
          </w:p>
        </w:tc>
      </w:tr>
    </w:tbl>
    <w:p w14:paraId="23A44508" w14:textId="77777777" w:rsidR="00E53EB6" w:rsidRDefault="00E53EB6">
      <w:pPr>
        <w:pStyle w:val="HaupttextohneEinzug"/>
        <w:rPr>
          <w:szCs w:val="21"/>
          <w:lang w:bidi="it-IT"/>
        </w:rPr>
      </w:pPr>
    </w:p>
    <w:p w14:paraId="6FF90338" w14:textId="77777777" w:rsidR="00E53EB6" w:rsidRDefault="00E53EB6">
      <w:pPr>
        <w:pStyle w:val="HaupttextohneEinzug"/>
        <w:rPr>
          <w:sz w:val="24"/>
          <w:szCs w:val="24"/>
          <w:lang w:bidi="it-IT"/>
        </w:rPr>
      </w:pPr>
    </w:p>
    <w:p w14:paraId="3EFD67D7" w14:textId="77777777" w:rsidR="00E53EB6" w:rsidRDefault="00E53EB6">
      <w:pPr>
        <w:pStyle w:val="HaupttextohneEinzug"/>
      </w:pPr>
    </w:p>
    <w:p w14:paraId="1A857D8C" w14:textId="77777777" w:rsidR="00E53EB6" w:rsidRDefault="006500F5">
      <w:pPr>
        <w:pStyle w:val="HaupttextohneEinzug"/>
      </w:pPr>
      <w:r>
        <w:t xml:space="preserve">d2- </w:t>
      </w:r>
      <w:r>
        <w:t>“results” of the sacrifice or metaphor for oblation</w:t>
      </w:r>
    </w:p>
    <w:p w14:paraId="0E2E208E" w14:textId="77777777" w:rsidR="00E53EB6" w:rsidRDefault="00E53EB6">
      <w:pPr>
        <w:pStyle w:val="HaupttextohneEinzug"/>
      </w:pPr>
    </w:p>
    <w:tbl>
      <w:tblPr>
        <w:tblW w:w="8792" w:type="dxa"/>
        <w:tblLayout w:type="fixed"/>
        <w:tblCellMar>
          <w:top w:w="55" w:type="dxa"/>
          <w:left w:w="55" w:type="dxa"/>
          <w:bottom w:w="55" w:type="dxa"/>
          <w:right w:w="55" w:type="dxa"/>
        </w:tblCellMar>
        <w:tblLook w:val="04A0" w:firstRow="1" w:lastRow="0" w:firstColumn="1" w:lastColumn="0" w:noHBand="0" w:noVBand="1"/>
      </w:tblPr>
      <w:tblGrid>
        <w:gridCol w:w="1576"/>
        <w:gridCol w:w="630"/>
        <w:gridCol w:w="1381"/>
        <w:gridCol w:w="2116"/>
        <w:gridCol w:w="3089"/>
      </w:tblGrid>
      <w:tr w:rsidR="00E53EB6" w14:paraId="4BF54262" w14:textId="77777777">
        <w:tc>
          <w:tcPr>
            <w:tcW w:w="1576" w:type="dxa"/>
            <w:tcBorders>
              <w:top w:val="single" w:sz="2" w:space="0" w:color="000000"/>
              <w:left w:val="single" w:sz="2" w:space="0" w:color="000000"/>
              <w:bottom w:val="single" w:sz="2" w:space="0" w:color="000000"/>
            </w:tcBorders>
          </w:tcPr>
          <w:p w14:paraId="1AA3A002" w14:textId="77777777" w:rsidR="00E53EB6" w:rsidRDefault="006500F5">
            <w:pPr>
              <w:pStyle w:val="TableContents"/>
            </w:pPr>
            <w:r>
              <w:t>object</w:t>
            </w:r>
          </w:p>
        </w:tc>
        <w:tc>
          <w:tcPr>
            <w:tcW w:w="630" w:type="dxa"/>
            <w:tcBorders>
              <w:top w:val="single" w:sz="2" w:space="0" w:color="000000"/>
              <w:left w:val="single" w:sz="2" w:space="0" w:color="000000"/>
              <w:bottom w:val="single" w:sz="2" w:space="0" w:color="000000"/>
            </w:tcBorders>
          </w:tcPr>
          <w:p w14:paraId="123E3DF4" w14:textId="77777777" w:rsidR="00E53EB6" w:rsidRDefault="006500F5">
            <w:pPr>
              <w:pStyle w:val="TableContents"/>
            </w:pPr>
            <w:r>
              <w:t>Q.</w:t>
            </w:r>
          </w:p>
        </w:tc>
        <w:tc>
          <w:tcPr>
            <w:tcW w:w="1381" w:type="dxa"/>
            <w:tcBorders>
              <w:top w:val="single" w:sz="2" w:space="0" w:color="000000"/>
              <w:left w:val="single" w:sz="2" w:space="0" w:color="000000"/>
              <w:bottom w:val="single" w:sz="2" w:space="0" w:color="000000"/>
            </w:tcBorders>
          </w:tcPr>
          <w:p w14:paraId="78DB6938" w14:textId="77777777" w:rsidR="00E53EB6" w:rsidRDefault="006500F5">
            <w:pPr>
              <w:pStyle w:val="TableContents"/>
            </w:pPr>
            <w:r>
              <w:t>occurrences</w:t>
            </w:r>
          </w:p>
        </w:tc>
        <w:tc>
          <w:tcPr>
            <w:tcW w:w="2116" w:type="dxa"/>
            <w:tcBorders>
              <w:top w:val="single" w:sz="2" w:space="0" w:color="000000"/>
              <w:left w:val="single" w:sz="2" w:space="0" w:color="000000"/>
              <w:bottom w:val="single" w:sz="2" w:space="0" w:color="000000"/>
            </w:tcBorders>
          </w:tcPr>
          <w:p w14:paraId="1460704C" w14:textId="77777777" w:rsidR="00E53EB6" w:rsidRDefault="006500F5">
            <w:pPr>
              <w:pStyle w:val="TableContents"/>
              <w:rPr>
                <w:i/>
                <w:iCs/>
              </w:rPr>
            </w:pPr>
            <w:r>
              <w:rPr>
                <w:i/>
                <w:iCs/>
              </w:rPr>
              <w:t>van- / van</w:t>
            </w:r>
            <w:r>
              <w:rPr>
                <w:i/>
                <w:iCs/>
                <w:vertAlign w:val="superscript"/>
              </w:rPr>
              <w:t>i</w:t>
            </w:r>
            <w:r>
              <w:rPr>
                <w:i/>
                <w:iCs/>
              </w:rPr>
              <w:t>-</w:t>
            </w:r>
          </w:p>
        </w:tc>
        <w:tc>
          <w:tcPr>
            <w:tcW w:w="3089" w:type="dxa"/>
            <w:tcBorders>
              <w:top w:val="single" w:sz="2" w:space="0" w:color="000000"/>
              <w:left w:val="single" w:sz="2" w:space="0" w:color="000000"/>
              <w:bottom w:val="single" w:sz="2" w:space="0" w:color="000000"/>
              <w:right w:val="single" w:sz="2" w:space="0" w:color="000000"/>
            </w:tcBorders>
          </w:tcPr>
          <w:p w14:paraId="52C0DD43" w14:textId="77777777" w:rsidR="00E53EB6" w:rsidRDefault="006500F5">
            <w:pPr>
              <w:pStyle w:val="TableContents"/>
            </w:pPr>
            <w:r>
              <w:t>subject / notes</w:t>
            </w:r>
          </w:p>
        </w:tc>
      </w:tr>
      <w:tr w:rsidR="00E53EB6" w14:paraId="6A96A756" w14:textId="77777777">
        <w:tc>
          <w:tcPr>
            <w:tcW w:w="1576" w:type="dxa"/>
            <w:tcBorders>
              <w:left w:val="single" w:sz="2" w:space="0" w:color="000000"/>
              <w:bottom w:val="single" w:sz="2" w:space="0" w:color="000000"/>
            </w:tcBorders>
          </w:tcPr>
          <w:p w14:paraId="1B008AC9" w14:textId="77777777" w:rsidR="00E53EB6" w:rsidRDefault="006500F5">
            <w:pPr>
              <w:pStyle w:val="TableContents"/>
              <w:rPr>
                <w:i/>
                <w:iCs/>
              </w:rPr>
            </w:pPr>
            <w:r>
              <w:rPr>
                <w:i/>
                <w:iCs/>
              </w:rPr>
              <w:t>ávas</w:t>
            </w:r>
          </w:p>
        </w:tc>
        <w:tc>
          <w:tcPr>
            <w:tcW w:w="630" w:type="dxa"/>
            <w:tcBorders>
              <w:left w:val="single" w:sz="2" w:space="0" w:color="000000"/>
              <w:bottom w:val="single" w:sz="2" w:space="0" w:color="000000"/>
            </w:tcBorders>
          </w:tcPr>
          <w:p w14:paraId="7ED90B0C" w14:textId="77777777" w:rsidR="00E53EB6" w:rsidRDefault="006500F5">
            <w:pPr>
              <w:pStyle w:val="TableContents"/>
            </w:pPr>
            <w:r>
              <w:t>1</w:t>
            </w:r>
          </w:p>
        </w:tc>
        <w:tc>
          <w:tcPr>
            <w:tcW w:w="1381" w:type="dxa"/>
            <w:tcBorders>
              <w:left w:val="single" w:sz="2" w:space="0" w:color="000000"/>
              <w:bottom w:val="single" w:sz="2" w:space="0" w:color="000000"/>
            </w:tcBorders>
          </w:tcPr>
          <w:p w14:paraId="6789B6E1" w14:textId="77777777" w:rsidR="00E53EB6" w:rsidRDefault="006500F5">
            <w:pPr>
              <w:pStyle w:val="TableContents"/>
            </w:pPr>
            <w:r>
              <w:t>7.88.7</w:t>
            </w:r>
          </w:p>
        </w:tc>
        <w:tc>
          <w:tcPr>
            <w:tcW w:w="2116" w:type="dxa"/>
            <w:tcBorders>
              <w:left w:val="single" w:sz="2" w:space="0" w:color="000000"/>
              <w:bottom w:val="single" w:sz="2" w:space="0" w:color="000000"/>
            </w:tcBorders>
          </w:tcPr>
          <w:p w14:paraId="2939C8C1" w14:textId="77777777" w:rsidR="00E53EB6" w:rsidRDefault="006500F5">
            <w:pPr>
              <w:pStyle w:val="TableContents"/>
              <w:rPr>
                <w:i/>
                <w:iCs/>
              </w:rPr>
            </w:pPr>
            <w:r>
              <w:rPr>
                <w:i/>
                <w:iCs/>
              </w:rPr>
              <w:t>vanvānā́</w:t>
            </w:r>
            <w:r>
              <w:rPr>
                <w:i/>
                <w:iCs/>
              </w:rPr>
              <w:t>ḥ</w:t>
            </w:r>
          </w:p>
        </w:tc>
        <w:tc>
          <w:tcPr>
            <w:tcW w:w="3089" w:type="dxa"/>
            <w:tcBorders>
              <w:left w:val="single" w:sz="2" w:space="0" w:color="000000"/>
              <w:bottom w:val="single" w:sz="2" w:space="0" w:color="000000"/>
              <w:right w:val="single" w:sz="2" w:space="0" w:color="000000"/>
            </w:tcBorders>
          </w:tcPr>
          <w:p w14:paraId="28D766FC" w14:textId="77777777" w:rsidR="00E53EB6" w:rsidRDefault="006500F5">
            <w:pPr>
              <w:pStyle w:val="TableContents"/>
            </w:pPr>
            <w:r>
              <w:t>Ø</w:t>
            </w:r>
          </w:p>
        </w:tc>
      </w:tr>
      <w:tr w:rsidR="00E53EB6" w:rsidRPr="0071345C" w14:paraId="77D8AC92" w14:textId="77777777">
        <w:tc>
          <w:tcPr>
            <w:tcW w:w="1576" w:type="dxa"/>
            <w:tcBorders>
              <w:left w:val="single" w:sz="2" w:space="0" w:color="000000"/>
              <w:bottom w:val="single" w:sz="2" w:space="0" w:color="000000"/>
            </w:tcBorders>
          </w:tcPr>
          <w:p w14:paraId="309E8D9F" w14:textId="77777777" w:rsidR="00E53EB6" w:rsidRDefault="006500F5">
            <w:pPr>
              <w:pStyle w:val="TableContents"/>
              <w:rPr>
                <w:i/>
                <w:iCs/>
              </w:rPr>
            </w:pPr>
            <w:r>
              <w:rPr>
                <w:i/>
                <w:iCs/>
              </w:rPr>
              <w:t>tát</w:t>
            </w:r>
          </w:p>
        </w:tc>
        <w:tc>
          <w:tcPr>
            <w:tcW w:w="630" w:type="dxa"/>
            <w:tcBorders>
              <w:left w:val="single" w:sz="2" w:space="0" w:color="000000"/>
              <w:bottom w:val="single" w:sz="2" w:space="0" w:color="000000"/>
            </w:tcBorders>
          </w:tcPr>
          <w:p w14:paraId="4DABDE82" w14:textId="77777777" w:rsidR="00E53EB6" w:rsidRDefault="006500F5">
            <w:pPr>
              <w:pStyle w:val="TableContents"/>
            </w:pPr>
            <w:r>
              <w:t>1</w:t>
            </w:r>
          </w:p>
        </w:tc>
        <w:tc>
          <w:tcPr>
            <w:tcW w:w="1381" w:type="dxa"/>
            <w:tcBorders>
              <w:left w:val="single" w:sz="2" w:space="0" w:color="000000"/>
              <w:bottom w:val="single" w:sz="2" w:space="0" w:color="000000"/>
            </w:tcBorders>
          </w:tcPr>
          <w:p w14:paraId="55840195" w14:textId="77777777" w:rsidR="00E53EB6" w:rsidRDefault="006500F5">
            <w:pPr>
              <w:pStyle w:val="TableContents"/>
            </w:pPr>
            <w:r>
              <w:t>8.92.31</w:t>
            </w:r>
          </w:p>
        </w:tc>
        <w:tc>
          <w:tcPr>
            <w:tcW w:w="2116" w:type="dxa"/>
            <w:tcBorders>
              <w:left w:val="single" w:sz="2" w:space="0" w:color="000000"/>
              <w:bottom w:val="single" w:sz="2" w:space="0" w:color="000000"/>
            </w:tcBorders>
          </w:tcPr>
          <w:p w14:paraId="443DA199" w14:textId="77777777" w:rsidR="00E53EB6" w:rsidRDefault="006500F5">
            <w:pPr>
              <w:pStyle w:val="TableContents"/>
              <w:rPr>
                <w:i/>
                <w:iCs/>
              </w:rPr>
            </w:pPr>
            <w:r>
              <w:rPr>
                <w:i/>
                <w:iCs/>
              </w:rPr>
              <w:t>vanema</w:t>
            </w:r>
          </w:p>
        </w:tc>
        <w:tc>
          <w:tcPr>
            <w:tcW w:w="3089" w:type="dxa"/>
            <w:tcBorders>
              <w:left w:val="single" w:sz="2" w:space="0" w:color="000000"/>
              <w:bottom w:val="single" w:sz="2" w:space="0" w:color="000000"/>
              <w:right w:val="single" w:sz="2" w:space="0" w:color="000000"/>
            </w:tcBorders>
          </w:tcPr>
          <w:p w14:paraId="0B6D36B6" w14:textId="77777777" w:rsidR="00E53EB6" w:rsidRDefault="006500F5">
            <w:pPr>
              <w:pStyle w:val="TableContents"/>
            </w:pPr>
            <w:r>
              <w:t>Ø (</w:t>
            </w:r>
            <w:r>
              <w:rPr>
                <w:i/>
                <w:iCs/>
              </w:rPr>
              <w:t>tát</w:t>
            </w:r>
            <w:r>
              <w:t xml:space="preserve"> i.e. the absence of threat)</w:t>
            </w:r>
          </w:p>
        </w:tc>
      </w:tr>
      <w:tr w:rsidR="00E53EB6" w:rsidRPr="0071345C" w14:paraId="5781E57F" w14:textId="77777777">
        <w:tc>
          <w:tcPr>
            <w:tcW w:w="1576" w:type="dxa"/>
            <w:tcBorders>
              <w:left w:val="single" w:sz="2" w:space="0" w:color="000000"/>
              <w:bottom w:val="single" w:sz="2" w:space="0" w:color="000000"/>
            </w:tcBorders>
          </w:tcPr>
          <w:p w14:paraId="4E614FAE" w14:textId="77777777" w:rsidR="00E53EB6" w:rsidRDefault="006500F5">
            <w:pPr>
              <w:pStyle w:val="TableContents"/>
              <w:rPr>
                <w:i/>
                <w:iCs/>
              </w:rPr>
            </w:pPr>
            <w:r>
              <w:rPr>
                <w:i/>
                <w:iCs/>
              </w:rPr>
              <w:t>*maghám</w:t>
            </w:r>
          </w:p>
          <w:p w14:paraId="063A9CC2" w14:textId="77777777" w:rsidR="00E53EB6" w:rsidRDefault="006500F5">
            <w:pPr>
              <w:pStyle w:val="TableContents"/>
              <w:rPr>
                <w:i/>
                <w:iCs/>
              </w:rPr>
            </w:pPr>
            <w:r>
              <w:rPr>
                <w:i/>
                <w:iCs/>
              </w:rPr>
              <w:t>maghā́ni</w:t>
            </w:r>
          </w:p>
        </w:tc>
        <w:tc>
          <w:tcPr>
            <w:tcW w:w="630" w:type="dxa"/>
            <w:tcBorders>
              <w:left w:val="single" w:sz="2" w:space="0" w:color="000000"/>
              <w:bottom w:val="single" w:sz="2" w:space="0" w:color="000000"/>
            </w:tcBorders>
          </w:tcPr>
          <w:p w14:paraId="119C6A17" w14:textId="77777777" w:rsidR="00E53EB6" w:rsidRDefault="006500F5">
            <w:pPr>
              <w:pStyle w:val="TableContents"/>
            </w:pPr>
            <w:r>
              <w:t>2</w:t>
            </w:r>
          </w:p>
        </w:tc>
        <w:tc>
          <w:tcPr>
            <w:tcW w:w="1381" w:type="dxa"/>
            <w:tcBorders>
              <w:left w:val="single" w:sz="2" w:space="0" w:color="000000"/>
              <w:bottom w:val="single" w:sz="2" w:space="0" w:color="000000"/>
            </w:tcBorders>
          </w:tcPr>
          <w:p w14:paraId="389E9CE4" w14:textId="77777777" w:rsidR="00E53EB6" w:rsidRDefault="006500F5">
            <w:pPr>
              <w:pStyle w:val="TableContents"/>
            </w:pPr>
            <w:r>
              <w:t>3.13.3</w:t>
            </w:r>
          </w:p>
          <w:p w14:paraId="37F5BAEF" w14:textId="77777777" w:rsidR="00E53EB6" w:rsidRDefault="006500F5">
            <w:pPr>
              <w:pStyle w:val="TableContents"/>
            </w:pPr>
            <w:r>
              <w:t>3.19.1</w:t>
            </w:r>
          </w:p>
        </w:tc>
        <w:tc>
          <w:tcPr>
            <w:tcW w:w="2116" w:type="dxa"/>
            <w:tcBorders>
              <w:left w:val="single" w:sz="2" w:space="0" w:color="000000"/>
              <w:bottom w:val="single" w:sz="2" w:space="0" w:color="000000"/>
            </w:tcBorders>
          </w:tcPr>
          <w:p w14:paraId="69113013" w14:textId="77777777" w:rsidR="00E53EB6" w:rsidRDefault="006500F5">
            <w:pPr>
              <w:pStyle w:val="TableContents"/>
              <w:rPr>
                <w:i/>
                <w:iCs/>
              </w:rPr>
            </w:pPr>
            <w:r>
              <w:rPr>
                <w:i/>
                <w:iCs/>
              </w:rPr>
              <w:t>vánitā</w:t>
            </w:r>
          </w:p>
          <w:p w14:paraId="536E2D28" w14:textId="77777777" w:rsidR="00E53EB6" w:rsidRDefault="006500F5">
            <w:pPr>
              <w:pStyle w:val="TableContents"/>
              <w:rPr>
                <w:i/>
                <w:iCs/>
              </w:rPr>
            </w:pPr>
            <w:r>
              <w:rPr>
                <w:i/>
                <w:iCs/>
              </w:rPr>
              <w:t>vanate</w:t>
            </w:r>
          </w:p>
        </w:tc>
        <w:tc>
          <w:tcPr>
            <w:tcW w:w="3089" w:type="dxa"/>
            <w:tcBorders>
              <w:left w:val="single" w:sz="2" w:space="0" w:color="000000"/>
              <w:bottom w:val="single" w:sz="2" w:space="0" w:color="000000"/>
              <w:right w:val="single" w:sz="2" w:space="0" w:color="000000"/>
            </w:tcBorders>
          </w:tcPr>
          <w:p w14:paraId="44C732B8" w14:textId="77777777" w:rsidR="00E53EB6" w:rsidRDefault="006500F5">
            <w:pPr>
              <w:pStyle w:val="TableContents"/>
            </w:pPr>
            <w:r>
              <w:t xml:space="preserve">Agni (as </w:t>
            </w:r>
            <w:r>
              <w:t>oblation)</w:t>
            </w:r>
          </w:p>
          <w:p w14:paraId="28F198DC" w14:textId="77777777" w:rsidR="00E53EB6" w:rsidRDefault="006500F5">
            <w:pPr>
              <w:pStyle w:val="TableContents"/>
            </w:pPr>
            <w:r>
              <w:t>Agni (for the man)</w:t>
            </w:r>
          </w:p>
        </w:tc>
      </w:tr>
      <w:tr w:rsidR="00E53EB6" w14:paraId="22882189" w14:textId="77777777">
        <w:tc>
          <w:tcPr>
            <w:tcW w:w="1576" w:type="dxa"/>
            <w:tcBorders>
              <w:left w:val="single" w:sz="2" w:space="0" w:color="000000"/>
              <w:bottom w:val="single" w:sz="2" w:space="0" w:color="000000"/>
            </w:tcBorders>
          </w:tcPr>
          <w:p w14:paraId="2D4E0E1B" w14:textId="77777777" w:rsidR="00E53EB6" w:rsidRDefault="006500F5">
            <w:pPr>
              <w:pStyle w:val="TableContents"/>
              <w:rPr>
                <w:i/>
                <w:iCs/>
              </w:rPr>
            </w:pPr>
            <w:r>
              <w:rPr>
                <w:i/>
                <w:iCs/>
              </w:rPr>
              <w:t>mahitvám</w:t>
            </w:r>
          </w:p>
        </w:tc>
        <w:tc>
          <w:tcPr>
            <w:tcW w:w="630" w:type="dxa"/>
            <w:tcBorders>
              <w:left w:val="single" w:sz="2" w:space="0" w:color="000000"/>
              <w:bottom w:val="single" w:sz="2" w:space="0" w:color="000000"/>
            </w:tcBorders>
          </w:tcPr>
          <w:p w14:paraId="267FFAE6" w14:textId="77777777" w:rsidR="00E53EB6" w:rsidRDefault="006500F5">
            <w:pPr>
              <w:pStyle w:val="TableContents"/>
            </w:pPr>
            <w:r>
              <w:t>1</w:t>
            </w:r>
          </w:p>
        </w:tc>
        <w:tc>
          <w:tcPr>
            <w:tcW w:w="1381" w:type="dxa"/>
            <w:tcBorders>
              <w:left w:val="single" w:sz="2" w:space="0" w:color="000000"/>
              <w:bottom w:val="single" w:sz="2" w:space="0" w:color="000000"/>
            </w:tcBorders>
          </w:tcPr>
          <w:p w14:paraId="16C92246" w14:textId="77777777" w:rsidR="00E53EB6" w:rsidRDefault="006500F5">
            <w:pPr>
              <w:pStyle w:val="TableContents"/>
            </w:pPr>
            <w:r>
              <w:t>10.26.2</w:t>
            </w:r>
          </w:p>
        </w:tc>
        <w:tc>
          <w:tcPr>
            <w:tcW w:w="2116" w:type="dxa"/>
            <w:tcBorders>
              <w:left w:val="single" w:sz="2" w:space="0" w:color="000000"/>
              <w:bottom w:val="single" w:sz="2" w:space="0" w:color="000000"/>
            </w:tcBorders>
          </w:tcPr>
          <w:p w14:paraId="3D348D4E" w14:textId="77777777" w:rsidR="00E53EB6" w:rsidRDefault="006500F5">
            <w:pPr>
              <w:pStyle w:val="TableContents"/>
              <w:rPr>
                <w:i/>
                <w:iCs/>
              </w:rPr>
            </w:pPr>
            <w:r>
              <w:rPr>
                <w:i/>
                <w:iCs/>
              </w:rPr>
              <w:t>ā́ va</w:t>
            </w:r>
            <w:r>
              <w:rPr>
                <w:i/>
                <w:iCs/>
              </w:rPr>
              <w:t>ṃ</w:t>
            </w:r>
            <w:r>
              <w:rPr>
                <w:i/>
                <w:iCs/>
              </w:rPr>
              <w:t>sad</w:t>
            </w:r>
          </w:p>
        </w:tc>
        <w:tc>
          <w:tcPr>
            <w:tcW w:w="3089" w:type="dxa"/>
            <w:tcBorders>
              <w:left w:val="single" w:sz="2" w:space="0" w:color="000000"/>
              <w:bottom w:val="single" w:sz="2" w:space="0" w:color="000000"/>
              <w:right w:val="single" w:sz="2" w:space="0" w:color="000000"/>
            </w:tcBorders>
          </w:tcPr>
          <w:p w14:paraId="241DB3D1" w14:textId="77777777" w:rsidR="00E53EB6" w:rsidRDefault="006500F5">
            <w:pPr>
              <w:pStyle w:val="TableContents"/>
              <w:rPr>
                <w:i/>
                <w:iCs/>
              </w:rPr>
            </w:pPr>
            <w:r>
              <w:rPr>
                <w:i/>
                <w:iCs/>
              </w:rPr>
              <w:t>jána</w:t>
            </w:r>
            <w:r>
              <w:rPr>
                <w:i/>
                <w:iCs/>
              </w:rPr>
              <w:t>ḥ</w:t>
            </w:r>
          </w:p>
        </w:tc>
      </w:tr>
      <w:tr w:rsidR="00E53EB6" w14:paraId="2F9179BC" w14:textId="77777777">
        <w:tc>
          <w:tcPr>
            <w:tcW w:w="1576" w:type="dxa"/>
            <w:tcBorders>
              <w:left w:val="single" w:sz="2" w:space="0" w:color="000000"/>
              <w:bottom w:val="single" w:sz="2" w:space="0" w:color="000000"/>
            </w:tcBorders>
          </w:tcPr>
          <w:p w14:paraId="5B7B389E" w14:textId="77777777" w:rsidR="00E53EB6" w:rsidRDefault="006500F5">
            <w:pPr>
              <w:pStyle w:val="TableContents"/>
              <w:rPr>
                <w:i/>
                <w:iCs/>
              </w:rPr>
            </w:pPr>
            <w:r>
              <w:rPr>
                <w:i/>
                <w:iCs/>
              </w:rPr>
              <w:t>*rátnam</w:t>
            </w:r>
          </w:p>
        </w:tc>
        <w:tc>
          <w:tcPr>
            <w:tcW w:w="630" w:type="dxa"/>
            <w:tcBorders>
              <w:left w:val="single" w:sz="2" w:space="0" w:color="000000"/>
              <w:bottom w:val="single" w:sz="2" w:space="0" w:color="000000"/>
            </w:tcBorders>
          </w:tcPr>
          <w:p w14:paraId="2137F9EA" w14:textId="77777777" w:rsidR="00E53EB6" w:rsidRDefault="006500F5">
            <w:pPr>
              <w:pStyle w:val="TableContents"/>
            </w:pPr>
            <w:r>
              <w:t>1</w:t>
            </w:r>
          </w:p>
        </w:tc>
        <w:tc>
          <w:tcPr>
            <w:tcW w:w="1381" w:type="dxa"/>
            <w:tcBorders>
              <w:left w:val="single" w:sz="2" w:space="0" w:color="000000"/>
              <w:bottom w:val="single" w:sz="2" w:space="0" w:color="000000"/>
            </w:tcBorders>
          </w:tcPr>
          <w:p w14:paraId="7B7B4ACA" w14:textId="77777777" w:rsidR="00E53EB6" w:rsidRDefault="006500F5">
            <w:pPr>
              <w:pStyle w:val="TableContents"/>
            </w:pPr>
            <w:r>
              <w:t>1.140.11</w:t>
            </w:r>
          </w:p>
        </w:tc>
        <w:tc>
          <w:tcPr>
            <w:tcW w:w="2116" w:type="dxa"/>
            <w:tcBorders>
              <w:left w:val="single" w:sz="2" w:space="0" w:color="000000"/>
              <w:bottom w:val="single" w:sz="2" w:space="0" w:color="000000"/>
            </w:tcBorders>
          </w:tcPr>
          <w:p w14:paraId="43F11DD8" w14:textId="77777777" w:rsidR="00E53EB6" w:rsidRDefault="006500F5">
            <w:pPr>
              <w:pStyle w:val="TableContents"/>
              <w:rPr>
                <w:i/>
                <w:iCs/>
              </w:rPr>
            </w:pPr>
            <w:r>
              <w:rPr>
                <w:i/>
                <w:iCs/>
              </w:rPr>
              <w:t>vanase</w:t>
            </w:r>
          </w:p>
        </w:tc>
        <w:tc>
          <w:tcPr>
            <w:tcW w:w="3089" w:type="dxa"/>
            <w:tcBorders>
              <w:left w:val="single" w:sz="2" w:space="0" w:color="000000"/>
              <w:bottom w:val="single" w:sz="2" w:space="0" w:color="000000"/>
              <w:right w:val="single" w:sz="2" w:space="0" w:color="000000"/>
            </w:tcBorders>
          </w:tcPr>
          <w:p w14:paraId="1412C80E" w14:textId="77777777" w:rsidR="00E53EB6" w:rsidRDefault="006500F5">
            <w:pPr>
              <w:pStyle w:val="TableContents"/>
            </w:pPr>
            <w:r>
              <w:t xml:space="preserve">Agni </w:t>
            </w:r>
          </w:p>
        </w:tc>
      </w:tr>
      <w:tr w:rsidR="00E53EB6" w14:paraId="01BCD560" w14:textId="77777777">
        <w:tc>
          <w:tcPr>
            <w:tcW w:w="1576" w:type="dxa"/>
            <w:tcBorders>
              <w:left w:val="single" w:sz="2" w:space="0" w:color="000000"/>
              <w:bottom w:val="single" w:sz="2" w:space="0" w:color="000000"/>
            </w:tcBorders>
          </w:tcPr>
          <w:p w14:paraId="7AF7E10F" w14:textId="77777777" w:rsidR="00E53EB6" w:rsidRDefault="006500F5">
            <w:pPr>
              <w:pStyle w:val="TableContents"/>
              <w:rPr>
                <w:i/>
                <w:iCs/>
              </w:rPr>
            </w:pPr>
            <w:r>
              <w:rPr>
                <w:i/>
                <w:iCs/>
              </w:rPr>
              <w:t>rék</w:t>
            </w:r>
            <w:r>
              <w:rPr>
                <w:i/>
                <w:iCs/>
              </w:rPr>
              <w:t>ṇ</w:t>
            </w:r>
            <w:r>
              <w:rPr>
                <w:i/>
                <w:iCs/>
              </w:rPr>
              <w:t>a</w:t>
            </w:r>
            <w:r>
              <w:rPr>
                <w:i/>
                <w:iCs/>
              </w:rPr>
              <w:t>ḥ</w:t>
            </w:r>
          </w:p>
        </w:tc>
        <w:tc>
          <w:tcPr>
            <w:tcW w:w="630" w:type="dxa"/>
            <w:tcBorders>
              <w:left w:val="single" w:sz="2" w:space="0" w:color="000000"/>
              <w:bottom w:val="single" w:sz="2" w:space="0" w:color="000000"/>
            </w:tcBorders>
          </w:tcPr>
          <w:p w14:paraId="1281EC65" w14:textId="77777777" w:rsidR="00E53EB6" w:rsidRDefault="006500F5">
            <w:pPr>
              <w:pStyle w:val="TableContents"/>
            </w:pPr>
            <w:r>
              <w:t>1</w:t>
            </w:r>
          </w:p>
        </w:tc>
        <w:tc>
          <w:tcPr>
            <w:tcW w:w="1381" w:type="dxa"/>
            <w:tcBorders>
              <w:left w:val="single" w:sz="2" w:space="0" w:color="000000"/>
              <w:bottom w:val="single" w:sz="2" w:space="0" w:color="000000"/>
            </w:tcBorders>
          </w:tcPr>
          <w:p w14:paraId="1D56A08E" w14:textId="77777777" w:rsidR="00E53EB6" w:rsidRDefault="006500F5">
            <w:pPr>
              <w:pStyle w:val="TableContents"/>
            </w:pPr>
            <w:r>
              <w:t>1.13.14</w:t>
            </w:r>
          </w:p>
        </w:tc>
        <w:tc>
          <w:tcPr>
            <w:tcW w:w="2116" w:type="dxa"/>
            <w:tcBorders>
              <w:left w:val="single" w:sz="2" w:space="0" w:color="000000"/>
              <w:bottom w:val="single" w:sz="2" w:space="0" w:color="000000"/>
            </w:tcBorders>
          </w:tcPr>
          <w:p w14:paraId="1F5A3477" w14:textId="77777777" w:rsidR="00E53EB6" w:rsidRDefault="006500F5">
            <w:pPr>
              <w:pStyle w:val="TableContents"/>
            </w:pPr>
            <w:r>
              <w:rPr>
                <w:i/>
                <w:iCs/>
              </w:rPr>
              <w:t>vanó</w:t>
            </w:r>
            <w:r>
              <w:rPr>
                <w:i/>
                <w:iCs/>
              </w:rPr>
              <w:t>ṣ</w:t>
            </w:r>
            <w:r>
              <w:rPr>
                <w:i/>
                <w:iCs/>
              </w:rPr>
              <w:t>i (</w:t>
            </w:r>
            <w:r>
              <w:rPr>
                <w:rFonts w:eastAsia="Arial Unicode MS" w:cs="Times Ext Roman"/>
                <w:i/>
                <w:iCs/>
                <w:color w:val="000000"/>
                <w:szCs w:val="21"/>
                <w:lang w:val="it-IT" w:eastAsia="it-IT" w:bidi="it-IT"/>
              </w:rPr>
              <w:t>vāgháte)</w:t>
            </w:r>
          </w:p>
        </w:tc>
        <w:tc>
          <w:tcPr>
            <w:tcW w:w="3089" w:type="dxa"/>
            <w:tcBorders>
              <w:left w:val="single" w:sz="2" w:space="0" w:color="000000"/>
              <w:bottom w:val="single" w:sz="2" w:space="0" w:color="000000"/>
              <w:right w:val="single" w:sz="2" w:space="0" w:color="000000"/>
            </w:tcBorders>
          </w:tcPr>
          <w:p w14:paraId="629B7AA4" w14:textId="77777777" w:rsidR="00E53EB6" w:rsidRDefault="006500F5">
            <w:pPr>
              <w:pStyle w:val="TableContents"/>
            </w:pPr>
            <w:r>
              <w:t xml:space="preserve">Agni </w:t>
            </w:r>
          </w:p>
        </w:tc>
      </w:tr>
      <w:tr w:rsidR="00E53EB6" w14:paraId="4625ED31" w14:textId="77777777">
        <w:tc>
          <w:tcPr>
            <w:tcW w:w="1576" w:type="dxa"/>
            <w:tcBorders>
              <w:left w:val="single" w:sz="2" w:space="0" w:color="000000"/>
              <w:bottom w:val="single" w:sz="2" w:space="0" w:color="000000"/>
            </w:tcBorders>
          </w:tcPr>
          <w:p w14:paraId="445277A7" w14:textId="77777777" w:rsidR="00E53EB6" w:rsidRDefault="006500F5">
            <w:pPr>
              <w:pStyle w:val="TableContents"/>
              <w:rPr>
                <w:i/>
                <w:iCs/>
              </w:rPr>
            </w:pPr>
            <w:r>
              <w:rPr>
                <w:i/>
                <w:iCs/>
              </w:rPr>
              <w:t>*vā́jam</w:t>
            </w:r>
          </w:p>
          <w:p w14:paraId="2AC508DB" w14:textId="77777777" w:rsidR="00E53EB6" w:rsidRDefault="006500F5">
            <w:pPr>
              <w:pStyle w:val="TableContents"/>
              <w:rPr>
                <w:i/>
                <w:iCs/>
              </w:rPr>
            </w:pPr>
            <w:r>
              <w:rPr>
                <w:i/>
                <w:iCs/>
              </w:rPr>
              <w:t>vā́jā</w:t>
            </w:r>
          </w:p>
        </w:tc>
        <w:tc>
          <w:tcPr>
            <w:tcW w:w="630" w:type="dxa"/>
            <w:tcBorders>
              <w:left w:val="single" w:sz="2" w:space="0" w:color="000000"/>
              <w:bottom w:val="single" w:sz="2" w:space="0" w:color="000000"/>
            </w:tcBorders>
          </w:tcPr>
          <w:p w14:paraId="63F1731A" w14:textId="77777777" w:rsidR="00E53EB6" w:rsidRDefault="006500F5">
            <w:pPr>
              <w:pStyle w:val="TableContents"/>
            </w:pPr>
            <w:r>
              <w:t>2</w:t>
            </w:r>
          </w:p>
        </w:tc>
        <w:tc>
          <w:tcPr>
            <w:tcW w:w="1381" w:type="dxa"/>
            <w:tcBorders>
              <w:left w:val="single" w:sz="2" w:space="0" w:color="000000"/>
              <w:bottom w:val="single" w:sz="2" w:space="0" w:color="000000"/>
            </w:tcBorders>
          </w:tcPr>
          <w:p w14:paraId="40D99977" w14:textId="77777777" w:rsidR="00E53EB6" w:rsidRDefault="006500F5">
            <w:pPr>
              <w:pStyle w:val="TableContents"/>
            </w:pPr>
            <w:r>
              <w:t>1.48.11</w:t>
            </w:r>
          </w:p>
          <w:p w14:paraId="76E14F15" w14:textId="77777777" w:rsidR="00E53EB6" w:rsidRDefault="006500F5">
            <w:pPr>
              <w:pStyle w:val="TableContents"/>
            </w:pPr>
            <w:r>
              <w:t>6.48.4</w:t>
            </w:r>
          </w:p>
        </w:tc>
        <w:tc>
          <w:tcPr>
            <w:tcW w:w="2116" w:type="dxa"/>
            <w:tcBorders>
              <w:left w:val="single" w:sz="2" w:space="0" w:color="000000"/>
              <w:bottom w:val="single" w:sz="2" w:space="0" w:color="000000"/>
            </w:tcBorders>
          </w:tcPr>
          <w:p w14:paraId="3CA3C533" w14:textId="77777777" w:rsidR="00E53EB6" w:rsidRDefault="006500F5">
            <w:pPr>
              <w:pStyle w:val="TableContents"/>
              <w:rPr>
                <w:i/>
                <w:iCs/>
              </w:rPr>
            </w:pPr>
            <w:r>
              <w:rPr>
                <w:i/>
                <w:iCs/>
              </w:rPr>
              <w:t>vá</w:t>
            </w:r>
            <w:r>
              <w:rPr>
                <w:i/>
                <w:iCs/>
              </w:rPr>
              <w:t>ṃ</w:t>
            </w:r>
            <w:r>
              <w:rPr>
                <w:i/>
                <w:iCs/>
              </w:rPr>
              <w:t>sva</w:t>
            </w:r>
          </w:p>
          <w:p w14:paraId="71D11702" w14:textId="77777777" w:rsidR="00E53EB6" w:rsidRDefault="006500F5">
            <w:pPr>
              <w:pStyle w:val="TableContents"/>
              <w:rPr>
                <w:i/>
                <w:iCs/>
              </w:rPr>
            </w:pPr>
            <w:r>
              <w:rPr>
                <w:i/>
                <w:iCs/>
              </w:rPr>
              <w:t>va</w:t>
            </w:r>
            <w:r>
              <w:rPr>
                <w:i/>
                <w:iCs/>
              </w:rPr>
              <w:t>ṃ</w:t>
            </w:r>
            <w:r>
              <w:rPr>
                <w:i/>
                <w:iCs/>
              </w:rPr>
              <w:t>sva</w:t>
            </w:r>
          </w:p>
        </w:tc>
        <w:tc>
          <w:tcPr>
            <w:tcW w:w="3089" w:type="dxa"/>
            <w:tcBorders>
              <w:left w:val="single" w:sz="2" w:space="0" w:color="000000"/>
              <w:bottom w:val="single" w:sz="2" w:space="0" w:color="000000"/>
              <w:right w:val="single" w:sz="2" w:space="0" w:color="000000"/>
            </w:tcBorders>
          </w:tcPr>
          <w:p w14:paraId="7D6C8DA0" w14:textId="77777777" w:rsidR="00E53EB6" w:rsidRDefault="006500F5">
            <w:pPr>
              <w:pStyle w:val="TableContents"/>
            </w:pPr>
            <w:r>
              <w:t>U</w:t>
            </w:r>
            <w:r>
              <w:t>ṣ</w:t>
            </w:r>
            <w:r>
              <w:t>as</w:t>
            </w:r>
          </w:p>
          <w:p w14:paraId="48823487" w14:textId="77777777" w:rsidR="00E53EB6" w:rsidRDefault="006500F5">
            <w:pPr>
              <w:pStyle w:val="TableContents"/>
            </w:pPr>
            <w:r>
              <w:t>Agni</w:t>
            </w:r>
          </w:p>
        </w:tc>
      </w:tr>
      <w:tr w:rsidR="00E53EB6" w14:paraId="4484DE38" w14:textId="77777777">
        <w:tc>
          <w:tcPr>
            <w:tcW w:w="1576" w:type="dxa"/>
            <w:tcBorders>
              <w:left w:val="single" w:sz="2" w:space="0" w:color="000000"/>
              <w:bottom w:val="single" w:sz="2" w:space="0" w:color="000000"/>
            </w:tcBorders>
          </w:tcPr>
          <w:p w14:paraId="38095BF3" w14:textId="77777777" w:rsidR="00E53EB6" w:rsidRDefault="006500F5">
            <w:pPr>
              <w:pStyle w:val="TableContents"/>
              <w:rPr>
                <w:i/>
                <w:iCs/>
              </w:rPr>
            </w:pPr>
            <w:r>
              <w:rPr>
                <w:i/>
                <w:iCs/>
              </w:rPr>
              <w:t>sumatím</w:t>
            </w:r>
          </w:p>
        </w:tc>
        <w:tc>
          <w:tcPr>
            <w:tcW w:w="630" w:type="dxa"/>
            <w:tcBorders>
              <w:left w:val="single" w:sz="2" w:space="0" w:color="000000"/>
              <w:bottom w:val="single" w:sz="2" w:space="0" w:color="000000"/>
            </w:tcBorders>
          </w:tcPr>
          <w:p w14:paraId="5A194960" w14:textId="77777777" w:rsidR="00E53EB6" w:rsidRDefault="006500F5">
            <w:pPr>
              <w:pStyle w:val="TableContents"/>
            </w:pPr>
            <w:r>
              <w:t>1</w:t>
            </w:r>
          </w:p>
        </w:tc>
        <w:tc>
          <w:tcPr>
            <w:tcW w:w="1381" w:type="dxa"/>
            <w:tcBorders>
              <w:left w:val="single" w:sz="2" w:space="0" w:color="000000"/>
              <w:bottom w:val="single" w:sz="2" w:space="0" w:color="000000"/>
            </w:tcBorders>
          </w:tcPr>
          <w:p w14:paraId="1720C863" w14:textId="77777777" w:rsidR="00E53EB6" w:rsidRDefault="006500F5">
            <w:pPr>
              <w:pStyle w:val="TableContents"/>
            </w:pPr>
            <w:r>
              <w:t>5.70.1</w:t>
            </w:r>
          </w:p>
        </w:tc>
        <w:tc>
          <w:tcPr>
            <w:tcW w:w="2116" w:type="dxa"/>
            <w:tcBorders>
              <w:left w:val="single" w:sz="2" w:space="0" w:color="000000"/>
              <w:bottom w:val="single" w:sz="2" w:space="0" w:color="000000"/>
            </w:tcBorders>
          </w:tcPr>
          <w:p w14:paraId="5FB42FA4" w14:textId="77777777" w:rsidR="00E53EB6" w:rsidRDefault="006500F5">
            <w:pPr>
              <w:pStyle w:val="TableContents"/>
              <w:rPr>
                <w:i/>
                <w:iCs/>
              </w:rPr>
            </w:pPr>
            <w:r>
              <w:rPr>
                <w:i/>
                <w:iCs/>
              </w:rPr>
              <w:t>vá</w:t>
            </w:r>
            <w:r>
              <w:rPr>
                <w:i/>
                <w:iCs/>
              </w:rPr>
              <w:t>ṃ</w:t>
            </w:r>
            <w:r>
              <w:rPr>
                <w:i/>
                <w:iCs/>
              </w:rPr>
              <w:t>si</w:t>
            </w:r>
          </w:p>
        </w:tc>
        <w:tc>
          <w:tcPr>
            <w:tcW w:w="3089" w:type="dxa"/>
            <w:tcBorders>
              <w:left w:val="single" w:sz="2" w:space="0" w:color="000000"/>
              <w:bottom w:val="single" w:sz="2" w:space="0" w:color="000000"/>
              <w:right w:val="single" w:sz="2" w:space="0" w:color="000000"/>
            </w:tcBorders>
          </w:tcPr>
          <w:p w14:paraId="1E9490D4" w14:textId="77777777" w:rsidR="00E53EB6" w:rsidRDefault="006500F5">
            <w:pPr>
              <w:pStyle w:val="TableContents"/>
            </w:pPr>
            <w:r>
              <w:t>Ø</w:t>
            </w:r>
          </w:p>
        </w:tc>
      </w:tr>
      <w:tr w:rsidR="00E53EB6" w14:paraId="0663F44D" w14:textId="77777777">
        <w:tc>
          <w:tcPr>
            <w:tcW w:w="1576" w:type="dxa"/>
            <w:tcBorders>
              <w:left w:val="single" w:sz="2" w:space="0" w:color="000000"/>
              <w:bottom w:val="single" w:sz="2" w:space="0" w:color="000000"/>
            </w:tcBorders>
          </w:tcPr>
          <w:p w14:paraId="384DF5F1" w14:textId="77777777" w:rsidR="00E53EB6" w:rsidRDefault="006500F5">
            <w:pPr>
              <w:pStyle w:val="TableContents"/>
              <w:rPr>
                <w:i/>
                <w:iCs/>
              </w:rPr>
            </w:pPr>
            <w:r>
              <w:rPr>
                <w:i/>
                <w:iCs/>
              </w:rPr>
              <w:t>sumnám</w:t>
            </w:r>
          </w:p>
          <w:p w14:paraId="21E0F219" w14:textId="77777777" w:rsidR="00E53EB6" w:rsidRDefault="006500F5">
            <w:pPr>
              <w:pStyle w:val="TableContents"/>
              <w:rPr>
                <w:i/>
                <w:iCs/>
              </w:rPr>
            </w:pPr>
            <w:r>
              <w:rPr>
                <w:i/>
                <w:iCs/>
              </w:rPr>
              <w:lastRenderedPageBreak/>
              <w:t>sumnā́</w:t>
            </w:r>
          </w:p>
        </w:tc>
        <w:tc>
          <w:tcPr>
            <w:tcW w:w="630" w:type="dxa"/>
            <w:tcBorders>
              <w:left w:val="single" w:sz="2" w:space="0" w:color="000000"/>
              <w:bottom w:val="single" w:sz="2" w:space="0" w:color="000000"/>
            </w:tcBorders>
          </w:tcPr>
          <w:p w14:paraId="4DB470DD" w14:textId="77777777" w:rsidR="00E53EB6" w:rsidRDefault="006500F5">
            <w:pPr>
              <w:pStyle w:val="TableContents"/>
            </w:pPr>
            <w:r>
              <w:lastRenderedPageBreak/>
              <w:t>2</w:t>
            </w:r>
          </w:p>
        </w:tc>
        <w:tc>
          <w:tcPr>
            <w:tcW w:w="1381" w:type="dxa"/>
            <w:tcBorders>
              <w:left w:val="single" w:sz="2" w:space="0" w:color="000000"/>
              <w:bottom w:val="single" w:sz="2" w:space="0" w:color="000000"/>
            </w:tcBorders>
          </w:tcPr>
          <w:p w14:paraId="1E5AA893" w14:textId="77777777" w:rsidR="00E53EB6" w:rsidRDefault="006500F5">
            <w:pPr>
              <w:pStyle w:val="TableContents"/>
            </w:pPr>
            <w:r>
              <w:t>5.3.10</w:t>
            </w:r>
          </w:p>
          <w:p w14:paraId="1701E486" w14:textId="77777777" w:rsidR="00E53EB6" w:rsidRDefault="006500F5">
            <w:pPr>
              <w:pStyle w:val="TableContents"/>
            </w:pPr>
            <w:r>
              <w:lastRenderedPageBreak/>
              <w:t>1.169.1</w:t>
            </w:r>
          </w:p>
        </w:tc>
        <w:tc>
          <w:tcPr>
            <w:tcW w:w="2116" w:type="dxa"/>
            <w:tcBorders>
              <w:left w:val="single" w:sz="2" w:space="0" w:color="000000"/>
              <w:bottom w:val="single" w:sz="2" w:space="0" w:color="000000"/>
            </w:tcBorders>
          </w:tcPr>
          <w:p w14:paraId="3EA8A958" w14:textId="77777777" w:rsidR="00E53EB6" w:rsidRDefault="006500F5">
            <w:pPr>
              <w:pStyle w:val="TableContents"/>
              <w:rPr>
                <w:i/>
                <w:iCs/>
              </w:rPr>
            </w:pPr>
            <w:r>
              <w:rPr>
                <w:i/>
                <w:iCs/>
              </w:rPr>
              <w:lastRenderedPageBreak/>
              <w:t>vanate</w:t>
            </w:r>
          </w:p>
          <w:p w14:paraId="67756571" w14:textId="77777777" w:rsidR="00E53EB6" w:rsidRDefault="006500F5">
            <w:pPr>
              <w:pStyle w:val="TableContents"/>
              <w:rPr>
                <w:i/>
                <w:iCs/>
              </w:rPr>
            </w:pPr>
            <w:r>
              <w:rPr>
                <w:i/>
                <w:iCs/>
              </w:rPr>
              <w:lastRenderedPageBreak/>
              <w:t>vanu</w:t>
            </w:r>
            <w:r>
              <w:rPr>
                <w:i/>
                <w:iCs/>
              </w:rPr>
              <w:t>ṣ</w:t>
            </w:r>
            <w:r>
              <w:rPr>
                <w:i/>
                <w:iCs/>
              </w:rPr>
              <w:t>va</w:t>
            </w:r>
          </w:p>
        </w:tc>
        <w:tc>
          <w:tcPr>
            <w:tcW w:w="3089" w:type="dxa"/>
            <w:tcBorders>
              <w:left w:val="single" w:sz="2" w:space="0" w:color="000000"/>
              <w:bottom w:val="single" w:sz="2" w:space="0" w:color="000000"/>
              <w:right w:val="single" w:sz="2" w:space="0" w:color="000000"/>
            </w:tcBorders>
          </w:tcPr>
          <w:p w14:paraId="1DC17D0A" w14:textId="77777777" w:rsidR="00E53EB6" w:rsidRDefault="006500F5">
            <w:pPr>
              <w:pStyle w:val="TableContents"/>
            </w:pPr>
            <w:r>
              <w:lastRenderedPageBreak/>
              <w:t>Agni</w:t>
            </w:r>
          </w:p>
          <w:p w14:paraId="22E6AC12" w14:textId="77777777" w:rsidR="00E53EB6" w:rsidRDefault="006500F5">
            <w:pPr>
              <w:pStyle w:val="TableContents"/>
            </w:pPr>
            <w:r>
              <w:lastRenderedPageBreak/>
              <w:t>Indra</w:t>
            </w:r>
          </w:p>
        </w:tc>
      </w:tr>
    </w:tbl>
    <w:p w14:paraId="439FE592" w14:textId="77777777" w:rsidR="00E53EB6" w:rsidRDefault="00E53EB6">
      <w:pPr>
        <w:pStyle w:val="HaupttextohneEinzug"/>
      </w:pPr>
    </w:p>
    <w:p w14:paraId="6836E356" w14:textId="77777777" w:rsidR="00E53EB6" w:rsidRDefault="00E53EB6">
      <w:pPr>
        <w:pStyle w:val="HaupttextohneEinzug"/>
      </w:pPr>
    </w:p>
    <w:p w14:paraId="1CBC3728" w14:textId="77777777" w:rsidR="00E53EB6" w:rsidRDefault="00E53EB6">
      <w:pPr>
        <w:pStyle w:val="HaupttextohneEinzug"/>
      </w:pPr>
    </w:p>
    <w:p w14:paraId="7B9CB5FF" w14:textId="77777777" w:rsidR="00E53EB6" w:rsidRDefault="006500F5">
      <w:pPr>
        <w:pStyle w:val="HaupttextohneEinzug"/>
      </w:pPr>
      <w:r>
        <w:t xml:space="preserve">d3- rite’s element - components </w:t>
      </w:r>
    </w:p>
    <w:p w14:paraId="45FEE7E1" w14:textId="77777777" w:rsidR="00E53EB6" w:rsidRDefault="00E53EB6">
      <w:pPr>
        <w:pStyle w:val="HaupttextohneEinzug"/>
        <w:rPr>
          <w:sz w:val="24"/>
          <w:szCs w:val="24"/>
          <w:lang w:bidi="it-IT"/>
        </w:rPr>
      </w:pPr>
    </w:p>
    <w:tbl>
      <w:tblPr>
        <w:tblW w:w="8774" w:type="dxa"/>
        <w:tblLayout w:type="fixed"/>
        <w:tblCellMar>
          <w:top w:w="55" w:type="dxa"/>
          <w:left w:w="55" w:type="dxa"/>
          <w:bottom w:w="55" w:type="dxa"/>
          <w:right w:w="55" w:type="dxa"/>
        </w:tblCellMar>
        <w:tblLook w:val="04A0" w:firstRow="1" w:lastRow="0" w:firstColumn="1" w:lastColumn="0" w:noHBand="0" w:noVBand="1"/>
      </w:tblPr>
      <w:tblGrid>
        <w:gridCol w:w="1574"/>
        <w:gridCol w:w="645"/>
        <w:gridCol w:w="1367"/>
        <w:gridCol w:w="2113"/>
        <w:gridCol w:w="3075"/>
      </w:tblGrid>
      <w:tr w:rsidR="00E53EB6" w14:paraId="6A53913A" w14:textId="77777777">
        <w:tc>
          <w:tcPr>
            <w:tcW w:w="1574" w:type="dxa"/>
            <w:tcBorders>
              <w:top w:val="single" w:sz="2" w:space="0" w:color="000000"/>
              <w:left w:val="single" w:sz="2" w:space="0" w:color="000000"/>
              <w:bottom w:val="single" w:sz="2" w:space="0" w:color="000000"/>
            </w:tcBorders>
          </w:tcPr>
          <w:p w14:paraId="5F128079" w14:textId="77777777" w:rsidR="00E53EB6" w:rsidRDefault="006500F5">
            <w:pPr>
              <w:pStyle w:val="TableContents"/>
            </w:pPr>
            <w:r>
              <w:t>object</w:t>
            </w:r>
          </w:p>
        </w:tc>
        <w:tc>
          <w:tcPr>
            <w:tcW w:w="645" w:type="dxa"/>
            <w:tcBorders>
              <w:top w:val="single" w:sz="2" w:space="0" w:color="000000"/>
              <w:left w:val="single" w:sz="2" w:space="0" w:color="000000"/>
              <w:bottom w:val="single" w:sz="2" w:space="0" w:color="000000"/>
            </w:tcBorders>
          </w:tcPr>
          <w:p w14:paraId="63D784B6" w14:textId="77777777" w:rsidR="00E53EB6" w:rsidRDefault="006500F5">
            <w:pPr>
              <w:pStyle w:val="TableContents"/>
            </w:pPr>
            <w:r>
              <w:t>Q.</w:t>
            </w:r>
          </w:p>
        </w:tc>
        <w:tc>
          <w:tcPr>
            <w:tcW w:w="1367" w:type="dxa"/>
            <w:tcBorders>
              <w:top w:val="single" w:sz="2" w:space="0" w:color="000000"/>
              <w:left w:val="single" w:sz="2" w:space="0" w:color="000000"/>
              <w:bottom w:val="single" w:sz="2" w:space="0" w:color="000000"/>
            </w:tcBorders>
          </w:tcPr>
          <w:p w14:paraId="5E0B2364" w14:textId="77777777" w:rsidR="00E53EB6" w:rsidRDefault="006500F5">
            <w:pPr>
              <w:pStyle w:val="TableContents"/>
            </w:pPr>
            <w:r>
              <w:t>occurrences</w:t>
            </w:r>
          </w:p>
        </w:tc>
        <w:tc>
          <w:tcPr>
            <w:tcW w:w="2113" w:type="dxa"/>
            <w:tcBorders>
              <w:top w:val="single" w:sz="2" w:space="0" w:color="000000"/>
              <w:left w:val="single" w:sz="2" w:space="0" w:color="000000"/>
              <w:bottom w:val="single" w:sz="2" w:space="0" w:color="000000"/>
            </w:tcBorders>
          </w:tcPr>
          <w:p w14:paraId="6C599508" w14:textId="77777777" w:rsidR="00E53EB6" w:rsidRDefault="006500F5">
            <w:pPr>
              <w:pStyle w:val="TableContents"/>
              <w:rPr>
                <w:i/>
                <w:iCs/>
              </w:rPr>
            </w:pPr>
            <w:r>
              <w:rPr>
                <w:i/>
                <w:iCs/>
              </w:rPr>
              <w:t>van- / van</w:t>
            </w:r>
            <w:r>
              <w:rPr>
                <w:i/>
                <w:iCs/>
                <w:vertAlign w:val="superscript"/>
              </w:rPr>
              <w:t>i</w:t>
            </w:r>
            <w:r>
              <w:rPr>
                <w:i/>
                <w:iCs/>
              </w:rPr>
              <w:t>-</w:t>
            </w:r>
          </w:p>
        </w:tc>
        <w:tc>
          <w:tcPr>
            <w:tcW w:w="3075" w:type="dxa"/>
            <w:tcBorders>
              <w:top w:val="single" w:sz="2" w:space="0" w:color="000000"/>
              <w:left w:val="single" w:sz="2" w:space="0" w:color="000000"/>
              <w:bottom w:val="single" w:sz="2" w:space="0" w:color="000000"/>
              <w:right w:val="single" w:sz="2" w:space="0" w:color="000000"/>
            </w:tcBorders>
          </w:tcPr>
          <w:p w14:paraId="43B74EB7" w14:textId="77777777" w:rsidR="00E53EB6" w:rsidRDefault="006500F5">
            <w:pPr>
              <w:pStyle w:val="TableContents"/>
            </w:pPr>
            <w:r>
              <w:t>subject / notes</w:t>
            </w:r>
          </w:p>
        </w:tc>
      </w:tr>
      <w:tr w:rsidR="00E53EB6" w14:paraId="639AD564" w14:textId="77777777">
        <w:tc>
          <w:tcPr>
            <w:tcW w:w="1574" w:type="dxa"/>
            <w:tcBorders>
              <w:left w:val="single" w:sz="2" w:space="0" w:color="000000"/>
              <w:bottom w:val="single" w:sz="2" w:space="0" w:color="000000"/>
            </w:tcBorders>
          </w:tcPr>
          <w:p w14:paraId="22F75A9A" w14:textId="77777777" w:rsidR="00E53EB6" w:rsidRDefault="006500F5">
            <w:pPr>
              <w:pStyle w:val="TableContents"/>
              <w:rPr>
                <w:i/>
                <w:iCs/>
              </w:rPr>
            </w:pPr>
            <w:r>
              <w:rPr>
                <w:i/>
                <w:iCs/>
              </w:rPr>
              <w:t>apidhī́n</w:t>
            </w:r>
          </w:p>
        </w:tc>
        <w:tc>
          <w:tcPr>
            <w:tcW w:w="645" w:type="dxa"/>
            <w:tcBorders>
              <w:left w:val="single" w:sz="2" w:space="0" w:color="000000"/>
              <w:bottom w:val="single" w:sz="2" w:space="0" w:color="000000"/>
            </w:tcBorders>
          </w:tcPr>
          <w:p w14:paraId="065B9B71" w14:textId="77777777" w:rsidR="00E53EB6" w:rsidRDefault="006500F5">
            <w:pPr>
              <w:pStyle w:val="TableContents"/>
              <w:rPr>
                <w:szCs w:val="21"/>
              </w:rPr>
            </w:pPr>
            <w:r>
              <w:rPr>
                <w:szCs w:val="21"/>
              </w:rPr>
              <w:t>1</w:t>
            </w:r>
          </w:p>
        </w:tc>
        <w:tc>
          <w:tcPr>
            <w:tcW w:w="1367" w:type="dxa"/>
            <w:tcBorders>
              <w:left w:val="single" w:sz="2" w:space="0" w:color="000000"/>
              <w:bottom w:val="single" w:sz="2" w:space="0" w:color="000000"/>
            </w:tcBorders>
          </w:tcPr>
          <w:p w14:paraId="0366FB32" w14:textId="77777777" w:rsidR="00E53EB6" w:rsidRDefault="006500F5">
            <w:pPr>
              <w:pStyle w:val="TableContents"/>
            </w:pPr>
            <w:r>
              <w:t>1.127.7</w:t>
            </w:r>
          </w:p>
        </w:tc>
        <w:tc>
          <w:tcPr>
            <w:tcW w:w="2113" w:type="dxa"/>
            <w:tcBorders>
              <w:left w:val="single" w:sz="2" w:space="0" w:color="000000"/>
              <w:bottom w:val="single" w:sz="2" w:space="0" w:color="000000"/>
            </w:tcBorders>
          </w:tcPr>
          <w:p w14:paraId="20BF6909" w14:textId="77777777" w:rsidR="00E53EB6" w:rsidRDefault="006500F5">
            <w:pPr>
              <w:pStyle w:val="TableContents"/>
              <w:rPr>
                <w:i/>
                <w:iCs/>
              </w:rPr>
            </w:pPr>
            <w:r>
              <w:rPr>
                <w:i/>
                <w:iCs/>
              </w:rPr>
              <w:t>vani</w:t>
            </w:r>
            <w:r>
              <w:rPr>
                <w:i/>
                <w:iCs/>
              </w:rPr>
              <w:t>ṣ</w:t>
            </w:r>
            <w:r>
              <w:rPr>
                <w:i/>
                <w:iCs/>
              </w:rPr>
              <w:t>ī</w:t>
            </w:r>
            <w:r>
              <w:rPr>
                <w:i/>
                <w:iCs/>
              </w:rPr>
              <w:t>ṣṭ</w:t>
            </w:r>
            <w:r>
              <w:rPr>
                <w:i/>
                <w:iCs/>
              </w:rPr>
              <w:t>a</w:t>
            </w:r>
          </w:p>
        </w:tc>
        <w:tc>
          <w:tcPr>
            <w:tcW w:w="3075" w:type="dxa"/>
            <w:tcBorders>
              <w:left w:val="single" w:sz="2" w:space="0" w:color="000000"/>
              <w:bottom w:val="single" w:sz="2" w:space="0" w:color="000000"/>
              <w:right w:val="single" w:sz="2" w:space="0" w:color="000000"/>
            </w:tcBorders>
          </w:tcPr>
          <w:p w14:paraId="6A2D36C3" w14:textId="77777777" w:rsidR="00E53EB6" w:rsidRDefault="006500F5">
            <w:pPr>
              <w:pStyle w:val="TableContents"/>
              <w:rPr>
                <w:i/>
                <w:iCs/>
              </w:rPr>
            </w:pPr>
            <w:r>
              <w:rPr>
                <w:i/>
                <w:iCs/>
              </w:rPr>
              <w:t xml:space="preserve">médhira  </w:t>
            </w:r>
            <w:r>
              <w:t xml:space="preserve">(2x, </w:t>
            </w:r>
            <w:r>
              <w:t>2</w:t>
            </w:r>
            <w:r>
              <w:rPr>
                <w:vertAlign w:val="superscript"/>
              </w:rPr>
              <w:t>nd</w:t>
            </w:r>
            <w:r>
              <w:t xml:space="preserve"> : </w:t>
            </w:r>
            <w:r>
              <w:t>ā-)</w:t>
            </w:r>
          </w:p>
        </w:tc>
      </w:tr>
      <w:tr w:rsidR="00E53EB6" w14:paraId="1D9974ED" w14:textId="77777777">
        <w:tc>
          <w:tcPr>
            <w:tcW w:w="1574" w:type="dxa"/>
            <w:tcBorders>
              <w:left w:val="single" w:sz="2" w:space="0" w:color="000000"/>
              <w:bottom w:val="single" w:sz="2" w:space="0" w:color="000000"/>
            </w:tcBorders>
          </w:tcPr>
          <w:p w14:paraId="45F95583" w14:textId="77777777" w:rsidR="00E53EB6" w:rsidRDefault="006500F5">
            <w:pPr>
              <w:pStyle w:val="TableContents"/>
              <w:rPr>
                <w:i/>
                <w:iCs/>
              </w:rPr>
            </w:pPr>
            <w:r>
              <w:rPr>
                <w:i/>
                <w:iCs/>
              </w:rPr>
              <w:t>ilá</w:t>
            </w:r>
            <w:r>
              <w:rPr>
                <w:i/>
                <w:iCs/>
              </w:rPr>
              <w:t>ḥ</w:t>
            </w:r>
            <w:r>
              <w:rPr>
                <w:i/>
                <w:iCs/>
              </w:rPr>
              <w:t>(ūrmím)</w:t>
            </w:r>
          </w:p>
        </w:tc>
        <w:tc>
          <w:tcPr>
            <w:tcW w:w="645" w:type="dxa"/>
            <w:tcBorders>
              <w:left w:val="single" w:sz="2" w:space="0" w:color="000000"/>
              <w:bottom w:val="single" w:sz="2" w:space="0" w:color="000000"/>
            </w:tcBorders>
          </w:tcPr>
          <w:p w14:paraId="095269EB" w14:textId="77777777" w:rsidR="00E53EB6" w:rsidRDefault="006500F5">
            <w:pPr>
              <w:pStyle w:val="TableContents"/>
            </w:pPr>
            <w:r>
              <w:t>1</w:t>
            </w:r>
          </w:p>
        </w:tc>
        <w:tc>
          <w:tcPr>
            <w:tcW w:w="1367" w:type="dxa"/>
            <w:tcBorders>
              <w:left w:val="single" w:sz="2" w:space="0" w:color="000000"/>
              <w:bottom w:val="single" w:sz="2" w:space="0" w:color="000000"/>
            </w:tcBorders>
          </w:tcPr>
          <w:p w14:paraId="39B6225B" w14:textId="77777777" w:rsidR="00E53EB6" w:rsidRDefault="006500F5">
            <w:pPr>
              <w:pStyle w:val="TableContents"/>
            </w:pPr>
            <w:r>
              <w:t>7.47.1</w:t>
            </w:r>
          </w:p>
        </w:tc>
        <w:tc>
          <w:tcPr>
            <w:tcW w:w="2113" w:type="dxa"/>
            <w:tcBorders>
              <w:left w:val="single" w:sz="2" w:space="0" w:color="000000"/>
              <w:bottom w:val="single" w:sz="2" w:space="0" w:color="000000"/>
            </w:tcBorders>
          </w:tcPr>
          <w:p w14:paraId="1B50C990" w14:textId="77777777" w:rsidR="00E53EB6" w:rsidRDefault="006500F5">
            <w:pPr>
              <w:pStyle w:val="TableContents"/>
              <w:rPr>
                <w:i/>
                <w:iCs/>
              </w:rPr>
            </w:pPr>
            <w:r>
              <w:rPr>
                <w:i/>
                <w:iCs/>
              </w:rPr>
              <w:t>vanema</w:t>
            </w:r>
          </w:p>
        </w:tc>
        <w:tc>
          <w:tcPr>
            <w:tcW w:w="3075" w:type="dxa"/>
            <w:tcBorders>
              <w:left w:val="single" w:sz="2" w:space="0" w:color="000000"/>
              <w:bottom w:val="single" w:sz="2" w:space="0" w:color="000000"/>
              <w:right w:val="single" w:sz="2" w:space="0" w:color="000000"/>
            </w:tcBorders>
          </w:tcPr>
          <w:p w14:paraId="05515E40" w14:textId="77777777" w:rsidR="00E53EB6" w:rsidRDefault="006500F5">
            <w:pPr>
              <w:pStyle w:val="TableContents"/>
              <w:rPr>
                <w:i/>
                <w:iCs/>
              </w:rPr>
            </w:pPr>
            <w:r>
              <w:rPr>
                <w:i/>
                <w:iCs/>
              </w:rPr>
              <w:t>vayam</w:t>
            </w:r>
          </w:p>
        </w:tc>
      </w:tr>
      <w:tr w:rsidR="00E53EB6" w14:paraId="7092330E" w14:textId="77777777">
        <w:tc>
          <w:tcPr>
            <w:tcW w:w="1574" w:type="dxa"/>
            <w:tcBorders>
              <w:left w:val="single" w:sz="2" w:space="0" w:color="000000"/>
              <w:bottom w:val="single" w:sz="2" w:space="0" w:color="000000"/>
            </w:tcBorders>
          </w:tcPr>
          <w:p w14:paraId="23275A01" w14:textId="77777777" w:rsidR="00E53EB6" w:rsidRDefault="006500F5">
            <w:pPr>
              <w:pStyle w:val="TableContents"/>
              <w:rPr>
                <w:i/>
                <w:iCs/>
              </w:rPr>
            </w:pPr>
            <w:r>
              <w:rPr>
                <w:i/>
                <w:iCs/>
              </w:rPr>
              <w:t>i</w:t>
            </w:r>
            <w:r>
              <w:rPr>
                <w:i/>
                <w:iCs/>
              </w:rPr>
              <w:t>ṣ</w:t>
            </w:r>
            <w:r>
              <w:rPr>
                <w:i/>
                <w:iCs/>
              </w:rPr>
              <w:t>á</w:t>
            </w:r>
            <w:r>
              <w:rPr>
                <w:i/>
                <w:iCs/>
              </w:rPr>
              <w:t>ḥ</w:t>
            </w:r>
          </w:p>
        </w:tc>
        <w:tc>
          <w:tcPr>
            <w:tcW w:w="645" w:type="dxa"/>
            <w:tcBorders>
              <w:left w:val="single" w:sz="2" w:space="0" w:color="000000"/>
              <w:bottom w:val="single" w:sz="2" w:space="0" w:color="000000"/>
            </w:tcBorders>
          </w:tcPr>
          <w:p w14:paraId="37B48ACA" w14:textId="77777777" w:rsidR="00E53EB6" w:rsidRDefault="006500F5">
            <w:pPr>
              <w:pStyle w:val="TableContents"/>
            </w:pPr>
            <w:r>
              <w:t>1</w:t>
            </w:r>
          </w:p>
        </w:tc>
        <w:tc>
          <w:tcPr>
            <w:tcW w:w="1367" w:type="dxa"/>
            <w:tcBorders>
              <w:left w:val="single" w:sz="2" w:space="0" w:color="000000"/>
              <w:bottom w:val="single" w:sz="2" w:space="0" w:color="000000"/>
            </w:tcBorders>
          </w:tcPr>
          <w:p w14:paraId="243D4A97" w14:textId="77777777" w:rsidR="00E53EB6" w:rsidRDefault="006500F5">
            <w:pPr>
              <w:pStyle w:val="TableContents"/>
            </w:pPr>
            <w:r>
              <w:t>5.7.3</w:t>
            </w:r>
          </w:p>
        </w:tc>
        <w:tc>
          <w:tcPr>
            <w:tcW w:w="2113" w:type="dxa"/>
            <w:tcBorders>
              <w:left w:val="single" w:sz="2" w:space="0" w:color="000000"/>
              <w:bottom w:val="single" w:sz="2" w:space="0" w:color="000000"/>
            </w:tcBorders>
          </w:tcPr>
          <w:p w14:paraId="5E634936" w14:textId="77777777" w:rsidR="00E53EB6" w:rsidRDefault="006500F5">
            <w:pPr>
              <w:pStyle w:val="TableContents"/>
              <w:rPr>
                <w:i/>
                <w:iCs/>
              </w:rPr>
            </w:pPr>
            <w:r>
              <w:rPr>
                <w:i/>
                <w:iCs/>
              </w:rPr>
              <w:t>vanāmahe</w:t>
            </w:r>
          </w:p>
        </w:tc>
        <w:tc>
          <w:tcPr>
            <w:tcW w:w="3075" w:type="dxa"/>
            <w:tcBorders>
              <w:left w:val="single" w:sz="2" w:space="0" w:color="000000"/>
              <w:bottom w:val="single" w:sz="2" w:space="0" w:color="000000"/>
              <w:right w:val="single" w:sz="2" w:space="0" w:color="000000"/>
            </w:tcBorders>
          </w:tcPr>
          <w:p w14:paraId="21FC8BF6" w14:textId="77777777" w:rsidR="00E53EB6" w:rsidRDefault="006500F5">
            <w:pPr>
              <w:pStyle w:val="TableContents"/>
            </w:pPr>
            <w:r>
              <w:t>Ø</w:t>
            </w:r>
          </w:p>
        </w:tc>
      </w:tr>
      <w:tr w:rsidR="00E53EB6" w14:paraId="2A46DCF0" w14:textId="77777777">
        <w:tc>
          <w:tcPr>
            <w:tcW w:w="1574" w:type="dxa"/>
            <w:tcBorders>
              <w:left w:val="single" w:sz="2" w:space="0" w:color="000000"/>
              <w:bottom w:val="single" w:sz="2" w:space="0" w:color="000000"/>
            </w:tcBorders>
          </w:tcPr>
          <w:p w14:paraId="33BDA65C" w14:textId="77777777" w:rsidR="00E53EB6" w:rsidRDefault="006500F5">
            <w:pPr>
              <w:pStyle w:val="TableContents"/>
              <w:rPr>
                <w:i/>
                <w:iCs/>
              </w:rPr>
            </w:pPr>
            <w:r>
              <w:rPr>
                <w:i/>
                <w:iCs/>
              </w:rPr>
              <w:t>upasádam</w:t>
            </w:r>
          </w:p>
        </w:tc>
        <w:tc>
          <w:tcPr>
            <w:tcW w:w="645" w:type="dxa"/>
            <w:tcBorders>
              <w:left w:val="single" w:sz="2" w:space="0" w:color="000000"/>
              <w:bottom w:val="single" w:sz="2" w:space="0" w:color="000000"/>
            </w:tcBorders>
          </w:tcPr>
          <w:p w14:paraId="0DA3DE15" w14:textId="77777777" w:rsidR="00E53EB6" w:rsidRDefault="006500F5">
            <w:pPr>
              <w:pStyle w:val="TableContents"/>
            </w:pPr>
            <w:r>
              <w:t>1</w:t>
            </w:r>
          </w:p>
        </w:tc>
        <w:tc>
          <w:tcPr>
            <w:tcW w:w="1367" w:type="dxa"/>
            <w:tcBorders>
              <w:left w:val="single" w:sz="2" w:space="0" w:color="000000"/>
              <w:bottom w:val="single" w:sz="2" w:space="0" w:color="000000"/>
            </w:tcBorders>
          </w:tcPr>
          <w:p w14:paraId="628B8A1E" w14:textId="77777777" w:rsidR="00E53EB6" w:rsidRDefault="006500F5">
            <w:pPr>
              <w:pStyle w:val="TableContents"/>
            </w:pPr>
            <w:r>
              <w:t>2.6.1</w:t>
            </w:r>
          </w:p>
        </w:tc>
        <w:tc>
          <w:tcPr>
            <w:tcW w:w="2113" w:type="dxa"/>
            <w:tcBorders>
              <w:left w:val="single" w:sz="2" w:space="0" w:color="000000"/>
              <w:bottom w:val="single" w:sz="2" w:space="0" w:color="000000"/>
            </w:tcBorders>
          </w:tcPr>
          <w:p w14:paraId="1E3E8D79" w14:textId="77777777" w:rsidR="00E53EB6" w:rsidRDefault="006500F5">
            <w:pPr>
              <w:pStyle w:val="TableContents"/>
              <w:rPr>
                <w:i/>
                <w:iCs/>
              </w:rPr>
            </w:pPr>
            <w:r>
              <w:rPr>
                <w:i/>
                <w:iCs/>
              </w:rPr>
              <w:t>vane</w:t>
            </w:r>
            <w:r>
              <w:rPr>
                <w:i/>
                <w:iCs/>
              </w:rPr>
              <w:t>ḥ</w:t>
            </w:r>
          </w:p>
        </w:tc>
        <w:tc>
          <w:tcPr>
            <w:tcW w:w="3075" w:type="dxa"/>
            <w:tcBorders>
              <w:left w:val="single" w:sz="2" w:space="0" w:color="000000"/>
              <w:bottom w:val="single" w:sz="2" w:space="0" w:color="000000"/>
              <w:right w:val="single" w:sz="2" w:space="0" w:color="000000"/>
            </w:tcBorders>
          </w:tcPr>
          <w:p w14:paraId="60C61600" w14:textId="77777777" w:rsidR="00E53EB6" w:rsidRDefault="006500F5">
            <w:pPr>
              <w:pStyle w:val="TableContents"/>
            </w:pPr>
            <w:r>
              <w:t>Agni</w:t>
            </w:r>
          </w:p>
        </w:tc>
      </w:tr>
      <w:tr w:rsidR="00E53EB6" w14:paraId="09E11FAD" w14:textId="77777777">
        <w:tc>
          <w:tcPr>
            <w:tcW w:w="1574" w:type="dxa"/>
            <w:tcBorders>
              <w:left w:val="single" w:sz="2" w:space="0" w:color="000000"/>
              <w:bottom w:val="single" w:sz="2" w:space="0" w:color="000000"/>
            </w:tcBorders>
          </w:tcPr>
          <w:p w14:paraId="7B969BFB" w14:textId="77777777" w:rsidR="00E53EB6" w:rsidRDefault="006500F5">
            <w:pPr>
              <w:pStyle w:val="TableContents"/>
              <w:rPr>
                <w:i/>
                <w:iCs/>
              </w:rPr>
            </w:pPr>
            <w:r>
              <w:rPr>
                <w:i/>
                <w:iCs/>
              </w:rPr>
              <w:t>r̥tá</w:t>
            </w:r>
          </w:p>
          <w:p w14:paraId="5BEAE03F" w14:textId="77777777" w:rsidR="00E53EB6" w:rsidRDefault="006500F5">
            <w:pPr>
              <w:pStyle w:val="TableContents"/>
              <w:rPr>
                <w:i/>
                <w:iCs/>
              </w:rPr>
            </w:pPr>
            <w:r>
              <w:rPr>
                <w:i/>
                <w:iCs/>
              </w:rPr>
              <w:t>r̥tā́</w:t>
            </w:r>
          </w:p>
        </w:tc>
        <w:tc>
          <w:tcPr>
            <w:tcW w:w="645" w:type="dxa"/>
            <w:tcBorders>
              <w:left w:val="single" w:sz="2" w:space="0" w:color="000000"/>
              <w:bottom w:val="single" w:sz="2" w:space="0" w:color="000000"/>
            </w:tcBorders>
          </w:tcPr>
          <w:p w14:paraId="5CA9B8A9" w14:textId="77777777" w:rsidR="00E53EB6" w:rsidRDefault="006500F5">
            <w:pPr>
              <w:pStyle w:val="TableContents"/>
            </w:pPr>
            <w:r>
              <w:t>2</w:t>
            </w:r>
          </w:p>
        </w:tc>
        <w:tc>
          <w:tcPr>
            <w:tcW w:w="1367" w:type="dxa"/>
            <w:tcBorders>
              <w:left w:val="single" w:sz="2" w:space="0" w:color="000000"/>
              <w:bottom w:val="single" w:sz="2" w:space="0" w:color="000000"/>
            </w:tcBorders>
          </w:tcPr>
          <w:p w14:paraId="761E1B2F" w14:textId="77777777" w:rsidR="00E53EB6" w:rsidRDefault="006500F5">
            <w:pPr>
              <w:pStyle w:val="TableContents"/>
            </w:pPr>
            <w:r>
              <w:t>4.23.10</w:t>
            </w:r>
          </w:p>
          <w:p w14:paraId="7C05DA93" w14:textId="77777777" w:rsidR="00E53EB6" w:rsidRDefault="006500F5">
            <w:pPr>
              <w:pStyle w:val="TableContents"/>
            </w:pPr>
            <w:r>
              <w:t>1.46.14</w:t>
            </w:r>
          </w:p>
        </w:tc>
        <w:tc>
          <w:tcPr>
            <w:tcW w:w="2113" w:type="dxa"/>
            <w:tcBorders>
              <w:left w:val="single" w:sz="2" w:space="0" w:color="000000"/>
              <w:bottom w:val="single" w:sz="2" w:space="0" w:color="000000"/>
            </w:tcBorders>
          </w:tcPr>
          <w:p w14:paraId="079F2707" w14:textId="77777777" w:rsidR="00E53EB6" w:rsidRDefault="006500F5">
            <w:pPr>
              <w:pStyle w:val="TableContents"/>
              <w:rPr>
                <w:i/>
                <w:iCs/>
              </w:rPr>
            </w:pPr>
            <w:r>
              <w:rPr>
                <w:i/>
                <w:iCs/>
              </w:rPr>
              <w:t>vanoti</w:t>
            </w:r>
          </w:p>
          <w:p w14:paraId="7FA8E120" w14:textId="77777777" w:rsidR="00E53EB6" w:rsidRDefault="006500F5">
            <w:pPr>
              <w:pStyle w:val="TableContents"/>
              <w:rPr>
                <w:i/>
                <w:iCs/>
              </w:rPr>
            </w:pPr>
            <w:r>
              <w:rPr>
                <w:i/>
                <w:iCs/>
              </w:rPr>
              <w:t>vantha</w:t>
            </w:r>
            <w:r>
              <w:rPr>
                <w:i/>
                <w:iCs/>
              </w:rPr>
              <w:t>ḥ</w:t>
            </w:r>
          </w:p>
        </w:tc>
        <w:tc>
          <w:tcPr>
            <w:tcW w:w="3075" w:type="dxa"/>
            <w:tcBorders>
              <w:left w:val="single" w:sz="2" w:space="0" w:color="000000"/>
              <w:bottom w:val="single" w:sz="2" w:space="0" w:color="000000"/>
              <w:right w:val="single" w:sz="2" w:space="0" w:color="000000"/>
            </w:tcBorders>
          </w:tcPr>
          <w:p w14:paraId="0CD18190" w14:textId="77777777" w:rsidR="00E53EB6" w:rsidRDefault="006500F5">
            <w:pPr>
              <w:pStyle w:val="TableContents"/>
              <w:rPr>
                <w:i/>
                <w:iCs/>
              </w:rPr>
            </w:pPr>
            <w:r>
              <w:rPr>
                <w:i/>
                <w:iCs/>
              </w:rPr>
              <w:t>yemāná</w:t>
            </w:r>
            <w:r>
              <w:rPr>
                <w:i/>
                <w:iCs/>
              </w:rPr>
              <w:t>ḥ</w:t>
            </w:r>
          </w:p>
          <w:p w14:paraId="5C642B61" w14:textId="77777777" w:rsidR="00E53EB6" w:rsidRDefault="006500F5">
            <w:pPr>
              <w:pStyle w:val="TableContents"/>
              <w:rPr>
                <w:i/>
                <w:iCs/>
              </w:rPr>
            </w:pPr>
            <w:r>
              <w:rPr>
                <w:i/>
                <w:iCs/>
              </w:rPr>
              <w:t>Aśvin</w:t>
            </w:r>
          </w:p>
        </w:tc>
      </w:tr>
      <w:tr w:rsidR="00E53EB6" w:rsidRPr="0071345C" w14:paraId="55F37ECA" w14:textId="77777777">
        <w:tc>
          <w:tcPr>
            <w:tcW w:w="1574" w:type="dxa"/>
            <w:tcBorders>
              <w:left w:val="single" w:sz="2" w:space="0" w:color="000000"/>
              <w:bottom w:val="single" w:sz="2" w:space="0" w:color="000000"/>
            </w:tcBorders>
          </w:tcPr>
          <w:p w14:paraId="1C88F7DB" w14:textId="77777777" w:rsidR="00E53EB6" w:rsidRDefault="006500F5">
            <w:pPr>
              <w:pStyle w:val="TableContents"/>
              <w:rPr>
                <w:i/>
                <w:iCs/>
              </w:rPr>
            </w:pPr>
            <w:r>
              <w:rPr>
                <w:i/>
                <w:iCs/>
              </w:rPr>
              <w:t>gíra</w:t>
            </w:r>
            <w:r>
              <w:rPr>
                <w:i/>
                <w:iCs/>
              </w:rPr>
              <w:t>ḥ</w:t>
            </w:r>
          </w:p>
          <w:p w14:paraId="4D995563" w14:textId="77777777" w:rsidR="00E53EB6" w:rsidRDefault="00E53EB6">
            <w:pPr>
              <w:pStyle w:val="TableContents"/>
              <w:rPr>
                <w:i/>
                <w:iCs/>
              </w:rPr>
            </w:pPr>
          </w:p>
          <w:p w14:paraId="0E6DA616" w14:textId="77777777" w:rsidR="00E53EB6" w:rsidRDefault="00E53EB6">
            <w:pPr>
              <w:pStyle w:val="TableContents"/>
              <w:rPr>
                <w:i/>
                <w:iCs/>
              </w:rPr>
            </w:pPr>
          </w:p>
          <w:p w14:paraId="1F895BC8" w14:textId="77777777" w:rsidR="00E53EB6" w:rsidRDefault="00E53EB6">
            <w:pPr>
              <w:pStyle w:val="TableContents"/>
              <w:rPr>
                <w:i/>
                <w:iCs/>
              </w:rPr>
            </w:pPr>
          </w:p>
          <w:p w14:paraId="7392CD90" w14:textId="77777777" w:rsidR="00E53EB6" w:rsidRDefault="00E53EB6">
            <w:pPr>
              <w:pStyle w:val="TableContents"/>
              <w:rPr>
                <w:i/>
                <w:iCs/>
              </w:rPr>
            </w:pPr>
          </w:p>
          <w:p w14:paraId="61E4F935" w14:textId="77777777" w:rsidR="00E53EB6" w:rsidRDefault="006500F5">
            <w:pPr>
              <w:pStyle w:val="TableContents"/>
              <w:rPr>
                <w:i/>
                <w:iCs/>
              </w:rPr>
            </w:pPr>
            <w:r>
              <w:rPr>
                <w:i/>
                <w:iCs/>
              </w:rPr>
              <w:t>upasádam</w:t>
            </w:r>
          </w:p>
        </w:tc>
        <w:tc>
          <w:tcPr>
            <w:tcW w:w="645" w:type="dxa"/>
            <w:tcBorders>
              <w:left w:val="single" w:sz="2" w:space="0" w:color="000000"/>
              <w:bottom w:val="single" w:sz="2" w:space="0" w:color="000000"/>
            </w:tcBorders>
          </w:tcPr>
          <w:p w14:paraId="283955AD" w14:textId="77777777" w:rsidR="00E53EB6" w:rsidRDefault="006500F5">
            <w:pPr>
              <w:pStyle w:val="TableContents"/>
            </w:pPr>
            <w:r>
              <w:t xml:space="preserve">5 </w:t>
            </w:r>
          </w:p>
          <w:p w14:paraId="3A988525" w14:textId="77777777" w:rsidR="00E53EB6" w:rsidRDefault="00E53EB6">
            <w:pPr>
              <w:pStyle w:val="TableContents"/>
            </w:pPr>
          </w:p>
          <w:p w14:paraId="0838B83B" w14:textId="77777777" w:rsidR="00E53EB6" w:rsidRDefault="00E53EB6">
            <w:pPr>
              <w:pStyle w:val="TableContents"/>
            </w:pPr>
          </w:p>
          <w:p w14:paraId="03007678" w14:textId="77777777" w:rsidR="00E53EB6" w:rsidRDefault="00E53EB6">
            <w:pPr>
              <w:pStyle w:val="TableContents"/>
            </w:pPr>
          </w:p>
          <w:p w14:paraId="43CD9490" w14:textId="77777777" w:rsidR="00E53EB6" w:rsidRDefault="00E53EB6">
            <w:pPr>
              <w:pStyle w:val="TableContents"/>
            </w:pPr>
          </w:p>
          <w:p w14:paraId="40C93048" w14:textId="77777777" w:rsidR="00E53EB6" w:rsidRDefault="006500F5">
            <w:pPr>
              <w:pStyle w:val="TableContents"/>
            </w:pPr>
            <w:r>
              <w:t>*6</w:t>
            </w:r>
          </w:p>
        </w:tc>
        <w:tc>
          <w:tcPr>
            <w:tcW w:w="1367" w:type="dxa"/>
            <w:tcBorders>
              <w:left w:val="single" w:sz="2" w:space="0" w:color="000000"/>
              <w:bottom w:val="single" w:sz="2" w:space="0" w:color="000000"/>
            </w:tcBorders>
          </w:tcPr>
          <w:p w14:paraId="014E0E15" w14:textId="77777777" w:rsidR="00E53EB6" w:rsidRDefault="006500F5">
            <w:pPr>
              <w:pStyle w:val="TableContents"/>
            </w:pPr>
            <w:r>
              <w:t>1.3.2</w:t>
            </w:r>
          </w:p>
          <w:p w14:paraId="2A7ED987" w14:textId="77777777" w:rsidR="00E53EB6" w:rsidRDefault="006500F5">
            <w:pPr>
              <w:pStyle w:val="TableContents"/>
            </w:pPr>
            <w:r>
              <w:t>1.93.9</w:t>
            </w:r>
          </w:p>
          <w:p w14:paraId="5F6BD5BA" w14:textId="77777777" w:rsidR="00E53EB6" w:rsidRDefault="006500F5">
            <w:pPr>
              <w:pStyle w:val="TableContents"/>
            </w:pPr>
            <w:r>
              <w:t>7.94.2</w:t>
            </w:r>
          </w:p>
          <w:p w14:paraId="46F32310" w14:textId="77777777" w:rsidR="00E53EB6" w:rsidRDefault="006500F5">
            <w:pPr>
              <w:pStyle w:val="TableContents"/>
            </w:pPr>
            <w:r>
              <w:t>5.65.1</w:t>
            </w:r>
          </w:p>
          <w:p w14:paraId="789500EA" w14:textId="77777777" w:rsidR="00E53EB6" w:rsidRDefault="006500F5">
            <w:pPr>
              <w:pStyle w:val="TableContents"/>
            </w:pPr>
            <w:r>
              <w:t>8.7.9</w:t>
            </w:r>
          </w:p>
          <w:p w14:paraId="075104A0" w14:textId="77777777" w:rsidR="00E53EB6" w:rsidRDefault="006500F5">
            <w:pPr>
              <w:pStyle w:val="TableContents"/>
            </w:pPr>
            <w:r>
              <w:t>*2.6.1</w:t>
            </w:r>
          </w:p>
        </w:tc>
        <w:tc>
          <w:tcPr>
            <w:tcW w:w="2113" w:type="dxa"/>
            <w:tcBorders>
              <w:left w:val="single" w:sz="2" w:space="0" w:color="000000"/>
              <w:bottom w:val="single" w:sz="2" w:space="0" w:color="000000"/>
            </w:tcBorders>
          </w:tcPr>
          <w:p w14:paraId="4A2B2C17" w14:textId="77777777" w:rsidR="00E53EB6" w:rsidRPr="0071345C" w:rsidRDefault="006500F5">
            <w:pPr>
              <w:pStyle w:val="TableContents"/>
              <w:rPr>
                <w:i/>
                <w:iCs/>
                <w:lang w:val="it-IT"/>
              </w:rPr>
            </w:pPr>
            <w:r w:rsidRPr="0071345C">
              <w:rPr>
                <w:i/>
                <w:iCs/>
                <w:lang w:val="it-IT"/>
              </w:rPr>
              <w:t>vánatam</w:t>
            </w:r>
          </w:p>
          <w:p w14:paraId="75475082" w14:textId="77777777" w:rsidR="00E53EB6" w:rsidRPr="0071345C" w:rsidRDefault="006500F5">
            <w:pPr>
              <w:pStyle w:val="TableContents"/>
              <w:rPr>
                <w:i/>
                <w:iCs/>
                <w:lang w:val="it-IT"/>
              </w:rPr>
            </w:pPr>
            <w:r w:rsidRPr="0071345C">
              <w:rPr>
                <w:i/>
                <w:iCs/>
                <w:lang w:val="it-IT"/>
              </w:rPr>
              <w:t>vanata,</w:t>
            </w:r>
          </w:p>
          <w:p w14:paraId="4BE8897B" w14:textId="77777777" w:rsidR="00E53EB6" w:rsidRPr="0071345C" w:rsidRDefault="006500F5">
            <w:pPr>
              <w:pStyle w:val="TableContents"/>
              <w:rPr>
                <w:i/>
                <w:iCs/>
                <w:lang w:val="it-IT"/>
              </w:rPr>
            </w:pPr>
            <w:r w:rsidRPr="0071345C">
              <w:rPr>
                <w:i/>
                <w:iCs/>
                <w:lang w:val="it-IT"/>
              </w:rPr>
              <w:t>vánatam</w:t>
            </w:r>
          </w:p>
          <w:p w14:paraId="32EF1012" w14:textId="77777777" w:rsidR="00E53EB6" w:rsidRPr="0071345C" w:rsidRDefault="006500F5">
            <w:pPr>
              <w:pStyle w:val="TableContents"/>
              <w:rPr>
                <w:i/>
                <w:iCs/>
                <w:lang w:val="it-IT"/>
              </w:rPr>
            </w:pPr>
            <w:r w:rsidRPr="0071345C">
              <w:rPr>
                <w:i/>
                <w:iCs/>
                <w:lang w:val="it-IT"/>
              </w:rPr>
              <w:t>vánate</w:t>
            </w:r>
          </w:p>
          <w:p w14:paraId="18485AF5" w14:textId="77777777" w:rsidR="00E53EB6" w:rsidRPr="0071345C" w:rsidRDefault="006500F5">
            <w:pPr>
              <w:pStyle w:val="TableContents"/>
              <w:rPr>
                <w:i/>
                <w:iCs/>
                <w:lang w:val="it-IT"/>
              </w:rPr>
            </w:pPr>
            <w:r w:rsidRPr="0071345C">
              <w:rPr>
                <w:i/>
                <w:iCs/>
                <w:lang w:val="it-IT"/>
              </w:rPr>
              <w:t>vanatā</w:t>
            </w:r>
          </w:p>
          <w:p w14:paraId="2AD6295E" w14:textId="77777777" w:rsidR="00E53EB6" w:rsidRPr="0071345C" w:rsidRDefault="006500F5">
            <w:pPr>
              <w:pStyle w:val="TableContents"/>
              <w:rPr>
                <w:i/>
                <w:iCs/>
                <w:lang w:val="it-IT"/>
              </w:rPr>
            </w:pPr>
            <w:r w:rsidRPr="0071345C">
              <w:rPr>
                <w:i/>
                <w:iCs/>
                <w:lang w:val="it-IT"/>
              </w:rPr>
              <w:t>vane</w:t>
            </w:r>
            <w:r w:rsidRPr="0071345C">
              <w:rPr>
                <w:i/>
                <w:iCs/>
                <w:lang w:val="it-IT"/>
              </w:rPr>
              <w:t>ḥ</w:t>
            </w:r>
            <w:r w:rsidRPr="0071345C">
              <w:rPr>
                <w:i/>
                <w:iCs/>
                <w:lang w:val="it-IT"/>
              </w:rPr>
              <w:t xml:space="preserve"> </w:t>
            </w:r>
          </w:p>
        </w:tc>
        <w:tc>
          <w:tcPr>
            <w:tcW w:w="3075" w:type="dxa"/>
            <w:tcBorders>
              <w:left w:val="single" w:sz="2" w:space="0" w:color="000000"/>
              <w:bottom w:val="single" w:sz="2" w:space="0" w:color="000000"/>
              <w:right w:val="single" w:sz="2" w:space="0" w:color="000000"/>
            </w:tcBorders>
          </w:tcPr>
          <w:p w14:paraId="74FDD61C" w14:textId="77777777" w:rsidR="00E53EB6" w:rsidRPr="0071345C" w:rsidRDefault="006500F5">
            <w:pPr>
              <w:pStyle w:val="TableContents"/>
              <w:rPr>
                <w:lang w:val="it-IT"/>
              </w:rPr>
            </w:pPr>
            <w:r w:rsidRPr="0071345C">
              <w:rPr>
                <w:lang w:val="it-IT"/>
              </w:rPr>
              <w:t>Aśvin</w:t>
            </w:r>
          </w:p>
          <w:p w14:paraId="490BDDA4" w14:textId="77777777" w:rsidR="00E53EB6" w:rsidRPr="0071345C" w:rsidRDefault="006500F5">
            <w:pPr>
              <w:pStyle w:val="TableContents"/>
              <w:rPr>
                <w:lang w:val="it-IT"/>
              </w:rPr>
            </w:pPr>
            <w:r w:rsidRPr="0071345C">
              <w:rPr>
                <w:lang w:val="it-IT"/>
              </w:rPr>
              <w:t>Agni Soma</w:t>
            </w:r>
          </w:p>
          <w:p w14:paraId="6742C4F3" w14:textId="77777777" w:rsidR="00E53EB6" w:rsidRPr="0071345C" w:rsidRDefault="006500F5">
            <w:pPr>
              <w:pStyle w:val="TableContents"/>
              <w:rPr>
                <w:lang w:val="it-IT"/>
              </w:rPr>
            </w:pPr>
            <w:r w:rsidRPr="0071345C">
              <w:rPr>
                <w:lang w:val="it-IT"/>
              </w:rPr>
              <w:t xml:space="preserve">Indra Agni </w:t>
            </w:r>
          </w:p>
          <w:p w14:paraId="078A9F75" w14:textId="77777777" w:rsidR="00E53EB6" w:rsidRPr="0071345C" w:rsidRDefault="006500F5">
            <w:pPr>
              <w:pStyle w:val="TableContents"/>
              <w:rPr>
                <w:lang w:val="it-IT"/>
              </w:rPr>
            </w:pPr>
            <w:r w:rsidRPr="0071345C">
              <w:rPr>
                <w:lang w:val="it-IT"/>
              </w:rPr>
              <w:t xml:space="preserve">Mitra </w:t>
            </w:r>
          </w:p>
          <w:p w14:paraId="6C1404AC" w14:textId="77777777" w:rsidR="00E53EB6" w:rsidRPr="0071345C" w:rsidRDefault="006500F5">
            <w:pPr>
              <w:pStyle w:val="TableContents"/>
              <w:rPr>
                <w:lang w:val="it-IT"/>
              </w:rPr>
            </w:pPr>
            <w:r w:rsidRPr="0071345C">
              <w:rPr>
                <w:lang w:val="it-IT"/>
              </w:rPr>
              <w:t>Marut (+</w:t>
            </w:r>
            <w:r w:rsidRPr="0071345C">
              <w:rPr>
                <w:i/>
                <w:iCs/>
                <w:lang w:val="it-IT"/>
              </w:rPr>
              <w:t>hávam</w:t>
            </w:r>
            <w:r w:rsidRPr="0071345C">
              <w:rPr>
                <w:lang w:val="it-IT"/>
              </w:rPr>
              <w:t>)</w:t>
            </w:r>
          </w:p>
          <w:p w14:paraId="57042B07" w14:textId="77777777" w:rsidR="00E53EB6" w:rsidRPr="0071345C" w:rsidRDefault="006500F5">
            <w:pPr>
              <w:pStyle w:val="TableContents"/>
              <w:rPr>
                <w:lang w:val="it-IT"/>
              </w:rPr>
            </w:pPr>
            <w:r w:rsidRPr="0071345C">
              <w:rPr>
                <w:lang w:val="it-IT"/>
              </w:rPr>
              <w:t>Agni (*</w:t>
            </w:r>
            <w:r w:rsidRPr="0071345C">
              <w:rPr>
                <w:i/>
                <w:iCs/>
                <w:lang w:val="it-IT"/>
              </w:rPr>
              <w:t>śrudhī gíra</w:t>
            </w:r>
            <w:r w:rsidRPr="0071345C">
              <w:rPr>
                <w:i/>
                <w:iCs/>
                <w:lang w:val="it-IT"/>
              </w:rPr>
              <w:t>ḥ</w:t>
            </w:r>
            <w:r w:rsidRPr="0071345C">
              <w:rPr>
                <w:lang w:val="it-IT"/>
              </w:rPr>
              <w:t>)</w:t>
            </w:r>
          </w:p>
        </w:tc>
      </w:tr>
      <w:tr w:rsidR="00E53EB6" w14:paraId="050EF16E" w14:textId="77777777">
        <w:tc>
          <w:tcPr>
            <w:tcW w:w="1574" w:type="dxa"/>
            <w:tcBorders>
              <w:left w:val="single" w:sz="2" w:space="0" w:color="000000"/>
              <w:bottom w:val="single" w:sz="2" w:space="0" w:color="000000"/>
            </w:tcBorders>
          </w:tcPr>
          <w:p w14:paraId="7953DDA7" w14:textId="77777777" w:rsidR="00E53EB6" w:rsidRDefault="006500F5">
            <w:pPr>
              <w:pStyle w:val="TableContents"/>
              <w:rPr>
                <w:i/>
                <w:iCs/>
              </w:rPr>
            </w:pPr>
            <w:r>
              <w:rPr>
                <w:i/>
                <w:iCs/>
              </w:rPr>
              <w:t>dhíyam</w:t>
            </w:r>
          </w:p>
        </w:tc>
        <w:tc>
          <w:tcPr>
            <w:tcW w:w="645" w:type="dxa"/>
            <w:tcBorders>
              <w:left w:val="single" w:sz="2" w:space="0" w:color="000000"/>
              <w:bottom w:val="single" w:sz="2" w:space="0" w:color="000000"/>
            </w:tcBorders>
          </w:tcPr>
          <w:p w14:paraId="216B3A71" w14:textId="77777777" w:rsidR="00E53EB6" w:rsidRDefault="006500F5">
            <w:pPr>
              <w:pStyle w:val="TableContents"/>
            </w:pPr>
            <w:r>
              <w:t>1</w:t>
            </w:r>
          </w:p>
        </w:tc>
        <w:tc>
          <w:tcPr>
            <w:tcW w:w="1367" w:type="dxa"/>
            <w:tcBorders>
              <w:left w:val="single" w:sz="2" w:space="0" w:color="000000"/>
              <w:bottom w:val="single" w:sz="2" w:space="0" w:color="000000"/>
            </w:tcBorders>
          </w:tcPr>
          <w:p w14:paraId="29ADD4BF" w14:textId="77777777" w:rsidR="00E53EB6" w:rsidRDefault="006500F5">
            <w:pPr>
              <w:pStyle w:val="TableContents"/>
            </w:pPr>
            <w:r>
              <w:t>2.11.2</w:t>
            </w:r>
          </w:p>
        </w:tc>
        <w:tc>
          <w:tcPr>
            <w:tcW w:w="2113" w:type="dxa"/>
            <w:tcBorders>
              <w:left w:val="single" w:sz="2" w:space="0" w:color="000000"/>
              <w:bottom w:val="single" w:sz="2" w:space="0" w:color="000000"/>
            </w:tcBorders>
          </w:tcPr>
          <w:p w14:paraId="0CC7791C" w14:textId="77777777" w:rsidR="00E53EB6" w:rsidRDefault="006500F5">
            <w:pPr>
              <w:pStyle w:val="TableContents"/>
              <w:rPr>
                <w:i/>
                <w:iCs/>
              </w:rPr>
            </w:pPr>
            <w:r>
              <w:rPr>
                <w:i/>
                <w:iCs/>
              </w:rPr>
              <w:t>vanema</w:t>
            </w:r>
          </w:p>
        </w:tc>
        <w:tc>
          <w:tcPr>
            <w:tcW w:w="3075" w:type="dxa"/>
            <w:tcBorders>
              <w:left w:val="single" w:sz="2" w:space="0" w:color="000000"/>
              <w:bottom w:val="single" w:sz="2" w:space="0" w:color="000000"/>
              <w:right w:val="single" w:sz="2" w:space="0" w:color="000000"/>
            </w:tcBorders>
          </w:tcPr>
          <w:p w14:paraId="5B7DD2DB" w14:textId="77777777" w:rsidR="00E53EB6" w:rsidRDefault="006500F5">
            <w:pPr>
              <w:pStyle w:val="TableContents"/>
            </w:pPr>
            <w:r>
              <w:t>Ø</w:t>
            </w:r>
          </w:p>
        </w:tc>
      </w:tr>
      <w:tr w:rsidR="00E53EB6" w14:paraId="1C63D6C4" w14:textId="77777777">
        <w:tc>
          <w:tcPr>
            <w:tcW w:w="1574" w:type="dxa"/>
            <w:tcBorders>
              <w:left w:val="single" w:sz="2" w:space="0" w:color="000000"/>
              <w:bottom w:val="single" w:sz="2" w:space="0" w:color="000000"/>
            </w:tcBorders>
          </w:tcPr>
          <w:p w14:paraId="2950C295" w14:textId="77777777" w:rsidR="00E53EB6" w:rsidRDefault="006500F5">
            <w:pPr>
              <w:pStyle w:val="TableContents"/>
              <w:rPr>
                <w:i/>
                <w:iCs/>
              </w:rPr>
            </w:pPr>
            <w:r>
              <w:rPr>
                <w:i/>
                <w:iCs/>
              </w:rPr>
              <w:t>dhītím</w:t>
            </w:r>
          </w:p>
        </w:tc>
        <w:tc>
          <w:tcPr>
            <w:tcW w:w="645" w:type="dxa"/>
            <w:tcBorders>
              <w:left w:val="single" w:sz="2" w:space="0" w:color="000000"/>
              <w:bottom w:val="single" w:sz="2" w:space="0" w:color="000000"/>
            </w:tcBorders>
          </w:tcPr>
          <w:p w14:paraId="1A459BC2" w14:textId="77777777" w:rsidR="00E53EB6" w:rsidRDefault="006500F5">
            <w:pPr>
              <w:pStyle w:val="TableContents"/>
            </w:pPr>
            <w:r>
              <w:t>1</w:t>
            </w:r>
          </w:p>
        </w:tc>
        <w:tc>
          <w:tcPr>
            <w:tcW w:w="1367" w:type="dxa"/>
            <w:tcBorders>
              <w:left w:val="single" w:sz="2" w:space="0" w:color="000000"/>
              <w:bottom w:val="single" w:sz="2" w:space="0" w:color="000000"/>
            </w:tcBorders>
          </w:tcPr>
          <w:p w14:paraId="7B751BD8" w14:textId="77777777" w:rsidR="00E53EB6" w:rsidRDefault="006500F5">
            <w:pPr>
              <w:pStyle w:val="TableContents"/>
            </w:pPr>
            <w:r>
              <w:t>6.38.1</w:t>
            </w:r>
          </w:p>
        </w:tc>
        <w:tc>
          <w:tcPr>
            <w:tcW w:w="2113" w:type="dxa"/>
            <w:tcBorders>
              <w:left w:val="single" w:sz="2" w:space="0" w:color="000000"/>
              <w:bottom w:val="single" w:sz="2" w:space="0" w:color="000000"/>
            </w:tcBorders>
          </w:tcPr>
          <w:p w14:paraId="56BA1A6A" w14:textId="77777777" w:rsidR="00E53EB6" w:rsidRDefault="006500F5">
            <w:pPr>
              <w:pStyle w:val="TableContents"/>
              <w:rPr>
                <w:i/>
                <w:iCs/>
              </w:rPr>
            </w:pPr>
            <w:r>
              <w:rPr>
                <w:i/>
                <w:iCs/>
              </w:rPr>
              <w:t>vanate</w:t>
            </w:r>
          </w:p>
        </w:tc>
        <w:tc>
          <w:tcPr>
            <w:tcW w:w="3075" w:type="dxa"/>
            <w:tcBorders>
              <w:left w:val="single" w:sz="2" w:space="0" w:color="000000"/>
              <w:bottom w:val="single" w:sz="2" w:space="0" w:color="000000"/>
              <w:right w:val="single" w:sz="2" w:space="0" w:color="000000"/>
            </w:tcBorders>
          </w:tcPr>
          <w:p w14:paraId="3C94328B" w14:textId="77777777" w:rsidR="00E53EB6" w:rsidRDefault="006500F5">
            <w:pPr>
              <w:pStyle w:val="TableContents"/>
            </w:pPr>
            <w:r>
              <w:t>Agni•</w:t>
            </w:r>
          </w:p>
        </w:tc>
      </w:tr>
      <w:tr w:rsidR="00E53EB6" w14:paraId="65590524" w14:textId="77777777">
        <w:tc>
          <w:tcPr>
            <w:tcW w:w="1574" w:type="dxa"/>
            <w:tcBorders>
              <w:left w:val="single" w:sz="2" w:space="0" w:color="000000"/>
              <w:bottom w:val="single" w:sz="2" w:space="0" w:color="000000"/>
            </w:tcBorders>
          </w:tcPr>
          <w:p w14:paraId="3D32CFA1" w14:textId="77777777" w:rsidR="00E53EB6" w:rsidRDefault="006500F5">
            <w:pPr>
              <w:pStyle w:val="TableContents"/>
              <w:rPr>
                <w:i/>
                <w:iCs/>
              </w:rPr>
            </w:pPr>
            <w:r>
              <w:rPr>
                <w:i/>
                <w:iCs/>
              </w:rPr>
              <w:t>práti</w:t>
            </w:r>
            <w:r>
              <w:rPr>
                <w:i/>
                <w:iCs/>
              </w:rPr>
              <w:t>ṣṭ</w:t>
            </w:r>
            <w:r>
              <w:rPr>
                <w:i/>
                <w:iCs/>
              </w:rPr>
              <w:t>utim</w:t>
            </w:r>
          </w:p>
        </w:tc>
        <w:tc>
          <w:tcPr>
            <w:tcW w:w="645" w:type="dxa"/>
            <w:tcBorders>
              <w:left w:val="single" w:sz="2" w:space="0" w:color="000000"/>
              <w:bottom w:val="single" w:sz="2" w:space="0" w:color="000000"/>
            </w:tcBorders>
          </w:tcPr>
          <w:p w14:paraId="615436B1" w14:textId="77777777" w:rsidR="00E53EB6" w:rsidRDefault="006500F5">
            <w:pPr>
              <w:pStyle w:val="TableContents"/>
            </w:pPr>
            <w:r>
              <w:t>1</w:t>
            </w:r>
          </w:p>
        </w:tc>
        <w:tc>
          <w:tcPr>
            <w:tcW w:w="1367" w:type="dxa"/>
            <w:tcBorders>
              <w:left w:val="single" w:sz="2" w:space="0" w:color="000000"/>
              <w:bottom w:val="single" w:sz="2" w:space="0" w:color="000000"/>
            </w:tcBorders>
          </w:tcPr>
          <w:p w14:paraId="76C31105" w14:textId="77777777" w:rsidR="00E53EB6" w:rsidRDefault="006500F5">
            <w:pPr>
              <w:pStyle w:val="TableContents"/>
            </w:pPr>
            <w:r>
              <w:t>8.13.33</w:t>
            </w:r>
          </w:p>
        </w:tc>
        <w:tc>
          <w:tcPr>
            <w:tcW w:w="2113" w:type="dxa"/>
            <w:tcBorders>
              <w:left w:val="single" w:sz="2" w:space="0" w:color="000000"/>
              <w:bottom w:val="single" w:sz="2" w:space="0" w:color="000000"/>
            </w:tcBorders>
          </w:tcPr>
          <w:p w14:paraId="3470DC29" w14:textId="77777777" w:rsidR="00E53EB6" w:rsidRDefault="006500F5">
            <w:pPr>
              <w:pStyle w:val="TableContents"/>
              <w:rPr>
                <w:i/>
                <w:iCs/>
              </w:rPr>
            </w:pPr>
            <w:r>
              <w:rPr>
                <w:i/>
                <w:iCs/>
              </w:rPr>
              <w:t>vāvantha</w:t>
            </w:r>
          </w:p>
        </w:tc>
        <w:tc>
          <w:tcPr>
            <w:tcW w:w="3075" w:type="dxa"/>
            <w:tcBorders>
              <w:left w:val="single" w:sz="2" w:space="0" w:color="000000"/>
              <w:bottom w:val="single" w:sz="2" w:space="0" w:color="000000"/>
              <w:right w:val="single" w:sz="2" w:space="0" w:color="000000"/>
            </w:tcBorders>
          </w:tcPr>
          <w:p w14:paraId="68BAE7BC" w14:textId="77777777" w:rsidR="00E53EB6" w:rsidRDefault="006500F5">
            <w:pPr>
              <w:pStyle w:val="TableContents"/>
            </w:pPr>
            <w:r>
              <w:t>Indra</w:t>
            </w:r>
          </w:p>
        </w:tc>
      </w:tr>
      <w:tr w:rsidR="00E53EB6" w14:paraId="5F426DE7" w14:textId="77777777">
        <w:tc>
          <w:tcPr>
            <w:tcW w:w="1574" w:type="dxa"/>
            <w:tcBorders>
              <w:left w:val="single" w:sz="2" w:space="0" w:color="000000"/>
              <w:bottom w:val="single" w:sz="2" w:space="0" w:color="000000"/>
            </w:tcBorders>
          </w:tcPr>
          <w:p w14:paraId="23271ADC" w14:textId="77777777" w:rsidR="00E53EB6" w:rsidRDefault="006500F5">
            <w:pPr>
              <w:pStyle w:val="TableContents"/>
              <w:rPr>
                <w:i/>
                <w:iCs/>
              </w:rPr>
            </w:pPr>
            <w:r>
              <w:rPr>
                <w:i/>
                <w:iCs/>
              </w:rPr>
              <w:t>bráhma</w:t>
            </w:r>
          </w:p>
        </w:tc>
        <w:tc>
          <w:tcPr>
            <w:tcW w:w="645" w:type="dxa"/>
            <w:tcBorders>
              <w:left w:val="single" w:sz="2" w:space="0" w:color="000000"/>
              <w:bottom w:val="single" w:sz="2" w:space="0" w:color="000000"/>
            </w:tcBorders>
          </w:tcPr>
          <w:p w14:paraId="2E3E292A" w14:textId="77777777" w:rsidR="00E53EB6" w:rsidRDefault="006500F5">
            <w:pPr>
              <w:pStyle w:val="TableContents"/>
            </w:pPr>
            <w:r>
              <w:t>1</w:t>
            </w:r>
          </w:p>
        </w:tc>
        <w:tc>
          <w:tcPr>
            <w:tcW w:w="1367" w:type="dxa"/>
            <w:tcBorders>
              <w:left w:val="single" w:sz="2" w:space="0" w:color="000000"/>
              <w:bottom w:val="single" w:sz="2" w:space="0" w:color="000000"/>
            </w:tcBorders>
          </w:tcPr>
          <w:p w14:paraId="21BDEF6D" w14:textId="77777777" w:rsidR="00E53EB6" w:rsidRDefault="006500F5">
            <w:pPr>
              <w:pStyle w:val="TableContents"/>
            </w:pPr>
            <w:r>
              <w:t>3.8.2</w:t>
            </w:r>
          </w:p>
        </w:tc>
        <w:tc>
          <w:tcPr>
            <w:tcW w:w="2113" w:type="dxa"/>
            <w:tcBorders>
              <w:left w:val="single" w:sz="2" w:space="0" w:color="000000"/>
              <w:bottom w:val="single" w:sz="2" w:space="0" w:color="000000"/>
            </w:tcBorders>
          </w:tcPr>
          <w:p w14:paraId="0E96E0CC" w14:textId="77777777" w:rsidR="00E53EB6" w:rsidRDefault="006500F5">
            <w:pPr>
              <w:pStyle w:val="TableContents"/>
              <w:rPr>
                <w:i/>
                <w:iCs/>
              </w:rPr>
            </w:pPr>
            <w:r>
              <w:rPr>
                <w:i/>
                <w:iCs/>
              </w:rPr>
              <w:t>vanvāná</w:t>
            </w:r>
            <w:r>
              <w:rPr>
                <w:i/>
                <w:iCs/>
              </w:rPr>
              <w:t>ḥ</w:t>
            </w:r>
          </w:p>
        </w:tc>
        <w:tc>
          <w:tcPr>
            <w:tcW w:w="3075" w:type="dxa"/>
            <w:tcBorders>
              <w:left w:val="single" w:sz="2" w:space="0" w:color="000000"/>
              <w:bottom w:val="single" w:sz="2" w:space="0" w:color="000000"/>
              <w:right w:val="single" w:sz="2" w:space="0" w:color="000000"/>
            </w:tcBorders>
          </w:tcPr>
          <w:p w14:paraId="4D3AAE6D" w14:textId="77777777" w:rsidR="00E53EB6" w:rsidRDefault="006500F5">
            <w:pPr>
              <w:pStyle w:val="TableContents"/>
            </w:pPr>
            <w:r>
              <w:t>Sacrificial Pillar•</w:t>
            </w:r>
          </w:p>
        </w:tc>
      </w:tr>
      <w:tr w:rsidR="00E53EB6" w14:paraId="3312C1B6" w14:textId="77777777">
        <w:tc>
          <w:tcPr>
            <w:tcW w:w="1574" w:type="dxa"/>
            <w:tcBorders>
              <w:left w:val="single" w:sz="2" w:space="0" w:color="000000"/>
              <w:bottom w:val="single" w:sz="2" w:space="0" w:color="000000"/>
            </w:tcBorders>
          </w:tcPr>
          <w:p w14:paraId="127F1CC0" w14:textId="77777777" w:rsidR="00E53EB6" w:rsidRDefault="006500F5">
            <w:pPr>
              <w:pStyle w:val="TableContents"/>
              <w:rPr>
                <w:i/>
                <w:iCs/>
              </w:rPr>
            </w:pPr>
            <w:r>
              <w:rPr>
                <w:i/>
                <w:iCs/>
              </w:rPr>
              <w:t>mádam</w:t>
            </w:r>
          </w:p>
        </w:tc>
        <w:tc>
          <w:tcPr>
            <w:tcW w:w="645" w:type="dxa"/>
            <w:tcBorders>
              <w:left w:val="single" w:sz="2" w:space="0" w:color="000000"/>
              <w:bottom w:val="single" w:sz="2" w:space="0" w:color="000000"/>
            </w:tcBorders>
          </w:tcPr>
          <w:p w14:paraId="317E9F75" w14:textId="77777777" w:rsidR="00E53EB6" w:rsidRDefault="006500F5">
            <w:pPr>
              <w:pStyle w:val="TableContents"/>
            </w:pPr>
            <w:r>
              <w:t>1</w:t>
            </w:r>
          </w:p>
        </w:tc>
        <w:tc>
          <w:tcPr>
            <w:tcW w:w="1367" w:type="dxa"/>
            <w:tcBorders>
              <w:left w:val="single" w:sz="2" w:space="0" w:color="000000"/>
              <w:bottom w:val="single" w:sz="2" w:space="0" w:color="000000"/>
            </w:tcBorders>
          </w:tcPr>
          <w:p w14:paraId="61B81DB3" w14:textId="77777777" w:rsidR="00E53EB6" w:rsidRDefault="006500F5">
            <w:pPr>
              <w:pStyle w:val="TableContents"/>
            </w:pPr>
            <w:r>
              <w:t>10.96.1</w:t>
            </w:r>
          </w:p>
        </w:tc>
        <w:tc>
          <w:tcPr>
            <w:tcW w:w="2113" w:type="dxa"/>
            <w:tcBorders>
              <w:left w:val="single" w:sz="2" w:space="0" w:color="000000"/>
              <w:bottom w:val="single" w:sz="2" w:space="0" w:color="000000"/>
            </w:tcBorders>
          </w:tcPr>
          <w:p w14:paraId="6F583FD4" w14:textId="77777777" w:rsidR="00E53EB6" w:rsidRDefault="006500F5">
            <w:pPr>
              <w:pStyle w:val="TableContents"/>
              <w:rPr>
                <w:i/>
                <w:iCs/>
              </w:rPr>
            </w:pPr>
            <w:r>
              <w:rPr>
                <w:i/>
                <w:iCs/>
              </w:rPr>
              <w:t>pra vavne</w:t>
            </w:r>
          </w:p>
        </w:tc>
        <w:tc>
          <w:tcPr>
            <w:tcW w:w="3075" w:type="dxa"/>
            <w:tcBorders>
              <w:left w:val="single" w:sz="2" w:space="0" w:color="000000"/>
              <w:bottom w:val="single" w:sz="2" w:space="0" w:color="000000"/>
              <w:right w:val="single" w:sz="2" w:space="0" w:color="000000"/>
            </w:tcBorders>
          </w:tcPr>
          <w:p w14:paraId="2795A61F" w14:textId="77777777" w:rsidR="00E53EB6" w:rsidRDefault="006500F5">
            <w:pPr>
              <w:pStyle w:val="TableContents"/>
            </w:pPr>
            <w:r>
              <w:t>Ø</w:t>
            </w:r>
          </w:p>
        </w:tc>
      </w:tr>
      <w:tr w:rsidR="00E53EB6" w14:paraId="24CA6883" w14:textId="77777777">
        <w:tc>
          <w:tcPr>
            <w:tcW w:w="1574" w:type="dxa"/>
            <w:tcBorders>
              <w:left w:val="single" w:sz="2" w:space="0" w:color="000000"/>
              <w:bottom w:val="single" w:sz="2" w:space="0" w:color="000000"/>
            </w:tcBorders>
          </w:tcPr>
          <w:p w14:paraId="719E43C6" w14:textId="77777777" w:rsidR="00E53EB6" w:rsidRDefault="006500F5">
            <w:pPr>
              <w:pStyle w:val="TableContents"/>
              <w:rPr>
                <w:i/>
                <w:iCs/>
              </w:rPr>
            </w:pPr>
            <w:r>
              <w:rPr>
                <w:i/>
                <w:iCs/>
              </w:rPr>
              <w:t>manī</w:t>
            </w:r>
            <w:r>
              <w:rPr>
                <w:i/>
                <w:iCs/>
              </w:rPr>
              <w:t>ṣ</w:t>
            </w:r>
            <w:r>
              <w:rPr>
                <w:i/>
                <w:iCs/>
              </w:rPr>
              <w:t>ā́</w:t>
            </w:r>
          </w:p>
        </w:tc>
        <w:tc>
          <w:tcPr>
            <w:tcW w:w="645" w:type="dxa"/>
            <w:tcBorders>
              <w:left w:val="single" w:sz="2" w:space="0" w:color="000000"/>
              <w:bottom w:val="single" w:sz="2" w:space="0" w:color="000000"/>
            </w:tcBorders>
          </w:tcPr>
          <w:p w14:paraId="5F9AE8E8" w14:textId="77777777" w:rsidR="00E53EB6" w:rsidRDefault="006500F5">
            <w:pPr>
              <w:pStyle w:val="TableContents"/>
            </w:pPr>
            <w:r>
              <w:t>1</w:t>
            </w:r>
          </w:p>
        </w:tc>
        <w:tc>
          <w:tcPr>
            <w:tcW w:w="1367" w:type="dxa"/>
            <w:tcBorders>
              <w:left w:val="single" w:sz="2" w:space="0" w:color="000000"/>
              <w:bottom w:val="single" w:sz="2" w:space="0" w:color="000000"/>
            </w:tcBorders>
          </w:tcPr>
          <w:p w14:paraId="54E5EE5D" w14:textId="77777777" w:rsidR="00E53EB6" w:rsidRDefault="006500F5">
            <w:pPr>
              <w:pStyle w:val="TableContents"/>
            </w:pPr>
            <w:r>
              <w:t>1.70.1</w:t>
            </w:r>
          </w:p>
        </w:tc>
        <w:tc>
          <w:tcPr>
            <w:tcW w:w="2113" w:type="dxa"/>
            <w:tcBorders>
              <w:left w:val="single" w:sz="2" w:space="0" w:color="000000"/>
              <w:bottom w:val="single" w:sz="2" w:space="0" w:color="000000"/>
            </w:tcBorders>
          </w:tcPr>
          <w:p w14:paraId="13F636B6" w14:textId="77777777" w:rsidR="00E53EB6" w:rsidRDefault="006500F5">
            <w:pPr>
              <w:pStyle w:val="TableContents"/>
              <w:rPr>
                <w:i/>
                <w:iCs/>
              </w:rPr>
            </w:pPr>
            <w:r>
              <w:rPr>
                <w:i/>
                <w:iCs/>
              </w:rPr>
              <w:t>vanema (aryá</w:t>
            </w:r>
            <w:r>
              <w:rPr>
                <w:i/>
                <w:iCs/>
              </w:rPr>
              <w:t>ḥ</w:t>
            </w:r>
            <w:r>
              <w:rPr>
                <w:i/>
                <w:iCs/>
              </w:rPr>
              <w:t>)</w:t>
            </w:r>
          </w:p>
        </w:tc>
        <w:tc>
          <w:tcPr>
            <w:tcW w:w="3075" w:type="dxa"/>
            <w:tcBorders>
              <w:left w:val="single" w:sz="2" w:space="0" w:color="000000"/>
              <w:bottom w:val="single" w:sz="2" w:space="0" w:color="000000"/>
              <w:right w:val="single" w:sz="2" w:space="0" w:color="000000"/>
            </w:tcBorders>
          </w:tcPr>
          <w:p w14:paraId="679D9E2F" w14:textId="77777777" w:rsidR="00E53EB6" w:rsidRDefault="006500F5">
            <w:pPr>
              <w:pStyle w:val="TableContents"/>
            </w:pPr>
            <w:r>
              <w:t>Ø</w:t>
            </w:r>
          </w:p>
        </w:tc>
      </w:tr>
      <w:tr w:rsidR="00E53EB6" w14:paraId="6D08F61B" w14:textId="77777777">
        <w:tc>
          <w:tcPr>
            <w:tcW w:w="1574" w:type="dxa"/>
            <w:tcBorders>
              <w:left w:val="single" w:sz="2" w:space="0" w:color="000000"/>
              <w:bottom w:val="single" w:sz="2" w:space="0" w:color="000000"/>
            </w:tcBorders>
          </w:tcPr>
          <w:p w14:paraId="0418319A" w14:textId="77777777" w:rsidR="00E53EB6" w:rsidRDefault="006500F5">
            <w:pPr>
              <w:pStyle w:val="TableContents"/>
              <w:rPr>
                <w:i/>
                <w:iCs/>
              </w:rPr>
            </w:pPr>
            <w:r>
              <w:rPr>
                <w:i/>
                <w:iCs/>
              </w:rPr>
              <w:t>mántram</w:t>
            </w:r>
          </w:p>
        </w:tc>
        <w:tc>
          <w:tcPr>
            <w:tcW w:w="645" w:type="dxa"/>
            <w:tcBorders>
              <w:left w:val="single" w:sz="2" w:space="0" w:color="000000"/>
              <w:bottom w:val="single" w:sz="2" w:space="0" w:color="000000"/>
            </w:tcBorders>
          </w:tcPr>
          <w:p w14:paraId="2F33836A" w14:textId="77777777" w:rsidR="00E53EB6" w:rsidRDefault="006500F5">
            <w:pPr>
              <w:pStyle w:val="TableContents"/>
            </w:pPr>
            <w:r>
              <w:t>1</w:t>
            </w:r>
          </w:p>
        </w:tc>
        <w:tc>
          <w:tcPr>
            <w:tcW w:w="1367" w:type="dxa"/>
            <w:tcBorders>
              <w:left w:val="single" w:sz="2" w:space="0" w:color="000000"/>
              <w:bottom w:val="single" w:sz="2" w:space="0" w:color="000000"/>
            </w:tcBorders>
          </w:tcPr>
          <w:p w14:paraId="66454243" w14:textId="77777777" w:rsidR="00E53EB6" w:rsidRDefault="006500F5">
            <w:pPr>
              <w:pStyle w:val="TableContents"/>
            </w:pPr>
            <w:r>
              <w:t>1.31.13</w:t>
            </w:r>
          </w:p>
        </w:tc>
        <w:tc>
          <w:tcPr>
            <w:tcW w:w="2113" w:type="dxa"/>
            <w:tcBorders>
              <w:left w:val="single" w:sz="2" w:space="0" w:color="000000"/>
              <w:bottom w:val="single" w:sz="2" w:space="0" w:color="000000"/>
            </w:tcBorders>
          </w:tcPr>
          <w:p w14:paraId="0A0BEC7E" w14:textId="77777777" w:rsidR="00E53EB6" w:rsidRDefault="006500F5">
            <w:pPr>
              <w:pStyle w:val="TableContents"/>
              <w:rPr>
                <w:i/>
                <w:iCs/>
              </w:rPr>
            </w:pPr>
            <w:r>
              <w:rPr>
                <w:i/>
                <w:iCs/>
              </w:rPr>
              <w:t>vano</w:t>
            </w:r>
            <w:r>
              <w:rPr>
                <w:i/>
                <w:iCs/>
              </w:rPr>
              <w:t>ṣ</w:t>
            </w:r>
            <w:r>
              <w:rPr>
                <w:i/>
                <w:iCs/>
              </w:rPr>
              <w:t>i</w:t>
            </w:r>
          </w:p>
        </w:tc>
        <w:tc>
          <w:tcPr>
            <w:tcW w:w="3075" w:type="dxa"/>
            <w:tcBorders>
              <w:left w:val="single" w:sz="2" w:space="0" w:color="000000"/>
              <w:bottom w:val="single" w:sz="2" w:space="0" w:color="000000"/>
              <w:right w:val="single" w:sz="2" w:space="0" w:color="000000"/>
            </w:tcBorders>
          </w:tcPr>
          <w:p w14:paraId="067C63AF" w14:textId="77777777" w:rsidR="00E53EB6" w:rsidRDefault="006500F5">
            <w:pPr>
              <w:pStyle w:val="TableContents"/>
            </w:pPr>
            <w:r>
              <w:t>Agni</w:t>
            </w:r>
          </w:p>
        </w:tc>
      </w:tr>
      <w:tr w:rsidR="00E53EB6" w14:paraId="46E69A1C" w14:textId="77777777">
        <w:tc>
          <w:tcPr>
            <w:tcW w:w="1574" w:type="dxa"/>
            <w:tcBorders>
              <w:left w:val="single" w:sz="2" w:space="0" w:color="000000"/>
              <w:bottom w:val="single" w:sz="2" w:space="0" w:color="000000"/>
            </w:tcBorders>
          </w:tcPr>
          <w:p w14:paraId="0BD6593B" w14:textId="77777777" w:rsidR="00E53EB6" w:rsidRDefault="006500F5">
            <w:pPr>
              <w:pStyle w:val="TableContents"/>
              <w:rPr>
                <w:i/>
                <w:iCs/>
              </w:rPr>
            </w:pPr>
            <w:r>
              <w:rPr>
                <w:i/>
                <w:iCs/>
              </w:rPr>
              <w:t>mánma</w:t>
            </w:r>
          </w:p>
        </w:tc>
        <w:tc>
          <w:tcPr>
            <w:tcW w:w="645" w:type="dxa"/>
            <w:tcBorders>
              <w:left w:val="single" w:sz="2" w:space="0" w:color="000000"/>
              <w:bottom w:val="single" w:sz="2" w:space="0" w:color="000000"/>
            </w:tcBorders>
          </w:tcPr>
          <w:p w14:paraId="3929E3CE" w14:textId="77777777" w:rsidR="00E53EB6" w:rsidRDefault="006500F5">
            <w:pPr>
              <w:pStyle w:val="TableContents"/>
            </w:pPr>
            <w:r>
              <w:t>1</w:t>
            </w:r>
          </w:p>
        </w:tc>
        <w:tc>
          <w:tcPr>
            <w:tcW w:w="1367" w:type="dxa"/>
            <w:tcBorders>
              <w:left w:val="single" w:sz="2" w:space="0" w:color="000000"/>
              <w:bottom w:val="single" w:sz="2" w:space="0" w:color="000000"/>
            </w:tcBorders>
          </w:tcPr>
          <w:p w14:paraId="17153898" w14:textId="77777777" w:rsidR="00E53EB6" w:rsidRDefault="006500F5">
            <w:pPr>
              <w:pStyle w:val="TableContents"/>
            </w:pPr>
            <w:r>
              <w:t>4.11.2</w:t>
            </w:r>
          </w:p>
        </w:tc>
        <w:tc>
          <w:tcPr>
            <w:tcW w:w="2113" w:type="dxa"/>
            <w:tcBorders>
              <w:left w:val="single" w:sz="2" w:space="0" w:color="000000"/>
              <w:bottom w:val="single" w:sz="2" w:space="0" w:color="000000"/>
            </w:tcBorders>
          </w:tcPr>
          <w:p w14:paraId="2428E222" w14:textId="77777777" w:rsidR="00E53EB6" w:rsidRDefault="006500F5">
            <w:pPr>
              <w:pStyle w:val="TableContents"/>
              <w:rPr>
                <w:i/>
                <w:iCs/>
              </w:rPr>
            </w:pPr>
            <w:r>
              <w:rPr>
                <w:i/>
                <w:iCs/>
              </w:rPr>
              <w:t>vāvana</w:t>
            </w:r>
            <w:r>
              <w:rPr>
                <w:i/>
                <w:iCs/>
              </w:rPr>
              <w:t>ḥ</w:t>
            </w:r>
          </w:p>
        </w:tc>
        <w:tc>
          <w:tcPr>
            <w:tcW w:w="3075" w:type="dxa"/>
            <w:tcBorders>
              <w:left w:val="single" w:sz="2" w:space="0" w:color="000000"/>
              <w:bottom w:val="single" w:sz="2" w:space="0" w:color="000000"/>
              <w:right w:val="single" w:sz="2" w:space="0" w:color="000000"/>
            </w:tcBorders>
          </w:tcPr>
          <w:p w14:paraId="4F77EDB2" w14:textId="77777777" w:rsidR="00E53EB6" w:rsidRDefault="006500F5">
            <w:pPr>
              <w:pStyle w:val="TableContents"/>
            </w:pPr>
            <w:r>
              <w:t xml:space="preserve">Agni </w:t>
            </w:r>
          </w:p>
        </w:tc>
      </w:tr>
      <w:tr w:rsidR="00E53EB6" w14:paraId="082F6437" w14:textId="77777777">
        <w:tc>
          <w:tcPr>
            <w:tcW w:w="1574" w:type="dxa"/>
            <w:tcBorders>
              <w:left w:val="single" w:sz="2" w:space="0" w:color="000000"/>
              <w:bottom w:val="single" w:sz="2" w:space="0" w:color="000000"/>
            </w:tcBorders>
          </w:tcPr>
          <w:p w14:paraId="17B2F2D9" w14:textId="77777777" w:rsidR="00E53EB6" w:rsidRDefault="006500F5">
            <w:pPr>
              <w:pStyle w:val="TableContents"/>
              <w:rPr>
                <w:i/>
                <w:iCs/>
              </w:rPr>
            </w:pPr>
            <w:r>
              <w:rPr>
                <w:i/>
                <w:iCs/>
              </w:rPr>
              <w:t>yajñám</w:t>
            </w:r>
          </w:p>
          <w:p w14:paraId="471B3E08" w14:textId="77777777" w:rsidR="00E53EB6" w:rsidRDefault="006500F5">
            <w:pPr>
              <w:pStyle w:val="TableContents"/>
              <w:rPr>
                <w:i/>
                <w:iCs/>
              </w:rPr>
            </w:pPr>
            <w:r>
              <w:rPr>
                <w:i/>
                <w:iCs/>
              </w:rPr>
              <w:t xml:space="preserve">(yajñám)yát </w:t>
            </w:r>
          </w:p>
        </w:tc>
        <w:tc>
          <w:tcPr>
            <w:tcW w:w="645" w:type="dxa"/>
            <w:tcBorders>
              <w:left w:val="single" w:sz="2" w:space="0" w:color="000000"/>
              <w:bottom w:val="single" w:sz="2" w:space="0" w:color="000000"/>
            </w:tcBorders>
          </w:tcPr>
          <w:p w14:paraId="7B279284" w14:textId="77777777" w:rsidR="00E53EB6" w:rsidRDefault="006500F5">
            <w:pPr>
              <w:pStyle w:val="TableContents"/>
            </w:pPr>
            <w:r>
              <w:t>2</w:t>
            </w:r>
          </w:p>
        </w:tc>
        <w:tc>
          <w:tcPr>
            <w:tcW w:w="1367" w:type="dxa"/>
            <w:tcBorders>
              <w:left w:val="single" w:sz="2" w:space="0" w:color="000000"/>
              <w:bottom w:val="single" w:sz="2" w:space="0" w:color="000000"/>
            </w:tcBorders>
          </w:tcPr>
          <w:p w14:paraId="382CDB73" w14:textId="77777777" w:rsidR="00E53EB6" w:rsidRDefault="006500F5">
            <w:pPr>
              <w:pStyle w:val="TableContents"/>
            </w:pPr>
            <w:r>
              <w:t>2.5.7</w:t>
            </w:r>
          </w:p>
          <w:p w14:paraId="2BEB8A3E" w14:textId="77777777" w:rsidR="00E53EB6" w:rsidRDefault="006500F5">
            <w:pPr>
              <w:pStyle w:val="TableContents"/>
            </w:pPr>
            <w:r>
              <w:t>8.66.5*</w:t>
            </w:r>
          </w:p>
        </w:tc>
        <w:tc>
          <w:tcPr>
            <w:tcW w:w="2113" w:type="dxa"/>
            <w:tcBorders>
              <w:left w:val="single" w:sz="2" w:space="0" w:color="000000"/>
              <w:bottom w:val="single" w:sz="2" w:space="0" w:color="000000"/>
            </w:tcBorders>
          </w:tcPr>
          <w:p w14:paraId="06234099" w14:textId="77777777" w:rsidR="00E53EB6" w:rsidRDefault="006500F5">
            <w:pPr>
              <w:pStyle w:val="TableContents"/>
              <w:rPr>
                <w:i/>
                <w:iCs/>
              </w:rPr>
            </w:pPr>
            <w:r>
              <w:rPr>
                <w:i/>
                <w:iCs/>
              </w:rPr>
              <w:t>vanema</w:t>
            </w:r>
          </w:p>
          <w:p w14:paraId="1171D96B" w14:textId="77777777" w:rsidR="00E53EB6" w:rsidRDefault="006500F5">
            <w:pPr>
              <w:pStyle w:val="TableContents"/>
              <w:rPr>
                <w:i/>
                <w:iCs/>
              </w:rPr>
            </w:pPr>
            <w:r>
              <w:rPr>
                <w:i/>
                <w:iCs/>
              </w:rPr>
              <w:t>vāvántha</w:t>
            </w:r>
          </w:p>
        </w:tc>
        <w:tc>
          <w:tcPr>
            <w:tcW w:w="3075" w:type="dxa"/>
            <w:tcBorders>
              <w:left w:val="single" w:sz="2" w:space="0" w:color="000000"/>
              <w:bottom w:val="single" w:sz="2" w:space="0" w:color="000000"/>
              <w:right w:val="single" w:sz="2" w:space="0" w:color="000000"/>
            </w:tcBorders>
          </w:tcPr>
          <w:p w14:paraId="57AE9B50" w14:textId="77777777" w:rsidR="00E53EB6" w:rsidRDefault="006500F5">
            <w:pPr>
              <w:pStyle w:val="TableContents"/>
              <w:rPr>
                <w:i/>
                <w:iCs/>
              </w:rPr>
            </w:pPr>
            <w:r>
              <w:rPr>
                <w:i/>
                <w:iCs/>
              </w:rPr>
              <w:t>vayám</w:t>
            </w:r>
          </w:p>
          <w:p w14:paraId="608923CD" w14:textId="77777777" w:rsidR="00E53EB6" w:rsidRDefault="006500F5">
            <w:pPr>
              <w:pStyle w:val="TableContents"/>
            </w:pPr>
            <w:r>
              <w:t>Indra</w:t>
            </w:r>
          </w:p>
        </w:tc>
      </w:tr>
      <w:tr w:rsidR="00E53EB6" w14:paraId="54ABA895" w14:textId="77777777">
        <w:tc>
          <w:tcPr>
            <w:tcW w:w="1574" w:type="dxa"/>
            <w:tcBorders>
              <w:left w:val="single" w:sz="2" w:space="0" w:color="000000"/>
              <w:bottom w:val="single" w:sz="2" w:space="0" w:color="000000"/>
            </w:tcBorders>
          </w:tcPr>
          <w:p w14:paraId="1D24454F" w14:textId="77777777" w:rsidR="00E53EB6" w:rsidRDefault="006500F5">
            <w:pPr>
              <w:pStyle w:val="TableContents"/>
              <w:rPr>
                <w:i/>
                <w:iCs/>
              </w:rPr>
            </w:pPr>
            <w:r>
              <w:rPr>
                <w:i/>
                <w:iCs/>
              </w:rPr>
              <w:t>yájyūn</w:t>
            </w:r>
          </w:p>
        </w:tc>
        <w:tc>
          <w:tcPr>
            <w:tcW w:w="645" w:type="dxa"/>
            <w:tcBorders>
              <w:left w:val="single" w:sz="2" w:space="0" w:color="000000"/>
              <w:bottom w:val="single" w:sz="2" w:space="0" w:color="000000"/>
            </w:tcBorders>
          </w:tcPr>
          <w:p w14:paraId="1383AB70" w14:textId="77777777" w:rsidR="00E53EB6" w:rsidRDefault="006500F5">
            <w:pPr>
              <w:pStyle w:val="TableContents"/>
            </w:pPr>
            <w:r>
              <w:t>1</w:t>
            </w:r>
          </w:p>
        </w:tc>
        <w:tc>
          <w:tcPr>
            <w:tcW w:w="1367" w:type="dxa"/>
            <w:tcBorders>
              <w:left w:val="single" w:sz="2" w:space="0" w:color="000000"/>
              <w:bottom w:val="single" w:sz="2" w:space="0" w:color="000000"/>
            </w:tcBorders>
          </w:tcPr>
          <w:p w14:paraId="3D54A2F5" w14:textId="77777777" w:rsidR="00E53EB6" w:rsidRDefault="006500F5">
            <w:pPr>
              <w:pStyle w:val="TableContents"/>
            </w:pPr>
            <w:r>
              <w:t>5.31.13</w:t>
            </w:r>
          </w:p>
        </w:tc>
        <w:tc>
          <w:tcPr>
            <w:tcW w:w="2113" w:type="dxa"/>
            <w:tcBorders>
              <w:left w:val="single" w:sz="2" w:space="0" w:color="000000"/>
              <w:bottom w:val="single" w:sz="2" w:space="0" w:color="000000"/>
            </w:tcBorders>
          </w:tcPr>
          <w:p w14:paraId="72FC5E7A" w14:textId="77777777" w:rsidR="00E53EB6" w:rsidRDefault="006500F5">
            <w:pPr>
              <w:pStyle w:val="TableContents"/>
              <w:rPr>
                <w:i/>
                <w:iCs/>
              </w:rPr>
            </w:pPr>
            <w:r>
              <w:rPr>
                <w:i/>
                <w:iCs/>
              </w:rPr>
              <w:t>vāvandhi</w:t>
            </w:r>
          </w:p>
        </w:tc>
        <w:tc>
          <w:tcPr>
            <w:tcW w:w="3075" w:type="dxa"/>
            <w:tcBorders>
              <w:left w:val="single" w:sz="2" w:space="0" w:color="000000"/>
              <w:bottom w:val="single" w:sz="2" w:space="0" w:color="000000"/>
              <w:right w:val="single" w:sz="2" w:space="0" w:color="000000"/>
            </w:tcBorders>
          </w:tcPr>
          <w:p w14:paraId="56C1677A" w14:textId="77777777" w:rsidR="00E53EB6" w:rsidRDefault="006500F5">
            <w:pPr>
              <w:pStyle w:val="TableContents"/>
            </w:pPr>
            <w:r>
              <w:t>Indra•</w:t>
            </w:r>
          </w:p>
        </w:tc>
      </w:tr>
      <w:tr w:rsidR="00E53EB6" w14:paraId="4D3FB9A7" w14:textId="77777777">
        <w:tc>
          <w:tcPr>
            <w:tcW w:w="1574" w:type="dxa"/>
            <w:tcBorders>
              <w:left w:val="single" w:sz="2" w:space="0" w:color="000000"/>
              <w:bottom w:val="single" w:sz="2" w:space="0" w:color="000000"/>
            </w:tcBorders>
          </w:tcPr>
          <w:p w14:paraId="586F403B" w14:textId="77777777" w:rsidR="00E53EB6" w:rsidRDefault="006500F5">
            <w:pPr>
              <w:pStyle w:val="TableContents"/>
              <w:rPr>
                <w:i/>
                <w:iCs/>
              </w:rPr>
            </w:pPr>
            <w:r>
              <w:rPr>
                <w:i/>
                <w:iCs/>
              </w:rPr>
              <w:lastRenderedPageBreak/>
              <w:t xml:space="preserve">(ukhtám)yát </w:t>
            </w:r>
          </w:p>
        </w:tc>
        <w:tc>
          <w:tcPr>
            <w:tcW w:w="645" w:type="dxa"/>
            <w:tcBorders>
              <w:left w:val="single" w:sz="2" w:space="0" w:color="000000"/>
              <w:bottom w:val="single" w:sz="2" w:space="0" w:color="000000"/>
            </w:tcBorders>
          </w:tcPr>
          <w:p w14:paraId="3F000B0C" w14:textId="77777777" w:rsidR="00E53EB6" w:rsidRDefault="006500F5">
            <w:pPr>
              <w:pStyle w:val="TableContents"/>
            </w:pPr>
            <w:r>
              <w:t>1</w:t>
            </w:r>
          </w:p>
        </w:tc>
        <w:tc>
          <w:tcPr>
            <w:tcW w:w="1367" w:type="dxa"/>
            <w:tcBorders>
              <w:left w:val="single" w:sz="2" w:space="0" w:color="000000"/>
              <w:bottom w:val="single" w:sz="2" w:space="0" w:color="000000"/>
            </w:tcBorders>
          </w:tcPr>
          <w:p w14:paraId="7FB4AF9C" w14:textId="77777777" w:rsidR="00E53EB6" w:rsidRDefault="006500F5">
            <w:pPr>
              <w:pStyle w:val="TableContents"/>
            </w:pPr>
            <w:r>
              <w:t>8.66.5</w:t>
            </w:r>
          </w:p>
        </w:tc>
        <w:tc>
          <w:tcPr>
            <w:tcW w:w="2113" w:type="dxa"/>
            <w:tcBorders>
              <w:left w:val="single" w:sz="2" w:space="0" w:color="000000"/>
              <w:bottom w:val="single" w:sz="2" w:space="0" w:color="000000"/>
            </w:tcBorders>
          </w:tcPr>
          <w:p w14:paraId="51C1F539" w14:textId="77777777" w:rsidR="00E53EB6" w:rsidRDefault="006500F5">
            <w:pPr>
              <w:pStyle w:val="TableContents"/>
              <w:rPr>
                <w:i/>
                <w:iCs/>
              </w:rPr>
            </w:pPr>
            <w:r>
              <w:rPr>
                <w:i/>
                <w:iCs/>
              </w:rPr>
              <w:t>vāvántha</w:t>
            </w:r>
          </w:p>
        </w:tc>
        <w:tc>
          <w:tcPr>
            <w:tcW w:w="3075" w:type="dxa"/>
            <w:tcBorders>
              <w:left w:val="single" w:sz="2" w:space="0" w:color="000000"/>
              <w:bottom w:val="single" w:sz="2" w:space="0" w:color="000000"/>
              <w:right w:val="single" w:sz="2" w:space="0" w:color="000000"/>
            </w:tcBorders>
          </w:tcPr>
          <w:p w14:paraId="18E967CC" w14:textId="77777777" w:rsidR="00E53EB6" w:rsidRDefault="006500F5">
            <w:pPr>
              <w:pStyle w:val="TableContents"/>
            </w:pPr>
            <w:r>
              <w:t>Indra</w:t>
            </w:r>
          </w:p>
        </w:tc>
      </w:tr>
      <w:tr w:rsidR="00E53EB6" w14:paraId="6941F995" w14:textId="77777777">
        <w:tc>
          <w:tcPr>
            <w:tcW w:w="1574" w:type="dxa"/>
            <w:tcBorders>
              <w:left w:val="single" w:sz="2" w:space="0" w:color="000000"/>
              <w:bottom w:val="single" w:sz="2" w:space="0" w:color="000000"/>
            </w:tcBorders>
          </w:tcPr>
          <w:p w14:paraId="20C20C85" w14:textId="77777777" w:rsidR="00E53EB6" w:rsidRDefault="006500F5">
            <w:pPr>
              <w:pStyle w:val="TableContents"/>
              <w:rPr>
                <w:i/>
                <w:iCs/>
              </w:rPr>
            </w:pPr>
            <w:r>
              <w:rPr>
                <w:i/>
                <w:iCs/>
              </w:rPr>
              <w:t>(váca</w:t>
            </w:r>
            <w:r>
              <w:rPr>
                <w:i/>
                <w:iCs/>
              </w:rPr>
              <w:t>ḥ</w:t>
            </w:r>
            <w:r>
              <w:rPr>
                <w:i/>
                <w:iCs/>
              </w:rPr>
              <w:t xml:space="preserve">)yát </w:t>
            </w:r>
          </w:p>
        </w:tc>
        <w:tc>
          <w:tcPr>
            <w:tcW w:w="645" w:type="dxa"/>
            <w:tcBorders>
              <w:left w:val="single" w:sz="2" w:space="0" w:color="000000"/>
              <w:bottom w:val="single" w:sz="2" w:space="0" w:color="000000"/>
            </w:tcBorders>
          </w:tcPr>
          <w:p w14:paraId="4F66FD6B" w14:textId="77777777" w:rsidR="00E53EB6" w:rsidRDefault="006500F5">
            <w:pPr>
              <w:pStyle w:val="TableContents"/>
            </w:pPr>
            <w:r>
              <w:t>1</w:t>
            </w:r>
          </w:p>
        </w:tc>
        <w:tc>
          <w:tcPr>
            <w:tcW w:w="1367" w:type="dxa"/>
            <w:tcBorders>
              <w:left w:val="single" w:sz="2" w:space="0" w:color="000000"/>
              <w:bottom w:val="single" w:sz="2" w:space="0" w:color="000000"/>
            </w:tcBorders>
          </w:tcPr>
          <w:p w14:paraId="3D14C711" w14:textId="77777777" w:rsidR="00E53EB6" w:rsidRDefault="006500F5">
            <w:pPr>
              <w:pStyle w:val="TableContents"/>
            </w:pPr>
            <w:r>
              <w:t>8.66.5</w:t>
            </w:r>
          </w:p>
        </w:tc>
        <w:tc>
          <w:tcPr>
            <w:tcW w:w="2113" w:type="dxa"/>
            <w:tcBorders>
              <w:left w:val="single" w:sz="2" w:space="0" w:color="000000"/>
              <w:bottom w:val="single" w:sz="2" w:space="0" w:color="000000"/>
            </w:tcBorders>
          </w:tcPr>
          <w:p w14:paraId="61259ECE" w14:textId="77777777" w:rsidR="00E53EB6" w:rsidRDefault="006500F5">
            <w:pPr>
              <w:pStyle w:val="TableContents"/>
              <w:rPr>
                <w:i/>
                <w:iCs/>
              </w:rPr>
            </w:pPr>
            <w:r>
              <w:rPr>
                <w:i/>
                <w:iCs/>
              </w:rPr>
              <w:t>vāvántha</w:t>
            </w:r>
          </w:p>
        </w:tc>
        <w:tc>
          <w:tcPr>
            <w:tcW w:w="3075" w:type="dxa"/>
            <w:tcBorders>
              <w:left w:val="single" w:sz="2" w:space="0" w:color="000000"/>
              <w:bottom w:val="single" w:sz="2" w:space="0" w:color="000000"/>
              <w:right w:val="single" w:sz="2" w:space="0" w:color="000000"/>
            </w:tcBorders>
          </w:tcPr>
          <w:p w14:paraId="7B4A378C" w14:textId="77777777" w:rsidR="00E53EB6" w:rsidRDefault="006500F5">
            <w:pPr>
              <w:pStyle w:val="TableContents"/>
            </w:pPr>
            <w:r>
              <w:t>Indra</w:t>
            </w:r>
          </w:p>
        </w:tc>
      </w:tr>
      <w:tr w:rsidR="00E53EB6" w14:paraId="4B1CDCE1" w14:textId="77777777">
        <w:tc>
          <w:tcPr>
            <w:tcW w:w="1574" w:type="dxa"/>
            <w:tcBorders>
              <w:left w:val="single" w:sz="2" w:space="0" w:color="000000"/>
              <w:bottom w:val="single" w:sz="2" w:space="0" w:color="000000"/>
            </w:tcBorders>
          </w:tcPr>
          <w:p w14:paraId="2310AF8F" w14:textId="77777777" w:rsidR="00E53EB6" w:rsidRDefault="006500F5">
            <w:pPr>
              <w:pStyle w:val="TableContents"/>
              <w:rPr>
                <w:i/>
                <w:iCs/>
              </w:rPr>
            </w:pPr>
            <w:r>
              <w:rPr>
                <w:i/>
                <w:iCs/>
              </w:rPr>
              <w:t>vánā</w:t>
            </w:r>
          </w:p>
        </w:tc>
        <w:tc>
          <w:tcPr>
            <w:tcW w:w="645" w:type="dxa"/>
            <w:tcBorders>
              <w:left w:val="single" w:sz="2" w:space="0" w:color="000000"/>
              <w:bottom w:val="single" w:sz="2" w:space="0" w:color="000000"/>
            </w:tcBorders>
          </w:tcPr>
          <w:p w14:paraId="522BC00A" w14:textId="77777777" w:rsidR="00E53EB6" w:rsidRDefault="006500F5">
            <w:pPr>
              <w:pStyle w:val="TableContents"/>
            </w:pPr>
            <w:r>
              <w:t>1</w:t>
            </w:r>
          </w:p>
        </w:tc>
        <w:tc>
          <w:tcPr>
            <w:tcW w:w="1367" w:type="dxa"/>
            <w:tcBorders>
              <w:left w:val="single" w:sz="2" w:space="0" w:color="000000"/>
              <w:bottom w:val="single" w:sz="2" w:space="0" w:color="000000"/>
            </w:tcBorders>
          </w:tcPr>
          <w:p w14:paraId="73731739" w14:textId="77777777" w:rsidR="00E53EB6" w:rsidRDefault="006500F5">
            <w:pPr>
              <w:pStyle w:val="TableContents"/>
            </w:pPr>
            <w:r>
              <w:t>6.6.3</w:t>
            </w:r>
          </w:p>
        </w:tc>
        <w:tc>
          <w:tcPr>
            <w:tcW w:w="2113" w:type="dxa"/>
            <w:tcBorders>
              <w:left w:val="single" w:sz="2" w:space="0" w:color="000000"/>
              <w:bottom w:val="single" w:sz="2" w:space="0" w:color="000000"/>
            </w:tcBorders>
          </w:tcPr>
          <w:p w14:paraId="214ECC83" w14:textId="77777777" w:rsidR="00E53EB6" w:rsidRDefault="006500F5">
            <w:pPr>
              <w:pStyle w:val="TableContents"/>
              <w:rPr>
                <w:i/>
                <w:iCs/>
              </w:rPr>
            </w:pPr>
            <w:r>
              <w:rPr>
                <w:i/>
                <w:iCs/>
              </w:rPr>
              <w:t>vananti</w:t>
            </w:r>
          </w:p>
        </w:tc>
        <w:tc>
          <w:tcPr>
            <w:tcW w:w="3075" w:type="dxa"/>
            <w:tcBorders>
              <w:left w:val="single" w:sz="2" w:space="0" w:color="000000"/>
              <w:bottom w:val="single" w:sz="2" w:space="0" w:color="000000"/>
              <w:right w:val="single" w:sz="2" w:space="0" w:color="000000"/>
            </w:tcBorders>
          </w:tcPr>
          <w:p w14:paraId="67087928" w14:textId="77777777" w:rsidR="00E53EB6" w:rsidRDefault="006500F5">
            <w:pPr>
              <w:pStyle w:val="TableContents"/>
            </w:pPr>
            <w:r>
              <w:t>Agni (</w:t>
            </w:r>
            <w:r>
              <w:rPr>
                <w:i/>
                <w:iCs/>
              </w:rPr>
              <w:t>bhā́māsa</w:t>
            </w:r>
            <w:r>
              <w:rPr>
                <w:i/>
                <w:iCs/>
              </w:rPr>
              <w:t>ḥ</w:t>
            </w:r>
            <w:r>
              <w:t xml:space="preserve"> of Agni)</w:t>
            </w:r>
          </w:p>
        </w:tc>
      </w:tr>
      <w:tr w:rsidR="00E53EB6" w14:paraId="54A2A67F" w14:textId="77777777">
        <w:tc>
          <w:tcPr>
            <w:tcW w:w="1574" w:type="dxa"/>
            <w:tcBorders>
              <w:left w:val="single" w:sz="2" w:space="0" w:color="000000"/>
              <w:bottom w:val="single" w:sz="2" w:space="0" w:color="000000"/>
            </w:tcBorders>
          </w:tcPr>
          <w:p w14:paraId="2D528C6A" w14:textId="77777777" w:rsidR="00E53EB6" w:rsidRDefault="006500F5">
            <w:pPr>
              <w:pStyle w:val="TableContents"/>
              <w:rPr>
                <w:i/>
                <w:iCs/>
              </w:rPr>
            </w:pPr>
            <w:r>
              <w:rPr>
                <w:i/>
                <w:iCs/>
              </w:rPr>
              <w:t>vípah</w:t>
            </w:r>
          </w:p>
        </w:tc>
        <w:tc>
          <w:tcPr>
            <w:tcW w:w="645" w:type="dxa"/>
            <w:tcBorders>
              <w:left w:val="single" w:sz="2" w:space="0" w:color="000000"/>
              <w:bottom w:val="single" w:sz="2" w:space="0" w:color="000000"/>
            </w:tcBorders>
          </w:tcPr>
          <w:p w14:paraId="52E18ED5" w14:textId="77777777" w:rsidR="00E53EB6" w:rsidRDefault="006500F5">
            <w:pPr>
              <w:pStyle w:val="TableContents"/>
            </w:pPr>
            <w:r>
              <w:t>1</w:t>
            </w:r>
          </w:p>
        </w:tc>
        <w:tc>
          <w:tcPr>
            <w:tcW w:w="1367" w:type="dxa"/>
            <w:tcBorders>
              <w:left w:val="single" w:sz="2" w:space="0" w:color="000000"/>
              <w:bottom w:val="single" w:sz="2" w:space="0" w:color="000000"/>
            </w:tcBorders>
          </w:tcPr>
          <w:p w14:paraId="3231506E" w14:textId="77777777" w:rsidR="00E53EB6" w:rsidRDefault="006500F5">
            <w:pPr>
              <w:pStyle w:val="TableContents"/>
            </w:pPr>
            <w:r>
              <w:t>10.61.3</w:t>
            </w:r>
          </w:p>
        </w:tc>
        <w:tc>
          <w:tcPr>
            <w:tcW w:w="2113" w:type="dxa"/>
            <w:tcBorders>
              <w:left w:val="single" w:sz="2" w:space="0" w:color="000000"/>
              <w:bottom w:val="single" w:sz="2" w:space="0" w:color="000000"/>
            </w:tcBorders>
          </w:tcPr>
          <w:p w14:paraId="28E757A4" w14:textId="77777777" w:rsidR="00E53EB6" w:rsidRDefault="006500F5">
            <w:pPr>
              <w:pStyle w:val="TableContents"/>
              <w:rPr>
                <w:i/>
                <w:iCs/>
              </w:rPr>
            </w:pPr>
            <w:r>
              <w:rPr>
                <w:i/>
                <w:iCs/>
              </w:rPr>
              <w:t>vanutha</w:t>
            </w:r>
            <w:r>
              <w:rPr>
                <w:i/>
                <w:iCs/>
              </w:rPr>
              <w:t>ḥ</w:t>
            </w:r>
          </w:p>
        </w:tc>
        <w:tc>
          <w:tcPr>
            <w:tcW w:w="3075" w:type="dxa"/>
            <w:tcBorders>
              <w:left w:val="single" w:sz="2" w:space="0" w:color="000000"/>
              <w:bottom w:val="single" w:sz="2" w:space="0" w:color="000000"/>
              <w:right w:val="single" w:sz="2" w:space="0" w:color="000000"/>
            </w:tcBorders>
          </w:tcPr>
          <w:p w14:paraId="4E19F396" w14:textId="77777777" w:rsidR="00E53EB6" w:rsidRDefault="006500F5">
            <w:pPr>
              <w:pStyle w:val="TableContents"/>
            </w:pPr>
            <w:r>
              <w:t>Aśvin•</w:t>
            </w:r>
          </w:p>
        </w:tc>
      </w:tr>
      <w:tr w:rsidR="00E53EB6" w14:paraId="26C47AB6" w14:textId="77777777">
        <w:tc>
          <w:tcPr>
            <w:tcW w:w="1574" w:type="dxa"/>
            <w:tcBorders>
              <w:left w:val="single" w:sz="2" w:space="0" w:color="000000"/>
              <w:bottom w:val="single" w:sz="2" w:space="0" w:color="000000"/>
            </w:tcBorders>
          </w:tcPr>
          <w:p w14:paraId="7EDA2A47" w14:textId="77777777" w:rsidR="00E53EB6" w:rsidRDefault="006500F5">
            <w:pPr>
              <w:pStyle w:val="TableContents"/>
              <w:rPr>
                <w:i/>
                <w:iCs/>
              </w:rPr>
            </w:pPr>
            <w:r>
              <w:rPr>
                <w:i/>
                <w:iCs/>
              </w:rPr>
              <w:t>samídham</w:t>
            </w:r>
          </w:p>
        </w:tc>
        <w:tc>
          <w:tcPr>
            <w:tcW w:w="645" w:type="dxa"/>
            <w:tcBorders>
              <w:left w:val="single" w:sz="2" w:space="0" w:color="000000"/>
              <w:bottom w:val="single" w:sz="2" w:space="0" w:color="000000"/>
            </w:tcBorders>
          </w:tcPr>
          <w:p w14:paraId="1294E553" w14:textId="77777777" w:rsidR="00E53EB6" w:rsidRDefault="006500F5">
            <w:pPr>
              <w:pStyle w:val="TableContents"/>
            </w:pPr>
            <w:r>
              <w:t>1</w:t>
            </w:r>
          </w:p>
        </w:tc>
        <w:tc>
          <w:tcPr>
            <w:tcW w:w="1367" w:type="dxa"/>
            <w:tcBorders>
              <w:left w:val="single" w:sz="2" w:space="0" w:color="000000"/>
              <w:bottom w:val="single" w:sz="2" w:space="0" w:color="000000"/>
            </w:tcBorders>
          </w:tcPr>
          <w:p w14:paraId="752E5A9F" w14:textId="77777777" w:rsidR="00E53EB6" w:rsidRDefault="006500F5">
            <w:pPr>
              <w:pStyle w:val="TableContents"/>
            </w:pPr>
            <w:r>
              <w:t>2.6.1</w:t>
            </w:r>
          </w:p>
        </w:tc>
        <w:tc>
          <w:tcPr>
            <w:tcW w:w="2113" w:type="dxa"/>
            <w:tcBorders>
              <w:left w:val="single" w:sz="2" w:space="0" w:color="000000"/>
              <w:bottom w:val="single" w:sz="2" w:space="0" w:color="000000"/>
            </w:tcBorders>
          </w:tcPr>
          <w:p w14:paraId="0E576BD1" w14:textId="77777777" w:rsidR="00E53EB6" w:rsidRDefault="006500F5">
            <w:pPr>
              <w:pStyle w:val="TableContents"/>
              <w:rPr>
                <w:i/>
                <w:iCs/>
              </w:rPr>
            </w:pPr>
            <w:r>
              <w:rPr>
                <w:i/>
                <w:iCs/>
              </w:rPr>
              <w:t>vane</w:t>
            </w:r>
            <w:r>
              <w:rPr>
                <w:i/>
                <w:iCs/>
              </w:rPr>
              <w:t>ḥ</w:t>
            </w:r>
          </w:p>
        </w:tc>
        <w:tc>
          <w:tcPr>
            <w:tcW w:w="3075" w:type="dxa"/>
            <w:tcBorders>
              <w:left w:val="single" w:sz="2" w:space="0" w:color="000000"/>
              <w:bottom w:val="single" w:sz="2" w:space="0" w:color="000000"/>
              <w:right w:val="single" w:sz="2" w:space="0" w:color="000000"/>
            </w:tcBorders>
          </w:tcPr>
          <w:p w14:paraId="4ACFF3B0" w14:textId="77777777" w:rsidR="00E53EB6" w:rsidRDefault="006500F5">
            <w:pPr>
              <w:pStyle w:val="TableContents"/>
            </w:pPr>
            <w:r>
              <w:t>Agni</w:t>
            </w:r>
          </w:p>
        </w:tc>
      </w:tr>
      <w:tr w:rsidR="00E53EB6" w14:paraId="15BDE910" w14:textId="77777777">
        <w:tc>
          <w:tcPr>
            <w:tcW w:w="1574" w:type="dxa"/>
            <w:tcBorders>
              <w:left w:val="single" w:sz="2" w:space="0" w:color="000000"/>
              <w:bottom w:val="single" w:sz="2" w:space="0" w:color="000000"/>
            </w:tcBorders>
          </w:tcPr>
          <w:p w14:paraId="5AA44E70" w14:textId="77777777" w:rsidR="00E53EB6" w:rsidRDefault="006500F5">
            <w:pPr>
              <w:pStyle w:val="TableContents"/>
              <w:rPr>
                <w:i/>
                <w:iCs/>
              </w:rPr>
            </w:pPr>
            <w:r>
              <w:rPr>
                <w:i/>
                <w:iCs/>
              </w:rPr>
              <w:t>stómam</w:t>
            </w:r>
          </w:p>
        </w:tc>
        <w:tc>
          <w:tcPr>
            <w:tcW w:w="645" w:type="dxa"/>
            <w:tcBorders>
              <w:left w:val="single" w:sz="2" w:space="0" w:color="000000"/>
              <w:bottom w:val="single" w:sz="2" w:space="0" w:color="000000"/>
            </w:tcBorders>
          </w:tcPr>
          <w:p w14:paraId="6C6212F9" w14:textId="77777777" w:rsidR="00E53EB6" w:rsidRDefault="006500F5">
            <w:pPr>
              <w:pStyle w:val="TableContents"/>
            </w:pPr>
            <w:r>
              <w:t>1</w:t>
            </w:r>
          </w:p>
        </w:tc>
        <w:tc>
          <w:tcPr>
            <w:tcW w:w="1367" w:type="dxa"/>
            <w:tcBorders>
              <w:left w:val="single" w:sz="2" w:space="0" w:color="000000"/>
              <w:bottom w:val="single" w:sz="2" w:space="0" w:color="000000"/>
            </w:tcBorders>
          </w:tcPr>
          <w:p w14:paraId="097ED711" w14:textId="77777777" w:rsidR="00E53EB6" w:rsidRDefault="006500F5">
            <w:pPr>
              <w:pStyle w:val="TableContents"/>
            </w:pPr>
            <w:r>
              <w:t>2.5.7</w:t>
            </w:r>
          </w:p>
        </w:tc>
        <w:tc>
          <w:tcPr>
            <w:tcW w:w="2113" w:type="dxa"/>
            <w:tcBorders>
              <w:left w:val="single" w:sz="2" w:space="0" w:color="000000"/>
              <w:bottom w:val="single" w:sz="2" w:space="0" w:color="000000"/>
            </w:tcBorders>
          </w:tcPr>
          <w:p w14:paraId="620D5D59" w14:textId="77777777" w:rsidR="00E53EB6" w:rsidRDefault="006500F5">
            <w:pPr>
              <w:pStyle w:val="TableContents"/>
              <w:rPr>
                <w:i/>
                <w:iCs/>
              </w:rPr>
            </w:pPr>
            <w:r>
              <w:rPr>
                <w:i/>
                <w:iCs/>
              </w:rPr>
              <w:t>vanema</w:t>
            </w:r>
          </w:p>
        </w:tc>
        <w:tc>
          <w:tcPr>
            <w:tcW w:w="3075" w:type="dxa"/>
            <w:tcBorders>
              <w:left w:val="single" w:sz="2" w:space="0" w:color="000000"/>
              <w:bottom w:val="single" w:sz="2" w:space="0" w:color="000000"/>
              <w:right w:val="single" w:sz="2" w:space="0" w:color="000000"/>
            </w:tcBorders>
          </w:tcPr>
          <w:p w14:paraId="35C305AF" w14:textId="77777777" w:rsidR="00E53EB6" w:rsidRDefault="006500F5">
            <w:pPr>
              <w:pStyle w:val="TableContents"/>
              <w:rPr>
                <w:i/>
                <w:iCs/>
              </w:rPr>
            </w:pPr>
            <w:r>
              <w:rPr>
                <w:i/>
                <w:iCs/>
              </w:rPr>
              <w:t>vayám</w:t>
            </w:r>
          </w:p>
        </w:tc>
      </w:tr>
      <w:tr w:rsidR="00E53EB6" w14:paraId="070D002D" w14:textId="77777777">
        <w:tc>
          <w:tcPr>
            <w:tcW w:w="1574" w:type="dxa"/>
            <w:tcBorders>
              <w:left w:val="single" w:sz="2" w:space="0" w:color="000000"/>
              <w:bottom w:val="single" w:sz="2" w:space="0" w:color="000000"/>
            </w:tcBorders>
          </w:tcPr>
          <w:p w14:paraId="31A2C02A" w14:textId="77777777" w:rsidR="00E53EB6" w:rsidRDefault="006500F5">
            <w:pPr>
              <w:pStyle w:val="TableContents"/>
              <w:rPr>
                <w:i/>
                <w:iCs/>
              </w:rPr>
            </w:pPr>
            <w:r>
              <w:rPr>
                <w:i/>
                <w:iCs/>
              </w:rPr>
              <w:t>hávam</w:t>
            </w:r>
          </w:p>
        </w:tc>
        <w:tc>
          <w:tcPr>
            <w:tcW w:w="645" w:type="dxa"/>
            <w:tcBorders>
              <w:left w:val="single" w:sz="2" w:space="0" w:color="000000"/>
              <w:bottom w:val="single" w:sz="2" w:space="0" w:color="000000"/>
            </w:tcBorders>
          </w:tcPr>
          <w:p w14:paraId="4BB2CB52" w14:textId="77777777" w:rsidR="00E53EB6" w:rsidRDefault="006500F5">
            <w:pPr>
              <w:pStyle w:val="TableContents"/>
            </w:pPr>
            <w:r>
              <w:t>1</w:t>
            </w:r>
          </w:p>
        </w:tc>
        <w:tc>
          <w:tcPr>
            <w:tcW w:w="1367" w:type="dxa"/>
            <w:tcBorders>
              <w:left w:val="single" w:sz="2" w:space="0" w:color="000000"/>
              <w:bottom w:val="single" w:sz="2" w:space="0" w:color="000000"/>
            </w:tcBorders>
          </w:tcPr>
          <w:p w14:paraId="252EEE3E" w14:textId="77777777" w:rsidR="00E53EB6" w:rsidRDefault="006500F5">
            <w:pPr>
              <w:pStyle w:val="TableContents"/>
            </w:pPr>
            <w:r>
              <w:t>8.7.9</w:t>
            </w:r>
          </w:p>
        </w:tc>
        <w:tc>
          <w:tcPr>
            <w:tcW w:w="2113" w:type="dxa"/>
            <w:tcBorders>
              <w:left w:val="single" w:sz="2" w:space="0" w:color="000000"/>
              <w:bottom w:val="single" w:sz="2" w:space="0" w:color="000000"/>
            </w:tcBorders>
          </w:tcPr>
          <w:p w14:paraId="1476981E" w14:textId="77777777" w:rsidR="00E53EB6" w:rsidRDefault="006500F5">
            <w:pPr>
              <w:pStyle w:val="TableContents"/>
              <w:rPr>
                <w:i/>
                <w:iCs/>
              </w:rPr>
            </w:pPr>
            <w:r>
              <w:rPr>
                <w:i/>
                <w:iCs/>
              </w:rPr>
              <w:t>vanatā</w:t>
            </w:r>
            <w:r>
              <w:rPr>
                <w:i/>
                <w:iCs/>
              </w:rPr>
              <w:t>ḥ</w:t>
            </w:r>
          </w:p>
        </w:tc>
        <w:tc>
          <w:tcPr>
            <w:tcW w:w="3075" w:type="dxa"/>
            <w:tcBorders>
              <w:left w:val="single" w:sz="2" w:space="0" w:color="000000"/>
              <w:bottom w:val="single" w:sz="2" w:space="0" w:color="000000"/>
              <w:right w:val="single" w:sz="2" w:space="0" w:color="000000"/>
            </w:tcBorders>
          </w:tcPr>
          <w:p w14:paraId="24B67757" w14:textId="77777777" w:rsidR="00E53EB6" w:rsidRDefault="006500F5">
            <w:pPr>
              <w:pStyle w:val="TableContents"/>
            </w:pPr>
            <w:r>
              <w:t>Marut</w:t>
            </w:r>
          </w:p>
        </w:tc>
      </w:tr>
      <w:tr w:rsidR="00E53EB6" w14:paraId="715542D8" w14:textId="77777777">
        <w:tc>
          <w:tcPr>
            <w:tcW w:w="1574" w:type="dxa"/>
            <w:tcBorders>
              <w:left w:val="single" w:sz="2" w:space="0" w:color="000000"/>
              <w:bottom w:val="single" w:sz="2" w:space="0" w:color="000000"/>
            </w:tcBorders>
          </w:tcPr>
          <w:p w14:paraId="18CC8156" w14:textId="77777777" w:rsidR="00E53EB6" w:rsidRDefault="006500F5">
            <w:pPr>
              <w:pStyle w:val="TableContents"/>
              <w:rPr>
                <w:i/>
                <w:iCs/>
              </w:rPr>
            </w:pPr>
            <w:r>
              <w:rPr>
                <w:i/>
                <w:iCs/>
              </w:rPr>
              <w:t>havyā́</w:t>
            </w:r>
          </w:p>
        </w:tc>
        <w:tc>
          <w:tcPr>
            <w:tcW w:w="645" w:type="dxa"/>
            <w:tcBorders>
              <w:left w:val="single" w:sz="2" w:space="0" w:color="000000"/>
              <w:bottom w:val="single" w:sz="2" w:space="0" w:color="000000"/>
            </w:tcBorders>
          </w:tcPr>
          <w:p w14:paraId="788A828D" w14:textId="77777777" w:rsidR="00E53EB6" w:rsidRDefault="006500F5">
            <w:pPr>
              <w:pStyle w:val="TableContents"/>
            </w:pPr>
            <w:r>
              <w:t>1</w:t>
            </w:r>
          </w:p>
        </w:tc>
        <w:tc>
          <w:tcPr>
            <w:tcW w:w="1367" w:type="dxa"/>
            <w:tcBorders>
              <w:left w:val="single" w:sz="2" w:space="0" w:color="000000"/>
              <w:bottom w:val="single" w:sz="2" w:space="0" w:color="000000"/>
            </w:tcBorders>
          </w:tcPr>
          <w:p w14:paraId="74BF51E8" w14:textId="77777777" w:rsidR="00E53EB6" w:rsidRDefault="006500F5">
            <w:pPr>
              <w:pStyle w:val="TableContents"/>
            </w:pPr>
            <w:r>
              <w:t>5.7.3</w:t>
            </w:r>
          </w:p>
        </w:tc>
        <w:tc>
          <w:tcPr>
            <w:tcW w:w="2113" w:type="dxa"/>
            <w:tcBorders>
              <w:left w:val="single" w:sz="2" w:space="0" w:color="000000"/>
              <w:bottom w:val="single" w:sz="2" w:space="0" w:color="000000"/>
            </w:tcBorders>
          </w:tcPr>
          <w:p w14:paraId="6AB626B1" w14:textId="77777777" w:rsidR="00E53EB6" w:rsidRDefault="006500F5">
            <w:pPr>
              <w:pStyle w:val="TableContents"/>
              <w:rPr>
                <w:i/>
                <w:iCs/>
              </w:rPr>
            </w:pPr>
            <w:r>
              <w:rPr>
                <w:i/>
                <w:iCs/>
              </w:rPr>
              <w:t>vanāmahe</w:t>
            </w:r>
          </w:p>
        </w:tc>
        <w:tc>
          <w:tcPr>
            <w:tcW w:w="3075" w:type="dxa"/>
            <w:tcBorders>
              <w:left w:val="single" w:sz="2" w:space="0" w:color="000000"/>
              <w:bottom w:val="single" w:sz="2" w:space="0" w:color="000000"/>
              <w:right w:val="single" w:sz="2" w:space="0" w:color="000000"/>
            </w:tcBorders>
          </w:tcPr>
          <w:p w14:paraId="68F7466A" w14:textId="77777777" w:rsidR="00E53EB6" w:rsidRDefault="006500F5">
            <w:pPr>
              <w:pStyle w:val="TableContents"/>
              <w:rPr>
                <w:i/>
                <w:iCs/>
              </w:rPr>
            </w:pPr>
            <w:r>
              <w:rPr>
                <w:i/>
                <w:iCs/>
              </w:rPr>
              <w:t>Ø</w:t>
            </w:r>
          </w:p>
        </w:tc>
      </w:tr>
    </w:tbl>
    <w:p w14:paraId="6EF25FB6" w14:textId="77777777" w:rsidR="00E53EB6" w:rsidRDefault="00E53EB6">
      <w:pPr>
        <w:pStyle w:val="HaupttextohneEinzug"/>
        <w:rPr>
          <w:sz w:val="24"/>
          <w:szCs w:val="24"/>
          <w:lang w:bidi="it-IT"/>
        </w:rPr>
      </w:pPr>
    </w:p>
    <w:p w14:paraId="634EC413" w14:textId="77777777" w:rsidR="00E53EB6" w:rsidRDefault="00E53EB6">
      <w:pPr>
        <w:pStyle w:val="HaupttextohneEinzug"/>
        <w:rPr>
          <w:szCs w:val="21"/>
          <w:lang w:bidi="it-IT"/>
        </w:rPr>
      </w:pPr>
    </w:p>
    <w:p w14:paraId="5FC4E996" w14:textId="77777777" w:rsidR="00E53EB6" w:rsidRDefault="00E53EB6">
      <w:pPr>
        <w:pStyle w:val="HaupttextohneEinzug"/>
        <w:rPr>
          <w:szCs w:val="21"/>
          <w:lang w:bidi="it-IT"/>
        </w:rPr>
      </w:pPr>
    </w:p>
    <w:p w14:paraId="204213C8" w14:textId="77777777" w:rsidR="00E53EB6" w:rsidRDefault="006500F5">
      <w:pPr>
        <w:pStyle w:val="HaupttextohneEinzug"/>
        <w:rPr>
          <w:szCs w:val="21"/>
          <w:lang w:bidi="it-IT"/>
        </w:rPr>
      </w:pPr>
      <w:r>
        <w:rPr>
          <w:szCs w:val="21"/>
          <w:lang w:bidi="it-IT"/>
        </w:rPr>
        <w:t xml:space="preserve">e- the gods – </w:t>
      </w:r>
      <w:r>
        <w:rPr>
          <w:color w:val="800000"/>
          <w:szCs w:val="21"/>
          <w:u w:val="single"/>
          <w:lang w:bidi="it-IT"/>
        </w:rPr>
        <w:t>ritual action</w:t>
      </w:r>
    </w:p>
    <w:p w14:paraId="21FDB5E7" w14:textId="77777777" w:rsidR="00E53EB6" w:rsidRDefault="00E53EB6">
      <w:pPr>
        <w:pStyle w:val="HaupttextohneEinzug"/>
        <w:rPr>
          <w:szCs w:val="21"/>
          <w:lang w:bidi="it-IT"/>
        </w:rPr>
      </w:pPr>
    </w:p>
    <w:tbl>
      <w:tblPr>
        <w:tblW w:w="8792" w:type="dxa"/>
        <w:tblLayout w:type="fixed"/>
        <w:tblCellMar>
          <w:top w:w="55" w:type="dxa"/>
          <w:left w:w="55" w:type="dxa"/>
          <w:bottom w:w="55" w:type="dxa"/>
          <w:right w:w="55" w:type="dxa"/>
        </w:tblCellMar>
        <w:tblLook w:val="04A0" w:firstRow="1" w:lastRow="0" w:firstColumn="1" w:lastColumn="0" w:noHBand="0" w:noVBand="1"/>
      </w:tblPr>
      <w:tblGrid>
        <w:gridCol w:w="1576"/>
        <w:gridCol w:w="555"/>
        <w:gridCol w:w="1141"/>
        <w:gridCol w:w="1693"/>
        <w:gridCol w:w="1486"/>
        <w:gridCol w:w="2341"/>
      </w:tblGrid>
      <w:tr w:rsidR="00E53EB6" w14:paraId="61D49367" w14:textId="77777777">
        <w:tc>
          <w:tcPr>
            <w:tcW w:w="1576" w:type="dxa"/>
            <w:tcBorders>
              <w:top w:val="single" w:sz="2" w:space="0" w:color="000000"/>
              <w:left w:val="single" w:sz="2" w:space="0" w:color="000000"/>
              <w:bottom w:val="single" w:sz="2" w:space="0" w:color="000000"/>
            </w:tcBorders>
          </w:tcPr>
          <w:p w14:paraId="1D381505" w14:textId="77777777" w:rsidR="00E53EB6" w:rsidRDefault="006500F5">
            <w:pPr>
              <w:pStyle w:val="TableContents"/>
            </w:pPr>
            <w:r>
              <w:t>object</w:t>
            </w:r>
          </w:p>
        </w:tc>
        <w:tc>
          <w:tcPr>
            <w:tcW w:w="555" w:type="dxa"/>
            <w:tcBorders>
              <w:top w:val="single" w:sz="2" w:space="0" w:color="000000"/>
              <w:left w:val="single" w:sz="2" w:space="0" w:color="000000"/>
              <w:bottom w:val="single" w:sz="2" w:space="0" w:color="000000"/>
            </w:tcBorders>
          </w:tcPr>
          <w:p w14:paraId="0B8B19D7" w14:textId="77777777" w:rsidR="00E53EB6" w:rsidRDefault="006500F5">
            <w:pPr>
              <w:pStyle w:val="TableContents"/>
            </w:pPr>
            <w:r>
              <w:t>Q.</w:t>
            </w:r>
          </w:p>
        </w:tc>
        <w:tc>
          <w:tcPr>
            <w:tcW w:w="1141" w:type="dxa"/>
            <w:tcBorders>
              <w:top w:val="single" w:sz="2" w:space="0" w:color="000000"/>
              <w:left w:val="single" w:sz="2" w:space="0" w:color="000000"/>
              <w:bottom w:val="single" w:sz="2" w:space="0" w:color="000000"/>
            </w:tcBorders>
          </w:tcPr>
          <w:p w14:paraId="726B0958" w14:textId="77777777" w:rsidR="00E53EB6" w:rsidRDefault="006500F5">
            <w:pPr>
              <w:pStyle w:val="TableContents"/>
            </w:pPr>
            <w:r>
              <w:t>occur.</w:t>
            </w:r>
          </w:p>
        </w:tc>
        <w:tc>
          <w:tcPr>
            <w:tcW w:w="1693" w:type="dxa"/>
            <w:tcBorders>
              <w:top w:val="single" w:sz="2" w:space="0" w:color="000000"/>
              <w:left w:val="single" w:sz="2" w:space="0" w:color="000000"/>
              <w:bottom w:val="single" w:sz="2" w:space="0" w:color="000000"/>
            </w:tcBorders>
          </w:tcPr>
          <w:p w14:paraId="0F5276AC" w14:textId="77777777" w:rsidR="00E53EB6" w:rsidRDefault="006500F5">
            <w:pPr>
              <w:pStyle w:val="TableContents"/>
              <w:rPr>
                <w:i/>
                <w:iCs/>
              </w:rPr>
            </w:pPr>
            <w:r>
              <w:rPr>
                <w:i/>
                <w:iCs/>
              </w:rPr>
              <w:t>van- / van</w:t>
            </w:r>
            <w:r>
              <w:rPr>
                <w:i/>
                <w:iCs/>
                <w:vertAlign w:val="superscript"/>
              </w:rPr>
              <w:t>i</w:t>
            </w:r>
            <w:r>
              <w:rPr>
                <w:i/>
                <w:iCs/>
              </w:rPr>
              <w:t>-</w:t>
            </w:r>
          </w:p>
        </w:tc>
        <w:tc>
          <w:tcPr>
            <w:tcW w:w="1486" w:type="dxa"/>
            <w:tcBorders>
              <w:top w:val="single" w:sz="2" w:space="0" w:color="000000"/>
              <w:left w:val="single" w:sz="2" w:space="0" w:color="000000"/>
              <w:bottom w:val="single" w:sz="2" w:space="0" w:color="000000"/>
            </w:tcBorders>
          </w:tcPr>
          <w:p w14:paraId="699F6824" w14:textId="77777777" w:rsidR="00E53EB6" w:rsidRDefault="006500F5">
            <w:pPr>
              <w:pStyle w:val="TableContents"/>
            </w:pPr>
            <w:r>
              <w:t>instrument</w:t>
            </w:r>
          </w:p>
        </w:tc>
        <w:tc>
          <w:tcPr>
            <w:tcW w:w="2341" w:type="dxa"/>
            <w:tcBorders>
              <w:top w:val="single" w:sz="2" w:space="0" w:color="000000"/>
              <w:left w:val="single" w:sz="2" w:space="0" w:color="000000"/>
              <w:bottom w:val="single" w:sz="2" w:space="0" w:color="000000"/>
              <w:right w:val="single" w:sz="2" w:space="0" w:color="000000"/>
            </w:tcBorders>
          </w:tcPr>
          <w:p w14:paraId="236B2E1B" w14:textId="77777777" w:rsidR="00E53EB6" w:rsidRDefault="006500F5">
            <w:pPr>
              <w:pStyle w:val="TableContents"/>
            </w:pPr>
            <w:r>
              <w:t>subject- notes</w:t>
            </w:r>
          </w:p>
        </w:tc>
      </w:tr>
      <w:tr w:rsidR="00E53EB6" w14:paraId="12F34860" w14:textId="77777777">
        <w:tc>
          <w:tcPr>
            <w:tcW w:w="1576" w:type="dxa"/>
            <w:tcBorders>
              <w:left w:val="single" w:sz="2" w:space="0" w:color="000000"/>
              <w:bottom w:val="single" w:sz="2" w:space="0" w:color="000000"/>
            </w:tcBorders>
          </w:tcPr>
          <w:p w14:paraId="3327CF34" w14:textId="77777777" w:rsidR="00E53EB6" w:rsidRDefault="006500F5">
            <w:pPr>
              <w:pStyle w:val="TableContents"/>
            </w:pPr>
            <w:r>
              <w:rPr>
                <w:i/>
                <w:iCs/>
              </w:rPr>
              <w:t>anŕ̥ca</w:t>
            </w:r>
            <w:r>
              <w:rPr>
                <w:i/>
                <w:iCs/>
              </w:rPr>
              <w:t>ḥ</w:t>
            </w:r>
            <w:r>
              <w:rPr>
                <w:i/>
                <w:iCs/>
              </w:rPr>
              <w:t xml:space="preserve"> </w:t>
            </w:r>
            <w:r>
              <w:t>R̥V</w:t>
            </w:r>
            <w:r>
              <w:t xml:space="preserve"> </w:t>
            </w:r>
            <w:r>
              <w:rPr>
                <w:i/>
                <w:iCs/>
              </w:rPr>
              <w:t>hapax</w:t>
            </w:r>
          </w:p>
        </w:tc>
        <w:tc>
          <w:tcPr>
            <w:tcW w:w="555" w:type="dxa"/>
            <w:tcBorders>
              <w:left w:val="single" w:sz="2" w:space="0" w:color="000000"/>
              <w:bottom w:val="single" w:sz="2" w:space="0" w:color="000000"/>
            </w:tcBorders>
          </w:tcPr>
          <w:p w14:paraId="1944D03D" w14:textId="77777777" w:rsidR="00E53EB6" w:rsidRDefault="006500F5">
            <w:pPr>
              <w:pStyle w:val="TableContents"/>
            </w:pPr>
            <w:r>
              <w:t>1</w:t>
            </w:r>
          </w:p>
        </w:tc>
        <w:tc>
          <w:tcPr>
            <w:tcW w:w="1141" w:type="dxa"/>
            <w:tcBorders>
              <w:left w:val="single" w:sz="2" w:space="0" w:color="000000"/>
              <w:bottom w:val="single" w:sz="2" w:space="0" w:color="000000"/>
            </w:tcBorders>
          </w:tcPr>
          <w:p w14:paraId="7FF57F89" w14:textId="77777777" w:rsidR="00E53EB6" w:rsidRDefault="006500F5">
            <w:pPr>
              <w:pStyle w:val="TableContents"/>
            </w:pPr>
            <w:r>
              <w:t>10.105.8</w:t>
            </w:r>
          </w:p>
        </w:tc>
        <w:tc>
          <w:tcPr>
            <w:tcW w:w="1693" w:type="dxa"/>
            <w:tcBorders>
              <w:left w:val="single" w:sz="2" w:space="0" w:color="000000"/>
              <w:bottom w:val="single" w:sz="2" w:space="0" w:color="000000"/>
            </w:tcBorders>
          </w:tcPr>
          <w:p w14:paraId="082AA0A3" w14:textId="77777777" w:rsidR="00E53EB6" w:rsidRDefault="006500F5">
            <w:pPr>
              <w:pStyle w:val="TableContents"/>
              <w:rPr>
                <w:i/>
                <w:iCs/>
              </w:rPr>
            </w:pPr>
            <w:r>
              <w:rPr>
                <w:i/>
                <w:iCs/>
              </w:rPr>
              <w:t>vanema</w:t>
            </w:r>
          </w:p>
        </w:tc>
        <w:tc>
          <w:tcPr>
            <w:tcW w:w="1486" w:type="dxa"/>
            <w:tcBorders>
              <w:left w:val="single" w:sz="2" w:space="0" w:color="000000"/>
              <w:bottom w:val="single" w:sz="2" w:space="0" w:color="000000"/>
            </w:tcBorders>
          </w:tcPr>
          <w:p w14:paraId="6661360C" w14:textId="77777777" w:rsidR="00E53EB6" w:rsidRDefault="006500F5">
            <w:pPr>
              <w:pStyle w:val="TableContents"/>
              <w:rPr>
                <w:i/>
                <w:iCs/>
              </w:rPr>
            </w:pPr>
            <w:r>
              <w:rPr>
                <w:i/>
                <w:iCs/>
              </w:rPr>
              <w:t>rcā́</w:t>
            </w:r>
          </w:p>
        </w:tc>
        <w:tc>
          <w:tcPr>
            <w:tcW w:w="2341" w:type="dxa"/>
            <w:tcBorders>
              <w:left w:val="single" w:sz="2" w:space="0" w:color="000000"/>
              <w:bottom w:val="single" w:sz="2" w:space="0" w:color="000000"/>
              <w:right w:val="single" w:sz="2" w:space="0" w:color="000000"/>
            </w:tcBorders>
          </w:tcPr>
          <w:p w14:paraId="3A636A56" w14:textId="77777777" w:rsidR="00E53EB6" w:rsidRDefault="006500F5">
            <w:pPr>
              <w:pStyle w:val="TableContents"/>
            </w:pPr>
            <w:r>
              <w:t>Ø</w:t>
            </w:r>
          </w:p>
        </w:tc>
      </w:tr>
      <w:tr w:rsidR="00E53EB6" w14:paraId="3B739798" w14:textId="77777777">
        <w:tc>
          <w:tcPr>
            <w:tcW w:w="1576" w:type="dxa"/>
            <w:tcBorders>
              <w:left w:val="single" w:sz="2" w:space="0" w:color="000000"/>
              <w:bottom w:val="single" w:sz="2" w:space="0" w:color="000000"/>
            </w:tcBorders>
          </w:tcPr>
          <w:p w14:paraId="1A2C4A44" w14:textId="77777777" w:rsidR="00E53EB6" w:rsidRDefault="006500F5">
            <w:pPr>
              <w:pStyle w:val="TableContents"/>
              <w:rPr>
                <w:i/>
                <w:iCs/>
              </w:rPr>
            </w:pPr>
            <w:r>
              <w:rPr>
                <w:i/>
                <w:iCs/>
              </w:rPr>
              <w:t>amŕ̥tam</w:t>
            </w:r>
          </w:p>
        </w:tc>
        <w:tc>
          <w:tcPr>
            <w:tcW w:w="555" w:type="dxa"/>
            <w:tcBorders>
              <w:left w:val="single" w:sz="2" w:space="0" w:color="000000"/>
              <w:bottom w:val="single" w:sz="2" w:space="0" w:color="000000"/>
            </w:tcBorders>
          </w:tcPr>
          <w:p w14:paraId="3029DFCE" w14:textId="77777777" w:rsidR="00E53EB6" w:rsidRDefault="006500F5">
            <w:pPr>
              <w:pStyle w:val="TableContents"/>
            </w:pPr>
            <w:r>
              <w:t>1</w:t>
            </w:r>
          </w:p>
        </w:tc>
        <w:tc>
          <w:tcPr>
            <w:tcW w:w="1141" w:type="dxa"/>
            <w:tcBorders>
              <w:left w:val="single" w:sz="2" w:space="0" w:color="000000"/>
              <w:bottom w:val="single" w:sz="2" w:space="0" w:color="000000"/>
            </w:tcBorders>
          </w:tcPr>
          <w:p w14:paraId="517BB827" w14:textId="77777777" w:rsidR="00E53EB6" w:rsidRDefault="006500F5">
            <w:pPr>
              <w:pStyle w:val="TableContents"/>
            </w:pPr>
            <w:r>
              <w:t>6.15.6</w:t>
            </w:r>
          </w:p>
        </w:tc>
        <w:tc>
          <w:tcPr>
            <w:tcW w:w="1693" w:type="dxa"/>
            <w:tcBorders>
              <w:left w:val="single" w:sz="2" w:space="0" w:color="000000"/>
              <w:bottom w:val="single" w:sz="2" w:space="0" w:color="000000"/>
            </w:tcBorders>
          </w:tcPr>
          <w:p w14:paraId="1254939A" w14:textId="77777777" w:rsidR="00E53EB6" w:rsidRDefault="006500F5">
            <w:pPr>
              <w:pStyle w:val="TableContents"/>
              <w:rPr>
                <w:i/>
                <w:iCs/>
              </w:rPr>
            </w:pPr>
            <w:r>
              <w:rPr>
                <w:i/>
                <w:iCs/>
              </w:rPr>
              <w:t xml:space="preserve">úpa vivāsata </w:t>
            </w:r>
          </w:p>
        </w:tc>
        <w:tc>
          <w:tcPr>
            <w:tcW w:w="1486" w:type="dxa"/>
            <w:tcBorders>
              <w:left w:val="single" w:sz="2" w:space="0" w:color="000000"/>
              <w:bottom w:val="single" w:sz="2" w:space="0" w:color="000000"/>
            </w:tcBorders>
          </w:tcPr>
          <w:p w14:paraId="51AF2FD8" w14:textId="77777777" w:rsidR="00E53EB6" w:rsidRDefault="006500F5">
            <w:pPr>
              <w:pStyle w:val="TableContents"/>
              <w:rPr>
                <w:i/>
                <w:iCs/>
              </w:rPr>
            </w:pPr>
            <w:r>
              <w:rPr>
                <w:i/>
                <w:iCs/>
              </w:rPr>
              <w:t>gīrbhír</w:t>
            </w:r>
          </w:p>
        </w:tc>
        <w:tc>
          <w:tcPr>
            <w:tcW w:w="2341" w:type="dxa"/>
            <w:tcBorders>
              <w:left w:val="single" w:sz="2" w:space="0" w:color="000000"/>
              <w:bottom w:val="single" w:sz="2" w:space="0" w:color="000000"/>
              <w:right w:val="single" w:sz="2" w:space="0" w:color="000000"/>
            </w:tcBorders>
          </w:tcPr>
          <w:p w14:paraId="48CB5473" w14:textId="77777777" w:rsidR="00E53EB6" w:rsidRDefault="006500F5">
            <w:pPr>
              <w:pStyle w:val="TableContents"/>
            </w:pPr>
            <w:r>
              <w:t>Ø</w:t>
            </w:r>
          </w:p>
        </w:tc>
      </w:tr>
      <w:tr w:rsidR="00E53EB6" w14:paraId="309EFAB3" w14:textId="77777777">
        <w:tc>
          <w:tcPr>
            <w:tcW w:w="1576" w:type="dxa"/>
            <w:tcBorders>
              <w:left w:val="single" w:sz="2" w:space="0" w:color="000000"/>
              <w:bottom w:val="single" w:sz="2" w:space="0" w:color="000000"/>
            </w:tcBorders>
          </w:tcPr>
          <w:p w14:paraId="5C8B7790" w14:textId="77777777" w:rsidR="00E53EB6" w:rsidRDefault="006500F5">
            <w:pPr>
              <w:pStyle w:val="TableContents"/>
              <w:rPr>
                <w:i/>
                <w:iCs/>
              </w:rPr>
            </w:pPr>
            <w:r>
              <w:rPr>
                <w:i/>
                <w:iCs/>
              </w:rPr>
              <w:t>Indra•</w:t>
            </w:r>
          </w:p>
          <w:p w14:paraId="6D76A4E1" w14:textId="77777777" w:rsidR="00E53EB6" w:rsidRDefault="006500F5">
            <w:pPr>
              <w:pStyle w:val="TableContents"/>
              <w:rPr>
                <w:i/>
                <w:iCs/>
              </w:rPr>
            </w:pPr>
            <w:r>
              <w:rPr>
                <w:i/>
                <w:iCs/>
              </w:rPr>
              <w:t>(ī́m-índram)</w:t>
            </w:r>
          </w:p>
        </w:tc>
        <w:tc>
          <w:tcPr>
            <w:tcW w:w="555" w:type="dxa"/>
            <w:tcBorders>
              <w:left w:val="single" w:sz="2" w:space="0" w:color="000000"/>
              <w:bottom w:val="single" w:sz="2" w:space="0" w:color="000000"/>
            </w:tcBorders>
          </w:tcPr>
          <w:p w14:paraId="7BA03635" w14:textId="77777777" w:rsidR="00E53EB6" w:rsidRDefault="006500F5">
            <w:pPr>
              <w:pStyle w:val="TableContents"/>
            </w:pPr>
            <w:r>
              <w:t>2</w:t>
            </w:r>
          </w:p>
        </w:tc>
        <w:tc>
          <w:tcPr>
            <w:tcW w:w="1141" w:type="dxa"/>
            <w:tcBorders>
              <w:left w:val="single" w:sz="2" w:space="0" w:color="000000"/>
              <w:bottom w:val="single" w:sz="2" w:space="0" w:color="000000"/>
            </w:tcBorders>
          </w:tcPr>
          <w:p w14:paraId="4C4C93CD" w14:textId="77777777" w:rsidR="00E53EB6" w:rsidRDefault="006500F5">
            <w:pPr>
              <w:pStyle w:val="TableContents"/>
            </w:pPr>
            <w:r>
              <w:t>1.131.5</w:t>
            </w:r>
          </w:p>
          <w:p w14:paraId="30CF05C0" w14:textId="77777777" w:rsidR="00E53EB6" w:rsidRDefault="006500F5">
            <w:pPr>
              <w:pStyle w:val="TableContents"/>
            </w:pPr>
            <w:r>
              <w:t>1.51.2</w:t>
            </w:r>
          </w:p>
        </w:tc>
        <w:tc>
          <w:tcPr>
            <w:tcW w:w="1693" w:type="dxa"/>
            <w:tcBorders>
              <w:left w:val="single" w:sz="2" w:space="0" w:color="000000"/>
              <w:bottom w:val="single" w:sz="2" w:space="0" w:color="000000"/>
            </w:tcBorders>
          </w:tcPr>
          <w:p w14:paraId="111C6E45" w14:textId="77777777" w:rsidR="00E53EB6" w:rsidRDefault="006500F5">
            <w:pPr>
              <w:pStyle w:val="TableContents"/>
              <w:rPr>
                <w:i/>
                <w:iCs/>
              </w:rPr>
            </w:pPr>
            <w:r>
              <w:rPr>
                <w:i/>
                <w:iCs/>
              </w:rPr>
              <w:t>právantave</w:t>
            </w:r>
          </w:p>
          <w:p w14:paraId="0ABF068A" w14:textId="77777777" w:rsidR="00E53EB6" w:rsidRDefault="006500F5">
            <w:pPr>
              <w:pStyle w:val="TableContents"/>
              <w:rPr>
                <w:i/>
                <w:iCs/>
              </w:rPr>
            </w:pPr>
            <w:r>
              <w:rPr>
                <w:i/>
                <w:iCs/>
              </w:rPr>
              <w:t>avanvan</w:t>
            </w:r>
          </w:p>
        </w:tc>
        <w:tc>
          <w:tcPr>
            <w:tcW w:w="1486" w:type="dxa"/>
            <w:tcBorders>
              <w:left w:val="single" w:sz="2" w:space="0" w:color="000000"/>
              <w:bottom w:val="single" w:sz="2" w:space="0" w:color="000000"/>
            </w:tcBorders>
          </w:tcPr>
          <w:p w14:paraId="5D6A9BD2" w14:textId="77777777" w:rsidR="00E53EB6" w:rsidRDefault="00E53EB6">
            <w:pPr>
              <w:pStyle w:val="TableContents"/>
              <w:rPr>
                <w:i/>
                <w:iCs/>
              </w:rPr>
            </w:pPr>
          </w:p>
        </w:tc>
        <w:tc>
          <w:tcPr>
            <w:tcW w:w="2341" w:type="dxa"/>
            <w:tcBorders>
              <w:left w:val="single" w:sz="2" w:space="0" w:color="000000"/>
              <w:bottom w:val="single" w:sz="2" w:space="0" w:color="000000"/>
              <w:right w:val="single" w:sz="2" w:space="0" w:color="000000"/>
            </w:tcBorders>
          </w:tcPr>
          <w:p w14:paraId="5DE8B043" w14:textId="77777777" w:rsidR="00E53EB6" w:rsidRDefault="006500F5">
            <w:pPr>
              <w:pStyle w:val="TableContents"/>
            </w:pPr>
            <w:r>
              <w:t>Uśij</w:t>
            </w:r>
          </w:p>
          <w:p w14:paraId="42BEE689" w14:textId="77777777" w:rsidR="00E53EB6" w:rsidRDefault="006500F5">
            <w:pPr>
              <w:pStyle w:val="TableContents"/>
            </w:pPr>
            <w:r>
              <w:rPr>
                <w:i/>
                <w:iCs/>
              </w:rPr>
              <w:t>ūtáya</w:t>
            </w:r>
            <w:r>
              <w:rPr>
                <w:i/>
                <w:iCs/>
              </w:rPr>
              <w:t>ḥ</w:t>
            </w:r>
            <w:r>
              <w:rPr>
                <w:i/>
                <w:iCs/>
              </w:rPr>
              <w:t>-r̥</w:t>
            </w:r>
            <w:r>
              <w:rPr>
                <w:rFonts w:eastAsia="Arial Unicode MS" w:cs="Times Ext Roman"/>
                <w:i/>
                <w:iCs/>
                <w:color w:val="000000"/>
                <w:lang w:val="it-IT" w:eastAsia="it-IT" w:bidi="it-IT"/>
              </w:rPr>
              <w:t>bháva</w:t>
            </w:r>
            <w:r>
              <w:rPr>
                <w:rFonts w:eastAsia="Arial Unicode MS" w:cs="Times Ext Roman"/>
                <w:i/>
                <w:iCs/>
                <w:color w:val="000000"/>
                <w:lang w:val="it-IT" w:eastAsia="it-IT" w:bidi="it-IT"/>
              </w:rPr>
              <w:t>ḥ</w:t>
            </w:r>
          </w:p>
        </w:tc>
      </w:tr>
      <w:tr w:rsidR="00E53EB6" w14:paraId="1200B1A4" w14:textId="77777777">
        <w:tc>
          <w:tcPr>
            <w:tcW w:w="1576" w:type="dxa"/>
            <w:tcBorders>
              <w:left w:val="single" w:sz="2" w:space="0" w:color="000000"/>
              <w:bottom w:val="single" w:sz="2" w:space="0" w:color="000000"/>
            </w:tcBorders>
          </w:tcPr>
          <w:p w14:paraId="5E047234" w14:textId="77777777" w:rsidR="00E53EB6" w:rsidRDefault="006500F5">
            <w:pPr>
              <w:pStyle w:val="TableContents"/>
              <w:rPr>
                <w:i/>
                <w:iCs/>
              </w:rPr>
            </w:pPr>
            <w:r>
              <w:rPr>
                <w:i/>
                <w:iCs/>
              </w:rPr>
              <w:t>tvā</w:t>
            </w:r>
          </w:p>
        </w:tc>
        <w:tc>
          <w:tcPr>
            <w:tcW w:w="555" w:type="dxa"/>
            <w:tcBorders>
              <w:left w:val="single" w:sz="2" w:space="0" w:color="000000"/>
              <w:bottom w:val="single" w:sz="2" w:space="0" w:color="000000"/>
            </w:tcBorders>
          </w:tcPr>
          <w:p w14:paraId="6B9E122D" w14:textId="77777777" w:rsidR="00E53EB6" w:rsidRDefault="006500F5">
            <w:pPr>
              <w:pStyle w:val="TableContents"/>
            </w:pPr>
            <w:r>
              <w:t>1</w:t>
            </w:r>
          </w:p>
        </w:tc>
        <w:tc>
          <w:tcPr>
            <w:tcW w:w="1141" w:type="dxa"/>
            <w:tcBorders>
              <w:left w:val="single" w:sz="2" w:space="0" w:color="000000"/>
              <w:bottom w:val="single" w:sz="2" w:space="0" w:color="000000"/>
            </w:tcBorders>
          </w:tcPr>
          <w:p w14:paraId="2A2C27A8" w14:textId="77777777" w:rsidR="00E53EB6" w:rsidRDefault="006500F5">
            <w:pPr>
              <w:pStyle w:val="TableContents"/>
            </w:pPr>
            <w:r>
              <w:t>6.16.26</w:t>
            </w:r>
          </w:p>
        </w:tc>
        <w:tc>
          <w:tcPr>
            <w:tcW w:w="1693" w:type="dxa"/>
            <w:tcBorders>
              <w:left w:val="single" w:sz="2" w:space="0" w:color="000000"/>
              <w:bottom w:val="single" w:sz="2" w:space="0" w:color="000000"/>
            </w:tcBorders>
          </w:tcPr>
          <w:p w14:paraId="7AFA33AA" w14:textId="77777777" w:rsidR="00E53EB6" w:rsidRDefault="006500F5">
            <w:pPr>
              <w:pStyle w:val="TableContents"/>
              <w:rPr>
                <w:i/>
                <w:iCs/>
              </w:rPr>
            </w:pPr>
            <w:r>
              <w:rPr>
                <w:i/>
                <w:iCs/>
              </w:rPr>
              <w:t>vanván</w:t>
            </w:r>
          </w:p>
        </w:tc>
        <w:tc>
          <w:tcPr>
            <w:tcW w:w="1486" w:type="dxa"/>
            <w:tcBorders>
              <w:left w:val="single" w:sz="2" w:space="0" w:color="000000"/>
              <w:bottom w:val="single" w:sz="2" w:space="0" w:color="000000"/>
            </w:tcBorders>
          </w:tcPr>
          <w:p w14:paraId="6B9D0694" w14:textId="77777777" w:rsidR="00E53EB6" w:rsidRDefault="006500F5">
            <w:pPr>
              <w:pStyle w:val="TableContents"/>
              <w:rPr>
                <w:i/>
                <w:iCs/>
              </w:rPr>
            </w:pPr>
            <w:r>
              <w:rPr>
                <w:i/>
                <w:iCs/>
              </w:rPr>
              <w:t>krátvā́</w:t>
            </w:r>
          </w:p>
        </w:tc>
        <w:tc>
          <w:tcPr>
            <w:tcW w:w="2341" w:type="dxa"/>
            <w:tcBorders>
              <w:left w:val="single" w:sz="2" w:space="0" w:color="000000"/>
              <w:bottom w:val="single" w:sz="2" w:space="0" w:color="000000"/>
              <w:right w:val="single" w:sz="2" w:space="0" w:color="000000"/>
            </w:tcBorders>
          </w:tcPr>
          <w:p w14:paraId="0212457E" w14:textId="77777777" w:rsidR="00E53EB6" w:rsidRDefault="006500F5">
            <w:pPr>
              <w:pStyle w:val="TableContents"/>
              <w:rPr>
                <w:i/>
                <w:iCs/>
              </w:rPr>
            </w:pPr>
            <w:r>
              <w:rPr>
                <w:i/>
                <w:iCs/>
              </w:rPr>
              <w:t xml:space="preserve">dā́ </w:t>
            </w:r>
          </w:p>
        </w:tc>
      </w:tr>
      <w:tr w:rsidR="00E53EB6" w14:paraId="4B3C793F" w14:textId="77777777">
        <w:tc>
          <w:tcPr>
            <w:tcW w:w="1576" w:type="dxa"/>
            <w:tcBorders>
              <w:left w:val="single" w:sz="2" w:space="0" w:color="000000"/>
              <w:bottom w:val="single" w:sz="2" w:space="0" w:color="000000"/>
            </w:tcBorders>
          </w:tcPr>
          <w:p w14:paraId="3FABA344" w14:textId="77777777" w:rsidR="00E53EB6" w:rsidRDefault="006500F5">
            <w:pPr>
              <w:pStyle w:val="TableContents"/>
              <w:rPr>
                <w:i/>
                <w:iCs/>
              </w:rPr>
            </w:pPr>
            <w:r>
              <w:rPr>
                <w:i/>
                <w:iCs/>
              </w:rPr>
              <w:t>dévāsa</w:t>
            </w:r>
            <w:r>
              <w:rPr>
                <w:i/>
                <w:iCs/>
              </w:rPr>
              <w:t>ḥ</w:t>
            </w:r>
          </w:p>
        </w:tc>
        <w:tc>
          <w:tcPr>
            <w:tcW w:w="555" w:type="dxa"/>
            <w:tcBorders>
              <w:left w:val="single" w:sz="2" w:space="0" w:color="000000"/>
              <w:bottom w:val="single" w:sz="2" w:space="0" w:color="000000"/>
            </w:tcBorders>
          </w:tcPr>
          <w:p w14:paraId="36A34B82" w14:textId="77777777" w:rsidR="00E53EB6" w:rsidRDefault="006500F5">
            <w:pPr>
              <w:pStyle w:val="TableContents"/>
            </w:pPr>
            <w:r>
              <w:t>1</w:t>
            </w:r>
          </w:p>
        </w:tc>
        <w:tc>
          <w:tcPr>
            <w:tcW w:w="1141" w:type="dxa"/>
            <w:tcBorders>
              <w:left w:val="single" w:sz="2" w:space="0" w:color="000000"/>
              <w:bottom w:val="single" w:sz="2" w:space="0" w:color="000000"/>
            </w:tcBorders>
          </w:tcPr>
          <w:p w14:paraId="319491F8" w14:textId="77777777" w:rsidR="00E53EB6" w:rsidRDefault="006500F5">
            <w:pPr>
              <w:pStyle w:val="TableContents"/>
            </w:pPr>
            <w:r>
              <w:t>5.41.17</w:t>
            </w:r>
          </w:p>
        </w:tc>
        <w:tc>
          <w:tcPr>
            <w:tcW w:w="1693" w:type="dxa"/>
            <w:tcBorders>
              <w:left w:val="single" w:sz="2" w:space="0" w:color="000000"/>
              <w:bottom w:val="single" w:sz="2" w:space="0" w:color="000000"/>
            </w:tcBorders>
          </w:tcPr>
          <w:p w14:paraId="2BB0A578" w14:textId="77777777" w:rsidR="00E53EB6" w:rsidRDefault="006500F5">
            <w:pPr>
              <w:pStyle w:val="TableContents"/>
              <w:rPr>
                <w:i/>
                <w:iCs/>
              </w:rPr>
            </w:pPr>
            <w:r>
              <w:rPr>
                <w:i/>
                <w:iCs/>
              </w:rPr>
              <w:t xml:space="preserve">vanate </w:t>
            </w:r>
          </w:p>
        </w:tc>
        <w:tc>
          <w:tcPr>
            <w:tcW w:w="1486" w:type="dxa"/>
            <w:tcBorders>
              <w:left w:val="single" w:sz="2" w:space="0" w:color="000000"/>
              <w:bottom w:val="single" w:sz="2" w:space="0" w:color="000000"/>
            </w:tcBorders>
          </w:tcPr>
          <w:p w14:paraId="32C8C649" w14:textId="77777777" w:rsidR="00E53EB6" w:rsidRDefault="00E53EB6">
            <w:pPr>
              <w:pStyle w:val="TableContents"/>
              <w:rPr>
                <w:i/>
                <w:iCs/>
              </w:rPr>
            </w:pPr>
          </w:p>
        </w:tc>
        <w:tc>
          <w:tcPr>
            <w:tcW w:w="2341" w:type="dxa"/>
            <w:tcBorders>
              <w:left w:val="single" w:sz="2" w:space="0" w:color="000000"/>
              <w:bottom w:val="single" w:sz="2" w:space="0" w:color="000000"/>
              <w:right w:val="single" w:sz="2" w:space="0" w:color="000000"/>
            </w:tcBorders>
          </w:tcPr>
          <w:p w14:paraId="5B6BA241" w14:textId="77777777" w:rsidR="00E53EB6" w:rsidRDefault="006500F5">
            <w:pPr>
              <w:pStyle w:val="TableContents"/>
              <w:rPr>
                <w:i/>
                <w:iCs/>
              </w:rPr>
            </w:pPr>
            <w:r>
              <w:rPr>
                <w:i/>
                <w:iCs/>
              </w:rPr>
              <w:t>mártya</w:t>
            </w:r>
            <w:r>
              <w:rPr>
                <w:i/>
                <w:iCs/>
              </w:rPr>
              <w:t>ḥ</w:t>
            </w:r>
          </w:p>
        </w:tc>
      </w:tr>
      <w:tr w:rsidR="00E53EB6" w14:paraId="794687EC" w14:textId="77777777">
        <w:tc>
          <w:tcPr>
            <w:tcW w:w="1576" w:type="dxa"/>
            <w:tcBorders>
              <w:left w:val="single" w:sz="2" w:space="0" w:color="000000"/>
              <w:bottom w:val="single" w:sz="2" w:space="0" w:color="000000"/>
            </w:tcBorders>
          </w:tcPr>
          <w:p w14:paraId="6A04335C" w14:textId="77777777" w:rsidR="00E53EB6" w:rsidRDefault="006500F5">
            <w:pPr>
              <w:pStyle w:val="TableContents"/>
              <w:rPr>
                <w:i/>
                <w:iCs/>
              </w:rPr>
            </w:pPr>
            <w:r>
              <w:rPr>
                <w:i/>
                <w:iCs/>
              </w:rPr>
              <w:t xml:space="preserve">vām </w:t>
            </w:r>
            <w:r>
              <w:t>(Aśvin)</w:t>
            </w:r>
          </w:p>
        </w:tc>
        <w:tc>
          <w:tcPr>
            <w:tcW w:w="555" w:type="dxa"/>
            <w:tcBorders>
              <w:left w:val="single" w:sz="2" w:space="0" w:color="000000"/>
              <w:bottom w:val="single" w:sz="2" w:space="0" w:color="000000"/>
            </w:tcBorders>
          </w:tcPr>
          <w:p w14:paraId="3E334995" w14:textId="77777777" w:rsidR="00E53EB6" w:rsidRDefault="006500F5">
            <w:pPr>
              <w:pStyle w:val="TableContents"/>
            </w:pPr>
            <w:r>
              <w:t>1</w:t>
            </w:r>
          </w:p>
        </w:tc>
        <w:tc>
          <w:tcPr>
            <w:tcW w:w="1141" w:type="dxa"/>
            <w:tcBorders>
              <w:left w:val="single" w:sz="2" w:space="0" w:color="000000"/>
              <w:bottom w:val="single" w:sz="2" w:space="0" w:color="000000"/>
            </w:tcBorders>
          </w:tcPr>
          <w:p w14:paraId="509AA7F4" w14:textId="77777777" w:rsidR="00E53EB6" w:rsidRDefault="006500F5">
            <w:pPr>
              <w:pStyle w:val="TableContents"/>
            </w:pPr>
            <w:r>
              <w:t>5.74.7</w:t>
            </w:r>
          </w:p>
        </w:tc>
        <w:tc>
          <w:tcPr>
            <w:tcW w:w="1693" w:type="dxa"/>
            <w:tcBorders>
              <w:left w:val="single" w:sz="2" w:space="0" w:color="000000"/>
              <w:bottom w:val="single" w:sz="2" w:space="0" w:color="000000"/>
            </w:tcBorders>
          </w:tcPr>
          <w:p w14:paraId="582A18C6" w14:textId="77777777" w:rsidR="00E53EB6" w:rsidRDefault="006500F5">
            <w:pPr>
              <w:pStyle w:val="TableContents"/>
              <w:rPr>
                <w:i/>
                <w:iCs/>
              </w:rPr>
            </w:pPr>
            <w:r>
              <w:rPr>
                <w:i/>
                <w:iCs/>
              </w:rPr>
              <w:t>ā́ vavne</w:t>
            </w:r>
          </w:p>
        </w:tc>
        <w:tc>
          <w:tcPr>
            <w:tcW w:w="1486" w:type="dxa"/>
            <w:tcBorders>
              <w:left w:val="single" w:sz="2" w:space="0" w:color="000000"/>
              <w:bottom w:val="single" w:sz="2" w:space="0" w:color="000000"/>
            </w:tcBorders>
          </w:tcPr>
          <w:p w14:paraId="62055BAA" w14:textId="77777777" w:rsidR="00E53EB6" w:rsidRDefault="006500F5">
            <w:pPr>
              <w:pStyle w:val="TableContents"/>
              <w:rPr>
                <w:i/>
                <w:iCs/>
              </w:rPr>
            </w:pPr>
            <w:r>
              <w:rPr>
                <w:i/>
                <w:iCs/>
              </w:rPr>
              <w:t>yajñaí</w:t>
            </w:r>
            <w:r>
              <w:rPr>
                <w:i/>
                <w:iCs/>
              </w:rPr>
              <w:t>ḥ</w:t>
            </w:r>
          </w:p>
        </w:tc>
        <w:tc>
          <w:tcPr>
            <w:tcW w:w="2341" w:type="dxa"/>
            <w:tcBorders>
              <w:left w:val="single" w:sz="2" w:space="0" w:color="000000"/>
              <w:bottom w:val="single" w:sz="2" w:space="0" w:color="000000"/>
              <w:right w:val="single" w:sz="2" w:space="0" w:color="000000"/>
            </w:tcBorders>
          </w:tcPr>
          <w:p w14:paraId="029A6CA4" w14:textId="77777777" w:rsidR="00E53EB6" w:rsidRDefault="006500F5">
            <w:pPr>
              <w:pStyle w:val="TableContents"/>
              <w:rPr>
                <w:i/>
                <w:iCs/>
              </w:rPr>
            </w:pPr>
            <w:r>
              <w:rPr>
                <w:i/>
                <w:iCs/>
              </w:rPr>
              <w:t>ká</w:t>
            </w:r>
            <w:r>
              <w:rPr>
                <w:i/>
                <w:iCs/>
              </w:rPr>
              <w:t>ḥ</w:t>
            </w:r>
          </w:p>
        </w:tc>
      </w:tr>
    </w:tbl>
    <w:p w14:paraId="21D9595B" w14:textId="77777777" w:rsidR="00E53EB6" w:rsidRDefault="00E53EB6">
      <w:pPr>
        <w:pStyle w:val="HaupttextohneEinzug"/>
        <w:rPr>
          <w:szCs w:val="21"/>
          <w:lang w:bidi="it-IT"/>
        </w:rPr>
      </w:pPr>
    </w:p>
    <w:p w14:paraId="2A45C2C4" w14:textId="77777777" w:rsidR="00E53EB6" w:rsidRDefault="00E53EB6">
      <w:pPr>
        <w:pStyle w:val="HaupttextohneEinzug"/>
        <w:rPr>
          <w:szCs w:val="21"/>
          <w:lang w:bidi="it-IT"/>
        </w:rPr>
      </w:pPr>
    </w:p>
    <w:p w14:paraId="514D905A" w14:textId="77777777" w:rsidR="00E53EB6" w:rsidRDefault="00E53EB6">
      <w:pPr>
        <w:pStyle w:val="HaupttextohneEinzug"/>
        <w:rPr>
          <w:szCs w:val="21"/>
          <w:lang w:bidi="it-IT"/>
        </w:rPr>
      </w:pPr>
    </w:p>
    <w:p w14:paraId="27A79A8C" w14:textId="77777777" w:rsidR="00E53EB6" w:rsidRDefault="006500F5">
      <w:pPr>
        <w:pStyle w:val="HaupttextohneEinzug"/>
        <w:rPr>
          <w:szCs w:val="21"/>
          <w:lang w:bidi="it-IT"/>
        </w:rPr>
      </w:pPr>
      <w:r>
        <w:rPr>
          <w:szCs w:val="21"/>
          <w:lang w:bidi="it-IT"/>
        </w:rPr>
        <w:t>c/e- no object</w:t>
      </w:r>
    </w:p>
    <w:p w14:paraId="63E0BC22" w14:textId="77777777" w:rsidR="00E53EB6" w:rsidRDefault="00E53EB6">
      <w:pPr>
        <w:pStyle w:val="HaupttextohneEinzug"/>
        <w:rPr>
          <w:szCs w:val="21"/>
          <w:lang w:bidi="it-IT"/>
        </w:rPr>
      </w:pPr>
    </w:p>
    <w:tbl>
      <w:tblPr>
        <w:tblW w:w="8792" w:type="dxa"/>
        <w:tblLayout w:type="fixed"/>
        <w:tblCellMar>
          <w:top w:w="55" w:type="dxa"/>
          <w:left w:w="55" w:type="dxa"/>
          <w:bottom w:w="55" w:type="dxa"/>
          <w:right w:w="55" w:type="dxa"/>
        </w:tblCellMar>
        <w:tblLook w:val="04A0" w:firstRow="1" w:lastRow="0" w:firstColumn="1" w:lastColumn="0" w:noHBand="0" w:noVBand="1"/>
      </w:tblPr>
      <w:tblGrid>
        <w:gridCol w:w="1576"/>
        <w:gridCol w:w="556"/>
        <w:gridCol w:w="1138"/>
        <w:gridCol w:w="1698"/>
        <w:gridCol w:w="1649"/>
        <w:gridCol w:w="2175"/>
      </w:tblGrid>
      <w:tr w:rsidR="00E53EB6" w14:paraId="159258CE" w14:textId="77777777">
        <w:tc>
          <w:tcPr>
            <w:tcW w:w="1576" w:type="dxa"/>
            <w:tcBorders>
              <w:top w:val="single" w:sz="2" w:space="0" w:color="000000"/>
              <w:left w:val="single" w:sz="2" w:space="0" w:color="000000"/>
              <w:bottom w:val="single" w:sz="2" w:space="0" w:color="000000"/>
            </w:tcBorders>
          </w:tcPr>
          <w:p w14:paraId="3F9E44EF" w14:textId="77777777" w:rsidR="00E53EB6" w:rsidRDefault="006500F5">
            <w:pPr>
              <w:pStyle w:val="TableContents"/>
            </w:pPr>
            <w:r>
              <w:t xml:space="preserve">“use of </w:t>
            </w:r>
            <w:r>
              <w:rPr>
                <w:i/>
                <w:iCs/>
              </w:rPr>
              <w:t>van-</w:t>
            </w:r>
            <w:r>
              <w:t>”</w:t>
            </w:r>
          </w:p>
        </w:tc>
        <w:tc>
          <w:tcPr>
            <w:tcW w:w="556" w:type="dxa"/>
            <w:tcBorders>
              <w:top w:val="single" w:sz="2" w:space="0" w:color="000000"/>
              <w:left w:val="single" w:sz="2" w:space="0" w:color="000000"/>
              <w:bottom w:val="single" w:sz="2" w:space="0" w:color="000000"/>
            </w:tcBorders>
          </w:tcPr>
          <w:p w14:paraId="35C763D6" w14:textId="77777777" w:rsidR="00E53EB6" w:rsidRDefault="006500F5">
            <w:pPr>
              <w:pStyle w:val="TableContents"/>
            </w:pPr>
            <w:r>
              <w:t>Q.</w:t>
            </w:r>
          </w:p>
        </w:tc>
        <w:tc>
          <w:tcPr>
            <w:tcW w:w="1138" w:type="dxa"/>
            <w:tcBorders>
              <w:top w:val="single" w:sz="2" w:space="0" w:color="000000"/>
              <w:left w:val="single" w:sz="2" w:space="0" w:color="000000"/>
              <w:bottom w:val="single" w:sz="2" w:space="0" w:color="000000"/>
            </w:tcBorders>
          </w:tcPr>
          <w:p w14:paraId="3D4DC882" w14:textId="77777777" w:rsidR="00E53EB6" w:rsidRDefault="006500F5">
            <w:pPr>
              <w:pStyle w:val="TableContents"/>
            </w:pPr>
            <w:r>
              <w:t>occur.</w:t>
            </w:r>
          </w:p>
        </w:tc>
        <w:tc>
          <w:tcPr>
            <w:tcW w:w="1698" w:type="dxa"/>
            <w:tcBorders>
              <w:top w:val="single" w:sz="2" w:space="0" w:color="000000"/>
              <w:left w:val="single" w:sz="2" w:space="0" w:color="000000"/>
              <w:bottom w:val="single" w:sz="2" w:space="0" w:color="000000"/>
            </w:tcBorders>
          </w:tcPr>
          <w:p w14:paraId="6C11ECCE" w14:textId="77777777" w:rsidR="00E53EB6" w:rsidRDefault="006500F5">
            <w:pPr>
              <w:pStyle w:val="TableContents"/>
              <w:rPr>
                <w:i/>
                <w:iCs/>
              </w:rPr>
            </w:pPr>
            <w:r>
              <w:rPr>
                <w:i/>
                <w:iCs/>
              </w:rPr>
              <w:t>van- / van</w:t>
            </w:r>
            <w:r>
              <w:rPr>
                <w:i/>
                <w:iCs/>
                <w:vertAlign w:val="superscript"/>
              </w:rPr>
              <w:t>i</w:t>
            </w:r>
            <w:r>
              <w:rPr>
                <w:i/>
                <w:iCs/>
              </w:rPr>
              <w:t>-</w:t>
            </w:r>
          </w:p>
        </w:tc>
        <w:tc>
          <w:tcPr>
            <w:tcW w:w="1649" w:type="dxa"/>
            <w:tcBorders>
              <w:top w:val="single" w:sz="2" w:space="0" w:color="000000"/>
              <w:left w:val="single" w:sz="2" w:space="0" w:color="000000"/>
              <w:bottom w:val="single" w:sz="2" w:space="0" w:color="000000"/>
            </w:tcBorders>
          </w:tcPr>
          <w:p w14:paraId="06B682EA" w14:textId="77777777" w:rsidR="00E53EB6" w:rsidRDefault="006500F5">
            <w:pPr>
              <w:pStyle w:val="TableContents"/>
              <w:rPr>
                <w:i/>
                <w:iCs/>
              </w:rPr>
            </w:pPr>
            <w:r>
              <w:rPr>
                <w:i/>
                <w:iCs/>
              </w:rPr>
              <w:t>instrument</w:t>
            </w:r>
          </w:p>
        </w:tc>
        <w:tc>
          <w:tcPr>
            <w:tcW w:w="2175" w:type="dxa"/>
            <w:tcBorders>
              <w:top w:val="single" w:sz="2" w:space="0" w:color="000000"/>
              <w:left w:val="single" w:sz="2" w:space="0" w:color="000000"/>
              <w:bottom w:val="single" w:sz="2" w:space="0" w:color="000000"/>
              <w:right w:val="single" w:sz="2" w:space="0" w:color="000000"/>
            </w:tcBorders>
          </w:tcPr>
          <w:p w14:paraId="22C90A06" w14:textId="77777777" w:rsidR="00E53EB6" w:rsidRDefault="006500F5">
            <w:pPr>
              <w:pStyle w:val="TableContents"/>
            </w:pPr>
            <w:r>
              <w:t>subject / notes</w:t>
            </w:r>
          </w:p>
        </w:tc>
      </w:tr>
      <w:tr w:rsidR="00E53EB6" w14:paraId="7C2B2B59" w14:textId="77777777">
        <w:tc>
          <w:tcPr>
            <w:tcW w:w="1576" w:type="dxa"/>
            <w:tcBorders>
              <w:left w:val="single" w:sz="2" w:space="0" w:color="000000"/>
              <w:bottom w:val="single" w:sz="2" w:space="0" w:color="000000"/>
            </w:tcBorders>
          </w:tcPr>
          <w:p w14:paraId="2A659B66" w14:textId="77777777" w:rsidR="00E53EB6" w:rsidRDefault="006500F5">
            <w:pPr>
              <w:pStyle w:val="TableContents"/>
            </w:pPr>
            <w:r>
              <w:t>c- divine attribute</w:t>
            </w:r>
          </w:p>
        </w:tc>
        <w:tc>
          <w:tcPr>
            <w:tcW w:w="556" w:type="dxa"/>
            <w:tcBorders>
              <w:left w:val="single" w:sz="2" w:space="0" w:color="000000"/>
              <w:bottom w:val="single" w:sz="2" w:space="0" w:color="000000"/>
            </w:tcBorders>
          </w:tcPr>
          <w:p w14:paraId="17075340" w14:textId="77777777" w:rsidR="00E53EB6" w:rsidRDefault="006500F5">
            <w:pPr>
              <w:pStyle w:val="TableContents"/>
            </w:pPr>
            <w:r>
              <w:t>7</w:t>
            </w:r>
          </w:p>
        </w:tc>
        <w:tc>
          <w:tcPr>
            <w:tcW w:w="1138" w:type="dxa"/>
            <w:tcBorders>
              <w:left w:val="single" w:sz="2" w:space="0" w:color="000000"/>
              <w:bottom w:val="single" w:sz="2" w:space="0" w:color="000000"/>
            </w:tcBorders>
          </w:tcPr>
          <w:p w14:paraId="0F1184C3" w14:textId="77777777" w:rsidR="00E53EB6" w:rsidRDefault="006500F5">
            <w:pPr>
              <w:pStyle w:val="TableContents"/>
            </w:pPr>
            <w:r>
              <w:t>6.12.4</w:t>
            </w:r>
          </w:p>
          <w:p w14:paraId="2E1EDD65" w14:textId="77777777" w:rsidR="00E53EB6" w:rsidRDefault="006500F5">
            <w:pPr>
              <w:pStyle w:val="TableContents"/>
            </w:pPr>
            <w:r>
              <w:t>2.21.2.</w:t>
            </w:r>
          </w:p>
          <w:p w14:paraId="71203A23" w14:textId="77777777" w:rsidR="00E53EB6" w:rsidRDefault="006500F5">
            <w:pPr>
              <w:pStyle w:val="TableContents"/>
            </w:pPr>
            <w:r>
              <w:t>6.16.20</w:t>
            </w:r>
          </w:p>
          <w:p w14:paraId="7C6357BB" w14:textId="77777777" w:rsidR="00E53EB6" w:rsidRDefault="006500F5">
            <w:pPr>
              <w:pStyle w:val="TableContents"/>
            </w:pPr>
            <w:r>
              <w:t>6.18.1</w:t>
            </w:r>
          </w:p>
          <w:p w14:paraId="0A29AD6E" w14:textId="77777777" w:rsidR="00E53EB6" w:rsidRDefault="006500F5">
            <w:pPr>
              <w:pStyle w:val="TableContents"/>
            </w:pPr>
            <w:r>
              <w:lastRenderedPageBreak/>
              <w:t>9.89.7</w:t>
            </w:r>
          </w:p>
          <w:p w14:paraId="7BEEF840" w14:textId="77777777" w:rsidR="00E53EB6" w:rsidRDefault="006500F5">
            <w:pPr>
              <w:pStyle w:val="TableContents"/>
            </w:pPr>
            <w:r>
              <w:t>9.96.8</w:t>
            </w:r>
          </w:p>
          <w:p w14:paraId="19B69E4C" w14:textId="77777777" w:rsidR="00E53EB6" w:rsidRDefault="006500F5">
            <w:pPr>
              <w:pStyle w:val="TableContents"/>
            </w:pPr>
            <w:r>
              <w:t>9.96.11</w:t>
            </w:r>
          </w:p>
        </w:tc>
        <w:tc>
          <w:tcPr>
            <w:tcW w:w="1698" w:type="dxa"/>
            <w:tcBorders>
              <w:left w:val="single" w:sz="2" w:space="0" w:color="000000"/>
              <w:bottom w:val="single" w:sz="2" w:space="0" w:color="000000"/>
            </w:tcBorders>
          </w:tcPr>
          <w:p w14:paraId="0DE38495" w14:textId="77777777" w:rsidR="00E53EB6" w:rsidRDefault="006500F5">
            <w:pPr>
              <w:pStyle w:val="TableContents"/>
              <w:rPr>
                <w:i/>
                <w:iCs/>
              </w:rPr>
            </w:pPr>
            <w:r>
              <w:rPr>
                <w:i/>
                <w:iCs/>
              </w:rPr>
              <w:lastRenderedPageBreak/>
              <w:t>vanván</w:t>
            </w:r>
          </w:p>
          <w:p w14:paraId="6C61F9BB" w14:textId="77777777" w:rsidR="00E53EB6" w:rsidRDefault="006500F5">
            <w:pPr>
              <w:pStyle w:val="TableContents"/>
              <w:rPr>
                <w:i/>
                <w:iCs/>
              </w:rPr>
            </w:pPr>
            <w:r>
              <w:rPr>
                <w:i/>
                <w:iCs/>
              </w:rPr>
              <w:t>vanván</w:t>
            </w:r>
          </w:p>
          <w:p w14:paraId="05B65E38" w14:textId="77777777" w:rsidR="00E53EB6" w:rsidRDefault="006500F5">
            <w:pPr>
              <w:pStyle w:val="TableContents"/>
              <w:rPr>
                <w:i/>
                <w:iCs/>
              </w:rPr>
            </w:pPr>
            <w:r>
              <w:rPr>
                <w:i/>
                <w:iCs/>
              </w:rPr>
              <w:t>vanván -ávāta</w:t>
            </w:r>
            <w:r>
              <w:rPr>
                <w:i/>
                <w:iCs/>
              </w:rPr>
              <w:t>ḥ</w:t>
            </w:r>
          </w:p>
          <w:p w14:paraId="40493162" w14:textId="77777777" w:rsidR="00E53EB6" w:rsidRDefault="006500F5">
            <w:pPr>
              <w:pStyle w:val="TableContents"/>
              <w:rPr>
                <w:i/>
                <w:iCs/>
              </w:rPr>
            </w:pPr>
            <w:r>
              <w:rPr>
                <w:i/>
                <w:iCs/>
              </w:rPr>
              <w:t>vanván -ávāta</w:t>
            </w:r>
            <w:r>
              <w:rPr>
                <w:i/>
                <w:iCs/>
              </w:rPr>
              <w:t>ḥ</w:t>
            </w:r>
          </w:p>
          <w:p w14:paraId="52F8486E" w14:textId="77777777" w:rsidR="00E53EB6" w:rsidRDefault="006500F5">
            <w:pPr>
              <w:pStyle w:val="TableContents"/>
              <w:rPr>
                <w:i/>
                <w:iCs/>
              </w:rPr>
            </w:pPr>
            <w:r>
              <w:rPr>
                <w:i/>
                <w:iCs/>
              </w:rPr>
              <w:lastRenderedPageBreak/>
              <w:t>vanván -ávāta</w:t>
            </w:r>
            <w:r>
              <w:rPr>
                <w:i/>
                <w:iCs/>
              </w:rPr>
              <w:t>ḥ</w:t>
            </w:r>
          </w:p>
          <w:p w14:paraId="19FF76E9" w14:textId="77777777" w:rsidR="00E53EB6" w:rsidRDefault="006500F5">
            <w:pPr>
              <w:pStyle w:val="TableContents"/>
              <w:rPr>
                <w:i/>
                <w:iCs/>
              </w:rPr>
            </w:pPr>
            <w:r>
              <w:rPr>
                <w:i/>
                <w:iCs/>
              </w:rPr>
              <w:t>vanván -ávāta</w:t>
            </w:r>
            <w:r>
              <w:rPr>
                <w:i/>
                <w:iCs/>
              </w:rPr>
              <w:t>ḥ</w:t>
            </w:r>
          </w:p>
          <w:p w14:paraId="78817F0A" w14:textId="77777777" w:rsidR="00E53EB6" w:rsidRDefault="006500F5">
            <w:pPr>
              <w:pStyle w:val="TableContents"/>
              <w:rPr>
                <w:i/>
                <w:iCs/>
              </w:rPr>
            </w:pPr>
            <w:r>
              <w:rPr>
                <w:i/>
                <w:iCs/>
              </w:rPr>
              <w:t>vanván -ávāta</w:t>
            </w:r>
            <w:r>
              <w:rPr>
                <w:i/>
                <w:iCs/>
              </w:rPr>
              <w:t>ḥ</w:t>
            </w:r>
          </w:p>
        </w:tc>
        <w:tc>
          <w:tcPr>
            <w:tcW w:w="1649" w:type="dxa"/>
            <w:tcBorders>
              <w:left w:val="single" w:sz="2" w:space="0" w:color="000000"/>
              <w:bottom w:val="single" w:sz="2" w:space="0" w:color="000000"/>
            </w:tcBorders>
          </w:tcPr>
          <w:p w14:paraId="1AF39DE4" w14:textId="77777777" w:rsidR="00E53EB6" w:rsidRDefault="00E53EB6">
            <w:pPr>
              <w:pStyle w:val="TableContents"/>
              <w:rPr>
                <w:i/>
                <w:iCs/>
              </w:rPr>
            </w:pPr>
          </w:p>
        </w:tc>
        <w:tc>
          <w:tcPr>
            <w:tcW w:w="2175" w:type="dxa"/>
            <w:tcBorders>
              <w:left w:val="single" w:sz="2" w:space="0" w:color="000000"/>
              <w:bottom w:val="single" w:sz="2" w:space="0" w:color="000000"/>
              <w:right w:val="single" w:sz="2" w:space="0" w:color="000000"/>
            </w:tcBorders>
          </w:tcPr>
          <w:p w14:paraId="0EFD0607" w14:textId="77777777" w:rsidR="00E53EB6" w:rsidRPr="0071345C" w:rsidRDefault="006500F5">
            <w:pPr>
              <w:pStyle w:val="TableContents"/>
              <w:rPr>
                <w:lang w:val="it-IT"/>
              </w:rPr>
            </w:pPr>
            <w:r w:rsidRPr="0071345C">
              <w:rPr>
                <w:lang w:val="it-IT"/>
              </w:rPr>
              <w:t>Agni</w:t>
            </w:r>
          </w:p>
          <w:p w14:paraId="1BDCF7FD" w14:textId="77777777" w:rsidR="00E53EB6" w:rsidRPr="0071345C" w:rsidRDefault="006500F5">
            <w:pPr>
              <w:pStyle w:val="TableContents"/>
              <w:rPr>
                <w:lang w:val="it-IT"/>
              </w:rPr>
            </w:pPr>
            <w:r w:rsidRPr="0071345C">
              <w:rPr>
                <w:lang w:val="it-IT"/>
              </w:rPr>
              <w:t>Indra</w:t>
            </w:r>
          </w:p>
          <w:p w14:paraId="0722564B" w14:textId="77777777" w:rsidR="00E53EB6" w:rsidRPr="0071345C" w:rsidRDefault="006500F5">
            <w:pPr>
              <w:pStyle w:val="TableContents"/>
              <w:rPr>
                <w:lang w:val="it-IT"/>
              </w:rPr>
            </w:pPr>
            <w:r w:rsidRPr="0071345C">
              <w:rPr>
                <w:lang w:val="it-IT"/>
              </w:rPr>
              <w:t>Agni•</w:t>
            </w:r>
          </w:p>
          <w:p w14:paraId="4B552342" w14:textId="77777777" w:rsidR="00E53EB6" w:rsidRPr="0071345C" w:rsidRDefault="006500F5">
            <w:pPr>
              <w:pStyle w:val="TableContents"/>
              <w:rPr>
                <w:lang w:val="it-IT"/>
              </w:rPr>
            </w:pPr>
            <w:r w:rsidRPr="0071345C">
              <w:rPr>
                <w:lang w:val="it-IT"/>
              </w:rPr>
              <w:t>Indra</w:t>
            </w:r>
          </w:p>
          <w:p w14:paraId="1C3674AB" w14:textId="77777777" w:rsidR="00E53EB6" w:rsidRPr="0071345C" w:rsidRDefault="006500F5">
            <w:pPr>
              <w:pStyle w:val="TableContents"/>
              <w:rPr>
                <w:lang w:val="it-IT"/>
              </w:rPr>
            </w:pPr>
            <w:r w:rsidRPr="0071345C">
              <w:rPr>
                <w:lang w:val="it-IT"/>
              </w:rPr>
              <w:lastRenderedPageBreak/>
              <w:t>Soma</w:t>
            </w:r>
          </w:p>
          <w:p w14:paraId="702687DB" w14:textId="77777777" w:rsidR="00E53EB6" w:rsidRPr="0071345C" w:rsidRDefault="006500F5">
            <w:pPr>
              <w:pStyle w:val="TableContents"/>
              <w:rPr>
                <w:i/>
                <w:iCs/>
                <w:lang w:val="it-IT"/>
              </w:rPr>
            </w:pPr>
            <w:r w:rsidRPr="0071345C">
              <w:rPr>
                <w:i/>
                <w:iCs/>
                <w:lang w:val="it-IT"/>
              </w:rPr>
              <w:t>sáh</w:t>
            </w:r>
            <w:r w:rsidRPr="0071345C">
              <w:rPr>
                <w:lang w:val="it-IT"/>
              </w:rPr>
              <w:t>(</w:t>
            </w:r>
            <w:r w:rsidRPr="0071345C">
              <w:rPr>
                <w:i/>
                <w:iCs/>
                <w:lang w:val="it-IT"/>
              </w:rPr>
              <w:t>índu</w:t>
            </w:r>
            <w:r w:rsidRPr="0071345C">
              <w:rPr>
                <w:i/>
                <w:iCs/>
                <w:lang w:val="it-IT"/>
              </w:rPr>
              <w:t>ḥ</w:t>
            </w:r>
            <w:r w:rsidRPr="0071345C">
              <w:rPr>
                <w:lang w:val="it-IT"/>
              </w:rPr>
              <w:t xml:space="preserve"> -of Soma)</w:t>
            </w:r>
          </w:p>
          <w:p w14:paraId="1136BE31" w14:textId="77777777" w:rsidR="00E53EB6" w:rsidRDefault="006500F5">
            <w:pPr>
              <w:pStyle w:val="TableContents"/>
            </w:pPr>
            <w:r>
              <w:t>Soma</w:t>
            </w:r>
          </w:p>
        </w:tc>
      </w:tr>
      <w:tr w:rsidR="00E53EB6" w14:paraId="6AFACBCB" w14:textId="77777777">
        <w:tc>
          <w:tcPr>
            <w:tcW w:w="1576" w:type="dxa"/>
            <w:tcBorders>
              <w:left w:val="single" w:sz="2" w:space="0" w:color="000000"/>
              <w:bottom w:val="single" w:sz="2" w:space="0" w:color="000000"/>
            </w:tcBorders>
          </w:tcPr>
          <w:p w14:paraId="1F2AF576" w14:textId="77777777" w:rsidR="00E53EB6" w:rsidRDefault="006500F5">
            <w:pPr>
              <w:pStyle w:val="TableContents"/>
              <w:rPr>
                <w:color w:val="800000"/>
                <w:u w:val="single"/>
              </w:rPr>
            </w:pPr>
            <w:r>
              <w:rPr>
                <w:color w:val="800000"/>
                <w:u w:val="single"/>
              </w:rPr>
              <w:t>e- ritual action</w:t>
            </w:r>
          </w:p>
        </w:tc>
        <w:tc>
          <w:tcPr>
            <w:tcW w:w="556" w:type="dxa"/>
            <w:tcBorders>
              <w:left w:val="single" w:sz="2" w:space="0" w:color="000000"/>
              <w:bottom w:val="single" w:sz="2" w:space="0" w:color="000000"/>
            </w:tcBorders>
          </w:tcPr>
          <w:p w14:paraId="4E177AB8" w14:textId="77777777" w:rsidR="00E53EB6" w:rsidRDefault="006500F5">
            <w:pPr>
              <w:pStyle w:val="TableContents"/>
            </w:pPr>
            <w:r>
              <w:t>6</w:t>
            </w:r>
          </w:p>
        </w:tc>
        <w:tc>
          <w:tcPr>
            <w:tcW w:w="1138" w:type="dxa"/>
            <w:tcBorders>
              <w:left w:val="single" w:sz="2" w:space="0" w:color="000000"/>
              <w:bottom w:val="single" w:sz="2" w:space="0" w:color="000000"/>
            </w:tcBorders>
          </w:tcPr>
          <w:p w14:paraId="75CBD04A" w14:textId="77777777" w:rsidR="00E53EB6" w:rsidRDefault="006500F5">
            <w:pPr>
              <w:pStyle w:val="TableContents"/>
            </w:pPr>
            <w:r>
              <w:t>10.128.3</w:t>
            </w:r>
          </w:p>
          <w:p w14:paraId="270292DB" w14:textId="77777777" w:rsidR="00E53EB6" w:rsidRDefault="006500F5">
            <w:pPr>
              <w:pStyle w:val="TableContents"/>
            </w:pPr>
            <w:r>
              <w:t>10.27.18</w:t>
            </w:r>
          </w:p>
          <w:p w14:paraId="28C8ABA9" w14:textId="77777777" w:rsidR="00E53EB6" w:rsidRDefault="006500F5">
            <w:pPr>
              <w:pStyle w:val="TableContents"/>
            </w:pPr>
            <w:r>
              <w:t>8.72.1</w:t>
            </w:r>
          </w:p>
          <w:p w14:paraId="356E2C8A" w14:textId="77777777" w:rsidR="00E53EB6" w:rsidRDefault="006500F5">
            <w:pPr>
              <w:pStyle w:val="TableContents"/>
            </w:pPr>
            <w:r>
              <w:t>5.37.2</w:t>
            </w:r>
          </w:p>
          <w:p w14:paraId="5EAF822C" w14:textId="77777777" w:rsidR="00E53EB6" w:rsidRDefault="006500F5">
            <w:pPr>
              <w:pStyle w:val="TableContents"/>
            </w:pPr>
            <w:r>
              <w:t>10.61.2</w:t>
            </w:r>
          </w:p>
          <w:p w14:paraId="0E21BC3C" w14:textId="77777777" w:rsidR="00E53EB6" w:rsidRDefault="006500F5">
            <w:pPr>
              <w:pStyle w:val="TableContents"/>
            </w:pPr>
            <w:r>
              <w:t>7.37.5</w:t>
            </w:r>
          </w:p>
        </w:tc>
        <w:tc>
          <w:tcPr>
            <w:tcW w:w="1698" w:type="dxa"/>
            <w:tcBorders>
              <w:left w:val="single" w:sz="2" w:space="0" w:color="000000"/>
              <w:bottom w:val="single" w:sz="2" w:space="0" w:color="000000"/>
            </w:tcBorders>
          </w:tcPr>
          <w:p w14:paraId="3F3F1301" w14:textId="77777777" w:rsidR="00E53EB6" w:rsidRPr="0071345C" w:rsidRDefault="006500F5">
            <w:pPr>
              <w:pStyle w:val="TableContents"/>
              <w:rPr>
                <w:i/>
                <w:iCs/>
                <w:lang w:val="it-IT"/>
              </w:rPr>
            </w:pPr>
            <w:r w:rsidRPr="0071345C">
              <w:rPr>
                <w:i/>
                <w:iCs/>
                <w:lang w:val="it-IT"/>
              </w:rPr>
              <w:t>vanu</w:t>
            </w:r>
            <w:r w:rsidRPr="0071345C">
              <w:rPr>
                <w:i/>
                <w:iCs/>
                <w:lang w:val="it-IT"/>
              </w:rPr>
              <w:t>ṣ</w:t>
            </w:r>
            <w:r w:rsidRPr="0071345C">
              <w:rPr>
                <w:i/>
                <w:iCs/>
                <w:lang w:val="it-IT"/>
              </w:rPr>
              <w:t>anta</w:t>
            </w:r>
          </w:p>
          <w:p w14:paraId="71C8D298" w14:textId="77777777" w:rsidR="00E53EB6" w:rsidRPr="0071345C" w:rsidRDefault="006500F5">
            <w:pPr>
              <w:pStyle w:val="TableContents"/>
              <w:rPr>
                <w:i/>
                <w:iCs/>
                <w:lang w:val="it-IT"/>
              </w:rPr>
            </w:pPr>
            <w:r w:rsidRPr="0071345C">
              <w:rPr>
                <w:i/>
                <w:iCs/>
                <w:lang w:val="it-IT"/>
              </w:rPr>
              <w:t>vanavat</w:t>
            </w:r>
          </w:p>
          <w:p w14:paraId="40440B21" w14:textId="77777777" w:rsidR="00E53EB6" w:rsidRPr="0071345C" w:rsidRDefault="006500F5">
            <w:pPr>
              <w:pStyle w:val="TableContents"/>
              <w:rPr>
                <w:i/>
                <w:iCs/>
                <w:lang w:val="it-IT"/>
              </w:rPr>
            </w:pPr>
            <w:r w:rsidRPr="0071345C">
              <w:rPr>
                <w:i/>
                <w:iCs/>
                <w:lang w:val="it-IT"/>
              </w:rPr>
              <w:t>vanate</w:t>
            </w:r>
          </w:p>
          <w:p w14:paraId="0D6BB8D9" w14:textId="77777777" w:rsidR="00E53EB6" w:rsidRPr="0071345C" w:rsidRDefault="006500F5">
            <w:pPr>
              <w:pStyle w:val="TableContents"/>
              <w:rPr>
                <w:i/>
                <w:iCs/>
                <w:lang w:val="it-IT"/>
              </w:rPr>
            </w:pPr>
            <w:r w:rsidRPr="0071345C">
              <w:rPr>
                <w:i/>
                <w:iCs/>
                <w:lang w:val="it-IT"/>
              </w:rPr>
              <w:t>vanavat</w:t>
            </w:r>
          </w:p>
          <w:p w14:paraId="789F17B9" w14:textId="77777777" w:rsidR="00E53EB6" w:rsidRPr="0071345C" w:rsidRDefault="006500F5">
            <w:pPr>
              <w:pStyle w:val="TableContents"/>
              <w:rPr>
                <w:i/>
                <w:iCs/>
                <w:lang w:val="it-IT"/>
              </w:rPr>
            </w:pPr>
            <w:r w:rsidRPr="0071345C">
              <w:rPr>
                <w:i/>
                <w:iCs/>
                <w:lang w:val="it-IT"/>
              </w:rPr>
              <w:t>vanván</w:t>
            </w:r>
          </w:p>
          <w:p w14:paraId="0A5E0B92" w14:textId="77777777" w:rsidR="00E53EB6" w:rsidRPr="0071345C" w:rsidRDefault="006500F5">
            <w:pPr>
              <w:pStyle w:val="TableContents"/>
              <w:rPr>
                <w:i/>
                <w:iCs/>
                <w:lang w:val="it-IT"/>
              </w:rPr>
            </w:pPr>
            <w:r w:rsidRPr="0071345C">
              <w:rPr>
                <w:i/>
                <w:iCs/>
                <w:lang w:val="it-IT"/>
              </w:rPr>
              <w:t>vavanmā́</w:t>
            </w:r>
          </w:p>
        </w:tc>
        <w:tc>
          <w:tcPr>
            <w:tcW w:w="1649" w:type="dxa"/>
            <w:tcBorders>
              <w:left w:val="single" w:sz="2" w:space="0" w:color="000000"/>
              <w:bottom w:val="single" w:sz="2" w:space="0" w:color="000000"/>
            </w:tcBorders>
          </w:tcPr>
          <w:p w14:paraId="54EEA127" w14:textId="77777777" w:rsidR="00E53EB6" w:rsidRPr="0071345C" w:rsidRDefault="00E53EB6">
            <w:pPr>
              <w:pStyle w:val="TableContents"/>
              <w:rPr>
                <w:i/>
                <w:iCs/>
                <w:lang w:val="it-IT"/>
              </w:rPr>
            </w:pPr>
          </w:p>
          <w:p w14:paraId="61A92916" w14:textId="77777777" w:rsidR="00E53EB6" w:rsidRPr="0071345C" w:rsidRDefault="00E53EB6">
            <w:pPr>
              <w:pStyle w:val="TableContents"/>
              <w:rPr>
                <w:i/>
                <w:iCs/>
                <w:lang w:val="it-IT"/>
              </w:rPr>
            </w:pPr>
          </w:p>
          <w:p w14:paraId="319A1B9E" w14:textId="77777777" w:rsidR="00E53EB6" w:rsidRPr="0071345C" w:rsidRDefault="00E53EB6">
            <w:pPr>
              <w:pStyle w:val="TableContents"/>
              <w:rPr>
                <w:i/>
                <w:iCs/>
                <w:lang w:val="it-IT"/>
              </w:rPr>
            </w:pPr>
          </w:p>
          <w:p w14:paraId="00224216" w14:textId="77777777" w:rsidR="00E53EB6" w:rsidRPr="0071345C" w:rsidRDefault="00E53EB6">
            <w:pPr>
              <w:pStyle w:val="TableContents"/>
              <w:rPr>
                <w:i/>
                <w:iCs/>
                <w:lang w:val="it-IT"/>
              </w:rPr>
            </w:pPr>
          </w:p>
          <w:p w14:paraId="3D4DF69F" w14:textId="77777777" w:rsidR="00E53EB6" w:rsidRPr="0071345C" w:rsidRDefault="00E53EB6">
            <w:pPr>
              <w:pStyle w:val="TableContents"/>
              <w:rPr>
                <w:i/>
                <w:iCs/>
                <w:lang w:val="it-IT"/>
              </w:rPr>
            </w:pPr>
          </w:p>
          <w:p w14:paraId="72FB072E" w14:textId="77777777" w:rsidR="00E53EB6" w:rsidRDefault="006500F5">
            <w:pPr>
              <w:pStyle w:val="TableContents"/>
              <w:jc w:val="both"/>
            </w:pPr>
            <w:r>
              <w:rPr>
                <w:i/>
                <w:iCs/>
              </w:rPr>
              <w:t xml:space="preserve">yújiyābhir ūtī́ </w:t>
            </w:r>
            <w:r>
              <w:rPr>
                <w:i/>
                <w:iCs/>
                <w:szCs w:val="21"/>
              </w:rPr>
              <w:t>(</w:t>
            </w:r>
            <w:r>
              <w:rPr>
                <w:rFonts w:eastAsia="Arial Unicode MS" w:cs="Times Ext Roman"/>
                <w:i/>
                <w:iCs/>
                <w:color w:val="000000"/>
                <w:szCs w:val="21"/>
                <w:lang w:val="it-IT" w:eastAsia="it-IT" w:bidi="it-IT"/>
              </w:rPr>
              <w:t>dhībhí</w:t>
            </w:r>
            <w:r>
              <w:rPr>
                <w:rFonts w:eastAsia="Arial Unicode MS" w:cs="Times Ext Roman"/>
                <w:i/>
                <w:iCs/>
                <w:color w:val="000000"/>
                <w:szCs w:val="21"/>
                <w:lang w:val="it-IT" w:eastAsia="it-IT" w:bidi="it-IT"/>
              </w:rPr>
              <w:t>ḥ</w:t>
            </w:r>
            <w:r>
              <w:rPr>
                <w:rFonts w:eastAsia="Arial Unicode MS" w:cs="Times Ext Roman"/>
                <w:i/>
                <w:iCs/>
                <w:color w:val="000000"/>
                <w:szCs w:val="21"/>
                <w:lang w:val="it-IT" w:eastAsia="it-IT" w:bidi="it-IT"/>
              </w:rPr>
              <w:t>)</w:t>
            </w:r>
          </w:p>
          <w:p w14:paraId="234F5AA3" w14:textId="77777777" w:rsidR="00E53EB6" w:rsidRDefault="00E53EB6">
            <w:pPr>
              <w:pStyle w:val="TableContents"/>
              <w:rPr>
                <w:i/>
                <w:iCs/>
              </w:rPr>
            </w:pPr>
          </w:p>
        </w:tc>
        <w:tc>
          <w:tcPr>
            <w:tcW w:w="2175" w:type="dxa"/>
            <w:tcBorders>
              <w:left w:val="single" w:sz="2" w:space="0" w:color="000000"/>
              <w:bottom w:val="single" w:sz="2" w:space="0" w:color="000000"/>
              <w:right w:val="single" w:sz="2" w:space="0" w:color="000000"/>
            </w:tcBorders>
          </w:tcPr>
          <w:p w14:paraId="3654DA7C" w14:textId="77777777" w:rsidR="00E53EB6" w:rsidRDefault="006500F5">
            <w:pPr>
              <w:pStyle w:val="TableContents"/>
              <w:rPr>
                <w:i/>
                <w:iCs/>
              </w:rPr>
            </w:pPr>
            <w:r>
              <w:rPr>
                <w:i/>
                <w:iCs/>
              </w:rPr>
              <w:t>hótāra</w:t>
            </w:r>
            <w:r>
              <w:rPr>
                <w:i/>
                <w:iCs/>
              </w:rPr>
              <w:t>ḥ</w:t>
            </w:r>
          </w:p>
          <w:p w14:paraId="704E9485" w14:textId="77777777" w:rsidR="00E53EB6" w:rsidRDefault="006500F5">
            <w:pPr>
              <w:pStyle w:val="TableContents"/>
            </w:pPr>
            <w:r>
              <w:t>Agni•</w:t>
            </w:r>
          </w:p>
          <w:p w14:paraId="11A4AB7B" w14:textId="77777777" w:rsidR="00E53EB6" w:rsidRDefault="006500F5">
            <w:pPr>
              <w:pStyle w:val="TableContents"/>
              <w:rPr>
                <w:i/>
                <w:iCs/>
              </w:rPr>
            </w:pPr>
            <w:r>
              <w:rPr>
                <w:i/>
                <w:iCs/>
              </w:rPr>
              <w:t>adhvaryú</w:t>
            </w:r>
            <w:r>
              <w:rPr>
                <w:i/>
                <w:iCs/>
              </w:rPr>
              <w:t>ḥ</w:t>
            </w:r>
          </w:p>
          <w:p w14:paraId="75533638" w14:textId="77777777" w:rsidR="00E53EB6" w:rsidRDefault="006500F5">
            <w:pPr>
              <w:pStyle w:val="TableContents"/>
              <w:rPr>
                <w:i/>
                <w:iCs/>
              </w:rPr>
            </w:pPr>
            <w:r>
              <w:rPr>
                <w:i/>
                <w:iCs/>
              </w:rPr>
              <w:t>sámiddhagni</w:t>
            </w:r>
            <w:r>
              <w:rPr>
                <w:i/>
                <w:iCs/>
              </w:rPr>
              <w:t>ḥ</w:t>
            </w:r>
          </w:p>
          <w:p w14:paraId="1453E673" w14:textId="77777777" w:rsidR="00E53EB6" w:rsidRDefault="006500F5">
            <w:pPr>
              <w:pStyle w:val="TableContents"/>
              <w:rPr>
                <w:i/>
                <w:iCs/>
              </w:rPr>
            </w:pPr>
            <w:r>
              <w:rPr>
                <w:i/>
                <w:iCs/>
              </w:rPr>
              <w:t>sá</w:t>
            </w:r>
            <w:r>
              <w:rPr>
                <w:i/>
                <w:iCs/>
              </w:rPr>
              <w:t>ḥ</w:t>
            </w:r>
            <w:r>
              <w:rPr>
                <w:i/>
                <w:iCs/>
              </w:rPr>
              <w:t xml:space="preserve"> </w:t>
            </w:r>
            <w:r>
              <w:t>(Cyavana)</w:t>
            </w:r>
          </w:p>
          <w:p w14:paraId="71BC9707" w14:textId="77777777" w:rsidR="00E53EB6" w:rsidRDefault="006500F5">
            <w:pPr>
              <w:pStyle w:val="TableContents"/>
            </w:pPr>
            <w:r>
              <w:t>Ø</w:t>
            </w:r>
          </w:p>
        </w:tc>
      </w:tr>
    </w:tbl>
    <w:p w14:paraId="32692C73" w14:textId="77777777" w:rsidR="00E53EB6" w:rsidRDefault="00E53EB6">
      <w:pPr>
        <w:pStyle w:val="HaupttextohneEinzug"/>
        <w:rPr>
          <w:szCs w:val="21"/>
          <w:lang w:bidi="it-IT"/>
        </w:rPr>
      </w:pPr>
    </w:p>
    <w:p w14:paraId="07DAFB71" w14:textId="77777777" w:rsidR="00E53EB6" w:rsidRDefault="00E53EB6">
      <w:pPr>
        <w:pStyle w:val="HaupttextohneEinzug"/>
        <w:rPr>
          <w:szCs w:val="21"/>
          <w:lang w:bidi="it-IT"/>
        </w:rPr>
      </w:pPr>
    </w:p>
    <w:p w14:paraId="76ECD259" w14:textId="77777777" w:rsidR="00E53EB6" w:rsidRDefault="006500F5">
      <w:pPr>
        <w:pStyle w:val="HaupttextohneEinzug"/>
        <w:ind w:left="6"/>
        <w:rPr>
          <w:szCs w:val="21"/>
          <w:lang w:bidi="it-IT"/>
        </w:rPr>
      </w:pPr>
      <w:r>
        <w:rPr>
          <w:szCs w:val="21"/>
          <w:lang w:bidi="it-IT"/>
        </w:rPr>
        <w:t>It may be worth  noticing some words on account of these criteria:</w:t>
      </w:r>
    </w:p>
    <w:p w14:paraId="764E984A" w14:textId="77777777" w:rsidR="00E53EB6" w:rsidRDefault="006500F5">
      <w:pPr>
        <w:pStyle w:val="HaupttextohneEinzug"/>
        <w:numPr>
          <w:ilvl w:val="1"/>
          <w:numId w:val="10"/>
        </w:numPr>
        <w:tabs>
          <w:tab w:val="left" w:pos="720"/>
        </w:tabs>
        <w:rPr>
          <w:szCs w:val="21"/>
          <w:lang w:bidi="it-IT"/>
        </w:rPr>
      </w:pPr>
      <w:r>
        <w:rPr>
          <w:szCs w:val="21"/>
          <w:lang w:bidi="it-IT"/>
        </w:rPr>
        <w:t xml:space="preserve">those, which are object of </w:t>
      </w:r>
      <w:r>
        <w:rPr>
          <w:i/>
          <w:iCs/>
          <w:szCs w:val="21"/>
          <w:lang w:bidi="it-IT"/>
        </w:rPr>
        <w:t>van-</w:t>
      </w:r>
      <w:r>
        <w:rPr>
          <w:szCs w:val="21"/>
          <w:lang w:bidi="it-IT"/>
        </w:rPr>
        <w:t xml:space="preserve"> meaning a ritual action</w:t>
      </w:r>
    </w:p>
    <w:p w14:paraId="403547BE" w14:textId="77777777" w:rsidR="00E53EB6" w:rsidRDefault="006500F5">
      <w:pPr>
        <w:pStyle w:val="HaupttextohneEinzug"/>
        <w:numPr>
          <w:ilvl w:val="1"/>
          <w:numId w:val="10"/>
        </w:numPr>
        <w:tabs>
          <w:tab w:val="left" w:pos="720"/>
        </w:tabs>
        <w:rPr>
          <w:szCs w:val="21"/>
          <w:lang w:bidi="it-IT"/>
        </w:rPr>
      </w:pPr>
      <w:r>
        <w:rPr>
          <w:szCs w:val="21"/>
          <w:lang w:bidi="it-IT"/>
        </w:rPr>
        <w:t>out of quantity</w:t>
      </w:r>
    </w:p>
    <w:p w14:paraId="570E1D69" w14:textId="77777777" w:rsidR="00E53EB6" w:rsidRDefault="006500F5">
      <w:pPr>
        <w:pStyle w:val="HaupttextohneEinzug"/>
        <w:numPr>
          <w:ilvl w:val="1"/>
          <w:numId w:val="10"/>
        </w:numPr>
        <w:tabs>
          <w:tab w:val="left" w:pos="720"/>
        </w:tabs>
        <w:rPr>
          <w:szCs w:val="21"/>
          <w:lang w:bidi="it-IT"/>
        </w:rPr>
      </w:pPr>
      <w:r>
        <w:rPr>
          <w:szCs w:val="21"/>
          <w:lang w:bidi="it-IT"/>
        </w:rPr>
        <w:t>object involved in the ritual action</w:t>
      </w:r>
    </w:p>
    <w:p w14:paraId="538B39BB" w14:textId="77777777" w:rsidR="00E53EB6" w:rsidRDefault="006500F5">
      <w:pPr>
        <w:pStyle w:val="HaupttextohneEinzug"/>
        <w:rPr>
          <w:szCs w:val="21"/>
          <w:lang w:bidi="it-IT"/>
        </w:rPr>
      </w:pPr>
      <w:r>
        <w:rPr>
          <w:szCs w:val="21"/>
          <w:lang w:bidi="it-IT"/>
        </w:rPr>
        <w:t>Excluding criteria:</w:t>
      </w:r>
    </w:p>
    <w:p w14:paraId="1F32AD0D" w14:textId="77777777" w:rsidR="00E53EB6" w:rsidRDefault="006500F5">
      <w:pPr>
        <w:pStyle w:val="HaupttextohneEinzug"/>
        <w:numPr>
          <w:ilvl w:val="1"/>
          <w:numId w:val="10"/>
        </w:numPr>
        <w:tabs>
          <w:tab w:val="left" w:pos="720"/>
        </w:tabs>
        <w:rPr>
          <w:szCs w:val="21"/>
          <w:lang w:bidi="it-IT"/>
        </w:rPr>
      </w:pPr>
      <w:r>
        <w:rPr>
          <w:szCs w:val="21"/>
          <w:lang w:bidi="it-IT"/>
        </w:rPr>
        <w:t>pronouns</w:t>
      </w:r>
    </w:p>
    <w:p w14:paraId="762597B2" w14:textId="77777777" w:rsidR="00E53EB6" w:rsidRDefault="006500F5">
      <w:pPr>
        <w:pStyle w:val="HaupttextohneEinzug"/>
        <w:numPr>
          <w:ilvl w:val="1"/>
          <w:numId w:val="10"/>
        </w:numPr>
        <w:tabs>
          <w:tab w:val="left" w:pos="720"/>
        </w:tabs>
        <w:rPr>
          <w:szCs w:val="21"/>
          <w:lang w:bidi="it-IT"/>
        </w:rPr>
      </w:pPr>
      <w:r>
        <w:rPr>
          <w:szCs w:val="21"/>
          <w:lang w:bidi="it-IT"/>
        </w:rPr>
        <w:t>names of gods</w:t>
      </w:r>
    </w:p>
    <w:p w14:paraId="1B398EEA" w14:textId="77777777" w:rsidR="00E53EB6" w:rsidRDefault="00E53EB6">
      <w:pPr>
        <w:pStyle w:val="HaupttextohneEinzug"/>
        <w:rPr>
          <w:szCs w:val="21"/>
          <w:lang w:bidi="it-IT"/>
        </w:rPr>
      </w:pPr>
    </w:p>
    <w:p w14:paraId="0A2C553E" w14:textId="77777777" w:rsidR="00E53EB6" w:rsidRDefault="006500F5">
      <w:pPr>
        <w:pStyle w:val="HaupttextohneEinzug"/>
        <w:numPr>
          <w:ilvl w:val="0"/>
          <w:numId w:val="12"/>
        </w:numPr>
        <w:tabs>
          <w:tab w:val="left" w:pos="360"/>
        </w:tabs>
        <w:rPr>
          <w:i/>
          <w:iCs/>
          <w:szCs w:val="21"/>
          <w:lang w:bidi="it-IT"/>
        </w:rPr>
      </w:pPr>
      <w:r>
        <w:rPr>
          <w:i/>
          <w:iCs/>
          <w:szCs w:val="21"/>
          <w:lang w:bidi="it-IT"/>
        </w:rPr>
        <w:t xml:space="preserve">devá- </w:t>
      </w:r>
      <w:r>
        <w:rPr>
          <w:szCs w:val="21"/>
          <w:lang w:bidi="it-IT"/>
        </w:rPr>
        <w:t>(a)</w:t>
      </w:r>
    </w:p>
    <w:p w14:paraId="61CEE1C5" w14:textId="77777777" w:rsidR="00E53EB6" w:rsidRDefault="006500F5">
      <w:pPr>
        <w:pStyle w:val="HaupttextohneEinzug"/>
        <w:numPr>
          <w:ilvl w:val="0"/>
          <w:numId w:val="10"/>
        </w:numPr>
        <w:tabs>
          <w:tab w:val="left" w:pos="360"/>
        </w:tabs>
        <w:rPr>
          <w:szCs w:val="21"/>
          <w:lang w:bidi="it-IT"/>
        </w:rPr>
      </w:pPr>
      <w:r>
        <w:rPr>
          <w:i/>
          <w:iCs/>
          <w:szCs w:val="21"/>
          <w:lang w:bidi="it-IT"/>
        </w:rPr>
        <w:t>amŕ̥tam</w:t>
      </w:r>
      <w:r>
        <w:rPr>
          <w:szCs w:val="21"/>
          <w:lang w:bidi="it-IT"/>
        </w:rPr>
        <w:t xml:space="preserve"> (a)</w:t>
      </w:r>
    </w:p>
    <w:p w14:paraId="58B82FE3" w14:textId="77777777" w:rsidR="00E53EB6" w:rsidRDefault="006500F5">
      <w:pPr>
        <w:pStyle w:val="HaupttextohneEinzug"/>
        <w:numPr>
          <w:ilvl w:val="0"/>
          <w:numId w:val="10"/>
        </w:numPr>
        <w:tabs>
          <w:tab w:val="left" w:pos="360"/>
        </w:tabs>
        <w:rPr>
          <w:szCs w:val="21"/>
          <w:lang w:bidi="it-IT"/>
        </w:rPr>
      </w:pPr>
      <w:r>
        <w:rPr>
          <w:i/>
          <w:iCs/>
          <w:szCs w:val="21"/>
          <w:lang w:bidi="it-IT"/>
        </w:rPr>
        <w:t>brahmádvi</w:t>
      </w:r>
      <w:r>
        <w:rPr>
          <w:i/>
          <w:iCs/>
          <w:szCs w:val="21"/>
          <w:lang w:bidi="it-IT"/>
        </w:rPr>
        <w:t>ṣ</w:t>
      </w:r>
      <w:r>
        <w:rPr>
          <w:i/>
          <w:iCs/>
          <w:szCs w:val="21"/>
          <w:lang w:bidi="it-IT"/>
        </w:rPr>
        <w:t>-</w:t>
      </w:r>
      <w:r>
        <w:rPr>
          <w:szCs w:val="21"/>
          <w:lang w:bidi="it-IT"/>
        </w:rPr>
        <w:t xml:space="preserve"> (a)</w:t>
      </w:r>
    </w:p>
    <w:p w14:paraId="2D11F1D4" w14:textId="77777777" w:rsidR="00E53EB6" w:rsidRDefault="006500F5">
      <w:pPr>
        <w:pStyle w:val="HaupttextohneEinzug"/>
        <w:numPr>
          <w:ilvl w:val="0"/>
          <w:numId w:val="10"/>
        </w:numPr>
        <w:tabs>
          <w:tab w:val="left" w:pos="360"/>
        </w:tabs>
        <w:rPr>
          <w:szCs w:val="21"/>
          <w:lang w:bidi="it-IT"/>
        </w:rPr>
      </w:pPr>
      <w:r>
        <w:rPr>
          <w:i/>
          <w:iCs/>
          <w:szCs w:val="21"/>
          <w:lang w:bidi="it-IT"/>
        </w:rPr>
        <w:t xml:space="preserve">gír- </w:t>
      </w:r>
      <w:r>
        <w:rPr>
          <w:szCs w:val="21"/>
          <w:lang w:bidi="it-IT"/>
        </w:rPr>
        <w:t>(b) (c)</w:t>
      </w:r>
    </w:p>
    <w:p w14:paraId="24772E1B" w14:textId="77777777" w:rsidR="00E53EB6" w:rsidRDefault="006500F5">
      <w:pPr>
        <w:pStyle w:val="HaupttextohneEinzug"/>
        <w:numPr>
          <w:ilvl w:val="0"/>
          <w:numId w:val="10"/>
        </w:numPr>
        <w:tabs>
          <w:tab w:val="left" w:pos="360"/>
        </w:tabs>
        <w:rPr>
          <w:szCs w:val="21"/>
          <w:lang w:bidi="it-IT"/>
        </w:rPr>
      </w:pPr>
      <w:r>
        <w:rPr>
          <w:i/>
          <w:iCs/>
          <w:szCs w:val="21"/>
          <w:lang w:bidi="it-IT"/>
        </w:rPr>
        <w:t>vā́rya-</w:t>
      </w:r>
      <w:r>
        <w:rPr>
          <w:szCs w:val="21"/>
          <w:lang w:bidi="it-IT"/>
        </w:rPr>
        <w:t>(b)</w:t>
      </w:r>
    </w:p>
    <w:p w14:paraId="0B307E5B" w14:textId="77777777" w:rsidR="00E53EB6" w:rsidRDefault="006500F5">
      <w:pPr>
        <w:pStyle w:val="HaupttextohneEinzug"/>
        <w:numPr>
          <w:ilvl w:val="0"/>
          <w:numId w:val="10"/>
        </w:numPr>
        <w:tabs>
          <w:tab w:val="left" w:pos="360"/>
        </w:tabs>
        <w:rPr>
          <w:szCs w:val="21"/>
          <w:lang w:bidi="it-IT"/>
        </w:rPr>
      </w:pPr>
      <w:r>
        <w:rPr>
          <w:i/>
          <w:iCs/>
          <w:szCs w:val="21"/>
          <w:lang w:bidi="it-IT"/>
        </w:rPr>
        <w:t>raí-</w:t>
      </w:r>
      <w:r>
        <w:rPr>
          <w:szCs w:val="21"/>
          <w:lang w:bidi="it-IT"/>
        </w:rPr>
        <w:t xml:space="preserve"> (b)</w:t>
      </w:r>
    </w:p>
    <w:p w14:paraId="5E6C138B" w14:textId="77777777" w:rsidR="00E53EB6" w:rsidRDefault="006500F5">
      <w:pPr>
        <w:pStyle w:val="HaupttextohneEinzug"/>
        <w:numPr>
          <w:ilvl w:val="0"/>
          <w:numId w:val="13"/>
        </w:numPr>
        <w:tabs>
          <w:tab w:val="left" w:pos="360"/>
        </w:tabs>
        <w:rPr>
          <w:szCs w:val="21"/>
          <w:lang w:bidi="it-IT"/>
        </w:rPr>
      </w:pPr>
      <w:r>
        <w:rPr>
          <w:i/>
          <w:iCs/>
          <w:szCs w:val="21"/>
          <w:lang w:bidi="it-IT"/>
        </w:rPr>
        <w:t>dhī</w:t>
      </w:r>
      <w:r>
        <w:rPr>
          <w:szCs w:val="21"/>
          <w:lang w:bidi="it-IT"/>
        </w:rPr>
        <w:t>́- (c)</w:t>
      </w:r>
    </w:p>
    <w:p w14:paraId="733694F5" w14:textId="77777777" w:rsidR="00E53EB6" w:rsidRDefault="006500F5">
      <w:pPr>
        <w:pStyle w:val="HaupttextohneEinzug"/>
        <w:numPr>
          <w:ilvl w:val="0"/>
          <w:numId w:val="11"/>
        </w:numPr>
        <w:tabs>
          <w:tab w:val="left" w:pos="360"/>
        </w:tabs>
        <w:rPr>
          <w:szCs w:val="21"/>
          <w:lang w:bidi="it-IT"/>
        </w:rPr>
      </w:pPr>
      <w:r>
        <w:rPr>
          <w:i/>
          <w:iCs/>
          <w:szCs w:val="21"/>
          <w:lang w:bidi="it-IT"/>
        </w:rPr>
        <w:t>r̥cá</w:t>
      </w:r>
      <w:r>
        <w:rPr>
          <w:szCs w:val="21"/>
          <w:lang w:bidi="it-IT"/>
        </w:rPr>
        <w:t>- (c)</w:t>
      </w:r>
    </w:p>
    <w:p w14:paraId="0FFD7690" w14:textId="77777777" w:rsidR="00E53EB6" w:rsidRDefault="006500F5">
      <w:pPr>
        <w:pStyle w:val="HaupttextohneEinzug"/>
        <w:numPr>
          <w:ilvl w:val="0"/>
          <w:numId w:val="11"/>
        </w:numPr>
        <w:tabs>
          <w:tab w:val="left" w:pos="360"/>
        </w:tabs>
        <w:rPr>
          <w:szCs w:val="21"/>
          <w:lang w:bidi="it-IT"/>
        </w:rPr>
      </w:pPr>
      <w:r>
        <w:rPr>
          <w:i/>
          <w:iCs/>
          <w:szCs w:val="21"/>
          <w:lang w:bidi="it-IT"/>
        </w:rPr>
        <w:t xml:space="preserve">yajñá- </w:t>
      </w:r>
      <w:r>
        <w:rPr>
          <w:szCs w:val="21"/>
          <w:lang w:bidi="it-IT"/>
        </w:rPr>
        <w:t>(c)</w:t>
      </w:r>
    </w:p>
    <w:p w14:paraId="09BA3A06" w14:textId="77777777" w:rsidR="00E53EB6" w:rsidRDefault="00E53EB6">
      <w:pPr>
        <w:pStyle w:val="Hauptext"/>
      </w:pPr>
    </w:p>
    <w:p w14:paraId="4850A523" w14:textId="77777777" w:rsidR="00E53EB6" w:rsidRDefault="00E53EB6">
      <w:pPr>
        <w:pStyle w:val="HaupttextohneEinzug"/>
      </w:pPr>
    </w:p>
    <w:p w14:paraId="58DC08F4" w14:textId="77777777" w:rsidR="00E53EB6" w:rsidRDefault="006500F5">
      <w:pPr>
        <w:pStyle w:val="Heading3"/>
        <w:tabs>
          <w:tab w:val="left" w:pos="0"/>
        </w:tabs>
      </w:pPr>
      <w:r>
        <w:t xml:space="preserve">VI.2.2 Objects of </w:t>
      </w:r>
      <w:r>
        <w:rPr>
          <w:i/>
          <w:iCs/>
        </w:rPr>
        <w:t>van- / van</w:t>
      </w:r>
      <w:r>
        <w:rPr>
          <w:i/>
          <w:iCs/>
          <w:vertAlign w:val="superscript"/>
        </w:rPr>
        <w:t>i</w:t>
      </w:r>
      <w:r>
        <w:rPr>
          <w:i/>
          <w:iCs/>
        </w:rPr>
        <w:t>-</w:t>
      </w:r>
      <w:r>
        <w:t xml:space="preserve"> in the post-R̥gvedic literature </w:t>
      </w:r>
    </w:p>
    <w:p w14:paraId="0C505F4C" w14:textId="77777777" w:rsidR="00E53EB6" w:rsidRDefault="006500F5">
      <w:pPr>
        <w:pStyle w:val="HaupttextohneEinzug"/>
      </w:pPr>
      <w:r>
        <w:t>R̥V occ. → all post-R̥V correspondences:</w:t>
      </w:r>
    </w:p>
    <w:p w14:paraId="0264943F" w14:textId="77777777" w:rsidR="00E53EB6" w:rsidRDefault="00E53EB6">
      <w:pPr>
        <w:pStyle w:val="HaupttextohneEinzug"/>
      </w:pPr>
    </w:p>
    <w:p w14:paraId="6797D9C0" w14:textId="77777777" w:rsidR="00E53EB6" w:rsidRDefault="00E53EB6">
      <w:pPr>
        <w:pStyle w:val="HaupttextohneEinzug"/>
      </w:pPr>
    </w:p>
    <w:p w14:paraId="478982AE" w14:textId="77777777" w:rsidR="00E53EB6" w:rsidRDefault="006500F5">
      <w:pPr>
        <w:pStyle w:val="HaupttextohneEinzug"/>
      </w:pPr>
      <w:r>
        <w:t>a- “goods”</w:t>
      </w:r>
    </w:p>
    <w:tbl>
      <w:tblPr>
        <w:tblW w:w="8792" w:type="dxa"/>
        <w:tblLayout w:type="fixed"/>
        <w:tblCellMar>
          <w:top w:w="55" w:type="dxa"/>
          <w:left w:w="55" w:type="dxa"/>
          <w:bottom w:w="55" w:type="dxa"/>
          <w:right w:w="55" w:type="dxa"/>
        </w:tblCellMar>
        <w:tblLook w:val="04A0" w:firstRow="1" w:lastRow="0" w:firstColumn="1" w:lastColumn="0" w:noHBand="0" w:noVBand="1"/>
      </w:tblPr>
      <w:tblGrid>
        <w:gridCol w:w="1576"/>
        <w:gridCol w:w="630"/>
        <w:gridCol w:w="1414"/>
        <w:gridCol w:w="3441"/>
        <w:gridCol w:w="1731"/>
      </w:tblGrid>
      <w:tr w:rsidR="00E53EB6" w14:paraId="5B649D73" w14:textId="77777777">
        <w:tc>
          <w:tcPr>
            <w:tcW w:w="1576" w:type="dxa"/>
            <w:tcBorders>
              <w:top w:val="single" w:sz="2" w:space="0" w:color="000000"/>
              <w:left w:val="single" w:sz="2" w:space="0" w:color="000000"/>
              <w:bottom w:val="single" w:sz="2" w:space="0" w:color="000000"/>
            </w:tcBorders>
          </w:tcPr>
          <w:p w14:paraId="01671539" w14:textId="77777777" w:rsidR="00E53EB6" w:rsidRDefault="006500F5">
            <w:pPr>
              <w:pStyle w:val="TableContents"/>
            </w:pPr>
            <w:r>
              <w:t>object</w:t>
            </w:r>
          </w:p>
        </w:tc>
        <w:tc>
          <w:tcPr>
            <w:tcW w:w="630" w:type="dxa"/>
            <w:tcBorders>
              <w:top w:val="single" w:sz="2" w:space="0" w:color="000000"/>
              <w:left w:val="single" w:sz="2" w:space="0" w:color="000000"/>
              <w:bottom w:val="single" w:sz="2" w:space="0" w:color="000000"/>
            </w:tcBorders>
          </w:tcPr>
          <w:p w14:paraId="6AA5CE2C" w14:textId="77777777" w:rsidR="00E53EB6" w:rsidRDefault="006500F5">
            <w:pPr>
              <w:pStyle w:val="TableContents"/>
            </w:pPr>
            <w:r>
              <w:t>Q.</w:t>
            </w:r>
          </w:p>
        </w:tc>
        <w:tc>
          <w:tcPr>
            <w:tcW w:w="1414" w:type="dxa"/>
            <w:tcBorders>
              <w:top w:val="single" w:sz="2" w:space="0" w:color="000000"/>
              <w:left w:val="single" w:sz="2" w:space="0" w:color="000000"/>
              <w:bottom w:val="single" w:sz="2" w:space="0" w:color="000000"/>
            </w:tcBorders>
          </w:tcPr>
          <w:p w14:paraId="75E35D1A" w14:textId="77777777" w:rsidR="00E53EB6" w:rsidRDefault="006500F5">
            <w:pPr>
              <w:pStyle w:val="TableContents"/>
            </w:pPr>
            <w:r>
              <w:t xml:space="preserve">R̥V  </w:t>
            </w:r>
            <w:r>
              <w:t>occ.</w:t>
            </w:r>
          </w:p>
        </w:tc>
        <w:tc>
          <w:tcPr>
            <w:tcW w:w="3441" w:type="dxa"/>
            <w:tcBorders>
              <w:top w:val="single" w:sz="2" w:space="0" w:color="000000"/>
              <w:left w:val="single" w:sz="2" w:space="0" w:color="000000"/>
              <w:bottom w:val="single" w:sz="2" w:space="0" w:color="000000"/>
            </w:tcBorders>
          </w:tcPr>
          <w:p w14:paraId="2E77A210" w14:textId="77777777" w:rsidR="00E53EB6" w:rsidRDefault="006500F5">
            <w:pPr>
              <w:pStyle w:val="TableContents"/>
            </w:pPr>
            <w:r>
              <w:t>post- R̥V correspondences</w:t>
            </w:r>
          </w:p>
        </w:tc>
        <w:tc>
          <w:tcPr>
            <w:tcW w:w="1731" w:type="dxa"/>
            <w:tcBorders>
              <w:top w:val="single" w:sz="2" w:space="0" w:color="000000"/>
              <w:left w:val="single" w:sz="2" w:space="0" w:color="000000"/>
              <w:bottom w:val="single" w:sz="2" w:space="0" w:color="000000"/>
              <w:right w:val="single" w:sz="2" w:space="0" w:color="000000"/>
            </w:tcBorders>
          </w:tcPr>
          <w:p w14:paraId="3E90FDC7" w14:textId="77777777" w:rsidR="00E53EB6" w:rsidRDefault="006500F5">
            <w:pPr>
              <w:pStyle w:val="TableContents"/>
              <w:rPr>
                <w:i/>
                <w:iCs/>
              </w:rPr>
            </w:pPr>
            <w:r>
              <w:rPr>
                <w:i/>
                <w:iCs/>
              </w:rPr>
              <w:t>van- / van</w:t>
            </w:r>
            <w:r>
              <w:rPr>
                <w:i/>
                <w:iCs/>
                <w:vertAlign w:val="superscript"/>
              </w:rPr>
              <w:t>i</w:t>
            </w:r>
            <w:r>
              <w:rPr>
                <w:i/>
                <w:iCs/>
              </w:rPr>
              <w:t>-</w:t>
            </w:r>
          </w:p>
        </w:tc>
      </w:tr>
      <w:tr w:rsidR="00E53EB6" w14:paraId="427A89C9" w14:textId="77777777">
        <w:tc>
          <w:tcPr>
            <w:tcW w:w="1576" w:type="dxa"/>
            <w:tcBorders>
              <w:left w:val="single" w:sz="2" w:space="0" w:color="000000"/>
              <w:bottom w:val="single" w:sz="2" w:space="0" w:color="000000"/>
            </w:tcBorders>
          </w:tcPr>
          <w:p w14:paraId="3DF91CAB" w14:textId="77777777" w:rsidR="00E53EB6" w:rsidRDefault="006500F5">
            <w:pPr>
              <w:pStyle w:val="TableContents"/>
              <w:rPr>
                <w:i/>
                <w:iCs/>
              </w:rPr>
            </w:pPr>
            <w:r>
              <w:rPr>
                <w:i/>
                <w:iCs/>
              </w:rPr>
              <w:t>ánnam</w:t>
            </w:r>
          </w:p>
        </w:tc>
        <w:tc>
          <w:tcPr>
            <w:tcW w:w="630" w:type="dxa"/>
            <w:tcBorders>
              <w:left w:val="single" w:sz="2" w:space="0" w:color="000000"/>
              <w:bottom w:val="single" w:sz="2" w:space="0" w:color="000000"/>
            </w:tcBorders>
          </w:tcPr>
          <w:p w14:paraId="18CDA86F" w14:textId="77777777" w:rsidR="00E53EB6" w:rsidRDefault="006500F5">
            <w:pPr>
              <w:pStyle w:val="TableContents"/>
            </w:pPr>
            <w:r>
              <w:t>1</w:t>
            </w:r>
          </w:p>
        </w:tc>
        <w:tc>
          <w:tcPr>
            <w:tcW w:w="1414" w:type="dxa"/>
            <w:tcBorders>
              <w:left w:val="single" w:sz="2" w:space="0" w:color="000000"/>
              <w:bottom w:val="single" w:sz="2" w:space="0" w:color="000000"/>
            </w:tcBorders>
          </w:tcPr>
          <w:p w14:paraId="24C37BC6" w14:textId="77777777" w:rsidR="00E53EB6" w:rsidRDefault="006500F5">
            <w:pPr>
              <w:pStyle w:val="TableContents"/>
            </w:pPr>
            <w:r>
              <w:t>10.107.7c</w:t>
            </w:r>
          </w:p>
        </w:tc>
        <w:tc>
          <w:tcPr>
            <w:tcW w:w="3441" w:type="dxa"/>
            <w:tcBorders>
              <w:left w:val="single" w:sz="2" w:space="0" w:color="000000"/>
              <w:bottom w:val="single" w:sz="2" w:space="0" w:color="000000"/>
            </w:tcBorders>
          </w:tcPr>
          <w:p w14:paraId="7A701F69" w14:textId="77777777" w:rsidR="00E53EB6" w:rsidRDefault="006500F5">
            <w:pPr>
              <w:pStyle w:val="TableContents"/>
            </w:pPr>
            <w:r>
              <w:t>ŚB 10.1.1.10</w:t>
            </w:r>
          </w:p>
        </w:tc>
        <w:tc>
          <w:tcPr>
            <w:tcW w:w="1731" w:type="dxa"/>
            <w:tcBorders>
              <w:left w:val="single" w:sz="2" w:space="0" w:color="000000"/>
              <w:bottom w:val="single" w:sz="2" w:space="0" w:color="000000"/>
              <w:right w:val="single" w:sz="2" w:space="0" w:color="000000"/>
            </w:tcBorders>
          </w:tcPr>
          <w:p w14:paraId="3A720019" w14:textId="77777777" w:rsidR="00E53EB6" w:rsidRDefault="006500F5">
            <w:pPr>
              <w:pStyle w:val="TableContents"/>
              <w:rPr>
                <w:i/>
                <w:iCs/>
              </w:rPr>
            </w:pPr>
            <w:r>
              <w:rPr>
                <w:i/>
                <w:iCs/>
              </w:rPr>
              <w:t>vanute</w:t>
            </w:r>
          </w:p>
        </w:tc>
      </w:tr>
      <w:tr w:rsidR="00E53EB6" w14:paraId="7B510097" w14:textId="77777777">
        <w:tc>
          <w:tcPr>
            <w:tcW w:w="1576" w:type="dxa"/>
            <w:tcBorders>
              <w:left w:val="single" w:sz="2" w:space="0" w:color="000000"/>
              <w:bottom w:val="single" w:sz="2" w:space="0" w:color="000000"/>
            </w:tcBorders>
          </w:tcPr>
          <w:p w14:paraId="7204C187" w14:textId="77777777" w:rsidR="00E53EB6" w:rsidRDefault="006500F5">
            <w:pPr>
              <w:pStyle w:val="TableContents"/>
              <w:rPr>
                <w:i/>
                <w:iCs/>
              </w:rPr>
            </w:pPr>
            <w:r>
              <w:rPr>
                <w:i/>
                <w:iCs/>
              </w:rPr>
              <w:t>k</w:t>
            </w:r>
            <w:r>
              <w:rPr>
                <w:i/>
                <w:iCs/>
              </w:rPr>
              <w:t>ṣ</w:t>
            </w:r>
            <w:r>
              <w:rPr>
                <w:i/>
                <w:iCs/>
              </w:rPr>
              <w:t>atrá</w:t>
            </w:r>
          </w:p>
        </w:tc>
        <w:tc>
          <w:tcPr>
            <w:tcW w:w="630" w:type="dxa"/>
            <w:tcBorders>
              <w:left w:val="single" w:sz="2" w:space="0" w:color="000000"/>
              <w:bottom w:val="single" w:sz="2" w:space="0" w:color="000000"/>
            </w:tcBorders>
          </w:tcPr>
          <w:p w14:paraId="3B814C42" w14:textId="77777777" w:rsidR="00E53EB6" w:rsidRDefault="006500F5">
            <w:pPr>
              <w:pStyle w:val="TableContents"/>
            </w:pPr>
            <w:r>
              <w:t>2</w:t>
            </w:r>
          </w:p>
        </w:tc>
        <w:tc>
          <w:tcPr>
            <w:tcW w:w="1414" w:type="dxa"/>
            <w:tcBorders>
              <w:left w:val="single" w:sz="2" w:space="0" w:color="000000"/>
              <w:bottom w:val="single" w:sz="2" w:space="0" w:color="000000"/>
            </w:tcBorders>
          </w:tcPr>
          <w:p w14:paraId="6A574F53" w14:textId="77777777" w:rsidR="00E53EB6" w:rsidRDefault="006500F5">
            <w:pPr>
              <w:pStyle w:val="TableContents"/>
            </w:pPr>
            <w:r>
              <w:t>1.162.22</w:t>
            </w:r>
          </w:p>
        </w:tc>
        <w:tc>
          <w:tcPr>
            <w:tcW w:w="3441" w:type="dxa"/>
            <w:tcBorders>
              <w:left w:val="single" w:sz="2" w:space="0" w:color="000000"/>
              <w:bottom w:val="single" w:sz="2" w:space="0" w:color="000000"/>
            </w:tcBorders>
          </w:tcPr>
          <w:p w14:paraId="328B0AB4" w14:textId="77777777" w:rsidR="00E53EB6" w:rsidRDefault="006500F5">
            <w:pPr>
              <w:pStyle w:val="TableContents"/>
            </w:pPr>
            <w:r>
              <w:t xml:space="preserve">TS 4.6.9.4l; VS 25.45; </w:t>
            </w:r>
          </w:p>
          <w:p w14:paraId="1B267648" w14:textId="77777777" w:rsidR="00E53EB6" w:rsidRDefault="006500F5">
            <w:pPr>
              <w:pStyle w:val="TableContents"/>
            </w:pPr>
            <w:r>
              <w:lastRenderedPageBreak/>
              <w:t>KSAśv 6.5</w:t>
            </w:r>
          </w:p>
        </w:tc>
        <w:tc>
          <w:tcPr>
            <w:tcW w:w="1731" w:type="dxa"/>
            <w:tcBorders>
              <w:left w:val="single" w:sz="2" w:space="0" w:color="000000"/>
              <w:bottom w:val="single" w:sz="2" w:space="0" w:color="000000"/>
              <w:right w:val="single" w:sz="2" w:space="0" w:color="000000"/>
            </w:tcBorders>
          </w:tcPr>
          <w:p w14:paraId="2D94684C" w14:textId="77777777" w:rsidR="00E53EB6" w:rsidRDefault="006500F5">
            <w:pPr>
              <w:pStyle w:val="TableContents"/>
              <w:rPr>
                <w:i/>
                <w:iCs/>
              </w:rPr>
            </w:pPr>
            <w:r>
              <w:rPr>
                <w:i/>
                <w:iCs/>
              </w:rPr>
              <w:lastRenderedPageBreak/>
              <w:t>vanatā</w:t>
            </w:r>
            <w:r>
              <w:rPr>
                <w:i/>
                <w:iCs/>
              </w:rPr>
              <w:t>ṃ</w:t>
            </w:r>
          </w:p>
          <w:p w14:paraId="3171F1AB" w14:textId="77777777" w:rsidR="00E53EB6" w:rsidRDefault="006500F5">
            <w:pPr>
              <w:pStyle w:val="TableContents"/>
              <w:rPr>
                <w:i/>
                <w:iCs/>
              </w:rPr>
            </w:pPr>
            <w:r>
              <w:rPr>
                <w:i/>
                <w:iCs/>
              </w:rPr>
              <w:lastRenderedPageBreak/>
              <w:t>vanate</w:t>
            </w:r>
          </w:p>
        </w:tc>
      </w:tr>
      <w:tr w:rsidR="00E53EB6" w14:paraId="5E3BF0B6" w14:textId="77777777">
        <w:tc>
          <w:tcPr>
            <w:tcW w:w="1576" w:type="dxa"/>
            <w:tcBorders>
              <w:left w:val="single" w:sz="2" w:space="0" w:color="000000"/>
              <w:bottom w:val="single" w:sz="2" w:space="0" w:color="000000"/>
            </w:tcBorders>
          </w:tcPr>
          <w:p w14:paraId="6D908807" w14:textId="77777777" w:rsidR="00E53EB6" w:rsidRDefault="006500F5">
            <w:pPr>
              <w:pStyle w:val="TableContents"/>
              <w:rPr>
                <w:i/>
                <w:iCs/>
              </w:rPr>
            </w:pPr>
            <w:r>
              <w:rPr>
                <w:i/>
                <w:iCs/>
              </w:rPr>
              <w:t>narya</w:t>
            </w:r>
          </w:p>
        </w:tc>
        <w:tc>
          <w:tcPr>
            <w:tcW w:w="630" w:type="dxa"/>
            <w:tcBorders>
              <w:left w:val="single" w:sz="2" w:space="0" w:color="000000"/>
              <w:bottom w:val="single" w:sz="2" w:space="0" w:color="000000"/>
            </w:tcBorders>
          </w:tcPr>
          <w:p w14:paraId="5CBF7964" w14:textId="77777777" w:rsidR="00E53EB6" w:rsidRDefault="006500F5">
            <w:pPr>
              <w:pStyle w:val="TableContents"/>
            </w:pPr>
            <w:r>
              <w:t>1</w:t>
            </w:r>
          </w:p>
        </w:tc>
        <w:tc>
          <w:tcPr>
            <w:tcW w:w="1414" w:type="dxa"/>
            <w:tcBorders>
              <w:left w:val="single" w:sz="2" w:space="0" w:color="000000"/>
              <w:bottom w:val="single" w:sz="2" w:space="0" w:color="000000"/>
            </w:tcBorders>
          </w:tcPr>
          <w:p w14:paraId="38A0CD1E" w14:textId="77777777" w:rsidR="00E53EB6" w:rsidRDefault="006500F5">
            <w:pPr>
              <w:pStyle w:val="TableContents"/>
            </w:pPr>
            <w:r>
              <w:t>7.100.1</w:t>
            </w:r>
          </w:p>
        </w:tc>
        <w:tc>
          <w:tcPr>
            <w:tcW w:w="3441" w:type="dxa"/>
            <w:tcBorders>
              <w:left w:val="single" w:sz="2" w:space="0" w:color="000000"/>
              <w:bottom w:val="single" w:sz="2" w:space="0" w:color="000000"/>
            </w:tcBorders>
          </w:tcPr>
          <w:p w14:paraId="0BE9BEEF" w14:textId="77777777" w:rsidR="00E53EB6" w:rsidRDefault="006500F5">
            <w:pPr>
              <w:pStyle w:val="TableContents"/>
            </w:pPr>
            <w:r>
              <w:t>TB 2.4.3.5</w:t>
            </w:r>
          </w:p>
        </w:tc>
        <w:tc>
          <w:tcPr>
            <w:tcW w:w="1731" w:type="dxa"/>
            <w:tcBorders>
              <w:left w:val="single" w:sz="2" w:space="0" w:color="000000"/>
              <w:bottom w:val="single" w:sz="2" w:space="0" w:color="000000"/>
              <w:right w:val="single" w:sz="2" w:space="0" w:color="000000"/>
            </w:tcBorders>
          </w:tcPr>
          <w:p w14:paraId="214E91CC" w14:textId="77777777" w:rsidR="00E53EB6" w:rsidRDefault="006500F5">
            <w:pPr>
              <w:pStyle w:val="TableContents"/>
              <w:rPr>
                <w:i/>
                <w:iCs/>
              </w:rPr>
            </w:pPr>
            <w:r>
              <w:rPr>
                <w:i/>
                <w:iCs/>
              </w:rPr>
              <w:t>ā vivāsāt</w:t>
            </w:r>
          </w:p>
        </w:tc>
      </w:tr>
      <w:tr w:rsidR="00E53EB6" w14:paraId="1FAED509" w14:textId="77777777">
        <w:tc>
          <w:tcPr>
            <w:tcW w:w="1576" w:type="dxa"/>
            <w:tcBorders>
              <w:left w:val="single" w:sz="2" w:space="0" w:color="000000"/>
              <w:bottom w:val="single" w:sz="2" w:space="0" w:color="000000"/>
            </w:tcBorders>
          </w:tcPr>
          <w:p w14:paraId="3C8E5966" w14:textId="77777777" w:rsidR="00E53EB6" w:rsidRDefault="006500F5">
            <w:pPr>
              <w:pStyle w:val="TableContents"/>
              <w:rPr>
                <w:i/>
                <w:iCs/>
              </w:rPr>
            </w:pPr>
            <w:r>
              <w:rPr>
                <w:i/>
                <w:iCs/>
              </w:rPr>
              <w:t>mádam</w:t>
            </w:r>
          </w:p>
        </w:tc>
        <w:tc>
          <w:tcPr>
            <w:tcW w:w="630" w:type="dxa"/>
            <w:tcBorders>
              <w:left w:val="single" w:sz="2" w:space="0" w:color="000000"/>
              <w:bottom w:val="single" w:sz="2" w:space="0" w:color="000000"/>
            </w:tcBorders>
          </w:tcPr>
          <w:p w14:paraId="3C086B62" w14:textId="77777777" w:rsidR="00E53EB6" w:rsidRDefault="006500F5">
            <w:pPr>
              <w:pStyle w:val="TableContents"/>
            </w:pPr>
            <w:r>
              <w:t>2</w:t>
            </w:r>
          </w:p>
        </w:tc>
        <w:tc>
          <w:tcPr>
            <w:tcW w:w="1414" w:type="dxa"/>
            <w:tcBorders>
              <w:left w:val="single" w:sz="2" w:space="0" w:color="000000"/>
              <w:bottom w:val="single" w:sz="2" w:space="0" w:color="000000"/>
            </w:tcBorders>
          </w:tcPr>
          <w:p w14:paraId="2A0C5376" w14:textId="77777777" w:rsidR="00E53EB6" w:rsidRDefault="006500F5">
            <w:pPr>
              <w:pStyle w:val="TableContents"/>
            </w:pPr>
            <w:r>
              <w:t>10.96.1</w:t>
            </w:r>
          </w:p>
        </w:tc>
        <w:tc>
          <w:tcPr>
            <w:tcW w:w="3441" w:type="dxa"/>
            <w:tcBorders>
              <w:left w:val="single" w:sz="2" w:space="0" w:color="000000"/>
              <w:bottom w:val="single" w:sz="2" w:space="0" w:color="000000"/>
            </w:tcBorders>
          </w:tcPr>
          <w:p w14:paraId="35EAACEF" w14:textId="77777777" w:rsidR="00E53EB6" w:rsidRDefault="006500F5">
            <w:pPr>
              <w:pStyle w:val="TableContents"/>
            </w:pPr>
            <w:r>
              <w:t>TB 3.7.9.6; TB 2.4.3.10-(11)</w:t>
            </w:r>
          </w:p>
        </w:tc>
        <w:tc>
          <w:tcPr>
            <w:tcW w:w="1731" w:type="dxa"/>
            <w:tcBorders>
              <w:left w:val="single" w:sz="2" w:space="0" w:color="000000"/>
              <w:bottom w:val="single" w:sz="2" w:space="0" w:color="000000"/>
              <w:right w:val="single" w:sz="2" w:space="0" w:color="000000"/>
            </w:tcBorders>
          </w:tcPr>
          <w:p w14:paraId="06F92937" w14:textId="77777777" w:rsidR="00E53EB6" w:rsidRDefault="006500F5">
            <w:pPr>
              <w:pStyle w:val="TableContents"/>
              <w:rPr>
                <w:i/>
                <w:iCs/>
              </w:rPr>
            </w:pPr>
            <w:r>
              <w:rPr>
                <w:i/>
                <w:iCs/>
              </w:rPr>
              <w:t>pra vanve</w:t>
            </w:r>
          </w:p>
        </w:tc>
      </w:tr>
      <w:tr w:rsidR="00E53EB6" w14:paraId="4ABA4DD9" w14:textId="77777777">
        <w:tc>
          <w:tcPr>
            <w:tcW w:w="1576" w:type="dxa"/>
            <w:tcBorders>
              <w:left w:val="single" w:sz="2" w:space="0" w:color="000000"/>
              <w:bottom w:val="single" w:sz="2" w:space="0" w:color="000000"/>
            </w:tcBorders>
          </w:tcPr>
          <w:p w14:paraId="112F7AA3" w14:textId="77777777" w:rsidR="00E53EB6" w:rsidRDefault="006500F5">
            <w:pPr>
              <w:pStyle w:val="TableContents"/>
              <w:rPr>
                <w:i/>
                <w:iCs/>
              </w:rPr>
            </w:pPr>
            <w:r>
              <w:rPr>
                <w:i/>
                <w:iCs/>
              </w:rPr>
              <w:t>raí</w:t>
            </w:r>
          </w:p>
        </w:tc>
        <w:tc>
          <w:tcPr>
            <w:tcW w:w="630" w:type="dxa"/>
            <w:tcBorders>
              <w:left w:val="single" w:sz="2" w:space="0" w:color="000000"/>
              <w:bottom w:val="single" w:sz="2" w:space="0" w:color="000000"/>
            </w:tcBorders>
          </w:tcPr>
          <w:p w14:paraId="658073D0" w14:textId="77777777" w:rsidR="00E53EB6" w:rsidRDefault="006500F5">
            <w:pPr>
              <w:pStyle w:val="TableContents"/>
            </w:pPr>
            <w:r>
              <w:t>5</w:t>
            </w:r>
          </w:p>
        </w:tc>
        <w:tc>
          <w:tcPr>
            <w:tcW w:w="1414" w:type="dxa"/>
            <w:tcBorders>
              <w:left w:val="single" w:sz="2" w:space="0" w:color="000000"/>
              <w:bottom w:val="single" w:sz="2" w:space="0" w:color="000000"/>
            </w:tcBorders>
          </w:tcPr>
          <w:p w14:paraId="0BE7E009" w14:textId="77777777" w:rsidR="00E53EB6" w:rsidRDefault="006500F5">
            <w:pPr>
              <w:pStyle w:val="TableContents"/>
            </w:pPr>
            <w:r>
              <w:t>6.16.28</w:t>
            </w:r>
          </w:p>
        </w:tc>
        <w:tc>
          <w:tcPr>
            <w:tcW w:w="3441" w:type="dxa"/>
            <w:tcBorders>
              <w:left w:val="single" w:sz="2" w:space="0" w:color="000000"/>
              <w:bottom w:val="single" w:sz="2" w:space="0" w:color="000000"/>
            </w:tcBorders>
          </w:tcPr>
          <w:p w14:paraId="598A7B35" w14:textId="77777777" w:rsidR="00E53EB6" w:rsidRDefault="006500F5">
            <w:pPr>
              <w:pStyle w:val="TableContents"/>
            </w:pPr>
            <w:r>
              <w:t>MS 2.10.2; KpS 28.2; VS 17.16</w:t>
            </w:r>
          </w:p>
          <w:p w14:paraId="30A5741A" w14:textId="77777777" w:rsidR="00E53EB6" w:rsidRDefault="006500F5">
            <w:pPr>
              <w:pStyle w:val="TableContents"/>
              <w:rPr>
                <w:i/>
                <w:iCs/>
              </w:rPr>
            </w:pPr>
            <w:r>
              <w:t>KS 18.1; TS 4.6.1.5r</w:t>
            </w:r>
            <w:r>
              <w:rPr>
                <w:i/>
                <w:iCs/>
              </w:rPr>
              <w:t xml:space="preserve"> </w:t>
            </w:r>
          </w:p>
        </w:tc>
        <w:tc>
          <w:tcPr>
            <w:tcW w:w="1731" w:type="dxa"/>
            <w:tcBorders>
              <w:left w:val="single" w:sz="2" w:space="0" w:color="000000"/>
              <w:bottom w:val="single" w:sz="2" w:space="0" w:color="000000"/>
              <w:right w:val="single" w:sz="2" w:space="0" w:color="000000"/>
            </w:tcBorders>
          </w:tcPr>
          <w:p w14:paraId="5663C6BC" w14:textId="77777777" w:rsidR="00E53EB6" w:rsidRDefault="006500F5">
            <w:pPr>
              <w:pStyle w:val="TableContents"/>
              <w:rPr>
                <w:i/>
                <w:iCs/>
              </w:rPr>
            </w:pPr>
            <w:r>
              <w:rPr>
                <w:i/>
                <w:iCs/>
              </w:rPr>
              <w:t>vanate</w:t>
            </w:r>
          </w:p>
          <w:p w14:paraId="4CCC0A77" w14:textId="77777777" w:rsidR="00E53EB6" w:rsidRDefault="006500F5">
            <w:pPr>
              <w:pStyle w:val="TableContents"/>
              <w:rPr>
                <w:i/>
                <w:iCs/>
              </w:rPr>
            </w:pPr>
            <w:r>
              <w:rPr>
                <w:i/>
                <w:iCs/>
              </w:rPr>
              <w:t>va</w:t>
            </w:r>
            <w:r>
              <w:rPr>
                <w:i/>
                <w:iCs/>
              </w:rPr>
              <w:t>ṃ</w:t>
            </w:r>
            <w:r>
              <w:rPr>
                <w:i/>
                <w:iCs/>
              </w:rPr>
              <w:t>sate</w:t>
            </w:r>
          </w:p>
        </w:tc>
      </w:tr>
      <w:tr w:rsidR="00E53EB6" w14:paraId="23C14C5D" w14:textId="77777777">
        <w:tc>
          <w:tcPr>
            <w:tcW w:w="1576" w:type="dxa"/>
            <w:tcBorders>
              <w:left w:val="single" w:sz="2" w:space="0" w:color="000000"/>
              <w:bottom w:val="single" w:sz="2" w:space="0" w:color="000000"/>
            </w:tcBorders>
          </w:tcPr>
          <w:p w14:paraId="684956C5" w14:textId="77777777" w:rsidR="00E53EB6" w:rsidRDefault="006500F5">
            <w:pPr>
              <w:pStyle w:val="TableContents"/>
              <w:rPr>
                <w:i/>
                <w:iCs/>
              </w:rPr>
            </w:pPr>
            <w:r>
              <w:rPr>
                <w:i/>
                <w:iCs/>
              </w:rPr>
              <w:t>vána</w:t>
            </w:r>
          </w:p>
        </w:tc>
        <w:tc>
          <w:tcPr>
            <w:tcW w:w="630" w:type="dxa"/>
            <w:tcBorders>
              <w:left w:val="single" w:sz="2" w:space="0" w:color="000000"/>
              <w:bottom w:val="single" w:sz="2" w:space="0" w:color="000000"/>
            </w:tcBorders>
          </w:tcPr>
          <w:p w14:paraId="6092B4B5" w14:textId="77777777" w:rsidR="00E53EB6" w:rsidRDefault="006500F5">
            <w:pPr>
              <w:pStyle w:val="TableContents"/>
            </w:pPr>
            <w:r>
              <w:t>2</w:t>
            </w:r>
          </w:p>
        </w:tc>
        <w:tc>
          <w:tcPr>
            <w:tcW w:w="1414" w:type="dxa"/>
            <w:tcBorders>
              <w:left w:val="single" w:sz="2" w:space="0" w:color="000000"/>
              <w:bottom w:val="single" w:sz="2" w:space="0" w:color="000000"/>
            </w:tcBorders>
          </w:tcPr>
          <w:p w14:paraId="772B683B" w14:textId="77777777" w:rsidR="00E53EB6" w:rsidRDefault="006500F5">
            <w:pPr>
              <w:pStyle w:val="TableContents"/>
            </w:pPr>
            <w:r>
              <w:t>6.6.3</w:t>
            </w:r>
          </w:p>
        </w:tc>
        <w:tc>
          <w:tcPr>
            <w:tcW w:w="3441" w:type="dxa"/>
            <w:tcBorders>
              <w:left w:val="single" w:sz="2" w:space="0" w:color="000000"/>
              <w:bottom w:val="single" w:sz="2" w:space="0" w:color="000000"/>
            </w:tcBorders>
          </w:tcPr>
          <w:p w14:paraId="574A8F86" w14:textId="77777777" w:rsidR="00E53EB6" w:rsidRDefault="006500F5">
            <w:pPr>
              <w:pStyle w:val="TableContents"/>
              <w:rPr>
                <w:i/>
                <w:iCs/>
              </w:rPr>
            </w:pPr>
            <w:r>
              <w:t>TS 3.3.11.1-2e; ŚB 12.4.4.2</w:t>
            </w:r>
            <w:r>
              <w:rPr>
                <w:i/>
                <w:iCs/>
              </w:rPr>
              <w:t xml:space="preserve"> </w:t>
            </w:r>
          </w:p>
        </w:tc>
        <w:tc>
          <w:tcPr>
            <w:tcW w:w="1731" w:type="dxa"/>
            <w:tcBorders>
              <w:left w:val="single" w:sz="2" w:space="0" w:color="000000"/>
              <w:bottom w:val="single" w:sz="2" w:space="0" w:color="000000"/>
              <w:right w:val="single" w:sz="2" w:space="0" w:color="000000"/>
            </w:tcBorders>
          </w:tcPr>
          <w:p w14:paraId="6270FDB1" w14:textId="77777777" w:rsidR="00E53EB6" w:rsidRDefault="006500F5">
            <w:pPr>
              <w:pStyle w:val="TableContents"/>
              <w:rPr>
                <w:i/>
                <w:iCs/>
              </w:rPr>
            </w:pPr>
            <w:r>
              <w:rPr>
                <w:i/>
                <w:iCs/>
              </w:rPr>
              <w:t>vananti</w:t>
            </w:r>
          </w:p>
        </w:tc>
      </w:tr>
      <w:tr w:rsidR="00E53EB6" w14:paraId="7063C3B2" w14:textId="77777777">
        <w:tc>
          <w:tcPr>
            <w:tcW w:w="1576" w:type="dxa"/>
            <w:tcBorders>
              <w:left w:val="single" w:sz="2" w:space="0" w:color="000000"/>
              <w:bottom w:val="single" w:sz="2" w:space="0" w:color="000000"/>
            </w:tcBorders>
          </w:tcPr>
          <w:p w14:paraId="499B5630" w14:textId="77777777" w:rsidR="00E53EB6" w:rsidRDefault="006500F5">
            <w:pPr>
              <w:pStyle w:val="TableContents"/>
              <w:rPr>
                <w:i/>
                <w:iCs/>
              </w:rPr>
            </w:pPr>
            <w:r>
              <w:rPr>
                <w:i/>
                <w:iCs/>
              </w:rPr>
              <w:t>vásu</w:t>
            </w:r>
          </w:p>
        </w:tc>
        <w:tc>
          <w:tcPr>
            <w:tcW w:w="630" w:type="dxa"/>
            <w:tcBorders>
              <w:left w:val="single" w:sz="2" w:space="0" w:color="000000"/>
              <w:bottom w:val="single" w:sz="2" w:space="0" w:color="000000"/>
            </w:tcBorders>
          </w:tcPr>
          <w:p w14:paraId="67465770" w14:textId="77777777" w:rsidR="00E53EB6" w:rsidRDefault="006500F5">
            <w:pPr>
              <w:pStyle w:val="TableContents"/>
            </w:pPr>
            <w:r>
              <w:t>3</w:t>
            </w:r>
          </w:p>
        </w:tc>
        <w:tc>
          <w:tcPr>
            <w:tcW w:w="1414" w:type="dxa"/>
            <w:tcBorders>
              <w:left w:val="single" w:sz="2" w:space="0" w:color="000000"/>
              <w:bottom w:val="single" w:sz="2" w:space="0" w:color="000000"/>
            </w:tcBorders>
          </w:tcPr>
          <w:p w14:paraId="10954207" w14:textId="77777777" w:rsidR="00E53EB6" w:rsidRDefault="006500F5">
            <w:pPr>
              <w:pStyle w:val="TableContents"/>
            </w:pPr>
            <w:r>
              <w:t>7.15.4</w:t>
            </w:r>
          </w:p>
          <w:p w14:paraId="4912ADF4" w14:textId="77777777" w:rsidR="00E53EB6" w:rsidRDefault="006500F5">
            <w:pPr>
              <w:pStyle w:val="TableContents"/>
            </w:pPr>
            <w:r>
              <w:t>7.94.9</w:t>
            </w:r>
          </w:p>
        </w:tc>
        <w:tc>
          <w:tcPr>
            <w:tcW w:w="3441" w:type="dxa"/>
            <w:tcBorders>
              <w:left w:val="single" w:sz="2" w:space="0" w:color="000000"/>
              <w:bottom w:val="single" w:sz="2" w:space="0" w:color="000000"/>
            </w:tcBorders>
          </w:tcPr>
          <w:p w14:paraId="6CA8584F" w14:textId="77777777" w:rsidR="00E53EB6" w:rsidRDefault="006500F5">
            <w:pPr>
              <w:pStyle w:val="TableContents"/>
            </w:pPr>
            <w:r>
              <w:t>KS 40.14; TB 2.4.8.1</w:t>
            </w:r>
          </w:p>
          <w:p w14:paraId="1150B368" w14:textId="77777777" w:rsidR="00E53EB6" w:rsidRDefault="006500F5">
            <w:pPr>
              <w:pStyle w:val="TableContents"/>
            </w:pPr>
            <w:r>
              <w:t>KS 4.15</w:t>
            </w:r>
          </w:p>
        </w:tc>
        <w:tc>
          <w:tcPr>
            <w:tcW w:w="1731" w:type="dxa"/>
            <w:tcBorders>
              <w:left w:val="single" w:sz="2" w:space="0" w:color="000000"/>
              <w:bottom w:val="single" w:sz="2" w:space="0" w:color="000000"/>
              <w:right w:val="single" w:sz="2" w:space="0" w:color="000000"/>
            </w:tcBorders>
          </w:tcPr>
          <w:p w14:paraId="5FFF550D" w14:textId="77777777" w:rsidR="00E53EB6" w:rsidRDefault="006500F5">
            <w:pPr>
              <w:pStyle w:val="TableContents"/>
              <w:rPr>
                <w:i/>
                <w:iCs/>
              </w:rPr>
            </w:pPr>
            <w:r>
              <w:rPr>
                <w:i/>
                <w:iCs/>
              </w:rPr>
              <w:t>vanā́ti (kuvíd)</w:t>
            </w:r>
          </w:p>
          <w:p w14:paraId="616EBD5F" w14:textId="77777777" w:rsidR="00E53EB6" w:rsidRDefault="006500F5">
            <w:pPr>
              <w:pStyle w:val="TableContents"/>
              <w:rPr>
                <w:i/>
                <w:iCs/>
              </w:rPr>
            </w:pPr>
            <w:r>
              <w:rPr>
                <w:i/>
                <w:iCs/>
              </w:rPr>
              <w:t>vanemahi</w:t>
            </w:r>
          </w:p>
        </w:tc>
      </w:tr>
    </w:tbl>
    <w:p w14:paraId="3E5769DE" w14:textId="77777777" w:rsidR="00E53EB6" w:rsidRDefault="00E53EB6">
      <w:pPr>
        <w:rPr>
          <w:lang w:val="en-GB"/>
        </w:rPr>
      </w:pPr>
    </w:p>
    <w:p w14:paraId="3A853A32" w14:textId="77777777" w:rsidR="00E53EB6" w:rsidRDefault="00E53EB6">
      <w:pPr>
        <w:pStyle w:val="HaupttextohneEinzug"/>
        <w:rPr>
          <w:lang w:bidi="it-IT"/>
        </w:rPr>
      </w:pPr>
    </w:p>
    <w:p w14:paraId="2416741F" w14:textId="77777777" w:rsidR="00E53EB6" w:rsidRDefault="00E53EB6">
      <w:pPr>
        <w:pStyle w:val="HaupttextohneEinzug"/>
        <w:rPr>
          <w:lang w:bidi="it-IT"/>
        </w:rPr>
      </w:pPr>
    </w:p>
    <w:p w14:paraId="0C718894" w14:textId="77777777" w:rsidR="00E53EB6" w:rsidRDefault="006500F5">
      <w:pPr>
        <w:pStyle w:val="HaupttextohneEinzug"/>
        <w:rPr>
          <w:lang w:bidi="it-IT"/>
        </w:rPr>
      </w:pPr>
      <w:r>
        <w:rPr>
          <w:lang w:bidi="it-IT"/>
        </w:rPr>
        <w:t>b- a conquest</w:t>
      </w:r>
    </w:p>
    <w:tbl>
      <w:tblPr>
        <w:tblW w:w="8792" w:type="dxa"/>
        <w:tblLayout w:type="fixed"/>
        <w:tblCellMar>
          <w:top w:w="55" w:type="dxa"/>
          <w:left w:w="55" w:type="dxa"/>
          <w:bottom w:w="55" w:type="dxa"/>
          <w:right w:w="55" w:type="dxa"/>
        </w:tblCellMar>
        <w:tblLook w:val="04A0" w:firstRow="1" w:lastRow="0" w:firstColumn="1" w:lastColumn="0" w:noHBand="0" w:noVBand="1"/>
      </w:tblPr>
      <w:tblGrid>
        <w:gridCol w:w="1576"/>
        <w:gridCol w:w="630"/>
        <w:gridCol w:w="1414"/>
        <w:gridCol w:w="3441"/>
        <w:gridCol w:w="1731"/>
      </w:tblGrid>
      <w:tr w:rsidR="00E53EB6" w14:paraId="7C936F0C" w14:textId="77777777">
        <w:tc>
          <w:tcPr>
            <w:tcW w:w="1576" w:type="dxa"/>
            <w:tcBorders>
              <w:top w:val="single" w:sz="2" w:space="0" w:color="000000"/>
              <w:left w:val="single" w:sz="2" w:space="0" w:color="000000"/>
              <w:bottom w:val="single" w:sz="2" w:space="0" w:color="000000"/>
            </w:tcBorders>
          </w:tcPr>
          <w:p w14:paraId="7A915BE5" w14:textId="77777777" w:rsidR="00E53EB6" w:rsidRDefault="006500F5">
            <w:pPr>
              <w:pStyle w:val="TableContents"/>
            </w:pPr>
            <w:r>
              <w:t>object</w:t>
            </w:r>
          </w:p>
        </w:tc>
        <w:tc>
          <w:tcPr>
            <w:tcW w:w="630" w:type="dxa"/>
            <w:tcBorders>
              <w:top w:val="single" w:sz="2" w:space="0" w:color="000000"/>
              <w:left w:val="single" w:sz="2" w:space="0" w:color="000000"/>
              <w:bottom w:val="single" w:sz="2" w:space="0" w:color="000000"/>
            </w:tcBorders>
          </w:tcPr>
          <w:p w14:paraId="357F60FE" w14:textId="77777777" w:rsidR="00E53EB6" w:rsidRDefault="006500F5">
            <w:pPr>
              <w:pStyle w:val="TableContents"/>
            </w:pPr>
            <w:r>
              <w:t>Q.</w:t>
            </w:r>
          </w:p>
        </w:tc>
        <w:tc>
          <w:tcPr>
            <w:tcW w:w="1414" w:type="dxa"/>
            <w:tcBorders>
              <w:top w:val="single" w:sz="2" w:space="0" w:color="000000"/>
              <w:left w:val="single" w:sz="2" w:space="0" w:color="000000"/>
              <w:bottom w:val="single" w:sz="2" w:space="0" w:color="000000"/>
            </w:tcBorders>
          </w:tcPr>
          <w:p w14:paraId="72B8D367" w14:textId="77777777" w:rsidR="00E53EB6" w:rsidRDefault="006500F5">
            <w:pPr>
              <w:pStyle w:val="TableContents"/>
            </w:pPr>
            <w:r>
              <w:t>R̥V  occ.</w:t>
            </w:r>
          </w:p>
        </w:tc>
        <w:tc>
          <w:tcPr>
            <w:tcW w:w="3441" w:type="dxa"/>
            <w:tcBorders>
              <w:top w:val="single" w:sz="2" w:space="0" w:color="000000"/>
              <w:left w:val="single" w:sz="2" w:space="0" w:color="000000"/>
              <w:bottom w:val="single" w:sz="2" w:space="0" w:color="000000"/>
            </w:tcBorders>
          </w:tcPr>
          <w:p w14:paraId="3792FC2C" w14:textId="77777777" w:rsidR="00E53EB6" w:rsidRDefault="006500F5">
            <w:pPr>
              <w:pStyle w:val="TableContents"/>
            </w:pPr>
            <w:r>
              <w:t xml:space="preserve">post- R̥V </w:t>
            </w:r>
            <w:r>
              <w:t>correspondences</w:t>
            </w:r>
          </w:p>
        </w:tc>
        <w:tc>
          <w:tcPr>
            <w:tcW w:w="1731" w:type="dxa"/>
            <w:tcBorders>
              <w:top w:val="single" w:sz="2" w:space="0" w:color="000000"/>
              <w:left w:val="single" w:sz="2" w:space="0" w:color="000000"/>
              <w:bottom w:val="single" w:sz="2" w:space="0" w:color="000000"/>
              <w:right w:val="single" w:sz="2" w:space="0" w:color="000000"/>
            </w:tcBorders>
          </w:tcPr>
          <w:p w14:paraId="1CE0F13D" w14:textId="77777777" w:rsidR="00E53EB6" w:rsidRDefault="006500F5">
            <w:pPr>
              <w:pStyle w:val="TableContents"/>
              <w:rPr>
                <w:i/>
                <w:iCs/>
              </w:rPr>
            </w:pPr>
            <w:r>
              <w:rPr>
                <w:i/>
                <w:iCs/>
              </w:rPr>
              <w:t>van- / van</w:t>
            </w:r>
            <w:r>
              <w:rPr>
                <w:i/>
                <w:iCs/>
                <w:vertAlign w:val="superscript"/>
              </w:rPr>
              <w:t>i</w:t>
            </w:r>
            <w:r>
              <w:rPr>
                <w:i/>
                <w:iCs/>
              </w:rPr>
              <w:t>-</w:t>
            </w:r>
          </w:p>
        </w:tc>
      </w:tr>
      <w:tr w:rsidR="00E53EB6" w14:paraId="1F907901" w14:textId="77777777">
        <w:tc>
          <w:tcPr>
            <w:tcW w:w="1576" w:type="dxa"/>
            <w:tcBorders>
              <w:left w:val="single" w:sz="2" w:space="0" w:color="000000"/>
              <w:bottom w:val="single" w:sz="2" w:space="0" w:color="000000"/>
            </w:tcBorders>
          </w:tcPr>
          <w:p w14:paraId="3F1820E9" w14:textId="77777777" w:rsidR="00E53EB6" w:rsidRDefault="006500F5">
            <w:pPr>
              <w:pStyle w:val="TableContents"/>
              <w:rPr>
                <w:i/>
                <w:iCs/>
              </w:rPr>
            </w:pPr>
            <w:r>
              <w:rPr>
                <w:i/>
                <w:iCs/>
              </w:rPr>
              <w:t>sthirā́</w:t>
            </w:r>
          </w:p>
        </w:tc>
        <w:tc>
          <w:tcPr>
            <w:tcW w:w="630" w:type="dxa"/>
            <w:tcBorders>
              <w:left w:val="single" w:sz="2" w:space="0" w:color="000000"/>
              <w:bottom w:val="single" w:sz="2" w:space="0" w:color="000000"/>
            </w:tcBorders>
          </w:tcPr>
          <w:p w14:paraId="1BB366BC" w14:textId="77777777" w:rsidR="00E53EB6" w:rsidRDefault="006500F5">
            <w:pPr>
              <w:pStyle w:val="TableContents"/>
            </w:pPr>
            <w:r>
              <w:t>1</w:t>
            </w:r>
          </w:p>
        </w:tc>
        <w:tc>
          <w:tcPr>
            <w:tcW w:w="1414" w:type="dxa"/>
            <w:tcBorders>
              <w:left w:val="single" w:sz="2" w:space="0" w:color="000000"/>
              <w:bottom w:val="single" w:sz="2" w:space="0" w:color="000000"/>
            </w:tcBorders>
          </w:tcPr>
          <w:p w14:paraId="4C78F6D7" w14:textId="77777777" w:rsidR="00E53EB6" w:rsidRDefault="006500F5">
            <w:pPr>
              <w:pStyle w:val="TableContents"/>
            </w:pPr>
            <w:r>
              <w:t>8.19.20</w:t>
            </w:r>
          </w:p>
        </w:tc>
        <w:tc>
          <w:tcPr>
            <w:tcW w:w="3441" w:type="dxa"/>
            <w:tcBorders>
              <w:left w:val="single" w:sz="2" w:space="0" w:color="000000"/>
              <w:bottom w:val="single" w:sz="2" w:space="0" w:color="000000"/>
            </w:tcBorders>
          </w:tcPr>
          <w:p w14:paraId="57A266F4" w14:textId="77777777" w:rsidR="00E53EB6" w:rsidRDefault="006500F5">
            <w:pPr>
              <w:pStyle w:val="TableContents"/>
            </w:pPr>
            <w:r>
              <w:t>VS 15.39-40</w:t>
            </w:r>
          </w:p>
        </w:tc>
        <w:tc>
          <w:tcPr>
            <w:tcW w:w="1731" w:type="dxa"/>
            <w:tcBorders>
              <w:left w:val="single" w:sz="2" w:space="0" w:color="000000"/>
              <w:bottom w:val="single" w:sz="2" w:space="0" w:color="000000"/>
              <w:right w:val="single" w:sz="2" w:space="0" w:color="000000"/>
            </w:tcBorders>
          </w:tcPr>
          <w:p w14:paraId="0C54781C" w14:textId="77777777" w:rsidR="00E53EB6" w:rsidRDefault="006500F5">
            <w:pPr>
              <w:pStyle w:val="TableContents"/>
              <w:rPr>
                <w:i/>
                <w:iCs/>
              </w:rPr>
            </w:pPr>
            <w:r>
              <w:rPr>
                <w:i/>
                <w:iCs/>
              </w:rPr>
              <w:t>vanéma</w:t>
            </w:r>
          </w:p>
        </w:tc>
      </w:tr>
      <w:tr w:rsidR="00E53EB6" w14:paraId="673DA3E1" w14:textId="77777777">
        <w:tc>
          <w:tcPr>
            <w:tcW w:w="1576" w:type="dxa"/>
            <w:tcBorders>
              <w:left w:val="single" w:sz="2" w:space="0" w:color="000000"/>
              <w:bottom w:val="single" w:sz="2" w:space="0" w:color="000000"/>
            </w:tcBorders>
          </w:tcPr>
          <w:p w14:paraId="047EE300" w14:textId="77777777" w:rsidR="00E53EB6" w:rsidRDefault="006500F5">
            <w:pPr>
              <w:pStyle w:val="TableContents"/>
              <w:rPr>
                <w:i/>
                <w:iCs/>
              </w:rPr>
            </w:pPr>
            <w:r>
              <w:rPr>
                <w:i/>
                <w:iCs/>
              </w:rPr>
              <w:t>vanu</w:t>
            </w:r>
            <w:r>
              <w:rPr>
                <w:i/>
                <w:iCs/>
              </w:rPr>
              <w:t>ṣ</w:t>
            </w:r>
            <w:r>
              <w:rPr>
                <w:i/>
                <w:iCs/>
              </w:rPr>
              <w:t>ya</w:t>
            </w:r>
          </w:p>
        </w:tc>
        <w:tc>
          <w:tcPr>
            <w:tcW w:w="630" w:type="dxa"/>
            <w:tcBorders>
              <w:left w:val="single" w:sz="2" w:space="0" w:color="000000"/>
              <w:bottom w:val="single" w:sz="2" w:space="0" w:color="000000"/>
            </w:tcBorders>
          </w:tcPr>
          <w:p w14:paraId="12D71CFE" w14:textId="77777777" w:rsidR="00E53EB6" w:rsidRDefault="006500F5">
            <w:pPr>
              <w:pStyle w:val="TableContents"/>
            </w:pPr>
            <w:r>
              <w:t>2</w:t>
            </w:r>
          </w:p>
        </w:tc>
        <w:tc>
          <w:tcPr>
            <w:tcW w:w="1414" w:type="dxa"/>
            <w:tcBorders>
              <w:left w:val="single" w:sz="2" w:space="0" w:color="000000"/>
              <w:bottom w:val="single" w:sz="2" w:space="0" w:color="000000"/>
            </w:tcBorders>
          </w:tcPr>
          <w:p w14:paraId="617FF345" w14:textId="77777777" w:rsidR="00E53EB6" w:rsidRDefault="006500F5">
            <w:pPr>
              <w:pStyle w:val="TableContents"/>
            </w:pPr>
            <w:r>
              <w:t>2.25.1</w:t>
            </w:r>
          </w:p>
        </w:tc>
        <w:tc>
          <w:tcPr>
            <w:tcW w:w="3441" w:type="dxa"/>
            <w:tcBorders>
              <w:left w:val="single" w:sz="2" w:space="0" w:color="000000"/>
              <w:bottom w:val="single" w:sz="2" w:space="0" w:color="000000"/>
            </w:tcBorders>
          </w:tcPr>
          <w:p w14:paraId="04A48459" w14:textId="77777777" w:rsidR="00E53EB6" w:rsidRDefault="006500F5">
            <w:pPr>
              <w:pStyle w:val="TableContents"/>
            </w:pPr>
            <w:r>
              <w:t>MS 4.14.10; TB 2.8.5.2-3</w:t>
            </w:r>
          </w:p>
        </w:tc>
        <w:tc>
          <w:tcPr>
            <w:tcW w:w="1731" w:type="dxa"/>
            <w:tcBorders>
              <w:left w:val="single" w:sz="2" w:space="0" w:color="000000"/>
              <w:bottom w:val="single" w:sz="2" w:space="0" w:color="000000"/>
              <w:right w:val="single" w:sz="2" w:space="0" w:color="000000"/>
            </w:tcBorders>
          </w:tcPr>
          <w:p w14:paraId="3675FB7C" w14:textId="77777777" w:rsidR="00E53EB6" w:rsidRDefault="006500F5">
            <w:pPr>
              <w:pStyle w:val="TableContents"/>
              <w:rPr>
                <w:i/>
                <w:iCs/>
              </w:rPr>
            </w:pPr>
            <w:r>
              <w:rPr>
                <w:i/>
                <w:iCs/>
              </w:rPr>
              <w:t>vanavat</w:t>
            </w:r>
          </w:p>
        </w:tc>
      </w:tr>
    </w:tbl>
    <w:p w14:paraId="42C4D4CA" w14:textId="77777777" w:rsidR="00E53EB6" w:rsidRDefault="00E53EB6">
      <w:pPr>
        <w:pStyle w:val="Hauptext"/>
      </w:pPr>
    </w:p>
    <w:p w14:paraId="1424325C" w14:textId="77777777" w:rsidR="00E53EB6" w:rsidRDefault="00E53EB6">
      <w:pPr>
        <w:pStyle w:val="HaupttextohneEinzug"/>
        <w:rPr>
          <w:lang w:bidi="it-IT"/>
        </w:rPr>
      </w:pPr>
    </w:p>
    <w:p w14:paraId="4BACB941" w14:textId="77777777" w:rsidR="00E53EB6" w:rsidRDefault="00E53EB6">
      <w:pPr>
        <w:pStyle w:val="HaupttextohneEinzug"/>
        <w:rPr>
          <w:lang w:bidi="it-IT"/>
        </w:rPr>
      </w:pPr>
    </w:p>
    <w:p w14:paraId="3C4BD78B" w14:textId="77777777" w:rsidR="00E53EB6" w:rsidRDefault="006500F5">
      <w:pPr>
        <w:pStyle w:val="HaupttextohneEinzug"/>
        <w:rPr>
          <w:lang w:bidi="it-IT"/>
        </w:rPr>
      </w:pPr>
      <w:r>
        <w:rPr>
          <w:lang w:bidi="it-IT"/>
        </w:rPr>
        <w:t xml:space="preserve">d3- rite’s element - components </w:t>
      </w:r>
    </w:p>
    <w:tbl>
      <w:tblPr>
        <w:tblW w:w="8792" w:type="dxa"/>
        <w:tblLayout w:type="fixed"/>
        <w:tblCellMar>
          <w:top w:w="55" w:type="dxa"/>
          <w:left w:w="55" w:type="dxa"/>
          <w:bottom w:w="55" w:type="dxa"/>
          <w:right w:w="55" w:type="dxa"/>
        </w:tblCellMar>
        <w:tblLook w:val="04A0" w:firstRow="1" w:lastRow="0" w:firstColumn="1" w:lastColumn="0" w:noHBand="0" w:noVBand="1"/>
      </w:tblPr>
      <w:tblGrid>
        <w:gridCol w:w="1576"/>
        <w:gridCol w:w="630"/>
        <w:gridCol w:w="1414"/>
        <w:gridCol w:w="3441"/>
        <w:gridCol w:w="1731"/>
      </w:tblGrid>
      <w:tr w:rsidR="00E53EB6" w14:paraId="759B566E" w14:textId="77777777">
        <w:tc>
          <w:tcPr>
            <w:tcW w:w="1576" w:type="dxa"/>
            <w:tcBorders>
              <w:top w:val="single" w:sz="2" w:space="0" w:color="000000"/>
              <w:left w:val="single" w:sz="2" w:space="0" w:color="000000"/>
              <w:bottom w:val="single" w:sz="2" w:space="0" w:color="000000"/>
            </w:tcBorders>
          </w:tcPr>
          <w:p w14:paraId="4498BCAC" w14:textId="77777777" w:rsidR="00E53EB6" w:rsidRDefault="006500F5">
            <w:pPr>
              <w:pStyle w:val="TableContents"/>
            </w:pPr>
            <w:r>
              <w:t>object</w:t>
            </w:r>
          </w:p>
        </w:tc>
        <w:tc>
          <w:tcPr>
            <w:tcW w:w="630" w:type="dxa"/>
            <w:tcBorders>
              <w:top w:val="single" w:sz="2" w:space="0" w:color="000000"/>
              <w:left w:val="single" w:sz="2" w:space="0" w:color="000000"/>
              <w:bottom w:val="single" w:sz="2" w:space="0" w:color="000000"/>
            </w:tcBorders>
          </w:tcPr>
          <w:p w14:paraId="328AEFC5" w14:textId="77777777" w:rsidR="00E53EB6" w:rsidRDefault="006500F5">
            <w:pPr>
              <w:pStyle w:val="TableContents"/>
            </w:pPr>
            <w:r>
              <w:t>Q.</w:t>
            </w:r>
          </w:p>
        </w:tc>
        <w:tc>
          <w:tcPr>
            <w:tcW w:w="1414" w:type="dxa"/>
            <w:tcBorders>
              <w:top w:val="single" w:sz="2" w:space="0" w:color="000000"/>
              <w:left w:val="single" w:sz="2" w:space="0" w:color="000000"/>
              <w:bottom w:val="single" w:sz="2" w:space="0" w:color="000000"/>
            </w:tcBorders>
          </w:tcPr>
          <w:p w14:paraId="171D37E1" w14:textId="77777777" w:rsidR="00E53EB6" w:rsidRDefault="006500F5">
            <w:pPr>
              <w:pStyle w:val="TableContents"/>
            </w:pPr>
            <w:r>
              <w:t>R̥V  occ.</w:t>
            </w:r>
          </w:p>
        </w:tc>
        <w:tc>
          <w:tcPr>
            <w:tcW w:w="3441" w:type="dxa"/>
            <w:tcBorders>
              <w:top w:val="single" w:sz="2" w:space="0" w:color="000000"/>
              <w:left w:val="single" w:sz="2" w:space="0" w:color="000000"/>
              <w:bottom w:val="single" w:sz="2" w:space="0" w:color="000000"/>
            </w:tcBorders>
          </w:tcPr>
          <w:p w14:paraId="56F56803" w14:textId="77777777" w:rsidR="00E53EB6" w:rsidRDefault="006500F5">
            <w:pPr>
              <w:pStyle w:val="TableContents"/>
            </w:pPr>
            <w:r>
              <w:t>post- R̥V correspondences</w:t>
            </w:r>
          </w:p>
        </w:tc>
        <w:tc>
          <w:tcPr>
            <w:tcW w:w="1731" w:type="dxa"/>
            <w:tcBorders>
              <w:top w:val="single" w:sz="2" w:space="0" w:color="000000"/>
              <w:left w:val="single" w:sz="2" w:space="0" w:color="000000"/>
              <w:bottom w:val="single" w:sz="2" w:space="0" w:color="000000"/>
              <w:right w:val="single" w:sz="2" w:space="0" w:color="000000"/>
            </w:tcBorders>
          </w:tcPr>
          <w:p w14:paraId="1FA41A8D" w14:textId="77777777" w:rsidR="00E53EB6" w:rsidRDefault="006500F5">
            <w:pPr>
              <w:pStyle w:val="TableContents"/>
              <w:rPr>
                <w:i/>
                <w:iCs/>
              </w:rPr>
            </w:pPr>
            <w:r>
              <w:rPr>
                <w:i/>
                <w:iCs/>
              </w:rPr>
              <w:t>van- / van</w:t>
            </w:r>
            <w:r>
              <w:rPr>
                <w:i/>
                <w:iCs/>
                <w:vertAlign w:val="superscript"/>
              </w:rPr>
              <w:t>i</w:t>
            </w:r>
            <w:r>
              <w:rPr>
                <w:i/>
                <w:iCs/>
              </w:rPr>
              <w:t>-</w:t>
            </w:r>
          </w:p>
        </w:tc>
      </w:tr>
      <w:tr w:rsidR="00E53EB6" w14:paraId="2773002A" w14:textId="77777777">
        <w:tc>
          <w:tcPr>
            <w:tcW w:w="1576" w:type="dxa"/>
            <w:tcBorders>
              <w:left w:val="single" w:sz="2" w:space="0" w:color="000000"/>
              <w:bottom w:val="single" w:sz="2" w:space="0" w:color="000000"/>
            </w:tcBorders>
          </w:tcPr>
          <w:p w14:paraId="634FB78A" w14:textId="77777777" w:rsidR="00E53EB6" w:rsidRDefault="006500F5">
            <w:pPr>
              <w:pStyle w:val="TableContents"/>
              <w:rPr>
                <w:i/>
                <w:iCs/>
              </w:rPr>
            </w:pPr>
            <w:r>
              <w:rPr>
                <w:i/>
                <w:iCs/>
              </w:rPr>
              <w:t>bráhman</w:t>
            </w:r>
          </w:p>
        </w:tc>
        <w:tc>
          <w:tcPr>
            <w:tcW w:w="630" w:type="dxa"/>
            <w:tcBorders>
              <w:left w:val="single" w:sz="2" w:space="0" w:color="000000"/>
              <w:bottom w:val="single" w:sz="2" w:space="0" w:color="000000"/>
            </w:tcBorders>
          </w:tcPr>
          <w:p w14:paraId="04411376" w14:textId="77777777" w:rsidR="00E53EB6" w:rsidRDefault="006500F5">
            <w:pPr>
              <w:pStyle w:val="TableContents"/>
            </w:pPr>
            <w:r>
              <w:t>3</w:t>
            </w:r>
          </w:p>
        </w:tc>
        <w:tc>
          <w:tcPr>
            <w:tcW w:w="1414" w:type="dxa"/>
            <w:tcBorders>
              <w:left w:val="single" w:sz="2" w:space="0" w:color="000000"/>
              <w:bottom w:val="single" w:sz="2" w:space="0" w:color="000000"/>
            </w:tcBorders>
          </w:tcPr>
          <w:p w14:paraId="4F943FAD" w14:textId="77777777" w:rsidR="00E53EB6" w:rsidRDefault="006500F5">
            <w:pPr>
              <w:pStyle w:val="TableContents"/>
            </w:pPr>
            <w:r>
              <w:t>3.8.2</w:t>
            </w:r>
          </w:p>
        </w:tc>
        <w:tc>
          <w:tcPr>
            <w:tcW w:w="3441" w:type="dxa"/>
            <w:tcBorders>
              <w:left w:val="single" w:sz="2" w:space="0" w:color="000000"/>
              <w:bottom w:val="single" w:sz="2" w:space="0" w:color="000000"/>
            </w:tcBorders>
          </w:tcPr>
          <w:p w14:paraId="055BB754" w14:textId="77777777" w:rsidR="00E53EB6" w:rsidRDefault="006500F5">
            <w:pPr>
              <w:pStyle w:val="TableContents"/>
            </w:pPr>
            <w:r>
              <w:t xml:space="preserve">MS 4.13.1; KS </w:t>
            </w:r>
            <w:r>
              <w:t>15.12; AB 2.2; 3.6.1.1</w:t>
            </w:r>
          </w:p>
        </w:tc>
        <w:tc>
          <w:tcPr>
            <w:tcW w:w="1731" w:type="dxa"/>
            <w:tcBorders>
              <w:left w:val="single" w:sz="2" w:space="0" w:color="000000"/>
              <w:bottom w:val="single" w:sz="2" w:space="0" w:color="000000"/>
              <w:right w:val="single" w:sz="2" w:space="0" w:color="000000"/>
            </w:tcBorders>
          </w:tcPr>
          <w:p w14:paraId="2A94BF13" w14:textId="77777777" w:rsidR="00E53EB6" w:rsidRDefault="006500F5">
            <w:pPr>
              <w:pStyle w:val="TableContents"/>
              <w:rPr>
                <w:i/>
                <w:iCs/>
              </w:rPr>
            </w:pPr>
            <w:r>
              <w:rPr>
                <w:i/>
                <w:iCs/>
              </w:rPr>
              <w:t>vanvāná</w:t>
            </w:r>
            <w:r>
              <w:rPr>
                <w:i/>
                <w:iCs/>
              </w:rPr>
              <w:t>ḥ</w:t>
            </w:r>
          </w:p>
        </w:tc>
      </w:tr>
      <w:tr w:rsidR="00E53EB6" w14:paraId="028957C1" w14:textId="77777777">
        <w:tc>
          <w:tcPr>
            <w:tcW w:w="1576" w:type="dxa"/>
            <w:tcBorders>
              <w:left w:val="single" w:sz="2" w:space="0" w:color="000000"/>
              <w:bottom w:val="single" w:sz="2" w:space="0" w:color="000000"/>
            </w:tcBorders>
          </w:tcPr>
          <w:p w14:paraId="01DA10F2" w14:textId="77777777" w:rsidR="00E53EB6" w:rsidRDefault="006500F5">
            <w:pPr>
              <w:pStyle w:val="TableContents"/>
              <w:rPr>
                <w:i/>
                <w:iCs/>
              </w:rPr>
            </w:pPr>
            <w:r>
              <w:rPr>
                <w:i/>
                <w:iCs/>
              </w:rPr>
              <w:t>gíra</w:t>
            </w:r>
          </w:p>
        </w:tc>
        <w:tc>
          <w:tcPr>
            <w:tcW w:w="630" w:type="dxa"/>
            <w:tcBorders>
              <w:left w:val="single" w:sz="2" w:space="0" w:color="000000"/>
              <w:bottom w:val="single" w:sz="2" w:space="0" w:color="000000"/>
            </w:tcBorders>
          </w:tcPr>
          <w:p w14:paraId="25C8C48B" w14:textId="77777777" w:rsidR="00E53EB6" w:rsidRDefault="006500F5">
            <w:pPr>
              <w:pStyle w:val="TableContents"/>
            </w:pPr>
            <w:r>
              <w:t>3</w:t>
            </w:r>
          </w:p>
        </w:tc>
        <w:tc>
          <w:tcPr>
            <w:tcW w:w="1414" w:type="dxa"/>
            <w:tcBorders>
              <w:left w:val="single" w:sz="2" w:space="0" w:color="000000"/>
              <w:bottom w:val="single" w:sz="2" w:space="0" w:color="000000"/>
            </w:tcBorders>
          </w:tcPr>
          <w:p w14:paraId="2228DDEB" w14:textId="77777777" w:rsidR="00E53EB6" w:rsidRDefault="006500F5">
            <w:pPr>
              <w:pStyle w:val="TableContents"/>
            </w:pPr>
            <w:r>
              <w:t>1.93.9</w:t>
            </w:r>
          </w:p>
        </w:tc>
        <w:tc>
          <w:tcPr>
            <w:tcW w:w="3441" w:type="dxa"/>
            <w:tcBorders>
              <w:left w:val="single" w:sz="2" w:space="0" w:color="000000"/>
              <w:bottom w:val="single" w:sz="2" w:space="0" w:color="000000"/>
            </w:tcBorders>
          </w:tcPr>
          <w:p w14:paraId="14D64D8D" w14:textId="77777777" w:rsidR="00E53EB6" w:rsidRDefault="006500F5">
            <w:pPr>
              <w:pStyle w:val="TableContents"/>
            </w:pPr>
            <w:r>
              <w:t xml:space="preserve">KS 4.16; MS 4.10.1; TS 2.3.14.1-2; TB 3.5.7.2; </w:t>
            </w:r>
          </w:p>
        </w:tc>
        <w:tc>
          <w:tcPr>
            <w:tcW w:w="1731" w:type="dxa"/>
            <w:tcBorders>
              <w:left w:val="single" w:sz="2" w:space="0" w:color="000000"/>
              <w:bottom w:val="single" w:sz="2" w:space="0" w:color="000000"/>
              <w:right w:val="single" w:sz="2" w:space="0" w:color="000000"/>
            </w:tcBorders>
          </w:tcPr>
          <w:p w14:paraId="7C69D124" w14:textId="77777777" w:rsidR="00E53EB6" w:rsidRDefault="006500F5">
            <w:pPr>
              <w:pStyle w:val="TableContents"/>
              <w:rPr>
                <w:i/>
                <w:iCs/>
              </w:rPr>
            </w:pPr>
            <w:r>
              <w:rPr>
                <w:i/>
                <w:iCs/>
              </w:rPr>
              <w:t>vanatam</w:t>
            </w:r>
          </w:p>
        </w:tc>
      </w:tr>
      <w:tr w:rsidR="00E53EB6" w14:paraId="2AED8ACE" w14:textId="77777777">
        <w:tc>
          <w:tcPr>
            <w:tcW w:w="1576" w:type="dxa"/>
            <w:tcBorders>
              <w:left w:val="single" w:sz="2" w:space="0" w:color="000000"/>
              <w:bottom w:val="single" w:sz="2" w:space="0" w:color="000000"/>
            </w:tcBorders>
          </w:tcPr>
          <w:p w14:paraId="69F83C63" w14:textId="77777777" w:rsidR="00E53EB6" w:rsidRDefault="006500F5">
            <w:pPr>
              <w:pStyle w:val="TableContents"/>
              <w:rPr>
                <w:i/>
                <w:iCs/>
              </w:rPr>
            </w:pPr>
            <w:r>
              <w:rPr>
                <w:i/>
                <w:iCs/>
              </w:rPr>
              <w:t>dúvas</w:t>
            </w:r>
          </w:p>
        </w:tc>
        <w:tc>
          <w:tcPr>
            <w:tcW w:w="630" w:type="dxa"/>
            <w:tcBorders>
              <w:left w:val="single" w:sz="2" w:space="0" w:color="000000"/>
              <w:bottom w:val="single" w:sz="2" w:space="0" w:color="000000"/>
            </w:tcBorders>
          </w:tcPr>
          <w:p w14:paraId="7331816C" w14:textId="77777777" w:rsidR="00E53EB6" w:rsidRDefault="006500F5">
            <w:pPr>
              <w:pStyle w:val="TableContents"/>
            </w:pPr>
            <w:r>
              <w:t>1</w:t>
            </w:r>
          </w:p>
        </w:tc>
        <w:tc>
          <w:tcPr>
            <w:tcW w:w="1414" w:type="dxa"/>
            <w:tcBorders>
              <w:left w:val="single" w:sz="2" w:space="0" w:color="000000"/>
              <w:bottom w:val="single" w:sz="2" w:space="0" w:color="000000"/>
            </w:tcBorders>
          </w:tcPr>
          <w:p w14:paraId="4D3F0CD0" w14:textId="77777777" w:rsidR="00E53EB6" w:rsidRDefault="006500F5">
            <w:pPr>
              <w:pStyle w:val="TableContents"/>
            </w:pPr>
            <w:r>
              <w:t>6.16.18</w:t>
            </w:r>
          </w:p>
        </w:tc>
        <w:tc>
          <w:tcPr>
            <w:tcW w:w="3441" w:type="dxa"/>
            <w:tcBorders>
              <w:left w:val="single" w:sz="2" w:space="0" w:color="000000"/>
              <w:bottom w:val="single" w:sz="2" w:space="0" w:color="000000"/>
            </w:tcBorders>
          </w:tcPr>
          <w:p w14:paraId="06DB55B7" w14:textId="77777777" w:rsidR="00E53EB6" w:rsidRDefault="006500F5">
            <w:pPr>
              <w:pStyle w:val="TableContents"/>
            </w:pPr>
            <w:r>
              <w:t>KS 20.14</w:t>
            </w:r>
          </w:p>
        </w:tc>
        <w:tc>
          <w:tcPr>
            <w:tcW w:w="1731" w:type="dxa"/>
            <w:tcBorders>
              <w:left w:val="single" w:sz="2" w:space="0" w:color="000000"/>
              <w:bottom w:val="single" w:sz="2" w:space="0" w:color="000000"/>
              <w:right w:val="single" w:sz="2" w:space="0" w:color="000000"/>
            </w:tcBorders>
          </w:tcPr>
          <w:p w14:paraId="27741244" w14:textId="77777777" w:rsidR="00E53EB6" w:rsidRDefault="006500F5">
            <w:pPr>
              <w:pStyle w:val="TableContents"/>
              <w:rPr>
                <w:i/>
                <w:iCs/>
              </w:rPr>
            </w:pPr>
            <w:r>
              <w:rPr>
                <w:i/>
                <w:iCs/>
              </w:rPr>
              <w:t>vanavase</w:t>
            </w:r>
          </w:p>
        </w:tc>
      </w:tr>
      <w:tr w:rsidR="00E53EB6" w14:paraId="46F79FD5" w14:textId="77777777">
        <w:tc>
          <w:tcPr>
            <w:tcW w:w="1576" w:type="dxa"/>
            <w:tcBorders>
              <w:left w:val="single" w:sz="2" w:space="0" w:color="000000"/>
              <w:bottom w:val="single" w:sz="2" w:space="0" w:color="000000"/>
            </w:tcBorders>
          </w:tcPr>
          <w:p w14:paraId="75F2BAFA" w14:textId="77777777" w:rsidR="00E53EB6" w:rsidRDefault="006500F5">
            <w:pPr>
              <w:pStyle w:val="TableContents"/>
              <w:rPr>
                <w:i/>
                <w:iCs/>
              </w:rPr>
            </w:pPr>
            <w:r>
              <w:rPr>
                <w:i/>
                <w:iCs/>
              </w:rPr>
              <w:t>vípa</w:t>
            </w:r>
          </w:p>
        </w:tc>
        <w:tc>
          <w:tcPr>
            <w:tcW w:w="630" w:type="dxa"/>
            <w:tcBorders>
              <w:left w:val="single" w:sz="2" w:space="0" w:color="000000"/>
              <w:bottom w:val="single" w:sz="2" w:space="0" w:color="000000"/>
            </w:tcBorders>
          </w:tcPr>
          <w:p w14:paraId="7BFC0739" w14:textId="77777777" w:rsidR="00E53EB6" w:rsidRDefault="006500F5">
            <w:pPr>
              <w:pStyle w:val="TableContents"/>
            </w:pPr>
            <w:r>
              <w:t>1</w:t>
            </w:r>
          </w:p>
        </w:tc>
        <w:tc>
          <w:tcPr>
            <w:tcW w:w="1414" w:type="dxa"/>
            <w:tcBorders>
              <w:left w:val="single" w:sz="2" w:space="0" w:color="000000"/>
              <w:bottom w:val="single" w:sz="2" w:space="0" w:color="000000"/>
            </w:tcBorders>
          </w:tcPr>
          <w:p w14:paraId="0EAE0009" w14:textId="77777777" w:rsidR="00E53EB6" w:rsidRDefault="006500F5">
            <w:pPr>
              <w:pStyle w:val="TableContents"/>
            </w:pPr>
            <w:r>
              <w:t>10.61.3</w:t>
            </w:r>
          </w:p>
        </w:tc>
        <w:tc>
          <w:tcPr>
            <w:tcW w:w="3441" w:type="dxa"/>
            <w:tcBorders>
              <w:left w:val="single" w:sz="2" w:space="0" w:color="000000"/>
              <w:bottom w:val="single" w:sz="2" w:space="0" w:color="000000"/>
            </w:tcBorders>
          </w:tcPr>
          <w:p w14:paraId="44440328" w14:textId="77777777" w:rsidR="00E53EB6" w:rsidRDefault="006500F5">
            <w:pPr>
              <w:pStyle w:val="TableContents"/>
            </w:pPr>
            <w:r>
              <w:t>VS 7.17; ŚB 4.2.1.12;</w:t>
            </w:r>
          </w:p>
        </w:tc>
        <w:tc>
          <w:tcPr>
            <w:tcW w:w="1731" w:type="dxa"/>
            <w:tcBorders>
              <w:left w:val="single" w:sz="2" w:space="0" w:color="000000"/>
              <w:bottom w:val="single" w:sz="2" w:space="0" w:color="000000"/>
              <w:right w:val="single" w:sz="2" w:space="0" w:color="000000"/>
            </w:tcBorders>
          </w:tcPr>
          <w:p w14:paraId="0039DD9E" w14:textId="77777777" w:rsidR="00E53EB6" w:rsidRDefault="006500F5">
            <w:pPr>
              <w:pStyle w:val="TableContents"/>
              <w:rPr>
                <w:i/>
                <w:iCs/>
              </w:rPr>
            </w:pPr>
            <w:r>
              <w:rPr>
                <w:i/>
                <w:iCs/>
              </w:rPr>
              <w:t>vanuthá</w:t>
            </w:r>
            <w:r>
              <w:rPr>
                <w:i/>
                <w:iCs/>
              </w:rPr>
              <w:t>ḥ</w:t>
            </w:r>
          </w:p>
        </w:tc>
      </w:tr>
      <w:tr w:rsidR="00E53EB6" w14:paraId="212D9CC6" w14:textId="77777777">
        <w:tc>
          <w:tcPr>
            <w:tcW w:w="1576" w:type="dxa"/>
            <w:tcBorders>
              <w:left w:val="single" w:sz="2" w:space="0" w:color="000000"/>
              <w:bottom w:val="single" w:sz="2" w:space="0" w:color="000000"/>
            </w:tcBorders>
          </w:tcPr>
          <w:p w14:paraId="24BB9961" w14:textId="77777777" w:rsidR="00E53EB6" w:rsidRDefault="006500F5">
            <w:pPr>
              <w:pStyle w:val="TableContents"/>
              <w:rPr>
                <w:i/>
                <w:iCs/>
              </w:rPr>
            </w:pPr>
            <w:r>
              <w:rPr>
                <w:i/>
                <w:iCs/>
              </w:rPr>
              <w:t>samidha</w:t>
            </w:r>
          </w:p>
        </w:tc>
        <w:tc>
          <w:tcPr>
            <w:tcW w:w="630" w:type="dxa"/>
            <w:tcBorders>
              <w:left w:val="single" w:sz="2" w:space="0" w:color="000000"/>
              <w:bottom w:val="single" w:sz="2" w:space="0" w:color="000000"/>
            </w:tcBorders>
          </w:tcPr>
          <w:p w14:paraId="4BF7EEC9" w14:textId="77777777" w:rsidR="00E53EB6" w:rsidRDefault="006500F5">
            <w:pPr>
              <w:pStyle w:val="TableContents"/>
            </w:pPr>
            <w:r>
              <w:t>1</w:t>
            </w:r>
          </w:p>
        </w:tc>
        <w:tc>
          <w:tcPr>
            <w:tcW w:w="1414" w:type="dxa"/>
            <w:tcBorders>
              <w:left w:val="single" w:sz="2" w:space="0" w:color="000000"/>
              <w:bottom w:val="single" w:sz="2" w:space="0" w:color="000000"/>
            </w:tcBorders>
          </w:tcPr>
          <w:p w14:paraId="019078FA" w14:textId="77777777" w:rsidR="00E53EB6" w:rsidRDefault="006500F5">
            <w:pPr>
              <w:pStyle w:val="TableContents"/>
            </w:pPr>
            <w:r>
              <w:t>2.6.1ab</w:t>
            </w:r>
          </w:p>
        </w:tc>
        <w:tc>
          <w:tcPr>
            <w:tcW w:w="3441" w:type="dxa"/>
            <w:tcBorders>
              <w:left w:val="single" w:sz="2" w:space="0" w:color="000000"/>
              <w:bottom w:val="single" w:sz="2" w:space="0" w:color="000000"/>
            </w:tcBorders>
          </w:tcPr>
          <w:p w14:paraId="1E7DCE23" w14:textId="77777777" w:rsidR="00E53EB6" w:rsidRDefault="006500F5">
            <w:pPr>
              <w:pStyle w:val="TableContents"/>
            </w:pPr>
            <w:r>
              <w:t>AB 1.25.7</w:t>
            </w:r>
          </w:p>
        </w:tc>
        <w:tc>
          <w:tcPr>
            <w:tcW w:w="1731" w:type="dxa"/>
            <w:tcBorders>
              <w:left w:val="single" w:sz="2" w:space="0" w:color="000000"/>
              <w:bottom w:val="single" w:sz="2" w:space="0" w:color="000000"/>
              <w:right w:val="single" w:sz="2" w:space="0" w:color="000000"/>
            </w:tcBorders>
          </w:tcPr>
          <w:p w14:paraId="5B59DAD9" w14:textId="77777777" w:rsidR="00E53EB6" w:rsidRDefault="006500F5">
            <w:pPr>
              <w:pStyle w:val="TableContents"/>
              <w:rPr>
                <w:i/>
                <w:iCs/>
              </w:rPr>
            </w:pPr>
            <w:r>
              <w:rPr>
                <w:i/>
                <w:iCs/>
              </w:rPr>
              <w:t>vane</w:t>
            </w:r>
            <w:r>
              <w:rPr>
                <w:i/>
                <w:iCs/>
              </w:rPr>
              <w:t>ḥ</w:t>
            </w:r>
          </w:p>
        </w:tc>
      </w:tr>
    </w:tbl>
    <w:p w14:paraId="6DE4234E" w14:textId="77777777" w:rsidR="00E53EB6" w:rsidRDefault="00E53EB6">
      <w:pPr>
        <w:pStyle w:val="Hauptext"/>
      </w:pPr>
    </w:p>
    <w:p w14:paraId="642B5D32" w14:textId="77777777" w:rsidR="00E53EB6" w:rsidRDefault="006500F5">
      <w:pPr>
        <w:pStyle w:val="HaupttextohneEinzug"/>
        <w:rPr>
          <w:szCs w:val="21"/>
          <w:lang w:bidi="it-IT"/>
        </w:rPr>
      </w:pPr>
      <w:r>
        <w:rPr>
          <w:szCs w:val="21"/>
          <w:lang w:bidi="it-IT"/>
        </w:rPr>
        <w:t xml:space="preserve">e- the gods – </w:t>
      </w:r>
      <w:r>
        <w:rPr>
          <w:color w:val="800000"/>
          <w:szCs w:val="21"/>
          <w:u w:val="single"/>
          <w:lang w:bidi="it-IT"/>
        </w:rPr>
        <w:t>ritual action</w:t>
      </w:r>
    </w:p>
    <w:p w14:paraId="6EA33CB9" w14:textId="77777777" w:rsidR="00E53EB6" w:rsidRDefault="00E53EB6">
      <w:pPr>
        <w:pStyle w:val="Hauptext"/>
      </w:pPr>
    </w:p>
    <w:tbl>
      <w:tblPr>
        <w:tblW w:w="8792" w:type="dxa"/>
        <w:tblLayout w:type="fixed"/>
        <w:tblCellMar>
          <w:top w:w="55" w:type="dxa"/>
          <w:left w:w="55" w:type="dxa"/>
          <w:bottom w:w="55" w:type="dxa"/>
          <w:right w:w="55" w:type="dxa"/>
        </w:tblCellMar>
        <w:tblLook w:val="04A0" w:firstRow="1" w:lastRow="0" w:firstColumn="1" w:lastColumn="0" w:noHBand="0" w:noVBand="1"/>
      </w:tblPr>
      <w:tblGrid>
        <w:gridCol w:w="1576"/>
        <w:gridCol w:w="630"/>
        <w:gridCol w:w="1414"/>
        <w:gridCol w:w="3441"/>
        <w:gridCol w:w="1731"/>
      </w:tblGrid>
      <w:tr w:rsidR="00E53EB6" w14:paraId="5A17AA5D" w14:textId="77777777">
        <w:tc>
          <w:tcPr>
            <w:tcW w:w="1576" w:type="dxa"/>
            <w:tcBorders>
              <w:top w:val="single" w:sz="2" w:space="0" w:color="000000"/>
              <w:left w:val="single" w:sz="2" w:space="0" w:color="000000"/>
              <w:bottom w:val="single" w:sz="2" w:space="0" w:color="000000"/>
            </w:tcBorders>
          </w:tcPr>
          <w:p w14:paraId="075D8530" w14:textId="77777777" w:rsidR="00E53EB6" w:rsidRDefault="006500F5">
            <w:pPr>
              <w:pStyle w:val="TableContents"/>
            </w:pPr>
            <w:r>
              <w:t>object</w:t>
            </w:r>
          </w:p>
        </w:tc>
        <w:tc>
          <w:tcPr>
            <w:tcW w:w="630" w:type="dxa"/>
            <w:tcBorders>
              <w:top w:val="single" w:sz="2" w:space="0" w:color="000000"/>
              <w:left w:val="single" w:sz="2" w:space="0" w:color="000000"/>
              <w:bottom w:val="single" w:sz="2" w:space="0" w:color="000000"/>
            </w:tcBorders>
          </w:tcPr>
          <w:p w14:paraId="29CB3F35" w14:textId="77777777" w:rsidR="00E53EB6" w:rsidRDefault="006500F5">
            <w:pPr>
              <w:pStyle w:val="TableContents"/>
            </w:pPr>
            <w:r>
              <w:t>Q.</w:t>
            </w:r>
          </w:p>
        </w:tc>
        <w:tc>
          <w:tcPr>
            <w:tcW w:w="1414" w:type="dxa"/>
            <w:tcBorders>
              <w:top w:val="single" w:sz="2" w:space="0" w:color="000000"/>
              <w:left w:val="single" w:sz="2" w:space="0" w:color="000000"/>
              <w:bottom w:val="single" w:sz="2" w:space="0" w:color="000000"/>
            </w:tcBorders>
          </w:tcPr>
          <w:p w14:paraId="754493A4" w14:textId="77777777" w:rsidR="00E53EB6" w:rsidRDefault="006500F5">
            <w:pPr>
              <w:pStyle w:val="TableContents"/>
            </w:pPr>
            <w:r>
              <w:t>R̥V  occ.</w:t>
            </w:r>
          </w:p>
        </w:tc>
        <w:tc>
          <w:tcPr>
            <w:tcW w:w="3441" w:type="dxa"/>
            <w:tcBorders>
              <w:top w:val="single" w:sz="2" w:space="0" w:color="000000"/>
              <w:left w:val="single" w:sz="2" w:space="0" w:color="000000"/>
              <w:bottom w:val="single" w:sz="2" w:space="0" w:color="000000"/>
            </w:tcBorders>
          </w:tcPr>
          <w:p w14:paraId="62E0EE0A" w14:textId="77777777" w:rsidR="00E53EB6" w:rsidRDefault="006500F5">
            <w:pPr>
              <w:pStyle w:val="TableContents"/>
            </w:pPr>
            <w:r>
              <w:t>post- R̥V correspondences</w:t>
            </w:r>
          </w:p>
        </w:tc>
        <w:tc>
          <w:tcPr>
            <w:tcW w:w="1731" w:type="dxa"/>
            <w:tcBorders>
              <w:top w:val="single" w:sz="2" w:space="0" w:color="000000"/>
              <w:left w:val="single" w:sz="2" w:space="0" w:color="000000"/>
              <w:bottom w:val="single" w:sz="2" w:space="0" w:color="000000"/>
              <w:right w:val="single" w:sz="2" w:space="0" w:color="000000"/>
            </w:tcBorders>
          </w:tcPr>
          <w:p w14:paraId="6A18F263" w14:textId="77777777" w:rsidR="00E53EB6" w:rsidRDefault="006500F5">
            <w:pPr>
              <w:pStyle w:val="TableContents"/>
              <w:rPr>
                <w:i/>
                <w:iCs/>
              </w:rPr>
            </w:pPr>
            <w:r>
              <w:rPr>
                <w:i/>
                <w:iCs/>
              </w:rPr>
              <w:t>van- / van</w:t>
            </w:r>
            <w:r>
              <w:rPr>
                <w:i/>
                <w:iCs/>
                <w:vertAlign w:val="superscript"/>
              </w:rPr>
              <w:t>i</w:t>
            </w:r>
            <w:r>
              <w:rPr>
                <w:i/>
                <w:iCs/>
              </w:rPr>
              <w:t>-</w:t>
            </w:r>
          </w:p>
        </w:tc>
      </w:tr>
      <w:tr w:rsidR="00E53EB6" w14:paraId="644EB963" w14:textId="77777777">
        <w:tc>
          <w:tcPr>
            <w:tcW w:w="1576" w:type="dxa"/>
            <w:tcBorders>
              <w:left w:val="single" w:sz="2" w:space="0" w:color="000000"/>
              <w:bottom w:val="single" w:sz="2" w:space="0" w:color="000000"/>
            </w:tcBorders>
          </w:tcPr>
          <w:p w14:paraId="58EF88ED" w14:textId="77777777" w:rsidR="00E53EB6" w:rsidRDefault="006500F5">
            <w:pPr>
              <w:pStyle w:val="TableContents"/>
            </w:pPr>
            <w:r>
              <w:t>Parjanya</w:t>
            </w:r>
          </w:p>
        </w:tc>
        <w:tc>
          <w:tcPr>
            <w:tcW w:w="630" w:type="dxa"/>
            <w:tcBorders>
              <w:left w:val="single" w:sz="2" w:space="0" w:color="000000"/>
              <w:bottom w:val="single" w:sz="2" w:space="0" w:color="000000"/>
            </w:tcBorders>
          </w:tcPr>
          <w:p w14:paraId="7864CF73" w14:textId="77777777" w:rsidR="00E53EB6" w:rsidRDefault="006500F5">
            <w:pPr>
              <w:pStyle w:val="TableContents"/>
            </w:pPr>
            <w:r>
              <w:t>1</w:t>
            </w:r>
          </w:p>
        </w:tc>
        <w:tc>
          <w:tcPr>
            <w:tcW w:w="1414" w:type="dxa"/>
            <w:tcBorders>
              <w:left w:val="single" w:sz="2" w:space="0" w:color="000000"/>
              <w:bottom w:val="single" w:sz="2" w:space="0" w:color="000000"/>
            </w:tcBorders>
          </w:tcPr>
          <w:p w14:paraId="4E77696F" w14:textId="77777777" w:rsidR="00E53EB6" w:rsidRDefault="006500F5">
            <w:pPr>
              <w:pStyle w:val="TableContents"/>
            </w:pPr>
            <w:r>
              <w:t>5.83.1</w:t>
            </w:r>
          </w:p>
        </w:tc>
        <w:tc>
          <w:tcPr>
            <w:tcW w:w="3441" w:type="dxa"/>
            <w:tcBorders>
              <w:left w:val="single" w:sz="2" w:space="0" w:color="000000"/>
              <w:bottom w:val="single" w:sz="2" w:space="0" w:color="000000"/>
            </w:tcBorders>
          </w:tcPr>
          <w:p w14:paraId="5614AE80" w14:textId="77777777" w:rsidR="00E53EB6" w:rsidRDefault="006500F5">
            <w:pPr>
              <w:pStyle w:val="TableContents"/>
            </w:pPr>
            <w:r>
              <w:t>TB 2.4.5.5</w:t>
            </w:r>
          </w:p>
        </w:tc>
        <w:tc>
          <w:tcPr>
            <w:tcW w:w="1731" w:type="dxa"/>
            <w:tcBorders>
              <w:left w:val="single" w:sz="2" w:space="0" w:color="000000"/>
              <w:bottom w:val="single" w:sz="2" w:space="0" w:color="000000"/>
              <w:right w:val="single" w:sz="2" w:space="0" w:color="000000"/>
            </w:tcBorders>
          </w:tcPr>
          <w:p w14:paraId="727742E8" w14:textId="77777777" w:rsidR="00E53EB6" w:rsidRDefault="006500F5">
            <w:pPr>
              <w:pStyle w:val="TableContents"/>
              <w:rPr>
                <w:i/>
                <w:iCs/>
              </w:rPr>
            </w:pPr>
            <w:r>
              <w:rPr>
                <w:i/>
                <w:iCs/>
              </w:rPr>
              <w:t>vivāsa</w:t>
            </w:r>
          </w:p>
        </w:tc>
      </w:tr>
      <w:tr w:rsidR="00E53EB6" w14:paraId="3DDE04A6" w14:textId="77777777">
        <w:tc>
          <w:tcPr>
            <w:tcW w:w="1576" w:type="dxa"/>
            <w:tcBorders>
              <w:left w:val="single" w:sz="2" w:space="0" w:color="000000"/>
              <w:bottom w:val="single" w:sz="2" w:space="0" w:color="000000"/>
            </w:tcBorders>
          </w:tcPr>
          <w:p w14:paraId="3B2AF597" w14:textId="77777777" w:rsidR="00E53EB6" w:rsidRDefault="006500F5">
            <w:pPr>
              <w:pStyle w:val="TableContents"/>
            </w:pPr>
            <w:r>
              <w:t>Vi</w:t>
            </w:r>
            <w:r>
              <w:t>ṣṇ</w:t>
            </w:r>
            <w:r>
              <w:t>u</w:t>
            </w:r>
          </w:p>
        </w:tc>
        <w:tc>
          <w:tcPr>
            <w:tcW w:w="630" w:type="dxa"/>
            <w:tcBorders>
              <w:left w:val="single" w:sz="2" w:space="0" w:color="000000"/>
              <w:bottom w:val="single" w:sz="2" w:space="0" w:color="000000"/>
            </w:tcBorders>
          </w:tcPr>
          <w:p w14:paraId="7A1C6789" w14:textId="77777777" w:rsidR="00E53EB6" w:rsidRDefault="006500F5">
            <w:pPr>
              <w:pStyle w:val="TableContents"/>
            </w:pPr>
            <w:r>
              <w:t>1</w:t>
            </w:r>
          </w:p>
        </w:tc>
        <w:tc>
          <w:tcPr>
            <w:tcW w:w="1414" w:type="dxa"/>
            <w:tcBorders>
              <w:left w:val="single" w:sz="2" w:space="0" w:color="000000"/>
              <w:bottom w:val="single" w:sz="2" w:space="0" w:color="000000"/>
            </w:tcBorders>
          </w:tcPr>
          <w:p w14:paraId="2EBCF020" w14:textId="77777777" w:rsidR="00E53EB6" w:rsidRDefault="006500F5">
            <w:pPr>
              <w:pStyle w:val="TableContents"/>
            </w:pPr>
            <w:r>
              <w:t>6.16.26</w:t>
            </w:r>
          </w:p>
        </w:tc>
        <w:tc>
          <w:tcPr>
            <w:tcW w:w="3441" w:type="dxa"/>
            <w:tcBorders>
              <w:left w:val="single" w:sz="2" w:space="0" w:color="000000"/>
              <w:bottom w:val="single" w:sz="2" w:space="0" w:color="000000"/>
            </w:tcBorders>
          </w:tcPr>
          <w:p w14:paraId="2154D11F" w14:textId="77777777" w:rsidR="00E53EB6" w:rsidRDefault="006500F5">
            <w:pPr>
              <w:pStyle w:val="TableContents"/>
            </w:pPr>
            <w:r>
              <w:t>TB 2.4.6.2</w:t>
            </w:r>
          </w:p>
        </w:tc>
        <w:tc>
          <w:tcPr>
            <w:tcW w:w="1731" w:type="dxa"/>
            <w:tcBorders>
              <w:left w:val="single" w:sz="2" w:space="0" w:color="000000"/>
              <w:bottom w:val="single" w:sz="2" w:space="0" w:color="000000"/>
              <w:right w:val="single" w:sz="2" w:space="0" w:color="000000"/>
            </w:tcBorders>
          </w:tcPr>
          <w:p w14:paraId="4DE74F67" w14:textId="77777777" w:rsidR="00E53EB6" w:rsidRDefault="006500F5">
            <w:pPr>
              <w:pStyle w:val="TableContents"/>
              <w:rPr>
                <w:i/>
                <w:iCs/>
              </w:rPr>
            </w:pPr>
            <w:r>
              <w:rPr>
                <w:i/>
                <w:iCs/>
              </w:rPr>
              <w:t>vanvánt</w:t>
            </w:r>
          </w:p>
        </w:tc>
      </w:tr>
      <w:tr w:rsidR="00E53EB6" w14:paraId="12D73BDD" w14:textId="77777777">
        <w:tc>
          <w:tcPr>
            <w:tcW w:w="1576" w:type="dxa"/>
            <w:tcBorders>
              <w:left w:val="single" w:sz="2" w:space="0" w:color="000000"/>
              <w:bottom w:val="single" w:sz="2" w:space="0" w:color="000000"/>
            </w:tcBorders>
          </w:tcPr>
          <w:p w14:paraId="0965332B" w14:textId="77777777" w:rsidR="00E53EB6" w:rsidRDefault="006500F5">
            <w:pPr>
              <w:pStyle w:val="TableContents"/>
            </w:pPr>
            <w:r>
              <w:lastRenderedPageBreak/>
              <w:t>Brahmanaspati</w:t>
            </w:r>
          </w:p>
        </w:tc>
        <w:tc>
          <w:tcPr>
            <w:tcW w:w="630" w:type="dxa"/>
            <w:tcBorders>
              <w:left w:val="single" w:sz="2" w:space="0" w:color="000000"/>
              <w:bottom w:val="single" w:sz="2" w:space="0" w:color="000000"/>
            </w:tcBorders>
          </w:tcPr>
          <w:p w14:paraId="0A68AA74" w14:textId="77777777" w:rsidR="00E53EB6" w:rsidRDefault="006500F5">
            <w:pPr>
              <w:pStyle w:val="TableContents"/>
            </w:pPr>
            <w:r>
              <w:t>1</w:t>
            </w:r>
          </w:p>
        </w:tc>
        <w:tc>
          <w:tcPr>
            <w:tcW w:w="1414" w:type="dxa"/>
            <w:tcBorders>
              <w:left w:val="single" w:sz="2" w:space="0" w:color="000000"/>
              <w:bottom w:val="single" w:sz="2" w:space="0" w:color="000000"/>
            </w:tcBorders>
          </w:tcPr>
          <w:p w14:paraId="6C5FCF99" w14:textId="77777777" w:rsidR="00E53EB6" w:rsidRDefault="006500F5">
            <w:pPr>
              <w:pStyle w:val="TableContents"/>
            </w:pPr>
            <w:r>
              <w:t>2.26.3</w:t>
            </w:r>
          </w:p>
        </w:tc>
        <w:tc>
          <w:tcPr>
            <w:tcW w:w="3441" w:type="dxa"/>
            <w:tcBorders>
              <w:left w:val="single" w:sz="2" w:space="0" w:color="000000"/>
              <w:bottom w:val="single" w:sz="2" w:space="0" w:color="000000"/>
            </w:tcBorders>
          </w:tcPr>
          <w:p w14:paraId="32AC07E9" w14:textId="77777777" w:rsidR="00E53EB6" w:rsidRDefault="006500F5">
            <w:pPr>
              <w:pStyle w:val="TableContents"/>
            </w:pPr>
            <w:r>
              <w:t>TB 2.8.5.3</w:t>
            </w:r>
          </w:p>
        </w:tc>
        <w:tc>
          <w:tcPr>
            <w:tcW w:w="1731" w:type="dxa"/>
            <w:tcBorders>
              <w:left w:val="single" w:sz="2" w:space="0" w:color="000000"/>
              <w:bottom w:val="single" w:sz="2" w:space="0" w:color="000000"/>
              <w:right w:val="single" w:sz="2" w:space="0" w:color="000000"/>
            </w:tcBorders>
          </w:tcPr>
          <w:p w14:paraId="0CB83BB5" w14:textId="77777777" w:rsidR="00E53EB6" w:rsidRDefault="006500F5">
            <w:pPr>
              <w:pStyle w:val="TableContents"/>
              <w:rPr>
                <w:i/>
                <w:iCs/>
              </w:rPr>
            </w:pPr>
            <w:r>
              <w:rPr>
                <w:i/>
                <w:iCs/>
              </w:rPr>
              <w:t>ā vívasati</w:t>
            </w:r>
          </w:p>
        </w:tc>
      </w:tr>
    </w:tbl>
    <w:p w14:paraId="66204E19" w14:textId="77777777" w:rsidR="00E53EB6" w:rsidRDefault="00E53EB6"/>
    <w:p w14:paraId="0060F37F" w14:textId="77777777" w:rsidR="00E53EB6" w:rsidRDefault="00E53EB6">
      <w:pPr>
        <w:pStyle w:val="Hauptext"/>
      </w:pPr>
    </w:p>
    <w:p w14:paraId="2269FD85" w14:textId="77777777" w:rsidR="00E53EB6" w:rsidRDefault="006500F5">
      <w:pPr>
        <w:pStyle w:val="HaupttextohneEinzug"/>
        <w:rPr>
          <w:szCs w:val="21"/>
          <w:lang w:bidi="it-IT"/>
        </w:rPr>
      </w:pPr>
      <w:r>
        <w:rPr>
          <w:szCs w:val="21"/>
          <w:lang w:bidi="it-IT"/>
        </w:rPr>
        <w:t>c/e- no object</w:t>
      </w:r>
    </w:p>
    <w:p w14:paraId="572F9B80" w14:textId="77777777" w:rsidR="00E53EB6" w:rsidRDefault="00E53EB6">
      <w:pPr>
        <w:pStyle w:val="HaupttextohneEinzug"/>
        <w:rPr>
          <w:szCs w:val="21"/>
          <w:lang w:bidi="it-IT"/>
        </w:rPr>
      </w:pPr>
    </w:p>
    <w:tbl>
      <w:tblPr>
        <w:tblW w:w="8792" w:type="dxa"/>
        <w:tblLayout w:type="fixed"/>
        <w:tblCellMar>
          <w:top w:w="55" w:type="dxa"/>
          <w:left w:w="55" w:type="dxa"/>
          <w:bottom w:w="55" w:type="dxa"/>
          <w:right w:w="55" w:type="dxa"/>
        </w:tblCellMar>
        <w:tblLook w:val="04A0" w:firstRow="1" w:lastRow="0" w:firstColumn="1" w:lastColumn="0" w:noHBand="0" w:noVBand="1"/>
      </w:tblPr>
      <w:tblGrid>
        <w:gridCol w:w="1576"/>
        <w:gridCol w:w="630"/>
        <w:gridCol w:w="1414"/>
        <w:gridCol w:w="3441"/>
        <w:gridCol w:w="1731"/>
      </w:tblGrid>
      <w:tr w:rsidR="00E53EB6" w14:paraId="21BF8098" w14:textId="77777777">
        <w:tc>
          <w:tcPr>
            <w:tcW w:w="1576" w:type="dxa"/>
            <w:tcBorders>
              <w:top w:val="single" w:sz="2" w:space="0" w:color="000000"/>
              <w:left w:val="single" w:sz="2" w:space="0" w:color="000000"/>
              <w:bottom w:val="single" w:sz="2" w:space="0" w:color="000000"/>
            </w:tcBorders>
          </w:tcPr>
          <w:p w14:paraId="586D70F7" w14:textId="77777777" w:rsidR="00E53EB6" w:rsidRDefault="006500F5">
            <w:pPr>
              <w:pStyle w:val="TableContents"/>
            </w:pPr>
            <w:r>
              <w:t xml:space="preserve">“use of </w:t>
            </w:r>
            <w:r>
              <w:rPr>
                <w:i/>
                <w:iCs/>
              </w:rPr>
              <w:t>van-”</w:t>
            </w:r>
          </w:p>
        </w:tc>
        <w:tc>
          <w:tcPr>
            <w:tcW w:w="630" w:type="dxa"/>
            <w:tcBorders>
              <w:top w:val="single" w:sz="2" w:space="0" w:color="000000"/>
              <w:left w:val="single" w:sz="2" w:space="0" w:color="000000"/>
              <w:bottom w:val="single" w:sz="2" w:space="0" w:color="000000"/>
            </w:tcBorders>
          </w:tcPr>
          <w:p w14:paraId="79938A0B" w14:textId="77777777" w:rsidR="00E53EB6" w:rsidRDefault="006500F5">
            <w:pPr>
              <w:pStyle w:val="TableContents"/>
            </w:pPr>
            <w:r>
              <w:t>Q.</w:t>
            </w:r>
          </w:p>
        </w:tc>
        <w:tc>
          <w:tcPr>
            <w:tcW w:w="1414" w:type="dxa"/>
            <w:tcBorders>
              <w:top w:val="single" w:sz="2" w:space="0" w:color="000000"/>
              <w:left w:val="single" w:sz="2" w:space="0" w:color="000000"/>
              <w:bottom w:val="single" w:sz="2" w:space="0" w:color="000000"/>
            </w:tcBorders>
          </w:tcPr>
          <w:p w14:paraId="2C23D1CA" w14:textId="77777777" w:rsidR="00E53EB6" w:rsidRDefault="006500F5">
            <w:pPr>
              <w:pStyle w:val="TableContents"/>
            </w:pPr>
            <w:r>
              <w:t>R̥V  occ.</w:t>
            </w:r>
          </w:p>
        </w:tc>
        <w:tc>
          <w:tcPr>
            <w:tcW w:w="3441" w:type="dxa"/>
            <w:tcBorders>
              <w:top w:val="single" w:sz="2" w:space="0" w:color="000000"/>
              <w:left w:val="single" w:sz="2" w:space="0" w:color="000000"/>
              <w:bottom w:val="single" w:sz="2" w:space="0" w:color="000000"/>
            </w:tcBorders>
          </w:tcPr>
          <w:p w14:paraId="75340DB8" w14:textId="77777777" w:rsidR="00E53EB6" w:rsidRDefault="006500F5">
            <w:pPr>
              <w:pStyle w:val="TableContents"/>
            </w:pPr>
            <w:r>
              <w:t xml:space="preserve">post- R̥V </w:t>
            </w:r>
            <w:r>
              <w:t>correspondences</w:t>
            </w:r>
          </w:p>
        </w:tc>
        <w:tc>
          <w:tcPr>
            <w:tcW w:w="1731" w:type="dxa"/>
            <w:tcBorders>
              <w:top w:val="single" w:sz="2" w:space="0" w:color="000000"/>
              <w:left w:val="single" w:sz="2" w:space="0" w:color="000000"/>
              <w:bottom w:val="single" w:sz="2" w:space="0" w:color="000000"/>
              <w:right w:val="single" w:sz="2" w:space="0" w:color="000000"/>
            </w:tcBorders>
          </w:tcPr>
          <w:p w14:paraId="68FF35CA" w14:textId="77777777" w:rsidR="00E53EB6" w:rsidRDefault="006500F5">
            <w:pPr>
              <w:pStyle w:val="TableContents"/>
              <w:rPr>
                <w:i/>
                <w:iCs/>
              </w:rPr>
            </w:pPr>
            <w:r>
              <w:rPr>
                <w:i/>
                <w:iCs/>
              </w:rPr>
              <w:t>van- / van</w:t>
            </w:r>
            <w:r>
              <w:rPr>
                <w:i/>
                <w:iCs/>
                <w:vertAlign w:val="superscript"/>
              </w:rPr>
              <w:t>i</w:t>
            </w:r>
            <w:r>
              <w:rPr>
                <w:i/>
                <w:iCs/>
              </w:rPr>
              <w:t>-</w:t>
            </w:r>
          </w:p>
        </w:tc>
      </w:tr>
      <w:tr w:rsidR="00E53EB6" w14:paraId="182B28F0" w14:textId="77777777">
        <w:tc>
          <w:tcPr>
            <w:tcW w:w="1576" w:type="dxa"/>
            <w:tcBorders>
              <w:left w:val="single" w:sz="2" w:space="0" w:color="000000"/>
              <w:bottom w:val="single" w:sz="2" w:space="0" w:color="000000"/>
            </w:tcBorders>
          </w:tcPr>
          <w:p w14:paraId="4AB50483" w14:textId="77777777" w:rsidR="00E53EB6" w:rsidRDefault="006500F5">
            <w:pPr>
              <w:pStyle w:val="TableContents"/>
            </w:pPr>
            <w:r>
              <w:t>divine attribute</w:t>
            </w:r>
          </w:p>
        </w:tc>
        <w:tc>
          <w:tcPr>
            <w:tcW w:w="630" w:type="dxa"/>
            <w:tcBorders>
              <w:left w:val="single" w:sz="2" w:space="0" w:color="000000"/>
              <w:bottom w:val="single" w:sz="2" w:space="0" w:color="000000"/>
            </w:tcBorders>
          </w:tcPr>
          <w:p w14:paraId="1D7ADF66" w14:textId="77777777" w:rsidR="00E53EB6" w:rsidRDefault="006500F5">
            <w:pPr>
              <w:pStyle w:val="TableContents"/>
            </w:pPr>
            <w:r>
              <w:t>3</w:t>
            </w:r>
          </w:p>
        </w:tc>
        <w:tc>
          <w:tcPr>
            <w:tcW w:w="1414" w:type="dxa"/>
            <w:tcBorders>
              <w:left w:val="single" w:sz="2" w:space="0" w:color="000000"/>
              <w:bottom w:val="single" w:sz="2" w:space="0" w:color="000000"/>
            </w:tcBorders>
          </w:tcPr>
          <w:p w14:paraId="0DD8FC50" w14:textId="77777777" w:rsidR="00E53EB6" w:rsidRDefault="006500F5">
            <w:pPr>
              <w:pStyle w:val="TableContents"/>
            </w:pPr>
            <w:r>
              <w:t>7.23.3</w:t>
            </w:r>
          </w:p>
          <w:p w14:paraId="58543BA3" w14:textId="77777777" w:rsidR="00E53EB6" w:rsidRDefault="006500F5">
            <w:pPr>
              <w:pStyle w:val="TableContents"/>
            </w:pPr>
            <w:r>
              <w:t>9.96.11</w:t>
            </w:r>
          </w:p>
        </w:tc>
        <w:tc>
          <w:tcPr>
            <w:tcW w:w="3441" w:type="dxa"/>
            <w:tcBorders>
              <w:left w:val="single" w:sz="2" w:space="0" w:color="000000"/>
              <w:bottom w:val="single" w:sz="2" w:space="0" w:color="000000"/>
            </w:tcBorders>
          </w:tcPr>
          <w:p w14:paraId="3280CD5C" w14:textId="77777777" w:rsidR="00E53EB6" w:rsidRDefault="006500F5">
            <w:pPr>
              <w:pStyle w:val="TableContents"/>
            </w:pPr>
            <w:r>
              <w:t>TB 2.8.5.7-8</w:t>
            </w:r>
          </w:p>
          <w:p w14:paraId="1253008A" w14:textId="77777777" w:rsidR="00E53EB6" w:rsidRDefault="006500F5">
            <w:pPr>
              <w:pStyle w:val="TableContents"/>
            </w:pPr>
            <w:r>
              <w:t>VS 19.53; KS 21.14; MS 4.10.6; TS 2.6.12.1</w:t>
            </w:r>
          </w:p>
        </w:tc>
        <w:tc>
          <w:tcPr>
            <w:tcW w:w="1731" w:type="dxa"/>
            <w:tcBorders>
              <w:left w:val="single" w:sz="2" w:space="0" w:color="000000"/>
              <w:bottom w:val="single" w:sz="2" w:space="0" w:color="000000"/>
              <w:right w:val="single" w:sz="2" w:space="0" w:color="000000"/>
            </w:tcBorders>
          </w:tcPr>
          <w:p w14:paraId="154877DD" w14:textId="77777777" w:rsidR="00E53EB6" w:rsidRDefault="006500F5">
            <w:pPr>
              <w:pStyle w:val="TableContents"/>
              <w:rPr>
                <w:i/>
                <w:iCs/>
              </w:rPr>
            </w:pPr>
            <w:r>
              <w:rPr>
                <w:i/>
                <w:iCs/>
              </w:rPr>
              <w:t>vanván -ávāta</w:t>
            </w:r>
            <w:r>
              <w:rPr>
                <w:i/>
                <w:iCs/>
              </w:rPr>
              <w:t>ḥ</w:t>
            </w:r>
          </w:p>
        </w:tc>
      </w:tr>
      <w:tr w:rsidR="00E53EB6" w14:paraId="4E31D13C" w14:textId="77777777">
        <w:tc>
          <w:tcPr>
            <w:tcW w:w="1576" w:type="dxa"/>
            <w:tcBorders>
              <w:left w:val="single" w:sz="2" w:space="0" w:color="000000"/>
              <w:bottom w:val="single" w:sz="2" w:space="0" w:color="000000"/>
            </w:tcBorders>
          </w:tcPr>
          <w:p w14:paraId="4ACE35E3" w14:textId="77777777" w:rsidR="00E53EB6" w:rsidRDefault="006500F5">
            <w:pPr>
              <w:pStyle w:val="TableContents"/>
              <w:rPr>
                <w:color w:val="800000"/>
                <w:u w:val="single"/>
              </w:rPr>
            </w:pPr>
            <w:r>
              <w:rPr>
                <w:color w:val="800000"/>
                <w:u w:val="single"/>
              </w:rPr>
              <w:t>e- ritual action</w:t>
            </w:r>
          </w:p>
        </w:tc>
        <w:tc>
          <w:tcPr>
            <w:tcW w:w="630" w:type="dxa"/>
            <w:tcBorders>
              <w:left w:val="single" w:sz="2" w:space="0" w:color="000000"/>
              <w:bottom w:val="single" w:sz="2" w:space="0" w:color="000000"/>
            </w:tcBorders>
          </w:tcPr>
          <w:p w14:paraId="63F60FDE" w14:textId="77777777" w:rsidR="00E53EB6" w:rsidRDefault="006500F5">
            <w:pPr>
              <w:pStyle w:val="TableContents"/>
            </w:pPr>
            <w:r>
              <w:t>2</w:t>
            </w:r>
          </w:p>
        </w:tc>
        <w:tc>
          <w:tcPr>
            <w:tcW w:w="1414" w:type="dxa"/>
            <w:tcBorders>
              <w:left w:val="single" w:sz="2" w:space="0" w:color="000000"/>
              <w:bottom w:val="single" w:sz="2" w:space="0" w:color="000000"/>
            </w:tcBorders>
          </w:tcPr>
          <w:p w14:paraId="71CB9FA5" w14:textId="77777777" w:rsidR="00E53EB6" w:rsidRDefault="006500F5">
            <w:pPr>
              <w:pStyle w:val="TableContents"/>
            </w:pPr>
            <w:r>
              <w:t>10.128.3</w:t>
            </w:r>
          </w:p>
        </w:tc>
        <w:tc>
          <w:tcPr>
            <w:tcW w:w="3441" w:type="dxa"/>
            <w:tcBorders>
              <w:left w:val="single" w:sz="2" w:space="0" w:color="000000"/>
              <w:bottom w:val="single" w:sz="2" w:space="0" w:color="000000"/>
            </w:tcBorders>
          </w:tcPr>
          <w:p w14:paraId="2BB881A4" w14:textId="77777777" w:rsidR="00E53EB6" w:rsidRDefault="006500F5">
            <w:pPr>
              <w:pStyle w:val="TableContents"/>
            </w:pPr>
            <w:r>
              <w:t>KS 40.10; TS 4.7.14.1</w:t>
            </w:r>
          </w:p>
        </w:tc>
        <w:tc>
          <w:tcPr>
            <w:tcW w:w="1731" w:type="dxa"/>
            <w:tcBorders>
              <w:left w:val="single" w:sz="2" w:space="0" w:color="000000"/>
              <w:bottom w:val="single" w:sz="2" w:space="0" w:color="000000"/>
              <w:right w:val="single" w:sz="2" w:space="0" w:color="000000"/>
            </w:tcBorders>
          </w:tcPr>
          <w:p w14:paraId="60523E6D" w14:textId="77777777" w:rsidR="00E53EB6" w:rsidRDefault="006500F5">
            <w:pPr>
              <w:pStyle w:val="TableContents"/>
              <w:rPr>
                <w:i/>
                <w:iCs/>
              </w:rPr>
            </w:pPr>
            <w:r>
              <w:rPr>
                <w:i/>
                <w:iCs/>
              </w:rPr>
              <w:t>vani</w:t>
            </w:r>
            <w:r>
              <w:rPr>
                <w:i/>
                <w:iCs/>
              </w:rPr>
              <w:t>ṣ</w:t>
            </w:r>
            <w:r>
              <w:rPr>
                <w:i/>
                <w:iCs/>
              </w:rPr>
              <w:t>an; vani</w:t>
            </w:r>
            <w:r>
              <w:rPr>
                <w:i/>
                <w:iCs/>
              </w:rPr>
              <w:t>ṣ</w:t>
            </w:r>
            <w:r>
              <w:rPr>
                <w:i/>
                <w:iCs/>
              </w:rPr>
              <w:t>anta</w:t>
            </w:r>
          </w:p>
        </w:tc>
      </w:tr>
    </w:tbl>
    <w:p w14:paraId="6834CB61" w14:textId="77777777" w:rsidR="00E53EB6" w:rsidRDefault="00E53EB6">
      <w:pPr>
        <w:rPr>
          <w:szCs w:val="21"/>
          <w:lang w:val="en-GB" w:bidi="it-IT"/>
        </w:rPr>
      </w:pPr>
    </w:p>
    <w:p w14:paraId="4C6B273F" w14:textId="77777777" w:rsidR="00E53EB6" w:rsidRDefault="00E53EB6">
      <w:pPr>
        <w:pStyle w:val="Hauptext"/>
      </w:pPr>
    </w:p>
    <w:p w14:paraId="45CD8204" w14:textId="77777777" w:rsidR="00E53EB6" w:rsidRDefault="00E53EB6">
      <w:pPr>
        <w:pStyle w:val="Hauptext"/>
      </w:pPr>
    </w:p>
    <w:p w14:paraId="78019D08" w14:textId="77777777" w:rsidR="00E53EB6" w:rsidRDefault="006500F5">
      <w:pPr>
        <w:pStyle w:val="Hauptext"/>
      </w:pPr>
      <w:r>
        <w:t>Non-R̥gvedic occurrences:</w:t>
      </w:r>
    </w:p>
    <w:p w14:paraId="70F223FB" w14:textId="77777777" w:rsidR="00E53EB6" w:rsidRDefault="00E53EB6">
      <w:pPr>
        <w:pStyle w:val="HaupttextohneEinzug"/>
      </w:pPr>
    </w:p>
    <w:p w14:paraId="145B3991" w14:textId="77777777" w:rsidR="00E53EB6" w:rsidRDefault="00E53EB6">
      <w:pPr>
        <w:pStyle w:val="HaupttextohneEinzug"/>
      </w:pPr>
    </w:p>
    <w:p w14:paraId="0ABC1A04" w14:textId="77777777" w:rsidR="00E53EB6" w:rsidRDefault="006500F5">
      <w:pPr>
        <w:pStyle w:val="HaupttextohneEinzug"/>
      </w:pPr>
      <w:r>
        <w:t>a- “goods”</w:t>
      </w:r>
    </w:p>
    <w:tbl>
      <w:tblPr>
        <w:tblW w:w="8774" w:type="dxa"/>
        <w:tblLayout w:type="fixed"/>
        <w:tblCellMar>
          <w:top w:w="55" w:type="dxa"/>
          <w:left w:w="55" w:type="dxa"/>
          <w:bottom w:w="55" w:type="dxa"/>
          <w:right w:w="55" w:type="dxa"/>
        </w:tblCellMar>
        <w:tblLook w:val="04A0" w:firstRow="1" w:lastRow="0" w:firstColumn="1" w:lastColumn="0" w:noHBand="0" w:noVBand="1"/>
      </w:tblPr>
      <w:tblGrid>
        <w:gridCol w:w="1574"/>
        <w:gridCol w:w="645"/>
        <w:gridCol w:w="1367"/>
        <w:gridCol w:w="2113"/>
        <w:gridCol w:w="3075"/>
      </w:tblGrid>
      <w:tr w:rsidR="00E53EB6" w14:paraId="476DE46A" w14:textId="77777777">
        <w:tc>
          <w:tcPr>
            <w:tcW w:w="1574" w:type="dxa"/>
            <w:tcBorders>
              <w:top w:val="single" w:sz="2" w:space="0" w:color="000000"/>
              <w:left w:val="single" w:sz="2" w:space="0" w:color="000000"/>
              <w:bottom w:val="single" w:sz="2" w:space="0" w:color="000000"/>
            </w:tcBorders>
          </w:tcPr>
          <w:p w14:paraId="6D3EB09D" w14:textId="77777777" w:rsidR="00E53EB6" w:rsidRDefault="006500F5">
            <w:pPr>
              <w:pStyle w:val="TableContents"/>
            </w:pPr>
            <w:r>
              <w:t>object</w:t>
            </w:r>
          </w:p>
        </w:tc>
        <w:tc>
          <w:tcPr>
            <w:tcW w:w="645" w:type="dxa"/>
            <w:tcBorders>
              <w:top w:val="single" w:sz="2" w:space="0" w:color="000000"/>
              <w:left w:val="single" w:sz="2" w:space="0" w:color="000000"/>
              <w:bottom w:val="single" w:sz="2" w:space="0" w:color="000000"/>
            </w:tcBorders>
          </w:tcPr>
          <w:p w14:paraId="190A7AD6" w14:textId="77777777" w:rsidR="00E53EB6" w:rsidRDefault="006500F5">
            <w:pPr>
              <w:pStyle w:val="TableContents"/>
            </w:pPr>
            <w:r>
              <w:t>Q.</w:t>
            </w:r>
          </w:p>
        </w:tc>
        <w:tc>
          <w:tcPr>
            <w:tcW w:w="1367" w:type="dxa"/>
            <w:tcBorders>
              <w:top w:val="single" w:sz="2" w:space="0" w:color="000000"/>
              <w:left w:val="single" w:sz="2" w:space="0" w:color="000000"/>
              <w:bottom w:val="single" w:sz="2" w:space="0" w:color="000000"/>
            </w:tcBorders>
          </w:tcPr>
          <w:p w14:paraId="42172AB3" w14:textId="77777777" w:rsidR="00E53EB6" w:rsidRDefault="006500F5">
            <w:pPr>
              <w:pStyle w:val="TableContents"/>
            </w:pPr>
            <w:r>
              <w:t>occurrences</w:t>
            </w:r>
          </w:p>
        </w:tc>
        <w:tc>
          <w:tcPr>
            <w:tcW w:w="2113" w:type="dxa"/>
            <w:tcBorders>
              <w:top w:val="single" w:sz="2" w:space="0" w:color="000000"/>
              <w:left w:val="single" w:sz="2" w:space="0" w:color="000000"/>
              <w:bottom w:val="single" w:sz="2" w:space="0" w:color="000000"/>
            </w:tcBorders>
          </w:tcPr>
          <w:p w14:paraId="0DCDEF65" w14:textId="77777777" w:rsidR="00E53EB6" w:rsidRDefault="006500F5">
            <w:pPr>
              <w:pStyle w:val="TableContents"/>
              <w:rPr>
                <w:i/>
                <w:iCs/>
              </w:rPr>
            </w:pPr>
            <w:r>
              <w:rPr>
                <w:i/>
                <w:iCs/>
              </w:rPr>
              <w:t>van- / van</w:t>
            </w:r>
            <w:r>
              <w:rPr>
                <w:i/>
                <w:iCs/>
                <w:vertAlign w:val="superscript"/>
              </w:rPr>
              <w:t>i</w:t>
            </w:r>
            <w:r>
              <w:rPr>
                <w:i/>
                <w:iCs/>
              </w:rPr>
              <w:t>-</w:t>
            </w:r>
          </w:p>
        </w:tc>
        <w:tc>
          <w:tcPr>
            <w:tcW w:w="3075" w:type="dxa"/>
            <w:tcBorders>
              <w:top w:val="single" w:sz="2" w:space="0" w:color="000000"/>
              <w:left w:val="single" w:sz="2" w:space="0" w:color="000000"/>
              <w:bottom w:val="single" w:sz="2" w:space="0" w:color="000000"/>
              <w:right w:val="single" w:sz="2" w:space="0" w:color="000000"/>
            </w:tcBorders>
          </w:tcPr>
          <w:p w14:paraId="3065AB6B" w14:textId="77777777" w:rsidR="00E53EB6" w:rsidRDefault="006500F5">
            <w:pPr>
              <w:pStyle w:val="TableContents"/>
            </w:pPr>
            <w:r>
              <w:t>subject / notes</w:t>
            </w:r>
          </w:p>
        </w:tc>
      </w:tr>
      <w:tr w:rsidR="00E53EB6" w:rsidRPr="0071345C" w14:paraId="6F325775" w14:textId="77777777">
        <w:tc>
          <w:tcPr>
            <w:tcW w:w="1574" w:type="dxa"/>
            <w:tcBorders>
              <w:left w:val="single" w:sz="2" w:space="0" w:color="000000"/>
              <w:bottom w:val="single" w:sz="2" w:space="0" w:color="000000"/>
            </w:tcBorders>
          </w:tcPr>
          <w:p w14:paraId="5DE0875B" w14:textId="77777777" w:rsidR="00E53EB6" w:rsidRDefault="006500F5">
            <w:pPr>
              <w:pStyle w:val="TableContents"/>
              <w:rPr>
                <w:i/>
                <w:iCs/>
              </w:rPr>
            </w:pPr>
            <w:r>
              <w:rPr>
                <w:i/>
                <w:iCs/>
              </w:rPr>
              <w:t>k</w:t>
            </w:r>
            <w:r>
              <w:rPr>
                <w:i/>
                <w:iCs/>
              </w:rPr>
              <w:t>ṣ</w:t>
            </w:r>
            <w:r>
              <w:rPr>
                <w:i/>
                <w:iCs/>
              </w:rPr>
              <w:t>atra</w:t>
            </w:r>
          </w:p>
        </w:tc>
        <w:tc>
          <w:tcPr>
            <w:tcW w:w="645" w:type="dxa"/>
            <w:tcBorders>
              <w:left w:val="single" w:sz="2" w:space="0" w:color="000000"/>
              <w:bottom w:val="single" w:sz="2" w:space="0" w:color="000000"/>
            </w:tcBorders>
          </w:tcPr>
          <w:p w14:paraId="09B58787" w14:textId="77777777" w:rsidR="00E53EB6" w:rsidRDefault="006500F5">
            <w:pPr>
              <w:pStyle w:val="TableContents"/>
            </w:pPr>
            <w:r>
              <w:t>5</w:t>
            </w:r>
          </w:p>
        </w:tc>
        <w:tc>
          <w:tcPr>
            <w:tcW w:w="1367" w:type="dxa"/>
            <w:tcBorders>
              <w:left w:val="single" w:sz="2" w:space="0" w:color="000000"/>
              <w:bottom w:val="single" w:sz="2" w:space="0" w:color="000000"/>
            </w:tcBorders>
          </w:tcPr>
          <w:p w14:paraId="141CF4E0" w14:textId="77777777" w:rsidR="00E53EB6" w:rsidRDefault="006500F5">
            <w:pPr>
              <w:pStyle w:val="TableContents"/>
            </w:pPr>
            <w:r>
              <w:t>KS 15.6</w:t>
            </w:r>
          </w:p>
          <w:p w14:paraId="35EAFD02" w14:textId="77777777" w:rsidR="00E53EB6" w:rsidRDefault="006500F5">
            <w:pPr>
              <w:pStyle w:val="TableContents"/>
            </w:pPr>
            <w:r>
              <w:t>VS 10.4</w:t>
            </w:r>
          </w:p>
          <w:p w14:paraId="12F90215" w14:textId="77777777" w:rsidR="00E53EB6" w:rsidRDefault="006500F5">
            <w:pPr>
              <w:pStyle w:val="TableContents"/>
            </w:pPr>
            <w:r>
              <w:t>MS 2.6.8</w:t>
            </w:r>
          </w:p>
          <w:p w14:paraId="75D196A0" w14:textId="77777777" w:rsidR="00E53EB6" w:rsidRDefault="006500F5">
            <w:pPr>
              <w:pStyle w:val="TableContents"/>
            </w:pPr>
            <w:r>
              <w:t>MS 4.4.2</w:t>
            </w:r>
          </w:p>
          <w:p w14:paraId="048C5E68" w14:textId="77777777" w:rsidR="00E53EB6" w:rsidRDefault="006500F5">
            <w:pPr>
              <w:pStyle w:val="TableContents"/>
            </w:pPr>
            <w:r>
              <w:t>ŚB 5.3.4.27</w:t>
            </w:r>
          </w:p>
        </w:tc>
        <w:tc>
          <w:tcPr>
            <w:tcW w:w="2113" w:type="dxa"/>
            <w:tcBorders>
              <w:left w:val="single" w:sz="2" w:space="0" w:color="000000"/>
              <w:bottom w:val="single" w:sz="2" w:space="0" w:color="000000"/>
            </w:tcBorders>
          </w:tcPr>
          <w:p w14:paraId="180E6D03" w14:textId="77777777" w:rsidR="00E53EB6" w:rsidRDefault="006500F5">
            <w:pPr>
              <w:pStyle w:val="TableContents"/>
              <w:rPr>
                <w:i/>
                <w:iCs/>
              </w:rPr>
            </w:pPr>
            <w:r>
              <w:rPr>
                <w:i/>
                <w:iCs/>
              </w:rPr>
              <w:t>vanvānā</w:t>
            </w:r>
            <w:r>
              <w:rPr>
                <w:i/>
                <w:iCs/>
              </w:rPr>
              <w:t>ḥ</w:t>
            </w:r>
          </w:p>
          <w:p w14:paraId="7C78CC86" w14:textId="77777777" w:rsidR="00E53EB6" w:rsidRDefault="006500F5">
            <w:pPr>
              <w:pStyle w:val="TableContents"/>
              <w:rPr>
                <w:i/>
                <w:iCs/>
              </w:rPr>
            </w:pPr>
            <w:r>
              <w:rPr>
                <w:i/>
                <w:iCs/>
              </w:rPr>
              <w:t>vanvānā</w:t>
            </w:r>
            <w:r>
              <w:rPr>
                <w:i/>
                <w:iCs/>
              </w:rPr>
              <w:t>ḥ</w:t>
            </w:r>
          </w:p>
          <w:p w14:paraId="414B38F9" w14:textId="77777777" w:rsidR="00E53EB6" w:rsidRDefault="006500F5">
            <w:pPr>
              <w:pStyle w:val="TableContents"/>
              <w:rPr>
                <w:i/>
                <w:iCs/>
              </w:rPr>
            </w:pPr>
            <w:r>
              <w:rPr>
                <w:i/>
                <w:iCs/>
              </w:rPr>
              <w:t>vanvānā</w:t>
            </w:r>
            <w:r>
              <w:rPr>
                <w:i/>
                <w:iCs/>
              </w:rPr>
              <w:t>ḥ</w:t>
            </w:r>
          </w:p>
          <w:p w14:paraId="7DD591E1" w14:textId="77777777" w:rsidR="00E53EB6" w:rsidRDefault="006500F5">
            <w:pPr>
              <w:pStyle w:val="TableContents"/>
              <w:rPr>
                <w:i/>
                <w:iCs/>
              </w:rPr>
            </w:pPr>
            <w:r>
              <w:rPr>
                <w:i/>
                <w:iCs/>
              </w:rPr>
              <w:t>vanvānā</w:t>
            </w:r>
            <w:r>
              <w:rPr>
                <w:i/>
                <w:iCs/>
              </w:rPr>
              <w:t>ḥ</w:t>
            </w:r>
          </w:p>
          <w:p w14:paraId="054A5463" w14:textId="77777777" w:rsidR="00E53EB6" w:rsidRDefault="006500F5">
            <w:pPr>
              <w:pStyle w:val="TableContents"/>
              <w:rPr>
                <w:i/>
                <w:iCs/>
              </w:rPr>
            </w:pPr>
            <w:r>
              <w:rPr>
                <w:i/>
                <w:iCs/>
              </w:rPr>
              <w:t>vanvānā</w:t>
            </w:r>
            <w:r>
              <w:rPr>
                <w:i/>
                <w:iCs/>
              </w:rPr>
              <w:t>ḥ</w:t>
            </w:r>
          </w:p>
        </w:tc>
        <w:tc>
          <w:tcPr>
            <w:tcW w:w="3075" w:type="dxa"/>
            <w:tcBorders>
              <w:left w:val="single" w:sz="2" w:space="0" w:color="000000"/>
              <w:bottom w:val="single" w:sz="2" w:space="0" w:color="000000"/>
              <w:right w:val="single" w:sz="2" w:space="0" w:color="000000"/>
            </w:tcBorders>
          </w:tcPr>
          <w:p w14:paraId="0F93FFF5" w14:textId="77777777" w:rsidR="00E53EB6" w:rsidRDefault="006500F5">
            <w:pPr>
              <w:pStyle w:val="TableContents"/>
              <w:rPr>
                <w:i/>
                <w:iCs/>
              </w:rPr>
            </w:pPr>
            <w:r>
              <w:rPr>
                <w:i/>
                <w:iCs/>
              </w:rPr>
              <w:t>devīrāpa</w:t>
            </w:r>
            <w:r>
              <w:rPr>
                <w:i/>
                <w:iCs/>
              </w:rPr>
              <w:t>ḥ</w:t>
            </w:r>
          </w:p>
          <w:p w14:paraId="3BCF1100" w14:textId="77777777" w:rsidR="00E53EB6" w:rsidRDefault="006500F5">
            <w:pPr>
              <w:pStyle w:val="TableContents"/>
              <w:rPr>
                <w:i/>
                <w:iCs/>
              </w:rPr>
            </w:pPr>
            <w:r>
              <w:rPr>
                <w:i/>
                <w:iCs/>
              </w:rPr>
              <w:t>madhumatīr (devīrāpa</w:t>
            </w:r>
            <w:r>
              <w:rPr>
                <w:i/>
                <w:iCs/>
              </w:rPr>
              <w:t>ḥ</w:t>
            </w:r>
            <w:r>
              <w:rPr>
                <w:i/>
                <w:iCs/>
              </w:rPr>
              <w:t>)</w:t>
            </w:r>
          </w:p>
          <w:p w14:paraId="11CC1348" w14:textId="77777777" w:rsidR="00E53EB6" w:rsidRDefault="006500F5">
            <w:pPr>
              <w:pStyle w:val="TableContents"/>
              <w:rPr>
                <w:i/>
                <w:iCs/>
              </w:rPr>
            </w:pPr>
            <w:r>
              <w:rPr>
                <w:i/>
                <w:iCs/>
              </w:rPr>
              <w:t>devīrāpa</w:t>
            </w:r>
            <w:r>
              <w:rPr>
                <w:i/>
                <w:iCs/>
              </w:rPr>
              <w:t>ḥ</w:t>
            </w:r>
          </w:p>
          <w:p w14:paraId="5D0C624F" w14:textId="77777777" w:rsidR="00E53EB6" w:rsidRDefault="006500F5">
            <w:pPr>
              <w:pStyle w:val="TableContents"/>
              <w:rPr>
                <w:i/>
                <w:iCs/>
              </w:rPr>
            </w:pPr>
            <w:r>
              <w:rPr>
                <w:i/>
                <w:iCs/>
              </w:rPr>
              <w:t>devīrāpa</w:t>
            </w:r>
            <w:r>
              <w:rPr>
                <w:i/>
                <w:iCs/>
              </w:rPr>
              <w:t>ḥ</w:t>
            </w:r>
          </w:p>
          <w:p w14:paraId="3F245088" w14:textId="77777777" w:rsidR="00E53EB6" w:rsidRDefault="006500F5">
            <w:pPr>
              <w:pStyle w:val="TableContents"/>
              <w:rPr>
                <w:i/>
                <w:iCs/>
              </w:rPr>
            </w:pPr>
            <w:r>
              <w:rPr>
                <w:i/>
                <w:iCs/>
              </w:rPr>
              <w:t>madhumatīr (devīrāpa</w:t>
            </w:r>
            <w:r>
              <w:rPr>
                <w:i/>
                <w:iCs/>
              </w:rPr>
              <w:t>ḥ</w:t>
            </w:r>
            <w:r>
              <w:rPr>
                <w:i/>
                <w:iCs/>
              </w:rPr>
              <w:t>)</w:t>
            </w:r>
          </w:p>
        </w:tc>
      </w:tr>
      <w:tr w:rsidR="00E53EB6" w14:paraId="7FF3ECC9" w14:textId="77777777">
        <w:tc>
          <w:tcPr>
            <w:tcW w:w="1574" w:type="dxa"/>
            <w:tcBorders>
              <w:left w:val="single" w:sz="2" w:space="0" w:color="000000"/>
              <w:bottom w:val="single" w:sz="2" w:space="0" w:color="000000"/>
            </w:tcBorders>
          </w:tcPr>
          <w:p w14:paraId="79520C7A" w14:textId="77777777" w:rsidR="00E53EB6" w:rsidRDefault="006500F5">
            <w:pPr>
              <w:pStyle w:val="TableContents"/>
              <w:rPr>
                <w:i/>
                <w:iCs/>
              </w:rPr>
            </w:pPr>
            <w:r>
              <w:rPr>
                <w:i/>
                <w:iCs/>
              </w:rPr>
              <w:t>bhr̥ti</w:t>
            </w:r>
          </w:p>
        </w:tc>
        <w:tc>
          <w:tcPr>
            <w:tcW w:w="645" w:type="dxa"/>
            <w:tcBorders>
              <w:left w:val="single" w:sz="2" w:space="0" w:color="000000"/>
              <w:bottom w:val="single" w:sz="2" w:space="0" w:color="000000"/>
            </w:tcBorders>
          </w:tcPr>
          <w:p w14:paraId="5BB59097" w14:textId="77777777" w:rsidR="00E53EB6" w:rsidRDefault="006500F5">
            <w:pPr>
              <w:pStyle w:val="TableContents"/>
            </w:pPr>
            <w:r>
              <w:t>2</w:t>
            </w:r>
          </w:p>
        </w:tc>
        <w:tc>
          <w:tcPr>
            <w:tcW w:w="1367" w:type="dxa"/>
            <w:tcBorders>
              <w:left w:val="single" w:sz="2" w:space="0" w:color="000000"/>
              <w:bottom w:val="single" w:sz="2" w:space="0" w:color="000000"/>
            </w:tcBorders>
          </w:tcPr>
          <w:p w14:paraId="5F78DCD3" w14:textId="77777777" w:rsidR="00E53EB6" w:rsidRDefault="006500F5">
            <w:pPr>
              <w:pStyle w:val="TableContents"/>
            </w:pPr>
            <w:r>
              <w:t>MS 3.6.9</w:t>
            </w:r>
          </w:p>
          <w:p w14:paraId="3ABC810A" w14:textId="77777777" w:rsidR="00E53EB6" w:rsidRDefault="006500F5">
            <w:pPr>
              <w:pStyle w:val="TableContents"/>
            </w:pPr>
            <w:r>
              <w:t xml:space="preserve">KS </w:t>
            </w:r>
            <w:r>
              <w:t>23.6</w:t>
            </w:r>
          </w:p>
        </w:tc>
        <w:tc>
          <w:tcPr>
            <w:tcW w:w="2113" w:type="dxa"/>
            <w:tcBorders>
              <w:left w:val="single" w:sz="2" w:space="0" w:color="000000"/>
              <w:bottom w:val="single" w:sz="2" w:space="0" w:color="000000"/>
            </w:tcBorders>
          </w:tcPr>
          <w:p w14:paraId="6CAF362B" w14:textId="77777777" w:rsidR="00E53EB6" w:rsidRDefault="006500F5">
            <w:pPr>
              <w:pStyle w:val="TableContents"/>
              <w:rPr>
                <w:i/>
                <w:iCs/>
              </w:rPr>
            </w:pPr>
            <w:r>
              <w:rPr>
                <w:i/>
                <w:iCs/>
              </w:rPr>
              <w:t>vanute</w:t>
            </w:r>
          </w:p>
          <w:p w14:paraId="18BE1226" w14:textId="77777777" w:rsidR="00E53EB6" w:rsidRDefault="006500F5">
            <w:pPr>
              <w:pStyle w:val="TableContents"/>
              <w:rPr>
                <w:i/>
                <w:iCs/>
              </w:rPr>
            </w:pPr>
            <w:r>
              <w:rPr>
                <w:i/>
                <w:iCs/>
              </w:rPr>
              <w:t>vanute</w:t>
            </w:r>
          </w:p>
        </w:tc>
        <w:tc>
          <w:tcPr>
            <w:tcW w:w="3075" w:type="dxa"/>
            <w:tcBorders>
              <w:left w:val="single" w:sz="2" w:space="0" w:color="000000"/>
              <w:bottom w:val="single" w:sz="2" w:space="0" w:color="000000"/>
              <w:right w:val="single" w:sz="2" w:space="0" w:color="000000"/>
            </w:tcBorders>
          </w:tcPr>
          <w:p w14:paraId="4ECAFF77" w14:textId="77777777" w:rsidR="00E53EB6" w:rsidRDefault="006500F5">
            <w:pPr>
              <w:pStyle w:val="TableContents"/>
              <w:rPr>
                <w:i/>
                <w:iCs/>
              </w:rPr>
            </w:pPr>
            <w:r>
              <w:rPr>
                <w:i/>
                <w:iCs/>
              </w:rPr>
              <w:t xml:space="preserve">• </w:t>
            </w:r>
            <w:r>
              <w:t>(the sacrificer)</w:t>
            </w:r>
          </w:p>
          <w:p w14:paraId="5CB752E4" w14:textId="77777777" w:rsidR="00E53EB6" w:rsidRDefault="006500F5">
            <w:pPr>
              <w:pStyle w:val="TableContents"/>
            </w:pPr>
            <w:r>
              <w:t>• (the sacrificer)</w:t>
            </w:r>
          </w:p>
        </w:tc>
      </w:tr>
      <w:tr w:rsidR="00E53EB6" w14:paraId="0886B8D2" w14:textId="77777777">
        <w:tc>
          <w:tcPr>
            <w:tcW w:w="1574" w:type="dxa"/>
            <w:tcBorders>
              <w:left w:val="single" w:sz="2" w:space="0" w:color="000000"/>
              <w:bottom w:val="single" w:sz="2" w:space="0" w:color="000000"/>
            </w:tcBorders>
          </w:tcPr>
          <w:p w14:paraId="4BCFD3CE" w14:textId="77777777" w:rsidR="00E53EB6" w:rsidRDefault="006500F5">
            <w:pPr>
              <w:pStyle w:val="TableContents"/>
              <w:rPr>
                <w:i/>
                <w:iCs/>
              </w:rPr>
            </w:pPr>
            <w:r>
              <w:rPr>
                <w:i/>
                <w:iCs/>
              </w:rPr>
              <w:t>tapas</w:t>
            </w:r>
          </w:p>
        </w:tc>
        <w:tc>
          <w:tcPr>
            <w:tcW w:w="645" w:type="dxa"/>
            <w:tcBorders>
              <w:left w:val="single" w:sz="2" w:space="0" w:color="000000"/>
              <w:bottom w:val="single" w:sz="2" w:space="0" w:color="000000"/>
            </w:tcBorders>
          </w:tcPr>
          <w:p w14:paraId="7EFD582E" w14:textId="77777777" w:rsidR="00E53EB6" w:rsidRDefault="006500F5">
            <w:pPr>
              <w:pStyle w:val="TableContents"/>
            </w:pPr>
            <w:r>
              <w:t>1</w:t>
            </w:r>
          </w:p>
        </w:tc>
        <w:tc>
          <w:tcPr>
            <w:tcW w:w="1367" w:type="dxa"/>
            <w:tcBorders>
              <w:left w:val="single" w:sz="2" w:space="0" w:color="000000"/>
              <w:bottom w:val="single" w:sz="2" w:space="0" w:color="000000"/>
            </w:tcBorders>
          </w:tcPr>
          <w:p w14:paraId="582CCE73" w14:textId="77777777" w:rsidR="00E53EB6" w:rsidRDefault="006500F5">
            <w:pPr>
              <w:pStyle w:val="TableContents"/>
            </w:pPr>
            <w:r>
              <w:t>TB 2.4.3.4</w:t>
            </w:r>
          </w:p>
        </w:tc>
        <w:tc>
          <w:tcPr>
            <w:tcW w:w="2113" w:type="dxa"/>
            <w:tcBorders>
              <w:left w:val="single" w:sz="2" w:space="0" w:color="000000"/>
              <w:bottom w:val="single" w:sz="2" w:space="0" w:color="000000"/>
            </w:tcBorders>
          </w:tcPr>
          <w:p w14:paraId="49F907CA" w14:textId="77777777" w:rsidR="00E53EB6" w:rsidRDefault="006500F5">
            <w:pPr>
              <w:pStyle w:val="TableContents"/>
              <w:rPr>
                <w:i/>
                <w:iCs/>
              </w:rPr>
            </w:pPr>
            <w:r>
              <w:rPr>
                <w:i/>
                <w:iCs/>
              </w:rPr>
              <w:t>vanatam</w:t>
            </w:r>
          </w:p>
        </w:tc>
        <w:tc>
          <w:tcPr>
            <w:tcW w:w="3075" w:type="dxa"/>
            <w:tcBorders>
              <w:left w:val="single" w:sz="2" w:space="0" w:color="000000"/>
              <w:bottom w:val="single" w:sz="2" w:space="0" w:color="000000"/>
              <w:right w:val="single" w:sz="2" w:space="0" w:color="000000"/>
            </w:tcBorders>
          </w:tcPr>
          <w:p w14:paraId="71ACAD71" w14:textId="77777777" w:rsidR="00E53EB6" w:rsidRDefault="006500F5">
            <w:pPr>
              <w:pStyle w:val="TableContents"/>
            </w:pPr>
            <w:r>
              <w:t>Agni and Vi</w:t>
            </w:r>
            <w:r>
              <w:t>ṣṇ</w:t>
            </w:r>
            <w:r>
              <w:t>u</w:t>
            </w:r>
          </w:p>
        </w:tc>
      </w:tr>
      <w:tr w:rsidR="00E53EB6" w14:paraId="05707393" w14:textId="77777777">
        <w:tc>
          <w:tcPr>
            <w:tcW w:w="1574" w:type="dxa"/>
            <w:tcBorders>
              <w:left w:val="single" w:sz="2" w:space="0" w:color="000000"/>
              <w:bottom w:val="single" w:sz="2" w:space="0" w:color="000000"/>
            </w:tcBorders>
          </w:tcPr>
          <w:p w14:paraId="336D1201" w14:textId="77777777" w:rsidR="00E53EB6" w:rsidRDefault="006500F5">
            <w:pPr>
              <w:pStyle w:val="TableContents"/>
              <w:rPr>
                <w:i/>
                <w:iCs/>
              </w:rPr>
            </w:pPr>
            <w:r>
              <w:rPr>
                <w:i/>
                <w:iCs/>
              </w:rPr>
              <w:t>vatsatara</w:t>
            </w:r>
          </w:p>
        </w:tc>
        <w:tc>
          <w:tcPr>
            <w:tcW w:w="645" w:type="dxa"/>
            <w:tcBorders>
              <w:left w:val="single" w:sz="2" w:space="0" w:color="000000"/>
              <w:bottom w:val="single" w:sz="2" w:space="0" w:color="000000"/>
            </w:tcBorders>
          </w:tcPr>
          <w:p w14:paraId="7A586F4D" w14:textId="77777777" w:rsidR="00E53EB6" w:rsidRDefault="006500F5">
            <w:pPr>
              <w:pStyle w:val="TableContents"/>
            </w:pPr>
            <w:r>
              <w:t>1</w:t>
            </w:r>
          </w:p>
        </w:tc>
        <w:tc>
          <w:tcPr>
            <w:tcW w:w="1367" w:type="dxa"/>
            <w:tcBorders>
              <w:left w:val="single" w:sz="2" w:space="0" w:color="000000"/>
              <w:bottom w:val="single" w:sz="2" w:space="0" w:color="000000"/>
            </w:tcBorders>
          </w:tcPr>
          <w:p w14:paraId="2DB2CCFE" w14:textId="77777777" w:rsidR="00E53EB6" w:rsidRDefault="006500F5">
            <w:pPr>
              <w:pStyle w:val="TableContents"/>
            </w:pPr>
            <w:r>
              <w:t>KS 10.6</w:t>
            </w:r>
          </w:p>
        </w:tc>
        <w:tc>
          <w:tcPr>
            <w:tcW w:w="2113" w:type="dxa"/>
            <w:tcBorders>
              <w:left w:val="single" w:sz="2" w:space="0" w:color="000000"/>
              <w:bottom w:val="single" w:sz="2" w:space="0" w:color="000000"/>
            </w:tcBorders>
          </w:tcPr>
          <w:p w14:paraId="3F6EF507" w14:textId="77777777" w:rsidR="00E53EB6" w:rsidRDefault="006500F5">
            <w:pPr>
              <w:pStyle w:val="TableContents"/>
              <w:rPr>
                <w:i/>
                <w:iCs/>
              </w:rPr>
            </w:pPr>
            <w:r>
              <w:rPr>
                <w:i/>
                <w:iCs/>
              </w:rPr>
              <w:t>avanvata</w:t>
            </w:r>
          </w:p>
        </w:tc>
        <w:tc>
          <w:tcPr>
            <w:tcW w:w="3075" w:type="dxa"/>
            <w:tcBorders>
              <w:left w:val="single" w:sz="2" w:space="0" w:color="000000"/>
              <w:bottom w:val="single" w:sz="2" w:space="0" w:color="000000"/>
              <w:right w:val="single" w:sz="2" w:space="0" w:color="000000"/>
            </w:tcBorders>
          </w:tcPr>
          <w:p w14:paraId="1EBAF5B2" w14:textId="77777777" w:rsidR="00E53EB6" w:rsidRDefault="006500F5">
            <w:pPr>
              <w:pStyle w:val="TableContents"/>
            </w:pPr>
            <w:r>
              <w:t>Naimi</w:t>
            </w:r>
            <w:r>
              <w:t>ṣ</w:t>
            </w:r>
            <w:r>
              <w:t>ya</w:t>
            </w:r>
          </w:p>
        </w:tc>
      </w:tr>
      <w:tr w:rsidR="00E53EB6" w14:paraId="705E6AC1" w14:textId="77777777">
        <w:tc>
          <w:tcPr>
            <w:tcW w:w="1574" w:type="dxa"/>
            <w:tcBorders>
              <w:left w:val="single" w:sz="2" w:space="0" w:color="000000"/>
              <w:bottom w:val="single" w:sz="2" w:space="0" w:color="000000"/>
            </w:tcBorders>
          </w:tcPr>
          <w:p w14:paraId="460E93F0" w14:textId="77777777" w:rsidR="00E53EB6" w:rsidRDefault="006500F5">
            <w:pPr>
              <w:pStyle w:val="TableContents"/>
              <w:rPr>
                <w:i/>
                <w:iCs/>
              </w:rPr>
            </w:pPr>
            <w:r>
              <w:rPr>
                <w:i/>
                <w:iCs/>
              </w:rPr>
              <w:t>varcas</w:t>
            </w:r>
          </w:p>
        </w:tc>
        <w:tc>
          <w:tcPr>
            <w:tcW w:w="645" w:type="dxa"/>
            <w:tcBorders>
              <w:left w:val="single" w:sz="2" w:space="0" w:color="000000"/>
              <w:bottom w:val="single" w:sz="2" w:space="0" w:color="000000"/>
            </w:tcBorders>
          </w:tcPr>
          <w:p w14:paraId="384E273E" w14:textId="77777777" w:rsidR="00E53EB6" w:rsidRDefault="006500F5">
            <w:pPr>
              <w:pStyle w:val="TableContents"/>
            </w:pPr>
            <w:r>
              <w:t>1</w:t>
            </w:r>
          </w:p>
        </w:tc>
        <w:tc>
          <w:tcPr>
            <w:tcW w:w="1367" w:type="dxa"/>
            <w:tcBorders>
              <w:left w:val="single" w:sz="2" w:space="0" w:color="000000"/>
              <w:bottom w:val="single" w:sz="2" w:space="0" w:color="000000"/>
            </w:tcBorders>
          </w:tcPr>
          <w:p w14:paraId="2944532F" w14:textId="77777777" w:rsidR="00E53EB6" w:rsidRDefault="006500F5">
            <w:pPr>
              <w:pStyle w:val="TableContents"/>
            </w:pPr>
            <w:r>
              <w:t>TS 1.8.12.1a-b</w:t>
            </w:r>
          </w:p>
        </w:tc>
        <w:tc>
          <w:tcPr>
            <w:tcW w:w="2113" w:type="dxa"/>
            <w:tcBorders>
              <w:left w:val="single" w:sz="2" w:space="0" w:color="000000"/>
              <w:bottom w:val="single" w:sz="2" w:space="0" w:color="000000"/>
            </w:tcBorders>
          </w:tcPr>
          <w:p w14:paraId="3D380DDD" w14:textId="77777777" w:rsidR="00E53EB6" w:rsidRDefault="006500F5">
            <w:pPr>
              <w:pStyle w:val="TableContents"/>
              <w:rPr>
                <w:i/>
                <w:iCs/>
              </w:rPr>
            </w:pPr>
            <w:r>
              <w:rPr>
                <w:i/>
                <w:iCs/>
              </w:rPr>
              <w:t>vanvānā</w:t>
            </w:r>
            <w:r>
              <w:rPr>
                <w:i/>
                <w:iCs/>
              </w:rPr>
              <w:t>ḥ</w:t>
            </w:r>
          </w:p>
        </w:tc>
        <w:tc>
          <w:tcPr>
            <w:tcW w:w="3075" w:type="dxa"/>
            <w:tcBorders>
              <w:left w:val="single" w:sz="2" w:space="0" w:color="000000"/>
              <w:bottom w:val="single" w:sz="2" w:space="0" w:color="000000"/>
              <w:right w:val="single" w:sz="2" w:space="0" w:color="000000"/>
            </w:tcBorders>
          </w:tcPr>
          <w:p w14:paraId="2A789E52" w14:textId="77777777" w:rsidR="00E53EB6" w:rsidRDefault="006500F5">
            <w:pPr>
              <w:pStyle w:val="TableContents"/>
              <w:rPr>
                <w:i/>
                <w:iCs/>
              </w:rPr>
            </w:pPr>
            <w:r>
              <w:rPr>
                <w:i/>
                <w:iCs/>
              </w:rPr>
              <w:t>devīr āpa</w:t>
            </w:r>
            <w:r>
              <w:rPr>
                <w:i/>
                <w:iCs/>
              </w:rPr>
              <w:t>ḥ</w:t>
            </w:r>
          </w:p>
        </w:tc>
      </w:tr>
      <w:tr w:rsidR="00E53EB6" w:rsidRPr="0071345C" w14:paraId="4E01059D" w14:textId="77777777">
        <w:tc>
          <w:tcPr>
            <w:tcW w:w="1574" w:type="dxa"/>
            <w:tcBorders>
              <w:left w:val="single" w:sz="2" w:space="0" w:color="000000"/>
              <w:bottom w:val="single" w:sz="2" w:space="0" w:color="000000"/>
            </w:tcBorders>
          </w:tcPr>
          <w:p w14:paraId="71326C71" w14:textId="77777777" w:rsidR="00E53EB6" w:rsidRDefault="006500F5">
            <w:pPr>
              <w:pStyle w:val="TableContents"/>
              <w:rPr>
                <w:i/>
                <w:iCs/>
              </w:rPr>
            </w:pPr>
            <w:r>
              <w:rPr>
                <w:i/>
                <w:iCs/>
              </w:rPr>
              <w:t>vr̥</w:t>
            </w:r>
            <w:r>
              <w:rPr>
                <w:i/>
                <w:iCs/>
              </w:rPr>
              <w:t>ṣṭ</w:t>
            </w:r>
            <w:r>
              <w:rPr>
                <w:i/>
                <w:iCs/>
              </w:rPr>
              <w:t>i</w:t>
            </w:r>
          </w:p>
        </w:tc>
        <w:tc>
          <w:tcPr>
            <w:tcW w:w="645" w:type="dxa"/>
            <w:tcBorders>
              <w:left w:val="single" w:sz="2" w:space="0" w:color="000000"/>
              <w:bottom w:val="single" w:sz="2" w:space="0" w:color="000000"/>
            </w:tcBorders>
          </w:tcPr>
          <w:p w14:paraId="36770E7B" w14:textId="77777777" w:rsidR="00E53EB6" w:rsidRDefault="006500F5">
            <w:pPr>
              <w:pStyle w:val="TableContents"/>
            </w:pPr>
            <w:r>
              <w:t>3</w:t>
            </w:r>
          </w:p>
        </w:tc>
        <w:tc>
          <w:tcPr>
            <w:tcW w:w="1367" w:type="dxa"/>
            <w:tcBorders>
              <w:left w:val="single" w:sz="2" w:space="0" w:color="000000"/>
              <w:bottom w:val="single" w:sz="2" w:space="0" w:color="000000"/>
            </w:tcBorders>
          </w:tcPr>
          <w:p w14:paraId="10736006" w14:textId="77777777" w:rsidR="00E53EB6" w:rsidRDefault="006500F5">
            <w:pPr>
              <w:pStyle w:val="TableContents"/>
            </w:pPr>
            <w:r>
              <w:t>MS 4.1.14</w:t>
            </w:r>
          </w:p>
          <w:p w14:paraId="353789C4" w14:textId="77777777" w:rsidR="00E53EB6" w:rsidRDefault="006500F5">
            <w:pPr>
              <w:pStyle w:val="TableContents"/>
            </w:pPr>
            <w:r>
              <w:t>MS 4.1.10</w:t>
            </w:r>
          </w:p>
          <w:p w14:paraId="2EACF7E6" w14:textId="77777777" w:rsidR="00E53EB6" w:rsidRDefault="006500F5">
            <w:pPr>
              <w:pStyle w:val="TableContents"/>
            </w:pPr>
            <w:r>
              <w:t>ŚB 3.8.2.22</w:t>
            </w:r>
          </w:p>
        </w:tc>
        <w:tc>
          <w:tcPr>
            <w:tcW w:w="2113" w:type="dxa"/>
            <w:tcBorders>
              <w:left w:val="single" w:sz="2" w:space="0" w:color="000000"/>
              <w:bottom w:val="single" w:sz="2" w:space="0" w:color="000000"/>
            </w:tcBorders>
          </w:tcPr>
          <w:p w14:paraId="3CAF0846" w14:textId="77777777" w:rsidR="00E53EB6" w:rsidRDefault="006500F5">
            <w:pPr>
              <w:pStyle w:val="TableContents"/>
              <w:rPr>
                <w:i/>
                <w:iCs/>
              </w:rPr>
            </w:pPr>
            <w:r>
              <w:rPr>
                <w:i/>
                <w:iCs/>
              </w:rPr>
              <w:t>vanute</w:t>
            </w:r>
          </w:p>
          <w:p w14:paraId="21DD377A" w14:textId="77777777" w:rsidR="00E53EB6" w:rsidRDefault="006500F5">
            <w:pPr>
              <w:pStyle w:val="TableContents"/>
              <w:rPr>
                <w:i/>
                <w:iCs/>
              </w:rPr>
            </w:pPr>
            <w:r>
              <w:rPr>
                <w:i/>
                <w:iCs/>
              </w:rPr>
              <w:t>vanute</w:t>
            </w:r>
          </w:p>
          <w:p w14:paraId="3EA61930" w14:textId="77777777" w:rsidR="00E53EB6" w:rsidRDefault="006500F5">
            <w:pPr>
              <w:pStyle w:val="TableContents"/>
              <w:rPr>
                <w:i/>
                <w:iCs/>
              </w:rPr>
            </w:pPr>
            <w:r>
              <w:rPr>
                <w:i/>
                <w:iCs/>
              </w:rPr>
              <w:t>vanute</w:t>
            </w:r>
          </w:p>
        </w:tc>
        <w:tc>
          <w:tcPr>
            <w:tcW w:w="3075" w:type="dxa"/>
            <w:tcBorders>
              <w:left w:val="single" w:sz="2" w:space="0" w:color="000000"/>
              <w:bottom w:val="single" w:sz="2" w:space="0" w:color="000000"/>
              <w:right w:val="single" w:sz="2" w:space="0" w:color="000000"/>
            </w:tcBorders>
          </w:tcPr>
          <w:p w14:paraId="0521266D" w14:textId="77777777" w:rsidR="00E53EB6" w:rsidRDefault="006500F5">
            <w:pPr>
              <w:pStyle w:val="TableContents"/>
            </w:pPr>
            <w:r>
              <w:t xml:space="preserve">• </w:t>
            </w:r>
            <w:r>
              <w:t>(the sacrificer)</w:t>
            </w:r>
          </w:p>
          <w:p w14:paraId="63CBCADC" w14:textId="77777777" w:rsidR="00E53EB6" w:rsidRDefault="006500F5">
            <w:pPr>
              <w:pStyle w:val="TableContents"/>
            </w:pPr>
            <w:r>
              <w:t>• (the sacrificer)</w:t>
            </w:r>
          </w:p>
          <w:p w14:paraId="1C323AA8" w14:textId="77777777" w:rsidR="00E53EB6" w:rsidRDefault="006500F5">
            <w:pPr>
              <w:pStyle w:val="TableContents"/>
              <w:rPr>
                <w:i/>
                <w:iCs/>
              </w:rPr>
            </w:pPr>
            <w:r>
              <w:t xml:space="preserve">Agni (+ </w:t>
            </w:r>
            <w:r>
              <w:rPr>
                <w:i/>
                <w:iCs/>
              </w:rPr>
              <w:t>stoka</w:t>
            </w:r>
            <w:r>
              <w:t>)</w:t>
            </w:r>
          </w:p>
        </w:tc>
      </w:tr>
      <w:tr w:rsidR="00E53EB6" w14:paraId="4B989B62" w14:textId="77777777">
        <w:tc>
          <w:tcPr>
            <w:tcW w:w="1574" w:type="dxa"/>
            <w:tcBorders>
              <w:left w:val="single" w:sz="2" w:space="0" w:color="000000"/>
              <w:bottom w:val="single" w:sz="2" w:space="0" w:color="000000"/>
            </w:tcBorders>
          </w:tcPr>
          <w:p w14:paraId="184135EC" w14:textId="77777777" w:rsidR="00E53EB6" w:rsidRDefault="006500F5">
            <w:pPr>
              <w:pStyle w:val="TableContents"/>
              <w:rPr>
                <w:i/>
                <w:iCs/>
              </w:rPr>
            </w:pPr>
            <w:r>
              <w:rPr>
                <w:i/>
                <w:iCs/>
              </w:rPr>
              <w:t>sani</w:t>
            </w:r>
          </w:p>
        </w:tc>
        <w:tc>
          <w:tcPr>
            <w:tcW w:w="645" w:type="dxa"/>
            <w:tcBorders>
              <w:left w:val="single" w:sz="2" w:space="0" w:color="000000"/>
              <w:bottom w:val="single" w:sz="2" w:space="0" w:color="000000"/>
            </w:tcBorders>
          </w:tcPr>
          <w:p w14:paraId="18BE6911" w14:textId="77777777" w:rsidR="00E53EB6" w:rsidRDefault="006500F5">
            <w:pPr>
              <w:pStyle w:val="TableContents"/>
            </w:pPr>
            <w:r>
              <w:t>2</w:t>
            </w:r>
          </w:p>
        </w:tc>
        <w:tc>
          <w:tcPr>
            <w:tcW w:w="1367" w:type="dxa"/>
            <w:tcBorders>
              <w:left w:val="single" w:sz="2" w:space="0" w:color="000000"/>
              <w:bottom w:val="single" w:sz="2" w:space="0" w:color="000000"/>
            </w:tcBorders>
          </w:tcPr>
          <w:p w14:paraId="5BD16BD8" w14:textId="77777777" w:rsidR="00E53EB6" w:rsidRDefault="006500F5">
            <w:pPr>
              <w:pStyle w:val="TableContents"/>
            </w:pPr>
            <w:r>
              <w:t>MS 2.1.2</w:t>
            </w:r>
          </w:p>
          <w:p w14:paraId="0C231FEE" w14:textId="77777777" w:rsidR="00E53EB6" w:rsidRDefault="006500F5">
            <w:pPr>
              <w:pStyle w:val="TableContents"/>
            </w:pPr>
            <w:r>
              <w:lastRenderedPageBreak/>
              <w:t>KS 10.3</w:t>
            </w:r>
          </w:p>
        </w:tc>
        <w:tc>
          <w:tcPr>
            <w:tcW w:w="2113" w:type="dxa"/>
            <w:tcBorders>
              <w:left w:val="single" w:sz="2" w:space="0" w:color="000000"/>
              <w:bottom w:val="single" w:sz="2" w:space="0" w:color="000000"/>
            </w:tcBorders>
          </w:tcPr>
          <w:p w14:paraId="3A8C9480" w14:textId="77777777" w:rsidR="00E53EB6" w:rsidRDefault="006500F5">
            <w:pPr>
              <w:pStyle w:val="TableContents"/>
              <w:rPr>
                <w:i/>
                <w:iCs/>
              </w:rPr>
            </w:pPr>
            <w:r>
              <w:rPr>
                <w:i/>
                <w:iCs/>
              </w:rPr>
              <w:lastRenderedPageBreak/>
              <w:t>vanute</w:t>
            </w:r>
          </w:p>
          <w:p w14:paraId="3E29BE54" w14:textId="77777777" w:rsidR="00E53EB6" w:rsidRDefault="006500F5">
            <w:pPr>
              <w:pStyle w:val="TableContents"/>
              <w:rPr>
                <w:i/>
                <w:iCs/>
              </w:rPr>
            </w:pPr>
            <w:r>
              <w:rPr>
                <w:i/>
                <w:iCs/>
              </w:rPr>
              <w:lastRenderedPageBreak/>
              <w:t>vanute</w:t>
            </w:r>
          </w:p>
        </w:tc>
        <w:tc>
          <w:tcPr>
            <w:tcW w:w="3075" w:type="dxa"/>
            <w:tcBorders>
              <w:left w:val="single" w:sz="2" w:space="0" w:color="000000"/>
              <w:bottom w:val="single" w:sz="2" w:space="0" w:color="000000"/>
              <w:right w:val="single" w:sz="2" w:space="0" w:color="000000"/>
            </w:tcBorders>
          </w:tcPr>
          <w:p w14:paraId="62776F76" w14:textId="77777777" w:rsidR="00E53EB6" w:rsidRDefault="006500F5">
            <w:pPr>
              <w:pStyle w:val="TableContents"/>
            </w:pPr>
            <w:r>
              <w:lastRenderedPageBreak/>
              <w:t>• (the sacrificer)</w:t>
            </w:r>
          </w:p>
          <w:p w14:paraId="1AFBDEA2" w14:textId="77777777" w:rsidR="00E53EB6" w:rsidRDefault="006500F5">
            <w:pPr>
              <w:pStyle w:val="TableContents"/>
            </w:pPr>
            <w:r>
              <w:lastRenderedPageBreak/>
              <w:t>• (the sacrificer)</w:t>
            </w:r>
          </w:p>
        </w:tc>
      </w:tr>
      <w:tr w:rsidR="00E53EB6" w14:paraId="49E19425" w14:textId="77777777">
        <w:tc>
          <w:tcPr>
            <w:tcW w:w="1574" w:type="dxa"/>
            <w:tcBorders>
              <w:left w:val="single" w:sz="2" w:space="0" w:color="000000"/>
              <w:bottom w:val="single" w:sz="2" w:space="0" w:color="000000"/>
            </w:tcBorders>
          </w:tcPr>
          <w:p w14:paraId="388DD0B9" w14:textId="77777777" w:rsidR="00E53EB6" w:rsidRDefault="006500F5">
            <w:pPr>
              <w:pStyle w:val="TableContents"/>
              <w:rPr>
                <w:i/>
                <w:iCs/>
              </w:rPr>
            </w:pPr>
            <w:r>
              <w:rPr>
                <w:i/>
                <w:iCs/>
              </w:rPr>
              <w:t>•</w:t>
            </w:r>
            <w:r>
              <w:t>(this)</w:t>
            </w:r>
          </w:p>
        </w:tc>
        <w:tc>
          <w:tcPr>
            <w:tcW w:w="645" w:type="dxa"/>
            <w:tcBorders>
              <w:left w:val="single" w:sz="2" w:space="0" w:color="000000"/>
              <w:bottom w:val="single" w:sz="2" w:space="0" w:color="000000"/>
            </w:tcBorders>
          </w:tcPr>
          <w:p w14:paraId="338D260B" w14:textId="77777777" w:rsidR="00E53EB6" w:rsidRDefault="006500F5">
            <w:pPr>
              <w:pStyle w:val="TableContents"/>
            </w:pPr>
            <w:r>
              <w:t>4</w:t>
            </w:r>
          </w:p>
        </w:tc>
        <w:tc>
          <w:tcPr>
            <w:tcW w:w="1367" w:type="dxa"/>
            <w:tcBorders>
              <w:left w:val="single" w:sz="2" w:space="0" w:color="000000"/>
              <w:bottom w:val="single" w:sz="2" w:space="0" w:color="000000"/>
            </w:tcBorders>
          </w:tcPr>
          <w:p w14:paraId="48F94FDC" w14:textId="77777777" w:rsidR="00E53EB6" w:rsidRDefault="006500F5">
            <w:pPr>
              <w:pStyle w:val="TableContents"/>
            </w:pPr>
            <w:r>
              <w:t>TS 2.6.9.8</w:t>
            </w:r>
          </w:p>
          <w:p w14:paraId="1F7978ED" w14:textId="77777777" w:rsidR="00E53EB6" w:rsidRDefault="006500F5">
            <w:pPr>
              <w:pStyle w:val="TableContents"/>
            </w:pPr>
            <w:r>
              <w:t>MS 4.13.9</w:t>
            </w:r>
          </w:p>
          <w:p w14:paraId="1220D2F3" w14:textId="77777777" w:rsidR="00E53EB6" w:rsidRDefault="006500F5">
            <w:pPr>
              <w:pStyle w:val="TableContents"/>
            </w:pPr>
            <w:r>
              <w:t>TB 3.5.10.5</w:t>
            </w:r>
          </w:p>
          <w:p w14:paraId="10496642" w14:textId="77777777" w:rsidR="00E53EB6" w:rsidRDefault="006500F5">
            <w:pPr>
              <w:pStyle w:val="TableContents"/>
            </w:pPr>
            <w:r>
              <w:t>ŚB 1.9.1.19</w:t>
            </w:r>
          </w:p>
        </w:tc>
        <w:tc>
          <w:tcPr>
            <w:tcW w:w="2113" w:type="dxa"/>
            <w:tcBorders>
              <w:left w:val="single" w:sz="2" w:space="0" w:color="000000"/>
              <w:bottom w:val="single" w:sz="2" w:space="0" w:color="000000"/>
            </w:tcBorders>
          </w:tcPr>
          <w:p w14:paraId="6AE4AB5F" w14:textId="77777777" w:rsidR="00E53EB6" w:rsidRPr="0071345C" w:rsidRDefault="006500F5">
            <w:pPr>
              <w:pStyle w:val="TableContents"/>
              <w:rPr>
                <w:i/>
                <w:iCs/>
                <w:lang w:val="it-IT"/>
              </w:rPr>
            </w:pPr>
            <w:r w:rsidRPr="0071345C">
              <w:rPr>
                <w:i/>
                <w:iCs/>
                <w:lang w:val="it-IT"/>
              </w:rPr>
              <w:t>vanute; vanate</w:t>
            </w:r>
          </w:p>
          <w:p w14:paraId="618F3A98" w14:textId="77777777" w:rsidR="00E53EB6" w:rsidRPr="0071345C" w:rsidRDefault="006500F5">
            <w:pPr>
              <w:pStyle w:val="TableContents"/>
              <w:rPr>
                <w:i/>
                <w:iCs/>
                <w:lang w:val="it-IT"/>
              </w:rPr>
            </w:pPr>
            <w:r w:rsidRPr="0071345C">
              <w:rPr>
                <w:i/>
                <w:iCs/>
                <w:lang w:val="it-IT"/>
              </w:rPr>
              <w:t>vanutām</w:t>
            </w:r>
          </w:p>
          <w:p w14:paraId="4EC7C664" w14:textId="77777777" w:rsidR="00E53EB6" w:rsidRPr="0071345C" w:rsidRDefault="006500F5">
            <w:pPr>
              <w:pStyle w:val="TableContents"/>
              <w:rPr>
                <w:i/>
                <w:iCs/>
                <w:lang w:val="it-IT"/>
              </w:rPr>
            </w:pPr>
            <w:r w:rsidRPr="0071345C">
              <w:rPr>
                <w:i/>
                <w:iCs/>
                <w:lang w:val="it-IT"/>
              </w:rPr>
              <w:t>vanate</w:t>
            </w:r>
          </w:p>
          <w:p w14:paraId="6112B6C1" w14:textId="77777777" w:rsidR="00E53EB6" w:rsidRPr="0071345C" w:rsidRDefault="006500F5">
            <w:pPr>
              <w:pStyle w:val="TableContents"/>
              <w:rPr>
                <w:i/>
                <w:iCs/>
                <w:lang w:val="it-IT"/>
              </w:rPr>
            </w:pPr>
            <w:r w:rsidRPr="0071345C">
              <w:rPr>
                <w:i/>
                <w:iCs/>
                <w:lang w:val="it-IT"/>
              </w:rPr>
              <w:t>vanutām; vanavāmahai</w:t>
            </w:r>
          </w:p>
        </w:tc>
        <w:tc>
          <w:tcPr>
            <w:tcW w:w="3075" w:type="dxa"/>
            <w:tcBorders>
              <w:left w:val="single" w:sz="2" w:space="0" w:color="000000"/>
              <w:bottom w:val="single" w:sz="2" w:space="0" w:color="000000"/>
              <w:right w:val="single" w:sz="2" w:space="0" w:color="000000"/>
            </w:tcBorders>
          </w:tcPr>
          <w:p w14:paraId="25F9EE72" w14:textId="77777777" w:rsidR="00E53EB6" w:rsidRDefault="006500F5">
            <w:pPr>
              <w:pStyle w:val="TableContents"/>
            </w:pPr>
            <w:r>
              <w:t xml:space="preserve">*Agni (for us): </w:t>
            </w:r>
            <w:r>
              <w:t>passage</w:t>
            </w:r>
          </w:p>
          <w:p w14:paraId="003D4736" w14:textId="77777777" w:rsidR="00E53EB6" w:rsidRDefault="00E53EB6">
            <w:pPr>
              <w:pStyle w:val="TableContents"/>
            </w:pPr>
          </w:p>
        </w:tc>
      </w:tr>
      <w:tr w:rsidR="00E53EB6" w:rsidRPr="0071345C" w14:paraId="431883A0" w14:textId="77777777">
        <w:tc>
          <w:tcPr>
            <w:tcW w:w="1574" w:type="dxa"/>
            <w:tcBorders>
              <w:left w:val="single" w:sz="2" w:space="0" w:color="000000"/>
              <w:bottom w:val="single" w:sz="2" w:space="0" w:color="000000"/>
            </w:tcBorders>
          </w:tcPr>
          <w:p w14:paraId="6DFD2BC1" w14:textId="77777777" w:rsidR="00E53EB6" w:rsidRDefault="006500F5">
            <w:pPr>
              <w:pStyle w:val="TableContents"/>
              <w:rPr>
                <w:i/>
                <w:iCs/>
              </w:rPr>
            </w:pPr>
            <w:r>
              <w:rPr>
                <w:i/>
                <w:iCs/>
              </w:rPr>
              <w:t>•</w:t>
            </w:r>
            <w:r>
              <w:t>(this)</w:t>
            </w:r>
          </w:p>
        </w:tc>
        <w:tc>
          <w:tcPr>
            <w:tcW w:w="645" w:type="dxa"/>
            <w:tcBorders>
              <w:left w:val="single" w:sz="2" w:space="0" w:color="000000"/>
              <w:bottom w:val="single" w:sz="2" w:space="0" w:color="000000"/>
            </w:tcBorders>
          </w:tcPr>
          <w:p w14:paraId="24846AF3" w14:textId="77777777" w:rsidR="00E53EB6" w:rsidRDefault="006500F5">
            <w:pPr>
              <w:pStyle w:val="TableContents"/>
            </w:pPr>
            <w:r>
              <w:t>1</w:t>
            </w:r>
          </w:p>
        </w:tc>
        <w:tc>
          <w:tcPr>
            <w:tcW w:w="1367" w:type="dxa"/>
            <w:tcBorders>
              <w:left w:val="single" w:sz="2" w:space="0" w:color="000000"/>
              <w:bottom w:val="single" w:sz="2" w:space="0" w:color="000000"/>
            </w:tcBorders>
          </w:tcPr>
          <w:p w14:paraId="0707AC0C" w14:textId="77777777" w:rsidR="00E53EB6" w:rsidRDefault="006500F5">
            <w:pPr>
              <w:pStyle w:val="TableContents"/>
            </w:pPr>
            <w:r>
              <w:t>KS 30.8</w:t>
            </w:r>
          </w:p>
        </w:tc>
        <w:tc>
          <w:tcPr>
            <w:tcW w:w="2113" w:type="dxa"/>
            <w:tcBorders>
              <w:left w:val="single" w:sz="2" w:space="0" w:color="000000"/>
              <w:bottom w:val="single" w:sz="2" w:space="0" w:color="000000"/>
            </w:tcBorders>
          </w:tcPr>
          <w:p w14:paraId="4C5FEB93" w14:textId="77777777" w:rsidR="00E53EB6" w:rsidRDefault="006500F5">
            <w:pPr>
              <w:pStyle w:val="TableContents"/>
              <w:rPr>
                <w:i/>
                <w:iCs/>
              </w:rPr>
            </w:pPr>
            <w:r>
              <w:rPr>
                <w:i/>
                <w:iCs/>
              </w:rPr>
              <w:t>vavnire</w:t>
            </w:r>
          </w:p>
        </w:tc>
        <w:tc>
          <w:tcPr>
            <w:tcW w:w="3075" w:type="dxa"/>
            <w:tcBorders>
              <w:left w:val="single" w:sz="2" w:space="0" w:color="000000"/>
              <w:bottom w:val="single" w:sz="2" w:space="0" w:color="000000"/>
              <w:right w:val="single" w:sz="2" w:space="0" w:color="000000"/>
            </w:tcBorders>
          </w:tcPr>
          <w:p w14:paraId="16DD4E7B" w14:textId="77777777" w:rsidR="00E53EB6" w:rsidRDefault="006500F5">
            <w:pPr>
              <w:pStyle w:val="TableContents"/>
            </w:pPr>
            <w:r>
              <w:t>*Paśupati-Agni (for us): passage</w:t>
            </w:r>
          </w:p>
        </w:tc>
      </w:tr>
    </w:tbl>
    <w:p w14:paraId="1E7E5AC8" w14:textId="77777777" w:rsidR="00E53EB6" w:rsidRDefault="00E53EB6">
      <w:pPr>
        <w:pStyle w:val="Hauptext"/>
      </w:pPr>
    </w:p>
    <w:p w14:paraId="706D7356" w14:textId="77777777" w:rsidR="00E53EB6" w:rsidRDefault="00E53EB6">
      <w:pPr>
        <w:pStyle w:val="HaupttextohneEinzug"/>
      </w:pPr>
    </w:p>
    <w:p w14:paraId="31EE8B6D" w14:textId="77777777" w:rsidR="00E53EB6" w:rsidRDefault="006500F5">
      <w:pPr>
        <w:pStyle w:val="HaupttextohneEinzug"/>
        <w:rPr>
          <w:szCs w:val="21"/>
          <w:lang w:bidi="it-IT"/>
        </w:rPr>
      </w:pPr>
      <w:r>
        <w:rPr>
          <w:szCs w:val="21"/>
          <w:lang w:bidi="it-IT"/>
        </w:rPr>
        <w:t>e- no object</w:t>
      </w:r>
    </w:p>
    <w:p w14:paraId="27679EB4" w14:textId="77777777" w:rsidR="00E53EB6" w:rsidRDefault="00E53EB6">
      <w:pPr>
        <w:pStyle w:val="HaupttextohneEinzug"/>
        <w:rPr>
          <w:szCs w:val="21"/>
          <w:lang w:bidi="it-IT"/>
        </w:rPr>
      </w:pPr>
    </w:p>
    <w:tbl>
      <w:tblPr>
        <w:tblW w:w="8795" w:type="dxa"/>
        <w:tblLayout w:type="fixed"/>
        <w:tblCellMar>
          <w:top w:w="55" w:type="dxa"/>
          <w:left w:w="55" w:type="dxa"/>
          <w:bottom w:w="55" w:type="dxa"/>
          <w:right w:w="55" w:type="dxa"/>
        </w:tblCellMar>
        <w:tblLook w:val="04A0" w:firstRow="1" w:lastRow="0" w:firstColumn="1" w:lastColumn="0" w:noHBand="0" w:noVBand="1"/>
      </w:tblPr>
      <w:tblGrid>
        <w:gridCol w:w="1575"/>
        <w:gridCol w:w="630"/>
        <w:gridCol w:w="1414"/>
        <w:gridCol w:w="2083"/>
        <w:gridCol w:w="3093"/>
      </w:tblGrid>
      <w:tr w:rsidR="00E53EB6" w14:paraId="2BDB509F" w14:textId="77777777">
        <w:tc>
          <w:tcPr>
            <w:tcW w:w="1575" w:type="dxa"/>
            <w:tcBorders>
              <w:top w:val="single" w:sz="2" w:space="0" w:color="000000"/>
              <w:left w:val="single" w:sz="2" w:space="0" w:color="000000"/>
              <w:bottom w:val="single" w:sz="2" w:space="0" w:color="000000"/>
            </w:tcBorders>
          </w:tcPr>
          <w:p w14:paraId="4D402B84" w14:textId="77777777" w:rsidR="00E53EB6" w:rsidRDefault="006500F5">
            <w:pPr>
              <w:pStyle w:val="TableContents"/>
            </w:pPr>
            <w:r>
              <w:t xml:space="preserve">“use of </w:t>
            </w:r>
            <w:r>
              <w:rPr>
                <w:i/>
                <w:iCs/>
              </w:rPr>
              <w:t>van-”</w:t>
            </w:r>
          </w:p>
        </w:tc>
        <w:tc>
          <w:tcPr>
            <w:tcW w:w="630" w:type="dxa"/>
            <w:tcBorders>
              <w:top w:val="single" w:sz="2" w:space="0" w:color="000000"/>
              <w:left w:val="single" w:sz="2" w:space="0" w:color="000000"/>
              <w:bottom w:val="single" w:sz="2" w:space="0" w:color="000000"/>
            </w:tcBorders>
          </w:tcPr>
          <w:p w14:paraId="31D255C6" w14:textId="77777777" w:rsidR="00E53EB6" w:rsidRDefault="006500F5">
            <w:pPr>
              <w:pStyle w:val="TableContents"/>
            </w:pPr>
            <w:r>
              <w:t>Q.</w:t>
            </w:r>
          </w:p>
        </w:tc>
        <w:tc>
          <w:tcPr>
            <w:tcW w:w="1414" w:type="dxa"/>
            <w:tcBorders>
              <w:top w:val="single" w:sz="2" w:space="0" w:color="000000"/>
              <w:left w:val="single" w:sz="2" w:space="0" w:color="000000"/>
              <w:bottom w:val="single" w:sz="2" w:space="0" w:color="000000"/>
            </w:tcBorders>
          </w:tcPr>
          <w:p w14:paraId="6D315934" w14:textId="77777777" w:rsidR="00E53EB6" w:rsidRDefault="006500F5">
            <w:pPr>
              <w:pStyle w:val="TableContents"/>
            </w:pPr>
            <w:r>
              <w:t>occurrences</w:t>
            </w:r>
          </w:p>
        </w:tc>
        <w:tc>
          <w:tcPr>
            <w:tcW w:w="2083" w:type="dxa"/>
            <w:tcBorders>
              <w:top w:val="single" w:sz="2" w:space="0" w:color="000000"/>
              <w:left w:val="single" w:sz="2" w:space="0" w:color="000000"/>
              <w:bottom w:val="single" w:sz="2" w:space="0" w:color="000000"/>
            </w:tcBorders>
          </w:tcPr>
          <w:p w14:paraId="19381CA6" w14:textId="77777777" w:rsidR="00E53EB6" w:rsidRDefault="006500F5">
            <w:pPr>
              <w:pStyle w:val="TableContents"/>
              <w:rPr>
                <w:i/>
                <w:iCs/>
              </w:rPr>
            </w:pPr>
            <w:r>
              <w:rPr>
                <w:i/>
                <w:iCs/>
              </w:rPr>
              <w:t>van- / van</w:t>
            </w:r>
            <w:r>
              <w:rPr>
                <w:i/>
                <w:iCs/>
                <w:vertAlign w:val="superscript"/>
              </w:rPr>
              <w:t>i</w:t>
            </w:r>
            <w:r>
              <w:rPr>
                <w:i/>
                <w:iCs/>
              </w:rPr>
              <w:t>-</w:t>
            </w:r>
          </w:p>
        </w:tc>
        <w:tc>
          <w:tcPr>
            <w:tcW w:w="3093" w:type="dxa"/>
            <w:tcBorders>
              <w:top w:val="single" w:sz="2" w:space="0" w:color="000000"/>
              <w:left w:val="single" w:sz="2" w:space="0" w:color="000000"/>
              <w:bottom w:val="single" w:sz="2" w:space="0" w:color="000000"/>
              <w:right w:val="single" w:sz="2" w:space="0" w:color="000000"/>
            </w:tcBorders>
          </w:tcPr>
          <w:p w14:paraId="18AFD06B" w14:textId="77777777" w:rsidR="00E53EB6" w:rsidRDefault="006500F5">
            <w:pPr>
              <w:pStyle w:val="TableContents"/>
            </w:pPr>
            <w:r>
              <w:t>subject / notes</w:t>
            </w:r>
          </w:p>
        </w:tc>
      </w:tr>
      <w:tr w:rsidR="00E53EB6" w14:paraId="6D713E23" w14:textId="77777777">
        <w:tc>
          <w:tcPr>
            <w:tcW w:w="1575" w:type="dxa"/>
            <w:tcBorders>
              <w:left w:val="single" w:sz="2" w:space="0" w:color="000000"/>
              <w:bottom w:val="single" w:sz="2" w:space="0" w:color="000000"/>
            </w:tcBorders>
          </w:tcPr>
          <w:p w14:paraId="17B09CA3" w14:textId="77777777" w:rsidR="00E53EB6" w:rsidRDefault="006500F5">
            <w:pPr>
              <w:pStyle w:val="TableContents"/>
              <w:rPr>
                <w:color w:val="800000"/>
                <w:u w:val="single"/>
              </w:rPr>
            </w:pPr>
            <w:r>
              <w:rPr>
                <w:color w:val="800000"/>
                <w:u w:val="single"/>
              </w:rPr>
              <w:t>e- ritual action</w:t>
            </w:r>
          </w:p>
        </w:tc>
        <w:tc>
          <w:tcPr>
            <w:tcW w:w="630" w:type="dxa"/>
            <w:tcBorders>
              <w:left w:val="single" w:sz="2" w:space="0" w:color="000000"/>
              <w:bottom w:val="single" w:sz="2" w:space="0" w:color="000000"/>
            </w:tcBorders>
          </w:tcPr>
          <w:p w14:paraId="6D75C785" w14:textId="77777777" w:rsidR="00E53EB6" w:rsidRDefault="006500F5">
            <w:pPr>
              <w:pStyle w:val="TableContents"/>
            </w:pPr>
            <w:r>
              <w:t>2</w:t>
            </w:r>
          </w:p>
        </w:tc>
        <w:tc>
          <w:tcPr>
            <w:tcW w:w="1414" w:type="dxa"/>
            <w:tcBorders>
              <w:left w:val="single" w:sz="2" w:space="0" w:color="000000"/>
              <w:bottom w:val="single" w:sz="2" w:space="0" w:color="000000"/>
            </w:tcBorders>
          </w:tcPr>
          <w:p w14:paraId="5A741CE5" w14:textId="77777777" w:rsidR="00E53EB6" w:rsidRDefault="006500F5">
            <w:pPr>
              <w:pStyle w:val="TableContents"/>
            </w:pPr>
            <w:r>
              <w:t>TS 1.6.4.2</w:t>
            </w:r>
          </w:p>
          <w:p w14:paraId="33856677" w14:textId="77777777" w:rsidR="00E53EB6" w:rsidRDefault="006500F5">
            <w:pPr>
              <w:pStyle w:val="TableContents"/>
            </w:pPr>
            <w:r>
              <w:t>TS 3.2.7.1</w:t>
            </w:r>
          </w:p>
        </w:tc>
        <w:tc>
          <w:tcPr>
            <w:tcW w:w="2083" w:type="dxa"/>
            <w:tcBorders>
              <w:left w:val="single" w:sz="2" w:space="0" w:color="000000"/>
              <w:bottom w:val="single" w:sz="2" w:space="0" w:color="000000"/>
            </w:tcBorders>
          </w:tcPr>
          <w:p w14:paraId="1FB8C4F0" w14:textId="77777777" w:rsidR="00E53EB6" w:rsidRDefault="006500F5">
            <w:pPr>
              <w:pStyle w:val="TableContents"/>
              <w:rPr>
                <w:i/>
                <w:iCs/>
              </w:rPr>
            </w:pPr>
            <w:r>
              <w:rPr>
                <w:i/>
                <w:iCs/>
              </w:rPr>
              <w:t>vanāmahe</w:t>
            </w:r>
          </w:p>
          <w:p w14:paraId="0E67FFA3" w14:textId="77777777" w:rsidR="00E53EB6" w:rsidRDefault="006500F5">
            <w:pPr>
              <w:pStyle w:val="TableContents"/>
              <w:rPr>
                <w:i/>
                <w:iCs/>
              </w:rPr>
            </w:pPr>
            <w:r>
              <w:rPr>
                <w:i/>
                <w:iCs/>
              </w:rPr>
              <w:t>vanāmahe</w:t>
            </w:r>
          </w:p>
        </w:tc>
        <w:tc>
          <w:tcPr>
            <w:tcW w:w="3093" w:type="dxa"/>
            <w:tcBorders>
              <w:left w:val="single" w:sz="2" w:space="0" w:color="000000"/>
              <w:bottom w:val="single" w:sz="2" w:space="0" w:color="000000"/>
              <w:right w:val="single" w:sz="2" w:space="0" w:color="000000"/>
            </w:tcBorders>
          </w:tcPr>
          <w:p w14:paraId="46C6B887" w14:textId="77777777" w:rsidR="00E53EB6" w:rsidRDefault="006500F5">
            <w:pPr>
              <w:pStyle w:val="TableContents"/>
            </w:pPr>
            <w:r>
              <w:t>Ø</w:t>
            </w:r>
          </w:p>
          <w:p w14:paraId="50A1E23E" w14:textId="77777777" w:rsidR="00E53EB6" w:rsidRDefault="006500F5">
            <w:pPr>
              <w:pStyle w:val="TableContents"/>
            </w:pPr>
            <w:r>
              <w:t>Ø</w:t>
            </w:r>
          </w:p>
        </w:tc>
      </w:tr>
    </w:tbl>
    <w:p w14:paraId="2C69A7D9" w14:textId="77777777" w:rsidR="00E53EB6" w:rsidRDefault="00E53EB6"/>
    <w:p w14:paraId="6C58EF4B" w14:textId="77777777" w:rsidR="00E53EB6" w:rsidRDefault="006500F5">
      <w:pPr>
        <w:pStyle w:val="HaupttextohneEinzug"/>
      </w:pPr>
      <w:r>
        <w:t xml:space="preserve">  </w:t>
      </w:r>
    </w:p>
    <w:tbl>
      <w:tblPr>
        <w:tblW w:w="8795" w:type="dxa"/>
        <w:tblLayout w:type="fixed"/>
        <w:tblCellMar>
          <w:top w:w="55" w:type="dxa"/>
          <w:left w:w="55" w:type="dxa"/>
          <w:bottom w:w="55" w:type="dxa"/>
          <w:right w:w="55" w:type="dxa"/>
        </w:tblCellMar>
        <w:tblLook w:val="04A0" w:firstRow="1" w:lastRow="0" w:firstColumn="1" w:lastColumn="0" w:noHBand="0" w:noVBand="1"/>
      </w:tblPr>
      <w:tblGrid>
        <w:gridCol w:w="1575"/>
        <w:gridCol w:w="630"/>
        <w:gridCol w:w="1414"/>
        <w:gridCol w:w="2083"/>
        <w:gridCol w:w="3093"/>
      </w:tblGrid>
      <w:tr w:rsidR="00E53EB6" w14:paraId="7F764969" w14:textId="77777777">
        <w:tc>
          <w:tcPr>
            <w:tcW w:w="1575" w:type="dxa"/>
            <w:tcBorders>
              <w:top w:val="single" w:sz="2" w:space="0" w:color="000000"/>
              <w:left w:val="single" w:sz="2" w:space="0" w:color="000000"/>
              <w:bottom w:val="single" w:sz="2" w:space="0" w:color="000000"/>
            </w:tcBorders>
          </w:tcPr>
          <w:p w14:paraId="2AE10AAE" w14:textId="77777777" w:rsidR="00E53EB6" w:rsidRDefault="006500F5">
            <w:pPr>
              <w:pStyle w:val="TableContents"/>
            </w:pPr>
            <w:r>
              <w:t xml:space="preserve">“use of </w:t>
            </w:r>
            <w:r>
              <w:rPr>
                <w:i/>
                <w:iCs/>
              </w:rPr>
              <w:t>van-”</w:t>
            </w:r>
          </w:p>
        </w:tc>
        <w:tc>
          <w:tcPr>
            <w:tcW w:w="630" w:type="dxa"/>
            <w:tcBorders>
              <w:top w:val="single" w:sz="2" w:space="0" w:color="000000"/>
              <w:left w:val="single" w:sz="2" w:space="0" w:color="000000"/>
              <w:bottom w:val="single" w:sz="2" w:space="0" w:color="000000"/>
            </w:tcBorders>
          </w:tcPr>
          <w:p w14:paraId="1663878F" w14:textId="77777777" w:rsidR="00E53EB6" w:rsidRDefault="006500F5">
            <w:pPr>
              <w:pStyle w:val="TableContents"/>
            </w:pPr>
            <w:r>
              <w:t>Q.</w:t>
            </w:r>
          </w:p>
        </w:tc>
        <w:tc>
          <w:tcPr>
            <w:tcW w:w="1414" w:type="dxa"/>
            <w:tcBorders>
              <w:top w:val="single" w:sz="2" w:space="0" w:color="000000"/>
              <w:left w:val="single" w:sz="2" w:space="0" w:color="000000"/>
              <w:bottom w:val="single" w:sz="2" w:space="0" w:color="000000"/>
            </w:tcBorders>
          </w:tcPr>
          <w:p w14:paraId="03544455" w14:textId="77777777" w:rsidR="00E53EB6" w:rsidRDefault="006500F5">
            <w:pPr>
              <w:pStyle w:val="TableContents"/>
            </w:pPr>
            <w:r>
              <w:t>occurrences</w:t>
            </w:r>
          </w:p>
        </w:tc>
        <w:tc>
          <w:tcPr>
            <w:tcW w:w="2083" w:type="dxa"/>
            <w:tcBorders>
              <w:top w:val="single" w:sz="2" w:space="0" w:color="000000"/>
              <w:left w:val="single" w:sz="2" w:space="0" w:color="000000"/>
              <w:bottom w:val="single" w:sz="2" w:space="0" w:color="000000"/>
            </w:tcBorders>
          </w:tcPr>
          <w:p w14:paraId="52CE1A04" w14:textId="77777777" w:rsidR="00E53EB6" w:rsidRDefault="006500F5">
            <w:pPr>
              <w:pStyle w:val="TableContents"/>
              <w:rPr>
                <w:i/>
                <w:iCs/>
              </w:rPr>
            </w:pPr>
            <w:r>
              <w:rPr>
                <w:i/>
                <w:iCs/>
              </w:rPr>
              <w:t>van</w:t>
            </w:r>
            <w:r>
              <w:t>-</w:t>
            </w:r>
            <w:r>
              <w:rPr>
                <w:i/>
                <w:iCs/>
              </w:rPr>
              <w:t xml:space="preserve"> </w:t>
            </w:r>
            <w:r>
              <w:t>/</w:t>
            </w:r>
            <w:r>
              <w:rPr>
                <w:i/>
                <w:iCs/>
              </w:rPr>
              <w:t xml:space="preserve"> van</w:t>
            </w:r>
            <w:r>
              <w:rPr>
                <w:i/>
                <w:iCs/>
                <w:vertAlign w:val="superscript"/>
              </w:rPr>
              <w:t>i</w:t>
            </w:r>
            <w:r>
              <w:rPr>
                <w:i/>
                <w:iCs/>
              </w:rPr>
              <w:t>-</w:t>
            </w:r>
          </w:p>
        </w:tc>
        <w:tc>
          <w:tcPr>
            <w:tcW w:w="3093" w:type="dxa"/>
            <w:tcBorders>
              <w:top w:val="single" w:sz="2" w:space="0" w:color="000000"/>
              <w:left w:val="single" w:sz="2" w:space="0" w:color="000000"/>
              <w:bottom w:val="single" w:sz="2" w:space="0" w:color="000000"/>
              <w:right w:val="single" w:sz="2" w:space="0" w:color="000000"/>
            </w:tcBorders>
          </w:tcPr>
          <w:p w14:paraId="47C8DA94" w14:textId="77777777" w:rsidR="00E53EB6" w:rsidRDefault="006500F5">
            <w:pPr>
              <w:pStyle w:val="TableContents"/>
            </w:pPr>
            <w:r>
              <w:t>subject / notes</w:t>
            </w:r>
          </w:p>
        </w:tc>
      </w:tr>
      <w:tr w:rsidR="00E53EB6" w14:paraId="17DC5D2C" w14:textId="77777777">
        <w:tc>
          <w:tcPr>
            <w:tcW w:w="1575" w:type="dxa"/>
            <w:tcBorders>
              <w:left w:val="single" w:sz="2" w:space="0" w:color="000000"/>
              <w:bottom w:val="single" w:sz="2" w:space="0" w:color="000000"/>
            </w:tcBorders>
          </w:tcPr>
          <w:p w14:paraId="77EB45B1" w14:textId="77777777" w:rsidR="00E53EB6" w:rsidRDefault="006500F5">
            <w:pPr>
              <w:pStyle w:val="HaupttextohneEinzug"/>
              <w:spacing w:before="113"/>
              <w:rPr>
                <w:i/>
                <w:iCs/>
              </w:rPr>
            </w:pPr>
            <w:r>
              <w:rPr>
                <w:i/>
                <w:iCs/>
              </w:rPr>
              <w:t xml:space="preserve"> </w:t>
            </w:r>
            <w:r>
              <w:t>god</w:t>
            </w:r>
            <w:r>
              <w:rPr>
                <w:i/>
                <w:iCs/>
              </w:rPr>
              <w:t xml:space="preserve"> van- </w:t>
            </w:r>
            <w:r>
              <w:t>us</w:t>
            </w:r>
          </w:p>
        </w:tc>
        <w:tc>
          <w:tcPr>
            <w:tcW w:w="630" w:type="dxa"/>
            <w:tcBorders>
              <w:left w:val="single" w:sz="2" w:space="0" w:color="000000"/>
              <w:bottom w:val="single" w:sz="2" w:space="0" w:color="000000"/>
            </w:tcBorders>
          </w:tcPr>
          <w:p w14:paraId="17DD7D95" w14:textId="77777777" w:rsidR="00E53EB6" w:rsidRDefault="006500F5">
            <w:pPr>
              <w:pStyle w:val="TableContents"/>
            </w:pPr>
            <w:r>
              <w:t>2</w:t>
            </w:r>
          </w:p>
        </w:tc>
        <w:tc>
          <w:tcPr>
            <w:tcW w:w="1414" w:type="dxa"/>
            <w:tcBorders>
              <w:left w:val="single" w:sz="2" w:space="0" w:color="000000"/>
              <w:bottom w:val="single" w:sz="2" w:space="0" w:color="000000"/>
            </w:tcBorders>
          </w:tcPr>
          <w:p w14:paraId="27276E5C" w14:textId="77777777" w:rsidR="00E53EB6" w:rsidRDefault="006500F5">
            <w:pPr>
              <w:pStyle w:val="TableContents"/>
            </w:pPr>
            <w:r>
              <w:t>TS 2.4.5.1c</w:t>
            </w:r>
          </w:p>
          <w:p w14:paraId="2EC17FDD" w14:textId="77777777" w:rsidR="00E53EB6" w:rsidRDefault="006500F5">
            <w:pPr>
              <w:pStyle w:val="TableContents"/>
            </w:pPr>
            <w:r>
              <w:t>KS 13.16</w:t>
            </w:r>
          </w:p>
        </w:tc>
        <w:tc>
          <w:tcPr>
            <w:tcW w:w="2083" w:type="dxa"/>
            <w:tcBorders>
              <w:left w:val="single" w:sz="2" w:space="0" w:color="000000"/>
              <w:bottom w:val="single" w:sz="2" w:space="0" w:color="000000"/>
            </w:tcBorders>
          </w:tcPr>
          <w:p w14:paraId="5052FCDA" w14:textId="77777777" w:rsidR="00E53EB6" w:rsidRDefault="006500F5">
            <w:pPr>
              <w:pStyle w:val="TableContents"/>
              <w:rPr>
                <w:i/>
                <w:iCs/>
              </w:rPr>
            </w:pPr>
            <w:r>
              <w:rPr>
                <w:i/>
                <w:iCs/>
              </w:rPr>
              <w:t>vāvanat</w:t>
            </w:r>
          </w:p>
        </w:tc>
        <w:tc>
          <w:tcPr>
            <w:tcW w:w="3093" w:type="dxa"/>
            <w:tcBorders>
              <w:left w:val="single" w:sz="2" w:space="0" w:color="000000"/>
              <w:bottom w:val="single" w:sz="2" w:space="0" w:color="000000"/>
              <w:right w:val="single" w:sz="2" w:space="0" w:color="000000"/>
            </w:tcBorders>
          </w:tcPr>
          <w:p w14:paraId="1ABB208C" w14:textId="77777777" w:rsidR="00E53EB6" w:rsidRDefault="006500F5">
            <w:pPr>
              <w:pStyle w:val="TableContents"/>
            </w:pPr>
            <w:r>
              <w:t>Dhātr̥</w:t>
            </w:r>
          </w:p>
        </w:tc>
      </w:tr>
    </w:tbl>
    <w:p w14:paraId="7BEF314E" w14:textId="77777777" w:rsidR="00E53EB6" w:rsidRDefault="00E53EB6">
      <w:pPr>
        <w:sectPr w:rsidR="00E53EB6">
          <w:headerReference w:type="even" r:id="rId45"/>
          <w:headerReference w:type="default" r:id="rId46"/>
          <w:footerReference w:type="even" r:id="rId47"/>
          <w:footerReference w:type="default" r:id="rId48"/>
          <w:pgSz w:w="11906" w:h="16838"/>
          <w:pgMar w:top="1917" w:right="1418" w:bottom="2235" w:left="1700" w:header="1418" w:footer="1700" w:gutter="0"/>
          <w:cols w:space="720"/>
          <w:formProt w:val="0"/>
          <w:docGrid w:linePitch="600" w:charSpace="38911"/>
        </w:sectPr>
      </w:pPr>
    </w:p>
    <w:p w14:paraId="224372C0" w14:textId="77777777" w:rsidR="00E53EB6" w:rsidRDefault="006500F5">
      <w:pPr>
        <w:pStyle w:val="Heading1"/>
        <w:tabs>
          <w:tab w:val="left" w:pos="0"/>
        </w:tabs>
      </w:pPr>
      <w:r>
        <w:lastRenderedPageBreak/>
        <w:t>Bibliography</w:t>
      </w:r>
    </w:p>
    <w:p w14:paraId="1095FB81" w14:textId="77777777" w:rsidR="00E53EB6" w:rsidRDefault="006500F5">
      <w:pPr>
        <w:pStyle w:val="Heading2"/>
        <w:tabs>
          <w:tab w:val="left" w:pos="0"/>
        </w:tabs>
      </w:pPr>
      <w:r>
        <w:t xml:space="preserve">Primary texts and translations. </w:t>
      </w:r>
    </w:p>
    <w:p w14:paraId="64DE4FD7" w14:textId="77777777" w:rsidR="00E53EB6" w:rsidRDefault="006500F5">
      <w:pPr>
        <w:pStyle w:val="Heading5"/>
        <w:tabs>
          <w:tab w:val="left" w:pos="0"/>
        </w:tabs>
      </w:pPr>
      <w:r>
        <w:rPr>
          <w:b/>
        </w:rPr>
        <w:t>Aitareya Brāhma</w:t>
      </w:r>
      <w:r>
        <w:rPr>
          <w:b/>
        </w:rPr>
        <w:t>ṇ</w:t>
      </w:r>
      <w:r>
        <w:rPr>
          <w:b/>
        </w:rPr>
        <w:t xml:space="preserve">a – </w:t>
      </w:r>
      <w:r>
        <w:rPr>
          <w:b/>
        </w:rPr>
        <w:t>AB</w:t>
      </w:r>
    </w:p>
    <w:p w14:paraId="3FA9CBFD" w14:textId="77777777" w:rsidR="00E53EB6" w:rsidRDefault="006500F5">
      <w:pPr>
        <w:pStyle w:val="biblioGEN"/>
      </w:pPr>
      <w:r w:rsidRPr="0071345C">
        <w:rPr>
          <w:rStyle w:val="biblio-authorGEN"/>
          <w:rFonts w:eastAsia="Arial Unicode MS" w:cs="Times Ext Roman"/>
          <w:color w:val="000000"/>
          <w:lang w:val="de-DE" w:eastAsia="it-IT" w:bidi="it-IT"/>
        </w:rPr>
        <w:t>Aufrecht, T. 1879.</w:t>
      </w:r>
      <w:r w:rsidRPr="0071345C">
        <w:rPr>
          <w:rFonts w:eastAsia="Arial Unicode MS" w:cs="Times Ext Roman"/>
          <w:i/>
          <w:iCs/>
          <w:color w:val="000000"/>
          <w:lang w:val="de-DE" w:eastAsia="it-IT" w:bidi="it-IT"/>
        </w:rPr>
        <w:t xml:space="preserve"> Das Aitareya Brāhma</w:t>
      </w:r>
      <w:r w:rsidRPr="0071345C">
        <w:rPr>
          <w:rFonts w:eastAsia="Arial Unicode MS" w:cs="Times Ext Roman"/>
          <w:i/>
          <w:iCs/>
          <w:color w:val="000000"/>
          <w:lang w:val="de-DE" w:eastAsia="it-IT" w:bidi="it-IT"/>
        </w:rPr>
        <w:t>ṇ</w:t>
      </w:r>
      <w:r w:rsidRPr="0071345C">
        <w:rPr>
          <w:rFonts w:eastAsia="Arial Unicode MS" w:cs="Times Ext Roman"/>
          <w:i/>
          <w:iCs/>
          <w:color w:val="000000"/>
          <w:lang w:val="de-DE" w:eastAsia="it-IT" w:bidi="it-IT"/>
        </w:rPr>
        <w:t>a. Mit Auszügen aus dem Commentare von Sāya</w:t>
      </w:r>
      <w:r w:rsidRPr="0071345C">
        <w:rPr>
          <w:rFonts w:eastAsia="Arial Unicode MS" w:cs="Times Ext Roman"/>
          <w:i/>
          <w:iCs/>
          <w:color w:val="000000"/>
          <w:lang w:val="de-DE" w:eastAsia="it-IT" w:bidi="it-IT"/>
        </w:rPr>
        <w:t>ṇ</w:t>
      </w:r>
      <w:r w:rsidRPr="0071345C">
        <w:rPr>
          <w:rFonts w:eastAsia="Arial Unicode MS" w:cs="Times Ext Roman"/>
          <w:i/>
          <w:iCs/>
          <w:color w:val="000000"/>
          <w:lang w:val="de-DE" w:eastAsia="it-IT" w:bidi="it-IT"/>
        </w:rPr>
        <w:t xml:space="preserve">ācārya und andere Beilagen herausgegeben von Theodor Aufrecht. </w:t>
      </w:r>
      <w:r>
        <w:rPr>
          <w:rFonts w:eastAsia="Arial Unicode MS" w:cs="Times Ext Roman"/>
          <w:color w:val="000000"/>
          <w:lang w:eastAsia="it-IT" w:bidi="it-IT"/>
        </w:rPr>
        <w:t xml:space="preserve">Bonn: Adolph Marcus. </w:t>
      </w:r>
    </w:p>
    <w:p w14:paraId="70037D6D" w14:textId="77777777" w:rsidR="00E53EB6" w:rsidRDefault="006500F5">
      <w:pPr>
        <w:pStyle w:val="biblioGEN"/>
      </w:pPr>
      <w:r>
        <w:rPr>
          <w:rStyle w:val="biblio-authorGEN"/>
          <w:rFonts w:eastAsia="Arial Unicode MS" w:cs="Times Ext Roman"/>
          <w:color w:val="000000"/>
          <w:lang w:eastAsia="it-IT" w:bidi="it-IT"/>
        </w:rPr>
        <w:t>Keith</w:t>
      </w:r>
      <w:r>
        <w:rPr>
          <w:rFonts w:eastAsia="Arial Unicode MS" w:cs="Times Ext Roman"/>
          <w:color w:val="000000"/>
          <w:lang w:eastAsia="it-IT" w:bidi="it-IT"/>
        </w:rPr>
        <w:t xml:space="preserve">, A. B. 1920. </w:t>
      </w:r>
      <w:r>
        <w:rPr>
          <w:rFonts w:eastAsia="Arial Unicode MS" w:cs="Times Ext Roman"/>
          <w:i/>
          <w:iCs/>
          <w:color w:val="000000"/>
          <w:lang w:eastAsia="it-IT" w:bidi="it-IT"/>
        </w:rPr>
        <w:t>Rigveda Brahm</w:t>
      </w:r>
      <w:r>
        <w:rPr>
          <w:rFonts w:eastAsia="Arial Unicode MS" w:cs="Times Ext Roman"/>
          <w:i/>
          <w:iCs/>
          <w:color w:val="000000"/>
          <w:lang w:eastAsia="it-IT" w:bidi="it-IT"/>
        </w:rPr>
        <w:t>anas: the Aitareya and Kau</w:t>
      </w:r>
      <w:r>
        <w:rPr>
          <w:rFonts w:eastAsia="Arial Unicode MS" w:cs="Times Ext Roman"/>
          <w:i/>
          <w:iCs/>
          <w:color w:val="000000"/>
          <w:lang w:eastAsia="it-IT" w:bidi="it-IT"/>
        </w:rPr>
        <w:t>ṣ</w:t>
      </w:r>
      <w:r>
        <w:rPr>
          <w:rFonts w:eastAsia="Arial Unicode MS" w:cs="Times Ext Roman"/>
          <w:i/>
          <w:iCs/>
          <w:color w:val="000000"/>
          <w:lang w:eastAsia="it-IT" w:bidi="it-IT"/>
        </w:rPr>
        <w:t>ītaki Brāhma</w:t>
      </w:r>
      <w:r>
        <w:rPr>
          <w:rFonts w:eastAsia="Arial Unicode MS" w:cs="Times Ext Roman"/>
          <w:i/>
          <w:iCs/>
          <w:color w:val="000000"/>
          <w:lang w:eastAsia="it-IT" w:bidi="it-IT"/>
        </w:rPr>
        <w:t>ṇ</w:t>
      </w:r>
      <w:r>
        <w:rPr>
          <w:rFonts w:eastAsia="Arial Unicode MS" w:cs="Times Ext Roman"/>
          <w:i/>
          <w:iCs/>
          <w:color w:val="000000"/>
          <w:lang w:eastAsia="it-IT" w:bidi="it-IT"/>
        </w:rPr>
        <w:t xml:space="preserve">as of the Rigveda translated from the original Sanskrit by Arthur Berriedale Keith. </w:t>
      </w:r>
      <w:r>
        <w:rPr>
          <w:rFonts w:eastAsia="Arial Unicode MS" w:cs="Times Ext Roman"/>
          <w:color w:val="000000"/>
          <w:lang w:eastAsia="it-IT" w:bidi="it-IT"/>
        </w:rPr>
        <w:t>Cambridge Mass.: Harvard University Press.</w:t>
      </w:r>
    </w:p>
    <w:p w14:paraId="50EFBA9A" w14:textId="77777777" w:rsidR="00E53EB6" w:rsidRDefault="006500F5">
      <w:pPr>
        <w:pStyle w:val="biblioGEN"/>
      </w:pPr>
      <w:r>
        <w:rPr>
          <w:rStyle w:val="biblio-authorGEN"/>
          <w:rFonts w:eastAsia="Arial Unicode MS" w:cs="Times Ext Roman"/>
          <w:color w:val="000000"/>
          <w:lang w:eastAsia="it-IT" w:bidi="it-IT"/>
        </w:rPr>
        <w:t>Samasrami</w:t>
      </w:r>
      <w:r>
        <w:rPr>
          <w:rFonts w:eastAsia="Arial Unicode MS" w:cs="Times Ext Roman"/>
          <w:color w:val="000000"/>
          <w:lang w:eastAsia="it-IT" w:bidi="it-IT"/>
        </w:rPr>
        <w:t xml:space="preserve">, S. 1895. </w:t>
      </w:r>
      <w:r>
        <w:rPr>
          <w:rFonts w:eastAsia="Arial Unicode MS" w:cs="Times Ext Roman"/>
          <w:i/>
          <w:iCs/>
          <w:color w:val="000000"/>
          <w:lang w:eastAsia="it-IT" w:bidi="it-IT"/>
        </w:rPr>
        <w:t>The Aitareya Brahma</w:t>
      </w:r>
      <w:r>
        <w:rPr>
          <w:rFonts w:eastAsia="Arial Unicode MS" w:cs="Times Ext Roman"/>
          <w:i/>
          <w:iCs/>
          <w:color w:val="000000"/>
          <w:lang w:eastAsia="it-IT" w:bidi="it-IT"/>
        </w:rPr>
        <w:t>ṇ</w:t>
      </w:r>
      <w:r>
        <w:rPr>
          <w:rFonts w:eastAsia="Arial Unicode MS" w:cs="Times Ext Roman"/>
          <w:i/>
          <w:iCs/>
          <w:color w:val="000000"/>
          <w:lang w:eastAsia="it-IT" w:bidi="it-IT"/>
        </w:rPr>
        <w:t xml:space="preserve">a of the </w:t>
      </w:r>
      <w:r>
        <w:rPr>
          <w:rFonts w:eastAsia="Arial Unicode MS" w:cs="Times Ext Roman"/>
          <w:i/>
          <w:iCs/>
          <w:color w:val="000000"/>
          <w:lang w:eastAsia="it-IT" w:bidi="it-IT"/>
        </w:rPr>
        <w:t>Ṛ</w:t>
      </w:r>
      <w:r>
        <w:rPr>
          <w:rFonts w:eastAsia="Arial Unicode MS" w:cs="Times Ext Roman"/>
          <w:i/>
          <w:iCs/>
          <w:color w:val="000000"/>
          <w:lang w:eastAsia="it-IT" w:bidi="it-IT"/>
        </w:rPr>
        <w:t>gveda with the commentary of Sāya</w:t>
      </w:r>
      <w:r>
        <w:rPr>
          <w:rFonts w:eastAsia="Arial Unicode MS" w:cs="Times Ext Roman"/>
          <w:i/>
          <w:iCs/>
          <w:color w:val="000000"/>
          <w:lang w:eastAsia="it-IT" w:bidi="it-IT"/>
        </w:rPr>
        <w:t>ṇ</w:t>
      </w:r>
      <w:r>
        <w:rPr>
          <w:rFonts w:eastAsia="Arial Unicode MS" w:cs="Times Ext Roman"/>
          <w:i/>
          <w:iCs/>
          <w:color w:val="000000"/>
          <w:lang w:eastAsia="it-IT" w:bidi="it-IT"/>
        </w:rPr>
        <w:t>a Ach</w:t>
      </w:r>
      <w:r>
        <w:rPr>
          <w:rFonts w:eastAsia="Arial Unicode MS" w:cs="Times Ext Roman"/>
          <w:i/>
          <w:iCs/>
          <w:color w:val="000000"/>
          <w:lang w:eastAsia="it-IT" w:bidi="it-IT"/>
        </w:rPr>
        <w:t>arya, edited by Pa</w:t>
      </w:r>
      <w:r>
        <w:rPr>
          <w:rFonts w:eastAsia="Arial Unicode MS" w:cs="Times Ext Roman"/>
          <w:i/>
          <w:iCs/>
          <w:color w:val="000000"/>
          <w:lang w:eastAsia="it-IT" w:bidi="it-IT"/>
        </w:rPr>
        <w:t>ṇḍ</w:t>
      </w:r>
      <w:r>
        <w:rPr>
          <w:rFonts w:eastAsia="Arial Unicode MS" w:cs="Times Ext Roman"/>
          <w:i/>
          <w:iCs/>
          <w:color w:val="000000"/>
          <w:lang w:eastAsia="it-IT" w:bidi="it-IT"/>
        </w:rPr>
        <w:t>it Satyavrata Samasrami.</w:t>
      </w:r>
      <w:r>
        <w:rPr>
          <w:rFonts w:eastAsia="Arial Unicode MS" w:cs="Times Ext Roman"/>
          <w:color w:val="000000"/>
          <w:lang w:eastAsia="it-IT" w:bidi="it-IT"/>
        </w:rPr>
        <w:t xml:space="preserve"> Calcutta: Satya Press [Bibliotheca Indica Vol. 847, 849, 850, 852, 861] 5 Vols.</w:t>
      </w:r>
    </w:p>
    <w:p w14:paraId="17D69777" w14:textId="77777777" w:rsidR="00E53EB6" w:rsidRDefault="006500F5">
      <w:pPr>
        <w:pStyle w:val="Heading5"/>
        <w:tabs>
          <w:tab w:val="left" w:pos="0"/>
        </w:tabs>
        <w:rPr>
          <w:b/>
        </w:rPr>
      </w:pPr>
      <w:r>
        <w:rPr>
          <w:b/>
        </w:rPr>
        <w:t>Atharvaveda Paippalāda – AVP</w:t>
      </w:r>
    </w:p>
    <w:p w14:paraId="1E7D6AD4" w14:textId="77777777" w:rsidR="00E53EB6" w:rsidRDefault="006500F5">
      <w:pPr>
        <w:pStyle w:val="biblioGEN"/>
      </w:pPr>
      <w:r>
        <w:rPr>
          <w:rStyle w:val="biblio-authorGEN"/>
        </w:rPr>
        <w:t xml:space="preserve">Barret, L.C. 1905-1940. </w:t>
      </w:r>
      <w:r>
        <w:rPr>
          <w:i/>
          <w:iCs/>
        </w:rPr>
        <w:t>The Kashmirian Atharva Veda.</w:t>
      </w:r>
    </w:p>
    <w:p w14:paraId="4C77FC24" w14:textId="77777777" w:rsidR="00E53EB6" w:rsidRDefault="006500F5">
      <w:pPr>
        <w:pStyle w:val="HaupttextohneEinzug"/>
      </w:pPr>
      <w:r>
        <w:rPr>
          <w:i/>
          <w:iCs/>
        </w:rPr>
        <w:tab/>
        <w:t>.</w:t>
      </w:r>
      <w:r>
        <w:t xml:space="preserve">1905. “Book one”  </w:t>
      </w:r>
      <w:r>
        <w:rPr>
          <w:i/>
          <w:iCs/>
        </w:rPr>
        <w:t xml:space="preserve">JAOS </w:t>
      </w:r>
      <w:r>
        <w:t>26: 197-295.</w:t>
      </w:r>
    </w:p>
    <w:p w14:paraId="3210C29A" w14:textId="77777777" w:rsidR="00E53EB6" w:rsidRDefault="006500F5">
      <w:pPr>
        <w:pStyle w:val="HaupttextohneEinzug"/>
      </w:pPr>
      <w:r>
        <w:tab/>
      </w:r>
      <w:r>
        <w:t xml:space="preserve">.1910. “Book two”  </w:t>
      </w:r>
      <w:r>
        <w:rPr>
          <w:i/>
          <w:iCs/>
        </w:rPr>
        <w:t xml:space="preserve">JAOS </w:t>
      </w:r>
      <w:r>
        <w:t>30: 187-258.</w:t>
      </w:r>
    </w:p>
    <w:p w14:paraId="48065966" w14:textId="77777777" w:rsidR="00E53EB6" w:rsidRDefault="006500F5">
      <w:pPr>
        <w:pStyle w:val="HaupttextohneEinzug"/>
      </w:pPr>
      <w:r>
        <w:tab/>
        <w:t xml:space="preserve">.1912. “Book three”  </w:t>
      </w:r>
      <w:r>
        <w:rPr>
          <w:i/>
          <w:iCs/>
        </w:rPr>
        <w:t xml:space="preserve">JAOS </w:t>
      </w:r>
      <w:r>
        <w:t>32: 343-390.</w:t>
      </w:r>
    </w:p>
    <w:p w14:paraId="36A07486" w14:textId="77777777" w:rsidR="00E53EB6" w:rsidRDefault="006500F5">
      <w:pPr>
        <w:pStyle w:val="HaupttextohneEinzug"/>
      </w:pPr>
      <w:r>
        <w:tab/>
        <w:t xml:space="preserve">.1915. “Book four” </w:t>
      </w:r>
      <w:r>
        <w:rPr>
          <w:i/>
          <w:iCs/>
        </w:rPr>
        <w:t xml:space="preserve">JAOS </w:t>
      </w:r>
      <w:r>
        <w:t>35: 42-101.</w:t>
      </w:r>
    </w:p>
    <w:p w14:paraId="44A303AF" w14:textId="77777777" w:rsidR="00E53EB6" w:rsidRDefault="006500F5">
      <w:pPr>
        <w:pStyle w:val="HaupttextohneEinzug"/>
      </w:pPr>
      <w:r>
        <w:tab/>
        <w:t xml:space="preserve">.1917. “Book five” </w:t>
      </w:r>
      <w:r>
        <w:rPr>
          <w:i/>
          <w:iCs/>
        </w:rPr>
        <w:t xml:space="preserve">JAOS </w:t>
      </w:r>
      <w:r>
        <w:t>37: 257-308.</w:t>
      </w:r>
    </w:p>
    <w:p w14:paraId="3CD12398" w14:textId="77777777" w:rsidR="00E53EB6" w:rsidRDefault="006500F5">
      <w:pPr>
        <w:pStyle w:val="HaupttextohneEinzug"/>
      </w:pPr>
      <w:r>
        <w:tab/>
        <w:t xml:space="preserve">.1920.“Book seven” </w:t>
      </w:r>
      <w:r>
        <w:rPr>
          <w:i/>
          <w:iCs/>
        </w:rPr>
        <w:t xml:space="preserve">JAOS </w:t>
      </w:r>
      <w:r>
        <w:t>40: 145-169.</w:t>
      </w:r>
    </w:p>
    <w:p w14:paraId="3E4F61F3" w14:textId="77777777" w:rsidR="00E53EB6" w:rsidRDefault="006500F5">
      <w:pPr>
        <w:pStyle w:val="HaupttextohneEinzug"/>
      </w:pPr>
      <w:r>
        <w:tab/>
        <w:t xml:space="preserve">.1921.“Book eight” </w:t>
      </w:r>
      <w:r>
        <w:rPr>
          <w:i/>
          <w:iCs/>
        </w:rPr>
        <w:t xml:space="preserve">JAOS </w:t>
      </w:r>
      <w:r>
        <w:t>41: 264-289.</w:t>
      </w:r>
    </w:p>
    <w:p w14:paraId="066D780E" w14:textId="77777777" w:rsidR="00E53EB6" w:rsidRDefault="006500F5">
      <w:pPr>
        <w:pStyle w:val="HaupttextohneEinzug"/>
      </w:pPr>
      <w:r>
        <w:tab/>
      </w:r>
      <w:r>
        <w:t xml:space="preserve">.1922.“Book nine” </w:t>
      </w:r>
      <w:r>
        <w:rPr>
          <w:i/>
          <w:iCs/>
        </w:rPr>
        <w:t xml:space="preserve">JAOS </w:t>
      </w:r>
      <w:r>
        <w:t>42: 105-146.</w:t>
      </w:r>
    </w:p>
    <w:p w14:paraId="30A35D38" w14:textId="77777777" w:rsidR="00E53EB6" w:rsidRDefault="006500F5">
      <w:pPr>
        <w:pStyle w:val="HaupttextohneEinzug"/>
      </w:pPr>
      <w:r>
        <w:tab/>
        <w:t xml:space="preserve">.1923.“Book ten” </w:t>
      </w:r>
      <w:r>
        <w:rPr>
          <w:i/>
          <w:iCs/>
        </w:rPr>
        <w:t xml:space="preserve">JAOS </w:t>
      </w:r>
      <w:r>
        <w:t>43: 96-115.</w:t>
      </w:r>
    </w:p>
    <w:p w14:paraId="063C06AA" w14:textId="77777777" w:rsidR="00E53EB6" w:rsidRDefault="006500F5">
      <w:pPr>
        <w:pStyle w:val="HaupttextohneEinzug"/>
      </w:pPr>
      <w:r>
        <w:tab/>
        <w:t xml:space="preserve">.1924.“Book eleven” </w:t>
      </w:r>
      <w:r>
        <w:rPr>
          <w:i/>
          <w:iCs/>
        </w:rPr>
        <w:t xml:space="preserve">JAOS </w:t>
      </w:r>
      <w:r>
        <w:t>44: 258-269.</w:t>
      </w:r>
    </w:p>
    <w:p w14:paraId="47D848A7" w14:textId="77777777" w:rsidR="00E53EB6" w:rsidRDefault="006500F5">
      <w:pPr>
        <w:pStyle w:val="HaupttextohneEinzug"/>
      </w:pPr>
      <w:r>
        <w:tab/>
        <w:t xml:space="preserve">.1926.“Book twelve” </w:t>
      </w:r>
      <w:r>
        <w:rPr>
          <w:i/>
          <w:iCs/>
        </w:rPr>
        <w:t xml:space="preserve">JAOS </w:t>
      </w:r>
      <w:r>
        <w:t>46: 34-48.</w:t>
      </w:r>
    </w:p>
    <w:p w14:paraId="4F67FE8A" w14:textId="77777777" w:rsidR="00E53EB6" w:rsidRDefault="006500F5">
      <w:pPr>
        <w:pStyle w:val="HaupttextohneEinzug"/>
      </w:pPr>
      <w:r>
        <w:tab/>
        <w:t xml:space="preserve">.1928.“Book thirteen” </w:t>
      </w:r>
      <w:r>
        <w:rPr>
          <w:i/>
          <w:iCs/>
        </w:rPr>
        <w:t xml:space="preserve">JAOS </w:t>
      </w:r>
      <w:r>
        <w:t>48: 36-65.</w:t>
      </w:r>
    </w:p>
    <w:p w14:paraId="639CE619" w14:textId="77777777" w:rsidR="00E53EB6" w:rsidRDefault="006500F5">
      <w:pPr>
        <w:pStyle w:val="HaupttextohneEinzug"/>
      </w:pPr>
      <w:r>
        <w:tab/>
        <w:t xml:space="preserve">.1927.“Book fourteen” </w:t>
      </w:r>
      <w:r>
        <w:rPr>
          <w:i/>
          <w:iCs/>
        </w:rPr>
        <w:t xml:space="preserve">JAOS </w:t>
      </w:r>
      <w:r>
        <w:t>47: 238-249.</w:t>
      </w:r>
    </w:p>
    <w:p w14:paraId="1534317D" w14:textId="77777777" w:rsidR="00E53EB6" w:rsidRDefault="006500F5">
      <w:pPr>
        <w:pStyle w:val="HaupttextohneEinzug"/>
      </w:pPr>
      <w:r>
        <w:tab/>
        <w:t xml:space="preserve">.1930.“Book fifteen” </w:t>
      </w:r>
      <w:r>
        <w:rPr>
          <w:i/>
          <w:iCs/>
        </w:rPr>
        <w:t xml:space="preserve">JAOS </w:t>
      </w:r>
      <w:r>
        <w:t>50</w:t>
      </w:r>
      <w:r>
        <w:t>: 43-73.</w:t>
      </w:r>
    </w:p>
    <w:p w14:paraId="0E5B4B2D" w14:textId="77777777" w:rsidR="00E53EB6" w:rsidRDefault="006500F5">
      <w:pPr>
        <w:pStyle w:val="HaupttextohneEinzug"/>
      </w:pPr>
      <w:r>
        <w:tab/>
        <w:t xml:space="preserve">.1936. </w:t>
      </w:r>
      <w:r>
        <w:rPr>
          <w:i/>
          <w:iCs/>
        </w:rPr>
        <w:t xml:space="preserve">Book sixteen and seventeen. </w:t>
      </w:r>
      <w:r>
        <w:t>New Heaven: American Oriental Society,.</w:t>
      </w:r>
    </w:p>
    <w:p w14:paraId="5F5FAAC1" w14:textId="77777777" w:rsidR="00E53EB6" w:rsidRDefault="006500F5">
      <w:pPr>
        <w:pStyle w:val="HaupttextohneEinzug"/>
      </w:pPr>
      <w:r>
        <w:tab/>
        <w:t xml:space="preserve">.1938.“Book eighteen” </w:t>
      </w:r>
      <w:r>
        <w:rPr>
          <w:i/>
          <w:iCs/>
        </w:rPr>
        <w:t xml:space="preserve">JAOS 58: </w:t>
      </w:r>
      <w:r>
        <w:t>571-614.</w:t>
      </w:r>
    </w:p>
    <w:p w14:paraId="74268ACC" w14:textId="77777777" w:rsidR="00E53EB6" w:rsidRDefault="006500F5">
      <w:pPr>
        <w:pStyle w:val="HaupttextohneEinzug"/>
      </w:pPr>
      <w:r>
        <w:tab/>
        <w:t xml:space="preserve">.1940. </w:t>
      </w:r>
      <w:r>
        <w:rPr>
          <w:i/>
          <w:iCs/>
        </w:rPr>
        <w:t xml:space="preserve">Book nineteen and twenty. </w:t>
      </w:r>
      <w:r>
        <w:t>New Heaven: American Oriental Society.</w:t>
      </w:r>
    </w:p>
    <w:p w14:paraId="05A7A867" w14:textId="77777777" w:rsidR="00E53EB6" w:rsidRDefault="00E53EB6">
      <w:pPr>
        <w:pStyle w:val="HaupttextohneEinzug"/>
      </w:pPr>
    </w:p>
    <w:p w14:paraId="0BF4274D" w14:textId="77777777" w:rsidR="00E53EB6" w:rsidRDefault="006500F5">
      <w:pPr>
        <w:pStyle w:val="HaupttextohneEinzug"/>
      </w:pPr>
      <w:r>
        <w:rPr>
          <w:rStyle w:val="biblio-authorGEN"/>
        </w:rPr>
        <w:t>Edgerton, F. 1915. “</w:t>
      </w:r>
      <w:r>
        <w:t xml:space="preserve">Book six” </w:t>
      </w:r>
      <w:r>
        <w:rPr>
          <w:rStyle w:val="biblio-authorGEN"/>
          <w:i/>
          <w:iCs/>
        </w:rPr>
        <w:t xml:space="preserve">JAOS </w:t>
      </w:r>
      <w:r>
        <w:rPr>
          <w:rStyle w:val="biblio-authorGEN"/>
        </w:rPr>
        <w:t>34: 374-411.</w:t>
      </w:r>
    </w:p>
    <w:p w14:paraId="30946B12" w14:textId="77777777" w:rsidR="00E53EB6" w:rsidRDefault="00E53EB6">
      <w:pPr>
        <w:pStyle w:val="HaupttextohneEinzug"/>
        <w:rPr>
          <w:rStyle w:val="biblio-authorGEN"/>
        </w:rPr>
      </w:pPr>
    </w:p>
    <w:p w14:paraId="48DC70EC" w14:textId="77777777" w:rsidR="00E53EB6" w:rsidRDefault="006500F5">
      <w:pPr>
        <w:pStyle w:val="biblioGEN"/>
      </w:pPr>
      <w:r>
        <w:rPr>
          <w:rStyle w:val="biblio-authorGEN"/>
        </w:rPr>
        <w:t>Bhattac</w:t>
      </w:r>
      <w:r>
        <w:rPr>
          <w:rStyle w:val="biblio-authorGEN"/>
        </w:rPr>
        <w:t>harya, D.</w:t>
      </w:r>
      <w:r>
        <w:t xml:space="preserve"> 1997. </w:t>
      </w:r>
      <w:r>
        <w:rPr>
          <w:i/>
          <w:iCs/>
        </w:rPr>
        <w:t>The</w:t>
      </w:r>
      <w:r>
        <w:t xml:space="preserve"> </w:t>
      </w:r>
      <w:r>
        <w:rPr>
          <w:i/>
          <w:iCs/>
        </w:rPr>
        <w:t>Paippalāda-Sa</w:t>
      </w:r>
      <w:r>
        <w:rPr>
          <w:i/>
          <w:iCs/>
        </w:rPr>
        <w:t>ṃ</w:t>
      </w:r>
      <w:r>
        <w:rPr>
          <w:i/>
          <w:iCs/>
        </w:rPr>
        <w:t>hitā of the Atharvaveda. Critically edited from palm-leaf manuscripts in the Oriya script discovered by Durgamohan Bhattacharyya and one Śaradā manuscript. Volume one, consisting of the first fifteen Kā</w:t>
      </w:r>
      <w:r>
        <w:rPr>
          <w:i/>
          <w:iCs/>
        </w:rPr>
        <w:t>ṇḍ</w:t>
      </w:r>
      <w:r>
        <w:rPr>
          <w:i/>
          <w:iCs/>
        </w:rPr>
        <w:t xml:space="preserve">ās. </w:t>
      </w:r>
      <w:r>
        <w:t xml:space="preserve">Calcutta: The </w:t>
      </w:r>
      <w:r>
        <w:t>Asiatic Society.</w:t>
      </w:r>
    </w:p>
    <w:p w14:paraId="4BE4F057" w14:textId="77777777" w:rsidR="00E53EB6" w:rsidRDefault="006500F5">
      <w:pPr>
        <w:pStyle w:val="biblioGEN"/>
      </w:pPr>
      <w:r>
        <w:t xml:space="preserve">___. 2008. </w:t>
      </w:r>
      <w:r>
        <w:rPr>
          <w:i/>
          <w:iCs/>
        </w:rPr>
        <w:t>The</w:t>
      </w:r>
      <w:r>
        <w:t xml:space="preserve"> </w:t>
      </w:r>
      <w:r>
        <w:rPr>
          <w:i/>
          <w:iCs/>
        </w:rPr>
        <w:t>Paippalāda-Sa</w:t>
      </w:r>
      <w:r>
        <w:rPr>
          <w:i/>
          <w:iCs/>
        </w:rPr>
        <w:t>ṃ</w:t>
      </w:r>
      <w:r>
        <w:rPr>
          <w:i/>
          <w:iCs/>
        </w:rPr>
        <w:t>hitā of the Atharvaveda. Critically edited from palmleaf manuscripts in the Oriya script discovered by Durgamohan Bhattacharyya and one Śaradā manuscript. Volume two, consisting of the Sixteenth Kā</w:t>
      </w:r>
      <w:r>
        <w:rPr>
          <w:i/>
          <w:iCs/>
        </w:rPr>
        <w:t>ṇḍ</w:t>
      </w:r>
      <w:r>
        <w:rPr>
          <w:i/>
          <w:iCs/>
        </w:rPr>
        <w:t xml:space="preserve">a. </w:t>
      </w:r>
      <w:r>
        <w:t xml:space="preserve"> Calcutt</w:t>
      </w:r>
      <w:r>
        <w:t>a: The Asiatic Society.</w:t>
      </w:r>
    </w:p>
    <w:p w14:paraId="28E514F2" w14:textId="77777777" w:rsidR="00E53EB6" w:rsidRDefault="006500F5">
      <w:pPr>
        <w:pStyle w:val="biblioGEN"/>
      </w:pPr>
      <w:r>
        <w:rPr>
          <w:rStyle w:val="biblio-authorGEN"/>
        </w:rPr>
        <w:lastRenderedPageBreak/>
        <w:t>Griffiths, A.</w:t>
      </w:r>
      <w:r>
        <w:t xml:space="preserve"> 2009. </w:t>
      </w:r>
      <w:r>
        <w:rPr>
          <w:i/>
          <w:iCs/>
        </w:rPr>
        <w:t xml:space="preserve">The Paippalādasaṃhitā of the Atharvaveda: Kāṇḍas 6 and 7; a new edition with translation and commentary. </w:t>
      </w:r>
      <w:r>
        <w:t>Groningen:</w:t>
      </w:r>
      <w:r>
        <w:rPr>
          <w:i/>
          <w:iCs/>
        </w:rPr>
        <w:t xml:space="preserve"> </w:t>
      </w:r>
      <w:r>
        <w:t>Forsten.</w:t>
      </w:r>
    </w:p>
    <w:p w14:paraId="77614B7F" w14:textId="77777777" w:rsidR="00E53EB6" w:rsidRPr="0071345C" w:rsidRDefault="006500F5">
      <w:pPr>
        <w:pStyle w:val="biblioGEN"/>
        <w:rPr>
          <w:lang w:val="de-DE"/>
        </w:rPr>
      </w:pPr>
      <w:r>
        <w:rPr>
          <w:rStyle w:val="biblio-authorGEN"/>
        </w:rPr>
        <w:t xml:space="preserve">Lubotsky, A. </w:t>
      </w:r>
      <w:r>
        <w:t xml:space="preserve">2002. </w:t>
      </w:r>
      <w:r>
        <w:rPr>
          <w:i/>
          <w:iCs/>
        </w:rPr>
        <w:t xml:space="preserve">Atharvaveda-Paippalāda. Kāṇḍa five: Text, translation, commentary. </w:t>
      </w:r>
      <w:r w:rsidRPr="0071345C">
        <w:rPr>
          <w:lang w:val="de-DE"/>
        </w:rPr>
        <w:t>Cambridge Mass</w:t>
      </w:r>
      <w:r w:rsidRPr="0071345C">
        <w:rPr>
          <w:i/>
          <w:iCs/>
          <w:lang w:val="de-DE"/>
        </w:rPr>
        <w:t xml:space="preserve">: </w:t>
      </w:r>
      <w:r w:rsidRPr="0071345C">
        <w:rPr>
          <w:lang w:val="de-DE"/>
        </w:rPr>
        <w:t>Harvard University Press.</w:t>
      </w:r>
    </w:p>
    <w:p w14:paraId="6A9A4131" w14:textId="77777777" w:rsidR="00E53EB6" w:rsidRDefault="006500F5">
      <w:pPr>
        <w:pStyle w:val="biblioGEN"/>
      </w:pPr>
      <w:r w:rsidRPr="0071345C">
        <w:rPr>
          <w:rStyle w:val="biblio-authorGEN"/>
          <w:lang w:val="de-DE"/>
        </w:rPr>
        <w:t>Zehnder, T. 1999.</w:t>
      </w:r>
      <w:r w:rsidRPr="0071345C">
        <w:rPr>
          <w:lang w:val="de-DE"/>
        </w:rPr>
        <w:t xml:space="preserve"> </w:t>
      </w:r>
      <w:r w:rsidRPr="0071345C">
        <w:rPr>
          <w:i/>
          <w:iCs/>
          <w:lang w:val="de-DE"/>
        </w:rPr>
        <w:t xml:space="preserve">Atharvaveda-Paippalāda. Buch 2, Text, Übersetzung, Kommentar: eine Sammlung altindischer Zaubersprüche vom Beginn des 1. </w:t>
      </w:r>
      <w:r>
        <w:rPr>
          <w:i/>
          <w:iCs/>
        </w:rPr>
        <w:t>J</w:t>
      </w:r>
      <w:r>
        <w:rPr>
          <w:i/>
          <w:iCs/>
        </w:rPr>
        <w:t>ahrtausends v. Chr.</w:t>
      </w:r>
      <w:r>
        <w:t xml:space="preserve"> Idstein: Schulz-Kirchner.</w:t>
      </w:r>
    </w:p>
    <w:p w14:paraId="3AC3F0F5" w14:textId="77777777" w:rsidR="00E53EB6" w:rsidRDefault="006500F5">
      <w:pPr>
        <w:pStyle w:val="Heading5"/>
        <w:tabs>
          <w:tab w:val="left" w:pos="0"/>
        </w:tabs>
        <w:rPr>
          <w:b/>
        </w:rPr>
      </w:pPr>
      <w:r>
        <w:rPr>
          <w:b/>
        </w:rPr>
        <w:t>Atharvaveda Śaunakya – AVŚ</w:t>
      </w:r>
    </w:p>
    <w:p w14:paraId="09FFC006" w14:textId="77777777" w:rsidR="00E53EB6" w:rsidRPr="0071345C" w:rsidRDefault="006500F5">
      <w:pPr>
        <w:pStyle w:val="biblioGEN"/>
        <w:rPr>
          <w:lang w:val="de-DE"/>
        </w:rPr>
      </w:pPr>
      <w:r>
        <w:rPr>
          <w:rStyle w:val="biblio-authorGEN"/>
          <w:rFonts w:eastAsia="Arial Unicode MS" w:cs="Times Ext Roman"/>
          <w:color w:val="000000"/>
          <w:lang w:eastAsia="it-IT" w:bidi="it-IT"/>
        </w:rPr>
        <w:t xml:space="preserve">Roth, R. - Whitney, W. D. 1924. </w:t>
      </w:r>
      <w:r w:rsidRPr="0071345C">
        <w:rPr>
          <w:rFonts w:eastAsia="Arial Unicode MS" w:cs="Times Ext Roman"/>
          <w:i/>
          <w:iCs/>
          <w:color w:val="000000"/>
          <w:lang w:val="de-DE" w:eastAsia="it-IT" w:bidi="it-IT"/>
        </w:rPr>
        <w:t>Atharva Veda Sanhita. Herausgegeben von R. Roth und W.D. Whitney, zweite verbesserte Auflage besorgt von Dr. Max Lindenau.</w:t>
      </w:r>
      <w:r w:rsidRPr="0071345C">
        <w:rPr>
          <w:rFonts w:eastAsia="Arial Unicode MS" w:cs="Times Ext Roman"/>
          <w:color w:val="000000"/>
          <w:lang w:val="de-DE" w:eastAsia="it-IT" w:bidi="it-IT"/>
        </w:rPr>
        <w:t xml:space="preserve"> Berlin: Dümmlers.</w:t>
      </w:r>
    </w:p>
    <w:p w14:paraId="33765190" w14:textId="77777777" w:rsidR="00E53EB6" w:rsidRDefault="006500F5">
      <w:pPr>
        <w:pStyle w:val="biblioGEN"/>
      </w:pPr>
      <w:r w:rsidRPr="0071345C">
        <w:rPr>
          <w:rStyle w:val="biblio-authorGEN"/>
          <w:rFonts w:eastAsia="Arial Unicode MS" w:cs="Times Ext Roman"/>
          <w:color w:val="000000"/>
          <w:lang w:val="de-DE" w:eastAsia="it-IT" w:bidi="it-IT"/>
        </w:rPr>
        <w:t>Vishva Bandhu</w:t>
      </w:r>
      <w:r w:rsidRPr="0071345C">
        <w:rPr>
          <w:lang w:val="de-DE"/>
        </w:rPr>
        <w:t xml:space="preserve">. 1960. </w:t>
      </w:r>
      <w:r w:rsidRPr="0071345C">
        <w:rPr>
          <w:i/>
          <w:iCs/>
          <w:lang w:val="de-DE"/>
        </w:rPr>
        <w:t>Atharvaveda (Śaunaka) with The pada-pā</w:t>
      </w:r>
      <w:r w:rsidRPr="0071345C">
        <w:rPr>
          <w:i/>
          <w:iCs/>
          <w:lang w:val="de-DE"/>
        </w:rPr>
        <w:t>ṭ</w:t>
      </w:r>
      <w:r w:rsidRPr="0071345C">
        <w:rPr>
          <w:i/>
          <w:iCs/>
          <w:lang w:val="de-DE"/>
        </w:rPr>
        <w:t>ha and Sāya</w:t>
      </w:r>
      <w:r w:rsidRPr="0071345C">
        <w:rPr>
          <w:i/>
          <w:iCs/>
          <w:lang w:val="de-DE"/>
        </w:rPr>
        <w:t>ṇ</w:t>
      </w:r>
      <w:r w:rsidRPr="0071345C">
        <w:rPr>
          <w:i/>
          <w:iCs/>
          <w:lang w:val="de-DE"/>
        </w:rPr>
        <w:t xml:space="preserve">ācārya’s Commentary, edited by Vishva Bandhu. </w:t>
      </w:r>
      <w:r>
        <w:t>Hoshiarpur: Vishveshvaranand Vedic Research Institute.</w:t>
      </w:r>
    </w:p>
    <w:p w14:paraId="5D23E1AB" w14:textId="77777777" w:rsidR="00E53EB6" w:rsidRDefault="006500F5">
      <w:pPr>
        <w:pStyle w:val="biblioGEN"/>
      </w:pPr>
      <w:r>
        <w:rPr>
          <w:rStyle w:val="biblio-authorGEN"/>
          <w:rFonts w:eastAsia="Arial Unicode MS" w:cs="Times Ext Roman"/>
          <w:color w:val="000000"/>
          <w:lang w:eastAsia="it-IT" w:bidi="it-IT"/>
        </w:rPr>
        <w:t>Whitney, W. D. - Lanman, C. R.</w:t>
      </w:r>
      <w:r>
        <w:rPr>
          <w:rFonts w:eastAsia="Arial Unicode MS" w:cs="Times Ext Roman"/>
          <w:color w:val="000000"/>
          <w:lang w:eastAsia="it-IT" w:bidi="it-IT"/>
        </w:rPr>
        <w:t xml:space="preserve"> 1905. </w:t>
      </w:r>
      <w:r>
        <w:rPr>
          <w:rFonts w:eastAsia="Arial Unicode MS" w:cs="Times Ext Roman"/>
          <w:i/>
          <w:iCs/>
          <w:color w:val="000000"/>
          <w:lang w:eastAsia="it-IT" w:bidi="it-IT"/>
        </w:rPr>
        <w:t>Atharva-veda Saṁhitā. Tra</w:t>
      </w:r>
      <w:r>
        <w:rPr>
          <w:rFonts w:eastAsia="Arial Unicode MS" w:cs="Times Ext Roman"/>
          <w:i/>
          <w:iCs/>
          <w:color w:val="000000"/>
          <w:lang w:eastAsia="it-IT" w:bidi="it-IT"/>
        </w:rPr>
        <w:t>nslated with a Critical and Exegetical Commentary by William Dwight Whitney</w:t>
      </w:r>
      <w:r>
        <w:rPr>
          <w:rStyle w:val="biblio-authorGEN"/>
          <w:rFonts w:eastAsia="Arial Unicode MS" w:cs="Times Ext Roman"/>
          <w:i/>
          <w:iCs/>
          <w:color w:val="000000"/>
          <w:lang w:eastAsia="it-IT" w:bidi="it-IT"/>
        </w:rPr>
        <w:t xml:space="preserve">. </w:t>
      </w:r>
      <w:r>
        <w:rPr>
          <w:rStyle w:val="biblio-authorGEN"/>
          <w:rFonts w:eastAsia="Arial Unicode MS" w:cs="Times Ext Roman"/>
          <w:i/>
          <w:iCs/>
          <w:smallCaps w:val="0"/>
          <w:color w:val="000000"/>
          <w:lang w:eastAsia="it-IT" w:bidi="it-IT"/>
        </w:rPr>
        <w:t xml:space="preserve">Revised and brought nearer to Completion and edited by Charles Rockwell </w:t>
      </w:r>
      <w:r>
        <w:rPr>
          <w:rFonts w:eastAsia="Arial Unicode MS" w:cs="Times Ext Roman"/>
          <w:i/>
          <w:iCs/>
          <w:color w:val="000000"/>
          <w:lang w:eastAsia="it-IT" w:bidi="it-IT"/>
        </w:rPr>
        <w:t>Lanman</w:t>
      </w:r>
      <w:r>
        <w:rPr>
          <w:rStyle w:val="biblio-authorGEN"/>
          <w:rFonts w:eastAsia="Arial Unicode MS" w:cs="Times Ext Roman"/>
          <w:i/>
          <w:iCs/>
          <w:color w:val="000000"/>
          <w:lang w:eastAsia="it-IT" w:bidi="it-IT"/>
        </w:rPr>
        <w:t xml:space="preserve">. </w:t>
      </w:r>
      <w:r>
        <w:rPr>
          <w:rFonts w:eastAsia="Arial Unicode MS" w:cs="Times Ext Roman"/>
          <w:color w:val="000000"/>
          <w:lang w:eastAsia="it-IT" w:bidi="it-IT"/>
        </w:rPr>
        <w:t>Cambridge Mass</w:t>
      </w:r>
      <w:r>
        <w:rPr>
          <w:rStyle w:val="biblio-authorGEN"/>
          <w:rFonts w:eastAsia="Arial Unicode MS" w:cs="Times Ext Roman"/>
          <w:color w:val="000000"/>
          <w:lang w:eastAsia="it-IT" w:bidi="it-IT"/>
        </w:rPr>
        <w:t>.:</w:t>
      </w:r>
      <w:r>
        <w:rPr>
          <w:rFonts w:eastAsia="Arial Unicode MS" w:cs="Times Ext Roman"/>
          <w:i/>
          <w:iCs/>
          <w:color w:val="000000"/>
          <w:lang w:eastAsia="it-IT" w:bidi="it-IT"/>
        </w:rPr>
        <w:t xml:space="preserve"> </w:t>
      </w:r>
      <w:r>
        <w:rPr>
          <w:rFonts w:eastAsia="Arial Unicode MS" w:cs="Times Ext Roman"/>
          <w:color w:val="000000"/>
          <w:lang w:eastAsia="it-IT" w:bidi="it-IT"/>
        </w:rPr>
        <w:t>Harvard University Press, 2 Vols.</w:t>
      </w:r>
    </w:p>
    <w:p w14:paraId="44954D97" w14:textId="77777777" w:rsidR="00E53EB6" w:rsidRDefault="006500F5">
      <w:pPr>
        <w:pStyle w:val="Heading5"/>
        <w:tabs>
          <w:tab w:val="left" w:pos="0"/>
        </w:tabs>
        <w:rPr>
          <w:b/>
        </w:rPr>
      </w:pPr>
      <w:r>
        <w:rPr>
          <w:rFonts w:eastAsia="Arial Unicode MS" w:cs="Times Ext Roman"/>
          <w:b/>
          <w:lang w:bidi="it-IT"/>
        </w:rPr>
        <w:t xml:space="preserve">Āśvalāyana </w:t>
      </w:r>
      <w:r>
        <w:rPr>
          <w:rFonts w:eastAsia="Arial Unicode MS" w:cs="Times Ext Roman"/>
          <w:b/>
          <w:caps/>
          <w:lang w:bidi="it-IT"/>
        </w:rPr>
        <w:t>Ś</w:t>
      </w:r>
      <w:r>
        <w:rPr>
          <w:rFonts w:eastAsia="Arial Unicode MS" w:cs="Times Ext Roman"/>
          <w:b/>
          <w:lang w:bidi="it-IT"/>
        </w:rPr>
        <w:t xml:space="preserve">rauta Sūtra – </w:t>
      </w:r>
      <w:r>
        <w:rPr>
          <w:rFonts w:eastAsia="Arial Unicode MS" w:cs="Times Ext Roman"/>
          <w:b/>
          <w:lang w:bidi="it-IT"/>
        </w:rPr>
        <w:t>Ā</w:t>
      </w:r>
      <w:r>
        <w:rPr>
          <w:rFonts w:eastAsia="Arial Unicode MS" w:cs="Times Ext Roman"/>
          <w:b/>
          <w:caps/>
          <w:lang w:bidi="it-IT"/>
        </w:rPr>
        <w:t>śS</w:t>
      </w:r>
    </w:p>
    <w:p w14:paraId="2ECE65FC" w14:textId="77777777" w:rsidR="00E53EB6" w:rsidRDefault="006500F5">
      <w:pPr>
        <w:pStyle w:val="biblioGEN"/>
      </w:pPr>
      <w:r>
        <w:rPr>
          <w:rStyle w:val="biblio-authorGEN"/>
        </w:rPr>
        <w:t xml:space="preserve">Mylius, K. </w:t>
      </w:r>
      <w:r>
        <w:rPr>
          <w:rFonts w:eastAsia="Arial Unicode MS"/>
        </w:rPr>
        <w:t xml:space="preserve">1994. </w:t>
      </w:r>
      <w:r>
        <w:rPr>
          <w:rFonts w:eastAsia="Arial Unicode MS" w:cs="Times Ext Roman"/>
          <w:i/>
          <w:iCs/>
          <w:color w:val="000000"/>
          <w:lang w:eastAsia="it-IT" w:bidi="it-IT"/>
        </w:rPr>
        <w:t xml:space="preserve">Aśvalāyana – </w:t>
      </w:r>
      <w:r>
        <w:rPr>
          <w:rFonts w:eastAsia="Arial Unicode MS" w:cs="Times Ext Roman"/>
          <w:i/>
          <w:iCs/>
          <w:caps/>
          <w:color w:val="000000"/>
          <w:lang w:eastAsia="it-IT" w:bidi="it-IT"/>
        </w:rPr>
        <w:t>ś</w:t>
      </w:r>
      <w:r>
        <w:rPr>
          <w:rFonts w:eastAsia="Arial Unicode MS" w:cs="Times Ext Roman"/>
          <w:i/>
          <w:iCs/>
          <w:color w:val="000000"/>
          <w:lang w:eastAsia="it-IT" w:bidi="it-IT"/>
        </w:rPr>
        <w:t xml:space="preserve">autra Sūtra. </w:t>
      </w:r>
      <w:r>
        <w:rPr>
          <w:rFonts w:eastAsia="Arial Unicode MS" w:cs="Times Ext Roman"/>
          <w:color w:val="000000"/>
          <w:lang w:eastAsia="it-IT" w:bidi="it-IT"/>
        </w:rPr>
        <w:t>Wichtrach:</w:t>
      </w:r>
      <w:r>
        <w:rPr>
          <w:rFonts w:eastAsia="Arial Unicode MS" w:cs="Times Ext Roman"/>
          <w:i/>
          <w:iCs/>
          <w:color w:val="000000"/>
          <w:lang w:eastAsia="it-IT" w:bidi="it-IT"/>
        </w:rPr>
        <w:t xml:space="preserve"> </w:t>
      </w:r>
      <w:r>
        <w:rPr>
          <w:rFonts w:eastAsia="Arial Unicode MS" w:cs="Times Ext Roman"/>
          <w:color w:val="000000"/>
          <w:lang w:eastAsia="it-IT" w:bidi="it-IT"/>
        </w:rPr>
        <w:t>Institut für Indologie.</w:t>
      </w:r>
    </w:p>
    <w:p w14:paraId="3F2B3D01" w14:textId="77777777" w:rsidR="00E53EB6" w:rsidRDefault="006500F5">
      <w:pPr>
        <w:pStyle w:val="Heading5"/>
        <w:tabs>
          <w:tab w:val="left" w:pos="0"/>
        </w:tabs>
      </w:pPr>
      <w:r>
        <w:rPr>
          <w:rFonts w:eastAsia="Arial Unicode MS" w:cs="Times Ext Roman"/>
          <w:b/>
          <w:lang w:bidi="it-IT"/>
        </w:rPr>
        <w:t>Kapi</w:t>
      </w:r>
      <w:r>
        <w:rPr>
          <w:rFonts w:eastAsia="Arial Unicode MS" w:cs="Times Ext Roman"/>
          <w:b/>
          <w:lang w:bidi="it-IT"/>
        </w:rPr>
        <w:t>ṣṭ</w:t>
      </w:r>
      <w:r>
        <w:rPr>
          <w:rFonts w:eastAsia="Arial Unicode MS" w:cs="Times Ext Roman"/>
          <w:b/>
          <w:lang w:bidi="it-IT"/>
        </w:rPr>
        <w:t>hala Sa</w:t>
      </w:r>
      <w:r>
        <w:rPr>
          <w:rFonts w:eastAsia="Arial Unicode MS" w:cs="Times Ext Roman"/>
          <w:b/>
          <w:lang w:bidi="it-IT"/>
        </w:rPr>
        <w:t>ṃ</w:t>
      </w:r>
      <w:r>
        <w:rPr>
          <w:rFonts w:eastAsia="Arial Unicode MS" w:cs="Times Ext Roman"/>
          <w:b/>
          <w:lang w:bidi="it-IT"/>
        </w:rPr>
        <w:t xml:space="preserve">hitā – </w:t>
      </w:r>
      <w:r>
        <w:rPr>
          <w:rFonts w:eastAsia="Arial Unicode MS" w:cs="Times Ext Roman"/>
          <w:b/>
          <w:lang w:bidi="it-IT"/>
        </w:rPr>
        <w:t>KpS</w:t>
      </w:r>
    </w:p>
    <w:p w14:paraId="78D01BA3" w14:textId="77777777" w:rsidR="00E53EB6" w:rsidRDefault="006500F5">
      <w:pPr>
        <w:pStyle w:val="biblioGEN"/>
        <w:numPr>
          <w:ilvl w:val="1"/>
          <w:numId w:val="5"/>
        </w:numPr>
        <w:ind w:left="720" w:hanging="720"/>
      </w:pPr>
      <w:r>
        <w:rPr>
          <w:rStyle w:val="biblio-authorGEN"/>
          <w:rFonts w:eastAsia="Arial Unicode MS" w:cs="Times Ext Roman"/>
          <w:lang w:bidi="it-IT"/>
        </w:rPr>
        <w:t xml:space="preserve">Vira, R. 1968. </w:t>
      </w:r>
      <w:r>
        <w:rPr>
          <w:rFonts w:eastAsia="Arial Unicode MS" w:cs="Times Ext Roman"/>
          <w:i/>
          <w:iCs/>
          <w:lang w:bidi="it-IT"/>
        </w:rPr>
        <w:t>Kapi</w:t>
      </w:r>
      <w:r>
        <w:rPr>
          <w:rFonts w:eastAsia="Arial Unicode MS" w:cs="Times Ext Roman"/>
          <w:i/>
          <w:iCs/>
          <w:lang w:bidi="it-IT"/>
        </w:rPr>
        <w:t>ṣṭ</w:t>
      </w:r>
      <w:r>
        <w:rPr>
          <w:rFonts w:eastAsia="Arial Unicode MS" w:cs="Times Ext Roman"/>
          <w:i/>
          <w:iCs/>
          <w:lang w:bidi="it-IT"/>
        </w:rPr>
        <w:t>hala-Ka</w:t>
      </w:r>
      <w:r>
        <w:rPr>
          <w:rFonts w:eastAsia="Arial Unicode MS" w:cs="Times Ext Roman"/>
          <w:i/>
          <w:iCs/>
          <w:lang w:bidi="it-IT"/>
        </w:rPr>
        <w:t>ṭ</w:t>
      </w:r>
      <w:r>
        <w:rPr>
          <w:rFonts w:eastAsia="Arial Unicode MS" w:cs="Times Ext Roman"/>
          <w:i/>
          <w:iCs/>
          <w:lang w:bidi="it-IT"/>
        </w:rPr>
        <w:t>ha-Sa</w:t>
      </w:r>
      <w:r>
        <w:rPr>
          <w:rFonts w:eastAsia="Arial Unicode MS" w:cs="Times Ext Roman"/>
          <w:i/>
          <w:iCs/>
          <w:lang w:bidi="it-IT"/>
        </w:rPr>
        <w:t>ṃ</w:t>
      </w:r>
      <w:r>
        <w:rPr>
          <w:rFonts w:eastAsia="Arial Unicode MS" w:cs="Times Ext Roman"/>
          <w:i/>
          <w:iCs/>
          <w:lang w:bidi="it-IT"/>
        </w:rPr>
        <w:t>hitā, a Text of the Black Yajurveda. Critically edited for the first time by Raghu Vira.</w:t>
      </w:r>
      <w:r>
        <w:rPr>
          <w:rFonts w:eastAsia="Arial Unicode MS" w:cs="Times Ext Roman"/>
          <w:lang w:bidi="it-IT"/>
        </w:rPr>
        <w:t xml:space="preserve"> Delhi: Lachhmandas.</w:t>
      </w:r>
    </w:p>
    <w:p w14:paraId="62C138F8" w14:textId="77777777" w:rsidR="00E53EB6" w:rsidRDefault="006500F5">
      <w:pPr>
        <w:pStyle w:val="Heading5"/>
        <w:tabs>
          <w:tab w:val="left" w:pos="0"/>
        </w:tabs>
        <w:rPr>
          <w:b/>
        </w:rPr>
      </w:pPr>
      <w:r>
        <w:rPr>
          <w:rFonts w:eastAsia="Arial Unicode MS" w:cs="Times Ext Roman"/>
          <w:b/>
          <w:lang w:bidi="it-IT"/>
        </w:rPr>
        <w:t>Kā</w:t>
      </w:r>
      <w:r>
        <w:rPr>
          <w:rFonts w:eastAsia="Arial Unicode MS" w:cs="Times Ext Roman"/>
          <w:b/>
          <w:lang w:bidi="it-IT"/>
        </w:rPr>
        <w:t>ṭ</w:t>
      </w:r>
      <w:r>
        <w:rPr>
          <w:rFonts w:eastAsia="Arial Unicode MS" w:cs="Times Ext Roman"/>
          <w:b/>
          <w:lang w:bidi="it-IT"/>
        </w:rPr>
        <w:t>ha Sa</w:t>
      </w:r>
      <w:r>
        <w:rPr>
          <w:rFonts w:eastAsia="Arial Unicode MS" w:cs="Times Ext Roman"/>
          <w:b/>
          <w:lang w:bidi="it-IT"/>
        </w:rPr>
        <w:t>ṃ</w:t>
      </w:r>
      <w:r>
        <w:rPr>
          <w:rFonts w:eastAsia="Arial Unicode MS" w:cs="Times Ext Roman"/>
          <w:b/>
          <w:lang w:bidi="it-IT"/>
        </w:rPr>
        <w:t xml:space="preserve">hitā – </w:t>
      </w:r>
      <w:r>
        <w:rPr>
          <w:rFonts w:eastAsia="Arial Unicode MS" w:cs="Times Ext Roman"/>
          <w:b/>
          <w:lang w:bidi="it-IT"/>
        </w:rPr>
        <w:t>KS</w:t>
      </w:r>
    </w:p>
    <w:p w14:paraId="29B36C92" w14:textId="77777777" w:rsidR="00E53EB6" w:rsidRDefault="006500F5">
      <w:pPr>
        <w:pStyle w:val="biblioGEN"/>
      </w:pPr>
      <w:r w:rsidRPr="0071345C">
        <w:rPr>
          <w:rStyle w:val="biblio-authorGEN"/>
          <w:lang w:val="de-DE"/>
        </w:rPr>
        <w:t xml:space="preserve">Schroeder von, L. </w:t>
      </w:r>
      <w:r w:rsidRPr="0071345C">
        <w:rPr>
          <w:rFonts w:eastAsia="Arial Unicode MS" w:cs="Times Ext Roman"/>
          <w:color w:val="000000"/>
          <w:lang w:val="de-DE" w:eastAsia="it-IT" w:bidi="it-IT"/>
        </w:rPr>
        <w:t xml:space="preserve">1900. </w:t>
      </w:r>
      <w:r w:rsidRPr="0071345C">
        <w:rPr>
          <w:rFonts w:eastAsia="Arial Unicode MS" w:cs="Times Ext Roman"/>
          <w:i/>
          <w:iCs/>
          <w:color w:val="000000"/>
          <w:lang w:val="de-DE" w:eastAsia="it-IT" w:bidi="it-IT"/>
        </w:rPr>
        <w:t>Kā</w:t>
      </w:r>
      <w:r w:rsidRPr="0071345C">
        <w:rPr>
          <w:rFonts w:eastAsia="Arial Unicode MS" w:cs="Times Ext Roman"/>
          <w:i/>
          <w:iCs/>
          <w:color w:val="000000"/>
          <w:lang w:val="de-DE" w:eastAsia="it-IT" w:bidi="it-IT"/>
        </w:rPr>
        <w:t>ṭ</w:t>
      </w:r>
      <w:r w:rsidRPr="0071345C">
        <w:rPr>
          <w:rFonts w:eastAsia="Arial Unicode MS" w:cs="Times Ext Roman"/>
          <w:i/>
          <w:iCs/>
          <w:color w:val="000000"/>
          <w:lang w:val="de-DE" w:eastAsia="it-IT" w:bidi="it-IT"/>
        </w:rPr>
        <w:t>hakam. Die Sa</w:t>
      </w:r>
      <w:r w:rsidRPr="0071345C">
        <w:rPr>
          <w:rFonts w:eastAsia="Arial Unicode MS" w:cs="Times Ext Roman"/>
          <w:i/>
          <w:iCs/>
          <w:color w:val="000000"/>
          <w:lang w:val="de-DE" w:eastAsia="it-IT" w:bidi="it-IT"/>
        </w:rPr>
        <w:t>ṃ</w:t>
      </w:r>
      <w:r w:rsidRPr="0071345C">
        <w:rPr>
          <w:rFonts w:eastAsia="Arial Unicode MS" w:cs="Times Ext Roman"/>
          <w:i/>
          <w:iCs/>
          <w:color w:val="000000"/>
          <w:lang w:val="de-DE" w:eastAsia="it-IT" w:bidi="it-IT"/>
        </w:rPr>
        <w:t>hitā der Ka</w:t>
      </w:r>
      <w:r w:rsidRPr="0071345C">
        <w:rPr>
          <w:rFonts w:eastAsia="Arial Unicode MS" w:cs="Times Ext Roman"/>
          <w:i/>
          <w:iCs/>
          <w:color w:val="000000"/>
          <w:lang w:val="de-DE" w:eastAsia="it-IT" w:bidi="it-IT"/>
        </w:rPr>
        <w:t>ṭ</w:t>
      </w:r>
      <w:r w:rsidRPr="0071345C">
        <w:rPr>
          <w:rFonts w:eastAsia="Arial Unicode MS" w:cs="Times Ext Roman"/>
          <w:i/>
          <w:iCs/>
          <w:color w:val="000000"/>
          <w:lang w:val="de-DE" w:eastAsia="it-IT" w:bidi="it-IT"/>
        </w:rPr>
        <w:t>ha-</w:t>
      </w:r>
      <w:r w:rsidRPr="0071345C">
        <w:rPr>
          <w:rFonts w:eastAsia="Arial Unicode MS" w:cs="Times Ext Roman"/>
          <w:i/>
          <w:iCs/>
          <w:caps/>
          <w:color w:val="000000"/>
          <w:lang w:val="de-DE" w:eastAsia="it-IT" w:bidi="it-IT"/>
        </w:rPr>
        <w:t>ś</w:t>
      </w:r>
      <w:r w:rsidRPr="0071345C">
        <w:rPr>
          <w:rFonts w:eastAsia="Arial Unicode MS" w:cs="Times Ext Roman"/>
          <w:i/>
          <w:iCs/>
          <w:color w:val="000000"/>
          <w:lang w:val="de-DE" w:eastAsia="it-IT" w:bidi="it-IT"/>
        </w:rPr>
        <w:t>ākha</w:t>
      </w:r>
      <w:r w:rsidRPr="0071345C">
        <w:rPr>
          <w:rFonts w:eastAsia="Arial Unicode MS" w:cs="Times Ext Roman"/>
          <w:color w:val="000000"/>
          <w:lang w:val="de-DE" w:eastAsia="it-IT" w:bidi="it-IT"/>
        </w:rPr>
        <w:t xml:space="preserve"> </w:t>
      </w:r>
      <w:r w:rsidRPr="0071345C">
        <w:rPr>
          <w:rFonts w:eastAsia="Arial Unicode MS" w:cs="Times Ext Roman"/>
          <w:i/>
          <w:iCs/>
          <w:color w:val="000000"/>
          <w:lang w:val="de-DE" w:eastAsia="it-IT" w:bidi="it-IT"/>
        </w:rPr>
        <w:t xml:space="preserve">herausgegeben von Dr. Leopold von Schroeder. </w:t>
      </w:r>
      <w:r>
        <w:rPr>
          <w:rFonts w:eastAsia="Arial Unicode MS" w:cs="Times Ext Roman"/>
          <w:color w:val="000000"/>
          <w:lang w:eastAsia="it-IT" w:bidi="it-IT"/>
        </w:rPr>
        <w:t xml:space="preserve">Leipzig: </w:t>
      </w:r>
      <w:r>
        <w:rPr>
          <w:rFonts w:eastAsia="Arial Unicode MS" w:cs="Times Ext Roman"/>
          <w:color w:val="000000"/>
          <w:lang w:eastAsia="it-IT" w:bidi="it-IT"/>
        </w:rPr>
        <w:t>Brockhaus.</w:t>
      </w:r>
    </w:p>
    <w:p w14:paraId="6358D4C9" w14:textId="77777777" w:rsidR="00E53EB6" w:rsidRDefault="006500F5">
      <w:pPr>
        <w:pStyle w:val="Heading5"/>
        <w:tabs>
          <w:tab w:val="left" w:pos="0"/>
        </w:tabs>
      </w:pPr>
      <w:r>
        <w:rPr>
          <w:rFonts w:eastAsia="Arial Unicode MS" w:cs="Times Ext Roman"/>
          <w:b/>
          <w:lang w:bidi="it-IT"/>
        </w:rPr>
        <w:t>Kauthuma Sa</w:t>
      </w:r>
      <w:r>
        <w:rPr>
          <w:rFonts w:eastAsia="Arial Unicode MS" w:cs="Times Ext Roman"/>
          <w:b/>
          <w:lang w:bidi="it-IT"/>
        </w:rPr>
        <w:t>ṃ</w:t>
      </w:r>
      <w:r>
        <w:rPr>
          <w:rFonts w:eastAsia="Arial Unicode MS" w:cs="Times Ext Roman"/>
          <w:b/>
          <w:lang w:bidi="it-IT"/>
        </w:rPr>
        <w:t>hitā</w:t>
      </w:r>
      <w:r>
        <w:rPr>
          <w:rFonts w:eastAsia="Arial Unicode MS" w:cs="Times Ext Roman"/>
          <w:b/>
          <w:lang w:bidi="it-IT"/>
        </w:rPr>
        <w:t xml:space="preserve"> - </w:t>
      </w:r>
      <w:r>
        <w:rPr>
          <w:rFonts w:eastAsia="Arial Unicode MS" w:cs="Times Ext Roman"/>
          <w:b/>
          <w:lang w:bidi="it-IT"/>
        </w:rPr>
        <w:t>KauS</w:t>
      </w:r>
    </w:p>
    <w:p w14:paraId="61E80240" w14:textId="77777777" w:rsidR="00E53EB6" w:rsidRPr="0071345C" w:rsidRDefault="006500F5">
      <w:pPr>
        <w:pStyle w:val="biblioGEN"/>
        <w:rPr>
          <w:lang w:val="de-DE"/>
        </w:rPr>
      </w:pPr>
      <w:r w:rsidRPr="0071345C">
        <w:rPr>
          <w:rStyle w:val="biblio-authorGEN"/>
          <w:rFonts w:eastAsia="Arial Unicode MS"/>
          <w:color w:val="000000"/>
          <w:lang w:val="de-DE" w:eastAsia="it-IT" w:bidi="it-IT"/>
        </w:rPr>
        <w:t>Benfey, T.</w:t>
      </w:r>
      <w:r w:rsidRPr="0071345C">
        <w:rPr>
          <w:rFonts w:eastAsia="Arial Unicode MS"/>
          <w:color w:val="000000"/>
          <w:lang w:val="de-DE" w:eastAsia="it-IT" w:bidi="it-IT"/>
        </w:rPr>
        <w:t xml:space="preserve"> 1948. </w:t>
      </w:r>
      <w:r w:rsidRPr="0071345C">
        <w:rPr>
          <w:rFonts w:eastAsia="Arial Unicode MS"/>
          <w:i/>
          <w:iCs/>
          <w:color w:val="000000"/>
          <w:lang w:val="de-DE" w:eastAsia="it-IT" w:bidi="it-IT"/>
        </w:rPr>
        <w:t xml:space="preserve">Hymnen des Sāma-Veda, herausgegeben, übersetzt und mit Glossar versehen von Theodor Benfey. </w:t>
      </w:r>
      <w:r w:rsidRPr="0071345C">
        <w:rPr>
          <w:rFonts w:eastAsia="Arial Unicode MS"/>
          <w:color w:val="000000"/>
          <w:lang w:val="de-DE" w:eastAsia="it-IT" w:bidi="it-IT"/>
        </w:rPr>
        <w:t>Leipzig: Brockhaus.</w:t>
      </w:r>
    </w:p>
    <w:p w14:paraId="1CAB4C49" w14:textId="77777777" w:rsidR="00E53EB6" w:rsidRDefault="006500F5">
      <w:pPr>
        <w:pStyle w:val="biblioGEN"/>
      </w:pPr>
      <w:r w:rsidRPr="0071345C">
        <w:rPr>
          <w:rStyle w:val="biblio-authorGEN"/>
          <w:rFonts w:eastAsia="Arial Unicode MS" w:cs="Times Ext Roman"/>
          <w:color w:val="000000"/>
          <w:lang w:val="de-DE" w:eastAsia="it-IT" w:bidi="it-IT"/>
        </w:rPr>
        <w:t xml:space="preserve">Sāntavalekara,  Ś. D. </w:t>
      </w:r>
      <w:r w:rsidRPr="0071345C">
        <w:rPr>
          <w:rFonts w:eastAsia="Arial Unicode MS" w:cs="Times Ext Roman"/>
          <w:caps/>
          <w:color w:val="000000"/>
          <w:lang w:val="de-DE" w:eastAsia="it-IT" w:bidi="it-IT"/>
        </w:rPr>
        <w:t xml:space="preserve">1946. </w:t>
      </w:r>
      <w:r w:rsidRPr="0071345C">
        <w:rPr>
          <w:rFonts w:eastAsia="Arial Unicode MS" w:cs="Times Ext Roman"/>
          <w:i/>
          <w:iCs/>
          <w:caps/>
          <w:color w:val="000000"/>
          <w:lang w:val="de-DE" w:eastAsia="it-IT" w:bidi="it-IT"/>
        </w:rPr>
        <w:t>S</w:t>
      </w:r>
      <w:r w:rsidRPr="0071345C">
        <w:rPr>
          <w:rFonts w:eastAsia="Arial Unicode MS" w:cs="Times Ext Roman"/>
          <w:i/>
          <w:iCs/>
          <w:color w:val="000000"/>
          <w:lang w:val="de-DE" w:eastAsia="it-IT" w:bidi="it-IT"/>
        </w:rPr>
        <w:t>āmaveda Sa</w:t>
      </w:r>
      <w:r w:rsidRPr="0071345C">
        <w:rPr>
          <w:rFonts w:eastAsia="Arial Unicode MS" w:cs="Times Ext Roman"/>
          <w:i/>
          <w:iCs/>
          <w:color w:val="000000"/>
          <w:lang w:val="de-DE" w:eastAsia="it-IT" w:bidi="it-IT"/>
        </w:rPr>
        <w:t>ṃ</w:t>
      </w:r>
      <w:r w:rsidRPr="0071345C">
        <w:rPr>
          <w:rFonts w:eastAsia="Arial Unicode MS" w:cs="Times Ext Roman"/>
          <w:i/>
          <w:iCs/>
          <w:color w:val="000000"/>
          <w:lang w:val="de-DE" w:eastAsia="it-IT" w:bidi="it-IT"/>
        </w:rPr>
        <w:t xml:space="preserve">hitā, mit Noten von </w:t>
      </w:r>
      <w:r w:rsidRPr="0071345C">
        <w:rPr>
          <w:rFonts w:eastAsia="Arial Unicode MS" w:cs="Times Ext Roman"/>
          <w:i/>
          <w:iCs/>
          <w:caps/>
          <w:color w:val="000000"/>
          <w:lang w:val="de-DE" w:eastAsia="it-IT" w:bidi="it-IT"/>
        </w:rPr>
        <w:t>ś</w:t>
      </w:r>
      <w:r w:rsidRPr="0071345C">
        <w:rPr>
          <w:rFonts w:eastAsia="Arial Unicode MS" w:cs="Times Ext Roman"/>
          <w:i/>
          <w:iCs/>
          <w:color w:val="000000"/>
          <w:lang w:val="de-DE" w:eastAsia="it-IT" w:bidi="it-IT"/>
        </w:rPr>
        <w:t xml:space="preserve">rīpāda Dāmodara Sāntavalekara. </w:t>
      </w:r>
      <w:r>
        <w:rPr>
          <w:rFonts w:eastAsia="Arial Unicode MS" w:cs="Times Ext Roman"/>
          <w:color w:val="000000"/>
          <w:lang w:eastAsia="it-IT" w:bidi="it-IT"/>
        </w:rPr>
        <w:t>Bombay: Para</w:t>
      </w:r>
      <w:r>
        <w:rPr>
          <w:rFonts w:eastAsia="Arial Unicode MS" w:cs="Times Ext Roman"/>
          <w:color w:val="000000"/>
          <w:lang w:eastAsia="it-IT" w:bidi="it-IT"/>
        </w:rPr>
        <w:t>ḍ</w:t>
      </w:r>
      <w:r>
        <w:rPr>
          <w:rFonts w:eastAsia="Arial Unicode MS" w:cs="Times Ext Roman"/>
          <w:color w:val="000000"/>
          <w:lang w:eastAsia="it-IT" w:bidi="it-IT"/>
        </w:rPr>
        <w:t xml:space="preserve">i. </w:t>
      </w:r>
      <w:r>
        <w:rPr>
          <w:rFonts w:eastAsia="Arial Unicode MS" w:cs="Times Ext Roman"/>
          <w:color w:val="000000"/>
          <w:lang w:eastAsia="it-IT" w:bidi="it-IT"/>
        </w:rPr>
        <w:tab/>
        <w:t>.</w:t>
      </w:r>
    </w:p>
    <w:p w14:paraId="729A49BC" w14:textId="77777777" w:rsidR="00E53EB6" w:rsidRDefault="006500F5">
      <w:pPr>
        <w:pStyle w:val="Heading5"/>
        <w:tabs>
          <w:tab w:val="left" w:pos="0"/>
        </w:tabs>
        <w:rPr>
          <w:b/>
        </w:rPr>
      </w:pPr>
      <w:r>
        <w:rPr>
          <w:b/>
        </w:rPr>
        <w:t>Kau</w:t>
      </w:r>
      <w:r>
        <w:rPr>
          <w:b/>
        </w:rPr>
        <w:t>ṣ</w:t>
      </w:r>
      <w:r>
        <w:rPr>
          <w:b/>
        </w:rPr>
        <w:t>ītaki Brāhma</w:t>
      </w:r>
      <w:r>
        <w:rPr>
          <w:b/>
        </w:rPr>
        <w:t>ṇ</w:t>
      </w:r>
      <w:r>
        <w:rPr>
          <w:b/>
        </w:rPr>
        <w:t>a – KauB</w:t>
      </w:r>
    </w:p>
    <w:p w14:paraId="240B9A80" w14:textId="77777777" w:rsidR="00E53EB6" w:rsidRPr="0071345C" w:rsidRDefault="006500F5">
      <w:pPr>
        <w:pStyle w:val="biblioGEN"/>
        <w:rPr>
          <w:lang w:val="de-DE"/>
        </w:rPr>
      </w:pPr>
      <w:r>
        <w:rPr>
          <w:rStyle w:val="biblio-authorGEN"/>
        </w:rPr>
        <w:t xml:space="preserve">Keith, A. B. </w:t>
      </w:r>
      <w:r>
        <w:rPr>
          <w:rFonts w:eastAsia="Arial Unicode MS" w:cs="Times Ext Roman"/>
          <w:color w:val="000000"/>
          <w:lang w:eastAsia="it-IT" w:bidi="it-IT"/>
        </w:rPr>
        <w:t xml:space="preserve">1920. </w:t>
      </w:r>
      <w:r>
        <w:rPr>
          <w:rFonts w:eastAsia="Arial Unicode MS" w:cs="Times Ext Roman"/>
          <w:i/>
          <w:iCs/>
          <w:color w:val="000000"/>
          <w:lang w:eastAsia="it-IT" w:bidi="it-IT"/>
        </w:rPr>
        <w:t>Rigveda Brahmanas: the Aitareya and Kau</w:t>
      </w:r>
      <w:r>
        <w:rPr>
          <w:rFonts w:eastAsia="Arial Unicode MS" w:cs="Times Ext Roman"/>
          <w:i/>
          <w:iCs/>
          <w:color w:val="000000"/>
          <w:lang w:eastAsia="it-IT" w:bidi="it-IT"/>
        </w:rPr>
        <w:t>ṣ</w:t>
      </w:r>
      <w:r>
        <w:rPr>
          <w:rFonts w:eastAsia="Arial Unicode MS" w:cs="Times Ext Roman"/>
          <w:i/>
          <w:iCs/>
          <w:color w:val="000000"/>
          <w:lang w:eastAsia="it-IT" w:bidi="it-IT"/>
        </w:rPr>
        <w:t>ītaki Brāhma</w:t>
      </w:r>
      <w:r>
        <w:rPr>
          <w:rFonts w:eastAsia="Arial Unicode MS" w:cs="Times Ext Roman"/>
          <w:i/>
          <w:iCs/>
          <w:color w:val="000000"/>
          <w:lang w:eastAsia="it-IT" w:bidi="it-IT"/>
        </w:rPr>
        <w:t>ṇ</w:t>
      </w:r>
      <w:r>
        <w:rPr>
          <w:rFonts w:eastAsia="Arial Unicode MS" w:cs="Times Ext Roman"/>
          <w:i/>
          <w:iCs/>
          <w:color w:val="000000"/>
          <w:lang w:eastAsia="it-IT" w:bidi="it-IT"/>
        </w:rPr>
        <w:t xml:space="preserve">as of the Rigveda translated from the original Sanskrit by Arthur Berriedale Keith. </w:t>
      </w:r>
      <w:r w:rsidRPr="0071345C">
        <w:rPr>
          <w:rFonts w:eastAsia="Arial Unicode MS" w:cs="Times Ext Roman"/>
          <w:color w:val="000000"/>
          <w:lang w:val="de-DE" w:eastAsia="it-IT" w:bidi="it-IT"/>
        </w:rPr>
        <w:t>Cambridge Mass.: Harvard University Press.</w:t>
      </w:r>
    </w:p>
    <w:p w14:paraId="6C32D4DF" w14:textId="77777777" w:rsidR="00E53EB6" w:rsidRDefault="006500F5">
      <w:pPr>
        <w:pStyle w:val="biblioGEN"/>
      </w:pPr>
      <w:r w:rsidRPr="0071345C">
        <w:rPr>
          <w:rFonts w:eastAsia="Arial Unicode MS" w:cs="Times Ext Roman"/>
          <w:color w:val="000000"/>
          <w:lang w:val="de-DE" w:eastAsia="it-IT" w:bidi="it-IT"/>
        </w:rPr>
        <w:t xml:space="preserve">Lindner, B. 1887. </w:t>
      </w:r>
      <w:r w:rsidRPr="0071345C">
        <w:rPr>
          <w:rFonts w:eastAsia="Arial Unicode MS" w:cs="Times Ext Roman"/>
          <w:i/>
          <w:iCs/>
          <w:color w:val="000000"/>
          <w:lang w:val="de-DE" w:eastAsia="it-IT" w:bidi="it-IT"/>
        </w:rPr>
        <w:t>Das Kaushītaki Brāhma</w:t>
      </w:r>
      <w:r w:rsidRPr="0071345C">
        <w:rPr>
          <w:rFonts w:eastAsia="Arial Unicode MS" w:cs="Times Ext Roman"/>
          <w:i/>
          <w:iCs/>
          <w:color w:val="000000"/>
          <w:lang w:val="de-DE" w:eastAsia="it-IT" w:bidi="it-IT"/>
        </w:rPr>
        <w:t>ṇ</w:t>
      </w:r>
      <w:r w:rsidRPr="0071345C">
        <w:rPr>
          <w:rFonts w:eastAsia="Arial Unicode MS" w:cs="Times Ext Roman"/>
          <w:i/>
          <w:iCs/>
          <w:color w:val="000000"/>
          <w:lang w:val="de-DE" w:eastAsia="it-IT" w:bidi="it-IT"/>
        </w:rPr>
        <w:t xml:space="preserve">a. Herausgegeben </w:t>
      </w:r>
      <w:r w:rsidRPr="0071345C">
        <w:rPr>
          <w:rFonts w:eastAsia="Arial Unicode MS" w:cs="Times Ext Roman"/>
          <w:i/>
          <w:iCs/>
          <w:color w:val="000000"/>
          <w:lang w:val="de-DE" w:eastAsia="it-IT" w:bidi="it-IT"/>
        </w:rPr>
        <w:t>und uebersetzt von B. Linder</w:t>
      </w:r>
      <w:r w:rsidRPr="0071345C">
        <w:rPr>
          <w:rFonts w:eastAsia="Arial Unicode MS" w:cs="Times Ext Roman"/>
          <w:color w:val="000000"/>
          <w:lang w:val="de-DE" w:eastAsia="it-IT" w:bidi="it-IT"/>
        </w:rPr>
        <w:t xml:space="preserve">. </w:t>
      </w:r>
      <w:r>
        <w:rPr>
          <w:rFonts w:eastAsia="Arial Unicode MS" w:cs="Times Ext Roman"/>
          <w:color w:val="000000"/>
          <w:lang w:eastAsia="it-IT" w:bidi="it-IT"/>
        </w:rPr>
        <w:t>Jena: Costenoble.</w:t>
      </w:r>
    </w:p>
    <w:p w14:paraId="751D6DF0" w14:textId="77777777" w:rsidR="00E53EB6" w:rsidRDefault="006500F5">
      <w:pPr>
        <w:pStyle w:val="biblioGEN"/>
      </w:pPr>
      <w:r>
        <w:rPr>
          <w:rStyle w:val="biblio-authorGEN"/>
        </w:rPr>
        <w:t xml:space="preserve">Sarma, E. R. Sreekrishna. </w:t>
      </w:r>
      <w:r>
        <w:rPr>
          <w:rFonts w:eastAsia="Arial Unicode MS"/>
        </w:rPr>
        <w:t xml:space="preserve">1968. </w:t>
      </w:r>
      <w:r>
        <w:rPr>
          <w:rFonts w:eastAsia="Arial Unicode MS"/>
          <w:i/>
          <w:iCs/>
        </w:rPr>
        <w:t>Kau</w:t>
      </w:r>
      <w:r>
        <w:rPr>
          <w:rFonts w:eastAsia="Arial Unicode MS"/>
          <w:i/>
          <w:iCs/>
        </w:rPr>
        <w:t>ṣ</w:t>
      </w:r>
      <w:r>
        <w:rPr>
          <w:rFonts w:eastAsia="Arial Unicode MS"/>
          <w:i/>
          <w:iCs/>
        </w:rPr>
        <w:t>ītakibrāhma</w:t>
      </w:r>
      <w:r>
        <w:rPr>
          <w:rFonts w:eastAsia="Arial Unicode MS"/>
          <w:i/>
          <w:iCs/>
        </w:rPr>
        <w:t>ṇ</w:t>
      </w:r>
      <w:r>
        <w:rPr>
          <w:rFonts w:eastAsia="Arial Unicode MS"/>
          <w:i/>
          <w:iCs/>
        </w:rPr>
        <w:t xml:space="preserve">a. </w:t>
      </w:r>
      <w:r>
        <w:rPr>
          <w:rFonts w:eastAsia="Arial Unicode MS"/>
        </w:rPr>
        <w:t>Wiesbaden:</w:t>
      </w:r>
      <w:r>
        <w:rPr>
          <w:rFonts w:eastAsia="Arial Unicode MS"/>
          <w:i/>
          <w:iCs/>
        </w:rPr>
        <w:t xml:space="preserve"> </w:t>
      </w:r>
      <w:r>
        <w:rPr>
          <w:rFonts w:eastAsia="Arial Unicode MS"/>
        </w:rPr>
        <w:t>Steiner.</w:t>
      </w:r>
    </w:p>
    <w:p w14:paraId="050F8501" w14:textId="77777777" w:rsidR="00E53EB6" w:rsidRDefault="006500F5">
      <w:pPr>
        <w:pStyle w:val="Heading5"/>
        <w:tabs>
          <w:tab w:val="left" w:pos="0"/>
        </w:tabs>
        <w:rPr>
          <w:b/>
        </w:rPr>
      </w:pPr>
      <w:r>
        <w:rPr>
          <w:rFonts w:eastAsia="Arial Unicode MS" w:cs="Times Ext Roman"/>
          <w:b/>
          <w:lang w:bidi="it-IT"/>
        </w:rPr>
        <w:lastRenderedPageBreak/>
        <w:t>Jaiminīya Sa</w:t>
      </w:r>
      <w:r>
        <w:rPr>
          <w:rFonts w:eastAsia="Arial Unicode MS" w:cs="Times Ext Roman"/>
          <w:b/>
          <w:lang w:bidi="it-IT"/>
        </w:rPr>
        <w:t>ṃ</w:t>
      </w:r>
      <w:r>
        <w:rPr>
          <w:rFonts w:eastAsia="Arial Unicode MS" w:cs="Times Ext Roman"/>
          <w:b/>
          <w:lang w:bidi="it-IT"/>
        </w:rPr>
        <w:t>hitā</w:t>
      </w:r>
      <w:r>
        <w:rPr>
          <w:rFonts w:eastAsia="Arial Unicode MS" w:cs="Times Ext Roman"/>
          <w:b/>
          <w:lang w:bidi="it-IT"/>
        </w:rPr>
        <w:t xml:space="preserve"> – </w:t>
      </w:r>
      <w:r>
        <w:rPr>
          <w:rFonts w:eastAsia="Arial Unicode MS" w:cs="Times Ext Roman"/>
          <w:b/>
          <w:lang w:bidi="it-IT"/>
        </w:rPr>
        <w:t>JS</w:t>
      </w:r>
    </w:p>
    <w:p w14:paraId="3F6E31BC" w14:textId="77777777" w:rsidR="00E53EB6" w:rsidRDefault="006500F5">
      <w:pPr>
        <w:pStyle w:val="biblioGEN"/>
      </w:pPr>
      <w:r>
        <w:rPr>
          <w:rStyle w:val="biblio-authorGEN"/>
        </w:rPr>
        <w:t xml:space="preserve">Vira, R. </w:t>
      </w:r>
      <w:r>
        <w:rPr>
          <w:rFonts w:eastAsia="Arial Unicode MS" w:cs="Times Ext Roman"/>
          <w:color w:val="000000"/>
          <w:lang w:eastAsia="it-IT" w:bidi="it-IT"/>
        </w:rPr>
        <w:t xml:space="preserve">1938. </w:t>
      </w:r>
      <w:r>
        <w:rPr>
          <w:rFonts w:eastAsia="Arial Unicode MS" w:cs="Times Ext Roman"/>
          <w:i/>
          <w:iCs/>
          <w:color w:val="000000"/>
          <w:lang w:eastAsia="it-IT" w:bidi="it-IT"/>
        </w:rPr>
        <w:t xml:space="preserve">Sāma Veda of the Jaiminīyas. </w:t>
      </w:r>
      <w:r>
        <w:rPr>
          <w:rFonts w:eastAsia="Arial Unicode MS" w:cs="Times Ext Roman"/>
          <w:color w:val="000000"/>
          <w:lang w:eastAsia="it-IT" w:bidi="it-IT"/>
        </w:rPr>
        <w:t>Lahore: The International Academy of Indian Culture.</w:t>
      </w:r>
    </w:p>
    <w:p w14:paraId="0176BFE2" w14:textId="77777777" w:rsidR="00E53EB6" w:rsidRDefault="006500F5">
      <w:pPr>
        <w:pStyle w:val="Heading5"/>
        <w:tabs>
          <w:tab w:val="left" w:pos="0"/>
        </w:tabs>
      </w:pPr>
      <w:r>
        <w:rPr>
          <w:rFonts w:eastAsia="Arial Unicode MS" w:cs="Times Ext Roman"/>
          <w:b/>
          <w:lang w:bidi="it-IT"/>
        </w:rPr>
        <w:t>Maitrayā</w:t>
      </w:r>
      <w:r>
        <w:rPr>
          <w:rFonts w:eastAsia="Arial Unicode MS" w:cs="Times Ext Roman"/>
          <w:b/>
          <w:lang w:bidi="it-IT"/>
        </w:rPr>
        <w:t>ṇ</w:t>
      </w:r>
      <w:r>
        <w:rPr>
          <w:rFonts w:eastAsia="Arial Unicode MS" w:cs="Times Ext Roman"/>
          <w:b/>
          <w:lang w:bidi="it-IT"/>
        </w:rPr>
        <w:t>ī Sā</w:t>
      </w:r>
      <w:r>
        <w:rPr>
          <w:rFonts w:eastAsia="Arial Unicode MS" w:cs="Times Ext Roman"/>
          <w:b/>
          <w:lang w:bidi="it-IT"/>
        </w:rPr>
        <w:t>ṃ</w:t>
      </w:r>
      <w:r>
        <w:rPr>
          <w:rFonts w:eastAsia="Arial Unicode MS" w:cs="Times Ext Roman"/>
          <w:b/>
          <w:lang w:bidi="it-IT"/>
        </w:rPr>
        <w:t>hit</w:t>
      </w:r>
      <w:r>
        <w:rPr>
          <w:rFonts w:eastAsia="Arial Unicode MS" w:cs="Times Ext Roman"/>
          <w:b/>
          <w:lang w:bidi="it-IT"/>
        </w:rPr>
        <w:t xml:space="preserve">ā – </w:t>
      </w:r>
      <w:r>
        <w:rPr>
          <w:rFonts w:eastAsia="Arial Unicode MS" w:cs="Times Ext Roman"/>
          <w:b/>
          <w:lang w:bidi="it-IT"/>
        </w:rPr>
        <w:t>MS</w:t>
      </w:r>
    </w:p>
    <w:p w14:paraId="43ABF8A0" w14:textId="77777777" w:rsidR="00E53EB6" w:rsidRPr="0071345C" w:rsidRDefault="006500F5">
      <w:pPr>
        <w:pStyle w:val="biblioGEN"/>
        <w:rPr>
          <w:lang w:val="de-DE"/>
        </w:rPr>
      </w:pPr>
      <w:r w:rsidRPr="0071345C">
        <w:rPr>
          <w:rStyle w:val="biblio-authorGEN"/>
          <w:rFonts w:eastAsia="Arial Unicode MS"/>
          <w:lang w:val="de-DE"/>
        </w:rPr>
        <w:t xml:space="preserve">Amano, K. 2009. </w:t>
      </w:r>
      <w:r w:rsidRPr="0071345C">
        <w:rPr>
          <w:rFonts w:eastAsia="Arial Unicode MS"/>
          <w:i/>
          <w:iCs/>
          <w:lang w:val="de-DE"/>
        </w:rPr>
        <w:t>Maitrāya</w:t>
      </w:r>
      <w:r w:rsidRPr="0071345C">
        <w:rPr>
          <w:rFonts w:eastAsia="Arial Unicode MS"/>
          <w:i/>
          <w:iCs/>
          <w:lang w:val="de-DE"/>
        </w:rPr>
        <w:t>ṇ</w:t>
      </w:r>
      <w:r w:rsidRPr="0071345C">
        <w:rPr>
          <w:rFonts w:eastAsia="Arial Unicode MS"/>
          <w:i/>
          <w:iCs/>
          <w:lang w:val="de-DE"/>
        </w:rPr>
        <w:t>ī Sa</w:t>
      </w:r>
      <w:r w:rsidRPr="0071345C">
        <w:rPr>
          <w:rFonts w:eastAsia="Arial Unicode MS"/>
          <w:i/>
          <w:iCs/>
          <w:lang w:val="de-DE"/>
        </w:rPr>
        <w:t>ṃ</w:t>
      </w:r>
      <w:r w:rsidRPr="0071345C">
        <w:rPr>
          <w:rFonts w:eastAsia="Arial Unicode MS"/>
          <w:i/>
          <w:iCs/>
          <w:lang w:val="de-DE"/>
        </w:rPr>
        <w:t>hitā I-II. Übersetzung der Prosapartien mit Kommentar zur Lexik und Syntax der älteren vedischen Prosa.</w:t>
      </w:r>
      <w:r w:rsidRPr="0071345C">
        <w:rPr>
          <w:rFonts w:eastAsia="Arial Unicode MS"/>
          <w:lang w:val="de-DE"/>
        </w:rPr>
        <w:t xml:space="preserve"> Bremen: Hempen</w:t>
      </w:r>
      <w:r w:rsidRPr="0071345C">
        <w:rPr>
          <w:rStyle w:val="biblio-authorGEN"/>
          <w:rFonts w:eastAsia="Arial Unicode MS"/>
          <w:lang w:val="de-DE"/>
        </w:rPr>
        <w:t>.</w:t>
      </w:r>
    </w:p>
    <w:p w14:paraId="376DDC75" w14:textId="77777777" w:rsidR="00E53EB6" w:rsidRDefault="006500F5">
      <w:pPr>
        <w:pStyle w:val="biblioGEN"/>
      </w:pPr>
      <w:r w:rsidRPr="0071345C">
        <w:rPr>
          <w:rStyle w:val="biblio-authorGEN"/>
          <w:lang w:val="de-DE"/>
        </w:rPr>
        <w:t xml:space="preserve">Schroeder von, L. </w:t>
      </w:r>
      <w:r w:rsidRPr="0071345C">
        <w:rPr>
          <w:rFonts w:eastAsia="Arial Unicode MS"/>
          <w:lang w:val="de-DE"/>
        </w:rPr>
        <w:t xml:space="preserve">1881-1886. </w:t>
      </w:r>
      <w:r w:rsidRPr="0071345C">
        <w:rPr>
          <w:rFonts w:eastAsia="Arial Unicode MS"/>
          <w:i/>
          <w:iCs/>
          <w:lang w:val="de-DE"/>
        </w:rPr>
        <w:t>Maitrāya</w:t>
      </w:r>
      <w:r w:rsidRPr="0071345C">
        <w:rPr>
          <w:rFonts w:eastAsia="Arial Unicode MS"/>
          <w:i/>
          <w:iCs/>
          <w:lang w:val="de-DE"/>
        </w:rPr>
        <w:t>ṇ</w:t>
      </w:r>
      <w:r w:rsidRPr="0071345C">
        <w:rPr>
          <w:rFonts w:eastAsia="Arial Unicode MS"/>
          <w:i/>
          <w:iCs/>
          <w:lang w:val="de-DE"/>
        </w:rPr>
        <w:t>ī Sa</w:t>
      </w:r>
      <w:r w:rsidRPr="0071345C">
        <w:rPr>
          <w:rFonts w:eastAsia="Arial Unicode MS"/>
          <w:i/>
          <w:iCs/>
          <w:lang w:val="de-DE"/>
        </w:rPr>
        <w:t>ṃ</w:t>
      </w:r>
      <w:r w:rsidRPr="0071345C">
        <w:rPr>
          <w:rFonts w:eastAsia="Arial Unicode MS"/>
          <w:i/>
          <w:iCs/>
          <w:lang w:val="de-DE"/>
        </w:rPr>
        <w:t xml:space="preserve">hitā herausgegeben von Dr. Leopold von </w:t>
      </w:r>
      <w:r w:rsidRPr="0071345C">
        <w:rPr>
          <w:rFonts w:eastAsia="Arial Unicode MS"/>
          <w:i/>
          <w:iCs/>
          <w:lang w:val="de-DE"/>
        </w:rPr>
        <w:t>Schroeder.</w:t>
      </w:r>
      <w:r w:rsidRPr="0071345C">
        <w:rPr>
          <w:rFonts w:eastAsia="Arial Unicode MS"/>
          <w:lang w:val="de-DE"/>
        </w:rPr>
        <w:t xml:space="preserve"> </w:t>
      </w:r>
      <w:r>
        <w:rPr>
          <w:rFonts w:eastAsia="Arial Unicode MS"/>
        </w:rPr>
        <w:t>Leipzig: Brockhaus.</w:t>
      </w:r>
    </w:p>
    <w:p w14:paraId="0CAF3AA4" w14:textId="77777777" w:rsidR="00E53EB6" w:rsidRDefault="006500F5">
      <w:pPr>
        <w:pStyle w:val="Heading5"/>
        <w:tabs>
          <w:tab w:val="left" w:pos="0"/>
        </w:tabs>
      </w:pPr>
      <w:r>
        <w:rPr>
          <w:rFonts w:eastAsia="Arial Unicode MS" w:cs="Mangal;Sabon Unicode"/>
          <w:b/>
        </w:rPr>
        <w:t>R̥gveda Sa</w:t>
      </w:r>
      <w:r>
        <w:rPr>
          <w:rFonts w:eastAsia="Arial Unicode MS" w:cs="Mangal;Sabon Unicode"/>
          <w:b/>
        </w:rPr>
        <w:t>ṃ</w:t>
      </w:r>
      <w:r>
        <w:rPr>
          <w:rFonts w:eastAsia="Arial Unicode MS" w:cs="Mangal;Sabon Unicode"/>
          <w:b/>
        </w:rPr>
        <w:t>hitā  - R̥</w:t>
      </w:r>
      <w:r>
        <w:rPr>
          <w:rFonts w:eastAsia="Arial Unicode MS" w:cs="Mangal;Sabon Unicode"/>
          <w:b/>
        </w:rPr>
        <w:t>V</w:t>
      </w:r>
    </w:p>
    <w:p w14:paraId="396959A7" w14:textId="77777777" w:rsidR="00E53EB6" w:rsidRPr="0071345C" w:rsidRDefault="006500F5">
      <w:pPr>
        <w:pStyle w:val="biblioGEN"/>
        <w:rPr>
          <w:lang w:val="de-DE"/>
        </w:rPr>
      </w:pPr>
      <w:r w:rsidRPr="0071345C">
        <w:rPr>
          <w:rStyle w:val="biblio-authorGEN"/>
          <w:lang w:val="it-IT"/>
        </w:rPr>
        <w:t xml:space="preserve">Ambrosini, R. </w:t>
      </w:r>
      <w:r w:rsidRPr="0071345C">
        <w:rPr>
          <w:rFonts w:eastAsia="Arial Unicode MS"/>
          <w:lang w:val="it-IT"/>
        </w:rPr>
        <w:t xml:space="preserve">1981. </w:t>
      </w:r>
      <w:r w:rsidRPr="0071345C">
        <w:rPr>
          <w:rFonts w:eastAsia="Arial Unicode MS"/>
          <w:i/>
          <w:iCs/>
          <w:lang w:val="it-IT"/>
        </w:rPr>
        <w:t>Dal X libro del Rgveda</w:t>
      </w:r>
      <w:r w:rsidRPr="0071345C">
        <w:rPr>
          <w:rFonts w:eastAsia="Arial Unicode MS"/>
          <w:lang w:val="it-IT"/>
        </w:rPr>
        <w:t xml:space="preserve">, </w:t>
      </w:r>
      <w:r w:rsidRPr="0071345C">
        <w:rPr>
          <w:rFonts w:eastAsia="Arial Unicode MS"/>
          <w:i/>
          <w:iCs/>
          <w:lang w:val="it-IT"/>
        </w:rPr>
        <w:t>inni tradotti e commentati da Riccardo Ambrosini.</w:t>
      </w:r>
      <w:r w:rsidRPr="0071345C">
        <w:rPr>
          <w:rFonts w:eastAsia="Arial Unicode MS"/>
          <w:lang w:val="it-IT"/>
        </w:rPr>
        <w:t xml:space="preserve"> </w:t>
      </w:r>
      <w:r w:rsidRPr="0071345C">
        <w:rPr>
          <w:rFonts w:eastAsia="Arial Unicode MS"/>
          <w:lang w:val="de-DE"/>
        </w:rPr>
        <w:t>Pisa: Giardini.</w:t>
      </w:r>
    </w:p>
    <w:p w14:paraId="19A13EBA" w14:textId="77777777" w:rsidR="00E53EB6" w:rsidRDefault="006500F5">
      <w:pPr>
        <w:pStyle w:val="biblioGEN"/>
      </w:pPr>
      <w:r w:rsidRPr="0071345C">
        <w:rPr>
          <w:rStyle w:val="biblio-authorGEN"/>
          <w:lang w:val="de-DE"/>
        </w:rPr>
        <w:t xml:space="preserve">Geldner, K. F. </w:t>
      </w:r>
      <w:r w:rsidRPr="0071345C">
        <w:rPr>
          <w:rFonts w:eastAsia="Arial Unicode MS"/>
          <w:lang w:val="de-DE"/>
        </w:rPr>
        <w:t xml:space="preserve">1951. </w:t>
      </w:r>
      <w:r w:rsidRPr="0071345C">
        <w:rPr>
          <w:rFonts w:eastAsia="Arial Unicode MS"/>
          <w:i/>
          <w:iCs/>
          <w:lang w:val="de-DE"/>
        </w:rPr>
        <w:t>Der Rig-Veda aus dem Sanskrit ins Deutsch übersetzt und mit einem laufe</w:t>
      </w:r>
      <w:r w:rsidRPr="0071345C">
        <w:rPr>
          <w:rFonts w:eastAsia="Arial Unicode MS"/>
          <w:i/>
          <w:iCs/>
          <w:lang w:val="de-DE"/>
        </w:rPr>
        <w:t>nden kommentar versehen</w:t>
      </w:r>
      <w:r w:rsidRPr="0071345C">
        <w:rPr>
          <w:rFonts w:eastAsia="Arial Unicode MS"/>
          <w:lang w:val="de-DE"/>
        </w:rPr>
        <w:t xml:space="preserve"> </w:t>
      </w:r>
      <w:r w:rsidRPr="0071345C">
        <w:rPr>
          <w:rFonts w:eastAsia="Arial Unicode MS"/>
          <w:i/>
          <w:iCs/>
          <w:lang w:val="de-DE"/>
        </w:rPr>
        <w:t xml:space="preserve">von K.F. Geldner. </w:t>
      </w:r>
      <w:r>
        <w:rPr>
          <w:rFonts w:eastAsia="Arial Unicode MS"/>
        </w:rPr>
        <w:t>Cambridge Mass.:</w:t>
      </w:r>
      <w:r>
        <w:rPr>
          <w:rFonts w:eastAsia="Arial Unicode MS"/>
        </w:rPr>
        <w:t xml:space="preserve"> Harvard University Press, 3 Vols.</w:t>
      </w:r>
    </w:p>
    <w:p w14:paraId="59F01DFD" w14:textId="77777777" w:rsidR="00E53EB6" w:rsidRDefault="006500F5">
      <w:pPr>
        <w:pStyle w:val="biblioGEN"/>
      </w:pPr>
      <w:r>
        <w:rPr>
          <w:rStyle w:val="biblio-authorGEN"/>
        </w:rPr>
        <w:t xml:space="preserve">Griffith, R. T. H. - Shastri J. L. </w:t>
      </w:r>
      <w:r>
        <w:rPr>
          <w:rFonts w:eastAsia="Arial Unicode MS" w:cs="Mangal;Sabon Unicode"/>
        </w:rPr>
        <w:t xml:space="preserve">1973. </w:t>
      </w:r>
      <w:r>
        <w:rPr>
          <w:rFonts w:eastAsia="Arial Unicode MS" w:cs="Mangal;Sabon Unicode"/>
          <w:i/>
          <w:iCs/>
        </w:rPr>
        <w:t xml:space="preserve">The Hymns of the Rgveda. </w:t>
      </w:r>
      <w:r>
        <w:rPr>
          <w:rFonts w:eastAsia="Arial Unicode MS" w:cs="Mangal;Sabon Unicode"/>
        </w:rPr>
        <w:t>Delhi:</w:t>
      </w:r>
      <w:r>
        <w:rPr>
          <w:rFonts w:eastAsia="Arial Unicode MS" w:cs="Mangal;Sabon Unicode"/>
        </w:rPr>
        <w:t xml:space="preserve"> Motilal Banarsidass.</w:t>
      </w:r>
      <w:r>
        <w:rPr>
          <w:rFonts w:eastAsia="Arial Unicode MS" w:cs="Lucida Grande"/>
        </w:rPr>
        <w:t xml:space="preserve"> </w:t>
      </w:r>
    </w:p>
    <w:p w14:paraId="6BBB6A7E" w14:textId="77777777" w:rsidR="00E53EB6" w:rsidRDefault="006500F5">
      <w:pPr>
        <w:pStyle w:val="biblioGEN"/>
        <w:rPr>
          <w:rFonts w:eastAsia="Arial Unicode MS"/>
        </w:rPr>
      </w:pPr>
      <w:r>
        <w:rPr>
          <w:rStyle w:val="biblio-authorGEN"/>
          <w:rFonts w:eastAsia="Arial Unicode MS" w:cs="Lucida Grande"/>
        </w:rPr>
        <w:t>Jamison, S. – Brereton</w:t>
      </w:r>
      <w:r>
        <w:rPr>
          <w:rFonts w:eastAsia="Arial Unicode MS" w:cs="Lucida Grande"/>
        </w:rPr>
        <w:t xml:space="preserve">, J.P.  2014. </w:t>
      </w:r>
      <w:r>
        <w:rPr>
          <w:rFonts w:eastAsia="Arial Unicode MS" w:cs="Lucida Grande"/>
          <w:i/>
          <w:iCs/>
        </w:rPr>
        <w:t>The Rigveda: the earliest religi</w:t>
      </w:r>
      <w:r>
        <w:rPr>
          <w:rFonts w:eastAsia="Arial Unicode MS" w:cs="Lucida Grande"/>
          <w:i/>
          <w:iCs/>
        </w:rPr>
        <w:t xml:space="preserve">ous poetry of India. </w:t>
      </w:r>
      <w:r>
        <w:rPr>
          <w:rFonts w:eastAsia="Arial Unicode MS" w:cs="Lucida Grande"/>
        </w:rPr>
        <w:t>New York: Oxford University Press.</w:t>
      </w:r>
    </w:p>
    <w:p w14:paraId="0FF16015" w14:textId="77777777" w:rsidR="00E53EB6" w:rsidRDefault="006500F5">
      <w:pPr>
        <w:pStyle w:val="biblioGEN"/>
      </w:pPr>
      <w:r>
        <w:rPr>
          <w:rStyle w:val="biblio-authorGEN"/>
        </w:rPr>
        <w:t xml:space="preserve">Müller,  F. M. </w:t>
      </w:r>
      <w:r>
        <w:rPr>
          <w:rFonts w:eastAsia="Arial Unicode MS"/>
          <w:smallCaps/>
        </w:rPr>
        <w:t>1849-1874</w:t>
      </w:r>
      <w:r>
        <w:rPr>
          <w:rFonts w:eastAsia="Arial Unicode MS"/>
          <w:smallCaps/>
          <w:lang w:eastAsia="en-GB" w:bidi="en-GB"/>
        </w:rPr>
        <w:t xml:space="preserve">. </w:t>
      </w:r>
      <w:r>
        <w:rPr>
          <w:rFonts w:eastAsia="Arial Unicode MS" w:cs="Mangal;Sabon Unicode"/>
          <w:i/>
          <w:iCs/>
        </w:rPr>
        <w:t>Rig-veda-sanhita: the sacred hymns of the Brahmans, together with the commentary of Sayanacharya</w:t>
      </w:r>
      <w:r>
        <w:rPr>
          <w:rFonts w:eastAsia="Arial Unicode MS" w:cs="Mangal;Sabon Unicode"/>
        </w:rPr>
        <w:t xml:space="preserve"> </w:t>
      </w:r>
      <w:r>
        <w:rPr>
          <w:rFonts w:eastAsia="Arial Unicode MS" w:cs="Mangal;Sabon Unicode"/>
          <w:i/>
          <w:iCs/>
        </w:rPr>
        <w:t xml:space="preserve">edited by Max Müller. </w:t>
      </w:r>
      <w:r>
        <w:rPr>
          <w:rFonts w:eastAsia="Arial Unicode MS" w:cs="Mangal;Sabon Unicode"/>
        </w:rPr>
        <w:t>London:</w:t>
      </w:r>
      <w:r>
        <w:rPr>
          <w:rFonts w:eastAsia="Arial Unicode MS" w:cs="Mangal;Sabon Unicode"/>
        </w:rPr>
        <w:t xml:space="preserve"> Allen. </w:t>
      </w:r>
    </w:p>
    <w:p w14:paraId="39FFC64B" w14:textId="77777777" w:rsidR="00E53EB6" w:rsidRDefault="006500F5">
      <w:pPr>
        <w:pStyle w:val="biblioGEN"/>
      </w:pPr>
      <w:r>
        <w:rPr>
          <w:rStyle w:val="biblio-authorGEN"/>
          <w:rFonts w:eastAsia="Arial Unicode MS" w:cs="Mangal;Sabon Unicode"/>
        </w:rPr>
        <w:t xml:space="preserve">Nooten, B. A. van – Holland, G. B. </w:t>
      </w:r>
      <w:r>
        <w:rPr>
          <w:rFonts w:eastAsia="Arial Unicode MS" w:cs="Mangal;Sabon Unicode"/>
        </w:rPr>
        <w:t xml:space="preserve">1994. </w:t>
      </w:r>
      <w:r>
        <w:rPr>
          <w:rFonts w:eastAsia="Arial Unicode MS" w:cs="Times New Roman"/>
          <w:i/>
          <w:iCs/>
        </w:rPr>
        <w:t xml:space="preserve">Rig Veda, a metrically Restored Text, edited by Barend A. van Nooten and Gary B. Holland. </w:t>
      </w:r>
      <w:r>
        <w:rPr>
          <w:rFonts w:eastAsia="Arial Unicode MS" w:cs="Mangal;Sabon Unicode"/>
          <w:iCs/>
        </w:rPr>
        <w:t xml:space="preserve">Cambridge Mass.: </w:t>
      </w:r>
      <w:r>
        <w:rPr>
          <w:rFonts w:eastAsia="Arial Unicode MS" w:cs="Times New Roman"/>
        </w:rPr>
        <w:t>Harvard University Press</w:t>
      </w:r>
      <w:r>
        <w:rPr>
          <w:rFonts w:eastAsia="Arial Unicode MS" w:cs="Mangal;Sabon Unicode"/>
        </w:rPr>
        <w:t>.</w:t>
      </w:r>
    </w:p>
    <w:p w14:paraId="2466FBB9" w14:textId="77777777" w:rsidR="00E53EB6" w:rsidRPr="0071345C" w:rsidRDefault="006500F5">
      <w:pPr>
        <w:pStyle w:val="biblioGEN"/>
        <w:rPr>
          <w:lang w:val="it-IT"/>
        </w:rPr>
      </w:pPr>
      <w:r>
        <w:rPr>
          <w:rStyle w:val="biblio-authorGEN"/>
        </w:rPr>
        <w:t>O’Flaherty, W. Doniger</w:t>
      </w:r>
      <w:r>
        <w:rPr>
          <w:rStyle w:val="biblio-authorGEN"/>
        </w:rPr>
        <w:tab/>
        <w:t xml:space="preserve">. </w:t>
      </w:r>
      <w:r>
        <w:rPr>
          <w:rFonts w:eastAsia="Arial Unicode MS" w:cs="Mangal;Sabon Unicode"/>
        </w:rPr>
        <w:t>1981.</w:t>
      </w:r>
      <w:r>
        <w:rPr>
          <w:rFonts w:eastAsia="Arial Unicode MS"/>
          <w:smallCaps/>
        </w:rPr>
        <w:tab/>
      </w:r>
      <w:r>
        <w:rPr>
          <w:rFonts w:eastAsia="Arial Unicode MS"/>
          <w:i/>
          <w:iCs/>
        </w:rPr>
        <w:t>The Rig Veda,</w:t>
      </w:r>
      <w:r>
        <w:rPr>
          <w:rFonts w:eastAsia="Arial Unicode MS"/>
        </w:rPr>
        <w:t xml:space="preserve"> </w:t>
      </w:r>
      <w:r>
        <w:rPr>
          <w:rFonts w:eastAsia="Arial Unicode MS" w:cs="Mangal;Sabon Unicode"/>
          <w:i/>
          <w:iCs/>
        </w:rPr>
        <w:t>an anthology; one hundred and eight h</w:t>
      </w:r>
      <w:r>
        <w:rPr>
          <w:rFonts w:eastAsia="Arial Unicode MS" w:cs="Mangal;Sabon Unicode"/>
          <w:i/>
          <w:iCs/>
        </w:rPr>
        <w:t xml:space="preserve">ymns selected, translated and annotated by Wendy Doniger O'Flaherty. </w:t>
      </w:r>
      <w:r w:rsidRPr="0071345C">
        <w:rPr>
          <w:rFonts w:eastAsia="Arial Unicode MS" w:cs="Mangal;Sabon Unicode"/>
          <w:lang w:val="it-IT"/>
        </w:rPr>
        <w:t>London:</w:t>
      </w:r>
      <w:r w:rsidRPr="0071345C">
        <w:rPr>
          <w:rFonts w:eastAsia="Arial Unicode MS" w:cs="Mangal;Sabon Unicode"/>
          <w:i/>
          <w:iCs/>
          <w:lang w:val="it-IT"/>
        </w:rPr>
        <w:t xml:space="preserve"> </w:t>
      </w:r>
      <w:r w:rsidRPr="0071345C">
        <w:rPr>
          <w:rFonts w:eastAsia="Arial Unicode MS" w:cs="Mangal;Sabon Unicode"/>
          <w:lang w:val="it-IT"/>
        </w:rPr>
        <w:t xml:space="preserve">Penguin Books. </w:t>
      </w:r>
    </w:p>
    <w:p w14:paraId="1DD39ED5" w14:textId="77777777" w:rsidR="00E53EB6" w:rsidRPr="0071345C" w:rsidRDefault="006500F5">
      <w:pPr>
        <w:pStyle w:val="biblioGEN"/>
        <w:rPr>
          <w:lang w:val="it-IT"/>
        </w:rPr>
      </w:pPr>
      <w:r w:rsidRPr="0071345C">
        <w:rPr>
          <w:rStyle w:val="biblio-authorGEN"/>
          <w:lang w:val="it-IT"/>
        </w:rPr>
        <w:t xml:space="preserve">Papesso, V. </w:t>
      </w:r>
      <w:r w:rsidRPr="0071345C">
        <w:rPr>
          <w:rFonts w:eastAsia="Arial Unicode MS" w:cs="Mangal;Sabon Unicode"/>
          <w:lang w:val="it-IT"/>
        </w:rPr>
        <w:t>1979</w:t>
      </w:r>
      <w:r w:rsidRPr="0071345C">
        <w:rPr>
          <w:rFonts w:eastAsia="Arial Unicode MS" w:cs="Mangal;Sabon Unicode"/>
          <w:lang w:val="it-IT"/>
        </w:rPr>
        <w:tab/>
        <w:t xml:space="preserve">. </w:t>
      </w:r>
      <w:r w:rsidRPr="0071345C">
        <w:rPr>
          <w:rFonts w:eastAsia="Arial Unicode MS" w:cs="Mangal;Sabon Unicode"/>
          <w:i/>
          <w:iCs/>
          <w:lang w:val="it-IT"/>
        </w:rPr>
        <w:t>Inni del Rgveda, prefazione, introduzione e note di Valentino Papesso.</w:t>
      </w:r>
      <w:r w:rsidRPr="0071345C">
        <w:rPr>
          <w:rFonts w:eastAsia="Arial Unicode MS" w:cs="Mangal;Sabon Unicode"/>
          <w:lang w:val="it-IT"/>
        </w:rPr>
        <w:t xml:space="preserve"> Roma: Ubaldini.</w:t>
      </w:r>
    </w:p>
    <w:p w14:paraId="5A8114D0" w14:textId="77777777" w:rsidR="00E53EB6" w:rsidRPr="0071345C" w:rsidRDefault="006500F5">
      <w:pPr>
        <w:pStyle w:val="biblioGEN"/>
        <w:rPr>
          <w:lang w:val="it-IT"/>
        </w:rPr>
      </w:pPr>
      <w:commentRangeStart w:id="98"/>
      <w:commentRangeEnd w:id="98"/>
      <w:r>
        <w:commentReference w:id="98"/>
      </w:r>
      <w:r w:rsidRPr="0071345C">
        <w:rPr>
          <w:rStyle w:val="biblio-authorGEN"/>
          <w:shd w:val="clear" w:color="auto" w:fill="FFFF00"/>
          <w:lang w:val="it-IT"/>
        </w:rPr>
        <w:t xml:space="preserve">Sani, S.  </w:t>
      </w:r>
      <w:r w:rsidRPr="0071345C">
        <w:rPr>
          <w:rFonts w:eastAsia="Arial Unicode MS"/>
          <w:shd w:val="clear" w:color="auto" w:fill="FFFF00"/>
          <w:lang w:val="it-IT"/>
        </w:rPr>
        <w:t xml:space="preserve">2000. </w:t>
      </w:r>
      <w:r w:rsidRPr="0071345C">
        <w:rPr>
          <w:rFonts w:eastAsia="Arial Unicode MS"/>
          <w:i/>
          <w:iCs/>
          <w:shd w:val="clear" w:color="auto" w:fill="FFFF00"/>
          <w:lang w:val="it-IT"/>
        </w:rPr>
        <w:t>Rig-veda.</w:t>
      </w:r>
      <w:r w:rsidRPr="0071345C">
        <w:rPr>
          <w:rFonts w:eastAsia="Arial Unicode MS"/>
          <w:shd w:val="clear" w:color="auto" w:fill="FFFF00"/>
          <w:lang w:val="it-IT"/>
        </w:rPr>
        <w:t xml:space="preserve"> </w:t>
      </w:r>
      <w:r w:rsidRPr="0071345C">
        <w:rPr>
          <w:rFonts w:eastAsia="Arial Unicode MS"/>
          <w:i/>
          <w:iCs/>
          <w:shd w:val="clear" w:color="auto" w:fill="FFFF00"/>
          <w:lang w:val="it-IT"/>
        </w:rPr>
        <w:t xml:space="preserve">Le strofe della sapienza. </w:t>
      </w:r>
      <w:r w:rsidRPr="0071345C">
        <w:rPr>
          <w:rFonts w:eastAsia="Arial Unicode MS"/>
          <w:shd w:val="clear" w:color="auto" w:fill="FFFF00"/>
          <w:lang w:val="it-IT"/>
        </w:rPr>
        <w:t>Venezia:</w:t>
      </w:r>
      <w:r w:rsidRPr="0071345C">
        <w:rPr>
          <w:rFonts w:eastAsia="Arial Unicode MS"/>
          <w:i/>
          <w:iCs/>
          <w:shd w:val="clear" w:color="auto" w:fill="FFFF00"/>
          <w:lang w:val="it-IT"/>
        </w:rPr>
        <w:t xml:space="preserve"> </w:t>
      </w:r>
      <w:r w:rsidRPr="0071345C">
        <w:rPr>
          <w:rFonts w:eastAsia="Arial Unicode MS"/>
          <w:shd w:val="clear" w:color="auto" w:fill="FFFF00"/>
          <w:lang w:val="it-IT"/>
        </w:rPr>
        <w:t>Marsilio.</w:t>
      </w:r>
    </w:p>
    <w:p w14:paraId="25085BB0" w14:textId="77777777" w:rsidR="00E53EB6" w:rsidRDefault="006500F5">
      <w:pPr>
        <w:pStyle w:val="biblioGEN"/>
      </w:pPr>
      <w:r w:rsidRPr="0071345C">
        <w:rPr>
          <w:rStyle w:val="biblio-authorGEN"/>
          <w:shd w:val="clear" w:color="auto" w:fill="FFFF00"/>
          <w:lang w:val="it-IT"/>
        </w:rPr>
        <w:t xml:space="preserve">Renou, L. </w:t>
      </w:r>
      <w:r w:rsidRPr="0071345C">
        <w:rPr>
          <w:rFonts w:eastAsia="Arial Unicode MS" w:cs="Times Ext Roman"/>
          <w:color w:val="000000"/>
          <w:shd w:val="clear" w:color="auto" w:fill="FFFF00"/>
          <w:lang w:val="it-IT" w:eastAsia="it-IT" w:bidi="it-IT"/>
        </w:rPr>
        <w:t xml:space="preserve">1955-1969. </w:t>
      </w:r>
      <w:r w:rsidRPr="0071345C">
        <w:rPr>
          <w:rFonts w:eastAsia="Arial Unicode MS" w:cs="Times Ext Roman"/>
          <w:i/>
          <w:iCs/>
          <w:color w:val="000000"/>
          <w:shd w:val="clear" w:color="auto" w:fill="FFFF00"/>
          <w:lang w:val="it-IT" w:eastAsia="it-IT" w:bidi="it-IT"/>
        </w:rPr>
        <w:t>Études védiques et pā</w:t>
      </w:r>
      <w:r w:rsidRPr="0071345C">
        <w:rPr>
          <w:rFonts w:eastAsia="Arial Unicode MS" w:cs="Times Ext Roman"/>
          <w:i/>
          <w:iCs/>
          <w:color w:val="000000"/>
          <w:shd w:val="clear" w:color="auto" w:fill="FFFF00"/>
          <w:lang w:val="it-IT" w:eastAsia="it-IT" w:bidi="it-IT"/>
        </w:rPr>
        <w:t>ṇ</w:t>
      </w:r>
      <w:r w:rsidRPr="0071345C">
        <w:rPr>
          <w:rFonts w:eastAsia="Arial Unicode MS" w:cs="Times Ext Roman"/>
          <w:i/>
          <w:iCs/>
          <w:color w:val="000000"/>
          <w:shd w:val="clear" w:color="auto" w:fill="FFFF00"/>
          <w:lang w:val="it-IT" w:eastAsia="it-IT" w:bidi="it-IT"/>
        </w:rPr>
        <w:t xml:space="preserve">inéennes. </w:t>
      </w:r>
      <w:r>
        <w:rPr>
          <w:rFonts w:eastAsia="Arial Unicode MS" w:cs="Times Ext Roman"/>
          <w:color w:val="000000"/>
          <w:shd w:val="clear" w:color="auto" w:fill="FFFF00"/>
          <w:lang w:eastAsia="it-IT" w:bidi="it-IT"/>
        </w:rPr>
        <w:t>Paris:</w:t>
      </w:r>
      <w:r>
        <w:rPr>
          <w:rFonts w:eastAsia="Arial Unicode MS" w:cs="Times Ext Roman"/>
          <w:color w:val="000000"/>
          <w:shd w:val="clear" w:color="auto" w:fill="FFFF00"/>
          <w:lang w:eastAsia="it-IT" w:bidi="it-IT"/>
        </w:rPr>
        <w:t xml:space="preserve"> </w:t>
      </w:r>
      <w:r>
        <w:rPr>
          <w:rFonts w:eastAsia="Arial Unicode MS" w:cs="Mangal;Sabon Unicode"/>
          <w:color w:val="000000"/>
          <w:shd w:val="clear" w:color="auto" w:fill="FFFF00"/>
          <w:lang w:eastAsia="it-IT" w:bidi="it-IT"/>
        </w:rPr>
        <w:t>E. de Boccard,</w:t>
      </w:r>
      <w:r>
        <w:rPr>
          <w:rFonts w:eastAsia="Arial Unicode MS" w:cs="Times Ext Roman"/>
          <w:color w:val="000000"/>
          <w:shd w:val="clear" w:color="auto" w:fill="FFFF00"/>
          <w:lang w:eastAsia="it-IT" w:bidi="it-IT"/>
        </w:rPr>
        <w:t xml:space="preserve"> 17 Vols.</w:t>
      </w:r>
    </w:p>
    <w:p w14:paraId="4CB22689" w14:textId="77777777" w:rsidR="00E53EB6" w:rsidRPr="0071345C" w:rsidRDefault="006500F5">
      <w:pPr>
        <w:pStyle w:val="biblioGEN"/>
        <w:rPr>
          <w:lang w:val="de-DE"/>
        </w:rPr>
      </w:pPr>
      <w:r w:rsidRPr="0071345C">
        <w:rPr>
          <w:rStyle w:val="biblio-authorGEN"/>
          <w:rFonts w:eastAsia="Arial Unicode MS"/>
          <w:lang w:val="de-DE"/>
        </w:rPr>
        <w:t>Witzel, M. – Gotō, T.</w:t>
      </w:r>
      <w:r w:rsidRPr="0071345C">
        <w:rPr>
          <w:rFonts w:eastAsia="Arial Unicode MS"/>
          <w:lang w:val="de-DE"/>
        </w:rPr>
        <w:t xml:space="preserve"> 2007. </w:t>
      </w:r>
      <w:r w:rsidRPr="0071345C">
        <w:rPr>
          <w:rFonts w:eastAsia="Arial Unicode MS"/>
          <w:i/>
          <w:lang w:val="de-DE"/>
        </w:rPr>
        <w:t>Rig-Veda: das heilige Wissen.</w:t>
      </w:r>
      <w:r w:rsidRPr="0071345C">
        <w:rPr>
          <w:rFonts w:eastAsia="Arial Unicode MS"/>
          <w:lang w:val="de-DE"/>
        </w:rPr>
        <w:t xml:space="preserve"> </w:t>
      </w:r>
      <w:r w:rsidRPr="0071345C">
        <w:rPr>
          <w:rFonts w:eastAsia="Arial Unicode MS"/>
          <w:i/>
          <w:lang w:val="de-DE"/>
        </w:rPr>
        <w:t>Erster und zweiter Liederkreis.</w:t>
      </w:r>
      <w:r w:rsidRPr="0071345C">
        <w:rPr>
          <w:rFonts w:eastAsia="Arial Unicode MS"/>
          <w:lang w:val="de-DE"/>
        </w:rPr>
        <w:t xml:space="preserve"> Frankfurt am Main:  Verlag der Weltr</w:t>
      </w:r>
      <w:r w:rsidRPr="0071345C">
        <w:rPr>
          <w:rFonts w:eastAsia="Arial Unicode MS"/>
          <w:lang w:val="de-DE"/>
        </w:rPr>
        <w:t>eligionen.</w:t>
      </w:r>
    </w:p>
    <w:p w14:paraId="697D2711" w14:textId="77777777" w:rsidR="00E53EB6" w:rsidRDefault="006500F5">
      <w:pPr>
        <w:pStyle w:val="biblioGEN"/>
      </w:pPr>
      <w:r w:rsidRPr="0071345C">
        <w:rPr>
          <w:rStyle w:val="biblio-authorGEN"/>
          <w:rFonts w:eastAsia="Arial Unicode MS"/>
          <w:lang w:val="it-IT"/>
        </w:rPr>
        <w:t>Witzel, M. – Gotō, T. – Scarlata, S.</w:t>
      </w:r>
      <w:r w:rsidRPr="0071345C">
        <w:rPr>
          <w:rFonts w:eastAsia="Arial Unicode MS"/>
          <w:lang w:val="it-IT"/>
        </w:rPr>
        <w:t xml:space="preserve"> 2013. </w:t>
      </w:r>
      <w:r w:rsidRPr="0071345C">
        <w:rPr>
          <w:rFonts w:eastAsia="Arial Unicode MS"/>
          <w:i/>
          <w:iCs/>
          <w:lang w:val="de-DE"/>
        </w:rPr>
        <w:t>Rig-Veda: das heilige Wissen; dritter bis fünfter Liederkreis.</w:t>
      </w:r>
      <w:r w:rsidRPr="0071345C">
        <w:rPr>
          <w:rFonts w:eastAsia="Arial Unicode MS"/>
          <w:lang w:val="de-DE"/>
        </w:rPr>
        <w:t xml:space="preserve"> </w:t>
      </w:r>
      <w:r>
        <w:rPr>
          <w:rFonts w:eastAsia="Arial Unicode MS"/>
        </w:rPr>
        <w:t>Frankfurt am Main:  Verlag der Weltreligionen.</w:t>
      </w:r>
    </w:p>
    <w:p w14:paraId="01509417" w14:textId="77777777" w:rsidR="00E53EB6" w:rsidRDefault="006500F5">
      <w:pPr>
        <w:pStyle w:val="Heading5"/>
        <w:tabs>
          <w:tab w:val="left" w:pos="0"/>
        </w:tabs>
        <w:rPr>
          <w:b/>
        </w:rPr>
      </w:pPr>
      <w:r>
        <w:rPr>
          <w:b/>
        </w:rPr>
        <w:t>Taittirīya Brāhma</w:t>
      </w:r>
      <w:r>
        <w:rPr>
          <w:b/>
        </w:rPr>
        <w:t>ṇ</w:t>
      </w:r>
      <w:r>
        <w:rPr>
          <w:b/>
        </w:rPr>
        <w:t>a – TB</w:t>
      </w:r>
    </w:p>
    <w:p w14:paraId="0B4DF2D3" w14:textId="77777777" w:rsidR="00E53EB6" w:rsidRDefault="006500F5">
      <w:pPr>
        <w:pStyle w:val="biblioGEN"/>
      </w:pPr>
      <w:r>
        <w:rPr>
          <w:rStyle w:val="biblio-authorGEN"/>
          <w:color w:val="000000"/>
        </w:rPr>
        <w:t>Rājendralāla.</w:t>
      </w:r>
      <w:r>
        <w:rPr>
          <w:color w:val="000000"/>
        </w:rPr>
        <w:t xml:space="preserve"> 1862. </w:t>
      </w:r>
      <w:r>
        <w:rPr>
          <w:i/>
          <w:color w:val="000000"/>
        </w:rPr>
        <w:t xml:space="preserve">The </w:t>
      </w:r>
      <w:r>
        <w:rPr>
          <w:i/>
        </w:rPr>
        <w:t>Taittirīya Brāhma</w:t>
      </w:r>
      <w:r>
        <w:rPr>
          <w:i/>
        </w:rPr>
        <w:t>ṇ</w:t>
      </w:r>
      <w:r>
        <w:rPr>
          <w:i/>
        </w:rPr>
        <w:t xml:space="preserve">a with the </w:t>
      </w:r>
      <w:r>
        <w:rPr>
          <w:i/>
        </w:rPr>
        <w:t>commentary of Sāya</w:t>
      </w:r>
      <w:r>
        <w:rPr>
          <w:i/>
        </w:rPr>
        <w:t>ṇ</w:t>
      </w:r>
      <w:r>
        <w:rPr>
          <w:i/>
        </w:rPr>
        <w:t>ācārya</w:t>
      </w:r>
      <w:r>
        <w:t xml:space="preserve">, </w:t>
      </w:r>
      <w:r>
        <w:rPr>
          <w:i/>
          <w:iCs/>
        </w:rPr>
        <w:t>edited by Rājendralāla Mitra</w:t>
      </w:r>
      <w:r>
        <w:t>. Calcutta: Bibliotheca Indica</w:t>
      </w:r>
      <w:r>
        <w:rPr>
          <w:color w:val="000000"/>
        </w:rPr>
        <w:t>.</w:t>
      </w:r>
    </w:p>
    <w:p w14:paraId="48695288" w14:textId="77777777" w:rsidR="00E53EB6" w:rsidRDefault="006500F5">
      <w:pPr>
        <w:pStyle w:val="biblioGEN"/>
      </w:pPr>
      <w:r>
        <w:rPr>
          <w:rStyle w:val="biblio-authorGEN"/>
          <w:color w:val="000000"/>
        </w:rPr>
        <w:t>Sastri Mahadeva, A. - Srinivasacharya, L. (</w:t>
      </w:r>
      <w:r>
        <w:rPr>
          <w:rFonts w:eastAsia="Arial Unicode MS"/>
          <w:color w:val="000000"/>
        </w:rPr>
        <w:t xml:space="preserve">1911-1921) 1985. </w:t>
      </w:r>
      <w:r>
        <w:rPr>
          <w:rFonts w:eastAsia="Arial Unicode MS"/>
          <w:i/>
          <w:iCs/>
          <w:color w:val="000000"/>
        </w:rPr>
        <w:t>Taittirīya Brāhma</w:t>
      </w:r>
      <w:r>
        <w:rPr>
          <w:rFonts w:eastAsia="Arial Unicode MS"/>
          <w:i/>
          <w:iCs/>
          <w:color w:val="000000"/>
        </w:rPr>
        <w:t>ṇ</w:t>
      </w:r>
      <w:r>
        <w:rPr>
          <w:rFonts w:eastAsia="Arial Unicode MS"/>
          <w:i/>
          <w:iCs/>
          <w:color w:val="000000"/>
        </w:rPr>
        <w:t>a, with the commentary of Bha</w:t>
      </w:r>
      <w:r>
        <w:rPr>
          <w:rFonts w:eastAsia="Arial Unicode MS"/>
          <w:i/>
          <w:iCs/>
          <w:color w:val="000000"/>
        </w:rPr>
        <w:t>ṭṭ</w:t>
      </w:r>
      <w:r>
        <w:rPr>
          <w:rFonts w:eastAsia="Arial Unicode MS"/>
          <w:i/>
          <w:iCs/>
          <w:color w:val="000000"/>
        </w:rPr>
        <w:t>a Bhāskara Miśra.</w:t>
      </w:r>
      <w:r>
        <w:rPr>
          <w:rFonts w:eastAsia="Arial Unicode MS"/>
          <w:color w:val="000000"/>
        </w:rPr>
        <w:t xml:space="preserve"> Delhi: Motilal Banarsidass.</w:t>
      </w:r>
    </w:p>
    <w:p w14:paraId="0B90147F" w14:textId="77777777" w:rsidR="00E53EB6" w:rsidRDefault="006500F5">
      <w:pPr>
        <w:pStyle w:val="Heading5"/>
        <w:tabs>
          <w:tab w:val="left" w:pos="0"/>
        </w:tabs>
      </w:pPr>
      <w:r>
        <w:rPr>
          <w:rFonts w:eastAsia="Arial Unicode MS" w:cs="Times Ext Roman"/>
          <w:b/>
          <w:lang w:bidi="it-IT"/>
        </w:rPr>
        <w:lastRenderedPageBreak/>
        <w:t>Taittirīya Sa</w:t>
      </w:r>
      <w:r>
        <w:rPr>
          <w:rFonts w:eastAsia="Arial Unicode MS" w:cs="Times Ext Roman"/>
          <w:b/>
          <w:lang w:bidi="it-IT"/>
        </w:rPr>
        <w:t>ṃ</w:t>
      </w:r>
      <w:r>
        <w:rPr>
          <w:rFonts w:eastAsia="Arial Unicode MS" w:cs="Times Ext Roman"/>
          <w:b/>
          <w:lang w:bidi="it-IT"/>
        </w:rPr>
        <w:t xml:space="preserve">hitā – </w:t>
      </w:r>
      <w:r>
        <w:rPr>
          <w:rFonts w:eastAsia="Arial Unicode MS" w:cs="Times Ext Roman"/>
          <w:b/>
          <w:lang w:bidi="it-IT"/>
        </w:rPr>
        <w:t>TS</w:t>
      </w:r>
    </w:p>
    <w:p w14:paraId="316F0948" w14:textId="77777777" w:rsidR="00E53EB6" w:rsidRDefault="006500F5">
      <w:pPr>
        <w:pStyle w:val="biblioGEN"/>
      </w:pPr>
      <w:r>
        <w:rPr>
          <w:rStyle w:val="biblio-authorGEN"/>
        </w:rPr>
        <w:t xml:space="preserve">Keith, A. B. </w:t>
      </w:r>
      <w:r>
        <w:rPr>
          <w:rFonts w:eastAsia="Arial Unicode MS" w:cs="Times Ext Roman"/>
          <w:color w:val="000000"/>
          <w:lang w:eastAsia="it-IT" w:bidi="it-IT"/>
        </w:rPr>
        <w:t xml:space="preserve">1914. </w:t>
      </w:r>
      <w:r>
        <w:rPr>
          <w:rFonts w:eastAsia="Arial Unicode MS" w:cs="Times Ext Roman"/>
          <w:i/>
          <w:iCs/>
          <w:color w:val="000000"/>
          <w:lang w:eastAsia="it-IT" w:bidi="it-IT"/>
        </w:rPr>
        <w:t xml:space="preserve">The Veda of the Black Yajus School entitled Taittiriya Sanhita. </w:t>
      </w:r>
      <w:r>
        <w:rPr>
          <w:rFonts w:eastAsia="Arial Unicode MS" w:cs="Times Ext Roman"/>
          <w:color w:val="000000"/>
          <w:lang w:eastAsia="it-IT" w:bidi="it-IT"/>
        </w:rPr>
        <w:t xml:space="preserve">Cambridge Mass.: </w:t>
      </w:r>
      <w:r>
        <w:rPr>
          <w:rFonts w:eastAsia="Arial Unicode MS" w:cs="Times Ext Roman"/>
          <w:color w:val="000000"/>
          <w:lang w:eastAsia="it-IT" w:bidi="it-IT"/>
        </w:rPr>
        <w:t>Harvard University Press, 2 Vols.</w:t>
      </w:r>
    </w:p>
    <w:p w14:paraId="0BC3CB07" w14:textId="77777777" w:rsidR="00E53EB6" w:rsidRDefault="006500F5">
      <w:pPr>
        <w:pStyle w:val="biblioGEN"/>
      </w:pPr>
      <w:r>
        <w:rPr>
          <w:rStyle w:val="biblio-authorGEN"/>
          <w:rFonts w:eastAsia="Arial Unicode MS" w:cs="Times Ext Roman"/>
          <w:color w:val="000000"/>
          <w:lang w:eastAsia="it-IT" w:bidi="it-IT"/>
        </w:rPr>
        <w:t xml:space="preserve">Weber, A. </w:t>
      </w:r>
      <w:r>
        <w:rPr>
          <w:rFonts w:eastAsia="Arial Unicode MS" w:cs="Times Ext Roman"/>
          <w:color w:val="000000"/>
          <w:lang w:eastAsia="it-IT" w:bidi="it-IT"/>
        </w:rPr>
        <w:t xml:space="preserve">1871-1872. </w:t>
      </w:r>
      <w:r>
        <w:rPr>
          <w:rFonts w:eastAsia="Arial Unicode MS" w:cs="Times Ext Roman"/>
          <w:i/>
          <w:iCs/>
          <w:color w:val="000000"/>
          <w:lang w:eastAsia="it-IT" w:bidi="it-IT"/>
        </w:rPr>
        <w:t>Die Taittirîya-Sa</w:t>
      </w:r>
      <w:r>
        <w:rPr>
          <w:rFonts w:eastAsia="Arial Unicode MS" w:cs="Times Ext Roman"/>
          <w:i/>
          <w:iCs/>
          <w:color w:val="000000"/>
          <w:lang w:eastAsia="it-IT" w:bidi="it-IT"/>
        </w:rPr>
        <w:t>ṃ</w:t>
      </w:r>
      <w:r>
        <w:rPr>
          <w:rFonts w:eastAsia="Arial Unicode MS" w:cs="Times Ext Roman"/>
          <w:i/>
          <w:iCs/>
          <w:color w:val="000000"/>
          <w:lang w:eastAsia="it-IT" w:bidi="it-IT"/>
        </w:rPr>
        <w:t xml:space="preserve">hitâ. </w:t>
      </w:r>
      <w:r>
        <w:rPr>
          <w:rFonts w:eastAsia="Arial Unicode MS" w:cs="Times Ext Roman"/>
          <w:color w:val="000000"/>
          <w:lang w:eastAsia="it-IT" w:bidi="it-IT"/>
        </w:rPr>
        <w:t>Leipzig: Brockhaus.</w:t>
      </w:r>
    </w:p>
    <w:p w14:paraId="71508409" w14:textId="77777777" w:rsidR="00E53EB6" w:rsidRDefault="006500F5">
      <w:pPr>
        <w:pStyle w:val="Heading5"/>
        <w:tabs>
          <w:tab w:val="left" w:pos="0"/>
        </w:tabs>
      </w:pPr>
      <w:r>
        <w:rPr>
          <w:rFonts w:eastAsia="Arial Unicode MS" w:cs="Times Ext Roman"/>
          <w:b/>
          <w:lang w:bidi="it-IT"/>
        </w:rPr>
        <w:t>Śatapatha Brāhma</w:t>
      </w:r>
      <w:r>
        <w:rPr>
          <w:rFonts w:eastAsia="Arial Unicode MS" w:cs="Times Ext Roman"/>
          <w:b/>
          <w:lang w:bidi="it-IT"/>
        </w:rPr>
        <w:t>ṇ</w:t>
      </w:r>
      <w:r>
        <w:rPr>
          <w:rFonts w:eastAsia="Arial Unicode MS" w:cs="Times Ext Roman"/>
          <w:b/>
          <w:lang w:bidi="it-IT"/>
        </w:rPr>
        <w:t>a, Mādhya</w:t>
      </w:r>
      <w:r>
        <w:rPr>
          <w:rFonts w:eastAsia="Arial Unicode MS" w:cs="Times Ext Roman"/>
          <w:b/>
          <w:lang w:bidi="it-IT"/>
        </w:rPr>
        <w:t>ṃ</w:t>
      </w:r>
      <w:r>
        <w:rPr>
          <w:rFonts w:eastAsia="Arial Unicode MS" w:cs="Times Ext Roman"/>
          <w:b/>
          <w:lang w:bidi="it-IT"/>
        </w:rPr>
        <w:t>dina</w:t>
      </w:r>
      <w:r>
        <w:rPr>
          <w:rFonts w:eastAsia="Arial Unicode MS" w:cs="Times Ext Roman"/>
          <w:b/>
          <w:lang w:bidi="it-IT"/>
        </w:rPr>
        <w:t xml:space="preserve"> recension – </w:t>
      </w:r>
      <w:r>
        <w:rPr>
          <w:rFonts w:eastAsia="Arial Unicode MS" w:cs="Times Ext Roman"/>
          <w:b/>
          <w:lang w:bidi="it-IT"/>
        </w:rPr>
        <w:t>ŚB</w:t>
      </w:r>
    </w:p>
    <w:p w14:paraId="38E64BD3" w14:textId="77777777" w:rsidR="00E53EB6" w:rsidRDefault="006500F5">
      <w:pPr>
        <w:pStyle w:val="biblioGEN"/>
      </w:pPr>
      <w:r>
        <w:rPr>
          <w:rStyle w:val="biblio-authorGEN"/>
          <w:rFonts w:eastAsia="Arial Unicode MS" w:cs="Times Ext Roman"/>
          <w:color w:val="000000"/>
          <w:lang w:eastAsia="it-IT" w:bidi="it-IT"/>
        </w:rPr>
        <w:t xml:space="preserve">Eggeling, J. </w:t>
      </w:r>
      <w:r>
        <w:rPr>
          <w:rFonts w:eastAsia="Arial Unicode MS" w:cs="Times Ext Roman"/>
          <w:color w:val="000000"/>
          <w:lang w:eastAsia="it-IT" w:bidi="it-IT"/>
        </w:rPr>
        <w:t xml:space="preserve">1882-1900. </w:t>
      </w:r>
      <w:r>
        <w:rPr>
          <w:rFonts w:eastAsia="Arial Unicode MS" w:cs="Times Ext Roman"/>
          <w:i/>
          <w:iCs/>
          <w:color w:val="000000"/>
          <w:lang w:eastAsia="it-IT" w:bidi="it-IT"/>
        </w:rPr>
        <w:t>The Śatapathabr</w:t>
      </w:r>
      <w:r>
        <w:rPr>
          <w:rFonts w:eastAsia="Arial Unicode MS" w:cs="Times Ext Roman"/>
          <w:color w:val="000000"/>
          <w:lang w:eastAsia="it-IT" w:bidi="it-IT"/>
        </w:rPr>
        <w:t>ā</w:t>
      </w:r>
      <w:r>
        <w:rPr>
          <w:rFonts w:eastAsia="Arial Unicode MS" w:cs="Times Ext Roman"/>
          <w:i/>
          <w:iCs/>
          <w:color w:val="000000"/>
          <w:lang w:eastAsia="it-IT" w:bidi="it-IT"/>
        </w:rPr>
        <w:t>hma</w:t>
      </w:r>
      <w:r>
        <w:rPr>
          <w:rFonts w:eastAsia="Arial Unicode MS" w:cs="Times Ext Roman"/>
          <w:i/>
          <w:iCs/>
          <w:color w:val="000000"/>
          <w:lang w:eastAsia="it-IT" w:bidi="it-IT"/>
        </w:rPr>
        <w:t>ṇ</w:t>
      </w:r>
      <w:r>
        <w:rPr>
          <w:rFonts w:eastAsia="Arial Unicode MS" w:cs="Times Ext Roman"/>
          <w:i/>
          <w:iCs/>
          <w:color w:val="000000"/>
          <w:lang w:eastAsia="it-IT" w:bidi="it-IT"/>
        </w:rPr>
        <w:t xml:space="preserve">a, according to the Mādhyandina school translated by J. Eggeling, The Sacred Book of the East, edited by F. M. Müller. </w:t>
      </w:r>
      <w:r>
        <w:rPr>
          <w:rFonts w:eastAsia="Arial Unicode MS" w:cs="Times Ext Roman"/>
          <w:color w:val="000000"/>
          <w:lang w:eastAsia="it-IT" w:bidi="it-IT"/>
        </w:rPr>
        <w:t>Oxford: Oxford University Press, 5 Vols.</w:t>
      </w:r>
    </w:p>
    <w:p w14:paraId="75F7AF8C" w14:textId="77777777" w:rsidR="00E53EB6" w:rsidRDefault="006500F5">
      <w:pPr>
        <w:pStyle w:val="biblioGEN"/>
      </w:pPr>
      <w:r>
        <w:rPr>
          <w:rStyle w:val="biblio-authorGEN"/>
          <w:rFonts w:eastAsia="Arial Unicode MS" w:cs="Times Ext Roman"/>
          <w:color w:val="000000"/>
          <w:lang w:eastAsia="it-IT" w:bidi="it-IT"/>
        </w:rPr>
        <w:t xml:space="preserve">Weber, A. </w:t>
      </w:r>
      <w:r>
        <w:rPr>
          <w:rFonts w:eastAsia="Arial Unicode MS" w:cs="Times Ext Roman"/>
          <w:color w:val="000000"/>
          <w:lang w:eastAsia="it-IT" w:bidi="it-IT"/>
        </w:rPr>
        <w:t xml:space="preserve">1924. </w:t>
      </w:r>
      <w:r>
        <w:rPr>
          <w:rFonts w:eastAsia="Arial Unicode MS" w:cs="Times Ext Roman"/>
          <w:i/>
          <w:iCs/>
          <w:color w:val="000000"/>
          <w:lang w:eastAsia="it-IT" w:bidi="it-IT"/>
        </w:rPr>
        <w:t>The Śatapatha Brāhma</w:t>
      </w:r>
      <w:r>
        <w:rPr>
          <w:rFonts w:eastAsia="Arial Unicode MS" w:cs="Times Ext Roman"/>
          <w:i/>
          <w:iCs/>
          <w:color w:val="000000"/>
          <w:lang w:eastAsia="it-IT" w:bidi="it-IT"/>
        </w:rPr>
        <w:t>ṇ</w:t>
      </w:r>
      <w:r>
        <w:rPr>
          <w:rFonts w:eastAsia="Arial Unicode MS" w:cs="Times Ext Roman"/>
          <w:i/>
          <w:iCs/>
          <w:color w:val="000000"/>
          <w:lang w:eastAsia="it-IT" w:bidi="it-IT"/>
        </w:rPr>
        <w:t>a in the Mādhyandina-śākhā with extracts from the commentaries of Sāya</w:t>
      </w:r>
      <w:r>
        <w:rPr>
          <w:rFonts w:eastAsia="Arial Unicode MS" w:cs="Times Ext Roman"/>
          <w:i/>
          <w:iCs/>
          <w:color w:val="000000"/>
          <w:lang w:eastAsia="it-IT" w:bidi="it-IT"/>
        </w:rPr>
        <w:t>ṇ</w:t>
      </w:r>
      <w:r>
        <w:rPr>
          <w:rFonts w:eastAsia="Arial Unicode MS" w:cs="Times Ext Roman"/>
          <w:i/>
          <w:iCs/>
          <w:color w:val="000000"/>
          <w:lang w:eastAsia="it-IT" w:bidi="it-IT"/>
        </w:rPr>
        <w:t xml:space="preserve">a, Harisvāmin and Dvivedaganga, edited by Dr. Albrecht Weber. </w:t>
      </w:r>
      <w:r>
        <w:rPr>
          <w:rFonts w:eastAsia="Arial Unicode MS" w:cs="Times Ext Roman"/>
          <w:color w:val="000000"/>
          <w:lang w:eastAsia="it-IT" w:bidi="it-IT"/>
        </w:rPr>
        <w:t>Leipzig:</w:t>
      </w:r>
      <w:r>
        <w:rPr>
          <w:rFonts w:eastAsia="Arial Unicode MS" w:cs="Times Ext Roman"/>
          <w:color w:val="000000"/>
          <w:lang w:eastAsia="it-IT" w:bidi="it-IT"/>
        </w:rPr>
        <w:t xml:space="preserve"> Harrassowitz.</w:t>
      </w:r>
    </w:p>
    <w:p w14:paraId="3A167C28" w14:textId="77777777" w:rsidR="00E53EB6" w:rsidRDefault="006500F5">
      <w:pPr>
        <w:pStyle w:val="Heading5"/>
        <w:tabs>
          <w:tab w:val="left" w:pos="0"/>
        </w:tabs>
      </w:pPr>
      <w:r>
        <w:rPr>
          <w:rFonts w:eastAsia="Arial Unicode MS" w:cs="Times Ext Roman"/>
          <w:b/>
          <w:lang w:bidi="it-IT"/>
        </w:rPr>
        <w:t>Vājasaneyi Sa</w:t>
      </w:r>
      <w:r>
        <w:rPr>
          <w:rFonts w:eastAsia="Arial Unicode MS" w:cs="Times Ext Roman"/>
          <w:b/>
          <w:lang w:bidi="it-IT"/>
        </w:rPr>
        <w:t>ṃ</w:t>
      </w:r>
      <w:r>
        <w:rPr>
          <w:rFonts w:eastAsia="Arial Unicode MS" w:cs="Times Ext Roman"/>
          <w:b/>
          <w:lang w:bidi="it-IT"/>
        </w:rPr>
        <w:t>hitā, Mādhya</w:t>
      </w:r>
      <w:r>
        <w:rPr>
          <w:rFonts w:eastAsia="Arial Unicode MS" w:cs="Times Ext Roman"/>
          <w:b/>
          <w:lang w:bidi="it-IT"/>
        </w:rPr>
        <w:t>ṃ</w:t>
      </w:r>
      <w:r>
        <w:rPr>
          <w:rFonts w:eastAsia="Arial Unicode MS" w:cs="Times Ext Roman"/>
          <w:b/>
          <w:lang w:bidi="it-IT"/>
        </w:rPr>
        <w:t xml:space="preserve">dina </w:t>
      </w:r>
      <w:r>
        <w:rPr>
          <w:b/>
        </w:rPr>
        <w:t>recension</w:t>
      </w:r>
      <w:r>
        <w:t xml:space="preserve"> – </w:t>
      </w:r>
      <w:r>
        <w:rPr>
          <w:rFonts w:eastAsia="Arial Unicode MS" w:cs="Times Ext Roman"/>
          <w:b/>
          <w:lang w:bidi="it-IT"/>
        </w:rPr>
        <w:t>VS</w:t>
      </w:r>
    </w:p>
    <w:p w14:paraId="0BA5CC66" w14:textId="77777777" w:rsidR="00E53EB6" w:rsidRDefault="006500F5">
      <w:pPr>
        <w:pStyle w:val="biblioGEN"/>
      </w:pPr>
      <w:r>
        <w:rPr>
          <w:rStyle w:val="biblio-authorGEN"/>
          <w:rFonts w:eastAsia="Arial Unicode MS" w:cs="Times Ext Roman"/>
          <w:color w:val="000000"/>
          <w:lang w:eastAsia="it-IT" w:bidi="it-IT"/>
        </w:rPr>
        <w:t>Weber, A. (1849</w:t>
      </w:r>
      <w:r>
        <w:rPr>
          <w:rFonts w:eastAsia="Arial Unicode MS" w:cs="Times Ext Roman"/>
          <w:color w:val="000000"/>
          <w:lang w:eastAsia="it-IT" w:bidi="it-IT"/>
        </w:rPr>
        <w:t xml:space="preserve">) 1972. </w:t>
      </w:r>
      <w:r>
        <w:rPr>
          <w:rFonts w:eastAsia="Arial Unicode MS" w:cs="Times Ext Roman"/>
          <w:i/>
          <w:iCs/>
          <w:color w:val="000000"/>
          <w:lang w:eastAsia="it-IT" w:bidi="it-IT"/>
        </w:rPr>
        <w:t>The Vājasaneyi-Sa</w:t>
      </w:r>
      <w:r>
        <w:rPr>
          <w:rFonts w:eastAsia="Arial Unicode MS" w:cs="Times Ext Roman"/>
          <w:i/>
          <w:iCs/>
          <w:color w:val="000000"/>
          <w:lang w:eastAsia="it-IT" w:bidi="it-IT"/>
        </w:rPr>
        <w:t>ṃ</w:t>
      </w:r>
      <w:r>
        <w:rPr>
          <w:rFonts w:eastAsia="Arial Unicode MS" w:cs="Times Ext Roman"/>
          <w:i/>
          <w:iCs/>
          <w:color w:val="000000"/>
          <w:lang w:eastAsia="it-IT" w:bidi="it-IT"/>
        </w:rPr>
        <w:t>hitā in the</w:t>
      </w:r>
      <w:r>
        <w:rPr>
          <w:rFonts w:eastAsia="Arial Unicode MS" w:cs="Times Ext Roman"/>
          <w:i/>
          <w:iCs/>
          <w:color w:val="000000"/>
          <w:lang w:eastAsia="it-IT" w:bidi="it-IT"/>
        </w:rPr>
        <w:t xml:space="preserve"> Mādhyandina and the Kānva-Śākhā with the Commentary of Mahidhara. </w:t>
      </w:r>
      <w:r>
        <w:rPr>
          <w:rFonts w:eastAsia="Arial Unicode MS" w:cs="Times Ext Roman"/>
          <w:color w:val="000000"/>
          <w:lang w:eastAsia="it-IT" w:bidi="it-IT"/>
        </w:rPr>
        <w:t>Varanasi:</w:t>
      </w:r>
      <w:r>
        <w:rPr>
          <w:rFonts w:eastAsia="Arial Unicode MS" w:cs="Times Ext Roman"/>
          <w:i/>
          <w:iCs/>
          <w:color w:val="000000"/>
          <w:lang w:eastAsia="it-IT" w:bidi="it-IT"/>
        </w:rPr>
        <w:t xml:space="preserve"> </w:t>
      </w:r>
      <w:r>
        <w:rPr>
          <w:rFonts w:eastAsia="Arial Unicode MS" w:cs="Times Ext Roman"/>
          <w:color w:val="000000"/>
          <w:lang w:eastAsia="it-IT" w:bidi="it-IT"/>
        </w:rPr>
        <w:t>Chowkhamba Sanskrit Series Office.</w:t>
      </w:r>
    </w:p>
    <w:p w14:paraId="729F0B91" w14:textId="77777777" w:rsidR="00E53EB6" w:rsidRDefault="006500F5">
      <w:pPr>
        <w:pStyle w:val="biblioGEN"/>
        <w:ind w:left="0" w:firstLine="0"/>
      </w:pPr>
      <w:r>
        <w:rPr>
          <w:rStyle w:val="biblio-authorGEN"/>
          <w:rFonts w:eastAsia="Arial Unicode MS" w:cs="Times Ext Roman"/>
          <w:color w:val="000000"/>
          <w:lang w:eastAsia="it-IT" w:bidi="it-IT"/>
        </w:rPr>
        <w:t>Arya, R. P.</w:t>
      </w:r>
      <w:r>
        <w:rPr>
          <w:rFonts w:eastAsia="Arial Unicode MS" w:cs="Times Ext Roman"/>
          <w:color w:val="000000"/>
          <w:lang w:eastAsia="it-IT" w:bidi="it-IT"/>
        </w:rPr>
        <w:t xml:space="preserve"> 1999. </w:t>
      </w:r>
      <w:r>
        <w:rPr>
          <w:rFonts w:eastAsia="Arial Unicode MS" w:cs="Times Ext Roman"/>
          <w:i/>
          <w:iCs/>
          <w:color w:val="000000"/>
          <w:lang w:eastAsia="it-IT" w:bidi="it-IT"/>
        </w:rPr>
        <w:t xml:space="preserve">Yajurveda-samhita: Sanskrit text, English translation and notes according to </w:t>
      </w:r>
      <w:r>
        <w:rPr>
          <w:rFonts w:eastAsia="Arial Unicode MS" w:cs="Times Ext Roman"/>
          <w:i/>
          <w:iCs/>
          <w:color w:val="000000"/>
          <w:lang w:eastAsia="it-IT" w:bidi="it-IT"/>
        </w:rPr>
        <w:tab/>
        <w:t>the translation of R. T. H. Griffith.</w:t>
      </w:r>
      <w:r>
        <w:rPr>
          <w:rFonts w:eastAsia="Arial Unicode MS" w:cs="Times Ext Roman"/>
          <w:color w:val="000000"/>
          <w:lang w:eastAsia="it-IT" w:bidi="it-IT"/>
        </w:rPr>
        <w:t xml:space="preserve"> Delhi: Parimal Publications.</w:t>
      </w:r>
    </w:p>
    <w:p w14:paraId="5A8BA173" w14:textId="77777777" w:rsidR="00E53EB6" w:rsidRDefault="00E53EB6">
      <w:pPr>
        <w:pStyle w:val="biblioGEN"/>
      </w:pPr>
    </w:p>
    <w:p w14:paraId="39BDA8A5" w14:textId="77777777" w:rsidR="00E53EB6" w:rsidRDefault="006500F5">
      <w:pPr>
        <w:pStyle w:val="Heading2"/>
        <w:tabs>
          <w:tab w:val="left" w:pos="0"/>
        </w:tabs>
      </w:pPr>
      <w:r>
        <w:t xml:space="preserve">Secondary literature </w:t>
      </w:r>
    </w:p>
    <w:p w14:paraId="3BFBA30D" w14:textId="77777777" w:rsidR="00E53EB6" w:rsidRDefault="00E53EB6">
      <w:pPr>
        <w:pStyle w:val="HaupttextohneEinzug"/>
      </w:pPr>
    </w:p>
    <w:p w14:paraId="3FAAECC9" w14:textId="77777777" w:rsidR="00E53EB6" w:rsidRDefault="006500F5">
      <w:pPr>
        <w:pStyle w:val="biblioGEN"/>
      </w:pPr>
      <w:r>
        <w:rPr>
          <w:rFonts w:eastAsia="Arial Unicode MS" w:cs="Times Ext Roman"/>
        </w:rPr>
        <w:t>AiGr</w:t>
      </w:r>
      <w:r>
        <w:rPr>
          <w:rStyle w:val="biblio-authorGEN"/>
          <w:rFonts w:eastAsia="Arial Unicode MS" w:cs="Times Ext Roman"/>
        </w:rPr>
        <w:t xml:space="preserve"> </w:t>
      </w:r>
      <w:r>
        <w:rPr>
          <w:rFonts w:eastAsia="Arial Unicode MS" w:cs="Times Ext Roman"/>
        </w:rPr>
        <w:t xml:space="preserve">see </w:t>
      </w:r>
      <w:r>
        <w:rPr>
          <w:rFonts w:eastAsia="Arial Unicode MS" w:cs="Times Ext Roman"/>
          <w:smallCaps/>
          <w:color w:val="000000"/>
          <w:lang w:bidi="ar-SA"/>
        </w:rPr>
        <w:t>Wackernagel, J. - Debrunner, A.</w:t>
      </w:r>
    </w:p>
    <w:p w14:paraId="1B4AA44D" w14:textId="77777777" w:rsidR="00E53EB6" w:rsidRDefault="006500F5">
      <w:pPr>
        <w:pStyle w:val="biblioGEN"/>
      </w:pPr>
      <w:r>
        <w:rPr>
          <w:rFonts w:eastAsia="Arial Unicode MS" w:cs="Times Ext Roman"/>
          <w:smallCaps/>
        </w:rPr>
        <w:t xml:space="preserve">Atkins, S.D. </w:t>
      </w:r>
      <w:r>
        <w:rPr>
          <w:rFonts w:eastAsia="Arial Unicode MS" w:cs="Times Ext Roman"/>
        </w:rPr>
        <w:t xml:space="preserve">1950. “The </w:t>
      </w:r>
      <w:r>
        <w:rPr>
          <w:rFonts w:eastAsia="Arial Unicode MS" w:cs="Devanagari MT;Times New Roman"/>
          <w:iCs/>
          <w:color w:val="000000"/>
          <w:lang w:eastAsia="hi-IN"/>
        </w:rPr>
        <w:t>Meaning of the</w:t>
      </w:r>
      <w:r>
        <w:rPr>
          <w:rFonts w:eastAsia="Arial Unicode MS" w:cs="Times Ext Roman"/>
        </w:rPr>
        <w:t xml:space="preserve"> Vedic a</w:t>
      </w:r>
      <w:r>
        <w:rPr>
          <w:rFonts w:eastAsia="Arial Unicode MS" w:cs="Times Ext Roman"/>
        </w:rPr>
        <w:t>ktú”</w:t>
      </w:r>
      <w:r>
        <w:rPr>
          <w:rFonts w:eastAsia="Arial Unicode MS" w:cs="Times Ext Roman"/>
          <w:i/>
        </w:rPr>
        <w:t xml:space="preserve"> </w:t>
      </w:r>
      <w:r>
        <w:rPr>
          <w:rFonts w:eastAsia="Arial Unicode MS" w:cs="Times Ext Roman"/>
          <w:i/>
          <w:iCs/>
        </w:rPr>
        <w:t>Journal of the American Oriental Society</w:t>
      </w:r>
      <w:r>
        <w:rPr>
          <w:rFonts w:eastAsia="Arial Unicode MS" w:cs="Times Ext Roman"/>
        </w:rPr>
        <w:t xml:space="preserve"> </w:t>
      </w:r>
      <w:r>
        <w:rPr>
          <w:rFonts w:eastAsia="Arial Unicode MS" w:cs="Times New Roman"/>
          <w:lang/>
        </w:rPr>
        <w:t xml:space="preserve"> </w:t>
      </w:r>
      <w:r>
        <w:rPr>
          <w:rFonts w:eastAsia="Arial Unicode MS" w:cs="Times Ext Roman"/>
        </w:rPr>
        <w:t>70(1): pp. 24-40.</w:t>
      </w:r>
    </w:p>
    <w:p w14:paraId="198DEA2D" w14:textId="77777777" w:rsidR="00E53EB6" w:rsidRPr="0071345C" w:rsidRDefault="006500F5">
      <w:pPr>
        <w:pStyle w:val="biblioGEN"/>
        <w:rPr>
          <w:lang w:val="de-DE"/>
        </w:rPr>
      </w:pPr>
      <w:r>
        <w:rPr>
          <w:rFonts w:eastAsia="Arial Unicode MS" w:cs="Times Ext Roman"/>
          <w:smallCaps/>
        </w:rPr>
        <w:t xml:space="preserve">Bammesberger, A. 1988. </w:t>
      </w:r>
      <w:r>
        <w:rPr>
          <w:rFonts w:eastAsia="Arial Unicode MS" w:cs="Times Ext Roman"/>
        </w:rPr>
        <w:t xml:space="preserve">(ed.) </w:t>
      </w:r>
      <w:r>
        <w:rPr>
          <w:rFonts w:eastAsia="Arial Unicode MS" w:cs="Times Ext Roman"/>
          <w:i/>
        </w:rPr>
        <w:t>Linguistic Change and Reconstruction Methodology.</w:t>
      </w:r>
      <w:r>
        <w:rPr>
          <w:rFonts w:eastAsia="Arial Unicode MS" w:cs="Times Ext Roman"/>
        </w:rPr>
        <w:t xml:space="preserve"> </w:t>
      </w:r>
      <w:r w:rsidRPr="0071345C">
        <w:rPr>
          <w:rFonts w:eastAsia="Arial Unicode MS" w:cs="Times Ext Roman"/>
          <w:lang w:val="de-DE"/>
        </w:rPr>
        <w:t>Berlin: Mouton de Gruyter.</w:t>
      </w:r>
    </w:p>
    <w:p w14:paraId="745D8FC5" w14:textId="77777777" w:rsidR="00E53EB6" w:rsidRPr="0071345C" w:rsidRDefault="006500F5">
      <w:pPr>
        <w:pStyle w:val="biblioGEN"/>
        <w:rPr>
          <w:lang w:val="de-DE"/>
        </w:rPr>
      </w:pPr>
      <w:r w:rsidRPr="0071345C">
        <w:rPr>
          <w:rFonts w:eastAsia="Arial Unicode MS"/>
          <w:smallCaps/>
          <w:lang w:val="de-DE"/>
        </w:rPr>
        <w:t xml:space="preserve">Benveniste, É. </w:t>
      </w:r>
      <w:r w:rsidRPr="0071345C">
        <w:rPr>
          <w:rFonts w:eastAsia="Arial Unicode MS"/>
          <w:lang w:val="de-DE"/>
        </w:rPr>
        <w:t xml:space="preserve">1935. </w:t>
      </w:r>
      <w:r w:rsidRPr="0071345C">
        <w:rPr>
          <w:rFonts w:eastAsia="Arial Unicode MS"/>
          <w:i/>
          <w:iCs/>
          <w:lang w:val="de-DE"/>
        </w:rPr>
        <w:t xml:space="preserve">Origines de la formation des noms en indo-européen. </w:t>
      </w:r>
      <w:r w:rsidRPr="0071345C">
        <w:rPr>
          <w:rFonts w:eastAsia="Arial Unicode MS"/>
          <w:lang w:val="de-DE"/>
        </w:rPr>
        <w:t>Paris:</w:t>
      </w:r>
      <w:r w:rsidRPr="0071345C">
        <w:rPr>
          <w:rFonts w:eastAsia="Arial Unicode MS"/>
          <w:lang w:val="de-DE"/>
        </w:rPr>
        <w:t xml:space="preserve"> Adrien-Maisonneuve.</w:t>
      </w:r>
      <w:r w:rsidRPr="0071345C">
        <w:rPr>
          <w:rFonts w:eastAsia="Arial Unicode MS"/>
          <w:smallCaps/>
          <w:lang w:val="de-DE"/>
        </w:rPr>
        <w:t xml:space="preserve"> </w:t>
      </w:r>
    </w:p>
    <w:p w14:paraId="44616716" w14:textId="77777777" w:rsidR="00E53EB6" w:rsidRPr="0071345C" w:rsidRDefault="006500F5">
      <w:pPr>
        <w:pStyle w:val="biblioGEN"/>
        <w:rPr>
          <w:lang w:val="de-DE"/>
        </w:rPr>
      </w:pPr>
      <w:r w:rsidRPr="0071345C">
        <w:rPr>
          <w:rFonts w:eastAsia="Arial Unicode MS"/>
          <w:smallCaps/>
          <w:lang w:val="de-DE"/>
        </w:rPr>
        <w:t xml:space="preserve">Bergaigne, A. 1899. </w:t>
      </w:r>
      <w:r w:rsidRPr="0071345C">
        <w:rPr>
          <w:rFonts w:eastAsia="Arial Unicode MS"/>
          <w:lang w:val="de-DE"/>
        </w:rPr>
        <w:t xml:space="preserve">“Recherches sur l'historie de la liturgie védique” </w:t>
      </w:r>
      <w:r w:rsidRPr="0071345C">
        <w:rPr>
          <w:rFonts w:eastAsia="Arial Unicode MS"/>
          <w:i/>
          <w:iCs/>
          <w:lang w:val="de-DE"/>
        </w:rPr>
        <w:t>Journal Asiatique</w:t>
      </w:r>
      <w:r w:rsidRPr="0071345C">
        <w:rPr>
          <w:rFonts w:eastAsia="Arial Unicode MS"/>
          <w:lang w:val="de-DE"/>
        </w:rPr>
        <w:t xml:space="preserve"> 13: pp. 5-197.</w:t>
      </w:r>
    </w:p>
    <w:p w14:paraId="67BC8DD5" w14:textId="77777777" w:rsidR="00E53EB6" w:rsidRPr="0071345C" w:rsidRDefault="006500F5">
      <w:pPr>
        <w:pStyle w:val="biblioGEN"/>
        <w:rPr>
          <w:lang w:val="de-DE"/>
        </w:rPr>
      </w:pPr>
      <w:r w:rsidRPr="0071345C">
        <w:rPr>
          <w:rStyle w:val="biblio-authorGEN"/>
          <w:rFonts w:eastAsia="Arial Unicode MS"/>
          <w:lang w:val="de-DE"/>
        </w:rPr>
        <w:t xml:space="preserve">Berruto, G. </w:t>
      </w:r>
      <w:r w:rsidRPr="0071345C">
        <w:rPr>
          <w:rFonts w:eastAsia="Arial Unicode MS"/>
          <w:lang w:val="de-DE"/>
        </w:rPr>
        <w:t xml:space="preserve">1976. </w:t>
      </w:r>
      <w:r w:rsidRPr="0071345C">
        <w:rPr>
          <w:rFonts w:eastAsia="Arial Unicode MS"/>
          <w:i/>
          <w:iCs/>
          <w:lang w:val="de-DE"/>
        </w:rPr>
        <w:t>La semantica.</w:t>
      </w:r>
      <w:r w:rsidRPr="0071345C">
        <w:rPr>
          <w:rFonts w:eastAsia="Arial Unicode MS"/>
          <w:lang w:val="de-DE"/>
        </w:rPr>
        <w:t xml:space="preserve"> Bologna: Zanichelli.</w:t>
      </w:r>
    </w:p>
    <w:p w14:paraId="479A1239" w14:textId="77777777" w:rsidR="00E53EB6" w:rsidRDefault="006500F5">
      <w:pPr>
        <w:pStyle w:val="biblioGEN"/>
      </w:pPr>
      <w:r w:rsidRPr="0071345C">
        <w:rPr>
          <w:rFonts w:eastAsia="Arial Unicode MS" w:cs="Times Ext Roman"/>
          <w:smallCaps/>
          <w:lang w:val="it-IT"/>
        </w:rPr>
        <w:t>Biardeau, M. - Mala</w:t>
      </w:r>
      <w:r w:rsidRPr="0071345C">
        <w:rPr>
          <w:rFonts w:eastAsia="Arial Unicode MS" w:cs="Times Ext Roman"/>
          <w:smallCaps/>
          <w:lang w:val="it-IT"/>
        </w:rPr>
        <w:t xml:space="preserve">moud, C. 1976. </w:t>
      </w:r>
      <w:r w:rsidRPr="0071345C">
        <w:rPr>
          <w:rFonts w:eastAsia="Arial Unicode MS" w:cs="Times Ext Roman"/>
          <w:i/>
          <w:lang w:val="it-IT"/>
        </w:rPr>
        <w:t>Le Sacrifice dans l’Inde Ancienne.</w:t>
      </w:r>
      <w:r w:rsidRPr="0071345C">
        <w:rPr>
          <w:rFonts w:eastAsia="Arial Unicode MS" w:cs="Times Ext Roman"/>
          <w:lang w:val="it-IT"/>
        </w:rPr>
        <w:t xml:space="preserve"> </w:t>
      </w:r>
      <w:r>
        <w:rPr>
          <w:rFonts w:eastAsia="Arial Unicode MS" w:cs="Times Ext Roman"/>
        </w:rPr>
        <w:t>Paris: Presses Universitaires de France.</w:t>
      </w:r>
    </w:p>
    <w:p w14:paraId="7CB9F97B" w14:textId="77777777" w:rsidR="00E53EB6" w:rsidRPr="0071345C" w:rsidRDefault="006500F5">
      <w:pPr>
        <w:pStyle w:val="biblioGEN"/>
        <w:rPr>
          <w:lang w:val="it-IT"/>
        </w:rPr>
      </w:pPr>
      <w:r>
        <w:rPr>
          <w:rStyle w:val="biblio-authorGEN"/>
          <w:rFonts w:eastAsia="Arial Unicode MS" w:cs="Times Ext Roman"/>
        </w:rPr>
        <w:t>Bloomfield</w:t>
      </w:r>
      <w:r>
        <w:rPr>
          <w:rFonts w:eastAsia="Arial Unicode MS" w:cs="Times Ext Roman"/>
        </w:rPr>
        <w:t xml:space="preserve">, M. 1889. </w:t>
      </w:r>
      <w:r>
        <w:rPr>
          <w:rFonts w:eastAsia="Arial Unicode MS" w:cs="Times Ext Roman"/>
          <w:i/>
          <w:iCs/>
        </w:rPr>
        <w:t>The Atharvaveda and the Gopatha-Brāhma</w:t>
      </w:r>
      <w:r>
        <w:rPr>
          <w:rFonts w:eastAsia="Arial Unicode MS" w:cs="Times Ext Roman"/>
          <w:i/>
          <w:iCs/>
        </w:rPr>
        <w:t>ṇ</w:t>
      </w:r>
      <w:r>
        <w:rPr>
          <w:rFonts w:eastAsia="Arial Unicode MS" w:cs="Times Ext Roman"/>
          <w:i/>
          <w:iCs/>
        </w:rPr>
        <w:t xml:space="preserve">a. </w:t>
      </w:r>
      <w:r w:rsidRPr="0071345C">
        <w:rPr>
          <w:rFonts w:eastAsia="Arial Unicode MS" w:cs="Times Ext Roman"/>
          <w:lang w:val="it-IT"/>
        </w:rPr>
        <w:t xml:space="preserve">Strassburg: </w:t>
      </w:r>
      <w:r w:rsidRPr="0071345C">
        <w:rPr>
          <w:rFonts w:eastAsia="Arial Unicode MS" w:cs="Times Ext Roman"/>
          <w:lang w:val="it-IT"/>
        </w:rPr>
        <w:t>Treubner,.</w:t>
      </w:r>
    </w:p>
    <w:p w14:paraId="05A4EFA7" w14:textId="77777777" w:rsidR="00E53EB6" w:rsidRDefault="006500F5">
      <w:pPr>
        <w:pStyle w:val="biblioGEN"/>
        <w:rPr>
          <w:rFonts w:eastAsia="Arial Unicode MS" w:cs="Times Ext Roman"/>
        </w:rPr>
      </w:pPr>
      <w:r w:rsidRPr="0071345C">
        <w:rPr>
          <w:rFonts w:eastAsia="Arial Unicode MS" w:cs="Times Ext Roman"/>
          <w:lang w:val="it-IT"/>
        </w:rPr>
        <w:t xml:space="preserve">___. (1906) 2007. </w:t>
      </w:r>
      <w:r w:rsidRPr="0071345C">
        <w:rPr>
          <w:rFonts w:eastAsia="Arial Unicode MS" w:cs="Times Ext Roman"/>
          <w:i/>
          <w:iCs/>
          <w:lang w:val="it-IT"/>
        </w:rPr>
        <w:t xml:space="preserve">A Vedic Concordance. </w:t>
      </w:r>
      <w:r w:rsidRPr="0071345C">
        <w:rPr>
          <w:rFonts w:eastAsia="Arial Unicode MS" w:cs="Times Ext Roman"/>
          <w:lang w:val="it-IT"/>
        </w:rPr>
        <w:t xml:space="preserve"> </w:t>
      </w:r>
      <w:r>
        <w:rPr>
          <w:rFonts w:eastAsia="Arial Unicode MS" w:cs="Times Ext Roman"/>
        </w:rPr>
        <w:t>Edited by M. Franceschini</w:t>
      </w:r>
      <w:r>
        <w:rPr>
          <w:rFonts w:eastAsia="Arial Unicode MS" w:cs="Times Ext Roman"/>
        </w:rPr>
        <w:t>. Cambridge Ma</w:t>
      </w:r>
      <w:r>
        <w:rPr>
          <w:rFonts w:eastAsia="Arial Unicode MS" w:cs="Times Ext Roman"/>
        </w:rPr>
        <w:t>ss.: Harvard University Press.</w:t>
      </w:r>
    </w:p>
    <w:p w14:paraId="238A98D6" w14:textId="77777777" w:rsidR="00E53EB6" w:rsidRDefault="006500F5">
      <w:pPr>
        <w:pStyle w:val="biblioGEN"/>
      </w:pPr>
      <w:r w:rsidRPr="0071345C">
        <w:rPr>
          <w:rFonts w:eastAsia="Arial Unicode MS" w:cs="Times Ext Roman"/>
          <w:smallCaps/>
          <w:lang w:val="de-DE"/>
        </w:rPr>
        <w:t xml:space="preserve">Böhtlingk, O. von - Roth R. von. </w:t>
      </w:r>
      <w:r w:rsidRPr="0071345C">
        <w:rPr>
          <w:rFonts w:eastAsia="Arial Unicode MS" w:cs="Times Ext Roman"/>
          <w:lang w:val="de-DE"/>
        </w:rPr>
        <w:t xml:space="preserve">1855-1875. </w:t>
      </w:r>
      <w:r w:rsidRPr="0071345C">
        <w:rPr>
          <w:rFonts w:eastAsia="Arial Unicode MS" w:cs="Times Ext Roman"/>
          <w:i/>
          <w:lang w:val="de-DE"/>
        </w:rPr>
        <w:t xml:space="preserve">Sanskrit-Wörterbuch. </w:t>
      </w:r>
      <w:r w:rsidRPr="0071345C">
        <w:rPr>
          <w:rFonts w:eastAsia="Arial Unicode MS" w:cs="Times Ext Roman"/>
          <w:lang w:val="de-DE"/>
        </w:rPr>
        <w:t xml:space="preserve">St. Petersburg: </w:t>
      </w:r>
      <w:r w:rsidRPr="0071345C">
        <w:rPr>
          <w:rFonts w:eastAsia="Arial Unicode MS"/>
          <w:lang w:val="de-DE"/>
        </w:rPr>
        <w:t xml:space="preserve">Kaiserl. </w:t>
      </w:r>
      <w:r>
        <w:rPr>
          <w:rFonts w:eastAsia="Arial Unicode MS"/>
        </w:rPr>
        <w:t>Akad. d. Wissenschaften.</w:t>
      </w:r>
    </w:p>
    <w:p w14:paraId="171601F1" w14:textId="77777777" w:rsidR="00E53EB6" w:rsidRDefault="006500F5">
      <w:pPr>
        <w:pStyle w:val="biblioGEN"/>
      </w:pPr>
      <w:r>
        <w:rPr>
          <w:rFonts w:eastAsia="Arial Unicode MS"/>
          <w:smallCaps/>
        </w:rPr>
        <w:t xml:space="preserve">Boyce, M. </w:t>
      </w:r>
      <w:r>
        <w:rPr>
          <w:rFonts w:eastAsia="Arial Unicode MS"/>
        </w:rPr>
        <w:t xml:space="preserve">1979. </w:t>
      </w:r>
      <w:r>
        <w:rPr>
          <w:rFonts w:eastAsia="Arial Unicode MS"/>
          <w:i/>
        </w:rPr>
        <w:t>Zoroastrians: their religious beliefs and practices</w:t>
      </w:r>
      <w:r>
        <w:rPr>
          <w:rFonts w:eastAsia="Arial Unicode MS"/>
        </w:rPr>
        <w:t>, London: Routledge &amp; Paul.</w:t>
      </w:r>
    </w:p>
    <w:p w14:paraId="425536DE" w14:textId="77777777" w:rsidR="00E53EB6" w:rsidRDefault="006500F5">
      <w:pPr>
        <w:pStyle w:val="biblioGEN"/>
      </w:pPr>
      <w:r>
        <w:rPr>
          <w:rFonts w:eastAsia="Arial Unicode MS"/>
        </w:rPr>
        <w:t xml:space="preserve">___. 1984. </w:t>
      </w:r>
      <w:r>
        <w:rPr>
          <w:rFonts w:eastAsia="Arial Unicode MS"/>
          <w:i/>
        </w:rPr>
        <w:t>Text</w:t>
      </w:r>
      <w:r>
        <w:rPr>
          <w:rFonts w:eastAsia="Arial Unicode MS"/>
          <w:i/>
        </w:rPr>
        <w:t>ual sources for the study of Zoroastrianism</w:t>
      </w:r>
      <w:r>
        <w:rPr>
          <w:rFonts w:eastAsia="Arial Unicode MS"/>
        </w:rPr>
        <w:t xml:space="preserve">, Edited and translated by M. Boyce. </w:t>
      </w:r>
      <w:r>
        <w:rPr>
          <w:rFonts w:eastAsia="Arial Unicode MS"/>
        </w:rPr>
        <w:lastRenderedPageBreak/>
        <w:t>Manchester: Manchester University  Press.</w:t>
      </w:r>
    </w:p>
    <w:p w14:paraId="5A26C4F4" w14:textId="77777777" w:rsidR="00E53EB6" w:rsidRPr="0071345C" w:rsidRDefault="006500F5">
      <w:pPr>
        <w:pStyle w:val="biblioGEN"/>
        <w:rPr>
          <w:lang w:val="de-DE"/>
        </w:rPr>
      </w:pPr>
      <w:r>
        <w:rPr>
          <w:rFonts w:eastAsia="Arial Unicode MS" w:cs="Times New Roman"/>
          <w:smallCaps/>
          <w:lang/>
        </w:rPr>
        <w:t xml:space="preserve">Brereton, J.P. 2004. </w:t>
      </w:r>
      <w:r>
        <w:rPr>
          <w:rFonts w:eastAsia="Arial Unicode MS" w:cs="Times New Roman"/>
          <w:lang/>
        </w:rPr>
        <w:t xml:space="preserve">“Bráhman, Brahmán, and Sacrificer.” In </w:t>
      </w:r>
      <w:r>
        <w:rPr>
          <w:rFonts w:eastAsia="Arial Unicode MS" w:cs="Times New Roman"/>
          <w:i/>
          <w:lang/>
        </w:rPr>
        <w:t>The Vedas: Texts, Language, &amp; Ritual</w:t>
      </w:r>
      <w:r>
        <w:rPr>
          <w:rFonts w:eastAsia="Arial Unicode MS" w:cs="Times New Roman"/>
          <w:lang/>
        </w:rPr>
        <w:t xml:space="preserve">, edited by A. Griffiths and J. </w:t>
      </w:r>
      <w:r>
        <w:rPr>
          <w:rFonts w:eastAsia="Arial Unicode MS" w:cs="Times New Roman"/>
          <w:lang/>
        </w:rPr>
        <w:t xml:space="preserve">E.M. Houben,  pp. 325-344. </w:t>
      </w:r>
      <w:r w:rsidRPr="0071345C">
        <w:rPr>
          <w:rFonts w:eastAsia="Arial Unicode MS" w:cs="Times New Roman"/>
          <w:lang w:val="de-DE"/>
        </w:rPr>
        <w:t>Groningen:  Forsten.</w:t>
      </w:r>
    </w:p>
    <w:p w14:paraId="1C5EAA78" w14:textId="77777777" w:rsidR="00E53EB6" w:rsidRPr="0071345C" w:rsidRDefault="006500F5">
      <w:pPr>
        <w:pStyle w:val="biblioGEN"/>
        <w:rPr>
          <w:lang w:val="it-IT"/>
        </w:rPr>
      </w:pPr>
      <w:r w:rsidRPr="0071345C">
        <w:rPr>
          <w:rFonts w:eastAsia="Arial Unicode MS" w:cs="Times New Roman"/>
          <w:smallCaps/>
          <w:lang w:val="de-DE"/>
        </w:rPr>
        <w:t xml:space="preserve">Caland, W. 1908. </w:t>
      </w:r>
      <w:r>
        <w:rPr>
          <w:rFonts w:eastAsia="Arial Unicode MS" w:cs="Times New Roman"/>
          <w:i/>
          <w:iCs/>
          <w:lang w:val="de-DE"/>
        </w:rPr>
        <w:t>Altindische Zauberei: Darstellung der altindischen “Wunschopfer</w:t>
      </w:r>
      <w:r w:rsidRPr="0071345C">
        <w:rPr>
          <w:rFonts w:eastAsia="Arial Unicode MS" w:cs="Times New Roman"/>
          <w:i/>
          <w:iCs/>
          <w:lang w:val="de-DE"/>
        </w:rPr>
        <w:t xml:space="preserve">”. </w:t>
      </w:r>
      <w:r w:rsidRPr="0071345C">
        <w:rPr>
          <w:rFonts w:eastAsia="Arial Unicode MS" w:cs="Times New Roman"/>
          <w:lang w:val="it-IT"/>
        </w:rPr>
        <w:t>Amsterdam: J. Müller.</w:t>
      </w:r>
    </w:p>
    <w:p w14:paraId="76BE91A9" w14:textId="77777777" w:rsidR="00E53EB6" w:rsidRPr="0071345C" w:rsidRDefault="006500F5">
      <w:pPr>
        <w:pStyle w:val="biblioGEN"/>
        <w:rPr>
          <w:lang w:val="it-IT"/>
        </w:rPr>
      </w:pPr>
      <w:r w:rsidRPr="0071345C">
        <w:rPr>
          <w:rFonts w:eastAsia="Arial Unicode MS" w:cs="Times New Roman"/>
          <w:smallCaps/>
          <w:lang w:val="it-IT"/>
        </w:rPr>
        <w:t xml:space="preserve">Caland, W. - Henry, V. </w:t>
      </w:r>
      <w:r w:rsidRPr="0071345C">
        <w:rPr>
          <w:rFonts w:eastAsia="Arial Unicode MS" w:cs="Times New Roman"/>
          <w:lang w:val="it-IT"/>
        </w:rPr>
        <w:t xml:space="preserve">1906. </w:t>
      </w:r>
      <w:r>
        <w:rPr>
          <w:rFonts w:eastAsia="Arial Unicode MS" w:cs="Times New Roman"/>
          <w:i/>
          <w:lang w:val="fr-FR"/>
        </w:rPr>
        <w:t>L'Agnistoma: description complète de la forme normale du Sacrifice de Soma</w:t>
      </w:r>
      <w:r>
        <w:rPr>
          <w:rFonts w:eastAsia="Arial Unicode MS" w:cs="Times New Roman"/>
          <w:i/>
          <w:lang w:val="fr-FR"/>
        </w:rPr>
        <w:t xml:space="preserve"> dans le culte vedique</w:t>
      </w:r>
      <w:r>
        <w:rPr>
          <w:rFonts w:eastAsia="Arial Unicode MS" w:cs="Times New Roman"/>
          <w:lang w:val="fr-FR"/>
        </w:rPr>
        <w:t>,</w:t>
      </w:r>
      <w:r w:rsidRPr="0071345C">
        <w:rPr>
          <w:rFonts w:eastAsia="Arial Unicode MS" w:cs="Times New Roman"/>
          <w:lang w:val="it-IT"/>
        </w:rPr>
        <w:t xml:space="preserve"> Paris: E. Leroux. </w:t>
      </w:r>
    </w:p>
    <w:p w14:paraId="07E6F8F5" w14:textId="77777777" w:rsidR="00E53EB6" w:rsidRPr="0071345C" w:rsidRDefault="006500F5">
      <w:pPr>
        <w:pStyle w:val="biblioGEN"/>
        <w:rPr>
          <w:lang w:val="it-IT"/>
        </w:rPr>
      </w:pPr>
      <w:r w:rsidRPr="0071345C">
        <w:rPr>
          <w:rStyle w:val="biblio-authorGEN"/>
          <w:rFonts w:eastAsia="Arial Unicode MS" w:cs="Times New Roman"/>
          <w:lang w:val="it-IT"/>
        </w:rPr>
        <w:t xml:space="preserve">Chierchia, G. </w:t>
      </w:r>
      <w:r w:rsidRPr="0071345C">
        <w:rPr>
          <w:rFonts w:eastAsia="Arial Unicode MS" w:cs="Times New Roman"/>
          <w:lang w:val="it-IT"/>
        </w:rPr>
        <w:t xml:space="preserve">1997. </w:t>
      </w:r>
      <w:r w:rsidRPr="0071345C">
        <w:rPr>
          <w:rFonts w:eastAsia="Arial Unicode MS" w:cs="Times New Roman"/>
          <w:i/>
          <w:iCs/>
          <w:lang w:val="it-IT"/>
        </w:rPr>
        <w:t>Semantica.</w:t>
      </w:r>
      <w:r w:rsidRPr="0071345C">
        <w:rPr>
          <w:rFonts w:eastAsia="Arial Unicode MS" w:cs="Times New Roman"/>
          <w:lang w:val="it-IT"/>
        </w:rPr>
        <w:t xml:space="preserve"> Bologna: Il Mulino.</w:t>
      </w:r>
    </w:p>
    <w:p w14:paraId="42E98C85" w14:textId="77777777" w:rsidR="00E53EB6" w:rsidRPr="0071345C" w:rsidRDefault="006500F5">
      <w:pPr>
        <w:pStyle w:val="biblioGEN"/>
        <w:rPr>
          <w:lang w:val="de-DE"/>
        </w:rPr>
      </w:pPr>
      <w:r w:rsidRPr="0071345C">
        <w:rPr>
          <w:rStyle w:val="biblio-authorGEN"/>
          <w:rFonts w:eastAsia="Arial Unicode MS" w:cs="Times New Roman"/>
          <w:lang w:val="it-IT"/>
        </w:rPr>
        <w:t>Chierchia, G. - McConnell-Ginet</w:t>
      </w:r>
      <w:r w:rsidRPr="0071345C">
        <w:rPr>
          <w:rFonts w:eastAsia="Arial Unicode MS" w:cs="Times New Roman"/>
          <w:lang w:val="it-IT"/>
        </w:rPr>
        <w:t xml:space="preserve">, S. 2000. </w:t>
      </w:r>
      <w:r>
        <w:rPr>
          <w:rFonts w:eastAsia="Arial Unicode MS" w:cs="Times New Roman"/>
          <w:i/>
          <w:iCs/>
          <w:lang/>
        </w:rPr>
        <w:t xml:space="preserve">Meaning and Grammar. An Introduction to Semantics. </w:t>
      </w:r>
      <w:r w:rsidRPr="0071345C">
        <w:rPr>
          <w:rFonts w:eastAsia="Arial Unicode MS" w:cs="Times New Roman"/>
          <w:lang w:val="de-DE"/>
        </w:rPr>
        <w:t>Cambridge Mass.: MIT Press.</w:t>
      </w:r>
    </w:p>
    <w:p w14:paraId="14C0A907" w14:textId="77777777" w:rsidR="00E53EB6" w:rsidRPr="0071345C" w:rsidRDefault="006500F5">
      <w:pPr>
        <w:pStyle w:val="biblioGEN"/>
        <w:rPr>
          <w:lang w:val="it-IT"/>
        </w:rPr>
      </w:pPr>
      <w:r w:rsidRPr="0071345C">
        <w:rPr>
          <w:rStyle w:val="biblio-authorGEN"/>
          <w:rFonts w:eastAsia="Arial Unicode MS" w:cs="Times New Roman"/>
          <w:lang w:val="de-DE"/>
        </w:rPr>
        <w:t>Coseriu</w:t>
      </w:r>
      <w:r w:rsidRPr="0071345C">
        <w:rPr>
          <w:rFonts w:eastAsia="Arial Unicode MS" w:cs="Times New Roman"/>
          <w:lang w:val="de-DE"/>
        </w:rPr>
        <w:t xml:space="preserve">, E. 1970. </w:t>
      </w:r>
      <w:r w:rsidRPr="0071345C">
        <w:rPr>
          <w:rFonts w:eastAsia="Arial Unicode MS" w:cs="Times New Roman"/>
          <w:i/>
          <w:iCs/>
          <w:lang w:val="de-DE"/>
        </w:rPr>
        <w:t>Sprache : Strukturen un</w:t>
      </w:r>
      <w:r w:rsidRPr="0071345C">
        <w:rPr>
          <w:rFonts w:eastAsia="Arial Unicode MS" w:cs="Times New Roman"/>
          <w:i/>
          <w:iCs/>
          <w:lang w:val="de-DE"/>
        </w:rPr>
        <w:t xml:space="preserve">d Funktionen; XII Aufsätze zur allgemeinen und romanischen Sprachwissenschaft. </w:t>
      </w:r>
      <w:r w:rsidRPr="0071345C">
        <w:rPr>
          <w:rFonts w:eastAsia="Arial Unicode MS" w:cs="Times New Roman"/>
          <w:lang w:val="it-IT"/>
        </w:rPr>
        <w:t xml:space="preserve">Tübingen: </w:t>
      </w:r>
      <w:r w:rsidRPr="0071345C">
        <w:rPr>
          <w:rFonts w:eastAsia="Arial Unicode MS" w:cs="Times New Roman"/>
          <w:lang w:val="it-IT"/>
        </w:rPr>
        <w:t>Tübinger Beiträge zur Linguistik</w:t>
      </w:r>
      <w:r w:rsidRPr="0071345C">
        <w:rPr>
          <w:rFonts w:eastAsia="Arial Unicode MS" w:cs="Times New Roman"/>
          <w:lang w:val="it-IT"/>
        </w:rPr>
        <w:t>,.</w:t>
      </w:r>
    </w:p>
    <w:p w14:paraId="3E213BCC" w14:textId="77777777" w:rsidR="00E53EB6" w:rsidRPr="0071345C" w:rsidRDefault="006500F5">
      <w:pPr>
        <w:pStyle w:val="biblioGEN"/>
        <w:rPr>
          <w:lang w:val="it-IT"/>
        </w:rPr>
      </w:pPr>
      <w:r w:rsidRPr="0071345C">
        <w:rPr>
          <w:rFonts w:eastAsia="Arial Unicode MS"/>
          <w:smallCaps/>
          <w:lang w:val="it-IT"/>
        </w:rPr>
        <w:t xml:space="preserve">Costa, G. 1990. </w:t>
      </w:r>
      <w:r w:rsidRPr="0071345C">
        <w:rPr>
          <w:rFonts w:eastAsia="Arial Unicode MS"/>
          <w:i/>
          <w:lang w:val="it-IT"/>
        </w:rPr>
        <w:t>I composti indoeuropei con *dus- e *su-.</w:t>
      </w:r>
      <w:r w:rsidRPr="0071345C">
        <w:rPr>
          <w:rFonts w:eastAsia="Arial Unicode MS"/>
          <w:smallCaps/>
          <w:lang w:val="it-IT"/>
        </w:rPr>
        <w:t xml:space="preserve"> </w:t>
      </w:r>
      <w:r w:rsidRPr="0071345C">
        <w:rPr>
          <w:rFonts w:eastAsia="Arial Unicode MS"/>
          <w:lang w:val="it-IT"/>
        </w:rPr>
        <w:t xml:space="preserve">Pisa: </w:t>
      </w:r>
      <w:r w:rsidRPr="0071345C">
        <w:rPr>
          <w:rFonts w:eastAsia="Arial Unicode MS"/>
          <w:lang w:val="it-IT"/>
        </w:rPr>
        <w:t>Giardini.</w:t>
      </w:r>
      <w:r w:rsidRPr="0071345C">
        <w:rPr>
          <w:rFonts w:eastAsia="Arial Unicode MS"/>
          <w:smallCaps/>
          <w:lang w:val="it-IT"/>
        </w:rPr>
        <w:tab/>
      </w:r>
      <w:r w:rsidRPr="0071345C">
        <w:rPr>
          <w:rFonts w:eastAsia="Arial Unicode MS"/>
          <w:smallCaps/>
          <w:lang w:val="it-IT"/>
        </w:rPr>
        <w:tab/>
      </w:r>
    </w:p>
    <w:p w14:paraId="1BFFDB2D" w14:textId="77777777" w:rsidR="00E53EB6" w:rsidRDefault="006500F5">
      <w:pPr>
        <w:pStyle w:val="biblioGEN"/>
      </w:pPr>
      <w:r w:rsidRPr="0071345C">
        <w:rPr>
          <w:rFonts w:eastAsia="Arial Unicode MS"/>
          <w:smallCaps/>
          <w:lang w:val="it-IT"/>
        </w:rPr>
        <w:t xml:space="preserve">Cuny, A. </w:t>
      </w:r>
      <w:r w:rsidRPr="0071345C">
        <w:rPr>
          <w:rFonts w:eastAsia="Arial Unicode MS"/>
          <w:lang w:val="it-IT"/>
        </w:rPr>
        <w:t xml:space="preserve">1912. “Indo-européen et sémitique.” </w:t>
      </w:r>
      <w:r>
        <w:rPr>
          <w:rFonts w:eastAsia="Arial Unicode MS"/>
          <w:i/>
        </w:rPr>
        <w:t>Revue de Phonétique</w:t>
      </w:r>
      <w:r>
        <w:rPr>
          <w:rFonts w:eastAsia="Arial Unicode MS"/>
        </w:rPr>
        <w:t xml:space="preserve"> 2: pp. 101 ff.</w:t>
      </w:r>
    </w:p>
    <w:p w14:paraId="41880D90" w14:textId="77777777" w:rsidR="00E53EB6" w:rsidRPr="0071345C" w:rsidRDefault="006500F5">
      <w:pPr>
        <w:pStyle w:val="biblioGEN"/>
        <w:rPr>
          <w:lang w:val="it-IT"/>
        </w:rPr>
      </w:pPr>
      <w:r w:rsidRPr="0071345C">
        <w:rPr>
          <w:rFonts w:eastAsia="Arial Unicode MS" w:cs="Times Ext Roman"/>
          <w:smallCaps/>
          <w:lang w:val="it-IT"/>
        </w:rPr>
        <w:t xml:space="preserve">Crevatin, F. </w:t>
      </w:r>
      <w:r w:rsidRPr="0071345C">
        <w:rPr>
          <w:rFonts w:eastAsia="Arial Unicode MS" w:cs="Times Ext Roman"/>
          <w:lang w:val="it-IT"/>
        </w:rPr>
        <w:t>1982-83. “Osservazioni sulla società indiana d’età vedica”</w:t>
      </w:r>
      <w:r w:rsidRPr="0071345C">
        <w:rPr>
          <w:rFonts w:eastAsia="Arial Unicode MS" w:cs="Times Ext Roman"/>
          <w:i/>
          <w:lang w:val="it-IT"/>
        </w:rPr>
        <w:t>,</w:t>
      </w:r>
      <w:r w:rsidRPr="0071345C">
        <w:rPr>
          <w:rFonts w:eastAsia="Arial Unicode MS" w:cs="Times Ext Roman"/>
          <w:lang w:val="it-IT"/>
        </w:rPr>
        <w:t xml:space="preserve"> </w:t>
      </w:r>
      <w:r w:rsidRPr="0071345C">
        <w:rPr>
          <w:rFonts w:eastAsia="Arial Unicode MS" w:cs="Times Ext Roman"/>
          <w:i/>
          <w:lang w:val="it-IT"/>
        </w:rPr>
        <w:t>Incontri Linguistici</w:t>
      </w:r>
      <w:r w:rsidRPr="0071345C">
        <w:rPr>
          <w:rFonts w:eastAsia="Arial Unicode MS" w:cs="Times Ext Roman"/>
          <w:lang w:val="it-IT"/>
        </w:rPr>
        <w:t xml:space="preserve"> 8: pp. 11-25.</w:t>
      </w:r>
    </w:p>
    <w:p w14:paraId="1B7D1A57" w14:textId="77777777" w:rsidR="00E53EB6" w:rsidRDefault="006500F5">
      <w:pPr>
        <w:pStyle w:val="biblioGEN"/>
      </w:pPr>
      <w:r>
        <w:rPr>
          <w:rStyle w:val="biblio-authorGEN"/>
          <w:rFonts w:eastAsia="Arial Unicode MS" w:cs="Times Ext Roman"/>
        </w:rPr>
        <w:t xml:space="preserve">Dahl, E. </w:t>
      </w:r>
      <w:r>
        <w:t xml:space="preserve">2010. </w:t>
      </w:r>
      <w:r>
        <w:rPr>
          <w:i/>
          <w:iCs/>
        </w:rPr>
        <w:t>Time, Tense and Aspect in Early Vedic Grammar, Exploring Infle</w:t>
      </w:r>
      <w:r>
        <w:rPr>
          <w:i/>
          <w:iCs/>
        </w:rPr>
        <w:t xml:space="preserve">ctional Semantics in the Rigveda. </w:t>
      </w:r>
      <w:r>
        <w:t>Leiden-Boston: Brill.</w:t>
      </w:r>
    </w:p>
    <w:p w14:paraId="29684AF5" w14:textId="77777777" w:rsidR="00E53EB6" w:rsidRPr="0071345C" w:rsidRDefault="006500F5">
      <w:pPr>
        <w:pStyle w:val="biblioGEN"/>
        <w:rPr>
          <w:lang w:val="de-DE"/>
        </w:rPr>
      </w:pPr>
      <w:r>
        <w:rPr>
          <w:rFonts w:eastAsia="Arial Unicode MS" w:cs="Times Ext Roman"/>
          <w:smallCaps/>
        </w:rPr>
        <w:t xml:space="preserve">Darmesteter, J. (1883) 1965. </w:t>
      </w:r>
      <w:r>
        <w:rPr>
          <w:rFonts w:eastAsia="Arial Unicode MS" w:cs="Times Ext Roman"/>
          <w:i/>
        </w:rPr>
        <w:t>The Zend Avesta II.</w:t>
      </w:r>
      <w:r>
        <w:rPr>
          <w:rFonts w:eastAsia="Arial Unicode MS" w:cs="Times Ext Roman"/>
        </w:rPr>
        <w:t xml:space="preserve"> Sacred Books of the East. </w:t>
      </w:r>
      <w:r w:rsidRPr="0071345C">
        <w:rPr>
          <w:rFonts w:eastAsia="Arial Unicode MS" w:cs="Times Ext Roman"/>
          <w:lang w:val="de-DE"/>
        </w:rPr>
        <w:t>Delhi: Motilal Banarsidass.</w:t>
      </w:r>
    </w:p>
    <w:p w14:paraId="21105A32" w14:textId="77777777" w:rsidR="00E53EB6" w:rsidRPr="0071345C" w:rsidRDefault="006500F5">
      <w:pPr>
        <w:pStyle w:val="biblioGEN"/>
        <w:rPr>
          <w:lang w:val="de-DE"/>
        </w:rPr>
      </w:pPr>
      <w:r w:rsidRPr="0071345C">
        <w:rPr>
          <w:rFonts w:eastAsia="Arial Unicode MS" w:cs="Times Ext Roman"/>
          <w:smallCaps/>
          <w:lang w:val="de-DE"/>
        </w:rPr>
        <w:t>Delbrück, B.</w:t>
      </w:r>
      <w:r w:rsidRPr="0071345C">
        <w:rPr>
          <w:rFonts w:eastAsia="Arial Unicode MS" w:cs="Times Ext Roman"/>
          <w:lang w:val="de-DE"/>
        </w:rPr>
        <w:t xml:space="preserve"> (1888) 1968. </w:t>
      </w:r>
      <w:r w:rsidRPr="0071345C">
        <w:rPr>
          <w:rFonts w:eastAsia="Arial Unicode MS" w:cs="Times Ext Roman"/>
          <w:i/>
          <w:lang w:val="de-DE"/>
        </w:rPr>
        <w:t>Altindische Syntax.</w:t>
      </w:r>
      <w:r w:rsidRPr="0071345C">
        <w:rPr>
          <w:rFonts w:eastAsia="Arial Unicode MS" w:cs="Times Ext Roman"/>
          <w:lang w:val="de-DE"/>
        </w:rPr>
        <w:t xml:space="preserve"> Darmstadt: Wissenschaftliche Buchgesellschaft.</w:t>
      </w:r>
    </w:p>
    <w:p w14:paraId="0B60E4B1" w14:textId="77777777" w:rsidR="00E53EB6" w:rsidRDefault="006500F5">
      <w:pPr>
        <w:pStyle w:val="biblioGEN"/>
      </w:pPr>
      <w:r>
        <w:rPr>
          <w:rStyle w:val="biblio-authorGEN"/>
          <w:rFonts w:eastAsia="Arial Unicode MS" w:cs="Times Ext Roman"/>
        </w:rPr>
        <w:t>Dumo</w:t>
      </w:r>
      <w:r>
        <w:rPr>
          <w:rStyle w:val="biblio-authorGEN"/>
          <w:rFonts w:eastAsia="Arial Unicode MS" w:cs="Times Ext Roman"/>
        </w:rPr>
        <w:t xml:space="preserve">nt, P. E. </w:t>
      </w:r>
      <w:r>
        <w:t>1960. “The Full-Moon and New-Moon Sacrifices in the Taittirīya-Brāhma</w:t>
      </w:r>
      <w:r>
        <w:t>ṇ</w:t>
      </w:r>
      <w:r>
        <w:t>a (Third Part) The Part of the Hotar in the Full-Moon and New-Moon Sacrifices:The Fifth Prapā</w:t>
      </w:r>
      <w:r>
        <w:t>ṭ</w:t>
      </w:r>
      <w:r>
        <w:t>haka of the Third Kā</w:t>
      </w:r>
      <w:r>
        <w:t>ṇḍ</w:t>
      </w:r>
      <w:r>
        <w:t>a of the Taittirīya-Brāhma</w:t>
      </w:r>
      <w:r>
        <w:t>ṇ</w:t>
      </w:r>
      <w:r>
        <w:t xml:space="preserve">a with Translation” </w:t>
      </w:r>
      <w:r>
        <w:rPr>
          <w:i/>
          <w:iCs/>
        </w:rPr>
        <w:t>Proceedings o</w:t>
      </w:r>
      <w:r>
        <w:rPr>
          <w:i/>
          <w:iCs/>
        </w:rPr>
        <w:t>f the American Philosophical Society</w:t>
      </w:r>
      <w:r>
        <w:t xml:space="preserve"> 104 (1): pp. 1-10.</w:t>
      </w:r>
    </w:p>
    <w:p w14:paraId="1F321A71" w14:textId="77777777" w:rsidR="00E53EB6" w:rsidRDefault="006500F5">
      <w:pPr>
        <w:pStyle w:val="biblioGEN"/>
      </w:pPr>
      <w:r>
        <w:t>___. 1962. “The Animal Sacrifice in the Taittirīya-Brāhma</w:t>
      </w:r>
      <w:r>
        <w:t>ṇ</w:t>
      </w:r>
      <w:r>
        <w:t>a the Part of the Hotar and the Part of the Maitrāvaru</w:t>
      </w:r>
      <w:r>
        <w:t>ṇ</w:t>
      </w:r>
      <w:r>
        <w:t>a in the Animal Sacrifice: The Sixth Prapā</w:t>
      </w:r>
      <w:r>
        <w:t>ṭ</w:t>
      </w:r>
      <w:r>
        <w:t>haka of the Third Kā</w:t>
      </w:r>
      <w:r>
        <w:t>ṇḍ</w:t>
      </w:r>
      <w:r>
        <w:t>a of the Taittirīya-Br</w:t>
      </w:r>
      <w:r>
        <w:t>āhma</w:t>
      </w:r>
      <w:r>
        <w:t>ṇ</w:t>
      </w:r>
      <w:r>
        <w:t xml:space="preserve">a with Translation.” </w:t>
      </w:r>
      <w:r>
        <w:rPr>
          <w:i/>
          <w:iCs/>
        </w:rPr>
        <w:t xml:space="preserve">Proceedings of the American Philosophical Society </w:t>
      </w:r>
      <w:r>
        <w:t>106 (3): pp. 246-263.</w:t>
      </w:r>
    </w:p>
    <w:p w14:paraId="602D271B" w14:textId="77777777" w:rsidR="00E53EB6" w:rsidRDefault="006500F5">
      <w:pPr>
        <w:pStyle w:val="biblioGEN"/>
      </w:pPr>
      <w:r>
        <w:t>___. 1963. “Taittirīya-Brāhma</w:t>
      </w:r>
      <w:r>
        <w:t>ṇ</w:t>
      </w:r>
      <w:r>
        <w:t>a 3.7.7-10 and 3.7.12-14: Seven Anuvākas of the Seventh Prapā</w:t>
      </w:r>
      <w:r>
        <w:t>ṭ</w:t>
      </w:r>
      <w:r>
        <w:t>haka of the Third Kā</w:t>
      </w:r>
      <w:r>
        <w:t>ṇḍ</w:t>
      </w:r>
      <w:r>
        <w:t>a of the Taittirīya-Brāhma</w:t>
      </w:r>
      <w:r>
        <w:t>ṇ</w:t>
      </w:r>
      <w:r>
        <w:t>a with Translatio</w:t>
      </w:r>
      <w:r>
        <w:t xml:space="preserve">n.” </w:t>
      </w:r>
      <w:r>
        <w:rPr>
          <w:i/>
          <w:iCs/>
        </w:rPr>
        <w:t>Proceedings of the American Philosophical Society</w:t>
      </w:r>
      <w:r>
        <w:t xml:space="preserve"> 107 (5): pp. 446-460</w:t>
      </w:r>
    </w:p>
    <w:p w14:paraId="3F4230A4" w14:textId="77777777" w:rsidR="00E53EB6" w:rsidRPr="0071345C" w:rsidRDefault="006500F5">
      <w:pPr>
        <w:pStyle w:val="biblioGEN"/>
        <w:rPr>
          <w:lang w:val="it-IT"/>
        </w:rPr>
      </w:pPr>
      <w:r>
        <w:rPr>
          <w:rFonts w:eastAsia="Arial Unicode MS" w:cs="Times Ext Roman"/>
          <w:smallCaps/>
        </w:rPr>
        <w:t xml:space="preserve">Di Giovine, P. 1996. </w:t>
      </w:r>
      <w:r w:rsidRPr="0071345C">
        <w:rPr>
          <w:rFonts w:eastAsia="Arial Unicode MS" w:cs="Times Ext Roman"/>
          <w:i/>
          <w:lang w:val="it-IT"/>
        </w:rPr>
        <w:t xml:space="preserve">Studio sul perfetto indoeuropeo, parte II. </w:t>
      </w:r>
      <w:r w:rsidRPr="0071345C">
        <w:rPr>
          <w:rFonts w:eastAsia="Arial Unicode MS" w:cs="Times Ext Roman"/>
          <w:lang w:val="it-IT"/>
        </w:rPr>
        <w:t>Roma: Il</w:t>
      </w:r>
      <w:r w:rsidRPr="0071345C">
        <w:rPr>
          <w:rFonts w:eastAsia="Arial Unicode MS" w:cs="Times Ext Roman"/>
          <w:lang w:val="it-IT"/>
        </w:rPr>
        <w:t xml:space="preserve"> Calamo.</w:t>
      </w:r>
    </w:p>
    <w:p w14:paraId="6950EAC1" w14:textId="77777777" w:rsidR="00E53EB6" w:rsidRDefault="006500F5">
      <w:pPr>
        <w:pStyle w:val="biblioGEN"/>
      </w:pPr>
      <w:r w:rsidRPr="0071345C">
        <w:rPr>
          <w:rFonts w:eastAsia="Arial Unicode MS" w:cs="Times Ext Roman"/>
          <w:smallCaps/>
          <w:lang w:val="it-IT"/>
        </w:rPr>
        <w:t>Elizarenkova, T. J.</w:t>
      </w:r>
      <w:r w:rsidRPr="0071345C">
        <w:rPr>
          <w:rFonts w:eastAsia="Arial Unicode MS" w:cs="Times Ext Roman"/>
          <w:lang w:val="it-IT"/>
        </w:rPr>
        <w:t xml:space="preserve"> 1995</w:t>
      </w:r>
      <w:r w:rsidRPr="0071345C">
        <w:rPr>
          <w:rFonts w:eastAsia="Arial Unicode MS" w:cs="Times Ext Roman"/>
          <w:vertAlign w:val="superscript"/>
          <w:lang w:val="it-IT"/>
        </w:rPr>
        <w:t>a</w:t>
      </w:r>
      <w:r w:rsidRPr="0071345C">
        <w:rPr>
          <w:rFonts w:eastAsia="Arial Unicode MS" w:cs="Times Ext Roman"/>
          <w:lang w:val="it-IT"/>
        </w:rPr>
        <w:t xml:space="preserve">. </w:t>
      </w:r>
      <w:r>
        <w:rPr>
          <w:rFonts w:eastAsia="Arial Unicode MS" w:cs="Times Ext Roman"/>
          <w:i/>
        </w:rPr>
        <w:t xml:space="preserve">Language and Style of the Vedic </w:t>
      </w:r>
      <w:r>
        <w:rPr>
          <w:rFonts w:eastAsia="Arial Unicode MS" w:cs="Times Ext Roman"/>
          <w:i/>
        </w:rPr>
        <w:t>Ṛṣ</w:t>
      </w:r>
      <w:r>
        <w:rPr>
          <w:rFonts w:eastAsia="Arial Unicode MS" w:cs="Times Ext Roman"/>
          <w:i/>
        </w:rPr>
        <w:t>is.</w:t>
      </w:r>
      <w:r>
        <w:rPr>
          <w:rFonts w:eastAsia="Arial Unicode MS" w:cs="Times Ext Roman"/>
        </w:rPr>
        <w:t xml:space="preserve"> Albany: State University of New Yor</w:t>
      </w:r>
      <w:r>
        <w:rPr>
          <w:rFonts w:eastAsia="Arial Unicode MS" w:cs="Times Ext Roman"/>
        </w:rPr>
        <w:t>k Press.</w:t>
      </w:r>
    </w:p>
    <w:p w14:paraId="604ACC85" w14:textId="77777777" w:rsidR="00E53EB6" w:rsidRDefault="006500F5">
      <w:pPr>
        <w:pStyle w:val="biblioGEN"/>
      </w:pPr>
      <w:r>
        <w:rPr>
          <w:rFonts w:eastAsia="Arial Unicode MS" w:cs="Times Ext Roman"/>
          <w:smallCaps/>
        </w:rPr>
        <w:t>___. 1995</w:t>
      </w:r>
      <w:r>
        <w:rPr>
          <w:rFonts w:eastAsia="Arial Unicode MS" w:cs="Times Ext Roman"/>
          <w:vertAlign w:val="superscript"/>
        </w:rPr>
        <w:t>b</w:t>
      </w:r>
      <w:r>
        <w:rPr>
          <w:rFonts w:eastAsia="Arial Unicode MS" w:cs="Times Ext Roman"/>
        </w:rPr>
        <w:t>.</w:t>
      </w:r>
      <w:r>
        <w:rPr>
          <w:rFonts w:eastAsia="Arial Unicode MS" w:cs="Times Ext Roman"/>
          <w:vertAlign w:val="superscript"/>
        </w:rPr>
        <w:t xml:space="preserve"> </w:t>
      </w:r>
      <w:r>
        <w:rPr>
          <w:rFonts w:eastAsia="Arial Unicode MS" w:cs="Times Ext Roman"/>
          <w:i/>
        </w:rPr>
        <w:t xml:space="preserve">“Words and Things” in the </w:t>
      </w:r>
      <w:r>
        <w:rPr>
          <w:rFonts w:eastAsia="Arial Unicode MS" w:cs="Times Ext Roman"/>
          <w:i/>
        </w:rPr>
        <w:t>Ṛ</w:t>
      </w:r>
      <w:r>
        <w:rPr>
          <w:rFonts w:eastAsia="Arial Unicode MS" w:cs="Times Ext Roman"/>
          <w:i/>
        </w:rPr>
        <w:t>gveda.</w:t>
      </w:r>
      <w:r>
        <w:rPr>
          <w:rFonts w:eastAsia="Arial Unicode MS" w:cs="Times Ext Roman"/>
        </w:rPr>
        <w:t xml:space="preserve"> Pune: Bhandarkar Oriental Research Institute.</w:t>
      </w:r>
    </w:p>
    <w:p w14:paraId="3095056D" w14:textId="77777777" w:rsidR="00E53EB6" w:rsidRPr="0071345C" w:rsidRDefault="006500F5">
      <w:pPr>
        <w:pStyle w:val="biblioGEN"/>
        <w:rPr>
          <w:lang w:val="de-DE"/>
        </w:rPr>
      </w:pPr>
      <w:r>
        <w:rPr>
          <w:rFonts w:eastAsia="Arial Unicode MS" w:cs="Times Ext Roman"/>
        </w:rPr>
        <w:t>___. 1995</w:t>
      </w:r>
      <w:r>
        <w:rPr>
          <w:rFonts w:eastAsia="Arial Unicode MS" w:cs="Times Ext Roman"/>
          <w:vertAlign w:val="superscript"/>
        </w:rPr>
        <w:t>c</w:t>
      </w:r>
      <w:r>
        <w:rPr>
          <w:rFonts w:eastAsia="Arial Unicode MS" w:cs="Times Ext Roman"/>
        </w:rPr>
        <w:t xml:space="preserve"> “About the ‘unmanifest’ in the verbal system of the R̥gveda.” In </w:t>
      </w:r>
      <w:r>
        <w:rPr>
          <w:rFonts w:eastAsia="Arial Unicode MS" w:cs="Times Ext Roman"/>
          <w:i/>
          <w:iCs/>
        </w:rPr>
        <w:t>Kuryłowicz Memorial Volume</w:t>
      </w:r>
      <w:r>
        <w:rPr>
          <w:rFonts w:eastAsia="Arial Unicode MS" w:cs="Times Ext Roman"/>
        </w:rPr>
        <w:t xml:space="preserve">, Part One, edited by W. Smoczyński, 239– 245. </w:t>
      </w:r>
      <w:r w:rsidRPr="0071345C">
        <w:rPr>
          <w:rFonts w:eastAsia="Arial Unicode MS" w:cs="Times Ext Roman"/>
          <w:lang w:val="de-DE"/>
        </w:rPr>
        <w:t>Cracow: Universitas.</w:t>
      </w:r>
    </w:p>
    <w:p w14:paraId="5FFDEAC8" w14:textId="77777777" w:rsidR="00E53EB6" w:rsidRPr="0071345C" w:rsidRDefault="006500F5">
      <w:pPr>
        <w:pStyle w:val="biblioGEN"/>
        <w:rPr>
          <w:lang w:val="de-DE"/>
        </w:rPr>
      </w:pPr>
      <w:r w:rsidRPr="0071345C">
        <w:rPr>
          <w:rFonts w:eastAsia="Arial Unicode MS" w:cs="Times Ext Roman"/>
          <w:lang w:val="de-DE"/>
        </w:rPr>
        <w:t xml:space="preserve">EWAia see </w:t>
      </w:r>
      <w:r w:rsidRPr="0071345C">
        <w:rPr>
          <w:rFonts w:eastAsia="Arial Unicode MS" w:cs="Times Ext Roman"/>
          <w:smallCaps/>
          <w:lang w:val="de-DE"/>
        </w:rPr>
        <w:t>Mayrhofer.</w:t>
      </w:r>
    </w:p>
    <w:p w14:paraId="2B24DFBC" w14:textId="77777777" w:rsidR="00E53EB6" w:rsidRPr="0071345C" w:rsidRDefault="006500F5">
      <w:pPr>
        <w:pStyle w:val="biblioGEN"/>
        <w:rPr>
          <w:lang w:val="de-DE"/>
        </w:rPr>
      </w:pPr>
      <w:r w:rsidRPr="0071345C">
        <w:rPr>
          <w:rFonts w:eastAsia="Arial Unicode MS" w:cs="Times Ext Roman"/>
          <w:smallCaps/>
          <w:lang w:val="de-DE"/>
        </w:rPr>
        <w:t xml:space="preserve">Falk, H. 1986. </w:t>
      </w:r>
      <w:r w:rsidRPr="0071345C">
        <w:rPr>
          <w:rFonts w:eastAsia="Arial Unicode MS" w:cs="Times Ext Roman"/>
          <w:i/>
          <w:iCs/>
          <w:lang w:val="de-DE"/>
        </w:rPr>
        <w:t xml:space="preserve">Bruderschaft und Würfelspiel. </w:t>
      </w:r>
      <w:r w:rsidRPr="0071345C">
        <w:rPr>
          <w:rFonts w:eastAsia="Arial Unicode MS" w:cs="Times Ext Roman"/>
          <w:lang w:val="de-DE"/>
        </w:rPr>
        <w:t>Freiburg: Hedwig Falk.</w:t>
      </w:r>
    </w:p>
    <w:p w14:paraId="40A80A69" w14:textId="77777777" w:rsidR="00E53EB6" w:rsidRDefault="006500F5">
      <w:pPr>
        <w:pStyle w:val="biblioGEN"/>
      </w:pPr>
      <w:r w:rsidRPr="0071345C">
        <w:rPr>
          <w:rStyle w:val="biblio-authorGEN"/>
          <w:rFonts w:eastAsia="Arial Unicode MS" w:cs="Times Ext Roman"/>
          <w:lang w:val="de-DE"/>
        </w:rPr>
        <w:lastRenderedPageBreak/>
        <w:t>Flydal, L.</w:t>
      </w:r>
      <w:r w:rsidRPr="0071345C">
        <w:rPr>
          <w:rFonts w:eastAsia="Arial Unicode MS" w:cs="Times Ext Roman"/>
          <w:lang w:val="de-DE"/>
        </w:rPr>
        <w:t xml:space="preserve"> 1951. </w:t>
      </w:r>
      <w:r>
        <w:rPr>
          <w:rFonts w:eastAsia="Arial Unicode MS" w:cs="Times Ext Roman"/>
        </w:rPr>
        <w:t xml:space="preserve">“Remarques sur certains rapports entre le style et l’état de la langue.” </w:t>
      </w:r>
      <w:r>
        <w:rPr>
          <w:rFonts w:eastAsia="Arial Unicode MS" w:cs="Times Ext Roman"/>
          <w:i/>
          <w:iCs/>
        </w:rPr>
        <w:t xml:space="preserve">Norsk Tidsskrift for Sprogvidenskap </w:t>
      </w:r>
      <w:r>
        <w:rPr>
          <w:rFonts w:eastAsia="Arial Unicode MS" w:cs="Times Ext Roman"/>
        </w:rPr>
        <w:t>16: pp. 240-257.</w:t>
      </w:r>
    </w:p>
    <w:p w14:paraId="09A43331" w14:textId="77777777" w:rsidR="00E53EB6" w:rsidRPr="0071345C" w:rsidRDefault="006500F5">
      <w:pPr>
        <w:pStyle w:val="biblioGEN"/>
        <w:rPr>
          <w:lang w:val="it-IT"/>
        </w:rPr>
      </w:pPr>
      <w:r>
        <w:rPr>
          <w:rStyle w:val="biblio-authorGEN"/>
          <w:rFonts w:eastAsia="Arial Unicode MS" w:cs="Times Ext Roman"/>
        </w:rPr>
        <w:t>Fortson, B.W.</w:t>
      </w:r>
      <w:r>
        <w:rPr>
          <w:rFonts w:eastAsia="Arial Unicode MS" w:cs="Times Ext Roman"/>
        </w:rPr>
        <w:t xml:space="preserve"> 2010. </w:t>
      </w:r>
      <w:r>
        <w:rPr>
          <w:rFonts w:eastAsia="Arial Unicode MS" w:cs="Times Ext Roman"/>
          <w:i/>
          <w:iCs/>
        </w:rPr>
        <w:t xml:space="preserve">Indo-european language and culture: an Introduction. </w:t>
      </w:r>
      <w:r w:rsidRPr="0071345C">
        <w:rPr>
          <w:rFonts w:eastAsia="Arial Unicode MS" w:cs="Times Ext Roman"/>
          <w:lang w:val="it-IT"/>
        </w:rPr>
        <w:t>Malden Mass.: Wiley-Blackwell.</w:t>
      </w:r>
    </w:p>
    <w:p w14:paraId="7B4C987E" w14:textId="77777777" w:rsidR="00E53EB6" w:rsidRPr="0071345C" w:rsidRDefault="006500F5">
      <w:pPr>
        <w:pStyle w:val="biblioGEN"/>
        <w:rPr>
          <w:lang w:val="de-DE"/>
        </w:rPr>
      </w:pPr>
      <w:r w:rsidRPr="0071345C">
        <w:rPr>
          <w:rStyle w:val="biblio-authorGEN"/>
          <w:rFonts w:eastAsia="Arial Unicode MS" w:cs="Times Ext Roman"/>
          <w:lang w:val="it-IT"/>
        </w:rPr>
        <w:t xml:space="preserve">Gambarara, D. </w:t>
      </w:r>
      <w:r w:rsidRPr="0071345C">
        <w:rPr>
          <w:rFonts w:eastAsia="Arial Unicode MS" w:cs="Times Ext Roman"/>
          <w:lang w:val="it-IT"/>
        </w:rPr>
        <w:t>1999.</w:t>
      </w:r>
      <w:r w:rsidRPr="0071345C">
        <w:rPr>
          <w:rFonts w:eastAsia="Arial Unicode MS" w:cs="Times Ext Roman"/>
          <w:lang w:val="it-IT"/>
        </w:rPr>
        <w:t xml:space="preserve"> (ed. by) </w:t>
      </w:r>
      <w:r w:rsidRPr="0071345C">
        <w:rPr>
          <w:rFonts w:eastAsia="Arial Unicode MS" w:cs="Times Ext Roman"/>
          <w:i/>
          <w:iCs/>
          <w:lang w:val="it-IT"/>
        </w:rPr>
        <w:t>Semantica: teorie, tendenze e problemi contemporanei.</w:t>
      </w:r>
      <w:r w:rsidRPr="0071345C">
        <w:rPr>
          <w:rFonts w:eastAsia="Arial Unicode MS" w:cs="Times Ext Roman"/>
          <w:lang w:val="it-IT"/>
        </w:rPr>
        <w:t xml:space="preserve"> </w:t>
      </w:r>
      <w:r w:rsidRPr="0071345C">
        <w:rPr>
          <w:rFonts w:eastAsia="Arial Unicode MS" w:cs="Times Ext Roman"/>
          <w:lang w:val="de-DE"/>
        </w:rPr>
        <w:t>Roma: Carocci.</w:t>
      </w:r>
    </w:p>
    <w:p w14:paraId="448314BB" w14:textId="77777777" w:rsidR="00E53EB6" w:rsidRDefault="006500F5">
      <w:pPr>
        <w:pStyle w:val="biblioGEN"/>
      </w:pPr>
      <w:r w:rsidRPr="0071345C">
        <w:rPr>
          <w:rFonts w:eastAsia="Arial Unicode MS" w:cs="Times Ext Roman"/>
          <w:smallCaps/>
          <w:lang w:val="de-DE"/>
        </w:rPr>
        <w:t xml:space="preserve">Geldner K. F. 1884. </w:t>
      </w:r>
      <w:r w:rsidRPr="0071345C">
        <w:rPr>
          <w:rFonts w:eastAsia="Arial Unicode MS" w:cs="Times Ext Roman"/>
          <w:i/>
          <w:lang w:val="de-DE"/>
        </w:rPr>
        <w:t>Drei Yasht aus dem Zendavesta.</w:t>
      </w:r>
      <w:r w:rsidRPr="0071345C">
        <w:rPr>
          <w:rFonts w:eastAsia="Arial Unicode MS" w:cs="Times Ext Roman"/>
          <w:lang w:val="de-DE"/>
        </w:rPr>
        <w:t xml:space="preserve"> </w:t>
      </w:r>
      <w:r>
        <w:rPr>
          <w:rFonts w:eastAsia="Arial Unicode MS" w:cs="Times Ext Roman"/>
        </w:rPr>
        <w:t>Stuttgart: Kohlhammer.</w:t>
      </w:r>
    </w:p>
    <w:p w14:paraId="73BF269E" w14:textId="77777777" w:rsidR="00E53EB6" w:rsidRPr="0071345C" w:rsidRDefault="006500F5">
      <w:pPr>
        <w:pStyle w:val="biblioGEN"/>
        <w:rPr>
          <w:lang w:val="de-DE"/>
        </w:rPr>
      </w:pPr>
      <w:r>
        <w:rPr>
          <w:rFonts w:eastAsia="Arial Unicode MS"/>
        </w:rPr>
        <w:t xml:space="preserve">___. 1886. </w:t>
      </w:r>
      <w:r>
        <w:rPr>
          <w:rFonts w:eastAsia="Arial Unicode MS"/>
          <w:i/>
        </w:rPr>
        <w:t xml:space="preserve">Avesta: the sacred books of the Parsis. </w:t>
      </w:r>
      <w:r>
        <w:rPr>
          <w:rFonts w:eastAsia="Arial Unicode MS"/>
        </w:rPr>
        <w:t>Edited</w:t>
      </w:r>
      <w:r>
        <w:rPr>
          <w:rFonts w:eastAsia="Arial Unicode MS"/>
        </w:rPr>
        <w:t xml:space="preserve"> by Karl F. Geldner. </w:t>
      </w:r>
      <w:r w:rsidRPr="0071345C">
        <w:rPr>
          <w:rFonts w:eastAsia="Arial Unicode MS"/>
          <w:lang w:val="de-DE"/>
        </w:rPr>
        <w:t xml:space="preserve">Stuttgart: Kohlhammer. </w:t>
      </w:r>
    </w:p>
    <w:p w14:paraId="07396FB1" w14:textId="77777777" w:rsidR="00E53EB6" w:rsidRPr="0071345C" w:rsidRDefault="006500F5">
      <w:pPr>
        <w:pStyle w:val="biblioGEN"/>
        <w:rPr>
          <w:lang w:val="de-DE"/>
        </w:rPr>
      </w:pPr>
      <w:r w:rsidRPr="0071345C">
        <w:rPr>
          <w:rFonts w:eastAsia="Arial Unicode MS" w:cs="Times Ext Roman"/>
          <w:smallCaps/>
          <w:lang w:val="de-DE"/>
        </w:rPr>
        <w:t>_</w:t>
      </w:r>
      <w:r w:rsidRPr="0071345C">
        <w:rPr>
          <w:rFonts w:eastAsia="Arial Unicode MS" w:cs="Times Ext Roman"/>
          <w:smallCaps/>
          <w:lang w:val="de-DE"/>
        </w:rPr>
        <w:t xml:space="preserve">__.1913. </w:t>
      </w:r>
      <w:r w:rsidRPr="0071345C">
        <w:rPr>
          <w:rFonts w:eastAsia="Arial Unicode MS" w:cs="Times Ext Roman"/>
          <w:lang w:val="de-DE"/>
        </w:rPr>
        <w:t xml:space="preserve">“Conjectanea Vedica I.” </w:t>
      </w:r>
      <w:r w:rsidRPr="0071345C">
        <w:rPr>
          <w:rFonts w:eastAsia="Arial Unicode MS" w:cs="Times Ext Roman"/>
          <w:i/>
          <w:lang w:val="de-DE"/>
        </w:rPr>
        <w:t>Zeitschrift für Vergleichende Sprachforschung</w:t>
      </w:r>
      <w:r w:rsidRPr="0071345C">
        <w:rPr>
          <w:rFonts w:eastAsia="Arial Unicode MS" w:cs="Times Ext Roman"/>
          <w:lang w:val="de-DE"/>
        </w:rPr>
        <w:t xml:space="preserve"> 27: pp. 215-218.</w:t>
      </w:r>
      <w:r w:rsidRPr="0071345C">
        <w:rPr>
          <w:rFonts w:eastAsia="Arial Unicode MS" w:cs="Times Ext Roman"/>
          <w:smallCaps/>
          <w:lang w:val="de-DE"/>
        </w:rPr>
        <w:tab/>
      </w:r>
      <w:r w:rsidRPr="0071345C">
        <w:rPr>
          <w:rFonts w:eastAsia="Arial Unicode MS" w:cs="Times Ext Roman"/>
          <w:smallCaps/>
          <w:lang w:val="de-DE"/>
        </w:rPr>
        <w:tab/>
      </w:r>
    </w:p>
    <w:p w14:paraId="417E892E" w14:textId="77777777" w:rsidR="00E53EB6" w:rsidRDefault="006500F5">
      <w:pPr>
        <w:pStyle w:val="biblioGEN"/>
      </w:pPr>
      <w:r>
        <w:rPr>
          <w:rFonts w:eastAsia="Arial Unicode MS"/>
          <w:smallCaps/>
        </w:rPr>
        <w:t xml:space="preserve">Gershevitch, I. 1959. </w:t>
      </w:r>
      <w:r>
        <w:rPr>
          <w:rFonts w:eastAsia="Arial Unicode MS"/>
          <w:i/>
        </w:rPr>
        <w:t xml:space="preserve">The Avestan Hymn to Mithra. </w:t>
      </w:r>
      <w:r>
        <w:rPr>
          <w:rFonts w:eastAsia="Arial Unicode MS"/>
        </w:rPr>
        <w:t>Cambridge:</w:t>
      </w:r>
      <w:r>
        <w:rPr>
          <w:rFonts w:eastAsia="Arial Unicode MS"/>
        </w:rPr>
        <w:t xml:space="preserve"> University Press.</w:t>
      </w:r>
    </w:p>
    <w:p w14:paraId="2E61862D" w14:textId="77777777" w:rsidR="00E53EB6" w:rsidRPr="0071345C" w:rsidRDefault="006500F5">
      <w:pPr>
        <w:pStyle w:val="biblioGEN"/>
        <w:rPr>
          <w:lang w:val="it-IT"/>
        </w:rPr>
      </w:pPr>
      <w:r>
        <w:rPr>
          <w:rFonts w:eastAsia="Arial Unicode MS"/>
          <w:smallCaps/>
        </w:rPr>
        <w:t>Gnoli, G.</w:t>
      </w:r>
      <w:r>
        <w:rPr>
          <w:rFonts w:eastAsia="Arial Unicode MS"/>
        </w:rPr>
        <w:t xml:space="preserve"> 1980. </w:t>
      </w:r>
      <w:r>
        <w:rPr>
          <w:rFonts w:eastAsia="Arial Unicode MS"/>
          <w:i/>
        </w:rPr>
        <w:t>Zoroaster's time and homeland: a study on the origins of Mazdei</w:t>
      </w:r>
      <w:r>
        <w:rPr>
          <w:rFonts w:eastAsia="Arial Unicode MS"/>
          <w:i/>
        </w:rPr>
        <w:t>sm and related problems.</w:t>
      </w:r>
      <w:r>
        <w:rPr>
          <w:rFonts w:eastAsia="Arial Unicode MS"/>
        </w:rPr>
        <w:t xml:space="preserve"> </w:t>
      </w:r>
      <w:r w:rsidRPr="0071345C">
        <w:rPr>
          <w:rFonts w:eastAsia="Arial Unicode MS"/>
          <w:lang w:val="it-IT"/>
        </w:rPr>
        <w:t>Napoli: Istituto Universitario Orientale, Seminario di Studi Asiatici.</w:t>
      </w:r>
    </w:p>
    <w:p w14:paraId="6E65255E" w14:textId="77777777" w:rsidR="00E53EB6" w:rsidRDefault="006500F5">
      <w:pPr>
        <w:pStyle w:val="biblioGEN"/>
      </w:pPr>
      <w:r w:rsidRPr="0071345C">
        <w:rPr>
          <w:rFonts w:eastAsia="Arial Unicode MS"/>
          <w:lang w:val="it-IT"/>
        </w:rPr>
        <w:t xml:space="preserve">___. 2000. </w:t>
      </w:r>
      <w:r w:rsidRPr="0071345C">
        <w:rPr>
          <w:rFonts w:eastAsia="Arial Unicode MS"/>
          <w:i/>
          <w:lang w:val="it-IT"/>
        </w:rPr>
        <w:t xml:space="preserve">Zoroaster in history. </w:t>
      </w:r>
      <w:r>
        <w:rPr>
          <w:rFonts w:eastAsia="Arial Unicode MS"/>
        </w:rPr>
        <w:t>New York: Bi</w:t>
      </w:r>
      <w:r>
        <w:rPr>
          <w:rFonts w:eastAsia="Arial Unicode MS"/>
        </w:rPr>
        <w:t>bliotheca Persica Press,.</w:t>
      </w:r>
    </w:p>
    <w:p w14:paraId="395769C1" w14:textId="77777777" w:rsidR="00E53EB6" w:rsidRDefault="006500F5">
      <w:pPr>
        <w:pStyle w:val="biblioGEN"/>
      </w:pPr>
      <w:r>
        <w:rPr>
          <w:rFonts w:eastAsia="Arial Unicode MS" w:cs="Times Ext Roman"/>
          <w:smallCaps/>
        </w:rPr>
        <w:t xml:space="preserve">Gonda, J. </w:t>
      </w:r>
      <w:r>
        <w:rPr>
          <w:rFonts w:eastAsia="Arial Unicode MS" w:cs="Times Ext Roman"/>
        </w:rPr>
        <w:t>1950</w:t>
      </w:r>
      <w:r>
        <w:rPr>
          <w:rFonts w:eastAsia="Arial Unicode MS" w:cs="Times Ext Roman"/>
          <w:vertAlign w:val="superscript"/>
        </w:rPr>
        <w:t>a</w:t>
      </w:r>
      <w:r>
        <w:rPr>
          <w:rFonts w:eastAsia="Arial Unicode MS" w:cs="Times Ext Roman"/>
        </w:rPr>
        <w:t xml:space="preserve">. </w:t>
      </w:r>
      <w:r>
        <w:rPr>
          <w:rFonts w:eastAsia="Arial Unicode MS" w:cs="Times Ext Roman"/>
          <w:i/>
        </w:rPr>
        <w:t xml:space="preserve">Notes on Brahman, </w:t>
      </w:r>
      <w:r>
        <w:rPr>
          <w:rFonts w:eastAsia="Arial Unicode MS" w:cs="Times Ext Roman"/>
        </w:rPr>
        <w:t xml:space="preserve">Utrecht: </w:t>
      </w:r>
      <w:r>
        <w:rPr>
          <w:rFonts w:eastAsia="Arial Unicode MS"/>
        </w:rPr>
        <w:t>B</w:t>
      </w:r>
      <w:r>
        <w:rPr>
          <w:rFonts w:eastAsia="Arial Unicode MS"/>
        </w:rPr>
        <w:t>eyers</w:t>
      </w:r>
      <w:r>
        <w:rPr>
          <w:rFonts w:eastAsia="Arial Unicode MS" w:cs="Times Ext Roman"/>
        </w:rPr>
        <w:t>.</w:t>
      </w:r>
    </w:p>
    <w:p w14:paraId="6980EC73" w14:textId="77777777" w:rsidR="00E53EB6" w:rsidRDefault="006500F5">
      <w:pPr>
        <w:pStyle w:val="biblioGEN"/>
      </w:pPr>
      <w:r>
        <w:rPr>
          <w:rFonts w:eastAsia="Arial Unicode MS"/>
        </w:rPr>
        <w:t>___. 1950</w:t>
      </w:r>
      <w:r>
        <w:rPr>
          <w:rFonts w:eastAsia="Arial Unicode MS"/>
          <w:vertAlign w:val="superscript"/>
        </w:rPr>
        <w:t>b</w:t>
      </w:r>
      <w:r>
        <w:rPr>
          <w:rFonts w:eastAsia="Arial Unicode MS"/>
        </w:rPr>
        <w:t xml:space="preserve"> </w:t>
      </w:r>
      <w:r>
        <w:rPr>
          <w:rFonts w:eastAsia="Arial Unicode MS"/>
          <w:i/>
          <w:iCs/>
        </w:rPr>
        <w:t xml:space="preserve">Stylistic </w:t>
      </w:r>
      <w:r>
        <w:rPr>
          <w:rFonts w:eastAsia="Arial Unicode MS"/>
          <w:i/>
          <w:iCs/>
        </w:rPr>
        <w:t>repetition in the Veda</w:t>
      </w:r>
      <w:r>
        <w:rPr>
          <w:rFonts w:eastAsia="Arial Unicode MS"/>
        </w:rPr>
        <w:t xml:space="preserve"> Amsterdam: N.V. Noord-Hollandsche Uitgevers Maatschappij.</w:t>
      </w:r>
    </w:p>
    <w:p w14:paraId="11FBE1BB" w14:textId="77777777" w:rsidR="00E53EB6" w:rsidRDefault="006500F5">
      <w:pPr>
        <w:pStyle w:val="biblioGEN"/>
      </w:pPr>
      <w:r>
        <w:rPr>
          <w:rFonts w:eastAsia="Arial Unicode MS" w:cs="Times Ext Roman"/>
        </w:rPr>
        <w:t>___. 1957</w:t>
      </w:r>
      <w:r>
        <w:rPr>
          <w:rFonts w:eastAsia="Arial Unicode MS" w:cs="Times Ext Roman"/>
          <w:vertAlign w:val="superscript"/>
        </w:rPr>
        <w:t>a</w:t>
      </w:r>
      <w:r>
        <w:rPr>
          <w:rFonts w:eastAsia="Arial Unicode MS" w:cs="Times Ext Roman"/>
        </w:rPr>
        <w:t>. “The Vedic Concept of a</w:t>
      </w:r>
      <w:r>
        <w:rPr>
          <w:rFonts w:eastAsia="Arial Unicode MS" w:cs="Times Ext Roman"/>
        </w:rPr>
        <w:t>ṃ</w:t>
      </w:r>
      <w:r>
        <w:rPr>
          <w:rFonts w:eastAsia="Arial Unicode MS" w:cs="Times Ext Roman"/>
        </w:rPr>
        <w:t xml:space="preserve">has.” </w:t>
      </w:r>
      <w:r>
        <w:rPr>
          <w:rFonts w:eastAsia="Arial Unicode MS" w:cs="Times Ext Roman"/>
          <w:i/>
        </w:rPr>
        <w:t xml:space="preserve">Indo Iranian Journal </w:t>
      </w:r>
      <w:r>
        <w:rPr>
          <w:rFonts w:eastAsia="Arial Unicode MS" w:cs="Times Ext Roman"/>
        </w:rPr>
        <w:t>1: pp. 47-66.</w:t>
      </w:r>
    </w:p>
    <w:p w14:paraId="070F7045" w14:textId="77777777" w:rsidR="00E53EB6" w:rsidRDefault="006500F5">
      <w:pPr>
        <w:pStyle w:val="biblioGEN"/>
      </w:pPr>
      <w:r>
        <w:rPr>
          <w:rFonts w:eastAsia="Arial Unicode MS" w:cs="Times Ext Roman"/>
        </w:rPr>
        <w:t>___. 1957</w:t>
      </w:r>
      <w:r>
        <w:rPr>
          <w:rFonts w:eastAsia="Arial Unicode MS" w:cs="Times Ext Roman"/>
          <w:vertAlign w:val="superscript"/>
        </w:rPr>
        <w:t>b</w:t>
      </w:r>
      <w:r>
        <w:rPr>
          <w:rFonts w:eastAsia="Arial Unicode MS" w:cs="Times Ext Roman"/>
        </w:rPr>
        <w:t xml:space="preserve">. </w:t>
      </w:r>
      <w:r>
        <w:rPr>
          <w:rFonts w:eastAsia="Arial Unicode MS" w:cs="Times Ext Roman"/>
          <w:i/>
        </w:rPr>
        <w:t>Some observation on the relations between “Gods” and “Powers” in the Veda, à propos of</w:t>
      </w:r>
      <w:r>
        <w:rPr>
          <w:rFonts w:eastAsia="Arial Unicode MS" w:cs="Times Ext Roman"/>
          <w:i/>
        </w:rPr>
        <w:t xml:space="preserve"> the phrase </w:t>
      </w:r>
      <w:r>
        <w:rPr>
          <w:rFonts w:eastAsia="Arial Unicode MS" w:cs="Times Ext Roman"/>
        </w:rPr>
        <w:t>sunuh sahasah. ‘s-Gravenhage:Mouton &amp; Co.</w:t>
      </w:r>
    </w:p>
    <w:p w14:paraId="7652B66B" w14:textId="77777777" w:rsidR="00E53EB6" w:rsidRDefault="006500F5">
      <w:pPr>
        <w:pStyle w:val="biblioGEN"/>
      </w:pPr>
      <w:r>
        <w:rPr>
          <w:rFonts w:eastAsia="Arial Unicode MS" w:cs="Times Ext Roman"/>
        </w:rPr>
        <w:t xml:space="preserve">___. 1959. </w:t>
      </w:r>
      <w:r>
        <w:rPr>
          <w:rFonts w:eastAsia="Arial Unicode MS" w:cs="Times Ext Roman"/>
          <w:i/>
        </w:rPr>
        <w:t xml:space="preserve">Epithets in the </w:t>
      </w:r>
      <w:r>
        <w:rPr>
          <w:rFonts w:eastAsia="Arial Unicode MS" w:cs="Times Ext Roman"/>
          <w:i/>
        </w:rPr>
        <w:t>Ṛ</w:t>
      </w:r>
      <w:r>
        <w:rPr>
          <w:rFonts w:eastAsia="Arial Unicode MS" w:cs="Times Ext Roman"/>
          <w:i/>
        </w:rPr>
        <w:t>gveda.</w:t>
      </w:r>
      <w:r>
        <w:rPr>
          <w:rFonts w:eastAsia="Arial Unicode MS" w:cs="Times Ext Roman"/>
        </w:rPr>
        <w:t xml:space="preserve"> ‘s-Gravenhage: Mouton &amp; Co.</w:t>
      </w:r>
    </w:p>
    <w:p w14:paraId="5E2D1F48" w14:textId="77777777" w:rsidR="00E53EB6" w:rsidRDefault="006500F5">
      <w:pPr>
        <w:pStyle w:val="biblioGEN"/>
      </w:pPr>
      <w:r w:rsidRPr="0071345C">
        <w:rPr>
          <w:rFonts w:eastAsia="Arial Unicode MS" w:cs="Times Ext Roman"/>
          <w:smallCaps/>
          <w:lang w:val="de-DE"/>
        </w:rPr>
        <w:t>___. 1960. "</w:t>
      </w:r>
      <w:r w:rsidRPr="0071345C">
        <w:rPr>
          <w:rFonts w:eastAsia="Arial Unicode MS" w:cs="Times Ext Roman"/>
          <w:lang w:val="de-DE"/>
        </w:rPr>
        <w:t>Die Religionen Indiens, I. Veda und älterer Hinduismus.” In</w:t>
      </w:r>
      <w:r w:rsidRPr="0071345C">
        <w:rPr>
          <w:rFonts w:eastAsia="Arial Unicode MS" w:cs="Times Ext Roman"/>
          <w:i/>
          <w:lang w:val="de-DE"/>
        </w:rPr>
        <w:t xml:space="preserve"> Die Religionen der Menschheit</w:t>
      </w:r>
      <w:r w:rsidRPr="0071345C">
        <w:rPr>
          <w:rFonts w:eastAsia="Arial Unicode MS" w:cs="Times Ext Roman"/>
          <w:lang w:val="de-DE"/>
        </w:rPr>
        <w:t>, edited by C. M. Schröder, Band 11.</w:t>
      </w:r>
      <w:r w:rsidRPr="0071345C">
        <w:rPr>
          <w:rFonts w:eastAsia="Arial Unicode MS" w:cs="Times Ext Roman"/>
          <w:smallCaps/>
          <w:lang w:val="de-DE"/>
        </w:rPr>
        <w:t xml:space="preserve"> </w:t>
      </w:r>
      <w:r>
        <w:rPr>
          <w:rFonts w:eastAsia="Arial Unicode MS" w:cs="Times Ext Roman"/>
        </w:rPr>
        <w:t>S</w:t>
      </w:r>
      <w:r>
        <w:rPr>
          <w:rFonts w:eastAsia="Arial Unicode MS" w:cs="Times Ext Roman"/>
        </w:rPr>
        <w:t xml:space="preserve">tuttgart: </w:t>
      </w:r>
      <w:r>
        <w:rPr>
          <w:rFonts w:eastAsia="Arial Unicode MS" w:cs="Times Ext Roman"/>
        </w:rPr>
        <w:t>Kohlhammer Verlag.</w:t>
      </w:r>
      <w:r>
        <w:rPr>
          <w:rFonts w:eastAsia="Arial Unicode MS" w:cs="Times Ext Roman"/>
          <w:smallCaps/>
        </w:rPr>
        <w:t xml:space="preserve"> </w:t>
      </w:r>
    </w:p>
    <w:p w14:paraId="0415E31A" w14:textId="77777777" w:rsidR="00E53EB6" w:rsidRDefault="006500F5">
      <w:pPr>
        <w:pStyle w:val="biblioGEN"/>
      </w:pPr>
      <w:r>
        <w:rPr>
          <w:rFonts w:eastAsia="Arial Unicode MS" w:cs="Times Ext Roman"/>
          <w:smallCaps/>
        </w:rPr>
        <w:t xml:space="preserve">___. </w:t>
      </w:r>
      <w:r>
        <w:rPr>
          <w:rFonts w:eastAsia="Arial Unicode MS"/>
        </w:rPr>
        <w:t xml:space="preserve">1962. </w:t>
      </w:r>
      <w:r>
        <w:rPr>
          <w:rFonts w:eastAsia="Arial Unicode MS"/>
          <w:i/>
        </w:rPr>
        <w:t>The aspectual function of the Rgvedic present and aorist</w:t>
      </w:r>
      <w:r>
        <w:rPr>
          <w:rFonts w:eastAsia="Arial Unicode MS"/>
        </w:rPr>
        <w:t>, 'S-Gravenhage: Mouton &amp; Co.</w:t>
      </w:r>
    </w:p>
    <w:p w14:paraId="56B61D08" w14:textId="77777777" w:rsidR="00E53EB6" w:rsidRDefault="006500F5">
      <w:pPr>
        <w:pStyle w:val="biblioGEN"/>
      </w:pPr>
      <w:r>
        <w:rPr>
          <w:rFonts w:eastAsia="Arial Unicode MS" w:cs="Times Ext Roman"/>
        </w:rPr>
        <w:t xml:space="preserve">___. 1963. </w:t>
      </w:r>
      <w:r>
        <w:rPr>
          <w:rFonts w:eastAsia="Arial Unicode MS" w:cs="Times Ext Roman"/>
          <w:i/>
        </w:rPr>
        <w:t>The Vision of the Vedic Poets.</w:t>
      </w:r>
      <w:r>
        <w:rPr>
          <w:rFonts w:eastAsia="Arial Unicode MS" w:cs="Times Ext Roman"/>
        </w:rPr>
        <w:t xml:space="preserve"> The Hague:  Mouton &amp; Co.</w:t>
      </w:r>
    </w:p>
    <w:p w14:paraId="2384ABC7" w14:textId="77777777" w:rsidR="00E53EB6" w:rsidRDefault="006500F5">
      <w:pPr>
        <w:pStyle w:val="biblioGEN"/>
      </w:pPr>
      <w:r>
        <w:rPr>
          <w:rFonts w:eastAsia="Arial Unicode MS" w:cs="Times Ext Roman"/>
          <w:smallCaps/>
        </w:rPr>
        <w:t xml:space="preserve">___. 1965. </w:t>
      </w:r>
      <w:r>
        <w:rPr>
          <w:rFonts w:eastAsia="Arial Unicode MS" w:cs="Times Ext Roman"/>
          <w:i/>
        </w:rPr>
        <w:t xml:space="preserve">Change and Continuity in Indian Religion. </w:t>
      </w:r>
      <w:r>
        <w:rPr>
          <w:rFonts w:eastAsia="Arial Unicode MS" w:cs="Times Ext Roman"/>
        </w:rPr>
        <w:t>The Hague</w:t>
      </w:r>
      <w:r>
        <w:rPr>
          <w:rFonts w:eastAsia="Arial Unicode MS" w:cs="Times Ext Roman"/>
        </w:rPr>
        <w:t>:  Mouton &amp; Co.</w:t>
      </w:r>
    </w:p>
    <w:p w14:paraId="33BEAC0A" w14:textId="77777777" w:rsidR="00E53EB6" w:rsidRDefault="006500F5">
      <w:pPr>
        <w:pStyle w:val="biblioGEN"/>
      </w:pPr>
      <w:r>
        <w:rPr>
          <w:rFonts w:eastAsia="Arial Unicode MS" w:cs="Times Ext Roman"/>
        </w:rPr>
        <w:t>___. 1965</w:t>
      </w:r>
      <w:r>
        <w:rPr>
          <w:rFonts w:eastAsia="Arial Unicode MS" w:cs="Times Ext Roman"/>
          <w:vertAlign w:val="superscript"/>
        </w:rPr>
        <w:t>a</w:t>
      </w:r>
      <w:r>
        <w:rPr>
          <w:rFonts w:eastAsia="Arial Unicode MS" w:cs="Times Ext Roman"/>
        </w:rPr>
        <w:t>. “Bandhu in the Brāhma</w:t>
      </w:r>
      <w:r>
        <w:rPr>
          <w:rFonts w:eastAsia="Arial Unicode MS" w:cs="Times Ext Roman"/>
        </w:rPr>
        <w:t>ṇ</w:t>
      </w:r>
      <w:r>
        <w:rPr>
          <w:rFonts w:eastAsia="Arial Unicode MS" w:cs="Times Ext Roman"/>
        </w:rPr>
        <w:t xml:space="preserve">as.” </w:t>
      </w:r>
      <w:r>
        <w:rPr>
          <w:rFonts w:eastAsia="Arial Unicode MS" w:cs="Times Ext Roman"/>
          <w:i/>
          <w:iCs/>
        </w:rPr>
        <w:t xml:space="preserve">Adyar Library Bulletin </w:t>
      </w:r>
      <w:r>
        <w:rPr>
          <w:rFonts w:eastAsia="Arial Unicode MS" w:cs="Times Ext Roman"/>
        </w:rPr>
        <w:t>29: pp. 1-29.</w:t>
      </w:r>
    </w:p>
    <w:p w14:paraId="34DABEB2" w14:textId="77777777" w:rsidR="00E53EB6" w:rsidRPr="0071345C" w:rsidRDefault="006500F5">
      <w:pPr>
        <w:pStyle w:val="biblioGEN"/>
        <w:rPr>
          <w:lang w:val="de-DE"/>
        </w:rPr>
      </w:pPr>
      <w:r w:rsidRPr="0071345C">
        <w:rPr>
          <w:rFonts w:eastAsia="Arial Unicode MS"/>
          <w:lang w:val="de-DE"/>
        </w:rPr>
        <w:t xml:space="preserve">___. 1975. </w:t>
      </w:r>
      <w:r w:rsidRPr="0071345C">
        <w:rPr>
          <w:rFonts w:eastAsia="Arial Unicode MS"/>
          <w:i/>
          <w:lang w:val="de-DE"/>
        </w:rPr>
        <w:t>Vedic literature (Samhitas and Brahmanas).</w:t>
      </w:r>
      <w:r w:rsidRPr="0071345C">
        <w:rPr>
          <w:rFonts w:eastAsia="Arial Unicode MS"/>
          <w:lang w:val="de-DE"/>
        </w:rPr>
        <w:t xml:space="preserve"> Wiesbaden: Harrassowitz.</w:t>
      </w:r>
    </w:p>
    <w:p w14:paraId="46D27BF2" w14:textId="77777777" w:rsidR="00E53EB6" w:rsidRDefault="006500F5">
      <w:pPr>
        <w:pStyle w:val="biblioGEN"/>
      </w:pPr>
      <w:r w:rsidRPr="0071345C">
        <w:rPr>
          <w:rFonts w:eastAsia="Arial Unicode MS" w:cs="Times Ext Roman"/>
          <w:smallCaps/>
          <w:lang w:val="de-DE"/>
        </w:rPr>
        <w:t xml:space="preserve">___. </w:t>
      </w:r>
      <w:r>
        <w:rPr>
          <w:rFonts w:eastAsia="Arial Unicode MS" w:cs="Times Ext Roman"/>
          <w:smallCaps/>
        </w:rPr>
        <w:t>1980</w:t>
      </w:r>
      <w:r>
        <w:rPr>
          <w:rFonts w:eastAsia="Arial Unicode MS" w:cs="Times Ext Roman"/>
          <w:vertAlign w:val="superscript"/>
        </w:rPr>
        <w:t>a</w:t>
      </w:r>
      <w:r>
        <w:rPr>
          <w:rFonts w:eastAsia="Arial Unicode MS" w:cs="Times Ext Roman"/>
        </w:rPr>
        <w:t xml:space="preserve"> </w:t>
      </w:r>
      <w:r>
        <w:rPr>
          <w:rFonts w:eastAsia="Arial Unicode MS" w:cs="Times Ext Roman"/>
          <w:smallCaps/>
        </w:rPr>
        <w:t xml:space="preserve">. </w:t>
      </w:r>
      <w:r>
        <w:rPr>
          <w:rFonts w:eastAsia="Arial Unicode MS" w:cs="Times Ext Roman"/>
          <w:i/>
        </w:rPr>
        <w:t xml:space="preserve">Vedic ritual- the non-solemn rites. </w:t>
      </w:r>
      <w:r>
        <w:rPr>
          <w:rFonts w:eastAsia="Arial Unicode MS" w:cs="Times Ext Roman"/>
        </w:rPr>
        <w:t>Leiden: Brill.</w:t>
      </w:r>
    </w:p>
    <w:p w14:paraId="13E9BF1F" w14:textId="77777777" w:rsidR="00E53EB6" w:rsidRDefault="006500F5">
      <w:pPr>
        <w:pStyle w:val="biblioGEN"/>
      </w:pPr>
      <w:r>
        <w:rPr>
          <w:rFonts w:eastAsia="Arial Unicode MS"/>
        </w:rPr>
        <w:t>___. 1980</w:t>
      </w:r>
      <w:r>
        <w:rPr>
          <w:rFonts w:eastAsia="Arial Unicode MS"/>
          <w:vertAlign w:val="superscript"/>
        </w:rPr>
        <w:t>b</w:t>
      </w:r>
      <w:r>
        <w:rPr>
          <w:rFonts w:eastAsia="Arial Unicode MS"/>
        </w:rPr>
        <w:t>.</w:t>
      </w:r>
      <w:r>
        <w:rPr>
          <w:rFonts w:eastAsia="Arial Unicode MS"/>
        </w:rPr>
        <w:t xml:space="preserve"> </w:t>
      </w:r>
      <w:r>
        <w:rPr>
          <w:rFonts w:eastAsia="Arial Unicode MS"/>
          <w:i/>
          <w:iCs/>
        </w:rPr>
        <w:t xml:space="preserve">The mantras of the Agnyupasthana and the Sautramani. </w:t>
      </w:r>
      <w:r>
        <w:rPr>
          <w:rFonts w:eastAsia="Arial Unicode MS"/>
        </w:rPr>
        <w:t>Amsterdam: North-</w:t>
      </w:r>
      <w:r>
        <w:rPr>
          <w:rFonts w:eastAsia="Arial Unicode MS"/>
        </w:rPr>
        <w:t>Holland Publications.</w:t>
      </w:r>
    </w:p>
    <w:p w14:paraId="0955B153" w14:textId="77777777" w:rsidR="00E53EB6" w:rsidRDefault="006500F5">
      <w:pPr>
        <w:pStyle w:val="biblioGEN"/>
      </w:pPr>
      <w:r>
        <w:rPr>
          <w:rFonts w:eastAsia="Arial Unicode MS"/>
        </w:rPr>
        <w:t xml:space="preserve">___. 1981. </w:t>
      </w:r>
      <w:r>
        <w:rPr>
          <w:rFonts w:eastAsia="Arial Unicode MS"/>
          <w:i/>
          <w:iCs/>
        </w:rPr>
        <w:t xml:space="preserve">The Praügasastra. </w:t>
      </w:r>
      <w:r>
        <w:rPr>
          <w:rFonts w:eastAsia="Arial Unicode MS"/>
        </w:rPr>
        <w:t xml:space="preserve"> </w:t>
      </w:r>
      <w:r>
        <w:rPr>
          <w:rFonts w:eastAsia="Arial Unicode MS"/>
        </w:rPr>
        <w:t>Amsterdam: North-</w:t>
      </w:r>
      <w:r>
        <w:rPr>
          <w:rFonts w:eastAsia="Arial Unicode MS"/>
        </w:rPr>
        <w:t>Holland Publications.</w:t>
      </w:r>
    </w:p>
    <w:p w14:paraId="3780854F" w14:textId="77777777" w:rsidR="00E53EB6" w:rsidRDefault="006500F5">
      <w:pPr>
        <w:pStyle w:val="biblioGEN"/>
      </w:pPr>
      <w:r>
        <w:rPr>
          <w:rFonts w:eastAsia="Arial Unicode MS"/>
        </w:rPr>
        <w:t xml:space="preserve">___. 1985. </w:t>
      </w:r>
      <w:r>
        <w:rPr>
          <w:rFonts w:eastAsia="Arial Unicode MS"/>
          <w:i/>
        </w:rPr>
        <w:t>The ritual functions and significance of grasses in the religion of the Veda.</w:t>
      </w:r>
      <w:r>
        <w:rPr>
          <w:rFonts w:eastAsia="Arial Unicode MS"/>
        </w:rPr>
        <w:t xml:space="preserve"> </w:t>
      </w:r>
      <w:r>
        <w:rPr>
          <w:rFonts w:eastAsia="Arial Unicode MS"/>
        </w:rPr>
        <w:t>Amster</w:t>
      </w:r>
      <w:r>
        <w:rPr>
          <w:rFonts w:eastAsia="Arial Unicode MS"/>
        </w:rPr>
        <w:t>dam: North-</w:t>
      </w:r>
      <w:r>
        <w:rPr>
          <w:rFonts w:eastAsia="Arial Unicode MS"/>
        </w:rPr>
        <w:t>Holland Publications.</w:t>
      </w:r>
    </w:p>
    <w:p w14:paraId="5886FE77" w14:textId="77777777" w:rsidR="00E53EB6" w:rsidRDefault="006500F5">
      <w:pPr>
        <w:pStyle w:val="biblioGEN"/>
      </w:pPr>
      <w:r>
        <w:rPr>
          <w:rFonts w:eastAsia="Arial Unicode MS" w:cs="Times Ext Roman"/>
          <w:lang w:eastAsia="en-GB" w:bidi="en-GB"/>
        </w:rPr>
        <w:t xml:space="preserve">___. 1988. </w:t>
      </w:r>
      <w:r>
        <w:rPr>
          <w:rFonts w:eastAsia="Arial Unicode MS" w:cs="Times Ext Roman"/>
          <w:i/>
          <w:iCs/>
          <w:lang w:eastAsia="en-GB" w:bidi="en-GB"/>
        </w:rPr>
        <w:t>Mantra interpretation in the Śatapatha-Brāhma</w:t>
      </w:r>
      <w:r>
        <w:rPr>
          <w:rFonts w:eastAsia="Arial Unicode MS" w:cs="Times Ext Roman"/>
          <w:i/>
          <w:iCs/>
          <w:lang w:eastAsia="en-GB" w:bidi="en-GB"/>
        </w:rPr>
        <w:t>ṇ</w:t>
      </w:r>
      <w:r>
        <w:rPr>
          <w:rFonts w:eastAsia="Arial Unicode MS" w:cs="Times Ext Roman"/>
          <w:i/>
          <w:iCs/>
          <w:lang w:eastAsia="en-GB" w:bidi="en-GB"/>
        </w:rPr>
        <w:t>a.</w:t>
      </w:r>
      <w:r>
        <w:rPr>
          <w:rFonts w:eastAsia="Arial Unicode MS" w:cs="Times Ext Roman"/>
          <w:lang w:eastAsia="en-GB" w:bidi="en-GB"/>
        </w:rPr>
        <w:t xml:space="preserve"> Leiden: Brill.</w:t>
      </w:r>
    </w:p>
    <w:p w14:paraId="4DDD021B" w14:textId="77777777" w:rsidR="00E53EB6" w:rsidRDefault="006500F5">
      <w:pPr>
        <w:pStyle w:val="biblioGEN"/>
      </w:pPr>
      <w:r>
        <w:rPr>
          <w:rFonts w:eastAsia="Arial Unicode MS"/>
        </w:rPr>
        <w:t xml:space="preserve">___. 1989. </w:t>
      </w:r>
      <w:r>
        <w:rPr>
          <w:rFonts w:eastAsia="Arial Unicode MS"/>
          <w:i/>
        </w:rPr>
        <w:t>Prayer and blessing : ancient Indian ritual terminology.</w:t>
      </w:r>
      <w:r>
        <w:rPr>
          <w:rFonts w:eastAsia="Arial Unicode MS"/>
        </w:rPr>
        <w:t xml:space="preserve"> </w:t>
      </w:r>
      <w:r>
        <w:rPr>
          <w:rFonts w:eastAsia="Arial Unicode MS" w:cs="Times Ext Roman"/>
          <w:lang w:eastAsia="en-GB" w:bidi="en-GB"/>
        </w:rPr>
        <w:t>Leiden: Brill.</w:t>
      </w:r>
      <w:r>
        <w:rPr>
          <w:rFonts w:eastAsia="Arial Unicode MS"/>
        </w:rPr>
        <w:t xml:space="preserve"> </w:t>
      </w:r>
    </w:p>
    <w:p w14:paraId="32A6AEB6" w14:textId="77777777" w:rsidR="00E53EB6" w:rsidRDefault="006500F5">
      <w:pPr>
        <w:pStyle w:val="biblioGEN"/>
      </w:pPr>
      <w:r>
        <w:rPr>
          <w:rFonts w:eastAsia="Arial Unicode MS"/>
        </w:rPr>
        <w:lastRenderedPageBreak/>
        <w:t xml:space="preserve">___. 1992. </w:t>
      </w:r>
      <w:r>
        <w:rPr>
          <w:rFonts w:eastAsia="Arial Unicode MS"/>
          <w:i/>
          <w:iCs/>
        </w:rPr>
        <w:t xml:space="preserve">Selected Studies. </w:t>
      </w:r>
      <w:r>
        <w:rPr>
          <w:rFonts w:eastAsia="Arial Unicode MS" w:cs="Times Ext Roman"/>
          <w:lang w:eastAsia="en-GB" w:bidi="en-GB"/>
        </w:rPr>
        <w:t>Leiden: Brill.</w:t>
      </w:r>
    </w:p>
    <w:p w14:paraId="3F893AFB" w14:textId="77777777" w:rsidR="00E53EB6" w:rsidRDefault="006500F5">
      <w:pPr>
        <w:pStyle w:val="biblioGEN"/>
      </w:pPr>
      <w:r>
        <w:rPr>
          <w:rStyle w:val="biblio-authorGEN"/>
          <w:rFonts w:eastAsia="Arial Unicode MS"/>
        </w:rPr>
        <w:t>Gordon</w:t>
      </w:r>
      <w:r>
        <w:rPr>
          <w:rFonts w:eastAsia="Arial Unicode MS"/>
        </w:rPr>
        <w:t>,</w:t>
      </w:r>
      <w:r>
        <w:rPr>
          <w:rStyle w:val="biblio-authorGEN"/>
          <w:rFonts w:eastAsia="Arial Unicode MS"/>
        </w:rPr>
        <w:t xml:space="preserve"> W.T</w:t>
      </w:r>
      <w:r>
        <w:rPr>
          <w:rFonts w:eastAsia="Arial Unicode MS"/>
        </w:rPr>
        <w:t xml:space="preserve">. 1982. </w:t>
      </w:r>
      <w:r>
        <w:rPr>
          <w:rFonts w:eastAsia="Arial Unicode MS"/>
          <w:i/>
          <w:iCs/>
        </w:rPr>
        <w:t xml:space="preserve">A history of Semantics, </w:t>
      </w:r>
      <w:r>
        <w:rPr>
          <w:rFonts w:eastAsia="Arial Unicode MS"/>
        </w:rPr>
        <w:t>Amsterdam-Philadephia: Benjamins.</w:t>
      </w:r>
    </w:p>
    <w:p w14:paraId="0EA8983D" w14:textId="77777777" w:rsidR="00E53EB6" w:rsidRPr="0071345C" w:rsidRDefault="006500F5">
      <w:pPr>
        <w:pStyle w:val="biblioGEN"/>
        <w:rPr>
          <w:lang w:val="de-DE"/>
        </w:rPr>
      </w:pPr>
      <w:r w:rsidRPr="0071345C">
        <w:rPr>
          <w:rFonts w:eastAsia="Arial Unicode MS" w:cs="Times Ext Roman"/>
          <w:smallCaps/>
          <w:lang w:val="de-DE"/>
        </w:rPr>
        <w:t xml:space="preserve">Gotō, T. </w:t>
      </w:r>
      <w:r w:rsidRPr="0071345C">
        <w:rPr>
          <w:rFonts w:eastAsia="Arial Unicode MS" w:cs="Times Ext Roman"/>
          <w:lang w:val="de-DE"/>
        </w:rPr>
        <w:t xml:space="preserve">1987. </w:t>
      </w:r>
      <w:r w:rsidRPr="0071345C">
        <w:rPr>
          <w:rFonts w:eastAsia="Arial Unicode MS" w:cs="Times Ext Roman"/>
          <w:i/>
          <w:lang w:val="de-DE"/>
        </w:rPr>
        <w:t xml:space="preserve">Die “I. Präsensklasse” im Vedisch - Untersuchungen der vollstufigen thematischen Wurzelpräsentia. </w:t>
      </w:r>
      <w:r w:rsidRPr="0071345C">
        <w:rPr>
          <w:rFonts w:eastAsia="Arial Unicode MS" w:cs="Times Ext Roman"/>
          <w:lang w:val="de-DE"/>
        </w:rPr>
        <w:t xml:space="preserve">Wien: </w:t>
      </w:r>
      <w:r w:rsidRPr="0071345C">
        <w:rPr>
          <w:rFonts w:eastAsia="Arial Unicode MS" w:cs="Times Ext Roman"/>
          <w:caps/>
          <w:lang w:val="de-DE"/>
        </w:rPr>
        <w:t>ö</w:t>
      </w:r>
      <w:r w:rsidRPr="0071345C">
        <w:rPr>
          <w:rFonts w:eastAsia="Arial Unicode MS" w:cs="Times Ext Roman"/>
          <w:lang w:val="de-DE"/>
        </w:rPr>
        <w:t>ster</w:t>
      </w:r>
      <w:r w:rsidRPr="0071345C">
        <w:rPr>
          <w:rFonts w:eastAsia="Arial Unicode MS" w:cs="Times Ext Roman"/>
          <w:lang w:val="de-DE"/>
        </w:rPr>
        <w:t>reichischen Akademie.</w:t>
      </w:r>
      <w:r w:rsidRPr="0071345C">
        <w:rPr>
          <w:rFonts w:eastAsia="Arial Unicode MS" w:cs="Times Ext Roman"/>
          <w:i/>
          <w:lang w:val="de-DE"/>
        </w:rPr>
        <w:t xml:space="preserve"> </w:t>
      </w:r>
    </w:p>
    <w:p w14:paraId="74E50298" w14:textId="77777777" w:rsidR="00E53EB6" w:rsidRDefault="006500F5">
      <w:pPr>
        <w:pStyle w:val="biblioGEN"/>
      </w:pPr>
      <w:r w:rsidRPr="0071345C">
        <w:rPr>
          <w:rFonts w:eastAsia="Arial Unicode MS" w:cs="Times Ext Roman"/>
          <w:smallCaps/>
          <w:lang w:val="de-DE"/>
        </w:rPr>
        <w:t>Grassmann, H. (</w:t>
      </w:r>
      <w:r w:rsidRPr="0071345C">
        <w:rPr>
          <w:rFonts w:eastAsia="Arial Unicode MS" w:cs="Times Ext Roman"/>
          <w:lang w:val="de-DE"/>
        </w:rPr>
        <w:t xml:space="preserve">1875) </w:t>
      </w:r>
      <w:r w:rsidRPr="0071345C">
        <w:rPr>
          <w:rFonts w:eastAsia="Arial Unicode MS" w:cs="Times Ext Roman"/>
          <w:smallCaps/>
          <w:lang w:val="de-DE"/>
        </w:rPr>
        <w:t>1996</w:t>
      </w:r>
      <w:r w:rsidRPr="0071345C">
        <w:rPr>
          <w:rFonts w:eastAsia="Arial Unicode MS" w:cs="Times Ext Roman"/>
          <w:lang w:val="de-DE"/>
        </w:rPr>
        <w:t xml:space="preserve">. </w:t>
      </w:r>
      <w:r w:rsidRPr="0071345C">
        <w:rPr>
          <w:rFonts w:eastAsia="Arial Unicode MS" w:cs="Times Ext Roman"/>
          <w:i/>
          <w:lang w:val="de-DE"/>
        </w:rPr>
        <w:t xml:space="preserve">Wörterbuch zum Rig-veda, überarbeitete und ergänzte Auflage von Maria Kozianka. </w:t>
      </w:r>
      <w:r>
        <w:rPr>
          <w:rFonts w:eastAsia="Arial Unicode MS" w:cs="Times Ext Roman"/>
        </w:rPr>
        <w:t>Wiesbaden: Harras</w:t>
      </w:r>
      <w:r>
        <w:rPr>
          <w:rFonts w:eastAsia="Arial Unicode MS" w:cs="Times Ext Roman"/>
        </w:rPr>
        <w:t>sowitz.</w:t>
      </w:r>
      <w:r>
        <w:rPr>
          <w:rFonts w:eastAsia="Arial Unicode MS" w:cs="Times Ext Roman"/>
          <w:i/>
        </w:rPr>
        <w:t xml:space="preserve"> </w:t>
      </w:r>
      <w:r>
        <w:rPr>
          <w:rFonts w:eastAsia="Arial Unicode MS" w:cs="Times Ext Roman"/>
          <w:smallCaps/>
        </w:rPr>
        <w:t xml:space="preserve"> </w:t>
      </w:r>
    </w:p>
    <w:p w14:paraId="10A18865" w14:textId="77777777" w:rsidR="00E53EB6" w:rsidRDefault="006500F5">
      <w:pPr>
        <w:pStyle w:val="biblioGEN"/>
      </w:pPr>
      <w:r>
        <w:rPr>
          <w:rFonts w:eastAsia="Arial Unicode MS" w:cs="Times Ext Roman"/>
          <w:smallCaps/>
        </w:rPr>
        <w:t xml:space="preserve">Griffiths, A. - Schmiedchen </w:t>
      </w:r>
      <w:r>
        <w:rPr>
          <w:rFonts w:eastAsia="Arial Unicode MS" w:cs="Times Ext Roman"/>
        </w:rPr>
        <w:t>(eds).</w:t>
      </w:r>
      <w:r>
        <w:rPr>
          <w:rFonts w:eastAsia="Arial Unicode MS" w:cs="Times Ext Roman"/>
          <w:smallCaps/>
        </w:rPr>
        <w:t xml:space="preserve"> 2007. </w:t>
      </w:r>
      <w:r>
        <w:rPr>
          <w:rFonts w:eastAsia="Arial Unicode MS" w:cs="Times Ext Roman"/>
          <w:i/>
          <w:iCs/>
        </w:rPr>
        <w:t>Atharvaveda and its Paippalādaśākhā: Historical and philological papers on a Vedic tradition.</w:t>
      </w:r>
      <w:r>
        <w:rPr>
          <w:rFonts w:eastAsia="Arial Unicode MS" w:cs="Times Ext Roman"/>
        </w:rPr>
        <w:t xml:space="preserve"> Aachen: Indologica Halensis, Shaker.</w:t>
      </w:r>
    </w:p>
    <w:p w14:paraId="1FFA31E2" w14:textId="77777777" w:rsidR="00E53EB6" w:rsidRPr="0071345C" w:rsidRDefault="006500F5">
      <w:pPr>
        <w:pStyle w:val="biblioGEN"/>
        <w:rPr>
          <w:lang w:val="de-DE"/>
        </w:rPr>
      </w:pPr>
      <w:r w:rsidRPr="0071345C">
        <w:rPr>
          <w:rStyle w:val="biblio-authorGEN"/>
          <w:rFonts w:eastAsia="Arial Unicode MS" w:cs="Times Ext Roman"/>
          <w:lang w:val="de-DE"/>
        </w:rPr>
        <w:t>Heenen,</w:t>
      </w:r>
      <w:r w:rsidRPr="0071345C">
        <w:rPr>
          <w:rFonts w:eastAsia="Arial Unicode MS" w:cs="Times Ext Roman"/>
          <w:lang w:val="de-DE"/>
        </w:rPr>
        <w:t xml:space="preserve"> F. 2006. </w:t>
      </w:r>
      <w:r w:rsidRPr="0071345C">
        <w:rPr>
          <w:rFonts w:eastAsia="Arial Unicode MS" w:cs="Times Ext Roman"/>
          <w:i/>
          <w:iCs/>
          <w:lang w:val="de-DE"/>
        </w:rPr>
        <w:t>Le desideratif en védique.</w:t>
      </w:r>
      <w:r w:rsidRPr="0071345C">
        <w:rPr>
          <w:rFonts w:eastAsia="Arial Unicode MS" w:cs="Times Ext Roman"/>
          <w:lang w:val="de-DE"/>
        </w:rPr>
        <w:t xml:space="preserve"> Amsterdam: Rodopi. </w:t>
      </w:r>
    </w:p>
    <w:p w14:paraId="5C585E80" w14:textId="77777777" w:rsidR="00E53EB6" w:rsidRDefault="006500F5">
      <w:pPr>
        <w:pStyle w:val="biblioGEN"/>
      </w:pPr>
      <w:r>
        <w:rPr>
          <w:rFonts w:eastAsia="Arial Unicode MS" w:cs="Times Ext Roman"/>
          <w:smallCaps/>
        </w:rPr>
        <w:t>Heesterman</w:t>
      </w:r>
      <w:r>
        <w:rPr>
          <w:rFonts w:eastAsia="Arial Unicode MS" w:cs="Times Ext Roman"/>
          <w:smallCaps/>
        </w:rPr>
        <w:t xml:space="preserve">, J. C. 1957. </w:t>
      </w:r>
      <w:r>
        <w:rPr>
          <w:i/>
          <w:iCs/>
        </w:rPr>
        <w:t>The Ancient Royal Consecration. The Rājasūya described according to the Yajus Texts and annoted:</w:t>
      </w:r>
      <w:r>
        <w:t xml:space="preserve"> ’s-Gravenhage: Mouton &amp; Co.</w:t>
      </w:r>
    </w:p>
    <w:p w14:paraId="452E4591" w14:textId="77777777" w:rsidR="00E53EB6" w:rsidRDefault="006500F5">
      <w:pPr>
        <w:pStyle w:val="biblioGEN"/>
      </w:pPr>
      <w:r>
        <w:rPr>
          <w:rFonts w:eastAsia="Arial Unicode MS" w:cs="Times Ext Roman"/>
          <w:smallCaps/>
        </w:rPr>
        <w:t xml:space="preserve">___. </w:t>
      </w:r>
      <w:r>
        <w:rPr>
          <w:rFonts w:eastAsia="Arial Unicode MS" w:cs="Times Ext Roman"/>
        </w:rPr>
        <w:t>1962. “</w:t>
      </w:r>
      <w:r>
        <w:rPr>
          <w:rFonts w:eastAsia="Arial Unicode MS" w:cs="Times Ext Roman"/>
        </w:rPr>
        <w:t xml:space="preserve">Vrātya and sacrifice.” </w:t>
      </w:r>
      <w:r>
        <w:rPr>
          <w:rFonts w:eastAsia="Arial Unicode MS" w:cs="Times Ext Roman"/>
          <w:i/>
          <w:iCs/>
        </w:rPr>
        <w:t>Indo Iranian Journal</w:t>
      </w:r>
      <w:r>
        <w:rPr>
          <w:rFonts w:eastAsia="Arial Unicode MS" w:cs="Times Ext Roman"/>
        </w:rPr>
        <w:t xml:space="preserve"> 6: pp. 1-37.</w:t>
      </w:r>
    </w:p>
    <w:p w14:paraId="1B2FA930" w14:textId="77777777" w:rsidR="00E53EB6" w:rsidRPr="0071345C" w:rsidRDefault="006500F5">
      <w:pPr>
        <w:pStyle w:val="biblioGEN"/>
        <w:rPr>
          <w:lang w:val="de-DE"/>
        </w:rPr>
      </w:pPr>
      <w:r w:rsidRPr="0071345C">
        <w:rPr>
          <w:rFonts w:eastAsia="Arial Unicode MS" w:cs="Times Ext Roman"/>
          <w:szCs w:val="21"/>
          <w:lang w:val="de-DE"/>
        </w:rPr>
        <w:t xml:space="preserve">___. </w:t>
      </w:r>
      <w:r w:rsidRPr="0071345C">
        <w:rPr>
          <w:rFonts w:eastAsia="Arial Unicode MS" w:cs="Times Ext Roman"/>
          <w:szCs w:val="21"/>
          <w:lang w:val="de-DE"/>
        </w:rPr>
        <w:t xml:space="preserve">1964. </w:t>
      </w:r>
      <w:r w:rsidRPr="0071345C">
        <w:rPr>
          <w:rFonts w:eastAsia="Arial Unicode MS" w:cs="Times Ext Roman"/>
          <w:szCs w:val="21"/>
          <w:lang w:val="de-DE"/>
        </w:rPr>
        <w:t>“</w:t>
      </w:r>
      <w:r w:rsidRPr="0071345C">
        <w:rPr>
          <w:rFonts w:eastAsia="Arial Unicode MS" w:cs="Times Ext Roman"/>
          <w:szCs w:val="21"/>
          <w:lang w:val="de-DE"/>
        </w:rPr>
        <w:t xml:space="preserve">Brahmin, Ritual and Renouncer.” </w:t>
      </w:r>
      <w:r w:rsidRPr="0071345C">
        <w:rPr>
          <w:rFonts w:eastAsia="Arial Unicode MS" w:cs="Times Ext Roman"/>
          <w:i/>
          <w:iCs/>
          <w:szCs w:val="21"/>
          <w:lang w:val="de-DE"/>
        </w:rPr>
        <w:t>Wiener Zeitschrift für die Kunde Süd- und Ostasiens</w:t>
      </w:r>
      <w:r w:rsidRPr="0071345C">
        <w:rPr>
          <w:rFonts w:eastAsia="Arial Unicode MS" w:cs="Times Ext Roman"/>
          <w:szCs w:val="21"/>
          <w:lang w:val="de-DE"/>
        </w:rPr>
        <w:t xml:space="preserve"> 8: pp. 1-31.</w:t>
      </w:r>
      <w:r w:rsidRPr="0071345C">
        <w:rPr>
          <w:rFonts w:eastAsia="Arial Unicode MS" w:cs="Times Ext Roman"/>
          <w:lang w:val="de-DE"/>
        </w:rPr>
        <w:t xml:space="preserve"> </w:t>
      </w:r>
    </w:p>
    <w:p w14:paraId="0E7A644B" w14:textId="77777777" w:rsidR="00E53EB6" w:rsidRDefault="006500F5">
      <w:pPr>
        <w:pStyle w:val="biblioGEN"/>
      </w:pPr>
      <w:r>
        <w:rPr>
          <w:rFonts w:eastAsia="Arial Unicode MS" w:cs="Times Ext Roman"/>
          <w:smallCaps/>
        </w:rPr>
        <w:t xml:space="preserve">___. </w:t>
      </w:r>
      <w:r>
        <w:rPr>
          <w:rFonts w:eastAsia="Arial Unicode MS" w:cs="Times Ext Roman"/>
        </w:rPr>
        <w:t xml:space="preserve">1993. </w:t>
      </w:r>
      <w:r>
        <w:rPr>
          <w:rFonts w:eastAsia="Arial Unicode MS" w:cs="Times Ext Roman"/>
          <w:i/>
        </w:rPr>
        <w:t>The Broken World of Sacrifice; An Essay in Ancient Indian Ritual.</w:t>
      </w:r>
      <w:r>
        <w:rPr>
          <w:rFonts w:eastAsia="Arial Unicode MS" w:cs="Times Ext Roman"/>
        </w:rPr>
        <w:t xml:space="preserve"> Chicago-London: The University of Chicago Press.</w:t>
      </w:r>
      <w:r>
        <w:rPr>
          <w:rFonts w:eastAsia="Arial Unicode MS" w:cs="Times Ext Roman"/>
        </w:rPr>
        <w:tab/>
      </w:r>
    </w:p>
    <w:p w14:paraId="08663A29" w14:textId="77777777" w:rsidR="00E53EB6" w:rsidRPr="0071345C" w:rsidRDefault="006500F5">
      <w:pPr>
        <w:pStyle w:val="biblioGEN"/>
        <w:rPr>
          <w:lang w:val="de-DE"/>
        </w:rPr>
      </w:pPr>
      <w:r>
        <w:rPr>
          <w:rStyle w:val="biblio-authorGEN"/>
          <w:rFonts w:eastAsia="Arial Unicode MS" w:cs="Times Ext Roman"/>
        </w:rPr>
        <w:t xml:space="preserve">Hettrich H. </w:t>
      </w:r>
      <w:r>
        <w:t xml:space="preserve">2007. </w:t>
      </w:r>
      <w:r w:rsidRPr="0071345C">
        <w:rPr>
          <w:lang w:val="de-DE"/>
        </w:rPr>
        <w:t>“Zur bedeutun</w:t>
      </w:r>
      <w:r w:rsidRPr="0071345C">
        <w:rPr>
          <w:lang w:val="de-DE"/>
        </w:rPr>
        <w:t xml:space="preserve">g von vedisch </w:t>
      </w:r>
      <w:r w:rsidRPr="0071345C">
        <w:rPr>
          <w:i/>
          <w:iCs/>
          <w:lang w:val="de-DE"/>
        </w:rPr>
        <w:t xml:space="preserve">van.” Dar sloves'ny: Festschrift für Christoph Koch zum 65. Geburtstag, </w:t>
      </w:r>
      <w:r w:rsidRPr="0071345C">
        <w:rPr>
          <w:lang w:val="de-DE"/>
        </w:rPr>
        <w:t>edited by</w:t>
      </w:r>
      <w:r w:rsidRPr="0071345C">
        <w:rPr>
          <w:i/>
          <w:iCs/>
          <w:lang w:val="de-DE"/>
        </w:rPr>
        <w:t xml:space="preserve"> </w:t>
      </w:r>
      <w:r w:rsidRPr="0071345C">
        <w:rPr>
          <w:lang w:val="de-DE"/>
        </w:rPr>
        <w:t>W. Hock and M. Meier Brügger.</w:t>
      </w:r>
      <w:r w:rsidRPr="0071345C">
        <w:rPr>
          <w:i/>
          <w:iCs/>
          <w:lang w:val="de-DE"/>
        </w:rPr>
        <w:t xml:space="preserve"> </w:t>
      </w:r>
      <w:r w:rsidRPr="0071345C">
        <w:rPr>
          <w:lang w:val="de-DE"/>
        </w:rPr>
        <w:t>München: Otto Sagner.</w:t>
      </w:r>
      <w:r w:rsidRPr="0071345C">
        <w:rPr>
          <w:rFonts w:eastAsia="Arial Unicode MS" w:cs="Times Ext Roman"/>
          <w:i/>
          <w:lang w:val="de-DE"/>
        </w:rPr>
        <w:t xml:space="preserve"> </w:t>
      </w:r>
    </w:p>
    <w:p w14:paraId="54D1F11D" w14:textId="77777777" w:rsidR="00E53EB6" w:rsidRPr="0071345C" w:rsidRDefault="006500F5">
      <w:pPr>
        <w:pStyle w:val="biblioGEN"/>
        <w:rPr>
          <w:lang w:val="de-DE"/>
        </w:rPr>
      </w:pPr>
      <w:r w:rsidRPr="0071345C">
        <w:rPr>
          <w:rFonts w:eastAsia="Arial Unicode MS" w:cs="Times Ext Roman"/>
          <w:smallCaps/>
          <w:lang w:val="de-DE"/>
        </w:rPr>
        <w:t xml:space="preserve">Hillebrandt, A. 1879. </w:t>
      </w:r>
      <w:r w:rsidRPr="0071345C">
        <w:rPr>
          <w:rFonts w:eastAsia="Arial Unicode MS" w:cs="Times Ext Roman"/>
          <w:i/>
          <w:lang w:val="de-DE"/>
        </w:rPr>
        <w:t>Das Altindindische Neu- und Vollmondsopfer.</w:t>
      </w:r>
      <w:r w:rsidRPr="0071345C">
        <w:rPr>
          <w:rFonts w:eastAsia="Arial Unicode MS" w:cs="Times Ext Roman"/>
          <w:lang w:val="de-DE"/>
        </w:rPr>
        <w:t xml:space="preserve"> Jena: Fischer.</w:t>
      </w:r>
    </w:p>
    <w:p w14:paraId="151BC48C" w14:textId="77777777" w:rsidR="00E53EB6" w:rsidRPr="0071345C" w:rsidRDefault="006500F5">
      <w:pPr>
        <w:pStyle w:val="biblioGEN"/>
        <w:rPr>
          <w:lang w:val="de-DE"/>
        </w:rPr>
      </w:pPr>
      <w:r w:rsidRPr="0071345C">
        <w:rPr>
          <w:lang w:val="de-DE"/>
        </w:rPr>
        <w:t>___. 1884. “Spuren einer ä</w:t>
      </w:r>
      <w:r w:rsidRPr="0071345C">
        <w:rPr>
          <w:lang w:val="de-DE"/>
        </w:rPr>
        <w:t xml:space="preserve">lteren </w:t>
      </w:r>
      <w:r w:rsidRPr="0071345C">
        <w:rPr>
          <w:lang w:val="de-DE"/>
        </w:rPr>
        <w:t>Ṛ</w:t>
      </w:r>
      <w:r w:rsidRPr="0071345C">
        <w:rPr>
          <w:lang w:val="de-DE"/>
        </w:rPr>
        <w:t xml:space="preserve">igvedarecension.” </w:t>
      </w:r>
      <w:r w:rsidRPr="0071345C">
        <w:rPr>
          <w:i/>
          <w:iCs/>
          <w:lang w:val="de-DE"/>
        </w:rPr>
        <w:t xml:space="preserve">Bezzenbergers Beiträge zur Kunde der indogermanischen Sprachen </w:t>
      </w:r>
      <w:r w:rsidRPr="0071345C">
        <w:rPr>
          <w:lang w:val="de-DE"/>
        </w:rPr>
        <w:t>8:  pp.195-203.</w:t>
      </w:r>
    </w:p>
    <w:p w14:paraId="654FEE9F" w14:textId="77777777" w:rsidR="00E53EB6" w:rsidRPr="0071345C" w:rsidRDefault="006500F5">
      <w:pPr>
        <w:pStyle w:val="biblioGEN"/>
        <w:rPr>
          <w:lang w:val="de-DE"/>
        </w:rPr>
      </w:pPr>
      <w:r w:rsidRPr="0071345C">
        <w:rPr>
          <w:rFonts w:eastAsia="Arial Unicode MS"/>
          <w:lang w:val="de-DE"/>
        </w:rPr>
        <w:t xml:space="preserve">___. 1897. </w:t>
      </w:r>
      <w:r w:rsidRPr="0071345C">
        <w:rPr>
          <w:rFonts w:eastAsia="Arial Unicode MS"/>
          <w:i/>
          <w:iCs/>
          <w:lang w:val="de-DE"/>
        </w:rPr>
        <w:t>Ritual Litteratur Vedische Opfer und Zauber.</w:t>
      </w:r>
      <w:r w:rsidRPr="0071345C">
        <w:rPr>
          <w:rFonts w:eastAsia="Arial Unicode MS"/>
          <w:lang w:val="de-DE"/>
        </w:rPr>
        <w:t xml:space="preserve"> Strassburg: </w:t>
      </w:r>
      <w:r w:rsidRPr="0071345C">
        <w:rPr>
          <w:rFonts w:eastAsia="Arial Unicode MS"/>
          <w:lang w:val="de-DE"/>
        </w:rPr>
        <w:t>Trübner</w:t>
      </w:r>
      <w:r w:rsidRPr="0071345C">
        <w:rPr>
          <w:rFonts w:eastAsia="Arial Unicode MS"/>
          <w:lang w:val="de-DE"/>
        </w:rPr>
        <w:t>.</w:t>
      </w:r>
    </w:p>
    <w:p w14:paraId="468239B4" w14:textId="77777777" w:rsidR="00E53EB6" w:rsidRPr="0071345C" w:rsidRDefault="006500F5">
      <w:pPr>
        <w:pStyle w:val="biblioGEN"/>
        <w:rPr>
          <w:lang w:val="de-DE"/>
        </w:rPr>
      </w:pPr>
      <w:r w:rsidRPr="0071345C">
        <w:rPr>
          <w:rFonts w:eastAsia="Arial Unicode MS" w:cs="Times Ext Roman"/>
          <w:smallCaps/>
          <w:lang w:val="de-DE"/>
        </w:rPr>
        <w:t xml:space="preserve">Hoffmann, K. 1960. </w:t>
      </w:r>
      <w:r w:rsidRPr="0071345C">
        <w:rPr>
          <w:rFonts w:eastAsia="Arial Unicode MS" w:cs="Times Ext Roman"/>
          <w:lang w:val="de-DE"/>
        </w:rPr>
        <w:t>“Textkritisches zum Jaiminīya-Brāhma</w:t>
      </w:r>
      <w:r w:rsidRPr="0071345C">
        <w:rPr>
          <w:rFonts w:eastAsia="Arial Unicode MS" w:cs="Times Ext Roman"/>
          <w:lang w:val="de-DE"/>
        </w:rPr>
        <w:t>ṇ</w:t>
      </w:r>
      <w:r w:rsidRPr="0071345C">
        <w:rPr>
          <w:rFonts w:eastAsia="Arial Unicode MS" w:cs="Times Ext Roman"/>
          <w:lang w:val="de-DE"/>
        </w:rPr>
        <w:t xml:space="preserve">a.” </w:t>
      </w:r>
      <w:r w:rsidRPr="0071345C">
        <w:rPr>
          <w:rFonts w:eastAsia="Arial Unicode MS" w:cs="Times Ext Roman"/>
          <w:i/>
          <w:iCs/>
          <w:lang w:val="de-DE"/>
        </w:rPr>
        <w:t>Indo-Iranian Journal</w:t>
      </w:r>
      <w:r w:rsidRPr="0071345C">
        <w:rPr>
          <w:rFonts w:eastAsia="Arial Unicode MS" w:cs="Times Ext Roman"/>
          <w:lang w:val="de-DE"/>
        </w:rPr>
        <w:t xml:space="preserve"> 4: pp. 1-36.</w:t>
      </w:r>
    </w:p>
    <w:p w14:paraId="0CEC9678" w14:textId="77777777" w:rsidR="00E53EB6" w:rsidRPr="0071345C" w:rsidRDefault="006500F5">
      <w:pPr>
        <w:pStyle w:val="biblioGEN"/>
        <w:rPr>
          <w:lang w:val="de-DE"/>
        </w:rPr>
      </w:pPr>
      <w:r w:rsidRPr="0071345C">
        <w:rPr>
          <w:rFonts w:eastAsia="Arial Unicode MS" w:cs="Times Ext Roman"/>
          <w:smallCaps/>
          <w:lang w:val="de-DE"/>
        </w:rPr>
        <w:t xml:space="preserve">___. </w:t>
      </w:r>
      <w:r w:rsidRPr="0071345C">
        <w:rPr>
          <w:rFonts w:eastAsia="Arial Unicode MS" w:cs="Times Ext Roman"/>
          <w:lang w:val="de-DE"/>
        </w:rPr>
        <w:t xml:space="preserve">1967. </w:t>
      </w:r>
      <w:r w:rsidRPr="0071345C">
        <w:rPr>
          <w:rFonts w:eastAsia="Arial Unicode MS" w:cs="Times Ext Roman"/>
          <w:i/>
          <w:lang w:val="de-DE"/>
        </w:rPr>
        <w:t>Der Injunktiv im Veda</w:t>
      </w:r>
      <w:r w:rsidRPr="0071345C">
        <w:rPr>
          <w:rFonts w:eastAsia="Arial Unicode MS" w:cs="Times Ext Roman"/>
          <w:lang w:val="de-DE"/>
        </w:rPr>
        <w:t xml:space="preserve"> </w:t>
      </w:r>
      <w:r w:rsidRPr="0071345C">
        <w:rPr>
          <w:rFonts w:eastAsia="Arial Unicode MS"/>
          <w:i/>
          <w:lang w:val="de-DE"/>
        </w:rPr>
        <w:t>eine synchronische Funktionsuntersuchung.</w:t>
      </w:r>
      <w:r w:rsidRPr="0071345C">
        <w:rPr>
          <w:rFonts w:eastAsia="Arial Unicode MS"/>
          <w:lang w:val="de-DE"/>
        </w:rPr>
        <w:t xml:space="preserve"> Heidelberg: Winter.</w:t>
      </w:r>
    </w:p>
    <w:p w14:paraId="6B553888" w14:textId="77777777" w:rsidR="00E53EB6" w:rsidRPr="0071345C" w:rsidRDefault="006500F5">
      <w:pPr>
        <w:pStyle w:val="biblioGEN"/>
        <w:rPr>
          <w:lang w:val="de-DE"/>
        </w:rPr>
      </w:pPr>
      <w:r w:rsidRPr="0071345C">
        <w:rPr>
          <w:rFonts w:eastAsia="Arial Unicode MS"/>
          <w:lang w:val="de-DE"/>
        </w:rPr>
        <w:t xml:space="preserve">___. 1969. “Materialen zum altindischen Verbum: 11. </w:t>
      </w:r>
      <w:r w:rsidRPr="0071345C">
        <w:rPr>
          <w:rFonts w:eastAsia="Arial Unicode MS"/>
          <w:i/>
          <w:iCs/>
          <w:lang w:val="de-DE"/>
        </w:rPr>
        <w:t>am</w:t>
      </w:r>
      <w:r w:rsidRPr="0071345C">
        <w:rPr>
          <w:rFonts w:eastAsia="Arial Unicode MS"/>
          <w:i/>
          <w:iCs/>
          <w:vertAlign w:val="superscript"/>
          <w:lang w:val="de-DE"/>
        </w:rPr>
        <w:t>i</w:t>
      </w:r>
      <w:r w:rsidRPr="0071345C">
        <w:rPr>
          <w:rFonts w:eastAsia="Arial Unicode MS"/>
          <w:lang w:val="de-DE"/>
        </w:rPr>
        <w:t xml:space="preserve">, 12. </w:t>
      </w:r>
      <w:r w:rsidRPr="0071345C">
        <w:rPr>
          <w:rFonts w:eastAsia="Arial Unicode MS"/>
          <w:i/>
          <w:iCs/>
          <w:lang w:val="de-DE"/>
        </w:rPr>
        <w:t>jak</w:t>
      </w:r>
      <w:r w:rsidRPr="0071345C">
        <w:rPr>
          <w:rFonts w:eastAsia="Arial Unicode MS"/>
          <w:i/>
          <w:iCs/>
          <w:lang w:val="de-DE"/>
        </w:rPr>
        <w:t>ṣ</w:t>
      </w:r>
      <w:r w:rsidRPr="0071345C">
        <w:rPr>
          <w:rFonts w:eastAsia="Arial Unicode MS"/>
          <w:i/>
          <w:iCs/>
          <w:lang w:val="de-DE"/>
        </w:rPr>
        <w:t>.</w:t>
      </w:r>
      <w:r w:rsidRPr="0071345C">
        <w:rPr>
          <w:rFonts w:eastAsia="Arial Unicode MS"/>
          <w:lang w:val="de-DE"/>
        </w:rPr>
        <w:t xml:space="preserve">” </w:t>
      </w:r>
      <w:r w:rsidRPr="0071345C">
        <w:rPr>
          <w:rFonts w:eastAsia="Arial Unicode MS"/>
          <w:i/>
          <w:iCs/>
          <w:lang w:val="de-DE"/>
        </w:rPr>
        <w:t>Zeitschrift für v</w:t>
      </w:r>
      <w:r w:rsidRPr="0071345C">
        <w:rPr>
          <w:rFonts w:eastAsia="Arial Unicode MS"/>
          <w:i/>
          <w:iCs/>
          <w:lang w:val="de-DE"/>
        </w:rPr>
        <w:t xml:space="preserve">ergleichende Sprachforschung auf dem Gebiet der indogermanischen Sprachen </w:t>
      </w:r>
      <w:r w:rsidRPr="0071345C">
        <w:rPr>
          <w:rFonts w:eastAsia="Arial Unicode MS"/>
          <w:lang w:val="de-DE"/>
        </w:rPr>
        <w:t xml:space="preserve">83: pp. 193-215. </w:t>
      </w:r>
    </w:p>
    <w:p w14:paraId="3F66A96D" w14:textId="77777777" w:rsidR="00E53EB6" w:rsidRPr="0071345C" w:rsidRDefault="006500F5">
      <w:pPr>
        <w:pStyle w:val="biblioGEN"/>
        <w:rPr>
          <w:lang w:val="de-DE"/>
        </w:rPr>
      </w:pPr>
      <w:r w:rsidRPr="0071345C">
        <w:rPr>
          <w:rStyle w:val="biblio-authorGEN"/>
          <w:lang w:val="de-DE"/>
        </w:rPr>
        <w:t xml:space="preserve">Horsch, P. </w:t>
      </w:r>
      <w:r w:rsidRPr="0071345C">
        <w:rPr>
          <w:rFonts w:eastAsia="Arial Unicode MS"/>
          <w:lang w:val="de-DE"/>
        </w:rPr>
        <w:t xml:space="preserve">1966. </w:t>
      </w:r>
      <w:r w:rsidRPr="0071345C">
        <w:rPr>
          <w:rFonts w:eastAsia="Arial Unicode MS"/>
          <w:i/>
          <w:iCs/>
          <w:lang w:val="de-DE"/>
        </w:rPr>
        <w:t xml:space="preserve">Die vedische Gatha- und Sloka-Literatur. </w:t>
      </w:r>
      <w:r w:rsidRPr="0071345C">
        <w:rPr>
          <w:rFonts w:eastAsia="Arial Unicode MS"/>
          <w:lang w:val="de-DE"/>
        </w:rPr>
        <w:t>Bern: Francke.</w:t>
      </w:r>
    </w:p>
    <w:p w14:paraId="607E835A" w14:textId="77777777" w:rsidR="00E53EB6" w:rsidRDefault="006500F5">
      <w:pPr>
        <w:pStyle w:val="biblioGEN"/>
      </w:pPr>
      <w:r w:rsidRPr="0071345C">
        <w:rPr>
          <w:rStyle w:val="biblio-authorGEN"/>
          <w:lang w:val="de-DE"/>
        </w:rPr>
        <w:t xml:space="preserve">Houben, J. E. M. </w:t>
      </w:r>
      <w:r w:rsidRPr="0071345C">
        <w:rPr>
          <w:rFonts w:eastAsia="Arial Unicode MS" w:cs="Times Ext Roman"/>
          <w:lang w:val="de-DE"/>
        </w:rPr>
        <w:t xml:space="preserve">2000. </w:t>
      </w:r>
      <w:r>
        <w:rPr>
          <w:rFonts w:eastAsia="Arial Unicode MS" w:cs="Times Ext Roman"/>
        </w:rPr>
        <w:t>“The Ritual Pragmatics of a Vedic Hymn: The “Riddle Hymn” and the Pr</w:t>
      </w:r>
      <w:r>
        <w:rPr>
          <w:rFonts w:eastAsia="Arial Unicode MS" w:cs="Times Ext Roman"/>
        </w:rPr>
        <w:t xml:space="preserve">avargya Ritual.” </w:t>
      </w:r>
      <w:r>
        <w:rPr>
          <w:rFonts w:eastAsia="Arial Unicode MS" w:cs="Times Ext Roman"/>
          <w:i/>
          <w:iCs/>
        </w:rPr>
        <w:t xml:space="preserve">Journal of American Oriental Society </w:t>
      </w:r>
      <w:r>
        <w:rPr>
          <w:rFonts w:eastAsia="Arial Unicode MS" w:cs="Times Ext Roman"/>
        </w:rPr>
        <w:t>120: pp.499-536.</w:t>
      </w:r>
    </w:p>
    <w:p w14:paraId="7081FBD8" w14:textId="77777777" w:rsidR="00E53EB6" w:rsidRDefault="006500F5">
      <w:pPr>
        <w:pStyle w:val="biblioGEN"/>
      </w:pPr>
      <w:r>
        <w:rPr>
          <w:rStyle w:val="biblio-authorGEN"/>
          <w:rFonts w:eastAsia="Arial Unicode MS" w:cs="Times Ext Roman"/>
        </w:rPr>
        <w:t>Hubert, H. - Mauss, M.</w:t>
      </w:r>
      <w:r>
        <w:rPr>
          <w:rFonts w:eastAsia="Arial Unicode MS" w:cs="Times Ext Roman"/>
        </w:rPr>
        <w:t xml:space="preserve"> 1899. </w:t>
      </w:r>
      <w:r w:rsidRPr="0071345C">
        <w:rPr>
          <w:rFonts w:eastAsia="Arial Unicode MS" w:cs="Times Ext Roman"/>
          <w:lang w:val="it-IT"/>
        </w:rPr>
        <w:t xml:space="preserve">“Essai sur la nature et la fonction du sacrifice.” </w:t>
      </w:r>
      <w:r>
        <w:rPr>
          <w:rFonts w:eastAsia="Arial Unicode MS" w:cs="Times Ext Roman"/>
          <w:i/>
          <w:iCs/>
        </w:rPr>
        <w:t xml:space="preserve">Année sociologique </w:t>
      </w:r>
      <w:r>
        <w:rPr>
          <w:rFonts w:eastAsia="Arial Unicode MS" w:cs="Times Ext Roman"/>
        </w:rPr>
        <w:t>VII:  pp. 29-138.</w:t>
      </w:r>
    </w:p>
    <w:p w14:paraId="45A779BD" w14:textId="77777777" w:rsidR="00E53EB6" w:rsidRPr="0071345C" w:rsidRDefault="006500F5">
      <w:pPr>
        <w:pStyle w:val="biblioGEN"/>
        <w:rPr>
          <w:lang w:val="de-DE"/>
        </w:rPr>
      </w:pPr>
      <w:r>
        <w:rPr>
          <w:rFonts w:eastAsia="Arial Unicode MS"/>
          <w:smallCaps/>
        </w:rPr>
        <w:t xml:space="preserve">Humbach, H. </w:t>
      </w:r>
      <w:r>
        <w:rPr>
          <w:rFonts w:eastAsia="Arial Unicode MS"/>
        </w:rPr>
        <w:t xml:space="preserve">1994. </w:t>
      </w:r>
      <w:r>
        <w:rPr>
          <w:rFonts w:eastAsia="Arial Unicode MS"/>
          <w:i/>
        </w:rPr>
        <w:t>The heritage of Zarathushtra : a new translation o</w:t>
      </w:r>
      <w:r>
        <w:rPr>
          <w:rFonts w:eastAsia="Arial Unicode MS"/>
          <w:i/>
        </w:rPr>
        <w:t>f his Gathas.</w:t>
      </w:r>
      <w:r>
        <w:rPr>
          <w:rFonts w:eastAsia="Arial Unicode MS"/>
        </w:rPr>
        <w:t xml:space="preserve"> </w:t>
      </w:r>
      <w:r w:rsidRPr="0071345C">
        <w:rPr>
          <w:rFonts w:eastAsia="Arial Unicode MS"/>
          <w:lang w:val="de-DE"/>
        </w:rPr>
        <w:t>Heidelberg: Winter.</w:t>
      </w:r>
    </w:p>
    <w:p w14:paraId="44F633A2" w14:textId="77777777" w:rsidR="00E53EB6" w:rsidRPr="0071345C" w:rsidRDefault="006500F5">
      <w:pPr>
        <w:pStyle w:val="biblioGEN"/>
        <w:rPr>
          <w:lang w:val="de-DE"/>
        </w:rPr>
      </w:pPr>
      <w:r w:rsidRPr="0071345C">
        <w:rPr>
          <w:rFonts w:eastAsia="Arial Unicode MS" w:cs="Times Ext Roman"/>
          <w:smallCaps/>
          <w:lang w:val="de-DE"/>
        </w:rPr>
        <w:t xml:space="preserve">Insler, S. </w:t>
      </w:r>
      <w:r w:rsidRPr="0071345C">
        <w:rPr>
          <w:rFonts w:eastAsia="Arial Unicode MS" w:cs="Times Ext Roman"/>
          <w:lang w:val="de-DE"/>
        </w:rPr>
        <w:t xml:space="preserve">1969. “Vedic dhambháyati.” </w:t>
      </w:r>
      <w:r w:rsidRPr="0071345C">
        <w:rPr>
          <w:rFonts w:eastAsia="Arial Unicode MS" w:cs="Times Ext Roman"/>
          <w:i/>
          <w:lang w:val="de-DE"/>
        </w:rPr>
        <w:t>Indogermanische Forschungen</w:t>
      </w:r>
      <w:r w:rsidRPr="0071345C">
        <w:rPr>
          <w:rFonts w:eastAsia="Arial Unicode MS" w:cs="Times Ext Roman"/>
          <w:lang w:val="de-DE"/>
        </w:rPr>
        <w:t xml:space="preserve">  74: pp. 11-31.</w:t>
      </w:r>
    </w:p>
    <w:p w14:paraId="34279DE0" w14:textId="77777777" w:rsidR="00E53EB6" w:rsidRDefault="006500F5">
      <w:pPr>
        <w:pStyle w:val="biblioGEN"/>
      </w:pPr>
      <w:r w:rsidRPr="0071345C">
        <w:rPr>
          <w:rFonts w:eastAsia="Arial Unicode MS" w:cs="Times Ext Roman"/>
          <w:smallCaps/>
          <w:lang w:val="de-DE"/>
        </w:rPr>
        <w:t xml:space="preserve">Jamison, S. W. </w:t>
      </w:r>
      <w:r w:rsidRPr="0071345C">
        <w:rPr>
          <w:rFonts w:eastAsia="Arial Unicode MS" w:cs="Times Ext Roman"/>
          <w:lang w:val="de-DE"/>
        </w:rPr>
        <w:t xml:space="preserve">1983. </w:t>
      </w:r>
      <w:r>
        <w:rPr>
          <w:rFonts w:eastAsia="Arial Unicode MS" w:cs="Times Ext Roman"/>
          <w:i/>
        </w:rPr>
        <w:t>Function and Form in the –áya formations of Rig Veda and Atharva Veda.</w:t>
      </w:r>
      <w:r>
        <w:rPr>
          <w:rFonts w:eastAsia="Arial Unicode MS" w:cs="Times Ext Roman"/>
        </w:rPr>
        <w:t xml:space="preserve"> </w:t>
      </w:r>
      <w:r>
        <w:rPr>
          <w:rFonts w:eastAsia="Arial Unicode MS" w:cs="Times Ext Roman"/>
        </w:rPr>
        <w:lastRenderedPageBreak/>
        <w:t xml:space="preserve">Göttingen: </w:t>
      </w:r>
      <w:r>
        <w:rPr>
          <w:rFonts w:eastAsia="Arial Unicode MS"/>
        </w:rPr>
        <w:t>Vandenhoeck &amp; Ruprecht.</w:t>
      </w:r>
    </w:p>
    <w:p w14:paraId="6EE073E9" w14:textId="77777777" w:rsidR="00E53EB6" w:rsidRDefault="006500F5">
      <w:pPr>
        <w:pStyle w:val="biblioGEN"/>
      </w:pPr>
      <w:r>
        <w:rPr>
          <w:rFonts w:eastAsia="Arial Unicode MS"/>
        </w:rPr>
        <w:t xml:space="preserve">___. 2004. “Poetry and Purpose in the </w:t>
      </w:r>
      <w:r>
        <w:rPr>
          <w:rFonts w:eastAsia="Arial Unicode MS"/>
          <w:caps/>
        </w:rPr>
        <w:t>Ṛ</w:t>
      </w:r>
      <w:r>
        <w:rPr>
          <w:rFonts w:eastAsia="Arial Unicode MS"/>
        </w:rPr>
        <w:t xml:space="preserve">gveda.” In </w:t>
      </w:r>
      <w:r>
        <w:rPr>
          <w:rFonts w:eastAsia="Arial Unicode MS"/>
          <w:i/>
        </w:rPr>
        <w:t>The Vedas : Texts, Language &amp; Ritual,</w:t>
      </w:r>
      <w:r>
        <w:rPr>
          <w:rFonts w:eastAsia="Arial Unicode MS"/>
        </w:rPr>
        <w:t xml:space="preserve"> edited by A. Griffiths and J. E. M. Houben, </w:t>
      </w:r>
      <w:r>
        <w:rPr>
          <w:rFonts w:eastAsia="Arial Unicode MS"/>
        </w:rPr>
        <w:t>237-249. Groningen: Forsten.</w:t>
      </w:r>
    </w:p>
    <w:p w14:paraId="33CBB42C" w14:textId="77777777" w:rsidR="00E53EB6" w:rsidRDefault="006500F5">
      <w:pPr>
        <w:pStyle w:val="biblioGEN"/>
      </w:pPr>
      <w:r>
        <w:rPr>
          <w:rFonts w:eastAsia="Arial Unicode MS"/>
        </w:rPr>
        <w:t xml:space="preserve">___. 2007. </w:t>
      </w:r>
      <w:r>
        <w:rPr>
          <w:rFonts w:eastAsia="Arial Unicode MS"/>
          <w:i/>
          <w:iCs/>
        </w:rPr>
        <w:t>The Rig Veda between two Worlds.</w:t>
      </w:r>
      <w:r>
        <w:rPr>
          <w:rFonts w:eastAsia="Arial Unicode MS"/>
        </w:rPr>
        <w:t xml:space="preserve"> Paris: de Boccard.</w:t>
      </w:r>
    </w:p>
    <w:p w14:paraId="28CBBFA5" w14:textId="77777777" w:rsidR="00E53EB6" w:rsidRPr="0071345C" w:rsidRDefault="006500F5">
      <w:pPr>
        <w:pStyle w:val="biblioGEN"/>
        <w:rPr>
          <w:lang w:val="de-DE"/>
        </w:rPr>
      </w:pPr>
      <w:r>
        <w:rPr>
          <w:rFonts w:eastAsia="Arial Unicode MS" w:cs="Times Ext Roman"/>
          <w:smallCaps/>
        </w:rPr>
        <w:t>Jamison, S. W. – Witzel, M. 1992</w:t>
      </w:r>
      <w:r>
        <w:rPr>
          <w:rFonts w:eastAsia="Arial Unicode MS" w:cs="Times Ext Roman"/>
          <w:smallCaps/>
        </w:rPr>
        <w:t xml:space="preserve">. </w:t>
      </w:r>
      <w:r>
        <w:rPr>
          <w:rFonts w:eastAsia="Arial Unicode MS" w:cs="Times Ext Roman"/>
          <w:i/>
        </w:rPr>
        <w:t>Vedic Hinduism</w:t>
      </w:r>
      <w:r>
        <w:rPr>
          <w:rFonts w:eastAsia="Arial Unicode MS" w:cs="Times Ext Roman"/>
        </w:rPr>
        <w:t xml:space="preserve">, URL: </w:t>
      </w:r>
      <w:r>
        <w:rPr>
          <w:rFonts w:eastAsia="Arial Unicode MS"/>
        </w:rPr>
        <w:t xml:space="preserve">http://www.people.fas.harvard.edu/~witzel/mwpage.htm, 18. </w:t>
      </w:r>
      <w:r w:rsidRPr="0071345C">
        <w:rPr>
          <w:rFonts w:eastAsia="Arial Unicode MS"/>
          <w:lang w:val="de-DE"/>
        </w:rPr>
        <w:t>03. 2007.</w:t>
      </w:r>
    </w:p>
    <w:p w14:paraId="2B83F79B" w14:textId="77777777" w:rsidR="00E53EB6" w:rsidRDefault="006500F5">
      <w:pPr>
        <w:pStyle w:val="biblioGEN"/>
      </w:pPr>
      <w:r w:rsidRPr="0071345C">
        <w:rPr>
          <w:rFonts w:eastAsia="Arial Unicode MS" w:cs="Times Ext Roman"/>
          <w:smallCaps/>
          <w:lang w:val="de-DE"/>
        </w:rPr>
        <w:t xml:space="preserve">Janert, K. L. 1956. </w:t>
      </w:r>
      <w:r w:rsidRPr="0071345C">
        <w:rPr>
          <w:rFonts w:eastAsia="Arial Unicode MS" w:cs="Times Ext Roman"/>
          <w:i/>
          <w:lang w:val="de-DE"/>
        </w:rPr>
        <w:t>Sinn und Bedeutung des Wortes “dhāsi” und seiner Belegstellen im Rigveda und Awesta.</w:t>
      </w:r>
      <w:r w:rsidRPr="0071345C">
        <w:rPr>
          <w:rFonts w:eastAsia="Arial Unicode MS" w:cs="Times Ext Roman"/>
          <w:lang w:val="de-DE"/>
        </w:rPr>
        <w:t xml:space="preserve"> </w:t>
      </w:r>
      <w:r>
        <w:rPr>
          <w:rFonts w:eastAsia="Arial Unicode MS" w:cs="Times Ext Roman"/>
        </w:rPr>
        <w:t>Wiesbaden: Otto Harrassowitz.</w:t>
      </w:r>
    </w:p>
    <w:p w14:paraId="00BEC6E9" w14:textId="77777777" w:rsidR="00E53EB6" w:rsidRDefault="006500F5">
      <w:pPr>
        <w:pStyle w:val="biblioGEN"/>
      </w:pPr>
      <w:r>
        <w:rPr>
          <w:rFonts w:eastAsia="Arial Unicode MS"/>
          <w:smallCaps/>
        </w:rPr>
        <w:t xml:space="preserve">Jonsson, H. </w:t>
      </w:r>
      <w:r>
        <w:rPr>
          <w:rFonts w:eastAsia="Arial Unicode MS"/>
        </w:rPr>
        <w:t xml:space="preserve">1978. </w:t>
      </w:r>
      <w:r>
        <w:rPr>
          <w:rFonts w:eastAsia="Arial Unicode MS"/>
          <w:i/>
        </w:rPr>
        <w:t>The Laryngea</w:t>
      </w:r>
      <w:r>
        <w:rPr>
          <w:rFonts w:eastAsia="Arial Unicode MS"/>
          <w:i/>
        </w:rPr>
        <w:t>l Theory. A Critical Survey.</w:t>
      </w:r>
      <w:r>
        <w:rPr>
          <w:rFonts w:eastAsia="Arial Unicode MS"/>
        </w:rPr>
        <w:t xml:space="preserve"> Lund: New society of Lettera at Lund.</w:t>
      </w:r>
    </w:p>
    <w:p w14:paraId="31E184B4" w14:textId="77777777" w:rsidR="00E53EB6" w:rsidRDefault="006500F5">
      <w:pPr>
        <w:pStyle w:val="biblioGEN"/>
      </w:pPr>
      <w:r w:rsidRPr="0071345C">
        <w:rPr>
          <w:rStyle w:val="biblio-authorGEN"/>
          <w:rFonts w:eastAsia="Arial Unicode MS"/>
          <w:lang w:val="it-IT"/>
        </w:rPr>
        <w:t xml:space="preserve">Karoly, S. </w:t>
      </w:r>
      <w:r w:rsidRPr="0071345C">
        <w:rPr>
          <w:rFonts w:eastAsia="Arial Unicode MS"/>
          <w:lang w:val="it-IT"/>
        </w:rPr>
        <w:t xml:space="preserve">1980. </w:t>
      </w:r>
      <w:r w:rsidRPr="0071345C">
        <w:rPr>
          <w:rFonts w:eastAsia="Arial Unicode MS"/>
          <w:i/>
          <w:iCs/>
          <w:lang w:val="it-IT"/>
        </w:rPr>
        <w:t>Semantica. Traduzione e adattamento dall'ungherese di Danilo Gheno.</w:t>
      </w:r>
      <w:r w:rsidRPr="0071345C">
        <w:rPr>
          <w:rFonts w:eastAsia="Arial Unicode MS"/>
          <w:lang w:val="it-IT"/>
        </w:rPr>
        <w:t xml:space="preserve"> </w:t>
      </w:r>
      <w:r>
        <w:rPr>
          <w:rFonts w:eastAsia="Arial Unicode MS"/>
        </w:rPr>
        <w:t>Napoli: Liguori.</w:t>
      </w:r>
    </w:p>
    <w:p w14:paraId="33ACBFBD" w14:textId="77777777" w:rsidR="00E53EB6" w:rsidRPr="0071345C" w:rsidRDefault="006500F5">
      <w:pPr>
        <w:pStyle w:val="biblioGEN"/>
        <w:rPr>
          <w:lang w:val="de-DE"/>
        </w:rPr>
      </w:pPr>
      <w:r>
        <w:rPr>
          <w:rFonts w:eastAsia="Arial Unicode MS"/>
          <w:smallCaps/>
        </w:rPr>
        <w:t>Keith, A. B. (</w:t>
      </w:r>
      <w:r>
        <w:rPr>
          <w:rFonts w:eastAsia="Arial Unicode MS"/>
        </w:rPr>
        <w:t xml:space="preserve">1909) 1995. </w:t>
      </w:r>
      <w:r>
        <w:rPr>
          <w:rFonts w:eastAsia="Arial Unicode MS"/>
          <w:i/>
        </w:rPr>
        <w:t>The Aitareya Aranyaka: edited from the manuscripts in the Ind</w:t>
      </w:r>
      <w:r>
        <w:rPr>
          <w:rFonts w:eastAsia="Arial Unicode MS"/>
          <w:i/>
        </w:rPr>
        <w:t>ia Office and the Library of the Royal Asiatic Society with introduction, translation, notes, indexes, and an appendix containing the portion hitherto unpublished of the Sankhayana Aranyaka.</w:t>
      </w:r>
      <w:r>
        <w:rPr>
          <w:rFonts w:eastAsia="Arial Unicode MS"/>
        </w:rPr>
        <w:t xml:space="preserve"> </w:t>
      </w:r>
      <w:r w:rsidRPr="0071345C">
        <w:rPr>
          <w:rFonts w:eastAsia="Arial Unicode MS"/>
          <w:lang w:val="de-DE"/>
        </w:rPr>
        <w:t xml:space="preserve">4 Vols. Delhi: Eastern Book Linkers. </w:t>
      </w:r>
    </w:p>
    <w:p w14:paraId="05448C8B" w14:textId="77777777" w:rsidR="00E53EB6" w:rsidRPr="0071345C" w:rsidRDefault="006500F5">
      <w:pPr>
        <w:pStyle w:val="biblioGEN"/>
        <w:rPr>
          <w:lang w:val="de-DE"/>
        </w:rPr>
      </w:pPr>
      <w:r w:rsidRPr="0071345C">
        <w:rPr>
          <w:rFonts w:eastAsia="Arial Unicode MS"/>
          <w:smallCaps/>
          <w:lang w:val="de-DE"/>
        </w:rPr>
        <w:t xml:space="preserve">Kellens, J. </w:t>
      </w:r>
      <w:r w:rsidRPr="0071345C">
        <w:rPr>
          <w:rFonts w:eastAsia="Arial Unicode MS"/>
          <w:lang w:val="de-DE"/>
        </w:rPr>
        <w:t xml:space="preserve">1974. </w:t>
      </w:r>
      <w:r w:rsidRPr="0071345C">
        <w:rPr>
          <w:rFonts w:eastAsia="Arial Unicode MS"/>
          <w:i/>
          <w:lang w:val="de-DE"/>
        </w:rPr>
        <w:t>Le noms-r</w:t>
      </w:r>
      <w:r w:rsidRPr="0071345C">
        <w:rPr>
          <w:rFonts w:eastAsia="Arial Unicode MS"/>
          <w:i/>
          <w:lang w:val="de-DE"/>
        </w:rPr>
        <w:t>acines de l’Avesta.</w:t>
      </w:r>
      <w:r w:rsidRPr="0071345C">
        <w:rPr>
          <w:rFonts w:eastAsia="Arial Unicode MS"/>
          <w:lang w:val="de-DE"/>
        </w:rPr>
        <w:t xml:space="preserve"> Wiesbaden: Reichert.</w:t>
      </w:r>
    </w:p>
    <w:p w14:paraId="31D06848" w14:textId="77777777" w:rsidR="00E53EB6" w:rsidRPr="0071345C" w:rsidRDefault="006500F5">
      <w:pPr>
        <w:pStyle w:val="biblioGEN"/>
        <w:rPr>
          <w:lang w:val="de-DE"/>
        </w:rPr>
      </w:pPr>
      <w:r w:rsidRPr="0071345C">
        <w:rPr>
          <w:rFonts w:eastAsia="Arial Unicode MS"/>
          <w:lang w:val="de-DE"/>
        </w:rPr>
        <w:t xml:space="preserve">___. 1984. </w:t>
      </w:r>
      <w:r w:rsidRPr="0071345C">
        <w:rPr>
          <w:rFonts w:eastAsia="Arial Unicode MS"/>
          <w:i/>
          <w:lang w:val="de-DE"/>
        </w:rPr>
        <w:t>Le Verbe Avestique.</w:t>
      </w:r>
      <w:r w:rsidRPr="0071345C">
        <w:rPr>
          <w:rFonts w:eastAsia="Arial Unicode MS"/>
          <w:lang w:val="de-DE"/>
        </w:rPr>
        <w:t xml:space="preserve"> Wiesbaden: Reichert.</w:t>
      </w:r>
    </w:p>
    <w:p w14:paraId="233D61B2" w14:textId="77777777" w:rsidR="00E53EB6" w:rsidRDefault="006500F5">
      <w:pPr>
        <w:pStyle w:val="biblioGEN"/>
      </w:pPr>
      <w:r>
        <w:rPr>
          <w:rFonts w:eastAsia="Arial Unicode MS"/>
        </w:rPr>
        <w:t xml:space="preserve">___. 2000. </w:t>
      </w:r>
      <w:r>
        <w:rPr>
          <w:rFonts w:eastAsia="Arial Unicode MS"/>
          <w:i/>
        </w:rPr>
        <w:t>Essays on Zarathustra and Zoroastrianism.</w:t>
      </w:r>
      <w:r>
        <w:rPr>
          <w:rFonts w:eastAsia="Arial Unicode MS"/>
        </w:rPr>
        <w:t xml:space="preserve"> Costa Mesa: Mazda Publishers.</w:t>
      </w:r>
    </w:p>
    <w:p w14:paraId="04D9A918" w14:textId="77777777" w:rsidR="00E53EB6" w:rsidRPr="0071345C" w:rsidRDefault="006500F5">
      <w:pPr>
        <w:pStyle w:val="biblioGEN"/>
        <w:rPr>
          <w:lang w:val="de-DE"/>
        </w:rPr>
      </w:pPr>
      <w:r>
        <w:rPr>
          <w:rFonts w:eastAsia="Arial Unicode MS"/>
          <w:smallCaps/>
        </w:rPr>
        <w:t xml:space="preserve">Kellens, J. – Pirart É. </w:t>
      </w:r>
      <w:r>
        <w:rPr>
          <w:rFonts w:eastAsia="Arial Unicode MS"/>
        </w:rPr>
        <w:t xml:space="preserve">1988-1991. </w:t>
      </w:r>
      <w:r w:rsidRPr="0071345C">
        <w:rPr>
          <w:rFonts w:eastAsia="Arial Unicode MS"/>
          <w:i/>
          <w:lang w:val="de-DE"/>
        </w:rPr>
        <w:t>Les textes vieil-avestique.</w:t>
      </w:r>
      <w:r w:rsidRPr="0071345C">
        <w:rPr>
          <w:rFonts w:eastAsia="Arial Unicode MS"/>
          <w:lang w:val="de-DE"/>
        </w:rPr>
        <w:t xml:space="preserve"> 3 Vols. Wiesbaden: Reichert.</w:t>
      </w:r>
    </w:p>
    <w:p w14:paraId="2D38BB20" w14:textId="77777777" w:rsidR="00E53EB6" w:rsidRDefault="006500F5">
      <w:pPr>
        <w:pStyle w:val="biblioGEN"/>
      </w:pPr>
      <w:r>
        <w:rPr>
          <w:rFonts w:eastAsia="Arial Unicode MS" w:cs="Times Ext Roman"/>
        </w:rPr>
        <w:t xml:space="preserve">KEWA see </w:t>
      </w:r>
      <w:r>
        <w:rPr>
          <w:rStyle w:val="biblio-authorGEN"/>
          <w:rFonts w:eastAsia="Arial Unicode MS" w:cs="Times Ext Roman"/>
        </w:rPr>
        <w:t>Mayrhofer.</w:t>
      </w:r>
    </w:p>
    <w:p w14:paraId="746F7BB3" w14:textId="77777777" w:rsidR="00E53EB6" w:rsidRPr="0071345C" w:rsidRDefault="006500F5">
      <w:pPr>
        <w:pStyle w:val="biblioGEN"/>
        <w:rPr>
          <w:lang w:val="de-DE"/>
        </w:rPr>
      </w:pPr>
      <w:r>
        <w:rPr>
          <w:rStyle w:val="biblio-authorGEN"/>
          <w:rFonts w:eastAsia="Arial Unicode MS" w:cs="Times Ext Roman"/>
        </w:rPr>
        <w:t xml:space="preserve">Knobl, W.F. </w:t>
      </w:r>
      <w:r>
        <w:rPr>
          <w:rFonts w:eastAsia="Arial Unicode MS" w:cs="Times Ext Roman"/>
        </w:rPr>
        <w:t xml:space="preserve">2009. </w:t>
      </w:r>
      <w:r>
        <w:rPr>
          <w:rFonts w:eastAsia="Arial Unicode MS" w:cs="Times Ext Roman"/>
          <w:i/>
          <w:iCs/>
        </w:rPr>
        <w:t>A Surplus of Meaning, The Intent of Irregularity in Vedic Poetry.</w:t>
      </w:r>
      <w:r>
        <w:rPr>
          <w:rFonts w:eastAsia="Arial Unicode MS" w:cs="Times Ext Roman"/>
        </w:rPr>
        <w:t xml:space="preserve"> </w:t>
      </w:r>
      <w:r w:rsidRPr="0071345C">
        <w:rPr>
          <w:rFonts w:eastAsia="Arial Unicode MS" w:cs="Times Ext Roman"/>
          <w:lang w:val="de-DE"/>
        </w:rPr>
        <w:t>Leiden: PhD Diss.</w:t>
      </w:r>
      <w:r w:rsidRPr="0071345C">
        <w:rPr>
          <w:rFonts w:eastAsia="Arial Unicode MS" w:cs="Times Ext Roman"/>
          <w:i/>
          <w:iCs/>
          <w:lang w:val="de-DE"/>
        </w:rPr>
        <w:t>.</w:t>
      </w:r>
    </w:p>
    <w:p w14:paraId="73E965A4" w14:textId="77777777" w:rsidR="00E53EB6" w:rsidRDefault="006500F5">
      <w:pPr>
        <w:pStyle w:val="biblioGEN"/>
      </w:pPr>
      <w:r w:rsidRPr="0071345C">
        <w:rPr>
          <w:rStyle w:val="biblio-authorGEN"/>
          <w:rFonts w:eastAsia="Arial Unicode MS" w:cs="Times Ext Roman"/>
          <w:lang w:val="de-DE"/>
        </w:rPr>
        <w:t>Köhler, F. 2011.</w:t>
      </w:r>
      <w:r w:rsidRPr="0071345C">
        <w:rPr>
          <w:lang w:val="de-DE"/>
        </w:rPr>
        <w:t xml:space="preserve"> </w:t>
      </w:r>
      <w:r w:rsidRPr="0071345C">
        <w:rPr>
          <w:i/>
          <w:iCs/>
          <w:lang w:val="de-DE"/>
        </w:rPr>
        <w:t xml:space="preserve">Kaví im Ṛgveda : Dichtung, Ritual und Schöpfung im frühvedischen Denken. </w:t>
      </w:r>
      <w:r>
        <w:t>Aachen: Shaker.</w:t>
      </w:r>
    </w:p>
    <w:p w14:paraId="5BED447B" w14:textId="77777777" w:rsidR="00E53EB6" w:rsidRDefault="006500F5">
      <w:pPr>
        <w:pStyle w:val="biblioGEN"/>
      </w:pPr>
      <w:r>
        <w:rPr>
          <w:rStyle w:val="biblio-authorGEN"/>
          <w:rFonts w:eastAsia="Arial Unicode MS" w:cs="Times Ext Roman"/>
        </w:rPr>
        <w:t>Kuiper, F.B. J.</w:t>
      </w:r>
      <w:r>
        <w:rPr>
          <w:rStyle w:val="biblio-authorGEN"/>
          <w:rFonts w:eastAsia="Arial Unicode MS" w:cs="Times Ext Roman"/>
        </w:rPr>
        <w:t xml:space="preserve"> </w:t>
      </w:r>
      <w:r>
        <w:rPr>
          <w:rStyle w:val="biblio-authorGEN"/>
          <w:rFonts w:eastAsia="Arial Unicode MS" w:cs="Times Ext Roman"/>
        </w:rPr>
        <w:t>1953. “</w:t>
      </w:r>
      <w:r>
        <w:rPr>
          <w:rStyle w:val="biblio-authorGEN"/>
          <w:rFonts w:eastAsia="Arial Unicode MS" w:cs="Times Ext Roman"/>
          <w:smallCaps w:val="0"/>
        </w:rPr>
        <w:t xml:space="preserve">The Three Sanskrit Roots </w:t>
      </w:r>
      <w:r>
        <w:rPr>
          <w:rStyle w:val="biblio-authorGEN"/>
          <w:rFonts w:eastAsia="Arial Unicode MS" w:cs="Times Ext Roman"/>
          <w:i/>
          <w:iCs/>
          <w:smallCaps w:val="0"/>
        </w:rPr>
        <w:t>anc</w:t>
      </w:r>
      <w:r>
        <w:rPr>
          <w:rStyle w:val="biblio-authorGEN"/>
          <w:rFonts w:eastAsia="Arial Unicode MS" w:cs="Times Ext Roman"/>
          <w:smallCaps w:val="0"/>
        </w:rPr>
        <w:t xml:space="preserve">- / </w:t>
      </w:r>
      <w:r>
        <w:rPr>
          <w:rStyle w:val="biblio-authorGEN"/>
          <w:rFonts w:eastAsia="Arial Unicode MS" w:cs="Times Ext Roman"/>
          <w:i/>
          <w:iCs/>
          <w:smallCaps w:val="0"/>
        </w:rPr>
        <w:t>anj</w:t>
      </w:r>
      <w:r>
        <w:rPr>
          <w:rStyle w:val="biblio-authorGEN"/>
          <w:rFonts w:eastAsia="Arial Unicode MS" w:cs="Times Ext Roman"/>
          <w:smallCaps w:val="0"/>
        </w:rPr>
        <w:t xml:space="preserve">-.” </w:t>
      </w:r>
      <w:r>
        <w:rPr>
          <w:rStyle w:val="biblio-authorGEN"/>
          <w:rFonts w:eastAsia="Arial Unicode MS" w:cs="Times Ext Roman"/>
          <w:i/>
          <w:iCs/>
          <w:smallCaps w:val="0"/>
        </w:rPr>
        <w:t>Vāk</w:t>
      </w:r>
      <w:r>
        <w:rPr>
          <w:rStyle w:val="biblio-authorGEN"/>
          <w:rFonts w:eastAsia="Arial Unicode MS" w:cs="Times Ext Roman"/>
          <w:smallCaps w:val="0"/>
        </w:rPr>
        <w:t xml:space="preserve"> 2: pp. 36-98.</w:t>
      </w:r>
    </w:p>
    <w:p w14:paraId="3868FEEC" w14:textId="77777777" w:rsidR="00E53EB6" w:rsidRDefault="006500F5">
      <w:pPr>
        <w:pStyle w:val="biblioGEN"/>
      </w:pPr>
      <w:r>
        <w:rPr>
          <w:rStyle w:val="biblio-authorGEN"/>
          <w:rFonts w:eastAsia="Arial Unicode MS" w:cs="Times Ext Roman"/>
        </w:rPr>
        <w:t xml:space="preserve">___. 1961-62. </w:t>
      </w:r>
      <w:r>
        <w:rPr>
          <w:rFonts w:eastAsia="Arial Unicode MS" w:cs="Times Ext Roman"/>
        </w:rPr>
        <w:t xml:space="preserve">“Remarks on </w:t>
      </w:r>
      <w:r>
        <w:rPr>
          <w:rFonts w:eastAsia="Arial Unicode MS" w:cs="Times Ext Roman"/>
          <w:i/>
          <w:iCs/>
        </w:rPr>
        <w:t xml:space="preserve">The Avestan Hymn to Mithra.” Indo-Iranian Journal </w:t>
      </w:r>
      <w:r>
        <w:rPr>
          <w:rFonts w:eastAsia="Arial Unicode MS" w:cs="Times Ext Roman"/>
        </w:rPr>
        <w:t xml:space="preserve">5: pp. </w:t>
      </w:r>
      <w:r>
        <w:rPr>
          <w:rFonts w:eastAsia="Arial Unicode MS" w:cs="Times Ext Roman"/>
        </w:rPr>
        <w:t>36-60.</w:t>
      </w:r>
    </w:p>
    <w:p w14:paraId="2F086E37" w14:textId="77777777" w:rsidR="00E53EB6" w:rsidRPr="0071345C" w:rsidRDefault="006500F5">
      <w:pPr>
        <w:pStyle w:val="biblioGEN"/>
        <w:rPr>
          <w:lang w:val="it-IT"/>
        </w:rPr>
      </w:pPr>
      <w:r>
        <w:rPr>
          <w:rFonts w:eastAsia="Arial Unicode MS" w:cs="Times Ext Roman"/>
        </w:rPr>
        <w:t>___. 1974 “</w:t>
      </w:r>
      <w:r>
        <w:rPr>
          <w:rFonts w:eastAsia="Arial Unicode MS" w:cs="Times Ext Roman"/>
          <w:i/>
          <w:iCs/>
        </w:rPr>
        <w:t>ví dayate</w:t>
      </w:r>
      <w:r>
        <w:rPr>
          <w:rFonts w:eastAsia="Arial Unicode MS" w:cs="Times Ext Roman"/>
        </w:rPr>
        <w:t xml:space="preserve"> and </w:t>
      </w:r>
      <w:r>
        <w:rPr>
          <w:rFonts w:eastAsia="Arial Unicode MS" w:cs="Times Ext Roman"/>
          <w:i/>
          <w:iCs/>
        </w:rPr>
        <w:t xml:space="preserve">vidátha-.” </w:t>
      </w:r>
      <w:r w:rsidRPr="0071345C">
        <w:rPr>
          <w:rFonts w:eastAsia="Arial Unicode MS" w:cs="Times Ext Roman"/>
          <w:i/>
          <w:iCs/>
          <w:lang w:val="it-IT"/>
        </w:rPr>
        <w:t xml:space="preserve">Indologica Taurinensia </w:t>
      </w:r>
      <w:r w:rsidRPr="0071345C">
        <w:rPr>
          <w:rFonts w:eastAsia="Arial Unicode MS" w:cs="Times Ext Roman"/>
          <w:lang w:val="it-IT"/>
        </w:rPr>
        <w:t>2: pp. 121-132.</w:t>
      </w:r>
    </w:p>
    <w:p w14:paraId="7178FC95" w14:textId="77777777" w:rsidR="00E53EB6" w:rsidRPr="0071345C" w:rsidRDefault="006500F5">
      <w:pPr>
        <w:pStyle w:val="biblioGEN"/>
        <w:rPr>
          <w:lang w:val="de-DE"/>
        </w:rPr>
      </w:pPr>
      <w:r w:rsidRPr="0071345C">
        <w:rPr>
          <w:rStyle w:val="biblio-authorGEN"/>
          <w:lang w:val="it-IT"/>
        </w:rPr>
        <w:t xml:space="preserve">Kulkarni, R. P. </w:t>
      </w:r>
      <w:r w:rsidRPr="0071345C">
        <w:rPr>
          <w:rFonts w:eastAsia="Arial Unicode MS" w:cs="Times Ext Roman"/>
          <w:lang w:val="it-IT"/>
        </w:rPr>
        <w:t xml:space="preserve">1987. </w:t>
      </w:r>
      <w:r>
        <w:rPr>
          <w:rFonts w:eastAsia="Arial Unicode MS" w:cs="Times Ext Roman"/>
          <w:i/>
          <w:iCs/>
        </w:rPr>
        <w:t>Layout and construction of citis according to Baudhāyana-, Mānava-, and Āpastamba-śulbasutras.</w:t>
      </w:r>
      <w:r>
        <w:rPr>
          <w:rFonts w:eastAsia="Arial Unicode MS" w:cs="Times Ext Roman"/>
        </w:rPr>
        <w:t xml:space="preserve"> </w:t>
      </w:r>
      <w:r w:rsidRPr="0071345C">
        <w:rPr>
          <w:rFonts w:eastAsia="Arial Unicode MS" w:cs="Times Ext Roman"/>
          <w:lang w:val="de-DE"/>
        </w:rPr>
        <w:t>Pune: Bhandarkar Oriental Research Institute.</w:t>
      </w:r>
    </w:p>
    <w:p w14:paraId="497EE0B5" w14:textId="77777777" w:rsidR="00E53EB6" w:rsidRPr="0071345C" w:rsidRDefault="006500F5">
      <w:pPr>
        <w:pStyle w:val="biblioGEN"/>
        <w:rPr>
          <w:lang w:val="de-DE"/>
        </w:rPr>
      </w:pPr>
      <w:r w:rsidRPr="0071345C">
        <w:rPr>
          <w:rFonts w:eastAsia="Arial Unicode MS" w:cs="Times Ext Roman"/>
          <w:smallCaps/>
          <w:lang w:val="de-DE"/>
        </w:rPr>
        <w:t xml:space="preserve">Kümmel, M. 1996. </w:t>
      </w:r>
      <w:r w:rsidRPr="0071345C">
        <w:rPr>
          <w:rFonts w:eastAsia="Arial Unicode MS" w:cs="Times Ext Roman"/>
          <w:i/>
          <w:lang w:val="de-DE"/>
        </w:rPr>
        <w:t xml:space="preserve">Stativ und Passivaorist im Indoiranischen. </w:t>
      </w:r>
      <w:r w:rsidRPr="0071345C">
        <w:rPr>
          <w:rFonts w:eastAsia="Arial Unicode MS" w:cs="Times Ext Roman"/>
          <w:lang w:val="de-DE"/>
        </w:rPr>
        <w:t>Göttingen: Vandenhoeck § Ruprecht,.</w:t>
      </w:r>
    </w:p>
    <w:p w14:paraId="237F4DE8" w14:textId="77777777" w:rsidR="00E53EB6" w:rsidRPr="0071345C" w:rsidRDefault="006500F5">
      <w:pPr>
        <w:pStyle w:val="biblioGEN"/>
        <w:rPr>
          <w:lang w:val="de-DE"/>
        </w:rPr>
      </w:pPr>
      <w:r w:rsidRPr="0071345C">
        <w:rPr>
          <w:rFonts w:eastAsia="Arial Unicode MS" w:cs="Times Ext Roman"/>
          <w:smallCaps/>
          <w:lang w:val="de-DE"/>
        </w:rPr>
        <w:t xml:space="preserve">___. 2000. </w:t>
      </w:r>
      <w:r w:rsidRPr="0071345C">
        <w:rPr>
          <w:rFonts w:eastAsia="Arial Unicode MS" w:cs="Times Ext Roman"/>
          <w:i/>
          <w:lang w:val="de-DE"/>
        </w:rPr>
        <w:t xml:space="preserve">Das Perfekt im Indoiranischen, eine Untersuchung der Form und Funktion einer einer ererbten Kategorie </w:t>
      </w:r>
      <w:r w:rsidRPr="0071345C">
        <w:rPr>
          <w:rFonts w:eastAsia="Arial Unicode MS" w:cs="Times Ext Roman"/>
          <w:i/>
          <w:lang w:val="de-DE"/>
        </w:rPr>
        <w:t xml:space="preserve">des Verbums und ihrer Weiterenwicklung in den alt indoiranische Sprache. </w:t>
      </w:r>
      <w:r w:rsidRPr="0071345C">
        <w:rPr>
          <w:rFonts w:eastAsia="Arial Unicode MS" w:cs="Times Ext Roman"/>
          <w:lang w:val="de-DE"/>
        </w:rPr>
        <w:t>Wiesbaden: Dr. Ludwig</w:t>
      </w:r>
      <w:r w:rsidRPr="0071345C">
        <w:rPr>
          <w:rFonts w:eastAsia="Arial Unicode MS" w:cs="Times Ext Roman"/>
          <w:lang w:val="de-DE"/>
        </w:rPr>
        <w:t xml:space="preserve"> Reichert Verlag,.</w:t>
      </w:r>
      <w:r w:rsidRPr="0071345C">
        <w:rPr>
          <w:rFonts w:eastAsia="Arial Unicode MS" w:cs="Times Ext Roman"/>
          <w:i/>
          <w:lang w:val="de-DE"/>
        </w:rPr>
        <w:t xml:space="preserve"> </w:t>
      </w:r>
    </w:p>
    <w:p w14:paraId="65DC8210" w14:textId="77777777" w:rsidR="00E53EB6" w:rsidRDefault="006500F5">
      <w:pPr>
        <w:pStyle w:val="biblioGEN"/>
      </w:pPr>
      <w:r w:rsidRPr="0071345C">
        <w:rPr>
          <w:rFonts w:eastAsia="Arial Unicode MS" w:cs="Times Ext Roman"/>
          <w:caps/>
          <w:lang w:val="de-DE"/>
        </w:rPr>
        <w:t>K</w:t>
      </w:r>
      <w:r w:rsidRPr="0071345C">
        <w:rPr>
          <w:rFonts w:eastAsia="Arial Unicode MS" w:cs="Times Ext Roman"/>
          <w:smallCaps/>
          <w:lang w:val="de-DE"/>
        </w:rPr>
        <w:t xml:space="preserve">urylowicz, J. </w:t>
      </w:r>
      <w:r w:rsidRPr="0071345C">
        <w:rPr>
          <w:rFonts w:eastAsia="Arial Unicode MS" w:cs="Times Ext Roman"/>
          <w:lang w:val="de-DE"/>
        </w:rPr>
        <w:t xml:space="preserve">1927. “Schwa indoeuropéen et “h”  hittite.”  </w:t>
      </w:r>
      <w:r>
        <w:rPr>
          <w:rFonts w:eastAsia="Arial Unicode MS" w:cs="Times Ext Roman"/>
        </w:rPr>
        <w:t xml:space="preserve">In </w:t>
      </w:r>
      <w:r>
        <w:rPr>
          <w:rFonts w:eastAsia="Arial Unicode MS" w:cs="Times Ext Roman"/>
          <w:i/>
        </w:rPr>
        <w:t>Symbolae grammaticae in honorem Ioannis Rozwadowski</w:t>
      </w:r>
      <w:r>
        <w:rPr>
          <w:rFonts w:eastAsia="Arial Unicode MS" w:cs="Times Ext Roman"/>
        </w:rPr>
        <w:t xml:space="preserve"> I, pp. 95-104. </w:t>
      </w:r>
    </w:p>
    <w:p w14:paraId="57769646" w14:textId="77777777" w:rsidR="00E53EB6" w:rsidRPr="0071345C" w:rsidRDefault="006500F5">
      <w:pPr>
        <w:pStyle w:val="biblioGEN"/>
        <w:rPr>
          <w:lang w:val="it-IT"/>
        </w:rPr>
      </w:pPr>
      <w:r w:rsidRPr="0071345C">
        <w:rPr>
          <w:rStyle w:val="biblio-authorGEN"/>
          <w:rFonts w:eastAsia="Arial Unicode MS" w:cs="Times Ext Roman"/>
          <w:lang w:val="it-IT"/>
        </w:rPr>
        <w:t xml:space="preserve">Lazzeroni, </w:t>
      </w:r>
      <w:r w:rsidRPr="0071345C">
        <w:rPr>
          <w:rStyle w:val="biblio-authorGEN"/>
          <w:rFonts w:eastAsia="Arial Unicode MS" w:cs="Times Ext Roman"/>
          <w:lang w:val="it-IT"/>
        </w:rPr>
        <w:t xml:space="preserve">R. 1998. </w:t>
      </w:r>
      <w:r w:rsidRPr="0071345C">
        <w:rPr>
          <w:rFonts w:eastAsia="Arial Unicode MS" w:cs="Times Ext Roman"/>
          <w:i/>
          <w:iCs/>
          <w:lang w:val="it-IT"/>
        </w:rPr>
        <w:t xml:space="preserve">La cultura indoeuropea. </w:t>
      </w:r>
      <w:r w:rsidRPr="0071345C">
        <w:rPr>
          <w:rFonts w:eastAsia="Arial Unicode MS" w:cs="Times Ext Roman"/>
          <w:lang w:val="it-IT"/>
        </w:rPr>
        <w:t>Roma: Laterza.</w:t>
      </w:r>
    </w:p>
    <w:p w14:paraId="7B6FDBEF" w14:textId="77777777" w:rsidR="00E53EB6" w:rsidRPr="0071345C" w:rsidRDefault="006500F5">
      <w:pPr>
        <w:pStyle w:val="biblioGEN"/>
        <w:rPr>
          <w:lang w:val="de-DE"/>
        </w:rPr>
      </w:pPr>
      <w:r w:rsidRPr="0071345C">
        <w:rPr>
          <w:rStyle w:val="biblio-authorGEN"/>
          <w:rFonts w:eastAsia="Arial Unicode MS" w:cs="Times Ext Roman"/>
          <w:lang w:val="it-IT"/>
        </w:rPr>
        <w:t xml:space="preserve">Lehrer, A. - Kittay, E.F. </w:t>
      </w:r>
      <w:r w:rsidRPr="0071345C">
        <w:rPr>
          <w:rStyle w:val="biblio-authorGEN"/>
          <w:rFonts w:eastAsia="Arial Unicode MS" w:cs="Times Ext Roman"/>
          <w:smallCaps w:val="0"/>
          <w:lang w:val="it-IT"/>
        </w:rPr>
        <w:t>(eds.)</w:t>
      </w:r>
      <w:r w:rsidRPr="0071345C">
        <w:rPr>
          <w:rStyle w:val="biblio-authorGEN"/>
          <w:rFonts w:eastAsia="Arial Unicode MS" w:cs="Times Ext Roman"/>
          <w:lang w:val="it-IT"/>
        </w:rPr>
        <w:t xml:space="preserve"> </w:t>
      </w:r>
      <w:r w:rsidRPr="0071345C">
        <w:rPr>
          <w:lang w:val="it-IT"/>
        </w:rPr>
        <w:t xml:space="preserve">1992. </w:t>
      </w:r>
      <w:r>
        <w:rPr>
          <w:i/>
          <w:iCs/>
        </w:rPr>
        <w:t xml:space="preserve">Frames, fields, and contrasts: new essays in semantic and </w:t>
      </w:r>
      <w:r>
        <w:rPr>
          <w:i/>
          <w:iCs/>
        </w:rPr>
        <w:lastRenderedPageBreak/>
        <w:t xml:space="preserve">lexical organization. </w:t>
      </w:r>
      <w:r w:rsidRPr="0071345C">
        <w:rPr>
          <w:lang w:val="de-DE"/>
        </w:rPr>
        <w:t>Hillsdale-New Jersey:</w:t>
      </w:r>
      <w:r w:rsidRPr="0071345C">
        <w:rPr>
          <w:i/>
          <w:iCs/>
          <w:lang w:val="de-DE"/>
        </w:rPr>
        <w:t xml:space="preserve"> </w:t>
      </w:r>
      <w:r w:rsidRPr="0071345C">
        <w:rPr>
          <w:lang w:val="de-DE"/>
        </w:rPr>
        <w:t xml:space="preserve">Erlbaum. </w:t>
      </w:r>
    </w:p>
    <w:p w14:paraId="0D555E3B" w14:textId="77777777" w:rsidR="00E53EB6" w:rsidRPr="0071345C" w:rsidRDefault="006500F5">
      <w:pPr>
        <w:pStyle w:val="biblioGEN"/>
        <w:rPr>
          <w:lang w:val="de-DE"/>
        </w:rPr>
      </w:pPr>
      <w:r w:rsidRPr="0071345C">
        <w:rPr>
          <w:rFonts w:eastAsia="Arial Unicode MS"/>
          <w:lang w:val="de-DE"/>
        </w:rPr>
        <w:t xml:space="preserve">LIV. 1998. </w:t>
      </w:r>
      <w:r w:rsidRPr="0071345C">
        <w:rPr>
          <w:rFonts w:eastAsia="Arial Unicode MS"/>
          <w:i/>
          <w:lang w:val="de-DE"/>
        </w:rPr>
        <w:t xml:space="preserve">Lexikon der indogermanischen Verben: LIV; die </w:t>
      </w:r>
      <w:r w:rsidRPr="0071345C">
        <w:rPr>
          <w:rFonts w:eastAsia="Arial Unicode MS"/>
          <w:i/>
          <w:lang w:val="de-DE"/>
        </w:rPr>
        <w:t xml:space="preserve">Wurzeln und ihre Primärstammbildungen, unter Leitung von Helmut Rix und der Mitarbeitern. </w:t>
      </w:r>
      <w:r w:rsidRPr="0071345C">
        <w:rPr>
          <w:rFonts w:eastAsia="Arial Unicode MS"/>
          <w:lang w:val="de-DE"/>
        </w:rPr>
        <w:t>Wiesbaden: Reichert.</w:t>
      </w:r>
    </w:p>
    <w:p w14:paraId="1F0CC165" w14:textId="77777777" w:rsidR="00E53EB6" w:rsidRPr="0071345C" w:rsidRDefault="006500F5">
      <w:pPr>
        <w:pStyle w:val="biblioGEN"/>
        <w:rPr>
          <w:lang w:val="de-DE"/>
        </w:rPr>
      </w:pPr>
      <w:r w:rsidRPr="0071345C">
        <w:rPr>
          <w:rFonts w:eastAsia="Arial Unicode MS" w:cs="Times Ext Roman"/>
          <w:smallCaps/>
          <w:lang w:val="de-DE"/>
        </w:rPr>
        <w:t xml:space="preserve">Lommel, H. 1927. </w:t>
      </w:r>
      <w:r w:rsidRPr="0071345C">
        <w:rPr>
          <w:rFonts w:eastAsia="Arial Unicode MS" w:cs="Times Ext Roman"/>
          <w:i/>
          <w:lang w:val="de-DE"/>
        </w:rPr>
        <w:t>Die Yäšt’s des Awesta.</w:t>
      </w:r>
      <w:r w:rsidRPr="0071345C">
        <w:rPr>
          <w:rFonts w:eastAsia="Arial Unicode MS" w:cs="Times Ext Roman"/>
          <w:lang w:val="de-DE"/>
        </w:rPr>
        <w:t xml:space="preserve"> Göttingen: Vandenhoek &amp; Ruprecht.</w:t>
      </w:r>
    </w:p>
    <w:p w14:paraId="47640FDD" w14:textId="77777777" w:rsidR="00E53EB6" w:rsidRDefault="006500F5">
      <w:pPr>
        <w:pStyle w:val="biblioGEN"/>
      </w:pPr>
      <w:r>
        <w:rPr>
          <w:rFonts w:eastAsia="Arial Unicode MS" w:cs="Times Ext Roman"/>
        </w:rPr>
        <w:t xml:space="preserve">___. 1939. “Kāvya Uçan.” </w:t>
      </w:r>
      <w:r>
        <w:rPr>
          <w:rFonts w:eastAsia="Arial Unicode MS" w:cs="Times Ext Roman"/>
          <w:i/>
        </w:rPr>
        <w:t>Mélanges linguistiques offerts à Charles Bally</w:t>
      </w:r>
      <w:r>
        <w:rPr>
          <w:rFonts w:eastAsia="Arial Unicode MS" w:cs="Times Ext Roman"/>
          <w:i/>
        </w:rPr>
        <w:t>.</w:t>
      </w:r>
      <w:r>
        <w:rPr>
          <w:rFonts w:eastAsia="Arial Unicode MS" w:cs="Times Ext Roman"/>
        </w:rPr>
        <w:t xml:space="preserve"> Geneva: Georg et cie.</w:t>
      </w:r>
    </w:p>
    <w:p w14:paraId="64C178C2" w14:textId="77777777" w:rsidR="00E53EB6" w:rsidRDefault="006500F5">
      <w:pPr>
        <w:pStyle w:val="biblioGEN"/>
      </w:pPr>
      <w:r>
        <w:rPr>
          <w:rStyle w:val="biblio-authorGEN"/>
          <w:rFonts w:eastAsia="Arial Unicode MS" w:cs="Times Ext Roman"/>
        </w:rPr>
        <w:t>Lubin</w:t>
      </w:r>
      <w:r>
        <w:rPr>
          <w:rFonts w:eastAsia="Arial Unicode MS" w:cs="Times Ext Roman"/>
        </w:rPr>
        <w:t>, T</w:t>
      </w:r>
      <w:r>
        <w:rPr>
          <w:rFonts w:eastAsia="Arial Unicode MS" w:cs="Times Ext Roman"/>
          <w:szCs w:val="21"/>
        </w:rPr>
        <w:t xml:space="preserve">. </w:t>
      </w:r>
      <w:r w:rsidRPr="0071345C">
        <w:rPr>
          <w:rFonts w:eastAsia="Arial Unicode MS" w:cs="Times Ext Roman"/>
          <w:szCs w:val="21"/>
          <w:lang w:val="en-US"/>
        </w:rPr>
        <w:t>2001. “</w:t>
      </w:r>
      <w:r w:rsidRPr="0071345C">
        <w:rPr>
          <w:rFonts w:eastAsia="Arial Unicode MS" w:cs="Times Ext Roman"/>
          <w:szCs w:val="21"/>
          <w:lang w:val="en-US"/>
        </w:rPr>
        <w:t>Vrata divine and human in the Early Veda.</w:t>
      </w:r>
      <w:r w:rsidRPr="0071345C">
        <w:rPr>
          <w:rFonts w:eastAsia="Arial Unicode MS" w:cs="Times Ext Roman"/>
          <w:i/>
          <w:szCs w:val="21"/>
          <w:lang w:val="en-US"/>
        </w:rPr>
        <w:t xml:space="preserve">” </w:t>
      </w:r>
      <w:r w:rsidRPr="0071345C">
        <w:rPr>
          <w:rFonts w:eastAsia="Arial Unicode MS" w:cs="Times Ext Roman"/>
          <w:i/>
          <w:iCs/>
          <w:szCs w:val="21"/>
          <w:lang w:val="en-US"/>
        </w:rPr>
        <w:t>Journal of the American Oriental Society</w:t>
      </w:r>
      <w:r w:rsidRPr="0071345C">
        <w:rPr>
          <w:rFonts w:eastAsia="Arial Unicode MS" w:cs="Times Ext Roman"/>
          <w:szCs w:val="21"/>
          <w:lang w:val="en-US"/>
        </w:rPr>
        <w:t xml:space="preserve"> 121: pp. 565- 579.</w:t>
      </w:r>
      <w:r>
        <w:rPr>
          <w:rFonts w:eastAsia="Arial Unicode MS" w:cs="Times Ext Roman"/>
        </w:rPr>
        <w:t xml:space="preserve"> </w:t>
      </w:r>
    </w:p>
    <w:p w14:paraId="6D42A4C2" w14:textId="77777777" w:rsidR="00E53EB6" w:rsidRDefault="006500F5">
      <w:pPr>
        <w:pStyle w:val="biblioGEN"/>
      </w:pPr>
      <w:r>
        <w:rPr>
          <w:rFonts w:eastAsia="Arial Unicode MS" w:cs="Times Ext Roman"/>
        </w:rPr>
        <w:t xml:space="preserve">___. 2002. “The Virtuosic Exegesis of the Brahmavadin and the Rabbi.” </w:t>
      </w:r>
      <w:r>
        <w:rPr>
          <w:rFonts w:eastAsia="Arial Unicode MS" w:cs="Times Ext Roman"/>
          <w:i/>
          <w:iCs/>
        </w:rPr>
        <w:t xml:space="preserve">Numen </w:t>
      </w:r>
      <w:r>
        <w:rPr>
          <w:rFonts w:eastAsia="Arial Unicode MS" w:cs="Times Ext Roman"/>
        </w:rPr>
        <w:t>49: pp. 427-449.</w:t>
      </w:r>
    </w:p>
    <w:p w14:paraId="30B7911A" w14:textId="77777777" w:rsidR="00E53EB6" w:rsidRDefault="006500F5">
      <w:pPr>
        <w:pStyle w:val="biblioGEN"/>
      </w:pPr>
      <w:r>
        <w:rPr>
          <w:rFonts w:eastAsia="Arial Unicode MS" w:cs="Times Ext Roman"/>
          <w:smallCaps/>
        </w:rPr>
        <w:t xml:space="preserve">Lubotsky, A. 1997. </w:t>
      </w:r>
      <w:r>
        <w:rPr>
          <w:rFonts w:eastAsia="Arial Unicode MS" w:cs="Times Ext Roman"/>
          <w:i/>
        </w:rPr>
        <w:t xml:space="preserve">A </w:t>
      </w:r>
      <w:r>
        <w:rPr>
          <w:rFonts w:eastAsia="Arial Unicode MS" w:cs="Times Ext Roman"/>
          <w:i/>
        </w:rPr>
        <w:t>Ṛ</w:t>
      </w:r>
      <w:r>
        <w:rPr>
          <w:rFonts w:eastAsia="Arial Unicode MS" w:cs="Times Ext Roman"/>
          <w:i/>
        </w:rPr>
        <w:t xml:space="preserve">gvedic Word Concordance. </w:t>
      </w:r>
      <w:r>
        <w:rPr>
          <w:rFonts w:eastAsia="Arial Unicode MS" w:cs="Times Ext Roman"/>
        </w:rPr>
        <w:t xml:space="preserve">2 Vols. New Haven: </w:t>
      </w:r>
      <w:r>
        <w:rPr>
          <w:rFonts w:eastAsia="Arial Unicode MS"/>
        </w:rPr>
        <w:t>A</w:t>
      </w:r>
      <w:r>
        <w:rPr>
          <w:rFonts w:eastAsia="Arial Unicode MS"/>
        </w:rPr>
        <w:t>merican Oriental Society</w:t>
      </w:r>
      <w:r>
        <w:rPr>
          <w:rFonts w:eastAsia="Arial Unicode MS" w:cs="Times Ext Roman"/>
        </w:rPr>
        <w:t>.</w:t>
      </w:r>
    </w:p>
    <w:p w14:paraId="0D465835" w14:textId="77777777" w:rsidR="00E53EB6" w:rsidRPr="0071345C" w:rsidRDefault="006500F5">
      <w:pPr>
        <w:pStyle w:val="biblioGEN"/>
        <w:rPr>
          <w:lang w:val="de-DE"/>
        </w:rPr>
      </w:pPr>
      <w:r w:rsidRPr="0071345C">
        <w:rPr>
          <w:rFonts w:eastAsia="Arial Unicode MS" w:cs="Times Ext Roman"/>
          <w:smallCaps/>
          <w:lang w:val="de-DE"/>
        </w:rPr>
        <w:t>Lüders,</w:t>
      </w:r>
      <w:r w:rsidRPr="0071345C">
        <w:rPr>
          <w:rFonts w:eastAsia="Arial Unicode MS" w:cs="Times Ext Roman"/>
          <w:lang w:val="de-DE"/>
        </w:rPr>
        <w:t xml:space="preserve"> </w:t>
      </w:r>
      <w:r w:rsidRPr="0071345C">
        <w:rPr>
          <w:rFonts w:eastAsia="Arial Unicode MS" w:cs="Times Ext Roman"/>
          <w:smallCaps/>
          <w:lang w:val="de-DE"/>
        </w:rPr>
        <w:t>H</w:t>
      </w:r>
      <w:r w:rsidRPr="0071345C">
        <w:rPr>
          <w:rFonts w:eastAsia="Arial Unicode MS" w:cs="Times Ext Roman"/>
          <w:lang w:val="de-DE"/>
        </w:rPr>
        <w:t xml:space="preserve">. 1951-1959. </w:t>
      </w:r>
      <w:r w:rsidRPr="0071345C">
        <w:rPr>
          <w:rFonts w:eastAsia="Arial Unicode MS" w:cs="Times Ext Roman"/>
          <w:i/>
          <w:lang w:val="de-DE"/>
        </w:rPr>
        <w:t>Varu</w:t>
      </w:r>
      <w:r w:rsidRPr="0071345C">
        <w:rPr>
          <w:rFonts w:eastAsia="Arial Unicode MS" w:cs="Times Ext Roman"/>
          <w:i/>
          <w:lang w:val="de-DE"/>
        </w:rPr>
        <w:t>ṇ</w:t>
      </w:r>
      <w:r w:rsidRPr="0071345C">
        <w:rPr>
          <w:rFonts w:eastAsia="Arial Unicode MS" w:cs="Times Ext Roman"/>
          <w:i/>
          <w:lang w:val="de-DE"/>
        </w:rPr>
        <w:t>a, Aus dem Nachlass herausgegeben von Ludwi</w:t>
      </w:r>
      <w:r w:rsidRPr="0071345C">
        <w:rPr>
          <w:rFonts w:eastAsia="Arial Unicode MS" w:cs="Times Ext Roman"/>
          <w:i/>
          <w:lang w:val="de-DE"/>
        </w:rPr>
        <w:t xml:space="preserve">g Alsdorf. </w:t>
      </w:r>
      <w:r w:rsidRPr="0071345C">
        <w:rPr>
          <w:rFonts w:eastAsia="Arial Unicode MS" w:cs="Times Ext Roman"/>
          <w:lang w:val="de-DE"/>
        </w:rPr>
        <w:t>2 Vols.</w:t>
      </w:r>
      <w:r w:rsidRPr="0071345C">
        <w:rPr>
          <w:rFonts w:eastAsia="Arial Unicode MS" w:cs="Times Ext Roman"/>
          <w:i/>
          <w:lang w:val="de-DE"/>
        </w:rPr>
        <w:t xml:space="preserve">  </w:t>
      </w:r>
      <w:r w:rsidRPr="0071345C">
        <w:rPr>
          <w:rFonts w:eastAsia="Arial Unicode MS" w:cs="Times Ext Roman"/>
          <w:lang w:val="de-DE"/>
        </w:rPr>
        <w:t>Göttingen: Vandenhoeck &amp;</w:t>
      </w:r>
      <w:r w:rsidRPr="0071345C">
        <w:rPr>
          <w:rFonts w:eastAsia="Arial Unicode MS" w:cs="Times Ext Roman"/>
          <w:lang w:val="de-DE"/>
        </w:rPr>
        <w:t xml:space="preserve"> Ruprecht.</w:t>
      </w:r>
    </w:p>
    <w:p w14:paraId="5EB2A0D9" w14:textId="77777777" w:rsidR="00E53EB6" w:rsidRPr="0071345C" w:rsidRDefault="006500F5">
      <w:pPr>
        <w:pStyle w:val="biblioGEN"/>
        <w:rPr>
          <w:lang w:val="de-DE"/>
        </w:rPr>
      </w:pPr>
      <w:r w:rsidRPr="0071345C">
        <w:rPr>
          <w:rFonts w:eastAsia="Arial Unicode MS" w:cs="Times Ext Roman"/>
          <w:smallCaps/>
          <w:lang w:val="de-DE"/>
        </w:rPr>
        <w:t xml:space="preserve">Macdonell, A. A. </w:t>
      </w:r>
      <w:r w:rsidRPr="0071345C">
        <w:rPr>
          <w:rFonts w:eastAsia="Arial Unicode MS" w:cs="Times Ext Roman"/>
          <w:lang w:val="de-DE"/>
        </w:rPr>
        <w:t xml:space="preserve">1898. </w:t>
      </w:r>
      <w:r w:rsidRPr="0071345C">
        <w:rPr>
          <w:rFonts w:eastAsia="Arial Unicode MS" w:cs="Times Ext Roman"/>
          <w:i/>
          <w:lang w:val="de-DE"/>
        </w:rPr>
        <w:t xml:space="preserve">Vedic Mythology. </w:t>
      </w:r>
      <w:r w:rsidRPr="0071345C">
        <w:rPr>
          <w:rFonts w:eastAsia="Arial Unicode MS" w:cs="Times Ext Roman"/>
          <w:lang w:val="de-DE"/>
        </w:rPr>
        <w:t>Reprint</w:t>
      </w:r>
      <w:r w:rsidRPr="0071345C">
        <w:rPr>
          <w:rFonts w:eastAsia="Arial Unicode MS" w:cs="Times Ext Roman"/>
          <w:i/>
          <w:lang w:val="de-DE"/>
        </w:rPr>
        <w:t xml:space="preserve">, </w:t>
      </w:r>
      <w:r w:rsidRPr="0071345C">
        <w:rPr>
          <w:rFonts w:eastAsia="Arial Unicode MS" w:cs="Times Ext Roman"/>
          <w:lang w:val="de-DE"/>
        </w:rPr>
        <w:t>Delhi: Motilal Banarsidass, 1995.</w:t>
      </w:r>
    </w:p>
    <w:p w14:paraId="05D19C7F" w14:textId="77777777" w:rsidR="00E53EB6" w:rsidRDefault="006500F5">
      <w:pPr>
        <w:pStyle w:val="biblioGEN"/>
      </w:pPr>
      <w:r>
        <w:rPr>
          <w:rFonts w:eastAsia="Arial Unicode MS" w:cs="Times Ext Roman"/>
          <w:smallCaps/>
        </w:rPr>
        <w:t xml:space="preserve">___. 1916. </w:t>
      </w:r>
      <w:r>
        <w:rPr>
          <w:rFonts w:eastAsia="Arial Unicode MS" w:cs="Times Ext Roman"/>
          <w:i/>
        </w:rPr>
        <w:t>Vedic Grammar for student.</w:t>
      </w:r>
      <w:r>
        <w:rPr>
          <w:rFonts w:eastAsia="Arial Unicode MS" w:cs="Times Ext Roman"/>
        </w:rPr>
        <w:t xml:space="preserve"> Reprint, Delhi: Motilal Banarsidass, </w:t>
      </w:r>
      <w:r>
        <w:rPr>
          <w:rFonts w:eastAsia="Arial Unicode MS" w:cs="Times Ext Roman"/>
          <w:smallCaps/>
        </w:rPr>
        <w:t>2004</w:t>
      </w:r>
      <w:r>
        <w:rPr>
          <w:rFonts w:eastAsia="Arial Unicode MS" w:cs="Times Ext Roman"/>
        </w:rPr>
        <w:t>.</w:t>
      </w:r>
    </w:p>
    <w:p w14:paraId="556D6AAF" w14:textId="77777777" w:rsidR="00E53EB6" w:rsidRPr="0071345C" w:rsidRDefault="006500F5">
      <w:pPr>
        <w:pStyle w:val="biblioGEN"/>
        <w:rPr>
          <w:lang w:val="it-IT"/>
        </w:rPr>
      </w:pPr>
      <w:r>
        <w:rPr>
          <w:rFonts w:eastAsia="Arial Unicode MS" w:cs="Times Ext Roman"/>
          <w:smallCaps/>
        </w:rPr>
        <w:t>Macdonell, A. A. - Keith, B. (</w:t>
      </w:r>
      <w:r>
        <w:rPr>
          <w:rFonts w:eastAsia="Arial Unicode MS" w:cs="Times Ext Roman"/>
        </w:rPr>
        <w:t>1912) 1</w:t>
      </w:r>
      <w:r>
        <w:rPr>
          <w:rFonts w:eastAsia="Arial Unicode MS" w:cs="Times Ext Roman"/>
        </w:rPr>
        <w:t xml:space="preserve">995. </w:t>
      </w:r>
      <w:r>
        <w:rPr>
          <w:rFonts w:eastAsia="Arial Unicode MS" w:cs="Times Ext Roman"/>
          <w:i/>
        </w:rPr>
        <w:t>Vedic Index of Names and Subjects.</w:t>
      </w:r>
      <w:r>
        <w:rPr>
          <w:rFonts w:eastAsia="Arial Unicode MS" w:cs="Times Ext Roman"/>
        </w:rPr>
        <w:t xml:space="preserve"> </w:t>
      </w:r>
      <w:r w:rsidRPr="0071345C">
        <w:rPr>
          <w:rFonts w:eastAsia="Arial Unicode MS" w:cs="Times Ext Roman"/>
          <w:lang w:val="it-IT"/>
        </w:rPr>
        <w:t>2 Vols. Delhi: Motilal Banarsidass.</w:t>
      </w:r>
    </w:p>
    <w:p w14:paraId="61A29E67" w14:textId="77777777" w:rsidR="00E53EB6" w:rsidRPr="0071345C" w:rsidRDefault="006500F5">
      <w:pPr>
        <w:pStyle w:val="biblioGEN"/>
        <w:rPr>
          <w:lang w:val="it-IT"/>
        </w:rPr>
      </w:pPr>
      <w:r w:rsidRPr="0071345C">
        <w:rPr>
          <w:rFonts w:eastAsia="Arial Unicode MS" w:cs="Times Ext Roman"/>
          <w:smallCaps/>
          <w:lang w:val="it-IT"/>
        </w:rPr>
        <w:t xml:space="preserve">Maggi, D.  </w:t>
      </w:r>
      <w:r w:rsidRPr="0071345C">
        <w:rPr>
          <w:rFonts w:eastAsia="Arial Unicode MS" w:cs="Times Ext Roman"/>
          <w:lang w:val="it-IT"/>
        </w:rPr>
        <w:t>1989. “</w:t>
      </w:r>
      <w:r w:rsidRPr="0071345C">
        <w:rPr>
          <w:rFonts w:eastAsia="Arial Unicode MS" w:cs="Times Ext Roman"/>
          <w:lang w:val="it-IT"/>
        </w:rPr>
        <w:t>Idee linguistiche nell’India Vedica.”</w:t>
      </w:r>
      <w:r w:rsidRPr="0071345C">
        <w:rPr>
          <w:rFonts w:eastAsia="Arial Unicode MS" w:cs="Times Ext Roman"/>
          <w:i/>
          <w:lang w:val="it-IT"/>
        </w:rPr>
        <w:t>,</w:t>
      </w:r>
      <w:r w:rsidRPr="0071345C">
        <w:rPr>
          <w:rFonts w:eastAsia="Arial Unicode MS" w:cs="Times Ext Roman"/>
          <w:lang w:val="it-IT"/>
        </w:rPr>
        <w:t xml:space="preserve"> </w:t>
      </w:r>
      <w:r w:rsidRPr="0071345C">
        <w:rPr>
          <w:rFonts w:eastAsia="Arial Unicode MS" w:cs="Times Ext Roman"/>
          <w:i/>
          <w:iCs/>
          <w:lang w:val="it-IT"/>
        </w:rPr>
        <w:t>AI</w:t>
      </w:r>
      <w:r>
        <w:rPr>
          <w:rFonts w:eastAsia="Arial Unicode MS" w:cs="Times Ext Roman"/>
          <w:i/>
          <w:iCs/>
        </w:rPr>
        <w:t>Ω</w:t>
      </w:r>
      <w:r w:rsidRPr="0071345C">
        <w:rPr>
          <w:rFonts w:eastAsia="Arial Unicode MS" w:cs="Times Ext Roman"/>
          <w:i/>
          <w:iCs/>
          <w:lang w:val="it-IT"/>
        </w:rPr>
        <w:t>N</w:t>
      </w:r>
      <w:r w:rsidRPr="0071345C">
        <w:rPr>
          <w:rFonts w:eastAsia="Arial Unicode MS" w:cs="Times Ext Roman"/>
          <w:lang w:val="it-IT"/>
        </w:rPr>
        <w:t xml:space="preserve"> 11:  pp. 63-114.</w:t>
      </w:r>
    </w:p>
    <w:p w14:paraId="36A3C5A9" w14:textId="77777777" w:rsidR="00E53EB6" w:rsidRPr="0071345C" w:rsidRDefault="006500F5">
      <w:pPr>
        <w:pStyle w:val="biblioGEN"/>
        <w:rPr>
          <w:lang w:val="it-IT"/>
        </w:rPr>
      </w:pPr>
      <w:r w:rsidRPr="0071345C">
        <w:rPr>
          <w:rFonts w:eastAsia="Arial Unicode MS" w:cs="Times Ext Roman"/>
          <w:smallCaps/>
          <w:lang w:val="it-IT"/>
        </w:rPr>
        <w:t xml:space="preserve">Malamoud, C. 1989. </w:t>
      </w:r>
      <w:r w:rsidRPr="0071345C">
        <w:rPr>
          <w:rFonts w:eastAsia="Arial Unicode MS" w:cs="Times Ext Roman"/>
          <w:i/>
          <w:iCs/>
          <w:lang w:val="it-IT"/>
        </w:rPr>
        <w:t>Cuire le monde: rite et pensée dans l'Inde ancienne.</w:t>
      </w:r>
      <w:r w:rsidRPr="0071345C">
        <w:rPr>
          <w:rFonts w:eastAsia="Arial Unicode MS" w:cs="Times Ext Roman"/>
          <w:lang w:val="it-IT"/>
        </w:rPr>
        <w:t xml:space="preserve"> Paris: La Découverte</w:t>
      </w:r>
      <w:r w:rsidRPr="0071345C">
        <w:rPr>
          <w:rFonts w:eastAsia="Arial Unicode MS" w:cs="Times Ext Roman"/>
          <w:lang w:val="it-IT"/>
        </w:rPr>
        <w:t>.</w:t>
      </w:r>
    </w:p>
    <w:p w14:paraId="43E2C1FB" w14:textId="77777777" w:rsidR="00E53EB6" w:rsidRPr="0071345C" w:rsidRDefault="006500F5">
      <w:pPr>
        <w:pStyle w:val="biblioGEN"/>
        <w:rPr>
          <w:lang w:val="it-IT"/>
        </w:rPr>
      </w:pPr>
      <w:r w:rsidRPr="0071345C">
        <w:rPr>
          <w:rFonts w:eastAsia="Arial Unicode MS" w:cs="Times Ext Roman"/>
          <w:lang w:val="it-IT"/>
        </w:rPr>
        <w:t xml:space="preserve">___. 1994. “La dénégation de la violence dans le sacrifice védique.” </w:t>
      </w:r>
      <w:r w:rsidRPr="0071345C">
        <w:rPr>
          <w:rFonts w:eastAsia="Arial Unicode MS" w:cs="Times Ext Roman"/>
          <w:i/>
          <w:iCs/>
          <w:lang w:val="it-IT"/>
        </w:rPr>
        <w:t xml:space="preserve">Gradhiva </w:t>
      </w:r>
      <w:r w:rsidRPr="0071345C">
        <w:rPr>
          <w:rFonts w:eastAsia="Arial Unicode MS" w:cs="Times Ext Roman"/>
          <w:lang w:val="it-IT"/>
        </w:rPr>
        <w:t>15: pp. 35-42.</w:t>
      </w:r>
    </w:p>
    <w:p w14:paraId="6D388F00" w14:textId="77777777" w:rsidR="00E53EB6" w:rsidRPr="0071345C" w:rsidRDefault="006500F5">
      <w:pPr>
        <w:pStyle w:val="biblioGEN"/>
        <w:rPr>
          <w:lang w:val="it-IT"/>
        </w:rPr>
      </w:pPr>
      <w:r w:rsidRPr="0071345C">
        <w:rPr>
          <w:rFonts w:eastAsia="Arial Unicode MS" w:cs="Times Ext Roman"/>
          <w:lang w:val="it-IT"/>
        </w:rPr>
        <w:t xml:space="preserve">___. </w:t>
      </w:r>
      <w:r w:rsidRPr="0071345C">
        <w:rPr>
          <w:rFonts w:eastAsia="Arial Unicode MS" w:cs="Times Ext Roman"/>
          <w:smallCaps/>
          <w:lang w:val="it-IT"/>
        </w:rPr>
        <w:t xml:space="preserve">2005. </w:t>
      </w:r>
      <w:r w:rsidRPr="0071345C">
        <w:rPr>
          <w:i/>
          <w:lang w:val="it-IT"/>
        </w:rPr>
        <w:t xml:space="preserve">La danse des pierres: Etudes sur la scène sacrificielle dans l'Inde ancienne. </w:t>
      </w:r>
      <w:r w:rsidRPr="0071345C">
        <w:rPr>
          <w:lang w:val="it-IT"/>
        </w:rPr>
        <w:t>Paris:</w:t>
      </w:r>
      <w:r w:rsidRPr="0071345C">
        <w:rPr>
          <w:lang w:val="it-IT"/>
        </w:rPr>
        <w:t xml:space="preserve"> Seuil.</w:t>
      </w:r>
    </w:p>
    <w:p w14:paraId="2DD2E485" w14:textId="77777777" w:rsidR="00E53EB6" w:rsidRDefault="006500F5">
      <w:pPr>
        <w:pStyle w:val="biblioGEN"/>
      </w:pPr>
      <w:r>
        <w:rPr>
          <w:rFonts w:eastAsia="Arial Unicode MS" w:cs="Times Ext Roman"/>
          <w:smallCaps/>
        </w:rPr>
        <w:t xml:space="preserve">Malandra, W. W.  1983. </w:t>
      </w:r>
      <w:r>
        <w:rPr>
          <w:rFonts w:eastAsia="Arial Unicode MS" w:cs="Times Ext Roman"/>
          <w:i/>
        </w:rPr>
        <w:t xml:space="preserve">An Introduction to Ancient Iranian Religion, Reading from the Avesta and Achaemenid Inscriptions. </w:t>
      </w:r>
      <w:r>
        <w:rPr>
          <w:rFonts w:eastAsia="Arial Unicode MS" w:cs="Times Ext Roman"/>
        </w:rPr>
        <w:t>Minneapolis: University of Minnesota Press.</w:t>
      </w:r>
    </w:p>
    <w:p w14:paraId="0E957CFD" w14:textId="77777777" w:rsidR="00E53EB6" w:rsidRDefault="006500F5">
      <w:pPr>
        <w:pStyle w:val="biblioGEN"/>
      </w:pPr>
      <w:r>
        <w:rPr>
          <w:rFonts w:eastAsia="Arial Unicode MS" w:cs="Times Ext Roman"/>
          <w:smallCaps/>
        </w:rPr>
        <w:t xml:space="preserve">Martinet, A. </w:t>
      </w:r>
      <w:r>
        <w:rPr>
          <w:rFonts w:eastAsia="Arial Unicode MS" w:cs="Times Ext Roman"/>
        </w:rPr>
        <w:t xml:space="preserve">1953 “Non-apophonic O-vocalism in Indo-European.” </w:t>
      </w:r>
      <w:r>
        <w:rPr>
          <w:rFonts w:eastAsia="Arial Unicode MS" w:cs="Times Ext Roman"/>
          <w:i/>
        </w:rPr>
        <w:t>Word</w:t>
      </w:r>
      <w:r>
        <w:rPr>
          <w:rFonts w:eastAsia="Arial Unicode MS" w:cs="Times Ext Roman"/>
        </w:rPr>
        <w:t xml:space="preserve"> IX: pp. 253-267.</w:t>
      </w:r>
    </w:p>
    <w:p w14:paraId="17E8B201" w14:textId="77777777" w:rsidR="00E53EB6" w:rsidRPr="0071345C" w:rsidRDefault="006500F5">
      <w:pPr>
        <w:pStyle w:val="biblioGEN"/>
        <w:rPr>
          <w:lang w:val="de-DE"/>
        </w:rPr>
      </w:pPr>
      <w:r>
        <w:rPr>
          <w:rFonts w:eastAsia="Arial Unicode MS" w:cs="Times Ext Roman"/>
          <w:smallCaps/>
        </w:rPr>
        <w:t>Mayrho</w:t>
      </w:r>
      <w:r>
        <w:rPr>
          <w:rFonts w:eastAsia="Arial Unicode MS" w:cs="Times Ext Roman"/>
          <w:smallCaps/>
        </w:rPr>
        <w:t xml:space="preserve">fer, M. KEWA. </w:t>
      </w:r>
      <w:r>
        <w:rPr>
          <w:rFonts w:eastAsia="Arial Unicode MS" w:cs="Times Ext Roman"/>
        </w:rPr>
        <w:t xml:space="preserve">1956-1980. </w:t>
      </w:r>
      <w:r w:rsidRPr="0071345C">
        <w:rPr>
          <w:rFonts w:eastAsia="Arial Unicode MS" w:cs="Times Ext Roman"/>
          <w:i/>
          <w:lang w:val="de-DE"/>
        </w:rPr>
        <w:t>Kurzgefasstes etymologisches Wörterbuch des Altindischen.</w:t>
      </w:r>
      <w:r w:rsidRPr="0071345C">
        <w:rPr>
          <w:rFonts w:eastAsia="Arial Unicode MS" w:cs="Times Ext Roman"/>
          <w:lang w:val="de-DE"/>
        </w:rPr>
        <w:t xml:space="preserve"> 3 Vols. Heidelberg: Winter.</w:t>
      </w:r>
      <w:r w:rsidRPr="0071345C">
        <w:rPr>
          <w:rFonts w:eastAsia="Arial Unicode MS" w:cs="Times Ext Roman"/>
          <w:smallCaps/>
          <w:lang w:val="de-DE"/>
        </w:rPr>
        <w:t xml:space="preserve">                                                                                        </w:t>
      </w:r>
    </w:p>
    <w:p w14:paraId="55019DC3" w14:textId="77777777" w:rsidR="00E53EB6" w:rsidRPr="0071345C" w:rsidRDefault="006500F5">
      <w:pPr>
        <w:pStyle w:val="biblioGEN"/>
        <w:rPr>
          <w:lang w:val="de-DE"/>
        </w:rPr>
      </w:pPr>
      <w:r w:rsidRPr="0071345C">
        <w:rPr>
          <w:rFonts w:eastAsia="Arial Unicode MS" w:cs="Times Ext Roman"/>
          <w:lang w:val="de-DE"/>
        </w:rPr>
        <w:t>___. EWAia. 1992-1996</w:t>
      </w:r>
      <w:r w:rsidRPr="0071345C">
        <w:rPr>
          <w:rFonts w:eastAsia="Arial Unicode MS" w:cs="Times Ext Roman"/>
          <w:i/>
          <w:lang w:val="de-DE"/>
        </w:rPr>
        <w:t>. Etymologisches Wörterbuch des Alti</w:t>
      </w:r>
      <w:r w:rsidRPr="0071345C">
        <w:rPr>
          <w:rFonts w:eastAsia="Arial Unicode MS" w:cs="Times Ext Roman"/>
          <w:i/>
          <w:lang w:val="de-DE"/>
        </w:rPr>
        <w:t xml:space="preserve">ndoarischen. </w:t>
      </w:r>
      <w:r w:rsidRPr="0071345C">
        <w:rPr>
          <w:rFonts w:eastAsia="Arial Unicode MS" w:cs="Times Ext Roman"/>
          <w:lang w:val="de-DE"/>
        </w:rPr>
        <w:t xml:space="preserve">3 Vols. Heidelberg: </w:t>
      </w:r>
      <w:r w:rsidRPr="0071345C">
        <w:rPr>
          <w:rFonts w:eastAsia="Arial Unicode MS" w:cs="Times Ext Roman"/>
          <w:lang w:val="de-DE"/>
        </w:rPr>
        <w:t xml:space="preserve">Winter. </w:t>
      </w:r>
    </w:p>
    <w:p w14:paraId="3A0E3408" w14:textId="77777777" w:rsidR="00E53EB6" w:rsidRPr="0071345C" w:rsidRDefault="006500F5">
      <w:pPr>
        <w:pStyle w:val="biblioGEN"/>
        <w:rPr>
          <w:lang w:val="de-DE"/>
        </w:rPr>
      </w:pPr>
      <w:r w:rsidRPr="0071345C">
        <w:rPr>
          <w:rFonts w:eastAsia="Arial Unicode MS" w:cs="Times Ext Roman"/>
          <w:lang w:val="de-DE"/>
        </w:rPr>
        <w:t xml:space="preserve">___. 2003. </w:t>
      </w:r>
      <w:r w:rsidRPr="0071345C">
        <w:rPr>
          <w:rFonts w:eastAsia="Arial Unicode MS" w:cs="Times Ext Roman"/>
          <w:i/>
          <w:iCs/>
          <w:lang w:val="de-DE"/>
        </w:rPr>
        <w:t>Die Personennamen in der R̥gveda-Sa</w:t>
      </w:r>
      <w:r w:rsidRPr="0071345C">
        <w:rPr>
          <w:rFonts w:eastAsia="Arial Unicode MS" w:cs="Times Ext Roman"/>
          <w:i/>
          <w:iCs/>
          <w:lang w:val="de-DE"/>
        </w:rPr>
        <w:t>ṃ</w:t>
      </w:r>
      <w:r w:rsidRPr="0071345C">
        <w:rPr>
          <w:rFonts w:eastAsia="Arial Unicode MS" w:cs="Times Ext Roman"/>
          <w:i/>
          <w:iCs/>
          <w:lang w:val="de-DE"/>
        </w:rPr>
        <w:t xml:space="preserve">hitā. Sicheres und Zweifelhaftes. </w:t>
      </w:r>
      <w:r w:rsidRPr="0071345C">
        <w:rPr>
          <w:rFonts w:eastAsia="Arial Unicode MS" w:cs="Times Ext Roman"/>
          <w:lang w:val="de-DE"/>
        </w:rPr>
        <w:t>München: Bayerischen Akademie der Wissenschaften.</w:t>
      </w:r>
    </w:p>
    <w:p w14:paraId="4DEEE9DA" w14:textId="77777777" w:rsidR="00E53EB6" w:rsidRPr="0071345C" w:rsidRDefault="006500F5">
      <w:pPr>
        <w:pStyle w:val="biblioGEN"/>
        <w:rPr>
          <w:lang w:val="de-DE"/>
        </w:rPr>
      </w:pPr>
      <w:r w:rsidRPr="0071345C">
        <w:rPr>
          <w:rFonts w:eastAsia="Arial Unicode MS" w:cs="Times Ext Roman"/>
          <w:lang w:val="de-DE"/>
        </w:rPr>
        <w:t>___</w:t>
      </w:r>
      <w:r w:rsidRPr="0071345C">
        <w:rPr>
          <w:rFonts w:eastAsia="Arial Unicode MS" w:cs="Times Ext Roman"/>
          <w:i/>
          <w:lang w:val="de-DE"/>
        </w:rPr>
        <w:t xml:space="preserve">. </w:t>
      </w:r>
      <w:r w:rsidRPr="0071345C">
        <w:rPr>
          <w:rFonts w:eastAsia="Arial Unicode MS" w:cs="Times Ext Roman"/>
          <w:lang w:val="de-DE"/>
        </w:rPr>
        <w:t>2005</w:t>
      </w:r>
      <w:r w:rsidRPr="0071345C">
        <w:rPr>
          <w:rFonts w:eastAsia="Arial Unicode MS" w:cs="Times Ext Roman"/>
          <w:i/>
          <w:lang w:val="de-DE"/>
        </w:rPr>
        <w:t>.</w:t>
      </w:r>
      <w:r w:rsidRPr="0071345C">
        <w:rPr>
          <w:rFonts w:eastAsia="Arial Unicode MS"/>
          <w:i/>
          <w:lang w:val="de-DE"/>
        </w:rPr>
        <w:t xml:space="preserve"> Die Fortsetzung der indogermanischen Laryngale im Indo-Iranischen.</w:t>
      </w:r>
      <w:r w:rsidRPr="0071345C">
        <w:rPr>
          <w:rFonts w:eastAsia="Arial Unicode MS"/>
          <w:lang w:val="de-DE"/>
        </w:rPr>
        <w:t xml:space="preserve"> Wien:</w:t>
      </w:r>
      <w:r w:rsidRPr="0071345C">
        <w:rPr>
          <w:rFonts w:eastAsia="Arial Unicode MS"/>
          <w:lang w:val="de-DE"/>
        </w:rPr>
        <w:t xml:space="preserve">   Österreichischen Akademie der Wissenschaft.</w:t>
      </w:r>
    </w:p>
    <w:p w14:paraId="618E2CF4" w14:textId="77777777" w:rsidR="00E53EB6" w:rsidRPr="0071345C" w:rsidRDefault="006500F5">
      <w:pPr>
        <w:pStyle w:val="biblioGEN"/>
        <w:rPr>
          <w:lang w:val="de-DE"/>
        </w:rPr>
      </w:pPr>
      <w:r w:rsidRPr="0071345C">
        <w:rPr>
          <w:rFonts w:eastAsia="Arial Unicode MS" w:cs="Times Ext Roman"/>
          <w:smallCaps/>
          <w:lang w:val="de-DE"/>
        </w:rPr>
        <w:t>Meillet, A. 1896. “</w:t>
      </w:r>
      <w:r w:rsidRPr="0071345C">
        <w:rPr>
          <w:rFonts w:eastAsia="Arial Unicode MS" w:cs="Times Ext Roman"/>
          <w:lang w:val="de-DE"/>
        </w:rPr>
        <w:t xml:space="preserve">Latin vēnārī.” </w:t>
      </w:r>
      <w:r w:rsidRPr="0071345C">
        <w:rPr>
          <w:rFonts w:eastAsia="Arial Unicode MS" w:cs="Times Ext Roman"/>
          <w:i/>
          <w:lang w:val="de-DE"/>
        </w:rPr>
        <w:t>Memoires de la Société de Linguistique de Paris</w:t>
      </w:r>
      <w:r w:rsidRPr="0071345C">
        <w:rPr>
          <w:rFonts w:eastAsia="Arial Unicode MS" w:cs="Times Ext Roman"/>
          <w:lang w:val="de-DE"/>
        </w:rPr>
        <w:t xml:space="preserve"> 9: pp.55-57.</w:t>
      </w:r>
    </w:p>
    <w:p w14:paraId="265F87E6" w14:textId="77777777" w:rsidR="00E53EB6" w:rsidRPr="0071345C" w:rsidRDefault="006500F5">
      <w:pPr>
        <w:pStyle w:val="biblioGEN"/>
        <w:rPr>
          <w:lang w:val="de-DE"/>
        </w:rPr>
      </w:pPr>
      <w:r w:rsidRPr="0071345C">
        <w:rPr>
          <w:rFonts w:eastAsia="Arial Unicode MS" w:cs="Times Ext Roman"/>
          <w:smallCaps/>
          <w:lang w:val="de-DE"/>
        </w:rPr>
        <w:t>Meringer, R. 1904. “</w:t>
      </w:r>
      <w:r w:rsidRPr="0071345C">
        <w:rPr>
          <w:rFonts w:eastAsia="Arial Unicode MS" w:cs="Times Ext Roman"/>
          <w:lang w:val="de-DE"/>
        </w:rPr>
        <w:t xml:space="preserve">Wörter und Sachen.” </w:t>
      </w:r>
      <w:r w:rsidRPr="0071345C">
        <w:rPr>
          <w:rFonts w:eastAsia="Arial Unicode MS" w:cs="Times Ext Roman"/>
          <w:i/>
          <w:lang w:val="de-DE"/>
        </w:rPr>
        <w:t>Indogermanische Forschungen</w:t>
      </w:r>
      <w:r w:rsidRPr="0071345C">
        <w:rPr>
          <w:rFonts w:eastAsia="Arial Unicode MS" w:cs="Times Ext Roman"/>
          <w:lang w:val="de-DE"/>
        </w:rPr>
        <w:t xml:space="preserve"> 16: pp. 101-196.</w:t>
      </w:r>
    </w:p>
    <w:p w14:paraId="39ED54AD" w14:textId="77777777" w:rsidR="00E53EB6" w:rsidRPr="0071345C" w:rsidRDefault="006500F5">
      <w:pPr>
        <w:pStyle w:val="biblioGEN"/>
        <w:rPr>
          <w:lang w:val="it-IT"/>
        </w:rPr>
      </w:pPr>
      <w:r w:rsidRPr="0071345C">
        <w:rPr>
          <w:rFonts w:eastAsia="Arial Unicode MS" w:cs="Times Ext Roman"/>
          <w:smallCaps/>
          <w:lang w:val="de-DE"/>
        </w:rPr>
        <w:t xml:space="preserve">Mills, L. H. (1887) 1967 .  </w:t>
      </w:r>
      <w:r>
        <w:rPr>
          <w:rFonts w:eastAsia="Arial Unicode MS" w:cs="Times Ext Roman"/>
          <w:i/>
        </w:rPr>
        <w:t xml:space="preserve">The Zend Avesta part III. </w:t>
      </w:r>
      <w:r w:rsidRPr="0071345C">
        <w:rPr>
          <w:rFonts w:eastAsia="Arial Unicode MS" w:cs="Times Ext Roman"/>
          <w:lang w:val="it-IT"/>
        </w:rPr>
        <w:t>Delhi: Motilal Banarsidass.</w:t>
      </w:r>
    </w:p>
    <w:p w14:paraId="60D64DAF" w14:textId="77777777" w:rsidR="00E53EB6" w:rsidRPr="0071345C" w:rsidRDefault="006500F5">
      <w:pPr>
        <w:pStyle w:val="biblioGEN"/>
        <w:rPr>
          <w:lang w:val="de-DE"/>
        </w:rPr>
      </w:pPr>
      <w:r w:rsidRPr="0071345C">
        <w:rPr>
          <w:rFonts w:eastAsia="Arial Unicode MS" w:cs="Times Ext Roman"/>
          <w:smallCaps/>
          <w:lang w:val="it-IT"/>
        </w:rPr>
        <w:t xml:space="preserve">Migron, S. 1980. </w:t>
      </w:r>
      <w:r>
        <w:rPr>
          <w:rFonts w:eastAsia="Arial Unicode MS" w:cs="Times Ext Roman"/>
          <w:smallCaps/>
        </w:rPr>
        <w:t>“</w:t>
      </w:r>
      <w:r>
        <w:rPr>
          <w:rFonts w:eastAsia="Arial Unicode MS" w:cs="Times Ext Roman"/>
        </w:rPr>
        <w:t>Ṛ</w:t>
      </w:r>
      <w:r>
        <w:rPr>
          <w:rFonts w:eastAsia="Arial Unicode MS" w:cs="Times Ext Roman"/>
        </w:rPr>
        <w:t xml:space="preserve">gvedic van-: an old hunting term?” </w:t>
      </w:r>
      <w:r w:rsidRPr="0071345C">
        <w:rPr>
          <w:rFonts w:eastAsia="Arial Unicode MS" w:cs="Times Ext Roman"/>
          <w:i/>
          <w:lang w:val="de-DE"/>
        </w:rPr>
        <w:t>Indo-Iranian Journal</w:t>
      </w:r>
      <w:r w:rsidRPr="0071345C">
        <w:rPr>
          <w:rFonts w:eastAsia="Arial Unicode MS" w:cs="Times Ext Roman"/>
          <w:lang w:val="de-DE"/>
        </w:rPr>
        <w:t xml:space="preserve"> 22: pp. 269-282.</w:t>
      </w:r>
    </w:p>
    <w:p w14:paraId="186F0E70" w14:textId="77777777" w:rsidR="00E53EB6" w:rsidRPr="0071345C" w:rsidRDefault="006500F5">
      <w:pPr>
        <w:pStyle w:val="biblioGEN"/>
        <w:rPr>
          <w:lang w:val="de-DE"/>
        </w:rPr>
      </w:pPr>
      <w:r w:rsidRPr="0071345C">
        <w:rPr>
          <w:rStyle w:val="biblio-authorGEN"/>
          <w:lang w:val="de-DE"/>
        </w:rPr>
        <w:t xml:space="preserve">Mylius, K. </w:t>
      </w:r>
      <w:r w:rsidRPr="0071345C">
        <w:rPr>
          <w:rFonts w:eastAsia="Arial Unicode MS" w:cs="Times Ext Roman"/>
          <w:lang w:val="de-DE"/>
        </w:rPr>
        <w:t xml:space="preserve">1995. </w:t>
      </w:r>
      <w:r w:rsidRPr="0071345C">
        <w:rPr>
          <w:rFonts w:eastAsia="Arial Unicode MS" w:cs="Times Ext Roman"/>
          <w:i/>
          <w:iCs/>
          <w:lang w:val="de-DE"/>
        </w:rPr>
        <w:t>Wörterbuch des altindischen Rituals : mit einer Übersicht über da</w:t>
      </w:r>
      <w:r w:rsidRPr="0071345C">
        <w:rPr>
          <w:rFonts w:eastAsia="Arial Unicode MS" w:cs="Times Ext Roman"/>
          <w:i/>
          <w:iCs/>
          <w:lang w:val="de-DE"/>
        </w:rPr>
        <w:t xml:space="preserve">s altindische </w:t>
      </w:r>
      <w:r w:rsidRPr="0071345C">
        <w:rPr>
          <w:rFonts w:eastAsia="Arial Unicode MS" w:cs="Times Ext Roman"/>
          <w:i/>
          <w:iCs/>
          <w:lang w:val="de-DE"/>
        </w:rPr>
        <w:lastRenderedPageBreak/>
        <w:t xml:space="preserve">Opferritual und einem Plan der Opferstätte. </w:t>
      </w:r>
      <w:r w:rsidRPr="0071345C">
        <w:rPr>
          <w:rFonts w:eastAsia="Arial Unicode MS" w:cs="Times Ext Roman"/>
          <w:lang w:val="de-DE"/>
        </w:rPr>
        <w:t>Wichtrach:</w:t>
      </w:r>
      <w:r w:rsidRPr="0071345C">
        <w:rPr>
          <w:rFonts w:eastAsia="Arial Unicode MS" w:cs="Times Ext Roman"/>
          <w:i/>
          <w:iCs/>
          <w:lang w:val="de-DE"/>
        </w:rPr>
        <w:t xml:space="preserve"> </w:t>
      </w:r>
      <w:r w:rsidRPr="0071345C">
        <w:rPr>
          <w:rFonts w:eastAsia="Arial Unicode MS" w:cs="Times Ext Roman"/>
          <w:lang w:val="de-DE"/>
        </w:rPr>
        <w:t xml:space="preserve">Institut für Indologie. </w:t>
      </w:r>
    </w:p>
    <w:p w14:paraId="7789ACAF" w14:textId="77777777" w:rsidR="00E53EB6" w:rsidRPr="0071345C" w:rsidRDefault="006500F5">
      <w:pPr>
        <w:pStyle w:val="biblioGEN"/>
        <w:rPr>
          <w:lang w:val="de-DE"/>
        </w:rPr>
      </w:pPr>
      <w:r w:rsidRPr="0071345C">
        <w:rPr>
          <w:rFonts w:eastAsia="Arial Unicode MS" w:cs="Times Ext Roman"/>
          <w:smallCaps/>
          <w:lang w:val="de-DE"/>
        </w:rPr>
        <w:t xml:space="preserve">Møller, H. 1906. </w:t>
      </w:r>
      <w:r w:rsidRPr="0071345C">
        <w:rPr>
          <w:rFonts w:eastAsia="Arial Unicode MS" w:cs="Times Ext Roman"/>
          <w:i/>
          <w:lang w:val="de-DE"/>
        </w:rPr>
        <w:t>Semitisch und indogermanisch.</w:t>
      </w:r>
      <w:r w:rsidRPr="0071345C">
        <w:rPr>
          <w:rFonts w:eastAsia="Arial Unicode MS" w:cs="Times Ext Roman"/>
          <w:lang w:val="de-DE"/>
        </w:rPr>
        <w:t xml:space="preserve"> Teil 1. Copenhagen: H. Hagerup.</w:t>
      </w:r>
    </w:p>
    <w:p w14:paraId="77B2B925" w14:textId="77777777" w:rsidR="00E53EB6" w:rsidRPr="0071345C" w:rsidRDefault="006500F5">
      <w:pPr>
        <w:pStyle w:val="biblioGEN"/>
        <w:rPr>
          <w:lang w:val="de-DE"/>
        </w:rPr>
      </w:pPr>
      <w:r w:rsidRPr="0071345C">
        <w:rPr>
          <w:rStyle w:val="biblio-authorGEN"/>
          <w:rFonts w:eastAsia="Arial Unicode MS" w:cs="Times Ext Roman"/>
          <w:lang w:val="de-DE"/>
        </w:rPr>
        <w:t>Narten</w:t>
      </w:r>
      <w:r w:rsidRPr="0071345C">
        <w:rPr>
          <w:rFonts w:eastAsia="Arial Unicode MS" w:cs="Times Ext Roman"/>
          <w:lang w:val="de-DE"/>
        </w:rPr>
        <w:t xml:space="preserve">, J. 1963. “Ved. </w:t>
      </w:r>
      <w:r w:rsidRPr="0071345C">
        <w:rPr>
          <w:rFonts w:eastAsia="Arial Unicode MS" w:cs="Times Ext Roman"/>
          <w:i/>
          <w:iCs/>
          <w:lang w:val="de-DE"/>
        </w:rPr>
        <w:t>abhidā́sati.</w:t>
      </w:r>
      <w:r w:rsidRPr="0071345C">
        <w:rPr>
          <w:rFonts w:eastAsia="Arial Unicode MS" w:cs="Times Ext Roman"/>
          <w:lang w:val="de-DE"/>
        </w:rPr>
        <w:t>” Z</w:t>
      </w:r>
      <w:r w:rsidRPr="0071345C">
        <w:rPr>
          <w:rFonts w:eastAsia="Arial Unicode MS" w:cs="Times Ext Roman"/>
          <w:i/>
          <w:iCs/>
          <w:lang w:val="de-DE"/>
        </w:rPr>
        <w:t xml:space="preserve">eitschrift für Vergleichende Sprachforschung </w:t>
      </w:r>
      <w:r w:rsidRPr="0071345C">
        <w:rPr>
          <w:rFonts w:eastAsia="Arial Unicode MS" w:cs="Times Ext Roman"/>
          <w:lang w:val="de-DE"/>
        </w:rPr>
        <w:t>78: pp. 56-63.</w:t>
      </w:r>
    </w:p>
    <w:p w14:paraId="1E75BF26" w14:textId="77777777" w:rsidR="00E53EB6" w:rsidRPr="0071345C" w:rsidRDefault="006500F5">
      <w:pPr>
        <w:pStyle w:val="biblioGEN"/>
        <w:rPr>
          <w:lang w:val="de-DE"/>
        </w:rPr>
      </w:pPr>
      <w:r w:rsidRPr="0071345C">
        <w:rPr>
          <w:rFonts w:eastAsia="Arial Unicode MS" w:cs="Times Ext Roman"/>
          <w:lang w:val="de-DE"/>
        </w:rPr>
        <w:t xml:space="preserve">___. 1968. “Das Altindische Verb in der Sprachwissenschaft.” </w:t>
      </w:r>
      <w:r w:rsidRPr="0071345C">
        <w:rPr>
          <w:rFonts w:eastAsia="Arial Unicode MS" w:cs="Times Ext Roman"/>
          <w:i/>
          <w:iCs/>
          <w:lang w:val="de-DE"/>
        </w:rPr>
        <w:t>Die Sprache</w:t>
      </w:r>
      <w:r w:rsidRPr="0071345C">
        <w:rPr>
          <w:rFonts w:eastAsia="Arial Unicode MS" w:cs="Times Ext Roman"/>
          <w:lang w:val="de-DE"/>
        </w:rPr>
        <w:t xml:space="preserve"> 14: pp. 113-134.</w:t>
      </w:r>
    </w:p>
    <w:p w14:paraId="2632CE47" w14:textId="77777777" w:rsidR="00E53EB6" w:rsidRDefault="006500F5">
      <w:pPr>
        <w:pStyle w:val="biblioGEN"/>
      </w:pPr>
      <w:r w:rsidRPr="0071345C">
        <w:rPr>
          <w:rFonts w:eastAsia="Arial Unicode MS" w:cs="Times Ext Roman"/>
          <w:smallCaps/>
          <w:lang w:val="de-DE"/>
        </w:rPr>
        <w:t xml:space="preserve">Nowicki, H. </w:t>
      </w:r>
      <w:r w:rsidRPr="0071345C">
        <w:rPr>
          <w:rFonts w:eastAsia="Arial Unicode MS" w:cs="Times Ext Roman"/>
          <w:lang w:val="de-DE"/>
        </w:rPr>
        <w:t xml:space="preserve">1976. </w:t>
      </w:r>
      <w:r w:rsidRPr="0071345C">
        <w:rPr>
          <w:rFonts w:eastAsia="Arial Unicode MS" w:cs="Times Ext Roman"/>
          <w:i/>
          <w:lang w:val="de-DE"/>
        </w:rPr>
        <w:t xml:space="preserve">Die Neutralen S-stamme im Indoiranischen zweig Indogermanischen. </w:t>
      </w:r>
      <w:r>
        <w:rPr>
          <w:rFonts w:eastAsia="Arial Unicode MS" w:cs="Times Ext Roman"/>
        </w:rPr>
        <w:t xml:space="preserve">Würzburg: </w:t>
      </w:r>
      <w:r>
        <w:rPr>
          <w:rFonts w:eastAsia="Arial Unicode MS"/>
        </w:rPr>
        <w:t>Univ. Diss</w:t>
      </w:r>
      <w:r>
        <w:rPr>
          <w:rFonts w:eastAsia="Arial Unicode MS" w:cs="Times Ext Roman"/>
        </w:rPr>
        <w:t>.</w:t>
      </w:r>
    </w:p>
    <w:p w14:paraId="0620397C" w14:textId="77777777" w:rsidR="00E53EB6" w:rsidRPr="0071345C" w:rsidRDefault="006500F5">
      <w:pPr>
        <w:pStyle w:val="biblioGEN"/>
        <w:rPr>
          <w:lang w:val="it-IT"/>
        </w:rPr>
      </w:pPr>
      <w:r w:rsidRPr="0071345C">
        <w:rPr>
          <w:rStyle w:val="biblio-authorGEN"/>
          <w:rFonts w:eastAsia="Arial Unicode MS" w:cs="Times Ext Roman"/>
          <w:lang w:val="de-DE"/>
        </w:rPr>
        <w:t>Oberlies, T.</w:t>
      </w:r>
      <w:r w:rsidRPr="0071345C">
        <w:rPr>
          <w:rFonts w:eastAsia="Arial Unicode MS" w:cs="Times Ext Roman"/>
          <w:lang w:val="de-DE"/>
        </w:rPr>
        <w:t xml:space="preserve"> 1998. </w:t>
      </w:r>
      <w:r w:rsidRPr="0071345C">
        <w:rPr>
          <w:rFonts w:eastAsia="Arial Unicode MS" w:cs="Times Ext Roman"/>
          <w:i/>
          <w:iCs/>
          <w:lang w:val="de-DE"/>
        </w:rPr>
        <w:t>Die Religion des R̥gveda.</w:t>
      </w:r>
      <w:r w:rsidRPr="0071345C">
        <w:rPr>
          <w:rFonts w:eastAsia="Arial Unicode MS" w:cs="Times Ext Roman"/>
          <w:lang w:val="de-DE"/>
        </w:rPr>
        <w:t xml:space="preserve"> </w:t>
      </w:r>
      <w:r w:rsidRPr="0071345C">
        <w:rPr>
          <w:rFonts w:eastAsia="Arial Unicode MS" w:cs="Times Ext Roman"/>
          <w:i/>
          <w:iCs/>
          <w:lang w:val="de-DE"/>
        </w:rPr>
        <w:t>1</w:t>
      </w:r>
      <w:r w:rsidRPr="0071345C">
        <w:rPr>
          <w:rFonts w:eastAsia="Arial Unicode MS" w:cs="Times Ext Roman"/>
          <w:i/>
          <w:iCs/>
          <w:lang w:val="de-DE"/>
        </w:rPr>
        <w:t>: Das Religiöse System des R̥gveda.</w:t>
      </w:r>
      <w:r w:rsidRPr="0071345C">
        <w:rPr>
          <w:rFonts w:eastAsia="Arial Unicode MS" w:cs="Times Ext Roman"/>
          <w:lang w:val="de-DE"/>
        </w:rPr>
        <w:t xml:space="preserve"> </w:t>
      </w:r>
      <w:r w:rsidRPr="0071345C">
        <w:rPr>
          <w:rFonts w:eastAsia="Arial Unicode MS" w:cs="Times Ext Roman"/>
          <w:lang w:val="it-IT"/>
        </w:rPr>
        <w:t>Wien: Gerold.</w:t>
      </w:r>
    </w:p>
    <w:p w14:paraId="1D4A0CA9" w14:textId="77777777" w:rsidR="00E53EB6" w:rsidRPr="0071345C" w:rsidRDefault="006500F5">
      <w:pPr>
        <w:pStyle w:val="biblioGEN"/>
        <w:rPr>
          <w:lang w:val="de-DE"/>
        </w:rPr>
      </w:pPr>
      <w:r w:rsidRPr="0071345C">
        <w:rPr>
          <w:rStyle w:val="biblio-authorGEN"/>
          <w:lang w:val="it-IT"/>
        </w:rPr>
        <w:t xml:space="preserve">Oguibenine, B. </w:t>
      </w:r>
      <w:r w:rsidRPr="0071345C">
        <w:rPr>
          <w:rFonts w:eastAsia="Arial Unicode MS"/>
          <w:lang w:val="it-IT"/>
        </w:rPr>
        <w:t>1988</w:t>
      </w:r>
      <w:r w:rsidRPr="0071345C">
        <w:rPr>
          <w:rFonts w:eastAsia="Arial Unicode MS" w:cs="Times Ext Roman"/>
          <w:lang w:val="it-IT"/>
        </w:rPr>
        <w:t xml:space="preserve">. </w:t>
      </w:r>
      <w:r w:rsidRPr="0071345C">
        <w:rPr>
          <w:rFonts w:eastAsia="Arial Unicode MS" w:cs="Times Ext Roman"/>
          <w:i/>
          <w:lang w:val="it-IT"/>
        </w:rPr>
        <w:t>La déesse U</w:t>
      </w:r>
      <w:r w:rsidRPr="0071345C">
        <w:rPr>
          <w:rFonts w:eastAsia="Arial Unicode MS" w:cs="Times Ext Roman"/>
          <w:i/>
          <w:lang w:val="it-IT"/>
        </w:rPr>
        <w:t>ṣ</w:t>
      </w:r>
      <w:r w:rsidRPr="0071345C">
        <w:rPr>
          <w:rFonts w:eastAsia="Arial Unicode MS" w:cs="Times Ext Roman"/>
          <w:i/>
          <w:lang w:val="it-IT"/>
        </w:rPr>
        <w:t>as,</w:t>
      </w:r>
      <w:r w:rsidRPr="0071345C">
        <w:rPr>
          <w:rFonts w:eastAsia="Arial Unicode MS"/>
          <w:lang w:val="it-IT"/>
        </w:rPr>
        <w:t xml:space="preserve"> </w:t>
      </w:r>
      <w:r w:rsidRPr="0071345C">
        <w:rPr>
          <w:rFonts w:eastAsia="Arial Unicode MS"/>
          <w:i/>
          <w:lang w:val="it-IT"/>
        </w:rPr>
        <w:t>recherches sur le sacrifice de la parole dans le Rgveda.</w:t>
      </w:r>
      <w:r w:rsidRPr="0071345C">
        <w:rPr>
          <w:rFonts w:eastAsia="Arial Unicode MS"/>
          <w:lang w:val="it-IT"/>
        </w:rPr>
        <w:t xml:space="preserve"> </w:t>
      </w:r>
      <w:r w:rsidRPr="0071345C">
        <w:rPr>
          <w:rFonts w:eastAsia="Arial Unicode MS"/>
          <w:lang w:val="de-DE"/>
        </w:rPr>
        <w:t xml:space="preserve">Louvain: Peeters. </w:t>
      </w:r>
    </w:p>
    <w:p w14:paraId="3CD4753A" w14:textId="77777777" w:rsidR="00E53EB6" w:rsidRPr="0071345C" w:rsidRDefault="006500F5">
      <w:pPr>
        <w:pStyle w:val="biblioGEN"/>
        <w:rPr>
          <w:lang w:val="de-DE"/>
        </w:rPr>
      </w:pPr>
      <w:r w:rsidRPr="0071345C">
        <w:rPr>
          <w:rStyle w:val="biblio-authorGEN"/>
          <w:lang w:val="de-DE"/>
        </w:rPr>
        <w:t>Oldenberg</w:t>
      </w:r>
      <w:r w:rsidRPr="0071345C">
        <w:rPr>
          <w:lang w:val="de-DE"/>
        </w:rPr>
        <w:t xml:space="preserve">, H. </w:t>
      </w:r>
      <w:r w:rsidRPr="0071345C">
        <w:rPr>
          <w:rFonts w:eastAsia="Arial Unicode MS"/>
          <w:lang w:val="de-DE" w:eastAsia="en-GB" w:bidi="en-GB"/>
        </w:rPr>
        <w:t xml:space="preserve">1888. </w:t>
      </w:r>
      <w:r w:rsidRPr="0071345C">
        <w:rPr>
          <w:rFonts w:eastAsia="Arial Unicode MS"/>
          <w:lang w:val="de-DE"/>
        </w:rPr>
        <w:t>“</w:t>
      </w:r>
      <w:r w:rsidRPr="0071345C">
        <w:rPr>
          <w:rFonts w:eastAsia="Arial Unicode MS"/>
          <w:lang w:val="de-DE" w:eastAsia="en-GB" w:bidi="en-GB"/>
        </w:rPr>
        <w:t xml:space="preserve">Über die Liederverfasser des </w:t>
      </w:r>
      <w:r w:rsidRPr="0071345C">
        <w:rPr>
          <w:rFonts w:eastAsia="Arial Unicode MS"/>
          <w:lang w:val="de-DE" w:eastAsia="en-GB" w:bidi="en-GB"/>
        </w:rPr>
        <w:t>Ṛ</w:t>
      </w:r>
      <w:r w:rsidRPr="0071345C">
        <w:rPr>
          <w:rFonts w:eastAsia="Arial Unicode MS"/>
          <w:lang w:val="de-DE" w:eastAsia="en-GB" w:bidi="en-GB"/>
        </w:rPr>
        <w:t>gveda. Nebst Bemerkungen über die vedische</w:t>
      </w:r>
      <w:r w:rsidRPr="0071345C">
        <w:rPr>
          <w:rFonts w:eastAsia="Arial Unicode MS"/>
          <w:lang w:val="de-DE" w:eastAsia="en-GB" w:bidi="en-GB"/>
        </w:rPr>
        <w:t xml:space="preserve"> Chronologie und über die Geschichte des Rituals.</w:t>
      </w:r>
      <w:r w:rsidRPr="0071345C">
        <w:rPr>
          <w:rFonts w:eastAsia="Arial Unicode MS"/>
          <w:lang w:val="de-DE"/>
        </w:rPr>
        <w:t>”</w:t>
      </w:r>
      <w:r w:rsidRPr="0071345C">
        <w:rPr>
          <w:rFonts w:eastAsia="Arial Unicode MS"/>
          <w:lang w:val="de-DE" w:eastAsia="en-GB" w:bidi="en-GB"/>
        </w:rPr>
        <w:t xml:space="preserve"> </w:t>
      </w:r>
      <w:r w:rsidRPr="0071345C">
        <w:rPr>
          <w:rFonts w:eastAsia="Arial Unicode MS"/>
          <w:i/>
          <w:iCs/>
          <w:lang w:val="de-DE"/>
        </w:rPr>
        <w:t>Zeitschrift der Deutschen Morgenländischen Gesellschaft</w:t>
      </w:r>
      <w:r w:rsidRPr="0071345C">
        <w:rPr>
          <w:rFonts w:eastAsia="Arial Unicode MS"/>
          <w:lang w:val="de-DE" w:eastAsia="en-GB" w:bidi="en-GB"/>
        </w:rPr>
        <w:t xml:space="preserve"> 42:  pp.199-247.</w:t>
      </w:r>
    </w:p>
    <w:p w14:paraId="3DA21700" w14:textId="77777777" w:rsidR="00E53EB6" w:rsidRPr="0071345C" w:rsidRDefault="006500F5">
      <w:pPr>
        <w:pStyle w:val="biblioGEN"/>
        <w:rPr>
          <w:lang w:val="de-DE"/>
        </w:rPr>
      </w:pPr>
      <w:r w:rsidRPr="0071345C">
        <w:rPr>
          <w:rFonts w:eastAsia="Arial Unicode MS"/>
          <w:lang w:val="de-DE"/>
        </w:rPr>
        <w:t xml:space="preserve">___. 1894. </w:t>
      </w:r>
      <w:r w:rsidRPr="0071345C">
        <w:rPr>
          <w:rFonts w:eastAsia="Arial Unicode MS"/>
          <w:i/>
          <w:lang w:val="de-DE"/>
        </w:rPr>
        <w:t xml:space="preserve">Die Religion des Veda. </w:t>
      </w:r>
      <w:r w:rsidRPr="0071345C">
        <w:rPr>
          <w:rFonts w:eastAsia="Arial Unicode MS"/>
          <w:lang w:val="de-DE"/>
        </w:rPr>
        <w:t>Berlin: Hertz.</w:t>
      </w:r>
      <w:r w:rsidRPr="0071345C">
        <w:rPr>
          <w:rFonts w:eastAsia="Arial Unicode MS"/>
          <w:lang w:val="de-DE"/>
        </w:rPr>
        <w:t xml:space="preserve"> </w:t>
      </w:r>
    </w:p>
    <w:p w14:paraId="0E59282E" w14:textId="77777777" w:rsidR="00E53EB6" w:rsidRPr="0071345C" w:rsidRDefault="006500F5">
      <w:pPr>
        <w:pStyle w:val="biblioGEN"/>
        <w:rPr>
          <w:lang w:val="de-DE"/>
        </w:rPr>
      </w:pPr>
      <w:r w:rsidRPr="0071345C">
        <w:rPr>
          <w:rFonts w:eastAsia="Arial Unicode MS" w:cs="Times Ext Roman"/>
          <w:lang w:val="de-DE"/>
        </w:rPr>
        <w:t xml:space="preserve">___.1896. “Vedische Untersuchungen.” </w:t>
      </w:r>
      <w:r w:rsidRPr="0071345C">
        <w:rPr>
          <w:rFonts w:eastAsia="Arial Unicode MS" w:cs="Times Ext Roman"/>
          <w:i/>
          <w:lang w:val="de-DE"/>
        </w:rPr>
        <w:t xml:space="preserve">Zeitschrift der Deutschen </w:t>
      </w:r>
      <w:r w:rsidRPr="0071345C">
        <w:rPr>
          <w:rFonts w:eastAsia="Arial Unicode MS" w:cs="Times Ext Roman"/>
          <w:i/>
          <w:lang w:val="de-DE"/>
        </w:rPr>
        <w:t>Morgenländischen Gesellschaft</w:t>
      </w:r>
      <w:r w:rsidRPr="0071345C">
        <w:rPr>
          <w:rFonts w:eastAsia="Arial Unicode MS" w:cs="Times Ext Roman"/>
          <w:lang w:val="de-DE"/>
        </w:rPr>
        <w:t xml:space="preserve"> 50:  pp.423-462. </w:t>
      </w:r>
    </w:p>
    <w:p w14:paraId="0D6723A3" w14:textId="77777777" w:rsidR="00E53EB6" w:rsidRPr="0071345C" w:rsidRDefault="006500F5">
      <w:pPr>
        <w:pStyle w:val="biblioGEN"/>
        <w:rPr>
          <w:lang w:val="de-DE"/>
        </w:rPr>
      </w:pPr>
      <w:r w:rsidRPr="0071345C">
        <w:rPr>
          <w:rFonts w:eastAsia="Arial Unicode MS" w:cs="Times Ext Roman"/>
          <w:lang w:val="de-DE"/>
        </w:rPr>
        <w:t>___. 1900. “Vedische Untersuchungen.</w:t>
      </w:r>
      <w:r w:rsidRPr="0071345C">
        <w:rPr>
          <w:rFonts w:eastAsia="Arial Unicode MS" w:cs="Times Ext Roman"/>
          <w:i/>
          <w:lang w:val="de-DE"/>
        </w:rPr>
        <w:t>”</w:t>
      </w:r>
      <w:r w:rsidRPr="0071345C">
        <w:rPr>
          <w:rFonts w:eastAsia="Arial Unicode MS" w:cs="Times Ext Roman"/>
          <w:lang w:val="de-DE"/>
        </w:rPr>
        <w:t xml:space="preserve"> </w:t>
      </w:r>
      <w:r w:rsidRPr="0071345C">
        <w:rPr>
          <w:rFonts w:eastAsia="Arial Unicode MS" w:cs="Times Ext Roman"/>
          <w:i/>
          <w:lang w:val="de-DE"/>
        </w:rPr>
        <w:t>Zeitschrift der Deutschen Morgenländischen Gesellschaft</w:t>
      </w:r>
      <w:r w:rsidRPr="0071345C">
        <w:rPr>
          <w:rFonts w:eastAsia="Arial Unicode MS" w:cs="Times Ext Roman"/>
          <w:lang w:val="de-DE"/>
        </w:rPr>
        <w:t xml:space="preserve"> 54: pp. 167-194; pp. 599- 611. </w:t>
      </w:r>
    </w:p>
    <w:p w14:paraId="48CEDD29" w14:textId="77777777" w:rsidR="00E53EB6" w:rsidRPr="0071345C" w:rsidRDefault="006500F5">
      <w:pPr>
        <w:pStyle w:val="biblioGEN"/>
        <w:rPr>
          <w:lang w:val="de-DE"/>
        </w:rPr>
      </w:pPr>
      <w:r w:rsidRPr="0071345C">
        <w:rPr>
          <w:rFonts w:eastAsia="Arial Unicode MS" w:cs="Times Ext Roman"/>
          <w:lang w:val="de-DE"/>
        </w:rPr>
        <w:t>___. 1901. “</w:t>
      </w:r>
      <w:r w:rsidRPr="0071345C">
        <w:rPr>
          <w:rFonts w:eastAsia="Arial Unicode MS" w:cs="Times Ext Roman"/>
          <w:lang w:val="de-DE"/>
        </w:rPr>
        <w:t>Ṛ</w:t>
      </w:r>
      <w:r w:rsidRPr="0071345C">
        <w:rPr>
          <w:rFonts w:eastAsia="Arial Unicode MS" w:cs="Times Ext Roman"/>
          <w:lang w:val="de-DE"/>
        </w:rPr>
        <w:t xml:space="preserve">gveda VI, 1-20.” </w:t>
      </w:r>
      <w:r w:rsidRPr="0071345C">
        <w:rPr>
          <w:rFonts w:eastAsia="Arial Unicode MS" w:cs="Times Ext Roman"/>
          <w:i/>
          <w:lang w:val="de-DE"/>
        </w:rPr>
        <w:t>Zeitschrift der Deutschen Morgenländischen Gesellsch</w:t>
      </w:r>
      <w:r w:rsidRPr="0071345C">
        <w:rPr>
          <w:rFonts w:eastAsia="Arial Unicode MS" w:cs="Times Ext Roman"/>
          <w:i/>
          <w:lang w:val="de-DE"/>
        </w:rPr>
        <w:t>aft</w:t>
      </w:r>
      <w:r w:rsidRPr="0071345C">
        <w:rPr>
          <w:rFonts w:eastAsia="Arial Unicode MS" w:cs="Times Ext Roman"/>
          <w:lang w:val="de-DE"/>
        </w:rPr>
        <w:t xml:space="preserve"> 55: pp. 267-330.</w:t>
      </w:r>
    </w:p>
    <w:p w14:paraId="43074988" w14:textId="77777777" w:rsidR="00E53EB6" w:rsidRPr="0071345C" w:rsidRDefault="006500F5">
      <w:pPr>
        <w:pStyle w:val="biblioGEN"/>
        <w:rPr>
          <w:lang w:val="de-DE"/>
        </w:rPr>
      </w:pPr>
      <w:r>
        <w:rPr>
          <w:rFonts w:eastAsia="Arial Unicode MS" w:cs="Times Ext Roman"/>
        </w:rPr>
        <w:t xml:space="preserve">___. 1906. “Vedische Untersuchungen.” </w:t>
      </w:r>
      <w:r w:rsidRPr="0071345C">
        <w:rPr>
          <w:rFonts w:eastAsia="Arial Unicode MS" w:cs="Times Ext Roman"/>
          <w:i/>
          <w:lang w:val="de-DE"/>
        </w:rPr>
        <w:t>Zeitschrift der Deutschen Morgenländischen Gesellschaft</w:t>
      </w:r>
      <w:r w:rsidRPr="0071345C">
        <w:rPr>
          <w:rFonts w:eastAsia="Arial Unicode MS" w:cs="Times Ext Roman"/>
          <w:smallCaps/>
          <w:lang w:val="de-DE"/>
        </w:rPr>
        <w:t xml:space="preserve"> </w:t>
      </w:r>
      <w:r w:rsidRPr="0071345C">
        <w:rPr>
          <w:rFonts w:eastAsia="Arial Unicode MS" w:cs="Times Ext Roman"/>
          <w:lang w:val="de-DE"/>
        </w:rPr>
        <w:t xml:space="preserve">60; pp.707-758. </w:t>
      </w:r>
    </w:p>
    <w:p w14:paraId="099CC5DE" w14:textId="77777777" w:rsidR="00E53EB6" w:rsidRPr="0071345C" w:rsidRDefault="006500F5">
      <w:pPr>
        <w:pStyle w:val="biblioGEN"/>
        <w:rPr>
          <w:lang w:val="de-DE"/>
        </w:rPr>
      </w:pPr>
      <w:r w:rsidRPr="0071345C">
        <w:rPr>
          <w:rFonts w:eastAsia="Arial Unicode MS" w:cs="Times Ext Roman"/>
          <w:lang w:val="de-DE"/>
        </w:rPr>
        <w:t xml:space="preserve">___. 1909-1912. </w:t>
      </w:r>
      <w:r w:rsidRPr="0071345C">
        <w:rPr>
          <w:rFonts w:eastAsia="Arial Unicode MS" w:cs="Times Ext Roman"/>
          <w:i/>
          <w:lang w:val="de-DE"/>
        </w:rPr>
        <w:t>Ṛ</w:t>
      </w:r>
      <w:r w:rsidRPr="0071345C">
        <w:rPr>
          <w:rFonts w:eastAsia="Arial Unicode MS" w:cs="Times Ext Roman"/>
          <w:i/>
          <w:lang w:val="de-DE"/>
        </w:rPr>
        <w:t xml:space="preserve">gveda. Textkritische und Exegetische Noten.  </w:t>
      </w:r>
      <w:r w:rsidRPr="0071345C">
        <w:rPr>
          <w:rFonts w:eastAsia="Arial Unicode MS" w:cs="Times Ext Roman"/>
          <w:lang w:val="de-DE"/>
        </w:rPr>
        <w:t xml:space="preserve">2 Vols. Berlin: </w:t>
      </w:r>
      <w:r w:rsidRPr="0071345C">
        <w:rPr>
          <w:rFonts w:eastAsia="Arial Unicode MS" w:cs="Times Ext Roman"/>
          <w:lang w:val="de-DE"/>
        </w:rPr>
        <w:t>Weidmannsche Buchhandlung.</w:t>
      </w:r>
    </w:p>
    <w:p w14:paraId="5E5F98DC" w14:textId="77777777" w:rsidR="00E53EB6" w:rsidRPr="0071345C" w:rsidRDefault="006500F5">
      <w:pPr>
        <w:pStyle w:val="biblioGEN"/>
        <w:rPr>
          <w:lang w:val="de-DE"/>
        </w:rPr>
      </w:pPr>
      <w:r w:rsidRPr="0071345C">
        <w:rPr>
          <w:rFonts w:eastAsia="Arial Unicode MS" w:cs="Times Ext Roman"/>
          <w:lang w:val="de-DE"/>
        </w:rPr>
        <w:t xml:space="preserve">___. 1919. </w:t>
      </w:r>
      <w:r w:rsidRPr="0071345C">
        <w:rPr>
          <w:rFonts w:eastAsia="Arial Unicode MS" w:cs="Times Ext Roman"/>
          <w:i/>
          <w:iCs/>
          <w:lang w:val="de-DE"/>
        </w:rPr>
        <w:t>Vorwisse</w:t>
      </w:r>
      <w:r w:rsidRPr="0071345C">
        <w:rPr>
          <w:rFonts w:eastAsia="Arial Unicode MS" w:cs="Times Ext Roman"/>
          <w:i/>
          <w:iCs/>
          <w:lang w:val="de-DE"/>
        </w:rPr>
        <w:t>nschaftliche Wissenschaft. Die Weltanschauung der Brāhma</w:t>
      </w:r>
      <w:r w:rsidRPr="0071345C">
        <w:rPr>
          <w:rFonts w:eastAsia="Arial Unicode MS" w:cs="Times Ext Roman"/>
          <w:i/>
          <w:iCs/>
          <w:lang w:val="de-DE"/>
        </w:rPr>
        <w:t>ṇ</w:t>
      </w:r>
      <w:r w:rsidRPr="0071345C">
        <w:rPr>
          <w:rFonts w:eastAsia="Arial Unicode MS" w:cs="Times Ext Roman"/>
          <w:i/>
          <w:iCs/>
          <w:lang w:val="de-DE"/>
        </w:rPr>
        <w:t>a- Texte.</w:t>
      </w:r>
      <w:r w:rsidRPr="0071345C">
        <w:rPr>
          <w:rFonts w:eastAsia="Arial Unicode MS" w:cs="Times Ext Roman"/>
          <w:lang w:val="de-DE"/>
        </w:rPr>
        <w:t xml:space="preserve"> </w:t>
      </w:r>
      <w:r w:rsidRPr="0071345C">
        <w:rPr>
          <w:rFonts w:eastAsia="Arial Unicode MS" w:cs="Times Ext Roman"/>
          <w:lang w:val="de-DE"/>
        </w:rPr>
        <w:tab/>
        <w:t>Göttingen:  Vandenhoek und Rupprecht.</w:t>
      </w:r>
    </w:p>
    <w:p w14:paraId="14780724" w14:textId="77777777" w:rsidR="00E53EB6" w:rsidRDefault="006500F5">
      <w:pPr>
        <w:pStyle w:val="biblioGEN"/>
      </w:pPr>
      <w:r w:rsidRPr="0071345C">
        <w:rPr>
          <w:rStyle w:val="biblio-authorGEN"/>
          <w:lang w:val="de-DE"/>
        </w:rPr>
        <w:t>Panaino</w:t>
      </w:r>
      <w:r w:rsidRPr="0071345C">
        <w:rPr>
          <w:lang w:val="de-DE"/>
        </w:rPr>
        <w:t xml:space="preserve">, A. </w:t>
      </w:r>
      <w:r w:rsidRPr="0071345C">
        <w:rPr>
          <w:rFonts w:eastAsia="Arial Unicode MS"/>
          <w:lang w:val="de-DE"/>
        </w:rPr>
        <w:t xml:space="preserve">2004. </w:t>
      </w:r>
      <w:r w:rsidRPr="0071345C">
        <w:rPr>
          <w:rFonts w:eastAsia="Arial Unicode MS"/>
          <w:i/>
          <w:lang w:val="de-DE"/>
        </w:rPr>
        <w:t>Rite, parole et pensée dans l'avesta ancien et récent : quatre leçons au Collège de France.</w:t>
      </w:r>
      <w:r w:rsidRPr="0071345C">
        <w:rPr>
          <w:rFonts w:eastAsia="Arial Unicode MS"/>
          <w:lang w:val="de-DE"/>
        </w:rPr>
        <w:t xml:space="preserve"> </w:t>
      </w:r>
      <w:r>
        <w:rPr>
          <w:rFonts w:eastAsia="Arial Unicode MS"/>
        </w:rPr>
        <w:t>Wien: Österreischen Akadademie der Wisse</w:t>
      </w:r>
      <w:r>
        <w:rPr>
          <w:rFonts w:eastAsia="Arial Unicode MS"/>
        </w:rPr>
        <w:t>nschaft.</w:t>
      </w:r>
    </w:p>
    <w:p w14:paraId="5BB6B409" w14:textId="77777777" w:rsidR="00E53EB6" w:rsidRDefault="006500F5">
      <w:pPr>
        <w:pStyle w:val="biblioGEN"/>
      </w:pPr>
      <w:r>
        <w:rPr>
          <w:rStyle w:val="biblio-authorGEN"/>
          <w:rFonts w:eastAsia="Arial Unicode MS"/>
        </w:rPr>
        <w:t>Parpola,</w:t>
      </w:r>
      <w:r>
        <w:rPr>
          <w:rFonts w:eastAsia="Arial Unicode MS"/>
        </w:rPr>
        <w:t xml:space="preserve"> A. 1983. “The Pre-Vedic Indian Background of the Śrauta Ritual.” In: </w:t>
      </w:r>
      <w:r>
        <w:rPr>
          <w:rFonts w:eastAsia="Arial Unicode MS"/>
          <w:i/>
          <w:iCs/>
        </w:rPr>
        <w:t>Agni. The Vedic Ritual of the Fire Altar,</w:t>
      </w:r>
      <w:r>
        <w:rPr>
          <w:rFonts w:eastAsia="Arial Unicode MS"/>
        </w:rPr>
        <w:t xml:space="preserve"> edited by F. Staal, 41-75. Berkeley: Asian Humanities Press.</w:t>
      </w:r>
    </w:p>
    <w:p w14:paraId="0B25B3CF" w14:textId="77777777" w:rsidR="00E53EB6" w:rsidRDefault="006500F5">
      <w:pPr>
        <w:pStyle w:val="biblioGEN"/>
      </w:pPr>
      <w:r>
        <w:rPr>
          <w:rFonts w:eastAsia="Arial Unicode MS"/>
        </w:rPr>
        <w:t xml:space="preserve">___. 2012. “The Dāsas of the </w:t>
      </w:r>
      <w:r>
        <w:rPr>
          <w:rFonts w:eastAsia="Arial Unicode MS"/>
        </w:rPr>
        <w:t>Ṛ</w:t>
      </w:r>
      <w:r>
        <w:rPr>
          <w:rFonts w:eastAsia="Arial Unicode MS"/>
        </w:rPr>
        <w:t>gveda as Proto-Sakas of the Yaz I -r</w:t>
      </w:r>
      <w:r>
        <w:rPr>
          <w:rFonts w:eastAsia="Arial Unicode MS"/>
        </w:rPr>
        <w:t xml:space="preserve">elated cultures: With a revised model for the protohistory of Indo-Iranian speakers.” In </w:t>
      </w:r>
      <w:r>
        <w:rPr>
          <w:rFonts w:eastAsia="Arial Unicode MS"/>
          <w:i/>
          <w:iCs/>
        </w:rPr>
        <w:t>Archaeology and Language: Indo-European studies presented to James P. Mallory,</w:t>
      </w:r>
      <w:r>
        <w:rPr>
          <w:rFonts w:eastAsia="Arial Unicode MS"/>
        </w:rPr>
        <w:t xml:space="preserve"> edited by M. E. Huld - K. Jones-Bley - D. Miller, 221-264. Washington, D.C.: Institute f</w:t>
      </w:r>
      <w:r>
        <w:rPr>
          <w:rFonts w:eastAsia="Arial Unicode MS"/>
        </w:rPr>
        <w:t>or the Study of Man.</w:t>
      </w:r>
    </w:p>
    <w:p w14:paraId="406FCD50" w14:textId="77777777" w:rsidR="00E53EB6" w:rsidRPr="0071345C" w:rsidRDefault="006500F5">
      <w:pPr>
        <w:pStyle w:val="biblioGEN"/>
        <w:rPr>
          <w:lang w:val="it-IT"/>
        </w:rPr>
      </w:pPr>
      <w:r>
        <w:rPr>
          <w:rStyle w:val="biblio-authorGEN"/>
        </w:rPr>
        <w:t xml:space="preserve">Patton, L. </w:t>
      </w:r>
      <w:r>
        <w:rPr>
          <w:rFonts w:eastAsia="Arial Unicode MS" w:cs="Mangal;Sabon Unicode"/>
        </w:rPr>
        <w:t xml:space="preserve">2005. </w:t>
      </w:r>
      <w:r>
        <w:rPr>
          <w:rFonts w:eastAsia="Arial Unicode MS" w:cs="Mangal;Sabon Unicode"/>
          <w:i/>
          <w:iCs/>
        </w:rPr>
        <w:t xml:space="preserve">Bringing the Gods to Mind – Mantra and Ritual in Early Indian Sacrifice. </w:t>
      </w:r>
      <w:r w:rsidRPr="0071345C">
        <w:rPr>
          <w:rFonts w:eastAsia="Arial Unicode MS" w:cs="Mangal;Sabon Unicode"/>
          <w:lang w:val="it-IT"/>
        </w:rPr>
        <w:t>Berkley: University of C</w:t>
      </w:r>
      <w:r w:rsidRPr="0071345C">
        <w:rPr>
          <w:rFonts w:eastAsia="Arial Unicode MS" w:cs="Mangal;Sabon Unicode"/>
          <w:lang w:val="it-IT"/>
        </w:rPr>
        <w:t>alifornia Press.</w:t>
      </w:r>
    </w:p>
    <w:p w14:paraId="1C2449FC" w14:textId="77777777" w:rsidR="00E53EB6" w:rsidRPr="0071345C" w:rsidRDefault="006500F5">
      <w:pPr>
        <w:pStyle w:val="biblioGEN"/>
        <w:rPr>
          <w:lang w:val="it-IT"/>
        </w:rPr>
      </w:pPr>
      <w:r w:rsidRPr="0071345C">
        <w:rPr>
          <w:rStyle w:val="biblio-authorGEN"/>
          <w:lang w:val="it-IT"/>
        </w:rPr>
        <w:t xml:space="preserve">Peca Conti, R. </w:t>
      </w:r>
      <w:r w:rsidRPr="0071345C">
        <w:rPr>
          <w:rFonts w:eastAsia="Arial Unicode MS" w:cs="Times Ext Roman"/>
          <w:lang w:val="it-IT"/>
        </w:rPr>
        <w:t xml:space="preserve">1982-83. “Su vedico mūrá.” </w:t>
      </w:r>
      <w:r w:rsidRPr="0071345C">
        <w:rPr>
          <w:rFonts w:eastAsia="Arial Unicode MS" w:cs="Times Ext Roman"/>
          <w:i/>
          <w:lang w:val="it-IT"/>
        </w:rPr>
        <w:t>Incontri Linguistici</w:t>
      </w:r>
      <w:r w:rsidRPr="0071345C">
        <w:rPr>
          <w:rFonts w:eastAsia="Arial Unicode MS" w:cs="Times Ext Roman"/>
          <w:lang w:val="it-IT"/>
        </w:rPr>
        <w:t xml:space="preserve"> 8: pp. 41-51.</w:t>
      </w:r>
    </w:p>
    <w:p w14:paraId="37370CCF" w14:textId="77777777" w:rsidR="00E53EB6" w:rsidRPr="0071345C" w:rsidRDefault="006500F5">
      <w:pPr>
        <w:pStyle w:val="biblioGEN"/>
        <w:rPr>
          <w:lang w:val="de-DE"/>
        </w:rPr>
      </w:pPr>
      <w:r w:rsidRPr="0071345C">
        <w:rPr>
          <w:rStyle w:val="biblio-authorGEN"/>
          <w:rFonts w:eastAsia="Arial Unicode MS" w:cs="Times Ext Roman"/>
          <w:lang w:val="it-IT"/>
        </w:rPr>
        <w:t xml:space="preserve">Pischel, R. - </w:t>
      </w:r>
      <w:r w:rsidRPr="0071345C">
        <w:rPr>
          <w:rStyle w:val="biblio-authorGEN"/>
          <w:rFonts w:eastAsia="Arial Unicode MS" w:cs="Times Ext Roman"/>
          <w:lang w:val="it-IT"/>
        </w:rPr>
        <w:t>Geldner, K. F</w:t>
      </w:r>
      <w:r w:rsidRPr="0071345C">
        <w:rPr>
          <w:rFonts w:eastAsia="Arial Unicode MS" w:cs="Times Ext Roman"/>
          <w:smallCaps/>
          <w:lang w:val="it-IT"/>
        </w:rPr>
        <w:t xml:space="preserve">. </w:t>
      </w:r>
      <w:r w:rsidRPr="0071345C">
        <w:rPr>
          <w:rFonts w:eastAsia="Arial Unicode MS" w:cs="Times Ext Roman"/>
          <w:lang w:val="it-IT"/>
        </w:rPr>
        <w:t>1889-1901</w:t>
      </w:r>
      <w:r w:rsidRPr="0071345C">
        <w:rPr>
          <w:rFonts w:eastAsia="Arial Unicode MS" w:cs="Times Ext Roman"/>
          <w:smallCaps/>
          <w:lang w:val="it-IT"/>
        </w:rPr>
        <w:t xml:space="preserve">. </w:t>
      </w:r>
      <w:r w:rsidRPr="0071345C">
        <w:rPr>
          <w:rFonts w:eastAsia="Arial Unicode MS" w:cs="Times Ext Roman"/>
          <w:i/>
          <w:lang w:val="de-DE"/>
        </w:rPr>
        <w:t>Vedischen Studien.</w:t>
      </w:r>
      <w:r w:rsidRPr="0071345C">
        <w:rPr>
          <w:rFonts w:eastAsia="Arial Unicode MS" w:cs="Times Ext Roman"/>
          <w:lang w:val="de-DE"/>
        </w:rPr>
        <w:t xml:space="preserve"> 3 Vols. Stuttgart: Kohlhammer. </w:t>
      </w:r>
    </w:p>
    <w:p w14:paraId="55F326E2" w14:textId="77777777" w:rsidR="00E53EB6" w:rsidRPr="0071345C" w:rsidRDefault="006500F5">
      <w:pPr>
        <w:pStyle w:val="biblioGEN"/>
        <w:rPr>
          <w:lang w:val="it-IT"/>
        </w:rPr>
      </w:pPr>
      <w:r w:rsidRPr="0071345C">
        <w:rPr>
          <w:rStyle w:val="biblio-authorGEN"/>
          <w:lang w:val="it-IT"/>
        </w:rPr>
        <w:t xml:space="preserve">Pinault, G. </w:t>
      </w:r>
      <w:r w:rsidRPr="0071345C">
        <w:rPr>
          <w:rFonts w:eastAsia="Arial Unicode MS"/>
          <w:lang w:val="it-IT"/>
        </w:rPr>
        <w:t xml:space="preserve">2006. </w:t>
      </w:r>
      <w:r w:rsidRPr="0071345C">
        <w:rPr>
          <w:rFonts w:eastAsia="Arial Unicode MS"/>
          <w:i/>
          <w:iCs/>
          <w:lang w:val="it-IT"/>
        </w:rPr>
        <w:t xml:space="preserve">La langue poétique indo-européenne : actes du colloque de travail de la Société des Études Indo-Européennes. </w:t>
      </w:r>
      <w:r w:rsidRPr="0071345C">
        <w:rPr>
          <w:rFonts w:eastAsia="Arial Unicode MS"/>
          <w:lang w:val="it-IT"/>
        </w:rPr>
        <w:t>Leuven: Peeters.</w:t>
      </w:r>
    </w:p>
    <w:p w14:paraId="6C278317" w14:textId="77777777" w:rsidR="00E53EB6" w:rsidRPr="0071345C" w:rsidRDefault="006500F5">
      <w:pPr>
        <w:pStyle w:val="biblioGEN"/>
        <w:rPr>
          <w:lang w:val="it-IT"/>
        </w:rPr>
      </w:pPr>
      <w:r w:rsidRPr="0071345C">
        <w:rPr>
          <w:rStyle w:val="biblio-authorGEN"/>
          <w:lang w:val="it-IT"/>
        </w:rPr>
        <w:lastRenderedPageBreak/>
        <w:t xml:space="preserve">Pirart, É. </w:t>
      </w:r>
      <w:r w:rsidRPr="0071345C">
        <w:rPr>
          <w:rFonts w:eastAsia="Arial Unicode MS" w:cs="Times Ext Roman"/>
          <w:smallCaps/>
          <w:lang w:val="it-IT"/>
        </w:rPr>
        <w:t xml:space="preserve">1995. </w:t>
      </w:r>
      <w:r w:rsidRPr="0071345C">
        <w:rPr>
          <w:rFonts w:eastAsia="Arial Unicode MS" w:cs="Times Ext Roman"/>
          <w:i/>
          <w:lang w:val="it-IT"/>
        </w:rPr>
        <w:t xml:space="preserve">Les Nāsatya. </w:t>
      </w:r>
      <w:r w:rsidRPr="0071345C">
        <w:rPr>
          <w:rFonts w:eastAsia="Arial Unicode MS" w:cs="Times Ext Roman"/>
          <w:lang w:val="it-IT"/>
        </w:rPr>
        <w:t>Volu</w:t>
      </w:r>
      <w:r w:rsidRPr="0071345C">
        <w:rPr>
          <w:rFonts w:eastAsia="Arial Unicode MS" w:cs="Times Ext Roman"/>
          <w:lang w:val="it-IT"/>
        </w:rPr>
        <w:t xml:space="preserve">me I. Liège: </w:t>
      </w:r>
      <w:r w:rsidRPr="0071345C">
        <w:rPr>
          <w:rFonts w:eastAsia="Arial Unicode MS" w:cs="Times Ext Roman"/>
          <w:lang w:val="it-IT"/>
        </w:rPr>
        <w:t>Bibliothèque de la Faculté de Philosophie et Lettres de l’Université de Liège.</w:t>
      </w:r>
    </w:p>
    <w:p w14:paraId="42DD0523" w14:textId="77777777" w:rsidR="00E53EB6" w:rsidRDefault="006500F5">
      <w:pPr>
        <w:pStyle w:val="biblioGEN"/>
      </w:pPr>
      <w:r w:rsidRPr="0071345C">
        <w:rPr>
          <w:rStyle w:val="biblio-authorGEN"/>
          <w:lang w:val="de-DE"/>
        </w:rPr>
        <w:t>Pokorny</w:t>
      </w:r>
      <w:r w:rsidRPr="0071345C">
        <w:rPr>
          <w:lang w:val="de-DE"/>
        </w:rPr>
        <w:t>,</w:t>
      </w:r>
      <w:r w:rsidRPr="0071345C">
        <w:rPr>
          <w:rStyle w:val="biblio-authorGEN"/>
          <w:lang w:val="de-DE"/>
        </w:rPr>
        <w:t xml:space="preserve"> J. </w:t>
      </w:r>
      <w:r w:rsidRPr="0071345C">
        <w:rPr>
          <w:rFonts w:eastAsia="Arial Unicode MS" w:cs="Times Ext Roman"/>
          <w:smallCaps/>
          <w:lang w:val="de-DE"/>
        </w:rPr>
        <w:t>1959-1969.</w:t>
      </w:r>
      <w:r w:rsidRPr="0071345C">
        <w:rPr>
          <w:rFonts w:eastAsia="Arial Unicode MS" w:cs="Times Ext Roman"/>
          <w:smallCaps/>
          <w:lang w:val="de-DE"/>
        </w:rPr>
        <w:tab/>
      </w:r>
      <w:r w:rsidRPr="0071345C">
        <w:rPr>
          <w:rFonts w:eastAsia="Arial Unicode MS" w:cs="Times Ext Roman"/>
          <w:i/>
          <w:lang w:val="de-DE"/>
        </w:rPr>
        <w:t>Indogermanisches Etymologisches Wörterbuch.</w:t>
      </w:r>
      <w:r w:rsidRPr="0071345C">
        <w:rPr>
          <w:rFonts w:eastAsia="Arial Unicode MS" w:cs="Times Ext Roman"/>
          <w:lang w:val="de-DE"/>
        </w:rPr>
        <w:t xml:space="preserve"> </w:t>
      </w:r>
      <w:r>
        <w:rPr>
          <w:rFonts w:eastAsia="Arial Unicode MS" w:cs="Times Ext Roman"/>
        </w:rPr>
        <w:t xml:space="preserve">Bern-Tübingen: </w:t>
      </w:r>
      <w:r>
        <w:rPr>
          <w:rFonts w:eastAsia="Arial Unicode MS"/>
        </w:rPr>
        <w:t xml:space="preserve">Francke. </w:t>
      </w:r>
    </w:p>
    <w:p w14:paraId="341AEC41" w14:textId="77777777" w:rsidR="00E53EB6" w:rsidRDefault="006500F5">
      <w:pPr>
        <w:pStyle w:val="biblioGEN"/>
      </w:pPr>
      <w:r>
        <w:rPr>
          <w:rStyle w:val="biblio-authorGEN"/>
        </w:rPr>
        <w:t xml:space="preserve">Proferes, T. N.  </w:t>
      </w:r>
      <w:r>
        <w:rPr>
          <w:rFonts w:eastAsia="Arial Unicode MS"/>
        </w:rPr>
        <w:t>2003</w:t>
      </w:r>
      <w:r>
        <w:rPr>
          <w:rFonts w:eastAsia="Arial Unicode MS"/>
          <w:vertAlign w:val="superscript"/>
        </w:rPr>
        <w:t>a</w:t>
      </w:r>
      <w:r>
        <w:rPr>
          <w:rFonts w:eastAsia="Arial Unicode MS"/>
        </w:rPr>
        <w:t xml:space="preserve">. “Remarks on the Transition from </w:t>
      </w:r>
      <w:r>
        <w:rPr>
          <w:rFonts w:eastAsia="Arial Unicode MS"/>
        </w:rPr>
        <w:t>Ṛ</w:t>
      </w:r>
      <w:r>
        <w:rPr>
          <w:rFonts w:eastAsia="Arial Unicode MS"/>
        </w:rPr>
        <w:t>gvedic Composit</w:t>
      </w:r>
      <w:r>
        <w:rPr>
          <w:rFonts w:eastAsia="Arial Unicode MS"/>
        </w:rPr>
        <w:t xml:space="preserve">ion to Śrauta Compilation.”  </w:t>
      </w:r>
      <w:r>
        <w:rPr>
          <w:rFonts w:eastAsia="Arial Unicode MS"/>
          <w:i/>
          <w:iCs/>
        </w:rPr>
        <w:t xml:space="preserve">Indo-Iranian Journal </w:t>
      </w:r>
      <w:r>
        <w:rPr>
          <w:rFonts w:eastAsia="Arial Unicode MS"/>
        </w:rPr>
        <w:t>46: pp. 1-21.</w:t>
      </w:r>
    </w:p>
    <w:p w14:paraId="07E6399B" w14:textId="77777777" w:rsidR="00E53EB6" w:rsidRDefault="006500F5">
      <w:pPr>
        <w:pStyle w:val="biblioGEN"/>
      </w:pPr>
      <w:r>
        <w:rPr>
          <w:rFonts w:eastAsia="Arial Unicode MS"/>
        </w:rPr>
        <w:t>___. 2003</w:t>
      </w:r>
      <w:r>
        <w:rPr>
          <w:rFonts w:eastAsia="Arial Unicode MS"/>
          <w:vertAlign w:val="superscript"/>
        </w:rPr>
        <w:t>b</w:t>
      </w:r>
      <w:r>
        <w:rPr>
          <w:rFonts w:eastAsia="Arial Unicode MS"/>
        </w:rPr>
        <w:t xml:space="preserve">. </w:t>
      </w:r>
      <w:r>
        <w:rPr>
          <w:rFonts w:eastAsia="Arial Unicode MS"/>
        </w:rPr>
        <w:t xml:space="preserve">“Poetics and Pragmatics in the Vedic Liturgy of the Installation of the Sacrificial Post.” </w:t>
      </w:r>
      <w:r>
        <w:rPr>
          <w:rFonts w:eastAsia="Arial Unicode MS"/>
          <w:i/>
          <w:iCs/>
        </w:rPr>
        <w:t>Journal of the American Oriental Society</w:t>
      </w:r>
      <w:r>
        <w:rPr>
          <w:rFonts w:eastAsia="Arial Unicode MS"/>
        </w:rPr>
        <w:t xml:space="preserve"> 123: pp. 317-350.</w:t>
      </w:r>
    </w:p>
    <w:p w14:paraId="263CA76F" w14:textId="77777777" w:rsidR="00E53EB6" w:rsidRDefault="006500F5">
      <w:pPr>
        <w:pStyle w:val="biblioGEN"/>
      </w:pPr>
      <w:r>
        <w:rPr>
          <w:rFonts w:eastAsia="Arial Unicode MS"/>
        </w:rPr>
        <w:t>___. 2003</w:t>
      </w:r>
      <w:r>
        <w:rPr>
          <w:rFonts w:eastAsia="Arial Unicode MS"/>
          <w:vertAlign w:val="superscript"/>
        </w:rPr>
        <w:t>c</w:t>
      </w:r>
      <w:r>
        <w:rPr>
          <w:rFonts w:eastAsia="Arial Unicode MS"/>
        </w:rPr>
        <w:t xml:space="preserve">. “Kuru kings, Tura </w:t>
      </w:r>
      <w:r>
        <w:rPr>
          <w:rFonts w:eastAsia="Arial Unicode MS"/>
        </w:rPr>
        <w:t>Kāva</w:t>
      </w:r>
      <w:r>
        <w:rPr>
          <w:rFonts w:eastAsia="Arial Unicode MS"/>
        </w:rPr>
        <w:t>ṣ</w:t>
      </w:r>
      <w:r>
        <w:rPr>
          <w:rFonts w:eastAsia="Arial Unicode MS"/>
        </w:rPr>
        <w:t xml:space="preserve">eya, and the </w:t>
      </w:r>
      <w:r>
        <w:rPr>
          <w:rFonts w:eastAsia="Arial Unicode MS"/>
          <w:i/>
          <w:iCs/>
        </w:rPr>
        <w:t xml:space="preserve">-tvā́ya </w:t>
      </w:r>
      <w:r>
        <w:rPr>
          <w:rFonts w:eastAsia="Arial Unicode MS"/>
        </w:rPr>
        <w:t xml:space="preserve">gerund.” </w:t>
      </w:r>
      <w:r>
        <w:rPr>
          <w:rFonts w:eastAsia="Arial Unicode MS"/>
          <w:i/>
          <w:iCs/>
        </w:rPr>
        <w:t>Bulletin of SOAS</w:t>
      </w:r>
      <w:r>
        <w:rPr>
          <w:rFonts w:eastAsia="Arial Unicode MS"/>
        </w:rPr>
        <w:t xml:space="preserve"> 66:  pp. 210–219. </w:t>
      </w:r>
    </w:p>
    <w:p w14:paraId="7FF002AB" w14:textId="77777777" w:rsidR="00E53EB6" w:rsidRDefault="006500F5">
      <w:pPr>
        <w:pStyle w:val="biblioGEN"/>
        <w:rPr>
          <w:rFonts w:eastAsia="Arial Unicode MS"/>
        </w:rPr>
      </w:pPr>
      <w:r>
        <w:rPr>
          <w:rFonts w:eastAsia="Arial Unicode MS"/>
        </w:rPr>
        <w:t xml:space="preserve">___. 2007. </w:t>
      </w:r>
      <w:r>
        <w:rPr>
          <w:rFonts w:eastAsia="Arial Unicode MS"/>
          <w:i/>
          <w:iCs/>
        </w:rPr>
        <w:t xml:space="preserve">Vedic ideals of sovereignty and the poetics of power. </w:t>
      </w:r>
      <w:r>
        <w:rPr>
          <w:rFonts w:eastAsia="Arial Unicode MS"/>
        </w:rPr>
        <w:t>New Haven, Conn: American Oriental Society.</w:t>
      </w:r>
    </w:p>
    <w:p w14:paraId="35A366EA" w14:textId="77777777" w:rsidR="00E53EB6" w:rsidRDefault="006500F5">
      <w:pPr>
        <w:pStyle w:val="biblioGEN"/>
      </w:pPr>
      <w:r>
        <w:t xml:space="preserve">PW see </w:t>
      </w:r>
      <w:r>
        <w:rPr>
          <w:rFonts w:eastAsia="Arial Unicode MS" w:cs="Times Ext Roman"/>
          <w:smallCaps/>
        </w:rPr>
        <w:t xml:space="preserve">Böhtlingk, O. von - Roth R. von. </w:t>
      </w:r>
    </w:p>
    <w:p w14:paraId="58AFDE2C" w14:textId="77777777" w:rsidR="00E53EB6" w:rsidRPr="0071345C" w:rsidRDefault="006500F5">
      <w:pPr>
        <w:pStyle w:val="biblioGEN"/>
        <w:rPr>
          <w:lang w:val="de-DE"/>
        </w:rPr>
      </w:pPr>
      <w:r w:rsidRPr="0071345C">
        <w:rPr>
          <w:rStyle w:val="biblio-authorGEN"/>
          <w:lang w:val="de-DE"/>
        </w:rPr>
        <w:t xml:space="preserve">Rau, W. </w:t>
      </w:r>
      <w:r w:rsidRPr="0071345C">
        <w:rPr>
          <w:rFonts w:eastAsia="Arial Unicode MS" w:cs="Times Ext Roman"/>
          <w:lang w:val="de-DE"/>
        </w:rPr>
        <w:t xml:space="preserve">1957. </w:t>
      </w:r>
      <w:r w:rsidRPr="0071345C">
        <w:rPr>
          <w:rFonts w:eastAsia="Arial Unicode MS" w:cs="Times Ext Roman"/>
          <w:i/>
          <w:iCs/>
          <w:lang w:val="de-DE"/>
        </w:rPr>
        <w:t xml:space="preserve">Staat und </w:t>
      </w:r>
      <w:r w:rsidRPr="0071345C">
        <w:rPr>
          <w:rFonts w:eastAsia="Arial Unicode MS" w:cs="Times Ext Roman"/>
          <w:i/>
          <w:iCs/>
          <w:lang w:val="de-DE"/>
        </w:rPr>
        <w:t>Gesellschaft im alten Indien nach den Brāhma</w:t>
      </w:r>
      <w:r w:rsidRPr="0071345C">
        <w:rPr>
          <w:rFonts w:eastAsia="Arial Unicode MS" w:cs="Times Ext Roman"/>
          <w:i/>
          <w:iCs/>
          <w:lang w:val="de-DE"/>
        </w:rPr>
        <w:t>ṇ</w:t>
      </w:r>
      <w:r w:rsidRPr="0071345C">
        <w:rPr>
          <w:rFonts w:eastAsia="Arial Unicode MS" w:cs="Times Ext Roman"/>
          <w:i/>
          <w:iCs/>
          <w:lang w:val="de-DE"/>
        </w:rPr>
        <w:t>a-Texten dargestellt.</w:t>
      </w:r>
      <w:r w:rsidRPr="0071345C">
        <w:rPr>
          <w:rFonts w:eastAsia="Arial Unicode MS" w:cs="Times Ext Roman"/>
          <w:lang w:val="de-DE"/>
        </w:rPr>
        <w:t xml:space="preserve"> Wiesbaden: Harrassowitz.</w:t>
      </w:r>
    </w:p>
    <w:p w14:paraId="6DEB1C8B" w14:textId="77777777" w:rsidR="00E53EB6" w:rsidRPr="0071345C" w:rsidRDefault="006500F5">
      <w:pPr>
        <w:pStyle w:val="biblioGEN"/>
        <w:rPr>
          <w:lang w:val="de-DE"/>
        </w:rPr>
      </w:pPr>
      <w:r w:rsidRPr="0071345C">
        <w:rPr>
          <w:rFonts w:eastAsia="Arial Unicode MS" w:cs="Times Ext Roman"/>
          <w:smallCaps/>
          <w:lang w:val="de-DE"/>
        </w:rPr>
        <w:t xml:space="preserve">Renou, L. 1937. </w:t>
      </w:r>
      <w:r w:rsidRPr="0071345C">
        <w:rPr>
          <w:rFonts w:eastAsia="Arial Unicode MS" w:cs="Times Ext Roman"/>
          <w:i/>
          <w:lang w:val="de-DE"/>
        </w:rPr>
        <w:t>Le suffixe –tu- et  la costitution des infinites.</w:t>
      </w:r>
      <w:r w:rsidRPr="0071345C">
        <w:rPr>
          <w:rFonts w:eastAsia="Arial Unicode MS" w:cs="Times Ext Roman"/>
          <w:lang w:val="de-DE"/>
        </w:rPr>
        <w:t xml:space="preserve"> Paris: de Boccard.</w:t>
      </w:r>
    </w:p>
    <w:p w14:paraId="6FB2E32D" w14:textId="77777777" w:rsidR="00E53EB6" w:rsidRPr="0071345C" w:rsidRDefault="006500F5">
      <w:pPr>
        <w:pStyle w:val="biblioGEN"/>
        <w:rPr>
          <w:lang w:val="de-DE"/>
        </w:rPr>
      </w:pPr>
      <w:r w:rsidRPr="0071345C">
        <w:rPr>
          <w:rFonts w:eastAsia="Arial Unicode MS" w:cs="Times Ext Roman"/>
          <w:lang w:val="de-DE"/>
        </w:rPr>
        <w:t xml:space="preserve">___. 1939. “L’ambiguité du vocabulaire du R̥gveda.” </w:t>
      </w:r>
      <w:r w:rsidRPr="0071345C">
        <w:rPr>
          <w:rFonts w:eastAsia="Arial Unicode MS" w:cs="Times Ext Roman"/>
          <w:i/>
          <w:lang w:val="de-DE"/>
        </w:rPr>
        <w:t>Journal Asiatique</w:t>
      </w:r>
      <w:r w:rsidRPr="0071345C">
        <w:rPr>
          <w:rFonts w:eastAsia="Arial Unicode MS" w:cs="Times Ext Roman"/>
          <w:lang w:val="de-DE"/>
        </w:rPr>
        <w:t xml:space="preserve"> 231: pp. </w:t>
      </w:r>
      <w:r w:rsidRPr="0071345C">
        <w:rPr>
          <w:rFonts w:eastAsia="Arial Unicode MS" w:cs="Times Ext Roman"/>
          <w:lang w:val="de-DE"/>
        </w:rPr>
        <w:t>161-235.</w:t>
      </w:r>
    </w:p>
    <w:p w14:paraId="3CC217BB" w14:textId="77777777" w:rsidR="00E53EB6" w:rsidRPr="0071345C" w:rsidRDefault="006500F5">
      <w:pPr>
        <w:pStyle w:val="biblioGEN"/>
        <w:rPr>
          <w:lang w:val="de-DE"/>
        </w:rPr>
      </w:pPr>
      <w:r w:rsidRPr="0071345C">
        <w:rPr>
          <w:rFonts w:eastAsia="Arial Unicode MS"/>
          <w:lang w:val="de-DE"/>
        </w:rPr>
        <w:t xml:space="preserve">___. 1947. </w:t>
      </w:r>
      <w:r w:rsidRPr="0071345C">
        <w:rPr>
          <w:rFonts w:eastAsia="Arial Unicode MS"/>
          <w:i/>
          <w:lang w:val="de-DE"/>
        </w:rPr>
        <w:t xml:space="preserve">Les écoles védiques et la formation du Veda. </w:t>
      </w:r>
      <w:r w:rsidRPr="0071345C">
        <w:rPr>
          <w:rFonts w:eastAsia="Arial Unicode MS"/>
          <w:lang w:val="de-DE"/>
        </w:rPr>
        <w:t>Paris: Impr. Nationale.</w:t>
      </w:r>
    </w:p>
    <w:p w14:paraId="7D152770" w14:textId="77777777" w:rsidR="00E53EB6" w:rsidRPr="0071345C" w:rsidRDefault="006500F5">
      <w:pPr>
        <w:pStyle w:val="biblioGEN"/>
        <w:rPr>
          <w:lang w:val="de-DE"/>
        </w:rPr>
      </w:pPr>
      <w:r w:rsidRPr="0071345C">
        <w:rPr>
          <w:rFonts w:eastAsia="Arial Unicode MS"/>
          <w:lang w:val="de-DE"/>
        </w:rPr>
        <w:t xml:space="preserve">___. 1954. </w:t>
      </w:r>
      <w:r w:rsidRPr="0071345C">
        <w:rPr>
          <w:rFonts w:eastAsia="Arial Unicode MS"/>
          <w:i/>
          <w:lang w:val="de-DE"/>
        </w:rPr>
        <w:t xml:space="preserve">Vocabulaire du rituel védique. </w:t>
      </w:r>
      <w:r w:rsidRPr="0071345C">
        <w:rPr>
          <w:rFonts w:eastAsia="Arial Unicode MS"/>
          <w:lang w:val="de-DE"/>
        </w:rPr>
        <w:t>Paris:</w:t>
      </w:r>
      <w:r w:rsidRPr="0071345C">
        <w:rPr>
          <w:rFonts w:eastAsia="Arial Unicode MS"/>
          <w:i/>
          <w:lang w:val="de-DE"/>
        </w:rPr>
        <w:t xml:space="preserve"> </w:t>
      </w:r>
      <w:r w:rsidRPr="0071345C">
        <w:rPr>
          <w:rFonts w:eastAsia="Arial Unicode MS"/>
          <w:lang w:val="de-DE"/>
        </w:rPr>
        <w:t>Klincksieck.</w:t>
      </w:r>
    </w:p>
    <w:p w14:paraId="2F96F0F8" w14:textId="77777777" w:rsidR="00E53EB6" w:rsidRPr="0071345C" w:rsidRDefault="006500F5">
      <w:pPr>
        <w:pStyle w:val="biblioGEN"/>
        <w:ind w:left="0" w:firstLine="0"/>
        <w:rPr>
          <w:lang w:val="it-IT"/>
        </w:rPr>
      </w:pPr>
      <w:r w:rsidRPr="0071345C">
        <w:rPr>
          <w:rFonts w:eastAsia="Arial Unicode MS"/>
          <w:lang w:val="de-DE"/>
        </w:rPr>
        <w:t xml:space="preserve">___. </w:t>
      </w:r>
      <w:r w:rsidRPr="0071345C">
        <w:rPr>
          <w:rFonts w:eastAsia="Arial Unicode MS"/>
          <w:lang w:val="it-IT"/>
        </w:rPr>
        <w:t xml:space="preserve">1956. </w:t>
      </w:r>
      <w:r>
        <w:rPr>
          <w:rFonts w:eastAsia="Arial Unicode MS"/>
          <w:i/>
          <w:iCs/>
          <w:lang w:val="fr-FR"/>
        </w:rPr>
        <w:t>Histoire</w:t>
      </w:r>
      <w:r w:rsidRPr="0071345C">
        <w:rPr>
          <w:rFonts w:eastAsia="Arial Unicode MS"/>
          <w:i/>
          <w:iCs/>
          <w:lang w:val="it-IT"/>
        </w:rPr>
        <w:t xml:space="preserve"> de la langue sanskrite. </w:t>
      </w:r>
      <w:r w:rsidRPr="0071345C">
        <w:rPr>
          <w:rFonts w:eastAsia="Arial Unicode MS"/>
          <w:lang w:val="it-IT"/>
        </w:rPr>
        <w:t>Lyon: IAC.</w:t>
      </w:r>
    </w:p>
    <w:p w14:paraId="4CA7288B" w14:textId="77777777" w:rsidR="00E53EB6" w:rsidRDefault="006500F5">
      <w:pPr>
        <w:pStyle w:val="biblioGEN"/>
      </w:pPr>
      <w:r w:rsidRPr="0071345C">
        <w:rPr>
          <w:rFonts w:eastAsia="Arial Unicode MS"/>
          <w:lang w:val="it-IT"/>
        </w:rPr>
        <w:t xml:space="preserve">___. 1962. “Recherches sur le ritual védique: La place du Rig-Veda dans l'ordonnance du culte.”  </w:t>
      </w:r>
      <w:r>
        <w:rPr>
          <w:rFonts w:eastAsia="Arial Unicode MS"/>
          <w:i/>
          <w:iCs/>
        </w:rPr>
        <w:t xml:space="preserve">Journal Asiatique </w:t>
      </w:r>
      <w:r>
        <w:rPr>
          <w:rFonts w:eastAsia="Arial Unicode MS"/>
        </w:rPr>
        <w:t>250: pp.161-18.</w:t>
      </w:r>
    </w:p>
    <w:p w14:paraId="43CB3D27" w14:textId="77777777" w:rsidR="00E53EB6" w:rsidRDefault="006500F5">
      <w:pPr>
        <w:pStyle w:val="biblioGEN"/>
      </w:pPr>
      <w:r>
        <w:rPr>
          <w:rFonts w:eastAsia="Arial Unicode MS"/>
        </w:rPr>
        <w:t xml:space="preserve">___. 1978. </w:t>
      </w:r>
      <w:r>
        <w:rPr>
          <w:rFonts w:eastAsia="Arial Unicode MS"/>
          <w:i/>
        </w:rPr>
        <w:t>L'Inde fondamentale: études d'indianisme</w:t>
      </w:r>
      <w:r>
        <w:rPr>
          <w:rFonts w:eastAsia="Arial Unicode MS"/>
        </w:rPr>
        <w:t xml:space="preserve">, </w:t>
      </w:r>
      <w:r>
        <w:rPr>
          <w:rFonts w:eastAsia="Arial Unicode MS"/>
          <w:i/>
        </w:rPr>
        <w:t>réunies et presentees par Charles Malamoud.</w:t>
      </w:r>
      <w:r>
        <w:rPr>
          <w:rFonts w:eastAsia="Arial Unicode MS"/>
        </w:rPr>
        <w:t xml:space="preserve"> Paris: Hermann.</w:t>
      </w:r>
    </w:p>
    <w:p w14:paraId="66F5E725" w14:textId="77777777" w:rsidR="00E53EB6" w:rsidRPr="0071345C" w:rsidRDefault="006500F5">
      <w:pPr>
        <w:pStyle w:val="biblioGEN"/>
        <w:rPr>
          <w:lang w:val="it-IT"/>
        </w:rPr>
      </w:pPr>
      <w:r>
        <w:rPr>
          <w:rStyle w:val="biblio-authorGEN"/>
          <w:rFonts w:eastAsia="Arial Unicode MS"/>
        </w:rPr>
        <w:t>Roesler, U.</w:t>
      </w:r>
      <w:r>
        <w:rPr>
          <w:rFonts w:eastAsia="Arial Unicode MS"/>
        </w:rPr>
        <w:t xml:space="preserve"> </w:t>
      </w:r>
      <w:r>
        <w:rPr>
          <w:rFonts w:eastAsia="Arial Unicode MS"/>
        </w:rPr>
        <w:t xml:space="preserve">2004. “The Theory of Semantic Fields as a Tool for Vedic Research.” In </w:t>
      </w:r>
      <w:r>
        <w:rPr>
          <w:rFonts w:eastAsia="Arial Unicode MS"/>
          <w:i/>
        </w:rPr>
        <w:t xml:space="preserve">The Vedas: Texts, Language &amp; Ritual, </w:t>
      </w:r>
      <w:r>
        <w:rPr>
          <w:rFonts w:eastAsia="Arial Unicode MS"/>
        </w:rPr>
        <w:t xml:space="preserve">edited by A. Griffiths &amp; J. E. M. Houben, 307-321. </w:t>
      </w:r>
      <w:r w:rsidRPr="0071345C">
        <w:rPr>
          <w:rFonts w:eastAsia="Arial Unicode MS"/>
          <w:lang w:val="it-IT"/>
        </w:rPr>
        <w:t>Groningen: Forsten.</w:t>
      </w:r>
    </w:p>
    <w:p w14:paraId="02B15874" w14:textId="77777777" w:rsidR="00E53EB6" w:rsidRDefault="006500F5">
      <w:pPr>
        <w:pStyle w:val="biblioGEN"/>
      </w:pPr>
      <w:r w:rsidRPr="0071345C">
        <w:rPr>
          <w:rStyle w:val="biblio-authorGEN"/>
          <w:lang w:val="it-IT"/>
        </w:rPr>
        <w:t xml:space="preserve">Rossi, P.M. </w:t>
      </w:r>
      <w:r w:rsidRPr="0071345C">
        <w:rPr>
          <w:lang w:val="it-IT"/>
        </w:rPr>
        <w:t>2003. “L’agevole orifizio della felicità: sukha nell’antica cultu</w:t>
      </w:r>
      <w:r w:rsidRPr="0071345C">
        <w:rPr>
          <w:lang w:val="it-IT"/>
        </w:rPr>
        <w:t xml:space="preserve">ra indiana.” In </w:t>
      </w:r>
      <w:r w:rsidRPr="0071345C">
        <w:rPr>
          <w:i/>
          <w:iCs/>
          <w:lang w:val="it-IT"/>
        </w:rPr>
        <w:t>Atti del Primo Incontro Genovese di Studi Vedici e Paniniani</w:t>
      </w:r>
      <w:r w:rsidRPr="0071345C">
        <w:rPr>
          <w:lang w:val="it-IT"/>
        </w:rPr>
        <w:t xml:space="preserve">, edited by R.Ronzitti and G. Borghi, 55-79. </w:t>
      </w:r>
      <w:r>
        <w:t>Recco: Le Mani.</w:t>
      </w:r>
    </w:p>
    <w:p w14:paraId="689AFDBB" w14:textId="77777777" w:rsidR="00E53EB6" w:rsidRDefault="006500F5">
      <w:pPr>
        <w:pStyle w:val="biblioGEN"/>
      </w:pPr>
      <w:r>
        <w:rPr>
          <w:rStyle w:val="biblio-authorGEN"/>
        </w:rPr>
        <w:t>Sahlins, M.D.</w:t>
      </w:r>
      <w:r>
        <w:t xml:space="preserve"> 1961. “The Segmentary Lineage: An Organization of Predatory Expansion.” </w:t>
      </w:r>
      <w:r>
        <w:rPr>
          <w:i/>
          <w:iCs/>
        </w:rPr>
        <w:t xml:space="preserve">American Anthropologist </w:t>
      </w:r>
      <w:r>
        <w:t>63: pp. 3</w:t>
      </w:r>
      <w:r>
        <w:t>22-345.</w:t>
      </w:r>
    </w:p>
    <w:p w14:paraId="1D04D37E" w14:textId="77777777" w:rsidR="00E53EB6" w:rsidRDefault="006500F5">
      <w:pPr>
        <w:pStyle w:val="biblioGEN"/>
      </w:pPr>
      <w:r>
        <w:rPr>
          <w:rStyle w:val="biblio-authorGEN"/>
        </w:rPr>
        <w:t xml:space="preserve">Saussure, F. de. </w:t>
      </w:r>
      <w:r>
        <w:rPr>
          <w:rFonts w:eastAsia="Arial Unicode MS" w:cs="Times Ext Roman"/>
        </w:rPr>
        <w:t xml:space="preserve">1879. </w:t>
      </w:r>
      <w:r>
        <w:rPr>
          <w:rFonts w:eastAsia="Arial Unicode MS" w:cs="Times Ext Roman"/>
          <w:i/>
        </w:rPr>
        <w:t xml:space="preserve">Mémoire sur le système primitif des voyelles dans les langues indoeuropéennes. </w:t>
      </w:r>
      <w:r>
        <w:rPr>
          <w:rFonts w:eastAsia="Arial Unicode MS" w:cs="Times Ext Roman"/>
        </w:rPr>
        <w:t>Leipzig:</w:t>
      </w:r>
      <w:r>
        <w:rPr>
          <w:rFonts w:eastAsia="Arial Unicode MS" w:cs="Times Ext Roman"/>
          <w:i/>
        </w:rPr>
        <w:t xml:space="preserve"> </w:t>
      </w:r>
      <w:r>
        <w:rPr>
          <w:rFonts w:eastAsia="Arial Unicode MS" w:cs="Times Ext Roman"/>
        </w:rPr>
        <w:t>Teubner,.</w:t>
      </w:r>
    </w:p>
    <w:p w14:paraId="5D324A1C" w14:textId="77777777" w:rsidR="00E53EB6" w:rsidRPr="0071345C" w:rsidRDefault="006500F5">
      <w:pPr>
        <w:pStyle w:val="biblioGEN"/>
        <w:rPr>
          <w:lang w:val="de-DE"/>
        </w:rPr>
      </w:pPr>
      <w:r>
        <w:rPr>
          <w:rStyle w:val="biblio-authorGEN"/>
          <w:rFonts w:eastAsia="Arial Unicode MS" w:cs="Times Ext Roman"/>
        </w:rPr>
        <w:t>Scarlata, S</w:t>
      </w:r>
      <w:r>
        <w:rPr>
          <w:rFonts w:eastAsia="Arial Unicode MS" w:cs="Times Ext Roman"/>
          <w:smallCaps/>
        </w:rPr>
        <w:t xml:space="preserve">. </w:t>
      </w:r>
      <w:r>
        <w:rPr>
          <w:rFonts w:eastAsia="Arial Unicode MS" w:cs="Times Ext Roman"/>
        </w:rPr>
        <w:t xml:space="preserve">1999. </w:t>
      </w:r>
      <w:r w:rsidRPr="0071345C">
        <w:rPr>
          <w:rFonts w:eastAsia="Arial Unicode MS" w:cs="Times Ext Roman"/>
          <w:i/>
          <w:lang w:val="de-DE"/>
        </w:rPr>
        <w:t xml:space="preserve">Die Würzelkomposita im </w:t>
      </w:r>
      <w:r w:rsidRPr="0071345C">
        <w:rPr>
          <w:rFonts w:eastAsia="Arial Unicode MS" w:cs="Times Ext Roman"/>
          <w:i/>
          <w:lang w:val="de-DE"/>
        </w:rPr>
        <w:t>Ṛ</w:t>
      </w:r>
      <w:r w:rsidRPr="0071345C">
        <w:rPr>
          <w:rFonts w:eastAsia="Arial Unicode MS" w:cs="Times Ext Roman"/>
          <w:i/>
          <w:lang w:val="de-DE"/>
        </w:rPr>
        <w:t>gveda,</w:t>
      </w:r>
      <w:r w:rsidRPr="0071345C">
        <w:rPr>
          <w:rFonts w:eastAsia="Arial Unicode MS" w:cs="Times Ext Roman"/>
          <w:lang w:val="de-DE"/>
        </w:rPr>
        <w:t xml:space="preserve"> Wiesbaden: Reichert. </w:t>
      </w:r>
    </w:p>
    <w:p w14:paraId="6D51FCFE" w14:textId="77777777" w:rsidR="00E53EB6" w:rsidRPr="0071345C" w:rsidRDefault="006500F5">
      <w:pPr>
        <w:pStyle w:val="biblioGEN"/>
        <w:rPr>
          <w:lang w:val="de-DE"/>
        </w:rPr>
      </w:pPr>
      <w:r w:rsidRPr="0071345C">
        <w:rPr>
          <w:rStyle w:val="biblio-authorGEN"/>
          <w:lang w:val="de-DE"/>
        </w:rPr>
        <w:t xml:space="preserve">Schimdt, H. P. </w:t>
      </w:r>
      <w:r w:rsidRPr="0071345C">
        <w:rPr>
          <w:rFonts w:eastAsia="Arial Unicode MS"/>
          <w:lang w:val="de-DE"/>
        </w:rPr>
        <w:t>1968</w:t>
      </w:r>
      <w:r w:rsidRPr="0071345C">
        <w:rPr>
          <w:rFonts w:eastAsia="Arial Unicode MS"/>
          <w:vertAlign w:val="superscript"/>
          <w:lang w:val="de-DE"/>
        </w:rPr>
        <w:t>a</w:t>
      </w:r>
      <w:r w:rsidRPr="0071345C">
        <w:rPr>
          <w:rFonts w:eastAsia="Arial Unicode MS"/>
          <w:lang w:val="de-DE"/>
        </w:rPr>
        <w:t>.</w:t>
      </w:r>
      <w:r w:rsidRPr="0071345C">
        <w:rPr>
          <w:rFonts w:eastAsia="Arial Unicode MS" w:cs="Times Ext Roman"/>
          <w:vertAlign w:val="superscript"/>
          <w:lang w:val="de-DE"/>
        </w:rPr>
        <w:t xml:space="preserve"> </w:t>
      </w:r>
      <w:r w:rsidRPr="0071345C">
        <w:rPr>
          <w:rFonts w:eastAsia="Arial Unicode MS" w:cs="Times Ext Roman"/>
          <w:i/>
          <w:lang w:val="de-DE"/>
        </w:rPr>
        <w:t>B</w:t>
      </w:r>
      <w:r w:rsidRPr="0071345C">
        <w:rPr>
          <w:rFonts w:eastAsia="Arial Unicode MS" w:cs="Times Ext Roman"/>
          <w:i/>
          <w:lang w:val="de-DE"/>
        </w:rPr>
        <w:t>ṛ</w:t>
      </w:r>
      <w:r w:rsidRPr="0071345C">
        <w:rPr>
          <w:rFonts w:eastAsia="Arial Unicode MS" w:cs="Times Ext Roman"/>
          <w:i/>
          <w:lang w:val="de-DE"/>
        </w:rPr>
        <w:t xml:space="preserve">haspati und Indra, </w:t>
      </w:r>
      <w:r w:rsidRPr="0071345C">
        <w:rPr>
          <w:rFonts w:eastAsia="Arial Unicode MS"/>
          <w:i/>
          <w:lang w:val="de-DE"/>
        </w:rPr>
        <w:t>Untersuchung</w:t>
      </w:r>
      <w:r w:rsidRPr="0071345C">
        <w:rPr>
          <w:rFonts w:eastAsia="Arial Unicode MS"/>
          <w:i/>
          <w:lang w:val="de-DE"/>
        </w:rPr>
        <w:t xml:space="preserve">en zur </w:t>
      </w:r>
      <w:r w:rsidRPr="0071345C">
        <w:rPr>
          <w:rFonts w:eastAsia="Arial Unicode MS"/>
          <w:i/>
          <w:lang w:val="de-DE" w:bidi="ar-SA"/>
        </w:rPr>
        <w:t>vedischen</w:t>
      </w:r>
      <w:r w:rsidRPr="0071345C">
        <w:rPr>
          <w:rFonts w:eastAsia="Arial Unicode MS"/>
          <w:i/>
          <w:lang w:val="de-DE"/>
        </w:rPr>
        <w:t xml:space="preserve"> Mythologie und Kulturgeschichte. </w:t>
      </w:r>
      <w:r w:rsidRPr="0071345C">
        <w:rPr>
          <w:rFonts w:eastAsia="Arial Unicode MS"/>
          <w:lang w:val="de-DE"/>
        </w:rPr>
        <w:t xml:space="preserve">Wiesbaden: Harrassowitz. </w:t>
      </w:r>
    </w:p>
    <w:p w14:paraId="7D63A0E5" w14:textId="77777777" w:rsidR="00E53EB6" w:rsidRDefault="006500F5">
      <w:pPr>
        <w:pStyle w:val="biblioGEN"/>
      </w:pPr>
      <w:r w:rsidRPr="0071345C">
        <w:rPr>
          <w:rFonts w:eastAsia="Arial Unicode MS"/>
          <w:lang w:val="de-DE"/>
        </w:rPr>
        <w:t>___. 1968</w:t>
      </w:r>
      <w:r w:rsidRPr="0071345C">
        <w:rPr>
          <w:rFonts w:eastAsia="Arial Unicode MS"/>
          <w:vertAlign w:val="superscript"/>
          <w:lang w:val="de-DE"/>
        </w:rPr>
        <w:t>b</w:t>
      </w:r>
      <w:r w:rsidRPr="0071345C">
        <w:rPr>
          <w:rFonts w:eastAsia="Arial Unicode MS"/>
          <w:lang w:val="de-DE"/>
        </w:rPr>
        <w:t xml:space="preserve">. “Die Komposition von Yasna 49.” In </w:t>
      </w:r>
      <w:r w:rsidRPr="0071345C">
        <w:rPr>
          <w:rFonts w:eastAsia="Arial Unicode MS"/>
          <w:i/>
          <w:iCs/>
          <w:lang w:val="de-DE"/>
        </w:rPr>
        <w:t xml:space="preserve">Pratidānam </w:t>
      </w:r>
      <w:r w:rsidRPr="0071345C">
        <w:rPr>
          <w:rFonts w:eastAsia="Arial Unicode MS"/>
          <w:lang w:val="de-DE"/>
        </w:rPr>
        <w:t xml:space="preserve">(Fs. F.B.J. Kuiper), edited by J.C. Heesterman, G.H. Schokker and V.I. Subramoniam, 170-192. </w:t>
      </w:r>
      <w:r>
        <w:rPr>
          <w:rFonts w:eastAsia="Arial Unicode MS"/>
        </w:rPr>
        <w:t>The Hague: Mounton.</w:t>
      </w:r>
    </w:p>
    <w:p w14:paraId="72205E82" w14:textId="77777777" w:rsidR="00E53EB6" w:rsidRDefault="006500F5">
      <w:pPr>
        <w:pStyle w:val="biblioGEN"/>
      </w:pPr>
      <w:r>
        <w:rPr>
          <w:rFonts w:eastAsia="Arial Unicode MS" w:cs="Times Ext Roman"/>
        </w:rPr>
        <w:lastRenderedPageBreak/>
        <w:t xml:space="preserve">___. 1973. “Vedic Pā́thas.” </w:t>
      </w:r>
      <w:r>
        <w:rPr>
          <w:rFonts w:eastAsia="Arial Unicode MS" w:cs="Times Ext Roman"/>
          <w:i/>
        </w:rPr>
        <w:t>Indo-Iranian Journal</w:t>
      </w:r>
      <w:r>
        <w:rPr>
          <w:rFonts w:eastAsia="Arial Unicode MS" w:cs="Times Ext Roman"/>
        </w:rPr>
        <w:t xml:space="preserve"> 15: pp. 1-39.</w:t>
      </w:r>
    </w:p>
    <w:p w14:paraId="5ED6A207" w14:textId="77777777" w:rsidR="00E53EB6" w:rsidRDefault="006500F5">
      <w:pPr>
        <w:pStyle w:val="biblioGEN"/>
      </w:pPr>
      <w:r>
        <w:rPr>
          <w:rFonts w:eastAsia="Arial Unicode MS" w:cs="Times New Roman"/>
          <w:lang/>
        </w:rPr>
        <w:t xml:space="preserve">___. 1982. </w:t>
      </w:r>
      <w:r>
        <w:rPr>
          <w:rFonts w:eastAsia="Arial Unicode MS" w:cs="Times Ext Roman"/>
          <w:smallCaps/>
        </w:rPr>
        <w:t>“</w:t>
      </w:r>
      <w:r>
        <w:rPr>
          <w:rFonts w:eastAsia="Arial Unicode MS" w:cs="Times Ext Roman"/>
        </w:rPr>
        <w:t>The  Avestan Root(s) van: Homonymy or Polysemy?”</w:t>
      </w:r>
      <w:r>
        <w:rPr>
          <w:rFonts w:eastAsia="Arial Unicode MS" w:cs="Times Ext Roman"/>
          <w:i/>
        </w:rPr>
        <w:t xml:space="preserve"> </w:t>
      </w:r>
      <w:r>
        <w:rPr>
          <w:rFonts w:eastAsia="Arial Unicode MS" w:cs="Times Ext Roman"/>
        </w:rPr>
        <w:t>In</w:t>
      </w:r>
      <w:r>
        <w:rPr>
          <w:rFonts w:eastAsia="Arial Unicode MS" w:cs="Times Ext Roman"/>
        </w:rPr>
        <w:t xml:space="preserve"> </w:t>
      </w:r>
      <w:r>
        <w:rPr>
          <w:rFonts w:eastAsia="Arial Unicode MS" w:cs="Times Ext Roman"/>
          <w:i/>
        </w:rPr>
        <w:t xml:space="preserve">Golden Jubilee Volume, </w:t>
      </w:r>
      <w:r>
        <w:rPr>
          <w:rFonts w:eastAsia="Arial Unicode MS" w:cs="Times Ext Roman"/>
        </w:rPr>
        <w:t xml:space="preserve">edited by T. N. Dharmadhikari, </w:t>
      </w:r>
      <w:r>
        <w:rPr>
          <w:rFonts w:eastAsia="Arial Unicode MS" w:cs="Times Ext Roman"/>
        </w:rPr>
        <w:t xml:space="preserve">260-272. </w:t>
      </w:r>
      <w:r>
        <w:rPr>
          <w:rFonts w:eastAsia="Arial Unicode MS" w:cs="Times New Roman"/>
          <w:lang/>
        </w:rPr>
        <w:t>Pune: Vaidika Sa</w:t>
      </w:r>
      <w:r>
        <w:rPr>
          <w:rFonts w:eastAsia="Arial Unicode MS" w:cs="Times New Roman"/>
          <w:lang/>
        </w:rPr>
        <w:t>ṁ</w:t>
      </w:r>
      <w:r>
        <w:rPr>
          <w:rFonts w:eastAsia="Arial Unicode MS" w:cs="Times New Roman"/>
          <w:lang/>
        </w:rPr>
        <w:t>śodhana Ma</w:t>
      </w:r>
      <w:r>
        <w:rPr>
          <w:rFonts w:eastAsia="Arial Unicode MS" w:cs="Times New Roman"/>
          <w:lang/>
        </w:rPr>
        <w:t>ṇḍ</w:t>
      </w:r>
      <w:r>
        <w:rPr>
          <w:rFonts w:eastAsia="Arial Unicode MS" w:cs="Times New Roman"/>
          <w:lang/>
        </w:rPr>
        <w:t>ala.</w:t>
      </w:r>
    </w:p>
    <w:p w14:paraId="6B12C9AC" w14:textId="77777777" w:rsidR="00E53EB6" w:rsidRDefault="006500F5">
      <w:pPr>
        <w:pStyle w:val="biblioGEN"/>
      </w:pPr>
      <w:r>
        <w:rPr>
          <w:rFonts w:eastAsia="Arial Unicode MS" w:cs="Times Ext Roman"/>
          <w:smallCaps/>
        </w:rPr>
        <w:t xml:space="preserve">___. 1985. </w:t>
      </w:r>
      <w:r>
        <w:rPr>
          <w:rFonts w:eastAsia="Arial Unicode MS" w:cs="Times Ext Roman"/>
          <w:i/>
        </w:rPr>
        <w:t>Vedisch vratá und awe</w:t>
      </w:r>
      <w:r>
        <w:rPr>
          <w:rFonts w:eastAsia="Arial Unicode MS" w:cs="Times Ext Roman"/>
          <w:i/>
        </w:rPr>
        <w:t>stisch urw</w:t>
      </w:r>
      <w:r>
        <w:rPr>
          <w:rFonts w:eastAsia="Arial Unicode MS" w:cs="Times Ext Roman"/>
          <w:i/>
        </w:rPr>
        <w:t>ẵ</w:t>
      </w:r>
      <w:r>
        <w:rPr>
          <w:rFonts w:eastAsia="Arial Unicode MS" w:cs="Times Ext Roman"/>
          <w:i/>
        </w:rPr>
        <w:t>ta.</w:t>
      </w:r>
      <w:r>
        <w:rPr>
          <w:rFonts w:eastAsia="Arial Unicode MS" w:cs="Times Ext Roman"/>
        </w:rPr>
        <w:t xml:space="preserve"> Hamburg: Cram, de Gruyter &amp; co.</w:t>
      </w:r>
    </w:p>
    <w:p w14:paraId="4ACFB13D" w14:textId="77777777" w:rsidR="00E53EB6" w:rsidRPr="0071345C" w:rsidRDefault="006500F5">
      <w:pPr>
        <w:pStyle w:val="biblioGEN"/>
        <w:rPr>
          <w:lang w:val="de-DE"/>
        </w:rPr>
      </w:pPr>
      <w:r w:rsidRPr="0071345C">
        <w:rPr>
          <w:rFonts w:eastAsia="Arial Unicode MS" w:cs="Times Ext Roman"/>
          <w:lang w:val="de-DE"/>
        </w:rPr>
        <w:t>Schroeder. L. v. 1879. “Über die Māitrāyā</w:t>
      </w:r>
      <w:r w:rsidRPr="0071345C">
        <w:rPr>
          <w:rFonts w:eastAsia="Arial Unicode MS" w:cs="Times Ext Roman"/>
          <w:lang w:val="de-DE"/>
        </w:rPr>
        <w:t>ṇ</w:t>
      </w:r>
      <w:r w:rsidRPr="0071345C">
        <w:rPr>
          <w:rFonts w:eastAsia="Arial Unicode MS" w:cs="Times Ext Roman"/>
          <w:lang w:val="de-DE"/>
        </w:rPr>
        <w:t>ī Sa</w:t>
      </w:r>
      <w:r w:rsidRPr="0071345C">
        <w:rPr>
          <w:rFonts w:eastAsia="Arial Unicode MS" w:cs="Times Ext Roman"/>
          <w:lang w:val="de-DE"/>
        </w:rPr>
        <w:t>ṃ</w:t>
      </w:r>
      <w:r w:rsidRPr="0071345C">
        <w:rPr>
          <w:rFonts w:eastAsia="Arial Unicode MS" w:cs="Times Ext Roman"/>
          <w:lang w:val="de-DE"/>
        </w:rPr>
        <w:t xml:space="preserve">hitā, ihr Alter, ihr Verhältniss zu den verwandten  Śākhā’s, ihre sprachliche und historische Bedeutung.” in </w:t>
      </w:r>
      <w:r w:rsidRPr="0071345C">
        <w:rPr>
          <w:rFonts w:eastAsia="Arial Unicode MS" w:cs="Times Ext Roman"/>
          <w:i/>
          <w:lang w:val="de-DE"/>
        </w:rPr>
        <w:t>Zeitschrift der Deutschen Morgenländischen Gesellschaft</w:t>
      </w:r>
      <w:r w:rsidRPr="0071345C">
        <w:rPr>
          <w:rFonts w:eastAsia="Arial Unicode MS" w:cs="Times Ext Roman"/>
          <w:i/>
          <w:iCs/>
          <w:lang w:val="de-DE"/>
        </w:rPr>
        <w:t xml:space="preserve"> </w:t>
      </w:r>
      <w:r w:rsidRPr="0071345C">
        <w:rPr>
          <w:rFonts w:eastAsia="Arial Unicode MS" w:cs="Times Ext Roman"/>
          <w:lang w:val="de-DE"/>
        </w:rPr>
        <w:t>33: pp. 177-207.</w:t>
      </w:r>
    </w:p>
    <w:p w14:paraId="1CCF3E6A" w14:textId="77777777" w:rsidR="00E53EB6" w:rsidRPr="0071345C" w:rsidRDefault="006500F5">
      <w:pPr>
        <w:pStyle w:val="biblioGEN"/>
        <w:rPr>
          <w:lang w:val="de-DE"/>
        </w:rPr>
      </w:pPr>
      <w:r w:rsidRPr="0071345C">
        <w:rPr>
          <w:rStyle w:val="biblio-authorGEN"/>
          <w:lang w:val="de-DE"/>
        </w:rPr>
        <w:t xml:space="preserve">Schwab, J. </w:t>
      </w:r>
      <w:r w:rsidRPr="0071345C">
        <w:rPr>
          <w:rFonts w:eastAsia="Arial Unicode MS" w:cs="Times Ext Roman"/>
          <w:lang w:val="de-DE"/>
        </w:rPr>
        <w:t xml:space="preserve">1886. </w:t>
      </w:r>
      <w:r w:rsidRPr="0071345C">
        <w:rPr>
          <w:rFonts w:eastAsia="Arial Unicode MS" w:cs="Times Ext Roman"/>
          <w:i/>
          <w:iCs/>
          <w:lang w:val="de-DE"/>
        </w:rPr>
        <w:t>Das altind</w:t>
      </w:r>
      <w:r w:rsidRPr="0071345C">
        <w:rPr>
          <w:rFonts w:eastAsia="Arial Unicode MS" w:cs="Times Ext Roman"/>
          <w:i/>
          <w:iCs/>
          <w:lang w:val="de-DE"/>
        </w:rPr>
        <w:t>ische Thieropfer.</w:t>
      </w:r>
      <w:r w:rsidRPr="0071345C">
        <w:rPr>
          <w:rFonts w:eastAsia="Arial Unicode MS" w:cs="Times Ext Roman"/>
          <w:lang w:val="de-DE"/>
        </w:rPr>
        <w:t xml:space="preserve"> Erlangen: Deichert .</w:t>
      </w:r>
    </w:p>
    <w:p w14:paraId="559A2666" w14:textId="77777777" w:rsidR="00E53EB6" w:rsidRDefault="006500F5">
      <w:pPr>
        <w:pStyle w:val="biblioGEN"/>
      </w:pPr>
      <w:r w:rsidRPr="0071345C">
        <w:rPr>
          <w:rStyle w:val="biblio-authorGEN"/>
          <w:lang w:val="de-DE"/>
        </w:rPr>
        <w:t xml:space="preserve">Smith, B. K. </w:t>
      </w:r>
      <w:r w:rsidRPr="0071345C">
        <w:rPr>
          <w:rFonts w:eastAsia="Arial Unicode MS" w:cs="Times Ext Roman"/>
          <w:smallCaps/>
          <w:lang w:val="de-DE"/>
        </w:rPr>
        <w:t xml:space="preserve">1998. </w:t>
      </w:r>
      <w:r>
        <w:rPr>
          <w:rFonts w:eastAsia="Arial Unicode MS" w:cs="Times Ext Roman"/>
          <w:i/>
        </w:rPr>
        <w:t xml:space="preserve">Reflections on Resemblance, Ritual, and Religion. </w:t>
      </w:r>
      <w:r>
        <w:rPr>
          <w:rFonts w:eastAsia="Arial Unicode MS" w:cs="Times Ext Roman"/>
        </w:rPr>
        <w:t>Delhi: Motilal Banarsidass.</w:t>
      </w:r>
      <w:r>
        <w:rPr>
          <w:rFonts w:eastAsia="Arial Unicode MS" w:cs="Times Ext Roman"/>
          <w:i/>
        </w:rPr>
        <w:t xml:space="preserve"> </w:t>
      </w:r>
    </w:p>
    <w:p w14:paraId="15BFF23F" w14:textId="77777777" w:rsidR="00E53EB6" w:rsidRDefault="006500F5">
      <w:pPr>
        <w:pStyle w:val="biblioGEN"/>
      </w:pPr>
      <w:r>
        <w:rPr>
          <w:rStyle w:val="biblio-authorGEN"/>
        </w:rPr>
        <w:t xml:space="preserve">Sparreboom, M. </w:t>
      </w:r>
      <w:r>
        <w:rPr>
          <w:rFonts w:eastAsia="Arial Unicode MS"/>
        </w:rPr>
        <w:t xml:space="preserve">1985. </w:t>
      </w:r>
      <w:r>
        <w:rPr>
          <w:rFonts w:eastAsia="Arial Unicode MS"/>
          <w:i/>
        </w:rPr>
        <w:t>Chariots in the Veda.</w:t>
      </w:r>
      <w:r>
        <w:rPr>
          <w:rFonts w:eastAsia="Arial Unicode MS"/>
        </w:rPr>
        <w:t xml:space="preserve"> Leiden: Brill. </w:t>
      </w:r>
    </w:p>
    <w:p w14:paraId="7FBD1088" w14:textId="77777777" w:rsidR="00E53EB6" w:rsidRPr="0071345C" w:rsidRDefault="006500F5">
      <w:pPr>
        <w:pStyle w:val="biblioGEN"/>
        <w:rPr>
          <w:lang w:val="it-IT"/>
        </w:rPr>
      </w:pPr>
      <w:r>
        <w:rPr>
          <w:rStyle w:val="biblio-authorGEN"/>
        </w:rPr>
        <w:t xml:space="preserve">Srinivasan, D. </w:t>
      </w:r>
      <w:r>
        <w:rPr>
          <w:rFonts w:eastAsia="Arial Unicode MS"/>
        </w:rPr>
        <w:t>1979</w:t>
      </w:r>
      <w:r>
        <w:rPr>
          <w:rFonts w:eastAsia="Arial Unicode MS" w:cs="Times Ext Roman"/>
          <w:smallCaps/>
        </w:rPr>
        <w:t xml:space="preserve">. </w:t>
      </w:r>
      <w:r>
        <w:rPr>
          <w:rFonts w:eastAsia="Arial Unicode MS" w:cs="Times Ext Roman"/>
          <w:i/>
          <w:smallCaps/>
        </w:rPr>
        <w:t xml:space="preserve"> </w:t>
      </w:r>
      <w:r>
        <w:rPr>
          <w:rFonts w:eastAsia="Arial Unicode MS" w:cs="Times Ext Roman"/>
          <w:i/>
        </w:rPr>
        <w:t>Concept of cow in the Rigveda.</w:t>
      </w:r>
      <w:r>
        <w:rPr>
          <w:rFonts w:eastAsia="Arial Unicode MS" w:cs="Times Ext Roman"/>
        </w:rPr>
        <w:t xml:space="preserve"> </w:t>
      </w:r>
      <w:r w:rsidRPr="0071345C">
        <w:rPr>
          <w:rFonts w:eastAsia="Arial Unicode MS"/>
          <w:lang w:val="it-IT"/>
        </w:rPr>
        <w:t xml:space="preserve">Delhi: </w:t>
      </w:r>
      <w:r w:rsidRPr="0071345C">
        <w:rPr>
          <w:rFonts w:eastAsia="Arial Unicode MS" w:cs="Times Ext Roman"/>
          <w:lang w:val="it-IT"/>
        </w:rPr>
        <w:t>Motilal Banarsidass</w:t>
      </w:r>
      <w:r w:rsidRPr="0071345C">
        <w:rPr>
          <w:rFonts w:eastAsia="Arial Unicode MS"/>
          <w:lang w:val="it-IT"/>
        </w:rPr>
        <w:t xml:space="preserve">. </w:t>
      </w:r>
    </w:p>
    <w:p w14:paraId="133033B6" w14:textId="77777777" w:rsidR="00E53EB6" w:rsidRDefault="006500F5">
      <w:pPr>
        <w:pStyle w:val="biblioGEN"/>
      </w:pPr>
      <w:r w:rsidRPr="0071345C">
        <w:rPr>
          <w:rStyle w:val="biblio-authorGEN"/>
          <w:lang w:val="it-IT"/>
        </w:rPr>
        <w:t xml:space="preserve">Staal, F. </w:t>
      </w:r>
      <w:r w:rsidRPr="0071345C">
        <w:rPr>
          <w:rStyle w:val="biblio-authorGEN"/>
          <w:rFonts w:eastAsia="Arial Unicode MS"/>
          <w:lang w:val="it-IT"/>
        </w:rPr>
        <w:t>1983</w:t>
      </w:r>
      <w:r w:rsidRPr="0071345C">
        <w:rPr>
          <w:rFonts w:eastAsia="Arial Unicode MS"/>
          <w:lang w:val="it-IT"/>
        </w:rPr>
        <w:t xml:space="preserve">. </w:t>
      </w:r>
      <w:r>
        <w:rPr>
          <w:rFonts w:eastAsia="Arial Unicode MS"/>
          <w:i/>
          <w:iCs/>
        </w:rPr>
        <w:t>Agni. The vedic ritual of the Fire Altar.</w:t>
      </w:r>
      <w:r>
        <w:rPr>
          <w:rFonts w:eastAsia="Arial Unicode MS"/>
        </w:rPr>
        <w:t xml:space="preserve"> Berkeley: Asian Humanities Press.</w:t>
      </w:r>
    </w:p>
    <w:p w14:paraId="3B3C7BCC" w14:textId="77777777" w:rsidR="00E53EB6" w:rsidRDefault="006500F5">
      <w:pPr>
        <w:pStyle w:val="biblioGEN"/>
      </w:pPr>
      <w:r>
        <w:rPr>
          <w:rStyle w:val="biblio-authorGEN"/>
          <w:rFonts w:eastAsia="Arial Unicode MS"/>
        </w:rPr>
        <w:t xml:space="preserve">___. </w:t>
      </w:r>
      <w:r>
        <w:rPr>
          <w:rFonts w:eastAsia="Arial Unicode MS"/>
        </w:rPr>
        <w:t xml:space="preserve">1989. </w:t>
      </w:r>
      <w:r>
        <w:rPr>
          <w:rFonts w:eastAsia="Arial Unicode MS"/>
          <w:i/>
        </w:rPr>
        <w:t>Rules without meaning: ritual, mantras and the human sciences.</w:t>
      </w:r>
      <w:r>
        <w:rPr>
          <w:rFonts w:eastAsia="Arial Unicode MS"/>
        </w:rPr>
        <w:t xml:space="preserve"> New York-Bern- Frankfurt am Main-Paris: Lang.</w:t>
      </w:r>
    </w:p>
    <w:p w14:paraId="1A66212C" w14:textId="77777777" w:rsidR="00E53EB6" w:rsidRDefault="006500F5">
      <w:pPr>
        <w:pStyle w:val="biblioGEN"/>
      </w:pPr>
      <w:r>
        <w:rPr>
          <w:rStyle w:val="biblio-authorGEN"/>
        </w:rPr>
        <w:t xml:space="preserve">Sturtevant, E. </w:t>
      </w:r>
      <w:r>
        <w:rPr>
          <w:rStyle w:val="biblio-authorGEN"/>
        </w:rPr>
        <w:t xml:space="preserve">H. </w:t>
      </w:r>
      <w:r>
        <w:rPr>
          <w:rFonts w:eastAsia="Arial Unicode MS" w:cs="Times Ext Roman"/>
        </w:rPr>
        <w:t xml:space="preserve">1942. </w:t>
      </w:r>
      <w:r>
        <w:rPr>
          <w:rFonts w:eastAsia="Arial Unicode MS" w:cs="Times Ext Roman"/>
          <w:i/>
        </w:rPr>
        <w:t>The Indo-Hittite Laryngeals.</w:t>
      </w:r>
      <w:r>
        <w:rPr>
          <w:rFonts w:eastAsia="Arial Unicode MS" w:cs="Times Ext Roman"/>
        </w:rPr>
        <w:t xml:space="preserve"> Baltimore: Linguistic Society of America.</w:t>
      </w:r>
    </w:p>
    <w:p w14:paraId="5B134337" w14:textId="77777777" w:rsidR="00E53EB6" w:rsidRDefault="006500F5">
      <w:pPr>
        <w:pStyle w:val="biblioGEN"/>
      </w:pPr>
      <w:r>
        <w:rPr>
          <w:rStyle w:val="biblio-authorGEN"/>
        </w:rPr>
        <w:t xml:space="preserve">Szmerényi, O.  </w:t>
      </w:r>
      <w:r>
        <w:rPr>
          <w:rFonts w:eastAsia="Arial Unicode MS"/>
          <w:smallCaps/>
        </w:rPr>
        <w:t>1967. “</w:t>
      </w:r>
      <w:r>
        <w:rPr>
          <w:rFonts w:eastAsia="Arial Unicode MS"/>
        </w:rPr>
        <w:t xml:space="preserve">The New Look of Indoeuropean. Recostruction and Typology.” </w:t>
      </w:r>
      <w:r>
        <w:rPr>
          <w:rFonts w:eastAsia="Arial Unicode MS"/>
          <w:i/>
        </w:rPr>
        <w:t>Phonetica</w:t>
      </w:r>
      <w:r>
        <w:rPr>
          <w:rFonts w:eastAsia="Arial Unicode MS"/>
        </w:rPr>
        <w:t xml:space="preserve"> XVII: pp. 65-99.</w:t>
      </w:r>
    </w:p>
    <w:p w14:paraId="0D067198" w14:textId="77777777" w:rsidR="00E53EB6" w:rsidRPr="0071345C" w:rsidRDefault="006500F5">
      <w:pPr>
        <w:pStyle w:val="biblioGEN"/>
        <w:rPr>
          <w:lang w:val="it-IT"/>
        </w:rPr>
      </w:pPr>
      <w:r w:rsidRPr="0071345C">
        <w:rPr>
          <w:rFonts w:eastAsia="Arial Unicode MS"/>
          <w:lang w:val="de-DE"/>
        </w:rPr>
        <w:t xml:space="preserve">___. 1973. “La theorie des laryngales de Saussure à Kurylowicz et à </w:t>
      </w:r>
      <w:r w:rsidRPr="0071345C">
        <w:rPr>
          <w:rFonts w:eastAsia="Arial Unicode MS"/>
          <w:lang w:val="de-DE"/>
        </w:rPr>
        <w:t xml:space="preserve">Benveniste. </w:t>
      </w:r>
      <w:r w:rsidRPr="0071345C">
        <w:rPr>
          <w:rFonts w:eastAsia="Arial Unicode MS"/>
          <w:lang w:val="it-IT"/>
        </w:rPr>
        <w:t>Essais de réévaluation.”</w:t>
      </w:r>
      <w:r w:rsidRPr="0071345C">
        <w:rPr>
          <w:rFonts w:eastAsia="Arial Unicode MS"/>
          <w:i/>
          <w:lang w:val="it-IT"/>
        </w:rPr>
        <w:t xml:space="preserve"> </w:t>
      </w:r>
      <w:r w:rsidRPr="0071345C">
        <w:rPr>
          <w:rFonts w:eastAsia="Arial Unicode MS"/>
          <w:lang w:val="it-IT"/>
        </w:rPr>
        <w:t xml:space="preserve"> </w:t>
      </w:r>
      <w:r w:rsidRPr="0071345C">
        <w:rPr>
          <w:rFonts w:eastAsia="Arial Unicode MS"/>
          <w:i/>
          <w:lang w:val="it-IT"/>
        </w:rPr>
        <w:t xml:space="preserve">Bulletin de la Société de Linguistique </w:t>
      </w:r>
      <w:r w:rsidRPr="0071345C">
        <w:rPr>
          <w:rFonts w:eastAsia="Arial Unicode MS"/>
          <w:lang w:val="it-IT"/>
        </w:rPr>
        <w:t>68: pp. 1-25.</w:t>
      </w:r>
    </w:p>
    <w:p w14:paraId="4B409B2D" w14:textId="77777777" w:rsidR="00E53EB6" w:rsidRPr="0071345C" w:rsidRDefault="006500F5">
      <w:pPr>
        <w:pStyle w:val="biblioGEN"/>
        <w:rPr>
          <w:lang w:val="de-DE"/>
        </w:rPr>
      </w:pPr>
      <w:r w:rsidRPr="0071345C">
        <w:rPr>
          <w:rFonts w:eastAsia="Arial Unicode MS"/>
          <w:lang w:val="de-DE"/>
        </w:rPr>
        <w:t xml:space="preserve">___. 1989. </w:t>
      </w:r>
      <w:r w:rsidRPr="0071345C">
        <w:rPr>
          <w:rFonts w:eastAsia="Arial Unicode MS"/>
          <w:i/>
          <w:lang w:val="de-DE"/>
        </w:rPr>
        <w:t xml:space="preserve">Einführung in die vergleichende Sprachwissenschaft. </w:t>
      </w:r>
      <w:r w:rsidRPr="0071345C">
        <w:rPr>
          <w:rFonts w:eastAsia="Arial Unicode MS"/>
          <w:lang w:val="de-DE"/>
        </w:rPr>
        <w:t>III ed.</w:t>
      </w:r>
      <w:r w:rsidRPr="0071345C">
        <w:rPr>
          <w:rFonts w:eastAsia="Arial Unicode MS"/>
          <w:lang w:val="de-DE"/>
        </w:rPr>
        <w:t xml:space="preserve"> Darmstadt: Wissenschaftliche Buchgesellschaft.</w:t>
      </w:r>
    </w:p>
    <w:p w14:paraId="088DE7B7" w14:textId="77777777" w:rsidR="00E53EB6" w:rsidRPr="0071345C" w:rsidRDefault="006500F5">
      <w:pPr>
        <w:pStyle w:val="biblioGEN"/>
        <w:rPr>
          <w:lang w:val="de-DE"/>
        </w:rPr>
      </w:pPr>
      <w:r w:rsidRPr="0071345C">
        <w:rPr>
          <w:rStyle w:val="biblio-authorGEN"/>
          <w:lang w:val="de-DE"/>
        </w:rPr>
        <w:t>Thieme, P.</w:t>
      </w:r>
      <w:r w:rsidRPr="0071345C">
        <w:rPr>
          <w:lang w:val="de-DE"/>
        </w:rPr>
        <w:t xml:space="preserve"> </w:t>
      </w:r>
      <w:r w:rsidRPr="0071345C">
        <w:rPr>
          <w:rFonts w:eastAsia="Arial Unicode MS" w:cs="Times Ext Roman"/>
          <w:lang w:val="de-DE"/>
        </w:rPr>
        <w:t xml:space="preserve">1938. </w:t>
      </w:r>
      <w:r w:rsidRPr="0071345C">
        <w:rPr>
          <w:rFonts w:eastAsia="Arial Unicode MS" w:cs="Times Ext Roman"/>
          <w:i/>
          <w:lang w:val="de-DE"/>
        </w:rPr>
        <w:t xml:space="preserve">Der Fremdling im </w:t>
      </w:r>
      <w:r w:rsidRPr="0071345C">
        <w:rPr>
          <w:rFonts w:eastAsia="Arial Unicode MS" w:cs="Times Ext Roman"/>
          <w:i/>
          <w:lang w:val="de-DE"/>
        </w:rPr>
        <w:t>Ṛ</w:t>
      </w:r>
      <w:r w:rsidRPr="0071345C">
        <w:rPr>
          <w:rFonts w:eastAsia="Arial Unicode MS" w:cs="Times Ext Roman"/>
          <w:i/>
          <w:lang w:val="de-DE"/>
        </w:rPr>
        <w:t>gveda.</w:t>
      </w:r>
      <w:r w:rsidRPr="0071345C">
        <w:rPr>
          <w:rFonts w:eastAsia="Arial Unicode MS" w:cs="Times Ext Roman"/>
          <w:lang w:val="de-DE"/>
        </w:rPr>
        <w:t xml:space="preserve"> Leipz</w:t>
      </w:r>
      <w:r w:rsidRPr="0071345C">
        <w:rPr>
          <w:rFonts w:eastAsia="Arial Unicode MS" w:cs="Times Ext Roman"/>
          <w:lang w:val="de-DE"/>
        </w:rPr>
        <w:t>ig: Abhandlungen für die Kunde des Morgenlandes.</w:t>
      </w:r>
    </w:p>
    <w:p w14:paraId="46FF0D34" w14:textId="77777777" w:rsidR="00E53EB6" w:rsidRPr="0071345C" w:rsidRDefault="006500F5">
      <w:pPr>
        <w:pStyle w:val="biblioGEN"/>
        <w:rPr>
          <w:lang w:val="de-DE"/>
        </w:rPr>
      </w:pPr>
      <w:r w:rsidRPr="0071345C">
        <w:rPr>
          <w:rFonts w:eastAsia="Arial Unicode MS" w:cs="Times Ext Roman"/>
          <w:lang w:val="de-DE"/>
        </w:rPr>
        <w:t xml:space="preserve">___. 1949. </w:t>
      </w:r>
      <w:r w:rsidRPr="0071345C">
        <w:rPr>
          <w:rFonts w:eastAsia="Arial Unicode MS" w:cs="Times Ext Roman"/>
          <w:i/>
          <w:lang w:val="de-DE"/>
        </w:rPr>
        <w:t>Untersuchungen zur Wortkunde und Auslegung des Rigveda.</w:t>
      </w:r>
      <w:r w:rsidRPr="0071345C">
        <w:rPr>
          <w:rFonts w:eastAsia="Arial Unicode MS" w:cs="Times Ext Roman"/>
          <w:lang w:val="de-DE"/>
        </w:rPr>
        <w:t xml:space="preserve"> Halle an der Saale: </w:t>
      </w:r>
      <w:r w:rsidRPr="0071345C">
        <w:rPr>
          <w:rFonts w:eastAsia="Arial Unicode MS"/>
          <w:lang w:val="de-DE"/>
        </w:rPr>
        <w:t>Niemeyer</w:t>
      </w:r>
      <w:r w:rsidRPr="0071345C">
        <w:rPr>
          <w:rFonts w:eastAsia="Arial Unicode MS" w:cs="Times Ext Roman"/>
          <w:lang w:val="de-DE"/>
        </w:rPr>
        <w:t>.</w:t>
      </w:r>
    </w:p>
    <w:p w14:paraId="41AA66CC" w14:textId="77777777" w:rsidR="00E53EB6" w:rsidRPr="0071345C" w:rsidRDefault="006500F5">
      <w:pPr>
        <w:pStyle w:val="biblioGEN"/>
        <w:rPr>
          <w:lang w:val="de-DE"/>
        </w:rPr>
      </w:pPr>
      <w:r w:rsidRPr="0071345C">
        <w:rPr>
          <w:rFonts w:eastAsia="Arial Unicode MS" w:cs="Times Ext Roman"/>
          <w:lang w:val="de-DE"/>
        </w:rPr>
        <w:t xml:space="preserve">___. 1952. </w:t>
      </w:r>
      <w:r w:rsidRPr="0071345C">
        <w:rPr>
          <w:rFonts w:eastAsia="Arial Unicode MS" w:cs="Times Ext Roman"/>
          <w:i/>
          <w:lang w:val="de-DE"/>
        </w:rPr>
        <w:t xml:space="preserve">Studien für Indogermanischen Wortkunde und Religionsgeschichte. </w:t>
      </w:r>
      <w:r w:rsidRPr="0071345C">
        <w:rPr>
          <w:rFonts w:eastAsia="Arial Unicode MS" w:cs="Times Ext Roman"/>
          <w:lang w:val="de-DE"/>
        </w:rPr>
        <w:t xml:space="preserve">Berlin: Akademische Verlag. </w:t>
      </w:r>
    </w:p>
    <w:p w14:paraId="413670F5" w14:textId="77777777" w:rsidR="00E53EB6" w:rsidRPr="0071345C" w:rsidRDefault="006500F5">
      <w:pPr>
        <w:pStyle w:val="biblioGEN"/>
        <w:rPr>
          <w:lang w:val="de-DE"/>
        </w:rPr>
      </w:pPr>
      <w:r w:rsidRPr="0071345C">
        <w:rPr>
          <w:rFonts w:eastAsia="Arial Unicode MS" w:cs="Times Ext Roman"/>
          <w:lang w:val="de-DE"/>
        </w:rPr>
        <w:t>___. 1</w:t>
      </w:r>
      <w:r w:rsidRPr="0071345C">
        <w:rPr>
          <w:rFonts w:eastAsia="Arial Unicode MS" w:cs="Times Ext Roman"/>
          <w:lang w:val="de-DE"/>
        </w:rPr>
        <w:t xml:space="preserve">967. </w:t>
      </w:r>
      <w:r w:rsidRPr="0071345C">
        <w:rPr>
          <w:rFonts w:eastAsia="Arial Unicode MS" w:cs="Times Ext Roman"/>
          <w:lang w:val="de-DE" w:bidi="ar-SA"/>
        </w:rPr>
        <w:t>“</w:t>
      </w:r>
      <w:r w:rsidRPr="0071345C">
        <w:rPr>
          <w:rFonts w:eastAsia="Arial Unicode MS" w:cs="Times Ext Roman"/>
          <w:lang w:val="de-DE"/>
        </w:rPr>
        <w:t xml:space="preserve">Vedisch </w:t>
      </w:r>
      <w:r w:rsidRPr="0071345C">
        <w:rPr>
          <w:rFonts w:eastAsia="Arial Unicode MS" w:cs="Times Ext Roman"/>
          <w:i/>
          <w:iCs/>
          <w:lang w:val="de-DE"/>
        </w:rPr>
        <w:t>manī</w:t>
      </w:r>
      <w:r w:rsidRPr="0071345C">
        <w:rPr>
          <w:rFonts w:eastAsia="Arial Unicode MS" w:cs="Times Ext Roman"/>
          <w:i/>
          <w:iCs/>
          <w:lang w:val="de-DE"/>
        </w:rPr>
        <w:t>ṣ</w:t>
      </w:r>
      <w:r w:rsidRPr="0071345C">
        <w:rPr>
          <w:rFonts w:eastAsia="Arial Unicode MS" w:cs="Times Ext Roman"/>
          <w:i/>
          <w:iCs/>
          <w:lang w:val="de-DE"/>
        </w:rPr>
        <w:t>ā</w:t>
      </w:r>
      <w:r w:rsidRPr="0071345C">
        <w:rPr>
          <w:rFonts w:eastAsia="Arial Unicode MS" w:cs="Times Ext Roman"/>
          <w:lang w:val="de-DE"/>
        </w:rPr>
        <w:t>.́</w:t>
      </w:r>
      <w:r w:rsidRPr="0071345C">
        <w:rPr>
          <w:rFonts w:eastAsia="Arial Unicode MS" w:cs="Times Ext Roman"/>
          <w:lang w:val="de-DE" w:bidi="ar-SA"/>
        </w:rPr>
        <w:t xml:space="preserve">” In </w:t>
      </w:r>
      <w:r w:rsidRPr="0071345C">
        <w:rPr>
          <w:rFonts w:eastAsia="Arial Unicode MS" w:cs="Times Ext Roman"/>
          <w:i/>
          <w:iCs/>
          <w:lang w:val="de-DE"/>
        </w:rPr>
        <w:t>Beiträge zur Indogermanistik und Keltologie: Julius Pokorny zum 80. Geburtstag gewidmet,</w:t>
      </w:r>
      <w:r w:rsidRPr="0071345C">
        <w:rPr>
          <w:rFonts w:eastAsia="Arial Unicode MS" w:cs="Times Ext Roman"/>
          <w:lang w:val="de-DE"/>
        </w:rPr>
        <w:t xml:space="preserve"> </w:t>
      </w:r>
      <w:r w:rsidRPr="0071345C">
        <w:rPr>
          <w:rFonts w:eastAsia="Arial Unicode MS" w:cs="Times Ext Roman"/>
          <w:lang w:val="de-DE"/>
        </w:rPr>
        <w:t xml:space="preserve">edited by W. Meid, 99-106. </w:t>
      </w:r>
      <w:r w:rsidRPr="0071345C">
        <w:rPr>
          <w:rFonts w:eastAsia="Arial Unicode MS" w:cs="Times Ext Roman"/>
          <w:lang w:val="de-DE"/>
        </w:rPr>
        <w:t xml:space="preserve">Innsbruck: Sprachwissenschaftliches Institut der Universität Innsbruck. </w:t>
      </w:r>
    </w:p>
    <w:p w14:paraId="60984077" w14:textId="77777777" w:rsidR="00E53EB6" w:rsidRPr="0071345C" w:rsidRDefault="006500F5">
      <w:pPr>
        <w:pStyle w:val="biblioGEN"/>
        <w:rPr>
          <w:lang w:val="de-DE"/>
        </w:rPr>
      </w:pPr>
      <w:r w:rsidRPr="0071345C">
        <w:rPr>
          <w:rFonts w:eastAsia="Arial Unicode MS" w:cs="Times Ext Roman"/>
          <w:lang w:val="de-DE"/>
        </w:rPr>
        <w:t>___. 1967</w:t>
      </w:r>
      <w:r w:rsidRPr="0071345C">
        <w:rPr>
          <w:rFonts w:eastAsia="Arial Unicode MS" w:cs="Times Ext Roman"/>
          <w:vertAlign w:val="superscript"/>
          <w:lang w:val="de-DE"/>
        </w:rPr>
        <w:t>a</w:t>
      </w:r>
      <w:r w:rsidRPr="0071345C">
        <w:rPr>
          <w:rFonts w:eastAsia="Arial Unicode MS" w:cs="Times Ext Roman"/>
          <w:lang w:val="de-DE"/>
        </w:rPr>
        <w:t>. “</w:t>
      </w:r>
      <w:r w:rsidRPr="0071345C">
        <w:rPr>
          <w:rFonts w:eastAsia="Arial Unicode MS" w:cs="Times Ext Roman"/>
          <w:i/>
          <w:iCs/>
          <w:lang w:val="de-DE"/>
        </w:rPr>
        <w:t>kr̥</w:t>
      </w:r>
      <w:r w:rsidRPr="0071345C">
        <w:rPr>
          <w:rFonts w:eastAsia="Arial Unicode MS" w:cs="Times Ext Roman"/>
          <w:i/>
          <w:iCs/>
          <w:lang w:val="de-DE"/>
        </w:rPr>
        <w:t>ṣṭ</w:t>
      </w:r>
      <w:r w:rsidRPr="0071345C">
        <w:rPr>
          <w:rFonts w:eastAsia="Arial Unicode MS" w:cs="Times Ext Roman"/>
          <w:i/>
          <w:iCs/>
          <w:lang w:val="de-DE"/>
        </w:rPr>
        <w:t xml:space="preserve">í </w:t>
      </w:r>
      <w:r w:rsidRPr="0071345C">
        <w:rPr>
          <w:rFonts w:eastAsia="Arial Unicode MS" w:cs="Times Ext Roman"/>
          <w:lang w:val="de-DE"/>
        </w:rPr>
        <w:t xml:space="preserve">und </w:t>
      </w:r>
      <w:r w:rsidRPr="0071345C">
        <w:rPr>
          <w:rFonts w:eastAsia="Arial Unicode MS" w:cs="Times Ext Roman"/>
          <w:i/>
          <w:iCs/>
          <w:lang w:val="de-DE"/>
        </w:rPr>
        <w:t>car</w:t>
      </w:r>
      <w:r w:rsidRPr="0071345C">
        <w:rPr>
          <w:rFonts w:eastAsia="Arial Unicode MS" w:cs="Times Ext Roman"/>
          <w:i/>
          <w:iCs/>
          <w:lang w:val="de-DE"/>
        </w:rPr>
        <w:t>ṣ</w:t>
      </w:r>
      <w:r w:rsidRPr="0071345C">
        <w:rPr>
          <w:rFonts w:eastAsia="Arial Unicode MS" w:cs="Times Ext Roman"/>
          <w:i/>
          <w:iCs/>
          <w:lang w:val="de-DE"/>
        </w:rPr>
        <w:t>a</w:t>
      </w:r>
      <w:r w:rsidRPr="0071345C">
        <w:rPr>
          <w:rFonts w:eastAsia="Arial Unicode MS" w:cs="Times Ext Roman"/>
          <w:i/>
          <w:iCs/>
          <w:lang w:val="de-DE"/>
        </w:rPr>
        <w:t>ṇ</w:t>
      </w:r>
      <w:r w:rsidRPr="0071345C">
        <w:rPr>
          <w:rFonts w:eastAsia="Arial Unicode MS" w:cs="Times Ext Roman"/>
          <w:i/>
          <w:iCs/>
          <w:lang w:val="de-DE"/>
        </w:rPr>
        <w:t>í</w:t>
      </w:r>
      <w:r w:rsidRPr="0071345C">
        <w:rPr>
          <w:rFonts w:eastAsia="Arial Unicode MS" w:cs="Times Ext Roman"/>
          <w:lang w:val="de-DE"/>
        </w:rPr>
        <w:t>”, Z</w:t>
      </w:r>
      <w:r w:rsidRPr="0071345C">
        <w:rPr>
          <w:rFonts w:eastAsia="Arial Unicode MS" w:cs="Times Ext Roman"/>
          <w:i/>
          <w:iCs/>
          <w:lang w:val="de-DE"/>
        </w:rPr>
        <w:t xml:space="preserve">eitschrift für Vergleichende Sprachforschung </w:t>
      </w:r>
      <w:r w:rsidRPr="0071345C">
        <w:rPr>
          <w:rFonts w:eastAsia="Arial Unicode MS" w:cs="Times Ext Roman"/>
          <w:lang w:val="de-DE"/>
        </w:rPr>
        <w:t>81: pp.233-244.</w:t>
      </w:r>
    </w:p>
    <w:p w14:paraId="4BEE10C9" w14:textId="77777777" w:rsidR="00E53EB6" w:rsidRPr="0071345C" w:rsidRDefault="006500F5">
      <w:pPr>
        <w:pStyle w:val="biblioGEN"/>
        <w:rPr>
          <w:lang w:val="de-DE"/>
        </w:rPr>
      </w:pPr>
      <w:r w:rsidRPr="0071345C">
        <w:rPr>
          <w:rFonts w:eastAsia="Arial Unicode MS" w:cs="Times Ext Roman"/>
          <w:lang w:val="de-DE"/>
        </w:rPr>
        <w:t xml:space="preserve">___. 1971. </w:t>
      </w:r>
      <w:r w:rsidRPr="0071345C">
        <w:rPr>
          <w:rFonts w:eastAsia="Arial Unicode MS" w:cs="Times Ext Roman"/>
          <w:i/>
          <w:iCs/>
          <w:lang w:val="de-DE"/>
        </w:rPr>
        <w:t>Kleine Schriften</w:t>
      </w:r>
      <w:r w:rsidRPr="0071345C">
        <w:rPr>
          <w:rFonts w:eastAsia="Arial Unicode MS" w:cs="Times Ext Roman"/>
          <w:lang w:val="de-DE"/>
        </w:rPr>
        <w:t>. Wiesbaden: Steiner.</w:t>
      </w:r>
    </w:p>
    <w:p w14:paraId="0706DD05" w14:textId="77777777" w:rsidR="00E53EB6" w:rsidRPr="00B80C6B" w:rsidRDefault="006500F5">
      <w:pPr>
        <w:pStyle w:val="biblioGEN"/>
        <w:rPr>
          <w:lang w:val="de-DE"/>
        </w:rPr>
      </w:pPr>
      <w:r w:rsidRPr="0071345C">
        <w:rPr>
          <w:rFonts w:eastAsia="Arial Unicode MS" w:cs="Times Ext Roman"/>
          <w:lang w:val="de-DE"/>
        </w:rPr>
        <w:t>___. 1975. “The concept of Mitra in Ar</w:t>
      </w:r>
      <w:r w:rsidRPr="0071345C">
        <w:rPr>
          <w:rFonts w:eastAsia="Arial Unicode MS" w:cs="Times Ext Roman"/>
          <w:lang w:val="de-DE"/>
        </w:rPr>
        <w:t xml:space="preserve">yan belief.” </w:t>
      </w:r>
      <w:r>
        <w:rPr>
          <w:rFonts w:eastAsia="Arial Unicode MS" w:cs="Times Ext Roman"/>
        </w:rPr>
        <w:t xml:space="preserve">In </w:t>
      </w:r>
      <w:r>
        <w:rPr>
          <w:rFonts w:eastAsia="Arial Unicode MS" w:cs="Times Ext Roman"/>
          <w:i/>
          <w:iCs/>
        </w:rPr>
        <w:t xml:space="preserve">Mithraic Studies, </w:t>
      </w:r>
      <w:r>
        <w:rPr>
          <w:rFonts w:eastAsia="Arial Unicode MS" w:cs="Times Ext Roman"/>
        </w:rPr>
        <w:t xml:space="preserve">edited by J. Hinnells, 21-39. </w:t>
      </w:r>
      <w:r w:rsidRPr="00B80C6B">
        <w:rPr>
          <w:rFonts w:eastAsia="Arial Unicode MS" w:cs="Times Ext Roman"/>
          <w:lang w:val="de-DE"/>
        </w:rPr>
        <w:t>Manchester: University Press.</w:t>
      </w:r>
    </w:p>
    <w:p w14:paraId="2D59AECE" w14:textId="77777777" w:rsidR="00E53EB6" w:rsidRPr="00B80C6B" w:rsidRDefault="006500F5">
      <w:pPr>
        <w:pStyle w:val="biblioGEN"/>
        <w:rPr>
          <w:lang w:val="de-DE"/>
        </w:rPr>
      </w:pPr>
      <w:r w:rsidRPr="00B80C6B">
        <w:rPr>
          <w:rStyle w:val="biblio-authorGEN"/>
          <w:rFonts w:eastAsia="Arial Unicode MS" w:cs="Times Ext Roman"/>
          <w:lang w:val="de-DE"/>
        </w:rPr>
        <w:t>Tichy, E.</w:t>
      </w:r>
      <w:r w:rsidRPr="00B80C6B">
        <w:rPr>
          <w:rFonts w:eastAsia="Arial Unicode MS" w:cs="Times Ext Roman"/>
          <w:lang w:val="de-DE"/>
        </w:rPr>
        <w:t xml:space="preserve"> 2006. </w:t>
      </w:r>
      <w:r w:rsidRPr="00B80C6B">
        <w:rPr>
          <w:rFonts w:eastAsia="Arial Unicode MS" w:cs="Times Ext Roman"/>
          <w:i/>
          <w:iCs/>
          <w:lang w:val="de-DE"/>
        </w:rPr>
        <w:t xml:space="preserve">Der Konjunktiv und seine Nachbarkategorien: Studien zum indogermanischen Verbum, ausgehend von der älteren vedischen Prosa. </w:t>
      </w:r>
      <w:r w:rsidRPr="00B80C6B">
        <w:rPr>
          <w:rFonts w:eastAsia="Arial Unicode MS" w:cs="Times Ext Roman"/>
          <w:lang w:val="de-DE"/>
        </w:rPr>
        <w:t>Bremen: Hempen.</w:t>
      </w:r>
    </w:p>
    <w:p w14:paraId="6493F232" w14:textId="77777777" w:rsidR="00E53EB6" w:rsidRPr="0071345C" w:rsidRDefault="006500F5">
      <w:pPr>
        <w:pStyle w:val="biblioGEN"/>
        <w:rPr>
          <w:lang w:val="de-DE"/>
        </w:rPr>
      </w:pPr>
      <w:r w:rsidRPr="00B80C6B">
        <w:rPr>
          <w:rStyle w:val="biblio-authorGEN"/>
          <w:rFonts w:eastAsia="Arial Unicode MS" w:cs="Times Ext Roman"/>
          <w:lang w:val="de-DE"/>
        </w:rPr>
        <w:t>Toporo</w:t>
      </w:r>
      <w:r w:rsidRPr="00B80C6B">
        <w:rPr>
          <w:rStyle w:val="biblio-authorGEN"/>
          <w:rFonts w:eastAsia="Arial Unicode MS" w:cs="Times Ext Roman"/>
          <w:lang w:val="de-DE"/>
        </w:rPr>
        <w:t xml:space="preserve">v. V. N. </w:t>
      </w:r>
      <w:r w:rsidRPr="00B80C6B">
        <w:rPr>
          <w:rFonts w:eastAsia="Arial Unicode MS" w:cs="Times Ext Roman"/>
          <w:lang w:val="de-DE"/>
        </w:rPr>
        <w:t xml:space="preserve">1981. “Die indoeuropäische Poetik und ihre Ursprünge.” </w:t>
      </w:r>
      <w:r w:rsidRPr="0071345C">
        <w:rPr>
          <w:rFonts w:eastAsia="Arial Unicode MS" w:cs="Times Ext Roman"/>
          <w:i/>
          <w:iCs/>
          <w:lang w:val="de-DE"/>
        </w:rPr>
        <w:t>Poetica</w:t>
      </w:r>
      <w:r w:rsidRPr="0071345C">
        <w:rPr>
          <w:rFonts w:eastAsia="Arial Unicode MS" w:cs="Times Ext Roman"/>
          <w:lang w:val="de-DE"/>
        </w:rPr>
        <w:t xml:space="preserve"> 13: pp. 189-251.</w:t>
      </w:r>
    </w:p>
    <w:p w14:paraId="1ABF4E72" w14:textId="77777777" w:rsidR="00E53EB6" w:rsidRPr="0071345C" w:rsidRDefault="006500F5">
      <w:pPr>
        <w:pStyle w:val="biblioGEN"/>
        <w:rPr>
          <w:lang w:val="de-DE"/>
        </w:rPr>
      </w:pPr>
      <w:r w:rsidRPr="0071345C">
        <w:rPr>
          <w:rStyle w:val="biblio-authorGEN"/>
          <w:rFonts w:eastAsia="Arial Unicode MS" w:cs="Times Ext Roman"/>
          <w:lang w:val="de-DE"/>
        </w:rPr>
        <w:lastRenderedPageBreak/>
        <w:t xml:space="preserve">Trier, J. </w:t>
      </w:r>
      <w:r w:rsidRPr="0071345C">
        <w:rPr>
          <w:rFonts w:eastAsia="Arial Unicode MS" w:cs="Times Ext Roman"/>
          <w:smallCaps/>
          <w:lang w:val="de-DE"/>
        </w:rPr>
        <w:t xml:space="preserve">1963. </w:t>
      </w:r>
      <w:r w:rsidRPr="0071345C">
        <w:rPr>
          <w:rFonts w:eastAsia="Arial Unicode MS" w:cs="Times Ext Roman"/>
          <w:i/>
          <w:lang w:val="de-DE"/>
        </w:rPr>
        <w:t>Etymologien um das Futterlaub.</w:t>
      </w:r>
      <w:r w:rsidRPr="0071345C">
        <w:rPr>
          <w:rFonts w:eastAsia="Arial Unicode MS" w:cs="Times Ext Roman"/>
          <w:lang w:val="de-DE"/>
        </w:rPr>
        <w:t xml:space="preserve"> Köln-Graz: Böhlau.</w:t>
      </w:r>
    </w:p>
    <w:p w14:paraId="38311C91" w14:textId="77777777" w:rsidR="00E53EB6" w:rsidRPr="0071345C" w:rsidRDefault="006500F5">
      <w:pPr>
        <w:pStyle w:val="biblioGEN"/>
        <w:rPr>
          <w:lang w:val="de-DE"/>
        </w:rPr>
      </w:pPr>
      <w:r w:rsidRPr="0071345C">
        <w:rPr>
          <w:rStyle w:val="biblio-authorGEN"/>
          <w:rFonts w:eastAsia="Arial Unicode MS" w:cs="Times Ext Roman"/>
          <w:lang w:val="de-DE"/>
        </w:rPr>
        <w:t xml:space="preserve">Trümpy, C. 1986. </w:t>
      </w:r>
      <w:r w:rsidRPr="0071345C">
        <w:rPr>
          <w:rFonts w:eastAsia="Arial Unicode MS" w:cs="Times Ext Roman"/>
          <w:i/>
          <w:iCs/>
          <w:lang w:val="de-DE"/>
        </w:rPr>
        <w:t>Vergleich des Mykenischen mit der Sprache der Chorlyrik. Bewahrt die Chorlyrik eine</w:t>
      </w:r>
      <w:r w:rsidRPr="0071345C">
        <w:rPr>
          <w:rFonts w:eastAsia="Arial Unicode MS" w:cs="Times Ext Roman"/>
          <w:i/>
          <w:iCs/>
          <w:lang w:val="de-DE"/>
        </w:rPr>
        <w:t xml:space="preserve"> von Homer unabhängige alte Sprachtradition? </w:t>
      </w:r>
      <w:r w:rsidRPr="0071345C">
        <w:rPr>
          <w:rFonts w:eastAsia="Arial Unicode MS" w:cs="Times Ext Roman"/>
          <w:lang w:val="de-DE"/>
        </w:rPr>
        <w:t>Bern: Lang.</w:t>
      </w:r>
    </w:p>
    <w:p w14:paraId="4F21C682" w14:textId="77777777" w:rsidR="00E53EB6" w:rsidRDefault="006500F5">
      <w:pPr>
        <w:pStyle w:val="biblioGEN"/>
      </w:pPr>
      <w:r>
        <w:rPr>
          <w:rStyle w:val="biblio-authorGEN"/>
          <w:rFonts w:eastAsia="Arial Unicode MS" w:cs="Times Ext Roman"/>
        </w:rPr>
        <w:t>Tsuchiyama, Y.</w:t>
      </w:r>
      <w:r>
        <w:rPr>
          <w:rFonts w:eastAsia="Arial Unicode MS" w:cs="Times Ext Roman"/>
        </w:rPr>
        <w:t xml:space="preserve"> 2005. </w:t>
      </w:r>
      <w:r>
        <w:rPr>
          <w:rFonts w:eastAsia="Arial Unicode MS" w:cs="Times Ext Roman"/>
        </w:rPr>
        <w:t>“Abhi</w:t>
      </w:r>
      <w:r>
        <w:rPr>
          <w:rFonts w:eastAsia="Arial Unicode MS" w:cs="Times Ext Roman"/>
        </w:rPr>
        <w:t>ṣ</w:t>
      </w:r>
      <w:r>
        <w:rPr>
          <w:rFonts w:eastAsia="Arial Unicode MS" w:cs="Times Ext Roman"/>
        </w:rPr>
        <w:t>eka in the Vedic and post-Vedic Rituals.”</w:t>
      </w:r>
      <w:r>
        <w:rPr>
          <w:rFonts w:eastAsia="Arial Unicode MS" w:cs="Times Ext Roman"/>
          <w:i/>
          <w:iCs/>
        </w:rPr>
        <w:t xml:space="preserve"> </w:t>
      </w:r>
      <w:r>
        <w:rPr>
          <w:rFonts w:eastAsia="Arial Unicode MS" w:cs="Times Ext Roman"/>
        </w:rPr>
        <w:t xml:space="preserve">In </w:t>
      </w:r>
      <w:r>
        <w:rPr>
          <w:rFonts w:eastAsia="Arial Unicode MS" w:cs="Times Ext Roman"/>
          <w:i/>
          <w:iCs/>
        </w:rPr>
        <w:t xml:space="preserve">From Material to Deity. Indian Rituals of Consecration, </w:t>
      </w:r>
      <w:r>
        <w:rPr>
          <w:rFonts w:eastAsia="Arial Unicode MS" w:cs="Times Ext Roman"/>
        </w:rPr>
        <w:t>edited by S. Einoo and J. Takashima, 51-93.</w:t>
      </w:r>
      <w:r>
        <w:rPr>
          <w:rFonts w:eastAsia="Arial Unicode MS" w:cs="Times Ext Roman"/>
          <w:i/>
          <w:iCs/>
        </w:rPr>
        <w:t xml:space="preserve"> </w:t>
      </w:r>
      <w:r>
        <w:rPr>
          <w:rFonts w:eastAsia="Arial Unicode MS" w:cs="Times Ext Roman"/>
        </w:rPr>
        <w:t xml:space="preserve">Delhi: Manohar. </w:t>
      </w:r>
    </w:p>
    <w:p w14:paraId="5DC94F47" w14:textId="77777777" w:rsidR="00E53EB6" w:rsidRDefault="006500F5">
      <w:pPr>
        <w:pStyle w:val="biblioGEN"/>
      </w:pPr>
      <w:r>
        <w:rPr>
          <w:rStyle w:val="biblio-authorGEN"/>
        </w:rPr>
        <w:t xml:space="preserve">Tucker, E. </w:t>
      </w:r>
      <w:r>
        <w:rPr>
          <w:rFonts w:eastAsia="Arial Unicode MS" w:cs="Times Ext Roman"/>
          <w:smallCaps/>
        </w:rPr>
        <w:t xml:space="preserve">2006. </w:t>
      </w:r>
      <w:r>
        <w:rPr>
          <w:rFonts w:eastAsia="Arial Unicode MS" w:cs="Times Ext Roman"/>
          <w:i/>
        </w:rPr>
        <w:t xml:space="preserve">The ‘competition’ in RV and AV between stems in –ín and stems in –vant derived from thematic noun. </w:t>
      </w:r>
      <w:r>
        <w:rPr>
          <w:rFonts w:eastAsia="Arial Unicode MS" w:cs="Times Ext Roman"/>
        </w:rPr>
        <w:t>Pa</w:t>
      </w:r>
      <w:r>
        <w:rPr>
          <w:rFonts w:eastAsia="Arial Unicode MS" w:cs="Times Ext Roman"/>
        </w:rPr>
        <w:t>per held at the 13</w:t>
      </w:r>
      <w:r>
        <w:rPr>
          <w:rFonts w:eastAsia="Arial Unicode MS" w:cs="Times Ext Roman"/>
          <w:vertAlign w:val="superscript"/>
        </w:rPr>
        <w:t>th</w:t>
      </w:r>
      <w:r>
        <w:rPr>
          <w:rFonts w:eastAsia="Arial Unicode MS" w:cs="Times Ext Roman"/>
        </w:rPr>
        <w:t xml:space="preserve"> World Sanskrit Conference,  Edinburgh.</w:t>
      </w:r>
    </w:p>
    <w:p w14:paraId="0EF33FC5" w14:textId="77777777" w:rsidR="00E53EB6" w:rsidRPr="0071345C" w:rsidRDefault="006500F5">
      <w:pPr>
        <w:pStyle w:val="biblioGEN"/>
        <w:rPr>
          <w:lang w:val="it-IT"/>
        </w:rPr>
      </w:pPr>
      <w:r>
        <w:rPr>
          <w:rStyle w:val="biblio-authorGEN"/>
          <w:rFonts w:eastAsia="Arial Unicode MS" w:cs="Times Ext Roman"/>
        </w:rPr>
        <w:t xml:space="preserve">Ullmann, S. </w:t>
      </w:r>
      <w:r>
        <w:rPr>
          <w:rFonts w:eastAsia="Arial Unicode MS" w:cs="Times Ext Roman"/>
        </w:rPr>
        <w:t xml:space="preserve">1977. </w:t>
      </w:r>
      <w:r w:rsidRPr="0071345C">
        <w:rPr>
          <w:rFonts w:eastAsia="Arial Unicode MS" w:cs="Times Ext Roman"/>
          <w:i/>
          <w:iCs/>
          <w:lang w:val="it-IT"/>
        </w:rPr>
        <w:t>Principi di semantica. Traduzione di M. Mod</w:t>
      </w:r>
      <w:r w:rsidRPr="0071345C">
        <w:rPr>
          <w:rFonts w:eastAsia="Arial Unicode MS" w:cs="Times Ext Roman"/>
          <w:i/>
          <w:iCs/>
          <w:lang w:val="it-IT"/>
        </w:rPr>
        <w:t>ena Mayer e  A. M. Finoli.</w:t>
      </w:r>
      <w:r w:rsidRPr="0071345C">
        <w:rPr>
          <w:rFonts w:eastAsia="Arial Unicode MS" w:cs="Times Ext Roman"/>
          <w:lang w:val="it-IT"/>
        </w:rPr>
        <w:t xml:space="preserve"> Torino: Einaudi.</w:t>
      </w:r>
    </w:p>
    <w:p w14:paraId="24E22E67" w14:textId="77777777" w:rsidR="00E53EB6" w:rsidRPr="0071345C" w:rsidRDefault="006500F5">
      <w:pPr>
        <w:pStyle w:val="biblioGEN"/>
        <w:rPr>
          <w:lang w:val="it-IT"/>
        </w:rPr>
      </w:pPr>
      <w:r>
        <w:rPr>
          <w:rStyle w:val="biblio-authorGEN"/>
          <w:rFonts w:eastAsia="Arial Unicode MS" w:cs="Times Ext Roman"/>
          <w:szCs w:val="21"/>
          <w:lang w:val="it-IT"/>
        </w:rPr>
        <w:t xml:space="preserve">Vassilkov, Y. </w:t>
      </w:r>
      <w:r>
        <w:rPr>
          <w:rFonts w:eastAsia="Arial Unicode MS" w:cs="Times Ext Roman"/>
          <w:szCs w:val="21"/>
          <w:lang w:val="it-IT"/>
        </w:rPr>
        <w:t xml:space="preserve"> 1995. </w:t>
      </w:r>
      <w:r>
        <w:rPr>
          <w:rFonts w:eastAsia="Arial Unicode MS" w:cs="Times Ext Roman"/>
          <w:szCs w:val="21"/>
          <w:lang w:val="it-IT"/>
        </w:rPr>
        <w:t xml:space="preserve">“The Mahābhārata’s typological Definition reconsidered”, in </w:t>
      </w:r>
      <w:r>
        <w:rPr>
          <w:rFonts w:eastAsia="Arial Unicode MS" w:cs="Times Ext Roman"/>
          <w:i/>
          <w:iCs/>
          <w:szCs w:val="21"/>
          <w:lang w:val="it-IT"/>
        </w:rPr>
        <w:t>Indo-Iranian Journal</w:t>
      </w:r>
      <w:r>
        <w:rPr>
          <w:rFonts w:eastAsia="Arial Unicode MS" w:cs="Times Ext Roman"/>
          <w:szCs w:val="21"/>
          <w:lang w:val="it-IT"/>
        </w:rPr>
        <w:t xml:space="preserve"> 38, pp. 249-256.</w:t>
      </w:r>
      <w:r w:rsidRPr="0071345C">
        <w:rPr>
          <w:rFonts w:eastAsia="Arial Unicode MS" w:cs="Times Ext Roman"/>
          <w:lang w:val="it-IT"/>
        </w:rPr>
        <w:t xml:space="preserve"> </w:t>
      </w:r>
    </w:p>
    <w:p w14:paraId="141AE3FC" w14:textId="77777777" w:rsidR="00E53EB6" w:rsidRPr="0071345C" w:rsidRDefault="006500F5">
      <w:pPr>
        <w:pStyle w:val="biblioGEN"/>
        <w:rPr>
          <w:lang w:val="it-IT"/>
        </w:rPr>
      </w:pPr>
      <w:r w:rsidRPr="0071345C">
        <w:rPr>
          <w:rStyle w:val="biblio-authorGEN"/>
          <w:rFonts w:eastAsia="Arial Unicode MS" w:cs="Times Ext Roman"/>
          <w:lang w:val="it-IT"/>
        </w:rPr>
        <w:t xml:space="preserve">Vishva Bandhu. </w:t>
      </w:r>
      <w:r w:rsidRPr="0071345C">
        <w:rPr>
          <w:rFonts w:eastAsia="Arial Unicode MS" w:cs="Times Ext Roman"/>
          <w:lang w:val="it-IT"/>
        </w:rPr>
        <w:t xml:space="preserve">1935-1965. </w:t>
      </w:r>
      <w:r w:rsidRPr="0071345C">
        <w:rPr>
          <w:rFonts w:eastAsia="Arial Unicode MS" w:cs="Times Ext Roman"/>
          <w:i/>
          <w:iCs/>
          <w:lang w:val="it-IT"/>
        </w:rPr>
        <w:t xml:space="preserve">Vaidika Padānukrama Kośa </w:t>
      </w:r>
      <w:r w:rsidRPr="0071345C">
        <w:rPr>
          <w:rFonts w:eastAsia="Arial Unicode MS" w:cs="Times Ext Roman"/>
          <w:lang w:val="it-IT"/>
        </w:rPr>
        <w:t xml:space="preserve">(A Vedic Word Concordance). 16  </w:t>
      </w:r>
      <w:r w:rsidRPr="0071345C">
        <w:rPr>
          <w:rFonts w:eastAsia="Arial Unicode MS" w:cs="Times Ext Roman"/>
          <w:lang w:val="it-IT"/>
        </w:rPr>
        <w:t>Vols. Lahore/Hoshiarpur: Vishveshvaranand Vedic Research Institute.</w:t>
      </w:r>
    </w:p>
    <w:p w14:paraId="66A907B9" w14:textId="77777777" w:rsidR="00E53EB6" w:rsidRDefault="006500F5">
      <w:pPr>
        <w:pStyle w:val="biblioGEN"/>
      </w:pPr>
      <w:r w:rsidRPr="0071345C">
        <w:rPr>
          <w:rStyle w:val="biblio-authorGEN"/>
          <w:rFonts w:eastAsia="Arial Unicode MS" w:cs="Times Ext Roman"/>
          <w:lang w:val="it-IT"/>
        </w:rPr>
        <w:t>Wackernagel, J.- Debrunner, A.</w:t>
      </w:r>
      <w:r w:rsidRPr="0071345C">
        <w:rPr>
          <w:rFonts w:eastAsia="Arial Unicode MS" w:cs="Times Ext Roman"/>
          <w:lang w:val="it-IT"/>
        </w:rPr>
        <w:t xml:space="preserve"> AiGr.</w:t>
      </w:r>
      <w:r w:rsidRPr="0071345C">
        <w:rPr>
          <w:rFonts w:eastAsia="Arial Unicode MS" w:cs="Times Ext Roman"/>
          <w:smallCaps/>
          <w:lang w:val="it-IT"/>
        </w:rPr>
        <w:t xml:space="preserve"> 1896-1957. </w:t>
      </w:r>
      <w:r w:rsidRPr="0071345C">
        <w:rPr>
          <w:rFonts w:eastAsia="Arial Unicode MS" w:cs="Times Ext Roman"/>
          <w:i/>
          <w:lang w:val="it-IT"/>
        </w:rPr>
        <w:t xml:space="preserve">Altindische Grammatik. </w:t>
      </w:r>
      <w:r>
        <w:rPr>
          <w:rFonts w:eastAsia="Arial Unicode MS" w:cs="Times Ext Roman"/>
        </w:rPr>
        <w:t>3 Vols. Göttingen</w:t>
      </w:r>
      <w:r>
        <w:rPr>
          <w:rFonts w:eastAsia="Arial Unicode MS" w:cs="Times Ext Roman"/>
        </w:rPr>
        <w:t xml:space="preserve">: Vandenhoeck und Ruprecht. </w:t>
      </w:r>
    </w:p>
    <w:p w14:paraId="7D9A217D" w14:textId="77777777" w:rsidR="00E53EB6" w:rsidRDefault="006500F5">
      <w:pPr>
        <w:pStyle w:val="biblioGEN"/>
      </w:pPr>
      <w:r w:rsidRPr="0071345C">
        <w:rPr>
          <w:rStyle w:val="biblio-authorGEN"/>
          <w:rFonts w:eastAsia="Arial Unicode MS" w:cs="Times Ext Roman"/>
          <w:lang w:val="de-DE"/>
        </w:rPr>
        <w:t>Walde, A.</w:t>
      </w:r>
      <w:r w:rsidRPr="0071345C">
        <w:rPr>
          <w:rFonts w:eastAsia="Arial Unicode MS" w:cs="Times Ext Roman"/>
          <w:smallCaps/>
          <w:lang w:val="de-DE"/>
        </w:rPr>
        <w:t xml:space="preserve"> 1927-1932. </w:t>
      </w:r>
      <w:r w:rsidRPr="0071345C">
        <w:rPr>
          <w:rFonts w:eastAsia="Arial Unicode MS" w:cs="Times Ext Roman"/>
          <w:i/>
          <w:lang w:val="de-DE"/>
        </w:rPr>
        <w:t>Vergleichendes Wörterbuch des indogermanischen Spr</w:t>
      </w:r>
      <w:r w:rsidRPr="0071345C">
        <w:rPr>
          <w:rFonts w:eastAsia="Arial Unicode MS" w:cs="Times Ext Roman"/>
          <w:i/>
          <w:lang w:val="de-DE"/>
        </w:rPr>
        <w:t>achen, herausgegeben und bearbeitet von J. Pokorny.</w:t>
      </w:r>
      <w:r w:rsidRPr="0071345C">
        <w:rPr>
          <w:rFonts w:eastAsia="Arial Unicode MS" w:cs="Times Ext Roman"/>
          <w:lang w:val="de-DE"/>
        </w:rPr>
        <w:t xml:space="preserve"> </w:t>
      </w:r>
      <w:r>
        <w:rPr>
          <w:rFonts w:eastAsia="Arial Unicode MS" w:cs="Times Ext Roman"/>
        </w:rPr>
        <w:t>3 Vols. Berlin-Leipzig: Walter de Gruyter &amp; Co.</w:t>
      </w:r>
    </w:p>
    <w:p w14:paraId="1D03BE16" w14:textId="77777777" w:rsidR="00E53EB6" w:rsidRPr="0071345C" w:rsidRDefault="006500F5">
      <w:pPr>
        <w:pStyle w:val="biblioGEN"/>
        <w:rPr>
          <w:lang w:val="de-DE"/>
        </w:rPr>
      </w:pPr>
      <w:r>
        <w:rPr>
          <w:rStyle w:val="biblio-authorGEN"/>
        </w:rPr>
        <w:t xml:space="preserve">Watkins, C. </w:t>
      </w:r>
      <w:r>
        <w:t xml:space="preserve"> </w:t>
      </w:r>
      <w:r>
        <w:rPr>
          <w:rFonts w:eastAsia="Arial Unicode MS"/>
        </w:rPr>
        <w:t xml:space="preserve">1995. </w:t>
      </w:r>
      <w:r>
        <w:rPr>
          <w:rFonts w:eastAsia="Arial Unicode MS"/>
          <w:i/>
        </w:rPr>
        <w:t>How to kill a dragon: aspects of Indo-European poetics.</w:t>
      </w:r>
      <w:r>
        <w:rPr>
          <w:rFonts w:eastAsia="Arial Unicode MS"/>
        </w:rPr>
        <w:t xml:space="preserve"> </w:t>
      </w:r>
      <w:r w:rsidRPr="0071345C">
        <w:rPr>
          <w:rFonts w:eastAsia="Arial Unicode MS"/>
          <w:lang w:val="de-DE"/>
        </w:rPr>
        <w:t>New York: Oxford University Press.</w:t>
      </w:r>
    </w:p>
    <w:p w14:paraId="33A00744" w14:textId="77777777" w:rsidR="00E53EB6" w:rsidRPr="0071345C" w:rsidRDefault="006500F5">
      <w:pPr>
        <w:pStyle w:val="biblioGEN"/>
        <w:rPr>
          <w:lang w:val="de-DE"/>
        </w:rPr>
      </w:pPr>
      <w:r w:rsidRPr="0071345C">
        <w:rPr>
          <w:rStyle w:val="biblio-authorGEN"/>
          <w:rFonts w:eastAsia="Arial Unicode MS"/>
          <w:lang w:val="de-DE"/>
        </w:rPr>
        <w:t xml:space="preserve">Weber, A. </w:t>
      </w:r>
      <w:r w:rsidRPr="0071345C">
        <w:rPr>
          <w:lang w:val="de-DE"/>
        </w:rPr>
        <w:t>1855. “</w:t>
      </w:r>
      <w:r w:rsidRPr="0071345C">
        <w:rPr>
          <w:lang w:val="de-DE"/>
        </w:rPr>
        <w:t xml:space="preserve">Einiges ueber das </w:t>
      </w:r>
      <w:r w:rsidRPr="0071345C">
        <w:rPr>
          <w:lang w:val="de-DE"/>
        </w:rPr>
        <w:t>Kā</w:t>
      </w:r>
      <w:r w:rsidRPr="0071345C">
        <w:rPr>
          <w:lang w:val="de-DE"/>
        </w:rPr>
        <w:t>ṭ</w:t>
      </w:r>
      <w:r w:rsidRPr="0071345C">
        <w:rPr>
          <w:lang w:val="de-DE"/>
        </w:rPr>
        <w:t>hakam</w:t>
      </w:r>
      <w:r w:rsidRPr="0071345C">
        <w:rPr>
          <w:i/>
          <w:iCs/>
          <w:lang w:val="de-DE"/>
        </w:rPr>
        <w:t>”</w:t>
      </w:r>
      <w:r w:rsidRPr="0071345C">
        <w:rPr>
          <w:lang w:val="de-DE"/>
        </w:rPr>
        <w:t xml:space="preserve"> </w:t>
      </w:r>
      <w:r w:rsidRPr="0071345C">
        <w:rPr>
          <w:i/>
          <w:iCs/>
          <w:lang w:val="de-DE"/>
        </w:rPr>
        <w:t>Indische Studien</w:t>
      </w:r>
      <w:r w:rsidRPr="0071345C">
        <w:rPr>
          <w:lang w:val="de-DE"/>
        </w:rPr>
        <w:t xml:space="preserve"> 3: pp. 451-479.</w:t>
      </w:r>
    </w:p>
    <w:p w14:paraId="1D439B2A" w14:textId="77777777" w:rsidR="00E53EB6" w:rsidRPr="0071345C" w:rsidRDefault="006500F5">
      <w:pPr>
        <w:pStyle w:val="biblioGEN"/>
        <w:rPr>
          <w:lang w:val="de-DE"/>
        </w:rPr>
      </w:pPr>
      <w:r w:rsidRPr="0071345C">
        <w:rPr>
          <w:rStyle w:val="biblio-authorGEN"/>
          <w:lang w:val="de-DE"/>
        </w:rPr>
        <w:t xml:space="preserve">Weller, H. </w:t>
      </w:r>
      <w:r w:rsidRPr="0071345C">
        <w:rPr>
          <w:rFonts w:eastAsia="Arial Unicode MS" w:cs="Times Ext Roman"/>
          <w:smallCaps/>
          <w:lang w:val="de-DE"/>
        </w:rPr>
        <w:t xml:space="preserve">1938. </w:t>
      </w:r>
      <w:r w:rsidRPr="0071345C">
        <w:rPr>
          <w:rFonts w:eastAsia="Arial Unicode MS" w:cs="Times Ext Roman"/>
          <w:i/>
          <w:lang w:val="de-DE"/>
        </w:rPr>
        <w:t>Anahita, Grunglegender zur arischen Metrik.</w:t>
      </w:r>
      <w:r w:rsidRPr="0071345C">
        <w:rPr>
          <w:rFonts w:eastAsia="Arial Unicode MS" w:cs="Times Ext Roman"/>
          <w:lang w:val="de-DE"/>
        </w:rPr>
        <w:t xml:space="preserve"> Stuttgart-Berlin: Kohlhammer.</w:t>
      </w:r>
    </w:p>
    <w:p w14:paraId="45A45D78" w14:textId="77777777" w:rsidR="00E53EB6" w:rsidRPr="0071345C" w:rsidRDefault="006500F5">
      <w:pPr>
        <w:pStyle w:val="biblioGEN"/>
        <w:rPr>
          <w:lang w:val="de-DE"/>
        </w:rPr>
      </w:pPr>
      <w:r w:rsidRPr="0071345C">
        <w:rPr>
          <w:rStyle w:val="biblio-authorGEN"/>
          <w:rFonts w:eastAsia="Arial Unicode MS" w:cs="Times Ext Roman"/>
          <w:lang w:val="de-DE"/>
        </w:rPr>
        <w:t xml:space="preserve">Werba, C. H. </w:t>
      </w:r>
      <w:r w:rsidRPr="0071345C">
        <w:rPr>
          <w:rFonts w:eastAsia="Arial Unicode MS" w:cs="Times Ext Roman"/>
          <w:smallCaps/>
          <w:lang w:val="de-DE"/>
        </w:rPr>
        <w:t xml:space="preserve">1997. </w:t>
      </w:r>
      <w:r w:rsidRPr="0071345C">
        <w:rPr>
          <w:rFonts w:eastAsia="Arial Unicode MS"/>
          <w:i/>
          <w:lang w:val="de-DE"/>
        </w:rPr>
        <w:t xml:space="preserve">Verba Indoarica: die primären und sekundären Wurzeln der Sanskrit-Sprache. </w:t>
      </w:r>
      <w:r w:rsidRPr="0071345C">
        <w:rPr>
          <w:rFonts w:eastAsia="Arial Unicode MS"/>
          <w:lang w:val="de-DE"/>
        </w:rPr>
        <w:t xml:space="preserve"> Wien: Österreischen Akadade</w:t>
      </w:r>
      <w:r w:rsidRPr="0071345C">
        <w:rPr>
          <w:rFonts w:eastAsia="Arial Unicode MS"/>
          <w:lang w:val="de-DE"/>
        </w:rPr>
        <w:t>mie der Wissenschaft.</w:t>
      </w:r>
    </w:p>
    <w:p w14:paraId="4DA29BCF" w14:textId="77777777" w:rsidR="00E53EB6" w:rsidRDefault="006500F5">
      <w:pPr>
        <w:pStyle w:val="biblioGEN"/>
      </w:pPr>
      <w:r w:rsidRPr="0071345C">
        <w:rPr>
          <w:rStyle w:val="biblio-authorGEN"/>
          <w:rFonts w:eastAsia="Arial Unicode MS"/>
          <w:lang w:val="de-DE"/>
        </w:rPr>
        <w:t>West, M.L.</w:t>
      </w:r>
      <w:r w:rsidRPr="0071345C">
        <w:rPr>
          <w:rFonts w:eastAsia="Arial Unicode MS"/>
          <w:lang w:val="de-DE"/>
        </w:rPr>
        <w:t xml:space="preserve"> 2007. </w:t>
      </w:r>
      <w:r w:rsidRPr="0071345C">
        <w:rPr>
          <w:rFonts w:eastAsia="Arial Unicode MS"/>
          <w:i/>
          <w:iCs/>
          <w:lang w:val="de-DE"/>
        </w:rPr>
        <w:t>Indo-European Poetry and Myth.</w:t>
      </w:r>
      <w:r w:rsidRPr="0071345C">
        <w:rPr>
          <w:rFonts w:eastAsia="Arial Unicode MS"/>
          <w:lang w:val="de-DE"/>
        </w:rPr>
        <w:t xml:space="preserve"> </w:t>
      </w:r>
      <w:r>
        <w:rPr>
          <w:rFonts w:eastAsia="Arial Unicode MS"/>
        </w:rPr>
        <w:t>Oxford: Oxford University Press.</w:t>
      </w:r>
    </w:p>
    <w:p w14:paraId="72403E85" w14:textId="77777777" w:rsidR="00E53EB6" w:rsidRPr="0071345C" w:rsidRDefault="006500F5">
      <w:pPr>
        <w:pStyle w:val="biblioGEN"/>
        <w:rPr>
          <w:lang w:val="de-DE"/>
        </w:rPr>
      </w:pPr>
      <w:r>
        <w:rPr>
          <w:rStyle w:val="biblio-authorGEN"/>
          <w:rFonts w:eastAsia="Arial Unicode MS" w:cs="Times Ext Roman"/>
        </w:rPr>
        <w:t xml:space="preserve">Whitney, W. D. </w:t>
      </w:r>
      <w:r>
        <w:rPr>
          <w:rFonts w:eastAsia="Arial Unicode MS" w:cs="Times Ext Roman"/>
        </w:rPr>
        <w:t xml:space="preserve">1888. </w:t>
      </w:r>
      <w:r>
        <w:rPr>
          <w:rFonts w:eastAsia="Arial Unicode MS" w:cs="Times Ext Roman"/>
          <w:i/>
        </w:rPr>
        <w:t xml:space="preserve">Sanskrit Grammar, Including both, the Classical Language and the Older Dialects of Veda and the Brahmana. </w:t>
      </w:r>
      <w:r w:rsidRPr="0071345C">
        <w:rPr>
          <w:rFonts w:eastAsia="Arial Unicode MS" w:cs="Times Ext Roman"/>
          <w:lang w:val="de-DE"/>
        </w:rPr>
        <w:t>Reprint,</w:t>
      </w:r>
      <w:r w:rsidRPr="0071345C">
        <w:rPr>
          <w:rFonts w:eastAsia="Arial Unicode MS" w:cs="Times Ext Roman"/>
          <w:lang w:val="de-DE"/>
        </w:rPr>
        <w:t xml:space="preserve"> Delhi: Low Price </w:t>
      </w:r>
      <w:r w:rsidRPr="0071345C">
        <w:rPr>
          <w:rFonts w:eastAsia="Arial Unicode MS" w:cs="Times Ext Roman"/>
          <w:lang w:val="de-DE"/>
        </w:rPr>
        <w:t>Publications, 2003.</w:t>
      </w:r>
    </w:p>
    <w:p w14:paraId="25AB6ADB" w14:textId="77777777" w:rsidR="00E53EB6" w:rsidRPr="0071345C" w:rsidRDefault="006500F5">
      <w:pPr>
        <w:pStyle w:val="biblioGEN"/>
        <w:rPr>
          <w:lang w:val="de-DE"/>
        </w:rPr>
      </w:pPr>
      <w:r w:rsidRPr="0071345C">
        <w:rPr>
          <w:rStyle w:val="biblio-authorGEN"/>
          <w:lang w:val="de-DE"/>
        </w:rPr>
        <w:t xml:space="preserve">Witzel, M. </w:t>
      </w:r>
      <w:r w:rsidRPr="0071345C">
        <w:rPr>
          <w:rFonts w:eastAsia="Arial Unicode MS" w:cs="Times Ext Roman"/>
          <w:lang w:val="de-DE"/>
        </w:rPr>
        <w:t xml:space="preserve">1972. “Jav. </w:t>
      </w:r>
      <w:r w:rsidRPr="0071345C">
        <w:rPr>
          <w:rFonts w:eastAsia="Arial Unicode MS" w:cs="Times Ext Roman"/>
          <w:i/>
          <w:iCs/>
          <w:lang w:val="de-DE"/>
        </w:rPr>
        <w:t>apāxǝ</w:t>
      </w:r>
      <w:r>
        <w:rPr>
          <w:rFonts w:eastAsia="Arial Unicode MS" w:cs="Times Ext Roman"/>
          <w:i/>
          <w:iCs/>
        </w:rPr>
        <w:t>δ</w:t>
      </w:r>
      <w:r w:rsidRPr="0071345C">
        <w:rPr>
          <w:rFonts w:eastAsia="Arial Unicode MS" w:cs="Times Ext Roman"/>
          <w:i/>
          <w:iCs/>
          <w:lang w:val="de-DE"/>
        </w:rPr>
        <w:t>ra</w:t>
      </w:r>
      <w:r w:rsidRPr="0071345C">
        <w:rPr>
          <w:rFonts w:eastAsia="Arial Unicode MS" w:cs="Times Ext Roman"/>
          <w:lang w:val="de-DE"/>
        </w:rPr>
        <w:t xml:space="preserve">- im System der avestischen Himmelsrichtungsbezeichungen.” </w:t>
      </w:r>
      <w:r w:rsidRPr="0071345C">
        <w:rPr>
          <w:rFonts w:eastAsia="Arial Unicode MS" w:cs="Times Ext Roman"/>
          <w:i/>
          <w:lang w:val="de-DE"/>
        </w:rPr>
        <w:t>Münchener Studien zur Sprachwissenschaft</w:t>
      </w:r>
      <w:r w:rsidRPr="0071345C">
        <w:rPr>
          <w:rFonts w:eastAsia="Arial Unicode MS" w:cs="Times Ext Roman"/>
          <w:lang w:val="de-DE"/>
        </w:rPr>
        <w:t xml:space="preserve"> 30: pp. 163-191.</w:t>
      </w:r>
    </w:p>
    <w:p w14:paraId="3C2F14D2" w14:textId="77777777" w:rsidR="00E53EB6" w:rsidRPr="0071345C" w:rsidRDefault="006500F5">
      <w:pPr>
        <w:pStyle w:val="biblioGEN"/>
        <w:rPr>
          <w:lang w:val="de-DE"/>
        </w:rPr>
      </w:pPr>
      <w:r w:rsidRPr="0071345C">
        <w:rPr>
          <w:rFonts w:eastAsia="Arial Unicode MS"/>
          <w:lang w:val="de-DE"/>
        </w:rPr>
        <w:t xml:space="preserve">___. 1979. </w:t>
      </w:r>
      <w:r w:rsidRPr="0071345C">
        <w:rPr>
          <w:rFonts w:eastAsia="Arial Unicode MS"/>
          <w:i/>
          <w:iCs/>
          <w:lang w:val="de-DE"/>
        </w:rPr>
        <w:t xml:space="preserve">On Magical thought in the Veda: Inaugural Lecture. </w:t>
      </w:r>
      <w:r w:rsidRPr="0071345C">
        <w:rPr>
          <w:rFonts w:eastAsia="Arial Unicode MS"/>
          <w:lang w:val="de-DE"/>
        </w:rPr>
        <w:t>Leiden:</w:t>
      </w:r>
      <w:r w:rsidRPr="0071345C">
        <w:rPr>
          <w:rFonts w:eastAsia="Arial Unicode MS"/>
          <w:i/>
          <w:iCs/>
          <w:lang w:val="de-DE"/>
        </w:rPr>
        <w:t xml:space="preserve"> </w:t>
      </w:r>
      <w:r w:rsidRPr="0071345C">
        <w:rPr>
          <w:rFonts w:eastAsia="Arial Unicode MS"/>
          <w:lang w:val="de-DE"/>
        </w:rPr>
        <w:t>Universitaire Pers.</w:t>
      </w:r>
    </w:p>
    <w:p w14:paraId="753E9E24" w14:textId="77777777" w:rsidR="00E53EB6" w:rsidRPr="0071345C" w:rsidRDefault="006500F5">
      <w:pPr>
        <w:pStyle w:val="biblioGEN"/>
        <w:rPr>
          <w:lang w:val="de-DE"/>
        </w:rPr>
      </w:pPr>
      <w:r w:rsidRPr="0071345C">
        <w:rPr>
          <w:rFonts w:eastAsia="Arial Unicode MS"/>
          <w:lang w:val="de-DE"/>
        </w:rPr>
        <w:t xml:space="preserve">___. 1981. “Materialen zu den vedischen Schulen: I. Über die Caraka-Schule.” </w:t>
      </w:r>
      <w:r w:rsidRPr="0071345C">
        <w:rPr>
          <w:rFonts w:eastAsia="Arial Unicode MS"/>
          <w:i/>
          <w:iCs/>
          <w:lang w:val="de-DE"/>
        </w:rPr>
        <w:t xml:space="preserve">Studien zur Indologie und Iranistik </w:t>
      </w:r>
      <w:r w:rsidRPr="0071345C">
        <w:rPr>
          <w:rFonts w:eastAsia="Arial Unicode MS"/>
          <w:lang w:val="de-DE"/>
        </w:rPr>
        <w:t>7: pp. 109-132.</w:t>
      </w:r>
    </w:p>
    <w:p w14:paraId="7E45D3D2" w14:textId="77777777" w:rsidR="00E53EB6" w:rsidRPr="0071345C" w:rsidRDefault="006500F5">
      <w:pPr>
        <w:pStyle w:val="biblioGEN"/>
        <w:rPr>
          <w:lang w:val="de-DE"/>
        </w:rPr>
      </w:pPr>
      <w:r>
        <w:rPr>
          <w:rFonts w:eastAsia="Arial Unicode MS"/>
        </w:rPr>
        <w:t xml:space="preserve">___. 1982. “Über die Caraka-Schule.” </w:t>
      </w:r>
      <w:r w:rsidRPr="0071345C">
        <w:rPr>
          <w:rFonts w:eastAsia="Arial Unicode MS"/>
          <w:i/>
          <w:iCs/>
          <w:lang w:val="de-DE"/>
        </w:rPr>
        <w:t>Studien zur</w:t>
      </w:r>
      <w:r w:rsidRPr="0071345C">
        <w:rPr>
          <w:rFonts w:eastAsia="Arial Unicode MS"/>
          <w:i/>
          <w:iCs/>
          <w:lang w:val="de-DE"/>
        </w:rPr>
        <w:t xml:space="preserve"> Indologie und Iranistik </w:t>
      </w:r>
      <w:r w:rsidRPr="0071345C">
        <w:rPr>
          <w:rFonts w:eastAsia="Arial Unicode MS"/>
          <w:lang w:val="de-DE"/>
        </w:rPr>
        <w:t>8/9: pp. 171-240.</w:t>
      </w:r>
    </w:p>
    <w:p w14:paraId="57DC0C29" w14:textId="77777777" w:rsidR="00E53EB6" w:rsidRDefault="006500F5">
      <w:pPr>
        <w:pStyle w:val="biblioGEN"/>
      </w:pPr>
      <w:r>
        <w:rPr>
          <w:rFonts w:eastAsia="Arial Unicode MS"/>
        </w:rPr>
        <w:t xml:space="preserve">___. 1989. “Tracing the Vedic dialect.” In </w:t>
      </w:r>
      <w:r>
        <w:rPr>
          <w:rFonts w:eastAsia="Arial Unicode MS"/>
          <w:i/>
        </w:rPr>
        <w:t xml:space="preserve">Dialectes dans les littératures indo-aryennes: actes du colloque international, </w:t>
      </w:r>
      <w:r>
        <w:rPr>
          <w:rFonts w:eastAsia="Arial Unicode MS"/>
        </w:rPr>
        <w:t xml:space="preserve">edited by C. Caillat, 97-265. Paris: </w:t>
      </w:r>
      <w:r>
        <w:rPr>
          <w:rFonts w:eastAsia="Arial Unicode MS"/>
        </w:rPr>
        <w:t>E. de Boccard.</w:t>
      </w:r>
    </w:p>
    <w:p w14:paraId="2FCB57E3" w14:textId="77777777" w:rsidR="00E53EB6" w:rsidRDefault="006500F5">
      <w:pPr>
        <w:pStyle w:val="biblioGEN"/>
      </w:pPr>
      <w:r>
        <w:rPr>
          <w:rFonts w:eastAsia="Arial Unicode MS" w:cs="Times Ext Roman"/>
        </w:rPr>
        <w:t>___. 1997. “The Development of the Ved</w:t>
      </w:r>
      <w:r>
        <w:rPr>
          <w:rFonts w:eastAsia="Arial Unicode MS" w:cs="Times Ext Roman"/>
        </w:rPr>
        <w:t xml:space="preserve">ic Canon and its Schools: The Social and Political Milieu.” In  </w:t>
      </w:r>
      <w:r>
        <w:rPr>
          <w:rFonts w:eastAsia="Arial Unicode MS"/>
          <w:i/>
        </w:rPr>
        <w:t xml:space="preserve">Inside the texts, beyond the texts: new approaches to the study of the Vedas, </w:t>
      </w:r>
      <w:r>
        <w:rPr>
          <w:rFonts w:eastAsia="Arial Unicode MS"/>
        </w:rPr>
        <w:t>edited by M. Witzel, 257-345,  Columbia</w:t>
      </w:r>
      <w:r>
        <w:rPr>
          <w:rFonts w:eastAsia="Arial Unicode MS"/>
          <w:i/>
        </w:rPr>
        <w:t xml:space="preserve">: </w:t>
      </w:r>
      <w:r>
        <w:rPr>
          <w:rFonts w:eastAsia="Arial Unicode MS"/>
        </w:rPr>
        <w:t>South Asia Books.</w:t>
      </w:r>
    </w:p>
    <w:p w14:paraId="26F774E3" w14:textId="77777777" w:rsidR="00E53EB6" w:rsidRPr="0071345C" w:rsidRDefault="006500F5">
      <w:pPr>
        <w:pStyle w:val="biblioGEN"/>
        <w:rPr>
          <w:lang w:val="de-DE"/>
        </w:rPr>
      </w:pPr>
      <w:r>
        <w:rPr>
          <w:rFonts w:eastAsia="Arial Unicode MS"/>
        </w:rPr>
        <w:lastRenderedPageBreak/>
        <w:t>___. 1999. “Substrate Languages in Old Indo-Aryan (Rgve</w:t>
      </w:r>
      <w:r>
        <w:rPr>
          <w:rFonts w:eastAsia="Arial Unicode MS"/>
        </w:rPr>
        <w:t xml:space="preserve">dic, Middle and Late Vedic).” </w:t>
      </w:r>
      <w:r w:rsidRPr="0071345C">
        <w:rPr>
          <w:rFonts w:eastAsia="Arial Unicode MS"/>
          <w:i/>
          <w:iCs/>
          <w:lang w:val="de-DE"/>
        </w:rPr>
        <w:t xml:space="preserve">Electronic Journal of Vedic Studies </w:t>
      </w:r>
      <w:r w:rsidRPr="0071345C">
        <w:rPr>
          <w:rFonts w:eastAsia="Arial Unicode MS"/>
          <w:lang w:val="de-DE"/>
        </w:rPr>
        <w:t>5: pp.1-67.</w:t>
      </w:r>
    </w:p>
    <w:p w14:paraId="7E4BDEA2" w14:textId="77777777" w:rsidR="00E53EB6" w:rsidRPr="0071345C" w:rsidRDefault="006500F5">
      <w:pPr>
        <w:pStyle w:val="biblioGEN"/>
        <w:rPr>
          <w:lang w:val="de-DE"/>
        </w:rPr>
        <w:sectPr w:rsidR="00E53EB6" w:rsidRPr="0071345C">
          <w:headerReference w:type="even" r:id="rId52"/>
          <w:headerReference w:type="default" r:id="rId53"/>
          <w:footerReference w:type="even" r:id="rId54"/>
          <w:footerReference w:type="default" r:id="rId55"/>
          <w:pgSz w:w="11906" w:h="16838"/>
          <w:pgMar w:top="1917" w:right="1418" w:bottom="2235" w:left="1700" w:header="1418" w:footer="1700" w:gutter="0"/>
          <w:cols w:space="720"/>
          <w:formProt w:val="0"/>
          <w:docGrid w:linePitch="600" w:charSpace="38911"/>
        </w:sectPr>
      </w:pPr>
      <w:r w:rsidRPr="0071345C">
        <w:rPr>
          <w:rStyle w:val="biblio-authorGEN"/>
          <w:lang w:val="de-DE"/>
        </w:rPr>
        <w:t xml:space="preserve">Wolff, F. </w:t>
      </w:r>
      <w:r w:rsidRPr="0071345C">
        <w:rPr>
          <w:rFonts w:eastAsia="Arial Unicode MS" w:cs="Times Ext Roman"/>
          <w:smallCaps/>
          <w:lang w:val="de-DE"/>
        </w:rPr>
        <w:t xml:space="preserve">1924. </w:t>
      </w:r>
      <w:r w:rsidRPr="0071345C">
        <w:rPr>
          <w:rFonts w:eastAsia="Arial Unicode MS" w:cs="Times Ext Roman"/>
          <w:i/>
          <w:lang w:val="de-DE"/>
        </w:rPr>
        <w:t>Avesta, die heiligen Büchern des</w:t>
      </w:r>
      <w:r w:rsidRPr="0071345C">
        <w:rPr>
          <w:rFonts w:eastAsia="Arial Unicode MS" w:cs="Times Ext Roman"/>
          <w:i/>
          <w:lang w:val="de-DE"/>
        </w:rPr>
        <w:t xml:space="preserve"> Parsen.</w:t>
      </w:r>
      <w:r w:rsidRPr="0071345C">
        <w:rPr>
          <w:rFonts w:eastAsia="Arial Unicode MS" w:cs="Times Ext Roman"/>
          <w:lang w:val="de-DE"/>
        </w:rPr>
        <w:t xml:space="preserve"> Berlin-Leipzig: De Gruyter &amp; Co.</w:t>
      </w:r>
    </w:p>
    <w:p w14:paraId="3FA8F991" w14:textId="77777777" w:rsidR="00E53EB6" w:rsidRDefault="006500F5">
      <w:pPr>
        <w:pStyle w:val="Heading1"/>
        <w:tabs>
          <w:tab w:val="left" w:pos="0"/>
        </w:tabs>
      </w:pPr>
      <w:r>
        <w:lastRenderedPageBreak/>
        <w:t>Index Locorum</w:t>
      </w:r>
    </w:p>
    <w:p w14:paraId="507B0E4F" w14:textId="77777777" w:rsidR="00E53EB6" w:rsidRDefault="006500F5">
      <w:pPr>
        <w:pStyle w:val="Hauptext"/>
      </w:pPr>
      <w:r>
        <w:t xml:space="preserve">Occurrences of the verbal root in the Vedic corpus (bar the </w:t>
      </w:r>
      <w:r>
        <w:rPr>
          <w:i/>
          <w:iCs/>
        </w:rPr>
        <w:t>R̥gvedasa</w:t>
      </w:r>
      <w:r>
        <w:rPr>
          <w:i/>
          <w:iCs/>
        </w:rPr>
        <w:t>ṃ</w:t>
      </w:r>
      <w:r>
        <w:rPr>
          <w:i/>
          <w:iCs/>
        </w:rPr>
        <w:t>hitā</w:t>
      </w:r>
      <w:r>
        <w:t>, being already given in Grassmann 1875 [1996].</w:t>
      </w:r>
    </w:p>
    <w:p w14:paraId="1BE0D65A" w14:textId="77777777" w:rsidR="00E53EB6" w:rsidRDefault="00E53EB6">
      <w:pPr>
        <w:pStyle w:val="HaupttextohneEinzug"/>
      </w:pPr>
    </w:p>
    <w:sdt>
      <w:sdtPr>
        <w:id w:val="-1071424231"/>
        <w:docPartObj>
          <w:docPartGallery w:val="Table of Contents"/>
          <w:docPartUnique/>
        </w:docPartObj>
      </w:sdtPr>
      <w:sdtEndPr/>
      <w:sdtContent>
        <w:p w14:paraId="1B8BF285" w14:textId="77777777" w:rsidR="00E53EB6" w:rsidRDefault="006500F5">
          <w:pPr>
            <w:pStyle w:val="TOC3"/>
            <w:tabs>
              <w:tab w:val="clear" w:pos="8786"/>
              <w:tab w:val="right" w:leader="dot" w:pos="8788"/>
            </w:tabs>
          </w:pPr>
          <w:r>
            <w:fldChar w:fldCharType="begin"/>
          </w:r>
          <w:r>
            <w:instrText>TOC \f \o "1-6"</w:instrText>
          </w:r>
          <w:r>
            <w:fldChar w:fldCharType="separate"/>
          </w:r>
          <w:r>
            <w:t>III.2.1 Sa</w:t>
          </w:r>
          <w:r>
            <w:t>ṃ</w:t>
          </w:r>
          <w:r>
            <w:t>hitā Occurrences</w:t>
          </w:r>
          <w:r>
            <w:tab/>
            <w:t>45</w:t>
          </w:r>
        </w:p>
        <w:p w14:paraId="62E39827" w14:textId="77777777" w:rsidR="00E53EB6" w:rsidRDefault="006500F5">
          <w:pPr>
            <w:pStyle w:val="TOC4"/>
            <w:tabs>
              <w:tab w:val="clear" w:pos="8786"/>
              <w:tab w:val="right" w:leader="dot" w:pos="8788"/>
            </w:tabs>
          </w:pPr>
          <w:r>
            <w:t>R̥V mantras</w:t>
          </w:r>
          <w:r>
            <w:tab/>
            <w:t>45</w:t>
          </w:r>
        </w:p>
        <w:p w14:paraId="50510714" w14:textId="77777777" w:rsidR="00E53EB6" w:rsidRDefault="006500F5">
          <w:pPr>
            <w:pStyle w:val="TOC4"/>
            <w:tabs>
              <w:tab w:val="clear" w:pos="8786"/>
              <w:tab w:val="right" w:leader="dot" w:pos="8788"/>
            </w:tabs>
          </w:pPr>
          <w:r>
            <w:t xml:space="preserve">YV </w:t>
          </w:r>
          <w:r>
            <w:t>Sa</w:t>
          </w:r>
          <w:r>
            <w:t>ṃ</w:t>
          </w:r>
          <w:r>
            <w:t>hitā occurrences</w:t>
          </w:r>
          <w:r>
            <w:tab/>
            <w:t>45</w:t>
          </w:r>
        </w:p>
        <w:p w14:paraId="4F896E38" w14:textId="77777777" w:rsidR="00E53EB6" w:rsidRDefault="006500F5">
          <w:pPr>
            <w:pStyle w:val="TOC5"/>
            <w:tabs>
              <w:tab w:val="clear" w:pos="8786"/>
              <w:tab w:val="right" w:leader="dot" w:pos="8788"/>
            </w:tabs>
          </w:pPr>
          <w:r>
            <w:t>Taittirīya occurrences</w:t>
          </w:r>
          <w:r>
            <w:tab/>
            <w:t>45</w:t>
          </w:r>
        </w:p>
        <w:p w14:paraId="66564005" w14:textId="77777777" w:rsidR="00E53EB6" w:rsidRDefault="006500F5">
          <w:pPr>
            <w:pStyle w:val="TOC5"/>
            <w:tabs>
              <w:tab w:val="clear" w:pos="8786"/>
              <w:tab w:val="right" w:leader="dot" w:pos="8788"/>
            </w:tabs>
          </w:pPr>
          <w:r>
            <w:t xml:space="preserve">TS 2.3.14.1g-2h       </w:t>
          </w:r>
          <w:r>
            <w:tab/>
            <w:t>45</w:t>
          </w:r>
        </w:p>
        <w:p w14:paraId="15E2EC51" w14:textId="77777777" w:rsidR="00E53EB6" w:rsidRDefault="006500F5">
          <w:pPr>
            <w:pStyle w:val="TOC5"/>
            <w:tabs>
              <w:tab w:val="clear" w:pos="8786"/>
              <w:tab w:val="right" w:leader="dot" w:pos="8788"/>
            </w:tabs>
          </w:pPr>
          <w:r>
            <w:t xml:space="preserve">TS 2.6.12.1c-2c       </w:t>
          </w:r>
          <w:r>
            <w:tab/>
            <w:t>46</w:t>
          </w:r>
        </w:p>
        <w:p w14:paraId="3D909380" w14:textId="77777777" w:rsidR="00E53EB6" w:rsidRDefault="006500F5">
          <w:pPr>
            <w:pStyle w:val="TOC5"/>
            <w:tabs>
              <w:tab w:val="clear" w:pos="8786"/>
              <w:tab w:val="right" w:leader="dot" w:pos="8788"/>
            </w:tabs>
          </w:pPr>
          <w:r>
            <w:t xml:space="preserve">TS 3.3.11.1-2e          </w:t>
          </w:r>
          <w:r>
            <w:tab/>
            <w:t>46</w:t>
          </w:r>
        </w:p>
        <w:p w14:paraId="6E77788D" w14:textId="77777777" w:rsidR="00E53EB6" w:rsidRDefault="006500F5">
          <w:pPr>
            <w:pStyle w:val="TOC5"/>
            <w:tabs>
              <w:tab w:val="clear" w:pos="8786"/>
              <w:tab w:val="right" w:leader="dot" w:pos="8788"/>
            </w:tabs>
          </w:pPr>
          <w:r>
            <w:t xml:space="preserve">TS 4.6.1.5r         </w:t>
          </w:r>
          <w:r>
            <w:tab/>
            <w:t>47</w:t>
          </w:r>
        </w:p>
        <w:p w14:paraId="7858BE5E" w14:textId="77777777" w:rsidR="00E53EB6" w:rsidRDefault="006500F5">
          <w:pPr>
            <w:pStyle w:val="TOC5"/>
            <w:tabs>
              <w:tab w:val="clear" w:pos="8786"/>
              <w:tab w:val="right" w:leader="dot" w:pos="8788"/>
            </w:tabs>
          </w:pPr>
          <w:r>
            <w:t xml:space="preserve">TS 4.6.9.4l         </w:t>
          </w:r>
          <w:r>
            <w:tab/>
            <w:t>47</w:t>
          </w:r>
        </w:p>
        <w:p w14:paraId="7F8C13CE" w14:textId="77777777" w:rsidR="00E53EB6" w:rsidRDefault="006500F5">
          <w:pPr>
            <w:pStyle w:val="TOC5"/>
            <w:tabs>
              <w:tab w:val="clear" w:pos="8786"/>
              <w:tab w:val="right" w:leader="dot" w:pos="8788"/>
            </w:tabs>
          </w:pPr>
          <w:r>
            <w:t xml:space="preserve">TS 4.7.14.1c-2c        </w:t>
          </w:r>
          <w:r>
            <w:tab/>
            <w:t>48</w:t>
          </w:r>
        </w:p>
        <w:p w14:paraId="3BE0C930" w14:textId="77777777" w:rsidR="00E53EB6" w:rsidRDefault="006500F5">
          <w:pPr>
            <w:pStyle w:val="TOC5"/>
            <w:tabs>
              <w:tab w:val="clear" w:pos="8786"/>
              <w:tab w:val="right" w:leader="dot" w:pos="8788"/>
            </w:tabs>
          </w:pPr>
          <w:r>
            <w:t>Maitrāyanī occurrences</w:t>
          </w:r>
          <w:r>
            <w:tab/>
            <w:t>48</w:t>
          </w:r>
        </w:p>
        <w:p w14:paraId="3992F9F3" w14:textId="77777777" w:rsidR="00E53EB6" w:rsidRDefault="006500F5">
          <w:pPr>
            <w:pStyle w:val="TOC5"/>
            <w:tabs>
              <w:tab w:val="clear" w:pos="8786"/>
              <w:tab w:val="right" w:leader="dot" w:pos="8788"/>
            </w:tabs>
          </w:pPr>
          <w:r>
            <w:t xml:space="preserve">MS 2.10.2: 132,16-17        </w:t>
          </w:r>
          <w:r>
            <w:tab/>
            <w:t>48</w:t>
          </w:r>
        </w:p>
        <w:p w14:paraId="568BAC01" w14:textId="77777777" w:rsidR="00E53EB6" w:rsidRDefault="006500F5">
          <w:pPr>
            <w:pStyle w:val="TOC5"/>
            <w:tabs>
              <w:tab w:val="clear" w:pos="8786"/>
              <w:tab w:val="right" w:leader="dot" w:pos="8788"/>
            </w:tabs>
          </w:pPr>
          <w:r>
            <w:t xml:space="preserve">MS 4.10.1: 144,12-15        </w:t>
          </w:r>
          <w:r>
            <w:tab/>
            <w:t>49</w:t>
          </w:r>
        </w:p>
        <w:p w14:paraId="47527C34" w14:textId="77777777" w:rsidR="00E53EB6" w:rsidRDefault="006500F5">
          <w:pPr>
            <w:pStyle w:val="TOC5"/>
            <w:tabs>
              <w:tab w:val="clear" w:pos="8786"/>
              <w:tab w:val="right" w:leader="dot" w:pos="8788"/>
            </w:tabs>
          </w:pPr>
          <w:r>
            <w:t xml:space="preserve">MS 4.10.6: 156,8-9       </w:t>
          </w:r>
          <w:r>
            <w:tab/>
            <w:t>49</w:t>
          </w:r>
        </w:p>
        <w:p w14:paraId="4273A890" w14:textId="77777777" w:rsidR="00E53EB6" w:rsidRDefault="006500F5">
          <w:pPr>
            <w:pStyle w:val="TOC5"/>
            <w:tabs>
              <w:tab w:val="clear" w:pos="8786"/>
              <w:tab w:val="right" w:leader="dot" w:pos="8788"/>
            </w:tabs>
          </w:pPr>
          <w:r>
            <w:t xml:space="preserve">MS 4.13.1: 199,2-7          </w:t>
          </w:r>
          <w:r>
            <w:tab/>
            <w:t>50</w:t>
          </w:r>
        </w:p>
        <w:p w14:paraId="6A1675B3" w14:textId="77777777" w:rsidR="00E53EB6" w:rsidRDefault="006500F5">
          <w:pPr>
            <w:pStyle w:val="TOC5"/>
            <w:tabs>
              <w:tab w:val="clear" w:pos="8786"/>
              <w:tab w:val="right" w:leader="dot" w:pos="8788"/>
            </w:tabs>
          </w:pPr>
          <w:r>
            <w:t xml:space="preserve">MS 4.14.10: 230,15-16       </w:t>
          </w:r>
          <w:r>
            <w:tab/>
            <w:t>51</w:t>
          </w:r>
        </w:p>
        <w:p w14:paraId="7AAE489D" w14:textId="77777777" w:rsidR="00E53EB6" w:rsidRDefault="006500F5">
          <w:pPr>
            <w:pStyle w:val="TOC5"/>
            <w:tabs>
              <w:tab w:val="clear" w:pos="8786"/>
              <w:tab w:val="right" w:leader="dot" w:pos="8788"/>
            </w:tabs>
          </w:pPr>
          <w:r>
            <w:t>Kā</w:t>
          </w:r>
          <w:r>
            <w:t>ṭ</w:t>
          </w:r>
          <w:r>
            <w:t>ha occurrences.</w:t>
          </w:r>
          <w:r>
            <w:tab/>
            <w:t>51</w:t>
          </w:r>
        </w:p>
        <w:p w14:paraId="0B24A128" w14:textId="77777777" w:rsidR="00E53EB6" w:rsidRDefault="006500F5">
          <w:pPr>
            <w:pStyle w:val="TOC5"/>
            <w:tabs>
              <w:tab w:val="clear" w:pos="8786"/>
              <w:tab w:val="right" w:leader="dot" w:pos="8788"/>
            </w:tabs>
          </w:pPr>
          <w:r>
            <w:t xml:space="preserve">KS 4.15: 40,13-14        </w:t>
          </w:r>
          <w:r>
            <w:tab/>
            <w:t>51</w:t>
          </w:r>
        </w:p>
        <w:p w14:paraId="17472139" w14:textId="77777777" w:rsidR="00E53EB6" w:rsidRPr="0071345C" w:rsidRDefault="006500F5">
          <w:pPr>
            <w:pStyle w:val="TOC5"/>
            <w:tabs>
              <w:tab w:val="clear" w:pos="8786"/>
              <w:tab w:val="right" w:leader="dot" w:pos="8788"/>
            </w:tabs>
            <w:rPr>
              <w:lang w:val="pl-PL"/>
            </w:rPr>
          </w:pPr>
          <w:r w:rsidRPr="0071345C">
            <w:rPr>
              <w:lang w:val="pl-PL"/>
            </w:rPr>
            <w:t xml:space="preserve">KS 4.16: 42,20-43,1-2        </w:t>
          </w:r>
          <w:r w:rsidRPr="0071345C">
            <w:rPr>
              <w:lang w:val="pl-PL"/>
            </w:rPr>
            <w:tab/>
            <w:t>52</w:t>
          </w:r>
        </w:p>
        <w:p w14:paraId="1ED24932" w14:textId="77777777" w:rsidR="00E53EB6" w:rsidRPr="0071345C" w:rsidRDefault="006500F5">
          <w:pPr>
            <w:pStyle w:val="TOC5"/>
            <w:tabs>
              <w:tab w:val="clear" w:pos="8786"/>
              <w:tab w:val="right" w:leader="dot" w:pos="8788"/>
            </w:tabs>
            <w:rPr>
              <w:lang w:val="pl-PL"/>
            </w:rPr>
          </w:pPr>
          <w:r w:rsidRPr="0071345C">
            <w:rPr>
              <w:lang w:val="pl-PL"/>
            </w:rPr>
            <w:t>KS 15.12: 218,1</w:t>
          </w:r>
          <w:r w:rsidRPr="0071345C">
            <w:rPr>
              <w:lang w:val="pl-PL"/>
            </w:rPr>
            <w:t xml:space="preserve">2-17         </w:t>
          </w:r>
          <w:r w:rsidRPr="0071345C">
            <w:rPr>
              <w:lang w:val="pl-PL"/>
            </w:rPr>
            <w:tab/>
            <w:t>52</w:t>
          </w:r>
        </w:p>
        <w:p w14:paraId="044ED391" w14:textId="77777777" w:rsidR="00E53EB6" w:rsidRPr="0071345C" w:rsidRDefault="006500F5">
          <w:pPr>
            <w:pStyle w:val="TOC5"/>
            <w:tabs>
              <w:tab w:val="clear" w:pos="8786"/>
              <w:tab w:val="right" w:leader="dot" w:pos="8788"/>
            </w:tabs>
            <w:rPr>
              <w:lang w:val="pl-PL"/>
            </w:rPr>
          </w:pPr>
          <w:r w:rsidRPr="0071345C">
            <w:rPr>
              <w:lang w:val="pl-PL"/>
            </w:rPr>
            <w:t xml:space="preserve">KS 18.1: 265,1-2       </w:t>
          </w:r>
          <w:r w:rsidRPr="0071345C">
            <w:rPr>
              <w:lang w:val="pl-PL"/>
            </w:rPr>
            <w:tab/>
            <w:t>53</w:t>
          </w:r>
        </w:p>
        <w:p w14:paraId="5F171154" w14:textId="77777777" w:rsidR="00E53EB6" w:rsidRPr="0071345C" w:rsidRDefault="006500F5">
          <w:pPr>
            <w:pStyle w:val="TOC5"/>
            <w:tabs>
              <w:tab w:val="clear" w:pos="8786"/>
              <w:tab w:val="right" w:leader="dot" w:pos="8788"/>
            </w:tabs>
            <w:rPr>
              <w:lang w:val="pl-PL"/>
            </w:rPr>
          </w:pPr>
          <w:r w:rsidRPr="0071345C">
            <w:rPr>
              <w:lang w:val="pl-PL"/>
            </w:rPr>
            <w:t xml:space="preserve">KS 20.14: 34,8-13       </w:t>
          </w:r>
          <w:r w:rsidRPr="0071345C">
            <w:rPr>
              <w:lang w:val="pl-PL"/>
            </w:rPr>
            <w:tab/>
            <w:t>54</w:t>
          </w:r>
        </w:p>
        <w:p w14:paraId="1300B170" w14:textId="77777777" w:rsidR="00E53EB6" w:rsidRPr="0071345C" w:rsidRDefault="006500F5">
          <w:pPr>
            <w:pStyle w:val="TOC5"/>
            <w:tabs>
              <w:tab w:val="clear" w:pos="8786"/>
              <w:tab w:val="right" w:leader="dot" w:pos="8788"/>
            </w:tabs>
            <w:rPr>
              <w:lang w:val="pl-PL"/>
            </w:rPr>
          </w:pPr>
          <w:r w:rsidRPr="0071345C">
            <w:rPr>
              <w:lang w:val="pl-PL"/>
            </w:rPr>
            <w:t xml:space="preserve">KS 21.14: 55,7-8       </w:t>
          </w:r>
          <w:r w:rsidRPr="0071345C">
            <w:rPr>
              <w:lang w:val="pl-PL"/>
            </w:rPr>
            <w:tab/>
            <w:t>54</w:t>
          </w:r>
        </w:p>
        <w:p w14:paraId="1CA3DB13" w14:textId="77777777" w:rsidR="00E53EB6" w:rsidRPr="0071345C" w:rsidRDefault="006500F5">
          <w:pPr>
            <w:pStyle w:val="TOC5"/>
            <w:tabs>
              <w:tab w:val="clear" w:pos="8786"/>
              <w:tab w:val="right" w:leader="dot" w:pos="8788"/>
            </w:tabs>
            <w:rPr>
              <w:lang w:val="pl-PL"/>
            </w:rPr>
          </w:pPr>
          <w:r w:rsidRPr="0071345C">
            <w:rPr>
              <w:lang w:val="pl-PL"/>
            </w:rPr>
            <w:t xml:space="preserve">KS 40.10: 144,1-2      </w:t>
          </w:r>
          <w:r w:rsidRPr="0071345C">
            <w:rPr>
              <w:lang w:val="pl-PL"/>
            </w:rPr>
            <w:tab/>
            <w:t>55</w:t>
          </w:r>
        </w:p>
        <w:p w14:paraId="55182305" w14:textId="77777777" w:rsidR="00E53EB6" w:rsidRPr="0071345C" w:rsidRDefault="006500F5">
          <w:pPr>
            <w:pStyle w:val="TOC5"/>
            <w:tabs>
              <w:tab w:val="clear" w:pos="8786"/>
              <w:tab w:val="right" w:leader="dot" w:pos="8788"/>
            </w:tabs>
            <w:rPr>
              <w:lang w:val="pl-PL"/>
            </w:rPr>
          </w:pPr>
          <w:r w:rsidRPr="0071345C">
            <w:rPr>
              <w:lang w:val="pl-PL"/>
            </w:rPr>
            <w:t xml:space="preserve">KS 40.14: 149,2-3        </w:t>
          </w:r>
          <w:r w:rsidRPr="0071345C">
            <w:rPr>
              <w:lang w:val="pl-PL"/>
            </w:rPr>
            <w:tab/>
            <w:t>55</w:t>
          </w:r>
        </w:p>
        <w:p w14:paraId="1A045CB9" w14:textId="77777777" w:rsidR="00E53EB6" w:rsidRPr="0071345C" w:rsidRDefault="006500F5">
          <w:pPr>
            <w:pStyle w:val="TOC5"/>
            <w:tabs>
              <w:tab w:val="clear" w:pos="8786"/>
              <w:tab w:val="right" w:leader="dot" w:pos="8788"/>
            </w:tabs>
            <w:rPr>
              <w:lang w:val="pl-PL"/>
            </w:rPr>
          </w:pPr>
          <w:r w:rsidRPr="0071345C">
            <w:rPr>
              <w:lang w:val="pl-PL"/>
            </w:rPr>
            <w:t>KS Aśvamedha grantha (5).6.5: III 276,2-3</w:t>
          </w:r>
          <w:r w:rsidRPr="0071345C">
            <w:rPr>
              <w:lang w:val="pl-PL"/>
            </w:rPr>
            <w:tab/>
            <w:t>56</w:t>
          </w:r>
        </w:p>
        <w:p w14:paraId="3465D9E2" w14:textId="77777777" w:rsidR="00E53EB6" w:rsidRPr="0071345C" w:rsidRDefault="006500F5">
          <w:pPr>
            <w:pStyle w:val="TOC5"/>
            <w:tabs>
              <w:tab w:val="clear" w:pos="8786"/>
              <w:tab w:val="right" w:leader="dot" w:pos="8788"/>
            </w:tabs>
            <w:rPr>
              <w:lang w:val="pl-PL"/>
            </w:rPr>
          </w:pPr>
          <w:r w:rsidRPr="0071345C">
            <w:rPr>
              <w:lang w:val="pl-PL"/>
            </w:rPr>
            <w:t>Kapi</w:t>
          </w:r>
          <w:r w:rsidRPr="0071345C">
            <w:rPr>
              <w:lang w:val="pl-PL"/>
            </w:rPr>
            <w:t>ṣṭ</w:t>
          </w:r>
          <w:r w:rsidRPr="0071345C">
            <w:rPr>
              <w:lang w:val="pl-PL"/>
            </w:rPr>
            <w:t>hala occurrences</w:t>
          </w:r>
          <w:r w:rsidRPr="0071345C">
            <w:rPr>
              <w:lang w:val="pl-PL"/>
            </w:rPr>
            <w:tab/>
            <w:t>57</w:t>
          </w:r>
        </w:p>
        <w:p w14:paraId="4264812D" w14:textId="77777777" w:rsidR="00E53EB6" w:rsidRDefault="006500F5">
          <w:pPr>
            <w:pStyle w:val="TOC5"/>
            <w:tabs>
              <w:tab w:val="clear" w:pos="8786"/>
              <w:tab w:val="right" w:leader="dot" w:pos="8788"/>
            </w:tabs>
          </w:pPr>
          <w:r w:rsidRPr="0071345C">
            <w:rPr>
              <w:lang w:val="pl-PL"/>
            </w:rPr>
            <w:t xml:space="preserve">KpS 28.2: 140.        </w:t>
          </w:r>
          <w:r w:rsidRPr="0071345C">
            <w:rPr>
              <w:lang w:val="pl-PL"/>
            </w:rPr>
            <w:tab/>
          </w:r>
          <w:r>
            <w:t>57</w:t>
          </w:r>
        </w:p>
        <w:p w14:paraId="24BC7F87" w14:textId="77777777" w:rsidR="00E53EB6" w:rsidRDefault="006500F5">
          <w:pPr>
            <w:pStyle w:val="TOC5"/>
            <w:tabs>
              <w:tab w:val="clear" w:pos="8786"/>
              <w:tab w:val="right" w:leader="dot" w:pos="8788"/>
            </w:tabs>
          </w:pPr>
          <w:r>
            <w:t>Vāja</w:t>
          </w:r>
          <w:r>
            <w:t>saneya occurrences (Mādhya</w:t>
          </w:r>
          <w:r>
            <w:t>ṃ</w:t>
          </w:r>
          <w:r>
            <w:t>dina recension)</w:t>
          </w:r>
          <w:r>
            <w:tab/>
            <w:t>57</w:t>
          </w:r>
        </w:p>
        <w:p w14:paraId="6E753243" w14:textId="77777777" w:rsidR="00E53EB6" w:rsidRDefault="006500F5">
          <w:pPr>
            <w:pStyle w:val="TOC5"/>
            <w:tabs>
              <w:tab w:val="clear" w:pos="8786"/>
              <w:tab w:val="right" w:leader="dot" w:pos="8788"/>
            </w:tabs>
          </w:pPr>
          <w:r>
            <w:t xml:space="preserve">VS 7.17          </w:t>
          </w:r>
          <w:r>
            <w:tab/>
            <w:t>57</w:t>
          </w:r>
        </w:p>
        <w:p w14:paraId="2116147A" w14:textId="77777777" w:rsidR="00E53EB6" w:rsidRDefault="006500F5">
          <w:pPr>
            <w:pStyle w:val="TOC5"/>
            <w:tabs>
              <w:tab w:val="clear" w:pos="8786"/>
              <w:tab w:val="right" w:leader="dot" w:pos="8788"/>
            </w:tabs>
          </w:pPr>
          <w:r>
            <w:t xml:space="preserve">VS 15. 39-40         </w:t>
          </w:r>
          <w:r>
            <w:tab/>
            <w:t>58</w:t>
          </w:r>
        </w:p>
        <w:p w14:paraId="671C4198" w14:textId="77777777" w:rsidR="00E53EB6" w:rsidRDefault="006500F5">
          <w:pPr>
            <w:pStyle w:val="TOC5"/>
            <w:tabs>
              <w:tab w:val="clear" w:pos="8786"/>
              <w:tab w:val="right" w:leader="dot" w:pos="8788"/>
            </w:tabs>
          </w:pPr>
          <w:r>
            <w:t xml:space="preserve">VS 17.16         </w:t>
          </w:r>
          <w:r>
            <w:tab/>
            <w:t>58</w:t>
          </w:r>
        </w:p>
        <w:p w14:paraId="420D43AD" w14:textId="77777777" w:rsidR="00E53EB6" w:rsidRDefault="006500F5">
          <w:pPr>
            <w:pStyle w:val="TOC5"/>
            <w:tabs>
              <w:tab w:val="clear" w:pos="8786"/>
              <w:tab w:val="right" w:leader="dot" w:pos="8788"/>
            </w:tabs>
          </w:pPr>
          <w:r>
            <w:t xml:space="preserve">VS 19.53         </w:t>
          </w:r>
          <w:r>
            <w:tab/>
            <w:t>59</w:t>
          </w:r>
        </w:p>
        <w:p w14:paraId="11EA2D6D" w14:textId="77777777" w:rsidR="00E53EB6" w:rsidRDefault="006500F5">
          <w:pPr>
            <w:pStyle w:val="TOC5"/>
            <w:tabs>
              <w:tab w:val="clear" w:pos="8786"/>
              <w:tab w:val="right" w:leader="dot" w:pos="8788"/>
            </w:tabs>
          </w:pPr>
          <w:r>
            <w:t xml:space="preserve">VS 25.45         </w:t>
          </w:r>
          <w:r>
            <w:tab/>
            <w:t>60</w:t>
          </w:r>
        </w:p>
        <w:p w14:paraId="5FDD5F73" w14:textId="77777777" w:rsidR="00E53EB6" w:rsidRDefault="006500F5">
          <w:pPr>
            <w:pStyle w:val="TOC4"/>
            <w:tabs>
              <w:tab w:val="clear" w:pos="8786"/>
              <w:tab w:val="right" w:leader="dot" w:pos="8788"/>
            </w:tabs>
          </w:pPr>
          <w:r>
            <w:t>SV Sa</w:t>
          </w:r>
          <w:r>
            <w:t>ṃ</w:t>
          </w:r>
          <w:r>
            <w:t>hitā occurrences</w:t>
          </w:r>
          <w:r>
            <w:tab/>
            <w:t>60</w:t>
          </w:r>
        </w:p>
        <w:p w14:paraId="4AA3A91A" w14:textId="77777777" w:rsidR="00E53EB6" w:rsidRDefault="006500F5">
          <w:pPr>
            <w:pStyle w:val="TOC5"/>
            <w:tabs>
              <w:tab w:val="clear" w:pos="8786"/>
              <w:tab w:val="right" w:leader="dot" w:pos="8788"/>
            </w:tabs>
          </w:pPr>
          <w:r>
            <w:t>Jaiminīyasa</w:t>
          </w:r>
          <w:r>
            <w:t>ṃ</w:t>
          </w:r>
          <w:r>
            <w:t>hitā (17) and Kauthumasa</w:t>
          </w:r>
          <w:r>
            <w:t>ṃ</w:t>
          </w:r>
          <w:r>
            <w:t xml:space="preserve">hitā (13) </w:t>
          </w:r>
          <w:r>
            <w:tab/>
            <w:t>60</w:t>
          </w:r>
        </w:p>
        <w:p w14:paraId="039B1A9F" w14:textId="77777777" w:rsidR="00E53EB6" w:rsidRDefault="006500F5">
          <w:pPr>
            <w:pStyle w:val="TOC4"/>
            <w:tabs>
              <w:tab w:val="clear" w:pos="8786"/>
              <w:tab w:val="right" w:leader="dot" w:pos="8788"/>
            </w:tabs>
          </w:pPr>
          <w:r>
            <w:t>Non-R̥V mantras – Yajurveda prose</w:t>
          </w:r>
          <w:r>
            <w:tab/>
            <w:t>61</w:t>
          </w:r>
        </w:p>
        <w:p w14:paraId="705906DF" w14:textId="77777777" w:rsidR="00E53EB6" w:rsidRDefault="006500F5">
          <w:pPr>
            <w:pStyle w:val="TOC4"/>
            <w:tabs>
              <w:tab w:val="clear" w:pos="8786"/>
              <w:tab w:val="right" w:leader="dot" w:pos="8788"/>
            </w:tabs>
          </w:pPr>
          <w:r>
            <w:t>YV Sa</w:t>
          </w:r>
          <w:r>
            <w:t>ṃ</w:t>
          </w:r>
          <w:r>
            <w:t>hitā occurrences</w:t>
          </w:r>
          <w:r>
            <w:tab/>
            <w:t>61</w:t>
          </w:r>
        </w:p>
        <w:p w14:paraId="2269934C" w14:textId="77777777" w:rsidR="00E53EB6" w:rsidRDefault="006500F5">
          <w:pPr>
            <w:pStyle w:val="TOC5"/>
            <w:tabs>
              <w:tab w:val="clear" w:pos="8786"/>
              <w:tab w:val="right" w:leader="dot" w:pos="8788"/>
            </w:tabs>
          </w:pPr>
          <w:r>
            <w:t>Taittirīya occurrences</w:t>
          </w:r>
          <w:r>
            <w:tab/>
            <w:t>61</w:t>
          </w:r>
        </w:p>
        <w:p w14:paraId="47448EDE" w14:textId="77777777" w:rsidR="00E53EB6" w:rsidRPr="0071345C" w:rsidRDefault="006500F5">
          <w:pPr>
            <w:pStyle w:val="TOC5"/>
            <w:tabs>
              <w:tab w:val="clear" w:pos="8786"/>
              <w:tab w:val="right" w:leader="dot" w:pos="8788"/>
            </w:tabs>
            <w:rPr>
              <w:lang w:val="pl-PL"/>
            </w:rPr>
          </w:pPr>
          <w:r w:rsidRPr="0071345C">
            <w:rPr>
              <w:lang w:val="pl-PL"/>
            </w:rPr>
            <w:t xml:space="preserve">TS 1.6.4.2o-3o          </w:t>
          </w:r>
          <w:r w:rsidRPr="0071345C">
            <w:rPr>
              <w:lang w:val="pl-PL"/>
            </w:rPr>
            <w:tab/>
            <w:t>61</w:t>
          </w:r>
        </w:p>
        <w:p w14:paraId="2C29C6B2" w14:textId="77777777" w:rsidR="00E53EB6" w:rsidRPr="0071345C" w:rsidRDefault="006500F5">
          <w:pPr>
            <w:pStyle w:val="TOC5"/>
            <w:tabs>
              <w:tab w:val="clear" w:pos="8786"/>
              <w:tab w:val="right" w:leader="dot" w:pos="8788"/>
            </w:tabs>
            <w:rPr>
              <w:lang w:val="pl-PL"/>
            </w:rPr>
          </w:pPr>
          <w:r w:rsidRPr="0071345C">
            <w:rPr>
              <w:lang w:val="pl-PL"/>
            </w:rPr>
            <w:t xml:space="preserve">TS 1.8.12.1a-b        </w:t>
          </w:r>
          <w:r w:rsidRPr="0071345C">
            <w:rPr>
              <w:lang w:val="pl-PL"/>
            </w:rPr>
            <w:tab/>
            <w:t>62</w:t>
          </w:r>
        </w:p>
        <w:p w14:paraId="59B871A8" w14:textId="77777777" w:rsidR="00E53EB6" w:rsidRPr="0071345C" w:rsidRDefault="006500F5">
          <w:pPr>
            <w:pStyle w:val="TOC5"/>
            <w:tabs>
              <w:tab w:val="clear" w:pos="8786"/>
              <w:tab w:val="right" w:leader="dot" w:pos="8788"/>
            </w:tabs>
            <w:rPr>
              <w:lang w:val="pl-PL"/>
            </w:rPr>
          </w:pPr>
          <w:r w:rsidRPr="0071345C">
            <w:rPr>
              <w:lang w:val="pl-PL"/>
            </w:rPr>
            <w:t xml:space="preserve">TS 2.4.5.1c        </w:t>
          </w:r>
          <w:r w:rsidRPr="0071345C">
            <w:rPr>
              <w:lang w:val="pl-PL"/>
            </w:rPr>
            <w:tab/>
            <w:t>62</w:t>
          </w:r>
        </w:p>
        <w:p w14:paraId="13ED0F74" w14:textId="77777777" w:rsidR="00E53EB6" w:rsidRDefault="006500F5">
          <w:pPr>
            <w:pStyle w:val="TOC5"/>
            <w:tabs>
              <w:tab w:val="clear" w:pos="8786"/>
              <w:tab w:val="right" w:leader="dot" w:pos="8788"/>
            </w:tabs>
          </w:pPr>
          <w:r>
            <w:t xml:space="preserve">TS 2.6.9.8             </w:t>
          </w:r>
          <w:r>
            <w:tab/>
            <w:t>63</w:t>
          </w:r>
        </w:p>
        <w:p w14:paraId="08768B51" w14:textId="77777777" w:rsidR="00E53EB6" w:rsidRDefault="006500F5">
          <w:pPr>
            <w:pStyle w:val="TOC5"/>
            <w:tabs>
              <w:tab w:val="clear" w:pos="8786"/>
              <w:tab w:val="right" w:leader="dot" w:pos="8788"/>
            </w:tabs>
          </w:pPr>
          <w:r>
            <w:t>TS 3.2.7.1h-</w:t>
          </w:r>
          <w:r>
            <w:t xml:space="preserve">2i            </w:t>
          </w:r>
          <w:r>
            <w:tab/>
            <w:t>63</w:t>
          </w:r>
        </w:p>
        <w:p w14:paraId="46CB626A" w14:textId="77777777" w:rsidR="00E53EB6" w:rsidRDefault="006500F5">
          <w:pPr>
            <w:pStyle w:val="TOC5"/>
            <w:tabs>
              <w:tab w:val="clear" w:pos="8786"/>
              <w:tab w:val="right" w:leader="dot" w:pos="8788"/>
            </w:tabs>
          </w:pPr>
          <w:r>
            <w:lastRenderedPageBreak/>
            <w:t>Maitrāyanī occurrences</w:t>
          </w:r>
          <w:r>
            <w:tab/>
            <w:t>64</w:t>
          </w:r>
        </w:p>
        <w:p w14:paraId="038B5AFF" w14:textId="77777777" w:rsidR="00E53EB6" w:rsidRDefault="006500F5">
          <w:pPr>
            <w:pStyle w:val="TOC5"/>
            <w:tabs>
              <w:tab w:val="clear" w:pos="8786"/>
              <w:tab w:val="right" w:leader="dot" w:pos="8788"/>
            </w:tabs>
          </w:pPr>
          <w:r>
            <w:t xml:space="preserve">MS 2.1.2: 2,5-15         </w:t>
          </w:r>
          <w:r>
            <w:tab/>
            <w:t>64</w:t>
          </w:r>
        </w:p>
        <w:p w14:paraId="142E9DFD" w14:textId="77777777" w:rsidR="00E53EB6" w:rsidRDefault="006500F5">
          <w:pPr>
            <w:pStyle w:val="TOC5"/>
            <w:tabs>
              <w:tab w:val="clear" w:pos="8786"/>
              <w:tab w:val="right" w:leader="dot" w:pos="8788"/>
            </w:tabs>
          </w:pPr>
          <w:r>
            <w:t xml:space="preserve">MS 2.6.8: 68,6-8           </w:t>
          </w:r>
          <w:r>
            <w:tab/>
            <w:t>65</w:t>
          </w:r>
        </w:p>
        <w:p w14:paraId="5B6FB2F9" w14:textId="77777777" w:rsidR="00E53EB6" w:rsidRDefault="006500F5">
          <w:pPr>
            <w:pStyle w:val="TOC5"/>
            <w:tabs>
              <w:tab w:val="clear" w:pos="8786"/>
              <w:tab w:val="right" w:leader="dot" w:pos="8788"/>
            </w:tabs>
          </w:pPr>
          <w:r>
            <w:t xml:space="preserve">MS 3.6.9: 73,1-4        </w:t>
          </w:r>
          <w:r>
            <w:tab/>
            <w:t>66</w:t>
          </w:r>
        </w:p>
        <w:p w14:paraId="6731DFE8" w14:textId="77777777" w:rsidR="00E53EB6" w:rsidRDefault="006500F5">
          <w:pPr>
            <w:pStyle w:val="TOC5"/>
            <w:tabs>
              <w:tab w:val="clear" w:pos="8786"/>
              <w:tab w:val="right" w:leader="dot" w:pos="8788"/>
            </w:tabs>
          </w:pPr>
          <w:r>
            <w:t xml:space="preserve">MS 4.1.10: 12,16; 13,1-3        </w:t>
          </w:r>
          <w:r>
            <w:tab/>
            <w:t>66</w:t>
          </w:r>
        </w:p>
        <w:p w14:paraId="7F67C53B" w14:textId="77777777" w:rsidR="00E53EB6" w:rsidRDefault="006500F5">
          <w:pPr>
            <w:pStyle w:val="TOC5"/>
            <w:tabs>
              <w:tab w:val="clear" w:pos="8786"/>
              <w:tab w:val="right" w:leader="dot" w:pos="8788"/>
            </w:tabs>
          </w:pPr>
          <w:r>
            <w:t xml:space="preserve">MS 4.1.14: 19,18-19; 20,1-3      </w:t>
          </w:r>
          <w:r>
            <w:tab/>
            <w:t>67</w:t>
          </w:r>
        </w:p>
        <w:p w14:paraId="4B067599" w14:textId="77777777" w:rsidR="00E53EB6" w:rsidRDefault="006500F5">
          <w:pPr>
            <w:pStyle w:val="TOC5"/>
            <w:tabs>
              <w:tab w:val="clear" w:pos="8786"/>
              <w:tab w:val="right" w:leader="dot" w:pos="8788"/>
            </w:tabs>
          </w:pPr>
          <w:r>
            <w:t xml:space="preserve">MS 4.4.2: 51,8-10         </w:t>
          </w:r>
          <w:r>
            <w:tab/>
            <w:t>67</w:t>
          </w:r>
        </w:p>
        <w:p w14:paraId="51DA5083" w14:textId="77777777" w:rsidR="00E53EB6" w:rsidRDefault="006500F5">
          <w:pPr>
            <w:pStyle w:val="TOC5"/>
            <w:tabs>
              <w:tab w:val="clear" w:pos="8786"/>
              <w:tab w:val="right" w:leader="dot" w:pos="8788"/>
            </w:tabs>
          </w:pPr>
          <w:r>
            <w:t xml:space="preserve">MS 4.13.9: 212,10-13 </w:t>
          </w:r>
          <w:r>
            <w:t xml:space="preserve">        </w:t>
          </w:r>
          <w:r>
            <w:tab/>
            <w:t>68</w:t>
          </w:r>
        </w:p>
        <w:p w14:paraId="3F4F9AF0" w14:textId="77777777" w:rsidR="00E53EB6" w:rsidRDefault="006500F5">
          <w:pPr>
            <w:pStyle w:val="TOC5"/>
            <w:tabs>
              <w:tab w:val="clear" w:pos="8786"/>
              <w:tab w:val="right" w:leader="dot" w:pos="8788"/>
            </w:tabs>
          </w:pPr>
          <w:r>
            <w:t>Kā</w:t>
          </w:r>
          <w:r>
            <w:t>ṭ</w:t>
          </w:r>
          <w:r>
            <w:t>ha occurrences</w:t>
          </w:r>
          <w:r>
            <w:tab/>
            <w:t>69</w:t>
          </w:r>
        </w:p>
        <w:p w14:paraId="6BF7D1DC" w14:textId="77777777" w:rsidR="00E53EB6" w:rsidRDefault="006500F5">
          <w:pPr>
            <w:pStyle w:val="TOC5"/>
            <w:tabs>
              <w:tab w:val="clear" w:pos="8786"/>
              <w:tab w:val="right" w:leader="dot" w:pos="8788"/>
            </w:tabs>
          </w:pPr>
          <w:r>
            <w:t xml:space="preserve">KS 10.3: 127,1-13        </w:t>
          </w:r>
          <w:r>
            <w:tab/>
            <w:t>69</w:t>
          </w:r>
        </w:p>
        <w:p w14:paraId="1D3ADB9C" w14:textId="77777777" w:rsidR="00E53EB6" w:rsidRPr="0071345C" w:rsidRDefault="006500F5">
          <w:pPr>
            <w:pStyle w:val="TOC5"/>
            <w:tabs>
              <w:tab w:val="clear" w:pos="8786"/>
              <w:tab w:val="right" w:leader="dot" w:pos="8788"/>
            </w:tabs>
            <w:rPr>
              <w:lang w:val="pl-PL"/>
            </w:rPr>
          </w:pPr>
          <w:r w:rsidRPr="0071345C">
            <w:rPr>
              <w:lang w:val="pl-PL"/>
            </w:rPr>
            <w:t xml:space="preserve">KS 10.6: 130,8-16        </w:t>
          </w:r>
          <w:r w:rsidRPr="0071345C">
            <w:rPr>
              <w:lang w:val="pl-PL"/>
            </w:rPr>
            <w:tab/>
            <w:t>69</w:t>
          </w:r>
        </w:p>
        <w:p w14:paraId="7607BEB8" w14:textId="77777777" w:rsidR="00E53EB6" w:rsidRPr="0071345C" w:rsidRDefault="006500F5">
          <w:pPr>
            <w:pStyle w:val="TOC5"/>
            <w:tabs>
              <w:tab w:val="clear" w:pos="8786"/>
              <w:tab w:val="right" w:leader="dot" w:pos="8788"/>
            </w:tabs>
            <w:rPr>
              <w:lang w:val="pl-PL"/>
            </w:rPr>
          </w:pPr>
          <w:r w:rsidRPr="0071345C">
            <w:rPr>
              <w:lang w:val="pl-PL"/>
            </w:rPr>
            <w:t xml:space="preserve">KS 13.16: 200, 7-8         </w:t>
          </w:r>
          <w:r w:rsidRPr="0071345C">
            <w:rPr>
              <w:lang w:val="pl-PL"/>
            </w:rPr>
            <w:tab/>
            <w:t>70</w:t>
          </w:r>
        </w:p>
        <w:p w14:paraId="222C8AE3" w14:textId="77777777" w:rsidR="00E53EB6" w:rsidRPr="0071345C" w:rsidRDefault="006500F5">
          <w:pPr>
            <w:pStyle w:val="TOC5"/>
            <w:tabs>
              <w:tab w:val="clear" w:pos="8786"/>
              <w:tab w:val="right" w:leader="dot" w:pos="8788"/>
            </w:tabs>
            <w:rPr>
              <w:lang w:val="pl-PL"/>
            </w:rPr>
          </w:pPr>
          <w:r w:rsidRPr="0071345C">
            <w:rPr>
              <w:lang w:val="pl-PL"/>
            </w:rPr>
            <w:t xml:space="preserve">KS 15.6: 213,9-10         </w:t>
          </w:r>
          <w:r w:rsidRPr="0071345C">
            <w:rPr>
              <w:lang w:val="pl-PL"/>
            </w:rPr>
            <w:tab/>
            <w:t>71</w:t>
          </w:r>
        </w:p>
        <w:p w14:paraId="21D8EBA0" w14:textId="77777777" w:rsidR="00E53EB6" w:rsidRPr="0071345C" w:rsidRDefault="006500F5">
          <w:pPr>
            <w:pStyle w:val="TOC5"/>
            <w:tabs>
              <w:tab w:val="clear" w:pos="8786"/>
              <w:tab w:val="right" w:leader="dot" w:pos="8788"/>
            </w:tabs>
            <w:rPr>
              <w:lang w:val="pl-PL"/>
            </w:rPr>
          </w:pPr>
          <w:r w:rsidRPr="0071345C">
            <w:rPr>
              <w:lang w:val="pl-PL"/>
            </w:rPr>
            <w:t xml:space="preserve">KS 23.6: 81,19-82,2        </w:t>
          </w:r>
          <w:r w:rsidRPr="0071345C">
            <w:rPr>
              <w:lang w:val="pl-PL"/>
            </w:rPr>
            <w:tab/>
            <w:t>72</w:t>
          </w:r>
        </w:p>
        <w:p w14:paraId="19D425B4" w14:textId="77777777" w:rsidR="00E53EB6" w:rsidRPr="0071345C" w:rsidRDefault="006500F5">
          <w:pPr>
            <w:pStyle w:val="TOC5"/>
            <w:tabs>
              <w:tab w:val="clear" w:pos="8786"/>
              <w:tab w:val="right" w:leader="dot" w:pos="8788"/>
            </w:tabs>
            <w:rPr>
              <w:lang w:val="pl-PL"/>
            </w:rPr>
          </w:pPr>
          <w:r w:rsidRPr="0071345C">
            <w:rPr>
              <w:lang w:val="pl-PL"/>
            </w:rPr>
            <w:t xml:space="preserve">KS 30.8: 189,20-21         </w:t>
          </w:r>
          <w:r w:rsidRPr="0071345C">
            <w:rPr>
              <w:lang w:val="pl-PL"/>
            </w:rPr>
            <w:tab/>
            <w:t>72</w:t>
          </w:r>
        </w:p>
        <w:p w14:paraId="7AB7364A" w14:textId="77777777" w:rsidR="00E53EB6" w:rsidRDefault="006500F5">
          <w:pPr>
            <w:pStyle w:val="TOC5"/>
            <w:tabs>
              <w:tab w:val="clear" w:pos="8786"/>
              <w:tab w:val="right" w:leader="dot" w:pos="8788"/>
            </w:tabs>
          </w:pPr>
          <w:r>
            <w:t>Vājasaneya occurrences (Mādhya</w:t>
          </w:r>
          <w:r>
            <w:t>ṃ</w:t>
          </w:r>
          <w:r>
            <w:t xml:space="preserve">dina recension) </w:t>
          </w:r>
          <w:r>
            <w:tab/>
            <w:t>73</w:t>
          </w:r>
        </w:p>
        <w:p w14:paraId="61AAB529" w14:textId="77777777" w:rsidR="00E53EB6" w:rsidRDefault="006500F5">
          <w:pPr>
            <w:pStyle w:val="TOC5"/>
            <w:tabs>
              <w:tab w:val="clear" w:pos="8786"/>
              <w:tab w:val="right" w:leader="dot" w:pos="8788"/>
            </w:tabs>
          </w:pPr>
          <w:r>
            <w:t xml:space="preserve">VS 10.4 (t-u)           </w:t>
          </w:r>
          <w:r>
            <w:tab/>
            <w:t>73</w:t>
          </w:r>
        </w:p>
        <w:p w14:paraId="6CF4BE88" w14:textId="77777777" w:rsidR="00E53EB6" w:rsidRDefault="006500F5">
          <w:pPr>
            <w:pStyle w:val="TOC3"/>
            <w:tabs>
              <w:tab w:val="clear" w:pos="8786"/>
              <w:tab w:val="right" w:leader="dot" w:pos="8788"/>
            </w:tabs>
          </w:pPr>
          <w:r>
            <w:t>III.2.2 Brāhma</w:t>
          </w:r>
          <w:r>
            <w:t>ṇ</w:t>
          </w:r>
          <w:r>
            <w:t>a Occurrences</w:t>
          </w:r>
          <w:r>
            <w:tab/>
            <w:t>74</w:t>
          </w:r>
        </w:p>
        <w:p w14:paraId="043E630B" w14:textId="77777777" w:rsidR="00E53EB6" w:rsidRDefault="006500F5">
          <w:pPr>
            <w:pStyle w:val="TOC4"/>
            <w:tabs>
              <w:tab w:val="clear" w:pos="8786"/>
              <w:tab w:val="right" w:leader="dot" w:pos="8788"/>
            </w:tabs>
          </w:pPr>
          <w:r>
            <w:t>R̥V mantras</w:t>
          </w:r>
          <w:r>
            <w:tab/>
            <w:t>74</w:t>
          </w:r>
        </w:p>
        <w:p w14:paraId="686A4561" w14:textId="77777777" w:rsidR="00E53EB6" w:rsidRDefault="006500F5">
          <w:pPr>
            <w:pStyle w:val="TOC4"/>
            <w:tabs>
              <w:tab w:val="clear" w:pos="8786"/>
              <w:tab w:val="right" w:leader="dot" w:pos="8788"/>
            </w:tabs>
          </w:pPr>
          <w:r>
            <w:t>R̥V Brāhmana occurrences</w:t>
          </w:r>
          <w:r>
            <w:tab/>
            <w:t>74</w:t>
          </w:r>
        </w:p>
        <w:p w14:paraId="4FF496C5" w14:textId="77777777" w:rsidR="00E53EB6" w:rsidRDefault="006500F5">
          <w:pPr>
            <w:pStyle w:val="TOC5"/>
            <w:tabs>
              <w:tab w:val="clear" w:pos="8786"/>
              <w:tab w:val="right" w:leader="dot" w:pos="8788"/>
            </w:tabs>
          </w:pPr>
          <w:r>
            <w:t>Aitareya occurrences</w:t>
          </w:r>
          <w:r>
            <w:tab/>
            <w:t>74</w:t>
          </w:r>
        </w:p>
        <w:p w14:paraId="7548D90F" w14:textId="77777777" w:rsidR="00E53EB6" w:rsidRDefault="006500F5">
          <w:pPr>
            <w:pStyle w:val="TOC5"/>
            <w:tabs>
              <w:tab w:val="clear" w:pos="8786"/>
              <w:tab w:val="right" w:leader="dot" w:pos="8788"/>
            </w:tabs>
          </w:pPr>
          <w:r>
            <w:t>AB 1.25.7</w:t>
          </w:r>
          <w:r>
            <w:tab/>
            <w:t>74</w:t>
          </w:r>
        </w:p>
        <w:p w14:paraId="06BBF7F5" w14:textId="77777777" w:rsidR="00E53EB6" w:rsidRDefault="006500F5">
          <w:pPr>
            <w:pStyle w:val="TOC5"/>
            <w:tabs>
              <w:tab w:val="clear" w:pos="8786"/>
              <w:tab w:val="right" w:leader="dot" w:pos="8788"/>
            </w:tabs>
          </w:pPr>
          <w:r>
            <w:t xml:space="preserve">AB 2.2          </w:t>
          </w:r>
          <w:r>
            <w:tab/>
            <w:t>75</w:t>
          </w:r>
        </w:p>
        <w:p w14:paraId="74242DDE" w14:textId="77777777" w:rsidR="00E53EB6" w:rsidRDefault="006500F5">
          <w:pPr>
            <w:pStyle w:val="TOC4"/>
            <w:tabs>
              <w:tab w:val="clear" w:pos="8786"/>
              <w:tab w:val="right" w:leader="dot" w:pos="8788"/>
            </w:tabs>
          </w:pPr>
          <w:r>
            <w:t>YV Brāhma</w:t>
          </w:r>
          <w:r>
            <w:t>ṇ</w:t>
          </w:r>
          <w:r>
            <w:t>a occurrences</w:t>
          </w:r>
          <w:r>
            <w:tab/>
            <w:t>76</w:t>
          </w:r>
        </w:p>
        <w:p w14:paraId="2B00A2DF" w14:textId="77777777" w:rsidR="00E53EB6" w:rsidRDefault="006500F5">
          <w:pPr>
            <w:pStyle w:val="TOC5"/>
            <w:tabs>
              <w:tab w:val="clear" w:pos="8786"/>
              <w:tab w:val="right" w:leader="dot" w:pos="8788"/>
            </w:tabs>
          </w:pPr>
          <w:r>
            <w:t>Taittirīya occurre</w:t>
          </w:r>
          <w:r>
            <w:t>nces</w:t>
          </w:r>
          <w:r>
            <w:tab/>
            <w:t>76</w:t>
          </w:r>
        </w:p>
        <w:p w14:paraId="52751D5A" w14:textId="77777777" w:rsidR="00E53EB6" w:rsidRDefault="006500F5">
          <w:pPr>
            <w:pStyle w:val="TOC5"/>
            <w:tabs>
              <w:tab w:val="clear" w:pos="8786"/>
              <w:tab w:val="right" w:leader="dot" w:pos="8788"/>
            </w:tabs>
          </w:pPr>
          <w:r>
            <w:t xml:space="preserve">TB 2.4.3.10-(11)        </w:t>
          </w:r>
          <w:r>
            <w:tab/>
            <w:t>76</w:t>
          </w:r>
        </w:p>
        <w:p w14:paraId="71F3E573" w14:textId="77777777" w:rsidR="00E53EB6" w:rsidRDefault="006500F5">
          <w:pPr>
            <w:pStyle w:val="TOC5"/>
            <w:tabs>
              <w:tab w:val="clear" w:pos="8786"/>
              <w:tab w:val="right" w:leader="dot" w:pos="8788"/>
            </w:tabs>
          </w:pPr>
          <w:r>
            <w:t xml:space="preserve">TB 2.4.5.5        </w:t>
          </w:r>
          <w:r>
            <w:tab/>
            <w:t>77</w:t>
          </w:r>
        </w:p>
        <w:p w14:paraId="34B6723A" w14:textId="77777777" w:rsidR="00E53EB6" w:rsidRDefault="006500F5">
          <w:pPr>
            <w:pStyle w:val="TOC5"/>
            <w:tabs>
              <w:tab w:val="clear" w:pos="8786"/>
              <w:tab w:val="right" w:leader="dot" w:pos="8788"/>
            </w:tabs>
          </w:pPr>
          <w:r>
            <w:t xml:space="preserve">TB 2.4.6.2          </w:t>
          </w:r>
          <w:r>
            <w:tab/>
            <w:t>77</w:t>
          </w:r>
        </w:p>
        <w:p w14:paraId="5648E1E0" w14:textId="77777777" w:rsidR="00E53EB6" w:rsidRDefault="006500F5">
          <w:pPr>
            <w:pStyle w:val="TOC5"/>
            <w:tabs>
              <w:tab w:val="clear" w:pos="8786"/>
              <w:tab w:val="right" w:leader="dot" w:pos="8788"/>
            </w:tabs>
          </w:pPr>
          <w:r>
            <w:t xml:space="preserve">TB 2.4.8.1        </w:t>
          </w:r>
          <w:r>
            <w:tab/>
            <w:t>78</w:t>
          </w:r>
        </w:p>
        <w:p w14:paraId="450E412A" w14:textId="77777777" w:rsidR="00E53EB6" w:rsidRDefault="006500F5">
          <w:pPr>
            <w:pStyle w:val="TOC5"/>
            <w:tabs>
              <w:tab w:val="clear" w:pos="8786"/>
              <w:tab w:val="right" w:leader="dot" w:pos="8788"/>
            </w:tabs>
          </w:pPr>
          <w:r>
            <w:t xml:space="preserve">TB 2.8.5.2-3        </w:t>
          </w:r>
          <w:r>
            <w:tab/>
            <w:t>79</w:t>
          </w:r>
        </w:p>
        <w:p w14:paraId="4EE6CC96" w14:textId="77777777" w:rsidR="00E53EB6" w:rsidRDefault="006500F5">
          <w:pPr>
            <w:pStyle w:val="TOC5"/>
            <w:tabs>
              <w:tab w:val="clear" w:pos="8786"/>
              <w:tab w:val="right" w:leader="dot" w:pos="8788"/>
            </w:tabs>
          </w:pPr>
          <w:r>
            <w:t xml:space="preserve">TB 2.8.5.[7]-8-[9]        </w:t>
          </w:r>
          <w:r>
            <w:tab/>
            <w:t>80</w:t>
          </w:r>
        </w:p>
        <w:p w14:paraId="074378A7" w14:textId="77777777" w:rsidR="00E53EB6" w:rsidRDefault="006500F5">
          <w:pPr>
            <w:pStyle w:val="TOC5"/>
            <w:tabs>
              <w:tab w:val="clear" w:pos="8786"/>
              <w:tab w:val="right" w:leader="dot" w:pos="8788"/>
            </w:tabs>
          </w:pPr>
          <w:r>
            <w:t xml:space="preserve">TB 3.5.7.2         </w:t>
          </w:r>
          <w:r>
            <w:tab/>
            <w:t>81</w:t>
          </w:r>
        </w:p>
        <w:p w14:paraId="42785032" w14:textId="77777777" w:rsidR="00E53EB6" w:rsidRDefault="006500F5">
          <w:pPr>
            <w:pStyle w:val="TOC5"/>
            <w:tabs>
              <w:tab w:val="clear" w:pos="8786"/>
              <w:tab w:val="right" w:leader="dot" w:pos="8788"/>
            </w:tabs>
          </w:pPr>
          <w:r>
            <w:t xml:space="preserve">TB 3.6.1.1-(2)          </w:t>
          </w:r>
          <w:r>
            <w:tab/>
            <w:t>81</w:t>
          </w:r>
        </w:p>
        <w:p w14:paraId="1CA96A7A" w14:textId="77777777" w:rsidR="00E53EB6" w:rsidRDefault="006500F5">
          <w:pPr>
            <w:pStyle w:val="TOC5"/>
            <w:tabs>
              <w:tab w:val="clear" w:pos="8786"/>
              <w:tab w:val="right" w:leader="dot" w:pos="8788"/>
            </w:tabs>
          </w:pPr>
          <w:r>
            <w:t xml:space="preserve">TB 3.7.9.6         </w:t>
          </w:r>
          <w:r>
            <w:tab/>
            <w:t>82</w:t>
          </w:r>
        </w:p>
        <w:p w14:paraId="2A669BC5" w14:textId="77777777" w:rsidR="00E53EB6" w:rsidRDefault="006500F5">
          <w:pPr>
            <w:pStyle w:val="TOC5"/>
            <w:tabs>
              <w:tab w:val="clear" w:pos="8786"/>
              <w:tab w:val="right" w:leader="dot" w:pos="8788"/>
            </w:tabs>
          </w:pPr>
          <w:r>
            <w:t>Śatapatha occurrences (M</w:t>
          </w:r>
          <w:r>
            <w:t>ādhya</w:t>
          </w:r>
          <w:r>
            <w:t>ṃ</w:t>
          </w:r>
          <w:r>
            <w:t>dina recension)</w:t>
          </w:r>
          <w:r>
            <w:tab/>
            <w:t>83</w:t>
          </w:r>
        </w:p>
        <w:p w14:paraId="3D72990D" w14:textId="77777777" w:rsidR="00E53EB6" w:rsidRDefault="006500F5">
          <w:pPr>
            <w:pStyle w:val="TOC5"/>
            <w:tabs>
              <w:tab w:val="clear" w:pos="8786"/>
              <w:tab w:val="right" w:leader="dot" w:pos="8788"/>
            </w:tabs>
          </w:pPr>
          <w:r>
            <w:t xml:space="preserve">ŚB 4.2.1.12         </w:t>
          </w:r>
          <w:r>
            <w:tab/>
            <w:t>83</w:t>
          </w:r>
        </w:p>
        <w:p w14:paraId="7066624F" w14:textId="77777777" w:rsidR="00E53EB6" w:rsidRDefault="006500F5">
          <w:pPr>
            <w:pStyle w:val="TOC5"/>
            <w:tabs>
              <w:tab w:val="clear" w:pos="8786"/>
              <w:tab w:val="right" w:leader="dot" w:pos="8788"/>
            </w:tabs>
          </w:pPr>
          <w:r>
            <w:t xml:space="preserve">ŚB 10.1.1.10         </w:t>
          </w:r>
          <w:r>
            <w:tab/>
            <w:t>84</w:t>
          </w:r>
        </w:p>
        <w:p w14:paraId="22D661B1" w14:textId="77777777" w:rsidR="00E53EB6" w:rsidRDefault="006500F5">
          <w:pPr>
            <w:pStyle w:val="TOC5"/>
            <w:tabs>
              <w:tab w:val="clear" w:pos="8786"/>
              <w:tab w:val="right" w:leader="dot" w:pos="8788"/>
            </w:tabs>
          </w:pPr>
          <w:r>
            <w:t xml:space="preserve">ŚB 12.4.4.2          </w:t>
          </w:r>
          <w:r>
            <w:tab/>
            <w:t>85</w:t>
          </w:r>
        </w:p>
        <w:p w14:paraId="156E99D9" w14:textId="77777777" w:rsidR="00E53EB6" w:rsidRDefault="006500F5">
          <w:pPr>
            <w:pStyle w:val="TOC4"/>
            <w:tabs>
              <w:tab w:val="clear" w:pos="8786"/>
              <w:tab w:val="right" w:leader="dot" w:pos="8788"/>
            </w:tabs>
          </w:pPr>
          <w:r>
            <w:t>Non-R̥V mantras – Brāhma</w:t>
          </w:r>
          <w:r>
            <w:t>ṇ</w:t>
          </w:r>
          <w:r>
            <w:t>a prose</w:t>
          </w:r>
          <w:r>
            <w:tab/>
            <w:t>86</w:t>
          </w:r>
        </w:p>
        <w:p w14:paraId="4F10C571" w14:textId="77777777" w:rsidR="00E53EB6" w:rsidRDefault="006500F5">
          <w:pPr>
            <w:pStyle w:val="TOC4"/>
            <w:tabs>
              <w:tab w:val="clear" w:pos="8786"/>
              <w:tab w:val="right" w:leader="dot" w:pos="8788"/>
            </w:tabs>
          </w:pPr>
          <w:r>
            <w:t>YV Brāhma</w:t>
          </w:r>
          <w:r>
            <w:t>ṇ</w:t>
          </w:r>
          <w:r>
            <w:t>a occurrences</w:t>
          </w:r>
          <w:r>
            <w:tab/>
            <w:t>86</w:t>
          </w:r>
        </w:p>
        <w:p w14:paraId="51734EF3" w14:textId="77777777" w:rsidR="00E53EB6" w:rsidRDefault="006500F5">
          <w:pPr>
            <w:pStyle w:val="TOC5"/>
            <w:tabs>
              <w:tab w:val="clear" w:pos="8786"/>
              <w:tab w:val="right" w:leader="dot" w:pos="8788"/>
            </w:tabs>
          </w:pPr>
          <w:r>
            <w:t>Taittirīya occurrences</w:t>
          </w:r>
          <w:r>
            <w:tab/>
            <w:t>86</w:t>
          </w:r>
        </w:p>
        <w:p w14:paraId="4FA8A462" w14:textId="77777777" w:rsidR="00E53EB6" w:rsidRPr="0071345C" w:rsidRDefault="006500F5">
          <w:pPr>
            <w:pStyle w:val="TOC5"/>
            <w:tabs>
              <w:tab w:val="clear" w:pos="8786"/>
              <w:tab w:val="right" w:leader="dot" w:pos="8788"/>
            </w:tabs>
            <w:rPr>
              <w:lang w:val="it-IT"/>
            </w:rPr>
          </w:pPr>
          <w:r w:rsidRPr="0071345C">
            <w:rPr>
              <w:lang w:val="it-IT"/>
            </w:rPr>
            <w:t>TB 2.4.3.4-5       non-R̥V mantra and R̥V mantra</w:t>
          </w:r>
          <w:r w:rsidRPr="0071345C">
            <w:rPr>
              <w:lang w:val="it-IT"/>
            </w:rPr>
            <w:tab/>
            <w:t>86</w:t>
          </w:r>
        </w:p>
        <w:p w14:paraId="13B710DB" w14:textId="77777777" w:rsidR="00E53EB6" w:rsidRPr="0071345C" w:rsidRDefault="006500F5">
          <w:pPr>
            <w:pStyle w:val="TOC5"/>
            <w:tabs>
              <w:tab w:val="clear" w:pos="8786"/>
              <w:tab w:val="right" w:leader="dot" w:pos="8788"/>
            </w:tabs>
            <w:rPr>
              <w:lang w:val="it-IT"/>
            </w:rPr>
          </w:pPr>
          <w:r w:rsidRPr="0071345C">
            <w:rPr>
              <w:lang w:val="it-IT"/>
            </w:rPr>
            <w:t xml:space="preserve">TB 3.5.10.5          </w:t>
          </w:r>
          <w:r w:rsidRPr="0071345C">
            <w:rPr>
              <w:lang w:val="it-IT"/>
            </w:rPr>
            <w:tab/>
            <w:t>87</w:t>
          </w:r>
        </w:p>
        <w:p w14:paraId="710E5F72" w14:textId="77777777" w:rsidR="00E53EB6" w:rsidRPr="0071345C" w:rsidRDefault="006500F5">
          <w:pPr>
            <w:pStyle w:val="TOC5"/>
            <w:tabs>
              <w:tab w:val="clear" w:pos="8786"/>
              <w:tab w:val="right" w:leader="dot" w:pos="8788"/>
            </w:tabs>
            <w:rPr>
              <w:lang w:val="it-IT"/>
            </w:rPr>
          </w:pPr>
          <w:r w:rsidRPr="0071345C">
            <w:rPr>
              <w:lang w:val="it-IT"/>
            </w:rPr>
            <w:t>Śatapatha occurrences (Mādhya</w:t>
          </w:r>
          <w:r w:rsidRPr="0071345C">
            <w:rPr>
              <w:lang w:val="it-IT"/>
            </w:rPr>
            <w:t>ṃ</w:t>
          </w:r>
          <w:r w:rsidRPr="0071345C">
            <w:rPr>
              <w:lang w:val="it-IT"/>
            </w:rPr>
            <w:t>dina recension)</w:t>
          </w:r>
          <w:r w:rsidRPr="0071345C">
            <w:rPr>
              <w:lang w:val="it-IT"/>
            </w:rPr>
            <w:tab/>
            <w:t>88</w:t>
          </w:r>
        </w:p>
        <w:p w14:paraId="4F7099F7" w14:textId="77777777" w:rsidR="00E53EB6" w:rsidRPr="0071345C" w:rsidRDefault="006500F5">
          <w:pPr>
            <w:pStyle w:val="TOC5"/>
            <w:tabs>
              <w:tab w:val="clear" w:pos="8786"/>
              <w:tab w:val="right" w:leader="dot" w:pos="8788"/>
            </w:tabs>
            <w:rPr>
              <w:lang w:val="it-IT"/>
            </w:rPr>
          </w:pPr>
          <w:r w:rsidRPr="0071345C">
            <w:rPr>
              <w:lang w:val="it-IT"/>
            </w:rPr>
            <w:t xml:space="preserve">ŚB 1.9.1.19           </w:t>
          </w:r>
          <w:r w:rsidRPr="0071345C">
            <w:rPr>
              <w:lang w:val="it-IT"/>
            </w:rPr>
            <w:tab/>
            <w:t>88</w:t>
          </w:r>
        </w:p>
        <w:p w14:paraId="2DCF74D2" w14:textId="77777777" w:rsidR="00E53EB6" w:rsidRPr="0071345C" w:rsidRDefault="006500F5">
          <w:pPr>
            <w:pStyle w:val="TOC5"/>
            <w:tabs>
              <w:tab w:val="clear" w:pos="8786"/>
              <w:tab w:val="right" w:leader="dot" w:pos="8788"/>
            </w:tabs>
            <w:rPr>
              <w:lang w:val="it-IT"/>
            </w:rPr>
          </w:pPr>
          <w:r w:rsidRPr="0071345C">
            <w:rPr>
              <w:lang w:val="it-IT"/>
            </w:rPr>
            <w:t xml:space="preserve">ŚB 3.8.2.22         </w:t>
          </w:r>
          <w:r w:rsidRPr="0071345C">
            <w:rPr>
              <w:lang w:val="it-IT"/>
            </w:rPr>
            <w:tab/>
            <w:t>88</w:t>
          </w:r>
        </w:p>
        <w:p w14:paraId="0AC158D6" w14:textId="77777777" w:rsidR="00E53EB6" w:rsidRPr="0071345C" w:rsidRDefault="006500F5">
          <w:pPr>
            <w:pStyle w:val="TOC5"/>
            <w:tabs>
              <w:tab w:val="clear" w:pos="8786"/>
              <w:tab w:val="right" w:leader="dot" w:pos="8788"/>
            </w:tabs>
            <w:rPr>
              <w:lang w:val="it-IT"/>
            </w:rPr>
          </w:pPr>
          <w:r w:rsidRPr="0071345C">
            <w:rPr>
              <w:lang w:val="it-IT"/>
            </w:rPr>
            <w:t xml:space="preserve">ŚB 5.3.4.27          </w:t>
          </w:r>
          <w:r w:rsidRPr="0071345C">
            <w:rPr>
              <w:lang w:val="it-IT"/>
            </w:rPr>
            <w:tab/>
            <w:t>89</w:t>
          </w:r>
        </w:p>
        <w:p w14:paraId="3679B43A" w14:textId="77777777" w:rsidR="00E53EB6" w:rsidRPr="0071345C" w:rsidRDefault="006500F5">
          <w:pPr>
            <w:pStyle w:val="TOC3"/>
            <w:tabs>
              <w:tab w:val="clear" w:pos="8786"/>
              <w:tab w:val="right" w:leader="dot" w:pos="8788"/>
            </w:tabs>
            <w:rPr>
              <w:lang w:val="it-IT"/>
            </w:rPr>
          </w:pPr>
          <w:r w:rsidRPr="0071345C">
            <w:rPr>
              <w:lang w:val="it-IT"/>
            </w:rPr>
            <w:t>IV.2.1 Atharvaveda Occurrences</w:t>
          </w:r>
          <w:r w:rsidRPr="0071345C">
            <w:rPr>
              <w:lang w:val="it-IT"/>
            </w:rPr>
            <w:tab/>
            <w:t>144</w:t>
          </w:r>
        </w:p>
        <w:p w14:paraId="7603EE88" w14:textId="77777777" w:rsidR="00E53EB6" w:rsidRDefault="006500F5">
          <w:pPr>
            <w:pStyle w:val="TOC4"/>
            <w:tabs>
              <w:tab w:val="clear" w:pos="8786"/>
              <w:tab w:val="right" w:leader="dot" w:pos="8788"/>
            </w:tabs>
          </w:pPr>
          <w:r>
            <w:t>R̥V mantras</w:t>
          </w:r>
          <w:r>
            <w:tab/>
            <w:t>144</w:t>
          </w:r>
        </w:p>
        <w:p w14:paraId="0FE2D2F7" w14:textId="77777777" w:rsidR="00E53EB6" w:rsidRDefault="006500F5">
          <w:pPr>
            <w:pStyle w:val="TOC5"/>
            <w:tabs>
              <w:tab w:val="clear" w:pos="8786"/>
              <w:tab w:val="right" w:leader="dot" w:pos="8788"/>
            </w:tabs>
          </w:pPr>
          <w:r>
            <w:t>Śaunaka occurrences</w:t>
          </w:r>
          <w:r>
            <w:tab/>
            <w:t>145</w:t>
          </w:r>
        </w:p>
        <w:p w14:paraId="0BC41571" w14:textId="77777777" w:rsidR="00E53EB6" w:rsidRDefault="006500F5">
          <w:pPr>
            <w:pStyle w:val="TOC5"/>
            <w:tabs>
              <w:tab w:val="clear" w:pos="8786"/>
              <w:tab w:val="right" w:leader="dot" w:pos="8788"/>
            </w:tabs>
          </w:pPr>
          <w:r>
            <w:lastRenderedPageBreak/>
            <w:t xml:space="preserve">AVŚ 20.22.2         </w:t>
          </w:r>
          <w:r>
            <w:tab/>
            <w:t>145</w:t>
          </w:r>
        </w:p>
        <w:p w14:paraId="7C773D01" w14:textId="77777777" w:rsidR="00E53EB6" w:rsidRDefault="006500F5">
          <w:pPr>
            <w:pStyle w:val="TOC5"/>
            <w:tabs>
              <w:tab w:val="clear" w:pos="8786"/>
              <w:tab w:val="right" w:leader="dot" w:pos="8788"/>
            </w:tabs>
          </w:pPr>
          <w:r>
            <w:t>AVŚ 20.</w:t>
          </w:r>
          <w:r>
            <w:t xml:space="preserve">30.1         </w:t>
          </w:r>
          <w:r>
            <w:tab/>
            <w:t>146</w:t>
          </w:r>
        </w:p>
        <w:p w14:paraId="056C4EF8" w14:textId="77777777" w:rsidR="00E53EB6" w:rsidRDefault="006500F5">
          <w:pPr>
            <w:pStyle w:val="TOC5"/>
            <w:tabs>
              <w:tab w:val="clear" w:pos="8786"/>
              <w:tab w:val="right" w:leader="dot" w:pos="8788"/>
            </w:tabs>
          </w:pPr>
          <w:r>
            <w:t xml:space="preserve">AVŚ 20.35.15         </w:t>
          </w:r>
          <w:r>
            <w:tab/>
            <w:t>146</w:t>
          </w:r>
        </w:p>
        <w:p w14:paraId="271E4076" w14:textId="77777777" w:rsidR="00E53EB6" w:rsidRDefault="006500F5">
          <w:pPr>
            <w:pStyle w:val="TOC5"/>
            <w:tabs>
              <w:tab w:val="clear" w:pos="8786"/>
              <w:tab w:val="right" w:leader="dot" w:pos="8788"/>
            </w:tabs>
          </w:pPr>
          <w:r>
            <w:t xml:space="preserve">AVŚ 20.67.1         </w:t>
          </w:r>
          <w:r>
            <w:tab/>
            <w:t>147</w:t>
          </w:r>
        </w:p>
        <w:p w14:paraId="4E9BA377" w14:textId="77777777" w:rsidR="00E53EB6" w:rsidRDefault="006500F5">
          <w:pPr>
            <w:pStyle w:val="TOC5"/>
            <w:tabs>
              <w:tab w:val="clear" w:pos="8786"/>
              <w:tab w:val="right" w:leader="dot" w:pos="8788"/>
            </w:tabs>
          </w:pPr>
          <w:r>
            <w:t xml:space="preserve">AVŚ 20.75.3         </w:t>
          </w:r>
          <w:r>
            <w:tab/>
            <w:t>148</w:t>
          </w:r>
        </w:p>
        <w:p w14:paraId="43DAF9B3" w14:textId="77777777" w:rsidR="00E53EB6" w:rsidRDefault="006500F5">
          <w:pPr>
            <w:pStyle w:val="TOC5"/>
            <w:tabs>
              <w:tab w:val="clear" w:pos="8786"/>
              <w:tab w:val="right" w:leader="dot" w:pos="8788"/>
            </w:tabs>
          </w:pPr>
          <w:r>
            <w:t xml:space="preserve">AVŚ 20.143.2         </w:t>
          </w:r>
          <w:r>
            <w:tab/>
            <w:t>148</w:t>
          </w:r>
        </w:p>
        <w:p w14:paraId="42AA3054" w14:textId="77777777" w:rsidR="00E53EB6" w:rsidRPr="0071345C" w:rsidRDefault="006500F5">
          <w:pPr>
            <w:pStyle w:val="TOC5"/>
            <w:tabs>
              <w:tab w:val="clear" w:pos="8786"/>
              <w:tab w:val="right" w:leader="dot" w:pos="8788"/>
            </w:tabs>
            <w:rPr>
              <w:lang w:val="it-IT"/>
            </w:rPr>
          </w:pPr>
          <w:r w:rsidRPr="0071345C">
            <w:rPr>
              <w:lang w:val="it-IT"/>
            </w:rPr>
            <w:t xml:space="preserve">AVŚ 6.126.1        </w:t>
          </w:r>
          <w:r w:rsidRPr="0071345C">
            <w:rPr>
              <w:lang w:val="it-IT"/>
            </w:rPr>
            <w:tab/>
            <w:t>149</w:t>
          </w:r>
        </w:p>
        <w:p w14:paraId="160CDA5D" w14:textId="77777777" w:rsidR="00E53EB6" w:rsidRPr="0071345C" w:rsidRDefault="006500F5">
          <w:pPr>
            <w:pStyle w:val="TOC4"/>
            <w:tabs>
              <w:tab w:val="clear" w:pos="8786"/>
              <w:tab w:val="right" w:leader="dot" w:pos="8788"/>
            </w:tabs>
            <w:rPr>
              <w:lang w:val="it-IT"/>
            </w:rPr>
          </w:pPr>
          <w:r w:rsidRPr="0071345C">
            <w:rPr>
              <w:lang w:val="it-IT"/>
            </w:rPr>
            <w:t>Non-R̥V mantras</w:t>
          </w:r>
          <w:r w:rsidRPr="0071345C">
            <w:rPr>
              <w:lang w:val="it-IT"/>
            </w:rPr>
            <w:tab/>
            <w:t>149</w:t>
          </w:r>
        </w:p>
        <w:p w14:paraId="0621DF15" w14:textId="77777777" w:rsidR="00E53EB6" w:rsidRPr="0071345C" w:rsidRDefault="006500F5">
          <w:pPr>
            <w:pStyle w:val="TOC5"/>
            <w:tabs>
              <w:tab w:val="clear" w:pos="8786"/>
              <w:tab w:val="right" w:leader="dot" w:pos="8788"/>
            </w:tabs>
            <w:rPr>
              <w:lang w:val="it-IT"/>
            </w:rPr>
          </w:pPr>
          <w:r w:rsidRPr="0071345C">
            <w:rPr>
              <w:lang w:val="it-IT"/>
            </w:rPr>
            <w:t>Śaunaka occurrences</w:t>
          </w:r>
          <w:r w:rsidRPr="0071345C">
            <w:rPr>
              <w:lang w:val="it-IT"/>
            </w:rPr>
            <w:tab/>
            <w:t>149</w:t>
          </w:r>
        </w:p>
        <w:p w14:paraId="5C77CC12" w14:textId="77777777" w:rsidR="00E53EB6" w:rsidRPr="0071345C" w:rsidRDefault="006500F5">
          <w:pPr>
            <w:pStyle w:val="TOC5"/>
            <w:tabs>
              <w:tab w:val="clear" w:pos="8786"/>
              <w:tab w:val="right" w:leader="dot" w:pos="8788"/>
            </w:tabs>
            <w:rPr>
              <w:lang w:val="it-IT"/>
            </w:rPr>
          </w:pPr>
          <w:r w:rsidRPr="0071345C">
            <w:rPr>
              <w:lang w:val="it-IT"/>
            </w:rPr>
            <w:t xml:space="preserve">AVŚ 1.34.4          </w:t>
          </w:r>
          <w:r w:rsidRPr="0071345C">
            <w:rPr>
              <w:lang w:val="it-IT"/>
            </w:rPr>
            <w:tab/>
            <w:t>149</w:t>
          </w:r>
        </w:p>
        <w:p w14:paraId="7ADCA527" w14:textId="77777777" w:rsidR="00E53EB6" w:rsidRPr="0071345C" w:rsidRDefault="006500F5">
          <w:pPr>
            <w:pStyle w:val="TOC5"/>
            <w:tabs>
              <w:tab w:val="clear" w:pos="8786"/>
              <w:tab w:val="right" w:leader="dot" w:pos="8788"/>
            </w:tabs>
            <w:rPr>
              <w:lang w:val="it-IT"/>
            </w:rPr>
          </w:pPr>
          <w:r w:rsidRPr="0071345C">
            <w:rPr>
              <w:lang w:val="it-IT"/>
            </w:rPr>
            <w:t xml:space="preserve">AVŚ 4.15.10          </w:t>
          </w:r>
          <w:r w:rsidRPr="0071345C">
            <w:rPr>
              <w:lang w:val="it-IT"/>
            </w:rPr>
            <w:tab/>
            <w:t>150</w:t>
          </w:r>
        </w:p>
        <w:p w14:paraId="7DB8C878" w14:textId="77777777" w:rsidR="00E53EB6" w:rsidRPr="0071345C" w:rsidRDefault="006500F5">
          <w:pPr>
            <w:pStyle w:val="TOC5"/>
            <w:tabs>
              <w:tab w:val="clear" w:pos="8786"/>
              <w:tab w:val="right" w:leader="dot" w:pos="8788"/>
            </w:tabs>
            <w:rPr>
              <w:lang w:val="it-IT"/>
            </w:rPr>
          </w:pPr>
          <w:r w:rsidRPr="0071345C">
            <w:rPr>
              <w:lang w:val="it-IT"/>
            </w:rPr>
            <w:t xml:space="preserve">AVŚ 4.15.15      </w:t>
          </w:r>
          <w:r w:rsidRPr="0071345C">
            <w:rPr>
              <w:lang w:val="it-IT"/>
            </w:rPr>
            <w:t xml:space="preserve">    </w:t>
          </w:r>
          <w:r w:rsidRPr="0071345C">
            <w:rPr>
              <w:lang w:val="it-IT"/>
            </w:rPr>
            <w:tab/>
            <w:t>150</w:t>
          </w:r>
        </w:p>
        <w:p w14:paraId="34EF94D0" w14:textId="77777777" w:rsidR="00E53EB6" w:rsidRPr="0071345C" w:rsidRDefault="006500F5">
          <w:pPr>
            <w:pStyle w:val="TOC5"/>
            <w:tabs>
              <w:tab w:val="clear" w:pos="8786"/>
              <w:tab w:val="right" w:leader="dot" w:pos="8788"/>
            </w:tabs>
            <w:rPr>
              <w:lang w:val="it-IT"/>
            </w:rPr>
          </w:pPr>
          <w:r w:rsidRPr="0071345C">
            <w:rPr>
              <w:lang w:val="it-IT"/>
            </w:rPr>
            <w:t xml:space="preserve">AVŚ 5.4.3-4          </w:t>
          </w:r>
          <w:r w:rsidRPr="0071345C">
            <w:rPr>
              <w:lang w:val="it-IT"/>
            </w:rPr>
            <w:tab/>
            <w:t>150</w:t>
          </w:r>
        </w:p>
        <w:p w14:paraId="662CB4B8" w14:textId="77777777" w:rsidR="00E53EB6" w:rsidRPr="0071345C" w:rsidRDefault="006500F5">
          <w:pPr>
            <w:pStyle w:val="TOC5"/>
            <w:tabs>
              <w:tab w:val="clear" w:pos="8786"/>
              <w:tab w:val="right" w:leader="dot" w:pos="8788"/>
            </w:tabs>
            <w:rPr>
              <w:lang w:val="it-IT"/>
            </w:rPr>
          </w:pPr>
          <w:r w:rsidRPr="0071345C">
            <w:rPr>
              <w:lang w:val="it-IT"/>
            </w:rPr>
            <w:t xml:space="preserve">AVŚ 5.20.9          </w:t>
          </w:r>
          <w:r w:rsidRPr="0071345C">
            <w:rPr>
              <w:lang w:val="it-IT"/>
            </w:rPr>
            <w:tab/>
            <w:t>151</w:t>
          </w:r>
        </w:p>
        <w:p w14:paraId="5C1DE9C8" w14:textId="77777777" w:rsidR="00E53EB6" w:rsidRPr="0071345C" w:rsidRDefault="006500F5">
          <w:pPr>
            <w:pStyle w:val="TOC5"/>
            <w:tabs>
              <w:tab w:val="clear" w:pos="8786"/>
              <w:tab w:val="right" w:leader="dot" w:pos="8788"/>
            </w:tabs>
            <w:rPr>
              <w:lang w:val="it-IT"/>
            </w:rPr>
          </w:pPr>
          <w:r w:rsidRPr="0071345C">
            <w:rPr>
              <w:lang w:val="it-IT"/>
            </w:rPr>
            <w:t xml:space="preserve">AVŚ 6.9.3          </w:t>
          </w:r>
          <w:r w:rsidRPr="0071345C">
            <w:rPr>
              <w:lang w:val="it-IT"/>
            </w:rPr>
            <w:tab/>
            <w:t>151</w:t>
          </w:r>
        </w:p>
        <w:p w14:paraId="029E8FED" w14:textId="77777777" w:rsidR="00E53EB6" w:rsidRPr="0071345C" w:rsidRDefault="006500F5">
          <w:pPr>
            <w:pStyle w:val="TOC5"/>
            <w:tabs>
              <w:tab w:val="clear" w:pos="8786"/>
              <w:tab w:val="right" w:leader="dot" w:pos="8788"/>
            </w:tabs>
            <w:rPr>
              <w:lang w:val="it-IT"/>
            </w:rPr>
          </w:pPr>
          <w:r w:rsidRPr="0071345C">
            <w:rPr>
              <w:lang w:val="it-IT"/>
            </w:rPr>
            <w:t xml:space="preserve">AVŚ 6.82.1          </w:t>
          </w:r>
          <w:r w:rsidRPr="0071345C">
            <w:rPr>
              <w:lang w:val="it-IT"/>
            </w:rPr>
            <w:tab/>
            <w:t>152</w:t>
          </w:r>
        </w:p>
        <w:p w14:paraId="18042AA7" w14:textId="77777777" w:rsidR="00E53EB6" w:rsidRPr="0071345C" w:rsidRDefault="006500F5">
          <w:pPr>
            <w:pStyle w:val="TOC5"/>
            <w:tabs>
              <w:tab w:val="clear" w:pos="8786"/>
              <w:tab w:val="right" w:leader="dot" w:pos="8788"/>
            </w:tabs>
            <w:rPr>
              <w:lang w:val="it-IT"/>
            </w:rPr>
          </w:pPr>
          <w:r w:rsidRPr="0071345C">
            <w:rPr>
              <w:lang w:val="it-IT"/>
            </w:rPr>
            <w:t xml:space="preserve">AVŚ 6.95.1-2          </w:t>
          </w:r>
          <w:r w:rsidRPr="0071345C">
            <w:rPr>
              <w:lang w:val="it-IT"/>
            </w:rPr>
            <w:tab/>
            <w:t>152</w:t>
          </w:r>
        </w:p>
        <w:p w14:paraId="72E4FAF2" w14:textId="77777777" w:rsidR="00E53EB6" w:rsidRPr="0071345C" w:rsidRDefault="006500F5">
          <w:pPr>
            <w:pStyle w:val="TOC5"/>
            <w:tabs>
              <w:tab w:val="clear" w:pos="8786"/>
              <w:tab w:val="right" w:leader="dot" w:pos="8788"/>
            </w:tabs>
            <w:rPr>
              <w:lang w:val="it-IT"/>
            </w:rPr>
          </w:pPr>
          <w:r w:rsidRPr="0071345C">
            <w:rPr>
              <w:lang w:val="it-IT"/>
            </w:rPr>
            <w:t xml:space="preserve">AVŚ 7.103.1          </w:t>
          </w:r>
          <w:r w:rsidRPr="0071345C">
            <w:rPr>
              <w:lang w:val="it-IT"/>
            </w:rPr>
            <w:tab/>
            <w:t>153</w:t>
          </w:r>
        </w:p>
        <w:p w14:paraId="557C022F" w14:textId="77777777" w:rsidR="00E53EB6" w:rsidRPr="0071345C" w:rsidRDefault="006500F5">
          <w:pPr>
            <w:pStyle w:val="TOC5"/>
            <w:tabs>
              <w:tab w:val="clear" w:pos="8786"/>
              <w:tab w:val="right" w:leader="dot" w:pos="8788"/>
            </w:tabs>
            <w:rPr>
              <w:lang w:val="it-IT"/>
            </w:rPr>
          </w:pPr>
          <w:r w:rsidRPr="0071345C">
            <w:rPr>
              <w:lang w:val="it-IT"/>
            </w:rPr>
            <w:t xml:space="preserve">AVŚ 8.2.13          </w:t>
          </w:r>
          <w:r w:rsidRPr="0071345C">
            <w:rPr>
              <w:lang w:val="it-IT"/>
            </w:rPr>
            <w:tab/>
            <w:t>153</w:t>
          </w:r>
        </w:p>
        <w:p w14:paraId="116CB10D" w14:textId="77777777" w:rsidR="00E53EB6" w:rsidRPr="0071345C" w:rsidRDefault="006500F5">
          <w:pPr>
            <w:pStyle w:val="TOC5"/>
            <w:tabs>
              <w:tab w:val="clear" w:pos="8786"/>
              <w:tab w:val="right" w:leader="dot" w:pos="8788"/>
            </w:tabs>
            <w:rPr>
              <w:lang w:val="it-IT"/>
            </w:rPr>
          </w:pPr>
          <w:r w:rsidRPr="0071345C">
            <w:rPr>
              <w:lang w:val="it-IT"/>
            </w:rPr>
            <w:t xml:space="preserve">AVŚ 9.1.14          </w:t>
          </w:r>
          <w:r w:rsidRPr="0071345C">
            <w:rPr>
              <w:lang w:val="it-IT"/>
            </w:rPr>
            <w:tab/>
            <w:t>154</w:t>
          </w:r>
        </w:p>
        <w:p w14:paraId="11D0E963" w14:textId="77777777" w:rsidR="00E53EB6" w:rsidRPr="0071345C" w:rsidRDefault="006500F5">
          <w:pPr>
            <w:pStyle w:val="TOC5"/>
            <w:tabs>
              <w:tab w:val="clear" w:pos="8786"/>
              <w:tab w:val="right" w:leader="dot" w:pos="8788"/>
            </w:tabs>
            <w:rPr>
              <w:lang w:val="it-IT"/>
            </w:rPr>
          </w:pPr>
          <w:r w:rsidRPr="0071345C">
            <w:rPr>
              <w:lang w:val="it-IT"/>
            </w:rPr>
            <w:t xml:space="preserve">AVŚ 12.1.58          </w:t>
          </w:r>
          <w:r w:rsidRPr="0071345C">
            <w:rPr>
              <w:lang w:val="it-IT"/>
            </w:rPr>
            <w:tab/>
            <w:t>154</w:t>
          </w:r>
        </w:p>
        <w:p w14:paraId="16962E25" w14:textId="77777777" w:rsidR="00E53EB6" w:rsidRPr="0071345C" w:rsidRDefault="006500F5">
          <w:pPr>
            <w:pStyle w:val="TOC5"/>
            <w:tabs>
              <w:tab w:val="clear" w:pos="8786"/>
              <w:tab w:val="right" w:leader="dot" w:pos="8788"/>
            </w:tabs>
            <w:rPr>
              <w:lang w:val="it-IT"/>
            </w:rPr>
          </w:pPr>
          <w:r w:rsidRPr="0071345C">
            <w:rPr>
              <w:lang w:val="it-IT"/>
            </w:rPr>
            <w:t xml:space="preserve">AVŚ 12.2.36          </w:t>
          </w:r>
          <w:r w:rsidRPr="0071345C">
            <w:rPr>
              <w:lang w:val="it-IT"/>
            </w:rPr>
            <w:tab/>
            <w:t>155</w:t>
          </w:r>
        </w:p>
        <w:p w14:paraId="1A74F73E" w14:textId="77777777" w:rsidR="00E53EB6" w:rsidRPr="0071345C" w:rsidRDefault="006500F5">
          <w:pPr>
            <w:pStyle w:val="TOC5"/>
            <w:tabs>
              <w:tab w:val="clear" w:pos="8786"/>
              <w:tab w:val="right" w:leader="dot" w:pos="8788"/>
            </w:tabs>
            <w:rPr>
              <w:lang w:val="it-IT"/>
            </w:rPr>
          </w:pPr>
          <w:r w:rsidRPr="0071345C">
            <w:rPr>
              <w:lang w:val="it-IT"/>
            </w:rPr>
            <w:t xml:space="preserve">AVŚ 12.3.53         </w:t>
          </w:r>
          <w:r w:rsidRPr="0071345C">
            <w:rPr>
              <w:lang w:val="it-IT"/>
            </w:rPr>
            <w:tab/>
            <w:t>155</w:t>
          </w:r>
        </w:p>
        <w:p w14:paraId="143DC909" w14:textId="77777777" w:rsidR="00E53EB6" w:rsidRPr="0071345C" w:rsidRDefault="006500F5">
          <w:pPr>
            <w:pStyle w:val="TOC5"/>
            <w:tabs>
              <w:tab w:val="clear" w:pos="8786"/>
              <w:tab w:val="right" w:leader="dot" w:pos="8788"/>
            </w:tabs>
            <w:rPr>
              <w:lang w:val="it-IT"/>
            </w:rPr>
          </w:pPr>
          <w:r w:rsidRPr="0071345C">
            <w:rPr>
              <w:lang w:val="it-IT"/>
            </w:rPr>
            <w:t xml:space="preserve">AVŚ 16.9.4          </w:t>
          </w:r>
          <w:r w:rsidRPr="0071345C">
            <w:rPr>
              <w:lang w:val="it-IT"/>
            </w:rPr>
            <w:tab/>
            <w:t>155</w:t>
          </w:r>
        </w:p>
        <w:p w14:paraId="21562B00" w14:textId="77777777" w:rsidR="00E53EB6" w:rsidRDefault="006500F5">
          <w:pPr>
            <w:pStyle w:val="TOC5"/>
            <w:tabs>
              <w:tab w:val="clear" w:pos="8786"/>
              <w:tab w:val="right" w:leader="dot" w:pos="8788"/>
            </w:tabs>
          </w:pPr>
          <w:r>
            <w:t xml:space="preserve">AVŚ 20.132.6-7         </w:t>
          </w:r>
          <w:r>
            <w:tab/>
            <w:t>156</w:t>
          </w:r>
        </w:p>
        <w:p w14:paraId="01BC527B" w14:textId="77777777" w:rsidR="00E53EB6" w:rsidRDefault="006500F5">
          <w:pPr>
            <w:pStyle w:val="TOC5"/>
            <w:tabs>
              <w:tab w:val="clear" w:pos="8786"/>
              <w:tab w:val="right" w:leader="dot" w:pos="8788"/>
            </w:tabs>
          </w:pPr>
          <w:r>
            <w:t>Paippalāda occurrences</w:t>
          </w:r>
          <w:r>
            <w:tab/>
            <w:t>156</w:t>
          </w:r>
        </w:p>
        <w:p w14:paraId="30B4E3FE" w14:textId="77777777" w:rsidR="00E53EB6" w:rsidRDefault="006500F5">
          <w:pPr>
            <w:pStyle w:val="TOC5"/>
            <w:tabs>
              <w:tab w:val="clear" w:pos="8786"/>
              <w:tab w:val="right" w:leader="dot" w:pos="8788"/>
            </w:tabs>
          </w:pPr>
          <w:r>
            <w:t xml:space="preserve">AVP 1.55.4          </w:t>
          </w:r>
          <w:r>
            <w:tab/>
            <w:t>156</w:t>
          </w:r>
        </w:p>
        <w:p w14:paraId="269B60AB" w14:textId="77777777" w:rsidR="00E53EB6" w:rsidRDefault="006500F5">
          <w:pPr>
            <w:pStyle w:val="TOC5"/>
            <w:tabs>
              <w:tab w:val="clear" w:pos="8786"/>
              <w:tab w:val="right" w:leader="dot" w:pos="8788"/>
            </w:tabs>
          </w:pPr>
          <w:r>
            <w:t xml:space="preserve">AVP 2.33.1          </w:t>
          </w:r>
          <w:r>
            <w:tab/>
            <w:t>157</w:t>
          </w:r>
        </w:p>
        <w:p w14:paraId="31D83EFD" w14:textId="77777777" w:rsidR="00E53EB6" w:rsidRDefault="006500F5">
          <w:pPr>
            <w:pStyle w:val="TOC5"/>
            <w:tabs>
              <w:tab w:val="clear" w:pos="8786"/>
              <w:tab w:val="right" w:leader="dot" w:pos="8788"/>
            </w:tabs>
          </w:pPr>
          <w:r>
            <w:t xml:space="preserve">AVP 2.90.4          </w:t>
          </w:r>
          <w:r>
            <w:tab/>
            <w:t>157</w:t>
          </w:r>
        </w:p>
        <w:p w14:paraId="4FF53298" w14:textId="77777777" w:rsidR="00E53EB6" w:rsidRDefault="006500F5">
          <w:pPr>
            <w:pStyle w:val="TOC5"/>
            <w:tabs>
              <w:tab w:val="clear" w:pos="8786"/>
              <w:tab w:val="right" w:leader="dot" w:pos="8788"/>
            </w:tabs>
          </w:pPr>
          <w:r>
            <w:t xml:space="preserve">AVP 5.7.8         </w:t>
          </w:r>
          <w:r>
            <w:tab/>
            <w:t>157</w:t>
          </w:r>
        </w:p>
        <w:p w14:paraId="0CA2E463" w14:textId="77777777" w:rsidR="00E53EB6" w:rsidRDefault="006500F5">
          <w:pPr>
            <w:pStyle w:val="TOC5"/>
            <w:tabs>
              <w:tab w:val="clear" w:pos="8786"/>
              <w:tab w:val="right" w:leader="dot" w:pos="8788"/>
            </w:tabs>
          </w:pPr>
          <w:r>
            <w:t xml:space="preserve">AVP 5.37.8         </w:t>
          </w:r>
          <w:r>
            <w:tab/>
            <w:t>158</w:t>
          </w:r>
        </w:p>
        <w:p w14:paraId="60206468" w14:textId="77777777" w:rsidR="00E53EB6" w:rsidRDefault="006500F5">
          <w:pPr>
            <w:pStyle w:val="TOC5"/>
            <w:tabs>
              <w:tab w:val="clear" w:pos="8786"/>
              <w:tab w:val="right" w:leader="dot" w:pos="8788"/>
            </w:tabs>
          </w:pPr>
          <w:r>
            <w:t>AVP</w:t>
          </w:r>
          <w:r>
            <w:t xml:space="preserve"> 7.15.5         </w:t>
          </w:r>
          <w:r>
            <w:tab/>
            <w:t>158</w:t>
          </w:r>
        </w:p>
        <w:p w14:paraId="55B8DDB2" w14:textId="77777777" w:rsidR="00E53EB6" w:rsidRDefault="006500F5">
          <w:pPr>
            <w:pStyle w:val="TOC5"/>
            <w:tabs>
              <w:tab w:val="clear" w:pos="8786"/>
              <w:tab w:val="right" w:leader="dot" w:pos="8788"/>
            </w:tabs>
          </w:pPr>
          <w:r>
            <w:t xml:space="preserve">AVP 9.27.9         </w:t>
          </w:r>
          <w:r>
            <w:tab/>
            <w:t>158</w:t>
          </w:r>
        </w:p>
        <w:p w14:paraId="301DCF6E" w14:textId="77777777" w:rsidR="00E53EB6" w:rsidRDefault="006500F5">
          <w:pPr>
            <w:pStyle w:val="TOC5"/>
            <w:tabs>
              <w:tab w:val="clear" w:pos="8786"/>
              <w:tab w:val="right" w:leader="dot" w:pos="8788"/>
            </w:tabs>
          </w:pPr>
          <w:r>
            <w:t xml:space="preserve">AVP 16.4.3          </w:t>
          </w:r>
          <w:r>
            <w:tab/>
            <w:t>159</w:t>
          </w:r>
        </w:p>
        <w:p w14:paraId="02AB79AB" w14:textId="77777777" w:rsidR="00E53EB6" w:rsidRDefault="006500F5">
          <w:pPr>
            <w:pStyle w:val="TOC5"/>
            <w:tabs>
              <w:tab w:val="clear" w:pos="8786"/>
              <w:tab w:val="right" w:leader="dot" w:pos="8788"/>
            </w:tabs>
          </w:pPr>
          <w:r>
            <w:t xml:space="preserve">AVP 16.33.4         </w:t>
          </w:r>
          <w:r>
            <w:tab/>
            <w:t>159</w:t>
          </w:r>
        </w:p>
        <w:p w14:paraId="07674C46" w14:textId="77777777" w:rsidR="00E53EB6" w:rsidRDefault="006500F5">
          <w:pPr>
            <w:pStyle w:val="TOC5"/>
            <w:tabs>
              <w:tab w:val="clear" w:pos="8786"/>
              <w:tab w:val="right" w:leader="dot" w:pos="8788"/>
            </w:tabs>
          </w:pPr>
          <w:r>
            <w:t xml:space="preserve">AVP(K.) 17.41.3         </w:t>
          </w:r>
          <w:r>
            <w:tab/>
            <w:t>159</w:t>
          </w:r>
        </w:p>
        <w:p w14:paraId="20E5C0EC" w14:textId="77777777" w:rsidR="00E53EB6" w:rsidRDefault="006500F5">
          <w:pPr>
            <w:pStyle w:val="TOC5"/>
            <w:tabs>
              <w:tab w:val="clear" w:pos="8786"/>
              <w:tab w:val="right" w:leader="dot" w:pos="8788"/>
            </w:tabs>
          </w:pPr>
          <w:r>
            <w:t xml:space="preserve">AVP(K.) 19.26.5         </w:t>
          </w:r>
          <w:r>
            <w:tab/>
            <w:t>160</w:t>
          </w:r>
        </w:p>
        <w:p w14:paraId="2926DDA4" w14:textId="77777777" w:rsidR="00E53EB6" w:rsidRDefault="006500F5">
          <w:pPr>
            <w:pStyle w:val="TOC5"/>
            <w:tabs>
              <w:tab w:val="clear" w:pos="8786"/>
              <w:tab w:val="right" w:leader="dot" w:pos="8788"/>
            </w:tabs>
          </w:pPr>
          <w:r>
            <w:t xml:space="preserve">AVP(K.) 19.26.6         </w:t>
          </w:r>
          <w:r>
            <w:tab/>
            <w:t>160</w:t>
          </w:r>
        </w:p>
        <w:p w14:paraId="5311A4D8" w14:textId="77777777" w:rsidR="00E53EB6" w:rsidRDefault="006500F5">
          <w:pPr>
            <w:pStyle w:val="TOC5"/>
            <w:tabs>
              <w:tab w:val="clear" w:pos="8786"/>
              <w:tab w:val="right" w:leader="dot" w:pos="8788"/>
            </w:tabs>
          </w:pPr>
          <w:r>
            <w:t xml:space="preserve">AVP(K.) 19.26.10         </w:t>
          </w:r>
          <w:r>
            <w:tab/>
            <w:t>160</w:t>
          </w:r>
        </w:p>
        <w:p w14:paraId="66EDE6DE" w14:textId="77777777" w:rsidR="00E53EB6" w:rsidRDefault="006500F5">
          <w:pPr>
            <w:pStyle w:val="TOC5"/>
            <w:tabs>
              <w:tab w:val="clear" w:pos="8786"/>
              <w:tab w:val="right" w:leader="dot" w:pos="8788"/>
            </w:tabs>
          </w:pPr>
          <w:r>
            <w:t xml:space="preserve">AVP(K.) 20.3.5         </w:t>
          </w:r>
          <w:r>
            <w:tab/>
            <w:t>161</w:t>
          </w:r>
        </w:p>
        <w:p w14:paraId="4FBEC67D" w14:textId="77777777" w:rsidR="00E53EB6" w:rsidRDefault="006500F5">
          <w:pPr>
            <w:pStyle w:val="TOC5"/>
            <w:tabs>
              <w:tab w:val="clear" w:pos="8786"/>
              <w:tab w:val="right" w:leader="dot" w:pos="8788"/>
            </w:tabs>
          </w:pPr>
          <w:r>
            <w:t xml:space="preserve">AVP(K.) 20.24.4 </w:t>
          </w:r>
          <w:r>
            <w:t xml:space="preserve">        </w:t>
          </w:r>
          <w:r>
            <w:tab/>
            <w:t>161</w:t>
          </w:r>
        </w:p>
        <w:p w14:paraId="64D17C34" w14:textId="77777777" w:rsidR="00E53EB6" w:rsidRDefault="006500F5">
          <w:pPr>
            <w:pStyle w:val="TOC5"/>
            <w:tabs>
              <w:tab w:val="clear" w:pos="8786"/>
              <w:tab w:val="right" w:leader="dot" w:pos="8788"/>
            </w:tabs>
          </w:pPr>
          <w:r>
            <w:t xml:space="preserve">AVP(K.) 20.61.11         </w:t>
          </w:r>
          <w:r>
            <w:tab/>
            <w:t>161</w:t>
          </w:r>
        </w:p>
        <w:p w14:paraId="5396CC14" w14:textId="77777777" w:rsidR="00E53EB6" w:rsidRDefault="006500F5">
          <w:pPr>
            <w:pStyle w:val="TOC3"/>
            <w:tabs>
              <w:tab w:val="clear" w:pos="8786"/>
              <w:tab w:val="right" w:leader="dot" w:pos="8788"/>
            </w:tabs>
          </w:pPr>
          <w:r>
            <w:fldChar w:fldCharType="end"/>
          </w:r>
        </w:p>
      </w:sdtContent>
    </w:sdt>
    <w:sectPr w:rsidR="00E53EB6">
      <w:headerReference w:type="even" r:id="rId56"/>
      <w:headerReference w:type="default" r:id="rId57"/>
      <w:footerReference w:type="even" r:id="rId58"/>
      <w:footerReference w:type="default" r:id="rId59"/>
      <w:pgSz w:w="11906" w:h="16838"/>
      <w:pgMar w:top="1917" w:right="1418" w:bottom="2235" w:left="1700" w:header="1418" w:footer="1700" w:gutter="0"/>
      <w:cols w:space="720"/>
      <w:formProt w:val="0"/>
      <w:docGrid w:linePitch="600" w:charSpace="38911"/>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8" w:author="Unknown Author" w:date="2015-03-03T10:48:00Z" w:initials="">
    <w:p w14:paraId="6F526D1A" w14:textId="77777777" w:rsidR="00E53EB6" w:rsidRDefault="006500F5">
      <w:r>
        <w:rPr>
          <w:rFonts w:ascii="Andale Sans UI;Arial;Lucida;Tah" w:hAnsi="Andale Sans UI;Arial;Lucida;Tah"/>
          <w:sz w:val="20"/>
          <w:lang w:val="en-GB"/>
        </w:rPr>
        <w:t xml:space="preserve">Invert !!!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F526D1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F526D1A" w16cid:durableId="24D7408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F0851" w14:textId="77777777" w:rsidR="006500F5" w:rsidRDefault="006500F5">
      <w:r>
        <w:separator/>
      </w:r>
    </w:p>
  </w:endnote>
  <w:endnote w:type="continuationSeparator" w:id="0">
    <w:p w14:paraId="1DFED51D" w14:textId="77777777" w:rsidR="006500F5" w:rsidRDefault="00650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20B0604020202020204"/>
    <w:charset w:val="01"/>
    <w:family w:val="auto"/>
    <w:pitch w:val="default"/>
  </w:font>
  <w:font w:name="Wingdings 2">
    <w:panose1 w:val="05020102010507070707"/>
    <w:charset w:val="4D"/>
    <w:family w:val="decorative"/>
    <w:pitch w:val="variable"/>
    <w:sig w:usb0="00000003" w:usb1="00000000" w:usb2="00000000" w:usb3="00000000" w:csb0="80000001" w:csb1="00000000"/>
  </w:font>
  <w:font w:name="StarSymbol">
    <w:altName w:val="Arial Unicode MS"/>
    <w:panose1 w:val="020B0604020202020204"/>
    <w:charset w:val="01"/>
    <w:family w:val="auto"/>
    <w:pitch w:val="default"/>
  </w:font>
  <w:font w:name="Wingdings">
    <w:panose1 w:val="05000000000000000000"/>
    <w:charset w:val="4D"/>
    <w:family w:val="decorative"/>
    <w:pitch w:val="variable"/>
    <w:sig w:usb0="00000003" w:usb1="00000000" w:usb2="00000000" w:usb3="00000000" w:csb0="80000001" w:csb1="00000000"/>
  </w:font>
  <w:font w:name="Sabon LT Std Roman">
    <w:altName w:val="Calibri"/>
    <w:panose1 w:val="020B0604020202020204"/>
    <w:charset w:val="01"/>
    <w:family w:val="auto"/>
    <w:pitch w:val="default"/>
  </w:font>
  <w:font w:name="Arial">
    <w:panose1 w:val="020B0604020202020204"/>
    <w:charset w:val="01"/>
    <w:family w:val="swiss"/>
    <w:pitch w:val="variable"/>
    <w:sig w:usb0="E0002AFF" w:usb1="C0007843" w:usb2="00000009" w:usb3="00000000" w:csb0="000001FF" w:csb1="00000000"/>
  </w:font>
  <w:font w:name="Devanagari MT">
    <w:altName w:val="Devanagari MT"/>
    <w:panose1 w:val="02000500020000000000"/>
    <w:charset w:val="00"/>
    <w:family w:val="auto"/>
    <w:pitch w:val="variable"/>
    <w:sig w:usb0="80008003" w:usb1="1000C0C0" w:usb2="00000000" w:usb3="00000000" w:csb0="00000001" w:csb1="00000000"/>
  </w:font>
  <w:font w:name="Sabon Unicode">
    <w:altName w:val="Sabon Unicode"/>
    <w:panose1 w:val="02020602060506020403"/>
    <w:charset w:val="4D"/>
    <w:family w:val="roman"/>
    <w:notTrueType/>
    <w:pitch w:val="variable"/>
    <w:sig w:usb0="000002CF" w:usb1="1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tarSymbol;Arial Unicode MS">
    <w:altName w:val="Cambria"/>
    <w:panose1 w:val="020B06040202020202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Ext Roman">
    <w:altName w:val="Times Ext Roman"/>
    <w:panose1 w:val="02020603050405020304"/>
    <w:charset w:val="00"/>
    <w:family w:val="roman"/>
    <w:pitch w:val="variable"/>
    <w:sig w:usb0="A0002AEF" w:usb1="4000387A" w:usb2="00000028" w:usb3="00000000" w:csb0="000001FF" w:csb1="00000000"/>
  </w:font>
  <w:font w:name="Mangal">
    <w:panose1 w:val="02040503050203030202"/>
    <w:charset w:val="01"/>
    <w:family w:val="roman"/>
    <w:pitch w:val="variable"/>
    <w:sig w:usb0="0000A003" w:usb1="00000000" w:usb2="00000000" w:usb3="00000000" w:csb0="00000001" w:csb1="00000000"/>
  </w:font>
  <w:font w:name="Times Ext Roman;Times New Roman">
    <w:altName w:val="Times New Roman"/>
    <w:panose1 w:val="00000500000000020000"/>
    <w:charset w:val="00"/>
    <w:family w:val="roman"/>
    <w:pitch w:val="default"/>
  </w:font>
  <w:font w:name="SabonUnicode">
    <w:altName w:val="Calibri"/>
    <w:panose1 w:val="02020602060506020403"/>
    <w:charset w:val="01"/>
    <w:family w:val="auto"/>
    <w:pitch w:val="default"/>
  </w:font>
  <w:font w:name="TimesNewRomanPSMT">
    <w:panose1 w:val="02020603050405020304"/>
    <w:charset w:val="00"/>
    <w:family w:val="roman"/>
    <w:notTrueType/>
    <w:pitch w:val="default"/>
  </w:font>
  <w:font w:name="MS Mincho;ＭＳ 明朝">
    <w:panose1 w:val="020B0604020202020204"/>
    <w:charset w:val="80"/>
    <w:family w:val="roman"/>
    <w:pitch w:val="default"/>
  </w:font>
  <w:font w:name="CharisSIL">
    <w:panose1 w:val="020005000600000200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Devanagari MT;Times New Roman">
    <w:panose1 w:val="020B0604020202020204"/>
    <w:charset w:val="00"/>
    <w:family w:val="roman"/>
    <w:pitch w:val="default"/>
  </w:font>
  <w:font w:name="Porson">
    <w:altName w:val="Calibri"/>
    <w:panose1 w:val="020B0604020202020204"/>
    <w:charset w:val="01"/>
    <w:family w:val="auto"/>
    <w:pitch w:val="variable"/>
  </w:font>
  <w:font w:name="DevanagariMT">
    <w:panose1 w:val="02000500020000000000"/>
    <w:charset w:val="00"/>
    <w:family w:val="roman"/>
    <w:pitch w:val="default"/>
  </w:font>
  <w:font w:name="GFS Porson">
    <w:altName w:val="GFS Porson"/>
    <w:panose1 w:val="02000000000000000000"/>
    <w:charset w:val="00"/>
    <w:family w:val="auto"/>
    <w:notTrueType/>
    <w:pitch w:val="variable"/>
    <w:sig w:usb0="C00000A3" w:usb1="00000048" w:usb2="00000000" w:usb3="00000000" w:csb0="00000009" w:csb1="00000000"/>
  </w:font>
  <w:font w:name="Tahoma">
    <w:panose1 w:val="020B0604030504040204"/>
    <w:charset w:val="00"/>
    <w:family w:val="swiss"/>
    <w:pitch w:val="variable"/>
    <w:sig w:usb0="E1002EFF" w:usb1="C000605B" w:usb2="00000029" w:usb3="00000000" w:csb0="000101FF" w:csb1="00000000"/>
  </w:font>
  <w:font w:name="URW Palladio SKT;Courier New">
    <w:panose1 w:val="020B0604020202020204"/>
    <w:charset w:val="00"/>
    <w:family w:val="roman"/>
    <w:pitch w:val="default"/>
  </w:font>
  <w:font w:name="Mangal;Sabon Unicode">
    <w:panose1 w:val="020B0604020202020204"/>
    <w:charset w:val="00"/>
    <w:family w:val="roman"/>
    <w:pitch w:val="default"/>
  </w:font>
  <w:font w:name="Lucida Grande">
    <w:altName w:val="Lucida Grande"/>
    <w:panose1 w:val="020B0600040502020204"/>
    <w:charset w:val="00"/>
    <w:family w:val="swiss"/>
    <w:pitch w:val="variable"/>
    <w:sig w:usb0="E1000AEF" w:usb1="5000A1FF" w:usb2="00000000" w:usb3="00000000" w:csb0="000001BF" w:csb1="00000000"/>
  </w:font>
  <w:font w:name="Andale Sans UI;Arial;Lucida;Tah">
    <w:altName w:val="Cambria"/>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9AC98" w14:textId="170C04A9" w:rsidR="0071345C" w:rsidRDefault="0071345C" w:rsidP="00263188">
    <w:pPr>
      <w:pStyle w:val="Footer"/>
      <w:framePr w:wrap="none" w:vAnchor="text" w:hAnchor="margin" w:xAlign="outside" w:y="1"/>
      <w:rPr>
        <w:rStyle w:val="PageNumber"/>
      </w:rPr>
    </w:pPr>
  </w:p>
  <w:p w14:paraId="673E9A9D" w14:textId="587215DD" w:rsidR="00E53EB6" w:rsidRDefault="00E53EB6" w:rsidP="0071345C">
    <w:pPr>
      <w:pStyle w:val="Footer"/>
      <w:ind w:right="360" w:firstLine="360"/>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49B89" w14:textId="77777777" w:rsidR="00E53EB6" w:rsidRDefault="006500F5">
    <w:pPr>
      <w:pStyle w:val="Footer"/>
      <w:jc w:val="center"/>
    </w:pPr>
    <w:r>
      <w:fldChar w:fldCharType="begin"/>
    </w:r>
    <w:r>
      <w:instrText>PAGE</w:instrText>
    </w:r>
    <w:r>
      <w:fldChar w:fldCharType="separate"/>
    </w:r>
    <w:r>
      <w:t>2</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20017" w14:textId="77777777" w:rsidR="00E53EB6" w:rsidRDefault="006500F5">
    <w:pPr>
      <w:pStyle w:val="Footer"/>
      <w:jc w:val="center"/>
    </w:pPr>
    <w:r>
      <w:fldChar w:fldCharType="begin"/>
    </w:r>
    <w:r>
      <w:instrText>PAGE</w:instrText>
    </w:r>
    <w:r>
      <w:fldChar w:fldCharType="separate"/>
    </w:r>
    <w:r>
      <w:t>2</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D124B" w14:textId="77777777" w:rsidR="00E53EB6" w:rsidRDefault="006500F5">
    <w:pPr>
      <w:pStyle w:val="Footer"/>
      <w:jc w:val="center"/>
    </w:pPr>
    <w:r>
      <w:fldChar w:fldCharType="begin"/>
    </w:r>
    <w:r>
      <w:instrText>PAGE</w:instrText>
    </w:r>
    <w:r>
      <w:fldChar w:fldCharType="separate"/>
    </w:r>
    <w:r>
      <w:t>2</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B0151" w14:textId="77777777" w:rsidR="00E53EB6" w:rsidRDefault="006500F5">
    <w:pPr>
      <w:pStyle w:val="Footer"/>
      <w:jc w:val="center"/>
    </w:pPr>
    <w:r>
      <w:fldChar w:fldCharType="begin"/>
    </w:r>
    <w:r>
      <w:instrText>PAGE</w:instrText>
    </w:r>
    <w:r>
      <w:fldChar w:fldCharType="separate"/>
    </w:r>
    <w:r>
      <w:t>2</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852E1" w14:textId="77777777" w:rsidR="00E53EB6" w:rsidRDefault="006500F5">
    <w:pPr>
      <w:pStyle w:val="Footer"/>
      <w:jc w:val="center"/>
    </w:pPr>
    <w:r>
      <w:fldChar w:fldCharType="begin"/>
    </w:r>
    <w:r>
      <w:instrText>PAGE</w:instrText>
    </w:r>
    <w:r>
      <w:fldChar w:fldCharType="separate"/>
    </w:r>
    <w:r>
      <w:t>2</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C3A00" w14:textId="77777777" w:rsidR="00E53EB6" w:rsidRDefault="006500F5">
    <w:pPr>
      <w:pStyle w:val="Footer"/>
      <w:jc w:val="center"/>
    </w:pPr>
    <w:r>
      <w:fldChar w:fldCharType="begin"/>
    </w:r>
    <w:r>
      <w:instrText>PAGE</w:instrText>
    </w:r>
    <w:r>
      <w:fldChar w:fldCharType="separate"/>
    </w:r>
    <w:r>
      <w:t>2</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97C97" w14:textId="77777777" w:rsidR="00E53EB6" w:rsidRDefault="006500F5">
    <w:pPr>
      <w:pStyle w:val="Footer"/>
      <w:jc w:val="center"/>
    </w:pPr>
    <w:r>
      <w:fldChar w:fldCharType="begin"/>
    </w:r>
    <w:r>
      <w:instrText>PAGE</w:instrText>
    </w:r>
    <w:r>
      <w:fldChar w:fldCharType="separate"/>
    </w:r>
    <w:r>
      <w:t>2</w:t>
    </w:r>
    <w: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256DE" w14:textId="77777777" w:rsidR="00E53EB6" w:rsidRDefault="006500F5">
    <w:pPr>
      <w:pStyle w:val="Footer"/>
      <w:jc w:val="center"/>
    </w:pPr>
    <w:r>
      <w:fldChar w:fldCharType="begin"/>
    </w:r>
    <w:r>
      <w:instrText>PAGE</w:instrText>
    </w:r>
    <w:r>
      <w:fldChar w:fldCharType="separate"/>
    </w:r>
    <w:r>
      <w:t>2</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FE9A5" w14:textId="77777777" w:rsidR="00E53EB6" w:rsidRDefault="006500F5">
    <w:pPr>
      <w:pStyle w:val="Footer"/>
      <w:jc w:val="center"/>
    </w:pPr>
    <w:r>
      <w:fldChar w:fldCharType="begin"/>
    </w:r>
    <w:r>
      <w:instrText>PAGE</w:instrText>
    </w:r>
    <w:r>
      <w:fldChar w:fldCharType="separate"/>
    </w:r>
    <w:r>
      <w:t>2</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BE652" w14:textId="77777777" w:rsidR="00E53EB6" w:rsidRDefault="006500F5">
    <w:pPr>
      <w:pStyle w:val="Footer"/>
      <w:jc w:val="center"/>
    </w:pPr>
    <w:r>
      <w:fldChar w:fldCharType="begin"/>
    </w:r>
    <w:r>
      <w:instrText>PAGE</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F5BB8" w14:textId="1F8FAF7F" w:rsidR="00E53EB6" w:rsidRDefault="00E53EB6" w:rsidP="0071345C">
    <w:pPr>
      <w:pStyle w:val="Footer"/>
      <w:ind w:right="360" w:firstLine="360"/>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5406A" w14:textId="77777777" w:rsidR="00E53EB6" w:rsidRDefault="006500F5">
    <w:pPr>
      <w:pStyle w:val="Footer"/>
      <w:jc w:val="center"/>
    </w:pPr>
    <w:r>
      <w:fldChar w:fldCharType="begin"/>
    </w:r>
    <w:r>
      <w:instrText>PAGE</w:instrText>
    </w:r>
    <w:r>
      <w:fldChar w:fldCharType="separate"/>
    </w:r>
    <w:r>
      <w:t>2</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4DA57" w14:textId="77777777" w:rsidR="00E53EB6" w:rsidRDefault="006500F5">
    <w:pPr>
      <w:pStyle w:val="Footer"/>
      <w:jc w:val="center"/>
    </w:pPr>
    <w:r>
      <w:fldChar w:fldCharType="begin"/>
    </w:r>
    <w:r>
      <w:instrText>PAGE</w:instrText>
    </w:r>
    <w:r>
      <w:fldChar w:fldCharType="separate"/>
    </w:r>
    <w:r>
      <w:t>2</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83E79" w14:textId="77777777" w:rsidR="00E53EB6" w:rsidRDefault="006500F5">
    <w:pPr>
      <w:pStyle w:val="Footer"/>
      <w:jc w:val="center"/>
    </w:pPr>
    <w:r>
      <w:fldChar w:fldCharType="begin"/>
    </w:r>
    <w:r>
      <w:instrText>PAGE</w:instrText>
    </w:r>
    <w:r>
      <w:fldChar w:fldCharType="separate"/>
    </w:r>
    <w:r>
      <w:t>2</w:t>
    </w:r>
    <w: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340D7" w14:textId="77777777" w:rsidR="00E53EB6" w:rsidRDefault="006500F5">
    <w:pPr>
      <w:pStyle w:val="Footer"/>
      <w:jc w:val="center"/>
    </w:pPr>
    <w:r>
      <w:fldChar w:fldCharType="begin"/>
    </w:r>
    <w:r>
      <w:instrText>PAGE</w:instrText>
    </w:r>
    <w:r>
      <w:fldChar w:fldCharType="separate"/>
    </w:r>
    <w: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6304152"/>
      <w:docPartObj>
        <w:docPartGallery w:val="Page Numbers (Bottom of Page)"/>
        <w:docPartUnique/>
      </w:docPartObj>
    </w:sdtPr>
    <w:sdtContent>
      <w:p w14:paraId="54A979CE" w14:textId="1CDD6426" w:rsidR="0071345C" w:rsidRDefault="0071345C" w:rsidP="00263188">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825F3BF" w14:textId="77777777" w:rsidR="0071345C" w:rsidRDefault="0071345C" w:rsidP="0071345C">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866979"/>
      <w:docPartObj>
        <w:docPartGallery w:val="Page Numbers (Bottom of Page)"/>
        <w:docPartUnique/>
      </w:docPartObj>
    </w:sdtPr>
    <w:sdtContent>
      <w:p w14:paraId="27C58313" w14:textId="1174706D" w:rsidR="0071345C" w:rsidRDefault="0071345C" w:rsidP="0071345C">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2549D7A" w14:textId="6606A3C4" w:rsidR="00E53EB6" w:rsidRDefault="00E53EB6" w:rsidP="0071345C">
    <w:pPr>
      <w:pStyle w:val="Footer"/>
      <w:ind w:right="360" w:firstLine="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72017212"/>
      <w:docPartObj>
        <w:docPartGallery w:val="Page Numbers (Bottom of Page)"/>
        <w:docPartUnique/>
      </w:docPartObj>
    </w:sdtPr>
    <w:sdtContent>
      <w:p w14:paraId="000AD433" w14:textId="6BFDAF19" w:rsidR="0071345C" w:rsidRDefault="0071345C" w:rsidP="0071345C">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3F49380" w14:textId="3B09BFAB" w:rsidR="00E53EB6" w:rsidRDefault="00E53EB6" w:rsidP="0071345C">
    <w:pPr>
      <w:pStyle w:val="Footer"/>
      <w:ind w:right="360" w:firstLine="36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EB35A" w14:textId="77777777" w:rsidR="00E53EB6" w:rsidRDefault="006500F5">
    <w:pPr>
      <w:pStyle w:val="Footer"/>
      <w:jc w:val="center"/>
    </w:pPr>
    <w:r>
      <w:fldChar w:fldCharType="begin"/>
    </w:r>
    <w:r>
      <w:instrText>PAGE</w:instrText>
    </w:r>
    <w:r>
      <w:fldChar w:fldCharType="separate"/>
    </w:r>
    <w:r>
      <w:t>2</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4E126" w14:textId="77777777" w:rsidR="00E53EB6" w:rsidRDefault="006500F5">
    <w:pPr>
      <w:pStyle w:val="Footer"/>
      <w:jc w:val="center"/>
    </w:pPr>
    <w:r>
      <w:fldChar w:fldCharType="begin"/>
    </w:r>
    <w:r>
      <w:instrText>PAGE</w:instrText>
    </w:r>
    <w:r>
      <w:fldChar w:fldCharType="separate"/>
    </w:r>
    <w:r>
      <w:t>2</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0E1E1" w14:textId="77777777" w:rsidR="00E53EB6" w:rsidRDefault="006500F5">
    <w:pPr>
      <w:pStyle w:val="Footer"/>
      <w:jc w:val="center"/>
    </w:pPr>
    <w:r>
      <w:fldChar w:fldCharType="begin"/>
    </w:r>
    <w:r>
      <w:instrText>PAGE</w:instrText>
    </w:r>
    <w:r>
      <w:fldChar w:fldCharType="separate"/>
    </w:r>
    <w:r>
      <w:t>2</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55553" w14:textId="77777777" w:rsidR="00E53EB6" w:rsidRDefault="006500F5">
    <w:pPr>
      <w:pStyle w:val="Footer"/>
      <w:jc w:val="center"/>
    </w:pPr>
    <w:r>
      <w:fldChar w:fldCharType="begin"/>
    </w:r>
    <w:r>
      <w:instrText>PAGE</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71AD0" w14:textId="77777777" w:rsidR="006500F5" w:rsidRDefault="006500F5">
      <w:pPr>
        <w:rPr>
          <w:sz w:val="32"/>
        </w:rPr>
      </w:pPr>
    </w:p>
  </w:footnote>
  <w:footnote w:type="continuationSeparator" w:id="0">
    <w:p w14:paraId="7692FAAD" w14:textId="77777777" w:rsidR="006500F5" w:rsidRDefault="006500F5">
      <w:pPr>
        <w:rPr>
          <w:sz w:val="32"/>
        </w:rPr>
      </w:pPr>
    </w:p>
  </w:footnote>
  <w:footnote w:id="1">
    <w:p w14:paraId="6A682662" w14:textId="77777777" w:rsidR="00E53EB6" w:rsidRPr="00B80C6B" w:rsidRDefault="006500F5">
      <w:pPr>
        <w:pStyle w:val="FootnoteText"/>
        <w:suppressLineNumbers/>
        <w:spacing w:line="210" w:lineRule="exact"/>
        <w:ind w:left="240" w:hanging="240"/>
        <w:jc w:val="both"/>
        <w:rPr>
          <w:lang w:val="en-US"/>
        </w:rPr>
      </w:pPr>
      <w:r>
        <w:rPr>
          <w:rStyle w:val="FootnoteCharacters"/>
        </w:rPr>
        <w:footnoteRef/>
      </w:r>
      <w:r w:rsidRPr="00B80C6B">
        <w:rPr>
          <w:lang w:val="en-US"/>
        </w:rPr>
        <w:tab/>
        <w:t>As to the period of recasting within the Vedic time, see, among others</w:t>
      </w:r>
      <w:r w:rsidRPr="00B80C6B">
        <w:rPr>
          <w:sz w:val="18"/>
          <w:szCs w:val="18"/>
          <w:lang w:val="en-US"/>
        </w:rPr>
        <w:t xml:space="preserve">, </w:t>
      </w:r>
      <w:r w:rsidRPr="00B80C6B">
        <w:rPr>
          <w:rStyle w:val="biblio-authorGEN"/>
          <w:sz w:val="18"/>
          <w:szCs w:val="18"/>
          <w:lang w:val="en-US"/>
        </w:rPr>
        <w:t>Renou</w:t>
      </w:r>
      <w:r w:rsidRPr="00B80C6B">
        <w:rPr>
          <w:sz w:val="18"/>
          <w:szCs w:val="18"/>
          <w:lang w:val="en-US"/>
        </w:rPr>
        <w:t xml:space="preserve"> 1947, </w:t>
      </w:r>
      <w:r w:rsidRPr="00B80C6B">
        <w:rPr>
          <w:rStyle w:val="biblio-authorGEN"/>
          <w:sz w:val="18"/>
          <w:szCs w:val="18"/>
          <w:lang w:val="en-US"/>
        </w:rPr>
        <w:t>Witzel</w:t>
      </w:r>
      <w:r w:rsidRPr="00B80C6B">
        <w:rPr>
          <w:sz w:val="18"/>
          <w:szCs w:val="18"/>
          <w:lang w:val="en-US"/>
        </w:rPr>
        <w:t xml:space="preserve"> 1989 and 1997, </w:t>
      </w:r>
      <w:r w:rsidRPr="00B80C6B">
        <w:rPr>
          <w:rStyle w:val="biblio-authorGEN"/>
          <w:sz w:val="18"/>
          <w:szCs w:val="18"/>
          <w:lang w:val="en-US"/>
        </w:rPr>
        <w:t>Proferes</w:t>
      </w:r>
      <w:r w:rsidRPr="00B80C6B">
        <w:rPr>
          <w:sz w:val="18"/>
          <w:szCs w:val="18"/>
          <w:lang w:val="en-US"/>
        </w:rPr>
        <w:t xml:space="preserve"> 2007.</w:t>
      </w:r>
      <w:r w:rsidRPr="00B80C6B">
        <w:rPr>
          <w:sz w:val="18"/>
          <w:szCs w:val="18"/>
          <w:lang w:val="en-US"/>
        </w:rPr>
        <w:t xml:space="preserve"> I will deal with this topic in Chapter 2.</w:t>
      </w:r>
    </w:p>
  </w:footnote>
  <w:footnote w:id="2">
    <w:p w14:paraId="38957CE8" w14:textId="77777777" w:rsidR="00E53EB6" w:rsidRPr="00B80C6B" w:rsidRDefault="006500F5">
      <w:pPr>
        <w:pStyle w:val="FootnoteText"/>
        <w:rPr>
          <w:rFonts w:ascii="Sabon Unicode" w:hAnsi="Sabon Unicode"/>
          <w:sz w:val="18"/>
          <w:szCs w:val="18"/>
          <w:lang w:val="en-US"/>
        </w:rPr>
      </w:pPr>
      <w:r>
        <w:rPr>
          <w:rStyle w:val="FootnoteCharacters"/>
        </w:rPr>
        <w:footnoteRef/>
      </w:r>
      <w:r w:rsidRPr="00B80C6B">
        <w:rPr>
          <w:rFonts w:ascii="Sabon Unicode" w:eastAsia="TimesNewRomanPSMT" w:hAnsi="Sabon Unicode" w:cs="TimesNewRomanPSMT"/>
          <w:sz w:val="18"/>
          <w:szCs w:val="18"/>
          <w:lang w:val="en-US"/>
        </w:rPr>
        <w:tab/>
        <w:t xml:space="preserve">Whereas, since Saussure, the two main approaches to languages were the synchronic and diachronic ones, the linguist E. Coseriu (see </w:t>
      </w:r>
      <w:r w:rsidRPr="00B80C6B">
        <w:rPr>
          <w:rStyle w:val="biblio-authorGEN"/>
          <w:rFonts w:ascii="Sabon Unicode" w:eastAsia="TimesNewRomanPSMT" w:hAnsi="Sabon Unicode" w:cs="TimesNewRomanPSMT"/>
          <w:sz w:val="18"/>
          <w:szCs w:val="15"/>
          <w:lang w:val="en-US"/>
        </w:rPr>
        <w:t>Coseriu</w:t>
      </w:r>
      <w:r w:rsidRPr="00B80C6B">
        <w:rPr>
          <w:rFonts w:ascii="Sabon Unicode" w:eastAsia="TimesNewRomanPSMT" w:hAnsi="Sabon Unicode" w:cs="TimesNewRomanPSMT"/>
          <w:sz w:val="18"/>
          <w:szCs w:val="18"/>
          <w:lang w:val="en-US"/>
        </w:rPr>
        <w:t xml:space="preserve"> 1970) has proposed a third m</w:t>
      </w:r>
      <w:r w:rsidRPr="00B80C6B">
        <w:rPr>
          <w:rFonts w:ascii="Sabon Unicode" w:eastAsia="TimesNewRomanPSMT" w:hAnsi="Sabon Unicode" w:cs="TimesNewRomanPSMT"/>
          <w:sz w:val="18"/>
          <w:szCs w:val="18"/>
          <w:lang w:val="en-US"/>
        </w:rPr>
        <w:t xml:space="preserve">ethod based on the idea that different linguistic social strata are synchronically embedded within a language. He developed his theory from that of </w:t>
      </w:r>
      <w:r w:rsidRPr="00B80C6B">
        <w:rPr>
          <w:rStyle w:val="biblio-authorGEN"/>
          <w:rFonts w:ascii="Sabon Unicode" w:eastAsia="TimesNewRomanPSMT" w:hAnsi="Sabon Unicode" w:cs="TimesNewRomanPSMT"/>
          <w:sz w:val="18"/>
          <w:szCs w:val="18"/>
          <w:lang w:val="en-US"/>
        </w:rPr>
        <w:t>Flydal</w:t>
      </w:r>
      <w:r w:rsidRPr="00B80C6B">
        <w:rPr>
          <w:rFonts w:ascii="Sabon Unicode" w:eastAsia="TimesNewRomanPSMT" w:hAnsi="Sabon Unicode" w:cs="TimesNewRomanPSMT"/>
          <w:sz w:val="18"/>
          <w:szCs w:val="18"/>
          <w:lang w:val="en-US"/>
        </w:rPr>
        <w:t xml:space="preserve"> (1951) who termed this kind of analysis as “diastratic”. I would like to thank Carla Miotto (Romanisc</w:t>
      </w:r>
      <w:r w:rsidRPr="00B80C6B">
        <w:rPr>
          <w:rFonts w:ascii="Sabon Unicode" w:eastAsia="TimesNewRomanPSMT" w:hAnsi="Sabon Unicode" w:cs="TimesNewRomanPSMT"/>
          <w:sz w:val="18"/>
          <w:szCs w:val="18"/>
          <w:lang w:val="en-US"/>
        </w:rPr>
        <w:t>he Seminar, Tübingen) for drawing my attention to Flydal’s work.</w:t>
      </w:r>
    </w:p>
  </w:footnote>
  <w:footnote w:id="3">
    <w:p w14:paraId="59E59B0F" w14:textId="77777777" w:rsidR="00E53EB6" w:rsidRPr="00B80C6B" w:rsidRDefault="006500F5">
      <w:pPr>
        <w:pStyle w:val="FootnoteText"/>
        <w:suppressLineNumbers/>
        <w:spacing w:line="210" w:lineRule="exact"/>
        <w:ind w:left="240" w:hanging="240"/>
        <w:jc w:val="both"/>
        <w:rPr>
          <w:lang w:val="en-US"/>
        </w:rPr>
      </w:pPr>
      <w:r>
        <w:rPr>
          <w:rStyle w:val="FootnoteCharacters"/>
        </w:rPr>
        <w:footnoteRef/>
      </w:r>
      <w:r w:rsidRPr="00B80C6B">
        <w:rPr>
          <w:lang w:val="en-US"/>
        </w:rPr>
        <w:tab/>
        <w:t xml:space="preserve">The concept of semantic ‘field’ was introduced by Ipsen, for an history of this and other field concepts see </w:t>
      </w:r>
      <w:r w:rsidRPr="00B80C6B">
        <w:rPr>
          <w:rStyle w:val="biblio-authorGEN"/>
          <w:sz w:val="18"/>
          <w:szCs w:val="15"/>
          <w:lang w:val="en-US"/>
        </w:rPr>
        <w:t>Gordon</w:t>
      </w:r>
      <w:r w:rsidRPr="00B80C6B">
        <w:rPr>
          <w:lang w:val="en-US"/>
        </w:rPr>
        <w:t xml:space="preserve"> 1982: 67-70.</w:t>
      </w:r>
    </w:p>
  </w:footnote>
  <w:footnote w:id="4">
    <w:p w14:paraId="587A72ED" w14:textId="77777777" w:rsidR="00E53EB6" w:rsidRPr="00B80C6B" w:rsidRDefault="006500F5">
      <w:pPr>
        <w:pStyle w:val="FootnoteText"/>
        <w:suppressLineNumbers/>
        <w:spacing w:line="210" w:lineRule="exact"/>
        <w:ind w:left="240" w:hanging="240"/>
        <w:jc w:val="both"/>
        <w:rPr>
          <w:lang w:val="en-US"/>
        </w:rPr>
      </w:pPr>
      <w:r>
        <w:rPr>
          <w:rStyle w:val="FootnoteCharacters"/>
        </w:rPr>
        <w:footnoteRef/>
      </w:r>
      <w:r w:rsidRPr="00B80C6B">
        <w:rPr>
          <w:lang w:val="en-US"/>
        </w:rPr>
        <w:tab/>
        <w:t>Within this approach the terms “seme” and “sememe” have be</w:t>
      </w:r>
      <w:r w:rsidRPr="00B80C6B">
        <w:rPr>
          <w:lang w:val="en-US"/>
        </w:rPr>
        <w:t>en coined for the semantic components and the component clusters in analogy to structural phonology. With regard to the further applications of the field theory see</w:t>
      </w:r>
      <w:r>
        <w:rPr>
          <w:lang w:val="en-GB"/>
        </w:rPr>
        <w:t xml:space="preserve"> </w:t>
      </w:r>
      <w:r>
        <w:rPr>
          <w:rStyle w:val="biblio-authorGEN"/>
          <w:sz w:val="18"/>
          <w:szCs w:val="15"/>
          <w:lang w:val="en-GB"/>
        </w:rPr>
        <w:t>Lehrer</w:t>
      </w:r>
      <w:r>
        <w:rPr>
          <w:lang w:val="en-GB"/>
        </w:rPr>
        <w:t xml:space="preserve"> </w:t>
      </w:r>
      <w:r>
        <w:rPr>
          <w:rStyle w:val="biblio-authorGEN"/>
          <w:sz w:val="18"/>
          <w:szCs w:val="15"/>
          <w:lang w:val="en-GB"/>
        </w:rPr>
        <w:t>Kittay</w:t>
      </w:r>
      <w:r>
        <w:rPr>
          <w:rStyle w:val="biblio-authorGEN"/>
          <w:lang w:val="en-GB"/>
        </w:rPr>
        <w:t xml:space="preserve"> </w:t>
      </w:r>
      <w:r w:rsidRPr="00B80C6B">
        <w:rPr>
          <w:lang w:val="en-US"/>
        </w:rPr>
        <w:t xml:space="preserve">1992 </w:t>
      </w:r>
      <w:r>
        <w:rPr>
          <w:lang w:val="en-GB"/>
        </w:rPr>
        <w:t>w</w:t>
      </w:r>
      <w:r>
        <w:rPr>
          <w:lang w:val="en-GB"/>
        </w:rPr>
        <w:t xml:space="preserve">ithin the volume they edited on the concepts of “frame”, </w:t>
      </w:r>
      <w:r>
        <w:rPr>
          <w:lang w:val="en-GB"/>
        </w:rPr>
        <w:t>“fields” and “contrast”.</w:t>
      </w:r>
    </w:p>
  </w:footnote>
  <w:footnote w:id="5">
    <w:p w14:paraId="6C97DE30" w14:textId="77777777" w:rsidR="00E53EB6" w:rsidRPr="00B80C6B" w:rsidRDefault="006500F5">
      <w:pPr>
        <w:pStyle w:val="FootnoteText"/>
        <w:suppressLineNumbers/>
        <w:spacing w:line="210" w:lineRule="exact"/>
        <w:ind w:left="240" w:hanging="240"/>
        <w:jc w:val="both"/>
        <w:rPr>
          <w:lang w:val="en-US"/>
        </w:rPr>
      </w:pPr>
      <w:r>
        <w:rPr>
          <w:rStyle w:val="FootnoteCharacters"/>
        </w:rPr>
        <w:footnoteRef/>
      </w:r>
      <w:r w:rsidRPr="00B80C6B">
        <w:rPr>
          <w:lang w:val="en-US"/>
        </w:rPr>
        <w:tab/>
        <w:t xml:space="preserve">The volumes already published should be the first of an editorial project aiming to present a new translation of the whole </w:t>
      </w:r>
      <w:r w:rsidRPr="00B80C6B">
        <w:rPr>
          <w:i/>
          <w:iCs/>
          <w:lang w:val="en-US"/>
        </w:rPr>
        <w:t>R̥gveda Sa</w:t>
      </w:r>
      <w:r w:rsidRPr="00B80C6B">
        <w:rPr>
          <w:i/>
          <w:iCs/>
          <w:lang w:val="en-US"/>
        </w:rPr>
        <w:t>ṃ</w:t>
      </w:r>
      <w:r w:rsidRPr="00B80C6B">
        <w:rPr>
          <w:i/>
          <w:iCs/>
          <w:lang w:val="en-US"/>
        </w:rPr>
        <w:t>hitā</w:t>
      </w:r>
      <w:r w:rsidRPr="00B80C6B">
        <w:rPr>
          <w:lang w:val="en-US"/>
        </w:rPr>
        <w:t>.</w:t>
      </w:r>
    </w:p>
  </w:footnote>
  <w:footnote w:id="6">
    <w:p w14:paraId="1933CD74" w14:textId="77777777" w:rsidR="00E53EB6" w:rsidRPr="00B80C6B" w:rsidRDefault="006500F5">
      <w:pPr>
        <w:pStyle w:val="FootnoteText"/>
        <w:suppressLineNumbers/>
        <w:spacing w:line="210" w:lineRule="exact"/>
        <w:ind w:left="240" w:hanging="240"/>
        <w:jc w:val="both"/>
        <w:rPr>
          <w:lang w:val="en-US"/>
        </w:rPr>
      </w:pPr>
      <w:r>
        <w:rPr>
          <w:rStyle w:val="FootnoteCharacters"/>
        </w:rPr>
        <w:footnoteRef/>
      </w:r>
      <w:r w:rsidRPr="00B80C6B">
        <w:rPr>
          <w:lang w:val="en-US"/>
        </w:rPr>
        <w:tab/>
        <w:t xml:space="preserve">For this part it has been of great help </w:t>
      </w:r>
      <w:r w:rsidRPr="00B80C6B">
        <w:rPr>
          <w:rStyle w:val="biblio-authorGEN"/>
          <w:sz w:val="18"/>
          <w:szCs w:val="15"/>
          <w:lang w:val="en-US"/>
        </w:rPr>
        <w:t>Bloomfield</w:t>
      </w:r>
      <w:r w:rsidRPr="00B80C6B">
        <w:rPr>
          <w:lang w:val="en-US"/>
        </w:rPr>
        <w:t xml:space="preserve"> 1906.</w:t>
      </w:r>
    </w:p>
  </w:footnote>
  <w:footnote w:id="7">
    <w:p w14:paraId="735D91E9" w14:textId="77777777" w:rsidR="00E53EB6" w:rsidRPr="00B80C6B" w:rsidRDefault="006500F5">
      <w:pPr>
        <w:pStyle w:val="FootnoteText"/>
        <w:suppressLineNumbers/>
        <w:spacing w:line="210" w:lineRule="exact"/>
        <w:ind w:left="240" w:hanging="240"/>
        <w:jc w:val="both"/>
        <w:rPr>
          <w:lang w:val="en-US"/>
        </w:rPr>
      </w:pPr>
      <w:r>
        <w:rPr>
          <w:rStyle w:val="FootnoteCharacters"/>
        </w:rPr>
        <w:footnoteRef/>
      </w:r>
      <w:r w:rsidRPr="00B80C6B">
        <w:rPr>
          <w:lang w:val="en-US"/>
        </w:rPr>
        <w:tab/>
        <w:t>See the major etymological l</w:t>
      </w:r>
      <w:r w:rsidRPr="00B80C6B">
        <w:rPr>
          <w:lang w:val="en-US"/>
        </w:rPr>
        <w:t xml:space="preserve">exicons and dictionaries, such as </w:t>
      </w:r>
      <w:r w:rsidRPr="00B80C6B">
        <w:rPr>
          <w:rStyle w:val="biblio-authorGEN"/>
          <w:sz w:val="18"/>
          <w:szCs w:val="15"/>
          <w:lang w:val="en-US"/>
        </w:rPr>
        <w:t>Walde</w:t>
      </w:r>
      <w:r w:rsidRPr="00B80C6B">
        <w:rPr>
          <w:lang w:val="en-US"/>
        </w:rPr>
        <w:t xml:space="preserve"> 1927-1932: I, 258-260; </w:t>
      </w:r>
      <w:r w:rsidRPr="00B80C6B">
        <w:rPr>
          <w:rStyle w:val="biblio-authorGEN"/>
          <w:sz w:val="18"/>
          <w:szCs w:val="15"/>
          <w:lang w:val="en-US"/>
        </w:rPr>
        <w:t>Pokorny</w:t>
      </w:r>
      <w:r w:rsidRPr="00B80C6B">
        <w:rPr>
          <w:lang w:val="en-US"/>
        </w:rPr>
        <w:t xml:space="preserve"> 1959-1969: 1146-7 and LIV 680-683.</w:t>
      </w:r>
    </w:p>
  </w:footnote>
  <w:footnote w:id="8">
    <w:p w14:paraId="67B38F61" w14:textId="77777777" w:rsidR="00E53EB6" w:rsidRPr="00B80C6B" w:rsidRDefault="006500F5">
      <w:pPr>
        <w:pStyle w:val="FootnoteText"/>
        <w:suppressLineNumbers/>
        <w:spacing w:line="210" w:lineRule="exact"/>
        <w:ind w:left="240" w:hanging="240"/>
        <w:jc w:val="both"/>
        <w:rPr>
          <w:lang w:val="en-US"/>
        </w:rPr>
      </w:pPr>
      <w:r>
        <w:rPr>
          <w:rStyle w:val="FootnoteCharacters"/>
        </w:rPr>
        <w:footnoteRef/>
      </w:r>
      <w:r w:rsidRPr="00B80C6B">
        <w:rPr>
          <w:lang w:val="en-US"/>
        </w:rPr>
        <w:tab/>
        <w:t xml:space="preserve">With regard to the theory of the laryngeals and the more recent developments, see </w:t>
      </w:r>
      <w:r w:rsidRPr="00B80C6B">
        <w:rPr>
          <w:rStyle w:val="biblio-authorGEN"/>
          <w:sz w:val="18"/>
          <w:szCs w:val="15"/>
          <w:lang w:val="en-US"/>
        </w:rPr>
        <w:t>Sturtevant</w:t>
      </w:r>
      <w:r w:rsidRPr="00B80C6B">
        <w:rPr>
          <w:lang w:val="en-US"/>
        </w:rPr>
        <w:t xml:space="preserve"> 1942, </w:t>
      </w:r>
      <w:r w:rsidRPr="00B80C6B">
        <w:rPr>
          <w:rStyle w:val="biblio-authorGEN"/>
          <w:sz w:val="18"/>
          <w:szCs w:val="15"/>
          <w:lang w:val="en-US"/>
        </w:rPr>
        <w:t>Szmerényi</w:t>
      </w:r>
      <w:r w:rsidRPr="00B80C6B">
        <w:rPr>
          <w:lang w:val="en-US"/>
        </w:rPr>
        <w:t xml:space="preserve"> 1967 and 1973, </w:t>
      </w:r>
      <w:r w:rsidRPr="00B80C6B">
        <w:rPr>
          <w:rStyle w:val="biblio-authorGEN"/>
          <w:sz w:val="18"/>
          <w:szCs w:val="15"/>
          <w:lang w:val="en-US"/>
        </w:rPr>
        <w:t>Jonsson</w:t>
      </w:r>
      <w:r w:rsidRPr="00B80C6B">
        <w:rPr>
          <w:lang w:val="en-US"/>
        </w:rPr>
        <w:t xml:space="preserve"> 1978, </w:t>
      </w:r>
      <w:r w:rsidRPr="00B80C6B">
        <w:rPr>
          <w:rStyle w:val="biblio-authorGEN"/>
          <w:sz w:val="18"/>
          <w:szCs w:val="15"/>
          <w:lang w:val="en-US"/>
        </w:rPr>
        <w:t>Lindemann</w:t>
      </w:r>
      <w:r w:rsidRPr="00B80C6B">
        <w:rPr>
          <w:lang w:val="en-US"/>
        </w:rPr>
        <w:t xml:space="preserve"> </w:t>
      </w:r>
      <w:r w:rsidRPr="00B80C6B">
        <w:rPr>
          <w:lang w:val="en-US"/>
        </w:rPr>
        <w:t xml:space="preserve">1987, </w:t>
      </w:r>
      <w:r w:rsidRPr="00B80C6B">
        <w:rPr>
          <w:rStyle w:val="biblio-authorGEN"/>
          <w:sz w:val="18"/>
          <w:szCs w:val="15"/>
          <w:lang w:val="en-US"/>
        </w:rPr>
        <w:t>Bammesberger</w:t>
      </w:r>
      <w:r w:rsidRPr="00B80C6B">
        <w:rPr>
          <w:lang w:val="en-US"/>
        </w:rPr>
        <w:t xml:space="preserve"> 1988. For a more general picture cf. </w:t>
      </w:r>
      <w:r w:rsidRPr="00B80C6B">
        <w:rPr>
          <w:rStyle w:val="biblio-authorGEN"/>
          <w:sz w:val="18"/>
          <w:szCs w:val="15"/>
          <w:lang w:val="en-US"/>
        </w:rPr>
        <w:t>Szmerényi</w:t>
      </w:r>
      <w:r w:rsidRPr="00B80C6B">
        <w:rPr>
          <w:lang w:val="en-US"/>
        </w:rPr>
        <w:t xml:space="preserve"> 1989 and, more recently, </w:t>
      </w:r>
      <w:r w:rsidRPr="00B80C6B">
        <w:rPr>
          <w:rStyle w:val="biblio-authorGEN"/>
          <w:sz w:val="18"/>
          <w:szCs w:val="15"/>
          <w:lang w:val="en-US"/>
        </w:rPr>
        <w:t>Mayrhofer</w:t>
      </w:r>
      <w:r w:rsidRPr="00B80C6B">
        <w:rPr>
          <w:lang w:val="en-US"/>
        </w:rPr>
        <w:t xml:space="preserve"> 2005.</w:t>
      </w:r>
    </w:p>
  </w:footnote>
  <w:footnote w:id="9">
    <w:p w14:paraId="6E906044" w14:textId="77777777" w:rsidR="00E53EB6" w:rsidRPr="00B80C6B" w:rsidRDefault="006500F5">
      <w:pPr>
        <w:pStyle w:val="FootnoteText"/>
        <w:suppressLineNumbers/>
        <w:spacing w:line="210" w:lineRule="exact"/>
        <w:ind w:left="240" w:hanging="240"/>
        <w:jc w:val="both"/>
        <w:rPr>
          <w:lang w:val="en-US"/>
        </w:rPr>
      </w:pPr>
      <w:r>
        <w:rPr>
          <w:rStyle w:val="FootnoteCharacters"/>
        </w:rPr>
        <w:footnoteRef/>
      </w:r>
      <w:r w:rsidRPr="00B80C6B">
        <w:rPr>
          <w:rStyle w:val="biblio-authorGEN"/>
          <w:sz w:val="18"/>
          <w:szCs w:val="15"/>
          <w:lang w:val="en-US"/>
        </w:rPr>
        <w:tab/>
        <w:t>Mayrhofer</w:t>
      </w:r>
      <w:r w:rsidRPr="00B80C6B">
        <w:rPr>
          <w:lang w:val="en-US"/>
        </w:rPr>
        <w:t xml:space="preserve"> 1992-1996.</w:t>
      </w:r>
    </w:p>
  </w:footnote>
  <w:footnote w:id="10">
    <w:p w14:paraId="33C9FD5A" w14:textId="77777777" w:rsidR="00E53EB6" w:rsidRPr="00B80C6B" w:rsidRDefault="006500F5">
      <w:pPr>
        <w:pStyle w:val="FootnoteText"/>
        <w:suppressLineNumbers/>
        <w:spacing w:line="210" w:lineRule="exact"/>
        <w:ind w:left="240" w:hanging="240"/>
        <w:jc w:val="both"/>
        <w:rPr>
          <w:lang w:val="en-US"/>
        </w:rPr>
      </w:pPr>
      <w:r>
        <w:rPr>
          <w:rStyle w:val="FootnoteCharacters"/>
        </w:rPr>
        <w:footnoteRef/>
      </w:r>
      <w:r w:rsidRPr="00B80C6B">
        <w:rPr>
          <w:rStyle w:val="biblio-authorGEN"/>
          <w:sz w:val="18"/>
          <w:szCs w:val="15"/>
          <w:lang w:val="en-US"/>
        </w:rPr>
        <w:tab/>
        <w:t>Walde</w:t>
      </w:r>
      <w:r w:rsidRPr="00B80C6B">
        <w:rPr>
          <w:lang w:val="en-US"/>
        </w:rPr>
        <w:t xml:space="preserve"> 1927-1932: I, 258-260.</w:t>
      </w:r>
    </w:p>
  </w:footnote>
  <w:footnote w:id="11">
    <w:p w14:paraId="670927DB" w14:textId="77777777" w:rsidR="00E53EB6" w:rsidRPr="00B80C6B" w:rsidRDefault="006500F5">
      <w:pPr>
        <w:pStyle w:val="FootnoteText"/>
        <w:suppressLineNumbers/>
        <w:spacing w:line="210" w:lineRule="exact"/>
        <w:ind w:left="240" w:hanging="240"/>
        <w:jc w:val="both"/>
        <w:rPr>
          <w:lang w:val="en-US"/>
        </w:rPr>
      </w:pPr>
      <w:r>
        <w:rPr>
          <w:rStyle w:val="FootnoteCharacters"/>
        </w:rPr>
        <w:footnoteRef/>
      </w:r>
      <w:r w:rsidRPr="00B80C6B">
        <w:rPr>
          <w:rStyle w:val="biblio-authorGEN"/>
          <w:sz w:val="18"/>
          <w:szCs w:val="18"/>
          <w:lang w:val="en-US"/>
        </w:rPr>
        <w:tab/>
        <w:t>Pokorny</w:t>
      </w:r>
      <w:r w:rsidRPr="00B80C6B">
        <w:rPr>
          <w:lang w:val="en-US"/>
        </w:rPr>
        <w:t xml:space="preserve"> 1959-1969: 1146-7.</w:t>
      </w:r>
    </w:p>
  </w:footnote>
  <w:footnote w:id="12">
    <w:p w14:paraId="654AE54E" w14:textId="77777777" w:rsidR="00E53EB6" w:rsidRPr="00B80C6B" w:rsidRDefault="006500F5">
      <w:pPr>
        <w:pStyle w:val="FootnoteText"/>
        <w:suppressLineNumbers/>
        <w:spacing w:line="210" w:lineRule="exact"/>
        <w:ind w:left="240" w:hanging="240"/>
        <w:jc w:val="both"/>
        <w:rPr>
          <w:lang w:val="en-US"/>
        </w:rPr>
      </w:pPr>
      <w:r>
        <w:rPr>
          <w:rStyle w:val="FootnoteCharacters"/>
        </w:rPr>
        <w:footnoteRef/>
      </w:r>
      <w:r w:rsidRPr="00B80C6B">
        <w:rPr>
          <w:lang w:val="en-US"/>
        </w:rPr>
        <w:tab/>
        <w:t xml:space="preserve">The semantic ambivalence at the Indo-European level can be read </w:t>
      </w:r>
      <w:r w:rsidRPr="00B80C6B">
        <w:rPr>
          <w:lang w:val="en-US"/>
        </w:rPr>
        <w:t xml:space="preserve">as a metonymic shift and this was to be the main argument of Migron in his analysis on the Sanskrit outcome (cf. </w:t>
      </w:r>
      <w:r w:rsidRPr="00B80C6B">
        <w:rPr>
          <w:rStyle w:val="biblio-authorGEN"/>
          <w:sz w:val="18"/>
          <w:szCs w:val="15"/>
          <w:lang w:val="en-US"/>
        </w:rPr>
        <w:t>Migron</w:t>
      </w:r>
      <w:r w:rsidRPr="00B80C6B">
        <w:rPr>
          <w:lang w:val="en-US"/>
        </w:rPr>
        <w:t xml:space="preserve"> 1980).</w:t>
      </w:r>
    </w:p>
  </w:footnote>
  <w:footnote w:id="13">
    <w:p w14:paraId="054BDEFF" w14:textId="77777777" w:rsidR="00E53EB6" w:rsidRPr="00B80C6B" w:rsidRDefault="006500F5">
      <w:pPr>
        <w:pStyle w:val="FootnoteText"/>
        <w:suppressLineNumbers/>
        <w:spacing w:line="210" w:lineRule="exact"/>
        <w:ind w:left="240" w:hanging="240"/>
        <w:jc w:val="both"/>
        <w:rPr>
          <w:lang w:val="en-US"/>
        </w:rPr>
      </w:pPr>
      <w:r>
        <w:rPr>
          <w:rStyle w:val="FootnoteCharacters"/>
        </w:rPr>
        <w:footnoteRef/>
      </w:r>
      <w:r w:rsidRPr="00B80C6B">
        <w:rPr>
          <w:rStyle w:val="biblio-authorGEN"/>
          <w:sz w:val="18"/>
          <w:szCs w:val="15"/>
          <w:lang w:val="en-US"/>
        </w:rPr>
        <w:tab/>
        <w:t>Migron</w:t>
      </w:r>
      <w:r w:rsidRPr="00B80C6B">
        <w:rPr>
          <w:lang w:val="en-US"/>
        </w:rPr>
        <w:t xml:space="preserve"> 1980: 269-282.</w:t>
      </w:r>
    </w:p>
  </w:footnote>
  <w:footnote w:id="14">
    <w:p w14:paraId="4AB68134" w14:textId="77777777" w:rsidR="00E53EB6" w:rsidRPr="00B80C6B" w:rsidRDefault="006500F5">
      <w:pPr>
        <w:pStyle w:val="FootnoteText"/>
        <w:suppressLineNumbers/>
        <w:spacing w:line="210" w:lineRule="exact"/>
        <w:ind w:left="240" w:hanging="240"/>
        <w:jc w:val="both"/>
        <w:rPr>
          <w:lang w:val="en-US"/>
        </w:rPr>
      </w:pPr>
      <w:r>
        <w:rPr>
          <w:rStyle w:val="FootnoteCharacters"/>
        </w:rPr>
        <w:footnoteRef/>
      </w:r>
      <w:r w:rsidRPr="00B80C6B">
        <w:rPr>
          <w:rStyle w:val="biblio-authorGEN"/>
          <w:sz w:val="18"/>
          <w:szCs w:val="15"/>
          <w:lang w:val="en-US"/>
        </w:rPr>
        <w:tab/>
        <w:t>Grassmann</w:t>
      </w:r>
      <w:r w:rsidRPr="00B80C6B">
        <w:rPr>
          <w:lang w:val="en-US"/>
        </w:rPr>
        <w:t xml:space="preserve"> 1875 [ed. 1996: 1203-1204].</w:t>
      </w:r>
    </w:p>
  </w:footnote>
  <w:footnote w:id="15">
    <w:p w14:paraId="568773F1" w14:textId="77777777" w:rsidR="00E53EB6" w:rsidRPr="00B80C6B" w:rsidRDefault="006500F5">
      <w:pPr>
        <w:pStyle w:val="FootnoteText"/>
        <w:suppressLineNumbers/>
        <w:spacing w:line="210" w:lineRule="exact"/>
        <w:ind w:left="240" w:hanging="240"/>
        <w:jc w:val="both"/>
        <w:rPr>
          <w:lang w:val="en-US"/>
        </w:rPr>
      </w:pPr>
      <w:r>
        <w:rPr>
          <w:rStyle w:val="FootnoteCharacters"/>
        </w:rPr>
        <w:footnoteRef/>
      </w:r>
      <w:r w:rsidRPr="00B80C6B">
        <w:rPr>
          <w:rStyle w:val="biblio-authorGEN"/>
          <w:sz w:val="18"/>
          <w:szCs w:val="15"/>
          <w:lang w:val="en-US"/>
        </w:rPr>
        <w:tab/>
        <w:t>Meringer</w:t>
      </w:r>
      <w:r w:rsidRPr="00B80C6B">
        <w:rPr>
          <w:lang w:val="en-US"/>
        </w:rPr>
        <w:t xml:space="preserve"> 1904 : 101-196, in particular p. 179 ff.</w:t>
      </w:r>
    </w:p>
  </w:footnote>
  <w:footnote w:id="16">
    <w:p w14:paraId="2577CC67" w14:textId="77777777" w:rsidR="00E53EB6" w:rsidRDefault="006500F5">
      <w:pPr>
        <w:pStyle w:val="FootnoteText"/>
        <w:suppressLineNumbers/>
        <w:spacing w:line="210" w:lineRule="exact"/>
        <w:ind w:left="240" w:hanging="240"/>
        <w:jc w:val="both"/>
      </w:pPr>
      <w:r>
        <w:rPr>
          <w:rStyle w:val="FootnoteCharacters"/>
        </w:rPr>
        <w:footnoteRef/>
      </w:r>
      <w:r>
        <w:rPr>
          <w:rStyle w:val="biblio-authorGEN"/>
          <w:sz w:val="18"/>
          <w:szCs w:val="15"/>
        </w:rPr>
        <w:tab/>
        <w:t>Meillet</w:t>
      </w:r>
      <w:r>
        <w:t xml:space="preserve"> 189</w:t>
      </w:r>
      <w:r>
        <w:t>6: 55-57.</w:t>
      </w:r>
    </w:p>
  </w:footnote>
  <w:footnote w:id="17">
    <w:p w14:paraId="7FE95BD0" w14:textId="77777777" w:rsidR="00E53EB6" w:rsidRDefault="006500F5">
      <w:pPr>
        <w:pStyle w:val="FootnoteText"/>
        <w:suppressLineNumbers/>
        <w:spacing w:line="210" w:lineRule="exact"/>
        <w:ind w:left="240" w:hanging="240"/>
        <w:jc w:val="both"/>
      </w:pPr>
      <w:r>
        <w:rPr>
          <w:rStyle w:val="FootnoteCharacters"/>
        </w:rPr>
        <w:footnoteRef/>
      </w:r>
      <w:r>
        <w:rPr>
          <w:rStyle w:val="biblio-authorGEN"/>
          <w:sz w:val="18"/>
          <w:szCs w:val="15"/>
        </w:rPr>
        <w:tab/>
        <w:t>Migron</w:t>
      </w:r>
      <w:r>
        <w:t xml:space="preserve"> 1980: 275.</w:t>
      </w:r>
    </w:p>
  </w:footnote>
  <w:footnote w:id="18">
    <w:p w14:paraId="367436F2" w14:textId="77777777" w:rsidR="00E53EB6" w:rsidRDefault="006500F5">
      <w:pPr>
        <w:pStyle w:val="FootnoteText"/>
        <w:suppressLineNumbers/>
        <w:spacing w:line="210" w:lineRule="exact"/>
        <w:ind w:left="240" w:hanging="240"/>
        <w:jc w:val="both"/>
      </w:pPr>
      <w:r>
        <w:rPr>
          <w:rStyle w:val="FootnoteCharacters"/>
        </w:rPr>
        <w:footnoteRef/>
      </w:r>
      <w:r>
        <w:rPr>
          <w:rStyle w:val="biblio-authorGEN"/>
          <w:sz w:val="18"/>
          <w:szCs w:val="15"/>
        </w:rPr>
        <w:tab/>
        <w:t>Kümmel</w:t>
      </w:r>
      <w:r>
        <w:t xml:space="preserve"> 2000: 447-451.</w:t>
      </w:r>
    </w:p>
  </w:footnote>
  <w:footnote w:id="19">
    <w:p w14:paraId="236CA979" w14:textId="77777777" w:rsidR="00E53EB6" w:rsidRDefault="006500F5">
      <w:pPr>
        <w:pStyle w:val="FootnoteText"/>
        <w:suppressLineNumbers/>
        <w:spacing w:line="210" w:lineRule="exact"/>
        <w:ind w:left="240" w:hanging="240"/>
        <w:jc w:val="both"/>
      </w:pPr>
      <w:r>
        <w:rPr>
          <w:rStyle w:val="FootnoteCharacters"/>
        </w:rPr>
        <w:footnoteRef/>
      </w:r>
      <w:r>
        <w:rPr>
          <w:rStyle w:val="biblio-authorGEN"/>
          <w:sz w:val="18"/>
          <w:szCs w:val="15"/>
        </w:rPr>
        <w:tab/>
        <w:t>Trier</w:t>
      </w:r>
      <w:r>
        <w:t xml:space="preserve"> 1963: 118-154.</w:t>
      </w:r>
    </w:p>
  </w:footnote>
  <w:footnote w:id="20">
    <w:p w14:paraId="1AAE4C58" w14:textId="77777777" w:rsidR="00E53EB6" w:rsidRDefault="006500F5">
      <w:pPr>
        <w:pStyle w:val="FootnoteText"/>
        <w:suppressLineNumbers/>
        <w:spacing w:line="210" w:lineRule="exact"/>
        <w:ind w:left="240" w:hanging="240"/>
        <w:jc w:val="both"/>
      </w:pPr>
      <w:r>
        <w:rPr>
          <w:rStyle w:val="FootnoteCharacters"/>
        </w:rPr>
        <w:footnoteRef/>
      </w:r>
      <w:r>
        <w:rPr>
          <w:rStyle w:val="biblio-authorGEN"/>
          <w:sz w:val="18"/>
          <w:szCs w:val="15"/>
        </w:rPr>
        <w:tab/>
        <w:t>Gotō</w:t>
      </w:r>
      <w:r>
        <w:t xml:space="preserve"> 1987: 283-286.</w:t>
      </w:r>
    </w:p>
  </w:footnote>
  <w:footnote w:id="21">
    <w:p w14:paraId="2BB38717" w14:textId="77777777" w:rsidR="00E53EB6" w:rsidRPr="00B80C6B" w:rsidRDefault="006500F5">
      <w:pPr>
        <w:pStyle w:val="FootnoteText"/>
        <w:suppressLineNumbers/>
        <w:spacing w:line="210" w:lineRule="exact"/>
        <w:ind w:left="240" w:hanging="240"/>
        <w:jc w:val="both"/>
        <w:rPr>
          <w:lang w:val="en-US"/>
        </w:rPr>
      </w:pPr>
      <w:r>
        <w:rPr>
          <w:rStyle w:val="FootnoteCharacters"/>
        </w:rPr>
        <w:footnoteRef/>
      </w:r>
      <w:r w:rsidRPr="00B80C6B">
        <w:rPr>
          <w:lang w:val="en-US"/>
        </w:rPr>
        <w:tab/>
        <w:t xml:space="preserve">On the thematic optative from an athematic form cf. </w:t>
      </w:r>
      <w:r w:rsidRPr="00B80C6B">
        <w:rPr>
          <w:rStyle w:val="biblio-authorGEN"/>
          <w:sz w:val="18"/>
          <w:szCs w:val="15"/>
          <w:lang w:val="en-US"/>
        </w:rPr>
        <w:t>Renou</w:t>
      </w:r>
      <w:r w:rsidRPr="00B80C6B">
        <w:rPr>
          <w:lang w:val="en-US"/>
        </w:rPr>
        <w:t xml:space="preserve"> 1932: 5 - 30. </w:t>
      </w:r>
    </w:p>
  </w:footnote>
  <w:footnote w:id="22">
    <w:p w14:paraId="21523CE6" w14:textId="77777777" w:rsidR="00E53EB6" w:rsidRPr="00B80C6B" w:rsidRDefault="006500F5">
      <w:pPr>
        <w:pStyle w:val="FootnoteText"/>
        <w:suppressLineNumbers/>
        <w:spacing w:line="210" w:lineRule="exact"/>
        <w:ind w:left="240" w:hanging="240"/>
        <w:jc w:val="both"/>
        <w:rPr>
          <w:lang w:val="en-US"/>
        </w:rPr>
      </w:pPr>
      <w:r>
        <w:rPr>
          <w:rStyle w:val="FootnoteCharacters"/>
        </w:rPr>
        <w:footnoteRef/>
      </w:r>
      <w:r w:rsidRPr="00B80C6B">
        <w:rPr>
          <w:rStyle w:val="biblio-authorGEN"/>
          <w:sz w:val="18"/>
          <w:szCs w:val="15"/>
          <w:lang w:val="en-US"/>
        </w:rPr>
        <w:tab/>
        <w:t>Werba</w:t>
      </w:r>
      <w:r w:rsidRPr="00B80C6B">
        <w:rPr>
          <w:lang w:val="en-US"/>
        </w:rPr>
        <w:t xml:space="preserve"> 1997: 232-3; 317.</w:t>
      </w:r>
    </w:p>
  </w:footnote>
  <w:footnote w:id="23">
    <w:p w14:paraId="6AF6F83A" w14:textId="77777777" w:rsidR="00E53EB6" w:rsidRPr="00B80C6B" w:rsidRDefault="006500F5">
      <w:pPr>
        <w:pStyle w:val="FootnoteText"/>
        <w:suppressLineNumbers/>
        <w:spacing w:line="210" w:lineRule="exact"/>
        <w:ind w:left="240" w:hanging="240"/>
        <w:jc w:val="both"/>
        <w:rPr>
          <w:lang w:val="en-US"/>
        </w:rPr>
      </w:pPr>
      <w:r>
        <w:rPr>
          <w:rStyle w:val="FootnoteCharacters"/>
        </w:rPr>
        <w:footnoteRef/>
      </w:r>
      <w:r w:rsidRPr="00B80C6B">
        <w:rPr>
          <w:lang w:val="en-US"/>
        </w:rPr>
        <w:tab/>
        <w:t xml:space="preserve"> </w:t>
      </w:r>
      <w:r w:rsidRPr="00B80C6B">
        <w:rPr>
          <w:rStyle w:val="biblio-authorGEN"/>
          <w:sz w:val="18"/>
          <w:szCs w:val="15"/>
          <w:lang w:val="en-US"/>
        </w:rPr>
        <w:t xml:space="preserve">Hettrich </w:t>
      </w:r>
      <w:r w:rsidRPr="00B80C6B">
        <w:rPr>
          <w:lang w:val="en-US"/>
        </w:rPr>
        <w:t>2007: 133.</w:t>
      </w:r>
    </w:p>
  </w:footnote>
  <w:footnote w:id="24">
    <w:p w14:paraId="1F9DBD83"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B80C6B">
        <w:rPr>
          <w:i/>
          <w:iCs/>
          <w:lang w:val="en-US"/>
        </w:rPr>
        <w:tab/>
        <w:t>yá</w:t>
      </w:r>
      <w:r w:rsidRPr="00B80C6B">
        <w:rPr>
          <w:i/>
          <w:iCs/>
          <w:lang w:val="en-US"/>
        </w:rPr>
        <w:t>ḥ</w:t>
      </w:r>
      <w:r w:rsidRPr="00B80C6B">
        <w:rPr>
          <w:i/>
          <w:iCs/>
          <w:lang w:val="en-US"/>
        </w:rPr>
        <w:t xml:space="preserve"> – tám</w:t>
      </w:r>
      <w:r w:rsidRPr="00B80C6B">
        <w:rPr>
          <w:lang w:val="en-US"/>
        </w:rPr>
        <w:t xml:space="preserve"> : the construction of the two </w:t>
      </w:r>
      <w:r w:rsidRPr="00B80C6B">
        <w:rPr>
          <w:i/>
          <w:iCs/>
          <w:lang w:val="en-US"/>
        </w:rPr>
        <w:t>pāda</w:t>
      </w:r>
      <w:r w:rsidRPr="00B80C6B">
        <w:rPr>
          <w:lang w:val="en-US"/>
        </w:rPr>
        <w:t>s</w:t>
      </w:r>
      <w:r w:rsidRPr="00B80C6B">
        <w:rPr>
          <w:lang w:val="en-US"/>
        </w:rPr>
        <w:t xml:space="preserve"> is ambiguous and not completely clear (</w:t>
      </w:r>
      <w:r w:rsidRPr="00B80C6B">
        <w:rPr>
          <w:rStyle w:val="biblio-authorGEN"/>
          <w:sz w:val="18"/>
          <w:szCs w:val="15"/>
          <w:lang w:val="en-US"/>
        </w:rPr>
        <w:t>Geldner</w:t>
      </w:r>
      <w:r w:rsidRPr="00B80C6B">
        <w:rPr>
          <w:lang w:val="en-US"/>
        </w:rPr>
        <w:t xml:space="preserve"> I 35, n. 13cd); we might consider </w:t>
      </w:r>
      <w:r w:rsidRPr="00B80C6B">
        <w:rPr>
          <w:i/>
          <w:iCs/>
          <w:lang w:val="en-US"/>
        </w:rPr>
        <w:t>yá</w:t>
      </w:r>
      <w:r w:rsidRPr="00B80C6B">
        <w:rPr>
          <w:i/>
          <w:iCs/>
          <w:lang w:val="en-US"/>
        </w:rPr>
        <w:t>ḥ</w:t>
      </w:r>
      <w:r w:rsidRPr="00B80C6B">
        <w:rPr>
          <w:lang w:val="en-US"/>
        </w:rPr>
        <w:t xml:space="preserve"> relative to </w:t>
      </w:r>
      <w:r w:rsidRPr="00B80C6B">
        <w:rPr>
          <w:i/>
          <w:iCs/>
          <w:lang w:val="en-US"/>
        </w:rPr>
        <w:t>tám</w:t>
      </w:r>
      <w:r w:rsidRPr="00B80C6B">
        <w:rPr>
          <w:lang w:val="en-US"/>
        </w:rPr>
        <w:t xml:space="preserve"> and </w:t>
      </w:r>
      <w:r w:rsidRPr="00B80C6B">
        <w:rPr>
          <w:i/>
          <w:iCs/>
          <w:lang w:val="en-US"/>
        </w:rPr>
        <w:t xml:space="preserve">kīréś cin mántram mánasā </w:t>
      </w:r>
      <w:r w:rsidRPr="00B80C6B">
        <w:rPr>
          <w:lang w:val="en-US"/>
        </w:rPr>
        <w:t xml:space="preserve">parenthetical, as does </w:t>
      </w:r>
      <w:r w:rsidRPr="00B80C6B">
        <w:rPr>
          <w:rStyle w:val="biblio-authorGEN"/>
          <w:sz w:val="18"/>
          <w:szCs w:val="15"/>
          <w:lang w:val="en-US"/>
        </w:rPr>
        <w:t>Geldner</w:t>
      </w:r>
      <w:r w:rsidRPr="00B80C6B">
        <w:rPr>
          <w:lang w:val="en-US"/>
        </w:rPr>
        <w:t xml:space="preserve"> (I 35) “Wer Opfer spendet, um sich Sicherheit zu schaffen </w:t>
      </w:r>
      <w:r w:rsidRPr="00B80C6B">
        <w:rPr>
          <w:lang w:val="en-US"/>
        </w:rPr>
        <w:t xml:space="preserve">–auch des an Geist Armen Dichterspruch”; alternatively, </w:t>
      </w:r>
      <w:r w:rsidRPr="00B80C6B">
        <w:rPr>
          <w:i/>
          <w:iCs/>
          <w:lang w:val="en-US"/>
        </w:rPr>
        <w:t>yá</w:t>
      </w:r>
      <w:r w:rsidRPr="00B80C6B">
        <w:rPr>
          <w:i/>
          <w:iCs/>
          <w:lang w:val="en-US"/>
        </w:rPr>
        <w:t>ḥ</w:t>
      </w:r>
      <w:r w:rsidRPr="00B80C6B">
        <w:rPr>
          <w:lang w:val="en-US"/>
        </w:rPr>
        <w:t xml:space="preserve"> is relative to </w:t>
      </w:r>
      <w:r w:rsidRPr="00B80C6B">
        <w:rPr>
          <w:i/>
          <w:iCs/>
          <w:lang w:val="en-US"/>
        </w:rPr>
        <w:t>kīré</w:t>
      </w:r>
      <w:r w:rsidRPr="00B80C6B">
        <w:rPr>
          <w:i/>
          <w:iCs/>
          <w:lang w:val="en-US"/>
        </w:rPr>
        <w:t>ḥ</w:t>
      </w:r>
      <w:r w:rsidRPr="00B80C6B">
        <w:rPr>
          <w:lang w:val="en-US"/>
        </w:rPr>
        <w:t xml:space="preserve"> and so </w:t>
      </w:r>
      <w:r w:rsidRPr="00B80C6B">
        <w:rPr>
          <w:i/>
          <w:iCs/>
          <w:lang w:val="en-US"/>
        </w:rPr>
        <w:t>tám</w:t>
      </w:r>
      <w:r w:rsidRPr="00B80C6B">
        <w:rPr>
          <w:lang w:val="en-US"/>
        </w:rPr>
        <w:t xml:space="preserve"> is adj. of </w:t>
      </w:r>
      <w:r w:rsidRPr="00B80C6B">
        <w:rPr>
          <w:i/>
          <w:iCs/>
          <w:lang w:val="en-US"/>
        </w:rPr>
        <w:t>mántram</w:t>
      </w:r>
      <w:r w:rsidRPr="00B80C6B">
        <w:rPr>
          <w:lang w:val="en-US"/>
        </w:rPr>
        <w:t xml:space="preserve">, as understood by </w:t>
      </w:r>
      <w:r w:rsidRPr="00B80C6B">
        <w:rPr>
          <w:rStyle w:val="biblio-authorGEN"/>
          <w:sz w:val="18"/>
          <w:szCs w:val="15"/>
          <w:lang w:val="en-US"/>
        </w:rPr>
        <w:t>Elizarenkova</w:t>
      </w:r>
      <w:r w:rsidRPr="00B80C6B">
        <w:rPr>
          <w:lang w:val="en-US"/>
        </w:rPr>
        <w:t xml:space="preserve"> 1995</w:t>
      </w:r>
      <w:r w:rsidRPr="00B80C6B">
        <w:rPr>
          <w:vertAlign w:val="superscript"/>
          <w:lang w:val="en-US"/>
        </w:rPr>
        <w:t>a</w:t>
      </w:r>
      <w:r w:rsidRPr="00B80C6B">
        <w:rPr>
          <w:lang w:val="en-US"/>
        </w:rPr>
        <w:t xml:space="preserve">: 62-3 and </w:t>
      </w:r>
      <w:r w:rsidRPr="00B80C6B">
        <w:rPr>
          <w:rStyle w:val="biblio-authorGEN"/>
          <w:sz w:val="18"/>
          <w:szCs w:val="15"/>
          <w:lang w:val="en-US"/>
        </w:rPr>
        <w:t>Renou</w:t>
      </w:r>
      <w:r w:rsidRPr="00B80C6B">
        <w:rPr>
          <w:lang w:val="en-US"/>
        </w:rPr>
        <w:t xml:space="preserve"> XII, 6. </w:t>
      </w:r>
      <w:r w:rsidRPr="0071345C">
        <w:rPr>
          <w:lang w:val="en-US"/>
        </w:rPr>
        <w:t xml:space="preserve">Both possibilities are presented by </w:t>
      </w:r>
      <w:r w:rsidRPr="0071345C">
        <w:rPr>
          <w:rStyle w:val="biblio-authorGEN"/>
          <w:sz w:val="18"/>
          <w:szCs w:val="15"/>
          <w:lang w:val="en-US"/>
        </w:rPr>
        <w:t>Oldenberg</w:t>
      </w:r>
      <w:r w:rsidRPr="0071345C">
        <w:rPr>
          <w:lang w:val="en-US"/>
        </w:rPr>
        <w:t xml:space="preserve"> 1906: 734. </w:t>
      </w:r>
    </w:p>
  </w:footnote>
  <w:footnote w:id="25">
    <w:p w14:paraId="017C088F"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kīré</w:t>
      </w:r>
      <w:r w:rsidRPr="0071345C">
        <w:rPr>
          <w:i/>
          <w:iCs/>
          <w:lang w:val="en-US"/>
        </w:rPr>
        <w:t>ḥ</w:t>
      </w:r>
      <w:r w:rsidRPr="0071345C">
        <w:rPr>
          <w:lang w:val="en-US"/>
        </w:rPr>
        <w:t xml:space="preserve"> (gen. m. sing.) fr</w:t>
      </w:r>
      <w:r w:rsidRPr="0071345C">
        <w:rPr>
          <w:lang w:val="en-US"/>
        </w:rPr>
        <w:t xml:space="preserve">om </w:t>
      </w:r>
      <w:r w:rsidRPr="0071345C">
        <w:rPr>
          <w:i/>
          <w:iCs/>
          <w:lang w:val="en-US"/>
        </w:rPr>
        <w:t>kīrí</w:t>
      </w:r>
      <w:r w:rsidRPr="0071345C">
        <w:rPr>
          <w:lang w:val="en-US"/>
        </w:rPr>
        <w:t xml:space="preserve">-, for the use of </w:t>
      </w:r>
      <w:r w:rsidRPr="0071345C">
        <w:rPr>
          <w:i/>
          <w:iCs/>
          <w:lang w:val="en-US"/>
        </w:rPr>
        <w:t>kīrí</w:t>
      </w:r>
      <w:r w:rsidRPr="0071345C">
        <w:rPr>
          <w:lang w:val="en-US"/>
        </w:rPr>
        <w:t xml:space="preserve">- as substantive, “poet”, and adjective, “weak”, see EWAia: I 357 and Pischel in </w:t>
      </w:r>
      <w:r w:rsidRPr="0071345C">
        <w:rPr>
          <w:rStyle w:val="biblio-authorGEN"/>
          <w:sz w:val="18"/>
          <w:szCs w:val="18"/>
          <w:lang w:val="en-US"/>
        </w:rPr>
        <w:t>Pischel-Geldner</w:t>
      </w:r>
      <w:r w:rsidRPr="0071345C">
        <w:rPr>
          <w:lang w:val="en-US"/>
        </w:rPr>
        <w:t xml:space="preserve"> 1889-1901: I 216-228.</w:t>
      </w:r>
    </w:p>
  </w:footnote>
  <w:footnote w:id="26">
    <w:p w14:paraId="0E6111BF"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rStyle w:val="biblio-authorGEN"/>
          <w:sz w:val="18"/>
          <w:szCs w:val="15"/>
          <w:lang w:val="en-US"/>
        </w:rPr>
        <w:tab/>
        <w:t>Grassmann</w:t>
      </w:r>
      <w:r w:rsidRPr="0071345C">
        <w:rPr>
          <w:lang w:val="en-US"/>
        </w:rPr>
        <w:t xml:space="preserve"> 1875.</w:t>
      </w:r>
    </w:p>
  </w:footnote>
  <w:footnote w:id="27">
    <w:p w14:paraId="3CF27DEA" w14:textId="77777777" w:rsidR="00E53EB6" w:rsidRPr="0071345C" w:rsidRDefault="006500F5">
      <w:pPr>
        <w:pStyle w:val="FootnoteText"/>
        <w:rPr>
          <w:rFonts w:ascii="Sabon Unicode" w:hAnsi="Sabon Unicode"/>
          <w:sz w:val="18"/>
          <w:szCs w:val="18"/>
          <w:lang w:val="en-US"/>
        </w:rPr>
      </w:pPr>
      <w:r>
        <w:rPr>
          <w:rStyle w:val="FootnoteCharacters"/>
        </w:rPr>
        <w:footnoteRef/>
      </w:r>
      <w:r w:rsidRPr="0071345C">
        <w:rPr>
          <w:rFonts w:ascii="Sabon Unicode" w:hAnsi="Sabon Unicode"/>
          <w:sz w:val="18"/>
          <w:szCs w:val="18"/>
          <w:lang w:val="en-US"/>
        </w:rPr>
        <w:tab/>
        <w:t xml:space="preserve"> </w:t>
      </w:r>
      <w:r w:rsidRPr="0071345C">
        <w:rPr>
          <w:rFonts w:ascii="Sabon Unicode" w:eastAsia="TimesNewRomanPSMT" w:hAnsi="Sabon Unicode" w:cs="TimesNewRomanPSMT"/>
          <w:sz w:val="18"/>
          <w:szCs w:val="18"/>
          <w:lang w:val="en-US"/>
        </w:rPr>
        <w:t>As to the notion of functional analysis, see Criteria.</w:t>
      </w:r>
    </w:p>
  </w:footnote>
  <w:footnote w:id="28">
    <w:p w14:paraId="3DD561D2" w14:textId="77777777" w:rsidR="00E53EB6" w:rsidRPr="0071345C" w:rsidRDefault="006500F5">
      <w:pPr>
        <w:pStyle w:val="FootnoteText"/>
        <w:rPr>
          <w:rFonts w:ascii="Sabon Unicode" w:hAnsi="Sabon Unicode"/>
          <w:sz w:val="18"/>
          <w:szCs w:val="18"/>
          <w:lang w:val="en-US"/>
        </w:rPr>
      </w:pPr>
      <w:r>
        <w:rPr>
          <w:rStyle w:val="FootnoteCharacters"/>
        </w:rPr>
        <w:footnoteRef/>
      </w:r>
      <w:r w:rsidRPr="0071345C">
        <w:rPr>
          <w:rFonts w:ascii="Sabon Unicode" w:hAnsi="Sabon Unicode"/>
          <w:sz w:val="18"/>
          <w:szCs w:val="18"/>
          <w:lang w:val="en-US"/>
        </w:rPr>
        <w:tab/>
        <w:t xml:space="preserve"> </w:t>
      </w:r>
      <w:r w:rsidRPr="0071345C">
        <w:rPr>
          <w:rFonts w:ascii="Sabon Unicode" w:eastAsia="TimesNewRomanPSMT" w:hAnsi="Sabon Unicode" w:cs="TimesNewRomanPSMT"/>
          <w:sz w:val="18"/>
          <w:szCs w:val="18"/>
          <w:lang w:val="en-US"/>
        </w:rPr>
        <w:t xml:space="preserve">On this point, see the </w:t>
      </w:r>
      <w:r w:rsidRPr="0071345C">
        <w:rPr>
          <w:rFonts w:ascii="Sabon Unicode" w:eastAsia="TimesNewRomanPSMT" w:hAnsi="Sabon Unicode" w:cs="TimesNewRomanPSMT"/>
          <w:sz w:val="18"/>
          <w:szCs w:val="18"/>
          <w:lang w:val="en-US"/>
        </w:rPr>
        <w:t>extensive study by Gonda 1963.</w:t>
      </w:r>
    </w:p>
  </w:footnote>
  <w:footnote w:id="29">
    <w:p w14:paraId="3E169559" w14:textId="77777777" w:rsidR="00E53EB6" w:rsidRPr="0071345C" w:rsidRDefault="006500F5">
      <w:pPr>
        <w:pStyle w:val="FootnoteText"/>
        <w:rPr>
          <w:rFonts w:ascii="Sabon Unicode" w:hAnsi="Sabon Unicode"/>
          <w:sz w:val="18"/>
          <w:szCs w:val="18"/>
          <w:lang w:val="en-US"/>
        </w:rPr>
      </w:pPr>
      <w:r>
        <w:rPr>
          <w:rStyle w:val="FootnoteCharacters"/>
        </w:rPr>
        <w:footnoteRef/>
      </w:r>
      <w:r w:rsidRPr="0071345C">
        <w:rPr>
          <w:rFonts w:ascii="Sabon Unicode" w:hAnsi="Sabon Unicode"/>
          <w:sz w:val="18"/>
          <w:szCs w:val="18"/>
          <w:lang w:val="en-US"/>
        </w:rPr>
        <w:tab/>
        <w:t xml:space="preserve"> </w:t>
      </w:r>
      <w:r w:rsidRPr="0071345C">
        <w:rPr>
          <w:rFonts w:ascii="Sabon Unicode" w:eastAsia="TimesNewRomanPSMT" w:hAnsi="Sabon Unicode" w:cs="TimesNewRomanPSMT"/>
          <w:i/>
          <w:iCs/>
          <w:sz w:val="18"/>
          <w:szCs w:val="18"/>
          <w:lang w:val="en-US"/>
        </w:rPr>
        <w:t>r̥tayā́</w:t>
      </w:r>
      <w:r w:rsidRPr="0071345C">
        <w:rPr>
          <w:rFonts w:ascii="Sabon Unicode" w:eastAsia="TimesNewRomanPSMT" w:hAnsi="Sabon Unicode" w:cs="TimesNewRomanPSMT"/>
          <w:sz w:val="18"/>
          <w:szCs w:val="18"/>
          <w:lang w:val="en-US"/>
        </w:rPr>
        <w:t xml:space="preserve"> Geldner (I, 288) and Gonda (1963) take the term as an adverb, although </w:t>
      </w:r>
      <w:r w:rsidRPr="0071345C">
        <w:rPr>
          <w:rFonts w:ascii="Sabon Unicode" w:eastAsia="TimesNewRomanPSMT" w:hAnsi="Sabon Unicode" w:cs="TimesNewRomanPSMT"/>
          <w:i/>
          <w:iCs/>
          <w:sz w:val="18"/>
          <w:szCs w:val="18"/>
          <w:lang w:val="en-US"/>
        </w:rPr>
        <w:t>r̥tayā́</w:t>
      </w:r>
      <w:r w:rsidRPr="0071345C">
        <w:rPr>
          <w:rFonts w:ascii="Sabon Unicode" w:eastAsia="TimesNewRomanPSMT" w:hAnsi="Sabon Unicode" w:cs="TimesNewRomanPSMT"/>
          <w:sz w:val="18"/>
          <w:szCs w:val="18"/>
          <w:lang w:val="en-US"/>
        </w:rPr>
        <w:t xml:space="preserve"> was originally a feminine instrumental, while the substantive from which (</w:t>
      </w:r>
      <w:r w:rsidRPr="0071345C">
        <w:rPr>
          <w:rFonts w:ascii="Sabon Unicode" w:eastAsia="TimesNewRomanPSMT" w:hAnsi="Sabon Unicode" w:cs="TimesNewRomanPSMT"/>
          <w:i/>
          <w:iCs/>
          <w:sz w:val="18"/>
          <w:szCs w:val="18"/>
          <w:lang w:val="en-US"/>
        </w:rPr>
        <w:t>r̥tá</w:t>
      </w:r>
      <w:r w:rsidRPr="0071345C">
        <w:rPr>
          <w:rFonts w:ascii="Sabon Unicode" w:eastAsia="TimesNewRomanPSMT" w:hAnsi="Sabon Unicode" w:cs="TimesNewRomanPSMT"/>
          <w:sz w:val="18"/>
          <w:szCs w:val="18"/>
          <w:lang w:val="en-US"/>
        </w:rPr>
        <w:t>-) should derive is neutral; in the present translation i</w:t>
      </w:r>
      <w:r w:rsidRPr="0071345C">
        <w:rPr>
          <w:rFonts w:ascii="Sabon Unicode" w:eastAsia="TimesNewRomanPSMT" w:hAnsi="Sabon Unicode" w:cs="TimesNewRomanPSMT"/>
          <w:sz w:val="18"/>
          <w:szCs w:val="18"/>
          <w:lang w:val="en-US"/>
        </w:rPr>
        <w:t xml:space="preserve">t is taken to be an adjective referring to an understood </w:t>
      </w:r>
      <w:r w:rsidRPr="0071345C">
        <w:rPr>
          <w:rFonts w:ascii="Sabon Unicode" w:eastAsia="TimesNewRomanPSMT" w:hAnsi="Sabon Unicode" w:cs="TimesNewRomanPSMT"/>
          <w:i/>
          <w:iCs/>
          <w:sz w:val="18"/>
          <w:szCs w:val="18"/>
          <w:lang w:val="en-US"/>
        </w:rPr>
        <w:t>dhiyā</w:t>
      </w:r>
      <w:r w:rsidRPr="0071345C">
        <w:rPr>
          <w:rFonts w:ascii="Sabon Unicode" w:eastAsia="TimesNewRomanPSMT" w:hAnsi="Sabon Unicode" w:cs="TimesNewRomanPSMT"/>
          <w:sz w:val="18"/>
          <w:szCs w:val="18"/>
          <w:lang w:val="en-US"/>
        </w:rPr>
        <w:t xml:space="preserve">, considering also that it is with the right vision, i.e. according to the </w:t>
      </w:r>
      <w:r w:rsidRPr="0071345C">
        <w:rPr>
          <w:rFonts w:ascii="Sabon Unicode" w:eastAsia="TimesNewRomanPSMT" w:hAnsi="Sabon Unicode" w:cs="TimesNewRomanPSMT"/>
          <w:i/>
          <w:iCs/>
          <w:sz w:val="18"/>
          <w:szCs w:val="18"/>
          <w:lang w:val="en-US"/>
        </w:rPr>
        <w:t>r̥tá</w:t>
      </w:r>
      <w:r w:rsidRPr="0071345C">
        <w:rPr>
          <w:rFonts w:ascii="Sabon Unicode" w:eastAsia="TimesNewRomanPSMT" w:hAnsi="Sabon Unicode" w:cs="TimesNewRomanPSMT"/>
          <w:sz w:val="18"/>
          <w:szCs w:val="18"/>
          <w:lang w:val="en-US"/>
        </w:rPr>
        <w:t>-, that the god is honoured.</w:t>
      </w:r>
    </w:p>
  </w:footnote>
  <w:footnote w:id="30">
    <w:p w14:paraId="036C4BEE" w14:textId="77777777" w:rsidR="00E53EB6" w:rsidRPr="0071345C" w:rsidRDefault="006500F5">
      <w:pPr>
        <w:pStyle w:val="FootnoteText"/>
        <w:rPr>
          <w:rFonts w:ascii="Sabon Unicode" w:hAnsi="Sabon Unicode"/>
          <w:sz w:val="18"/>
          <w:szCs w:val="18"/>
          <w:lang w:val="en-US"/>
        </w:rPr>
      </w:pPr>
      <w:r>
        <w:rPr>
          <w:rStyle w:val="FootnoteCharacters"/>
        </w:rPr>
        <w:footnoteRef/>
      </w:r>
      <w:r w:rsidRPr="0071345C">
        <w:rPr>
          <w:rFonts w:ascii="Sabon Unicode" w:hAnsi="Sabon Unicode"/>
          <w:sz w:val="18"/>
          <w:szCs w:val="18"/>
          <w:lang w:val="en-US"/>
        </w:rPr>
        <w:tab/>
        <w:t xml:space="preserve"> </w:t>
      </w:r>
      <w:r w:rsidRPr="0071345C">
        <w:rPr>
          <w:rFonts w:ascii="Sabon Unicode" w:eastAsia="TimesNewRomanPSMT" w:hAnsi="Sabon Unicode" w:cs="TimesNewRomanPSMT"/>
          <w:sz w:val="18"/>
          <w:szCs w:val="18"/>
          <w:lang w:val="en-US"/>
        </w:rPr>
        <w:t>Not as a sign of esteem on the part of the god, but as an act of prayer which man f</w:t>
      </w:r>
      <w:r w:rsidRPr="0071345C">
        <w:rPr>
          <w:rFonts w:ascii="Sabon Unicode" w:eastAsia="TimesNewRomanPSMT" w:hAnsi="Sabon Unicode" w:cs="TimesNewRomanPSMT"/>
          <w:sz w:val="18"/>
          <w:szCs w:val="18"/>
          <w:lang w:val="en-US"/>
        </w:rPr>
        <w:t>irst receives from the god and then, giving it form (in words, in sounds),</w:t>
      </w:r>
      <w:r w:rsidRPr="0071345C">
        <w:rPr>
          <w:rFonts w:ascii="Sabon Unicode" w:eastAsia="TimesNewRomanPSMT" w:hAnsi="Sabon Unicode" w:cs="TimesNewRomanPSMT"/>
          <w:color w:val="000000"/>
          <w:sz w:val="18"/>
          <w:szCs w:val="18"/>
          <w:lang w:val="en-US"/>
        </w:rPr>
        <w:t xml:space="preserve"> “uses” to pray to the same god: consider the non-human origin</w:t>
      </w:r>
      <w:r w:rsidRPr="0071345C">
        <w:rPr>
          <w:rFonts w:ascii="Sabon Unicode" w:eastAsia="TimesNewRomanPSMT" w:hAnsi="Sabon Unicode" w:cs="TimesNewRomanPSMT"/>
          <w:sz w:val="18"/>
          <w:szCs w:val="18"/>
          <w:lang w:val="en-US"/>
        </w:rPr>
        <w:t xml:space="preserve"> of the </w:t>
      </w:r>
      <w:r w:rsidRPr="0071345C">
        <w:rPr>
          <w:rFonts w:ascii="Sabon Unicode" w:eastAsia="TimesNewRomanPSMT" w:hAnsi="Sabon Unicode" w:cs="TimesNewRomanPSMT"/>
          <w:i/>
          <w:iCs/>
          <w:sz w:val="18"/>
          <w:szCs w:val="18"/>
          <w:lang w:val="en-US"/>
        </w:rPr>
        <w:t>R̥gveda Sa</w:t>
      </w:r>
      <w:r w:rsidRPr="0071345C">
        <w:rPr>
          <w:rFonts w:ascii="Sabon Unicode" w:eastAsia="TimesNewRomanPSMT" w:hAnsi="Sabon Unicode" w:cs="TimesNewRomanPSMT"/>
          <w:i/>
          <w:iCs/>
          <w:sz w:val="18"/>
          <w:szCs w:val="18"/>
          <w:lang w:val="en-US"/>
        </w:rPr>
        <w:t>ṃ</w:t>
      </w:r>
      <w:r w:rsidRPr="0071345C">
        <w:rPr>
          <w:rFonts w:ascii="Sabon Unicode" w:eastAsia="TimesNewRomanPSMT" w:hAnsi="Sabon Unicode" w:cs="TimesNewRomanPSMT"/>
          <w:i/>
          <w:iCs/>
          <w:sz w:val="18"/>
          <w:szCs w:val="18"/>
          <w:lang w:val="en-US"/>
        </w:rPr>
        <w:t>hitā.</w:t>
      </w:r>
      <w:r w:rsidRPr="0071345C">
        <w:rPr>
          <w:rFonts w:ascii="Sabon Unicode" w:eastAsia="TimesNewRomanPSMT" w:hAnsi="Sabon Unicode" w:cs="TimesNewRomanPSMT"/>
          <w:sz w:val="18"/>
          <w:szCs w:val="18"/>
          <w:lang w:val="en-US"/>
        </w:rPr>
        <w:t xml:space="preserve"> For this religious context, with particular reference to the role of “vision” (</w:t>
      </w:r>
      <w:r w:rsidRPr="0071345C">
        <w:rPr>
          <w:rFonts w:ascii="Sabon Unicode" w:eastAsia="TimesNewRomanPSMT" w:hAnsi="Sabon Unicode" w:cs="TimesNewRomanPSMT"/>
          <w:i/>
          <w:iCs/>
          <w:sz w:val="18"/>
          <w:szCs w:val="18"/>
          <w:lang w:val="en-US"/>
        </w:rPr>
        <w:t>dhī-</w:t>
      </w:r>
      <w:r w:rsidRPr="0071345C">
        <w:rPr>
          <w:rFonts w:ascii="Sabon Unicode" w:eastAsia="TimesNewRomanPSMT" w:hAnsi="Sabon Unicode" w:cs="TimesNewRomanPSMT"/>
          <w:sz w:val="18"/>
          <w:szCs w:val="18"/>
          <w:lang w:val="en-US"/>
        </w:rPr>
        <w:t>), cf. Gonda</w:t>
      </w:r>
      <w:r w:rsidRPr="0071345C">
        <w:rPr>
          <w:rFonts w:ascii="Sabon Unicode" w:eastAsia="TimesNewRomanPSMT" w:hAnsi="Sabon Unicode" w:cs="TimesNewRomanPSMT"/>
          <w:sz w:val="18"/>
          <w:szCs w:val="18"/>
          <w:lang w:val="en-US"/>
        </w:rPr>
        <w:t xml:space="preserve"> 1963.</w:t>
      </w:r>
    </w:p>
  </w:footnote>
  <w:footnote w:id="31">
    <w:p w14:paraId="6CA99FB5"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The desiderative often implies a conative aspect of the action in contrast with the resultative one. On desiderative, see </w:t>
      </w:r>
      <w:r w:rsidRPr="0071345C">
        <w:rPr>
          <w:rStyle w:val="biblio-authorGEN"/>
          <w:sz w:val="18"/>
          <w:szCs w:val="18"/>
          <w:lang w:val="en-US"/>
        </w:rPr>
        <w:t>Heenen</w:t>
      </w:r>
      <w:r w:rsidRPr="0071345C">
        <w:rPr>
          <w:lang w:val="en-US"/>
        </w:rPr>
        <w:t xml:space="preserve"> 2006. A thorough examination is in §II.1e.</w:t>
      </w:r>
    </w:p>
  </w:footnote>
  <w:footnote w:id="32">
    <w:p w14:paraId="4260D013"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Dak</w:t>
      </w:r>
      <w:r w:rsidRPr="0071345C">
        <w:rPr>
          <w:i/>
          <w:iCs/>
          <w:lang w:val="en-US"/>
        </w:rPr>
        <w:t>ṣ</w:t>
      </w:r>
      <w:r w:rsidRPr="0071345C">
        <w:rPr>
          <w:i/>
          <w:iCs/>
          <w:lang w:val="en-US"/>
        </w:rPr>
        <w:t>i</w:t>
      </w:r>
      <w:r w:rsidRPr="0071345C">
        <w:rPr>
          <w:i/>
          <w:iCs/>
          <w:lang w:val="en-US"/>
        </w:rPr>
        <w:t>ṇ</w:t>
      </w:r>
      <w:r w:rsidRPr="0071345C">
        <w:rPr>
          <w:i/>
          <w:iCs/>
          <w:lang w:val="en-US"/>
        </w:rPr>
        <w:t>ā</w:t>
      </w:r>
      <w:r w:rsidRPr="0071345C">
        <w:rPr>
          <w:lang w:val="en-US"/>
        </w:rPr>
        <w:t xml:space="preserve"> from </w:t>
      </w:r>
      <w:r w:rsidRPr="0071345C">
        <w:rPr>
          <w:i/>
          <w:iCs/>
          <w:lang w:val="en-US"/>
        </w:rPr>
        <w:t>dák</w:t>
      </w:r>
      <w:r w:rsidRPr="0071345C">
        <w:rPr>
          <w:i/>
          <w:iCs/>
          <w:lang w:val="en-US"/>
        </w:rPr>
        <w:t>ṣ</w:t>
      </w:r>
      <w:r w:rsidRPr="0071345C">
        <w:rPr>
          <w:i/>
          <w:iCs/>
          <w:lang w:val="en-US"/>
        </w:rPr>
        <w:t>i</w:t>
      </w:r>
      <w:r w:rsidRPr="0071345C">
        <w:rPr>
          <w:i/>
          <w:iCs/>
          <w:lang w:val="en-US"/>
        </w:rPr>
        <w:t>ṇ</w:t>
      </w:r>
      <w:r w:rsidRPr="0071345C">
        <w:rPr>
          <w:i/>
          <w:iCs/>
          <w:lang w:val="en-US"/>
        </w:rPr>
        <w:t>ā</w:t>
      </w:r>
      <w:r w:rsidRPr="0071345C">
        <w:rPr>
          <w:lang w:val="en-US"/>
        </w:rPr>
        <w:t>- “right” (as opposite to left), a term of very broad</w:t>
      </w:r>
      <w:r w:rsidRPr="0071345C">
        <w:rPr>
          <w:lang w:val="en-US"/>
        </w:rPr>
        <w:t xml:space="preserve"> application, also indicating a sacrificial offering presented to the officiant, at the completion of the rite and a stage of it; here, personified, is the </w:t>
      </w:r>
      <w:r w:rsidRPr="0071345C">
        <w:rPr>
          <w:i/>
          <w:iCs/>
          <w:lang w:val="en-US"/>
        </w:rPr>
        <w:t>devavatā</w:t>
      </w:r>
      <w:r w:rsidRPr="0071345C">
        <w:rPr>
          <w:lang w:val="en-US"/>
        </w:rPr>
        <w:t xml:space="preserve"> of the hymn.</w:t>
      </w:r>
    </w:p>
  </w:footnote>
  <w:footnote w:id="33">
    <w:p w14:paraId="171B4358"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durmánmāna</w:t>
      </w:r>
      <w:r w:rsidRPr="0071345C">
        <w:rPr>
          <w:i/>
          <w:iCs/>
          <w:lang w:val="en-US"/>
        </w:rPr>
        <w:t>ṃ</w:t>
      </w:r>
      <w:r w:rsidRPr="0071345C">
        <w:rPr>
          <w:lang w:val="en-US"/>
        </w:rPr>
        <w:t xml:space="preserve"> (acc. m. sing.) from </w:t>
      </w:r>
      <w:r w:rsidRPr="0071345C">
        <w:rPr>
          <w:i/>
          <w:iCs/>
          <w:lang w:val="en-US"/>
        </w:rPr>
        <w:t>dur-mánman-</w:t>
      </w:r>
      <w:r w:rsidRPr="0071345C">
        <w:rPr>
          <w:lang w:val="en-US"/>
        </w:rPr>
        <w:t xml:space="preserve">, </w:t>
      </w:r>
      <w:r w:rsidRPr="0071345C">
        <w:rPr>
          <w:i/>
          <w:iCs/>
          <w:lang w:val="en-US"/>
        </w:rPr>
        <w:t>mánman</w:t>
      </w:r>
      <w:r w:rsidRPr="0071345C">
        <w:rPr>
          <w:lang w:val="en-US"/>
        </w:rPr>
        <w:t>- is “thought”, but also</w:t>
      </w:r>
      <w:r w:rsidRPr="0071345C">
        <w:rPr>
          <w:lang w:val="en-US"/>
        </w:rPr>
        <w:t xml:space="preserve"> “poetic invocation”, which seems to be the most appropriate translation here, given the contrast with </w:t>
      </w:r>
      <w:r w:rsidRPr="0071345C">
        <w:rPr>
          <w:i/>
          <w:iCs/>
          <w:lang w:val="en-US"/>
        </w:rPr>
        <w:t>sumántubhir</w:t>
      </w:r>
      <w:r w:rsidRPr="0071345C">
        <w:rPr>
          <w:lang w:val="en-US"/>
        </w:rPr>
        <w:t xml:space="preserve"> (instr. m. pl.) from </w:t>
      </w:r>
      <w:r w:rsidRPr="0071345C">
        <w:rPr>
          <w:i/>
          <w:iCs/>
          <w:lang w:val="en-US"/>
        </w:rPr>
        <w:t>su-mántu</w:t>
      </w:r>
      <w:r w:rsidRPr="0071345C">
        <w:rPr>
          <w:lang w:val="en-US"/>
        </w:rPr>
        <w:t>- “good advice – word” (</w:t>
      </w:r>
      <w:r w:rsidRPr="0071345C">
        <w:rPr>
          <w:i/>
          <w:iCs/>
          <w:lang w:val="en-US"/>
        </w:rPr>
        <w:t>su</w:t>
      </w:r>
      <w:r w:rsidRPr="0071345C">
        <w:rPr>
          <w:lang w:val="en-US"/>
        </w:rPr>
        <w:t xml:space="preserve"> + </w:t>
      </w:r>
      <w:r w:rsidRPr="0071345C">
        <w:rPr>
          <w:i/>
          <w:iCs/>
          <w:lang w:val="en-US"/>
        </w:rPr>
        <w:t>mántu</w:t>
      </w:r>
      <w:r w:rsidRPr="0071345C">
        <w:rPr>
          <w:lang w:val="en-US"/>
        </w:rPr>
        <w:t xml:space="preserve"> &lt; </w:t>
      </w:r>
      <w:r w:rsidRPr="0071345C">
        <w:rPr>
          <w:i/>
          <w:iCs/>
          <w:lang w:val="en-US"/>
        </w:rPr>
        <w:t>man</w:t>
      </w:r>
      <w:r w:rsidRPr="0071345C">
        <w:rPr>
          <w:lang w:val="en-US"/>
        </w:rPr>
        <w:t xml:space="preserve">- the same root as </w:t>
      </w:r>
      <w:r w:rsidRPr="0071345C">
        <w:rPr>
          <w:i/>
          <w:iCs/>
          <w:lang w:val="en-US"/>
        </w:rPr>
        <w:t>mánman</w:t>
      </w:r>
      <w:r w:rsidRPr="0071345C">
        <w:rPr>
          <w:lang w:val="en-US"/>
        </w:rPr>
        <w:t xml:space="preserve">-) (cf. EWAia: II  305-6), with which, by contrast, Indra is satisfied: the contrast is highlighted by the juxtaposition of the two terms. For </w:t>
      </w:r>
      <w:r w:rsidRPr="0071345C">
        <w:rPr>
          <w:i/>
          <w:iCs/>
          <w:lang w:val="en-US"/>
        </w:rPr>
        <w:t>mánman</w:t>
      </w:r>
      <w:r w:rsidRPr="0071345C">
        <w:rPr>
          <w:lang w:val="en-US"/>
        </w:rPr>
        <w:t xml:space="preserve">- cf. </w:t>
      </w:r>
      <w:r w:rsidRPr="0071345C">
        <w:rPr>
          <w:rStyle w:val="biblio-authorGEN"/>
          <w:sz w:val="18"/>
          <w:szCs w:val="15"/>
          <w:lang w:val="en-US"/>
        </w:rPr>
        <w:t>Gonda</w:t>
      </w:r>
      <w:r w:rsidRPr="0071345C">
        <w:rPr>
          <w:lang w:val="en-US"/>
        </w:rPr>
        <w:t xml:space="preserve"> 1963 and </w:t>
      </w:r>
      <w:r w:rsidRPr="0071345C">
        <w:rPr>
          <w:rStyle w:val="biblio-authorGEN"/>
          <w:sz w:val="18"/>
          <w:szCs w:val="15"/>
          <w:lang w:val="en-US"/>
        </w:rPr>
        <w:t>Renou</w:t>
      </w:r>
      <w:r w:rsidRPr="0071345C">
        <w:rPr>
          <w:lang w:val="en-US"/>
        </w:rPr>
        <w:t xml:space="preserve"> I 2 ff. On the binomial </w:t>
      </w:r>
      <w:r w:rsidRPr="0071345C">
        <w:rPr>
          <w:i/>
          <w:iCs/>
          <w:lang w:val="en-US"/>
        </w:rPr>
        <w:t>*su- / *dus</w:t>
      </w:r>
      <w:r w:rsidRPr="0071345C">
        <w:rPr>
          <w:lang w:val="en-US"/>
        </w:rPr>
        <w:t xml:space="preserve">- see </w:t>
      </w:r>
      <w:r w:rsidRPr="0071345C">
        <w:rPr>
          <w:rStyle w:val="biblio-authorGEN"/>
          <w:sz w:val="18"/>
          <w:szCs w:val="15"/>
          <w:lang w:val="en-US"/>
        </w:rPr>
        <w:t>Costa</w:t>
      </w:r>
      <w:r w:rsidRPr="0071345C">
        <w:rPr>
          <w:lang w:val="en-US"/>
        </w:rPr>
        <w:t xml:space="preserve"> 1990 for an interesting study on </w:t>
      </w:r>
      <w:r w:rsidRPr="0071345C">
        <w:rPr>
          <w:lang w:val="en-US"/>
        </w:rPr>
        <w:t>the original meaning of the two prefixes.</w:t>
      </w:r>
    </w:p>
  </w:footnote>
  <w:footnote w:id="34">
    <w:p w14:paraId="0BF343AA"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purūrú</w:t>
      </w:r>
      <w:r w:rsidRPr="0071345C">
        <w:rPr>
          <w:i/>
          <w:iCs/>
          <w:lang w:val="en-US"/>
        </w:rPr>
        <w:t>ṇ</w:t>
      </w:r>
      <w:r w:rsidRPr="0071345C">
        <w:rPr>
          <w:i/>
          <w:iCs/>
          <w:lang w:val="en-US"/>
        </w:rPr>
        <w:t>ā</w:t>
      </w:r>
      <w:r w:rsidRPr="0071345C">
        <w:rPr>
          <w:lang w:val="en-US"/>
        </w:rPr>
        <w:t>:</w:t>
      </w:r>
      <w:r w:rsidRPr="0071345C">
        <w:rPr>
          <w:i/>
          <w:iCs/>
          <w:lang w:val="en-US"/>
        </w:rPr>
        <w:t xml:space="preserve"> purū urú</w:t>
      </w:r>
      <w:r w:rsidRPr="0071345C">
        <w:rPr>
          <w:i/>
          <w:iCs/>
          <w:lang w:val="en-US"/>
        </w:rPr>
        <w:t>ṇ</w:t>
      </w:r>
      <w:r w:rsidRPr="0071345C">
        <w:rPr>
          <w:i/>
          <w:iCs/>
          <w:lang w:val="en-US"/>
        </w:rPr>
        <w:t>ā, urú</w:t>
      </w:r>
      <w:r w:rsidRPr="0071345C">
        <w:rPr>
          <w:i/>
          <w:iCs/>
          <w:lang w:val="en-US"/>
        </w:rPr>
        <w:t>ṇ</w:t>
      </w:r>
      <w:r w:rsidRPr="0071345C">
        <w:rPr>
          <w:i/>
          <w:iCs/>
          <w:lang w:val="en-US"/>
        </w:rPr>
        <w:t xml:space="preserve">ā </w:t>
      </w:r>
      <w:r w:rsidRPr="0071345C">
        <w:rPr>
          <w:lang w:val="en-US"/>
        </w:rPr>
        <w:t xml:space="preserve">(instr. n. sing.) from </w:t>
      </w:r>
      <w:r w:rsidRPr="0071345C">
        <w:rPr>
          <w:i/>
          <w:iCs/>
          <w:lang w:val="en-US"/>
        </w:rPr>
        <w:t>urú-</w:t>
      </w:r>
      <w:r w:rsidRPr="0071345C">
        <w:rPr>
          <w:lang w:val="en-US"/>
        </w:rPr>
        <w:t xml:space="preserve"> “ample”, the link between Mitra - Varu</w:t>
      </w:r>
      <w:r w:rsidRPr="0071345C">
        <w:rPr>
          <w:lang w:val="en-US"/>
        </w:rPr>
        <w:t>ṇ</w:t>
      </w:r>
      <w:r w:rsidRPr="0071345C">
        <w:rPr>
          <w:lang w:val="en-US"/>
        </w:rPr>
        <w:t>a and “the ample” (</w:t>
      </w:r>
      <w:r w:rsidRPr="0071345C">
        <w:rPr>
          <w:i/>
          <w:iCs/>
          <w:lang w:val="en-US"/>
        </w:rPr>
        <w:t>urú</w:t>
      </w:r>
      <w:r w:rsidRPr="0071345C">
        <w:rPr>
          <w:lang w:val="en-US"/>
        </w:rPr>
        <w:t>-) as opposed to the narrow confine (</w:t>
      </w:r>
      <w:r w:rsidRPr="0071345C">
        <w:rPr>
          <w:i/>
          <w:iCs/>
          <w:lang w:val="en-US"/>
        </w:rPr>
        <w:t>á</w:t>
      </w:r>
      <w:r w:rsidRPr="0071345C">
        <w:rPr>
          <w:i/>
          <w:iCs/>
          <w:lang w:val="en-US"/>
        </w:rPr>
        <w:t>ṃ</w:t>
      </w:r>
      <w:r w:rsidRPr="0071345C">
        <w:rPr>
          <w:i/>
          <w:iCs/>
          <w:lang w:val="en-US"/>
        </w:rPr>
        <w:t>has</w:t>
      </w:r>
      <w:r w:rsidRPr="0071345C">
        <w:rPr>
          <w:lang w:val="en-US"/>
        </w:rPr>
        <w:t>) is also to be seen in 5.65.1-4: Mitra and Varu</w:t>
      </w:r>
      <w:r w:rsidRPr="0071345C">
        <w:rPr>
          <w:lang w:val="en-US"/>
        </w:rPr>
        <w:t>ṇ</w:t>
      </w:r>
      <w:r w:rsidRPr="0071345C">
        <w:rPr>
          <w:lang w:val="en-US"/>
        </w:rPr>
        <w:t>a ar</w:t>
      </w:r>
      <w:r w:rsidRPr="0071345C">
        <w:rPr>
          <w:lang w:val="en-US"/>
        </w:rPr>
        <w:t xml:space="preserve">e they whose protection is manifested through ample space, in liberation from the narrow confine; for </w:t>
      </w:r>
      <w:r w:rsidRPr="0071345C">
        <w:rPr>
          <w:rStyle w:val="biblio-authorGEN"/>
          <w:sz w:val="18"/>
          <w:szCs w:val="15"/>
          <w:lang w:val="en-US"/>
        </w:rPr>
        <w:t>Geldner</w:t>
      </w:r>
      <w:r w:rsidRPr="0071345C">
        <w:rPr>
          <w:lang w:val="en-US"/>
        </w:rPr>
        <w:t xml:space="preserve"> (II 76) “eure Gnade gewiss mehr als ausgedehnt”.</w:t>
      </w:r>
    </w:p>
  </w:footnote>
  <w:footnote w:id="35">
    <w:p w14:paraId="0E77892F"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manī</w:t>
      </w:r>
      <w:r w:rsidRPr="0071345C">
        <w:rPr>
          <w:i/>
          <w:iCs/>
          <w:lang w:val="en-US"/>
        </w:rPr>
        <w:t>ṣ</w:t>
      </w:r>
      <w:r w:rsidRPr="0071345C">
        <w:rPr>
          <w:i/>
          <w:iCs/>
          <w:lang w:val="en-US"/>
        </w:rPr>
        <w:t>ā́</w:t>
      </w:r>
      <w:r w:rsidRPr="0071345C">
        <w:rPr>
          <w:lang w:val="en-US"/>
        </w:rPr>
        <w:t xml:space="preserve"> (instr. f. sing.) from </w:t>
      </w:r>
      <w:r w:rsidRPr="0071345C">
        <w:rPr>
          <w:i/>
          <w:iCs/>
          <w:lang w:val="en-US"/>
        </w:rPr>
        <w:t>manī</w:t>
      </w:r>
      <w:r w:rsidRPr="0071345C">
        <w:rPr>
          <w:i/>
          <w:iCs/>
          <w:lang w:val="en-US"/>
        </w:rPr>
        <w:t>ṣ</w:t>
      </w:r>
      <w:r w:rsidRPr="0071345C">
        <w:rPr>
          <w:i/>
          <w:iCs/>
          <w:lang w:val="en-US"/>
        </w:rPr>
        <w:t>ā</w:t>
      </w:r>
      <w:r w:rsidRPr="0071345C">
        <w:rPr>
          <w:lang w:val="en-US"/>
        </w:rPr>
        <w:t xml:space="preserve">-, as in Pp., cf. </w:t>
      </w:r>
      <w:r w:rsidRPr="0071345C">
        <w:rPr>
          <w:rStyle w:val="biblio-authorGEN"/>
          <w:sz w:val="18"/>
          <w:szCs w:val="15"/>
          <w:lang w:val="en-US"/>
        </w:rPr>
        <w:t>Oldenberg</w:t>
      </w:r>
      <w:r w:rsidRPr="0071345C">
        <w:rPr>
          <w:lang w:val="en-US"/>
        </w:rPr>
        <w:t xml:space="preserve"> 1909: 71; </w:t>
      </w:r>
      <w:r w:rsidRPr="0071345C">
        <w:rPr>
          <w:rStyle w:val="biblio-authorGEN"/>
          <w:sz w:val="18"/>
          <w:szCs w:val="15"/>
          <w:lang w:val="en-US"/>
        </w:rPr>
        <w:t>Geldner</w:t>
      </w:r>
      <w:r w:rsidRPr="0071345C">
        <w:rPr>
          <w:lang w:val="en-US"/>
        </w:rPr>
        <w:t xml:space="preserve"> (I 91) and </w:t>
      </w:r>
      <w:r w:rsidRPr="0071345C">
        <w:rPr>
          <w:rStyle w:val="biblio-authorGEN"/>
          <w:sz w:val="18"/>
          <w:szCs w:val="15"/>
          <w:lang w:val="en-US"/>
        </w:rPr>
        <w:t>R</w:t>
      </w:r>
      <w:r w:rsidRPr="0071345C">
        <w:rPr>
          <w:rStyle w:val="biblio-authorGEN"/>
          <w:sz w:val="18"/>
          <w:szCs w:val="15"/>
          <w:lang w:val="en-US"/>
        </w:rPr>
        <w:t>enou</w:t>
      </w:r>
      <w:r w:rsidRPr="0071345C">
        <w:rPr>
          <w:lang w:val="en-US"/>
        </w:rPr>
        <w:t xml:space="preserve"> (XII 20) read </w:t>
      </w:r>
      <w:r w:rsidRPr="0071345C">
        <w:rPr>
          <w:i/>
          <w:iCs/>
          <w:lang w:val="en-US"/>
        </w:rPr>
        <w:t>manī</w:t>
      </w:r>
      <w:r w:rsidRPr="0071345C">
        <w:rPr>
          <w:i/>
          <w:iCs/>
          <w:lang w:val="en-US"/>
        </w:rPr>
        <w:t>ṣ</w:t>
      </w:r>
      <w:r w:rsidRPr="0071345C">
        <w:rPr>
          <w:i/>
          <w:iCs/>
          <w:lang w:val="en-US"/>
        </w:rPr>
        <w:t>ā́</w:t>
      </w:r>
      <w:r w:rsidRPr="0071345C">
        <w:rPr>
          <w:i/>
          <w:iCs/>
          <w:lang w:val="en-US"/>
        </w:rPr>
        <w:t>ḥ</w:t>
      </w:r>
      <w:r w:rsidRPr="0071345C">
        <w:rPr>
          <w:lang w:val="en-US"/>
        </w:rPr>
        <w:t>; retaining the form PP “we can with our poetic inspiration (</w:t>
      </w:r>
      <w:r w:rsidRPr="0071345C">
        <w:rPr>
          <w:i/>
          <w:iCs/>
          <w:lang w:val="en-US"/>
        </w:rPr>
        <w:t>manī</w:t>
      </w:r>
      <w:r w:rsidRPr="0071345C">
        <w:rPr>
          <w:i/>
          <w:iCs/>
          <w:lang w:val="en-US"/>
        </w:rPr>
        <w:t>ṣ</w:t>
      </w:r>
      <w:r w:rsidRPr="0071345C">
        <w:rPr>
          <w:i/>
          <w:iCs/>
          <w:lang w:val="en-US"/>
        </w:rPr>
        <w:t>ā́</w:t>
      </w:r>
      <w:r w:rsidRPr="0071345C">
        <w:rPr>
          <w:lang w:val="en-US"/>
        </w:rPr>
        <w:t xml:space="preserve">) appropriate the many (‘poetic inspirations’ is understood) of the foreigner”, the sense remains unchanged. For the meaning of the terms </w:t>
      </w:r>
      <w:r w:rsidRPr="0071345C">
        <w:rPr>
          <w:i/>
          <w:iCs/>
          <w:lang w:val="en-US"/>
        </w:rPr>
        <w:t>manī</w:t>
      </w:r>
      <w:r w:rsidRPr="0071345C">
        <w:rPr>
          <w:i/>
          <w:iCs/>
          <w:lang w:val="en-US"/>
        </w:rPr>
        <w:t>ṣ</w:t>
      </w:r>
      <w:r w:rsidRPr="0071345C">
        <w:rPr>
          <w:i/>
          <w:iCs/>
          <w:lang w:val="en-US"/>
        </w:rPr>
        <w:t>ā</w:t>
      </w:r>
      <w:r w:rsidRPr="0071345C">
        <w:rPr>
          <w:lang w:val="en-US"/>
        </w:rPr>
        <w:t>- “poetic inspira</w:t>
      </w:r>
      <w:r w:rsidRPr="0071345C">
        <w:rPr>
          <w:lang w:val="en-US"/>
        </w:rPr>
        <w:t xml:space="preserve">tion” and </w:t>
      </w:r>
      <w:r w:rsidRPr="0071345C">
        <w:rPr>
          <w:i/>
          <w:iCs/>
          <w:lang w:val="en-US"/>
        </w:rPr>
        <w:t>manas-</w:t>
      </w:r>
      <w:r w:rsidRPr="0071345C">
        <w:rPr>
          <w:lang w:val="en-US"/>
        </w:rPr>
        <w:t xml:space="preserve"> “thought, inspired thought”, from which </w:t>
      </w:r>
      <w:r w:rsidRPr="0071345C">
        <w:rPr>
          <w:i/>
          <w:iCs/>
          <w:lang w:val="en-US"/>
        </w:rPr>
        <w:t>manī</w:t>
      </w:r>
      <w:r w:rsidRPr="0071345C">
        <w:rPr>
          <w:i/>
          <w:iCs/>
          <w:lang w:val="en-US"/>
        </w:rPr>
        <w:t>ṣ</w:t>
      </w:r>
      <w:r w:rsidRPr="0071345C">
        <w:rPr>
          <w:i/>
          <w:iCs/>
          <w:lang w:val="en-US"/>
        </w:rPr>
        <w:t>a</w:t>
      </w:r>
      <w:r w:rsidRPr="0071345C">
        <w:rPr>
          <w:lang w:val="en-US"/>
        </w:rPr>
        <w:t xml:space="preserve">- derives, see </w:t>
      </w:r>
      <w:r w:rsidRPr="0071345C">
        <w:rPr>
          <w:rStyle w:val="biblio-authorGEN"/>
          <w:sz w:val="18"/>
          <w:szCs w:val="15"/>
          <w:lang w:val="en-US"/>
        </w:rPr>
        <w:t>Thieme</w:t>
      </w:r>
      <w:r w:rsidRPr="0071345C">
        <w:rPr>
          <w:lang w:val="en-US"/>
        </w:rPr>
        <w:t xml:space="preserve"> 1967: 99-106, </w:t>
      </w:r>
      <w:r w:rsidRPr="0071345C">
        <w:rPr>
          <w:rStyle w:val="biblio-authorGEN"/>
          <w:sz w:val="18"/>
          <w:szCs w:val="15"/>
          <w:lang w:val="en-US"/>
        </w:rPr>
        <w:t>Gonda</w:t>
      </w:r>
      <w:r w:rsidRPr="0071345C">
        <w:rPr>
          <w:lang w:val="en-US"/>
        </w:rPr>
        <w:t xml:space="preserve"> 1963 and </w:t>
      </w:r>
      <w:r w:rsidRPr="0071345C">
        <w:rPr>
          <w:rStyle w:val="biblio-authorGEN"/>
          <w:sz w:val="18"/>
          <w:szCs w:val="15"/>
          <w:lang w:val="en-US"/>
        </w:rPr>
        <w:t>Maggi</w:t>
      </w:r>
      <w:r w:rsidRPr="0071345C">
        <w:rPr>
          <w:lang w:val="en-US"/>
        </w:rPr>
        <w:t xml:space="preserve"> 1989: 63-114.</w:t>
      </w:r>
    </w:p>
  </w:footnote>
  <w:footnote w:id="36">
    <w:p w14:paraId="1AD67AF0"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aryáh</w:t>
      </w:r>
      <w:r w:rsidRPr="0071345C">
        <w:rPr>
          <w:lang w:val="en-US"/>
        </w:rPr>
        <w:t xml:space="preserve"> (gen. m. sing., the Vedic form cf. </w:t>
      </w:r>
      <w:r w:rsidRPr="0071345C">
        <w:rPr>
          <w:rStyle w:val="biblio-authorGEN"/>
          <w:sz w:val="18"/>
          <w:szCs w:val="15"/>
          <w:lang w:val="en-US"/>
        </w:rPr>
        <w:t>Whitney</w:t>
      </w:r>
      <w:r w:rsidRPr="0071345C">
        <w:rPr>
          <w:lang w:val="en-US"/>
        </w:rPr>
        <w:t xml:space="preserve"> 1888: §340.e) from </w:t>
      </w:r>
      <w:r w:rsidRPr="0071345C">
        <w:rPr>
          <w:i/>
          <w:iCs/>
          <w:lang w:val="en-US"/>
        </w:rPr>
        <w:t>arí</w:t>
      </w:r>
      <w:r w:rsidRPr="0071345C">
        <w:rPr>
          <w:lang w:val="en-US"/>
        </w:rPr>
        <w:t>- “enemy”: for the present translation the interp</w:t>
      </w:r>
      <w:r w:rsidRPr="0071345C">
        <w:rPr>
          <w:lang w:val="en-US"/>
        </w:rPr>
        <w:t xml:space="preserve">retation proposed by </w:t>
      </w:r>
      <w:r w:rsidRPr="0071345C">
        <w:rPr>
          <w:rStyle w:val="biblio-authorGEN"/>
          <w:sz w:val="18"/>
          <w:szCs w:val="15"/>
          <w:lang w:val="en-US"/>
        </w:rPr>
        <w:t>Thieme</w:t>
      </w:r>
      <w:r w:rsidRPr="0071345C">
        <w:rPr>
          <w:lang w:val="en-US"/>
        </w:rPr>
        <w:t xml:space="preserve"> (1938) is followed; see also </w:t>
      </w:r>
      <w:r w:rsidRPr="0071345C">
        <w:rPr>
          <w:rStyle w:val="biblio-authorGEN"/>
          <w:sz w:val="18"/>
          <w:szCs w:val="15"/>
          <w:lang w:val="en-US"/>
        </w:rPr>
        <w:t>Oldenberg</w:t>
      </w:r>
      <w:r w:rsidRPr="0071345C">
        <w:rPr>
          <w:lang w:val="en-US"/>
        </w:rPr>
        <w:t xml:space="preserve"> 1900: 167-180 and EWAia: I 111-2.</w:t>
      </w:r>
    </w:p>
  </w:footnote>
  <w:footnote w:id="37">
    <w:p w14:paraId="3136F8C5"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cikitvā́n</w:t>
      </w:r>
      <w:r w:rsidRPr="0071345C">
        <w:rPr>
          <w:lang w:val="en-US"/>
        </w:rPr>
        <w:t xml:space="preserve"> (part. perf., nom. m. sing.) from the root </w:t>
      </w:r>
      <w:r w:rsidRPr="0071345C">
        <w:rPr>
          <w:i/>
          <w:iCs/>
          <w:lang w:val="en-US"/>
        </w:rPr>
        <w:t>cit</w:t>
      </w:r>
      <w:r w:rsidRPr="0071345C">
        <w:rPr>
          <w:lang w:val="en-US"/>
        </w:rPr>
        <w:t xml:space="preserve">- “understanding through visual perception”, perfect with resultative value – logical perf. (cf. </w:t>
      </w:r>
      <w:r w:rsidRPr="0071345C">
        <w:rPr>
          <w:rStyle w:val="biblio-authorGEN"/>
          <w:sz w:val="18"/>
          <w:szCs w:val="18"/>
          <w:lang w:val="en-US"/>
        </w:rPr>
        <w:t>Di Giovine</w:t>
      </w:r>
      <w:r w:rsidRPr="0071345C">
        <w:rPr>
          <w:lang w:val="en-US"/>
        </w:rPr>
        <w:t xml:space="preserve"> 1996, in particular 273 ff.).</w:t>
      </w:r>
    </w:p>
  </w:footnote>
  <w:footnote w:id="38">
    <w:p w14:paraId="24F25E28"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The sense of </w:t>
      </w:r>
      <w:r w:rsidRPr="0071345C">
        <w:rPr>
          <w:i/>
          <w:iCs/>
          <w:lang w:val="en-US"/>
        </w:rPr>
        <w:t>pāda</w:t>
      </w:r>
      <w:r w:rsidRPr="0071345C">
        <w:rPr>
          <w:lang w:val="en-US"/>
        </w:rPr>
        <w:t xml:space="preserve"> a-b does not seem clear: </w:t>
      </w:r>
      <w:r w:rsidRPr="0071345C">
        <w:rPr>
          <w:rStyle w:val="biblio-authorGEN"/>
          <w:sz w:val="18"/>
          <w:szCs w:val="15"/>
          <w:lang w:val="en-US"/>
        </w:rPr>
        <w:t>Geldner</w:t>
      </w:r>
      <w:r w:rsidRPr="0071345C">
        <w:rPr>
          <w:lang w:val="en-US"/>
        </w:rPr>
        <w:t xml:space="preserve"> (I 166 n. 9 ab/b) hypothesises that reference is to the weapon wielded by Indra in the clash with Śu</w:t>
      </w:r>
      <w:r w:rsidRPr="0071345C">
        <w:rPr>
          <w:lang w:val="en-US"/>
        </w:rPr>
        <w:t>ṣ</w:t>
      </w:r>
      <w:r w:rsidRPr="0071345C">
        <w:rPr>
          <w:lang w:val="en-US"/>
        </w:rPr>
        <w:t xml:space="preserve">na but “warscheinlich durfte Indra [..] nicht den eigentlich </w:t>
      </w:r>
      <w:r w:rsidRPr="0071345C">
        <w:rPr>
          <w:lang w:val="en-US"/>
        </w:rPr>
        <w:t xml:space="preserve">vajra gebrauchen”, while </w:t>
      </w:r>
      <w:r w:rsidRPr="0071345C">
        <w:rPr>
          <w:rStyle w:val="biblio-authorGEN"/>
          <w:sz w:val="18"/>
          <w:szCs w:val="15"/>
          <w:lang w:val="en-US"/>
        </w:rPr>
        <w:t>Renou</w:t>
      </w:r>
      <w:r w:rsidRPr="0071345C">
        <w:rPr>
          <w:lang w:val="en-US"/>
        </w:rPr>
        <w:t xml:space="preserve"> (XVII 41) “C’est toi qui fis rebrousser-chemin au (fouche) d’airain, fronde du ciel (à courroie de cuir) de vache, qui avait été amené par l’habile”, a translation based on the hypothesis advanced by </w:t>
      </w:r>
      <w:r w:rsidRPr="0071345C">
        <w:rPr>
          <w:rStyle w:val="biblio-authorGEN"/>
          <w:sz w:val="18"/>
          <w:szCs w:val="18"/>
          <w:lang w:val="en-US"/>
        </w:rPr>
        <w:t>Schmidt</w:t>
      </w:r>
      <w:r w:rsidRPr="0071345C">
        <w:rPr>
          <w:lang w:val="en-US"/>
        </w:rPr>
        <w:t xml:space="preserve"> (1968: 147) with </w:t>
      </w:r>
      <w:r w:rsidRPr="0071345C">
        <w:rPr>
          <w:lang w:val="en-US"/>
        </w:rPr>
        <w:t xml:space="preserve">reference here to the setting free of the cows achieved by Indra, and the two following </w:t>
      </w:r>
      <w:r w:rsidRPr="0071345C">
        <w:rPr>
          <w:i/>
          <w:iCs/>
          <w:lang w:val="en-US"/>
        </w:rPr>
        <w:t>pāda</w:t>
      </w:r>
      <w:r w:rsidRPr="0071345C">
        <w:rPr>
          <w:lang w:val="en-US"/>
        </w:rPr>
        <w:t xml:space="preserve"> refer to another feat of Indra, namely the fight against Śu</w:t>
      </w:r>
      <w:r w:rsidRPr="0071345C">
        <w:rPr>
          <w:lang w:val="en-US"/>
        </w:rPr>
        <w:t>ṣṇ</w:t>
      </w:r>
      <w:r w:rsidRPr="0071345C">
        <w:rPr>
          <w:lang w:val="en-US"/>
        </w:rPr>
        <w:t xml:space="preserve">a; see also </w:t>
      </w:r>
      <w:r w:rsidRPr="0071345C">
        <w:rPr>
          <w:rStyle w:val="biblio-authorGEN"/>
          <w:sz w:val="18"/>
          <w:szCs w:val="15"/>
          <w:lang w:val="en-US"/>
        </w:rPr>
        <w:t>Oguibénine</w:t>
      </w:r>
      <w:r w:rsidRPr="0071345C">
        <w:rPr>
          <w:lang w:val="en-US"/>
        </w:rPr>
        <w:t xml:space="preserve"> 1988: 184 and </w:t>
      </w:r>
      <w:r w:rsidRPr="0071345C">
        <w:rPr>
          <w:rStyle w:val="biblio-authorGEN"/>
          <w:sz w:val="18"/>
          <w:szCs w:val="15"/>
          <w:lang w:val="en-US"/>
        </w:rPr>
        <w:t>Srinivasan</w:t>
      </w:r>
      <w:r w:rsidRPr="0071345C">
        <w:rPr>
          <w:lang w:val="en-US"/>
        </w:rPr>
        <w:t xml:space="preserve"> 1979: 9 and 21.</w:t>
      </w:r>
    </w:p>
  </w:footnote>
  <w:footnote w:id="39">
    <w:p w14:paraId="0112EE0A"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r̥</w:t>
      </w:r>
      <w:r w:rsidRPr="0071345C">
        <w:rPr>
          <w:i/>
          <w:iCs/>
          <w:lang w:val="en-US"/>
        </w:rPr>
        <w:t>ṣ</w:t>
      </w:r>
      <w:r w:rsidRPr="0071345C">
        <w:rPr>
          <w:i/>
          <w:iCs/>
          <w:lang w:val="en-US"/>
        </w:rPr>
        <w:t>i</w:t>
      </w:r>
      <w:r w:rsidRPr="0071345C">
        <w:rPr>
          <w:lang w:val="en-US"/>
        </w:rPr>
        <w:t xml:space="preserve"> often associated in the </w:t>
      </w:r>
      <w:r w:rsidRPr="0071345C">
        <w:rPr>
          <w:i/>
          <w:iCs/>
          <w:lang w:val="en-US"/>
        </w:rPr>
        <w:t>R̥gveda Sa</w:t>
      </w:r>
      <w:r w:rsidRPr="0071345C">
        <w:rPr>
          <w:i/>
          <w:iCs/>
          <w:lang w:val="en-US"/>
        </w:rPr>
        <w:t>ṃ</w:t>
      </w:r>
      <w:r w:rsidRPr="0071345C">
        <w:rPr>
          <w:i/>
          <w:iCs/>
          <w:lang w:val="en-US"/>
        </w:rPr>
        <w:t>hitā</w:t>
      </w:r>
      <w:r w:rsidRPr="0071345C">
        <w:rPr>
          <w:lang w:val="en-US"/>
        </w:rPr>
        <w:t xml:space="preserve"> with Indra and the defeat of the demon Śu</w:t>
      </w:r>
      <w:r w:rsidRPr="0071345C">
        <w:rPr>
          <w:lang w:val="en-US"/>
        </w:rPr>
        <w:t>ṣṇ</w:t>
      </w:r>
      <w:r w:rsidRPr="0071345C">
        <w:rPr>
          <w:lang w:val="en-US"/>
        </w:rPr>
        <w:t xml:space="preserve">a, in the struggle for the sun, cf. </w:t>
      </w:r>
      <w:r w:rsidRPr="0071345C">
        <w:rPr>
          <w:rStyle w:val="biblio-authorGEN"/>
          <w:sz w:val="18"/>
          <w:szCs w:val="18"/>
          <w:lang w:val="en-US"/>
        </w:rPr>
        <w:t>Macdonell- Keith</w:t>
      </w:r>
      <w:r w:rsidRPr="0071345C">
        <w:rPr>
          <w:lang w:val="en-US"/>
        </w:rPr>
        <w:t xml:space="preserve"> [1912] 1995: I 160 and </w:t>
      </w:r>
      <w:r w:rsidRPr="0071345C">
        <w:rPr>
          <w:rStyle w:val="biblio-authorGEN"/>
          <w:sz w:val="18"/>
          <w:szCs w:val="15"/>
          <w:lang w:val="en-US"/>
        </w:rPr>
        <w:t>Macdonell</w:t>
      </w:r>
      <w:r w:rsidRPr="0071345C">
        <w:rPr>
          <w:lang w:val="en-US"/>
        </w:rPr>
        <w:t xml:space="preserve"> 1898: §58 A and §69 A.</w:t>
      </w:r>
    </w:p>
  </w:footnote>
  <w:footnote w:id="40">
    <w:p w14:paraId="4E42B060"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yám</w:t>
      </w:r>
      <w:r w:rsidRPr="0071345C">
        <w:rPr>
          <w:lang w:val="en-US"/>
        </w:rPr>
        <w:t xml:space="preserve"> (acc. m./ n. sing.) from </w:t>
      </w:r>
      <w:r w:rsidRPr="0071345C">
        <w:rPr>
          <w:i/>
          <w:iCs/>
          <w:lang w:val="en-US"/>
        </w:rPr>
        <w:t>ya</w:t>
      </w:r>
      <w:r w:rsidRPr="0071345C">
        <w:rPr>
          <w:lang w:val="en-US"/>
        </w:rPr>
        <w:t xml:space="preserve">- relative pronoun, referring </w:t>
      </w:r>
      <w:r w:rsidRPr="0071345C">
        <w:rPr>
          <w:lang w:val="en-US"/>
        </w:rPr>
        <w:t>to those whom the gods annihilate sucking out to their strength, in contrast to the one who obediently promotes the sacrifice.</w:t>
      </w:r>
    </w:p>
  </w:footnote>
  <w:footnote w:id="41">
    <w:p w14:paraId="6F753C4C"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lokám</w:t>
      </w:r>
      <w:r w:rsidRPr="0071345C">
        <w:rPr>
          <w:lang w:val="en-US"/>
        </w:rPr>
        <w:t xml:space="preserve"> (acc. m. sing.) from </w:t>
      </w:r>
      <w:r w:rsidRPr="0071345C">
        <w:rPr>
          <w:i/>
          <w:iCs/>
          <w:lang w:val="en-US"/>
        </w:rPr>
        <w:t>loká</w:t>
      </w:r>
      <w:r w:rsidRPr="0071345C">
        <w:rPr>
          <w:lang w:val="en-US"/>
        </w:rPr>
        <w:t>- “free space”, in this case free from dangers, and so “safe”.</w:t>
      </w:r>
    </w:p>
  </w:footnote>
  <w:footnote w:id="42">
    <w:p w14:paraId="7F972AB7"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Father of Divodāsa and in fact </w:t>
      </w:r>
      <w:r w:rsidRPr="0071345C">
        <w:rPr>
          <w:lang w:val="en-US"/>
        </w:rPr>
        <w:t xml:space="preserve">one of the “promoters” of the cult of Agni, i.e. of the ancestors who, according to the tradition, first kindled the sacrificial fire, which is in fact called in the first stanza </w:t>
      </w:r>
      <w:r w:rsidRPr="0071345C">
        <w:rPr>
          <w:i/>
          <w:iCs/>
          <w:lang w:val="en-US"/>
        </w:rPr>
        <w:t>agnér vadhriaśvásya</w:t>
      </w:r>
      <w:r w:rsidRPr="0071345C">
        <w:rPr>
          <w:lang w:val="en-US"/>
        </w:rPr>
        <w:t xml:space="preserve">, “fire of Vadhryaśva”, just as elsewhere we find mention </w:t>
      </w:r>
      <w:r w:rsidRPr="0071345C">
        <w:rPr>
          <w:lang w:val="en-US"/>
        </w:rPr>
        <w:t xml:space="preserve">of a fire of Bharata (2.7.1 and 7.8.4), of Divodāsa (8.92.2) or of Devavāta (3.23.3) cf. </w:t>
      </w:r>
      <w:r w:rsidRPr="0071345C">
        <w:rPr>
          <w:rStyle w:val="biblio-authorGEN"/>
          <w:sz w:val="18"/>
          <w:szCs w:val="15"/>
          <w:lang w:val="en-US"/>
        </w:rPr>
        <w:t>Macdonell</w:t>
      </w:r>
      <w:r w:rsidRPr="0071345C">
        <w:rPr>
          <w:lang w:val="en-US"/>
        </w:rPr>
        <w:t xml:space="preserve"> 1898: §35, 96. </w:t>
      </w:r>
    </w:p>
  </w:footnote>
  <w:footnote w:id="43">
    <w:p w14:paraId="654E991A"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vrā́dhata</w:t>
      </w:r>
      <w:r w:rsidRPr="0071345C">
        <w:rPr>
          <w:i/>
          <w:iCs/>
          <w:lang w:val="en-US"/>
        </w:rPr>
        <w:t>ḥ</w:t>
      </w:r>
      <w:r w:rsidRPr="0071345C">
        <w:rPr>
          <w:lang w:val="en-US"/>
        </w:rPr>
        <w:t xml:space="preserve">: (acc. m. pl.) present participle from </w:t>
      </w:r>
      <w:r w:rsidRPr="0071345C">
        <w:rPr>
          <w:i/>
          <w:iCs/>
          <w:lang w:val="en-US"/>
        </w:rPr>
        <w:t>vrā́dh</w:t>
      </w:r>
      <w:r w:rsidRPr="0071345C">
        <w:rPr>
          <w:lang w:val="en-US"/>
        </w:rPr>
        <w:t>- “stolz sein” cf. EWAia: II 597.</w:t>
      </w:r>
    </w:p>
  </w:footnote>
  <w:footnote w:id="44">
    <w:p w14:paraId="13546692"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mána</w:t>
      </w:r>
      <w:r w:rsidRPr="0071345C">
        <w:rPr>
          <w:i/>
          <w:iCs/>
          <w:lang w:val="en-US"/>
        </w:rPr>
        <w:t>ḥ</w:t>
      </w:r>
      <w:r w:rsidRPr="0071345C">
        <w:rPr>
          <w:lang w:val="en-US"/>
        </w:rPr>
        <w:t xml:space="preserve"> (acc. n. sing.) from </w:t>
      </w:r>
      <w:r w:rsidRPr="0071345C">
        <w:rPr>
          <w:i/>
          <w:iCs/>
          <w:lang w:val="en-US"/>
        </w:rPr>
        <w:t>mánas</w:t>
      </w:r>
      <w:r w:rsidRPr="0071345C">
        <w:rPr>
          <w:lang w:val="en-US"/>
        </w:rPr>
        <w:t xml:space="preserve">- “thought, inspired thought”, but also “mental impulse”; for the meaning and interpretation of this term, see </w:t>
      </w:r>
      <w:r w:rsidRPr="0071345C">
        <w:rPr>
          <w:rStyle w:val="biblio-authorGEN"/>
          <w:sz w:val="18"/>
          <w:szCs w:val="15"/>
          <w:lang w:val="en-US"/>
        </w:rPr>
        <w:t>Thieme</w:t>
      </w:r>
      <w:r w:rsidRPr="0071345C">
        <w:rPr>
          <w:lang w:val="en-US"/>
        </w:rPr>
        <w:t xml:space="preserve"> 1967: 99-106, </w:t>
      </w:r>
      <w:r w:rsidRPr="0071345C">
        <w:rPr>
          <w:rStyle w:val="biblio-authorGEN"/>
          <w:sz w:val="18"/>
          <w:szCs w:val="15"/>
          <w:lang w:val="en-US"/>
        </w:rPr>
        <w:t>Gonda</w:t>
      </w:r>
      <w:r w:rsidRPr="0071345C">
        <w:rPr>
          <w:lang w:val="en-US"/>
        </w:rPr>
        <w:t xml:space="preserve"> 1963 and </w:t>
      </w:r>
      <w:r w:rsidRPr="0071345C">
        <w:rPr>
          <w:rStyle w:val="biblio-authorGEN"/>
          <w:sz w:val="18"/>
          <w:szCs w:val="15"/>
          <w:lang w:val="en-US"/>
        </w:rPr>
        <w:t>Maggi</w:t>
      </w:r>
      <w:r w:rsidRPr="0071345C">
        <w:rPr>
          <w:lang w:val="en-US"/>
        </w:rPr>
        <w:t xml:space="preserve"> 1989: 63-114.</w:t>
      </w:r>
    </w:p>
  </w:footnote>
  <w:footnote w:id="45">
    <w:p w14:paraId="27EFA6A3"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rStyle w:val="biblio-authorGEN"/>
          <w:sz w:val="18"/>
          <w:szCs w:val="15"/>
          <w:lang w:val="en-US"/>
        </w:rPr>
        <w:tab/>
        <w:t>Renou</w:t>
      </w:r>
      <w:r w:rsidRPr="0071345C">
        <w:rPr>
          <w:lang w:val="en-US"/>
        </w:rPr>
        <w:t xml:space="preserve"> (XIII 149 n. 20): </w:t>
      </w:r>
      <w:r w:rsidRPr="0071345C">
        <w:rPr>
          <w:i/>
          <w:iCs/>
          <w:lang w:val="en-US"/>
        </w:rPr>
        <w:t>sthirā́ tanuhi scil. dhánvāni</w:t>
      </w:r>
      <w:r w:rsidRPr="0071345C">
        <w:rPr>
          <w:lang w:val="en-US"/>
        </w:rPr>
        <w:t xml:space="preserve"> and tr</w:t>
      </w:r>
      <w:r w:rsidRPr="0071345C">
        <w:rPr>
          <w:lang w:val="en-US"/>
        </w:rPr>
        <w:t>anslates (XIII, 66) “Détends les (arcs) tendus”.</w:t>
      </w:r>
    </w:p>
  </w:footnote>
  <w:footnote w:id="46">
    <w:p w14:paraId="2FD88C83"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sthirā́ </w:t>
      </w:r>
      <w:r w:rsidRPr="0071345C">
        <w:rPr>
          <w:lang w:val="en-US"/>
        </w:rPr>
        <w:t xml:space="preserve">[…] </w:t>
      </w:r>
      <w:r w:rsidRPr="0071345C">
        <w:rPr>
          <w:i/>
          <w:iCs/>
          <w:lang w:val="en-US"/>
        </w:rPr>
        <w:t>bhūri śárdhatām</w:t>
      </w:r>
      <w:r w:rsidRPr="0071345C">
        <w:rPr>
          <w:lang w:val="en-US"/>
        </w:rPr>
        <w:t xml:space="preserve"> “the many resistances of the defiants” is symmetrically associated with both </w:t>
      </w:r>
      <w:r w:rsidRPr="0071345C">
        <w:rPr>
          <w:i/>
          <w:iCs/>
          <w:lang w:val="en-US"/>
        </w:rPr>
        <w:t>tanuhi</w:t>
      </w:r>
      <w:r w:rsidRPr="0071345C">
        <w:rPr>
          <w:lang w:val="en-US"/>
        </w:rPr>
        <w:t xml:space="preserve"> and </w:t>
      </w:r>
      <w:r w:rsidRPr="0071345C">
        <w:rPr>
          <w:i/>
          <w:iCs/>
          <w:lang w:val="en-US"/>
        </w:rPr>
        <w:t>vanéma</w:t>
      </w:r>
      <w:r w:rsidRPr="0071345C">
        <w:rPr>
          <w:lang w:val="en-US"/>
        </w:rPr>
        <w:t xml:space="preserve">, i.e. both to the action of Indra and to that of men. </w:t>
      </w:r>
      <w:r w:rsidRPr="0071345C">
        <w:rPr>
          <w:rStyle w:val="biblio-authorGEN"/>
          <w:sz w:val="18"/>
          <w:szCs w:val="15"/>
          <w:lang w:val="en-US"/>
        </w:rPr>
        <w:t>Geldner</w:t>
      </w:r>
      <w:r w:rsidRPr="0071345C">
        <w:rPr>
          <w:lang w:val="en-US"/>
        </w:rPr>
        <w:t xml:space="preserve"> (II 321) and </w:t>
      </w:r>
      <w:r w:rsidRPr="0071345C">
        <w:rPr>
          <w:rStyle w:val="biblio-authorGEN"/>
          <w:sz w:val="18"/>
          <w:szCs w:val="15"/>
          <w:lang w:val="en-US"/>
        </w:rPr>
        <w:t>Renou</w:t>
      </w:r>
      <w:r w:rsidRPr="0071345C">
        <w:rPr>
          <w:lang w:val="en-US"/>
        </w:rPr>
        <w:t xml:space="preserve"> (</w:t>
      </w:r>
      <w:r w:rsidRPr="0071345C">
        <w:rPr>
          <w:lang w:val="en-US"/>
        </w:rPr>
        <w:t xml:space="preserve">XIII 66) refer the syntagm to </w:t>
      </w:r>
      <w:r w:rsidRPr="0071345C">
        <w:rPr>
          <w:i/>
          <w:iCs/>
          <w:lang w:val="en-US"/>
        </w:rPr>
        <w:t>tanuhi</w:t>
      </w:r>
      <w:r w:rsidRPr="0071345C">
        <w:rPr>
          <w:lang w:val="en-US"/>
        </w:rPr>
        <w:t xml:space="preserve"> alone, and take </w:t>
      </w:r>
      <w:r w:rsidRPr="0071345C">
        <w:rPr>
          <w:i/>
          <w:iCs/>
          <w:lang w:val="en-US"/>
        </w:rPr>
        <w:t>vanéma</w:t>
      </w:r>
      <w:r w:rsidRPr="0071345C">
        <w:rPr>
          <w:lang w:val="en-US"/>
        </w:rPr>
        <w:t xml:space="preserve"> with absolute value.</w:t>
      </w:r>
    </w:p>
  </w:footnote>
  <w:footnote w:id="47">
    <w:p w14:paraId="21935A81"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abhí</w:t>
      </w:r>
      <w:r w:rsidRPr="0071345C">
        <w:rPr>
          <w:i/>
          <w:iCs/>
          <w:lang w:val="en-US"/>
        </w:rPr>
        <w:t>ṣṭ</w:t>
      </w:r>
      <w:r w:rsidRPr="0071345C">
        <w:rPr>
          <w:i/>
          <w:iCs/>
          <w:lang w:val="en-US"/>
        </w:rPr>
        <w:t>ibhi</w:t>
      </w:r>
      <w:r w:rsidRPr="0071345C">
        <w:rPr>
          <w:i/>
          <w:iCs/>
          <w:lang w:val="en-US"/>
        </w:rPr>
        <w:t>ḥ</w:t>
      </w:r>
      <w:r w:rsidRPr="0071345C">
        <w:rPr>
          <w:lang w:val="en-US"/>
        </w:rPr>
        <w:t xml:space="preserve"> (instr. f. pl.) from </w:t>
      </w:r>
      <w:r w:rsidRPr="0071345C">
        <w:rPr>
          <w:i/>
          <w:iCs/>
          <w:lang w:val="en-US"/>
        </w:rPr>
        <w:t>abhí</w:t>
      </w:r>
      <w:r w:rsidRPr="0071345C">
        <w:rPr>
          <w:i/>
          <w:iCs/>
          <w:lang w:val="en-US"/>
        </w:rPr>
        <w:t>ṣṭ</w:t>
      </w:r>
      <w:r w:rsidRPr="0071345C">
        <w:rPr>
          <w:i/>
          <w:iCs/>
          <w:lang w:val="en-US"/>
        </w:rPr>
        <w:t>i</w:t>
      </w:r>
      <w:r w:rsidRPr="0071345C">
        <w:rPr>
          <w:lang w:val="en-US"/>
        </w:rPr>
        <w:t>- “protection”; here the plural has distributive value: “your help in every battle”.</w:t>
      </w:r>
    </w:p>
  </w:footnote>
  <w:footnote w:id="48">
    <w:p w14:paraId="2D03C355"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etárī</w:t>
      </w:r>
      <w:r w:rsidRPr="0071345C">
        <w:rPr>
          <w:lang w:val="en-US"/>
        </w:rPr>
        <w:t xml:space="preserve"> (nom. m. sing.) a very rare term of unce</w:t>
      </w:r>
      <w:r w:rsidRPr="0071345C">
        <w:rPr>
          <w:lang w:val="en-US"/>
        </w:rPr>
        <w:t xml:space="preserve">rtain etymology, probably derived from the root i- “to go” cf. EWAia I 265; </w:t>
      </w:r>
      <w:r w:rsidRPr="0071345C">
        <w:rPr>
          <w:rStyle w:val="biblio-authorGEN"/>
          <w:sz w:val="18"/>
          <w:szCs w:val="15"/>
          <w:lang w:val="en-US"/>
        </w:rPr>
        <w:t>Oldenberg</w:t>
      </w:r>
      <w:r w:rsidRPr="0071345C">
        <w:rPr>
          <w:lang w:val="en-US"/>
        </w:rPr>
        <w:t xml:space="preserve"> 1901: 302; AiGr: III §107c, while </w:t>
      </w:r>
      <w:r w:rsidRPr="0071345C">
        <w:rPr>
          <w:rStyle w:val="biblio-authorGEN"/>
          <w:sz w:val="18"/>
          <w:szCs w:val="15"/>
          <w:lang w:val="en-US"/>
        </w:rPr>
        <w:t>Renou</w:t>
      </w:r>
      <w:r w:rsidRPr="0071345C">
        <w:rPr>
          <w:lang w:val="en-US"/>
        </w:rPr>
        <w:t xml:space="preserve"> (XIII 132-3) takes it as a locative.</w:t>
      </w:r>
    </w:p>
  </w:footnote>
  <w:footnote w:id="49">
    <w:p w14:paraId="04695DC3"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To be understood as “raises our hymns to the gods”, we also find here once again the </w:t>
      </w:r>
      <w:r w:rsidRPr="0071345C">
        <w:rPr>
          <w:lang w:val="en-US"/>
        </w:rPr>
        <w:t>role of Agni as intermediary between gods and man.</w:t>
      </w:r>
    </w:p>
  </w:footnote>
  <w:footnote w:id="50">
    <w:p w14:paraId="593EB910"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“Receiving care like a lover (</w:t>
      </w:r>
      <w:r w:rsidRPr="0071345C">
        <w:rPr>
          <w:i/>
          <w:iCs/>
          <w:lang w:val="en-US"/>
        </w:rPr>
        <w:t>jā́ra</w:t>
      </w:r>
      <w:r w:rsidRPr="0071345C">
        <w:rPr>
          <w:lang w:val="en-US"/>
        </w:rPr>
        <w:t xml:space="preserve">-)”, for </w:t>
      </w:r>
      <w:r w:rsidRPr="0071345C">
        <w:rPr>
          <w:i/>
          <w:iCs/>
          <w:lang w:val="en-US"/>
        </w:rPr>
        <w:t>jārayā́yi</w:t>
      </w:r>
      <w:r w:rsidRPr="0071345C">
        <w:rPr>
          <w:lang w:val="en-US"/>
        </w:rPr>
        <w:t xml:space="preserve"> as causative or denominative cf. </w:t>
      </w:r>
      <w:r w:rsidRPr="0071345C">
        <w:rPr>
          <w:rStyle w:val="biblio-authorGEN"/>
          <w:sz w:val="18"/>
          <w:szCs w:val="15"/>
          <w:lang w:val="en-US"/>
        </w:rPr>
        <w:t>Oldenberg</w:t>
      </w:r>
      <w:r w:rsidRPr="0071345C">
        <w:rPr>
          <w:lang w:val="en-US"/>
        </w:rPr>
        <w:t xml:space="preserve"> 1901: 302-3. </w:t>
      </w:r>
    </w:p>
  </w:footnote>
  <w:footnote w:id="51">
    <w:p w14:paraId="564E6FA1"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See, for example, </w:t>
      </w:r>
      <w:r w:rsidRPr="0071345C">
        <w:rPr>
          <w:i/>
          <w:iCs/>
          <w:lang w:val="en-US"/>
        </w:rPr>
        <w:t>vātā́piyam</w:t>
      </w:r>
      <w:r w:rsidRPr="0071345C">
        <w:rPr>
          <w:lang w:val="en-US"/>
        </w:rPr>
        <w:t xml:space="preserve"> in 10.62.2: </w:t>
      </w:r>
      <w:r w:rsidRPr="0071345C">
        <w:rPr>
          <w:rStyle w:val="biblio-authorGEN"/>
          <w:sz w:val="18"/>
          <w:szCs w:val="15"/>
          <w:lang w:val="en-US"/>
        </w:rPr>
        <w:t>Geldner</w:t>
      </w:r>
      <w:r w:rsidRPr="0071345C">
        <w:rPr>
          <w:lang w:val="en-US"/>
        </w:rPr>
        <w:t xml:space="preserve"> (III 163 n. a b) wonders if, as in 10.93.</w:t>
      </w:r>
      <w:r w:rsidRPr="0071345C">
        <w:rPr>
          <w:lang w:val="en-US"/>
        </w:rPr>
        <w:t>5, might be a possessive compound (</w:t>
      </w:r>
      <w:r w:rsidRPr="0071345C">
        <w:rPr>
          <w:i/>
          <w:iCs/>
          <w:lang w:val="en-US"/>
        </w:rPr>
        <w:t>bahuvrīhi</w:t>
      </w:r>
      <w:r w:rsidRPr="0071345C">
        <w:rPr>
          <w:lang w:val="en-US"/>
        </w:rPr>
        <w:t xml:space="preserve">) derived from </w:t>
      </w:r>
      <w:r w:rsidRPr="0071345C">
        <w:rPr>
          <w:i/>
          <w:iCs/>
          <w:lang w:val="en-US"/>
        </w:rPr>
        <w:t>vā́ta</w:t>
      </w:r>
      <w:r w:rsidRPr="0071345C">
        <w:rPr>
          <w:lang w:val="en-US"/>
        </w:rPr>
        <w:t xml:space="preserve">- (m.) “wind” + </w:t>
      </w:r>
      <w:r w:rsidRPr="0071345C">
        <w:rPr>
          <w:i/>
          <w:iCs/>
          <w:lang w:val="en-US"/>
        </w:rPr>
        <w:t>ā́pya</w:t>
      </w:r>
      <w:r w:rsidRPr="0071345C">
        <w:rPr>
          <w:lang w:val="en-US"/>
        </w:rPr>
        <w:t xml:space="preserve">- (n.) “friendship” “alliance”: “mit dem Vāta befreundet (?)” or whether, against (??) Pp., </w:t>
      </w:r>
      <w:r w:rsidRPr="0071345C">
        <w:rPr>
          <w:i/>
          <w:iCs/>
          <w:lang w:val="en-US"/>
        </w:rPr>
        <w:t>vātā́piyam</w:t>
      </w:r>
      <w:r w:rsidRPr="0071345C">
        <w:rPr>
          <w:lang w:val="en-US"/>
        </w:rPr>
        <w:t xml:space="preserve"> is to be separated, as argued in 1913: 216, in </w:t>
      </w:r>
      <w:r w:rsidRPr="0071345C">
        <w:rPr>
          <w:i/>
          <w:iCs/>
          <w:lang w:val="en-US"/>
        </w:rPr>
        <w:t>vātá</w:t>
      </w:r>
      <w:r w:rsidRPr="0071345C">
        <w:rPr>
          <w:lang w:val="en-US"/>
        </w:rPr>
        <w:t xml:space="preserve">(m) </w:t>
      </w:r>
      <w:r w:rsidRPr="0071345C">
        <w:rPr>
          <w:i/>
          <w:iCs/>
          <w:lang w:val="en-US"/>
        </w:rPr>
        <w:t>āpyam</w:t>
      </w:r>
      <w:r w:rsidRPr="0071345C">
        <w:rPr>
          <w:lang w:val="en-US"/>
        </w:rPr>
        <w:t xml:space="preserve"> and </w:t>
      </w:r>
      <w:r w:rsidRPr="0071345C">
        <w:rPr>
          <w:i/>
          <w:iCs/>
          <w:lang w:val="en-US"/>
        </w:rPr>
        <w:t>vāt</w:t>
      </w:r>
      <w:r w:rsidRPr="0071345C">
        <w:rPr>
          <w:i/>
          <w:iCs/>
          <w:lang w:val="en-US"/>
        </w:rPr>
        <w:t>ám</w:t>
      </w:r>
      <w:r w:rsidRPr="0071345C">
        <w:rPr>
          <w:lang w:val="en-US"/>
        </w:rPr>
        <w:t xml:space="preserve"> a passive past participle from </w:t>
      </w:r>
      <w:r w:rsidRPr="0071345C">
        <w:rPr>
          <w:i/>
          <w:iCs/>
          <w:lang w:val="en-US"/>
        </w:rPr>
        <w:t>van</w:t>
      </w:r>
      <w:r w:rsidRPr="0071345C">
        <w:rPr>
          <w:lang w:val="en-US"/>
        </w:rPr>
        <w:t xml:space="preserve">- (vgl. </w:t>
      </w:r>
      <w:r w:rsidRPr="0071345C">
        <w:rPr>
          <w:i/>
          <w:iCs/>
          <w:lang w:val="en-US"/>
        </w:rPr>
        <w:t>ávāta</w:t>
      </w:r>
      <w:r w:rsidRPr="0071345C">
        <w:rPr>
          <w:lang w:val="en-US"/>
        </w:rPr>
        <w:t xml:space="preserve">-) referring to </w:t>
      </w:r>
      <w:r w:rsidRPr="0071345C">
        <w:rPr>
          <w:i/>
          <w:iCs/>
          <w:lang w:val="en-US"/>
        </w:rPr>
        <w:t>āpyam</w:t>
      </w:r>
      <w:r w:rsidRPr="0071345C">
        <w:rPr>
          <w:lang w:val="en-US"/>
        </w:rPr>
        <w:t xml:space="preserve"> (“gesuchte Gesellschaft”); thus also </w:t>
      </w:r>
      <w:r w:rsidRPr="0071345C">
        <w:rPr>
          <w:rStyle w:val="biblio-authorGEN"/>
          <w:sz w:val="18"/>
          <w:szCs w:val="15"/>
          <w:lang w:val="en-US"/>
        </w:rPr>
        <w:t>Renou</w:t>
      </w:r>
      <w:r w:rsidRPr="0071345C">
        <w:rPr>
          <w:lang w:val="en-US"/>
        </w:rPr>
        <w:t xml:space="preserve"> (XV 152-3) “l’amitié digne d’être gagnée”, while </w:t>
      </w:r>
      <w:r w:rsidRPr="0071345C">
        <w:rPr>
          <w:rStyle w:val="biblio-authorGEN"/>
          <w:sz w:val="18"/>
          <w:szCs w:val="15"/>
          <w:lang w:val="en-US"/>
        </w:rPr>
        <w:t>Oldenberg</w:t>
      </w:r>
      <w:r w:rsidRPr="0071345C">
        <w:rPr>
          <w:lang w:val="en-US"/>
        </w:rPr>
        <w:t xml:space="preserve"> (1912: 225 n. 26,2) finds this hypothesis unconvincing, considering the term a sec</w:t>
      </w:r>
      <w:r w:rsidRPr="0071345C">
        <w:rPr>
          <w:lang w:val="en-US"/>
        </w:rPr>
        <w:t xml:space="preserve">ondary adjective, possessive compound from a </w:t>
      </w:r>
      <w:r w:rsidRPr="0071345C">
        <w:rPr>
          <w:i/>
          <w:iCs/>
          <w:lang w:val="en-US"/>
        </w:rPr>
        <w:t>tatpuru</w:t>
      </w:r>
      <w:r w:rsidRPr="0071345C">
        <w:rPr>
          <w:i/>
          <w:iCs/>
          <w:lang w:val="en-US"/>
        </w:rPr>
        <w:t>ṣ</w:t>
      </w:r>
      <w:r w:rsidRPr="0071345C">
        <w:rPr>
          <w:i/>
          <w:iCs/>
          <w:lang w:val="en-US"/>
        </w:rPr>
        <w:t>a</w:t>
      </w:r>
      <w:r w:rsidRPr="0071345C">
        <w:rPr>
          <w:lang w:val="en-US"/>
        </w:rPr>
        <w:t xml:space="preserve"> (determinative compound): “who has the friendship of Vāta (the wind as personified element)”. There exists no certain attestation of the form of the passive past participle (*</w:t>
      </w:r>
      <w:r w:rsidRPr="0071345C">
        <w:rPr>
          <w:i/>
          <w:iCs/>
          <w:lang w:val="en-US"/>
        </w:rPr>
        <w:t>vātá</w:t>
      </w:r>
      <w:r w:rsidRPr="0071345C">
        <w:rPr>
          <w:lang w:val="en-US"/>
        </w:rPr>
        <w:t xml:space="preserve">-) of </w:t>
      </w:r>
      <w:r w:rsidRPr="0071345C">
        <w:rPr>
          <w:i/>
          <w:iCs/>
          <w:lang w:val="en-US"/>
        </w:rPr>
        <w:t>van</w:t>
      </w:r>
      <w:r w:rsidRPr="0071345C">
        <w:rPr>
          <w:lang w:val="en-US"/>
        </w:rPr>
        <w:t>-: the adject</w:t>
      </w:r>
      <w:r w:rsidRPr="0071345C">
        <w:rPr>
          <w:lang w:val="en-US"/>
        </w:rPr>
        <w:t xml:space="preserve">ive </w:t>
      </w:r>
      <w:r w:rsidRPr="0071345C">
        <w:rPr>
          <w:i/>
          <w:iCs/>
          <w:lang w:val="en-US"/>
        </w:rPr>
        <w:t>ávāta</w:t>
      </w:r>
      <w:r w:rsidRPr="0071345C">
        <w:rPr>
          <w:lang w:val="en-US"/>
        </w:rPr>
        <w:t>- (“that no one has ever appropriated”) or possible compounds in –</w:t>
      </w:r>
      <w:r w:rsidRPr="0071345C">
        <w:rPr>
          <w:i/>
          <w:iCs/>
          <w:lang w:val="en-US"/>
        </w:rPr>
        <w:t>vata</w:t>
      </w:r>
      <w:r w:rsidRPr="0071345C">
        <w:rPr>
          <w:lang w:val="en-US"/>
        </w:rPr>
        <w:t xml:space="preserve">- cannot be taken as final proof of the historical existence of the form </w:t>
      </w:r>
      <w:r w:rsidRPr="0071345C">
        <w:rPr>
          <w:i/>
          <w:iCs/>
          <w:lang w:val="en-US"/>
        </w:rPr>
        <w:t>vātá</w:t>
      </w:r>
      <w:r w:rsidRPr="0071345C">
        <w:rPr>
          <w:lang w:val="en-US"/>
        </w:rPr>
        <w:t xml:space="preserve">-, since these nominal forms could have been constructed by analogy on the basis of the paradigms </w:t>
      </w:r>
      <w:r w:rsidRPr="0071345C">
        <w:rPr>
          <w:i/>
          <w:iCs/>
          <w:lang w:val="en-US"/>
        </w:rPr>
        <w:t>yu</w:t>
      </w:r>
      <w:r w:rsidRPr="0071345C">
        <w:rPr>
          <w:i/>
          <w:iCs/>
          <w:lang w:val="en-US"/>
        </w:rPr>
        <w:t>j- / yuktá- / áyukta</w:t>
      </w:r>
      <w:r w:rsidRPr="0071345C">
        <w:rPr>
          <w:lang w:val="en-US"/>
        </w:rPr>
        <w:t>-.</w:t>
      </w:r>
    </w:p>
  </w:footnote>
  <w:footnote w:id="52">
    <w:p w14:paraId="1A1D6502"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With regard to this and the root compounds, see in particular </w:t>
      </w:r>
      <w:r w:rsidRPr="0071345C">
        <w:rPr>
          <w:rStyle w:val="biblio-authorGEN"/>
          <w:sz w:val="18"/>
          <w:szCs w:val="15"/>
          <w:lang w:val="en-US"/>
        </w:rPr>
        <w:t>Migron</w:t>
      </w:r>
      <w:r w:rsidRPr="0071345C">
        <w:rPr>
          <w:lang w:val="en-US"/>
        </w:rPr>
        <w:t xml:space="preserve"> 1980.</w:t>
      </w:r>
    </w:p>
  </w:footnote>
  <w:footnote w:id="53">
    <w:p w14:paraId="74B8B851"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víprā</w:t>
      </w:r>
      <w:r w:rsidRPr="0071345C">
        <w:rPr>
          <w:lang w:val="en-US"/>
        </w:rPr>
        <w:t xml:space="preserve"> (voc. m. du.) from </w:t>
      </w:r>
      <w:r w:rsidRPr="0071345C">
        <w:rPr>
          <w:i/>
          <w:iCs/>
          <w:lang w:val="en-US"/>
        </w:rPr>
        <w:t>vípra</w:t>
      </w:r>
      <w:r w:rsidRPr="0071345C">
        <w:rPr>
          <w:lang w:val="en-US"/>
        </w:rPr>
        <w:t xml:space="preserve">- (m.f.n.) “inspired” (cf. </w:t>
      </w:r>
      <w:r w:rsidRPr="0071345C">
        <w:rPr>
          <w:rStyle w:val="biblio-authorGEN"/>
          <w:sz w:val="18"/>
          <w:szCs w:val="15"/>
          <w:lang w:val="en-US"/>
        </w:rPr>
        <w:t>Gonda</w:t>
      </w:r>
      <w:r w:rsidRPr="0071345C">
        <w:rPr>
          <w:lang w:val="en-US"/>
        </w:rPr>
        <w:t xml:space="preserve"> 1963: 36-40) from the root </w:t>
      </w:r>
      <w:r w:rsidRPr="0071345C">
        <w:rPr>
          <w:i/>
          <w:iCs/>
          <w:lang w:val="en-US"/>
        </w:rPr>
        <w:t>vip</w:t>
      </w:r>
      <w:r w:rsidRPr="0071345C">
        <w:rPr>
          <w:lang w:val="en-US"/>
        </w:rPr>
        <w:t xml:space="preserve">- “to quiver” , from which also comes </w:t>
      </w:r>
      <w:r w:rsidRPr="0071345C">
        <w:rPr>
          <w:i/>
          <w:iCs/>
          <w:lang w:val="en-US"/>
        </w:rPr>
        <w:t>vépas</w:t>
      </w:r>
      <w:r w:rsidRPr="0071345C">
        <w:rPr>
          <w:lang w:val="en-US"/>
        </w:rPr>
        <w:t>- “the quivering o</w:t>
      </w:r>
      <w:r w:rsidRPr="0071345C">
        <w:rPr>
          <w:lang w:val="en-US"/>
        </w:rPr>
        <w:t xml:space="preserve">f divine inspiration”; for the perfective value of the term, see </w:t>
      </w:r>
      <w:r w:rsidRPr="0071345C">
        <w:rPr>
          <w:rStyle w:val="biblio-authorGEN"/>
          <w:sz w:val="18"/>
          <w:szCs w:val="15"/>
          <w:lang w:val="en-US"/>
        </w:rPr>
        <w:t>Kümmel</w:t>
      </w:r>
      <w:r w:rsidRPr="0071345C">
        <w:rPr>
          <w:lang w:val="en-US"/>
        </w:rPr>
        <w:t xml:space="preserve"> 2000: 498-9. </w:t>
      </w:r>
    </w:p>
  </w:footnote>
  <w:footnote w:id="54">
    <w:p w14:paraId="6D83FD46"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karū́</w:t>
      </w:r>
      <w:r w:rsidRPr="0071345C">
        <w:rPr>
          <w:lang w:val="en-US"/>
        </w:rPr>
        <w:t xml:space="preserve"> </w:t>
      </w:r>
      <w:r w:rsidRPr="0071345C">
        <w:rPr>
          <w:i/>
          <w:iCs/>
          <w:lang w:val="en-US"/>
        </w:rPr>
        <w:t>jātávedasā</w:t>
      </w:r>
      <w:r w:rsidRPr="0071345C">
        <w:rPr>
          <w:lang w:val="en-US"/>
        </w:rPr>
        <w:t xml:space="preserve"> (voc. m. du.) can be considered an elliptical dual (</w:t>
      </w:r>
      <w:r w:rsidRPr="0071345C">
        <w:rPr>
          <w:rStyle w:val="biblio-authorGEN"/>
          <w:sz w:val="18"/>
          <w:szCs w:val="15"/>
          <w:lang w:val="en-US"/>
        </w:rPr>
        <w:t>Geldner</w:t>
      </w:r>
      <w:r w:rsidRPr="0071345C">
        <w:rPr>
          <w:lang w:val="en-US"/>
        </w:rPr>
        <w:t xml:space="preserve"> II 182 “Die beiden beredten Dichter [...] die beiden Jātavedas.”) or a separate </w:t>
      </w:r>
      <w:r w:rsidRPr="0071345C">
        <w:rPr>
          <w:i/>
          <w:iCs/>
          <w:lang w:val="en-US"/>
        </w:rPr>
        <w:t>dvandva</w:t>
      </w:r>
      <w:r w:rsidRPr="0071345C">
        <w:rPr>
          <w:lang w:val="en-US"/>
        </w:rPr>
        <w:t>, as</w:t>
      </w:r>
      <w:r w:rsidRPr="0071345C">
        <w:rPr>
          <w:lang w:val="en-US"/>
        </w:rPr>
        <w:t xml:space="preserve"> in the present translation, referring to both </w:t>
      </w:r>
      <w:r w:rsidRPr="0071345C">
        <w:rPr>
          <w:i/>
          <w:iCs/>
          <w:lang w:val="en-US"/>
        </w:rPr>
        <w:t>viprā,</w:t>
      </w:r>
      <w:r w:rsidRPr="0071345C">
        <w:rPr>
          <w:lang w:val="en-US"/>
        </w:rPr>
        <w:t xml:space="preserve"> as in </w:t>
      </w:r>
      <w:r w:rsidRPr="0071345C">
        <w:rPr>
          <w:rStyle w:val="biblio-authorGEN"/>
          <w:sz w:val="18"/>
          <w:szCs w:val="15"/>
          <w:lang w:val="en-US"/>
        </w:rPr>
        <w:t>Renou</w:t>
      </w:r>
      <w:r w:rsidRPr="0071345C">
        <w:rPr>
          <w:lang w:val="en-US"/>
        </w:rPr>
        <w:t xml:space="preserve"> (XIV 46) “Vous deux (Oblateurs divins), orateurs-sacrés [...] vous (dont l’un est) barde, (l’autre) le Jātavedas [...].</w:t>
      </w:r>
    </w:p>
  </w:footnote>
  <w:footnote w:id="55">
    <w:p w14:paraId="7B985E63"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mánye</w:t>
      </w:r>
      <w:r w:rsidRPr="0071345C">
        <w:rPr>
          <w:lang w:val="en-US"/>
        </w:rPr>
        <w:t xml:space="preserve"> (pres. ind. 1</w:t>
      </w:r>
      <w:r w:rsidRPr="0071345C">
        <w:rPr>
          <w:vertAlign w:val="superscript"/>
          <w:lang w:val="en-US"/>
        </w:rPr>
        <w:t>st</w:t>
      </w:r>
      <w:r w:rsidRPr="0071345C">
        <w:rPr>
          <w:lang w:val="en-US"/>
        </w:rPr>
        <w:t xml:space="preserve"> sing. Ā , from root </w:t>
      </w:r>
      <w:r w:rsidRPr="0071345C">
        <w:rPr>
          <w:i/>
          <w:iCs/>
          <w:lang w:val="en-US"/>
        </w:rPr>
        <w:t>man-</w:t>
      </w:r>
      <w:r w:rsidRPr="0071345C">
        <w:rPr>
          <w:lang w:val="en-US"/>
        </w:rPr>
        <w:t xml:space="preserve"> “to think”) - </w:t>
      </w:r>
      <w:r w:rsidRPr="0071345C">
        <w:rPr>
          <w:i/>
          <w:iCs/>
          <w:lang w:val="en-US"/>
        </w:rPr>
        <w:t>yájadhyai</w:t>
      </w:r>
      <w:r w:rsidRPr="0071345C">
        <w:rPr>
          <w:lang w:val="en-US"/>
        </w:rPr>
        <w:t xml:space="preserve"> (dat. inf., from root </w:t>
      </w:r>
      <w:r w:rsidRPr="0071345C">
        <w:rPr>
          <w:i/>
          <w:iCs/>
          <w:lang w:val="en-US"/>
        </w:rPr>
        <w:t>yaj</w:t>
      </w:r>
      <w:r w:rsidRPr="0071345C">
        <w:rPr>
          <w:lang w:val="en-US"/>
        </w:rPr>
        <w:t xml:space="preserve">- “to sacrifice”) </w:t>
      </w:r>
      <w:r w:rsidRPr="0071345C">
        <w:rPr>
          <w:rStyle w:val="biblio-authorGEN"/>
          <w:sz w:val="18"/>
          <w:szCs w:val="15"/>
          <w:lang w:val="en-US"/>
        </w:rPr>
        <w:t>Geldner</w:t>
      </w:r>
      <w:r w:rsidRPr="0071345C">
        <w:rPr>
          <w:lang w:val="en-US"/>
        </w:rPr>
        <w:t xml:space="preserve"> (II 182) “euch gedenke ich zu verehren”, </w:t>
      </w:r>
      <w:r w:rsidRPr="0071345C">
        <w:rPr>
          <w:rStyle w:val="biblio-authorGEN"/>
          <w:sz w:val="18"/>
          <w:szCs w:val="15"/>
          <w:lang w:val="en-US"/>
        </w:rPr>
        <w:t>Renou</w:t>
      </w:r>
      <w:r w:rsidRPr="0071345C">
        <w:rPr>
          <w:lang w:val="en-US"/>
        </w:rPr>
        <w:t xml:space="preserve"> (XIV 46) “je pense (à vous): sacrifiez!” (cf. Renou XIV, 117-118 for the independent value of the infinitive in -</w:t>
      </w:r>
      <w:r w:rsidRPr="0071345C">
        <w:rPr>
          <w:i/>
          <w:iCs/>
          <w:lang w:val="en-US"/>
        </w:rPr>
        <w:t>dhyai</w:t>
      </w:r>
      <w:r w:rsidRPr="0071345C">
        <w:rPr>
          <w:lang w:val="en-US"/>
        </w:rPr>
        <w:t>); in the prese</w:t>
      </w:r>
      <w:r w:rsidRPr="0071345C">
        <w:rPr>
          <w:lang w:val="en-US"/>
        </w:rPr>
        <w:t xml:space="preserve">nt translation the infinitive has been rendered with exhortative value, cf. </w:t>
      </w:r>
      <w:r w:rsidRPr="0071345C">
        <w:rPr>
          <w:rStyle w:val="biblio-authorGEN"/>
          <w:sz w:val="18"/>
          <w:szCs w:val="15"/>
          <w:lang w:val="en-US"/>
        </w:rPr>
        <w:t>Macdonell</w:t>
      </w:r>
      <w:r w:rsidRPr="0071345C">
        <w:rPr>
          <w:lang w:val="en-US"/>
        </w:rPr>
        <w:t xml:space="preserve"> 1916: §211.</w:t>
      </w:r>
      <w:r>
        <w:t>γ</w:t>
      </w:r>
      <w:r w:rsidRPr="0071345C">
        <w:rPr>
          <w:lang w:val="en-US"/>
        </w:rPr>
        <w:t>.</w:t>
      </w:r>
    </w:p>
  </w:footnote>
  <w:footnote w:id="56">
    <w:p w14:paraId="1F69F4D4"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tyájasa</w:t>
      </w:r>
      <w:r w:rsidRPr="0071345C">
        <w:rPr>
          <w:i/>
          <w:iCs/>
          <w:lang w:val="en-US"/>
        </w:rPr>
        <w:t>ḥ</w:t>
      </w:r>
      <w:r w:rsidRPr="0071345C">
        <w:rPr>
          <w:lang w:val="en-US"/>
        </w:rPr>
        <w:t xml:space="preserve"> (abl. n. sing.) from </w:t>
      </w:r>
      <w:r w:rsidRPr="0071345C">
        <w:rPr>
          <w:i/>
          <w:iCs/>
          <w:lang w:val="en-US"/>
        </w:rPr>
        <w:t>tyájas</w:t>
      </w:r>
      <w:r w:rsidRPr="0071345C">
        <w:rPr>
          <w:lang w:val="en-US"/>
        </w:rPr>
        <w:t>- for the interpretation of this term as “isolation”, “abandonment”, and in in this sense “danger” (isolation was a se</w:t>
      </w:r>
      <w:r w:rsidRPr="0071345C">
        <w:rPr>
          <w:lang w:val="en-US"/>
        </w:rPr>
        <w:t xml:space="preserve">rious danger for Vedic man) cf. </w:t>
      </w:r>
      <w:r w:rsidRPr="0071345C">
        <w:rPr>
          <w:rStyle w:val="biblio-authorGEN"/>
          <w:sz w:val="18"/>
          <w:szCs w:val="15"/>
          <w:lang w:val="en-US"/>
        </w:rPr>
        <w:t>Gonda</w:t>
      </w:r>
      <w:r w:rsidRPr="0071345C">
        <w:rPr>
          <w:lang w:val="en-US"/>
        </w:rPr>
        <w:t xml:space="preserve"> 1957: 52 ff. </w:t>
      </w:r>
    </w:p>
  </w:footnote>
  <w:footnote w:id="57">
    <w:p w14:paraId="3EE21C0B"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vedha</w:t>
      </w:r>
      <w:r w:rsidRPr="0071345C">
        <w:rPr>
          <w:i/>
          <w:iCs/>
          <w:lang w:val="en-US"/>
        </w:rPr>
        <w:t>ḥ</w:t>
      </w:r>
      <w:r w:rsidRPr="0071345C">
        <w:rPr>
          <w:lang w:val="en-US"/>
        </w:rPr>
        <w:t xml:space="preserve"> (voc. m. sing.) from </w:t>
      </w:r>
      <w:r w:rsidRPr="0071345C">
        <w:rPr>
          <w:i/>
          <w:iCs/>
          <w:lang w:val="en-US"/>
        </w:rPr>
        <w:t>vedhás</w:t>
      </w:r>
      <w:r w:rsidRPr="0071345C">
        <w:rPr>
          <w:lang w:val="en-US"/>
        </w:rPr>
        <w:t xml:space="preserve">- an epithet interpreted in various different ways cf. EWAia II 582; </w:t>
      </w:r>
      <w:r w:rsidRPr="0071345C">
        <w:rPr>
          <w:rStyle w:val="biblio-authorGEN"/>
          <w:sz w:val="18"/>
          <w:szCs w:val="15"/>
          <w:lang w:val="en-US"/>
        </w:rPr>
        <w:t>Geldner</w:t>
      </w:r>
      <w:r w:rsidRPr="0071345C">
        <w:rPr>
          <w:lang w:val="en-US"/>
        </w:rPr>
        <w:t xml:space="preserve"> (I 246): “Meister”, </w:t>
      </w:r>
      <w:r w:rsidRPr="0071345C">
        <w:rPr>
          <w:rStyle w:val="biblio-authorGEN"/>
          <w:sz w:val="18"/>
          <w:szCs w:val="15"/>
          <w:lang w:val="en-US"/>
        </w:rPr>
        <w:t>Renou</w:t>
      </w:r>
      <w:r w:rsidRPr="0071345C">
        <w:rPr>
          <w:lang w:val="en-US"/>
        </w:rPr>
        <w:t xml:space="preserve"> (XVII 48): “ordonnateur”; the present translation is based on a h</w:t>
      </w:r>
      <w:r w:rsidRPr="0071345C">
        <w:rPr>
          <w:lang w:val="en-US"/>
        </w:rPr>
        <w:t xml:space="preserve">ypothetical link with the root </w:t>
      </w:r>
      <w:r w:rsidRPr="0071345C">
        <w:rPr>
          <w:i/>
          <w:iCs/>
          <w:lang w:val="en-US"/>
        </w:rPr>
        <w:t>vidh</w:t>
      </w:r>
      <w:r w:rsidRPr="0071345C">
        <w:rPr>
          <w:lang w:val="en-US"/>
        </w:rPr>
        <w:t xml:space="preserve">- </w:t>
      </w:r>
      <w:r w:rsidRPr="0071345C">
        <w:rPr>
          <w:lang w:val="en-US"/>
        </w:rPr>
        <w:t>“to distribute the parts in the sacrifice”</w:t>
      </w:r>
      <w:r w:rsidRPr="0071345C">
        <w:rPr>
          <w:lang w:val="en-US"/>
        </w:rPr>
        <w:t xml:space="preserve"> cf. </w:t>
      </w:r>
      <w:r w:rsidRPr="0071345C">
        <w:rPr>
          <w:rStyle w:val="biblio-authorGEN"/>
          <w:sz w:val="18"/>
          <w:szCs w:val="15"/>
          <w:lang w:val="en-US"/>
        </w:rPr>
        <w:t>Crevatin</w:t>
      </w:r>
      <w:r w:rsidRPr="0071345C">
        <w:rPr>
          <w:lang w:val="en-US"/>
        </w:rPr>
        <w:t xml:space="preserve"> 1982-83: 17.</w:t>
      </w:r>
    </w:p>
  </w:footnote>
  <w:footnote w:id="58">
    <w:p w14:paraId="035AA03A"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“Make yours”, “for us” being understood: here returns the idea of transference from god to man.</w:t>
      </w:r>
    </w:p>
  </w:footnote>
  <w:footnote w:id="59">
    <w:p w14:paraId="46C17676"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The way is to be understood both in a metaphorical</w:t>
      </w:r>
      <w:r w:rsidRPr="0071345C">
        <w:rPr>
          <w:lang w:val="en-US"/>
        </w:rPr>
        <w:t xml:space="preserve"> sense, cf. analogy with the chants in the first stanza of the hymn, and in the concrete sense, given that Mitra guarantees that the space around the house be ample, devoid of dangers, cf. </w:t>
      </w:r>
      <w:r w:rsidRPr="0071345C">
        <w:rPr>
          <w:rStyle w:val="biblio-authorGEN"/>
          <w:sz w:val="18"/>
          <w:szCs w:val="15"/>
          <w:lang w:val="en-US"/>
        </w:rPr>
        <w:t>Thieme</w:t>
      </w:r>
      <w:r w:rsidRPr="0071345C">
        <w:rPr>
          <w:lang w:val="en-US"/>
        </w:rPr>
        <w:t xml:space="preserve"> (1971: 1112) Mitra and Varu</w:t>
      </w:r>
      <w:r w:rsidRPr="0071345C">
        <w:rPr>
          <w:lang w:val="en-US"/>
        </w:rPr>
        <w:t>ṇ</w:t>
      </w:r>
      <w:r w:rsidRPr="0071345C">
        <w:rPr>
          <w:lang w:val="en-US"/>
        </w:rPr>
        <w:t>a are they who dispense</w:t>
      </w:r>
      <w:r w:rsidRPr="0071345C">
        <w:rPr>
          <w:i/>
          <w:iCs/>
          <w:lang w:val="en-US"/>
        </w:rPr>
        <w:t xml:space="preserve"> urvī gav</w:t>
      </w:r>
      <w:r w:rsidRPr="0071345C">
        <w:rPr>
          <w:i/>
          <w:iCs/>
          <w:lang w:val="en-US"/>
        </w:rPr>
        <w:t>yūti</w:t>
      </w:r>
      <w:r w:rsidRPr="0071345C">
        <w:rPr>
          <w:lang w:val="en-US"/>
        </w:rPr>
        <w:t xml:space="preserve"> “ample pastures” with release from the narrow confines (</w:t>
      </w:r>
      <w:r w:rsidRPr="0071345C">
        <w:rPr>
          <w:i/>
          <w:iCs/>
          <w:lang w:val="en-US"/>
        </w:rPr>
        <w:t>á</w:t>
      </w:r>
      <w:r w:rsidRPr="0071345C">
        <w:rPr>
          <w:i/>
          <w:iCs/>
          <w:lang w:val="en-US"/>
        </w:rPr>
        <w:t>ṃ</w:t>
      </w:r>
      <w:r w:rsidRPr="0071345C">
        <w:rPr>
          <w:i/>
          <w:iCs/>
          <w:lang w:val="en-US"/>
        </w:rPr>
        <w:t>hu</w:t>
      </w:r>
      <w:r w:rsidRPr="0071345C">
        <w:rPr>
          <w:lang w:val="en-US"/>
        </w:rPr>
        <w:t>-).</w:t>
      </w:r>
    </w:p>
  </w:footnote>
  <w:footnote w:id="60">
    <w:p w14:paraId="06EA58D9"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pratū́rvata</w:t>
      </w:r>
      <w:r w:rsidRPr="0071345C">
        <w:rPr>
          <w:i/>
          <w:iCs/>
          <w:lang w:val="en-US"/>
        </w:rPr>
        <w:t>ḥ</w:t>
      </w:r>
      <w:r w:rsidRPr="0071345C">
        <w:rPr>
          <w:lang w:val="en-US"/>
        </w:rPr>
        <w:t xml:space="preserve"> (gen. m. sing.) from </w:t>
      </w:r>
      <w:r w:rsidRPr="0071345C">
        <w:rPr>
          <w:i/>
          <w:iCs/>
          <w:lang w:val="en-US"/>
        </w:rPr>
        <w:t>pratū́rvat</w:t>
      </w:r>
      <w:r w:rsidRPr="0071345C">
        <w:rPr>
          <w:lang w:val="en-US"/>
        </w:rPr>
        <w:t xml:space="preserve">-, for the meaning of the term we have followed the proposal of </w:t>
      </w:r>
      <w:r w:rsidRPr="0071345C">
        <w:rPr>
          <w:rStyle w:val="biblio-authorGEN"/>
          <w:sz w:val="18"/>
          <w:szCs w:val="15"/>
          <w:lang w:val="en-US"/>
        </w:rPr>
        <w:t>Gotō</w:t>
      </w:r>
      <w:r w:rsidRPr="0071345C">
        <w:rPr>
          <w:lang w:val="en-US"/>
        </w:rPr>
        <w:t xml:space="preserve"> 1987: 163; appellative usually used for Indra, </w:t>
      </w:r>
      <w:r w:rsidRPr="0071345C">
        <w:rPr>
          <w:rStyle w:val="biblio-authorGEN"/>
          <w:sz w:val="18"/>
          <w:szCs w:val="15"/>
          <w:lang w:val="en-US"/>
        </w:rPr>
        <w:t>Geldner</w:t>
      </w:r>
      <w:r w:rsidRPr="0071345C">
        <w:rPr>
          <w:lang w:val="en-US"/>
        </w:rPr>
        <w:t xml:space="preserve"> (II 73) refers it</w:t>
      </w:r>
      <w:r w:rsidRPr="0071345C">
        <w:rPr>
          <w:lang w:val="en-US"/>
        </w:rPr>
        <w:t xml:space="preserve"> to the one who obtains the favour of Mitra (</w:t>
      </w:r>
      <w:r w:rsidRPr="0071345C">
        <w:rPr>
          <w:i/>
          <w:iCs/>
          <w:lang w:val="en-US"/>
        </w:rPr>
        <w:t>vidhatá</w:t>
      </w:r>
      <w:r w:rsidRPr="0071345C">
        <w:rPr>
          <w:i/>
          <w:iCs/>
          <w:lang w:val="en-US"/>
        </w:rPr>
        <w:t>ḥ</w:t>
      </w:r>
      <w:r w:rsidRPr="0071345C">
        <w:rPr>
          <w:lang w:val="en-US"/>
        </w:rPr>
        <w:t xml:space="preserve">), but also Mitra victoriously fight those who violate agreements, provoking war, which makes the way home narrow, cf. </w:t>
      </w:r>
      <w:r w:rsidRPr="0071345C">
        <w:rPr>
          <w:rStyle w:val="biblio-authorGEN"/>
          <w:sz w:val="18"/>
          <w:szCs w:val="15"/>
          <w:lang w:val="en-US"/>
        </w:rPr>
        <w:t>Thieme</w:t>
      </w:r>
      <w:r w:rsidRPr="0071345C">
        <w:rPr>
          <w:lang w:val="en-US"/>
        </w:rPr>
        <w:t xml:space="preserve"> 1975: 21-39.</w:t>
      </w:r>
    </w:p>
  </w:footnote>
  <w:footnote w:id="61">
    <w:p w14:paraId="675F3759"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vidhatá</w:t>
      </w:r>
      <w:r w:rsidRPr="0071345C">
        <w:rPr>
          <w:i/>
          <w:iCs/>
          <w:lang w:val="en-US"/>
        </w:rPr>
        <w:t>ḥ</w:t>
      </w:r>
      <w:r w:rsidRPr="0071345C">
        <w:rPr>
          <w:lang w:val="en-US"/>
        </w:rPr>
        <w:t xml:space="preserve"> (pres. part. gen. m. sing.) from </w:t>
      </w:r>
      <w:r w:rsidRPr="0071345C">
        <w:rPr>
          <w:i/>
          <w:iCs/>
          <w:lang w:val="en-US"/>
        </w:rPr>
        <w:t>vidh</w:t>
      </w:r>
      <w:r w:rsidRPr="0071345C">
        <w:rPr>
          <w:lang w:val="en-US"/>
        </w:rPr>
        <w:t>- “to honour, to</w:t>
      </w:r>
      <w:r w:rsidRPr="0071345C">
        <w:rPr>
          <w:lang w:val="en-US"/>
        </w:rPr>
        <w:t xml:space="preserve"> sacrifice”, and more precisely “divide, distribute the parts during the sacrifice” cf. </w:t>
      </w:r>
      <w:r w:rsidRPr="0071345C">
        <w:rPr>
          <w:rStyle w:val="biblio-authorGEN"/>
          <w:sz w:val="18"/>
          <w:szCs w:val="15"/>
          <w:lang w:val="en-US"/>
        </w:rPr>
        <w:t>Crevatin</w:t>
      </w:r>
      <w:r w:rsidRPr="0071345C">
        <w:rPr>
          <w:lang w:val="en-US"/>
        </w:rPr>
        <w:t xml:space="preserve"> 1982-83: 17.</w:t>
      </w:r>
    </w:p>
  </w:footnote>
  <w:footnote w:id="62">
    <w:p w14:paraId="4ADB4C37"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cikéta</w:t>
      </w:r>
      <w:r w:rsidRPr="0071345C">
        <w:rPr>
          <w:lang w:val="en-US"/>
        </w:rPr>
        <w:t xml:space="preserve"> (ind. perf. 3</w:t>
      </w:r>
      <w:r w:rsidRPr="0071345C">
        <w:rPr>
          <w:vertAlign w:val="superscript"/>
          <w:lang w:val="en-US"/>
        </w:rPr>
        <w:t>rd</w:t>
      </w:r>
      <w:r w:rsidRPr="0071345C">
        <w:rPr>
          <w:lang w:val="en-US"/>
        </w:rPr>
        <w:t xml:space="preserve"> sing.) from the root </w:t>
      </w:r>
      <w:r w:rsidRPr="0071345C">
        <w:rPr>
          <w:i/>
          <w:iCs/>
          <w:lang w:val="en-US"/>
        </w:rPr>
        <w:t>cit</w:t>
      </w:r>
      <w:r w:rsidRPr="0071345C">
        <w:rPr>
          <w:lang w:val="en-US"/>
        </w:rPr>
        <w:t xml:space="preserve">- “understanding through visual perception”, but also “to be visible” cf. </w:t>
      </w:r>
      <w:r w:rsidRPr="0071345C">
        <w:rPr>
          <w:i/>
          <w:iCs/>
          <w:lang w:val="en-US"/>
        </w:rPr>
        <w:t>cétati dhíyā</w:t>
      </w:r>
      <w:r w:rsidRPr="0071345C">
        <w:rPr>
          <w:lang w:val="en-US"/>
        </w:rPr>
        <w:t xml:space="preserve"> “shows him</w:t>
      </w:r>
      <w:r w:rsidRPr="0071345C">
        <w:rPr>
          <w:lang w:val="en-US"/>
        </w:rPr>
        <w:t>self with vision” also referring to the gods, and in particular to Mitra and Varu</w:t>
      </w:r>
      <w:r w:rsidRPr="0071345C">
        <w:rPr>
          <w:lang w:val="en-US"/>
        </w:rPr>
        <w:t>ṇ</w:t>
      </w:r>
      <w:r w:rsidRPr="0071345C">
        <w:rPr>
          <w:lang w:val="en-US"/>
        </w:rPr>
        <w:t xml:space="preserve">a, who are in fact defined as </w:t>
      </w:r>
      <w:r w:rsidRPr="0071345C">
        <w:rPr>
          <w:i/>
          <w:iCs/>
          <w:lang w:val="en-US"/>
        </w:rPr>
        <w:t>sukrátū</w:t>
      </w:r>
      <w:r w:rsidRPr="0071345C">
        <w:rPr>
          <w:lang w:val="en-US"/>
        </w:rPr>
        <w:t xml:space="preserve"> (8.25.8-9) cf. </w:t>
      </w:r>
      <w:r w:rsidRPr="0071345C">
        <w:rPr>
          <w:rStyle w:val="biblio-authorGEN"/>
          <w:sz w:val="18"/>
          <w:szCs w:val="15"/>
          <w:lang w:val="en-US"/>
        </w:rPr>
        <w:t>Gonda</w:t>
      </w:r>
      <w:r w:rsidRPr="0071345C">
        <w:rPr>
          <w:lang w:val="en-US"/>
        </w:rPr>
        <w:t xml:space="preserve"> 1963: 99-100. Note the connection between </w:t>
      </w:r>
      <w:r w:rsidRPr="0071345C">
        <w:rPr>
          <w:i/>
          <w:iCs/>
          <w:lang w:val="en-US"/>
        </w:rPr>
        <w:t>cit</w:t>
      </w:r>
      <w:r w:rsidRPr="0071345C">
        <w:rPr>
          <w:lang w:val="en-US"/>
        </w:rPr>
        <w:t>- and the shining element.</w:t>
      </w:r>
    </w:p>
  </w:footnote>
  <w:footnote w:id="63">
    <w:p w14:paraId="5A07AF9F"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darśatá</w:t>
      </w:r>
      <w:r w:rsidRPr="0071345C">
        <w:rPr>
          <w:i/>
          <w:iCs/>
          <w:lang w:val="en-US"/>
        </w:rPr>
        <w:t>ḥ</w:t>
      </w:r>
      <w:r w:rsidRPr="0071345C">
        <w:rPr>
          <w:lang w:val="en-US"/>
        </w:rPr>
        <w:t xml:space="preserve"> (nom. m. sing.) from </w:t>
      </w:r>
      <w:r w:rsidRPr="0071345C">
        <w:rPr>
          <w:i/>
          <w:iCs/>
          <w:lang w:val="en-US"/>
        </w:rPr>
        <w:t>darśatá</w:t>
      </w:r>
      <w:r w:rsidRPr="0071345C">
        <w:rPr>
          <w:lang w:val="en-US"/>
        </w:rPr>
        <w:t xml:space="preserve">- (m. f. n.) “visible” “beautiful”, </w:t>
      </w:r>
      <w:r w:rsidRPr="0071345C">
        <w:rPr>
          <w:rStyle w:val="biblio-authorGEN"/>
          <w:sz w:val="18"/>
          <w:szCs w:val="15"/>
          <w:lang w:val="en-US"/>
        </w:rPr>
        <w:t>Geldner</w:t>
      </w:r>
      <w:r w:rsidRPr="0071345C">
        <w:rPr>
          <w:lang w:val="en-US"/>
        </w:rPr>
        <w:t xml:space="preserve"> (II 73) translates the term as attribute (“gernsehen”) and consequently considers the secondary as non-disjunctive relative (as also do </w:t>
      </w:r>
      <w:r w:rsidRPr="0071345C">
        <w:rPr>
          <w:rStyle w:val="biblio-authorGEN"/>
          <w:sz w:val="18"/>
          <w:szCs w:val="15"/>
          <w:lang w:val="en-US"/>
        </w:rPr>
        <w:t>Renou</w:t>
      </w:r>
      <w:r w:rsidRPr="0071345C">
        <w:rPr>
          <w:lang w:val="en-US"/>
        </w:rPr>
        <w:t xml:space="preserve"> V 80 and </w:t>
      </w:r>
      <w:r w:rsidRPr="0071345C">
        <w:rPr>
          <w:rStyle w:val="biblio-authorGEN"/>
          <w:sz w:val="18"/>
          <w:szCs w:val="15"/>
          <w:lang w:val="en-US"/>
        </w:rPr>
        <w:t>Lüders</w:t>
      </w:r>
      <w:r w:rsidRPr="0071345C">
        <w:rPr>
          <w:lang w:val="en-US"/>
        </w:rPr>
        <w:t xml:space="preserve"> 1959); in the present tra</w:t>
      </w:r>
      <w:r w:rsidRPr="0071345C">
        <w:rPr>
          <w:lang w:val="en-US"/>
        </w:rPr>
        <w:t xml:space="preserve">nslation </w:t>
      </w:r>
      <w:r w:rsidRPr="0071345C">
        <w:rPr>
          <w:i/>
          <w:iCs/>
          <w:lang w:val="en-US"/>
        </w:rPr>
        <w:t>darśatá</w:t>
      </w:r>
      <w:r w:rsidRPr="0071345C">
        <w:rPr>
          <w:i/>
          <w:iCs/>
          <w:lang w:val="en-US"/>
        </w:rPr>
        <w:t>ḥ</w:t>
      </w:r>
      <w:r w:rsidRPr="0071345C">
        <w:rPr>
          <w:lang w:val="en-US"/>
        </w:rPr>
        <w:t xml:space="preserve"> is considered predicate of an understood copula, and consequently the secondary as a disjunctive relative.</w:t>
      </w:r>
    </w:p>
  </w:footnote>
  <w:footnote w:id="64">
    <w:p w14:paraId="73E95833"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Pr>
          <w:i/>
          <w:iCs/>
        </w:rPr>
        <w:tab/>
        <w:t>párijmanor</w:t>
      </w:r>
      <w:r>
        <w:t xml:space="preserve"> (gen. m. du.) from </w:t>
      </w:r>
      <w:r>
        <w:rPr>
          <w:i/>
          <w:iCs/>
        </w:rPr>
        <w:t>párijman</w:t>
      </w:r>
      <w:r>
        <w:t xml:space="preserve">- (m.f.n.) </w:t>
      </w:r>
      <w:r w:rsidRPr="0071345C">
        <w:rPr>
          <w:lang w:val="en-US"/>
        </w:rPr>
        <w:t>“which turns around, surrounds the earth (</w:t>
      </w:r>
      <w:r w:rsidRPr="0071345C">
        <w:rPr>
          <w:i/>
          <w:iCs/>
          <w:lang w:val="en-US"/>
        </w:rPr>
        <w:t>k</w:t>
      </w:r>
      <w:r w:rsidRPr="0071345C">
        <w:rPr>
          <w:i/>
          <w:iCs/>
          <w:lang w:val="en-US"/>
        </w:rPr>
        <w:t>ṣ</w:t>
      </w:r>
      <w:r w:rsidRPr="0071345C">
        <w:rPr>
          <w:i/>
          <w:iCs/>
          <w:lang w:val="en-US"/>
        </w:rPr>
        <w:t>ám</w:t>
      </w:r>
      <w:r w:rsidRPr="0071345C">
        <w:rPr>
          <w:lang w:val="en-US"/>
        </w:rPr>
        <w:t>-)”.</w:t>
      </w:r>
    </w:p>
  </w:footnote>
  <w:footnote w:id="65">
    <w:p w14:paraId="59E99CE1"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aktúbhi</w:t>
      </w:r>
      <w:r w:rsidRPr="0071345C">
        <w:rPr>
          <w:i/>
          <w:iCs/>
          <w:lang w:val="en-US"/>
        </w:rPr>
        <w:t>ḥ</w:t>
      </w:r>
      <w:r w:rsidRPr="0071345C">
        <w:rPr>
          <w:lang w:val="en-US"/>
        </w:rPr>
        <w:t xml:space="preserve"> (instr. m. pl.) da</w:t>
      </w:r>
      <w:r w:rsidRPr="0071345C">
        <w:rPr>
          <w:lang w:val="en-US"/>
        </w:rPr>
        <w:t xml:space="preserve"> </w:t>
      </w:r>
      <w:r w:rsidRPr="0071345C">
        <w:rPr>
          <w:i/>
          <w:iCs/>
          <w:lang w:val="en-US"/>
        </w:rPr>
        <w:t>aktú</w:t>
      </w:r>
      <w:r w:rsidRPr="0071345C">
        <w:rPr>
          <w:lang w:val="en-US"/>
        </w:rPr>
        <w:t xml:space="preserve">-, vox media, which indicates a kind of colour of light, translatable according to the context as “sunset” or “dawn”, or, according to some authors, as “night” cf. </w:t>
      </w:r>
      <w:r w:rsidRPr="0071345C">
        <w:rPr>
          <w:rStyle w:val="biblio-authorGEN"/>
          <w:sz w:val="18"/>
          <w:szCs w:val="15"/>
          <w:lang w:val="en-US"/>
        </w:rPr>
        <w:t>Atkins</w:t>
      </w:r>
      <w:r w:rsidRPr="0071345C">
        <w:rPr>
          <w:lang w:val="en-US"/>
        </w:rPr>
        <w:t xml:space="preserve"> 1950: 24 ff. ; EWAia I 40; </w:t>
      </w:r>
      <w:r w:rsidRPr="0071345C">
        <w:rPr>
          <w:rStyle w:val="biblio-authorGEN"/>
          <w:sz w:val="18"/>
          <w:szCs w:val="15"/>
          <w:lang w:val="en-US"/>
        </w:rPr>
        <w:t>Kuiper</w:t>
      </w:r>
      <w:r w:rsidRPr="0071345C">
        <w:rPr>
          <w:lang w:val="en-US"/>
        </w:rPr>
        <w:t xml:space="preserve"> 1997: 81-2; </w:t>
      </w:r>
      <w:r w:rsidRPr="0071345C">
        <w:rPr>
          <w:rStyle w:val="biblio-authorGEN"/>
          <w:sz w:val="18"/>
          <w:szCs w:val="15"/>
          <w:lang w:val="en-US"/>
        </w:rPr>
        <w:t>Renou</w:t>
      </w:r>
      <w:r w:rsidRPr="0071345C">
        <w:rPr>
          <w:lang w:val="en-US"/>
        </w:rPr>
        <w:t xml:space="preserve"> 1937: 6; </w:t>
      </w:r>
      <w:r w:rsidRPr="0071345C">
        <w:rPr>
          <w:rStyle w:val="biblio-authorGEN"/>
          <w:sz w:val="18"/>
          <w:szCs w:val="15"/>
          <w:lang w:val="en-US"/>
        </w:rPr>
        <w:t>Thieme</w:t>
      </w:r>
      <w:r w:rsidRPr="0071345C">
        <w:rPr>
          <w:lang w:val="en-US"/>
        </w:rPr>
        <w:t xml:space="preserve"> 1949: 18. </w:t>
      </w:r>
    </w:p>
  </w:footnote>
  <w:footnote w:id="66">
    <w:p w14:paraId="7234436B"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r̥tā́</w:t>
      </w:r>
      <w:r w:rsidRPr="0071345C">
        <w:rPr>
          <w:lang w:val="en-US"/>
        </w:rPr>
        <w:t xml:space="preserve"> (acc. n. pl.) from </w:t>
      </w:r>
      <w:r w:rsidRPr="0071345C">
        <w:rPr>
          <w:i/>
          <w:iCs/>
          <w:lang w:val="en-US"/>
        </w:rPr>
        <w:t>r̥tá</w:t>
      </w:r>
      <w:r w:rsidRPr="0071345C">
        <w:rPr>
          <w:lang w:val="en-US"/>
        </w:rPr>
        <w:t xml:space="preserve">- a term which, mostly used in the singular, indicates a set of concepts which cannot easily be conveyed with a single corresponding term, </w:t>
      </w:r>
      <w:r w:rsidRPr="0071345C">
        <w:rPr>
          <w:i/>
          <w:iCs/>
          <w:lang w:val="en-US"/>
        </w:rPr>
        <w:t>r̥tá</w:t>
      </w:r>
      <w:r w:rsidRPr="0071345C">
        <w:rPr>
          <w:lang w:val="en-US"/>
        </w:rPr>
        <w:t>- is “order”, “law” “truth”, the ordering activity at the cosmic level of truth.</w:t>
      </w:r>
    </w:p>
  </w:footnote>
  <w:footnote w:id="67">
    <w:p w14:paraId="5A0B5E59"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r>
      <w:r w:rsidRPr="0071345C">
        <w:rPr>
          <w:i/>
          <w:iCs/>
          <w:lang w:val="en-US"/>
        </w:rPr>
        <w:t>manī</w:t>
      </w:r>
      <w:r w:rsidRPr="0071345C">
        <w:rPr>
          <w:i/>
          <w:iCs/>
          <w:lang w:val="en-US"/>
        </w:rPr>
        <w:t>ṣ</w:t>
      </w:r>
      <w:r w:rsidRPr="0071345C">
        <w:rPr>
          <w:i/>
          <w:iCs/>
          <w:lang w:val="en-US"/>
        </w:rPr>
        <w:t>ā́</w:t>
      </w:r>
      <w:r w:rsidRPr="0071345C">
        <w:rPr>
          <w:i/>
          <w:iCs/>
          <w:lang w:val="en-US"/>
        </w:rPr>
        <w:t>ṃ</w:t>
      </w:r>
      <w:r w:rsidRPr="0071345C">
        <w:rPr>
          <w:lang w:val="en-US"/>
        </w:rPr>
        <w:t xml:space="preserve"> (acc. f. sing.) from </w:t>
      </w:r>
      <w:r w:rsidRPr="0071345C">
        <w:rPr>
          <w:i/>
          <w:iCs/>
          <w:lang w:val="en-US"/>
        </w:rPr>
        <w:t>manī</w:t>
      </w:r>
      <w:r w:rsidRPr="0071345C">
        <w:rPr>
          <w:i/>
          <w:iCs/>
          <w:lang w:val="en-US"/>
        </w:rPr>
        <w:t>ṣ</w:t>
      </w:r>
      <w:r w:rsidRPr="0071345C">
        <w:rPr>
          <w:i/>
          <w:iCs/>
          <w:lang w:val="en-US"/>
        </w:rPr>
        <w:t>ā́</w:t>
      </w:r>
      <w:r w:rsidRPr="0071345C">
        <w:rPr>
          <w:lang w:val="en-US"/>
        </w:rPr>
        <w:t xml:space="preserve">-; for the meaning of the terms </w:t>
      </w:r>
      <w:r w:rsidRPr="0071345C">
        <w:rPr>
          <w:i/>
          <w:iCs/>
          <w:lang w:val="en-US"/>
        </w:rPr>
        <w:t>manī</w:t>
      </w:r>
      <w:r w:rsidRPr="0071345C">
        <w:rPr>
          <w:i/>
          <w:iCs/>
          <w:lang w:val="en-US"/>
        </w:rPr>
        <w:t>ṣ</w:t>
      </w:r>
      <w:r w:rsidRPr="0071345C">
        <w:rPr>
          <w:i/>
          <w:iCs/>
          <w:lang w:val="en-US"/>
        </w:rPr>
        <w:t>ā́</w:t>
      </w:r>
      <w:r w:rsidRPr="0071345C">
        <w:rPr>
          <w:lang w:val="en-US"/>
        </w:rPr>
        <w:t xml:space="preserve">- “poetic inspiration” and </w:t>
      </w:r>
      <w:r w:rsidRPr="0071345C">
        <w:rPr>
          <w:i/>
          <w:iCs/>
          <w:lang w:val="en-US"/>
        </w:rPr>
        <w:t>mánas</w:t>
      </w:r>
      <w:r w:rsidRPr="0071345C">
        <w:rPr>
          <w:lang w:val="en-US"/>
        </w:rPr>
        <w:t xml:space="preserve">- “thought, inspired thought”, from which </w:t>
      </w:r>
      <w:r w:rsidRPr="0071345C">
        <w:rPr>
          <w:i/>
          <w:iCs/>
          <w:lang w:val="en-US"/>
        </w:rPr>
        <w:t>manī</w:t>
      </w:r>
      <w:r w:rsidRPr="0071345C">
        <w:rPr>
          <w:i/>
          <w:iCs/>
          <w:lang w:val="en-US"/>
        </w:rPr>
        <w:t>ṣ</w:t>
      </w:r>
      <w:r w:rsidRPr="0071345C">
        <w:rPr>
          <w:i/>
          <w:iCs/>
          <w:lang w:val="en-US"/>
        </w:rPr>
        <w:t>ā́</w:t>
      </w:r>
      <w:r w:rsidRPr="0071345C">
        <w:rPr>
          <w:lang w:val="en-US"/>
        </w:rPr>
        <w:t xml:space="preserve">- is derived, see </w:t>
      </w:r>
      <w:r w:rsidRPr="0071345C">
        <w:rPr>
          <w:rStyle w:val="biblio-authorGEN"/>
          <w:sz w:val="18"/>
          <w:szCs w:val="15"/>
          <w:lang w:val="en-US"/>
        </w:rPr>
        <w:t>Thieme</w:t>
      </w:r>
      <w:r w:rsidRPr="0071345C">
        <w:rPr>
          <w:lang w:val="en-US"/>
        </w:rPr>
        <w:t xml:space="preserve"> 1967: 99-106, </w:t>
      </w:r>
      <w:r w:rsidRPr="0071345C">
        <w:rPr>
          <w:rStyle w:val="biblio-authorGEN"/>
          <w:sz w:val="18"/>
          <w:szCs w:val="15"/>
          <w:lang w:val="en-US"/>
        </w:rPr>
        <w:t>Gonda</w:t>
      </w:r>
      <w:r w:rsidRPr="0071345C">
        <w:rPr>
          <w:lang w:val="en-US"/>
        </w:rPr>
        <w:t xml:space="preserve"> 1963 and </w:t>
      </w:r>
      <w:r w:rsidRPr="0071345C">
        <w:rPr>
          <w:rStyle w:val="biblio-authorGEN"/>
          <w:sz w:val="18"/>
          <w:szCs w:val="15"/>
          <w:lang w:val="en-US"/>
        </w:rPr>
        <w:t>Maggi</w:t>
      </w:r>
      <w:r w:rsidRPr="0071345C">
        <w:rPr>
          <w:lang w:val="en-US"/>
        </w:rPr>
        <w:t xml:space="preserve"> 1989: 63-114.</w:t>
      </w:r>
    </w:p>
  </w:footnote>
  <w:footnote w:id="68">
    <w:p w14:paraId="012F6D8E"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vépasā</w:t>
      </w:r>
      <w:r w:rsidRPr="0071345C">
        <w:rPr>
          <w:lang w:val="en-US"/>
        </w:rPr>
        <w:t xml:space="preserve"> (instr. n. sing.</w:t>
      </w:r>
      <w:r w:rsidRPr="0071345C">
        <w:rPr>
          <w:lang w:val="en-US"/>
        </w:rPr>
        <w:t xml:space="preserve">) from </w:t>
      </w:r>
      <w:r w:rsidRPr="0071345C">
        <w:rPr>
          <w:i/>
          <w:iCs/>
          <w:lang w:val="en-US"/>
        </w:rPr>
        <w:t>vépas</w:t>
      </w:r>
      <w:r w:rsidRPr="0071345C">
        <w:rPr>
          <w:lang w:val="en-US"/>
        </w:rPr>
        <w:t xml:space="preserve">- “the quivering of divine inspiration”, for the ingressive value of the term, see </w:t>
      </w:r>
      <w:r w:rsidRPr="0071345C">
        <w:rPr>
          <w:rStyle w:val="biblio-authorGEN"/>
          <w:sz w:val="18"/>
          <w:szCs w:val="15"/>
          <w:lang w:val="en-US"/>
        </w:rPr>
        <w:t>Kümmel</w:t>
      </w:r>
      <w:r w:rsidRPr="0071345C">
        <w:rPr>
          <w:lang w:val="en-US"/>
        </w:rPr>
        <w:t xml:space="preserve"> 2000: 498-9.</w:t>
      </w:r>
    </w:p>
  </w:footnote>
  <w:footnote w:id="69">
    <w:p w14:paraId="138A7F4F"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mánma</w:t>
      </w:r>
      <w:r w:rsidRPr="0071345C">
        <w:rPr>
          <w:lang w:val="en-US"/>
        </w:rPr>
        <w:t xml:space="preserve"> (acc. n. sing.) from </w:t>
      </w:r>
      <w:r w:rsidRPr="0071345C">
        <w:rPr>
          <w:i/>
          <w:iCs/>
          <w:lang w:val="en-US"/>
        </w:rPr>
        <w:t>mánman</w:t>
      </w:r>
      <w:r w:rsidRPr="0071345C">
        <w:rPr>
          <w:lang w:val="en-US"/>
        </w:rPr>
        <w:t xml:space="preserve">- </w:t>
      </w:r>
      <w:r w:rsidRPr="0071345C">
        <w:rPr>
          <w:rStyle w:val="biblio-authorGEN"/>
          <w:sz w:val="18"/>
          <w:szCs w:val="15"/>
          <w:lang w:val="en-US"/>
        </w:rPr>
        <w:t>Geldner</w:t>
      </w:r>
      <w:r w:rsidRPr="0071345C">
        <w:rPr>
          <w:lang w:val="en-US"/>
        </w:rPr>
        <w:t xml:space="preserve"> (I 431) “Gedanken”, </w:t>
      </w:r>
      <w:r w:rsidRPr="0071345C">
        <w:rPr>
          <w:rStyle w:val="biblio-authorGEN"/>
          <w:sz w:val="18"/>
          <w:szCs w:val="15"/>
          <w:lang w:val="en-US"/>
        </w:rPr>
        <w:t>Renou</w:t>
      </w:r>
      <w:r w:rsidRPr="0071345C">
        <w:rPr>
          <w:lang w:val="en-US"/>
        </w:rPr>
        <w:t xml:space="preserve"> (XIII 14 and in particular I 2ff.) “évocation poétique”; followed in t</w:t>
      </w:r>
      <w:r w:rsidRPr="0071345C">
        <w:rPr>
          <w:lang w:val="en-US"/>
        </w:rPr>
        <w:t xml:space="preserve">he present translation is the interpretation by </w:t>
      </w:r>
      <w:r w:rsidRPr="0071345C">
        <w:rPr>
          <w:rStyle w:val="biblio-authorGEN"/>
          <w:sz w:val="18"/>
          <w:szCs w:val="15"/>
          <w:lang w:val="en-US"/>
        </w:rPr>
        <w:t>Gonda</w:t>
      </w:r>
      <w:r w:rsidRPr="0071345C">
        <w:rPr>
          <w:lang w:val="en-US"/>
        </w:rPr>
        <w:t xml:space="preserve"> 1963. </w:t>
      </w:r>
    </w:p>
  </w:footnote>
  <w:footnote w:id="70">
    <w:p w14:paraId="4342BF4F"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dhā́yase</w:t>
      </w:r>
      <w:r w:rsidRPr="0071345C">
        <w:rPr>
          <w:lang w:val="en-US"/>
        </w:rPr>
        <w:t xml:space="preserve"> (dat. n. sing.) from </w:t>
      </w:r>
      <w:r w:rsidRPr="0071345C">
        <w:rPr>
          <w:i/>
          <w:iCs/>
          <w:lang w:val="en-US"/>
        </w:rPr>
        <w:t>dhā́yas</w:t>
      </w:r>
      <w:r w:rsidRPr="0071345C">
        <w:rPr>
          <w:lang w:val="en-US"/>
        </w:rPr>
        <w:t xml:space="preserve">-, “the act of feeding” “nourishment”, here metaphorically referring to fire. </w:t>
      </w:r>
    </w:p>
  </w:footnote>
  <w:footnote w:id="71">
    <w:p w14:paraId="72B21539"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r̥tvij</w:t>
      </w:r>
      <w:r w:rsidRPr="0071345C">
        <w:rPr>
          <w:lang w:val="en-US"/>
        </w:rPr>
        <w:t xml:space="preserve"> - </w:t>
      </w:r>
      <w:r w:rsidRPr="0071345C">
        <w:rPr>
          <w:i/>
          <w:iCs/>
          <w:lang w:val="en-US"/>
        </w:rPr>
        <w:t>r̥tvíjam</w:t>
      </w:r>
      <w:r w:rsidRPr="0071345C">
        <w:rPr>
          <w:lang w:val="en-US"/>
        </w:rPr>
        <w:t xml:space="preserve"> (</w:t>
      </w:r>
      <w:r w:rsidRPr="0071345C">
        <w:rPr>
          <w:i/>
          <w:iCs/>
          <w:lang w:val="en-US"/>
        </w:rPr>
        <w:t>polyptoton</w:t>
      </w:r>
      <w:r w:rsidRPr="0071345C">
        <w:rPr>
          <w:lang w:val="en-US"/>
        </w:rPr>
        <w:t xml:space="preserve">) (nom. m. sing. and acc. m. sing.) from </w:t>
      </w:r>
      <w:r w:rsidRPr="0071345C">
        <w:rPr>
          <w:i/>
          <w:iCs/>
          <w:lang w:val="en-US"/>
        </w:rPr>
        <w:t>r̥tvíj</w:t>
      </w:r>
      <w:r w:rsidRPr="0071345C">
        <w:rPr>
          <w:lang w:val="en-US"/>
        </w:rPr>
        <w:t xml:space="preserve">- literally “he who sacrifices properly, according to the </w:t>
      </w:r>
      <w:r w:rsidRPr="0071345C">
        <w:rPr>
          <w:i/>
          <w:iCs/>
          <w:lang w:val="en-US"/>
        </w:rPr>
        <w:t>r̥tá</w:t>
      </w:r>
      <w:r w:rsidRPr="0071345C">
        <w:rPr>
          <w:lang w:val="en-US"/>
        </w:rPr>
        <w:t xml:space="preserve">-”. </w:t>
      </w:r>
    </w:p>
  </w:footnote>
  <w:footnote w:id="72">
    <w:p w14:paraId="34E513DC"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áram</w:t>
      </w:r>
      <w:r w:rsidRPr="0071345C">
        <w:rPr>
          <w:lang w:val="en-US"/>
        </w:rPr>
        <w:t xml:space="preserve"> (ind./ adv.) “suitable”, “in the right way” for Agni himself is to be the priest.</w:t>
      </w:r>
    </w:p>
  </w:footnote>
  <w:footnote w:id="73">
    <w:p w14:paraId="5337A4FB"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The human part has been completed, divine intervent</w:t>
      </w:r>
      <w:r w:rsidRPr="0071345C">
        <w:rPr>
          <w:lang w:val="en-US"/>
        </w:rPr>
        <w:t>ion is wanting, invoked. Again we have the concept of co-participation between the human and divine spheres, co-participation being the indispensable basis for the sacrifice.</w:t>
      </w:r>
    </w:p>
  </w:footnote>
  <w:footnote w:id="74">
    <w:p w14:paraId="18C104A8"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According to </w:t>
      </w:r>
      <w:r w:rsidRPr="0071345C">
        <w:rPr>
          <w:rStyle w:val="biblio-authorGEN"/>
          <w:sz w:val="18"/>
          <w:szCs w:val="15"/>
          <w:lang w:val="en-US"/>
        </w:rPr>
        <w:t>Geldner</w:t>
      </w:r>
      <w:r w:rsidRPr="0071345C">
        <w:rPr>
          <w:lang w:val="en-US"/>
        </w:rPr>
        <w:t xml:space="preserve"> (II 397 n.1a) and </w:t>
      </w:r>
      <w:r w:rsidRPr="0071345C">
        <w:rPr>
          <w:rStyle w:val="biblio-authorGEN"/>
          <w:sz w:val="18"/>
          <w:szCs w:val="15"/>
          <w:lang w:val="en-US"/>
        </w:rPr>
        <w:t>Renou</w:t>
      </w:r>
      <w:r w:rsidRPr="0071345C">
        <w:rPr>
          <w:lang w:val="en-US"/>
        </w:rPr>
        <w:t xml:space="preserve"> (XIV 36) the subject of </w:t>
      </w:r>
      <w:r w:rsidRPr="0071345C">
        <w:rPr>
          <w:i/>
          <w:iCs/>
          <w:lang w:val="en-US"/>
        </w:rPr>
        <w:t>ā́ gamad</w:t>
      </w:r>
      <w:r w:rsidRPr="0071345C">
        <w:rPr>
          <w:lang w:val="en-US"/>
        </w:rPr>
        <w:t xml:space="preserve"> i</w:t>
      </w:r>
      <w:r w:rsidRPr="0071345C">
        <w:rPr>
          <w:lang w:val="en-US"/>
        </w:rPr>
        <w:t xml:space="preserve">s Agni, while according to </w:t>
      </w:r>
      <w:r w:rsidRPr="0071345C">
        <w:rPr>
          <w:rStyle w:val="biblio-authorGEN"/>
          <w:sz w:val="18"/>
          <w:szCs w:val="15"/>
          <w:lang w:val="en-US"/>
        </w:rPr>
        <w:t>Oldenberg</w:t>
      </w:r>
      <w:r w:rsidRPr="0071345C">
        <w:rPr>
          <w:lang w:val="en-US"/>
        </w:rPr>
        <w:t xml:space="preserve"> (1912: 134 n. 1) the subject is the </w:t>
      </w:r>
      <w:r w:rsidRPr="0071345C">
        <w:rPr>
          <w:i/>
          <w:iCs/>
          <w:lang w:val="en-US"/>
        </w:rPr>
        <w:t>havi</w:t>
      </w:r>
      <w:r w:rsidRPr="0071345C">
        <w:rPr>
          <w:i/>
          <w:iCs/>
          <w:lang w:val="en-US"/>
        </w:rPr>
        <w:t>ṣ</w:t>
      </w:r>
      <w:r w:rsidRPr="0071345C">
        <w:rPr>
          <w:i/>
          <w:iCs/>
          <w:lang w:val="en-US"/>
        </w:rPr>
        <w:t>kr̥t</w:t>
      </w:r>
      <w:r w:rsidRPr="0071345C">
        <w:rPr>
          <w:lang w:val="en-US"/>
        </w:rPr>
        <w:t>, i.e. the ritual exclamation “</w:t>
      </w:r>
      <w:r w:rsidRPr="0071345C">
        <w:rPr>
          <w:i/>
          <w:iCs/>
          <w:lang w:val="en-US"/>
        </w:rPr>
        <w:t>havi</w:t>
      </w:r>
      <w:r w:rsidRPr="0071345C">
        <w:rPr>
          <w:i/>
          <w:iCs/>
          <w:lang w:val="en-US"/>
        </w:rPr>
        <w:t>ṣ</w:t>
      </w:r>
      <w:r w:rsidRPr="0071345C">
        <w:rPr>
          <w:i/>
          <w:iCs/>
          <w:lang w:val="en-US"/>
        </w:rPr>
        <w:t xml:space="preserve"> kr̥d éhi</w:t>
      </w:r>
      <w:r w:rsidRPr="0071345C">
        <w:rPr>
          <w:lang w:val="en-US"/>
        </w:rPr>
        <w:t xml:space="preserve">” (for a description of the ritual cf. </w:t>
      </w:r>
      <w:r w:rsidRPr="0071345C">
        <w:rPr>
          <w:rStyle w:val="biblio-authorGEN"/>
          <w:sz w:val="18"/>
          <w:szCs w:val="18"/>
          <w:lang w:val="en-US"/>
        </w:rPr>
        <w:t>Caland-Henry</w:t>
      </w:r>
      <w:r w:rsidRPr="0071345C">
        <w:rPr>
          <w:lang w:val="en-US"/>
        </w:rPr>
        <w:t xml:space="preserve"> 1906: 135 and </w:t>
      </w:r>
      <w:r w:rsidRPr="0071345C">
        <w:rPr>
          <w:rStyle w:val="biblio-authorGEN"/>
          <w:sz w:val="18"/>
          <w:szCs w:val="15"/>
          <w:lang w:val="en-US"/>
        </w:rPr>
        <w:t>Hillebrandt</w:t>
      </w:r>
      <w:r w:rsidRPr="0071345C">
        <w:rPr>
          <w:lang w:val="en-US"/>
        </w:rPr>
        <w:t xml:space="preserve"> 1879: 29).</w:t>
      </w:r>
    </w:p>
  </w:footnote>
  <w:footnote w:id="75">
    <w:p w14:paraId="3FDC61D8"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With regard to </w:t>
      </w:r>
      <w:r w:rsidRPr="0071345C">
        <w:rPr>
          <w:i/>
          <w:iCs/>
          <w:lang w:val="en-US"/>
        </w:rPr>
        <w:t>havi</w:t>
      </w:r>
      <w:r w:rsidRPr="0071345C">
        <w:rPr>
          <w:i/>
          <w:iCs/>
          <w:lang w:val="en-US"/>
        </w:rPr>
        <w:t>ṣ</w:t>
      </w:r>
      <w:r w:rsidRPr="0071345C">
        <w:rPr>
          <w:i/>
          <w:iCs/>
          <w:lang w:val="en-US"/>
        </w:rPr>
        <w:t>kr̥t-</w:t>
      </w:r>
      <w:r w:rsidRPr="0071345C">
        <w:rPr>
          <w:lang w:val="en-US"/>
        </w:rPr>
        <w:t>, in the init</w:t>
      </w:r>
      <w:r w:rsidRPr="0071345C">
        <w:rPr>
          <w:lang w:val="en-US"/>
        </w:rPr>
        <w:t xml:space="preserve">ial stage of the sacrifice, as interpreted by </w:t>
      </w:r>
      <w:r w:rsidRPr="0071345C">
        <w:rPr>
          <w:rStyle w:val="biblio-authorGEN"/>
          <w:sz w:val="18"/>
          <w:szCs w:val="15"/>
          <w:lang w:val="en-US"/>
        </w:rPr>
        <w:t>Oldenberg</w:t>
      </w:r>
      <w:r w:rsidRPr="0071345C">
        <w:rPr>
          <w:lang w:val="en-US"/>
        </w:rPr>
        <w:t xml:space="preserve"> 1912: 134 n. 1.</w:t>
      </w:r>
    </w:p>
  </w:footnote>
  <w:footnote w:id="76">
    <w:p w14:paraId="04A279E2"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haví</w:t>
      </w:r>
      <w:r w:rsidRPr="0071345C">
        <w:rPr>
          <w:i/>
          <w:iCs/>
          <w:lang w:val="en-US"/>
        </w:rPr>
        <w:t>ṣ</w:t>
      </w:r>
      <w:r w:rsidRPr="0071345C">
        <w:rPr>
          <w:i/>
          <w:iCs/>
          <w:lang w:val="en-US"/>
        </w:rPr>
        <w:t>ā́va: haví</w:t>
      </w:r>
      <w:r w:rsidRPr="0071345C">
        <w:rPr>
          <w:i/>
          <w:iCs/>
          <w:lang w:val="en-US"/>
        </w:rPr>
        <w:t>ṣ</w:t>
      </w:r>
      <w:r w:rsidRPr="0071345C">
        <w:rPr>
          <w:i/>
          <w:iCs/>
          <w:lang w:val="en-US"/>
        </w:rPr>
        <w:t>ā ava, haví</w:t>
      </w:r>
      <w:r w:rsidRPr="0071345C">
        <w:rPr>
          <w:i/>
          <w:iCs/>
          <w:lang w:val="en-US"/>
        </w:rPr>
        <w:t>ṣ</w:t>
      </w:r>
      <w:r w:rsidRPr="0071345C">
        <w:rPr>
          <w:i/>
          <w:iCs/>
          <w:lang w:val="en-US"/>
        </w:rPr>
        <w:t>ā</w:t>
      </w:r>
      <w:r w:rsidRPr="0071345C">
        <w:rPr>
          <w:lang w:val="en-US"/>
        </w:rPr>
        <w:t xml:space="preserve"> (instr. n. sing.) from </w:t>
      </w:r>
      <w:r w:rsidRPr="0071345C">
        <w:rPr>
          <w:i/>
          <w:iCs/>
          <w:lang w:val="en-US"/>
        </w:rPr>
        <w:t>havís</w:t>
      </w:r>
      <w:r w:rsidRPr="0071345C">
        <w:rPr>
          <w:lang w:val="en-US"/>
        </w:rPr>
        <w:t>- “oblation” “offering”, but also by metonymy “the container” which is placed under the offering itself, the soma which flo</w:t>
      </w:r>
      <w:r w:rsidRPr="0071345C">
        <w:rPr>
          <w:lang w:val="en-US"/>
        </w:rPr>
        <w:t>ws.</w:t>
      </w:r>
    </w:p>
  </w:footnote>
  <w:footnote w:id="77">
    <w:p w14:paraId="682A817B"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A seer associated with the Aśvin and opposed to Tūrvayā</w:t>
      </w:r>
      <w:r w:rsidRPr="0071345C">
        <w:rPr>
          <w:lang w:val="en-US"/>
        </w:rPr>
        <w:t>ṇ</w:t>
      </w:r>
      <w:r w:rsidRPr="0071345C">
        <w:rPr>
          <w:lang w:val="en-US"/>
        </w:rPr>
        <w:t xml:space="preserve">a, a prince associated with Indra, cf. </w:t>
      </w:r>
      <w:r w:rsidRPr="0071345C">
        <w:rPr>
          <w:rStyle w:val="biblio-authorGEN"/>
          <w:sz w:val="18"/>
          <w:szCs w:val="18"/>
          <w:lang w:val="en-US"/>
        </w:rPr>
        <w:t>Macdonell- Keith [</w:t>
      </w:r>
      <w:r w:rsidRPr="0071345C">
        <w:rPr>
          <w:lang w:val="en-US"/>
        </w:rPr>
        <w:t xml:space="preserve">1912] 1995: I 264-5 and above all Pischel (in </w:t>
      </w:r>
      <w:r w:rsidRPr="0071345C">
        <w:rPr>
          <w:rStyle w:val="biblio-authorGEN"/>
          <w:sz w:val="18"/>
          <w:szCs w:val="18"/>
          <w:lang w:val="en-US"/>
        </w:rPr>
        <w:t xml:space="preserve">Pischel-Geldner </w:t>
      </w:r>
      <w:r w:rsidRPr="0071345C">
        <w:rPr>
          <w:lang w:val="en-US"/>
        </w:rPr>
        <w:t>1889-1901: I, 71-77), according to whom these particularly obscure verses r</w:t>
      </w:r>
      <w:r w:rsidRPr="0071345C">
        <w:rPr>
          <w:lang w:val="en-US"/>
        </w:rPr>
        <w:t>efer to an ancient saga, a few details of which are given in MBh. 3, 122-124, in which Cyavana, having taken the soma, offered a sacrifice to the Aśvin against the will of Indra, attempting to trick him, and so relying on a dishonest sacrifice; in this sen</w:t>
      </w:r>
      <w:r w:rsidRPr="0071345C">
        <w:rPr>
          <w:lang w:val="en-US"/>
        </w:rPr>
        <w:t xml:space="preserve">se Cyavana </w:t>
      </w:r>
      <w:r w:rsidRPr="0071345C">
        <w:rPr>
          <w:i/>
          <w:iCs/>
          <w:lang w:val="en-US"/>
        </w:rPr>
        <w:t>dānā́ya dábhyāya vanván</w:t>
      </w:r>
      <w:r w:rsidRPr="0071345C">
        <w:rPr>
          <w:lang w:val="en-US"/>
        </w:rPr>
        <w:t xml:space="preserve">. </w:t>
      </w:r>
    </w:p>
  </w:footnote>
  <w:footnote w:id="78">
    <w:p w14:paraId="41B6363B"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The interpretation that Pischel (ibid. 74) offers of the passage seems itself to suggest the meaning of </w:t>
      </w:r>
      <w:r w:rsidRPr="0071345C">
        <w:rPr>
          <w:i/>
          <w:iCs/>
          <w:lang w:val="en-US"/>
        </w:rPr>
        <w:t>van</w:t>
      </w:r>
      <w:r w:rsidRPr="0071345C">
        <w:rPr>
          <w:lang w:val="en-US"/>
        </w:rPr>
        <w:t>- as a ritual action ‘to appropriate’, ‘to have enter the circle of the rite’ ‘to have [the gods] enter the ci</w:t>
      </w:r>
      <w:r w:rsidRPr="0071345C">
        <w:rPr>
          <w:lang w:val="en-US"/>
        </w:rPr>
        <w:t>rcle of the rite’.</w:t>
      </w:r>
    </w:p>
  </w:footnote>
  <w:footnote w:id="79">
    <w:p w14:paraId="064B5A84" w14:textId="77777777" w:rsidR="00E53EB6" w:rsidRPr="00B80C6B" w:rsidRDefault="006500F5">
      <w:pPr>
        <w:pStyle w:val="FootnoteText"/>
        <w:suppressLineNumbers/>
        <w:spacing w:line="210" w:lineRule="exact"/>
        <w:ind w:left="240" w:hanging="240"/>
        <w:jc w:val="both"/>
        <w:rPr>
          <w:lang w:val="en-US"/>
        </w:rPr>
      </w:pPr>
      <w:r>
        <w:rPr>
          <w:rStyle w:val="FootnoteCharacters"/>
        </w:rPr>
        <w:footnoteRef/>
      </w:r>
      <w:r w:rsidRPr="00B80C6B">
        <w:rPr>
          <w:i/>
          <w:iCs/>
          <w:lang w:val="en-US"/>
        </w:rPr>
        <w:tab/>
        <w:t>sū́dair</w:t>
      </w:r>
      <w:r w:rsidRPr="00B80C6B">
        <w:rPr>
          <w:lang w:val="en-US"/>
        </w:rPr>
        <w:t xml:space="preserve"> (instr. m. pl.) from </w:t>
      </w:r>
      <w:r w:rsidRPr="00B80C6B">
        <w:rPr>
          <w:i/>
          <w:iCs/>
          <w:lang w:val="en-US"/>
        </w:rPr>
        <w:t>sū́da</w:t>
      </w:r>
      <w:r w:rsidRPr="00B80C6B">
        <w:rPr>
          <w:lang w:val="en-US"/>
        </w:rPr>
        <w:t>-, for the meaning of the term as “decoction” (</w:t>
      </w:r>
      <w:r w:rsidRPr="00B80C6B">
        <w:rPr>
          <w:i/>
          <w:iCs/>
          <w:lang w:val="en-US"/>
        </w:rPr>
        <w:t>scil</w:t>
      </w:r>
      <w:r w:rsidRPr="00B80C6B">
        <w:rPr>
          <w:lang w:val="en-US"/>
        </w:rPr>
        <w:t>. of soma) cf. Pischel (ibid. 74).</w:t>
      </w:r>
    </w:p>
  </w:footnote>
  <w:footnote w:id="80">
    <w:p w14:paraId="13DC2EB5"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Pr>
          <w:i/>
        </w:rPr>
        <w:tab/>
        <w:t xml:space="preserve">pravát- </w:t>
      </w:r>
      <w:r>
        <w:t xml:space="preserve">(f.): </w:t>
      </w:r>
      <w:r>
        <w:rPr>
          <w:rStyle w:val="biblio-authorGEN"/>
          <w:sz w:val="18"/>
          <w:szCs w:val="18"/>
        </w:rPr>
        <w:t>Grassmann 1875</w:t>
      </w:r>
      <w:r>
        <w:rPr>
          <w:rStyle w:val="biblio-authorGEN"/>
          <w:sz w:val="18"/>
          <w:szCs w:val="15"/>
        </w:rPr>
        <w:t xml:space="preserve"> </w:t>
      </w:r>
      <w:r>
        <w:rPr>
          <w:rStyle w:val="biblio-authorGEN"/>
          <w:sz w:val="18"/>
          <w:szCs w:val="18"/>
        </w:rPr>
        <w:t>[</w:t>
      </w:r>
      <w:r>
        <w:rPr>
          <w:sz w:val="18"/>
          <w:szCs w:val="18"/>
        </w:rPr>
        <w:t>ed</w:t>
      </w:r>
      <w:r>
        <w:rPr>
          <w:rStyle w:val="biblio-authorGEN"/>
          <w:sz w:val="18"/>
          <w:szCs w:val="18"/>
        </w:rPr>
        <w:t>. 1996: 880-881]: “</w:t>
      </w:r>
      <w:r>
        <w:t xml:space="preserve">Bergabhang […] abwärts führender Weg” </w:t>
      </w:r>
      <w:r>
        <w:rPr>
          <w:rStyle w:val="biblio-authorGEN"/>
          <w:sz w:val="18"/>
          <w:szCs w:val="15"/>
        </w:rPr>
        <w:t>Geldner</w:t>
      </w:r>
      <w:r>
        <w:t xml:space="preserve"> II 42: “Vorsprung”, whereas EWAia: II 183 “Vorwärtsdrang [] InstrSg mit Vorwärtsdrang, in vollem Lauf (u.a. von Flüssen)”. </w:t>
      </w:r>
      <w:r w:rsidRPr="0071345C">
        <w:rPr>
          <w:lang w:val="en-US"/>
        </w:rPr>
        <w:t>The present translation tries to give back what could be the core of the world, that is the speed and precipitate movement, being it</w:t>
      </w:r>
      <w:r w:rsidRPr="0071345C">
        <w:rPr>
          <w:lang w:val="en-US"/>
        </w:rPr>
        <w:t xml:space="preserve"> connected with waters or not.</w:t>
      </w:r>
    </w:p>
  </w:footnote>
  <w:footnote w:id="81">
    <w:p w14:paraId="00F88470"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dhībhí</w:t>
      </w:r>
      <w:r w:rsidRPr="0071345C">
        <w:rPr>
          <w:i/>
          <w:iCs/>
          <w:lang w:val="en-US"/>
        </w:rPr>
        <w:t>ḥ</w:t>
      </w:r>
      <w:r w:rsidRPr="0071345C">
        <w:rPr>
          <w:lang w:val="en-US"/>
        </w:rPr>
        <w:t xml:space="preserve"> (instr. f. pl.) from </w:t>
      </w:r>
      <w:r w:rsidRPr="0071345C">
        <w:rPr>
          <w:i/>
          <w:iCs/>
          <w:lang w:val="en-US"/>
        </w:rPr>
        <w:t>dhī́</w:t>
      </w:r>
      <w:r w:rsidRPr="0071345C">
        <w:rPr>
          <w:lang w:val="en-US"/>
        </w:rPr>
        <w:t xml:space="preserve">-, there is no general agreement on the meaning of the term; the present translation follows the interpretation proposed by </w:t>
      </w:r>
      <w:r w:rsidRPr="0071345C">
        <w:rPr>
          <w:rStyle w:val="biblio-authorGEN"/>
          <w:sz w:val="18"/>
          <w:szCs w:val="15"/>
          <w:lang w:val="en-US"/>
        </w:rPr>
        <w:t>Gonda</w:t>
      </w:r>
      <w:r w:rsidRPr="0071345C">
        <w:rPr>
          <w:lang w:val="en-US"/>
        </w:rPr>
        <w:t xml:space="preserve"> (1963, in particular 68-169), </w:t>
      </w:r>
      <w:r w:rsidRPr="0071345C">
        <w:rPr>
          <w:rStyle w:val="biblio-authorGEN"/>
          <w:sz w:val="18"/>
          <w:szCs w:val="15"/>
          <w:lang w:val="en-US"/>
        </w:rPr>
        <w:t>Geldner</w:t>
      </w:r>
      <w:r w:rsidRPr="0071345C">
        <w:rPr>
          <w:lang w:val="en-US"/>
        </w:rPr>
        <w:t xml:space="preserve"> (II 219): “Absichten” </w:t>
      </w:r>
      <w:r w:rsidRPr="0071345C">
        <w:rPr>
          <w:lang w:val="en-US"/>
        </w:rPr>
        <w:t xml:space="preserve">(intenzioni) </w:t>
      </w:r>
      <w:r w:rsidRPr="0071345C">
        <w:rPr>
          <w:rStyle w:val="biblio-authorGEN"/>
          <w:sz w:val="18"/>
          <w:szCs w:val="15"/>
          <w:lang w:val="en-US"/>
        </w:rPr>
        <w:t>Renou</w:t>
      </w:r>
      <w:r w:rsidRPr="0071345C">
        <w:rPr>
          <w:lang w:val="en-US"/>
        </w:rPr>
        <w:t xml:space="preserve"> (V 43): “poèmes”.</w:t>
      </w:r>
    </w:p>
  </w:footnote>
  <w:footnote w:id="82">
    <w:p w14:paraId="58FD7662"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ūtī́</w:t>
      </w:r>
      <w:r w:rsidRPr="0071345C">
        <w:rPr>
          <w:lang w:val="en-US"/>
        </w:rPr>
        <w:t xml:space="preserve"> (instr. f. sing.) from </w:t>
      </w:r>
      <w:r w:rsidRPr="0071345C">
        <w:rPr>
          <w:i/>
          <w:iCs/>
          <w:lang w:val="en-US"/>
        </w:rPr>
        <w:t>utí</w:t>
      </w:r>
      <w:r w:rsidRPr="0071345C">
        <w:rPr>
          <w:lang w:val="en-US"/>
        </w:rPr>
        <w:t xml:space="preserve">- “help”, for </w:t>
      </w:r>
      <w:r w:rsidRPr="0071345C">
        <w:rPr>
          <w:i/>
          <w:iCs/>
          <w:lang w:val="en-US"/>
        </w:rPr>
        <w:t>ūtī́</w:t>
      </w:r>
      <w:r w:rsidRPr="0071345C">
        <w:rPr>
          <w:lang w:val="en-US"/>
        </w:rPr>
        <w:t xml:space="preserve"> used in the plural cf. </w:t>
      </w:r>
      <w:r w:rsidRPr="0071345C">
        <w:rPr>
          <w:rStyle w:val="biblio-authorGEN"/>
          <w:sz w:val="18"/>
          <w:szCs w:val="15"/>
          <w:lang w:val="en-US"/>
        </w:rPr>
        <w:t>Delbrück</w:t>
      </w:r>
      <w:r w:rsidRPr="0071345C">
        <w:rPr>
          <w:lang w:val="en-US"/>
        </w:rPr>
        <w:t xml:space="preserve"> 1888: 80, according to </w:t>
      </w:r>
      <w:r w:rsidRPr="0071345C">
        <w:rPr>
          <w:rStyle w:val="biblio-authorGEN"/>
          <w:sz w:val="18"/>
          <w:szCs w:val="15"/>
          <w:lang w:val="en-US"/>
        </w:rPr>
        <w:t>Geldner</w:t>
      </w:r>
      <w:r w:rsidRPr="0071345C">
        <w:rPr>
          <w:lang w:val="en-US"/>
        </w:rPr>
        <w:t xml:space="preserve"> (II 117): “Hilfen” and </w:t>
      </w:r>
      <w:r w:rsidRPr="0071345C">
        <w:rPr>
          <w:rStyle w:val="biblio-authorGEN"/>
          <w:sz w:val="18"/>
          <w:szCs w:val="15"/>
          <w:lang w:val="en-US"/>
        </w:rPr>
        <w:t>Renou</w:t>
      </w:r>
      <w:r w:rsidRPr="0071345C">
        <w:rPr>
          <w:lang w:val="en-US"/>
        </w:rPr>
        <w:t xml:space="preserve"> (V 43): “allouées”.</w:t>
      </w:r>
    </w:p>
  </w:footnote>
  <w:footnote w:id="83">
    <w:p w14:paraId="0EB36233"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It is the offspring and cattle that make old age bene</w:t>
      </w:r>
      <w:r w:rsidRPr="0071345C">
        <w:rPr>
          <w:lang w:val="en-US"/>
        </w:rPr>
        <w:t xml:space="preserve">volent, and the mortal brings the gods to his side to obtain these assets. </w:t>
      </w:r>
    </w:p>
  </w:footnote>
  <w:footnote w:id="84">
    <w:p w14:paraId="12CB003E"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Nírr̥ti</w:t>
      </w:r>
      <w:r w:rsidRPr="0071345C">
        <w:rPr>
          <w:lang w:val="en-US"/>
        </w:rPr>
        <w:t xml:space="preserve">, goddess of disorder, destruction and death, but also of non-death as ageing, cf. </w:t>
      </w:r>
      <w:r w:rsidRPr="0071345C">
        <w:rPr>
          <w:rStyle w:val="biblio-authorGEN"/>
          <w:sz w:val="18"/>
          <w:szCs w:val="15"/>
          <w:lang w:val="en-US"/>
        </w:rPr>
        <w:t>Renou</w:t>
      </w:r>
      <w:r w:rsidRPr="0071345C">
        <w:rPr>
          <w:lang w:val="en-US"/>
        </w:rPr>
        <w:t xml:space="preserve"> 1978: 127-132.</w:t>
      </w:r>
    </w:p>
  </w:footnote>
  <w:footnote w:id="85">
    <w:p w14:paraId="10D50977"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dhāsím</w:t>
      </w:r>
      <w:r w:rsidRPr="0071345C">
        <w:rPr>
          <w:lang w:val="en-US"/>
        </w:rPr>
        <w:t xml:space="preserve"> (acc. f. sing.) from </w:t>
      </w:r>
      <w:r w:rsidRPr="0071345C">
        <w:rPr>
          <w:i/>
          <w:iCs/>
          <w:lang w:val="en-US"/>
        </w:rPr>
        <w:t>dhāsí</w:t>
      </w:r>
      <w:r w:rsidRPr="0071345C">
        <w:rPr>
          <w:lang w:val="en-US"/>
        </w:rPr>
        <w:t>- “place, dwelling”, but also “f</w:t>
      </w:r>
      <w:r w:rsidRPr="0071345C">
        <w:rPr>
          <w:lang w:val="en-US"/>
        </w:rPr>
        <w:t xml:space="preserve">reshness, fount” cf. EWAia: I 790-1 and in particular </w:t>
      </w:r>
      <w:r w:rsidRPr="0071345C">
        <w:rPr>
          <w:rStyle w:val="biblio-authorGEN"/>
          <w:sz w:val="18"/>
          <w:szCs w:val="15"/>
          <w:lang w:val="en-US"/>
        </w:rPr>
        <w:t>Janert</w:t>
      </w:r>
      <w:r w:rsidRPr="0071345C">
        <w:rPr>
          <w:lang w:val="en-US"/>
        </w:rPr>
        <w:t xml:space="preserve"> 1956.</w:t>
      </w:r>
    </w:p>
  </w:footnote>
  <w:footnote w:id="86">
    <w:p w14:paraId="57D8E3E2"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vipravāhasā</w:t>
      </w:r>
      <w:r w:rsidRPr="0071345C">
        <w:rPr>
          <w:lang w:val="en-US"/>
        </w:rPr>
        <w:t xml:space="preserve"> (acc. m. du.) from </w:t>
      </w:r>
      <w:r w:rsidRPr="0071345C">
        <w:rPr>
          <w:i/>
          <w:iCs/>
          <w:lang w:val="en-US"/>
        </w:rPr>
        <w:t>vípravāhas</w:t>
      </w:r>
      <w:r w:rsidRPr="0071345C">
        <w:rPr>
          <w:lang w:val="en-US"/>
        </w:rPr>
        <w:t xml:space="preserve">- (m. f. n.) “who receives the offerings of the wise one”, </w:t>
      </w:r>
      <w:r w:rsidRPr="0071345C">
        <w:rPr>
          <w:rStyle w:val="biblio-authorGEN"/>
          <w:sz w:val="18"/>
          <w:szCs w:val="15"/>
          <w:lang w:val="en-US"/>
        </w:rPr>
        <w:t>Geldner</w:t>
      </w:r>
      <w:r w:rsidRPr="0071345C">
        <w:rPr>
          <w:lang w:val="en-US"/>
        </w:rPr>
        <w:t xml:space="preserve"> II 78 “für welche die Redekundigen eine Anziehungskraft (force of attraction) h</w:t>
      </w:r>
      <w:r w:rsidRPr="0071345C">
        <w:rPr>
          <w:lang w:val="en-US"/>
        </w:rPr>
        <w:t xml:space="preserve">aben”, according to </w:t>
      </w:r>
      <w:r w:rsidRPr="0071345C">
        <w:rPr>
          <w:rStyle w:val="biblio-authorGEN"/>
          <w:sz w:val="18"/>
          <w:szCs w:val="15"/>
          <w:lang w:val="en-US"/>
        </w:rPr>
        <w:t>Renou</w:t>
      </w:r>
      <w:r w:rsidRPr="0071345C">
        <w:rPr>
          <w:lang w:val="en-US"/>
        </w:rPr>
        <w:t xml:space="preserve"> (XVI 39) it is a substantive constructed on the model of </w:t>
      </w:r>
      <w:r w:rsidRPr="0071345C">
        <w:rPr>
          <w:i/>
          <w:iCs/>
          <w:lang w:val="en-US"/>
        </w:rPr>
        <w:t>yajñá-vāha, stóma-vāha</w:t>
      </w:r>
      <w:r w:rsidRPr="0071345C">
        <w:rPr>
          <w:lang w:val="en-US"/>
        </w:rPr>
        <w:t>.</w:t>
      </w:r>
    </w:p>
  </w:footnote>
  <w:footnote w:id="87">
    <w:p w14:paraId="36AB4425"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The desiderative conjugation often implies a conative and non perfective value. As mentioned before, on desiderative see </w:t>
      </w:r>
      <w:r w:rsidRPr="0071345C">
        <w:rPr>
          <w:rStyle w:val="biblio-authorGEN"/>
          <w:sz w:val="18"/>
          <w:szCs w:val="18"/>
          <w:lang w:val="en-US"/>
        </w:rPr>
        <w:t>Heenen</w:t>
      </w:r>
      <w:r w:rsidRPr="0071345C">
        <w:rPr>
          <w:lang w:val="en-US"/>
        </w:rPr>
        <w:t xml:space="preserve"> 2006.</w:t>
      </w:r>
    </w:p>
  </w:footnote>
  <w:footnote w:id="88">
    <w:p w14:paraId="6362209F"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One of the </w:t>
      </w:r>
      <w:r w:rsidRPr="0071345C">
        <w:rPr>
          <w:lang w:val="en-US"/>
        </w:rPr>
        <w:t xml:space="preserve">divinities of the Vedic pantheon, father of the Aśvin and of Yama, among the first to whom Agni manifests himself, and of whom, as here, he becomes messenger, see </w:t>
      </w:r>
      <w:r w:rsidRPr="0071345C">
        <w:rPr>
          <w:rStyle w:val="biblio-authorGEN"/>
          <w:sz w:val="18"/>
          <w:szCs w:val="15"/>
          <w:lang w:val="en-US"/>
        </w:rPr>
        <w:t>Macdonell</w:t>
      </w:r>
      <w:r w:rsidRPr="0071345C">
        <w:rPr>
          <w:lang w:val="en-US"/>
        </w:rPr>
        <w:t xml:space="preserve"> 1898: §18. </w:t>
      </w:r>
    </w:p>
  </w:footnote>
  <w:footnote w:id="89">
    <w:p w14:paraId="468A6427"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For the causal value of the instrumental, cf. </w:t>
      </w:r>
      <w:r w:rsidRPr="0071345C">
        <w:rPr>
          <w:rStyle w:val="biblio-authorGEN"/>
          <w:sz w:val="18"/>
          <w:szCs w:val="15"/>
          <w:lang w:val="en-US"/>
        </w:rPr>
        <w:t>Macdonell</w:t>
      </w:r>
      <w:r w:rsidRPr="0071345C">
        <w:rPr>
          <w:lang w:val="en-US"/>
        </w:rPr>
        <w:t xml:space="preserve"> 1916: §199.3.</w:t>
      </w:r>
    </w:p>
  </w:footnote>
  <w:footnote w:id="90">
    <w:p w14:paraId="463117B1"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sapráthā</w:t>
      </w:r>
      <w:r w:rsidRPr="0071345C">
        <w:rPr>
          <w:lang w:val="en-US"/>
        </w:rPr>
        <w:t xml:space="preserve"> </w:t>
      </w:r>
      <w:r w:rsidRPr="0071345C">
        <w:rPr>
          <w:i/>
          <w:iCs/>
          <w:lang w:val="en-US"/>
        </w:rPr>
        <w:t>asi</w:t>
      </w:r>
      <w:r w:rsidRPr="0071345C">
        <w:rPr>
          <w:lang w:val="en-US"/>
        </w:rPr>
        <w:t>: “you are vast (</w:t>
      </w:r>
      <w:r w:rsidRPr="0071345C">
        <w:rPr>
          <w:i/>
          <w:iCs/>
          <w:lang w:val="en-US"/>
        </w:rPr>
        <w:t>sapráthā</w:t>
      </w:r>
      <w:r w:rsidRPr="0071345C">
        <w:rPr>
          <w:i/>
          <w:iCs/>
          <w:lang w:val="en-US"/>
        </w:rPr>
        <w:t>ḥ</w:t>
      </w:r>
      <w:r w:rsidRPr="0071345C">
        <w:rPr>
          <w:lang w:val="en-US"/>
        </w:rPr>
        <w:t xml:space="preserve"> nom. m. sing.)” and so also “known”, hence for </w:t>
      </w:r>
      <w:r w:rsidRPr="0071345C">
        <w:rPr>
          <w:rStyle w:val="biblio-authorGEN"/>
          <w:sz w:val="18"/>
          <w:szCs w:val="15"/>
          <w:lang w:val="en-US"/>
        </w:rPr>
        <w:t>Geldner</w:t>
      </w:r>
      <w:r w:rsidRPr="0071345C">
        <w:rPr>
          <w:lang w:val="en-US"/>
        </w:rPr>
        <w:t xml:space="preserve"> (II 381) “weitbekannt”; our preference here is to maintain the spatial value.</w:t>
      </w:r>
    </w:p>
  </w:footnote>
  <w:footnote w:id="91">
    <w:p w14:paraId="6466ADE0"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r̥tás kaví</w:t>
      </w:r>
      <w:r w:rsidRPr="0071345C">
        <w:rPr>
          <w:i/>
          <w:iCs/>
          <w:lang w:val="en-US"/>
        </w:rPr>
        <w:t>ḥ</w:t>
      </w:r>
      <w:r w:rsidRPr="0071345C">
        <w:rPr>
          <w:i/>
          <w:iCs/>
          <w:lang w:val="en-US"/>
        </w:rPr>
        <w:t>: r̥tás</w:t>
      </w:r>
      <w:r w:rsidRPr="0071345C">
        <w:rPr>
          <w:lang w:val="en-US"/>
        </w:rPr>
        <w:t xml:space="preserve">: nom. masc. sing.; </w:t>
      </w:r>
      <w:r w:rsidRPr="0071345C">
        <w:rPr>
          <w:i/>
          <w:iCs/>
          <w:lang w:val="en-US"/>
        </w:rPr>
        <w:t>r̥tá</w:t>
      </w:r>
      <w:r w:rsidRPr="0071345C">
        <w:rPr>
          <w:lang w:val="en-US"/>
        </w:rPr>
        <w:t>- , a term with a wide range of meani</w:t>
      </w:r>
      <w:r w:rsidRPr="0071345C">
        <w:rPr>
          <w:lang w:val="en-US"/>
        </w:rPr>
        <w:t xml:space="preserve">ngs, here in a particularly rare form: it cannot, in fact, be considered a neutral substantive, but either an adjective derived from it and referring to </w:t>
      </w:r>
      <w:r w:rsidRPr="0071345C">
        <w:rPr>
          <w:i/>
          <w:iCs/>
          <w:lang w:val="en-US"/>
        </w:rPr>
        <w:t>kaví</w:t>
      </w:r>
      <w:r w:rsidRPr="0071345C">
        <w:rPr>
          <w:i/>
          <w:iCs/>
          <w:lang w:val="en-US"/>
        </w:rPr>
        <w:t>ḥ</w:t>
      </w:r>
      <w:r w:rsidRPr="0071345C">
        <w:rPr>
          <w:lang w:val="en-US"/>
        </w:rPr>
        <w:t xml:space="preserve"> (the just </w:t>
      </w:r>
      <w:r w:rsidRPr="0071345C">
        <w:rPr>
          <w:i/>
          <w:iCs/>
          <w:lang w:val="en-US"/>
        </w:rPr>
        <w:t>kaví</w:t>
      </w:r>
      <w:r w:rsidRPr="0071345C">
        <w:rPr>
          <w:i/>
          <w:iCs/>
          <w:lang w:val="en-US"/>
        </w:rPr>
        <w:t>ḥ</w:t>
      </w:r>
      <w:r w:rsidRPr="0071345C">
        <w:rPr>
          <w:lang w:val="en-US"/>
        </w:rPr>
        <w:t xml:space="preserve">), or a masculine substantive, and so on in apposition to </w:t>
      </w:r>
      <w:r w:rsidRPr="0071345C">
        <w:rPr>
          <w:i/>
          <w:iCs/>
          <w:lang w:val="en-US"/>
        </w:rPr>
        <w:t>kaví</w:t>
      </w:r>
      <w:r w:rsidRPr="0071345C">
        <w:rPr>
          <w:i/>
          <w:iCs/>
          <w:lang w:val="en-US"/>
        </w:rPr>
        <w:t>ḥ</w:t>
      </w:r>
      <w:r w:rsidRPr="0071345C">
        <w:rPr>
          <w:i/>
          <w:iCs/>
          <w:lang w:val="en-US"/>
        </w:rPr>
        <w:t>.</w:t>
      </w:r>
      <w:r w:rsidRPr="0071345C">
        <w:rPr>
          <w:lang w:val="en-US"/>
        </w:rPr>
        <w:t xml:space="preserve"> </w:t>
      </w:r>
      <w:r w:rsidRPr="0071345C">
        <w:rPr>
          <w:i/>
          <w:iCs/>
          <w:lang w:val="en-US"/>
        </w:rPr>
        <w:t>Kaví</w:t>
      </w:r>
      <w:r w:rsidRPr="0071345C">
        <w:rPr>
          <w:i/>
          <w:iCs/>
          <w:lang w:val="en-US"/>
        </w:rPr>
        <w:t>ḥ</w:t>
      </w:r>
      <w:r w:rsidRPr="0071345C">
        <w:rPr>
          <w:lang w:val="en-US"/>
        </w:rPr>
        <w:t xml:space="preserve"> is, in turn, a substantive by no means easy to translate: often rendered with the terms “poet” or “inspired sage”, it is in fact he who is acquainted with the structure of the world, of the rite, and of the hymn. It is in this latter sense that we should </w:t>
      </w:r>
      <w:r w:rsidRPr="0071345C">
        <w:rPr>
          <w:lang w:val="en-US"/>
        </w:rPr>
        <w:t xml:space="preserve">perhaps understand the use of this substantive referring to Agni, he who is certainly acquainted with the structure of the rite and of the world, and as such, then, is also </w:t>
      </w:r>
      <w:r w:rsidRPr="0071345C">
        <w:rPr>
          <w:i/>
          <w:iCs/>
          <w:lang w:val="en-US"/>
        </w:rPr>
        <w:t>r̥tás</w:t>
      </w:r>
      <w:r w:rsidRPr="0071345C">
        <w:rPr>
          <w:lang w:val="en-US"/>
        </w:rPr>
        <w:t xml:space="preserve"> (thus to be taken as a substantive), order personified, through a very partic</w:t>
      </w:r>
      <w:r w:rsidRPr="0071345C">
        <w:rPr>
          <w:lang w:val="en-US"/>
        </w:rPr>
        <w:t xml:space="preserve">ular construction which the poet may possibly have devised to underline the unique nature of the message. This hypothesis on the term </w:t>
      </w:r>
      <w:r w:rsidRPr="0071345C">
        <w:rPr>
          <w:i/>
          <w:iCs/>
          <w:lang w:val="en-US"/>
        </w:rPr>
        <w:t>kaví</w:t>
      </w:r>
      <w:r w:rsidRPr="0071345C">
        <w:rPr>
          <w:lang w:val="en-US"/>
        </w:rPr>
        <w:t>- is an outcome of the research carried out by Dr. Frank Köhler, Eberhardt Karl Universität, Tübingen. For the results</w:t>
      </w:r>
      <w:r w:rsidRPr="0071345C">
        <w:rPr>
          <w:lang w:val="en-US"/>
        </w:rPr>
        <w:t xml:space="preserve"> of this investigation, trying to outline the basic concept underneath this variety of meanings, see </w:t>
      </w:r>
      <w:r w:rsidRPr="0071345C">
        <w:rPr>
          <w:rStyle w:val="biblio-authorGEN"/>
          <w:sz w:val="18"/>
          <w:szCs w:val="18"/>
          <w:lang w:val="en-US"/>
        </w:rPr>
        <w:t>Köhler</w:t>
      </w:r>
      <w:r w:rsidRPr="0071345C">
        <w:rPr>
          <w:lang w:val="en-US"/>
        </w:rPr>
        <w:t xml:space="preserve"> 2011. About the role of poetry in Vedic and classical Sanskrit literature and the relation between these two periods, see, among others, </w:t>
      </w:r>
      <w:r w:rsidRPr="0071345C">
        <w:rPr>
          <w:rStyle w:val="biblio-authorGEN"/>
          <w:sz w:val="18"/>
          <w:szCs w:val="15"/>
          <w:lang w:val="en-US"/>
        </w:rPr>
        <w:t>Jamison</w:t>
      </w:r>
      <w:r w:rsidRPr="0071345C">
        <w:rPr>
          <w:lang w:val="en-US"/>
        </w:rPr>
        <w:t xml:space="preserve"> 200</w:t>
      </w:r>
      <w:r w:rsidRPr="0071345C">
        <w:rPr>
          <w:lang w:val="en-US"/>
        </w:rPr>
        <w:t>7 .</w:t>
      </w:r>
    </w:p>
  </w:footnote>
  <w:footnote w:id="92">
    <w:p w14:paraId="52295CA4"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samidhāna</w:t>
      </w:r>
      <w:r w:rsidRPr="0071345C">
        <w:rPr>
          <w:lang w:val="en-US"/>
        </w:rPr>
        <w:t xml:space="preserve">: present participle Ā from </w:t>
      </w:r>
      <w:r w:rsidRPr="0071345C">
        <w:rPr>
          <w:i/>
          <w:iCs/>
          <w:lang w:val="en-US"/>
        </w:rPr>
        <w:t>sam</w:t>
      </w:r>
      <w:r w:rsidRPr="0071345C">
        <w:rPr>
          <w:lang w:val="en-US"/>
        </w:rPr>
        <w:t xml:space="preserve">- </w:t>
      </w:r>
      <w:r w:rsidRPr="0071345C">
        <w:rPr>
          <w:i/>
          <w:iCs/>
          <w:lang w:val="en-US"/>
        </w:rPr>
        <w:t>idh</w:t>
      </w:r>
      <w:r w:rsidRPr="0071345C">
        <w:rPr>
          <w:lang w:val="en-US"/>
        </w:rPr>
        <w:t>-: “to set fire”; the use of the participle with the vocative is very rare, generally indicating something that happens at that moment and not a state, but here it is justified by the connection between th</w:t>
      </w:r>
      <w:r w:rsidRPr="0071345C">
        <w:rPr>
          <w:lang w:val="en-US"/>
        </w:rPr>
        <w:t xml:space="preserve">is verb and Agni: it is a typical characteristic of Agni to be </w:t>
      </w:r>
      <w:r w:rsidRPr="0071345C">
        <w:rPr>
          <w:i/>
          <w:iCs/>
          <w:lang w:val="en-US"/>
        </w:rPr>
        <w:t>samidhāna</w:t>
      </w:r>
      <w:r w:rsidRPr="0071345C">
        <w:rPr>
          <w:lang w:val="en-US"/>
        </w:rPr>
        <w:t xml:space="preserve">, just as Soma is </w:t>
      </w:r>
      <w:r w:rsidRPr="0071345C">
        <w:rPr>
          <w:i/>
          <w:iCs/>
          <w:lang w:val="en-US"/>
        </w:rPr>
        <w:t>pavamāna</w:t>
      </w:r>
      <w:r w:rsidRPr="0071345C">
        <w:rPr>
          <w:lang w:val="en-US"/>
        </w:rPr>
        <w:t xml:space="preserve"> (present participle Ā from the root </w:t>
      </w:r>
      <w:r w:rsidRPr="0071345C">
        <w:rPr>
          <w:i/>
          <w:iCs/>
          <w:lang w:val="en-US"/>
        </w:rPr>
        <w:t>pū</w:t>
      </w:r>
      <w:r w:rsidRPr="0071345C">
        <w:rPr>
          <w:lang w:val="en-US"/>
        </w:rPr>
        <w:t>- “to purify”), soma during the process of depuration.</w:t>
      </w:r>
    </w:p>
  </w:footnote>
  <w:footnote w:id="93">
    <w:p w14:paraId="17D3D97F"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divó</w:t>
      </w:r>
      <w:r w:rsidRPr="0071345C">
        <w:rPr>
          <w:lang w:val="en-US"/>
        </w:rPr>
        <w:t xml:space="preserve"> </w:t>
      </w:r>
      <w:r w:rsidRPr="0071345C">
        <w:rPr>
          <w:i/>
          <w:iCs/>
          <w:lang w:val="en-US"/>
        </w:rPr>
        <w:t>scil.</w:t>
      </w:r>
      <w:r w:rsidRPr="0071345C">
        <w:rPr>
          <w:lang w:val="en-US"/>
        </w:rPr>
        <w:t xml:space="preserve"> </w:t>
      </w:r>
      <w:r w:rsidRPr="0071345C">
        <w:rPr>
          <w:i/>
          <w:iCs/>
          <w:lang w:val="en-US"/>
        </w:rPr>
        <w:t>napā́tā</w:t>
      </w:r>
      <w:r w:rsidRPr="0071345C">
        <w:rPr>
          <w:lang w:val="en-US"/>
        </w:rPr>
        <w:t>: “descendants of the heavens”, one of the e</w:t>
      </w:r>
      <w:r w:rsidRPr="0071345C">
        <w:rPr>
          <w:lang w:val="en-US"/>
        </w:rPr>
        <w:t>pithets of the Aśvin.</w:t>
      </w:r>
    </w:p>
  </w:footnote>
  <w:footnote w:id="94">
    <w:p w14:paraId="354B8F6A"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Following the interpretation given in 1.64.12 the son of Rudra should be Agni, which hardly seems convincing here.</w:t>
      </w:r>
    </w:p>
  </w:footnote>
  <w:footnote w:id="95">
    <w:p w14:paraId="2EC9AAC7"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giráya</w:t>
      </w:r>
      <w:r w:rsidRPr="0071345C">
        <w:rPr>
          <w:i/>
          <w:iCs/>
          <w:lang w:val="en-US"/>
        </w:rPr>
        <w:t>ḥ</w:t>
      </w:r>
      <w:r w:rsidRPr="0071345C">
        <w:rPr>
          <w:lang w:val="en-US"/>
        </w:rPr>
        <w:t xml:space="preserve">: nom. m. pl. from </w:t>
      </w:r>
      <w:r w:rsidRPr="0071345C">
        <w:rPr>
          <w:i/>
          <w:iCs/>
          <w:lang w:val="en-US"/>
        </w:rPr>
        <w:t>girí</w:t>
      </w:r>
      <w:r w:rsidRPr="0071345C">
        <w:rPr>
          <w:lang w:val="en-US"/>
        </w:rPr>
        <w:t xml:space="preserve">- “mountain”; followed here is the interpretation by </w:t>
      </w:r>
      <w:r w:rsidRPr="0071345C">
        <w:rPr>
          <w:rStyle w:val="biblio-authorGEN"/>
          <w:sz w:val="18"/>
          <w:szCs w:val="15"/>
          <w:lang w:val="en-US"/>
        </w:rPr>
        <w:t>Geldner</w:t>
      </w:r>
      <w:r w:rsidRPr="0071345C">
        <w:rPr>
          <w:lang w:val="en-US"/>
        </w:rPr>
        <w:t xml:space="preserve"> (II 169: “Bergwasser”) w</w:t>
      </w:r>
      <w:r w:rsidRPr="0071345C">
        <w:rPr>
          <w:lang w:val="en-US"/>
        </w:rPr>
        <w:t>ho explains quite clearly in the note (II 169 n. 11d): “wörtlich: wie die Berge, die Gewässer. Asyndeton statt Genitivverhältnis […]”.</w:t>
      </w:r>
    </w:p>
  </w:footnote>
  <w:footnote w:id="96">
    <w:p w14:paraId="09A962E5"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A mixture of leaves and above all dry grass which was scattered in the precise point where would be accommodated the di</w:t>
      </w:r>
      <w:r w:rsidRPr="0071345C">
        <w:rPr>
          <w:lang w:val="en-US"/>
        </w:rPr>
        <w:t>vinity who, being invoked, would arrive to take part in the sacrifice.</w:t>
      </w:r>
    </w:p>
  </w:footnote>
  <w:footnote w:id="97">
    <w:p w14:paraId="4243B36C"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vidáthe</w:t>
      </w:r>
      <w:r w:rsidRPr="0071345C">
        <w:rPr>
          <w:lang w:val="en-US"/>
        </w:rPr>
        <w:t xml:space="preserve"> (loc. sing. n.) from </w:t>
      </w:r>
      <w:r w:rsidRPr="0071345C">
        <w:rPr>
          <w:i/>
          <w:iCs/>
          <w:lang w:val="en-US"/>
        </w:rPr>
        <w:t>vidátha</w:t>
      </w:r>
      <w:r w:rsidRPr="0071345C">
        <w:rPr>
          <w:lang w:val="en-US"/>
        </w:rPr>
        <w:t>-, a term of Vedic use and unclear meaning, possibly relating to the stage in the rite when the priest “distributed the parts” cf. EWAia II 554. Th</w:t>
      </w:r>
      <w:r w:rsidRPr="0071345C">
        <w:rPr>
          <w:lang w:val="en-US"/>
        </w:rPr>
        <w:t xml:space="preserve">e gods rejoice in the distribution of the oblations which the priests have performed, and in the oblation in itself. See </w:t>
      </w:r>
      <w:r w:rsidRPr="0071345C">
        <w:rPr>
          <w:rStyle w:val="biblio-authorGEN"/>
          <w:sz w:val="18"/>
          <w:szCs w:val="15"/>
          <w:lang w:val="en-US"/>
        </w:rPr>
        <w:t>Gonda</w:t>
      </w:r>
      <w:r w:rsidRPr="0071345C">
        <w:rPr>
          <w:lang w:val="en-US"/>
        </w:rPr>
        <w:t xml:space="preserve"> 1992: </w:t>
      </w:r>
      <w:r w:rsidRPr="0071345C">
        <w:rPr>
          <w:lang w:val="en-US"/>
        </w:rPr>
        <w:t xml:space="preserve">VI/1 310-337, </w:t>
      </w:r>
      <w:r w:rsidRPr="0071345C">
        <w:rPr>
          <w:rStyle w:val="biblio-authorGEN"/>
          <w:sz w:val="18"/>
          <w:szCs w:val="15"/>
          <w:lang w:val="en-US"/>
        </w:rPr>
        <w:t xml:space="preserve">Kuiper </w:t>
      </w:r>
      <w:r w:rsidRPr="0071345C">
        <w:rPr>
          <w:lang w:val="en-US"/>
        </w:rPr>
        <w:t xml:space="preserve">1974: 129-132 </w:t>
      </w:r>
      <w:r w:rsidRPr="0071345C">
        <w:rPr>
          <w:lang w:val="en-US"/>
        </w:rPr>
        <w:t xml:space="preserve">and </w:t>
      </w:r>
      <w:r w:rsidRPr="0071345C">
        <w:rPr>
          <w:rStyle w:val="biblio-authorGEN"/>
          <w:sz w:val="18"/>
          <w:szCs w:val="15"/>
          <w:lang w:val="en-US"/>
        </w:rPr>
        <w:t xml:space="preserve">Oldenberg </w:t>
      </w:r>
      <w:r w:rsidRPr="0071345C">
        <w:rPr>
          <w:lang w:val="en-US"/>
        </w:rPr>
        <w:t>1900: 608-611.</w:t>
      </w:r>
      <w:r w:rsidRPr="0071345C">
        <w:rPr>
          <w:lang w:val="en-US"/>
        </w:rPr>
        <w:t xml:space="preserve"> </w:t>
      </w:r>
    </w:p>
  </w:footnote>
  <w:footnote w:id="98">
    <w:p w14:paraId="3A4713F8"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r>
      <w:r w:rsidRPr="0071345C">
        <w:rPr>
          <w:lang w:val="en-US"/>
        </w:rPr>
        <w:t xml:space="preserve">Reference to Soma as the king who wins the chariot race is very frequent; see in this connection </w:t>
      </w:r>
      <w:r w:rsidRPr="0071345C">
        <w:rPr>
          <w:rStyle w:val="biblio-authorGEN"/>
          <w:sz w:val="18"/>
          <w:szCs w:val="15"/>
          <w:lang w:val="en-US"/>
        </w:rPr>
        <w:t>Sparreboom</w:t>
      </w:r>
      <w:r w:rsidRPr="0071345C">
        <w:rPr>
          <w:lang w:val="en-US"/>
        </w:rPr>
        <w:t xml:space="preserve"> 1985: 21-23.</w:t>
      </w:r>
    </w:p>
  </w:footnote>
  <w:footnote w:id="99">
    <w:p w14:paraId="53D5F3D9"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maryatá</w:t>
      </w:r>
      <w:r w:rsidRPr="0071345C">
        <w:rPr>
          <w:i/>
          <w:iCs/>
          <w:lang w:val="en-US"/>
        </w:rPr>
        <w:t>ḥ</w:t>
      </w:r>
      <w:r w:rsidRPr="0071345C">
        <w:rPr>
          <w:lang w:val="en-US"/>
        </w:rPr>
        <w:t>: (abl. m. sing.) a derivative term in –</w:t>
      </w:r>
      <w:r w:rsidRPr="0071345C">
        <w:rPr>
          <w:i/>
          <w:iCs/>
          <w:lang w:val="en-US"/>
        </w:rPr>
        <w:t>ta</w:t>
      </w:r>
      <w:r w:rsidRPr="0071345C">
        <w:rPr>
          <w:lang w:val="en-US"/>
        </w:rPr>
        <w:t xml:space="preserve">- from </w:t>
      </w:r>
      <w:r w:rsidRPr="0071345C">
        <w:rPr>
          <w:i/>
          <w:iCs/>
          <w:lang w:val="en-US"/>
        </w:rPr>
        <w:t>márya</w:t>
      </w:r>
      <w:r w:rsidRPr="0071345C">
        <w:rPr>
          <w:lang w:val="en-US"/>
        </w:rPr>
        <w:t>- “mortal” but also “young” “lover”, here taken as the adjective “impa</w:t>
      </w:r>
      <w:r w:rsidRPr="0071345C">
        <w:rPr>
          <w:lang w:val="en-US"/>
        </w:rPr>
        <w:t xml:space="preserve">ssioned”. For the various derivations of </w:t>
      </w:r>
      <w:r w:rsidRPr="0071345C">
        <w:rPr>
          <w:i/>
          <w:iCs/>
          <w:lang w:val="en-US"/>
        </w:rPr>
        <w:t>maryatá</w:t>
      </w:r>
      <w:r w:rsidRPr="0071345C">
        <w:rPr>
          <w:i/>
          <w:iCs/>
          <w:lang w:val="en-US"/>
        </w:rPr>
        <w:t>ḥ</w:t>
      </w:r>
      <w:r w:rsidRPr="0071345C">
        <w:rPr>
          <w:lang w:val="en-US"/>
        </w:rPr>
        <w:t xml:space="preserve"> cf. </w:t>
      </w:r>
      <w:r w:rsidRPr="0071345C">
        <w:rPr>
          <w:rStyle w:val="biblio-authorGEN"/>
          <w:sz w:val="18"/>
          <w:szCs w:val="15"/>
          <w:lang w:val="en-US"/>
        </w:rPr>
        <w:t>Oldenberg</w:t>
      </w:r>
      <w:r w:rsidRPr="0071345C">
        <w:rPr>
          <w:lang w:val="en-US"/>
        </w:rPr>
        <w:t xml:space="preserve"> 1912: 228 n. 12.</w:t>
      </w:r>
    </w:p>
  </w:footnote>
  <w:footnote w:id="100">
    <w:p w14:paraId="51F8B51B"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rStyle w:val="biblio-authorGEN"/>
          <w:sz w:val="18"/>
          <w:szCs w:val="15"/>
          <w:lang w:val="en-US"/>
        </w:rPr>
        <w:tab/>
        <w:t xml:space="preserve"> Schmidt</w:t>
      </w:r>
      <w:r w:rsidRPr="0071345C">
        <w:rPr>
          <w:lang w:val="en-US"/>
        </w:rPr>
        <w:t xml:space="preserve"> 1982.</w:t>
      </w:r>
    </w:p>
  </w:footnote>
  <w:footnote w:id="101">
    <w:p w14:paraId="4D48AE84"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Divine female power associated with watercourses.</w:t>
      </w:r>
    </w:p>
  </w:footnote>
  <w:footnote w:id="102">
    <w:p w14:paraId="785BD265"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Cf. </w:t>
      </w:r>
      <w:r w:rsidRPr="0071345C">
        <w:rPr>
          <w:rStyle w:val="biblio-authorGEN"/>
          <w:sz w:val="18"/>
          <w:szCs w:val="15"/>
          <w:lang w:val="en-US"/>
        </w:rPr>
        <w:t>Watkins</w:t>
      </w:r>
      <w:r w:rsidRPr="0071345C">
        <w:rPr>
          <w:lang w:val="en-US"/>
        </w:rPr>
        <w:t xml:space="preserve"> 1995.</w:t>
      </w:r>
    </w:p>
  </w:footnote>
  <w:footnote w:id="103">
    <w:p w14:paraId="75A361BA"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This, obviously, was subsequent to the rise of the doctrine of </w:t>
      </w:r>
      <w:r w:rsidRPr="0071345C">
        <w:rPr>
          <w:lang w:val="en-US"/>
        </w:rPr>
        <w:t>Zoroastrianism: a hymn dedicated to Mi</w:t>
      </w:r>
      <w:r>
        <w:t>θ</w:t>
      </w:r>
      <w:r w:rsidRPr="0071345C">
        <w:rPr>
          <w:lang w:val="en-US"/>
        </w:rPr>
        <w:t>ra is in fact perfectly possible in the Yašt, but not in the earlier Yasna or the Gā</w:t>
      </w:r>
      <w:r>
        <w:t>θ</w:t>
      </w:r>
      <w:r w:rsidRPr="0071345C">
        <w:rPr>
          <w:lang w:val="en-US"/>
        </w:rPr>
        <w:t xml:space="preserve">ā, i.e. in the Old Avestan texts, which set out the early Mazdean doctrine; in this case we are confronted with a subsequent period </w:t>
      </w:r>
      <w:r w:rsidRPr="0071345C">
        <w:rPr>
          <w:lang w:val="en-US"/>
        </w:rPr>
        <w:t>(although as of yet it has not been possible to guage the span between the two points in time), when the doctrine has already undergone modifications and adjustments from the initial form.</w:t>
      </w:r>
    </w:p>
  </w:footnote>
  <w:footnote w:id="104">
    <w:p w14:paraId="17E91249"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xvarǝnō</w:t>
      </w:r>
      <w:r w:rsidRPr="0071345C">
        <w:rPr>
          <w:lang w:val="en-US"/>
        </w:rPr>
        <w:t xml:space="preserve">: (acc. n. sing.) from </w:t>
      </w:r>
      <w:r w:rsidRPr="0071345C">
        <w:rPr>
          <w:i/>
          <w:iCs/>
          <w:lang w:val="en-US"/>
        </w:rPr>
        <w:t>xvarǝnah</w:t>
      </w:r>
      <w:r w:rsidRPr="0071345C">
        <w:rPr>
          <w:lang w:val="en-US"/>
        </w:rPr>
        <w:t xml:space="preserve">- , a term indicating the </w:t>
      </w:r>
      <w:r w:rsidRPr="0071345C">
        <w:rPr>
          <w:lang w:val="en-US"/>
        </w:rPr>
        <w:t>glory with which Vǝrǝ</w:t>
      </w:r>
      <w:r>
        <w:t>θ</w:t>
      </w:r>
      <w:r w:rsidRPr="0071345C">
        <w:rPr>
          <w:lang w:val="en-US"/>
        </w:rPr>
        <w:t>ra</w:t>
      </w:r>
      <w:r>
        <w:t>γ</w:t>
      </w:r>
      <w:r w:rsidRPr="0071345C">
        <w:rPr>
          <w:lang w:val="en-US"/>
        </w:rPr>
        <w:t>na is always surrounded.</w:t>
      </w:r>
    </w:p>
  </w:footnote>
  <w:footnote w:id="105">
    <w:p w14:paraId="636F3BC8"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gaosurābyō</w:t>
      </w:r>
      <w:r w:rsidRPr="0071345C">
        <w:rPr>
          <w:lang w:val="en-US"/>
        </w:rPr>
        <w:t xml:space="preserve">: (dat./ abl. n. pl.) from </w:t>
      </w:r>
      <w:r w:rsidRPr="0071345C">
        <w:rPr>
          <w:i/>
          <w:iCs/>
          <w:lang w:val="en-US"/>
        </w:rPr>
        <w:t>gaosurā</w:t>
      </w:r>
      <w:r w:rsidRPr="0071345C">
        <w:rPr>
          <w:lang w:val="en-US"/>
        </w:rPr>
        <w:t xml:space="preserve">- “wealth in cattle”, followed here is the interpretation by </w:t>
      </w:r>
      <w:r w:rsidRPr="0071345C">
        <w:rPr>
          <w:rStyle w:val="biblio-authorGEN"/>
          <w:sz w:val="18"/>
          <w:szCs w:val="18"/>
          <w:lang w:val="en-US"/>
        </w:rPr>
        <w:t>Kellens</w:t>
      </w:r>
      <w:r w:rsidRPr="0071345C">
        <w:rPr>
          <w:lang w:val="en-US"/>
        </w:rPr>
        <w:t xml:space="preserve"> (1974: 78), who considers this an instrumental of</w:t>
      </w:r>
      <w:r w:rsidRPr="0071345C">
        <w:rPr>
          <w:lang w:val="en-US"/>
        </w:rPr>
        <w:t xml:space="preserve"> company </w:t>
      </w:r>
      <w:r w:rsidRPr="0071345C">
        <w:rPr>
          <w:lang w:val="en-US"/>
        </w:rPr>
        <w:t>with dative/ablative ending.</w:t>
      </w:r>
    </w:p>
  </w:footnote>
  <w:footnote w:id="106">
    <w:p w14:paraId="3D554983" w14:textId="77777777" w:rsidR="00E53EB6" w:rsidRPr="0071345C" w:rsidRDefault="006500F5">
      <w:pPr>
        <w:pStyle w:val="FootnoteText"/>
        <w:suppressLineNumbers/>
        <w:spacing w:line="210" w:lineRule="exact"/>
        <w:ind w:left="240" w:hanging="240"/>
        <w:jc w:val="both"/>
        <w:rPr>
          <w:lang w:val="pl-PL"/>
        </w:rPr>
      </w:pPr>
      <w:r>
        <w:rPr>
          <w:rStyle w:val="FootnoteCharacters"/>
        </w:rPr>
        <w:footnoteRef/>
      </w:r>
      <w:r w:rsidRPr="0071345C">
        <w:rPr>
          <w:rStyle w:val="biblio-authorGEN"/>
          <w:sz w:val="18"/>
          <w:szCs w:val="15"/>
          <w:lang w:val="pl-PL"/>
        </w:rPr>
        <w:tab/>
        <w:t xml:space="preserve"> </w:t>
      </w:r>
      <w:r w:rsidRPr="0071345C">
        <w:rPr>
          <w:rStyle w:val="biblio-authorGEN"/>
          <w:sz w:val="18"/>
          <w:szCs w:val="15"/>
          <w:lang w:val="pl-PL"/>
        </w:rPr>
        <w:t>Walde</w:t>
      </w:r>
      <w:r w:rsidRPr="0071345C">
        <w:rPr>
          <w:lang w:val="pl-PL"/>
        </w:rPr>
        <w:t xml:space="preserve"> 1927-1932: I, 258-260; </w:t>
      </w:r>
      <w:r w:rsidRPr="0071345C">
        <w:rPr>
          <w:rStyle w:val="biblio-authorGEN"/>
          <w:sz w:val="18"/>
          <w:szCs w:val="15"/>
          <w:lang w:val="pl-PL"/>
        </w:rPr>
        <w:t>Pokorny</w:t>
      </w:r>
      <w:r w:rsidRPr="0071345C">
        <w:rPr>
          <w:lang w:val="pl-PL"/>
        </w:rPr>
        <w:t xml:space="preserve"> 1959-1969: 1146-7; </w:t>
      </w:r>
      <w:r w:rsidRPr="0071345C">
        <w:rPr>
          <w:rStyle w:val="biblio-authorGEN"/>
          <w:sz w:val="18"/>
          <w:szCs w:val="15"/>
          <w:lang w:val="pl-PL"/>
        </w:rPr>
        <w:t>Migron</w:t>
      </w:r>
      <w:r w:rsidRPr="0071345C">
        <w:rPr>
          <w:lang w:val="pl-PL"/>
        </w:rPr>
        <w:t xml:space="preserve"> 1980; </w:t>
      </w:r>
      <w:r w:rsidRPr="0071345C">
        <w:rPr>
          <w:rStyle w:val="biblio-authorGEN"/>
          <w:sz w:val="18"/>
          <w:szCs w:val="15"/>
          <w:lang w:val="pl-PL"/>
        </w:rPr>
        <w:t>Kümmel</w:t>
      </w:r>
      <w:r w:rsidRPr="0071345C">
        <w:rPr>
          <w:lang w:val="pl-PL"/>
        </w:rPr>
        <w:t xml:space="preserve"> 2000: 447-451.</w:t>
      </w:r>
    </w:p>
  </w:footnote>
  <w:footnote w:id="107">
    <w:p w14:paraId="0BF208F9"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A term that seems to refer to a category of persons excluded from the Brahmanical religion – the persons we would call “heretics”, or perhaps simply people consid</w:t>
      </w:r>
      <w:r w:rsidRPr="0071345C">
        <w:rPr>
          <w:lang w:val="en-US"/>
        </w:rPr>
        <w:t xml:space="preserve">ered too stupid, who do not come up to the standards necessary to have access to the right, an interpretation that still fits in with the idea of error (“he who fails”), suggested by </w:t>
      </w:r>
      <w:r w:rsidRPr="0071345C">
        <w:rPr>
          <w:rStyle w:val="biblio-authorGEN"/>
          <w:sz w:val="18"/>
          <w:szCs w:val="18"/>
          <w:lang w:val="en-US"/>
        </w:rPr>
        <w:t>Peca Conti</w:t>
      </w:r>
      <w:r w:rsidRPr="0071345C">
        <w:rPr>
          <w:lang w:val="en-US"/>
        </w:rPr>
        <w:t xml:space="preserve"> 1982-83: 41-51. However, the meaning of the term remains somew</w:t>
      </w:r>
      <w:r w:rsidRPr="0071345C">
        <w:rPr>
          <w:lang w:val="en-US"/>
        </w:rPr>
        <w:t xml:space="preserve">hat unclear in the light of analysis of all its attestations in the </w:t>
      </w:r>
      <w:r w:rsidRPr="0071345C">
        <w:rPr>
          <w:i/>
          <w:iCs/>
          <w:lang w:val="en-US"/>
        </w:rPr>
        <w:t>R̥gveda Sa</w:t>
      </w:r>
      <w:r w:rsidRPr="0071345C">
        <w:rPr>
          <w:i/>
          <w:iCs/>
          <w:lang w:val="en-US"/>
        </w:rPr>
        <w:t>ṃ</w:t>
      </w:r>
      <w:r w:rsidRPr="0071345C">
        <w:rPr>
          <w:i/>
          <w:iCs/>
          <w:lang w:val="en-US"/>
        </w:rPr>
        <w:t>hitā</w:t>
      </w:r>
      <w:r w:rsidRPr="0071345C">
        <w:rPr>
          <w:lang w:val="en-US"/>
        </w:rPr>
        <w:t>.</w:t>
      </w:r>
    </w:p>
  </w:footnote>
  <w:footnote w:id="108">
    <w:p w14:paraId="5F4EFEE3"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i/>
          <w:iCs/>
          <w:lang w:val="en-US"/>
        </w:rPr>
        <w:t>ā́ dabhan</w:t>
      </w:r>
      <w:r w:rsidRPr="0071345C">
        <w:rPr>
          <w:lang w:val="en-US"/>
        </w:rPr>
        <w:t xml:space="preserve"> (subj. aor./inj. 3</w:t>
      </w:r>
      <w:r w:rsidRPr="0071345C">
        <w:rPr>
          <w:vertAlign w:val="superscript"/>
          <w:lang w:val="en-US"/>
        </w:rPr>
        <w:t>rd</w:t>
      </w:r>
      <w:r w:rsidRPr="0071345C">
        <w:rPr>
          <w:lang w:val="en-US"/>
        </w:rPr>
        <w:t xml:space="preserve"> pl., cf. EWA I 694 and </w:t>
      </w:r>
      <w:r w:rsidRPr="0071345C">
        <w:rPr>
          <w:rStyle w:val="biblio-authorGEN"/>
          <w:sz w:val="18"/>
          <w:szCs w:val="15"/>
          <w:lang w:val="en-US"/>
        </w:rPr>
        <w:t>Hoffmann</w:t>
      </w:r>
      <w:r w:rsidRPr="0071345C">
        <w:rPr>
          <w:lang w:val="en-US"/>
        </w:rPr>
        <w:t xml:space="preserve"> 1967: 243), on the various meanings of the root </w:t>
      </w:r>
      <w:r w:rsidRPr="0071345C">
        <w:rPr>
          <w:i/>
          <w:iCs/>
          <w:lang w:val="en-US"/>
        </w:rPr>
        <w:t>dabh</w:t>
      </w:r>
      <w:r w:rsidRPr="0071345C">
        <w:rPr>
          <w:lang w:val="en-US"/>
        </w:rPr>
        <w:t xml:space="preserve">-, in relation to the form </w:t>
      </w:r>
      <w:r w:rsidRPr="0071345C">
        <w:rPr>
          <w:i/>
          <w:iCs/>
          <w:lang w:val="en-US"/>
        </w:rPr>
        <w:t>dambháyati</w:t>
      </w:r>
      <w:r w:rsidRPr="0071345C">
        <w:rPr>
          <w:lang w:val="en-US"/>
        </w:rPr>
        <w:t xml:space="preserve">, see </w:t>
      </w:r>
      <w:r w:rsidRPr="0071345C">
        <w:rPr>
          <w:rStyle w:val="biblio-authorGEN"/>
          <w:sz w:val="18"/>
          <w:szCs w:val="15"/>
          <w:lang w:val="en-US"/>
        </w:rPr>
        <w:t>Insler</w:t>
      </w:r>
      <w:r w:rsidRPr="0071345C">
        <w:rPr>
          <w:lang w:val="en-US"/>
        </w:rPr>
        <w:t xml:space="preserve"> 196</w:t>
      </w:r>
      <w:r w:rsidRPr="0071345C">
        <w:rPr>
          <w:lang w:val="en-US"/>
        </w:rPr>
        <w:t xml:space="preserve">9, who hypothesises a verbal stem </w:t>
      </w:r>
      <w:r w:rsidRPr="0071345C">
        <w:rPr>
          <w:i/>
          <w:iCs/>
          <w:lang w:val="en-US"/>
        </w:rPr>
        <w:t>dambháya</w:t>
      </w:r>
      <w:r w:rsidRPr="0071345C">
        <w:rPr>
          <w:lang w:val="en-US"/>
        </w:rPr>
        <w:t xml:space="preserve">- constructed on the adjective </w:t>
      </w:r>
      <w:r w:rsidRPr="0071345C">
        <w:rPr>
          <w:i/>
          <w:iCs/>
          <w:lang w:val="en-US"/>
        </w:rPr>
        <w:t>dabhrá</w:t>
      </w:r>
      <w:r w:rsidRPr="0071345C">
        <w:rPr>
          <w:lang w:val="en-US"/>
        </w:rPr>
        <w:t xml:space="preserve">- (in analogy with </w:t>
      </w:r>
      <w:r w:rsidRPr="0071345C">
        <w:rPr>
          <w:i/>
          <w:iCs/>
          <w:lang w:val="en-US"/>
        </w:rPr>
        <w:t>randháyati</w:t>
      </w:r>
      <w:r w:rsidRPr="0071345C">
        <w:rPr>
          <w:lang w:val="en-US"/>
        </w:rPr>
        <w:t xml:space="preserve"> : </w:t>
      </w:r>
      <w:r w:rsidRPr="0071345C">
        <w:rPr>
          <w:i/>
          <w:iCs/>
          <w:lang w:val="en-US"/>
        </w:rPr>
        <w:t>radhrá</w:t>
      </w:r>
      <w:r w:rsidRPr="0071345C">
        <w:rPr>
          <w:lang w:val="en-US"/>
        </w:rPr>
        <w:t xml:space="preserve">-) not related to the verbal root </w:t>
      </w:r>
      <w:r w:rsidRPr="0071345C">
        <w:rPr>
          <w:i/>
          <w:iCs/>
          <w:lang w:val="en-US"/>
        </w:rPr>
        <w:t>dabh</w:t>
      </w:r>
      <w:r w:rsidRPr="0071345C">
        <w:rPr>
          <w:lang w:val="en-US"/>
        </w:rPr>
        <w:t>- , to which he identifies three principal meanings including “to deceive”, “to convince with decepti</w:t>
      </w:r>
      <w:r w:rsidRPr="0071345C">
        <w:rPr>
          <w:lang w:val="en-US"/>
        </w:rPr>
        <w:t xml:space="preserve">on”. </w:t>
      </w:r>
    </w:p>
  </w:footnote>
  <w:footnote w:id="109">
    <w:p w14:paraId="749540C6"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Note the binary structure </w:t>
      </w:r>
      <w:r w:rsidRPr="0071345C">
        <w:rPr>
          <w:i/>
          <w:iCs/>
          <w:lang w:val="en-US"/>
        </w:rPr>
        <w:t>mā́kīm van – dvíś</w:t>
      </w:r>
      <w:r w:rsidRPr="0071345C">
        <w:rPr>
          <w:lang w:val="en-US"/>
        </w:rPr>
        <w:t xml:space="preserve"> comparable to the good-evil antithesis which we find at the basis of the thought of Zarathustra, and which recurs as a constant motive within the Gā</w:t>
      </w:r>
      <w:r>
        <w:t>θ</w:t>
      </w:r>
      <w:r w:rsidRPr="0071345C">
        <w:rPr>
          <w:lang w:val="en-US"/>
        </w:rPr>
        <w:t xml:space="preserve">ā. </w:t>
      </w:r>
    </w:p>
  </w:footnote>
  <w:footnote w:id="110">
    <w:p w14:paraId="1CE2E4DE"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Here understood not only with the original valu</w:t>
      </w:r>
      <w:r w:rsidRPr="0071345C">
        <w:rPr>
          <w:lang w:val="en-US"/>
        </w:rPr>
        <w:t xml:space="preserve">e of “sacred formulation” </w:t>
      </w:r>
      <w:r w:rsidRPr="0071345C">
        <w:rPr>
          <w:rStyle w:val="biblio-authorGEN"/>
          <w:lang w:val="en-US"/>
        </w:rPr>
        <w:t>(</w:t>
      </w:r>
      <w:r w:rsidRPr="0071345C">
        <w:rPr>
          <w:rStyle w:val="biblio-authorGEN"/>
          <w:sz w:val="18"/>
          <w:szCs w:val="15"/>
          <w:lang w:val="en-US"/>
        </w:rPr>
        <w:t>Thieme</w:t>
      </w:r>
      <w:r w:rsidRPr="0071345C">
        <w:rPr>
          <w:lang w:val="en-US"/>
        </w:rPr>
        <w:t xml:space="preserve"> 1952: 91-129), but also in its broader meaning of universal principle; on the various interpretations proposed for this term, see </w:t>
      </w:r>
      <w:r w:rsidRPr="0071345C">
        <w:rPr>
          <w:rStyle w:val="biblio-authorGEN"/>
          <w:sz w:val="18"/>
          <w:szCs w:val="15"/>
          <w:lang w:val="en-US"/>
        </w:rPr>
        <w:t>Gonda</w:t>
      </w:r>
      <w:r w:rsidRPr="0071345C">
        <w:rPr>
          <w:lang w:val="en-US"/>
        </w:rPr>
        <w:t xml:space="preserve"> 1950.</w:t>
      </w:r>
    </w:p>
  </w:footnote>
  <w:footnote w:id="111">
    <w:p w14:paraId="4772D2B8"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On the hypothesis of  submersed linguistic traditions see Trümpy 1986. I woul</w:t>
      </w:r>
      <w:r w:rsidRPr="0071345C">
        <w:rPr>
          <w:lang w:val="en-US"/>
        </w:rPr>
        <w:t>d like  to especially thank Professor Butzenberger for his enlightening suggestions on this matter.</w:t>
      </w:r>
    </w:p>
  </w:footnote>
  <w:footnote w:id="112">
    <w:p w14:paraId="1B0AADEB"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rStyle w:val="biblio-authorGEN"/>
          <w:sz w:val="18"/>
          <w:szCs w:val="15"/>
          <w:lang w:val="en-US"/>
        </w:rPr>
        <w:t>Staal</w:t>
      </w:r>
      <w:r w:rsidRPr="0071345C">
        <w:rPr>
          <w:lang w:val="en-US"/>
        </w:rPr>
        <w:t xml:space="preserve"> 1989.</w:t>
      </w:r>
    </w:p>
  </w:footnote>
  <w:footnote w:id="113">
    <w:p w14:paraId="03BED862"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lang w:val="en-US"/>
        </w:rPr>
        <w:t xml:space="preserve">As to the role of the different schools within the creation of the Vedic corpus, see </w:t>
      </w:r>
      <w:r w:rsidRPr="0071345C">
        <w:rPr>
          <w:rStyle w:val="biblio-authorGEN"/>
          <w:sz w:val="18"/>
          <w:szCs w:val="15"/>
          <w:lang w:val="en-US"/>
        </w:rPr>
        <w:t>Renou</w:t>
      </w:r>
      <w:r w:rsidRPr="0071345C">
        <w:rPr>
          <w:lang w:val="en-US"/>
        </w:rPr>
        <w:t xml:space="preserve"> 1947.</w:t>
      </w:r>
    </w:p>
  </w:footnote>
  <w:footnote w:id="114">
    <w:p w14:paraId="4B7FCA11"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Cf. </w:t>
      </w:r>
      <w:r w:rsidRPr="0071345C">
        <w:rPr>
          <w:rStyle w:val="biblio-authorGEN"/>
          <w:sz w:val="18"/>
          <w:szCs w:val="15"/>
          <w:lang w:val="en-US"/>
        </w:rPr>
        <w:t xml:space="preserve">Proferes </w:t>
      </w:r>
      <w:r w:rsidRPr="0071345C">
        <w:rPr>
          <w:lang w:val="en-US"/>
        </w:rPr>
        <w:t>2003</w:t>
      </w:r>
      <w:r w:rsidRPr="0071345C">
        <w:rPr>
          <w:vertAlign w:val="superscript"/>
          <w:lang w:val="en-US"/>
        </w:rPr>
        <w:t xml:space="preserve">b </w:t>
      </w:r>
      <w:r w:rsidRPr="0071345C">
        <w:rPr>
          <w:sz w:val="18"/>
          <w:lang w:val="en-US"/>
        </w:rPr>
        <w:t>and 2003</w:t>
      </w:r>
      <w:r w:rsidRPr="0071345C">
        <w:rPr>
          <w:vertAlign w:val="superscript"/>
          <w:lang w:val="en-US"/>
        </w:rPr>
        <w:t>c</w:t>
      </w:r>
      <w:r w:rsidRPr="0071345C">
        <w:rPr>
          <w:sz w:val="18"/>
          <w:lang w:val="en-US"/>
        </w:rPr>
        <w:t>.</w:t>
      </w:r>
    </w:p>
  </w:footnote>
  <w:footnote w:id="115">
    <w:p w14:paraId="0077DD4C" w14:textId="77777777" w:rsidR="00E53EB6" w:rsidRPr="0071345C" w:rsidRDefault="006500F5">
      <w:pPr>
        <w:pStyle w:val="FootnoteText"/>
        <w:rPr>
          <w:rFonts w:ascii="Sabon Unicode" w:hAnsi="Sabon Unicode"/>
          <w:lang w:val="en-US"/>
        </w:rPr>
      </w:pPr>
      <w:r>
        <w:rPr>
          <w:rStyle w:val="FootnoteCharacters"/>
        </w:rPr>
        <w:footnoteRef/>
      </w:r>
      <w:r w:rsidRPr="0071345C">
        <w:rPr>
          <w:rFonts w:ascii="Sabon Unicode" w:hAnsi="Sabon Unicode"/>
          <w:lang w:val="en-US"/>
        </w:rPr>
        <w:tab/>
        <w:t xml:space="preserve"> For this chronological division, see </w:t>
      </w:r>
      <w:r w:rsidRPr="0071345C">
        <w:rPr>
          <w:rStyle w:val="biblio-authorGEN"/>
          <w:rFonts w:ascii="Sabon Unicode" w:hAnsi="Sabon Unicode"/>
          <w:sz w:val="18"/>
          <w:szCs w:val="18"/>
          <w:lang w:val="en-US"/>
        </w:rPr>
        <w:t>Witzel</w:t>
      </w:r>
      <w:r w:rsidRPr="0071345C">
        <w:rPr>
          <w:rFonts w:ascii="Sabon Unicode" w:hAnsi="Sabon Unicode"/>
          <w:lang w:val="en-US"/>
        </w:rPr>
        <w:t xml:space="preserve"> 1997</w:t>
      </w:r>
      <w:r w:rsidRPr="0071345C">
        <w:rPr>
          <w:rFonts w:ascii="Sabon Unicode" w:hAnsi="Sabon Unicode"/>
          <w:sz w:val="18"/>
          <w:szCs w:val="18"/>
          <w:lang w:val="en-US"/>
        </w:rPr>
        <w:t xml:space="preserve">: </w:t>
      </w:r>
      <w:r>
        <w:rPr>
          <w:rFonts w:ascii="Sabon Unicode" w:eastAsia="Arial Unicode MS" w:hAnsi="Sabon Unicode" w:cs="Times New Roman"/>
          <w:sz w:val="18"/>
          <w:szCs w:val="18"/>
          <w:lang w:val="en-GB" w:eastAsia="it-IT" w:bidi="en-GB"/>
        </w:rPr>
        <w:t>257-345</w:t>
      </w:r>
      <w:r w:rsidRPr="0071345C">
        <w:rPr>
          <w:rFonts w:ascii="Sabon Unicode" w:hAnsi="Sabon Unicode"/>
          <w:sz w:val="18"/>
          <w:szCs w:val="18"/>
          <w:lang w:val="en-US"/>
        </w:rPr>
        <w:t xml:space="preserve"> a</w:t>
      </w:r>
      <w:r w:rsidRPr="0071345C">
        <w:rPr>
          <w:rFonts w:ascii="Sabon Unicode" w:hAnsi="Sabon Unicode"/>
          <w:lang w:val="en-US"/>
        </w:rPr>
        <w:t>nd 1989.</w:t>
      </w:r>
    </w:p>
  </w:footnote>
  <w:footnote w:id="116">
    <w:p w14:paraId="11716E66"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As to the concept of segmentarian lineage societies,</w:t>
      </w:r>
      <w:r w:rsidRPr="0071345C">
        <w:rPr>
          <w:lang w:val="en-US"/>
        </w:rPr>
        <w:t xml:space="preserve"> see </w:t>
      </w:r>
      <w:r w:rsidRPr="0071345C">
        <w:rPr>
          <w:rStyle w:val="biblio-authorGEN"/>
          <w:sz w:val="18"/>
          <w:szCs w:val="15"/>
          <w:lang w:val="en-US"/>
        </w:rPr>
        <w:t>Sahlins</w:t>
      </w:r>
      <w:r w:rsidRPr="0071345C">
        <w:rPr>
          <w:lang w:val="en-US"/>
        </w:rPr>
        <w:t xml:space="preserve"> 1961.</w:t>
      </w:r>
    </w:p>
  </w:footnote>
  <w:footnote w:id="117">
    <w:p w14:paraId="47A504F7"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As for the use of the terms </w:t>
      </w:r>
      <w:r w:rsidRPr="0071345C">
        <w:rPr>
          <w:i/>
          <w:iCs/>
          <w:lang w:val="en-US"/>
        </w:rPr>
        <w:t>k</w:t>
      </w:r>
      <w:r w:rsidRPr="0071345C">
        <w:rPr>
          <w:i/>
          <w:iCs/>
          <w:lang w:val="en-US"/>
        </w:rPr>
        <w:t>ṣ</w:t>
      </w:r>
      <w:r w:rsidRPr="0071345C">
        <w:rPr>
          <w:i/>
          <w:iCs/>
          <w:lang w:val="en-US"/>
        </w:rPr>
        <w:t xml:space="preserve">ema </w:t>
      </w:r>
      <w:r w:rsidRPr="0071345C">
        <w:rPr>
          <w:lang w:val="en-US"/>
        </w:rPr>
        <w:t xml:space="preserve">and </w:t>
      </w:r>
      <w:r w:rsidRPr="0071345C">
        <w:rPr>
          <w:i/>
          <w:iCs/>
          <w:lang w:val="en-US"/>
        </w:rPr>
        <w:t xml:space="preserve">yoga, </w:t>
      </w:r>
      <w:r w:rsidRPr="0071345C">
        <w:rPr>
          <w:lang w:val="en-US"/>
        </w:rPr>
        <w:t xml:space="preserve">see </w:t>
      </w:r>
      <w:r w:rsidRPr="0071345C">
        <w:rPr>
          <w:rStyle w:val="biblio-authorGEN"/>
          <w:sz w:val="18"/>
          <w:szCs w:val="18"/>
          <w:lang w:val="en-US"/>
        </w:rPr>
        <w:t>Oberlies</w:t>
      </w:r>
      <w:r w:rsidRPr="0071345C">
        <w:rPr>
          <w:lang w:val="en-US"/>
        </w:rPr>
        <w:t xml:space="preserve"> 1998.</w:t>
      </w:r>
    </w:p>
  </w:footnote>
  <w:footnote w:id="118">
    <w:p w14:paraId="20BC48C5"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See in particular the interesting and stimulating work of </w:t>
      </w:r>
      <w:r w:rsidRPr="0071345C">
        <w:rPr>
          <w:rStyle w:val="biblio-authorGEN"/>
          <w:sz w:val="18"/>
          <w:szCs w:val="15"/>
          <w:lang w:val="en-US"/>
        </w:rPr>
        <w:t xml:space="preserve">Proferes </w:t>
      </w:r>
      <w:r w:rsidRPr="0071345C">
        <w:rPr>
          <w:lang w:val="en-US"/>
        </w:rPr>
        <w:t>(2007) on the political developments and the different aspects of the Vedic ideals of sovereignty wit</w:t>
      </w:r>
      <w:r w:rsidRPr="0071345C">
        <w:rPr>
          <w:lang w:val="en-US"/>
        </w:rPr>
        <w:t>hin the construction of a leading role.</w:t>
      </w:r>
    </w:p>
  </w:footnote>
  <w:footnote w:id="119">
    <w:p w14:paraId="72405EDE"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See, as already said, </w:t>
      </w:r>
      <w:r w:rsidRPr="0071345C">
        <w:rPr>
          <w:rStyle w:val="biblio-authorGEN"/>
          <w:sz w:val="18"/>
          <w:szCs w:val="15"/>
          <w:lang w:val="en-US"/>
        </w:rPr>
        <w:t>Witzel</w:t>
      </w:r>
      <w:r w:rsidRPr="0071345C">
        <w:rPr>
          <w:rStyle w:val="biblio-authorGEN"/>
          <w:lang w:val="en-US"/>
        </w:rPr>
        <w:t xml:space="preserve"> </w:t>
      </w:r>
      <w:r w:rsidRPr="0071345C">
        <w:rPr>
          <w:lang w:val="en-US"/>
        </w:rPr>
        <w:t xml:space="preserve">1997 and 1999. As to single texts, see already </w:t>
      </w:r>
      <w:r w:rsidRPr="0071345C">
        <w:rPr>
          <w:rStyle w:val="biblio-authorGEN"/>
          <w:sz w:val="18"/>
          <w:szCs w:val="15"/>
          <w:lang w:val="en-US"/>
        </w:rPr>
        <w:t>Keith</w:t>
      </w:r>
      <w:r w:rsidRPr="0071345C">
        <w:rPr>
          <w:lang w:val="en-US"/>
        </w:rPr>
        <w:t xml:space="preserve"> 1914 (on TS); </w:t>
      </w:r>
      <w:r w:rsidRPr="0071345C">
        <w:rPr>
          <w:rStyle w:val="biblio-authorGEN"/>
          <w:sz w:val="18"/>
          <w:szCs w:val="15"/>
          <w:lang w:val="en-US"/>
        </w:rPr>
        <w:t>Schroeder</w:t>
      </w:r>
      <w:r w:rsidRPr="0071345C">
        <w:rPr>
          <w:lang w:val="en-US"/>
        </w:rPr>
        <w:t xml:space="preserve"> 1879 (on MS); </w:t>
      </w:r>
      <w:r w:rsidRPr="0071345C">
        <w:rPr>
          <w:rStyle w:val="biblio-authorGEN"/>
          <w:sz w:val="18"/>
          <w:szCs w:val="18"/>
          <w:lang w:val="en-US"/>
        </w:rPr>
        <w:t xml:space="preserve">Griffiths-Schmiedchen </w:t>
      </w:r>
      <w:r w:rsidRPr="0071345C">
        <w:rPr>
          <w:lang w:val="en-US"/>
        </w:rPr>
        <w:t>2007 (on AVP), as well as the specific editions mentioned in the Biblio</w:t>
      </w:r>
      <w:r w:rsidRPr="0071345C">
        <w:rPr>
          <w:lang w:val="en-US"/>
        </w:rPr>
        <w:t>graphy, Primary texts and translations.</w:t>
      </w:r>
    </w:p>
  </w:footnote>
  <w:footnote w:id="120">
    <w:p w14:paraId="2A84586C"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See </w:t>
      </w:r>
      <w:r w:rsidRPr="0071345C">
        <w:rPr>
          <w:rStyle w:val="biblio-authorGEN"/>
          <w:sz w:val="18"/>
          <w:szCs w:val="18"/>
          <w:lang w:val="en-US"/>
        </w:rPr>
        <w:t>Witzel</w:t>
      </w:r>
      <w:r w:rsidRPr="0071345C">
        <w:rPr>
          <w:lang w:val="en-US"/>
        </w:rPr>
        <w:t xml:space="preserve"> 1995 in particular pp. 2-8, and as to the Mantra language see also </w:t>
      </w:r>
      <w:r w:rsidRPr="0071345C">
        <w:rPr>
          <w:rStyle w:val="biblio-authorGEN"/>
          <w:sz w:val="18"/>
          <w:szCs w:val="18"/>
          <w:lang w:val="en-US"/>
        </w:rPr>
        <w:t>Narten</w:t>
      </w:r>
      <w:r w:rsidRPr="0071345C">
        <w:rPr>
          <w:lang w:val="en-US"/>
        </w:rPr>
        <w:t xml:space="preserve"> 1968: 113-114.</w:t>
      </w:r>
    </w:p>
  </w:footnote>
  <w:footnote w:id="121">
    <w:p w14:paraId="3240DEC2"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rFonts w:ascii="Sabon Unicode" w:hAnsi="Sabon Unicode"/>
          <w:lang w:val="en-US"/>
        </w:rPr>
        <w:tab/>
        <w:t xml:space="preserve"> </w:t>
      </w:r>
      <w:r>
        <w:rPr>
          <w:rStyle w:val="biblio-authorGEN"/>
          <w:rFonts w:ascii="Sabon Unicode" w:hAnsi="Sabon Unicode"/>
          <w:sz w:val="18"/>
          <w:szCs w:val="18"/>
          <w:lang w:val="en-GB"/>
        </w:rPr>
        <w:t>Proferes</w:t>
      </w:r>
      <w:r>
        <w:rPr>
          <w:rFonts w:ascii="Sabon Unicode" w:hAnsi="Sabon Unicode"/>
          <w:lang w:val="en-GB"/>
        </w:rPr>
        <w:t xml:space="preserve"> 2003</w:t>
      </w:r>
      <w:r w:rsidRPr="0071345C">
        <w:rPr>
          <w:rFonts w:ascii="Sabon Unicode" w:hAnsi="Sabon Unicode"/>
          <w:lang w:val="en-US"/>
        </w:rPr>
        <w:t xml:space="preserve">a: 19. On the different Vedic </w:t>
      </w:r>
      <w:r w:rsidRPr="0071345C">
        <w:rPr>
          <w:rFonts w:ascii="Sabon Unicode" w:hAnsi="Sabon Unicode"/>
          <w:i/>
          <w:iCs/>
          <w:lang w:val="en-US"/>
        </w:rPr>
        <w:t>śākhā</w:t>
      </w:r>
      <w:r w:rsidRPr="0071345C">
        <w:rPr>
          <w:rFonts w:ascii="Sabon Unicode" w:hAnsi="Sabon Unicode"/>
          <w:lang w:val="en-US"/>
        </w:rPr>
        <w:t xml:space="preserve">s  see also </w:t>
      </w:r>
      <w:r w:rsidRPr="0071345C">
        <w:rPr>
          <w:rStyle w:val="biblio-authorGEN"/>
          <w:rFonts w:ascii="Sabon Unicode" w:hAnsi="Sabon Unicode"/>
          <w:sz w:val="18"/>
          <w:szCs w:val="15"/>
          <w:lang w:val="en-US"/>
        </w:rPr>
        <w:t>Renou</w:t>
      </w:r>
      <w:r w:rsidRPr="0071345C">
        <w:rPr>
          <w:rFonts w:ascii="Sabon Unicode" w:hAnsi="Sabon Unicode"/>
          <w:lang w:val="en-US"/>
        </w:rPr>
        <w:t xml:space="preserve"> 1947.</w:t>
      </w:r>
    </w:p>
  </w:footnote>
  <w:footnote w:id="122">
    <w:p w14:paraId="7DAE82CD"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lang w:val="en-US"/>
        </w:rPr>
        <w:t xml:space="preserve">Though we must never forget that the source we have, namely the </w:t>
      </w:r>
      <w:r w:rsidRPr="0071345C">
        <w:rPr>
          <w:i/>
          <w:iCs/>
          <w:lang w:val="en-US"/>
        </w:rPr>
        <w:t>R̥gveda Sa</w:t>
      </w:r>
      <w:r w:rsidRPr="0071345C">
        <w:rPr>
          <w:i/>
          <w:iCs/>
          <w:lang w:val="en-US"/>
        </w:rPr>
        <w:t>ṃ</w:t>
      </w:r>
      <w:r w:rsidRPr="0071345C">
        <w:rPr>
          <w:i/>
          <w:iCs/>
          <w:lang w:val="en-US"/>
        </w:rPr>
        <w:t>hitā,</w:t>
      </w:r>
      <w:r w:rsidRPr="0071345C">
        <w:rPr>
          <w:lang w:val="en-US"/>
        </w:rPr>
        <w:t xml:space="preserve"> is one-sided source, being affected just by a strong religious-ritual bias, yet this element should have been a salient feature of that culture too.</w:t>
      </w:r>
    </w:p>
  </w:footnote>
  <w:footnote w:id="123">
    <w:p w14:paraId="2ADCF9DF"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For a general overview </w:t>
      </w:r>
      <w:r w:rsidRPr="0071345C">
        <w:rPr>
          <w:lang w:val="en-US"/>
        </w:rPr>
        <w:t xml:space="preserve">see </w:t>
      </w:r>
      <w:r w:rsidRPr="0071345C">
        <w:rPr>
          <w:rStyle w:val="biblio-authorGEN"/>
          <w:sz w:val="18"/>
          <w:szCs w:val="15"/>
          <w:lang w:val="en-US"/>
        </w:rPr>
        <w:t>Hillebrandt</w:t>
      </w:r>
      <w:r w:rsidRPr="0071345C">
        <w:rPr>
          <w:lang w:val="en-US"/>
        </w:rPr>
        <w:t xml:space="preserve"> 1897 and the useful dictionary by </w:t>
      </w:r>
      <w:r w:rsidRPr="0071345C">
        <w:rPr>
          <w:rStyle w:val="biblio-authorGEN"/>
          <w:sz w:val="18"/>
          <w:szCs w:val="15"/>
          <w:lang w:val="en-US"/>
        </w:rPr>
        <w:t>Mylius</w:t>
      </w:r>
      <w:r w:rsidRPr="0071345C">
        <w:rPr>
          <w:lang w:val="en-US"/>
        </w:rPr>
        <w:t xml:space="preserve"> 1995. As to the single studies on the Vedic rituals, we will recall here only the principal ones; on the </w:t>
      </w:r>
      <w:r w:rsidRPr="0071345C">
        <w:rPr>
          <w:i/>
          <w:iCs/>
          <w:lang w:val="en-US"/>
        </w:rPr>
        <w:t>Darśapūr</w:t>
      </w:r>
      <w:r w:rsidRPr="0071345C">
        <w:rPr>
          <w:i/>
          <w:iCs/>
          <w:lang w:val="en-US"/>
        </w:rPr>
        <w:t>ṇ</w:t>
      </w:r>
      <w:r w:rsidRPr="0071345C">
        <w:rPr>
          <w:i/>
          <w:iCs/>
          <w:lang w:val="en-US"/>
        </w:rPr>
        <w:t>amāse</w:t>
      </w:r>
      <w:r w:rsidRPr="0071345C">
        <w:rPr>
          <w:i/>
          <w:iCs/>
          <w:lang w:val="en-US"/>
        </w:rPr>
        <w:t>ṣṭ</w:t>
      </w:r>
      <w:r w:rsidRPr="0071345C">
        <w:rPr>
          <w:i/>
          <w:iCs/>
          <w:lang w:val="en-US"/>
        </w:rPr>
        <w:t>ī</w:t>
      </w:r>
      <w:r w:rsidRPr="0071345C">
        <w:rPr>
          <w:lang w:val="en-US"/>
        </w:rPr>
        <w:t xml:space="preserve"> see </w:t>
      </w:r>
      <w:r w:rsidRPr="0071345C">
        <w:rPr>
          <w:rStyle w:val="biblio-authorGEN"/>
          <w:sz w:val="18"/>
          <w:szCs w:val="15"/>
          <w:lang w:val="en-US"/>
        </w:rPr>
        <w:t>Hillebrandt</w:t>
      </w:r>
      <w:r w:rsidRPr="0071345C">
        <w:rPr>
          <w:lang w:val="en-US"/>
        </w:rPr>
        <w:t xml:space="preserve"> 1879, on the </w:t>
      </w:r>
      <w:r w:rsidRPr="0071345C">
        <w:rPr>
          <w:i/>
          <w:iCs/>
          <w:lang w:val="en-US"/>
        </w:rPr>
        <w:t>Agni</w:t>
      </w:r>
      <w:r w:rsidRPr="0071345C">
        <w:rPr>
          <w:i/>
          <w:iCs/>
          <w:lang w:val="en-US"/>
        </w:rPr>
        <w:t>ṣṭ</w:t>
      </w:r>
      <w:r w:rsidRPr="0071345C">
        <w:rPr>
          <w:i/>
          <w:iCs/>
          <w:lang w:val="en-US"/>
        </w:rPr>
        <w:t>oma</w:t>
      </w:r>
      <w:r w:rsidRPr="0071345C">
        <w:rPr>
          <w:lang w:val="en-US"/>
        </w:rPr>
        <w:t xml:space="preserve"> </w:t>
      </w:r>
      <w:r w:rsidRPr="0071345C">
        <w:rPr>
          <w:rStyle w:val="biblio-authorGEN"/>
          <w:sz w:val="18"/>
          <w:szCs w:val="18"/>
          <w:lang w:val="en-US"/>
        </w:rPr>
        <w:t>Caland-Henry</w:t>
      </w:r>
      <w:r w:rsidRPr="0071345C">
        <w:rPr>
          <w:lang w:val="en-US"/>
        </w:rPr>
        <w:t xml:space="preserve"> 1906, on the animal sacr</w:t>
      </w:r>
      <w:r w:rsidRPr="0071345C">
        <w:rPr>
          <w:lang w:val="en-US"/>
        </w:rPr>
        <w:t xml:space="preserve">ifice see </w:t>
      </w:r>
      <w:r w:rsidRPr="0071345C">
        <w:rPr>
          <w:rStyle w:val="biblio-authorGEN"/>
          <w:sz w:val="18"/>
          <w:szCs w:val="15"/>
          <w:lang w:val="en-US"/>
        </w:rPr>
        <w:t>Schwab</w:t>
      </w:r>
      <w:r w:rsidRPr="0071345C">
        <w:rPr>
          <w:lang w:val="en-US"/>
        </w:rPr>
        <w:t xml:space="preserve"> 1886.</w:t>
      </w:r>
    </w:p>
  </w:footnote>
  <w:footnote w:id="124">
    <w:p w14:paraId="7A6A9C2D"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However we may consider this kind of literature, already the first anthropologist noticed its systematic issue and the effort of its authors for an all-inclusive presentation of the topics (</w:t>
      </w:r>
      <w:r w:rsidRPr="0071345C">
        <w:rPr>
          <w:lang w:val="en-US"/>
        </w:rPr>
        <w:t xml:space="preserve">see, e.g., </w:t>
      </w:r>
      <w:r w:rsidRPr="0071345C">
        <w:rPr>
          <w:rStyle w:val="biblio-authorGEN"/>
          <w:sz w:val="18"/>
          <w:szCs w:val="18"/>
          <w:lang w:val="en-US"/>
        </w:rPr>
        <w:t xml:space="preserve">Hubert – Mauss </w:t>
      </w:r>
      <w:r w:rsidRPr="0071345C">
        <w:rPr>
          <w:lang w:val="en-US"/>
        </w:rPr>
        <w:t>1899</w:t>
      </w:r>
      <w:r w:rsidRPr="0071345C">
        <w:rPr>
          <w:lang w:val="en-US"/>
        </w:rPr>
        <w:t>). A</w:t>
      </w:r>
      <w:r w:rsidRPr="0071345C">
        <w:rPr>
          <w:lang w:val="en-US"/>
        </w:rPr>
        <w:t xml:space="preserve">lso </w:t>
      </w:r>
      <w:r>
        <w:rPr>
          <w:rFonts w:ascii="Sabon Unicode" w:hAnsi="Sabon Unicode"/>
          <w:sz w:val="18"/>
          <w:lang w:val="en-GB"/>
        </w:rPr>
        <w:t>Ol</w:t>
      </w:r>
      <w:r>
        <w:rPr>
          <w:rFonts w:ascii="Sabon Unicode" w:hAnsi="Sabon Unicode"/>
          <w:sz w:val="18"/>
          <w:lang w:val="en-GB"/>
        </w:rPr>
        <w:t>denberg underlined this characteristic of the liturgical texts with the title itself of his work on Brāhma</w:t>
      </w:r>
      <w:r>
        <w:rPr>
          <w:rFonts w:ascii="Sabon Unicode" w:hAnsi="Sabon Unicode"/>
          <w:sz w:val="18"/>
          <w:lang w:val="en-GB"/>
        </w:rPr>
        <w:t>ṇ</w:t>
      </w:r>
      <w:r>
        <w:rPr>
          <w:rFonts w:ascii="Sabon Unicode" w:hAnsi="Sabon Unicode"/>
          <w:sz w:val="18"/>
          <w:lang w:val="en-GB"/>
        </w:rPr>
        <w:t xml:space="preserve">as: </w:t>
      </w:r>
      <w:r w:rsidRPr="0071345C">
        <w:rPr>
          <w:rFonts w:ascii="Sabon Unicode" w:hAnsi="Sabon Unicode"/>
          <w:i/>
          <w:iCs/>
          <w:sz w:val="18"/>
          <w:lang w:val="en-US"/>
        </w:rPr>
        <w:t xml:space="preserve">Vorwissenschaftliche Wissenschaft. </w:t>
      </w:r>
      <w:r>
        <w:rPr>
          <w:rFonts w:ascii="Sabon Unicode" w:eastAsia="Arial Unicode MS" w:hAnsi="Sabon Unicode" w:cs="Times Ext Roman"/>
          <w:i/>
          <w:iCs/>
          <w:sz w:val="18"/>
          <w:lang w:val="en-GB"/>
        </w:rPr>
        <w:t>Die Weltanschauung der Brāhma</w:t>
      </w:r>
      <w:r>
        <w:rPr>
          <w:rFonts w:ascii="Sabon Unicode" w:eastAsia="Arial Unicode MS" w:hAnsi="Sabon Unicode" w:cs="Times Ext Roman"/>
          <w:i/>
          <w:iCs/>
          <w:sz w:val="18"/>
          <w:lang w:val="en-GB"/>
        </w:rPr>
        <w:t>ṇ</w:t>
      </w:r>
      <w:r>
        <w:rPr>
          <w:rFonts w:ascii="Sabon Unicode" w:eastAsia="Arial Unicode MS" w:hAnsi="Sabon Unicode" w:cs="Times Ext Roman"/>
          <w:i/>
          <w:iCs/>
          <w:sz w:val="18"/>
          <w:lang w:val="en-GB"/>
        </w:rPr>
        <w:t>a- Texte</w:t>
      </w:r>
      <w:r>
        <w:rPr>
          <w:rFonts w:ascii="Sabon Unicode" w:hAnsi="Sabon Unicode"/>
          <w:sz w:val="18"/>
          <w:lang w:val="en-GB"/>
        </w:rPr>
        <w:t>.</w:t>
      </w:r>
    </w:p>
  </w:footnote>
  <w:footnote w:id="125">
    <w:p w14:paraId="66F66514"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devayantah</w:t>
      </w:r>
      <w:r w:rsidRPr="0071345C">
        <w:rPr>
          <w:lang w:val="en-US"/>
        </w:rPr>
        <w:t xml:space="preserve">: in R̥V the term is applied to officiants but also to the patron and Baudhāyana states that the anointing is carried out by the </w:t>
      </w:r>
      <w:r w:rsidRPr="0071345C">
        <w:rPr>
          <w:i/>
          <w:iCs/>
          <w:lang w:val="en-US"/>
        </w:rPr>
        <w:t>adhvaryu</w:t>
      </w:r>
      <w:r w:rsidRPr="0071345C">
        <w:rPr>
          <w:lang w:val="en-US"/>
        </w:rPr>
        <w:t xml:space="preserve">, the </w:t>
      </w:r>
      <w:r w:rsidRPr="0071345C">
        <w:rPr>
          <w:i/>
          <w:iCs/>
          <w:lang w:val="en-US"/>
        </w:rPr>
        <w:t>yajamāna</w:t>
      </w:r>
      <w:r w:rsidRPr="0071345C">
        <w:rPr>
          <w:lang w:val="en-US"/>
        </w:rPr>
        <w:t xml:space="preserve"> and the </w:t>
      </w:r>
      <w:r w:rsidRPr="0071345C">
        <w:rPr>
          <w:i/>
          <w:iCs/>
          <w:lang w:val="en-US"/>
        </w:rPr>
        <w:t>patnī.</w:t>
      </w:r>
    </w:p>
  </w:footnote>
  <w:footnote w:id="126">
    <w:p w14:paraId="15909E7D" w14:textId="77777777" w:rsidR="00E53EB6" w:rsidRPr="0071345C" w:rsidRDefault="006500F5">
      <w:pPr>
        <w:pStyle w:val="FootnoteText"/>
        <w:tabs>
          <w:tab w:val="left" w:pos="800"/>
          <w:tab w:val="left" w:pos="1360"/>
          <w:tab w:val="left" w:pos="1920"/>
          <w:tab w:val="left" w:pos="2480"/>
          <w:tab w:val="left" w:pos="3040"/>
          <w:tab w:val="left" w:pos="3600"/>
          <w:tab w:val="left" w:pos="4160"/>
          <w:tab w:val="left" w:pos="4720"/>
          <w:tab w:val="left" w:pos="5280"/>
          <w:tab w:val="left" w:pos="5840"/>
          <w:tab w:val="left" w:pos="6400"/>
          <w:tab w:val="left" w:pos="6960"/>
        </w:tabs>
        <w:autoSpaceDE w:val="0"/>
        <w:rPr>
          <w:rFonts w:ascii="Sabon Unicode" w:eastAsia="CharisSIL" w:hAnsi="Sabon Unicode" w:cs="CharisSIL"/>
          <w:color w:val="000000"/>
          <w:sz w:val="18"/>
          <w:szCs w:val="18"/>
          <w:lang w:val="en-US"/>
        </w:rPr>
      </w:pPr>
      <w:r>
        <w:rPr>
          <w:rStyle w:val="FootnoteCharacters"/>
        </w:rPr>
        <w:footnoteRef/>
      </w:r>
      <w:r w:rsidRPr="0071345C">
        <w:rPr>
          <w:rFonts w:ascii="Sabon Unicode" w:eastAsia="CharisSIL" w:hAnsi="Sabon Unicode" w:cs="CharisSIL"/>
          <w:color w:val="000000"/>
          <w:sz w:val="18"/>
          <w:szCs w:val="18"/>
          <w:lang w:val="en-US"/>
        </w:rPr>
        <w:tab/>
        <w:t xml:space="preserve"> The same is in R̥V 8.3.10 </w:t>
      </w:r>
      <w:r w:rsidRPr="0071345C">
        <w:rPr>
          <w:rFonts w:ascii="Sabon Unicode" w:eastAsia="CharisSIL" w:hAnsi="Sabon Unicode" w:cs="CharisSIL"/>
          <w:i/>
          <w:iCs/>
          <w:color w:val="000000"/>
          <w:sz w:val="18"/>
          <w:szCs w:val="18"/>
          <w:lang w:val="en-US"/>
        </w:rPr>
        <w:t>śŕ̥</w:t>
      </w:r>
      <w:r w:rsidRPr="0071345C">
        <w:rPr>
          <w:rFonts w:ascii="Sabon Unicode" w:eastAsia="CharisSIL" w:hAnsi="Sabon Unicode" w:cs="CharisSIL"/>
          <w:i/>
          <w:iCs/>
          <w:color w:val="000000"/>
          <w:sz w:val="18"/>
          <w:szCs w:val="18"/>
          <w:lang w:val="en-US"/>
        </w:rPr>
        <w:t>ṅ</w:t>
      </w:r>
      <w:r w:rsidRPr="0071345C">
        <w:rPr>
          <w:rFonts w:ascii="Sabon Unicode" w:eastAsia="CharisSIL" w:hAnsi="Sabon Unicode" w:cs="CharisSIL"/>
          <w:i/>
          <w:iCs/>
          <w:color w:val="000000"/>
          <w:sz w:val="18"/>
          <w:szCs w:val="18"/>
          <w:lang w:val="en-US"/>
        </w:rPr>
        <w:t>gā</w:t>
      </w:r>
      <w:r w:rsidRPr="0071345C">
        <w:rPr>
          <w:rFonts w:ascii="Sabon Unicode" w:eastAsia="CharisSIL" w:hAnsi="Sabon Unicode" w:cs="CharisSIL"/>
          <w:i/>
          <w:iCs/>
          <w:color w:val="000000"/>
          <w:sz w:val="18"/>
          <w:szCs w:val="18"/>
          <w:lang w:val="en-US"/>
        </w:rPr>
        <w:t>ṇ</w:t>
      </w:r>
      <w:r w:rsidRPr="0071345C">
        <w:rPr>
          <w:rFonts w:ascii="Sabon Unicode" w:eastAsia="CharisSIL" w:hAnsi="Sabon Unicode" w:cs="CharisSIL"/>
          <w:i/>
          <w:iCs/>
          <w:color w:val="000000"/>
          <w:sz w:val="18"/>
          <w:szCs w:val="18"/>
          <w:lang w:val="en-US"/>
        </w:rPr>
        <w:t>īvéc chr̥</w:t>
      </w:r>
      <w:r w:rsidRPr="0071345C">
        <w:rPr>
          <w:rFonts w:ascii="Sabon Unicode" w:eastAsia="CharisSIL" w:hAnsi="Sabon Unicode" w:cs="CharisSIL"/>
          <w:i/>
          <w:iCs/>
          <w:color w:val="000000"/>
          <w:sz w:val="18"/>
          <w:szCs w:val="18"/>
          <w:lang w:val="en-US"/>
        </w:rPr>
        <w:t>ṅ</w:t>
      </w:r>
      <w:r w:rsidRPr="0071345C">
        <w:rPr>
          <w:rFonts w:ascii="Sabon Unicode" w:eastAsia="CharisSIL" w:hAnsi="Sabon Unicode" w:cs="CharisSIL"/>
          <w:i/>
          <w:iCs/>
          <w:color w:val="000000"/>
          <w:sz w:val="18"/>
          <w:szCs w:val="18"/>
          <w:lang w:val="en-US"/>
        </w:rPr>
        <w:t>gí</w:t>
      </w:r>
      <w:r w:rsidRPr="0071345C">
        <w:rPr>
          <w:rFonts w:ascii="Sabon Unicode" w:eastAsia="CharisSIL" w:hAnsi="Sabon Unicode" w:cs="CharisSIL"/>
          <w:i/>
          <w:iCs/>
          <w:color w:val="000000"/>
          <w:sz w:val="18"/>
          <w:szCs w:val="18"/>
          <w:lang w:val="en-US"/>
        </w:rPr>
        <w:t>ṇ</w:t>
      </w:r>
      <w:r w:rsidRPr="0071345C">
        <w:rPr>
          <w:rFonts w:ascii="Sabon Unicode" w:eastAsia="CharisSIL" w:hAnsi="Sabon Unicode" w:cs="CharisSIL"/>
          <w:i/>
          <w:iCs/>
          <w:color w:val="000000"/>
          <w:sz w:val="18"/>
          <w:szCs w:val="18"/>
          <w:lang w:val="en-US"/>
        </w:rPr>
        <w:t>ā</w:t>
      </w:r>
      <w:r w:rsidRPr="0071345C">
        <w:rPr>
          <w:rFonts w:ascii="Sabon Unicode" w:eastAsia="CharisSIL" w:hAnsi="Sabon Unicode" w:cs="CharisSIL"/>
          <w:i/>
          <w:iCs/>
          <w:color w:val="000000"/>
          <w:sz w:val="18"/>
          <w:szCs w:val="18"/>
          <w:lang w:val="en-US"/>
        </w:rPr>
        <w:t>ṃ</w:t>
      </w:r>
      <w:r w:rsidRPr="0071345C">
        <w:rPr>
          <w:rFonts w:ascii="Sabon Unicode" w:eastAsia="CharisSIL" w:hAnsi="Sabon Unicode" w:cs="CharisSIL"/>
          <w:i/>
          <w:iCs/>
          <w:color w:val="000000"/>
          <w:sz w:val="18"/>
          <w:szCs w:val="18"/>
          <w:lang w:val="en-US"/>
        </w:rPr>
        <w:t xml:space="preserve"> sá</w:t>
      </w:r>
      <w:r w:rsidRPr="0071345C">
        <w:rPr>
          <w:rFonts w:ascii="Sabon Unicode" w:eastAsia="CharisSIL" w:hAnsi="Sabon Unicode" w:cs="CharisSIL"/>
          <w:i/>
          <w:iCs/>
          <w:color w:val="000000"/>
          <w:sz w:val="18"/>
          <w:szCs w:val="18"/>
          <w:lang w:val="en-US"/>
        </w:rPr>
        <w:t>ṃ</w:t>
      </w:r>
      <w:r w:rsidRPr="0071345C">
        <w:rPr>
          <w:rFonts w:ascii="Sabon Unicode" w:eastAsia="CharisSIL" w:hAnsi="Sabon Unicode" w:cs="CharisSIL"/>
          <w:i/>
          <w:iCs/>
          <w:color w:val="000000"/>
          <w:sz w:val="18"/>
          <w:szCs w:val="18"/>
          <w:lang w:val="en-US"/>
        </w:rPr>
        <w:t xml:space="preserve"> dadr̥śre ca</w:t>
      </w:r>
      <w:r w:rsidRPr="0071345C">
        <w:rPr>
          <w:rFonts w:ascii="Sabon Unicode" w:eastAsia="CharisSIL" w:hAnsi="Sabon Unicode" w:cs="CharisSIL"/>
          <w:i/>
          <w:iCs/>
          <w:color w:val="000000"/>
          <w:sz w:val="18"/>
          <w:szCs w:val="18"/>
          <w:lang w:val="en-US"/>
        </w:rPr>
        <w:t>ṣ</w:t>
      </w:r>
      <w:r w:rsidRPr="0071345C">
        <w:rPr>
          <w:rFonts w:ascii="Sabon Unicode" w:eastAsia="CharisSIL" w:hAnsi="Sabon Unicode" w:cs="CharisSIL"/>
          <w:i/>
          <w:iCs/>
          <w:color w:val="000000"/>
          <w:sz w:val="18"/>
          <w:szCs w:val="18"/>
          <w:lang w:val="en-US"/>
        </w:rPr>
        <w:t>ā́lavanta</w:t>
      </w:r>
      <w:r w:rsidRPr="0071345C">
        <w:rPr>
          <w:rFonts w:ascii="Sabon Unicode" w:eastAsia="CharisSIL" w:hAnsi="Sabon Unicode" w:cs="CharisSIL"/>
          <w:i/>
          <w:iCs/>
          <w:color w:val="000000"/>
          <w:sz w:val="18"/>
          <w:szCs w:val="18"/>
          <w:lang w:val="en-US"/>
        </w:rPr>
        <w:t>ḥ</w:t>
      </w:r>
      <w:r w:rsidRPr="0071345C">
        <w:rPr>
          <w:rFonts w:ascii="Sabon Unicode" w:eastAsia="CharisSIL" w:hAnsi="Sabon Unicode" w:cs="CharisSIL"/>
          <w:i/>
          <w:iCs/>
          <w:color w:val="000000"/>
          <w:sz w:val="18"/>
          <w:szCs w:val="18"/>
          <w:lang w:val="en-US"/>
        </w:rPr>
        <w:t xml:space="preserve"> svárava</w:t>
      </w:r>
      <w:r w:rsidRPr="0071345C">
        <w:rPr>
          <w:rFonts w:ascii="Sabon Unicode" w:eastAsia="CharisSIL" w:hAnsi="Sabon Unicode" w:cs="CharisSIL"/>
          <w:i/>
          <w:iCs/>
          <w:color w:val="000000"/>
          <w:sz w:val="18"/>
          <w:szCs w:val="18"/>
          <w:lang w:val="en-US"/>
        </w:rPr>
        <w:t>ḥ</w:t>
      </w:r>
      <w:r w:rsidRPr="0071345C">
        <w:rPr>
          <w:rFonts w:ascii="Sabon Unicode" w:eastAsia="CharisSIL" w:hAnsi="Sabon Unicode" w:cs="CharisSIL"/>
          <w:i/>
          <w:iCs/>
          <w:color w:val="000000"/>
          <w:sz w:val="18"/>
          <w:szCs w:val="18"/>
          <w:lang w:val="en-US"/>
        </w:rPr>
        <w:t xml:space="preserve"> pr̥thivyā́m / vāghádbhir vā vihavé śró</w:t>
      </w:r>
      <w:r w:rsidRPr="0071345C">
        <w:rPr>
          <w:rFonts w:ascii="Sabon Unicode" w:eastAsia="CharisSIL" w:hAnsi="Sabon Unicode" w:cs="CharisSIL"/>
          <w:i/>
          <w:iCs/>
          <w:color w:val="000000"/>
          <w:sz w:val="18"/>
          <w:szCs w:val="18"/>
          <w:lang w:val="en-US"/>
        </w:rPr>
        <w:t>ṣ</w:t>
      </w:r>
      <w:r w:rsidRPr="0071345C">
        <w:rPr>
          <w:rFonts w:ascii="Sabon Unicode" w:eastAsia="CharisSIL" w:hAnsi="Sabon Unicode" w:cs="CharisSIL"/>
          <w:i/>
          <w:iCs/>
          <w:color w:val="000000"/>
          <w:sz w:val="18"/>
          <w:szCs w:val="18"/>
          <w:lang w:val="en-US"/>
        </w:rPr>
        <w:t>amā</w:t>
      </w:r>
      <w:r w:rsidRPr="0071345C">
        <w:rPr>
          <w:rFonts w:ascii="Sabon Unicode" w:eastAsia="CharisSIL" w:hAnsi="Sabon Unicode" w:cs="CharisSIL"/>
          <w:i/>
          <w:iCs/>
          <w:color w:val="000000"/>
          <w:sz w:val="18"/>
          <w:szCs w:val="18"/>
          <w:lang w:val="en-US"/>
        </w:rPr>
        <w:t>ṇ</w:t>
      </w:r>
      <w:r w:rsidRPr="0071345C">
        <w:rPr>
          <w:rFonts w:ascii="Sabon Unicode" w:eastAsia="CharisSIL" w:hAnsi="Sabon Unicode" w:cs="CharisSIL"/>
          <w:i/>
          <w:iCs/>
          <w:color w:val="000000"/>
          <w:sz w:val="18"/>
          <w:szCs w:val="18"/>
          <w:lang w:val="en-US"/>
        </w:rPr>
        <w:t>ā asmā́m̐ avantu pr̥tanā́jye</w:t>
      </w:r>
      <w:r w:rsidRPr="0071345C">
        <w:rPr>
          <w:rFonts w:ascii="Sabon Unicode" w:eastAsia="CharisSIL" w:hAnsi="Sabon Unicode" w:cs="CharisSIL"/>
          <w:i/>
          <w:iCs/>
          <w:color w:val="000000"/>
          <w:sz w:val="18"/>
          <w:szCs w:val="18"/>
          <w:lang w:val="en-US"/>
        </w:rPr>
        <w:t>ṣ</w:t>
      </w:r>
      <w:r w:rsidRPr="0071345C">
        <w:rPr>
          <w:rFonts w:ascii="Sabon Unicode" w:eastAsia="CharisSIL" w:hAnsi="Sabon Unicode" w:cs="CharisSIL"/>
          <w:i/>
          <w:iCs/>
          <w:color w:val="000000"/>
          <w:sz w:val="18"/>
          <w:szCs w:val="18"/>
          <w:lang w:val="en-US"/>
        </w:rPr>
        <w:t>u.</w:t>
      </w:r>
    </w:p>
  </w:footnote>
  <w:footnote w:id="127">
    <w:p w14:paraId="681CDC4D"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babhūvathu</w:t>
      </w:r>
      <w:r w:rsidRPr="0071345C">
        <w:rPr>
          <w:i/>
          <w:iCs/>
          <w:lang w:val="en-US"/>
        </w:rPr>
        <w:t>ḥ</w:t>
      </w:r>
      <w:r w:rsidRPr="0071345C">
        <w:rPr>
          <w:lang w:val="en-US"/>
        </w:rPr>
        <w:t>: ind. perf. 2</w:t>
      </w:r>
      <w:r w:rsidRPr="0071345C">
        <w:rPr>
          <w:vertAlign w:val="superscript"/>
          <w:lang w:val="en-US"/>
        </w:rPr>
        <w:t>nd</w:t>
      </w:r>
      <w:r w:rsidRPr="0071345C">
        <w:rPr>
          <w:lang w:val="en-US"/>
        </w:rPr>
        <w:t xml:space="preserve"> du. from </w:t>
      </w:r>
      <w:r w:rsidRPr="0071345C">
        <w:rPr>
          <w:i/>
          <w:iCs/>
          <w:lang w:val="en-US"/>
        </w:rPr>
        <w:t>bhū-</w:t>
      </w:r>
      <w:r w:rsidRPr="0071345C">
        <w:rPr>
          <w:lang w:val="en-US"/>
        </w:rPr>
        <w:t xml:space="preserve"> “you have become”, it has here a perfective that with a resultative.</w:t>
      </w:r>
    </w:p>
  </w:footnote>
  <w:footnote w:id="128">
    <w:p w14:paraId="363C6D56"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R̥V </w:t>
      </w:r>
      <w:r w:rsidRPr="0071345C">
        <w:rPr>
          <w:i/>
          <w:iCs/>
          <w:lang w:val="en-US"/>
        </w:rPr>
        <w:t>bhavā</w:t>
      </w:r>
      <w:r w:rsidRPr="0071345C">
        <w:rPr>
          <w:i/>
          <w:iCs/>
          <w:lang w:val="en-US"/>
        </w:rPr>
        <w:t>ḥ</w:t>
      </w:r>
      <w:r w:rsidRPr="0071345C">
        <w:rPr>
          <w:lang w:val="en-US"/>
        </w:rPr>
        <w:t xml:space="preserve">, </w:t>
      </w:r>
      <w:r w:rsidRPr="0071345C">
        <w:rPr>
          <w:lang w:val="en-US"/>
        </w:rPr>
        <w:t>subj. pres. 2</w:t>
      </w:r>
      <w:r w:rsidRPr="0071345C">
        <w:rPr>
          <w:vertAlign w:val="superscript"/>
          <w:lang w:val="en-US"/>
        </w:rPr>
        <w:t>nd</w:t>
      </w:r>
      <w:r w:rsidRPr="0071345C">
        <w:rPr>
          <w:lang w:val="en-US"/>
        </w:rPr>
        <w:t xml:space="preserve"> sing.; KS; MS and VS read as R̥V.</w:t>
      </w:r>
    </w:p>
  </w:footnote>
  <w:footnote w:id="129">
    <w:p w14:paraId="473B3D48"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pū́rve</w:t>
      </w:r>
      <w:r w:rsidRPr="0071345C">
        <w:rPr>
          <w:lang w:val="en-US"/>
        </w:rPr>
        <w:t xml:space="preserve">: nom. m. pl. referring to </w:t>
      </w:r>
      <w:r w:rsidRPr="0071345C">
        <w:rPr>
          <w:i/>
          <w:iCs/>
          <w:lang w:val="en-US"/>
        </w:rPr>
        <w:t>pitára</w:t>
      </w:r>
      <w:r w:rsidRPr="0071345C">
        <w:rPr>
          <w:i/>
          <w:iCs/>
          <w:lang w:val="en-US"/>
        </w:rPr>
        <w:t>ḥ</w:t>
      </w:r>
      <w:r w:rsidRPr="0071345C">
        <w:rPr>
          <w:lang w:val="en-US"/>
        </w:rPr>
        <w:t xml:space="preserve">, functions here as an apposition with adverbial meaning or maybe better as </w:t>
      </w:r>
      <w:r w:rsidRPr="0071345C">
        <w:rPr>
          <w:i/>
          <w:iCs/>
          <w:lang w:val="en-US"/>
        </w:rPr>
        <w:t xml:space="preserve">rhema. </w:t>
      </w:r>
      <w:r w:rsidRPr="0071345C">
        <w:rPr>
          <w:lang w:val="en-US"/>
        </w:rPr>
        <w:t xml:space="preserve">For this kind of usage of nominative, see, among others, </w:t>
      </w:r>
      <w:r w:rsidRPr="0071345C">
        <w:rPr>
          <w:rStyle w:val="biblio-authorGEN"/>
          <w:sz w:val="18"/>
          <w:szCs w:val="15"/>
          <w:lang w:val="en-US"/>
        </w:rPr>
        <w:t>Elizarenkova</w:t>
      </w:r>
      <w:r w:rsidRPr="0071345C">
        <w:rPr>
          <w:lang w:val="en-US"/>
        </w:rPr>
        <w:t xml:space="preserve"> 1995</w:t>
      </w:r>
      <w:r w:rsidRPr="0071345C">
        <w:rPr>
          <w:vertAlign w:val="superscript"/>
          <w:lang w:val="en-US"/>
        </w:rPr>
        <w:t>a</w:t>
      </w:r>
      <w:r w:rsidRPr="0071345C">
        <w:rPr>
          <w:lang w:val="en-US"/>
        </w:rPr>
        <w:t>: 202-206.</w:t>
      </w:r>
    </w:p>
  </w:footnote>
  <w:footnote w:id="130">
    <w:p w14:paraId="46AAC01C"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paridhī́n </w:t>
      </w:r>
      <w:r w:rsidRPr="0071345C">
        <w:rPr>
          <w:lang w:val="en-US"/>
        </w:rPr>
        <w:t>(acc. m. pl.):</w:t>
      </w:r>
      <w:r w:rsidRPr="0071345C">
        <w:rPr>
          <w:lang w:val="en-US"/>
        </w:rPr>
        <w:t xml:space="preserve"> a circular channel was made by digging around the fire, and three boughs were used to mark it. These three boughs are called </w:t>
      </w:r>
      <w:r w:rsidRPr="0071345C">
        <w:rPr>
          <w:i/>
          <w:iCs/>
          <w:lang w:val="en-US"/>
        </w:rPr>
        <w:t xml:space="preserve">paridhí-, </w:t>
      </w:r>
      <w:r w:rsidRPr="0071345C">
        <w:rPr>
          <w:lang w:val="en-US"/>
        </w:rPr>
        <w:t>which indicates also the enclosure around the cairns, cf. the funeral hymns 10.14-18.</w:t>
      </w:r>
    </w:p>
  </w:footnote>
  <w:footnote w:id="131">
    <w:p w14:paraId="1F98BA8E"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vā́tajūtāsa</w:t>
      </w:r>
      <w:r w:rsidRPr="0071345C">
        <w:rPr>
          <w:i/>
          <w:iCs/>
          <w:lang w:val="en-US"/>
        </w:rPr>
        <w:t>ḥ</w:t>
      </w:r>
      <w:r w:rsidRPr="0071345C">
        <w:rPr>
          <w:rFonts w:cs="Devanagari MT;Times New Roman"/>
          <w:i/>
          <w:iCs/>
          <w:lang w:val="en-US"/>
        </w:rPr>
        <w:t>,</w:t>
      </w:r>
      <w:r w:rsidRPr="0071345C">
        <w:rPr>
          <w:i/>
          <w:iCs/>
          <w:lang w:val="en-US"/>
        </w:rPr>
        <w:t xml:space="preserve"> </w:t>
      </w:r>
      <w:r w:rsidRPr="0071345C">
        <w:rPr>
          <w:lang w:val="en-US"/>
        </w:rPr>
        <w:t xml:space="preserve">from </w:t>
      </w:r>
      <w:r w:rsidRPr="0071345C">
        <w:rPr>
          <w:i/>
          <w:iCs/>
          <w:lang w:val="en-US"/>
        </w:rPr>
        <w:t xml:space="preserve">vā́tajūta- </w:t>
      </w:r>
      <w:r w:rsidRPr="0071345C">
        <w:rPr>
          <w:lang w:val="en-US"/>
        </w:rPr>
        <w:t xml:space="preserve">a </w:t>
      </w:r>
      <w:r w:rsidRPr="0071345C">
        <w:rPr>
          <w:i/>
          <w:iCs/>
          <w:lang w:val="en-US"/>
        </w:rPr>
        <w:t>tatpuru</w:t>
      </w:r>
      <w:r w:rsidRPr="0071345C">
        <w:rPr>
          <w:i/>
          <w:iCs/>
          <w:lang w:val="en-US"/>
        </w:rPr>
        <w:t>ṣ</w:t>
      </w:r>
      <w:r w:rsidRPr="0071345C">
        <w:rPr>
          <w:i/>
          <w:iCs/>
          <w:lang w:val="en-US"/>
        </w:rPr>
        <w:t>a</w:t>
      </w:r>
      <w:r w:rsidRPr="0071345C">
        <w:rPr>
          <w:lang w:val="en-US"/>
        </w:rPr>
        <w:t xml:space="preserve"> whom second member is a PPP (</w:t>
      </w:r>
      <w:r w:rsidRPr="0071345C">
        <w:rPr>
          <w:i/>
          <w:iCs/>
          <w:lang w:val="en-US"/>
        </w:rPr>
        <w:t xml:space="preserve">vā́ta- </w:t>
      </w:r>
      <w:r w:rsidRPr="0071345C">
        <w:rPr>
          <w:lang w:val="en-US"/>
        </w:rPr>
        <w:t xml:space="preserve">+ </w:t>
      </w:r>
      <w:r w:rsidRPr="0071345C">
        <w:rPr>
          <w:i/>
          <w:iCs/>
          <w:lang w:val="en-US"/>
        </w:rPr>
        <w:t>jūta- &lt;</w:t>
      </w:r>
      <w:r w:rsidRPr="0071345C">
        <w:rPr>
          <w:lang w:val="en-US"/>
        </w:rPr>
        <w:t xml:space="preserve">rad. </w:t>
      </w:r>
      <w:r w:rsidRPr="0071345C">
        <w:rPr>
          <w:i/>
          <w:iCs/>
          <w:lang w:val="en-US"/>
        </w:rPr>
        <w:t xml:space="preserve">jū- </w:t>
      </w:r>
      <w:r w:rsidRPr="0071345C">
        <w:rPr>
          <w:lang w:val="en-US"/>
        </w:rPr>
        <w:t xml:space="preserve">“to press forward, to excite”) cf. </w:t>
      </w:r>
      <w:r w:rsidRPr="0071345C">
        <w:rPr>
          <w:rStyle w:val="biblio-authorGEN"/>
          <w:sz w:val="18"/>
          <w:szCs w:val="15"/>
          <w:lang w:val="en-US"/>
        </w:rPr>
        <w:t>Whitney1888</w:t>
      </w:r>
      <w:r w:rsidRPr="0071345C">
        <w:rPr>
          <w:lang w:val="en-US"/>
        </w:rPr>
        <w:t>: §1273.</w:t>
      </w:r>
    </w:p>
  </w:footnote>
  <w:footnote w:id="132">
    <w:p w14:paraId="41399EE5"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tuvimrak</w:t>
      </w:r>
      <w:r w:rsidRPr="0071345C">
        <w:rPr>
          <w:i/>
          <w:iCs/>
          <w:lang w:val="en-US"/>
        </w:rPr>
        <w:t>ṣ</w:t>
      </w:r>
      <w:r w:rsidRPr="0071345C">
        <w:rPr>
          <w:i/>
          <w:iCs/>
          <w:lang w:val="en-US"/>
        </w:rPr>
        <w:t>ā́sa</w:t>
      </w:r>
      <w:r w:rsidRPr="0071345C">
        <w:rPr>
          <w:i/>
          <w:iCs/>
          <w:lang w:val="en-US"/>
        </w:rPr>
        <w:t>ḥ</w:t>
      </w:r>
      <w:r w:rsidRPr="0071345C">
        <w:rPr>
          <w:i/>
          <w:iCs/>
          <w:lang w:val="en-US"/>
        </w:rPr>
        <w:t xml:space="preserve">, </w:t>
      </w:r>
      <w:r w:rsidRPr="0071345C">
        <w:rPr>
          <w:lang w:val="en-US"/>
        </w:rPr>
        <w:t xml:space="preserve">from </w:t>
      </w:r>
      <w:r w:rsidRPr="0071345C">
        <w:rPr>
          <w:i/>
          <w:iCs/>
          <w:lang w:val="en-US"/>
        </w:rPr>
        <w:t>tuvimrak</w:t>
      </w:r>
      <w:r w:rsidRPr="0071345C">
        <w:rPr>
          <w:i/>
          <w:iCs/>
          <w:lang w:val="en-US"/>
        </w:rPr>
        <w:t>ṣ</w:t>
      </w:r>
      <w:r w:rsidRPr="0071345C">
        <w:rPr>
          <w:i/>
          <w:iCs/>
          <w:lang w:val="en-US"/>
        </w:rPr>
        <w:t>ák-</w:t>
      </w:r>
      <w:r w:rsidRPr="0071345C">
        <w:rPr>
          <w:lang w:val="en-US"/>
        </w:rPr>
        <w:t xml:space="preserve"> a</w:t>
      </w:r>
      <w:r w:rsidRPr="0071345C">
        <w:rPr>
          <w:i/>
          <w:iCs/>
          <w:lang w:val="en-US"/>
        </w:rPr>
        <w:t xml:space="preserve"> karmadhāraya (tuví</w:t>
      </w:r>
      <w:r w:rsidRPr="0071345C">
        <w:rPr>
          <w:lang w:val="en-US"/>
        </w:rPr>
        <w:t xml:space="preserve">- “much” + </w:t>
      </w:r>
      <w:r w:rsidRPr="0071345C">
        <w:rPr>
          <w:i/>
          <w:iCs/>
          <w:lang w:val="en-US"/>
        </w:rPr>
        <w:t>m</w:t>
      </w:r>
      <w:r w:rsidRPr="0071345C">
        <w:rPr>
          <w:i/>
          <w:iCs/>
          <w:lang w:val="en-US"/>
        </w:rPr>
        <w:t>r̥</w:t>
      </w:r>
      <w:r w:rsidRPr="0071345C">
        <w:rPr>
          <w:i/>
          <w:iCs/>
          <w:lang w:val="en-US"/>
        </w:rPr>
        <w:t>ak</w:t>
      </w:r>
      <w:r w:rsidRPr="0071345C">
        <w:rPr>
          <w:i/>
          <w:iCs/>
          <w:lang w:val="en-US"/>
        </w:rPr>
        <w:t>ṣ</w:t>
      </w:r>
      <w:r w:rsidRPr="0071345C">
        <w:rPr>
          <w:i/>
          <w:iCs/>
          <w:lang w:val="en-US"/>
        </w:rPr>
        <w:t>ak</w:t>
      </w:r>
      <w:r w:rsidRPr="0071345C">
        <w:rPr>
          <w:lang w:val="en-US"/>
        </w:rPr>
        <w:t>- “destroying”) that could have been chosen also for a sound-</w:t>
      </w:r>
      <w:r w:rsidRPr="0071345C">
        <w:rPr>
          <w:lang w:val="en-US"/>
        </w:rPr>
        <w:t xml:space="preserve">play, considering the remarkable heights of sophistication reached by </w:t>
      </w:r>
      <w:r w:rsidRPr="0071345C">
        <w:rPr>
          <w:lang w:val="en-US"/>
        </w:rPr>
        <w:t>R̥g</w:t>
      </w:r>
      <w:r w:rsidRPr="0071345C">
        <w:rPr>
          <w:lang w:val="en-US"/>
        </w:rPr>
        <w:t>vedic</w:t>
      </w:r>
      <w:r w:rsidRPr="0071345C">
        <w:rPr>
          <w:lang w:val="en-US"/>
        </w:rPr>
        <w:t xml:space="preserve"> poetry in using phonetic features as communicative means.</w:t>
      </w:r>
    </w:p>
  </w:footnote>
  <w:footnote w:id="133">
    <w:p w14:paraId="5A9191B4"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A family of mythical priests, named among the Fathers, and connected, as the A</w:t>
      </w:r>
      <w:r w:rsidRPr="0071345C">
        <w:rPr>
          <w:lang w:val="en-US"/>
        </w:rPr>
        <w:t>ṇ</w:t>
      </w:r>
      <w:r w:rsidRPr="0071345C">
        <w:rPr>
          <w:lang w:val="en-US"/>
        </w:rPr>
        <w:t>giras, to the myth of Indra and the c</w:t>
      </w:r>
      <w:r w:rsidRPr="0071345C">
        <w:rPr>
          <w:lang w:val="en-US"/>
        </w:rPr>
        <w:t>ows of Pa</w:t>
      </w:r>
      <w:r w:rsidRPr="0071345C">
        <w:rPr>
          <w:lang w:val="en-US"/>
        </w:rPr>
        <w:t>ṇ</w:t>
      </w:r>
      <w:r w:rsidRPr="0071345C">
        <w:rPr>
          <w:lang w:val="en-US"/>
        </w:rPr>
        <w:t xml:space="preserve">is, cf. </w:t>
      </w:r>
      <w:r w:rsidRPr="0071345C">
        <w:rPr>
          <w:rStyle w:val="biblio-authorGEN"/>
          <w:sz w:val="18"/>
          <w:szCs w:val="15"/>
          <w:lang w:val="en-US"/>
        </w:rPr>
        <w:t>Macdonell</w:t>
      </w:r>
      <w:r w:rsidRPr="0071345C">
        <w:rPr>
          <w:lang w:val="en-US"/>
        </w:rPr>
        <w:t xml:space="preserve"> 1898: §55B.</w:t>
      </w:r>
    </w:p>
  </w:footnote>
  <w:footnote w:id="134">
    <w:p w14:paraId="1D8F906B"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The sin, the contamination, dwells within the action that is going to be performed: the slaughtering of the horse; the ritual effort of taking any possible sin away plays an important role within the whole sacrifi</w:t>
      </w:r>
      <w:r w:rsidRPr="0071345C">
        <w:rPr>
          <w:lang w:val="en-US"/>
        </w:rPr>
        <w:t xml:space="preserve">ce. In order to avoid the contamination involved in the slaughtering act, it is often said that the victim agrees with what is happening (cf. the expression </w:t>
      </w:r>
      <w:r w:rsidRPr="0071345C">
        <w:rPr>
          <w:i/>
          <w:iCs/>
          <w:lang w:val="en-US"/>
        </w:rPr>
        <w:t>sa</w:t>
      </w:r>
      <w:r w:rsidRPr="0071345C">
        <w:rPr>
          <w:i/>
          <w:iCs/>
          <w:lang w:val="en-US"/>
        </w:rPr>
        <w:t>ṃ</w:t>
      </w:r>
      <w:r w:rsidRPr="0071345C">
        <w:rPr>
          <w:i/>
          <w:iCs/>
          <w:lang w:val="en-US"/>
        </w:rPr>
        <w:t>jãpta</w:t>
      </w:r>
      <w:r w:rsidRPr="0071345C">
        <w:rPr>
          <w:i/>
          <w:iCs/>
          <w:lang w:val="en-US"/>
        </w:rPr>
        <w:t>ḥ</w:t>
      </w:r>
      <w:r w:rsidRPr="0071345C">
        <w:rPr>
          <w:i/>
          <w:iCs/>
          <w:lang w:val="en-US"/>
        </w:rPr>
        <w:t xml:space="preserve"> paśu</w:t>
      </w:r>
      <w:r w:rsidRPr="0071345C">
        <w:rPr>
          <w:i/>
          <w:iCs/>
          <w:lang w:val="en-US"/>
        </w:rPr>
        <w:t>ḥ</w:t>
      </w:r>
      <w:r w:rsidRPr="0071345C">
        <w:rPr>
          <w:lang w:val="en-US"/>
        </w:rPr>
        <w:t xml:space="preserve">, and also the Greek term </w:t>
      </w:r>
      <w:r w:rsidRPr="0071345C">
        <w:rPr>
          <w:i/>
          <w:iCs/>
          <w:lang w:val="en-US"/>
        </w:rPr>
        <w:t xml:space="preserve"> </w:t>
      </w:r>
      <w:r>
        <w:rPr>
          <w:rFonts w:ascii="Porson" w:hAnsi="Porson" w:cs="Porson"/>
          <w:i/>
          <w:iCs/>
        </w:rPr>
        <w:t>ἂ</w:t>
      </w:r>
      <w:r>
        <w:rPr>
          <w:rFonts w:ascii="Porson" w:hAnsi="Porson" w:cs="Porson"/>
          <w:i/>
          <w:iCs/>
        </w:rPr>
        <w:t>γος</w:t>
      </w:r>
      <w:r w:rsidRPr="0071345C">
        <w:rPr>
          <w:rFonts w:ascii="Porson" w:hAnsi="Porson" w:cs="Porson"/>
          <w:lang w:val="en-US"/>
        </w:rPr>
        <w:t xml:space="preserve"> </w:t>
      </w:r>
      <w:r w:rsidRPr="0071345C">
        <w:rPr>
          <w:lang w:val="en-US"/>
        </w:rPr>
        <w:t>EWAia: I 159) and the actions during the cutting asu</w:t>
      </w:r>
      <w:r w:rsidRPr="0071345C">
        <w:rPr>
          <w:lang w:val="en-US"/>
        </w:rPr>
        <w:t xml:space="preserve">nder seem to have a peculiar goal: to give new life to the animal. As for this aspect in the rituals of ancient India see </w:t>
      </w:r>
      <w:r w:rsidRPr="0071345C">
        <w:rPr>
          <w:rStyle w:val="biblio-authorGEN"/>
          <w:sz w:val="18"/>
          <w:szCs w:val="15"/>
          <w:lang w:val="en-US"/>
        </w:rPr>
        <w:t>Malamoud</w:t>
      </w:r>
      <w:r w:rsidRPr="0071345C">
        <w:rPr>
          <w:lang w:val="en-US"/>
        </w:rPr>
        <w:t xml:space="preserve"> </w:t>
      </w:r>
      <w:r w:rsidRPr="0071345C">
        <w:rPr>
          <w:lang w:val="en-US"/>
        </w:rPr>
        <w:t xml:space="preserve">1994 </w:t>
      </w:r>
      <w:r w:rsidRPr="0071345C">
        <w:rPr>
          <w:lang w:val="en-US"/>
        </w:rPr>
        <w:t xml:space="preserve">and </w:t>
      </w:r>
      <w:r w:rsidRPr="0071345C">
        <w:rPr>
          <w:rStyle w:val="biblio-authorGEN"/>
          <w:sz w:val="18"/>
          <w:szCs w:val="15"/>
          <w:lang w:val="en-US"/>
        </w:rPr>
        <w:t>Gonda</w:t>
      </w:r>
      <w:r w:rsidRPr="0071345C">
        <w:rPr>
          <w:lang w:val="en-US"/>
        </w:rPr>
        <w:t xml:space="preserve"> 1960.</w:t>
      </w:r>
    </w:p>
  </w:footnote>
  <w:footnote w:id="135">
    <w:p w14:paraId="27A40D2C"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For the form </w:t>
      </w:r>
      <w:r w:rsidRPr="0071345C">
        <w:rPr>
          <w:i/>
          <w:iCs/>
          <w:lang w:val="en-US"/>
        </w:rPr>
        <w:t xml:space="preserve">āśī́r </w:t>
      </w:r>
      <w:r w:rsidRPr="0071345C">
        <w:rPr>
          <w:lang w:val="en-US"/>
        </w:rPr>
        <w:t xml:space="preserve">from </w:t>
      </w:r>
      <w:r w:rsidRPr="0071345C">
        <w:rPr>
          <w:i/>
          <w:iCs/>
          <w:lang w:val="en-US"/>
        </w:rPr>
        <w:t>āśi</w:t>
      </w:r>
      <w:r w:rsidRPr="0071345C">
        <w:rPr>
          <w:i/>
          <w:iCs/>
          <w:lang w:val="en-US"/>
        </w:rPr>
        <w:t>ṣ</w:t>
      </w:r>
      <w:r w:rsidRPr="0071345C">
        <w:rPr>
          <w:i/>
          <w:iCs/>
          <w:lang w:val="en-US"/>
        </w:rPr>
        <w:t>-</w:t>
      </w:r>
      <w:r w:rsidRPr="0071345C">
        <w:rPr>
          <w:lang w:val="en-US"/>
        </w:rPr>
        <w:t>, f. “prayer” but also “wish” see EWAia: I 178 “Bitte, Wunsch beim Opfer</w:t>
      </w:r>
      <w:r w:rsidRPr="0071345C">
        <w:rPr>
          <w:lang w:val="en-US"/>
        </w:rPr>
        <w:t xml:space="preserve">”and </w:t>
      </w:r>
      <w:r w:rsidRPr="0071345C">
        <w:rPr>
          <w:lang w:val="en-US"/>
        </w:rPr>
        <w:t>AiGr: I 42f.; II, 2 21; III 229, 248, 596.</w:t>
      </w:r>
    </w:p>
  </w:footnote>
  <w:footnote w:id="136">
    <w:p w14:paraId="5B9A2294"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ni yā-</w:t>
      </w:r>
      <w:r w:rsidRPr="0071345C">
        <w:rPr>
          <w:lang w:val="en-US"/>
        </w:rPr>
        <w:t xml:space="preserve"> </w:t>
      </w:r>
      <w:r w:rsidRPr="0071345C">
        <w:rPr>
          <w:lang w:val="en-US"/>
        </w:rPr>
        <w:t>“to attack, assail, pass over”, like a carriage.</w:t>
      </w:r>
    </w:p>
  </w:footnote>
  <w:footnote w:id="137">
    <w:p w14:paraId="432D808D"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babhūvathu</w:t>
      </w:r>
      <w:r w:rsidRPr="0071345C">
        <w:rPr>
          <w:i/>
          <w:iCs/>
          <w:lang w:val="en-US"/>
        </w:rPr>
        <w:t>ḥ</w:t>
      </w:r>
      <w:r w:rsidRPr="0071345C">
        <w:rPr>
          <w:lang w:val="en-US"/>
        </w:rPr>
        <w:t>: ind. perf. 2</w:t>
      </w:r>
      <w:r w:rsidRPr="0071345C">
        <w:rPr>
          <w:vertAlign w:val="superscript"/>
          <w:lang w:val="en-US"/>
        </w:rPr>
        <w:t>nd</w:t>
      </w:r>
      <w:r w:rsidRPr="0071345C">
        <w:rPr>
          <w:lang w:val="en-US"/>
        </w:rPr>
        <w:t xml:space="preserve"> dual from </w:t>
      </w:r>
      <w:r w:rsidRPr="0071345C">
        <w:rPr>
          <w:i/>
          <w:iCs/>
          <w:lang w:val="en-US"/>
        </w:rPr>
        <w:t>bhū-</w:t>
      </w:r>
      <w:r w:rsidRPr="0071345C">
        <w:rPr>
          <w:lang w:val="en-US"/>
        </w:rPr>
        <w:t xml:space="preserve"> “you have become”, has here a perfective aspect- is resultative.</w:t>
      </w:r>
    </w:p>
  </w:footnote>
  <w:footnote w:id="138">
    <w:p w14:paraId="43A97392"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pū́rve</w:t>
      </w:r>
      <w:r w:rsidRPr="0071345C">
        <w:rPr>
          <w:lang w:val="en-US"/>
        </w:rPr>
        <w:t xml:space="preserve">: nom. masc. pl. referring to </w:t>
      </w:r>
      <w:r w:rsidRPr="0071345C">
        <w:rPr>
          <w:i/>
          <w:iCs/>
          <w:lang w:val="en-US"/>
        </w:rPr>
        <w:t>pitára</w:t>
      </w:r>
      <w:r w:rsidRPr="0071345C">
        <w:rPr>
          <w:i/>
          <w:iCs/>
          <w:lang w:val="en-US"/>
        </w:rPr>
        <w:t>ḥ</w:t>
      </w:r>
      <w:r w:rsidRPr="0071345C">
        <w:rPr>
          <w:lang w:val="en-US"/>
        </w:rPr>
        <w:t xml:space="preserve">, functions here as an apposition with adverbial meaning or maybe better as </w:t>
      </w:r>
      <w:r w:rsidRPr="0071345C">
        <w:rPr>
          <w:i/>
          <w:iCs/>
          <w:lang w:val="en-US"/>
        </w:rPr>
        <w:t xml:space="preserve">rhema. </w:t>
      </w:r>
      <w:r w:rsidRPr="0071345C">
        <w:rPr>
          <w:lang w:val="en-US"/>
        </w:rPr>
        <w:t xml:space="preserve">For this kind of usage of nominative, see, among others, </w:t>
      </w:r>
      <w:r w:rsidRPr="0071345C">
        <w:rPr>
          <w:rStyle w:val="biblio-authorGEN"/>
          <w:sz w:val="18"/>
          <w:szCs w:val="15"/>
          <w:lang w:val="en-US"/>
        </w:rPr>
        <w:t>Eliz</w:t>
      </w:r>
      <w:r w:rsidRPr="0071345C">
        <w:rPr>
          <w:rStyle w:val="biblio-authorGEN"/>
          <w:sz w:val="18"/>
          <w:szCs w:val="15"/>
          <w:lang w:val="en-US"/>
        </w:rPr>
        <w:t>arenkov</w:t>
      </w:r>
      <w:r w:rsidRPr="0071345C">
        <w:rPr>
          <w:rStyle w:val="biblio-authorGEN"/>
          <w:sz w:val="18"/>
          <w:szCs w:val="15"/>
          <w:lang w:val="en-US"/>
        </w:rPr>
        <w:t>a</w:t>
      </w:r>
      <w:r w:rsidRPr="0071345C">
        <w:rPr>
          <w:lang w:val="en-US"/>
        </w:rPr>
        <w:t xml:space="preserve"> 1995</w:t>
      </w:r>
      <w:r w:rsidRPr="0071345C">
        <w:rPr>
          <w:vertAlign w:val="superscript"/>
          <w:lang w:val="en-US"/>
        </w:rPr>
        <w:t>a</w:t>
      </w:r>
      <w:r w:rsidRPr="0071345C">
        <w:rPr>
          <w:lang w:val="en-US"/>
        </w:rPr>
        <w:t>: 202-206.</w:t>
      </w:r>
    </w:p>
  </w:footnote>
  <w:footnote w:id="139">
    <w:p w14:paraId="56C3736A"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paridhī́n </w:t>
      </w:r>
      <w:r w:rsidRPr="0071345C">
        <w:rPr>
          <w:lang w:val="en-US"/>
        </w:rPr>
        <w:t xml:space="preserve">(acc. m. pl.): </w:t>
      </w:r>
      <w:r w:rsidRPr="0071345C">
        <w:rPr>
          <w:lang w:val="en-US"/>
        </w:rPr>
        <w:t xml:space="preserve">a circular channel was made by digging around the fire, and three boughs were used to mark it. These three boughs are called </w:t>
      </w:r>
      <w:r w:rsidRPr="0071345C">
        <w:rPr>
          <w:i/>
          <w:iCs/>
          <w:lang w:val="en-US"/>
        </w:rPr>
        <w:t xml:space="preserve">paridhí-, </w:t>
      </w:r>
      <w:r w:rsidRPr="0071345C">
        <w:rPr>
          <w:lang w:val="en-US"/>
        </w:rPr>
        <w:t>which indicates also the enclosure around the cairns, cf. the funera</w:t>
      </w:r>
      <w:r w:rsidRPr="0071345C">
        <w:rPr>
          <w:lang w:val="en-US"/>
        </w:rPr>
        <w:t>l hymns 10.14-18.</w:t>
      </w:r>
    </w:p>
  </w:footnote>
  <w:footnote w:id="140">
    <w:p w14:paraId="232F9F5F"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añjánti</w:t>
      </w:r>
      <w:r w:rsidRPr="0071345C">
        <w:rPr>
          <w:lang w:val="en-US"/>
        </w:rPr>
        <w:t xml:space="preserve"> […] </w:t>
      </w:r>
      <w:r w:rsidRPr="0071345C">
        <w:rPr>
          <w:i/>
          <w:iCs/>
          <w:lang w:val="en-US"/>
        </w:rPr>
        <w:t>upásthe</w:t>
      </w:r>
      <w:r w:rsidRPr="0071345C">
        <w:rPr>
          <w:lang w:val="en-US"/>
        </w:rPr>
        <w:t xml:space="preserve"> = R̥V 3.8.1</w:t>
      </w:r>
    </w:p>
  </w:footnote>
  <w:footnote w:id="141">
    <w:p w14:paraId="7501CEA2"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úcchrayasva </w:t>
      </w:r>
      <w:r w:rsidRPr="0071345C">
        <w:rPr>
          <w:lang w:val="en-US"/>
        </w:rPr>
        <w:t xml:space="preserve">[…]  </w:t>
      </w:r>
      <w:r w:rsidRPr="0071345C">
        <w:rPr>
          <w:i/>
          <w:iCs/>
          <w:lang w:val="en-US"/>
        </w:rPr>
        <w:t>yajñávāhase</w:t>
      </w:r>
      <w:r w:rsidRPr="0071345C">
        <w:rPr>
          <w:lang w:val="en-US"/>
        </w:rPr>
        <w:t xml:space="preserve"> = R̥V 3.8.3</w:t>
      </w:r>
    </w:p>
  </w:footnote>
  <w:footnote w:id="142">
    <w:p w14:paraId="616115DC"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sámiddhasya </w:t>
      </w:r>
      <w:r w:rsidRPr="0071345C">
        <w:rPr>
          <w:lang w:val="en-US"/>
        </w:rPr>
        <w:t xml:space="preserve">[…] </w:t>
      </w:r>
      <w:r w:rsidRPr="0071345C">
        <w:rPr>
          <w:i/>
          <w:iCs/>
          <w:lang w:val="en-US"/>
        </w:rPr>
        <w:t xml:space="preserve">sáubhagāya </w:t>
      </w:r>
      <w:r w:rsidRPr="0071345C">
        <w:rPr>
          <w:lang w:val="en-US"/>
        </w:rPr>
        <w:t>= R̥V 3.8.2</w:t>
      </w:r>
    </w:p>
  </w:footnote>
  <w:footnote w:id="143">
    <w:p w14:paraId="6490803F"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devayánta</w:t>
      </w:r>
      <w:r w:rsidRPr="0071345C">
        <w:rPr>
          <w:i/>
          <w:iCs/>
          <w:lang w:val="en-US"/>
        </w:rPr>
        <w:t>ḥ</w:t>
      </w:r>
      <w:r w:rsidRPr="0071345C">
        <w:rPr>
          <w:lang w:val="en-US"/>
        </w:rPr>
        <w:t xml:space="preserve"> is referring to the priests and probably the </w:t>
      </w:r>
      <w:r w:rsidRPr="0071345C">
        <w:rPr>
          <w:i/>
          <w:iCs/>
          <w:lang w:val="en-US"/>
        </w:rPr>
        <w:t>yajamāna</w:t>
      </w:r>
      <w:r w:rsidRPr="0071345C">
        <w:rPr>
          <w:lang w:val="en-US"/>
        </w:rPr>
        <w:t xml:space="preserve"> and his wife who are performing the rite, see </w:t>
      </w:r>
      <w:r w:rsidRPr="0071345C">
        <w:rPr>
          <w:rStyle w:val="biblio-authorGEN"/>
          <w:sz w:val="18"/>
          <w:szCs w:val="15"/>
          <w:lang w:val="en-US"/>
        </w:rPr>
        <w:t>Pro</w:t>
      </w:r>
      <w:r w:rsidRPr="0071345C">
        <w:rPr>
          <w:rStyle w:val="biblio-authorGEN"/>
          <w:sz w:val="18"/>
          <w:szCs w:val="15"/>
          <w:lang w:val="en-US"/>
        </w:rPr>
        <w:t>feres</w:t>
      </w:r>
      <w:r w:rsidRPr="0071345C">
        <w:rPr>
          <w:lang w:val="en-US"/>
        </w:rPr>
        <w:t xml:space="preserve"> 2003a: 323.</w:t>
      </w:r>
    </w:p>
  </w:footnote>
  <w:footnote w:id="144">
    <w:p w14:paraId="1694DD3C"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Vanaspati is the Lord of wood, of the forest but also the tree of desire; despite the homophony, the noun-root </w:t>
      </w:r>
      <w:r w:rsidRPr="0071345C">
        <w:rPr>
          <w:i/>
          <w:iCs/>
          <w:lang w:val="en-US"/>
        </w:rPr>
        <w:t>ván-</w:t>
      </w:r>
      <w:r w:rsidRPr="0071345C">
        <w:rPr>
          <w:lang w:val="en-US"/>
        </w:rPr>
        <w:t xml:space="preserve"> should still not be considered as a derivate from the verbal root </w:t>
      </w:r>
      <w:r w:rsidRPr="0071345C">
        <w:rPr>
          <w:i/>
          <w:iCs/>
          <w:lang w:val="en-US"/>
        </w:rPr>
        <w:t>van-</w:t>
      </w:r>
      <w:r w:rsidRPr="0071345C">
        <w:rPr>
          <w:lang w:val="en-US"/>
        </w:rPr>
        <w:t>: the relation between the two roots is quite unc</w:t>
      </w:r>
      <w:r w:rsidRPr="0071345C">
        <w:rPr>
          <w:lang w:val="en-US"/>
        </w:rPr>
        <w:t>ertain (see EWAia: II 500).</w:t>
      </w:r>
    </w:p>
  </w:footnote>
  <w:footnote w:id="145">
    <w:p w14:paraId="67F8134C"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mádhu</w:t>
      </w:r>
      <w:r w:rsidRPr="0071345C">
        <w:rPr>
          <w:lang w:val="en-US"/>
        </w:rPr>
        <w:t>-</w:t>
      </w:r>
      <w:r w:rsidRPr="0071345C">
        <w:rPr>
          <w:lang w:val="en-US"/>
        </w:rPr>
        <w:t xml:space="preserve"> is sweetness connected with the honey, Bha</w:t>
      </w:r>
      <w:r w:rsidRPr="0071345C">
        <w:rPr>
          <w:lang w:val="en-US"/>
        </w:rPr>
        <w:t>ṭṭ</w:t>
      </w:r>
      <w:r w:rsidRPr="0071345C">
        <w:rPr>
          <w:lang w:val="en-US"/>
        </w:rPr>
        <w:t xml:space="preserve">a Bhāskara Miśra glosses with </w:t>
      </w:r>
      <w:r w:rsidRPr="0071345C">
        <w:rPr>
          <w:i/>
          <w:iCs/>
          <w:lang w:val="en-US"/>
        </w:rPr>
        <w:t>madhurasa</w:t>
      </w:r>
      <w:r w:rsidRPr="0071345C">
        <w:rPr>
          <w:lang w:val="en-US"/>
        </w:rPr>
        <w:t xml:space="preserve"> </w:t>
      </w:r>
      <w:r w:rsidRPr="0071345C">
        <w:rPr>
          <w:lang w:val="en-US"/>
        </w:rPr>
        <w:t xml:space="preserve">“juice of honey”, while  AB 2.2 explains the divine sweetness as clarified butter, </w:t>
      </w:r>
      <w:r w:rsidRPr="0071345C">
        <w:rPr>
          <w:i/>
          <w:iCs/>
          <w:lang w:val="en-US"/>
        </w:rPr>
        <w:t>ā́jya</w:t>
      </w:r>
      <w:r w:rsidRPr="0071345C">
        <w:rPr>
          <w:lang w:val="en-US"/>
        </w:rPr>
        <w:t>-.</w:t>
      </w:r>
    </w:p>
  </w:footnote>
  <w:footnote w:id="146">
    <w:p w14:paraId="330935E8"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súmiti</w:t>
      </w:r>
      <w:r w:rsidRPr="0071345C">
        <w:rPr>
          <w:lang w:val="en-US"/>
        </w:rPr>
        <w:t xml:space="preserve">- </w:t>
      </w:r>
      <w:r w:rsidRPr="0071345C">
        <w:rPr>
          <w:lang w:val="en-US"/>
        </w:rPr>
        <w:t>“a well made fixing” (</w:t>
      </w:r>
      <w:r w:rsidRPr="0071345C">
        <w:rPr>
          <w:rStyle w:val="biblio-authorGEN"/>
          <w:sz w:val="18"/>
          <w:szCs w:val="15"/>
          <w:lang w:val="en-US"/>
        </w:rPr>
        <w:t>Grassmann</w:t>
      </w:r>
      <w:r w:rsidRPr="0071345C">
        <w:rPr>
          <w:lang w:val="en-US"/>
        </w:rPr>
        <w:t xml:space="preserve"> 1875 [ed.1996: 555] “schöne Aufrichtung”). </w:t>
      </w:r>
      <w:r w:rsidRPr="0071345C">
        <w:rPr>
          <w:i/>
          <w:iCs/>
          <w:lang w:val="en-US"/>
        </w:rPr>
        <w:t>Súmitī mīyámāna</w:t>
      </w:r>
      <w:r w:rsidRPr="0071345C">
        <w:rPr>
          <w:i/>
          <w:iCs/>
          <w:lang w:val="en-US"/>
        </w:rPr>
        <w:t>ḥ</w:t>
      </w:r>
      <w:r w:rsidRPr="0071345C">
        <w:rPr>
          <w:lang w:val="en-US"/>
        </w:rPr>
        <w:t xml:space="preserve"> </w:t>
      </w:r>
      <w:r w:rsidRPr="0071345C">
        <w:rPr>
          <w:lang w:val="en-US"/>
        </w:rPr>
        <w:t>represents a frequent</w:t>
      </w:r>
      <w:r w:rsidRPr="0071345C">
        <w:rPr>
          <w:lang w:val="en-US"/>
        </w:rPr>
        <w:t xml:space="preserve"> figura etymologica, being t</w:t>
      </w:r>
      <w:r w:rsidRPr="0071345C">
        <w:rPr>
          <w:lang w:val="en-US"/>
        </w:rPr>
        <w:t xml:space="preserve">he noun a derivate of the same root as the part. pres. </w:t>
      </w:r>
      <w:r w:rsidRPr="0071345C">
        <w:rPr>
          <w:i/>
          <w:iCs/>
          <w:lang w:val="en-US"/>
        </w:rPr>
        <w:t>mīyamāna</w:t>
      </w:r>
      <w:r w:rsidRPr="0071345C">
        <w:rPr>
          <w:i/>
          <w:iCs/>
          <w:lang w:val="en-US"/>
        </w:rPr>
        <w:t>ḥ</w:t>
      </w:r>
      <w:r w:rsidRPr="0071345C">
        <w:rPr>
          <w:lang w:val="en-US"/>
        </w:rPr>
        <w:t xml:space="preserve">. </w:t>
      </w:r>
    </w:p>
  </w:footnote>
  <w:footnote w:id="147">
    <w:p w14:paraId="0365E352"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About </w:t>
      </w:r>
      <w:r w:rsidRPr="0071345C">
        <w:rPr>
          <w:i/>
          <w:iCs/>
          <w:lang w:val="en-US"/>
        </w:rPr>
        <w:t>várcas-</w:t>
      </w:r>
      <w:r w:rsidRPr="0071345C">
        <w:rPr>
          <w:lang w:val="en-US"/>
        </w:rPr>
        <w:t xml:space="preserve"> “vital power, brilliance” EWAia: II 516 “Glanz”, see </w:t>
      </w:r>
      <w:r w:rsidRPr="0071345C">
        <w:rPr>
          <w:rStyle w:val="biblio-authorGEN"/>
          <w:sz w:val="18"/>
          <w:szCs w:val="18"/>
          <w:lang w:val="en-US"/>
        </w:rPr>
        <w:t>Proferes</w:t>
      </w:r>
      <w:r w:rsidRPr="0071345C">
        <w:rPr>
          <w:lang w:val="en-US"/>
        </w:rPr>
        <w:t xml:space="preserve"> 2007: 91 and 101-104; </w:t>
      </w:r>
      <w:r w:rsidRPr="0071345C">
        <w:rPr>
          <w:rStyle w:val="biblio-authorGEN"/>
          <w:sz w:val="18"/>
          <w:szCs w:val="15"/>
          <w:lang w:val="en-US"/>
        </w:rPr>
        <w:t>Gonda</w:t>
      </w:r>
      <w:r w:rsidRPr="0071345C">
        <w:rPr>
          <w:lang w:val="en-US"/>
        </w:rPr>
        <w:t xml:space="preserve"> 1992: VI/2 366-376.</w:t>
      </w:r>
    </w:p>
  </w:footnote>
  <w:footnote w:id="148">
    <w:p w14:paraId="76CE72B0"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i.e. to the east.</w:t>
      </w:r>
    </w:p>
  </w:footnote>
  <w:footnote w:id="149">
    <w:p w14:paraId="6912C917"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bráhman</w:t>
      </w:r>
      <w:r w:rsidRPr="0071345C">
        <w:rPr>
          <w:lang w:val="en-US"/>
        </w:rPr>
        <w:t>-, h</w:t>
      </w:r>
      <w:r w:rsidRPr="0071345C">
        <w:rPr>
          <w:lang w:val="en-US"/>
        </w:rPr>
        <w:t xml:space="preserve">ere understood with the original value of “sacred formulation” </w:t>
      </w:r>
      <w:r w:rsidRPr="0071345C">
        <w:rPr>
          <w:rStyle w:val="biblio-authorGEN"/>
          <w:lang w:val="en-US"/>
        </w:rPr>
        <w:t>(</w:t>
      </w:r>
      <w:r w:rsidRPr="0071345C">
        <w:rPr>
          <w:rStyle w:val="biblio-authorGEN"/>
          <w:sz w:val="18"/>
          <w:szCs w:val="15"/>
          <w:lang w:val="en-US"/>
        </w:rPr>
        <w:t>Thieme</w:t>
      </w:r>
      <w:r w:rsidRPr="0071345C">
        <w:rPr>
          <w:lang w:val="en-US"/>
        </w:rPr>
        <w:t xml:space="preserve"> 1952: 91-129), see also </w:t>
      </w:r>
      <w:r w:rsidRPr="0071345C">
        <w:rPr>
          <w:rStyle w:val="biblio-authorGEN"/>
          <w:sz w:val="18"/>
          <w:szCs w:val="15"/>
          <w:lang w:val="en-US"/>
        </w:rPr>
        <w:t>Gonda</w:t>
      </w:r>
      <w:r w:rsidRPr="0071345C">
        <w:rPr>
          <w:lang w:val="en-US"/>
        </w:rPr>
        <w:t xml:space="preserve"> 1950</w:t>
      </w:r>
      <w:r w:rsidRPr="0071345C">
        <w:rPr>
          <w:vertAlign w:val="superscript"/>
          <w:lang w:val="en-US"/>
        </w:rPr>
        <w:t>a</w:t>
      </w:r>
      <w:r w:rsidRPr="0071345C">
        <w:rPr>
          <w:lang w:val="en-US"/>
        </w:rPr>
        <w:t>.</w:t>
      </w:r>
    </w:p>
  </w:footnote>
  <w:footnote w:id="150">
    <w:p w14:paraId="10B95AA3"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ámati</w:t>
      </w:r>
      <w:r w:rsidRPr="0071345C">
        <w:rPr>
          <w:lang w:val="en-US"/>
        </w:rPr>
        <w:t>-</w:t>
      </w:r>
      <w:r w:rsidRPr="0071345C">
        <w:rPr>
          <w:lang w:val="en-US"/>
        </w:rPr>
        <w:t xml:space="preserve">: </w:t>
      </w:r>
      <w:r w:rsidRPr="0071345C">
        <w:rPr>
          <w:rStyle w:val="biblio-authorGEN"/>
          <w:sz w:val="18"/>
          <w:szCs w:val="15"/>
          <w:lang w:val="en-US"/>
        </w:rPr>
        <w:t>Keith</w:t>
      </w:r>
      <w:r w:rsidRPr="0071345C">
        <w:rPr>
          <w:lang w:val="en-US"/>
        </w:rPr>
        <w:t xml:space="preserve"> (1920: 135) translates, in the same passage in AB 2.2, the word </w:t>
      </w:r>
      <w:r w:rsidRPr="0071345C">
        <w:rPr>
          <w:i/>
          <w:iCs/>
          <w:lang w:val="en-US"/>
        </w:rPr>
        <w:t>ámati</w:t>
      </w:r>
      <w:r w:rsidRPr="0071345C">
        <w:rPr>
          <w:lang w:val="en-US"/>
        </w:rPr>
        <w:t>-</w:t>
      </w:r>
      <w:r w:rsidRPr="0071345C">
        <w:rPr>
          <w:lang w:val="en-US"/>
        </w:rPr>
        <w:t xml:space="preserve"> with “misfortune”; </w:t>
      </w:r>
      <w:r w:rsidRPr="0071345C">
        <w:rPr>
          <w:rStyle w:val="biblio-authorGEN"/>
          <w:sz w:val="18"/>
          <w:szCs w:val="15"/>
          <w:lang w:val="en-US"/>
        </w:rPr>
        <w:t>Proferes</w:t>
      </w:r>
      <w:r w:rsidRPr="0071345C">
        <w:rPr>
          <w:lang w:val="en-US"/>
        </w:rPr>
        <w:t xml:space="preserve"> (2003a: 324) prefers “indigence”. This translation follows </w:t>
      </w:r>
      <w:r w:rsidRPr="0071345C">
        <w:rPr>
          <w:sz w:val="18"/>
          <w:szCs w:val="15"/>
          <w:lang w:val="en-US"/>
        </w:rPr>
        <w:t>Mayrhofer</w:t>
      </w:r>
      <w:r w:rsidRPr="0071345C">
        <w:rPr>
          <w:lang w:val="en-US"/>
        </w:rPr>
        <w:t xml:space="preserve"> (EWAia: I 95) who reads it as *</w:t>
      </w:r>
      <w:r w:rsidRPr="0071345C">
        <w:rPr>
          <w:i/>
          <w:iCs/>
          <w:lang w:val="en-US"/>
        </w:rPr>
        <w:t>a</w:t>
      </w:r>
      <w:r w:rsidRPr="0071345C">
        <w:rPr>
          <w:lang w:val="en-US"/>
        </w:rPr>
        <w:t>-</w:t>
      </w:r>
      <w:r w:rsidRPr="0071345C">
        <w:rPr>
          <w:i/>
          <w:iCs/>
          <w:lang w:val="en-US"/>
        </w:rPr>
        <w:t>mati</w:t>
      </w:r>
      <w:r w:rsidRPr="0071345C">
        <w:rPr>
          <w:lang w:val="en-US"/>
        </w:rPr>
        <w:t xml:space="preserve">, </w:t>
      </w:r>
      <w:r w:rsidRPr="0071345C">
        <w:rPr>
          <w:lang w:val="en-US"/>
        </w:rPr>
        <w:t xml:space="preserve">giving as meaning “Mangel, Dürftigkeit, ratlos”. The same meaning is given by </w:t>
      </w:r>
      <w:r w:rsidRPr="0071345C">
        <w:rPr>
          <w:rStyle w:val="biblio-authorGEN"/>
          <w:sz w:val="18"/>
          <w:szCs w:val="15"/>
          <w:lang w:val="en-US"/>
        </w:rPr>
        <w:t>Grassmann</w:t>
      </w:r>
      <w:r w:rsidRPr="0071345C">
        <w:rPr>
          <w:lang w:val="en-US"/>
        </w:rPr>
        <w:t xml:space="preserve"> (1875 [ed. 1996: 90]), although he suggests a different derivation, namely “von </w:t>
      </w:r>
      <w:r w:rsidRPr="0071345C">
        <w:rPr>
          <w:i/>
          <w:iCs/>
          <w:lang w:val="en-US"/>
        </w:rPr>
        <w:t>am</w:t>
      </w:r>
      <w:r w:rsidRPr="0071345C">
        <w:rPr>
          <w:lang w:val="en-US"/>
        </w:rPr>
        <w:t>-</w:t>
      </w:r>
      <w:r w:rsidRPr="0071345C">
        <w:rPr>
          <w:lang w:val="en-US"/>
        </w:rPr>
        <w:t xml:space="preserve"> im passiven Sinne”. The explanation in AB 2.2 is “aśanāyā vai pāpmāmatis” “the </w:t>
      </w:r>
      <w:r w:rsidRPr="0071345C">
        <w:rPr>
          <w:i/>
          <w:iCs/>
          <w:lang w:val="en-US"/>
        </w:rPr>
        <w:t>ámati</w:t>
      </w:r>
      <w:r w:rsidRPr="0071345C">
        <w:rPr>
          <w:lang w:val="en-US"/>
        </w:rPr>
        <w:t xml:space="preserve">- </w:t>
      </w:r>
      <w:r w:rsidRPr="0071345C">
        <w:rPr>
          <w:lang w:val="en-US"/>
        </w:rPr>
        <w:t xml:space="preserve">is indeed the hunger, the evil”. </w:t>
      </w:r>
      <w:r>
        <w:t xml:space="preserve">There is also  </w:t>
      </w:r>
      <w:r>
        <w:rPr>
          <w:i/>
          <w:iCs/>
        </w:rPr>
        <w:t>amáti</w:t>
      </w:r>
      <w:r>
        <w:t>-</w:t>
      </w:r>
      <w:r>
        <w:t xml:space="preserve">: EWAia: I 95-96 “etwa’ Gebilde, Erscheinung, Bildnis”; </w:t>
      </w:r>
      <w:r>
        <w:rPr>
          <w:rStyle w:val="biblio-authorGEN"/>
          <w:sz w:val="18"/>
          <w:szCs w:val="15"/>
        </w:rPr>
        <w:t>Grassmann</w:t>
      </w:r>
      <w:r>
        <w:t xml:space="preserve"> 1875 [ed. 1996: 90] “Wucht, Gewalt”. </w:t>
      </w:r>
      <w:r w:rsidRPr="0071345C">
        <w:rPr>
          <w:lang w:val="en-US"/>
        </w:rPr>
        <w:t xml:space="preserve">The accent in the </w:t>
      </w:r>
      <w:r w:rsidRPr="0071345C">
        <w:rPr>
          <w:rFonts w:ascii="Sabon Unicode" w:eastAsia="MS Mincho;ＭＳ 明朝" w:hAnsi="Sabon Unicode"/>
          <w:sz w:val="18"/>
          <w:szCs w:val="18"/>
          <w:lang w:val="en-US" w:eastAsia="hi-IN"/>
        </w:rPr>
        <w:t xml:space="preserve">R̥gvedic stanza speaks clearly for </w:t>
      </w:r>
      <w:r w:rsidRPr="0071345C">
        <w:rPr>
          <w:rFonts w:ascii="Sabon Unicode" w:eastAsia="MS Mincho;ＭＳ 明朝" w:hAnsi="Sabon Unicode"/>
          <w:i/>
          <w:iCs/>
          <w:sz w:val="18"/>
          <w:szCs w:val="18"/>
          <w:lang w:val="en-US" w:eastAsia="hi-IN"/>
        </w:rPr>
        <w:t>ámati</w:t>
      </w:r>
      <w:r w:rsidRPr="0071345C">
        <w:rPr>
          <w:rFonts w:ascii="Sabon Unicode" w:eastAsia="MS Mincho;ＭＳ 明朝" w:hAnsi="Sabon Unicode"/>
          <w:sz w:val="18"/>
          <w:szCs w:val="18"/>
          <w:lang w:val="en-US" w:eastAsia="hi-IN"/>
        </w:rPr>
        <w:t>-</w:t>
      </w:r>
      <w:r w:rsidRPr="0071345C">
        <w:rPr>
          <w:rFonts w:ascii="Sabon Unicode" w:eastAsia="MS Mincho;ＭＳ 明朝" w:hAnsi="Sabon Unicode"/>
          <w:sz w:val="18"/>
          <w:szCs w:val="18"/>
          <w:lang w:val="en-US" w:eastAsia="hi-IN"/>
        </w:rPr>
        <w:t>.</w:t>
      </w:r>
    </w:p>
  </w:footnote>
  <w:footnote w:id="151">
    <w:p w14:paraId="31D6EC8B"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For </w:t>
      </w:r>
      <w:r w:rsidRPr="0071345C">
        <w:rPr>
          <w:i/>
          <w:iCs/>
          <w:lang w:val="en-US"/>
        </w:rPr>
        <w:t xml:space="preserve">rātáhavya </w:t>
      </w:r>
      <w:r w:rsidRPr="0071345C">
        <w:rPr>
          <w:lang w:val="en-US"/>
        </w:rPr>
        <w:t xml:space="preserve">see </w:t>
      </w:r>
      <w:r w:rsidRPr="0071345C">
        <w:rPr>
          <w:rStyle w:val="biblio-authorGEN"/>
          <w:sz w:val="18"/>
          <w:szCs w:val="15"/>
          <w:lang w:val="en-US"/>
        </w:rPr>
        <w:t>Elizarenkova</w:t>
      </w:r>
      <w:r w:rsidRPr="0071345C">
        <w:rPr>
          <w:lang w:val="en-US"/>
        </w:rPr>
        <w:t xml:space="preserve"> 19</w:t>
      </w:r>
      <w:r w:rsidRPr="0071345C">
        <w:rPr>
          <w:lang w:val="en-US"/>
        </w:rPr>
        <w:t>95</w:t>
      </w:r>
      <w:r w:rsidRPr="0071345C">
        <w:rPr>
          <w:vertAlign w:val="superscript"/>
          <w:lang w:val="en-US"/>
        </w:rPr>
        <w:t>a</w:t>
      </w:r>
      <w:r w:rsidRPr="0071345C">
        <w:rPr>
          <w:lang w:val="en-US"/>
        </w:rPr>
        <w:t>: 62-3.</w:t>
      </w:r>
    </w:p>
  </w:footnote>
  <w:footnote w:id="152">
    <w:p w14:paraId="1D3D555C"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babhūvathu</w:t>
      </w:r>
      <w:r w:rsidRPr="0071345C">
        <w:rPr>
          <w:i/>
          <w:iCs/>
          <w:lang w:val="en-US"/>
        </w:rPr>
        <w:t>ḥ</w:t>
      </w:r>
      <w:r w:rsidRPr="0071345C">
        <w:rPr>
          <w:i/>
          <w:iCs/>
          <w:lang w:val="en-US"/>
        </w:rPr>
        <w:t>,</w:t>
      </w:r>
      <w:r w:rsidRPr="0071345C">
        <w:rPr>
          <w:lang w:val="en-US"/>
        </w:rPr>
        <w:t xml:space="preserve"> ind. perf. 2</w:t>
      </w:r>
      <w:r w:rsidRPr="0071345C">
        <w:rPr>
          <w:vertAlign w:val="superscript"/>
          <w:lang w:val="en-US"/>
        </w:rPr>
        <w:t>nd</w:t>
      </w:r>
      <w:r w:rsidRPr="0071345C">
        <w:rPr>
          <w:lang w:val="en-US"/>
        </w:rPr>
        <w:t xml:space="preserve"> dual from </w:t>
      </w:r>
      <w:r w:rsidRPr="0071345C">
        <w:rPr>
          <w:i/>
          <w:iCs/>
          <w:lang w:val="en-US"/>
        </w:rPr>
        <w:t>bhū-</w:t>
      </w:r>
      <w:r w:rsidRPr="0071345C">
        <w:rPr>
          <w:lang w:val="en-US"/>
        </w:rPr>
        <w:t xml:space="preserve"> “you have become”, has here a perfective aspect and thus resultative.</w:t>
      </w:r>
    </w:p>
  </w:footnote>
  <w:footnote w:id="153">
    <w:p w14:paraId="55005B20"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añjánti</w:t>
      </w:r>
      <w:r w:rsidRPr="0071345C">
        <w:rPr>
          <w:lang w:val="en-US"/>
        </w:rPr>
        <w:t xml:space="preserve"> […] </w:t>
      </w:r>
      <w:r w:rsidRPr="0071345C">
        <w:rPr>
          <w:i/>
          <w:iCs/>
          <w:lang w:val="en-US"/>
        </w:rPr>
        <w:t>upásthe</w:t>
      </w:r>
      <w:r w:rsidRPr="0071345C">
        <w:rPr>
          <w:lang w:val="en-US"/>
        </w:rPr>
        <w:t xml:space="preserve"> = R̥V 3.8.1</w:t>
      </w:r>
    </w:p>
  </w:footnote>
  <w:footnote w:id="154">
    <w:p w14:paraId="09B4B704"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úcchrayasva </w:t>
      </w:r>
      <w:r w:rsidRPr="0071345C">
        <w:rPr>
          <w:lang w:val="en-US"/>
        </w:rPr>
        <w:t xml:space="preserve">[…]  </w:t>
      </w:r>
      <w:r w:rsidRPr="0071345C">
        <w:rPr>
          <w:i/>
          <w:iCs/>
          <w:lang w:val="en-US"/>
        </w:rPr>
        <w:t>yajñávāhase</w:t>
      </w:r>
      <w:r w:rsidRPr="0071345C">
        <w:rPr>
          <w:lang w:val="en-US"/>
        </w:rPr>
        <w:t xml:space="preserve"> = R̥V 3.8.3</w:t>
      </w:r>
    </w:p>
  </w:footnote>
  <w:footnote w:id="155">
    <w:p w14:paraId="74DDC681"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sámiddhasya </w:t>
      </w:r>
      <w:r w:rsidRPr="0071345C">
        <w:rPr>
          <w:lang w:val="en-US"/>
        </w:rPr>
        <w:t xml:space="preserve">[…] </w:t>
      </w:r>
      <w:r w:rsidRPr="0071345C">
        <w:rPr>
          <w:i/>
          <w:iCs/>
          <w:lang w:val="en-US"/>
        </w:rPr>
        <w:t xml:space="preserve">sáubhagāya </w:t>
      </w:r>
      <w:r w:rsidRPr="0071345C">
        <w:rPr>
          <w:lang w:val="en-US"/>
        </w:rPr>
        <w:t>= R̥V 3.8.2</w:t>
      </w:r>
    </w:p>
  </w:footnote>
  <w:footnote w:id="156">
    <w:p w14:paraId="7B152996"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devay</w:t>
      </w:r>
      <w:r w:rsidRPr="0071345C">
        <w:rPr>
          <w:i/>
          <w:iCs/>
          <w:lang w:val="en-US"/>
        </w:rPr>
        <w:t>ánta</w:t>
      </w:r>
      <w:r w:rsidRPr="0071345C">
        <w:rPr>
          <w:i/>
          <w:iCs/>
          <w:lang w:val="en-US"/>
        </w:rPr>
        <w:t>ḥ</w:t>
      </w:r>
      <w:r w:rsidRPr="0071345C">
        <w:rPr>
          <w:lang w:val="en-US"/>
        </w:rPr>
        <w:t xml:space="preserve"> is referring to the priests and probably the </w:t>
      </w:r>
      <w:r w:rsidRPr="0071345C">
        <w:rPr>
          <w:i/>
          <w:iCs/>
          <w:lang w:val="en-US"/>
        </w:rPr>
        <w:t>yajamāna</w:t>
      </w:r>
      <w:r w:rsidRPr="0071345C">
        <w:rPr>
          <w:lang w:val="en-US"/>
        </w:rPr>
        <w:t xml:space="preserve"> and his wife who are performing the rite, see </w:t>
      </w:r>
      <w:r w:rsidRPr="0071345C">
        <w:rPr>
          <w:rStyle w:val="biblio-authorGEN"/>
          <w:sz w:val="18"/>
          <w:szCs w:val="15"/>
          <w:lang w:val="en-US"/>
        </w:rPr>
        <w:t>Proferes</w:t>
      </w:r>
      <w:r w:rsidRPr="0071345C">
        <w:rPr>
          <w:lang w:val="en-US"/>
        </w:rPr>
        <w:t xml:space="preserve"> 2003a: 323.</w:t>
      </w:r>
    </w:p>
  </w:footnote>
  <w:footnote w:id="157">
    <w:p w14:paraId="75E960E4"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Vanaspati is the Lord of wood, of the forest but also the tree of desire; despite the homophony, the noun-root </w:t>
      </w:r>
      <w:r w:rsidRPr="0071345C">
        <w:rPr>
          <w:i/>
          <w:iCs/>
          <w:lang w:val="en-US"/>
        </w:rPr>
        <w:t>ván-</w:t>
      </w:r>
      <w:r w:rsidRPr="0071345C">
        <w:rPr>
          <w:lang w:val="en-US"/>
        </w:rPr>
        <w:t xml:space="preserve"> should still not be considered as a derivate from the verbal root </w:t>
      </w:r>
      <w:r w:rsidRPr="0071345C">
        <w:rPr>
          <w:i/>
          <w:iCs/>
          <w:lang w:val="en-US"/>
        </w:rPr>
        <w:t>van-</w:t>
      </w:r>
      <w:r w:rsidRPr="0071345C">
        <w:rPr>
          <w:lang w:val="en-US"/>
        </w:rPr>
        <w:t>: the relation between the two roots is quite uncertain (see EWAia: II 500).</w:t>
      </w:r>
    </w:p>
  </w:footnote>
  <w:footnote w:id="158">
    <w:p w14:paraId="1536FF58"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mádhu</w:t>
      </w:r>
      <w:r w:rsidRPr="0071345C">
        <w:rPr>
          <w:lang w:val="en-US"/>
        </w:rPr>
        <w:t>-</w:t>
      </w:r>
      <w:r w:rsidRPr="0071345C">
        <w:rPr>
          <w:lang w:val="en-US"/>
        </w:rPr>
        <w:t xml:space="preserve"> is sweetness connected with the honey, Bha</w:t>
      </w:r>
      <w:r w:rsidRPr="0071345C">
        <w:rPr>
          <w:lang w:val="en-US"/>
        </w:rPr>
        <w:t>ṭṭ</w:t>
      </w:r>
      <w:r w:rsidRPr="0071345C">
        <w:rPr>
          <w:lang w:val="en-US"/>
        </w:rPr>
        <w:t xml:space="preserve">a Bhāskara Miśra glosses with </w:t>
      </w:r>
      <w:r w:rsidRPr="0071345C">
        <w:rPr>
          <w:i/>
          <w:iCs/>
          <w:lang w:val="en-US"/>
        </w:rPr>
        <w:t>madhurasa</w:t>
      </w:r>
      <w:r w:rsidRPr="0071345C">
        <w:rPr>
          <w:lang w:val="en-US"/>
        </w:rPr>
        <w:t xml:space="preserve"> </w:t>
      </w:r>
      <w:r w:rsidRPr="0071345C">
        <w:rPr>
          <w:lang w:val="en-US"/>
        </w:rPr>
        <w:t>“juice of hone</w:t>
      </w:r>
      <w:r w:rsidRPr="0071345C">
        <w:rPr>
          <w:lang w:val="en-US"/>
        </w:rPr>
        <w:t xml:space="preserve">y”, while  AB 2.2 explains the divine sweetness as clarified butter, </w:t>
      </w:r>
      <w:r w:rsidRPr="0071345C">
        <w:rPr>
          <w:i/>
          <w:iCs/>
          <w:lang w:val="en-US"/>
        </w:rPr>
        <w:t>ā́jya</w:t>
      </w:r>
      <w:r w:rsidRPr="0071345C">
        <w:rPr>
          <w:lang w:val="en-US"/>
        </w:rPr>
        <w:t>-.</w:t>
      </w:r>
    </w:p>
  </w:footnote>
  <w:footnote w:id="159">
    <w:p w14:paraId="79EE97D3"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súmiti</w:t>
      </w:r>
      <w:r w:rsidRPr="0071345C">
        <w:rPr>
          <w:lang w:val="en-US"/>
        </w:rPr>
        <w:t xml:space="preserve">- </w:t>
      </w:r>
      <w:r w:rsidRPr="0071345C">
        <w:rPr>
          <w:lang w:val="en-US"/>
        </w:rPr>
        <w:t>“a well made fixing” (</w:t>
      </w:r>
      <w:r w:rsidRPr="0071345C">
        <w:rPr>
          <w:rStyle w:val="biblio-authorGEN"/>
          <w:sz w:val="18"/>
          <w:szCs w:val="15"/>
          <w:lang w:val="en-US"/>
        </w:rPr>
        <w:t>Grassmann</w:t>
      </w:r>
      <w:r w:rsidRPr="0071345C">
        <w:rPr>
          <w:lang w:val="en-US"/>
        </w:rPr>
        <w:t xml:space="preserve"> 1875 [ed.1996: 555] “schöne Aufrichtung”). </w:t>
      </w:r>
      <w:r w:rsidRPr="0071345C">
        <w:rPr>
          <w:i/>
          <w:iCs/>
          <w:lang w:val="en-US"/>
        </w:rPr>
        <w:t>Súmitī mīyámāna</w:t>
      </w:r>
      <w:r w:rsidRPr="0071345C">
        <w:rPr>
          <w:i/>
          <w:iCs/>
          <w:lang w:val="en-US"/>
        </w:rPr>
        <w:t>ḥ</w:t>
      </w:r>
      <w:r w:rsidRPr="0071345C">
        <w:rPr>
          <w:lang w:val="en-US"/>
        </w:rPr>
        <w:t xml:space="preserve"> </w:t>
      </w:r>
      <w:r w:rsidRPr="0071345C">
        <w:rPr>
          <w:lang w:val="en-US"/>
        </w:rPr>
        <w:t>represents a frequent</w:t>
      </w:r>
      <w:r w:rsidRPr="0071345C">
        <w:rPr>
          <w:lang w:val="en-US"/>
        </w:rPr>
        <w:t xml:space="preserve">  figura etymologica, being t</w:t>
      </w:r>
      <w:r w:rsidRPr="0071345C">
        <w:rPr>
          <w:lang w:val="en-US"/>
        </w:rPr>
        <w:t xml:space="preserve">he noun a derivate of the </w:t>
      </w:r>
      <w:r w:rsidRPr="0071345C">
        <w:rPr>
          <w:lang w:val="en-US"/>
        </w:rPr>
        <w:t xml:space="preserve">same root as the part. pres. </w:t>
      </w:r>
      <w:r w:rsidRPr="0071345C">
        <w:rPr>
          <w:i/>
          <w:iCs/>
          <w:lang w:val="en-US"/>
        </w:rPr>
        <w:t>mīyamāna</w:t>
      </w:r>
      <w:r w:rsidRPr="0071345C">
        <w:rPr>
          <w:i/>
          <w:iCs/>
          <w:lang w:val="en-US"/>
        </w:rPr>
        <w:t>ḥ</w:t>
      </w:r>
      <w:r w:rsidRPr="0071345C">
        <w:rPr>
          <w:lang w:val="en-US"/>
        </w:rPr>
        <w:t xml:space="preserve">. </w:t>
      </w:r>
    </w:p>
  </w:footnote>
  <w:footnote w:id="160">
    <w:p w14:paraId="51437715"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About </w:t>
      </w:r>
      <w:r w:rsidRPr="0071345C">
        <w:rPr>
          <w:i/>
          <w:iCs/>
          <w:lang w:val="en-US"/>
        </w:rPr>
        <w:t>várcas-</w:t>
      </w:r>
      <w:r w:rsidRPr="0071345C">
        <w:rPr>
          <w:lang w:val="en-US"/>
        </w:rPr>
        <w:t xml:space="preserve"> “vital power, brilliance” EWAia: II 516 “Glanz”, see </w:t>
      </w:r>
      <w:r w:rsidRPr="0071345C">
        <w:rPr>
          <w:rStyle w:val="biblio-authorGEN"/>
          <w:sz w:val="18"/>
          <w:szCs w:val="18"/>
          <w:lang w:val="en-US"/>
        </w:rPr>
        <w:t>Proferes</w:t>
      </w:r>
      <w:r w:rsidRPr="0071345C">
        <w:rPr>
          <w:lang w:val="en-US"/>
        </w:rPr>
        <w:t xml:space="preserve"> 2007: 91 and 101-104;  </w:t>
      </w:r>
      <w:r w:rsidRPr="0071345C">
        <w:rPr>
          <w:rStyle w:val="biblio-authorGEN"/>
          <w:sz w:val="18"/>
          <w:szCs w:val="15"/>
          <w:lang w:val="en-US"/>
        </w:rPr>
        <w:t>Gonda</w:t>
      </w:r>
      <w:r w:rsidRPr="0071345C">
        <w:rPr>
          <w:lang w:val="en-US"/>
        </w:rPr>
        <w:t xml:space="preserve"> 1992: VI/2 366-376.</w:t>
      </w:r>
    </w:p>
  </w:footnote>
  <w:footnote w:id="161">
    <w:p w14:paraId="243C3D2B"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i.e. to the east.</w:t>
      </w:r>
    </w:p>
  </w:footnote>
  <w:footnote w:id="162">
    <w:p w14:paraId="36035A9C"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bráhman</w:t>
      </w:r>
      <w:r w:rsidRPr="0071345C">
        <w:rPr>
          <w:lang w:val="en-US"/>
        </w:rPr>
        <w:t>-, h</w:t>
      </w:r>
      <w:r w:rsidRPr="0071345C">
        <w:rPr>
          <w:lang w:val="en-US"/>
        </w:rPr>
        <w:t>ere understood with the original value of “sacred fo</w:t>
      </w:r>
      <w:r w:rsidRPr="0071345C">
        <w:rPr>
          <w:lang w:val="en-US"/>
        </w:rPr>
        <w:t xml:space="preserve">rmulation” </w:t>
      </w:r>
      <w:r w:rsidRPr="0071345C">
        <w:rPr>
          <w:rStyle w:val="biblio-authorGEN"/>
          <w:lang w:val="en-US"/>
        </w:rPr>
        <w:t>(</w:t>
      </w:r>
      <w:r w:rsidRPr="0071345C">
        <w:rPr>
          <w:rStyle w:val="biblio-authorGEN"/>
          <w:sz w:val="18"/>
          <w:szCs w:val="15"/>
          <w:lang w:val="en-US"/>
        </w:rPr>
        <w:t>Thieme</w:t>
      </w:r>
      <w:r w:rsidRPr="0071345C">
        <w:rPr>
          <w:lang w:val="en-US"/>
        </w:rPr>
        <w:t xml:space="preserve"> 1952: 91-129), see also Gonda 1950</w:t>
      </w:r>
      <w:r w:rsidRPr="0071345C">
        <w:rPr>
          <w:vertAlign w:val="superscript"/>
          <w:lang w:val="en-US"/>
        </w:rPr>
        <w:t>a</w:t>
      </w:r>
      <w:r w:rsidRPr="0071345C">
        <w:rPr>
          <w:lang w:val="en-US"/>
        </w:rPr>
        <w:t>.</w:t>
      </w:r>
    </w:p>
  </w:footnote>
  <w:footnote w:id="163">
    <w:p w14:paraId="39B7F128"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ámati</w:t>
      </w:r>
      <w:r w:rsidRPr="0071345C">
        <w:rPr>
          <w:lang w:val="en-US"/>
        </w:rPr>
        <w:t>-</w:t>
      </w:r>
      <w:r w:rsidRPr="0071345C">
        <w:rPr>
          <w:lang w:val="en-US"/>
        </w:rPr>
        <w:t xml:space="preserve">: </w:t>
      </w:r>
      <w:r w:rsidRPr="0071345C">
        <w:rPr>
          <w:rStyle w:val="biblio-authorGEN"/>
          <w:sz w:val="18"/>
          <w:szCs w:val="15"/>
          <w:lang w:val="en-US"/>
        </w:rPr>
        <w:t>Keith</w:t>
      </w:r>
      <w:r w:rsidRPr="0071345C">
        <w:rPr>
          <w:lang w:val="en-US"/>
        </w:rPr>
        <w:t xml:space="preserve"> (1920: 135) translates, in the same passage in AB 2.2, the word </w:t>
      </w:r>
      <w:r w:rsidRPr="0071345C">
        <w:rPr>
          <w:i/>
          <w:iCs/>
          <w:lang w:val="en-US"/>
        </w:rPr>
        <w:t>ámati</w:t>
      </w:r>
      <w:r w:rsidRPr="0071345C">
        <w:rPr>
          <w:lang w:val="en-US"/>
        </w:rPr>
        <w:t>-</w:t>
      </w:r>
      <w:r w:rsidRPr="0071345C">
        <w:rPr>
          <w:lang w:val="en-US"/>
        </w:rPr>
        <w:t xml:space="preserve"> with “misfortune”; </w:t>
      </w:r>
      <w:r w:rsidRPr="0071345C">
        <w:rPr>
          <w:rStyle w:val="biblio-authorGEN"/>
          <w:sz w:val="18"/>
          <w:szCs w:val="15"/>
          <w:lang w:val="en-US"/>
        </w:rPr>
        <w:t>Proferes</w:t>
      </w:r>
      <w:r w:rsidRPr="0071345C">
        <w:rPr>
          <w:lang w:val="en-US"/>
        </w:rPr>
        <w:t xml:space="preserve"> (2003a: 324) preferes “indigence”. This translation follows </w:t>
      </w:r>
      <w:r w:rsidRPr="0071345C">
        <w:rPr>
          <w:sz w:val="18"/>
          <w:szCs w:val="15"/>
          <w:lang w:val="en-US"/>
        </w:rPr>
        <w:t>Mayrhofer</w:t>
      </w:r>
      <w:r w:rsidRPr="0071345C">
        <w:rPr>
          <w:lang w:val="en-US"/>
        </w:rPr>
        <w:t xml:space="preserve"> (EWAia: I 95) who reads it as *</w:t>
      </w:r>
      <w:r w:rsidRPr="0071345C">
        <w:rPr>
          <w:i/>
          <w:iCs/>
          <w:lang w:val="en-US"/>
        </w:rPr>
        <w:t>a</w:t>
      </w:r>
      <w:r w:rsidRPr="0071345C">
        <w:rPr>
          <w:lang w:val="en-US"/>
        </w:rPr>
        <w:t>-</w:t>
      </w:r>
      <w:r w:rsidRPr="0071345C">
        <w:rPr>
          <w:i/>
          <w:iCs/>
          <w:lang w:val="en-US"/>
        </w:rPr>
        <w:t>mati</w:t>
      </w:r>
      <w:r w:rsidRPr="0071345C">
        <w:rPr>
          <w:lang w:val="en-US"/>
        </w:rPr>
        <w:t xml:space="preserve">, </w:t>
      </w:r>
      <w:r w:rsidRPr="0071345C">
        <w:rPr>
          <w:lang w:val="en-US"/>
        </w:rPr>
        <w:t xml:space="preserve">giving as meaning “Mangel, Dürftigkeit, ratlos”. The same meaning is given by </w:t>
      </w:r>
      <w:r w:rsidRPr="0071345C">
        <w:rPr>
          <w:rStyle w:val="biblio-authorGEN"/>
          <w:sz w:val="18"/>
          <w:szCs w:val="15"/>
          <w:lang w:val="en-US"/>
        </w:rPr>
        <w:t>Grassmann</w:t>
      </w:r>
      <w:r w:rsidRPr="0071345C">
        <w:rPr>
          <w:lang w:val="en-US"/>
        </w:rPr>
        <w:t xml:space="preserve"> (1875 [ed. 1996: 90]), although he suggests a different de</w:t>
      </w:r>
      <w:r w:rsidRPr="0071345C">
        <w:rPr>
          <w:lang w:val="en-US"/>
        </w:rPr>
        <w:t xml:space="preserve">rivation, namely “von </w:t>
      </w:r>
      <w:r w:rsidRPr="0071345C">
        <w:rPr>
          <w:i/>
          <w:iCs/>
          <w:lang w:val="en-US"/>
        </w:rPr>
        <w:t>am</w:t>
      </w:r>
      <w:r w:rsidRPr="0071345C">
        <w:rPr>
          <w:lang w:val="en-US"/>
        </w:rPr>
        <w:t>-</w:t>
      </w:r>
      <w:r w:rsidRPr="0071345C">
        <w:rPr>
          <w:lang w:val="en-US"/>
        </w:rPr>
        <w:t xml:space="preserve"> im passiven Sinne”. The explanation in AB 2.2 is </w:t>
      </w:r>
      <w:r w:rsidRPr="0071345C">
        <w:rPr>
          <w:i/>
          <w:iCs/>
          <w:lang w:val="en-US"/>
        </w:rPr>
        <w:t>aśanāyā vai pāpmāmatis</w:t>
      </w:r>
      <w:r w:rsidRPr="0071345C">
        <w:rPr>
          <w:lang w:val="en-US"/>
        </w:rPr>
        <w:t xml:space="preserve"> “the </w:t>
      </w:r>
      <w:r w:rsidRPr="0071345C">
        <w:rPr>
          <w:i/>
          <w:iCs/>
          <w:lang w:val="en-US"/>
        </w:rPr>
        <w:t>ámati</w:t>
      </w:r>
      <w:r w:rsidRPr="0071345C">
        <w:rPr>
          <w:lang w:val="en-US"/>
        </w:rPr>
        <w:t xml:space="preserve">- </w:t>
      </w:r>
      <w:r w:rsidRPr="0071345C">
        <w:rPr>
          <w:lang w:val="en-US"/>
        </w:rPr>
        <w:t xml:space="preserve">is indeed the hunger, the evil”. </w:t>
      </w:r>
      <w:r>
        <w:t xml:space="preserve">There is also  </w:t>
      </w:r>
      <w:r>
        <w:rPr>
          <w:i/>
          <w:iCs/>
        </w:rPr>
        <w:t>amáti</w:t>
      </w:r>
      <w:r>
        <w:t>-</w:t>
      </w:r>
      <w:r>
        <w:t xml:space="preserve">: EWAia: I 95-96 “etwa’ Gebilde, Erscheinung, Bildnis”; </w:t>
      </w:r>
      <w:r>
        <w:rPr>
          <w:rStyle w:val="biblio-authorGEN"/>
          <w:sz w:val="18"/>
          <w:szCs w:val="15"/>
        </w:rPr>
        <w:t>Grassmann</w:t>
      </w:r>
      <w:r>
        <w:t xml:space="preserve"> 1875 [ed. 1996: 90] “Wucht</w:t>
      </w:r>
      <w:r>
        <w:t xml:space="preserve">, Gewalt”. </w:t>
      </w:r>
      <w:r w:rsidRPr="0071345C">
        <w:rPr>
          <w:lang w:val="en-US"/>
        </w:rPr>
        <w:t xml:space="preserve">The accent in the </w:t>
      </w:r>
      <w:r w:rsidRPr="0071345C">
        <w:rPr>
          <w:rFonts w:ascii="Sabon Unicode" w:eastAsia="MS Mincho;ＭＳ 明朝" w:hAnsi="Sabon Unicode"/>
          <w:sz w:val="18"/>
          <w:szCs w:val="18"/>
          <w:lang w:val="en-US" w:eastAsia="hi-IN"/>
        </w:rPr>
        <w:t xml:space="preserve">R̥gvedic stanza speaks clearly for </w:t>
      </w:r>
      <w:r w:rsidRPr="0071345C">
        <w:rPr>
          <w:rFonts w:ascii="Sabon Unicode" w:eastAsia="MS Mincho;ＭＳ 明朝" w:hAnsi="Sabon Unicode"/>
          <w:i/>
          <w:iCs/>
          <w:sz w:val="18"/>
          <w:szCs w:val="18"/>
          <w:lang w:val="en-US" w:eastAsia="hi-IN"/>
        </w:rPr>
        <w:t>ámati</w:t>
      </w:r>
      <w:r w:rsidRPr="0071345C">
        <w:rPr>
          <w:rFonts w:ascii="Sabon Unicode" w:eastAsia="MS Mincho;ＭＳ 明朝" w:hAnsi="Sabon Unicode"/>
          <w:sz w:val="18"/>
          <w:szCs w:val="18"/>
          <w:lang w:val="en-US" w:eastAsia="hi-IN"/>
        </w:rPr>
        <w:t>-</w:t>
      </w:r>
      <w:r w:rsidRPr="0071345C">
        <w:rPr>
          <w:rFonts w:ascii="Sabon Unicode" w:eastAsia="MS Mincho;ＭＳ 明朝" w:hAnsi="Sabon Unicode"/>
          <w:sz w:val="18"/>
          <w:szCs w:val="18"/>
          <w:lang w:val="en-US" w:eastAsia="hi-IN"/>
        </w:rPr>
        <w:t>.</w:t>
      </w:r>
    </w:p>
  </w:footnote>
  <w:footnote w:id="164">
    <w:p w14:paraId="60AB673E"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nahí te </w:t>
      </w:r>
      <w:r w:rsidRPr="0071345C">
        <w:rPr>
          <w:lang w:val="en-US"/>
        </w:rPr>
        <w:t xml:space="preserve">[…]  </w:t>
      </w:r>
      <w:r>
        <w:rPr>
          <w:rFonts w:ascii="Sabon Unicode" w:hAnsi="Sabon Unicode"/>
          <w:i/>
          <w:iCs/>
          <w:sz w:val="18"/>
          <w:szCs w:val="18"/>
          <w:lang w:val="en-GB"/>
        </w:rPr>
        <w:t xml:space="preserve">vanavase = </w:t>
      </w:r>
      <w:r>
        <w:rPr>
          <w:rFonts w:ascii="Sabon Unicode" w:hAnsi="Sabon Unicode"/>
          <w:sz w:val="18"/>
          <w:szCs w:val="18"/>
          <w:lang w:val="en-GB"/>
        </w:rPr>
        <w:t>R̥V 6.16.18.</w:t>
      </w:r>
    </w:p>
  </w:footnote>
  <w:footnote w:id="165">
    <w:p w14:paraId="2AA49BF4"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sá hí </w:t>
      </w:r>
      <w:r w:rsidRPr="0071345C">
        <w:rPr>
          <w:lang w:val="en-US"/>
        </w:rPr>
        <w:t xml:space="preserve">[…] </w:t>
      </w:r>
      <w:r>
        <w:rPr>
          <w:rFonts w:ascii="Sabon Unicode" w:hAnsi="Sabon Unicode"/>
          <w:i/>
          <w:iCs/>
          <w:sz w:val="18"/>
          <w:szCs w:val="18"/>
          <w:lang w:val="en-GB"/>
        </w:rPr>
        <w:t>ástr̥ta</w:t>
      </w:r>
      <w:r>
        <w:rPr>
          <w:rFonts w:ascii="Sabon Unicode" w:hAnsi="Sabon Unicode"/>
          <w:i/>
          <w:iCs/>
          <w:sz w:val="18"/>
          <w:szCs w:val="18"/>
          <w:lang w:val="en-GB"/>
        </w:rPr>
        <w:t>ḥ</w:t>
      </w:r>
      <w:r>
        <w:rPr>
          <w:rFonts w:ascii="Sabon Unicode" w:hAnsi="Sabon Unicode"/>
          <w:i/>
          <w:iCs/>
          <w:sz w:val="18"/>
          <w:szCs w:val="18"/>
          <w:lang w:val="en-GB"/>
        </w:rPr>
        <w:t xml:space="preserve"> </w:t>
      </w:r>
      <w:r>
        <w:rPr>
          <w:rFonts w:ascii="Sabon Unicode" w:hAnsi="Sabon Unicode"/>
          <w:sz w:val="18"/>
          <w:szCs w:val="18"/>
          <w:lang w:val="en-GB"/>
        </w:rPr>
        <w:t>= R̥V 6.16.20.</w:t>
      </w:r>
    </w:p>
  </w:footnote>
  <w:footnote w:id="166">
    <w:p w14:paraId="07FF9EBC" w14:textId="77777777" w:rsidR="00E53EB6" w:rsidRDefault="006500F5">
      <w:pPr>
        <w:pStyle w:val="FootnoteText"/>
        <w:suppressLineNumbers/>
        <w:spacing w:line="210" w:lineRule="exact"/>
        <w:ind w:left="240" w:hanging="240"/>
        <w:jc w:val="both"/>
      </w:pPr>
      <w:r>
        <w:rPr>
          <w:rStyle w:val="FootnoteCharacters"/>
        </w:rPr>
        <w:footnoteRef/>
      </w:r>
      <w:r w:rsidRPr="0071345C">
        <w:rPr>
          <w:i/>
          <w:sz w:val="18"/>
          <w:szCs w:val="18"/>
        </w:rPr>
        <w:tab/>
        <w:t xml:space="preserve"> Nemānā</w:t>
      </w:r>
      <w:r w:rsidRPr="0071345C">
        <w:rPr>
          <w:i/>
          <w:sz w:val="18"/>
          <w:szCs w:val="18"/>
        </w:rPr>
        <w:t>ṃ</w:t>
      </w:r>
      <w:r w:rsidRPr="0071345C">
        <w:rPr>
          <w:i/>
          <w:sz w:val="18"/>
          <w:szCs w:val="18"/>
        </w:rPr>
        <w:t xml:space="preserve"> </w:t>
      </w:r>
      <w:r w:rsidRPr="0071345C">
        <w:rPr>
          <w:sz w:val="18"/>
          <w:szCs w:val="18"/>
        </w:rPr>
        <w:t xml:space="preserve">(gen. m. pl.) from </w:t>
      </w:r>
      <w:r w:rsidRPr="0071345C">
        <w:rPr>
          <w:i/>
          <w:sz w:val="18"/>
          <w:szCs w:val="18"/>
        </w:rPr>
        <w:t>néma-</w:t>
      </w:r>
      <w:r w:rsidRPr="0071345C">
        <w:rPr>
          <w:sz w:val="18"/>
          <w:szCs w:val="18"/>
        </w:rPr>
        <w:t xml:space="preserve"> EWAia: II 56 “einer, ein anderer, mancher”, cf. also </w:t>
      </w:r>
      <w:r w:rsidRPr="0071345C">
        <w:rPr>
          <w:smallCaps/>
          <w:sz w:val="18"/>
          <w:szCs w:val="18"/>
        </w:rPr>
        <w:t xml:space="preserve">Oldenberg </w:t>
      </w:r>
      <w:r w:rsidRPr="0071345C">
        <w:rPr>
          <w:sz w:val="18"/>
          <w:szCs w:val="18"/>
        </w:rPr>
        <w:t>1901: 315.</w:t>
      </w:r>
    </w:p>
  </w:footnote>
  <w:footnote w:id="167">
    <w:p w14:paraId="74794386"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i/>
          <w:iCs/>
          <w:lang w:val="en-US"/>
        </w:rPr>
        <w:t>bhārata</w:t>
      </w:r>
      <w:r w:rsidRPr="0071345C">
        <w:rPr>
          <w:lang w:val="en-US"/>
        </w:rPr>
        <w:t xml:space="preserve">- </w:t>
      </w:r>
      <w:r w:rsidRPr="0071345C">
        <w:rPr>
          <w:lang w:val="en-US"/>
        </w:rPr>
        <w:t xml:space="preserve">is a frequent epithet of Agni, as well as </w:t>
      </w:r>
      <w:r w:rsidRPr="0071345C">
        <w:rPr>
          <w:i/>
          <w:iCs/>
          <w:lang w:val="en-US"/>
        </w:rPr>
        <w:t>bharata</w:t>
      </w:r>
      <w:r w:rsidRPr="0071345C">
        <w:rPr>
          <w:lang w:val="en-US"/>
        </w:rPr>
        <w:t>-</w:t>
      </w:r>
      <w:r w:rsidRPr="0071345C">
        <w:rPr>
          <w:lang w:val="en-US"/>
        </w:rPr>
        <w:t>, name of the ancestor of one of the mythical Vedic families.</w:t>
      </w:r>
    </w:p>
  </w:footnote>
  <w:footnote w:id="168">
    <w:p w14:paraId="6B20527B"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Divodāsa is the name of many figures within the </w:t>
      </w:r>
      <w:r w:rsidRPr="0071345C">
        <w:rPr>
          <w:i/>
          <w:iCs/>
          <w:lang w:val="en-US"/>
        </w:rPr>
        <w:t>R̥gved</w:t>
      </w:r>
      <w:r w:rsidRPr="0071345C">
        <w:rPr>
          <w:i/>
          <w:iCs/>
          <w:lang w:val="en-US"/>
        </w:rPr>
        <w:t>a Sa</w:t>
      </w:r>
      <w:r w:rsidRPr="0071345C">
        <w:rPr>
          <w:i/>
          <w:iCs/>
          <w:lang w:val="en-US"/>
        </w:rPr>
        <w:t>ṃ</w:t>
      </w:r>
      <w:r w:rsidRPr="0071345C">
        <w:rPr>
          <w:i/>
          <w:iCs/>
          <w:lang w:val="en-US"/>
        </w:rPr>
        <w:t>hitā</w:t>
      </w:r>
      <w:r w:rsidRPr="0071345C">
        <w:rPr>
          <w:lang w:val="en-US"/>
        </w:rPr>
        <w:t>, often</w:t>
      </w:r>
      <w:r w:rsidRPr="0071345C">
        <w:rPr>
          <w:lang w:val="en-US"/>
        </w:rPr>
        <w:t xml:space="preserve"> connected with Agni. See </w:t>
      </w:r>
      <w:r w:rsidRPr="0071345C">
        <w:rPr>
          <w:rStyle w:val="biblio-authorGEN"/>
          <w:sz w:val="18"/>
          <w:szCs w:val="18"/>
          <w:lang w:val="en-US"/>
        </w:rPr>
        <w:t>Mayrhofer</w:t>
      </w:r>
      <w:r w:rsidRPr="0071345C">
        <w:rPr>
          <w:lang w:val="en-US"/>
        </w:rPr>
        <w:t xml:space="preserve"> 2003: 44.</w:t>
      </w:r>
    </w:p>
  </w:footnote>
  <w:footnote w:id="169">
    <w:p w14:paraId="52091A9D"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As to the use of double accusative whith verbs of giving cf. </w:t>
      </w:r>
      <w:r w:rsidRPr="0071345C">
        <w:rPr>
          <w:smallCaps/>
          <w:lang w:val="en-US"/>
        </w:rPr>
        <w:t>Whitney</w:t>
      </w:r>
      <w:r w:rsidRPr="0071345C">
        <w:rPr>
          <w:lang w:val="en-US"/>
        </w:rPr>
        <w:t xml:space="preserve"> 1888: §277. </w:t>
      </w:r>
    </w:p>
  </w:footnote>
  <w:footnote w:id="170">
    <w:p w14:paraId="424EE276"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Pr>
          <w:rFonts w:cs="Times Ext Roman"/>
          <w:i/>
          <w:iCs/>
          <w:sz w:val="18"/>
          <w:szCs w:val="18"/>
          <w:lang w:val="en-GB" w:eastAsia="hi-IN" w:bidi="en-GB"/>
        </w:rPr>
        <w:tab/>
        <w:t xml:space="preserve"> paridhī́r° </w:t>
      </w:r>
      <w:r>
        <w:rPr>
          <w:rFonts w:cs="Times Ext Roman"/>
          <w:sz w:val="18"/>
          <w:szCs w:val="18"/>
          <w:lang w:val="en-GB" w:eastAsia="hi-IN" w:bidi="en-GB"/>
        </w:rPr>
        <w:t>so in MSS (T</w:t>
      </w:r>
      <w:r>
        <w:rPr>
          <w:rFonts w:cs="Times Ext Roman"/>
          <w:sz w:val="18"/>
          <w:szCs w:val="18"/>
          <w:vertAlign w:val="subscript"/>
          <w:lang w:val="en-GB" w:eastAsia="hi-IN" w:bidi="en-GB"/>
        </w:rPr>
        <w:t>1</w:t>
      </w:r>
      <w:r>
        <w:rPr>
          <w:rFonts w:cs="Times Ext Roman"/>
          <w:sz w:val="18"/>
          <w:szCs w:val="18"/>
          <w:lang w:val="en-GB" w:eastAsia="hi-IN" w:bidi="en-GB"/>
        </w:rPr>
        <w:t>; Brl; Ch and W</w:t>
      </w:r>
      <w:r>
        <w:rPr>
          <w:rFonts w:cs="Times Ext Roman"/>
          <w:sz w:val="18"/>
          <w:szCs w:val="18"/>
          <w:vertAlign w:val="subscript"/>
          <w:lang w:val="en-GB" w:eastAsia="hi-IN" w:bidi="en-GB"/>
        </w:rPr>
        <w:t>1</w:t>
      </w:r>
      <w:r>
        <w:rPr>
          <w:rFonts w:cs="Times Ext Roman"/>
          <w:sz w:val="18"/>
          <w:szCs w:val="18"/>
          <w:lang w:val="en-GB" w:eastAsia="hi-IN" w:bidi="en-GB"/>
        </w:rPr>
        <w:t xml:space="preserve">) but in MS; TS and R̥V is </w:t>
      </w:r>
      <w:r>
        <w:rPr>
          <w:rFonts w:cs="Times Ext Roman"/>
          <w:i/>
          <w:iCs/>
          <w:sz w:val="18"/>
          <w:szCs w:val="18"/>
          <w:lang w:val="en-GB" w:eastAsia="hi-IN" w:bidi="en-GB"/>
        </w:rPr>
        <w:t xml:space="preserve">paridhī́m̐r°. </w:t>
      </w:r>
      <w:r>
        <w:rPr>
          <w:rFonts w:cs="Times Ext Roman"/>
          <w:sz w:val="18"/>
          <w:szCs w:val="18"/>
          <w:lang w:val="en-GB" w:eastAsia="hi-IN" w:bidi="en-GB"/>
        </w:rPr>
        <w:t xml:space="preserve">Cf. </w:t>
      </w:r>
      <w:r>
        <w:rPr>
          <w:rStyle w:val="biblio-authorGEN"/>
          <w:rFonts w:cs="Times Ext Roman"/>
          <w:sz w:val="18"/>
          <w:szCs w:val="15"/>
          <w:lang w:val="en-GB" w:eastAsia="hi-IN" w:bidi="en-GB"/>
        </w:rPr>
        <w:t>Schroeder</w:t>
      </w:r>
      <w:r>
        <w:rPr>
          <w:rFonts w:cs="Times Ext Roman"/>
          <w:sz w:val="18"/>
          <w:szCs w:val="18"/>
          <w:lang w:val="en-GB" w:eastAsia="hi-IN" w:bidi="en-GB"/>
        </w:rPr>
        <w:t xml:space="preserve"> 1900: 21,14</w:t>
      </w:r>
      <w:r>
        <w:rPr>
          <w:rFonts w:cs="Times Ext Roman"/>
          <w:sz w:val="18"/>
          <w:szCs w:val="18"/>
          <w:lang w:val="en-GB" w:eastAsia="hi-IN" w:bidi="en-GB"/>
        </w:rPr>
        <w:t>: 55 n. 3.</w:t>
      </w:r>
    </w:p>
  </w:footnote>
  <w:footnote w:id="171">
    <w:p w14:paraId="67529225"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pū́rve,</w:t>
      </w:r>
      <w:r w:rsidRPr="0071345C">
        <w:rPr>
          <w:lang w:val="en-US"/>
        </w:rPr>
        <w:t xml:space="preserve"> nom. m. pl. referring to </w:t>
      </w:r>
      <w:r w:rsidRPr="0071345C">
        <w:rPr>
          <w:i/>
          <w:iCs/>
          <w:lang w:val="en-US"/>
        </w:rPr>
        <w:t>pitára</w:t>
      </w:r>
      <w:r w:rsidRPr="0071345C">
        <w:rPr>
          <w:i/>
          <w:iCs/>
          <w:lang w:val="en-US"/>
        </w:rPr>
        <w:t>ḥ</w:t>
      </w:r>
      <w:r w:rsidRPr="0071345C">
        <w:rPr>
          <w:lang w:val="en-US"/>
        </w:rPr>
        <w:t xml:space="preserve">, functions here as an apposition with adverbial meaning or maybe better as </w:t>
      </w:r>
      <w:r w:rsidRPr="0071345C">
        <w:rPr>
          <w:i/>
          <w:iCs/>
          <w:lang w:val="en-US"/>
        </w:rPr>
        <w:t xml:space="preserve">rhema. </w:t>
      </w:r>
      <w:r w:rsidRPr="0071345C">
        <w:rPr>
          <w:lang w:val="en-US"/>
        </w:rPr>
        <w:t xml:space="preserve">For this kind of usage of nominative, see, among others, </w:t>
      </w:r>
      <w:r w:rsidRPr="0071345C">
        <w:rPr>
          <w:rStyle w:val="biblio-authorGEN"/>
          <w:sz w:val="18"/>
          <w:szCs w:val="15"/>
          <w:lang w:val="en-US"/>
        </w:rPr>
        <w:t>Elizarenkov</w:t>
      </w:r>
      <w:r w:rsidRPr="0071345C">
        <w:rPr>
          <w:rStyle w:val="biblio-authorGEN"/>
          <w:sz w:val="18"/>
          <w:szCs w:val="15"/>
          <w:lang w:val="en-US"/>
        </w:rPr>
        <w:t>a</w:t>
      </w:r>
      <w:r w:rsidRPr="0071345C">
        <w:rPr>
          <w:lang w:val="en-US"/>
        </w:rPr>
        <w:t xml:space="preserve"> 1995</w:t>
      </w:r>
      <w:r w:rsidRPr="0071345C">
        <w:rPr>
          <w:vertAlign w:val="superscript"/>
          <w:lang w:val="en-US"/>
        </w:rPr>
        <w:t>a</w:t>
      </w:r>
      <w:r w:rsidRPr="0071345C">
        <w:rPr>
          <w:rFonts w:cs="Devanagari MT;Times New Roman"/>
          <w:lang w:val="en-US"/>
        </w:rPr>
        <w:t>: 202-206.</w:t>
      </w:r>
    </w:p>
  </w:footnote>
  <w:footnote w:id="172">
    <w:p w14:paraId="65BD8801"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paridhī́n </w:t>
      </w:r>
      <w:r w:rsidRPr="0071345C">
        <w:rPr>
          <w:lang w:val="en-US"/>
        </w:rPr>
        <w:t>(acc. m. pl.):</w:t>
      </w:r>
      <w:r w:rsidRPr="0071345C">
        <w:rPr>
          <w:lang w:val="en-US"/>
        </w:rPr>
        <w:t xml:space="preserve"> a circular channel was made by digging around the fire, and three boughs were used to mark it. These three boughs are called </w:t>
      </w:r>
      <w:r w:rsidRPr="0071345C">
        <w:rPr>
          <w:i/>
          <w:iCs/>
          <w:lang w:val="en-US"/>
        </w:rPr>
        <w:t xml:space="preserve">paridhí-, </w:t>
      </w:r>
      <w:r w:rsidRPr="0071345C">
        <w:rPr>
          <w:lang w:val="en-US"/>
        </w:rPr>
        <w:t>which indicates also the enclosure around the cairns, cf. the funeral hymns 10.14-18.</w:t>
      </w:r>
    </w:p>
  </w:footnote>
  <w:footnote w:id="173">
    <w:p w14:paraId="33178427"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For the form </w:t>
      </w:r>
      <w:r w:rsidRPr="0071345C">
        <w:rPr>
          <w:i/>
          <w:iCs/>
          <w:lang w:val="en-US"/>
        </w:rPr>
        <w:t xml:space="preserve">āśī́r </w:t>
      </w:r>
      <w:r w:rsidRPr="0071345C">
        <w:rPr>
          <w:lang w:val="en-US"/>
        </w:rPr>
        <w:t xml:space="preserve">from </w:t>
      </w:r>
      <w:r w:rsidRPr="0071345C">
        <w:rPr>
          <w:i/>
          <w:iCs/>
          <w:lang w:val="en-US"/>
        </w:rPr>
        <w:t>āśi</w:t>
      </w:r>
      <w:r w:rsidRPr="0071345C">
        <w:rPr>
          <w:i/>
          <w:iCs/>
          <w:lang w:val="en-US"/>
        </w:rPr>
        <w:t>ṣ</w:t>
      </w:r>
      <w:r w:rsidRPr="0071345C">
        <w:rPr>
          <w:i/>
          <w:iCs/>
          <w:lang w:val="en-US"/>
        </w:rPr>
        <w:t>-</w:t>
      </w:r>
      <w:r w:rsidRPr="0071345C">
        <w:rPr>
          <w:lang w:val="en-US"/>
        </w:rPr>
        <w:t xml:space="preserve">, </w:t>
      </w:r>
      <w:r w:rsidRPr="0071345C">
        <w:rPr>
          <w:lang w:val="en-US"/>
        </w:rPr>
        <w:t xml:space="preserve">f. “prayer” but also “wish” see EWAia: I 178 “Bitte, Wunsch beim Opfer”and </w:t>
      </w:r>
      <w:r w:rsidRPr="0071345C">
        <w:rPr>
          <w:lang w:val="en-US"/>
        </w:rPr>
        <w:t>AiGr: I 42f.; II,2 21; III 229, 248, 596.</w:t>
      </w:r>
    </w:p>
  </w:footnote>
  <w:footnote w:id="174">
    <w:p w14:paraId="28359453"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As to the use of injunctive to express the intention of the subject, see </w:t>
      </w:r>
      <w:r w:rsidRPr="0071345C">
        <w:rPr>
          <w:rStyle w:val="biblio-authorGEN"/>
          <w:sz w:val="18"/>
          <w:szCs w:val="15"/>
          <w:lang w:val="en-US"/>
        </w:rPr>
        <w:t>Hoffmann</w:t>
      </w:r>
      <w:r w:rsidRPr="0071345C">
        <w:rPr>
          <w:lang w:val="en-US"/>
        </w:rPr>
        <w:t xml:space="preserve"> 1967: 253.</w:t>
      </w:r>
    </w:p>
  </w:footnote>
  <w:footnote w:id="175">
    <w:p w14:paraId="2A880AEC"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śyena- </w:t>
      </w:r>
      <w:r w:rsidRPr="0071345C">
        <w:rPr>
          <w:lang w:val="en-US"/>
        </w:rPr>
        <w:t>indicates any bird within a prayi</w:t>
      </w:r>
      <w:r w:rsidRPr="0071345C">
        <w:rPr>
          <w:lang w:val="en-US"/>
        </w:rPr>
        <w:t xml:space="preserve">ng context and especially the eagle that brings the </w:t>
      </w:r>
      <w:r w:rsidRPr="0071345C">
        <w:rPr>
          <w:i/>
          <w:iCs/>
          <w:lang w:val="en-US"/>
        </w:rPr>
        <w:t>soma</w:t>
      </w:r>
      <w:r w:rsidRPr="0071345C">
        <w:rPr>
          <w:lang w:val="en-US"/>
        </w:rPr>
        <w:t xml:space="preserve"> to the men.</w:t>
      </w:r>
    </w:p>
  </w:footnote>
  <w:footnote w:id="176">
    <w:p w14:paraId="4017C03F"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rFonts w:ascii="Sabon Unicode" w:hAnsi="Sabon Unicode"/>
          <w:i/>
          <w:iCs/>
          <w:lang w:val="en-US"/>
        </w:rPr>
        <w:tab/>
        <w:t xml:space="preserve"> vásva</w:t>
      </w:r>
      <w:r w:rsidRPr="0071345C">
        <w:rPr>
          <w:rFonts w:ascii="Sabon Unicode" w:hAnsi="Sabon Unicode"/>
          <w:i/>
          <w:iCs/>
          <w:lang w:val="en-US"/>
        </w:rPr>
        <w:t>ḥ</w:t>
      </w:r>
      <w:r w:rsidRPr="0071345C">
        <w:rPr>
          <w:rFonts w:ascii="Sabon Unicode" w:hAnsi="Sabon Unicode"/>
          <w:i/>
          <w:iCs/>
          <w:lang w:val="en-US"/>
        </w:rPr>
        <w:t xml:space="preserve"> kuvíd,</w:t>
      </w:r>
      <w:r w:rsidRPr="0071345C">
        <w:rPr>
          <w:rFonts w:ascii="Sabon Unicode" w:hAnsi="Sabon Unicode"/>
          <w:lang w:val="en-US"/>
        </w:rPr>
        <w:t xml:space="preserve"> </w:t>
      </w:r>
      <w:r w:rsidRPr="0071345C">
        <w:rPr>
          <w:rFonts w:ascii="Sabon Unicode" w:hAnsi="Sabon Unicode"/>
          <w:i/>
          <w:iCs/>
          <w:lang w:val="en-US"/>
        </w:rPr>
        <w:t xml:space="preserve">kuvíd </w:t>
      </w:r>
      <w:r w:rsidRPr="0071345C">
        <w:rPr>
          <w:rFonts w:ascii="Sabon Unicode" w:hAnsi="Sabon Unicode"/>
          <w:lang w:val="en-US"/>
        </w:rPr>
        <w:t xml:space="preserve">put an interrogative element into the sentence (cf. </w:t>
      </w:r>
      <w:r w:rsidRPr="0071345C">
        <w:rPr>
          <w:rStyle w:val="biblio-authorGEN"/>
          <w:rFonts w:ascii="Sabon Unicode" w:hAnsi="Sabon Unicode"/>
          <w:sz w:val="18"/>
          <w:szCs w:val="15"/>
          <w:lang w:val="en-US"/>
        </w:rPr>
        <w:t>Macdonell</w:t>
      </w:r>
      <w:r w:rsidRPr="0071345C">
        <w:rPr>
          <w:rFonts w:ascii="Sabon Unicode" w:hAnsi="Sabon Unicode"/>
          <w:lang w:val="en-US"/>
        </w:rPr>
        <w:t xml:space="preserve"> 1916: §180), the construction with the gentive partitive (</w:t>
      </w:r>
      <w:r w:rsidRPr="0071345C">
        <w:rPr>
          <w:rFonts w:ascii="Sabon Unicode" w:hAnsi="Sabon Unicode"/>
          <w:i/>
          <w:iCs/>
          <w:lang w:val="en-US"/>
        </w:rPr>
        <w:t>vásva</w:t>
      </w:r>
      <w:r w:rsidRPr="0071345C">
        <w:rPr>
          <w:rFonts w:ascii="Sabon Unicode" w:hAnsi="Sabon Unicode"/>
          <w:i/>
          <w:iCs/>
          <w:lang w:val="en-US"/>
        </w:rPr>
        <w:t>ḥ</w:t>
      </w:r>
      <w:r w:rsidRPr="0071345C">
        <w:rPr>
          <w:rFonts w:ascii="Sabon Unicode" w:hAnsi="Sabon Unicode"/>
          <w:lang w:val="en-US"/>
        </w:rPr>
        <w:t>) creates a</w:t>
      </w:r>
      <w:r w:rsidRPr="0071345C">
        <w:rPr>
          <w:rFonts w:ascii="Sabon Unicode" w:hAnsi="Sabon Unicode"/>
          <w:lang w:val="en-US"/>
        </w:rPr>
        <w:t xml:space="preserve"> sound play wit</w:t>
      </w:r>
      <w:r w:rsidRPr="0071345C">
        <w:rPr>
          <w:rFonts w:ascii="Sabon Unicode" w:hAnsi="Sabon Unicode"/>
          <w:lang w:val="en-US"/>
        </w:rPr>
        <w:t xml:space="preserve">h the verb </w:t>
      </w:r>
      <w:r w:rsidRPr="0071345C">
        <w:rPr>
          <w:rFonts w:ascii="Sabon Unicode" w:hAnsi="Sabon Unicode"/>
          <w:i/>
          <w:iCs/>
          <w:lang w:val="en-US"/>
        </w:rPr>
        <w:t>vanā́ti</w:t>
      </w:r>
      <w:r w:rsidRPr="0071345C">
        <w:rPr>
          <w:rFonts w:ascii="Sabon Unicode" w:hAnsi="Sabon Unicode"/>
          <w:lang w:val="en-US"/>
        </w:rPr>
        <w:t xml:space="preserve">. As to the partitive genitive with verbs of giving and asking, cf. </w:t>
      </w:r>
      <w:r w:rsidRPr="0071345C">
        <w:rPr>
          <w:rStyle w:val="biblio-authorGEN"/>
          <w:rFonts w:ascii="Sabon Unicode" w:hAnsi="Sabon Unicode"/>
          <w:sz w:val="18"/>
          <w:szCs w:val="15"/>
          <w:lang w:val="en-US"/>
        </w:rPr>
        <w:t>Whitney</w:t>
      </w:r>
      <w:r w:rsidRPr="0071345C">
        <w:rPr>
          <w:rFonts w:ascii="Sabon Unicode" w:hAnsi="Sabon Unicode"/>
          <w:lang w:val="en-US"/>
        </w:rPr>
        <w:t xml:space="preserve"> 1924: §297.b and </w:t>
      </w:r>
      <w:r w:rsidRPr="0071345C">
        <w:rPr>
          <w:rStyle w:val="biblio-authorGEN"/>
          <w:rFonts w:ascii="Sabon Unicode" w:hAnsi="Sabon Unicode"/>
          <w:sz w:val="18"/>
          <w:szCs w:val="15"/>
          <w:lang w:val="en-US"/>
        </w:rPr>
        <w:t>Macdonell</w:t>
      </w:r>
      <w:r w:rsidRPr="0071345C">
        <w:rPr>
          <w:rFonts w:ascii="Sabon Unicode" w:hAnsi="Sabon Unicode"/>
          <w:lang w:val="en-US"/>
        </w:rPr>
        <w:t xml:space="preserve"> 1916: §202.e, see also above, the gloss abou</w:t>
      </w:r>
      <w:r w:rsidRPr="0071345C">
        <w:rPr>
          <w:rFonts w:ascii="Sabon Unicode" w:hAnsi="Sabon Unicode"/>
          <w:lang w:val="en-US"/>
        </w:rPr>
        <w:t xml:space="preserve">t the verb </w:t>
      </w:r>
      <w:r w:rsidRPr="0071345C">
        <w:rPr>
          <w:rFonts w:ascii="Sabon Unicode" w:hAnsi="Sabon Unicode"/>
          <w:i/>
          <w:iCs/>
          <w:lang w:val="en-US"/>
        </w:rPr>
        <w:t xml:space="preserve">vanā́ti. </w:t>
      </w:r>
    </w:p>
  </w:footnote>
  <w:footnote w:id="177">
    <w:p w14:paraId="6A3719C9"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Pr>
          <w:rFonts w:ascii="Sabon Unicode" w:hAnsi="Sabon Unicode"/>
        </w:rPr>
        <w:tab/>
        <w:t xml:space="preserve"> </w:t>
      </w:r>
      <w:r>
        <w:rPr>
          <w:rFonts w:ascii="Sabon Unicode" w:hAnsi="Sabon Unicode"/>
          <w:i/>
          <w:iCs/>
        </w:rPr>
        <w:t>vājin</w:t>
      </w:r>
      <w:r>
        <w:rPr>
          <w:rFonts w:ascii="Sabon Unicode" w:hAnsi="Sabon Unicode"/>
        </w:rPr>
        <w:t xml:space="preserve">-, </w:t>
      </w:r>
      <w:r>
        <w:rPr>
          <w:rStyle w:val="biblio-authorGEN"/>
          <w:rFonts w:ascii="Sabon Unicode" w:hAnsi="Sabon Unicode"/>
          <w:sz w:val="18"/>
          <w:szCs w:val="15"/>
        </w:rPr>
        <w:t>Geldner</w:t>
      </w:r>
      <w:r>
        <w:rPr>
          <w:rFonts w:ascii="Sabon Unicode" w:hAnsi="Sabon Unicode"/>
        </w:rPr>
        <w:t xml:space="preserve"> “siegesgewohnte”; </w:t>
      </w:r>
      <w:r>
        <w:rPr>
          <w:rStyle w:val="biblio-authorGEN"/>
          <w:rFonts w:ascii="Sabon Unicode" w:hAnsi="Sabon Unicode"/>
          <w:sz w:val="18"/>
          <w:szCs w:val="15"/>
        </w:rPr>
        <w:t>O’Flaherty</w:t>
      </w:r>
      <w:r>
        <w:rPr>
          <w:rFonts w:ascii="Sabon Unicode" w:hAnsi="Sabon Unicode"/>
        </w:rPr>
        <w:t xml:space="preserve"> “racehorse”. </w:t>
      </w:r>
      <w:r w:rsidRPr="0071345C">
        <w:rPr>
          <w:rFonts w:ascii="Sabon Unicode" w:hAnsi="Sabon Unicode"/>
          <w:lang w:val="en-US"/>
        </w:rPr>
        <w:t>This term conveys the swift of the animal and its power. Is the steed that wins the prize of the race.</w:t>
      </w:r>
    </w:p>
  </w:footnote>
  <w:footnote w:id="178">
    <w:p w14:paraId="5EE5193F"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lang w:val="en-US"/>
        </w:rPr>
        <w:t>The sin, the contamination, dwells within the action that is going to be performed: the slaughtering of the horse; the ritual effort of taking any possible sin away plays an important role within the whole sacrifice. In order to avoid the contamination inv</w:t>
      </w:r>
      <w:r w:rsidRPr="0071345C">
        <w:rPr>
          <w:lang w:val="en-US"/>
        </w:rPr>
        <w:t xml:space="preserve">olved in the slaughtering act, it is often said that the victim agrees with what is happening (cf. the expression </w:t>
      </w:r>
      <w:r w:rsidRPr="0071345C">
        <w:rPr>
          <w:i/>
          <w:iCs/>
          <w:lang w:val="en-US"/>
        </w:rPr>
        <w:t>sa</w:t>
      </w:r>
      <w:r w:rsidRPr="0071345C">
        <w:rPr>
          <w:i/>
          <w:iCs/>
          <w:lang w:val="en-US"/>
        </w:rPr>
        <w:t>ṃ</w:t>
      </w:r>
      <w:r w:rsidRPr="0071345C">
        <w:rPr>
          <w:i/>
          <w:iCs/>
          <w:lang w:val="en-US"/>
        </w:rPr>
        <w:t>jãpta</w:t>
      </w:r>
      <w:r w:rsidRPr="0071345C">
        <w:rPr>
          <w:i/>
          <w:iCs/>
          <w:lang w:val="en-US"/>
        </w:rPr>
        <w:t>ḥ</w:t>
      </w:r>
      <w:r w:rsidRPr="0071345C">
        <w:rPr>
          <w:i/>
          <w:iCs/>
          <w:lang w:val="en-US"/>
        </w:rPr>
        <w:t xml:space="preserve"> paśu</w:t>
      </w:r>
      <w:r w:rsidRPr="0071345C">
        <w:rPr>
          <w:i/>
          <w:iCs/>
          <w:lang w:val="en-US"/>
        </w:rPr>
        <w:t>ḥ</w:t>
      </w:r>
      <w:r w:rsidRPr="0071345C">
        <w:rPr>
          <w:lang w:val="en-US"/>
        </w:rPr>
        <w:t xml:space="preserve">, and also the Greek term </w:t>
      </w:r>
      <w:r>
        <w:rPr>
          <w:rFonts w:ascii="GFS Porson" w:hAnsi="GFS Porson" w:cs="Porson"/>
          <w:i/>
          <w:iCs/>
        </w:rPr>
        <w:t>ἂ</w:t>
      </w:r>
      <w:r>
        <w:rPr>
          <w:rFonts w:ascii="GFS Porson" w:hAnsi="GFS Porson" w:cs="Porson"/>
          <w:i/>
          <w:iCs/>
        </w:rPr>
        <w:t>γος</w:t>
      </w:r>
      <w:r w:rsidRPr="0071345C">
        <w:rPr>
          <w:rFonts w:ascii="Porson" w:hAnsi="Porson" w:cs="Porson"/>
          <w:lang w:val="en-US"/>
        </w:rPr>
        <w:t xml:space="preserve"> </w:t>
      </w:r>
      <w:r w:rsidRPr="0071345C">
        <w:rPr>
          <w:lang w:val="en-US"/>
        </w:rPr>
        <w:t>EWAia: I 159) and the actions during the cutting asunder seem to have a peculiar goal: to give n</w:t>
      </w:r>
      <w:r w:rsidRPr="0071345C">
        <w:rPr>
          <w:lang w:val="en-US"/>
        </w:rPr>
        <w:t xml:space="preserve">ew life to the animal. As for this aspect in the rituals of ancient India see </w:t>
      </w:r>
      <w:r w:rsidRPr="0071345C">
        <w:rPr>
          <w:rStyle w:val="biblio-authorGEN"/>
          <w:sz w:val="18"/>
          <w:szCs w:val="15"/>
          <w:lang w:val="en-US"/>
        </w:rPr>
        <w:t>Malamoud 1994</w:t>
      </w:r>
      <w:r w:rsidRPr="0071345C">
        <w:rPr>
          <w:lang w:val="en-US"/>
        </w:rPr>
        <w:t xml:space="preserve"> and </w:t>
      </w:r>
      <w:r w:rsidRPr="0071345C">
        <w:rPr>
          <w:rStyle w:val="biblio-authorGEN"/>
          <w:sz w:val="18"/>
          <w:szCs w:val="15"/>
          <w:lang w:val="en-US"/>
        </w:rPr>
        <w:t>Gonda</w:t>
      </w:r>
      <w:r w:rsidRPr="0071345C">
        <w:rPr>
          <w:lang w:val="en-US"/>
        </w:rPr>
        <w:t xml:space="preserve"> 1960.</w:t>
      </w:r>
    </w:p>
  </w:footnote>
  <w:footnote w:id="179">
    <w:p w14:paraId="16066EF0"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i/>
          <w:iCs/>
          <w:lang w:val="en-US"/>
        </w:rPr>
        <w:t>ni yā-</w:t>
      </w:r>
      <w:r w:rsidRPr="0071345C">
        <w:rPr>
          <w:lang w:val="en-US"/>
        </w:rPr>
        <w:t xml:space="preserve"> </w:t>
      </w:r>
      <w:r w:rsidRPr="0071345C">
        <w:rPr>
          <w:lang w:val="en-US"/>
        </w:rPr>
        <w:t>“to attack, assail”, like a carriage.</w:t>
      </w:r>
    </w:p>
  </w:footnote>
  <w:footnote w:id="180">
    <w:p w14:paraId="0FDAB9FE"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i/>
          <w:iCs/>
          <w:lang w:val="en-US"/>
        </w:rPr>
        <w:t>máno ná</w:t>
      </w:r>
      <w:r w:rsidRPr="0071345C">
        <w:rPr>
          <w:lang w:val="en-US"/>
        </w:rPr>
        <w:t xml:space="preserve"> </w:t>
      </w:r>
      <w:r w:rsidRPr="0071345C">
        <w:rPr>
          <w:lang w:val="en-US"/>
        </w:rPr>
        <w:t xml:space="preserve">[…] </w:t>
      </w:r>
      <w:r w:rsidRPr="0071345C">
        <w:rPr>
          <w:rFonts w:ascii="Sabon Unicode" w:hAnsi="Sabon Unicode"/>
          <w:i/>
          <w:iCs/>
          <w:lang w:val="en-US"/>
        </w:rPr>
        <w:t>gábhastau</w:t>
      </w:r>
      <w:r w:rsidRPr="0071345C">
        <w:rPr>
          <w:rFonts w:ascii="Sabon Unicode" w:hAnsi="Sabon Unicode"/>
          <w:lang w:val="en-US"/>
        </w:rPr>
        <w:t xml:space="preserve"> = R̥V 10.61.3.</w:t>
      </w:r>
    </w:p>
  </w:footnote>
  <w:footnote w:id="181">
    <w:p w14:paraId="551DFFB7"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Along the interpretation of Pischel (</w:t>
      </w:r>
      <w:r w:rsidRPr="0071345C">
        <w:rPr>
          <w:rStyle w:val="biblio-authorGEN"/>
          <w:sz w:val="18"/>
          <w:szCs w:val="18"/>
          <w:lang w:val="en-US"/>
        </w:rPr>
        <w:t xml:space="preserve">Pischel-Geldner </w:t>
      </w:r>
      <w:r w:rsidRPr="0071345C">
        <w:rPr>
          <w:lang w:val="en-US"/>
        </w:rPr>
        <w:t>1889</w:t>
      </w:r>
      <w:r w:rsidRPr="0071345C">
        <w:rPr>
          <w:lang w:val="en-US"/>
        </w:rPr>
        <w:t xml:space="preserve">-1901: I 74), the subject are the Aśvin invoked by Cyavana. The myth of Cyavana can be found also in Mbh 3.122-124. As to the different interpretations of the relative pronouns and thus of the verse itself, see </w:t>
      </w:r>
      <w:r w:rsidRPr="0071345C">
        <w:rPr>
          <w:rStyle w:val="biblio-authorGEN"/>
          <w:sz w:val="18"/>
          <w:szCs w:val="15"/>
          <w:lang w:val="en-US"/>
        </w:rPr>
        <w:t>Oldenberg</w:t>
      </w:r>
      <w:r w:rsidRPr="0071345C">
        <w:rPr>
          <w:lang w:val="en-US"/>
        </w:rPr>
        <w:t xml:space="preserve"> 1912: 264 n.3 and </w:t>
      </w:r>
      <w:r w:rsidRPr="0071345C">
        <w:rPr>
          <w:rStyle w:val="biblio-authorGEN"/>
          <w:sz w:val="18"/>
          <w:szCs w:val="15"/>
          <w:lang w:val="en-US"/>
        </w:rPr>
        <w:t>Geldner</w:t>
      </w:r>
      <w:r w:rsidRPr="0071345C">
        <w:rPr>
          <w:lang w:val="en-US"/>
        </w:rPr>
        <w:t>: III 227.</w:t>
      </w:r>
    </w:p>
  </w:footnote>
  <w:footnote w:id="182">
    <w:p w14:paraId="7AE80364"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According to Pischel’s interpretation (</w:t>
      </w:r>
      <w:r w:rsidRPr="0071345C">
        <w:rPr>
          <w:i/>
          <w:iCs/>
          <w:lang w:val="en-US"/>
        </w:rPr>
        <w:t>ibid.</w:t>
      </w:r>
      <w:r w:rsidRPr="0071345C">
        <w:rPr>
          <w:lang w:val="en-US"/>
        </w:rPr>
        <w:t xml:space="preserve">), this passage is related to the myth of Indra, the very manly </w:t>
      </w:r>
      <w:r w:rsidRPr="0071345C">
        <w:rPr>
          <w:i/>
          <w:iCs/>
          <w:lang w:val="en-US"/>
        </w:rPr>
        <w:t>par excellance</w:t>
      </w:r>
      <w:r w:rsidRPr="0071345C">
        <w:rPr>
          <w:lang w:val="en-US"/>
        </w:rPr>
        <w:t>, weakening the will, the intention (</w:t>
      </w:r>
      <w:r w:rsidRPr="0071345C">
        <w:rPr>
          <w:i/>
          <w:iCs/>
          <w:lang w:val="en-US"/>
        </w:rPr>
        <w:t>ādiśam</w:t>
      </w:r>
      <w:r w:rsidRPr="0071345C">
        <w:rPr>
          <w:lang w:val="en-US"/>
        </w:rPr>
        <w:t xml:space="preserve">) of Cyavana. Cyavana stole the </w:t>
      </w:r>
      <w:r w:rsidRPr="0071345C">
        <w:rPr>
          <w:i/>
          <w:iCs/>
          <w:lang w:val="en-US"/>
        </w:rPr>
        <w:t>soma</w:t>
      </w:r>
      <w:r w:rsidRPr="0071345C">
        <w:rPr>
          <w:lang w:val="en-US"/>
        </w:rPr>
        <w:t xml:space="preserve"> and tried to fool the god. Indra makes him bow to </w:t>
      </w:r>
      <w:r w:rsidRPr="0071345C">
        <w:rPr>
          <w:lang w:val="en-US"/>
        </w:rPr>
        <w:t>his power.</w:t>
      </w:r>
    </w:p>
  </w:footnote>
  <w:footnote w:id="183">
    <w:p w14:paraId="31D71375"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Pr>
          <w:rFonts w:ascii="Sabon Unicode" w:eastAsia="MS Mincho;ＭＳ 明朝" w:hAnsi="Sabon Unicode" w:cs="Times Ext Roman"/>
          <w:i/>
          <w:iCs/>
          <w:sz w:val="18"/>
          <w:szCs w:val="18"/>
          <w:lang w:val="en-GB" w:eastAsia="hi-IN" w:bidi="en-GB"/>
        </w:rPr>
        <w:tab/>
        <w:t xml:space="preserve"> bhadrá</w:t>
      </w:r>
      <w:r>
        <w:rPr>
          <w:rFonts w:ascii="Sabon Unicode" w:eastAsia="MS Mincho;ＭＳ 明朝" w:hAnsi="Sabon Unicode" w:cs="Times Ext Roman"/>
          <w:i/>
          <w:iCs/>
          <w:sz w:val="18"/>
          <w:szCs w:val="18"/>
          <w:lang w:val="en-GB" w:eastAsia="hi-IN" w:bidi="en-GB"/>
        </w:rPr>
        <w:t>ṃ</w:t>
      </w:r>
      <w:r>
        <w:rPr>
          <w:rFonts w:ascii="Sabon Unicode" w:eastAsia="MS Mincho;ＭＳ 明朝" w:hAnsi="Sabon Unicode" w:cs="Times Ext Roman"/>
          <w:i/>
          <w:iCs/>
          <w:sz w:val="18"/>
          <w:szCs w:val="18"/>
          <w:lang w:val="en-GB" w:eastAsia="hi-IN" w:bidi="en-GB"/>
        </w:rPr>
        <w:t xml:space="preserve"> </w:t>
      </w:r>
      <w:r>
        <w:rPr>
          <w:rFonts w:ascii="Sabon Unicode" w:eastAsia="MS Mincho;ＭＳ 明朝" w:hAnsi="Sabon Unicode" w:cs="Times Ext Roman"/>
          <w:sz w:val="18"/>
          <w:szCs w:val="18"/>
          <w:lang w:val="en-GB" w:eastAsia="hi-IN" w:bidi="en-GB"/>
        </w:rPr>
        <w:t xml:space="preserve">[…] </w:t>
      </w:r>
      <w:r>
        <w:rPr>
          <w:rFonts w:ascii="Sabon Unicode" w:eastAsia="MS Mincho;ＭＳ 明朝" w:hAnsi="Sabon Unicode" w:cs="Times Ext Roman"/>
          <w:i/>
          <w:iCs/>
          <w:sz w:val="18"/>
          <w:szCs w:val="18"/>
          <w:lang w:val="en-GB" w:eastAsia="hi-IN" w:bidi="en-GB"/>
        </w:rPr>
        <w:t>abhí</w:t>
      </w:r>
      <w:r>
        <w:rPr>
          <w:rFonts w:ascii="Sabon Unicode" w:eastAsia="MS Mincho;ＭＳ 明朝" w:hAnsi="Sabon Unicode" w:cs="Times Ext Roman"/>
          <w:i/>
          <w:iCs/>
          <w:sz w:val="18"/>
          <w:szCs w:val="18"/>
          <w:lang w:val="en-GB" w:eastAsia="hi-IN" w:bidi="en-GB"/>
        </w:rPr>
        <w:t>ṣṭ</w:t>
      </w:r>
      <w:r>
        <w:rPr>
          <w:rFonts w:ascii="Sabon Unicode" w:eastAsia="MS Mincho;ＭＳ 明朝" w:hAnsi="Sabon Unicode" w:cs="Times Ext Roman"/>
          <w:i/>
          <w:iCs/>
          <w:sz w:val="18"/>
          <w:szCs w:val="18"/>
          <w:lang w:val="en-GB" w:eastAsia="hi-IN" w:bidi="en-GB"/>
        </w:rPr>
        <w:t>ibhi</w:t>
      </w:r>
      <w:r>
        <w:rPr>
          <w:rFonts w:ascii="Sabon Unicode" w:eastAsia="MS Mincho;ＭＳ 明朝" w:hAnsi="Sabon Unicode" w:cs="Times Ext Roman"/>
          <w:i/>
          <w:iCs/>
          <w:sz w:val="18"/>
          <w:szCs w:val="18"/>
          <w:lang w:val="en-GB" w:eastAsia="hi-IN" w:bidi="en-GB"/>
        </w:rPr>
        <w:t>ḥ</w:t>
      </w:r>
      <w:r>
        <w:rPr>
          <w:rFonts w:ascii="Sabon Unicode" w:eastAsia="MS Mincho;ＭＳ 明朝" w:hAnsi="Sabon Unicode" w:cs="Times Ext Roman"/>
          <w:i/>
          <w:iCs/>
          <w:sz w:val="18"/>
          <w:szCs w:val="18"/>
          <w:lang w:val="en-GB" w:eastAsia="hi-IN" w:bidi="en-GB"/>
        </w:rPr>
        <w:t xml:space="preserve"> </w:t>
      </w:r>
      <w:r>
        <w:rPr>
          <w:rFonts w:ascii="Sabon Unicode" w:eastAsia="MS Mincho;ＭＳ 明朝" w:hAnsi="Sabon Unicode" w:cs="Times Ext Roman"/>
          <w:sz w:val="18"/>
          <w:szCs w:val="18"/>
          <w:lang w:val="en-GB" w:eastAsia="hi-IN" w:bidi="en-GB"/>
        </w:rPr>
        <w:t>= R̥V 8.19.20</w:t>
      </w:r>
    </w:p>
  </w:footnote>
  <w:footnote w:id="184">
    <w:p w14:paraId="23123A5C"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Pr>
          <w:rFonts w:ascii="Sabon Unicode" w:eastAsia="MS Mincho;ＭＳ 明朝" w:hAnsi="Sabon Unicode" w:cs="Times Ext Roman"/>
          <w:i/>
          <w:iCs/>
          <w:sz w:val="18"/>
          <w:szCs w:val="18"/>
          <w:lang w:val="en-GB" w:eastAsia="hi-IN" w:bidi="en-GB"/>
        </w:rPr>
        <w:tab/>
        <w:t xml:space="preserve"> mánas- </w:t>
      </w:r>
      <w:r>
        <w:rPr>
          <w:rFonts w:ascii="Sabon Unicode" w:eastAsia="MS Mincho;ＭＳ 明朝" w:hAnsi="Sabon Unicode" w:cs="Times Ext Roman"/>
          <w:sz w:val="18"/>
          <w:szCs w:val="18"/>
          <w:lang w:val="en-GB" w:eastAsia="hi-IN" w:bidi="en-GB"/>
        </w:rPr>
        <w:t>is the inspired mind, the inner impulse, the mental tension toward somethi</w:t>
      </w:r>
      <w:r>
        <w:rPr>
          <w:rFonts w:ascii="Sabon Unicode" w:eastAsia="MS Mincho;ＭＳ 明朝" w:hAnsi="Sabon Unicode" w:cs="Times Ext Roman"/>
          <w:color w:val="000000"/>
          <w:sz w:val="18"/>
          <w:szCs w:val="18"/>
          <w:lang w:val="en-GB" w:eastAsia="hi-IN" w:bidi="en-GB"/>
        </w:rPr>
        <w:t xml:space="preserve">ng, see </w:t>
      </w:r>
      <w:r>
        <w:rPr>
          <w:rStyle w:val="biblio-authorGEN"/>
          <w:rFonts w:ascii="Sabon Unicode" w:eastAsia="MS Mincho;ＭＳ 明朝" w:hAnsi="Sabon Unicode" w:cs="Times Ext Roman"/>
          <w:color w:val="000000"/>
          <w:sz w:val="18"/>
          <w:szCs w:val="15"/>
          <w:lang w:val="en-GB" w:eastAsia="hi-IN" w:bidi="en-GB"/>
        </w:rPr>
        <w:t>Thieme</w:t>
      </w:r>
      <w:r>
        <w:rPr>
          <w:rFonts w:ascii="Sabon Unicode" w:eastAsia="MS Mincho;ＭＳ 明朝" w:hAnsi="Sabon Unicode" w:cs="Times Ext Roman"/>
          <w:smallCaps/>
          <w:color w:val="000000"/>
          <w:sz w:val="18"/>
          <w:szCs w:val="18"/>
          <w:lang w:val="en-GB" w:eastAsia="hi-IN" w:bidi="en-GB"/>
        </w:rPr>
        <w:t xml:space="preserve"> </w:t>
      </w:r>
      <w:r w:rsidRPr="0071345C">
        <w:rPr>
          <w:lang w:val="en-US"/>
        </w:rPr>
        <w:t xml:space="preserve">1967: 99-106, </w:t>
      </w:r>
      <w:r w:rsidRPr="0071345C">
        <w:rPr>
          <w:rStyle w:val="biblio-authorGEN"/>
          <w:sz w:val="18"/>
          <w:szCs w:val="15"/>
          <w:lang w:val="en-US"/>
        </w:rPr>
        <w:t xml:space="preserve">Gonda </w:t>
      </w:r>
      <w:r w:rsidRPr="0071345C">
        <w:rPr>
          <w:lang w:val="en-US"/>
        </w:rPr>
        <w:t xml:space="preserve">1963, </w:t>
      </w:r>
      <w:r w:rsidRPr="0071345C">
        <w:rPr>
          <w:rStyle w:val="biblio-authorGEN"/>
          <w:sz w:val="18"/>
          <w:szCs w:val="15"/>
          <w:lang w:val="en-US"/>
        </w:rPr>
        <w:t xml:space="preserve">Maggi </w:t>
      </w:r>
      <w:r w:rsidRPr="0071345C">
        <w:rPr>
          <w:lang w:val="en-US"/>
        </w:rPr>
        <w:t>1989: 63-114.</w:t>
      </w:r>
    </w:p>
  </w:footnote>
  <w:footnote w:id="185">
    <w:p w14:paraId="0D55A082"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Pr>
          <w:rFonts w:ascii="Sabon Unicode" w:eastAsia="MS Mincho;ＭＳ 明朝" w:hAnsi="Sabon Unicode" w:cs="Times Ext Roman"/>
          <w:i/>
          <w:iCs/>
          <w:sz w:val="18"/>
          <w:szCs w:val="18"/>
          <w:lang w:val="en-GB" w:eastAsia="hi-IN" w:bidi="en-GB"/>
        </w:rPr>
        <w:tab/>
        <w:t xml:space="preserve"> sthirā́ bhū́ri śárdhatām </w:t>
      </w:r>
      <w:r>
        <w:rPr>
          <w:rFonts w:ascii="Sabon Unicode" w:eastAsia="MS Mincho;ＭＳ 明朝" w:hAnsi="Sabon Unicode" w:cs="Times Ext Roman"/>
          <w:sz w:val="18"/>
          <w:szCs w:val="18"/>
          <w:lang w:val="en-GB" w:eastAsia="hi-IN" w:bidi="en-GB"/>
        </w:rPr>
        <w:t xml:space="preserve">is referred both to </w:t>
      </w:r>
      <w:r>
        <w:rPr>
          <w:rFonts w:ascii="Sabon Unicode" w:eastAsia="MS Mincho;ＭＳ 明朝" w:hAnsi="Sabon Unicode" w:cs="Times Ext Roman"/>
          <w:i/>
          <w:iCs/>
          <w:sz w:val="18"/>
          <w:szCs w:val="18"/>
          <w:lang w:val="en-GB" w:eastAsia="hi-IN" w:bidi="en-GB"/>
        </w:rPr>
        <w:t xml:space="preserve">tanuhi </w:t>
      </w:r>
      <w:r>
        <w:rPr>
          <w:rFonts w:ascii="Sabon Unicode" w:eastAsia="MS Mincho;ＭＳ 明朝" w:hAnsi="Sabon Unicode" w:cs="Times Ext Roman"/>
          <w:sz w:val="18"/>
          <w:szCs w:val="18"/>
          <w:lang w:val="en-GB" w:eastAsia="hi-IN" w:bidi="en-GB"/>
        </w:rPr>
        <w:t xml:space="preserve">and to </w:t>
      </w:r>
      <w:r>
        <w:rPr>
          <w:rFonts w:ascii="Sabon Unicode" w:eastAsia="MS Mincho;ＭＳ 明朝" w:hAnsi="Sabon Unicode" w:cs="Times Ext Roman"/>
          <w:i/>
          <w:iCs/>
          <w:sz w:val="18"/>
          <w:szCs w:val="18"/>
          <w:lang w:val="en-GB" w:eastAsia="hi-IN" w:bidi="en-GB"/>
        </w:rPr>
        <w:t xml:space="preserve">vanémā, </w:t>
      </w:r>
      <w:r>
        <w:rPr>
          <w:rFonts w:ascii="Sabon Unicode" w:eastAsia="MS Mincho;ＭＳ 明朝" w:hAnsi="Sabon Unicode" w:cs="Times Ext Roman"/>
          <w:sz w:val="18"/>
          <w:szCs w:val="18"/>
          <w:lang w:val="en-GB" w:eastAsia="hi-IN" w:bidi="en-GB"/>
        </w:rPr>
        <w:t xml:space="preserve"> that is to the action of Agni and to that of men. The first one displays his power on the macro-cosmic level, while the humans operate on the micro-cosmic level, nonetheless they both perform the same action: “to </w:t>
      </w:r>
      <w:r>
        <w:rPr>
          <w:rFonts w:ascii="Sabon Unicode" w:eastAsia="MS Mincho;ＭＳ 明朝" w:hAnsi="Sabon Unicode" w:cs="Times Ext Roman"/>
          <w:sz w:val="18"/>
          <w:szCs w:val="18"/>
          <w:lang w:val="en-GB" w:eastAsia="hi-IN" w:bidi="en-GB"/>
        </w:rPr>
        <w:t xml:space="preserve">slacken the numerous resistances of the bolds”. This connection between these two levels is one the main effort of the Vedic culture and represent the grid through which the world can be interpreted. Geldner and Renou refer the syntagma only to </w:t>
      </w:r>
      <w:r>
        <w:rPr>
          <w:rFonts w:ascii="Sabon Unicode" w:eastAsia="MS Mincho;ＭＳ 明朝" w:hAnsi="Sabon Unicode" w:cs="Times Ext Roman"/>
          <w:i/>
          <w:iCs/>
          <w:sz w:val="18"/>
          <w:szCs w:val="18"/>
          <w:lang w:val="en-GB" w:eastAsia="hi-IN" w:bidi="en-GB"/>
        </w:rPr>
        <w:t xml:space="preserve">tanuhi </w:t>
      </w:r>
      <w:r>
        <w:rPr>
          <w:rFonts w:ascii="Sabon Unicode" w:eastAsia="MS Mincho;ＭＳ 明朝" w:hAnsi="Sabon Unicode" w:cs="Times Ext Roman"/>
          <w:sz w:val="18"/>
          <w:szCs w:val="18"/>
          <w:lang w:val="en-GB" w:eastAsia="hi-IN" w:bidi="en-GB"/>
        </w:rPr>
        <w:t xml:space="preserve">and </w:t>
      </w:r>
      <w:r>
        <w:rPr>
          <w:rFonts w:ascii="Sabon Unicode" w:eastAsia="MS Mincho;ＭＳ 明朝" w:hAnsi="Sabon Unicode" w:cs="Times Ext Roman"/>
          <w:sz w:val="18"/>
          <w:szCs w:val="18"/>
          <w:lang w:val="en-GB" w:eastAsia="hi-IN" w:bidi="en-GB"/>
        </w:rPr>
        <w:t xml:space="preserve">translate </w:t>
      </w:r>
      <w:r>
        <w:rPr>
          <w:rFonts w:ascii="Sabon Unicode" w:eastAsia="MS Mincho;ＭＳ 明朝" w:hAnsi="Sabon Unicode" w:cs="Times Ext Roman"/>
          <w:i/>
          <w:iCs/>
          <w:sz w:val="18"/>
          <w:szCs w:val="18"/>
          <w:lang w:val="en-GB" w:eastAsia="hi-IN" w:bidi="en-GB"/>
        </w:rPr>
        <w:t xml:space="preserve">vanémā </w:t>
      </w:r>
      <w:r>
        <w:rPr>
          <w:rFonts w:ascii="Sabon Unicode" w:eastAsia="MS Mincho;ＭＳ 明朝" w:hAnsi="Sabon Unicode" w:cs="Times Ext Roman"/>
          <w:sz w:val="18"/>
          <w:szCs w:val="18"/>
          <w:lang w:val="en-GB" w:eastAsia="hi-IN" w:bidi="en-GB"/>
        </w:rPr>
        <w:t xml:space="preserve">as used in the absolute sense. </w:t>
      </w:r>
      <w:r>
        <w:rPr>
          <w:rStyle w:val="biblio-authorGEN"/>
          <w:rFonts w:ascii="Sabon Unicode" w:eastAsia="MS Mincho;ＭＳ 明朝" w:hAnsi="Sabon Unicode" w:cs="Times Ext Roman"/>
          <w:sz w:val="18"/>
          <w:szCs w:val="15"/>
          <w:lang w:val="en-GB" w:eastAsia="hi-IN" w:bidi="en-GB"/>
        </w:rPr>
        <w:t>Renou:</w:t>
      </w:r>
      <w:r>
        <w:rPr>
          <w:rFonts w:ascii="Sabon Unicode" w:eastAsia="MS Mincho;ＭＳ 明朝" w:hAnsi="Sabon Unicode" w:cs="Times Ext Roman"/>
          <w:sz w:val="18"/>
          <w:szCs w:val="18"/>
          <w:lang w:val="en-GB" w:eastAsia="hi-IN" w:bidi="en-GB"/>
        </w:rPr>
        <w:t xml:space="preserve"> XIII 149 “</w:t>
      </w:r>
      <w:r>
        <w:rPr>
          <w:rFonts w:ascii="Sabon Unicode" w:eastAsia="MS Mincho;ＭＳ 明朝" w:hAnsi="Sabon Unicode" w:cs="Times Ext Roman"/>
          <w:i/>
          <w:iCs/>
          <w:sz w:val="18"/>
          <w:szCs w:val="18"/>
          <w:lang w:val="en-GB" w:eastAsia="hi-IN" w:bidi="en-GB"/>
        </w:rPr>
        <w:t>sthirā́ tanuhi scil</w:t>
      </w:r>
      <w:r>
        <w:rPr>
          <w:rFonts w:ascii="Sabon Unicode" w:eastAsia="MS Mincho;ＭＳ 明朝" w:hAnsi="Sabon Unicode" w:cs="Times Ext Roman"/>
          <w:sz w:val="18"/>
          <w:szCs w:val="18"/>
          <w:lang w:val="en-GB" w:eastAsia="hi-IN" w:bidi="en-GB"/>
        </w:rPr>
        <w:t xml:space="preserve">. </w:t>
      </w:r>
      <w:r>
        <w:rPr>
          <w:rFonts w:ascii="Sabon Unicode" w:eastAsia="MS Mincho;ＭＳ 明朝" w:hAnsi="Sabon Unicode" w:cs="Times Ext Roman"/>
          <w:i/>
          <w:iCs/>
          <w:sz w:val="18"/>
          <w:szCs w:val="18"/>
          <w:lang w:val="en-GB" w:eastAsia="hi-IN" w:bidi="en-GB"/>
        </w:rPr>
        <w:t>dhánvāni</w:t>
      </w:r>
      <w:r>
        <w:rPr>
          <w:rFonts w:ascii="Sabon Unicode" w:eastAsia="MS Mincho;ＭＳ 明朝" w:hAnsi="Sabon Unicode" w:cs="Times Ext Roman"/>
          <w:sz w:val="18"/>
          <w:szCs w:val="18"/>
          <w:lang w:val="en-GB" w:eastAsia="hi-IN" w:bidi="en-GB"/>
        </w:rPr>
        <w:t>”  and translates “Détends les (arcs) tendus”.</w:t>
      </w:r>
    </w:p>
  </w:footnote>
  <w:footnote w:id="186">
    <w:p w14:paraId="28FB60D6"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Pr>
          <w:rFonts w:ascii="Sabon Unicode" w:eastAsia="MS Mincho;ＭＳ 明朝" w:hAnsi="Sabon Unicode" w:cs="Times Ext Roman"/>
          <w:i/>
          <w:iCs/>
          <w:sz w:val="18"/>
          <w:szCs w:val="18"/>
          <w:lang w:val="en-GB" w:eastAsia="hi-IN" w:bidi="en-GB"/>
        </w:rPr>
        <w:tab/>
        <w:t xml:space="preserve"> abhí</w:t>
      </w:r>
      <w:r>
        <w:rPr>
          <w:rFonts w:ascii="Sabon Unicode" w:eastAsia="MS Mincho;ＭＳ 明朝" w:hAnsi="Sabon Unicode" w:cs="Times Ext Roman"/>
          <w:i/>
          <w:iCs/>
          <w:sz w:val="18"/>
          <w:szCs w:val="18"/>
          <w:lang w:val="en-GB" w:eastAsia="hi-IN" w:bidi="en-GB"/>
        </w:rPr>
        <w:t>ṣṭ</w:t>
      </w:r>
      <w:r>
        <w:rPr>
          <w:rFonts w:ascii="Sabon Unicode" w:eastAsia="MS Mincho;ＭＳ 明朝" w:hAnsi="Sabon Unicode" w:cs="Times Ext Roman"/>
          <w:i/>
          <w:iCs/>
          <w:sz w:val="18"/>
          <w:szCs w:val="18"/>
          <w:lang w:val="en-GB" w:eastAsia="hi-IN" w:bidi="en-GB"/>
        </w:rPr>
        <w:t>ibhi</w:t>
      </w:r>
      <w:r>
        <w:rPr>
          <w:rFonts w:ascii="Sabon Unicode" w:eastAsia="MS Mincho;ＭＳ 明朝" w:hAnsi="Sabon Unicode" w:cs="Times Ext Roman"/>
          <w:i/>
          <w:iCs/>
          <w:sz w:val="18"/>
          <w:szCs w:val="18"/>
          <w:lang w:val="en-GB" w:eastAsia="hi-IN" w:bidi="en-GB"/>
        </w:rPr>
        <w:t>ḥ</w:t>
      </w:r>
      <w:r>
        <w:rPr>
          <w:rFonts w:ascii="Sabon Unicode" w:eastAsia="MS Mincho;ＭＳ 明朝" w:hAnsi="Sabon Unicode" w:cs="Times Ext Roman"/>
          <w:i/>
          <w:iCs/>
          <w:sz w:val="18"/>
          <w:szCs w:val="18"/>
          <w:lang w:val="en-GB" w:eastAsia="hi-IN" w:bidi="en-GB"/>
        </w:rPr>
        <w:t xml:space="preserve">, </w:t>
      </w:r>
      <w:r>
        <w:rPr>
          <w:rFonts w:ascii="Sabon Unicode" w:eastAsia="MS Mincho;ＭＳ 明朝" w:hAnsi="Sabon Unicode" w:cs="Times Ext Roman"/>
          <w:sz w:val="18"/>
          <w:szCs w:val="18"/>
          <w:lang w:val="en-GB" w:eastAsia="hi-IN" w:bidi="en-GB"/>
        </w:rPr>
        <w:t xml:space="preserve">(instr. f. pl.) from </w:t>
      </w:r>
      <w:r>
        <w:rPr>
          <w:rFonts w:ascii="Sabon Unicode" w:eastAsia="MS Mincho;ＭＳ 明朝" w:hAnsi="Sabon Unicode" w:cs="Times Ext Roman"/>
          <w:i/>
          <w:iCs/>
          <w:sz w:val="18"/>
          <w:szCs w:val="18"/>
          <w:lang w:val="en-GB" w:eastAsia="hi-IN" w:bidi="en-GB"/>
        </w:rPr>
        <w:t>abhí</w:t>
      </w:r>
      <w:r>
        <w:rPr>
          <w:rFonts w:ascii="Sabon Unicode" w:eastAsia="MS Mincho;ＭＳ 明朝" w:hAnsi="Sabon Unicode" w:cs="Times Ext Roman"/>
          <w:i/>
          <w:iCs/>
          <w:sz w:val="18"/>
          <w:szCs w:val="18"/>
          <w:lang w:val="en-GB" w:eastAsia="hi-IN" w:bidi="en-GB"/>
        </w:rPr>
        <w:t>ṣṭ</w:t>
      </w:r>
      <w:r>
        <w:rPr>
          <w:rFonts w:ascii="Sabon Unicode" w:eastAsia="MS Mincho;ＭＳ 明朝" w:hAnsi="Sabon Unicode" w:cs="Times Ext Roman"/>
          <w:i/>
          <w:iCs/>
          <w:sz w:val="18"/>
          <w:szCs w:val="18"/>
          <w:lang w:val="en-GB" w:eastAsia="hi-IN" w:bidi="en-GB"/>
        </w:rPr>
        <w:t xml:space="preserve">i- </w:t>
      </w:r>
      <w:r>
        <w:rPr>
          <w:rFonts w:ascii="Sabon Unicode" w:eastAsia="MS Mincho;ＭＳ 明朝" w:hAnsi="Sabon Unicode" w:cs="Times Ext Roman"/>
          <w:sz w:val="18"/>
          <w:szCs w:val="18"/>
          <w:lang w:val="en-GB" w:eastAsia="hi-IN" w:bidi="en-GB"/>
        </w:rPr>
        <w:t xml:space="preserve">“protection”, is employed here with a distributive </w:t>
      </w:r>
      <w:r>
        <w:rPr>
          <w:rFonts w:ascii="Sabon Unicode" w:eastAsia="MS Mincho;ＭＳ 明朝" w:hAnsi="Sabon Unicode" w:cs="Times Ext Roman"/>
          <w:sz w:val="18"/>
          <w:szCs w:val="18"/>
          <w:lang w:val="en-GB" w:eastAsia="hi-IN" w:bidi="en-GB"/>
        </w:rPr>
        <w:t>connotation: “your protection in any battle”.</w:t>
      </w:r>
    </w:p>
  </w:footnote>
  <w:footnote w:id="187">
    <w:p w14:paraId="4EBEC1C4"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i/>
          <w:iCs/>
          <w:lang w:val="en-US"/>
        </w:rPr>
        <w:t>ni yā-</w:t>
      </w:r>
      <w:r w:rsidRPr="0071345C">
        <w:rPr>
          <w:lang w:val="en-US"/>
        </w:rPr>
        <w:t xml:space="preserve"> </w:t>
      </w:r>
      <w:r w:rsidRPr="0071345C">
        <w:rPr>
          <w:lang w:val="en-US"/>
        </w:rPr>
        <w:t>“to attack, assail, pass over”, like a carriage.</w:t>
      </w:r>
    </w:p>
  </w:footnote>
  <w:footnote w:id="188">
    <w:p w14:paraId="071C55BF"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pū́rve</w:t>
      </w:r>
      <w:r w:rsidRPr="0071345C">
        <w:rPr>
          <w:lang w:val="en-US"/>
        </w:rPr>
        <w:t xml:space="preserve">: nom. masc. pl. referring to </w:t>
      </w:r>
      <w:r w:rsidRPr="0071345C">
        <w:rPr>
          <w:i/>
          <w:iCs/>
          <w:lang w:val="en-US"/>
        </w:rPr>
        <w:t>pitára</w:t>
      </w:r>
      <w:r w:rsidRPr="0071345C">
        <w:rPr>
          <w:i/>
          <w:iCs/>
          <w:lang w:val="en-US"/>
        </w:rPr>
        <w:t>ḥ</w:t>
      </w:r>
      <w:r w:rsidRPr="0071345C">
        <w:rPr>
          <w:lang w:val="en-US"/>
        </w:rPr>
        <w:t xml:space="preserve">, functions here as an apposition with adverbial meaning or maybe better as </w:t>
      </w:r>
      <w:r w:rsidRPr="0071345C">
        <w:rPr>
          <w:i/>
          <w:iCs/>
          <w:lang w:val="en-US"/>
        </w:rPr>
        <w:t xml:space="preserve">rhema. </w:t>
      </w:r>
      <w:r w:rsidRPr="0071345C">
        <w:rPr>
          <w:lang w:val="en-US"/>
        </w:rPr>
        <w:t>For this kind of usage</w:t>
      </w:r>
      <w:r w:rsidRPr="0071345C">
        <w:rPr>
          <w:lang w:val="en-US"/>
        </w:rPr>
        <w:t xml:space="preserve"> of nominative, see, among others, </w:t>
      </w:r>
      <w:r w:rsidRPr="0071345C">
        <w:rPr>
          <w:rStyle w:val="biblio-authorGEN"/>
          <w:sz w:val="18"/>
          <w:szCs w:val="15"/>
          <w:lang w:val="en-US"/>
        </w:rPr>
        <w:t>Elizarenkov</w:t>
      </w:r>
      <w:r w:rsidRPr="0071345C">
        <w:rPr>
          <w:rStyle w:val="biblio-authorGEN"/>
          <w:sz w:val="18"/>
          <w:szCs w:val="15"/>
          <w:lang w:val="en-US"/>
        </w:rPr>
        <w:t>a</w:t>
      </w:r>
      <w:r w:rsidRPr="0071345C">
        <w:rPr>
          <w:lang w:val="en-US"/>
        </w:rPr>
        <w:t xml:space="preserve"> 1995</w:t>
      </w:r>
      <w:r w:rsidRPr="0071345C">
        <w:rPr>
          <w:vertAlign w:val="superscript"/>
          <w:lang w:val="en-US"/>
        </w:rPr>
        <w:t>a</w:t>
      </w:r>
      <w:r w:rsidRPr="0071345C">
        <w:rPr>
          <w:lang w:val="en-US"/>
        </w:rPr>
        <w:t>: 202-206</w:t>
      </w:r>
      <w:r w:rsidRPr="0071345C">
        <w:rPr>
          <w:rFonts w:cs="Devanagari MT;Times New Roman"/>
          <w:lang w:val="en-US"/>
        </w:rPr>
        <w:t>.</w:t>
      </w:r>
    </w:p>
  </w:footnote>
  <w:footnote w:id="189">
    <w:p w14:paraId="6512362F"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paridhī́n </w:t>
      </w:r>
      <w:r w:rsidRPr="0071345C">
        <w:rPr>
          <w:lang w:val="en-US"/>
        </w:rPr>
        <w:t xml:space="preserve">(acc. m. pl.): </w:t>
      </w:r>
      <w:r w:rsidRPr="0071345C">
        <w:rPr>
          <w:lang w:val="en-US"/>
        </w:rPr>
        <w:t xml:space="preserve">a circular channel was made by digging around the fire, and three boughs were used to mark it. These three boughs are called </w:t>
      </w:r>
      <w:r w:rsidRPr="0071345C">
        <w:rPr>
          <w:i/>
          <w:iCs/>
          <w:lang w:val="en-US"/>
        </w:rPr>
        <w:t xml:space="preserve">paridhí-, </w:t>
      </w:r>
      <w:r w:rsidRPr="0071345C">
        <w:rPr>
          <w:lang w:val="en-US"/>
        </w:rPr>
        <w:t>which indicates also the encl</w:t>
      </w:r>
      <w:r w:rsidRPr="0071345C">
        <w:rPr>
          <w:lang w:val="en-US"/>
        </w:rPr>
        <w:t>osure around the cairns, cf. the funeral hymns 10.14-18.</w:t>
      </w:r>
    </w:p>
  </w:footnote>
  <w:footnote w:id="190">
    <w:p w14:paraId="06B592F4"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Pr>
          <w:rFonts w:ascii="Sabon Unicode" w:hAnsi="Sabon Unicode"/>
        </w:rPr>
        <w:tab/>
        <w:t xml:space="preserve"> </w:t>
      </w:r>
      <w:r>
        <w:rPr>
          <w:rFonts w:ascii="Sabon Unicode" w:hAnsi="Sabon Unicode"/>
          <w:i/>
          <w:iCs/>
        </w:rPr>
        <w:t>vājin</w:t>
      </w:r>
      <w:r>
        <w:rPr>
          <w:rFonts w:ascii="Sabon Unicode" w:hAnsi="Sabon Unicode"/>
        </w:rPr>
        <w:t xml:space="preserve">-, </w:t>
      </w:r>
      <w:r>
        <w:rPr>
          <w:rFonts w:ascii="Sabon Unicode" w:hAnsi="Sabon Unicode"/>
        </w:rPr>
        <w:t xml:space="preserve">Geldner “siegesgewohnte”; O’Flaherty “racehorse”. </w:t>
      </w:r>
      <w:r w:rsidRPr="0071345C">
        <w:rPr>
          <w:rFonts w:ascii="Sabon Unicode" w:hAnsi="Sabon Unicode"/>
          <w:lang w:val="en-US"/>
        </w:rPr>
        <w:t>This term conveys the swift of the animal and its power. Is the steed that wins the prize of the race.</w:t>
      </w:r>
    </w:p>
  </w:footnote>
  <w:footnote w:id="191">
    <w:p w14:paraId="7ED34100"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lang w:val="en-US"/>
        </w:rPr>
        <w:t>The sin, the contamination, dwells within the action that is going to be performed: the slaughtering of the horse; the ritual effort of taking any possible sin away plays an important role within the whole sacrifice. In order to avoid the contamination inv</w:t>
      </w:r>
      <w:r w:rsidRPr="0071345C">
        <w:rPr>
          <w:lang w:val="en-US"/>
        </w:rPr>
        <w:t xml:space="preserve">olved in the slaughtering act, it is often said that the victim agrees with what is happening (cf. the expression </w:t>
      </w:r>
      <w:r w:rsidRPr="0071345C">
        <w:rPr>
          <w:i/>
          <w:iCs/>
          <w:lang w:val="en-US"/>
        </w:rPr>
        <w:t>sa</w:t>
      </w:r>
      <w:r w:rsidRPr="0071345C">
        <w:rPr>
          <w:i/>
          <w:iCs/>
          <w:lang w:val="en-US"/>
        </w:rPr>
        <w:t>ṃ</w:t>
      </w:r>
      <w:r w:rsidRPr="0071345C">
        <w:rPr>
          <w:i/>
          <w:iCs/>
          <w:lang w:val="en-US"/>
        </w:rPr>
        <w:t>jãpta</w:t>
      </w:r>
      <w:r w:rsidRPr="0071345C">
        <w:rPr>
          <w:i/>
          <w:iCs/>
          <w:lang w:val="en-US"/>
        </w:rPr>
        <w:t>ḥ</w:t>
      </w:r>
      <w:r w:rsidRPr="0071345C">
        <w:rPr>
          <w:i/>
          <w:iCs/>
          <w:lang w:val="en-US"/>
        </w:rPr>
        <w:t xml:space="preserve"> paśu</w:t>
      </w:r>
      <w:r w:rsidRPr="0071345C">
        <w:rPr>
          <w:i/>
          <w:iCs/>
          <w:lang w:val="en-US"/>
        </w:rPr>
        <w:t>ḥ</w:t>
      </w:r>
      <w:r w:rsidRPr="0071345C">
        <w:rPr>
          <w:lang w:val="en-US"/>
        </w:rPr>
        <w:t xml:space="preserve">, and also the Greek term </w:t>
      </w:r>
      <w:r>
        <w:rPr>
          <w:rFonts w:ascii="GFS Porson" w:hAnsi="GFS Porson" w:cs="Porson"/>
          <w:i/>
          <w:iCs/>
        </w:rPr>
        <w:t>ἂ</w:t>
      </w:r>
      <w:r>
        <w:rPr>
          <w:rFonts w:ascii="GFS Porson" w:hAnsi="GFS Porson" w:cs="Porson"/>
          <w:i/>
          <w:iCs/>
        </w:rPr>
        <w:t>γος</w:t>
      </w:r>
      <w:r w:rsidRPr="0071345C">
        <w:rPr>
          <w:rFonts w:ascii="Porson" w:hAnsi="Porson" w:cs="Porson"/>
          <w:lang w:val="en-US"/>
        </w:rPr>
        <w:t xml:space="preserve"> </w:t>
      </w:r>
      <w:r w:rsidRPr="0071345C">
        <w:rPr>
          <w:lang w:val="en-US"/>
        </w:rPr>
        <w:t>EWAia: I 159) and the actions during the cutting asunder seem to have a peculiar goal: to give n</w:t>
      </w:r>
      <w:r w:rsidRPr="0071345C">
        <w:rPr>
          <w:lang w:val="en-US"/>
        </w:rPr>
        <w:t xml:space="preserve">ew life to the animal. As for this aspect in the rituals of ancient India see </w:t>
      </w:r>
      <w:r w:rsidRPr="0071345C">
        <w:rPr>
          <w:rStyle w:val="biblio-authorGEN"/>
          <w:sz w:val="18"/>
          <w:szCs w:val="15"/>
          <w:lang w:val="en-US"/>
        </w:rPr>
        <w:t>Malamoud</w:t>
      </w:r>
      <w:r w:rsidRPr="0071345C">
        <w:rPr>
          <w:lang w:val="en-US"/>
        </w:rPr>
        <w:t xml:space="preserve"> </w:t>
      </w:r>
      <w:r w:rsidRPr="0071345C">
        <w:rPr>
          <w:lang w:val="en-US"/>
        </w:rPr>
        <w:t>1994</w:t>
      </w:r>
      <w:r w:rsidRPr="0071345C">
        <w:rPr>
          <w:lang w:val="en-US"/>
        </w:rPr>
        <w:t xml:space="preserve"> and </w:t>
      </w:r>
      <w:r w:rsidRPr="0071345C">
        <w:rPr>
          <w:rStyle w:val="biblio-authorGEN"/>
          <w:sz w:val="18"/>
          <w:szCs w:val="15"/>
          <w:lang w:val="en-US"/>
        </w:rPr>
        <w:t>Gonda</w:t>
      </w:r>
      <w:r w:rsidRPr="0071345C">
        <w:rPr>
          <w:lang w:val="en-US"/>
        </w:rPr>
        <w:t xml:space="preserve"> 1960.</w:t>
      </w:r>
    </w:p>
  </w:footnote>
  <w:footnote w:id="192">
    <w:p w14:paraId="09719D35"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The blessings are the two deities mentioned in the verses before (TS 1.6.4.2n): Indra and Agni. Cf. TS 1.7.4.3, where is said that the sacrificer</w:t>
      </w:r>
      <w:r w:rsidRPr="0071345C">
        <w:rPr>
          <w:lang w:val="en-US"/>
        </w:rPr>
        <w:t xml:space="preserve"> indeed milks the gods, which he prays, and the sacrifice on both sides.</w:t>
      </w:r>
    </w:p>
  </w:footnote>
  <w:footnote w:id="193">
    <w:p w14:paraId="66A8A5A3"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In the Darśapur</w:t>
      </w:r>
      <w:r w:rsidRPr="0071345C">
        <w:rPr>
          <w:lang w:val="en-US"/>
        </w:rPr>
        <w:t>ṇ</w:t>
      </w:r>
      <w:r w:rsidRPr="0071345C">
        <w:rPr>
          <w:lang w:val="en-US"/>
        </w:rPr>
        <w:t>amāse</w:t>
      </w:r>
      <w:r w:rsidRPr="0071345C">
        <w:rPr>
          <w:lang w:val="en-US"/>
        </w:rPr>
        <w:t>ṣṭ</w:t>
      </w:r>
      <w:r w:rsidRPr="0071345C">
        <w:rPr>
          <w:lang w:val="en-US"/>
        </w:rPr>
        <w:t xml:space="preserve">ī, the supplementary offerings, after the main one, are three: for </w:t>
      </w:r>
      <w:r w:rsidRPr="0071345C">
        <w:rPr>
          <w:i/>
          <w:iCs/>
          <w:lang w:val="en-US"/>
        </w:rPr>
        <w:t>barhis, narāśa</w:t>
      </w:r>
      <w:r w:rsidRPr="0071345C">
        <w:rPr>
          <w:i/>
          <w:iCs/>
          <w:lang w:val="en-US"/>
        </w:rPr>
        <w:t>ṃ</w:t>
      </w:r>
      <w:r w:rsidRPr="0071345C">
        <w:rPr>
          <w:i/>
          <w:iCs/>
          <w:lang w:val="en-US"/>
        </w:rPr>
        <w:t xml:space="preserve">sa </w:t>
      </w:r>
      <w:r w:rsidRPr="0071345C">
        <w:rPr>
          <w:lang w:val="en-US"/>
        </w:rPr>
        <w:t xml:space="preserve">and </w:t>
      </w:r>
      <w:r w:rsidRPr="0071345C">
        <w:rPr>
          <w:i/>
          <w:iCs/>
          <w:lang w:val="en-US"/>
        </w:rPr>
        <w:t>svi</w:t>
      </w:r>
      <w:r w:rsidRPr="0071345C">
        <w:rPr>
          <w:i/>
          <w:iCs/>
          <w:lang w:val="en-US"/>
        </w:rPr>
        <w:t>ṣṭ</w:t>
      </w:r>
      <w:r w:rsidRPr="0071345C">
        <w:rPr>
          <w:i/>
          <w:iCs/>
          <w:lang w:val="en-US"/>
        </w:rPr>
        <w:t>ak</w:t>
      </w:r>
      <w:r w:rsidRPr="0071345C">
        <w:rPr>
          <w:i/>
          <w:iCs/>
          <w:lang w:val="en-US"/>
        </w:rPr>
        <w:t>r̥</w:t>
      </w:r>
      <w:r w:rsidRPr="0071345C">
        <w:rPr>
          <w:i/>
          <w:iCs/>
          <w:lang w:val="en-US"/>
        </w:rPr>
        <w:t>t.</w:t>
      </w:r>
    </w:p>
  </w:footnote>
  <w:footnote w:id="194">
    <w:p w14:paraId="6EE73E92"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k</w:t>
      </w:r>
      <w:r w:rsidRPr="0071345C">
        <w:rPr>
          <w:i/>
          <w:iCs/>
          <w:lang w:val="en-US"/>
        </w:rPr>
        <w:t>ṣ</w:t>
      </w:r>
      <w:r w:rsidRPr="0071345C">
        <w:rPr>
          <w:i/>
          <w:iCs/>
          <w:lang w:val="en-US"/>
        </w:rPr>
        <w:t>atríyāya</w:t>
      </w:r>
      <w:r w:rsidRPr="0071345C">
        <w:rPr>
          <w:lang w:val="en-US"/>
        </w:rPr>
        <w:t xml:space="preserve"> “for him who is eligible for rule” cf. </w:t>
      </w:r>
      <w:r w:rsidRPr="0071345C">
        <w:rPr>
          <w:rStyle w:val="biblio-authorGEN"/>
          <w:sz w:val="18"/>
          <w:szCs w:val="15"/>
          <w:lang w:val="en-US"/>
        </w:rPr>
        <w:t>Pro</w:t>
      </w:r>
      <w:r w:rsidRPr="0071345C">
        <w:rPr>
          <w:rStyle w:val="biblio-authorGEN"/>
          <w:sz w:val="18"/>
          <w:szCs w:val="15"/>
          <w:lang w:val="en-US"/>
        </w:rPr>
        <w:t>feres</w:t>
      </w:r>
      <w:r w:rsidRPr="0071345C">
        <w:rPr>
          <w:lang w:val="en-US"/>
        </w:rPr>
        <w:t xml:space="preserve"> 2007: 97.</w:t>
      </w:r>
    </w:p>
  </w:footnote>
  <w:footnote w:id="195">
    <w:p w14:paraId="38585782"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About </w:t>
      </w:r>
      <w:r w:rsidRPr="0071345C">
        <w:rPr>
          <w:i/>
          <w:iCs/>
          <w:lang w:val="en-US"/>
        </w:rPr>
        <w:t>várcas-</w:t>
      </w:r>
      <w:r w:rsidRPr="0071345C">
        <w:rPr>
          <w:lang w:val="en-US"/>
        </w:rPr>
        <w:t xml:space="preserve"> “vital power, brilliance” EWAia: II 516 “Glanz”, see </w:t>
      </w:r>
      <w:r w:rsidRPr="0071345C">
        <w:rPr>
          <w:rStyle w:val="biblio-authorGEN"/>
          <w:sz w:val="18"/>
          <w:szCs w:val="18"/>
          <w:lang w:val="en-US"/>
        </w:rPr>
        <w:t>Proferes</w:t>
      </w:r>
      <w:r w:rsidRPr="0071345C">
        <w:rPr>
          <w:lang w:val="en-US"/>
        </w:rPr>
        <w:t xml:space="preserve"> 2007: 91 and 101-104; </w:t>
      </w:r>
      <w:r w:rsidRPr="0071345C">
        <w:rPr>
          <w:rStyle w:val="biblio-authorGEN"/>
          <w:sz w:val="18"/>
          <w:szCs w:val="15"/>
          <w:lang w:val="en-US"/>
        </w:rPr>
        <w:t>Gonda</w:t>
      </w:r>
      <w:r w:rsidRPr="0071345C">
        <w:rPr>
          <w:lang w:val="en-US"/>
        </w:rPr>
        <w:t xml:space="preserve"> 1992: VI/2 366-376.</w:t>
      </w:r>
    </w:p>
  </w:footnote>
  <w:footnote w:id="196">
    <w:p w14:paraId="3021E26E"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As to the meaning of</w:t>
      </w:r>
      <w:r w:rsidRPr="0071345C">
        <w:rPr>
          <w:i/>
          <w:iCs/>
          <w:lang w:val="en-US"/>
        </w:rPr>
        <w:t xml:space="preserve"> ū́rjasvat-, ū́rj- </w:t>
      </w:r>
      <w:r w:rsidRPr="0071345C">
        <w:rPr>
          <w:lang w:val="en-US"/>
        </w:rPr>
        <w:t xml:space="preserve">see Scharfe 1985: 545 and </w:t>
      </w:r>
      <w:r w:rsidRPr="0071345C">
        <w:rPr>
          <w:rStyle w:val="biblio-authorGEN"/>
          <w:sz w:val="18"/>
          <w:szCs w:val="15"/>
          <w:lang w:val="en-US"/>
        </w:rPr>
        <w:t>Proferes</w:t>
      </w:r>
      <w:r w:rsidRPr="0071345C">
        <w:rPr>
          <w:lang w:val="en-US"/>
        </w:rPr>
        <w:t xml:space="preserve"> 2007: 101.</w:t>
      </w:r>
    </w:p>
  </w:footnote>
  <w:footnote w:id="197">
    <w:p w14:paraId="1EF86563"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The </w:t>
      </w:r>
      <w:r>
        <w:rPr>
          <w:rFonts w:ascii="Sabon Unicode" w:hAnsi="Sabon Unicode" w:cs="Times Ext Roman"/>
          <w:sz w:val="18"/>
          <w:szCs w:val="18"/>
          <w:lang w:val="en-GB" w:eastAsia="hi-IN" w:bidi="en-GB"/>
        </w:rPr>
        <w:t xml:space="preserve">subjunctive can also have a future meaning, hence </w:t>
      </w:r>
      <w:r>
        <w:rPr>
          <w:rFonts w:ascii="Sabon Unicode" w:hAnsi="Sabon Unicode" w:cs="Times Ext Roman"/>
          <w:i/>
          <w:iCs/>
          <w:sz w:val="18"/>
          <w:szCs w:val="18"/>
          <w:lang w:val="en-GB" w:eastAsia="hi-IN" w:bidi="en-GB"/>
        </w:rPr>
        <w:t xml:space="preserve">vāvanat </w:t>
      </w:r>
      <w:r>
        <w:rPr>
          <w:rFonts w:ascii="Sabon Unicode" w:hAnsi="Sabon Unicode" w:cs="Times Ext Roman"/>
          <w:sz w:val="18"/>
          <w:szCs w:val="18"/>
          <w:lang w:val="en-GB" w:eastAsia="hi-IN" w:bidi="en-GB"/>
        </w:rPr>
        <w:t xml:space="preserve">can also be read as “he will have </w:t>
      </w:r>
      <w:r>
        <w:rPr>
          <w:rFonts w:ascii="Sabon Unicode" w:hAnsi="Sabon Unicode" w:cs="Times Ext Roman"/>
          <w:sz w:val="18"/>
          <w:szCs w:val="18"/>
          <w:lang w:val="en-GB" w:eastAsia="hi-IN" w:bidi="en-GB"/>
        </w:rPr>
        <w:t>appropriated”.</w:t>
      </w:r>
    </w:p>
  </w:footnote>
  <w:footnote w:id="198">
    <w:p w14:paraId="3A564F1F"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pūr</w:t>
      </w:r>
      <w:r w:rsidRPr="0071345C">
        <w:rPr>
          <w:i/>
          <w:iCs/>
          <w:lang w:val="en-US"/>
        </w:rPr>
        <w:t>ṇ</w:t>
      </w:r>
      <w:r w:rsidRPr="0071345C">
        <w:rPr>
          <w:i/>
          <w:iCs/>
          <w:lang w:val="en-US"/>
        </w:rPr>
        <w:t>éna</w:t>
      </w:r>
      <w:r w:rsidRPr="0071345C">
        <w:rPr>
          <w:lang w:val="en-US"/>
        </w:rPr>
        <w:t xml:space="preserve">: from </w:t>
      </w:r>
      <w:r w:rsidRPr="0071345C">
        <w:rPr>
          <w:i/>
          <w:iCs/>
          <w:lang w:val="en-US"/>
        </w:rPr>
        <w:t>pūr</w:t>
      </w:r>
      <w:r w:rsidRPr="0071345C">
        <w:rPr>
          <w:i/>
          <w:iCs/>
          <w:lang w:val="en-US"/>
        </w:rPr>
        <w:t>ṇ</w:t>
      </w:r>
      <w:r w:rsidRPr="0071345C">
        <w:rPr>
          <w:i/>
          <w:iCs/>
          <w:lang w:val="en-US"/>
        </w:rPr>
        <w:t>a</w:t>
      </w:r>
      <w:r w:rsidRPr="0071345C">
        <w:rPr>
          <w:lang w:val="en-US"/>
        </w:rPr>
        <w:t>-, here the instrumental is used adverbially.</w:t>
      </w:r>
    </w:p>
  </w:footnote>
  <w:footnote w:id="199">
    <w:p w14:paraId="1C262F08"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Although at the beginning of paragraph 8</w:t>
      </w:r>
      <w:r w:rsidRPr="0071345C">
        <w:rPr>
          <w:vertAlign w:val="superscript"/>
          <w:lang w:val="en-US"/>
        </w:rPr>
        <w:t>th</w:t>
      </w:r>
      <w:r w:rsidRPr="0071345C">
        <w:rPr>
          <w:rFonts w:cs="Devanagari MT;Times New Roman"/>
          <w:lang w:val="en-US"/>
        </w:rPr>
        <w:t>,</w:t>
      </w:r>
      <w:r w:rsidRPr="0071345C">
        <w:rPr>
          <w:i/>
          <w:iCs/>
          <w:lang w:val="en-US"/>
        </w:rPr>
        <w:t xml:space="preserve"> nā́ntár eti</w:t>
      </w:r>
      <w:r w:rsidRPr="0071345C">
        <w:rPr>
          <w:lang w:val="en-US"/>
        </w:rPr>
        <w:t xml:space="preserve"> is the end of the prec</w:t>
      </w:r>
      <w:r w:rsidRPr="0071345C">
        <w:rPr>
          <w:lang w:val="en-US"/>
        </w:rPr>
        <w:t>eding paragraph.</w:t>
      </w:r>
    </w:p>
  </w:footnote>
  <w:footnote w:id="200">
    <w:p w14:paraId="7FE7066A"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i/>
          <w:iCs/>
          <w:lang w:val="en-US"/>
        </w:rPr>
        <w:t xml:space="preserve">anārti-, </w:t>
      </w:r>
      <w:r w:rsidRPr="0071345C">
        <w:rPr>
          <w:lang w:val="en-US"/>
        </w:rPr>
        <w:t xml:space="preserve">PW “Leidlosigkeit”, from </w:t>
      </w:r>
      <w:r w:rsidRPr="0071345C">
        <w:rPr>
          <w:i/>
          <w:iCs/>
          <w:lang w:val="en-US"/>
        </w:rPr>
        <w:t xml:space="preserve">ārti- </w:t>
      </w:r>
      <w:r w:rsidRPr="0071345C">
        <w:rPr>
          <w:lang w:val="en-US"/>
        </w:rPr>
        <w:t xml:space="preserve">PW: “übler Zufall, Unheil”, EWAia: I 115-116 “Unheil, Leid”, from the verbal root </w:t>
      </w:r>
      <w:r w:rsidRPr="0071345C">
        <w:rPr>
          <w:i/>
          <w:iCs/>
          <w:lang w:val="en-US"/>
        </w:rPr>
        <w:t xml:space="preserve">ard- </w:t>
      </w:r>
      <w:r w:rsidRPr="0071345C">
        <w:rPr>
          <w:lang w:val="en-US"/>
        </w:rPr>
        <w:t>“zerstieben, sich schütteln”.</w:t>
      </w:r>
    </w:p>
  </w:footnote>
  <w:footnote w:id="201">
    <w:p w14:paraId="5CEE1FC5"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As to the meaning of </w:t>
      </w:r>
      <w:r w:rsidRPr="0071345C">
        <w:rPr>
          <w:i/>
          <w:iCs/>
          <w:lang w:val="en-US"/>
        </w:rPr>
        <w:t xml:space="preserve">ū́rj-, </w:t>
      </w:r>
      <w:r w:rsidRPr="0071345C">
        <w:rPr>
          <w:lang w:val="en-US"/>
        </w:rPr>
        <w:t xml:space="preserve">see  </w:t>
      </w:r>
      <w:r w:rsidRPr="0071345C">
        <w:rPr>
          <w:rStyle w:val="biblio-authorGEN"/>
          <w:sz w:val="18"/>
          <w:szCs w:val="15"/>
          <w:lang w:val="en-US"/>
        </w:rPr>
        <w:t>Scharfe</w:t>
      </w:r>
      <w:r w:rsidRPr="0071345C">
        <w:rPr>
          <w:lang w:val="en-US"/>
        </w:rPr>
        <w:t xml:space="preserve"> 1985: 545 and </w:t>
      </w:r>
      <w:r w:rsidRPr="0071345C">
        <w:rPr>
          <w:rStyle w:val="biblio-authorGEN"/>
          <w:sz w:val="18"/>
          <w:szCs w:val="15"/>
          <w:lang w:val="en-US"/>
        </w:rPr>
        <w:t>Proferes</w:t>
      </w:r>
      <w:r w:rsidRPr="0071345C">
        <w:rPr>
          <w:lang w:val="en-US"/>
        </w:rPr>
        <w:t xml:space="preserve"> 2007: 101.</w:t>
      </w:r>
    </w:p>
  </w:footnote>
  <w:footnote w:id="202">
    <w:p w14:paraId="3645ADCC"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One of the nine ‘verses’ -</w:t>
      </w:r>
      <w:r w:rsidRPr="0071345C">
        <w:rPr>
          <w:i/>
          <w:iCs/>
          <w:lang w:val="en-US"/>
        </w:rPr>
        <w:t xml:space="preserve">stotra- </w:t>
      </w:r>
      <w:r w:rsidRPr="0071345C">
        <w:rPr>
          <w:lang w:val="en-US"/>
        </w:rPr>
        <w:t xml:space="preserve">that the </w:t>
      </w:r>
      <w:r w:rsidRPr="0071345C">
        <w:rPr>
          <w:i/>
          <w:iCs/>
          <w:lang w:val="en-US"/>
        </w:rPr>
        <w:t>udgat</w:t>
      </w:r>
      <w:r w:rsidRPr="0071345C">
        <w:rPr>
          <w:i/>
          <w:iCs/>
          <w:lang w:val="en-US"/>
        </w:rPr>
        <w:t>r̥</w:t>
      </w:r>
      <w:r w:rsidRPr="0071345C">
        <w:rPr>
          <w:lang w:val="en-US"/>
        </w:rPr>
        <w:t xml:space="preserve"> and his assistants sing in the morning pressing.</w:t>
      </w:r>
    </w:p>
  </w:footnote>
  <w:footnote w:id="203">
    <w:p w14:paraId="2A292DCC"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He fulfilled the year, the year has gone by. The same structure is repeated four times: the prescription of the sacrifice, the identity of Agni </w:t>
      </w:r>
      <w:r w:rsidRPr="0071345C">
        <w:rPr>
          <w:lang w:val="en-US"/>
        </w:rPr>
        <w:t>Vaiśvānara and the year, the action the sacrificer has not accomplish during the year to gain his desire.</w:t>
      </w:r>
    </w:p>
  </w:footnote>
  <w:footnote w:id="204">
    <w:p w14:paraId="08CEB7EA"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Agni as the year.</w:t>
      </w:r>
    </w:p>
  </w:footnote>
  <w:footnote w:id="205">
    <w:p w14:paraId="7D724673"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In a sentence without a temporal degree </w:t>
      </w:r>
      <w:r w:rsidRPr="0071345C">
        <w:rPr>
          <w:lang w:val="en-US"/>
        </w:rPr>
        <w:t xml:space="preserve">bhávati </w:t>
      </w:r>
      <w:r w:rsidRPr="0071345C">
        <w:rPr>
          <w:lang w:val="en-US"/>
        </w:rPr>
        <w:t xml:space="preserve">indicates a status, see </w:t>
      </w:r>
      <w:r w:rsidRPr="0071345C">
        <w:rPr>
          <w:rStyle w:val="biblio-authorGEN"/>
          <w:sz w:val="18"/>
          <w:szCs w:val="15"/>
          <w:lang w:val="en-US"/>
        </w:rPr>
        <w:t>Amano</w:t>
      </w:r>
      <w:r w:rsidRPr="0071345C">
        <w:rPr>
          <w:lang w:val="en-US"/>
        </w:rPr>
        <w:t xml:space="preserve"> 2009: 431 n.1691 “</w:t>
      </w:r>
      <w:r w:rsidRPr="0071345C">
        <w:rPr>
          <w:lang w:val="en-US"/>
        </w:rPr>
        <w:t xml:space="preserve">bhávati </w:t>
      </w:r>
      <w:r w:rsidRPr="0071345C">
        <w:rPr>
          <w:lang w:val="en-US"/>
        </w:rPr>
        <w:t xml:space="preserve">[…] bedeutet ‘ist im gegebenen Fall’”. See also </w:t>
      </w:r>
      <w:r w:rsidRPr="0071345C">
        <w:rPr>
          <w:rStyle w:val="biblio-authorGEN"/>
          <w:sz w:val="18"/>
          <w:szCs w:val="15"/>
          <w:lang w:val="en-US"/>
        </w:rPr>
        <w:t>Tichy</w:t>
      </w:r>
      <w:r w:rsidRPr="0071345C">
        <w:rPr>
          <w:lang w:val="en-US"/>
        </w:rPr>
        <w:t xml:space="preserve"> 2006: 70.</w:t>
      </w:r>
    </w:p>
  </w:footnote>
  <w:footnote w:id="206">
    <w:p w14:paraId="24059DB2"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For</w:t>
      </w:r>
      <w:r w:rsidRPr="0071345C">
        <w:rPr>
          <w:lang w:val="en-US"/>
        </w:rPr>
        <w:t xml:space="preserve"> </w:t>
      </w:r>
      <w:r w:rsidRPr="0071345C">
        <w:rPr>
          <w:i/>
          <w:iCs/>
          <w:lang w:val="en-US"/>
        </w:rPr>
        <w:t>sám am-</w:t>
      </w:r>
      <w:r w:rsidRPr="0071345C">
        <w:rPr>
          <w:lang w:val="en-US"/>
        </w:rPr>
        <w:t xml:space="preserve">, </w:t>
      </w:r>
      <w:r w:rsidRPr="0071345C">
        <w:rPr>
          <w:lang w:val="en-US"/>
        </w:rPr>
        <w:t xml:space="preserve">“to swear”, see EWAia: I 96-97 and in particular </w:t>
      </w:r>
      <w:r w:rsidRPr="0071345C">
        <w:rPr>
          <w:rStyle w:val="biblio-authorGEN"/>
          <w:sz w:val="18"/>
          <w:szCs w:val="18"/>
          <w:lang w:val="en-US"/>
        </w:rPr>
        <w:t>Hoffmann</w:t>
      </w:r>
      <w:r w:rsidRPr="0071345C">
        <w:rPr>
          <w:lang w:val="en-US"/>
        </w:rPr>
        <w:t xml:space="preserve"> 1969: 193-215, for the verbal adjective </w:t>
      </w:r>
      <w:r w:rsidRPr="0071345C">
        <w:rPr>
          <w:lang w:val="en-US"/>
        </w:rPr>
        <w:t>sámānta</w:t>
      </w:r>
      <w:r w:rsidRPr="0071345C">
        <w:rPr>
          <w:lang w:val="en-US"/>
        </w:rPr>
        <w:t xml:space="preserve">- see also </w:t>
      </w:r>
      <w:r w:rsidRPr="0071345C">
        <w:rPr>
          <w:rStyle w:val="biblio-authorGEN"/>
          <w:sz w:val="18"/>
          <w:szCs w:val="15"/>
          <w:lang w:val="en-US"/>
        </w:rPr>
        <w:t>Delbrück</w:t>
      </w:r>
      <w:r w:rsidRPr="0071345C">
        <w:rPr>
          <w:lang w:val="en-US"/>
        </w:rPr>
        <w:t xml:space="preserve"> 1888: 272.</w:t>
      </w:r>
    </w:p>
  </w:footnote>
  <w:footnote w:id="207">
    <w:p w14:paraId="067F6925"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The </w:t>
      </w:r>
      <w:r w:rsidRPr="0071345C">
        <w:rPr>
          <w:lang w:val="en-US"/>
        </w:rPr>
        <w:t>bahuvrīhi avaru</w:t>
      </w:r>
      <w:r w:rsidRPr="0071345C">
        <w:rPr>
          <w:lang w:val="en-US"/>
        </w:rPr>
        <w:t>ṇ</w:t>
      </w:r>
      <w:r w:rsidRPr="0071345C">
        <w:rPr>
          <w:lang w:val="en-US"/>
        </w:rPr>
        <w:t xml:space="preserve">á- </w:t>
      </w:r>
      <w:r w:rsidRPr="0071345C">
        <w:rPr>
          <w:lang w:val="en-US"/>
        </w:rPr>
        <w:t>can be a predi</w:t>
      </w:r>
      <w:r w:rsidRPr="0071345C">
        <w:rPr>
          <w:lang w:val="en-US"/>
        </w:rPr>
        <w:t xml:space="preserve">cative referred to </w:t>
      </w:r>
      <w:r w:rsidRPr="0071345C">
        <w:rPr>
          <w:lang w:val="en-US"/>
        </w:rPr>
        <w:t>sámānta-</w:t>
      </w:r>
      <w:r w:rsidRPr="0071345C">
        <w:rPr>
          <w:lang w:val="en-US"/>
        </w:rPr>
        <w:t xml:space="preserve"> (the agreement that is not anymore under Varu</w:t>
      </w:r>
      <w:r w:rsidRPr="0071345C">
        <w:rPr>
          <w:lang w:val="en-US"/>
        </w:rPr>
        <w:t>ṇ</w:t>
      </w:r>
      <w:r w:rsidRPr="0071345C">
        <w:rPr>
          <w:lang w:val="en-US"/>
        </w:rPr>
        <w:t>a protection) or adverbially used, in this case meaning “without Varu</w:t>
      </w:r>
      <w:r w:rsidRPr="0071345C">
        <w:rPr>
          <w:lang w:val="en-US"/>
        </w:rPr>
        <w:t>ṇ</w:t>
      </w:r>
      <w:r w:rsidRPr="0071345C">
        <w:rPr>
          <w:lang w:val="en-US"/>
        </w:rPr>
        <w:t>a (interfering)”.</w:t>
      </w:r>
    </w:p>
  </w:footnote>
  <w:footnote w:id="208">
    <w:p w14:paraId="60F15BC0"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What is received during the year is the purchase, that at the end is gained, see </w:t>
      </w:r>
      <w:r w:rsidRPr="0071345C">
        <w:rPr>
          <w:rStyle w:val="biblio-authorGEN"/>
          <w:sz w:val="18"/>
          <w:szCs w:val="15"/>
          <w:lang w:val="en-US"/>
        </w:rPr>
        <w:t>Amano</w:t>
      </w:r>
      <w:r w:rsidRPr="0071345C">
        <w:rPr>
          <w:lang w:val="en-US"/>
        </w:rPr>
        <w:t xml:space="preserve"> 2009</w:t>
      </w:r>
      <w:r w:rsidRPr="0071345C">
        <w:rPr>
          <w:lang w:val="en-US"/>
        </w:rPr>
        <w:t>: 432.</w:t>
      </w:r>
    </w:p>
  </w:footnote>
  <w:footnote w:id="209">
    <w:p w14:paraId="2659AE24"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The sacrificer that has yoked the year, after the year, must unyoke the year itself, otherwise it could be dangerous, see TS 2.2.6.4.</w:t>
      </w:r>
    </w:p>
  </w:footnote>
  <w:footnote w:id="210">
    <w:p w14:paraId="597A694D"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Here the cow is meant, as is clear from the following sentence.</w:t>
      </w:r>
    </w:p>
  </w:footnote>
  <w:footnote w:id="211">
    <w:p w14:paraId="4826A117"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k</w:t>
      </w:r>
      <w:r w:rsidRPr="0071345C">
        <w:rPr>
          <w:i/>
          <w:iCs/>
          <w:lang w:val="en-US"/>
        </w:rPr>
        <w:t>ṣ</w:t>
      </w:r>
      <w:r w:rsidRPr="0071345C">
        <w:rPr>
          <w:i/>
          <w:iCs/>
          <w:lang w:val="en-US"/>
        </w:rPr>
        <w:t>atríyāya</w:t>
      </w:r>
      <w:r w:rsidRPr="0071345C">
        <w:rPr>
          <w:lang w:val="en-US"/>
        </w:rPr>
        <w:t xml:space="preserve"> “for him who is eligible for ru</w:t>
      </w:r>
      <w:r w:rsidRPr="0071345C">
        <w:rPr>
          <w:lang w:val="en-US"/>
        </w:rPr>
        <w:t xml:space="preserve">le” cf. </w:t>
      </w:r>
      <w:r w:rsidRPr="0071345C">
        <w:rPr>
          <w:rStyle w:val="biblio-authorGEN"/>
          <w:sz w:val="18"/>
          <w:szCs w:val="15"/>
          <w:lang w:val="en-US"/>
        </w:rPr>
        <w:t>Proferes</w:t>
      </w:r>
      <w:r w:rsidRPr="0071345C">
        <w:rPr>
          <w:lang w:val="en-US"/>
        </w:rPr>
        <w:t xml:space="preserve"> 2007: 97.</w:t>
      </w:r>
    </w:p>
  </w:footnote>
  <w:footnote w:id="212">
    <w:p w14:paraId="0CFEBB56"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As to the meaning of</w:t>
      </w:r>
      <w:r w:rsidRPr="0071345C">
        <w:rPr>
          <w:i/>
          <w:iCs/>
          <w:lang w:val="en-US"/>
        </w:rPr>
        <w:t xml:space="preserve"> ū́rjasvat-, ū́rj- </w:t>
      </w:r>
      <w:r w:rsidRPr="0071345C">
        <w:rPr>
          <w:lang w:val="en-US"/>
        </w:rPr>
        <w:t xml:space="preserve">see Scharfe 1985: 545 and </w:t>
      </w:r>
      <w:r w:rsidRPr="0071345C">
        <w:rPr>
          <w:rStyle w:val="biblio-authorGEN"/>
          <w:sz w:val="18"/>
          <w:szCs w:val="15"/>
          <w:lang w:val="en-US"/>
        </w:rPr>
        <w:t>Proferes</w:t>
      </w:r>
      <w:r w:rsidRPr="0071345C">
        <w:rPr>
          <w:lang w:val="en-US"/>
        </w:rPr>
        <w:t xml:space="preserve"> 2007: 101.</w:t>
      </w:r>
    </w:p>
  </w:footnote>
  <w:footnote w:id="213">
    <w:p w14:paraId="23658CC3"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About </w:t>
      </w:r>
      <w:r w:rsidRPr="0071345C">
        <w:rPr>
          <w:i/>
          <w:iCs/>
          <w:lang w:val="en-US"/>
        </w:rPr>
        <w:t>várcas-</w:t>
      </w:r>
      <w:r w:rsidRPr="0071345C">
        <w:rPr>
          <w:lang w:val="en-US"/>
        </w:rPr>
        <w:t xml:space="preserve"> “vitale power, brilliance” EWAia: II 516 “Glanz”, see </w:t>
      </w:r>
      <w:r w:rsidRPr="0071345C">
        <w:rPr>
          <w:rStyle w:val="biblio-authorGEN"/>
          <w:sz w:val="18"/>
          <w:szCs w:val="18"/>
          <w:lang w:val="en-US"/>
        </w:rPr>
        <w:t>Proferes</w:t>
      </w:r>
      <w:r w:rsidRPr="0071345C">
        <w:rPr>
          <w:lang w:val="en-US"/>
        </w:rPr>
        <w:t xml:space="preserve"> 2007: 91 and 101-104; </w:t>
      </w:r>
      <w:r w:rsidRPr="0071345C">
        <w:rPr>
          <w:rStyle w:val="biblio-authorGEN"/>
          <w:sz w:val="18"/>
          <w:szCs w:val="15"/>
          <w:lang w:val="en-US"/>
        </w:rPr>
        <w:t>Gonda</w:t>
      </w:r>
      <w:r w:rsidRPr="0071345C">
        <w:rPr>
          <w:lang w:val="en-US"/>
        </w:rPr>
        <w:t xml:space="preserve"> 1992: VI/2 366-376.</w:t>
      </w:r>
    </w:p>
  </w:footnote>
  <w:footnote w:id="214">
    <w:p w14:paraId="09D5E95D"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sam </w:t>
      </w:r>
      <w:r w:rsidRPr="0071345C">
        <w:rPr>
          <w:i/>
          <w:iCs/>
          <w:lang w:val="en-US"/>
        </w:rPr>
        <w:t>bhū-</w:t>
      </w:r>
      <w:r w:rsidRPr="0071345C">
        <w:rPr>
          <w:lang w:val="en-US"/>
        </w:rPr>
        <w:t xml:space="preserve">, </w:t>
      </w:r>
      <w:r w:rsidRPr="0071345C">
        <w:rPr>
          <w:lang w:val="en-US"/>
        </w:rPr>
        <w:t xml:space="preserve">“to fall to the share” + gen. The idea expressed here is that the production of the sacrifice is not directly connected with gods: the gods give the </w:t>
      </w:r>
      <w:r w:rsidRPr="0071345C">
        <w:rPr>
          <w:i/>
          <w:iCs/>
          <w:lang w:val="en-US"/>
        </w:rPr>
        <w:t>dak</w:t>
      </w:r>
      <w:r w:rsidRPr="0071345C">
        <w:rPr>
          <w:i/>
          <w:iCs/>
          <w:lang w:val="en-US"/>
        </w:rPr>
        <w:t>ṣ</w:t>
      </w:r>
      <w:r w:rsidRPr="0071345C">
        <w:rPr>
          <w:i/>
          <w:iCs/>
          <w:lang w:val="en-US"/>
        </w:rPr>
        <w:t>inās</w:t>
      </w:r>
      <w:r w:rsidRPr="0071345C">
        <w:rPr>
          <w:lang w:val="en-US"/>
        </w:rPr>
        <w:t xml:space="preserve"> (nourishment) to the consecrated. With that he generates the sacrifice. The sacrifice will, </w:t>
      </w:r>
      <w:r w:rsidRPr="0071345C">
        <w:rPr>
          <w:lang w:val="en-US"/>
        </w:rPr>
        <w:t>at the end, reach the gods. The image underlying the whole passage is that of circular passage between gods and men.</w:t>
      </w:r>
    </w:p>
  </w:footnote>
  <w:footnote w:id="215">
    <w:p w14:paraId="6E664410"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The object of the sentence is the consecrated and, according to the KS, what they give to him is the </w:t>
      </w:r>
      <w:r w:rsidRPr="0071345C">
        <w:rPr>
          <w:i/>
          <w:iCs/>
          <w:lang w:val="en-US"/>
        </w:rPr>
        <w:t>dak</w:t>
      </w:r>
      <w:r w:rsidRPr="0071345C">
        <w:rPr>
          <w:i/>
          <w:iCs/>
          <w:lang w:val="en-US"/>
        </w:rPr>
        <w:t>ṣ</w:t>
      </w:r>
      <w:r w:rsidRPr="0071345C">
        <w:rPr>
          <w:i/>
          <w:iCs/>
          <w:lang w:val="en-US"/>
        </w:rPr>
        <w:t xml:space="preserve">inā. </w:t>
      </w:r>
      <w:r w:rsidRPr="0071345C">
        <w:rPr>
          <w:lang w:val="en-US"/>
        </w:rPr>
        <w:t xml:space="preserve">As to the </w:t>
      </w:r>
      <w:r w:rsidRPr="0071345C">
        <w:rPr>
          <w:i/>
          <w:iCs/>
          <w:lang w:val="en-US"/>
        </w:rPr>
        <w:t>dīk</w:t>
      </w:r>
      <w:r w:rsidRPr="0071345C">
        <w:rPr>
          <w:i/>
          <w:iCs/>
          <w:lang w:val="en-US"/>
        </w:rPr>
        <w:t>ṣ</w:t>
      </w:r>
      <w:r w:rsidRPr="0071345C">
        <w:rPr>
          <w:i/>
          <w:iCs/>
          <w:lang w:val="en-US"/>
        </w:rPr>
        <w:t>ita</w:t>
      </w:r>
      <w:r w:rsidRPr="0071345C">
        <w:rPr>
          <w:lang w:val="en-US"/>
        </w:rPr>
        <w:t xml:space="preserve"> see amon</w:t>
      </w:r>
      <w:r w:rsidRPr="0071345C">
        <w:rPr>
          <w:lang w:val="en-US"/>
        </w:rPr>
        <w:t xml:space="preserve">g others, the analysis of </w:t>
      </w:r>
      <w:r w:rsidRPr="0071345C">
        <w:rPr>
          <w:rStyle w:val="biblio-authorGEN"/>
          <w:sz w:val="18"/>
          <w:szCs w:val="15"/>
          <w:lang w:val="en-US"/>
        </w:rPr>
        <w:t>Heesterman</w:t>
      </w:r>
      <w:r w:rsidRPr="0071345C">
        <w:rPr>
          <w:lang w:val="en-US"/>
        </w:rPr>
        <w:t xml:space="preserve"> 1964.</w:t>
      </w:r>
    </w:p>
  </w:footnote>
  <w:footnote w:id="216">
    <w:p w14:paraId="644E0B41"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i/>
          <w:iCs/>
          <w:lang w:val="en-US"/>
        </w:rPr>
        <w:t>sá</w:t>
      </w:r>
      <w:r w:rsidRPr="0071345C">
        <w:rPr>
          <w:i/>
          <w:iCs/>
          <w:lang w:val="en-US"/>
        </w:rPr>
        <w:t>ṃ</w:t>
      </w:r>
      <w:r w:rsidRPr="0071345C">
        <w:rPr>
          <w:i/>
          <w:iCs/>
          <w:lang w:val="en-US"/>
        </w:rPr>
        <w:t>bhūtyai</w:t>
      </w:r>
      <w:r w:rsidRPr="0071345C">
        <w:rPr>
          <w:lang w:val="en-US"/>
        </w:rPr>
        <w:t xml:space="preserve">, </w:t>
      </w:r>
      <w:r w:rsidRPr="0071345C">
        <w:rPr>
          <w:lang w:val="en-US"/>
        </w:rPr>
        <w:t>dat. sing. f. (for the dative in -</w:t>
      </w:r>
      <w:r w:rsidRPr="0071345C">
        <w:rPr>
          <w:i/>
          <w:iCs/>
          <w:lang w:val="en-US"/>
        </w:rPr>
        <w:t>ai</w:t>
      </w:r>
      <w:r w:rsidRPr="0071345C">
        <w:rPr>
          <w:lang w:val="en-US"/>
        </w:rPr>
        <w:t xml:space="preserve"> in analogy with -ī declension, see </w:t>
      </w:r>
      <w:r w:rsidRPr="0071345C">
        <w:rPr>
          <w:rStyle w:val="biblio-authorGEN"/>
          <w:sz w:val="18"/>
          <w:szCs w:val="15"/>
          <w:lang w:val="en-US"/>
        </w:rPr>
        <w:t>Macdonell</w:t>
      </w:r>
      <w:r w:rsidRPr="0071345C">
        <w:rPr>
          <w:lang w:val="en-US"/>
        </w:rPr>
        <w:t xml:space="preserve"> 1916: §98b n.4) from </w:t>
      </w:r>
      <w:r w:rsidRPr="0071345C">
        <w:rPr>
          <w:i/>
          <w:iCs/>
          <w:lang w:val="en-US"/>
        </w:rPr>
        <w:t>sá</w:t>
      </w:r>
      <w:r w:rsidRPr="0071345C">
        <w:rPr>
          <w:i/>
          <w:iCs/>
          <w:lang w:val="en-US"/>
        </w:rPr>
        <w:t>ṃ</w:t>
      </w:r>
      <w:r w:rsidRPr="0071345C">
        <w:rPr>
          <w:i/>
          <w:iCs/>
          <w:lang w:val="en-US"/>
        </w:rPr>
        <w:t>bhūti</w:t>
      </w:r>
      <w:r w:rsidRPr="0071345C">
        <w:rPr>
          <w:lang w:val="en-US"/>
        </w:rPr>
        <w:t xml:space="preserve"> </w:t>
      </w:r>
      <w:r w:rsidRPr="0071345C">
        <w:rPr>
          <w:lang w:val="en-US"/>
        </w:rPr>
        <w:t>“birth, production”. The possibility of an infinite dative is less probable within the</w:t>
      </w:r>
      <w:r w:rsidRPr="0071345C">
        <w:rPr>
          <w:lang w:val="en-US"/>
        </w:rPr>
        <w:t xml:space="preserve"> construction of the sentence, moreover there is no attestation of this form in the R̥V (cf.  </w:t>
      </w:r>
      <w:r w:rsidRPr="0071345C">
        <w:rPr>
          <w:rStyle w:val="biblio-authorGEN"/>
          <w:sz w:val="18"/>
          <w:szCs w:val="15"/>
          <w:lang w:val="en-US"/>
        </w:rPr>
        <w:t>Grassmann</w:t>
      </w:r>
      <w:r w:rsidRPr="0071345C">
        <w:rPr>
          <w:lang w:val="en-US"/>
        </w:rPr>
        <w:t xml:space="preserve"> </w:t>
      </w:r>
      <w:r w:rsidRPr="0071345C">
        <w:rPr>
          <w:rFonts w:ascii="Sabon Unicode" w:hAnsi="Sabon Unicode"/>
          <w:color w:val="000000"/>
          <w:sz w:val="18"/>
          <w:szCs w:val="18"/>
          <w:lang w:val="en-US"/>
        </w:rPr>
        <w:t xml:space="preserve">1875). </w:t>
      </w:r>
    </w:p>
  </w:footnote>
  <w:footnote w:id="217">
    <w:p w14:paraId="211296C1"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Lit. “be of him”.</w:t>
      </w:r>
    </w:p>
  </w:footnote>
  <w:footnote w:id="218">
    <w:p w14:paraId="612E314B"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For not harming.</w:t>
      </w:r>
    </w:p>
  </w:footnote>
  <w:footnote w:id="219">
    <w:p w14:paraId="4425F984"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The object is not specified, for it is not important. What the </w:t>
      </w:r>
      <w:r w:rsidRPr="0071345C">
        <w:rPr>
          <w:i/>
          <w:iCs/>
          <w:lang w:val="en-US"/>
        </w:rPr>
        <w:t xml:space="preserve">mantra </w:t>
      </w:r>
      <w:r w:rsidRPr="0071345C">
        <w:rPr>
          <w:lang w:val="en-US"/>
        </w:rPr>
        <w:t>is expressing</w:t>
      </w:r>
      <w:r w:rsidRPr="0071345C">
        <w:rPr>
          <w:lang w:val="en-US"/>
        </w:rPr>
        <w:t xml:space="preserve"> here is that Sav</w:t>
      </w:r>
      <w:r w:rsidRPr="0071345C">
        <w:rPr>
          <w:lang w:val="en-US"/>
        </w:rPr>
        <w:t>itr̥ should bind somewhere else, far from us.</w:t>
      </w:r>
    </w:p>
  </w:footnote>
  <w:footnote w:id="220">
    <w:p w14:paraId="7FE20CAC"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k</w:t>
      </w:r>
      <w:r w:rsidRPr="0071345C">
        <w:rPr>
          <w:i/>
          <w:iCs/>
          <w:lang w:val="en-US"/>
        </w:rPr>
        <w:t>ṣ</w:t>
      </w:r>
      <w:r w:rsidRPr="0071345C">
        <w:rPr>
          <w:i/>
          <w:iCs/>
          <w:lang w:val="en-US"/>
        </w:rPr>
        <w:t>atríyāya</w:t>
      </w:r>
      <w:r w:rsidRPr="0071345C">
        <w:rPr>
          <w:lang w:val="en-US"/>
        </w:rPr>
        <w:t xml:space="preserve"> “for him who is eligible for rule” cf. </w:t>
      </w:r>
      <w:r w:rsidRPr="0071345C">
        <w:rPr>
          <w:rStyle w:val="biblio-authorGEN"/>
          <w:sz w:val="18"/>
          <w:szCs w:val="15"/>
          <w:lang w:val="en-US"/>
        </w:rPr>
        <w:t>Proferes</w:t>
      </w:r>
      <w:r w:rsidRPr="0071345C">
        <w:rPr>
          <w:lang w:val="en-US"/>
        </w:rPr>
        <w:t xml:space="preserve"> 2007: 97.</w:t>
      </w:r>
    </w:p>
  </w:footnote>
  <w:footnote w:id="221">
    <w:p w14:paraId="1E0D2CE1"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Pr>
          <w:i/>
          <w:lang w:val="en-GB"/>
        </w:rPr>
        <w:tab/>
        <w:t xml:space="preserve"> éta: </w:t>
      </w:r>
      <w:r w:rsidRPr="0071345C">
        <w:rPr>
          <w:lang w:val="en-US"/>
        </w:rPr>
        <w:t>“</w:t>
      </w:r>
      <w:r>
        <w:rPr>
          <w:lang w:val="en-GB"/>
        </w:rPr>
        <w:t xml:space="preserve">of variegated colour, shining”. Worth noticing that both </w:t>
      </w:r>
      <w:r>
        <w:rPr>
          <w:i/>
          <w:lang w:val="en-GB"/>
        </w:rPr>
        <w:t xml:space="preserve">éta </w:t>
      </w:r>
      <w:r>
        <w:rPr>
          <w:lang w:val="en-GB"/>
        </w:rPr>
        <w:t xml:space="preserve">and </w:t>
      </w:r>
      <w:r>
        <w:rPr>
          <w:i/>
          <w:lang w:val="en-GB"/>
        </w:rPr>
        <w:t xml:space="preserve">varcás </w:t>
      </w:r>
      <w:r>
        <w:rPr>
          <w:lang w:val="en-GB"/>
        </w:rPr>
        <w:t xml:space="preserve">are connected with the brilliance of light, which is one </w:t>
      </w:r>
      <w:r>
        <w:rPr>
          <w:lang w:val="en-GB"/>
        </w:rPr>
        <w:t>of the element used to describe the royal power.</w:t>
      </w:r>
    </w:p>
  </w:footnote>
  <w:footnote w:id="222">
    <w:p w14:paraId="7A7F7A18"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As to the meaning of</w:t>
      </w:r>
      <w:r w:rsidRPr="0071345C">
        <w:rPr>
          <w:i/>
          <w:iCs/>
          <w:lang w:val="en-US"/>
        </w:rPr>
        <w:t xml:space="preserve"> ū́rjasvat-, ū́rj- </w:t>
      </w:r>
      <w:r w:rsidRPr="0071345C">
        <w:rPr>
          <w:lang w:val="en-US"/>
        </w:rPr>
        <w:t xml:space="preserve">see Scharfe 1985: 545 and </w:t>
      </w:r>
      <w:r w:rsidRPr="0071345C">
        <w:rPr>
          <w:rStyle w:val="biblio-authorGEN"/>
          <w:sz w:val="18"/>
          <w:szCs w:val="18"/>
          <w:lang w:val="en-US"/>
        </w:rPr>
        <w:t>Proferes</w:t>
      </w:r>
      <w:r w:rsidRPr="0071345C">
        <w:rPr>
          <w:lang w:val="en-US"/>
        </w:rPr>
        <w:t xml:space="preserve"> 2007: 101.</w:t>
      </w:r>
    </w:p>
  </w:footnote>
  <w:footnote w:id="223">
    <w:p w14:paraId="077BDA11"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About </w:t>
      </w:r>
      <w:r w:rsidRPr="0071345C">
        <w:rPr>
          <w:i/>
          <w:iCs/>
          <w:lang w:val="en-US"/>
        </w:rPr>
        <w:t>várcas-</w:t>
      </w:r>
      <w:r w:rsidRPr="0071345C">
        <w:rPr>
          <w:lang w:val="en-US"/>
        </w:rPr>
        <w:t xml:space="preserve"> “vitale power, brilliance” EWAia: II 516 “Glanz”, see </w:t>
      </w:r>
      <w:r w:rsidRPr="0071345C">
        <w:rPr>
          <w:rStyle w:val="biblio-authorGEN"/>
          <w:sz w:val="18"/>
          <w:szCs w:val="18"/>
          <w:lang w:val="en-US"/>
        </w:rPr>
        <w:t>Proferes</w:t>
      </w:r>
      <w:r w:rsidRPr="0071345C">
        <w:rPr>
          <w:lang w:val="en-US"/>
        </w:rPr>
        <w:t xml:space="preserve"> 2007: 91 and 101-104; </w:t>
      </w:r>
      <w:r w:rsidRPr="0071345C">
        <w:rPr>
          <w:rStyle w:val="biblio-authorGEN"/>
          <w:sz w:val="18"/>
          <w:szCs w:val="15"/>
          <w:lang w:val="en-US"/>
        </w:rPr>
        <w:t>Gonda</w:t>
      </w:r>
      <w:r w:rsidRPr="0071345C">
        <w:rPr>
          <w:lang w:val="en-US"/>
        </w:rPr>
        <w:t xml:space="preserve"> 1992: VI/2 366-376.</w:t>
      </w:r>
    </w:p>
  </w:footnote>
  <w:footnote w:id="224">
    <w:p w14:paraId="35696EA8"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i/>
          <w:iCs/>
          <w:lang w:val="en-US"/>
        </w:rPr>
        <w:t>yád</w:t>
      </w:r>
      <w:r w:rsidRPr="0071345C">
        <w:rPr>
          <w:lang w:val="en-US"/>
        </w:rPr>
        <w:t xml:space="preserve"> </w:t>
      </w:r>
      <w:r w:rsidRPr="0071345C">
        <w:rPr>
          <w:lang w:val="en-US"/>
        </w:rPr>
        <w:t xml:space="preserve">[…] </w:t>
      </w:r>
      <w:r w:rsidRPr="0071345C">
        <w:rPr>
          <w:i/>
          <w:iCs/>
          <w:lang w:val="en-US"/>
        </w:rPr>
        <w:t>pātām</w:t>
      </w:r>
      <w:r w:rsidRPr="0071345C">
        <w:rPr>
          <w:lang w:val="en-US"/>
        </w:rPr>
        <w:t xml:space="preserve"> </w:t>
      </w:r>
      <w:r w:rsidRPr="0071345C">
        <w:rPr>
          <w:lang w:val="en-US"/>
        </w:rPr>
        <w:t>= ŚB 1.9.1.16; .19-20.</w:t>
      </w:r>
    </w:p>
  </w:footnote>
  <w:footnote w:id="225">
    <w:p w14:paraId="28C6EA84"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ā śas-</w:t>
      </w:r>
      <w:r w:rsidRPr="0071345C">
        <w:rPr>
          <w:lang w:val="en-US"/>
        </w:rPr>
        <w:t xml:space="preserve"> </w:t>
      </w:r>
      <w:r w:rsidRPr="0071345C">
        <w:rPr>
          <w:lang w:val="en-US"/>
        </w:rPr>
        <w:t>“pray for” but also “desire”.</w:t>
      </w:r>
    </w:p>
  </w:footnote>
  <w:footnote w:id="226">
    <w:p w14:paraId="721F885E"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i/>
          <w:iCs/>
          <w:lang w:val="en-US"/>
        </w:rPr>
        <w:t>r̥dhyāt</w:t>
      </w:r>
      <w:r w:rsidRPr="0071345C">
        <w:rPr>
          <w:lang w:val="en-US"/>
        </w:rPr>
        <w:t xml:space="preserve"> </w:t>
      </w:r>
      <w:r w:rsidRPr="0071345C">
        <w:rPr>
          <w:lang w:val="en-US"/>
        </w:rPr>
        <w:t>optative to be distinguished from the preceding preca</w:t>
      </w:r>
      <w:r w:rsidRPr="0071345C">
        <w:rPr>
          <w:lang w:val="en-US"/>
        </w:rPr>
        <w:t xml:space="preserve">tive, </w:t>
      </w:r>
      <w:r w:rsidRPr="0071345C">
        <w:rPr>
          <w:i/>
          <w:iCs/>
          <w:lang w:val="en-US"/>
        </w:rPr>
        <w:t>aśyāt</w:t>
      </w:r>
      <w:r w:rsidRPr="0071345C">
        <w:rPr>
          <w:lang w:val="en-US"/>
        </w:rPr>
        <w:t>.</w:t>
      </w:r>
    </w:p>
  </w:footnote>
  <w:footnote w:id="227">
    <w:p w14:paraId="3EBF63C0"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i</w:t>
      </w:r>
      <w:r w:rsidRPr="0071345C">
        <w:rPr>
          <w:i/>
          <w:iCs/>
          <w:lang w:val="en-US"/>
        </w:rPr>
        <w:t>ṣṭ</w:t>
      </w:r>
      <w:r w:rsidRPr="0071345C">
        <w:rPr>
          <w:i/>
          <w:iCs/>
          <w:lang w:val="en-US"/>
        </w:rPr>
        <w:t>á</w:t>
      </w:r>
      <w:r w:rsidRPr="0071345C">
        <w:rPr>
          <w:i/>
          <w:iCs/>
          <w:lang w:val="en-US"/>
        </w:rPr>
        <w:t>ṃ</w:t>
      </w:r>
      <w:r w:rsidRPr="0071345C">
        <w:rPr>
          <w:i/>
          <w:iCs/>
          <w:lang w:val="en-US"/>
        </w:rPr>
        <w:t xml:space="preserve"> ca vītá</w:t>
      </w:r>
      <w:r w:rsidRPr="0071345C">
        <w:rPr>
          <w:i/>
          <w:iCs/>
          <w:lang w:val="en-US"/>
        </w:rPr>
        <w:t>ṃ</w:t>
      </w:r>
      <w:r w:rsidRPr="0071345C">
        <w:rPr>
          <w:i/>
          <w:iCs/>
          <w:lang w:val="en-US"/>
        </w:rPr>
        <w:t xml:space="preserve"> ca </w:t>
      </w:r>
      <w:r w:rsidRPr="0071345C">
        <w:rPr>
          <w:lang w:val="en-US"/>
        </w:rPr>
        <w:t xml:space="preserve">is an ambiguous clause: </w:t>
      </w:r>
      <w:r w:rsidRPr="0071345C">
        <w:rPr>
          <w:i/>
          <w:iCs/>
          <w:lang w:val="en-US"/>
        </w:rPr>
        <w:t>ī</w:t>
      </w:r>
      <w:r w:rsidRPr="0071345C">
        <w:rPr>
          <w:i/>
          <w:iCs/>
          <w:lang w:val="en-US"/>
        </w:rPr>
        <w:t>ṣṭ</w:t>
      </w:r>
      <w:r w:rsidRPr="0071345C">
        <w:rPr>
          <w:i/>
          <w:iCs/>
          <w:lang w:val="en-US"/>
        </w:rPr>
        <w:t>a</w:t>
      </w:r>
      <w:r w:rsidRPr="0071345C">
        <w:rPr>
          <w:i/>
          <w:iCs/>
          <w:lang w:val="en-US"/>
        </w:rPr>
        <w:t>ṃ</w:t>
      </w:r>
      <w:r w:rsidRPr="0071345C">
        <w:rPr>
          <w:lang w:val="en-US"/>
        </w:rPr>
        <w:t xml:space="preserve"> could be interpreted as  “what is desired” (cf. Eggeling 1900: 253) or “what is offered” (so glosses Bha</w:t>
      </w:r>
      <w:r w:rsidRPr="0071345C">
        <w:rPr>
          <w:lang w:val="en-US"/>
        </w:rPr>
        <w:t>ṭṭ</w:t>
      </w:r>
      <w:r w:rsidRPr="0071345C">
        <w:rPr>
          <w:lang w:val="en-US"/>
        </w:rPr>
        <w:t>a Bhāskara Miśra: “</w:t>
      </w:r>
      <w:r w:rsidRPr="0071345C">
        <w:rPr>
          <w:lang w:val="en-US"/>
        </w:rPr>
        <w:t>yāganimitta</w:t>
      </w:r>
      <w:r w:rsidRPr="0071345C">
        <w:rPr>
          <w:lang w:val="en-US"/>
        </w:rPr>
        <w:t>ṃ</w:t>
      </w:r>
      <w:r w:rsidRPr="0071345C">
        <w:rPr>
          <w:lang w:val="en-US"/>
        </w:rPr>
        <w:t xml:space="preserve"> </w:t>
      </w:r>
      <w:r w:rsidRPr="0071345C">
        <w:rPr>
          <w:lang w:val="en-US"/>
        </w:rPr>
        <w:t>svargādikam”</w:t>
      </w:r>
      <w:r w:rsidRPr="0071345C">
        <w:rPr>
          <w:lang w:val="en-US"/>
        </w:rPr>
        <w:t xml:space="preserve">), while </w:t>
      </w:r>
      <w:r w:rsidRPr="0071345C">
        <w:rPr>
          <w:i/>
          <w:iCs/>
          <w:lang w:val="en-US"/>
        </w:rPr>
        <w:t>vītá</w:t>
      </w:r>
      <w:r w:rsidRPr="0071345C">
        <w:rPr>
          <w:i/>
          <w:iCs/>
          <w:lang w:val="en-US"/>
        </w:rPr>
        <w:t>ṃ</w:t>
      </w:r>
      <w:r w:rsidRPr="0071345C">
        <w:rPr>
          <w:lang w:val="en-US"/>
        </w:rPr>
        <w:t xml:space="preserve"> from </w:t>
      </w:r>
      <w:r w:rsidRPr="0071345C">
        <w:rPr>
          <w:i/>
          <w:iCs/>
          <w:lang w:val="en-US"/>
        </w:rPr>
        <w:t xml:space="preserve">vī- </w:t>
      </w:r>
      <w:r w:rsidRPr="0071345C">
        <w:rPr>
          <w:lang w:val="en-US"/>
        </w:rPr>
        <w:t>means</w:t>
      </w:r>
      <w:r w:rsidRPr="0071345C">
        <w:rPr>
          <w:i/>
          <w:iCs/>
          <w:lang w:val="en-US"/>
        </w:rPr>
        <w:t xml:space="preserve"> </w:t>
      </w:r>
      <w:r w:rsidRPr="0071345C">
        <w:rPr>
          <w:lang w:val="en-US"/>
        </w:rPr>
        <w:t>“to crave fo</w:t>
      </w:r>
      <w:r w:rsidRPr="0071345C">
        <w:rPr>
          <w:lang w:val="en-US"/>
        </w:rPr>
        <w:t xml:space="preserve">r”, cf. EWAia: II 509-510 “sich zuwenden, verfolgen”, but  ŚB.1.9.1.20 reads </w:t>
      </w:r>
      <w:r w:rsidRPr="0071345C">
        <w:rPr>
          <w:i/>
          <w:iCs/>
          <w:lang w:val="en-US"/>
        </w:rPr>
        <w:t>vitta</w:t>
      </w:r>
      <w:r w:rsidRPr="0071345C">
        <w:rPr>
          <w:i/>
          <w:iCs/>
          <w:lang w:val="en-US"/>
        </w:rPr>
        <w:t>ṃ</w:t>
      </w:r>
      <w:r w:rsidRPr="0071345C">
        <w:rPr>
          <w:lang w:val="en-US"/>
        </w:rPr>
        <w:t xml:space="preserve"> </w:t>
      </w:r>
      <w:r w:rsidRPr="0071345C">
        <w:rPr>
          <w:lang w:val="en-US"/>
        </w:rPr>
        <w:t xml:space="preserve">(while TB.3.5.10.5 read as MS 4.13.9: 212,12) from </w:t>
      </w:r>
      <w:r w:rsidRPr="0071345C">
        <w:rPr>
          <w:i/>
          <w:iCs/>
          <w:lang w:val="en-US"/>
        </w:rPr>
        <w:t>vid</w:t>
      </w:r>
      <w:r w:rsidRPr="0071345C">
        <w:rPr>
          <w:lang w:val="en-US"/>
        </w:rPr>
        <w:t xml:space="preserve">- “to find”, hence Eggeling “what was searched for and found”. Anyway </w:t>
      </w:r>
      <w:r w:rsidRPr="0071345C">
        <w:rPr>
          <w:rStyle w:val="biblio-authorGEN"/>
          <w:sz w:val="18"/>
          <w:szCs w:val="15"/>
          <w:lang w:val="en-US"/>
        </w:rPr>
        <w:t>Eggeling</w:t>
      </w:r>
      <w:r w:rsidRPr="0071345C">
        <w:rPr>
          <w:lang w:val="en-US"/>
        </w:rPr>
        <w:t xml:space="preserve"> 1900: 253 n. 2 suggests the TB-variant </w:t>
      </w:r>
      <w:r w:rsidRPr="0071345C">
        <w:rPr>
          <w:lang w:val="en-US"/>
        </w:rPr>
        <w:t>to be the original one and translates it as follows “what has been offered and accepted”.</w:t>
      </w:r>
    </w:p>
  </w:footnote>
  <w:footnote w:id="228">
    <w:p w14:paraId="4F62A247"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Bha</w:t>
      </w:r>
      <w:r w:rsidRPr="0071345C">
        <w:rPr>
          <w:lang w:val="en-US"/>
        </w:rPr>
        <w:t>ṭṭ</w:t>
      </w:r>
      <w:r w:rsidRPr="0071345C">
        <w:rPr>
          <w:lang w:val="en-US"/>
        </w:rPr>
        <w:t>a Bhāskara Miśra glosses “</w:t>
      </w:r>
      <w:r w:rsidRPr="0071345C">
        <w:rPr>
          <w:lang w:val="en-US"/>
        </w:rPr>
        <w:t>iha havi</w:t>
      </w:r>
      <w:r w:rsidRPr="0071345C">
        <w:rPr>
          <w:lang w:val="en-US"/>
        </w:rPr>
        <w:t>ṣ</w:t>
      </w:r>
      <w:r w:rsidRPr="0071345C">
        <w:rPr>
          <w:lang w:val="en-US"/>
        </w:rPr>
        <w:t>e vāmasya vananīyasya dhanasya gāti</w:t>
      </w:r>
      <w:r w:rsidRPr="0071345C">
        <w:rPr>
          <w:lang w:val="en-US"/>
        </w:rPr>
        <w:t>ḥ</w:t>
      </w:r>
      <w:r w:rsidRPr="0071345C">
        <w:rPr>
          <w:lang w:val="en-US"/>
        </w:rPr>
        <w:t xml:space="preserve"> vyāpti</w:t>
      </w:r>
      <w:r w:rsidRPr="0071345C">
        <w:rPr>
          <w:lang w:val="en-US"/>
        </w:rPr>
        <w:t>ḥ</w:t>
      </w:r>
      <w:r w:rsidRPr="0071345C">
        <w:rPr>
          <w:lang w:val="en-US"/>
        </w:rPr>
        <w:t xml:space="preserve"> | ida</w:t>
      </w:r>
      <w:r w:rsidRPr="0071345C">
        <w:rPr>
          <w:lang w:val="en-US"/>
        </w:rPr>
        <w:t>ṃ</w:t>
      </w:r>
      <w:r w:rsidRPr="0071345C">
        <w:rPr>
          <w:lang w:val="en-US"/>
        </w:rPr>
        <w:t xml:space="preserve"> ca etaddhavirlak</w:t>
      </w:r>
      <w:r w:rsidRPr="0071345C">
        <w:rPr>
          <w:lang w:val="en-US"/>
        </w:rPr>
        <w:t>ṣ</w:t>
      </w:r>
      <w:r w:rsidRPr="0071345C">
        <w:rPr>
          <w:lang w:val="en-US"/>
        </w:rPr>
        <w:t>a</w:t>
      </w:r>
      <w:r w:rsidRPr="0071345C">
        <w:rPr>
          <w:lang w:val="en-US"/>
        </w:rPr>
        <w:t>ṇ</w:t>
      </w:r>
      <w:r w:rsidRPr="0071345C">
        <w:rPr>
          <w:lang w:val="en-US"/>
        </w:rPr>
        <w:t>a</w:t>
      </w:r>
      <w:r w:rsidRPr="0071345C">
        <w:rPr>
          <w:lang w:val="en-US"/>
        </w:rPr>
        <w:t>ṃ</w:t>
      </w:r>
      <w:r w:rsidRPr="0071345C">
        <w:rPr>
          <w:lang w:val="en-US"/>
        </w:rPr>
        <w:t>”</w:t>
      </w:r>
      <w:r w:rsidRPr="0071345C">
        <w:rPr>
          <w:lang w:val="en-US"/>
        </w:rPr>
        <w:t>: hence in the oblation this is the way to get th</w:t>
      </w:r>
      <w:r w:rsidRPr="0071345C">
        <w:rPr>
          <w:lang w:val="en-US"/>
        </w:rPr>
        <w:t>e desireable prize, this is the sign of the oblation itself.</w:t>
      </w:r>
    </w:p>
  </w:footnote>
  <w:footnote w:id="229">
    <w:p w14:paraId="15F85C5B"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For</w:t>
      </w:r>
      <w:r w:rsidRPr="0071345C">
        <w:rPr>
          <w:lang w:val="en-US"/>
        </w:rPr>
        <w:t xml:space="preserve"> </w:t>
      </w:r>
      <w:r w:rsidRPr="0071345C">
        <w:rPr>
          <w:i/>
          <w:iCs/>
          <w:lang w:val="en-US"/>
        </w:rPr>
        <w:t>sám am</w:t>
      </w:r>
      <w:r w:rsidRPr="0071345C">
        <w:rPr>
          <w:lang w:val="en-US"/>
        </w:rPr>
        <w:t xml:space="preserve">-, </w:t>
      </w:r>
      <w:r w:rsidRPr="0071345C">
        <w:rPr>
          <w:lang w:val="en-US"/>
        </w:rPr>
        <w:t xml:space="preserve">“to swear”, see EWAia: I 96-97 and in particular </w:t>
      </w:r>
      <w:r w:rsidRPr="0071345C">
        <w:rPr>
          <w:rStyle w:val="biblio-authorGEN"/>
          <w:sz w:val="18"/>
          <w:szCs w:val="15"/>
          <w:lang w:val="en-US"/>
        </w:rPr>
        <w:t>Hoffmann</w:t>
      </w:r>
      <w:r w:rsidRPr="0071345C">
        <w:rPr>
          <w:lang w:val="en-US"/>
        </w:rPr>
        <w:t xml:space="preserve"> 1969: 193-215, for the verbal adjective </w:t>
      </w:r>
      <w:r w:rsidRPr="0071345C">
        <w:rPr>
          <w:lang w:val="en-US"/>
        </w:rPr>
        <w:t>sámānta</w:t>
      </w:r>
      <w:r w:rsidRPr="0071345C">
        <w:rPr>
          <w:lang w:val="en-US"/>
        </w:rPr>
        <w:t xml:space="preserve">- see also </w:t>
      </w:r>
      <w:r w:rsidRPr="0071345C">
        <w:rPr>
          <w:rStyle w:val="biblio-authorGEN"/>
          <w:sz w:val="18"/>
          <w:szCs w:val="15"/>
          <w:lang w:val="en-US"/>
        </w:rPr>
        <w:t>Delbrück</w:t>
      </w:r>
      <w:r w:rsidRPr="0071345C">
        <w:rPr>
          <w:lang w:val="en-US"/>
        </w:rPr>
        <w:t xml:space="preserve"> 1888: 272.</w:t>
      </w:r>
    </w:p>
  </w:footnote>
  <w:footnote w:id="230">
    <w:p w14:paraId="73FBCB5F"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The </w:t>
      </w:r>
      <w:r w:rsidRPr="0071345C">
        <w:rPr>
          <w:i/>
          <w:iCs/>
          <w:lang w:val="en-US"/>
        </w:rPr>
        <w:t>bahuvrīhi</w:t>
      </w:r>
      <w:r w:rsidRPr="0071345C">
        <w:rPr>
          <w:lang w:val="en-US"/>
        </w:rPr>
        <w:t xml:space="preserve"> </w:t>
      </w:r>
      <w:r w:rsidRPr="0071345C">
        <w:rPr>
          <w:i/>
          <w:iCs/>
          <w:lang w:val="en-US"/>
        </w:rPr>
        <w:t>avaru</w:t>
      </w:r>
      <w:r w:rsidRPr="0071345C">
        <w:rPr>
          <w:i/>
          <w:iCs/>
          <w:lang w:val="en-US"/>
        </w:rPr>
        <w:t>ṇ</w:t>
      </w:r>
      <w:r w:rsidRPr="0071345C">
        <w:rPr>
          <w:i/>
          <w:iCs/>
          <w:lang w:val="en-US"/>
        </w:rPr>
        <w:t>á</w:t>
      </w:r>
      <w:r w:rsidRPr="0071345C">
        <w:rPr>
          <w:lang w:val="en-US"/>
        </w:rPr>
        <w:t xml:space="preserve">- </w:t>
      </w:r>
      <w:r w:rsidRPr="0071345C">
        <w:rPr>
          <w:lang w:val="en-US"/>
        </w:rPr>
        <w:t xml:space="preserve">can be a predicative referred to </w:t>
      </w:r>
      <w:r w:rsidRPr="0071345C">
        <w:rPr>
          <w:i/>
          <w:iCs/>
          <w:lang w:val="en-US"/>
        </w:rPr>
        <w:t>sámānta-</w:t>
      </w:r>
      <w:r w:rsidRPr="0071345C">
        <w:rPr>
          <w:lang w:val="en-US"/>
        </w:rPr>
        <w:t xml:space="preserve"> (the agreement that is not anymore under Varu</w:t>
      </w:r>
      <w:r w:rsidRPr="0071345C">
        <w:rPr>
          <w:lang w:val="en-US"/>
        </w:rPr>
        <w:t>ṇ</w:t>
      </w:r>
      <w:r w:rsidRPr="0071345C">
        <w:rPr>
          <w:lang w:val="en-US"/>
        </w:rPr>
        <w:t>a protection) or adverbially used, in this case meaning “without Varu</w:t>
      </w:r>
      <w:r w:rsidRPr="0071345C">
        <w:rPr>
          <w:lang w:val="en-US"/>
        </w:rPr>
        <w:t>ṇ</w:t>
      </w:r>
      <w:r w:rsidRPr="0071345C">
        <w:rPr>
          <w:lang w:val="en-US"/>
        </w:rPr>
        <w:t>a (interfering)”.</w:t>
      </w:r>
    </w:p>
  </w:footnote>
  <w:footnote w:id="231">
    <w:p w14:paraId="1DB6042F"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rFonts w:eastAsia="MS Mincho;ＭＳ 明朝" w:cs="Times Ext Roman"/>
          <w:i/>
          <w:iCs/>
          <w:sz w:val="18"/>
          <w:szCs w:val="18"/>
          <w:lang w:val="en-US" w:eastAsia="hi-IN" w:bidi="en-GB"/>
        </w:rPr>
        <w:tab/>
        <w:t xml:space="preserve"> </w:t>
      </w:r>
      <w:r w:rsidRPr="0071345C">
        <w:rPr>
          <w:rFonts w:eastAsia="MS Mincho;ＭＳ 明朝" w:cs="Times Ext Roman"/>
          <w:sz w:val="18"/>
          <w:szCs w:val="18"/>
          <w:lang w:val="en-US" w:eastAsia="hi-IN" w:bidi="en-GB"/>
        </w:rPr>
        <w:t>The object of the verbal adjective is expressed in TS 2.2.6.3-4 where the sac</w:t>
      </w:r>
      <w:r w:rsidRPr="0071345C">
        <w:rPr>
          <w:rFonts w:eastAsia="MS Mincho;ＭＳ 明朝" w:cs="Times Ext Roman"/>
          <w:sz w:val="18"/>
          <w:szCs w:val="18"/>
          <w:lang w:val="en-US" w:eastAsia="hi-IN" w:bidi="en-GB"/>
        </w:rPr>
        <w:t>rificer accepts (</w:t>
      </w:r>
      <w:r w:rsidRPr="0071345C">
        <w:rPr>
          <w:rFonts w:eastAsia="MS Mincho;ＭＳ 明朝" w:cs="Times Ext Roman"/>
          <w:i/>
          <w:iCs/>
          <w:sz w:val="18"/>
          <w:szCs w:val="18"/>
          <w:lang w:val="en-US" w:eastAsia="hi-IN" w:bidi="en-GB"/>
        </w:rPr>
        <w:t>pratigrah-</w:t>
      </w:r>
      <w:r w:rsidRPr="0071345C">
        <w:rPr>
          <w:rFonts w:eastAsia="MS Mincho;ＭＳ 明朝" w:cs="Times Ext Roman"/>
          <w:sz w:val="18"/>
          <w:szCs w:val="18"/>
          <w:lang w:val="en-US" w:eastAsia="hi-IN" w:bidi="en-GB"/>
        </w:rPr>
        <w:t xml:space="preserve">) some animals (like a ship) and therefore has to offer to Agni Vaiśvānara. </w:t>
      </w:r>
    </w:p>
  </w:footnote>
  <w:footnote w:id="232">
    <w:p w14:paraId="6ACB3E89"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Pr>
          <w:rFonts w:ascii="Sabon Unicode" w:eastAsia="MS Mincho;ＭＳ 明朝" w:hAnsi="Sabon Unicode" w:cs="Times Ext Roman"/>
          <w:lang w:val="en-GB" w:eastAsia="hi-IN" w:bidi="en-GB"/>
        </w:rPr>
        <w:tab/>
        <w:t xml:space="preserve"> For</w:t>
      </w:r>
      <w:r>
        <w:rPr>
          <w:rFonts w:ascii="Sabon Unicode" w:eastAsia="MS Mincho;ＭＳ 明朝" w:hAnsi="Sabon Unicode" w:cs="Times Ext Roman"/>
          <w:i/>
          <w:iCs/>
          <w:lang w:val="en-GB" w:eastAsia="hi-IN" w:bidi="en-GB"/>
        </w:rPr>
        <w:t xml:space="preserve"> naimi</w:t>
      </w:r>
      <w:r>
        <w:rPr>
          <w:rFonts w:ascii="Sabon Unicode" w:eastAsia="MS Mincho;ＭＳ 明朝" w:hAnsi="Sabon Unicode" w:cs="Times Ext Roman"/>
          <w:i/>
          <w:iCs/>
          <w:lang w:val="en-GB" w:eastAsia="hi-IN" w:bidi="en-GB"/>
        </w:rPr>
        <w:t>ṣ</w:t>
      </w:r>
      <w:r>
        <w:rPr>
          <w:rFonts w:ascii="Sabon Unicode" w:eastAsia="MS Mincho;ＭＳ 明朝" w:hAnsi="Sabon Unicode" w:cs="Times Ext Roman"/>
          <w:i/>
          <w:iCs/>
          <w:lang w:val="en-GB" w:eastAsia="hi-IN" w:bidi="en-GB"/>
        </w:rPr>
        <w:t xml:space="preserve">ya- </w:t>
      </w:r>
      <w:r>
        <w:rPr>
          <w:rFonts w:ascii="Sabon Unicode" w:eastAsia="MS Mincho;ＭＳ 明朝" w:hAnsi="Sabon Unicode" w:cs="Times Ext Roman"/>
          <w:lang w:val="en-GB" w:eastAsia="hi-IN" w:bidi="en-GB"/>
        </w:rPr>
        <w:t xml:space="preserve">see EWAia: II 57 </w:t>
      </w:r>
      <w:r>
        <w:rPr>
          <w:rFonts w:ascii="Sabon Unicode" w:eastAsia="MS Mincho;ＭＳ 明朝" w:hAnsi="Sabon Unicode" w:cs="Times Ext Roman"/>
          <w:i/>
          <w:iCs/>
          <w:lang w:val="en-GB" w:eastAsia="hi-IN" w:bidi="en-GB"/>
        </w:rPr>
        <w:t>naimi</w:t>
      </w:r>
      <w:r>
        <w:rPr>
          <w:rFonts w:ascii="Sabon Unicode" w:eastAsia="MS Mincho;ＭＳ 明朝" w:hAnsi="Sabon Unicode" w:cs="Times Ext Roman"/>
          <w:i/>
          <w:iCs/>
          <w:lang w:val="en-GB" w:eastAsia="hi-IN" w:bidi="en-GB"/>
        </w:rPr>
        <w:t>ṣ</w:t>
      </w:r>
      <w:r>
        <w:rPr>
          <w:rFonts w:ascii="Sabon Unicode" w:eastAsia="MS Mincho;ＭＳ 明朝" w:hAnsi="Sabon Unicode" w:cs="Times Ext Roman"/>
          <w:i/>
          <w:iCs/>
          <w:lang w:val="en-GB" w:eastAsia="hi-IN" w:bidi="en-GB"/>
        </w:rPr>
        <w:t xml:space="preserve">a- </w:t>
      </w:r>
      <w:r>
        <w:rPr>
          <w:rFonts w:ascii="Sabon Unicode" w:eastAsia="MS Mincho;ＭＳ 明朝" w:hAnsi="Sabon Unicode" w:cs="Times Ext Roman"/>
          <w:lang w:val="en-GB" w:eastAsia="hi-IN" w:bidi="en-GB"/>
        </w:rPr>
        <w:t xml:space="preserve">“Waldgebiet” </w:t>
      </w:r>
      <w:r>
        <w:rPr>
          <w:rFonts w:ascii="Sabon Unicode" w:eastAsia="MS Mincho;ＭＳ 明朝" w:hAnsi="Sabon Unicode" w:cs="Times Ext Roman"/>
          <w:i/>
          <w:iCs/>
          <w:lang w:val="en-GB" w:eastAsia="hi-IN" w:bidi="en-GB"/>
        </w:rPr>
        <w:t>naimi</w:t>
      </w:r>
      <w:r>
        <w:rPr>
          <w:rFonts w:ascii="Sabon Unicode" w:eastAsia="MS Mincho;ＭＳ 明朝" w:hAnsi="Sabon Unicode" w:cs="Times Ext Roman"/>
          <w:i/>
          <w:iCs/>
          <w:lang w:val="en-GB" w:eastAsia="hi-IN" w:bidi="en-GB"/>
        </w:rPr>
        <w:t>ṣ</w:t>
      </w:r>
      <w:r>
        <w:rPr>
          <w:rFonts w:ascii="Sabon Unicode" w:eastAsia="MS Mincho;ＭＳ 明朝" w:hAnsi="Sabon Unicode" w:cs="Times Ext Roman"/>
          <w:i/>
          <w:iCs/>
          <w:lang w:val="en-GB" w:eastAsia="hi-IN" w:bidi="en-GB"/>
        </w:rPr>
        <w:t xml:space="preserve">ya- </w:t>
      </w:r>
      <w:r>
        <w:rPr>
          <w:rFonts w:ascii="Sabon Unicode" w:eastAsia="MS Mincho;ＭＳ 明朝" w:hAnsi="Sabon Unicode" w:cs="Times Ext Roman"/>
          <w:lang w:val="en-GB" w:eastAsia="hi-IN" w:bidi="en-GB"/>
        </w:rPr>
        <w:t xml:space="preserve">“dessen Bewohner” and </w:t>
      </w:r>
      <w:r>
        <w:rPr>
          <w:rStyle w:val="biblio-authorGEN"/>
          <w:rFonts w:ascii="Sabon Unicode" w:eastAsia="MS Mincho;ＭＳ 明朝" w:hAnsi="Sabon Unicode" w:cs="Times Ext Roman"/>
          <w:sz w:val="18"/>
          <w:szCs w:val="15"/>
          <w:lang w:val="en-GB" w:eastAsia="hi-IN" w:bidi="en-GB"/>
        </w:rPr>
        <w:t>Macdonell</w:t>
      </w:r>
      <w:r>
        <w:rPr>
          <w:rFonts w:ascii="Sabon Unicode" w:eastAsia="MS Mincho;ＭＳ 明朝" w:hAnsi="Sabon Unicode" w:cs="Times Ext Roman"/>
          <w:lang w:val="en-GB" w:eastAsia="hi-IN" w:bidi="en-GB"/>
        </w:rPr>
        <w:t>-</w:t>
      </w:r>
      <w:r>
        <w:rPr>
          <w:rStyle w:val="biblio-authorGEN"/>
          <w:rFonts w:ascii="Sabon Unicode" w:eastAsia="MS Mincho;ＭＳ 明朝" w:hAnsi="Sabon Unicode" w:cs="Times Ext Roman"/>
          <w:sz w:val="18"/>
          <w:szCs w:val="15"/>
          <w:lang w:val="en-GB" w:eastAsia="hi-IN" w:bidi="en-GB"/>
        </w:rPr>
        <w:t>Keith</w:t>
      </w:r>
      <w:r>
        <w:rPr>
          <w:rFonts w:ascii="Sabon Unicode" w:eastAsia="MS Mincho;ＭＳ 明朝" w:hAnsi="Sabon Unicode" w:cs="Times Ext Roman"/>
          <w:lang w:val="en-GB" w:eastAsia="hi-IN" w:bidi="en-GB"/>
        </w:rPr>
        <w:t xml:space="preserve"> [1912] 1995: I 460. They are also mentioned in </w:t>
      </w:r>
      <w:r>
        <w:rPr>
          <w:rFonts w:ascii="Sabon Unicode" w:eastAsia="MS Mincho;ＭＳ 明朝" w:hAnsi="Sabon Unicode" w:cs="Times Ext Roman"/>
          <w:i/>
          <w:iCs/>
          <w:lang w:val="en-GB" w:eastAsia="hi-IN" w:bidi="en-GB"/>
        </w:rPr>
        <w:t>K</w:t>
      </w:r>
      <w:r>
        <w:rPr>
          <w:rFonts w:ascii="Sabon Unicode" w:eastAsia="MS Mincho;ＭＳ 明朝" w:hAnsi="Sabon Unicode" w:cs="Times Ext Roman"/>
          <w:i/>
          <w:iCs/>
          <w:lang w:val="en-GB" w:eastAsia="hi-IN" w:bidi="en-GB"/>
        </w:rPr>
        <w:t>au</w:t>
      </w:r>
      <w:r>
        <w:rPr>
          <w:rFonts w:ascii="Sabon Unicode" w:eastAsia="MS Mincho;ＭＳ 明朝" w:hAnsi="Sabon Unicode" w:cs="Times Ext Roman"/>
          <w:i/>
          <w:iCs/>
          <w:lang w:val="en-GB" w:eastAsia="hi-IN" w:bidi="en-GB"/>
        </w:rPr>
        <w:t>ṣ</w:t>
      </w:r>
      <w:r>
        <w:rPr>
          <w:rFonts w:ascii="Sabon Unicode" w:eastAsia="MS Mincho;ＭＳ 明朝" w:hAnsi="Sabon Unicode" w:cs="Times Ext Roman"/>
          <w:i/>
          <w:iCs/>
          <w:lang w:val="en-GB" w:eastAsia="hi-IN" w:bidi="en-GB"/>
        </w:rPr>
        <w:t>ītaki</w:t>
      </w:r>
      <w:r>
        <w:rPr>
          <w:rFonts w:ascii="Sabon Unicode" w:eastAsia="MS Mincho;ＭＳ 明朝" w:hAnsi="Sabon Unicode" w:cs="Times Ext Roman"/>
          <w:lang w:val="en-GB" w:eastAsia="hi-IN" w:bidi="en-GB"/>
        </w:rPr>
        <w:t xml:space="preserve"> </w:t>
      </w:r>
      <w:r>
        <w:rPr>
          <w:rFonts w:ascii="Sabon Unicode" w:eastAsia="MS Mincho;ＭＳ 明朝" w:hAnsi="Sabon Unicode" w:cs="Times Ext Roman"/>
          <w:i/>
          <w:iCs/>
          <w:lang w:val="en-GB" w:eastAsia="hi-IN" w:bidi="en-GB"/>
        </w:rPr>
        <w:t>Brāma</w:t>
      </w:r>
      <w:r>
        <w:rPr>
          <w:rFonts w:ascii="Sabon Unicode" w:eastAsia="MS Mincho;ＭＳ 明朝" w:hAnsi="Sabon Unicode" w:cs="Times Ext Roman"/>
          <w:i/>
          <w:iCs/>
          <w:lang w:val="en-GB" w:eastAsia="hi-IN" w:bidi="en-GB"/>
        </w:rPr>
        <w:t>ṇ</w:t>
      </w:r>
      <w:r>
        <w:rPr>
          <w:rFonts w:ascii="Sabon Unicode" w:eastAsia="MS Mincho;ＭＳ 明朝" w:hAnsi="Sabon Unicode" w:cs="Times Ext Roman"/>
          <w:i/>
          <w:iCs/>
          <w:lang w:val="en-GB" w:eastAsia="hi-IN" w:bidi="en-GB"/>
        </w:rPr>
        <w:t>a</w:t>
      </w:r>
      <w:r>
        <w:rPr>
          <w:rFonts w:ascii="Sabon Unicode" w:eastAsia="MS Mincho;ＭＳ 明朝" w:hAnsi="Sabon Unicode" w:cs="Times Ext Roman"/>
          <w:lang w:val="en-GB" w:eastAsia="hi-IN" w:bidi="en-GB"/>
        </w:rPr>
        <w:t xml:space="preserve"> 26.5; 28.4 and in </w:t>
      </w:r>
      <w:r>
        <w:rPr>
          <w:rFonts w:ascii="Sabon Unicode" w:eastAsia="MS Mincho;ＭＳ 明朝" w:hAnsi="Sabon Unicode" w:cs="Times Ext Roman"/>
          <w:i/>
          <w:iCs/>
          <w:lang w:val="en-GB" w:eastAsia="hi-IN" w:bidi="en-GB"/>
        </w:rPr>
        <w:t>Chāndogya</w:t>
      </w:r>
      <w:r>
        <w:rPr>
          <w:rFonts w:ascii="Sabon Unicode" w:eastAsia="MS Mincho;ＭＳ 明朝" w:hAnsi="Sabon Unicode" w:cs="Times Ext Roman"/>
          <w:lang w:val="en-GB" w:eastAsia="hi-IN" w:bidi="en-GB"/>
        </w:rPr>
        <w:t xml:space="preserve"> </w:t>
      </w:r>
      <w:r>
        <w:rPr>
          <w:rFonts w:ascii="Sabon Unicode" w:eastAsia="MS Mincho;ＭＳ 明朝" w:hAnsi="Sabon Unicode" w:cs="Times Ext Roman"/>
          <w:i/>
          <w:iCs/>
          <w:lang w:val="en-GB" w:eastAsia="hi-IN" w:bidi="en-GB"/>
        </w:rPr>
        <w:t>Upani</w:t>
      </w:r>
      <w:r>
        <w:rPr>
          <w:rFonts w:ascii="Sabon Unicode" w:eastAsia="MS Mincho;ＭＳ 明朝" w:hAnsi="Sabon Unicode" w:cs="Times Ext Roman"/>
          <w:i/>
          <w:iCs/>
          <w:lang w:val="en-GB" w:eastAsia="hi-IN" w:bidi="en-GB"/>
        </w:rPr>
        <w:t>ṣ</w:t>
      </w:r>
      <w:r>
        <w:rPr>
          <w:rFonts w:ascii="Sabon Unicode" w:eastAsia="MS Mincho;ＭＳ 明朝" w:hAnsi="Sabon Unicode" w:cs="Times Ext Roman"/>
          <w:i/>
          <w:iCs/>
          <w:lang w:val="en-GB" w:eastAsia="hi-IN" w:bidi="en-GB"/>
        </w:rPr>
        <w:t>ad</w:t>
      </w:r>
      <w:r>
        <w:rPr>
          <w:rFonts w:ascii="Sabon Unicode" w:eastAsia="MS Mincho;ＭＳ 明朝" w:hAnsi="Sabon Unicode" w:cs="Times Ext Roman"/>
          <w:lang w:val="en-GB" w:eastAsia="hi-IN" w:bidi="en-GB"/>
        </w:rPr>
        <w:t xml:space="preserve"> 1.2.13, being clearly of special sanctity. </w:t>
      </w:r>
    </w:p>
  </w:footnote>
  <w:footnote w:id="233">
    <w:p w14:paraId="122B0835"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rFonts w:ascii="Sabon Unicode" w:eastAsia="MS Mincho;ＭＳ 明朝" w:hAnsi="Sabon Unicode" w:cs="Times Ext Roman"/>
          <w:i/>
          <w:iCs/>
          <w:lang w:val="en-US" w:eastAsia="hi-IN" w:bidi="en-GB"/>
        </w:rPr>
        <w:tab/>
        <w:t xml:space="preserve"> </w:t>
      </w:r>
      <w:r w:rsidRPr="0071345C">
        <w:rPr>
          <w:rFonts w:ascii="Sabon Unicode" w:eastAsia="MS Mincho;ＭＳ 明朝" w:hAnsi="Sabon Unicode" w:cs="Times Ext Roman"/>
          <w:i/>
          <w:iCs/>
          <w:lang w:val="en-US" w:eastAsia="hi-IN" w:bidi="en-GB"/>
        </w:rPr>
        <w:t xml:space="preserve">satramāsata: </w:t>
      </w:r>
      <w:r w:rsidRPr="0071345C">
        <w:rPr>
          <w:rFonts w:ascii="Sabon Unicode" w:eastAsia="MS Mincho;ＭＳ 明朝" w:hAnsi="Sabon Unicode" w:cs="Times Ext Roman"/>
          <w:lang w:val="en-US" w:eastAsia="hi-IN" w:bidi="en-GB"/>
        </w:rPr>
        <w:t>it is maybe worth noticing the use of the verb</w:t>
      </w:r>
      <w:r w:rsidRPr="0071345C">
        <w:rPr>
          <w:rFonts w:ascii="Sabon Unicode" w:eastAsia="MS Mincho;ＭＳ 明朝" w:hAnsi="Sabon Unicode" w:cs="Times Ext Roman"/>
          <w:i/>
          <w:iCs/>
          <w:lang w:val="en-US" w:eastAsia="hi-IN" w:bidi="en-GB"/>
        </w:rPr>
        <w:t xml:space="preserve"> ās- </w:t>
      </w:r>
      <w:r w:rsidRPr="0071345C">
        <w:rPr>
          <w:rFonts w:ascii="Sabon Unicode" w:eastAsia="MS Mincho;ＭＳ 明朝" w:hAnsi="Sabon Unicode" w:cs="Times Ext Roman"/>
          <w:lang w:val="en-US" w:eastAsia="hi-IN" w:bidi="en-GB"/>
        </w:rPr>
        <w:t>“to sit” together with</w:t>
      </w:r>
      <w:r w:rsidRPr="0071345C">
        <w:rPr>
          <w:rFonts w:ascii="Sabon Unicode" w:eastAsia="MS Mincho;ＭＳ 明朝" w:hAnsi="Sabon Unicode" w:cs="Times Ext Roman"/>
          <w:i/>
          <w:iCs/>
          <w:lang w:val="en-US" w:eastAsia="hi-IN" w:bidi="en-GB"/>
        </w:rPr>
        <w:t xml:space="preserve"> sattrá- </w:t>
      </w:r>
      <w:r w:rsidRPr="0071345C">
        <w:rPr>
          <w:rFonts w:ascii="Sabon Unicode" w:eastAsia="MS Mincho;ＭＳ 明朝" w:hAnsi="Sabon Unicode" w:cs="Times Ext Roman"/>
          <w:lang w:val="en-US" w:eastAsia="hi-IN" w:bidi="en-GB"/>
        </w:rPr>
        <w:t xml:space="preserve">which literally means “session” deriving from the root </w:t>
      </w:r>
      <w:r w:rsidRPr="0071345C">
        <w:rPr>
          <w:rFonts w:ascii="Sabon Unicode" w:eastAsia="MS Mincho;ＭＳ 明朝" w:hAnsi="Sabon Unicode" w:cs="Times Ext Roman"/>
          <w:i/>
          <w:iCs/>
          <w:lang w:val="en-US" w:eastAsia="hi-IN" w:bidi="en-GB"/>
        </w:rPr>
        <w:t xml:space="preserve">sad- </w:t>
      </w:r>
      <w:r w:rsidRPr="0071345C">
        <w:rPr>
          <w:rFonts w:ascii="Sabon Unicode" w:eastAsia="MS Mincho;ＭＳ 明朝" w:hAnsi="Sabon Unicode" w:cs="Times Ext Roman"/>
          <w:lang w:val="en-US" w:eastAsia="hi-IN" w:bidi="en-GB"/>
        </w:rPr>
        <w:t xml:space="preserve">(cf. EWAia: II 690). For </w:t>
      </w:r>
      <w:r w:rsidRPr="0071345C">
        <w:rPr>
          <w:rFonts w:ascii="Sabon Unicode" w:eastAsia="MS Mincho;ＭＳ 明朝" w:hAnsi="Sabon Unicode" w:cs="Times Ext Roman"/>
          <w:i/>
          <w:iCs/>
          <w:lang w:val="en-US" w:eastAsia="hi-IN" w:bidi="en-GB"/>
        </w:rPr>
        <w:t>satrá</w:t>
      </w:r>
      <w:r w:rsidRPr="0071345C">
        <w:rPr>
          <w:rFonts w:ascii="Sabon Unicode" w:eastAsia="MS Mincho;ＭＳ 明朝" w:hAnsi="Sabon Unicode" w:cs="Times Ext Roman"/>
          <w:lang w:val="en-US" w:eastAsia="hi-IN" w:bidi="en-GB"/>
        </w:rPr>
        <w:t xml:space="preserve"> instead of </w:t>
      </w:r>
      <w:r w:rsidRPr="0071345C">
        <w:rPr>
          <w:rFonts w:ascii="Sabon Unicode" w:eastAsia="MS Mincho;ＭＳ 明朝" w:hAnsi="Sabon Unicode" w:cs="Times Ext Roman"/>
          <w:i/>
          <w:iCs/>
          <w:lang w:val="en-US" w:eastAsia="hi-IN" w:bidi="en-GB"/>
        </w:rPr>
        <w:t xml:space="preserve">sattrá, </w:t>
      </w:r>
      <w:r w:rsidRPr="0071345C">
        <w:rPr>
          <w:rFonts w:ascii="Sabon Unicode" w:eastAsia="MS Mincho;ＭＳ 明朝" w:hAnsi="Sabon Unicode" w:cs="Times Ext Roman"/>
          <w:lang w:val="en-US" w:eastAsia="hi-IN" w:bidi="en-GB"/>
        </w:rPr>
        <w:t xml:space="preserve">cf. AiGr: I 114 and I,1 62. The  </w:t>
      </w:r>
      <w:r w:rsidRPr="0071345C">
        <w:rPr>
          <w:rFonts w:ascii="Sabon Unicode" w:eastAsia="MS Mincho;ＭＳ 明朝" w:hAnsi="Sabon Unicode" w:cs="Times Ext Roman"/>
          <w:i/>
          <w:iCs/>
          <w:lang w:val="en-US" w:eastAsia="hi-IN" w:bidi="en-GB"/>
        </w:rPr>
        <w:t xml:space="preserve">sattra </w:t>
      </w:r>
      <w:r w:rsidRPr="0071345C">
        <w:rPr>
          <w:rFonts w:ascii="Sabon Unicode" w:eastAsia="MS Mincho;ＭＳ 明朝" w:hAnsi="Sabon Unicode" w:cs="Times Ext Roman"/>
          <w:lang w:val="en-US" w:eastAsia="hi-IN" w:bidi="en-GB"/>
        </w:rPr>
        <w:t>sacrific</w:t>
      </w:r>
      <w:r w:rsidRPr="0071345C">
        <w:rPr>
          <w:rFonts w:ascii="Sabon Unicode" w:eastAsia="MS Mincho;ＭＳ 明朝" w:hAnsi="Sabon Unicode" w:cs="Times Ext Roman"/>
          <w:sz w:val="18"/>
          <w:szCs w:val="18"/>
          <w:lang w:val="en-US" w:eastAsia="hi-IN" w:bidi="en-GB"/>
        </w:rPr>
        <w:t xml:space="preserve">e is a </w:t>
      </w:r>
      <w:r>
        <w:rPr>
          <w:rFonts w:ascii="Sabon Unicode" w:eastAsia="MS Mincho;ＭＳ 明朝" w:hAnsi="Sabon Unicode" w:cs="Times Ext Roman"/>
          <w:i/>
          <w:iCs/>
          <w:color w:val="000000"/>
          <w:sz w:val="18"/>
          <w:szCs w:val="18"/>
          <w:lang w:val="en-GB" w:eastAsia="hi-IN" w:bidi="en-GB"/>
        </w:rPr>
        <w:t>soma</w:t>
      </w:r>
      <w:r>
        <w:rPr>
          <w:rFonts w:ascii="Sabon Unicode" w:eastAsia="MS Mincho;ＭＳ 明朝" w:hAnsi="Sabon Unicode" w:cs="Times Ext Roman"/>
          <w:color w:val="000000"/>
          <w:sz w:val="18"/>
          <w:szCs w:val="18"/>
          <w:lang w:val="en-GB" w:eastAsia="hi-IN" w:bidi="en-GB"/>
        </w:rPr>
        <w:t xml:space="preserve"> sacrifices of 12 or more pressing days.</w:t>
      </w:r>
    </w:p>
  </w:footnote>
  <w:footnote w:id="234">
    <w:p w14:paraId="17E6853D"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Name of a </w:t>
      </w:r>
      <w:r w:rsidRPr="0071345C">
        <w:rPr>
          <w:i/>
          <w:iCs/>
          <w:lang w:val="en-US"/>
        </w:rPr>
        <w:t>r̥</w:t>
      </w:r>
      <w:r w:rsidRPr="0071345C">
        <w:rPr>
          <w:i/>
          <w:iCs/>
          <w:lang w:val="en-US"/>
        </w:rPr>
        <w:t>ṣ</w:t>
      </w:r>
      <w:r w:rsidRPr="0071345C">
        <w:rPr>
          <w:i/>
          <w:iCs/>
          <w:lang w:val="en-US"/>
        </w:rPr>
        <w:t>i</w:t>
      </w:r>
      <w:r w:rsidRPr="0071345C">
        <w:rPr>
          <w:lang w:val="en-US"/>
        </w:rPr>
        <w:t xml:space="preserve">, descendant of Dālbha, cf. </w:t>
      </w:r>
      <w:r w:rsidRPr="0071345C">
        <w:rPr>
          <w:rStyle w:val="biblio-authorGEN"/>
          <w:sz w:val="18"/>
          <w:szCs w:val="18"/>
          <w:lang w:val="en-US"/>
        </w:rPr>
        <w:t>M</w:t>
      </w:r>
      <w:r w:rsidRPr="0071345C">
        <w:rPr>
          <w:rStyle w:val="biblio-authorGEN"/>
          <w:sz w:val="18"/>
          <w:szCs w:val="18"/>
          <w:lang w:val="en-US"/>
        </w:rPr>
        <w:t>acdonell-Keith [</w:t>
      </w:r>
      <w:r w:rsidRPr="0071345C">
        <w:rPr>
          <w:lang w:val="en-US"/>
        </w:rPr>
        <w:t>1912] 1995: II 236. According to KS he was engaged in a ritual dispute with the king Dhr̥tarā</w:t>
      </w:r>
      <w:r w:rsidRPr="0071345C">
        <w:rPr>
          <w:lang w:val="en-US"/>
        </w:rPr>
        <w:t>ṣṭ</w:t>
      </w:r>
      <w:r w:rsidRPr="0071345C">
        <w:rPr>
          <w:lang w:val="en-US"/>
        </w:rPr>
        <w:t xml:space="preserve">ra, cf. </w:t>
      </w:r>
      <w:r w:rsidRPr="0071345C">
        <w:rPr>
          <w:rStyle w:val="biblio-authorGEN"/>
          <w:sz w:val="18"/>
          <w:szCs w:val="15"/>
          <w:lang w:val="en-US"/>
        </w:rPr>
        <w:t>Weber</w:t>
      </w:r>
      <w:r w:rsidRPr="0071345C">
        <w:rPr>
          <w:lang w:val="en-US"/>
        </w:rPr>
        <w:t xml:space="preserve"> </w:t>
      </w:r>
      <w:r w:rsidRPr="0071345C">
        <w:rPr>
          <w:lang w:val="en-US"/>
        </w:rPr>
        <w:t>1855</w:t>
      </w:r>
      <w:r w:rsidRPr="0071345C">
        <w:rPr>
          <w:i/>
          <w:iCs/>
          <w:lang w:val="en-US"/>
        </w:rPr>
        <w:t>:</w:t>
      </w:r>
      <w:r w:rsidRPr="0071345C">
        <w:rPr>
          <w:lang w:val="en-US"/>
        </w:rPr>
        <w:t xml:space="preserve"> 469-71;</w:t>
      </w:r>
      <w:r w:rsidRPr="0071345C">
        <w:rPr>
          <w:lang w:val="en-US"/>
        </w:rPr>
        <w:t xml:space="preserve"> </w:t>
      </w:r>
      <w:r w:rsidRPr="0071345C">
        <w:rPr>
          <w:rStyle w:val="biblio-authorGEN"/>
          <w:sz w:val="18"/>
          <w:szCs w:val="15"/>
          <w:lang w:val="en-US"/>
        </w:rPr>
        <w:t>Caland</w:t>
      </w:r>
      <w:r w:rsidRPr="0071345C">
        <w:rPr>
          <w:lang w:val="en-US"/>
        </w:rPr>
        <w:t xml:space="preserve"> 1908: 52-53; </w:t>
      </w:r>
      <w:r w:rsidRPr="0071345C">
        <w:rPr>
          <w:rStyle w:val="biblio-authorGEN"/>
          <w:sz w:val="18"/>
          <w:szCs w:val="15"/>
          <w:lang w:val="en-US"/>
        </w:rPr>
        <w:t>Heesterman</w:t>
      </w:r>
      <w:r w:rsidRPr="0071345C">
        <w:rPr>
          <w:lang w:val="en-US"/>
        </w:rPr>
        <w:t xml:space="preserve"> 1962: 29-31 and </w:t>
      </w:r>
      <w:r w:rsidRPr="0071345C">
        <w:rPr>
          <w:rStyle w:val="biblio-authorGEN"/>
          <w:sz w:val="18"/>
          <w:szCs w:val="15"/>
          <w:lang w:val="en-US"/>
        </w:rPr>
        <w:t>Falk</w:t>
      </w:r>
      <w:r w:rsidRPr="0071345C">
        <w:rPr>
          <w:lang w:val="en-US"/>
        </w:rPr>
        <w:t xml:space="preserve"> 1986: 58-60. </w:t>
      </w:r>
    </w:p>
  </w:footnote>
  <w:footnote w:id="235">
    <w:p w14:paraId="0192408B"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The</w:t>
      </w:r>
      <w:r w:rsidRPr="0071345C">
        <w:rPr>
          <w:lang w:val="en-US"/>
        </w:rPr>
        <w:t xml:space="preserve"> Devasū of the cows </w:t>
      </w:r>
      <w:r w:rsidRPr="0071345C">
        <w:rPr>
          <w:i/>
          <w:iCs/>
          <w:lang w:val="en-US"/>
        </w:rPr>
        <w:t>(tāsā</w:t>
      </w:r>
      <w:r w:rsidRPr="0071345C">
        <w:rPr>
          <w:i/>
          <w:iCs/>
          <w:lang w:val="en-US"/>
        </w:rPr>
        <w:t>ṃ</w:t>
      </w:r>
      <w:r w:rsidRPr="0071345C">
        <w:rPr>
          <w:i/>
          <w:iCs/>
          <w:lang w:val="en-US"/>
        </w:rPr>
        <w:t>)</w:t>
      </w:r>
      <w:r w:rsidRPr="0071345C">
        <w:rPr>
          <w:lang w:val="en-US"/>
        </w:rPr>
        <w:t xml:space="preserve"> is Rudra Paśupati, Lord of the cattle, cf. TS 1.8.10.1 and ŚB 5.3.3.1; .7 regarding the Devasū oblations..</w:t>
      </w:r>
    </w:p>
  </w:footnote>
  <w:footnote w:id="236">
    <w:p w14:paraId="62C2BDA1"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T</w:t>
      </w:r>
      <w:r>
        <w:rPr>
          <w:lang w:val="en-GB"/>
        </w:rPr>
        <w:t xml:space="preserve">he verb </w:t>
      </w:r>
      <w:r>
        <w:rPr>
          <w:i/>
          <w:iCs/>
          <w:lang w:val="en-GB"/>
        </w:rPr>
        <w:t xml:space="preserve">vidas- </w:t>
      </w:r>
      <w:r>
        <w:rPr>
          <w:lang w:val="en-GB"/>
        </w:rPr>
        <w:t xml:space="preserve">is referred to a bad witchcraft in Ks 10. In KS 10.7 and here it is without subject and it refers to Rudra who stops killing the </w:t>
      </w:r>
      <w:r>
        <w:rPr>
          <w:lang w:val="en-GB"/>
        </w:rPr>
        <w:t>cows.</w:t>
      </w:r>
    </w:p>
  </w:footnote>
  <w:footnote w:id="237">
    <w:p w14:paraId="63F1BEFA"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As to </w:t>
      </w:r>
      <w:r w:rsidRPr="0071345C">
        <w:rPr>
          <w:i/>
          <w:iCs/>
          <w:lang w:val="en-US"/>
        </w:rPr>
        <w:t>abhvivas-</w:t>
      </w:r>
      <w:r w:rsidRPr="0071345C">
        <w:rPr>
          <w:lang w:val="en-US"/>
        </w:rPr>
        <w:t xml:space="preserve"> with two verbal adjectives, see</w:t>
      </w:r>
      <w:r w:rsidRPr="0071345C">
        <w:rPr>
          <w:rStyle w:val="biblio-authorGEN"/>
          <w:sz w:val="18"/>
          <w:szCs w:val="18"/>
          <w:lang w:val="en-US"/>
        </w:rPr>
        <w:t xml:space="preserve"> Hoffmann</w:t>
      </w:r>
      <w:r w:rsidRPr="0071345C">
        <w:rPr>
          <w:lang w:val="en-US"/>
        </w:rPr>
        <w:t xml:space="preserve"> 1960: 21 n. 12.</w:t>
      </w:r>
    </w:p>
  </w:footnote>
  <w:footnote w:id="238">
    <w:p w14:paraId="4C385AEE"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lang w:val="en-US"/>
        </w:rPr>
        <w:t xml:space="preserve">The text reads </w:t>
      </w:r>
      <w:r w:rsidRPr="0071345C">
        <w:rPr>
          <w:i/>
          <w:iCs/>
          <w:lang w:val="en-US"/>
        </w:rPr>
        <w:t>avakar</w:t>
      </w:r>
      <w:r w:rsidRPr="0071345C">
        <w:rPr>
          <w:i/>
          <w:iCs/>
          <w:lang w:val="en-US"/>
        </w:rPr>
        <w:t>ṇ</w:t>
      </w:r>
      <w:r w:rsidRPr="0071345C">
        <w:rPr>
          <w:i/>
          <w:iCs/>
          <w:lang w:val="en-US"/>
        </w:rPr>
        <w:t xml:space="preserve">am </w:t>
      </w:r>
      <w:r w:rsidRPr="0071345C">
        <w:rPr>
          <w:lang w:val="en-US"/>
        </w:rPr>
        <w:t xml:space="preserve">(with variants </w:t>
      </w:r>
      <w:r w:rsidRPr="0071345C">
        <w:rPr>
          <w:i/>
          <w:iCs/>
          <w:lang w:val="en-US"/>
        </w:rPr>
        <w:t>arvakar</w:t>
      </w:r>
      <w:r w:rsidRPr="0071345C">
        <w:rPr>
          <w:i/>
          <w:iCs/>
          <w:lang w:val="en-US"/>
        </w:rPr>
        <w:t>ṇ</w:t>
      </w:r>
      <w:r w:rsidRPr="0071345C">
        <w:rPr>
          <w:i/>
          <w:iCs/>
          <w:lang w:val="en-US"/>
        </w:rPr>
        <w:t xml:space="preserve">a </w:t>
      </w:r>
      <w:r w:rsidRPr="0071345C">
        <w:rPr>
          <w:lang w:val="en-US"/>
        </w:rPr>
        <w:t xml:space="preserve">and </w:t>
      </w:r>
      <w:r w:rsidRPr="0071345C">
        <w:rPr>
          <w:i/>
          <w:iCs/>
          <w:lang w:val="en-US"/>
        </w:rPr>
        <w:t>arghakar</w:t>
      </w:r>
      <w:r w:rsidRPr="0071345C">
        <w:rPr>
          <w:i/>
          <w:iCs/>
          <w:lang w:val="en-US"/>
        </w:rPr>
        <w:t>ṇ</w:t>
      </w:r>
      <w:r w:rsidRPr="0071345C">
        <w:rPr>
          <w:i/>
          <w:iCs/>
          <w:lang w:val="en-US"/>
        </w:rPr>
        <w:t>a</w:t>
      </w:r>
      <w:r w:rsidRPr="0071345C">
        <w:rPr>
          <w:lang w:val="en-US"/>
        </w:rPr>
        <w:t xml:space="preserve">), an </w:t>
      </w:r>
      <w:r w:rsidRPr="0071345C">
        <w:rPr>
          <w:i/>
          <w:iCs/>
          <w:lang w:val="en-US"/>
        </w:rPr>
        <w:t xml:space="preserve">hapax, </w:t>
      </w:r>
      <w:r w:rsidRPr="0071345C">
        <w:rPr>
          <w:lang w:val="en-US"/>
        </w:rPr>
        <w:t xml:space="preserve">that could be only connected to </w:t>
      </w:r>
      <w:r w:rsidRPr="0071345C">
        <w:rPr>
          <w:i/>
          <w:iCs/>
          <w:lang w:val="en-US"/>
        </w:rPr>
        <w:t>avakar</w:t>
      </w:r>
      <w:r w:rsidRPr="0071345C">
        <w:rPr>
          <w:i/>
          <w:iCs/>
          <w:lang w:val="en-US"/>
        </w:rPr>
        <w:t>ṇ</w:t>
      </w:r>
      <w:r w:rsidRPr="0071345C">
        <w:rPr>
          <w:i/>
          <w:iCs/>
          <w:lang w:val="en-US"/>
        </w:rPr>
        <w:t xml:space="preserve">aprāvr̥tā </w:t>
      </w:r>
      <w:r w:rsidRPr="0071345C">
        <w:rPr>
          <w:lang w:val="en-US"/>
        </w:rPr>
        <w:t>(Āpastambha ŚS 13.15.5, cf. AiGr: II 1 282)</w:t>
      </w:r>
      <w:r w:rsidRPr="0071345C">
        <w:rPr>
          <w:i/>
          <w:iCs/>
          <w:lang w:val="en-US"/>
        </w:rPr>
        <w:t xml:space="preserve">. </w:t>
      </w:r>
      <w:r w:rsidRPr="0071345C">
        <w:rPr>
          <w:lang w:val="en-US"/>
        </w:rPr>
        <w:t xml:space="preserve">The suggestion made by </w:t>
      </w:r>
      <w:r w:rsidRPr="0071345C">
        <w:rPr>
          <w:rStyle w:val="biblio-authorGEN"/>
          <w:sz w:val="18"/>
          <w:szCs w:val="15"/>
          <w:lang w:val="en-US"/>
        </w:rPr>
        <w:t>Hoffmann</w:t>
      </w:r>
      <w:r w:rsidRPr="0071345C">
        <w:rPr>
          <w:lang w:val="en-US"/>
        </w:rPr>
        <w:t xml:space="preserve"> (1960: 21 n.12) that the liquid vowel traces back to an original -</w:t>
      </w:r>
      <w:r w:rsidRPr="0071345C">
        <w:rPr>
          <w:i/>
          <w:iCs/>
          <w:lang w:val="en-US"/>
        </w:rPr>
        <w:t xml:space="preserve">ī-, </w:t>
      </w:r>
      <w:r w:rsidRPr="0071345C">
        <w:rPr>
          <w:lang w:val="en-US"/>
        </w:rPr>
        <w:t xml:space="preserve">so that it should be read as </w:t>
      </w:r>
      <w:r w:rsidRPr="0071345C">
        <w:rPr>
          <w:i/>
          <w:iCs/>
          <w:lang w:val="en-US"/>
        </w:rPr>
        <w:t>avakīr</w:t>
      </w:r>
      <w:r w:rsidRPr="0071345C">
        <w:rPr>
          <w:i/>
          <w:iCs/>
          <w:lang w:val="en-US"/>
        </w:rPr>
        <w:t>ṇ</w:t>
      </w:r>
      <w:r w:rsidRPr="0071345C">
        <w:rPr>
          <w:i/>
          <w:iCs/>
          <w:lang w:val="en-US"/>
        </w:rPr>
        <w:t xml:space="preserve">am, </w:t>
      </w:r>
      <w:r w:rsidRPr="0071345C">
        <w:rPr>
          <w:lang w:val="en-US"/>
        </w:rPr>
        <w:t>is confirmed also by the MhB version and seems much more consistent with the context.</w:t>
      </w:r>
    </w:p>
  </w:footnote>
  <w:footnote w:id="239">
    <w:p w14:paraId="29053BB2"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Pr>
          <w:rFonts w:ascii="Sabon Unicode" w:hAnsi="Sabon Unicode" w:cs="Times Ext Roman"/>
          <w:sz w:val="18"/>
          <w:szCs w:val="18"/>
          <w:lang w:val="en-GB" w:eastAsia="hi-IN" w:bidi="en-GB"/>
        </w:rPr>
        <w:tab/>
        <w:t xml:space="preserve"> The subjunctive can also </w:t>
      </w:r>
      <w:r>
        <w:rPr>
          <w:rFonts w:ascii="Sabon Unicode" w:hAnsi="Sabon Unicode" w:cs="Times Ext Roman"/>
          <w:sz w:val="18"/>
          <w:szCs w:val="18"/>
          <w:lang w:val="en-GB" w:eastAsia="hi-IN" w:bidi="en-GB"/>
        </w:rPr>
        <w:t xml:space="preserve">have a future meaning, hence </w:t>
      </w:r>
      <w:r>
        <w:rPr>
          <w:rFonts w:ascii="Sabon Unicode" w:hAnsi="Sabon Unicode" w:cs="Times Ext Roman"/>
          <w:i/>
          <w:iCs/>
          <w:sz w:val="18"/>
          <w:szCs w:val="18"/>
          <w:lang w:val="en-GB" w:eastAsia="hi-IN" w:bidi="en-GB"/>
        </w:rPr>
        <w:t xml:space="preserve">vāvanat </w:t>
      </w:r>
      <w:r>
        <w:rPr>
          <w:rFonts w:ascii="Sabon Unicode" w:hAnsi="Sabon Unicode" w:cs="Times Ext Roman"/>
          <w:sz w:val="18"/>
          <w:szCs w:val="18"/>
          <w:lang w:val="en-GB" w:eastAsia="hi-IN" w:bidi="en-GB"/>
        </w:rPr>
        <w:t>can be also read as</w:t>
      </w:r>
      <w:r>
        <w:rPr>
          <w:rFonts w:ascii="Sabon Unicode" w:hAnsi="Sabon Unicode" w:cs="Times Ext Roman"/>
          <w:i/>
          <w:iCs/>
          <w:sz w:val="18"/>
          <w:szCs w:val="18"/>
          <w:lang w:val="en-GB" w:eastAsia="hi-IN" w:bidi="en-GB"/>
        </w:rPr>
        <w:t xml:space="preserve"> </w:t>
      </w:r>
      <w:r>
        <w:rPr>
          <w:rFonts w:ascii="Sabon Unicode" w:hAnsi="Sabon Unicode" w:cs="Times Ext Roman"/>
          <w:sz w:val="18"/>
          <w:szCs w:val="18"/>
          <w:lang w:val="en-GB" w:eastAsia="hi-IN" w:bidi="en-GB"/>
        </w:rPr>
        <w:t xml:space="preserve">“he will have </w:t>
      </w:r>
      <w:r>
        <w:rPr>
          <w:rFonts w:ascii="Sabon Unicode" w:hAnsi="Sabon Unicode" w:cs="Times Ext Roman"/>
          <w:sz w:val="18"/>
          <w:szCs w:val="18"/>
          <w:lang w:val="en-GB" w:eastAsia="hi-IN" w:bidi="en-GB"/>
        </w:rPr>
        <w:t>appropriated”.</w:t>
      </w:r>
    </w:p>
  </w:footnote>
  <w:footnote w:id="240">
    <w:p w14:paraId="48CFF055"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pūr</w:t>
      </w:r>
      <w:r w:rsidRPr="0071345C">
        <w:rPr>
          <w:i/>
          <w:iCs/>
          <w:lang w:val="en-US"/>
        </w:rPr>
        <w:t>ṇ</w:t>
      </w:r>
      <w:r w:rsidRPr="0071345C">
        <w:rPr>
          <w:i/>
          <w:iCs/>
          <w:lang w:val="en-US"/>
        </w:rPr>
        <w:t>éna</w:t>
      </w:r>
      <w:r w:rsidRPr="0071345C">
        <w:rPr>
          <w:lang w:val="en-US"/>
        </w:rPr>
        <w:t xml:space="preserve">: from </w:t>
      </w:r>
      <w:r w:rsidRPr="0071345C">
        <w:rPr>
          <w:i/>
          <w:iCs/>
          <w:lang w:val="en-US"/>
        </w:rPr>
        <w:t>pūr</w:t>
      </w:r>
      <w:r w:rsidRPr="0071345C">
        <w:rPr>
          <w:i/>
          <w:iCs/>
          <w:lang w:val="en-US"/>
        </w:rPr>
        <w:t>ṇ</w:t>
      </w:r>
      <w:r w:rsidRPr="0071345C">
        <w:rPr>
          <w:i/>
          <w:iCs/>
          <w:lang w:val="en-US"/>
        </w:rPr>
        <w:t>a</w:t>
      </w:r>
      <w:r w:rsidRPr="0071345C">
        <w:rPr>
          <w:lang w:val="en-US"/>
        </w:rPr>
        <w:t>-, here the instrumental is used adverbially.</w:t>
      </w:r>
    </w:p>
  </w:footnote>
  <w:footnote w:id="241">
    <w:p w14:paraId="6C43D075"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iti śrīyaju</w:t>
      </w:r>
      <w:r w:rsidRPr="0071345C">
        <w:rPr>
          <w:i/>
          <w:iCs/>
          <w:lang w:val="en-US"/>
        </w:rPr>
        <w:t>ṣ</w:t>
      </w:r>
      <w:r w:rsidRPr="0071345C">
        <w:rPr>
          <w:i/>
          <w:iCs/>
          <w:lang w:val="en-US"/>
        </w:rPr>
        <w:t>i kā</w:t>
      </w:r>
      <w:r w:rsidRPr="0071345C">
        <w:rPr>
          <w:i/>
          <w:iCs/>
          <w:lang w:val="en-US"/>
        </w:rPr>
        <w:t>ṭ</w:t>
      </w:r>
      <w:r w:rsidRPr="0071345C">
        <w:rPr>
          <w:i/>
          <w:iCs/>
          <w:lang w:val="en-US"/>
        </w:rPr>
        <w:t xml:space="preserve">hake caraka </w:t>
      </w:r>
      <w:r w:rsidRPr="0071345C">
        <w:rPr>
          <w:lang w:val="en-US"/>
        </w:rPr>
        <w:t xml:space="preserve">-branch of KYV whom rites and practices are different from the ŚYV-  </w:t>
      </w:r>
      <w:r w:rsidRPr="0071345C">
        <w:rPr>
          <w:i/>
          <w:iCs/>
          <w:lang w:val="en-US"/>
        </w:rPr>
        <w:t>śākhāyām i</w:t>
      </w:r>
      <w:r w:rsidRPr="0071345C">
        <w:rPr>
          <w:i/>
          <w:iCs/>
          <w:lang w:val="en-US"/>
        </w:rPr>
        <w:t>ṭ</w:t>
      </w:r>
      <w:r w:rsidRPr="0071345C">
        <w:rPr>
          <w:i/>
          <w:iCs/>
          <w:lang w:val="en-US"/>
        </w:rPr>
        <w:t>himikāyā</w:t>
      </w:r>
      <w:r w:rsidRPr="0071345C">
        <w:rPr>
          <w:i/>
          <w:iCs/>
          <w:lang w:val="en-US"/>
        </w:rPr>
        <w:t>ṃ</w:t>
      </w:r>
      <w:r w:rsidRPr="0071345C">
        <w:rPr>
          <w:lang w:val="en-US"/>
        </w:rPr>
        <w:t xml:space="preserve"> (</w:t>
      </w:r>
      <w:r w:rsidRPr="0071345C">
        <w:rPr>
          <w:i/>
          <w:iCs/>
          <w:lang w:val="en-US"/>
        </w:rPr>
        <w:t>i</w:t>
      </w:r>
      <w:r w:rsidRPr="0071345C">
        <w:rPr>
          <w:i/>
          <w:iCs/>
          <w:lang w:val="en-US"/>
        </w:rPr>
        <w:t>ṭ</w:t>
      </w:r>
      <w:r w:rsidRPr="0071345C">
        <w:rPr>
          <w:i/>
          <w:iCs/>
          <w:lang w:val="en-US"/>
        </w:rPr>
        <w:t>himikā</w:t>
      </w:r>
      <w:r w:rsidRPr="0071345C">
        <w:rPr>
          <w:lang w:val="en-US"/>
        </w:rPr>
        <w:t xml:space="preserve">: name of a section of KS) </w:t>
      </w:r>
      <w:r w:rsidRPr="0071345C">
        <w:rPr>
          <w:i/>
          <w:iCs/>
          <w:lang w:val="en-US"/>
        </w:rPr>
        <w:t>paśubandha</w:t>
      </w:r>
      <w:r w:rsidRPr="0071345C">
        <w:rPr>
          <w:i/>
          <w:iCs/>
          <w:lang w:val="en-US"/>
        </w:rPr>
        <w:t>ṃ</w:t>
      </w:r>
      <w:r w:rsidRPr="0071345C">
        <w:rPr>
          <w:i/>
          <w:iCs/>
          <w:lang w:val="en-US"/>
        </w:rPr>
        <w:t xml:space="preserve"> nāma trayodaśa</w:t>
      </w:r>
      <w:r w:rsidRPr="0071345C">
        <w:rPr>
          <w:i/>
          <w:iCs/>
          <w:lang w:val="en-US"/>
        </w:rPr>
        <w:t>ṃ</w:t>
      </w:r>
      <w:r w:rsidRPr="0071345C">
        <w:rPr>
          <w:i/>
          <w:iCs/>
          <w:lang w:val="en-US"/>
        </w:rPr>
        <w:t xml:space="preserve"> sthānaka</w:t>
      </w:r>
      <w:r w:rsidRPr="0071345C">
        <w:rPr>
          <w:i/>
          <w:iCs/>
          <w:lang w:val="en-US"/>
        </w:rPr>
        <w:t>ṃ</w:t>
      </w:r>
      <w:r w:rsidRPr="0071345C">
        <w:rPr>
          <w:i/>
          <w:iCs/>
          <w:lang w:val="en-US"/>
        </w:rPr>
        <w:t xml:space="preserve"> sampūr</w:t>
      </w:r>
      <w:r w:rsidRPr="0071345C">
        <w:rPr>
          <w:i/>
          <w:iCs/>
          <w:lang w:val="en-US"/>
        </w:rPr>
        <w:t>ṇ</w:t>
      </w:r>
      <w:r w:rsidRPr="0071345C">
        <w:rPr>
          <w:i/>
          <w:iCs/>
          <w:lang w:val="en-US"/>
        </w:rPr>
        <w:t>am.</w:t>
      </w:r>
    </w:p>
  </w:footnote>
  <w:footnote w:id="242">
    <w:p w14:paraId="00A101B5"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k</w:t>
      </w:r>
      <w:r w:rsidRPr="0071345C">
        <w:rPr>
          <w:i/>
          <w:iCs/>
          <w:lang w:val="en-US"/>
        </w:rPr>
        <w:t>ṣ</w:t>
      </w:r>
      <w:r w:rsidRPr="0071345C">
        <w:rPr>
          <w:i/>
          <w:iCs/>
          <w:lang w:val="en-US"/>
        </w:rPr>
        <w:t>atríyāya</w:t>
      </w:r>
      <w:r w:rsidRPr="0071345C">
        <w:rPr>
          <w:lang w:val="en-US"/>
        </w:rPr>
        <w:t xml:space="preserve"> “for him who is eligible for rule” cf. </w:t>
      </w:r>
      <w:r w:rsidRPr="0071345C">
        <w:rPr>
          <w:rStyle w:val="biblio-authorGEN"/>
          <w:sz w:val="18"/>
          <w:szCs w:val="15"/>
          <w:lang w:val="en-US"/>
        </w:rPr>
        <w:t>Proferes</w:t>
      </w:r>
      <w:r w:rsidRPr="0071345C">
        <w:rPr>
          <w:lang w:val="en-US"/>
        </w:rPr>
        <w:t xml:space="preserve"> 2007: 97.</w:t>
      </w:r>
    </w:p>
  </w:footnote>
  <w:footnote w:id="243">
    <w:p w14:paraId="3BCB3121"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As to </w:t>
      </w:r>
      <w:r w:rsidRPr="0071345C">
        <w:rPr>
          <w:lang w:val="en-US"/>
        </w:rPr>
        <w:t>the meaning of</w:t>
      </w:r>
      <w:r w:rsidRPr="0071345C">
        <w:rPr>
          <w:i/>
          <w:iCs/>
          <w:lang w:val="en-US"/>
        </w:rPr>
        <w:t xml:space="preserve"> ū́rjasvat-, ū́rj- </w:t>
      </w:r>
      <w:r w:rsidRPr="0071345C">
        <w:rPr>
          <w:lang w:val="en-US"/>
        </w:rPr>
        <w:t xml:space="preserve">see </w:t>
      </w:r>
      <w:r w:rsidRPr="0071345C">
        <w:rPr>
          <w:rStyle w:val="biblio-authorGEN"/>
          <w:sz w:val="18"/>
          <w:szCs w:val="15"/>
          <w:lang w:val="en-US"/>
        </w:rPr>
        <w:t>Scharfe</w:t>
      </w:r>
      <w:r w:rsidRPr="0071345C">
        <w:rPr>
          <w:lang w:val="en-US"/>
        </w:rPr>
        <w:t xml:space="preserve"> 1985: 545 and </w:t>
      </w:r>
      <w:r w:rsidRPr="0071345C">
        <w:rPr>
          <w:rStyle w:val="biblio-authorGEN"/>
          <w:sz w:val="18"/>
          <w:szCs w:val="15"/>
          <w:lang w:val="en-US"/>
        </w:rPr>
        <w:t>Proferes</w:t>
      </w:r>
      <w:r w:rsidRPr="0071345C">
        <w:rPr>
          <w:lang w:val="en-US"/>
        </w:rPr>
        <w:t xml:space="preserve"> 2007: 101.</w:t>
      </w:r>
    </w:p>
  </w:footnote>
  <w:footnote w:id="244">
    <w:p w14:paraId="7D28978D"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About </w:t>
      </w:r>
      <w:r w:rsidRPr="0071345C">
        <w:rPr>
          <w:i/>
          <w:iCs/>
          <w:lang w:val="en-US"/>
        </w:rPr>
        <w:t>várcas-</w:t>
      </w:r>
      <w:r w:rsidRPr="0071345C">
        <w:rPr>
          <w:lang w:val="en-US"/>
        </w:rPr>
        <w:t xml:space="preserve"> “vitale power, brilliance” EWAia: II 516 “Glanz”, see </w:t>
      </w:r>
      <w:r w:rsidRPr="0071345C">
        <w:rPr>
          <w:rStyle w:val="biblio-authorGEN"/>
          <w:sz w:val="18"/>
          <w:szCs w:val="18"/>
          <w:lang w:val="en-US"/>
        </w:rPr>
        <w:t>Proferes</w:t>
      </w:r>
      <w:r w:rsidRPr="0071345C">
        <w:rPr>
          <w:lang w:val="en-US"/>
        </w:rPr>
        <w:t xml:space="preserve"> 2007: 91 and 101-104; </w:t>
      </w:r>
      <w:r w:rsidRPr="0071345C">
        <w:rPr>
          <w:rStyle w:val="biblio-authorGEN"/>
          <w:sz w:val="18"/>
          <w:szCs w:val="15"/>
          <w:lang w:val="en-US"/>
        </w:rPr>
        <w:t>Gonda</w:t>
      </w:r>
      <w:r w:rsidRPr="0071345C">
        <w:rPr>
          <w:lang w:val="en-US"/>
        </w:rPr>
        <w:t xml:space="preserve"> 1992: VI/2 366-376.</w:t>
      </w:r>
    </w:p>
  </w:footnote>
  <w:footnote w:id="245">
    <w:p w14:paraId="194AFC5A" w14:textId="77777777" w:rsidR="00E53EB6" w:rsidRPr="0071345C" w:rsidRDefault="006500F5">
      <w:pPr>
        <w:pStyle w:val="FootnoteText"/>
        <w:rPr>
          <w:i/>
          <w:iCs/>
          <w:lang w:val="en-US"/>
        </w:rPr>
      </w:pPr>
      <w:r>
        <w:rPr>
          <w:rStyle w:val="FootnoteCharacters"/>
        </w:rPr>
        <w:footnoteRef/>
      </w:r>
      <w:r w:rsidRPr="0071345C">
        <w:rPr>
          <w:i/>
          <w:iCs/>
          <w:lang w:val="en-US"/>
        </w:rPr>
        <w:tab/>
        <w:t xml:space="preserve"> iti</w:t>
      </w:r>
    </w:p>
  </w:footnote>
  <w:footnote w:id="246">
    <w:p w14:paraId="6CBFD38C"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i/>
          <w:iCs/>
          <w:lang w:val="en-US"/>
        </w:rPr>
        <w:t>etasmai</w:t>
      </w:r>
      <w:r w:rsidRPr="0071345C">
        <w:rPr>
          <w:lang w:val="en-US"/>
        </w:rPr>
        <w:t xml:space="preserve"> (dat. m. sing. from the determinative pronoun </w:t>
      </w:r>
      <w:r w:rsidRPr="0071345C">
        <w:rPr>
          <w:i/>
          <w:iCs/>
          <w:lang w:val="en-US"/>
        </w:rPr>
        <w:t>e</w:t>
      </w:r>
      <w:r w:rsidRPr="0071345C">
        <w:rPr>
          <w:i/>
          <w:iCs/>
          <w:lang w:val="en-US"/>
        </w:rPr>
        <w:t>ṣ</w:t>
      </w:r>
      <w:r w:rsidRPr="0071345C">
        <w:rPr>
          <w:i/>
          <w:iCs/>
          <w:lang w:val="en-US"/>
        </w:rPr>
        <w:t>as</w:t>
      </w:r>
      <w:r w:rsidRPr="0071345C">
        <w:rPr>
          <w:lang w:val="en-US"/>
        </w:rPr>
        <w:t>-)</w:t>
      </w:r>
      <w:r w:rsidRPr="0071345C">
        <w:rPr>
          <w:lang w:val="en-US"/>
        </w:rPr>
        <w:t xml:space="preserve"> “to the consecrated”,</w:t>
      </w:r>
      <w:r w:rsidRPr="0071345C">
        <w:rPr>
          <w:lang w:val="en-US"/>
        </w:rPr>
        <w:t xml:space="preserve"> a</w:t>
      </w:r>
      <w:r w:rsidRPr="0071345C">
        <w:rPr>
          <w:lang w:val="en-US"/>
        </w:rPr>
        <w:t xml:space="preserve">s to the role of the </w:t>
      </w:r>
      <w:r w:rsidRPr="0071345C">
        <w:rPr>
          <w:i/>
          <w:iCs/>
          <w:lang w:val="en-US"/>
        </w:rPr>
        <w:t>dīk</w:t>
      </w:r>
      <w:r w:rsidRPr="0071345C">
        <w:rPr>
          <w:i/>
          <w:iCs/>
          <w:lang w:val="en-US"/>
        </w:rPr>
        <w:t>ṣ</w:t>
      </w:r>
      <w:r w:rsidRPr="0071345C">
        <w:rPr>
          <w:i/>
          <w:iCs/>
          <w:lang w:val="en-US"/>
        </w:rPr>
        <w:t>ita</w:t>
      </w:r>
      <w:r w:rsidRPr="0071345C">
        <w:rPr>
          <w:lang w:val="en-US"/>
        </w:rPr>
        <w:t xml:space="preserve"> see</w:t>
      </w:r>
      <w:r w:rsidRPr="0071345C">
        <w:rPr>
          <w:lang w:val="en-US"/>
        </w:rPr>
        <w:t xml:space="preserve"> among others, the analysis of </w:t>
      </w:r>
      <w:r w:rsidRPr="0071345C">
        <w:rPr>
          <w:rStyle w:val="biblio-authorGEN"/>
          <w:sz w:val="18"/>
          <w:szCs w:val="15"/>
          <w:lang w:val="en-US"/>
        </w:rPr>
        <w:t>Heesterman</w:t>
      </w:r>
      <w:r w:rsidRPr="0071345C">
        <w:rPr>
          <w:lang w:val="en-US"/>
        </w:rPr>
        <w:t xml:space="preserve"> 1964.</w:t>
      </w:r>
    </w:p>
  </w:footnote>
  <w:footnote w:id="247">
    <w:p w14:paraId="16238D4F"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i/>
          <w:iCs/>
          <w:lang w:val="en-US"/>
        </w:rPr>
        <w:t>āgame</w:t>
      </w:r>
      <w:r w:rsidRPr="0071345C">
        <w:rPr>
          <w:lang w:val="en-US"/>
        </w:rPr>
        <w:t xml:space="preserve">, </w:t>
      </w:r>
      <w:r w:rsidRPr="0071345C">
        <w:rPr>
          <w:lang w:val="en-US"/>
        </w:rPr>
        <w:t>stative aor. 3</w:t>
      </w:r>
      <w:r w:rsidRPr="0071345C">
        <w:rPr>
          <w:vertAlign w:val="superscript"/>
          <w:lang w:val="en-US"/>
        </w:rPr>
        <w:t>rd</w:t>
      </w:r>
      <w:r w:rsidRPr="0071345C">
        <w:rPr>
          <w:lang w:val="en-US"/>
        </w:rPr>
        <w:t xml:space="preserve"> sing. cf. </w:t>
      </w:r>
      <w:r w:rsidRPr="0071345C">
        <w:rPr>
          <w:rStyle w:val="biblio-authorGEN"/>
          <w:sz w:val="18"/>
          <w:szCs w:val="15"/>
          <w:lang w:val="en-US"/>
        </w:rPr>
        <w:t>Kümmel 1996</w:t>
      </w:r>
      <w:r w:rsidRPr="0071345C">
        <w:rPr>
          <w:lang w:val="en-US"/>
        </w:rPr>
        <w:t xml:space="preserve">. See also AVŚ 6.81.2c where </w:t>
      </w:r>
      <w:r w:rsidRPr="0071345C">
        <w:rPr>
          <w:i/>
          <w:iCs/>
          <w:lang w:val="en-US"/>
        </w:rPr>
        <w:t>āgame</w:t>
      </w:r>
      <w:r w:rsidRPr="0071345C">
        <w:rPr>
          <w:lang w:val="en-US"/>
        </w:rPr>
        <w:t xml:space="preserve"> is quite unclear</w:t>
      </w:r>
      <w:r w:rsidRPr="0071345C">
        <w:rPr>
          <w:lang w:val="en-US"/>
        </w:rPr>
        <w:t xml:space="preserve">, cf. </w:t>
      </w:r>
      <w:r w:rsidRPr="0071345C">
        <w:rPr>
          <w:rStyle w:val="biblio-authorGEN"/>
          <w:sz w:val="18"/>
          <w:szCs w:val="18"/>
          <w:lang w:val="en-US"/>
        </w:rPr>
        <w:t>Whitney-Lanman</w:t>
      </w:r>
      <w:r w:rsidRPr="0071345C">
        <w:rPr>
          <w:lang w:val="en-US"/>
        </w:rPr>
        <w:t xml:space="preserve"> 1905: I 341-2 for possible interpretations of the word. </w:t>
      </w:r>
    </w:p>
  </w:footnote>
  <w:footnote w:id="248">
    <w:p w14:paraId="6CF0D574"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sa</w:t>
      </w:r>
      <w:r w:rsidRPr="0071345C">
        <w:rPr>
          <w:i/>
          <w:iCs/>
          <w:lang w:val="en-US"/>
        </w:rPr>
        <w:t>ṃ</w:t>
      </w:r>
      <w:r w:rsidRPr="0071345C">
        <w:rPr>
          <w:i/>
          <w:iCs/>
          <w:lang w:val="en-US"/>
        </w:rPr>
        <w:t xml:space="preserve"> bhū-</w:t>
      </w:r>
      <w:r w:rsidRPr="0071345C">
        <w:rPr>
          <w:lang w:val="en-US"/>
        </w:rPr>
        <w:t xml:space="preserve">, </w:t>
      </w:r>
      <w:r w:rsidRPr="0071345C">
        <w:rPr>
          <w:lang w:val="en-US"/>
        </w:rPr>
        <w:t xml:space="preserve">“to affect s.o. (acc) with (instr.)”. The idea expressed here is that the production of the sacrifice is not directly connected with gods: the gods give the </w:t>
      </w:r>
      <w:r w:rsidRPr="0071345C">
        <w:rPr>
          <w:i/>
          <w:iCs/>
          <w:lang w:val="en-US"/>
        </w:rPr>
        <w:t>dak</w:t>
      </w:r>
      <w:r w:rsidRPr="0071345C">
        <w:rPr>
          <w:i/>
          <w:iCs/>
          <w:lang w:val="en-US"/>
        </w:rPr>
        <w:t>ṣ</w:t>
      </w:r>
      <w:r w:rsidRPr="0071345C">
        <w:rPr>
          <w:i/>
          <w:iCs/>
          <w:lang w:val="en-US"/>
        </w:rPr>
        <w:t>inā</w:t>
      </w:r>
      <w:r w:rsidRPr="0071345C">
        <w:rPr>
          <w:i/>
          <w:iCs/>
          <w:lang w:val="en-US"/>
        </w:rPr>
        <w:t>ḥ</w:t>
      </w:r>
      <w:r w:rsidRPr="0071345C">
        <w:rPr>
          <w:lang w:val="en-US"/>
        </w:rPr>
        <w:t xml:space="preserve"> (nourishment) to the consecrated. With that he generates the sacrifice. The sacrifice will, at the end, reach the gods. The image underlying the whole passage is that of circular passage between gods and men.</w:t>
      </w:r>
    </w:p>
  </w:footnote>
  <w:footnote w:id="249">
    <w:p w14:paraId="6E39C776"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Lord of animals, Paśupati can be an epithet</w:t>
      </w:r>
      <w:r w:rsidRPr="0071345C">
        <w:rPr>
          <w:lang w:val="en-US"/>
        </w:rPr>
        <w:t xml:space="preserve"> applied to many deities, for eg.  Rudra, who is the Lord of the cattle </w:t>
      </w:r>
      <w:r w:rsidRPr="0071345C">
        <w:rPr>
          <w:i/>
          <w:iCs/>
          <w:lang w:val="en-US"/>
        </w:rPr>
        <w:t>par excellence,</w:t>
      </w:r>
      <w:r w:rsidRPr="0071345C">
        <w:rPr>
          <w:lang w:val="en-US"/>
        </w:rPr>
        <w:t xml:space="preserve"> but it can also  represent a god himself</w:t>
      </w:r>
      <w:r w:rsidRPr="0071345C">
        <w:rPr>
          <w:i/>
          <w:iCs/>
          <w:lang w:val="en-US"/>
        </w:rPr>
        <w:t xml:space="preserve">. </w:t>
      </w:r>
    </w:p>
  </w:footnote>
  <w:footnote w:id="250">
    <w:p w14:paraId="39A5F1AE"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i/>
          <w:iCs/>
          <w:lang w:val="en-US"/>
        </w:rPr>
        <w:t xml:space="preserve">sadr̥śā </w:t>
      </w:r>
      <w:r w:rsidRPr="0071345C">
        <w:rPr>
          <w:i/>
          <w:iCs/>
          <w:lang w:val="en-US"/>
        </w:rPr>
        <w:t>uta / te</w:t>
      </w:r>
      <w:r w:rsidRPr="0071345C">
        <w:rPr>
          <w:i/>
          <w:iCs/>
          <w:lang w:val="en-US"/>
        </w:rPr>
        <w:t>ṣ</w:t>
      </w:r>
      <w:r w:rsidRPr="0071345C">
        <w:rPr>
          <w:i/>
          <w:iCs/>
          <w:lang w:val="en-US"/>
        </w:rPr>
        <w:t>ā</w:t>
      </w:r>
      <w:r w:rsidRPr="0071345C">
        <w:rPr>
          <w:i/>
          <w:iCs/>
          <w:lang w:val="en-US"/>
        </w:rPr>
        <w:t>ṃ</w:t>
      </w:r>
      <w:r w:rsidRPr="0071345C">
        <w:rPr>
          <w:lang w:val="en-US"/>
        </w:rPr>
        <w:t xml:space="preserve"> </w:t>
      </w:r>
      <w:r w:rsidRPr="0071345C">
        <w:rPr>
          <w:lang w:val="en-US"/>
        </w:rPr>
        <w:t xml:space="preserve">could be also interpreted referring </w:t>
      </w:r>
      <w:r w:rsidRPr="0071345C">
        <w:rPr>
          <w:i/>
          <w:iCs/>
          <w:lang w:val="en-US"/>
        </w:rPr>
        <w:t>te</w:t>
      </w:r>
      <w:r w:rsidRPr="0071345C">
        <w:rPr>
          <w:i/>
          <w:iCs/>
          <w:lang w:val="en-US"/>
        </w:rPr>
        <w:t>ṣ</w:t>
      </w:r>
      <w:r w:rsidRPr="0071345C">
        <w:rPr>
          <w:i/>
          <w:iCs/>
          <w:lang w:val="en-US"/>
        </w:rPr>
        <w:t>ā</w:t>
      </w:r>
      <w:r w:rsidRPr="0071345C">
        <w:rPr>
          <w:i/>
          <w:iCs/>
          <w:lang w:val="en-US"/>
        </w:rPr>
        <w:t>ṃ</w:t>
      </w:r>
      <w:r w:rsidRPr="0071345C">
        <w:rPr>
          <w:i/>
          <w:iCs/>
          <w:lang w:val="en-US"/>
        </w:rPr>
        <w:t xml:space="preserve"> </w:t>
      </w:r>
      <w:r w:rsidRPr="0071345C">
        <w:rPr>
          <w:lang w:val="en-US"/>
        </w:rPr>
        <w:t xml:space="preserve">to </w:t>
      </w:r>
      <w:r w:rsidRPr="0071345C">
        <w:rPr>
          <w:i/>
          <w:iCs/>
          <w:lang w:val="en-US"/>
        </w:rPr>
        <w:t>sadr̥śā</w:t>
      </w:r>
      <w:r w:rsidRPr="0071345C">
        <w:rPr>
          <w:i/>
          <w:iCs/>
          <w:lang w:val="en-US"/>
        </w:rPr>
        <w:t>ḥ</w:t>
      </w:r>
      <w:r w:rsidRPr="0071345C">
        <w:rPr>
          <w:lang w:val="en-US"/>
        </w:rPr>
        <w:t xml:space="preserve"> </w:t>
      </w:r>
      <w:r w:rsidRPr="0071345C">
        <w:rPr>
          <w:lang w:val="en-US"/>
        </w:rPr>
        <w:t xml:space="preserve">(plus gen.), the animals are, thus, </w:t>
      </w:r>
      <w:r w:rsidRPr="0071345C">
        <w:rPr>
          <w:lang w:val="en-US"/>
        </w:rPr>
        <w:t>similar to these here -the men or maybe the animals that are actually to be sacrificed (</w:t>
      </w:r>
      <w:r w:rsidRPr="0071345C">
        <w:rPr>
          <w:i/>
          <w:iCs/>
          <w:lang w:val="en-US"/>
        </w:rPr>
        <w:t>paśu</w:t>
      </w:r>
      <w:r w:rsidRPr="0071345C">
        <w:rPr>
          <w:lang w:val="en-US"/>
        </w:rPr>
        <w:t>-</w:t>
      </w:r>
      <w:r w:rsidRPr="0071345C">
        <w:rPr>
          <w:lang w:val="en-US"/>
        </w:rPr>
        <w:t xml:space="preserve">)-: “The animals of Paśupati are manifold and similar to these here”. On the other hand, the animals can be manifold and though similar along the  </w:t>
      </w:r>
      <w:r w:rsidRPr="0071345C">
        <w:rPr>
          <w:color w:val="000000"/>
          <w:lang w:val="en-US"/>
        </w:rPr>
        <w:t>contradictory</w:t>
      </w:r>
      <w:r w:rsidRPr="0071345C">
        <w:rPr>
          <w:lang w:val="en-US"/>
        </w:rPr>
        <w:t xml:space="preserve"> sp</w:t>
      </w:r>
      <w:r w:rsidRPr="0071345C">
        <w:rPr>
          <w:lang w:val="en-US"/>
        </w:rPr>
        <w:t>eech which is common in the Vedic logic.The genitive plural of the demonstrative pronoun is then referred to the priests performing the rite (cf. TS 3.1.4.1b). Moreover the symmetrical structure with the two genitives suggests the presence of two level: wh</w:t>
      </w:r>
      <w:r w:rsidRPr="0071345C">
        <w:rPr>
          <w:lang w:val="en-US"/>
        </w:rPr>
        <w:t xml:space="preserve">at belongs to divine level (the macro-cosmic one) and what belongs to the ritual level (the meso-cosmic one). The animal, symbol of the sacrifice, shares both the levels. </w:t>
      </w:r>
    </w:p>
  </w:footnote>
  <w:footnote w:id="251">
    <w:p w14:paraId="2E3564C6"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i/>
          <w:iCs/>
          <w:lang w:val="en-US"/>
        </w:rPr>
        <w:t>svarā́j</w:t>
      </w:r>
      <w:r w:rsidRPr="0071345C">
        <w:rPr>
          <w:lang w:val="en-US"/>
        </w:rPr>
        <w:t xml:space="preserve">- </w:t>
      </w:r>
      <w:r w:rsidRPr="0071345C">
        <w:rPr>
          <w:lang w:val="en-US"/>
        </w:rPr>
        <w:t xml:space="preserve">is the subject of the action and is an epithet of Agni who is also Lord </w:t>
      </w:r>
      <w:r w:rsidRPr="0071345C">
        <w:rPr>
          <w:lang w:val="en-US"/>
        </w:rPr>
        <w:t>of the animals, cf. the same passage in TS 3.1.4.1b where the subject is Agni and the same verb is used (</w:t>
      </w:r>
      <w:r w:rsidRPr="0071345C">
        <w:rPr>
          <w:i/>
          <w:iCs/>
          <w:lang w:val="en-US"/>
        </w:rPr>
        <w:t>á</w:t>
      </w:r>
      <w:r w:rsidRPr="0071345C">
        <w:rPr>
          <w:i/>
          <w:iCs/>
          <w:lang w:val="en-US"/>
        </w:rPr>
        <w:t>nu manyasva</w:t>
      </w:r>
      <w:r w:rsidRPr="0071345C">
        <w:rPr>
          <w:lang w:val="en-US"/>
        </w:rPr>
        <w:t>)</w:t>
      </w:r>
      <w:r w:rsidRPr="0071345C">
        <w:rPr>
          <w:lang w:val="en-US"/>
        </w:rPr>
        <w:t>.  According to TS what Agni should approve is the sacrificial action itself performed by the priests.</w:t>
      </w:r>
    </w:p>
  </w:footnote>
  <w:footnote w:id="252">
    <w:p w14:paraId="5167BB1F"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k</w:t>
      </w:r>
      <w:r w:rsidRPr="0071345C">
        <w:rPr>
          <w:i/>
          <w:iCs/>
          <w:lang w:val="en-US"/>
        </w:rPr>
        <w:t>ṣ</w:t>
      </w:r>
      <w:r w:rsidRPr="0071345C">
        <w:rPr>
          <w:i/>
          <w:iCs/>
          <w:lang w:val="en-US"/>
        </w:rPr>
        <w:t>atríyāya</w:t>
      </w:r>
      <w:r w:rsidRPr="0071345C">
        <w:rPr>
          <w:lang w:val="en-US"/>
        </w:rPr>
        <w:t xml:space="preserve"> “for him who is eligi</w:t>
      </w:r>
      <w:r w:rsidRPr="0071345C">
        <w:rPr>
          <w:lang w:val="en-US"/>
        </w:rPr>
        <w:t xml:space="preserve">ble for rule” cf. </w:t>
      </w:r>
      <w:r w:rsidRPr="0071345C">
        <w:rPr>
          <w:rStyle w:val="biblio-authorGEN"/>
          <w:sz w:val="18"/>
          <w:szCs w:val="15"/>
          <w:lang w:val="en-US"/>
        </w:rPr>
        <w:t>Proferes</w:t>
      </w:r>
      <w:r w:rsidRPr="0071345C">
        <w:rPr>
          <w:lang w:val="en-US"/>
        </w:rPr>
        <w:t xml:space="preserve"> 2007: 97.</w:t>
      </w:r>
    </w:p>
  </w:footnote>
  <w:footnote w:id="253">
    <w:p w14:paraId="13828123"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ojas- </w:t>
      </w:r>
      <w:r w:rsidRPr="0071345C">
        <w:rPr>
          <w:lang w:val="en-US"/>
        </w:rPr>
        <w:t>is “vigour” as well as “juice”, therefore the translation tries to keep also the material tinge-shade that this word conveys within the idea of vigour.</w:t>
      </w:r>
    </w:p>
  </w:footnote>
  <w:footnote w:id="254">
    <w:p w14:paraId="10A0CC46" w14:textId="77777777" w:rsidR="00E53EB6" w:rsidRPr="0071345C" w:rsidRDefault="006500F5">
      <w:pPr>
        <w:pStyle w:val="FootnoteText"/>
        <w:rPr>
          <w:i/>
          <w:iCs/>
          <w:lang w:val="en-US"/>
        </w:rPr>
      </w:pPr>
      <w:r>
        <w:rPr>
          <w:rStyle w:val="FootnoteCharacters"/>
        </w:rPr>
        <w:footnoteRef/>
      </w:r>
      <w:r w:rsidRPr="0071345C">
        <w:rPr>
          <w:i/>
          <w:iCs/>
          <w:lang w:val="en-US"/>
        </w:rPr>
        <w:tab/>
        <w:t xml:space="preserve"> upasadyāya</w:t>
      </w:r>
      <w:r w:rsidRPr="0071345C">
        <w:rPr>
          <w:lang w:val="en-US"/>
        </w:rPr>
        <w:t xml:space="preserve"> </w:t>
      </w:r>
      <w:r>
        <w:rPr>
          <w:rFonts w:ascii="Sabon Unicode" w:hAnsi="Sabon Unicode"/>
          <w:i/>
          <w:iCs/>
          <w:color w:val="000000"/>
          <w:sz w:val="18"/>
          <w:szCs w:val="18"/>
          <w:lang w:val="en-GB"/>
        </w:rPr>
        <w:t>mī</w:t>
      </w:r>
      <w:r>
        <w:rPr>
          <w:rFonts w:ascii="Sabon Unicode" w:hAnsi="Sabon Unicode"/>
          <w:i/>
          <w:iCs/>
          <w:color w:val="000000"/>
          <w:sz w:val="18"/>
          <w:szCs w:val="18"/>
          <w:lang w:val="en-GB"/>
        </w:rPr>
        <w:t>ḷ</w:t>
      </w:r>
      <w:r>
        <w:rPr>
          <w:rFonts w:ascii="Sabon Unicode" w:hAnsi="Sabon Unicode"/>
          <w:i/>
          <w:iCs/>
          <w:color w:val="000000"/>
          <w:sz w:val="18"/>
          <w:szCs w:val="18"/>
          <w:lang w:val="en-GB"/>
        </w:rPr>
        <w:t>hu</w:t>
      </w:r>
      <w:r>
        <w:rPr>
          <w:rFonts w:ascii="Sabon Unicode" w:hAnsi="Sabon Unicode"/>
          <w:i/>
          <w:iCs/>
          <w:color w:val="000000"/>
          <w:sz w:val="18"/>
          <w:szCs w:val="18"/>
          <w:lang w:val="en-GB"/>
        </w:rPr>
        <w:t>ṣ</w:t>
      </w:r>
      <w:r>
        <w:rPr>
          <w:rFonts w:ascii="Sabon Unicode" w:hAnsi="Sabon Unicode"/>
          <w:i/>
          <w:iCs/>
          <w:color w:val="000000"/>
          <w:sz w:val="18"/>
          <w:szCs w:val="18"/>
          <w:lang w:val="en-GB"/>
        </w:rPr>
        <w:t xml:space="preserve">a </w:t>
      </w:r>
      <w:r>
        <w:rPr>
          <w:rFonts w:ascii="Sabon Unicode" w:hAnsi="Sabon Unicode"/>
          <w:color w:val="000000"/>
          <w:sz w:val="18"/>
          <w:szCs w:val="18"/>
          <w:lang w:val="en-GB"/>
        </w:rPr>
        <w:t>= R̥V 7.15.1</w:t>
      </w:r>
    </w:p>
  </w:footnote>
  <w:footnote w:id="255">
    <w:p w14:paraId="03C94185" w14:textId="77777777" w:rsidR="00E53EB6" w:rsidRPr="0071345C" w:rsidRDefault="006500F5">
      <w:pPr>
        <w:pStyle w:val="FootnoteText"/>
        <w:rPr>
          <w:i/>
          <w:iCs/>
          <w:lang w:val="en-US"/>
        </w:rPr>
      </w:pPr>
      <w:r>
        <w:rPr>
          <w:rStyle w:val="FootnoteCharacters"/>
        </w:rPr>
        <w:footnoteRef/>
      </w:r>
      <w:r w:rsidRPr="0071345C">
        <w:rPr>
          <w:i/>
          <w:iCs/>
          <w:lang w:val="en-US"/>
        </w:rPr>
        <w:tab/>
        <w:t xml:space="preserve"> imām </w:t>
      </w:r>
      <w:r w:rsidRPr="0071345C">
        <w:rPr>
          <w:lang w:val="en-US"/>
        </w:rPr>
        <w:t xml:space="preserve">[…] </w:t>
      </w:r>
      <w:r>
        <w:rPr>
          <w:rFonts w:ascii="Sabon Unicode" w:hAnsi="Sabon Unicode"/>
          <w:i/>
          <w:iCs/>
          <w:color w:val="000000"/>
          <w:sz w:val="18"/>
          <w:szCs w:val="18"/>
          <w:lang w:val="en-GB"/>
        </w:rPr>
        <w:t xml:space="preserve">vaner </w:t>
      </w:r>
      <w:r>
        <w:rPr>
          <w:rFonts w:ascii="Sabon Unicode" w:hAnsi="Sabon Unicode"/>
          <w:color w:val="000000"/>
          <w:sz w:val="18"/>
          <w:szCs w:val="18"/>
          <w:lang w:val="en-GB"/>
        </w:rPr>
        <w:t>R̥V 2</w:t>
      </w:r>
      <w:r>
        <w:rPr>
          <w:rFonts w:ascii="Sabon Unicode" w:hAnsi="Sabon Unicode"/>
          <w:color w:val="000000"/>
          <w:sz w:val="18"/>
          <w:szCs w:val="18"/>
          <w:lang w:val="en-GB"/>
        </w:rPr>
        <w:t>.6.1ab</w:t>
      </w:r>
    </w:p>
  </w:footnote>
  <w:footnote w:id="256">
    <w:p w14:paraId="5AE3459C" w14:textId="77777777" w:rsidR="00E53EB6" w:rsidRPr="0071345C" w:rsidRDefault="006500F5">
      <w:pPr>
        <w:pStyle w:val="FootnoteText"/>
        <w:rPr>
          <w:i/>
          <w:iCs/>
          <w:lang w:val="en-US"/>
        </w:rPr>
      </w:pPr>
      <w:r>
        <w:rPr>
          <w:rStyle w:val="FootnoteCharacters"/>
        </w:rPr>
        <w:footnoteRef/>
      </w:r>
      <w:r w:rsidRPr="0071345C">
        <w:rPr>
          <w:i/>
          <w:iCs/>
          <w:lang w:val="en-US"/>
        </w:rPr>
        <w:tab/>
        <w:t xml:space="preserve"> upasadya-, </w:t>
      </w:r>
      <w:r>
        <w:rPr>
          <w:lang w:val="en-GB"/>
        </w:rPr>
        <w:t xml:space="preserve">“to be worshipped, to be addressed with respect” is the gerundive of the verb </w:t>
      </w:r>
      <w:r>
        <w:rPr>
          <w:i/>
          <w:iCs/>
          <w:lang w:val="en-GB"/>
        </w:rPr>
        <w:t xml:space="preserve">upasad- </w:t>
      </w:r>
      <w:r>
        <w:rPr>
          <w:lang w:val="en-GB"/>
        </w:rPr>
        <w:t xml:space="preserve">“to seat near, to approach respectfully” and the same root is used in the next verses as abstract noun, as the god is asked to appropriate  </w:t>
      </w:r>
      <w:r>
        <w:rPr>
          <w:rFonts w:ascii="Sabon Unicode" w:hAnsi="Sabon Unicode"/>
          <w:i/>
          <w:iCs/>
          <w:color w:val="000000"/>
          <w:sz w:val="18"/>
          <w:szCs w:val="18"/>
          <w:lang w:val="en-GB"/>
        </w:rPr>
        <w:t xml:space="preserve">samidham </w:t>
      </w:r>
      <w:r>
        <w:rPr>
          <w:rFonts w:ascii="Sabon Unicode" w:hAnsi="Sabon Unicode"/>
          <w:color w:val="000000"/>
          <w:sz w:val="18"/>
          <w:szCs w:val="18"/>
          <w:lang w:val="en-GB"/>
        </w:rPr>
        <w:t>and</w:t>
      </w:r>
      <w:r>
        <w:rPr>
          <w:rFonts w:ascii="Sabon Unicode" w:hAnsi="Sabon Unicode"/>
          <w:i/>
          <w:iCs/>
          <w:color w:val="000000"/>
          <w:sz w:val="18"/>
          <w:szCs w:val="18"/>
          <w:lang w:val="en-GB"/>
        </w:rPr>
        <w:t xml:space="preserve"> upasada</w:t>
      </w:r>
      <w:r>
        <w:rPr>
          <w:rFonts w:ascii="Sabon Unicode" w:hAnsi="Sabon Unicode"/>
          <w:i/>
          <w:iCs/>
          <w:color w:val="000000"/>
          <w:sz w:val="18"/>
          <w:szCs w:val="18"/>
          <w:lang w:val="en-GB"/>
        </w:rPr>
        <w:t>ṃ</w:t>
      </w:r>
      <w:r>
        <w:rPr>
          <w:rFonts w:ascii="Sabon Unicode" w:hAnsi="Sabon Unicode"/>
          <w:i/>
          <w:iCs/>
          <w:color w:val="000000"/>
          <w:sz w:val="18"/>
          <w:szCs w:val="18"/>
          <w:lang w:val="en-GB"/>
        </w:rPr>
        <w:t>.</w:t>
      </w:r>
    </w:p>
  </w:footnote>
  <w:footnote w:id="257">
    <w:p w14:paraId="5BF257A6" w14:textId="77777777" w:rsidR="00E53EB6" w:rsidRPr="0071345C" w:rsidRDefault="006500F5">
      <w:pPr>
        <w:pStyle w:val="FootnoteText"/>
        <w:rPr>
          <w:i/>
          <w:iCs/>
          <w:lang w:val="en-US"/>
        </w:rPr>
      </w:pPr>
      <w:r>
        <w:rPr>
          <w:rStyle w:val="FootnoteCharacters"/>
        </w:rPr>
        <w:footnoteRef/>
      </w:r>
      <w:r w:rsidRPr="0071345C">
        <w:rPr>
          <w:i/>
          <w:iCs/>
          <w:lang w:val="en-US"/>
        </w:rPr>
        <w:tab/>
        <w:t xml:space="preserve"> tisrastisra</w:t>
      </w:r>
      <w:r w:rsidRPr="0071345C">
        <w:rPr>
          <w:i/>
          <w:iCs/>
          <w:lang w:val="en-US"/>
        </w:rPr>
        <w:t>ḥ</w:t>
      </w:r>
      <w:r w:rsidRPr="0071345C">
        <w:rPr>
          <w:i/>
          <w:iCs/>
          <w:lang w:val="en-US"/>
        </w:rPr>
        <w:t>,</w:t>
      </w:r>
      <w:r w:rsidRPr="0071345C">
        <w:rPr>
          <w:lang w:val="en-US"/>
        </w:rPr>
        <w:t xml:space="preserve"> </w:t>
      </w:r>
      <w:r>
        <w:rPr>
          <w:lang w:val="en-GB"/>
        </w:rPr>
        <w:t>the repetition of the cardinal has a distributive force. As also Sāya</w:t>
      </w:r>
      <w:r>
        <w:rPr>
          <w:lang w:val="en-GB"/>
        </w:rPr>
        <w:t>ṇ</w:t>
      </w:r>
      <w:r>
        <w:rPr>
          <w:lang w:val="en-GB"/>
        </w:rPr>
        <w:t xml:space="preserve">a explains the sentence, the kindling verses are thus the three verses of each hymn quoted through the first </w:t>
      </w:r>
      <w:r>
        <w:rPr>
          <w:i/>
          <w:iCs/>
          <w:lang w:val="en-GB"/>
        </w:rPr>
        <w:t>pāda</w:t>
      </w:r>
      <w:r>
        <w:rPr>
          <w:lang w:val="en-GB"/>
        </w:rPr>
        <w:t xml:space="preserve"> </w:t>
      </w:r>
      <w:r>
        <w:rPr>
          <w:i/>
          <w:iCs/>
          <w:lang w:val="en-GB"/>
        </w:rPr>
        <w:t>(pratīka</w:t>
      </w:r>
      <w:r>
        <w:rPr>
          <w:lang w:val="en-GB"/>
        </w:rPr>
        <w:t xml:space="preserve">), namely R̥V 7.15.1 and 2.6.1. </w:t>
      </w:r>
    </w:p>
  </w:footnote>
  <w:footnote w:id="258">
    <w:p w14:paraId="7B195D4F" w14:textId="77777777" w:rsidR="00E53EB6" w:rsidRDefault="006500F5">
      <w:pPr>
        <w:pStyle w:val="FootnoteText"/>
        <w:rPr>
          <w:i/>
          <w:iCs/>
          <w:lang w:val="en-GB"/>
        </w:rPr>
      </w:pPr>
      <w:r>
        <w:rPr>
          <w:rStyle w:val="FootnoteCharacters"/>
        </w:rPr>
        <w:footnoteRef/>
      </w:r>
      <w:r>
        <w:rPr>
          <w:i/>
          <w:iCs/>
          <w:lang w:val="en-GB"/>
        </w:rPr>
        <w:tab/>
        <w:t xml:space="preserve"> karman, </w:t>
      </w:r>
      <w:r>
        <w:rPr>
          <w:lang w:val="en-GB"/>
        </w:rPr>
        <w:t>“action” and “sacrif</w:t>
      </w:r>
      <w:r>
        <w:rPr>
          <w:lang w:val="en-GB"/>
        </w:rPr>
        <w:t>ice” as the pivotal action,</w:t>
      </w:r>
      <w:r>
        <w:rPr>
          <w:i/>
          <w:iCs/>
          <w:lang w:val="en-GB"/>
        </w:rPr>
        <w:t xml:space="preserve"> </w:t>
      </w:r>
      <w:r>
        <w:rPr>
          <w:lang w:val="en-GB"/>
        </w:rPr>
        <w:t xml:space="preserve">is the cognate object of </w:t>
      </w:r>
      <w:r>
        <w:rPr>
          <w:i/>
          <w:iCs/>
          <w:lang w:val="en-GB"/>
        </w:rPr>
        <w:t>kriyamā</w:t>
      </w:r>
      <w:r>
        <w:rPr>
          <w:i/>
          <w:iCs/>
          <w:lang w:val="en-GB"/>
        </w:rPr>
        <w:t>ṇ</w:t>
      </w:r>
      <w:r>
        <w:rPr>
          <w:i/>
          <w:iCs/>
          <w:lang w:val="en-GB"/>
        </w:rPr>
        <w:t xml:space="preserve">am, </w:t>
      </w:r>
      <w:r>
        <w:rPr>
          <w:lang w:val="en-GB"/>
        </w:rPr>
        <w:t xml:space="preserve"> the etymologic accusative cannot be reproduced in the translation, unless with an hazard: “the sacrifice which is being sacrificed”. </w:t>
      </w:r>
    </w:p>
  </w:footnote>
  <w:footnote w:id="259">
    <w:p w14:paraId="171D9005"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devayánta</w:t>
      </w:r>
      <w:r w:rsidRPr="0071345C">
        <w:rPr>
          <w:i/>
          <w:iCs/>
          <w:lang w:val="en-US"/>
        </w:rPr>
        <w:t>ḥ</w:t>
      </w:r>
      <w:r w:rsidRPr="0071345C">
        <w:rPr>
          <w:lang w:val="en-US"/>
        </w:rPr>
        <w:t xml:space="preserve"> is referring to the priests and probably t</w:t>
      </w:r>
      <w:r w:rsidRPr="0071345C">
        <w:rPr>
          <w:lang w:val="en-US"/>
        </w:rPr>
        <w:t xml:space="preserve">o the </w:t>
      </w:r>
      <w:r w:rsidRPr="0071345C">
        <w:rPr>
          <w:i/>
          <w:iCs/>
          <w:lang w:val="en-US"/>
        </w:rPr>
        <w:t>yajamāna</w:t>
      </w:r>
      <w:r w:rsidRPr="0071345C">
        <w:rPr>
          <w:lang w:val="en-US"/>
        </w:rPr>
        <w:t xml:space="preserve"> and his wife who are performing the rite, see </w:t>
      </w:r>
      <w:r w:rsidRPr="0071345C">
        <w:rPr>
          <w:rStyle w:val="biblio-authorGEN"/>
          <w:sz w:val="18"/>
          <w:szCs w:val="18"/>
          <w:lang w:val="en-US"/>
        </w:rPr>
        <w:t>Proferes</w:t>
      </w:r>
      <w:r w:rsidRPr="0071345C">
        <w:rPr>
          <w:lang w:val="en-US"/>
        </w:rPr>
        <w:t xml:space="preserve"> 2003a: 323.</w:t>
      </w:r>
    </w:p>
  </w:footnote>
  <w:footnote w:id="260">
    <w:p w14:paraId="642ACE14"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Vanaspati is the Lord of wood, of the forest but also the tree of desire; despite the homophony, the noun-root </w:t>
      </w:r>
      <w:r w:rsidRPr="0071345C">
        <w:rPr>
          <w:i/>
          <w:iCs/>
          <w:lang w:val="en-US"/>
        </w:rPr>
        <w:t>ván-</w:t>
      </w:r>
      <w:r w:rsidRPr="0071345C">
        <w:rPr>
          <w:lang w:val="en-US"/>
        </w:rPr>
        <w:t xml:space="preserve"> should still not be considered as a derivate from the v</w:t>
      </w:r>
      <w:r w:rsidRPr="0071345C">
        <w:rPr>
          <w:lang w:val="en-US"/>
        </w:rPr>
        <w:t xml:space="preserve">erbal root </w:t>
      </w:r>
      <w:r w:rsidRPr="0071345C">
        <w:rPr>
          <w:i/>
          <w:iCs/>
          <w:lang w:val="en-US"/>
        </w:rPr>
        <w:t>van-</w:t>
      </w:r>
      <w:r w:rsidRPr="0071345C">
        <w:rPr>
          <w:lang w:val="en-US"/>
        </w:rPr>
        <w:t>: the relation between the two roots is quite uncertain (see EWAia: II 500).</w:t>
      </w:r>
    </w:p>
  </w:footnote>
  <w:footnote w:id="261">
    <w:p w14:paraId="5930D34B"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mádhu</w:t>
      </w:r>
      <w:r w:rsidRPr="0071345C">
        <w:rPr>
          <w:lang w:val="en-US"/>
        </w:rPr>
        <w:t>-</w:t>
      </w:r>
      <w:r w:rsidRPr="0071345C">
        <w:rPr>
          <w:lang w:val="en-US"/>
        </w:rPr>
        <w:t xml:space="preserve"> is sweetness connected with the honey, Bha</w:t>
      </w:r>
      <w:r w:rsidRPr="0071345C">
        <w:rPr>
          <w:lang w:val="en-US"/>
        </w:rPr>
        <w:t>ṭṭ</w:t>
      </w:r>
      <w:r w:rsidRPr="0071345C">
        <w:rPr>
          <w:lang w:val="en-US"/>
        </w:rPr>
        <w:t xml:space="preserve">a Bhāskara Miśra, in his commentary to the TB, glosses with </w:t>
      </w:r>
      <w:r w:rsidRPr="0071345C">
        <w:rPr>
          <w:i/>
          <w:iCs/>
          <w:lang w:val="en-US"/>
        </w:rPr>
        <w:t>madhurasa</w:t>
      </w:r>
      <w:r w:rsidRPr="0071345C">
        <w:rPr>
          <w:lang w:val="en-US"/>
        </w:rPr>
        <w:t xml:space="preserve"> </w:t>
      </w:r>
      <w:r w:rsidRPr="0071345C">
        <w:rPr>
          <w:lang w:val="en-US"/>
        </w:rPr>
        <w:t>“juice of honey”, while  AB 2.2 explains</w:t>
      </w:r>
      <w:r w:rsidRPr="0071345C">
        <w:rPr>
          <w:lang w:val="en-US"/>
        </w:rPr>
        <w:t xml:space="preserve"> the divine sweetness as clarified butter, </w:t>
      </w:r>
      <w:r w:rsidRPr="0071345C">
        <w:rPr>
          <w:i/>
          <w:iCs/>
          <w:lang w:val="en-US"/>
        </w:rPr>
        <w:t>ā́jya</w:t>
      </w:r>
      <w:r w:rsidRPr="0071345C">
        <w:rPr>
          <w:lang w:val="en-US"/>
        </w:rPr>
        <w:t>-.</w:t>
      </w:r>
    </w:p>
  </w:footnote>
  <w:footnote w:id="262">
    <w:p w14:paraId="4126D204"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súmiti</w:t>
      </w:r>
      <w:r w:rsidRPr="0071345C">
        <w:rPr>
          <w:lang w:val="en-US"/>
        </w:rPr>
        <w:t xml:space="preserve">- </w:t>
      </w:r>
      <w:r w:rsidRPr="0071345C">
        <w:rPr>
          <w:lang w:val="en-US"/>
        </w:rPr>
        <w:t>“a well made fixing” (</w:t>
      </w:r>
      <w:r w:rsidRPr="0071345C">
        <w:rPr>
          <w:rStyle w:val="biblio-authorGEN"/>
          <w:sz w:val="18"/>
          <w:szCs w:val="15"/>
          <w:lang w:val="en-US"/>
        </w:rPr>
        <w:t>Grassmann</w:t>
      </w:r>
      <w:r w:rsidRPr="0071345C">
        <w:rPr>
          <w:lang w:val="en-US"/>
        </w:rPr>
        <w:t xml:space="preserve"> 1875 [ed.1996: 555] “schöne Aufrichtung”). </w:t>
      </w:r>
      <w:r w:rsidRPr="0071345C">
        <w:rPr>
          <w:i/>
          <w:iCs/>
          <w:lang w:val="en-US"/>
        </w:rPr>
        <w:t>Súmitī mīyámāna</w:t>
      </w:r>
      <w:r w:rsidRPr="0071345C">
        <w:rPr>
          <w:i/>
          <w:iCs/>
          <w:lang w:val="en-US"/>
        </w:rPr>
        <w:t>ḥ</w:t>
      </w:r>
      <w:r w:rsidRPr="0071345C">
        <w:rPr>
          <w:lang w:val="en-US"/>
        </w:rPr>
        <w:t xml:space="preserve"> </w:t>
      </w:r>
      <w:r w:rsidRPr="0071345C">
        <w:rPr>
          <w:lang w:val="en-US"/>
        </w:rPr>
        <w:t xml:space="preserve">represents a frequent figure of speech (a figura etymologica) </w:t>
      </w:r>
      <w:r w:rsidRPr="0071345C">
        <w:rPr>
          <w:lang w:val="en-US"/>
        </w:rPr>
        <w:t>being t</w:t>
      </w:r>
      <w:r w:rsidRPr="0071345C">
        <w:rPr>
          <w:lang w:val="en-US"/>
        </w:rPr>
        <w:t xml:space="preserve">he noun a derivate of the same root as the part. pres. </w:t>
      </w:r>
      <w:r w:rsidRPr="0071345C">
        <w:rPr>
          <w:i/>
          <w:iCs/>
          <w:lang w:val="en-US"/>
        </w:rPr>
        <w:t>mīyamāna</w:t>
      </w:r>
      <w:r w:rsidRPr="0071345C">
        <w:rPr>
          <w:i/>
          <w:iCs/>
          <w:lang w:val="en-US"/>
        </w:rPr>
        <w:t>ḥ</w:t>
      </w:r>
      <w:r w:rsidRPr="0071345C">
        <w:rPr>
          <w:lang w:val="en-US"/>
        </w:rPr>
        <w:t xml:space="preserve">. </w:t>
      </w:r>
    </w:p>
  </w:footnote>
  <w:footnote w:id="263">
    <w:p w14:paraId="0953C144"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About </w:t>
      </w:r>
      <w:r w:rsidRPr="0071345C">
        <w:rPr>
          <w:i/>
          <w:iCs/>
          <w:lang w:val="en-US"/>
        </w:rPr>
        <w:t>várcas-</w:t>
      </w:r>
      <w:r w:rsidRPr="0071345C">
        <w:rPr>
          <w:lang w:val="en-US"/>
        </w:rPr>
        <w:t xml:space="preserve"> “vital power, brilliance” EWAia: II 516 “Glanz”, see </w:t>
      </w:r>
      <w:r w:rsidRPr="0071345C">
        <w:rPr>
          <w:rStyle w:val="biblio-authorGEN"/>
          <w:sz w:val="18"/>
          <w:szCs w:val="18"/>
          <w:lang w:val="en-US"/>
        </w:rPr>
        <w:t>Proferes</w:t>
      </w:r>
      <w:r w:rsidRPr="0071345C">
        <w:rPr>
          <w:lang w:val="en-US"/>
        </w:rPr>
        <w:t xml:space="preserve"> 2007: 91 and 101-104; </w:t>
      </w:r>
      <w:r w:rsidRPr="0071345C">
        <w:rPr>
          <w:rStyle w:val="biblio-authorGEN"/>
          <w:sz w:val="18"/>
          <w:szCs w:val="15"/>
          <w:lang w:val="en-US"/>
        </w:rPr>
        <w:t>Gonda</w:t>
      </w:r>
      <w:r w:rsidRPr="0071345C">
        <w:rPr>
          <w:lang w:val="en-US"/>
        </w:rPr>
        <w:t xml:space="preserve"> 1992: VI/2 366-376.</w:t>
      </w:r>
    </w:p>
  </w:footnote>
  <w:footnote w:id="264">
    <w:p w14:paraId="6D2A1110"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Pr>
          <w:rFonts w:ascii="Sabon Unicode" w:eastAsia="MS Mincho;ＭＳ 明朝" w:hAnsi="Sabon Unicode" w:cs="Times Ext Roman"/>
          <w:i/>
          <w:iCs/>
          <w:lang w:val="en-GB" w:eastAsia="hi-IN" w:bidi="en-GB"/>
        </w:rPr>
        <w:tab/>
        <w:t xml:space="preserve"> āśí</w:t>
      </w:r>
      <w:r>
        <w:rPr>
          <w:rFonts w:ascii="Sabon Unicode" w:eastAsia="MS Mincho;ＭＳ 明朝" w:hAnsi="Sabon Unicode" w:cs="Times Ext Roman"/>
          <w:i/>
          <w:iCs/>
          <w:lang w:val="en-GB" w:eastAsia="hi-IN" w:bidi="en-GB"/>
        </w:rPr>
        <w:t>ṣ</w:t>
      </w:r>
      <w:r>
        <w:rPr>
          <w:rFonts w:ascii="Sabon Unicode" w:eastAsia="MS Mincho;ＭＳ 明朝" w:hAnsi="Sabon Unicode" w:cs="Times Ext Roman"/>
          <w:i/>
          <w:iCs/>
          <w:lang w:val="en-GB" w:eastAsia="hi-IN" w:bidi="en-GB"/>
        </w:rPr>
        <w:t>am āśāste</w:t>
      </w:r>
      <w:r>
        <w:rPr>
          <w:rFonts w:ascii="Sabon Unicode" w:eastAsia="MS Mincho;ＭＳ 明朝" w:hAnsi="Sabon Unicode" w:cs="Times Ext Roman"/>
          <w:lang w:val="en-GB" w:eastAsia="hi-IN" w:bidi="en-GB"/>
        </w:rPr>
        <w:t xml:space="preserve">, the verb </w:t>
      </w:r>
      <w:r>
        <w:rPr>
          <w:rFonts w:ascii="Sabon Unicode" w:eastAsia="MS Mincho;ＭＳ 明朝" w:hAnsi="Sabon Unicode" w:cs="Times Ext Roman"/>
          <w:i/>
          <w:iCs/>
          <w:lang w:val="en-GB" w:eastAsia="hi-IN" w:bidi="en-GB"/>
        </w:rPr>
        <w:t>āśa</w:t>
      </w:r>
      <w:r>
        <w:rPr>
          <w:rFonts w:ascii="Sabon Unicode" w:eastAsia="MS Mincho;ＭＳ 明朝" w:hAnsi="Sabon Unicode" w:cs="Times Ext Roman"/>
          <w:i/>
          <w:iCs/>
          <w:lang w:val="en-GB" w:eastAsia="hi-IN" w:bidi="en-GB"/>
        </w:rPr>
        <w:t>ṃ</w:t>
      </w:r>
      <w:r>
        <w:rPr>
          <w:rFonts w:ascii="Sabon Unicode" w:eastAsia="MS Mincho;ＭＳ 明朝" w:hAnsi="Sabon Unicode" w:cs="Times Ext Roman"/>
          <w:i/>
          <w:iCs/>
          <w:lang w:val="en-GB" w:eastAsia="hi-IN" w:bidi="en-GB"/>
        </w:rPr>
        <w:t xml:space="preserve">s- </w:t>
      </w:r>
      <w:r>
        <w:rPr>
          <w:rFonts w:ascii="Sabon Unicode" w:eastAsia="MS Mincho;ＭＳ 明朝" w:hAnsi="Sabon Unicode" w:cs="Times Ext Roman"/>
          <w:lang w:val="en-GB" w:eastAsia="hi-IN" w:bidi="en-GB"/>
        </w:rPr>
        <w:t xml:space="preserve">is used here with </w:t>
      </w:r>
      <w:r>
        <w:rPr>
          <w:rFonts w:ascii="Sabon Unicode" w:eastAsia="MS Mincho;ＭＳ 明朝" w:hAnsi="Sabon Unicode" w:cs="Times Ext Roman"/>
          <w:i/>
          <w:iCs/>
          <w:lang w:val="en-GB" w:eastAsia="hi-IN" w:bidi="en-GB"/>
        </w:rPr>
        <w:t>āśi</w:t>
      </w:r>
      <w:r>
        <w:rPr>
          <w:rFonts w:ascii="Sabon Unicode" w:eastAsia="MS Mincho;ＭＳ 明朝" w:hAnsi="Sabon Unicode" w:cs="Times Ext Roman"/>
          <w:i/>
          <w:iCs/>
          <w:lang w:val="en-GB" w:eastAsia="hi-IN" w:bidi="en-GB"/>
        </w:rPr>
        <w:t>ṣ</w:t>
      </w:r>
      <w:r>
        <w:rPr>
          <w:rFonts w:ascii="Sabon Unicode" w:eastAsia="MS Mincho;ＭＳ 明朝" w:hAnsi="Sabon Unicode" w:cs="Times Ext Roman"/>
          <w:i/>
          <w:iCs/>
          <w:lang w:val="en-GB" w:eastAsia="hi-IN" w:bidi="en-GB"/>
        </w:rPr>
        <w:t xml:space="preserve">am </w:t>
      </w:r>
      <w:r>
        <w:rPr>
          <w:rFonts w:ascii="Sabon Unicode" w:eastAsia="MS Mincho;ＭＳ 明朝" w:hAnsi="Sabon Unicode" w:cs="Times Ext Roman"/>
          <w:lang w:val="en-GB" w:eastAsia="hi-IN" w:bidi="en-GB"/>
        </w:rPr>
        <w:t xml:space="preserve">as </w:t>
      </w:r>
      <w:r>
        <w:rPr>
          <w:rFonts w:ascii="Sabon Unicode" w:eastAsia="MS Mincho;ＭＳ 明朝" w:hAnsi="Sabon Unicode" w:cs="Times Ext Roman"/>
          <w:lang w:val="en-GB" w:eastAsia="hi-IN" w:bidi="en-GB"/>
        </w:rPr>
        <w:t>cognate object or etymologic accusative</w:t>
      </w:r>
      <w:r>
        <w:rPr>
          <w:rFonts w:ascii="Sabon Unicode" w:eastAsia="MS Mincho;ＭＳ 明朝" w:hAnsi="Sabon Unicode" w:cs="Times Ext Roman"/>
          <w:i/>
          <w:iCs/>
          <w:lang w:val="en-GB" w:eastAsia="hi-IN" w:bidi="en-GB"/>
        </w:rPr>
        <w:t>.</w:t>
      </w:r>
    </w:p>
  </w:footnote>
  <w:footnote w:id="265">
    <w:p w14:paraId="01DD77F8"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i.e. to the east.</w:t>
      </w:r>
    </w:p>
  </w:footnote>
  <w:footnote w:id="266">
    <w:p w14:paraId="285020F7"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bráhman</w:t>
      </w:r>
      <w:r w:rsidRPr="0071345C">
        <w:rPr>
          <w:lang w:val="en-US"/>
        </w:rPr>
        <w:t>-, h</w:t>
      </w:r>
      <w:r w:rsidRPr="0071345C">
        <w:rPr>
          <w:lang w:val="en-US"/>
        </w:rPr>
        <w:t xml:space="preserve">ere understood with the original value of “sacred formulation” </w:t>
      </w:r>
      <w:r w:rsidRPr="0071345C">
        <w:rPr>
          <w:rStyle w:val="biblio-authorGEN"/>
          <w:lang w:val="en-US"/>
        </w:rPr>
        <w:t>(</w:t>
      </w:r>
      <w:r w:rsidRPr="0071345C">
        <w:rPr>
          <w:rStyle w:val="biblio-authorGEN"/>
          <w:sz w:val="18"/>
          <w:szCs w:val="15"/>
          <w:lang w:val="en-US"/>
        </w:rPr>
        <w:t>Thieme</w:t>
      </w:r>
      <w:r w:rsidRPr="0071345C">
        <w:rPr>
          <w:lang w:val="en-US"/>
        </w:rPr>
        <w:t xml:space="preserve"> 1952: 91-129), see also </w:t>
      </w:r>
      <w:r w:rsidRPr="0071345C">
        <w:rPr>
          <w:rStyle w:val="biblio-authorGEN"/>
          <w:sz w:val="18"/>
          <w:szCs w:val="15"/>
          <w:lang w:val="en-US"/>
        </w:rPr>
        <w:t>Gonda</w:t>
      </w:r>
      <w:r w:rsidRPr="0071345C">
        <w:rPr>
          <w:lang w:val="en-US"/>
        </w:rPr>
        <w:t xml:space="preserve"> 1950</w:t>
      </w:r>
      <w:r w:rsidRPr="0071345C">
        <w:rPr>
          <w:vertAlign w:val="superscript"/>
          <w:lang w:val="en-US"/>
        </w:rPr>
        <w:t>a</w:t>
      </w:r>
      <w:r w:rsidRPr="0071345C">
        <w:rPr>
          <w:sz w:val="18"/>
          <w:lang w:val="en-US"/>
        </w:rPr>
        <w:t>.</w:t>
      </w:r>
    </w:p>
  </w:footnote>
  <w:footnote w:id="267">
    <w:p w14:paraId="250D5C3B"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ámati</w:t>
      </w:r>
      <w:r w:rsidRPr="0071345C">
        <w:rPr>
          <w:lang w:val="en-US"/>
        </w:rPr>
        <w:t>-,</w:t>
      </w:r>
      <w:r w:rsidRPr="0071345C">
        <w:rPr>
          <w:lang w:val="en-US"/>
        </w:rPr>
        <w:t xml:space="preserve"> </w:t>
      </w:r>
      <w:r w:rsidRPr="0071345C">
        <w:rPr>
          <w:rStyle w:val="biblio-authorGEN"/>
          <w:sz w:val="18"/>
          <w:szCs w:val="15"/>
          <w:lang w:val="en-US"/>
        </w:rPr>
        <w:t>Keith</w:t>
      </w:r>
      <w:r w:rsidRPr="0071345C">
        <w:rPr>
          <w:lang w:val="en-US"/>
        </w:rPr>
        <w:t xml:space="preserve"> (1920: 135) translates the word </w:t>
      </w:r>
      <w:r w:rsidRPr="0071345C">
        <w:rPr>
          <w:i/>
          <w:iCs/>
          <w:lang w:val="en-US"/>
        </w:rPr>
        <w:t>ámati</w:t>
      </w:r>
      <w:r w:rsidRPr="0071345C">
        <w:rPr>
          <w:lang w:val="en-US"/>
        </w:rPr>
        <w:t>-</w:t>
      </w:r>
      <w:r w:rsidRPr="0071345C">
        <w:rPr>
          <w:lang w:val="en-US"/>
        </w:rPr>
        <w:t xml:space="preserve"> with “misfortune”; </w:t>
      </w:r>
      <w:r w:rsidRPr="0071345C">
        <w:rPr>
          <w:rStyle w:val="biblio-authorGEN"/>
          <w:sz w:val="18"/>
          <w:szCs w:val="15"/>
          <w:lang w:val="en-US"/>
        </w:rPr>
        <w:t>Proferes</w:t>
      </w:r>
      <w:r w:rsidRPr="0071345C">
        <w:rPr>
          <w:lang w:val="en-US"/>
        </w:rPr>
        <w:t xml:space="preserve"> (2003a: 324) prefers “indigence”. This translation follows Mayrhofer (EWAia: I 95) who reads it as *</w:t>
      </w:r>
      <w:r w:rsidRPr="0071345C">
        <w:rPr>
          <w:i/>
          <w:iCs/>
          <w:lang w:val="en-US"/>
        </w:rPr>
        <w:t>a</w:t>
      </w:r>
      <w:r w:rsidRPr="0071345C">
        <w:rPr>
          <w:lang w:val="en-US"/>
        </w:rPr>
        <w:t>-</w:t>
      </w:r>
      <w:r w:rsidRPr="0071345C">
        <w:rPr>
          <w:i/>
          <w:iCs/>
          <w:lang w:val="en-US"/>
        </w:rPr>
        <w:t>mati</w:t>
      </w:r>
      <w:r w:rsidRPr="0071345C">
        <w:rPr>
          <w:lang w:val="en-US"/>
        </w:rPr>
        <w:t xml:space="preserve">, </w:t>
      </w:r>
      <w:r w:rsidRPr="0071345C">
        <w:rPr>
          <w:lang w:val="en-US"/>
        </w:rPr>
        <w:t xml:space="preserve">giving as meaning “Mangel, Dürftigkeit, ratlos”. The same meaning is given by </w:t>
      </w:r>
      <w:r w:rsidRPr="0071345C">
        <w:rPr>
          <w:rStyle w:val="biblio-authorGEN"/>
          <w:sz w:val="18"/>
          <w:szCs w:val="15"/>
          <w:lang w:val="en-US"/>
        </w:rPr>
        <w:t>Gr</w:t>
      </w:r>
      <w:r w:rsidRPr="0071345C">
        <w:rPr>
          <w:rStyle w:val="biblio-authorGEN"/>
          <w:sz w:val="18"/>
          <w:szCs w:val="15"/>
          <w:lang w:val="en-US"/>
        </w:rPr>
        <w:t>assmann</w:t>
      </w:r>
      <w:r w:rsidRPr="0071345C">
        <w:rPr>
          <w:lang w:val="en-US"/>
        </w:rPr>
        <w:t xml:space="preserve"> (1875 [ed. 1996: 90]), although he suggests a different derivation, namely “von </w:t>
      </w:r>
      <w:r w:rsidRPr="0071345C">
        <w:rPr>
          <w:i/>
          <w:iCs/>
          <w:lang w:val="en-US"/>
        </w:rPr>
        <w:t>am</w:t>
      </w:r>
      <w:r w:rsidRPr="0071345C">
        <w:rPr>
          <w:lang w:val="en-US"/>
        </w:rPr>
        <w:t>-</w:t>
      </w:r>
      <w:r w:rsidRPr="0071345C">
        <w:rPr>
          <w:lang w:val="en-US"/>
        </w:rPr>
        <w:t xml:space="preserve"> im passiven Sinne”. The explanation in AB 2.2 is </w:t>
      </w:r>
      <w:r w:rsidRPr="0071345C">
        <w:rPr>
          <w:i/>
          <w:iCs/>
          <w:lang w:val="en-US"/>
        </w:rPr>
        <w:t xml:space="preserve">aśanāyā vai pāpmāmatis </w:t>
      </w:r>
      <w:r w:rsidRPr="0071345C">
        <w:rPr>
          <w:lang w:val="en-US"/>
        </w:rPr>
        <w:t xml:space="preserve">“the </w:t>
      </w:r>
      <w:r w:rsidRPr="0071345C">
        <w:rPr>
          <w:i/>
          <w:iCs/>
          <w:lang w:val="en-US"/>
        </w:rPr>
        <w:t>ámati</w:t>
      </w:r>
      <w:r w:rsidRPr="0071345C">
        <w:rPr>
          <w:lang w:val="en-US"/>
        </w:rPr>
        <w:t xml:space="preserve">- </w:t>
      </w:r>
      <w:r w:rsidRPr="0071345C">
        <w:rPr>
          <w:lang w:val="en-US"/>
        </w:rPr>
        <w:t xml:space="preserve">is indeed the hunger, the evil”. </w:t>
      </w:r>
      <w:r>
        <w:t xml:space="preserve">There is also  </w:t>
      </w:r>
      <w:r>
        <w:rPr>
          <w:i/>
          <w:iCs/>
        </w:rPr>
        <w:t>amáti</w:t>
      </w:r>
      <w:r>
        <w:t>-</w:t>
      </w:r>
      <w:r>
        <w:t>: EWAia: I 95-96 “etwa’ Ge</w:t>
      </w:r>
      <w:r>
        <w:t xml:space="preserve">bilde, Erscheinung, Bildnis”; </w:t>
      </w:r>
      <w:r>
        <w:rPr>
          <w:rStyle w:val="biblio-authorGEN"/>
          <w:sz w:val="18"/>
          <w:szCs w:val="15"/>
        </w:rPr>
        <w:t>Grassmann</w:t>
      </w:r>
      <w:r>
        <w:t xml:space="preserve"> 1875 [ed. 1996: 90] “Wucht, Gewalt”. </w:t>
      </w:r>
      <w:r w:rsidRPr="0071345C">
        <w:rPr>
          <w:lang w:val="en-US"/>
        </w:rPr>
        <w:t xml:space="preserve">The accent in the </w:t>
      </w:r>
      <w:r w:rsidRPr="0071345C">
        <w:rPr>
          <w:rFonts w:ascii="Sabon Unicode" w:eastAsia="MS Mincho;ＭＳ 明朝" w:hAnsi="Sabon Unicode"/>
          <w:sz w:val="18"/>
          <w:szCs w:val="18"/>
          <w:lang w:val="en-US" w:eastAsia="hi-IN"/>
        </w:rPr>
        <w:t xml:space="preserve">R̥gvedic stanza speaks clearly for </w:t>
      </w:r>
      <w:r w:rsidRPr="0071345C">
        <w:rPr>
          <w:rFonts w:ascii="Sabon Unicode" w:eastAsia="MS Mincho;ＭＳ 明朝" w:hAnsi="Sabon Unicode"/>
          <w:i/>
          <w:iCs/>
          <w:sz w:val="18"/>
          <w:szCs w:val="18"/>
          <w:lang w:val="en-US" w:eastAsia="hi-IN"/>
        </w:rPr>
        <w:t>ámati</w:t>
      </w:r>
      <w:r w:rsidRPr="0071345C">
        <w:rPr>
          <w:rFonts w:ascii="Sabon Unicode" w:eastAsia="MS Mincho;ＭＳ 明朝" w:hAnsi="Sabon Unicode"/>
          <w:sz w:val="18"/>
          <w:szCs w:val="18"/>
          <w:lang w:val="en-US" w:eastAsia="hi-IN"/>
        </w:rPr>
        <w:t>-</w:t>
      </w:r>
      <w:r w:rsidRPr="0071345C">
        <w:rPr>
          <w:rFonts w:ascii="Sabon Unicode" w:eastAsia="MS Mincho;ＭＳ 明朝" w:hAnsi="Sabon Unicode"/>
          <w:sz w:val="18"/>
          <w:szCs w:val="18"/>
          <w:lang w:val="en-US" w:eastAsia="hi-IN"/>
        </w:rPr>
        <w:t>.</w:t>
      </w:r>
    </w:p>
  </w:footnote>
  <w:footnote w:id="268">
    <w:p w14:paraId="0C980C44"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i/>
          <w:iCs/>
          <w:lang w:val="en-US"/>
        </w:rPr>
        <w:t xml:space="preserve">imā́ dhānā </w:t>
      </w:r>
      <w:r w:rsidRPr="0071345C">
        <w:rPr>
          <w:lang w:val="en-US"/>
        </w:rPr>
        <w:t xml:space="preserve">[…] </w:t>
      </w:r>
      <w:r w:rsidRPr="0071345C">
        <w:rPr>
          <w:i/>
          <w:iCs/>
          <w:lang w:val="en-US"/>
        </w:rPr>
        <w:t xml:space="preserve">ráthe </w:t>
      </w:r>
      <w:r w:rsidRPr="0071345C">
        <w:rPr>
          <w:lang w:val="en-US"/>
        </w:rPr>
        <w:t>= R̥V 1.16.2.</w:t>
      </w:r>
    </w:p>
  </w:footnote>
  <w:footnote w:id="269">
    <w:p w14:paraId="401B5575"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i/>
          <w:iCs/>
          <w:lang w:val="en-US"/>
        </w:rPr>
        <w:t xml:space="preserve">prá te mahé </w:t>
      </w:r>
      <w:r w:rsidRPr="0071345C">
        <w:rPr>
          <w:lang w:val="en-US"/>
        </w:rPr>
        <w:t xml:space="preserve">[…] </w:t>
      </w:r>
      <w:r>
        <w:rPr>
          <w:rFonts w:ascii="Sabon Unicode" w:hAnsi="Sabon Unicode" w:cs="Times Ext Roman"/>
          <w:i/>
          <w:iCs/>
          <w:sz w:val="18"/>
          <w:szCs w:val="18"/>
          <w:lang w:val="en-GB" w:eastAsia="hi-IN" w:bidi="en-GB"/>
        </w:rPr>
        <w:t xml:space="preserve">hárī; </w:t>
      </w:r>
      <w:r w:rsidRPr="0071345C">
        <w:rPr>
          <w:i/>
          <w:iCs/>
          <w:lang w:val="en-US"/>
        </w:rPr>
        <w:t xml:space="preserve">prá te </w:t>
      </w:r>
      <w:r>
        <w:rPr>
          <w:rFonts w:ascii="Sabon Unicode" w:hAnsi="Sabon Unicode" w:cs="Times Ext Roman"/>
          <w:i/>
          <w:iCs/>
          <w:sz w:val="18"/>
          <w:szCs w:val="18"/>
          <w:lang w:val="en-GB" w:eastAsia="hi-IN" w:bidi="en-GB"/>
        </w:rPr>
        <w:t xml:space="preserve">vanve </w:t>
      </w:r>
      <w:r w:rsidRPr="0071345C">
        <w:rPr>
          <w:lang w:val="en-US"/>
        </w:rPr>
        <w:t xml:space="preserve">[…] </w:t>
      </w:r>
      <w:r w:rsidRPr="0071345C">
        <w:rPr>
          <w:i/>
          <w:iCs/>
          <w:lang w:val="en-US"/>
        </w:rPr>
        <w:t>mádam; ghr̥tá</w:t>
      </w:r>
      <w:r w:rsidRPr="0071345C">
        <w:rPr>
          <w:i/>
          <w:iCs/>
          <w:lang w:val="en-US"/>
        </w:rPr>
        <w:t>ṃ</w:t>
      </w:r>
      <w:r w:rsidRPr="0071345C">
        <w:rPr>
          <w:i/>
          <w:iCs/>
          <w:lang w:val="en-US"/>
        </w:rPr>
        <w:t xml:space="preserve"> ná </w:t>
      </w:r>
      <w:r w:rsidRPr="0071345C">
        <w:rPr>
          <w:lang w:val="en-US"/>
        </w:rPr>
        <w:t xml:space="preserve">[…] </w:t>
      </w:r>
      <w:r w:rsidRPr="0071345C">
        <w:rPr>
          <w:i/>
          <w:iCs/>
          <w:lang w:val="en-US"/>
        </w:rPr>
        <w:t>sécate</w:t>
      </w:r>
      <w:r w:rsidRPr="0071345C">
        <w:rPr>
          <w:lang w:val="en-US"/>
        </w:rPr>
        <w:t xml:space="preserve"> and </w:t>
      </w:r>
      <w:r w:rsidRPr="0071345C">
        <w:rPr>
          <w:i/>
          <w:iCs/>
          <w:lang w:val="en-US"/>
        </w:rPr>
        <w:t>ā́ tv</w:t>
      </w:r>
      <w:r w:rsidRPr="0071345C">
        <w:rPr>
          <w:i/>
          <w:iCs/>
          <w:lang w:val="en-US"/>
        </w:rPr>
        <w:t xml:space="preserve">ā </w:t>
      </w:r>
      <w:r w:rsidRPr="0071345C">
        <w:rPr>
          <w:lang w:val="en-US"/>
        </w:rPr>
        <w:t>[…]</w:t>
      </w:r>
      <w:r w:rsidRPr="0071345C">
        <w:rPr>
          <w:i/>
          <w:iCs/>
          <w:lang w:val="en-US"/>
        </w:rPr>
        <w:t xml:space="preserve"> </w:t>
      </w:r>
      <w:r>
        <w:rPr>
          <w:rFonts w:ascii="Sabon Unicode" w:hAnsi="Sabon Unicode" w:cs="Times Ext Roman"/>
          <w:i/>
          <w:iCs/>
          <w:sz w:val="18"/>
          <w:szCs w:val="18"/>
          <w:lang w:val="en-GB" w:eastAsia="hi-IN" w:bidi="en-GB"/>
        </w:rPr>
        <w:t>gíra</w:t>
      </w:r>
      <w:r>
        <w:rPr>
          <w:rFonts w:ascii="Sabon Unicode" w:hAnsi="Sabon Unicode" w:cs="Times Ext Roman"/>
          <w:i/>
          <w:iCs/>
          <w:sz w:val="18"/>
          <w:szCs w:val="18"/>
          <w:lang w:val="en-GB" w:eastAsia="hi-IN" w:bidi="en-GB"/>
        </w:rPr>
        <w:t>ḥ</w:t>
      </w:r>
      <w:r w:rsidRPr="0071345C">
        <w:rPr>
          <w:lang w:val="en-US"/>
        </w:rPr>
        <w:t xml:space="preserve"> = R̥V10.96.1. The stanza 10.96.1 is intermingled three times, </w:t>
      </w:r>
      <w:r>
        <w:rPr>
          <w:rFonts w:ascii="Sabon Unicode" w:hAnsi="Sabon Unicode" w:cs="Times Ext Roman"/>
          <w:i/>
          <w:iCs/>
          <w:sz w:val="18"/>
          <w:szCs w:val="18"/>
          <w:lang w:val="en-GB" w:eastAsia="hi-IN" w:bidi="en-GB"/>
        </w:rPr>
        <w:t>yá r</w:t>
      </w:r>
      <w:r>
        <w:rPr>
          <w:rFonts w:ascii="Sabon Unicode" w:hAnsi="Sabon Unicode" w:cs="Devanagari MT;Times New Roman"/>
          <w:sz w:val="18"/>
          <w:szCs w:val="18"/>
          <w:lang w:val="en-GB" w:eastAsia="hi-IN" w:bidi="en-GB"/>
        </w:rPr>
        <w:t>̥</w:t>
      </w:r>
      <w:r>
        <w:rPr>
          <w:rFonts w:ascii="Sabon Unicode" w:hAnsi="Sabon Unicode" w:cs="Times Ext Roman"/>
          <w:i/>
          <w:iCs/>
          <w:sz w:val="18"/>
          <w:szCs w:val="18"/>
          <w:lang w:val="en-GB" w:eastAsia="hi-IN" w:bidi="en-GB"/>
        </w:rPr>
        <w:t>tvíya</w:t>
      </w:r>
      <w:r>
        <w:rPr>
          <w:rFonts w:ascii="Sabon Unicode" w:hAnsi="Sabon Unicode" w:cs="Times Ext Roman"/>
          <w:i/>
          <w:iCs/>
          <w:sz w:val="18"/>
          <w:szCs w:val="18"/>
          <w:lang w:val="en-GB" w:eastAsia="hi-IN" w:bidi="en-GB"/>
        </w:rPr>
        <w:t>ḥ</w:t>
      </w:r>
      <w:r>
        <w:rPr>
          <w:rFonts w:ascii="Sabon Unicode" w:hAnsi="Sabon Unicode" w:cs="Times Ext Roman"/>
          <w:i/>
          <w:iCs/>
          <w:sz w:val="18"/>
          <w:szCs w:val="18"/>
          <w:lang w:val="en-GB" w:eastAsia="hi-IN" w:bidi="en-GB"/>
        </w:rPr>
        <w:t>,</w:t>
      </w:r>
      <w:r w:rsidRPr="0071345C">
        <w:rPr>
          <w:lang w:val="en-US"/>
        </w:rPr>
        <w:t xml:space="preserve"> </w:t>
      </w:r>
      <w:r>
        <w:rPr>
          <w:rFonts w:ascii="Sabon Unicode" w:hAnsi="Sabon Unicode" w:cs="Times Ext Roman"/>
          <w:i/>
          <w:iCs/>
          <w:sz w:val="18"/>
          <w:szCs w:val="18"/>
          <w:lang w:val="en-GB" w:eastAsia="hi-IN" w:bidi="en-GB"/>
        </w:rPr>
        <w:t xml:space="preserve">índro nā́ma </w:t>
      </w:r>
      <w:r>
        <w:rPr>
          <w:rFonts w:ascii="Sabon Unicode" w:hAnsi="Sabon Unicode" w:cs="Times Ext Roman"/>
          <w:sz w:val="18"/>
          <w:szCs w:val="18"/>
          <w:lang w:val="en-GB" w:eastAsia="hi-IN" w:bidi="en-GB"/>
        </w:rPr>
        <w:t xml:space="preserve">and </w:t>
      </w:r>
      <w:r>
        <w:rPr>
          <w:rFonts w:ascii="Sabon Unicode" w:hAnsi="Sabon Unicode" w:cs="Times Ext Roman"/>
          <w:i/>
          <w:iCs/>
          <w:sz w:val="18"/>
          <w:szCs w:val="18"/>
          <w:lang w:val="en-GB" w:eastAsia="hi-IN" w:bidi="en-GB"/>
        </w:rPr>
        <w:t>śrutó ga</w:t>
      </w:r>
      <w:r>
        <w:rPr>
          <w:rFonts w:ascii="Sabon Unicode" w:hAnsi="Sabon Unicode" w:cs="Times Ext Roman"/>
          <w:i/>
          <w:iCs/>
          <w:sz w:val="18"/>
          <w:szCs w:val="18"/>
          <w:lang w:val="en-GB" w:eastAsia="hi-IN" w:bidi="en-GB"/>
        </w:rPr>
        <w:t>ṇ</w:t>
      </w:r>
      <w:r>
        <w:rPr>
          <w:rFonts w:ascii="Sabon Unicode" w:hAnsi="Sabon Unicode" w:cs="Times Ext Roman"/>
          <w:i/>
          <w:iCs/>
          <w:sz w:val="18"/>
          <w:szCs w:val="18"/>
          <w:lang w:val="en-GB" w:eastAsia="hi-IN" w:bidi="en-GB"/>
        </w:rPr>
        <w:t xml:space="preserve">á </w:t>
      </w:r>
      <w:r>
        <w:rPr>
          <w:rFonts w:ascii="Sabon Unicode" w:hAnsi="Sabon Unicode" w:cs="Times Ext Roman"/>
          <w:sz w:val="18"/>
          <w:szCs w:val="18"/>
          <w:lang w:val="en-GB" w:eastAsia="hi-IN" w:bidi="en-GB"/>
        </w:rPr>
        <w:t>are inserted</w:t>
      </w:r>
      <w:r w:rsidRPr="0071345C">
        <w:rPr>
          <w:lang w:val="en-US"/>
        </w:rPr>
        <w:t>, and it ends in the following paragraph (</w:t>
      </w:r>
      <w:r w:rsidRPr="0071345C">
        <w:rPr>
          <w:i/>
          <w:iCs/>
          <w:lang w:val="en-US"/>
        </w:rPr>
        <w:t>anuvāka</w:t>
      </w:r>
      <w:r w:rsidRPr="0071345C">
        <w:rPr>
          <w:lang w:val="en-US"/>
        </w:rPr>
        <w:t>). The meaning of the verses is not extremely different from the R̥gvedic stanza, but indeed there is a clear modification of the original, as long as Indra becomes the subject of the second sentence and pours out “what is pleasant as the clarified butter”</w:t>
      </w:r>
      <w:r w:rsidRPr="0071345C">
        <w:rPr>
          <w:lang w:val="en-US"/>
        </w:rPr>
        <w:t xml:space="preserve">, while in R̥V 10.96.1 it is the </w:t>
      </w:r>
      <w:r w:rsidRPr="0071345C">
        <w:rPr>
          <w:i/>
          <w:iCs/>
          <w:lang w:val="en-US"/>
        </w:rPr>
        <w:t xml:space="preserve">máda-, </w:t>
      </w:r>
      <w:r w:rsidRPr="0071345C">
        <w:rPr>
          <w:lang w:val="en-US"/>
        </w:rPr>
        <w:t>pleasant as the clarified butter,</w:t>
      </w:r>
      <w:r w:rsidRPr="0071345C">
        <w:rPr>
          <w:i/>
          <w:iCs/>
          <w:lang w:val="en-US"/>
        </w:rPr>
        <w:t xml:space="preserve"> </w:t>
      </w:r>
      <w:r w:rsidRPr="0071345C">
        <w:rPr>
          <w:lang w:val="en-US"/>
        </w:rPr>
        <w:t>which pours out.</w:t>
      </w:r>
    </w:p>
  </w:footnote>
  <w:footnote w:id="270">
    <w:p w14:paraId="73AA51A7"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About the interpretation of the word </w:t>
      </w:r>
      <w:r w:rsidRPr="0071345C">
        <w:rPr>
          <w:i/>
          <w:iCs/>
          <w:lang w:val="en-US"/>
        </w:rPr>
        <w:t xml:space="preserve">sukhá- </w:t>
      </w:r>
      <w:r w:rsidRPr="0071345C">
        <w:rPr>
          <w:lang w:val="en-US"/>
        </w:rPr>
        <w:t>see</w:t>
      </w:r>
      <w:r w:rsidRPr="0071345C">
        <w:rPr>
          <w:lang w:val="en-US"/>
        </w:rPr>
        <w:t xml:space="preserve"> Rossi 2003.</w:t>
      </w:r>
    </w:p>
  </w:footnote>
  <w:footnote w:id="271">
    <w:p w14:paraId="680B5FF0"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As to the exact meaning of </w:t>
      </w:r>
      <w:r w:rsidRPr="0071345C">
        <w:rPr>
          <w:i/>
          <w:iCs/>
          <w:lang w:val="en-US"/>
        </w:rPr>
        <w:t xml:space="preserve">vidátha- </w:t>
      </w:r>
      <w:r w:rsidRPr="0071345C">
        <w:rPr>
          <w:lang w:val="en-US"/>
        </w:rPr>
        <w:t xml:space="preserve">as already a ritual fest or just as social meeting, see </w:t>
      </w:r>
      <w:r w:rsidRPr="0071345C">
        <w:rPr>
          <w:rStyle w:val="biblio-authorGEN"/>
          <w:sz w:val="18"/>
          <w:szCs w:val="15"/>
          <w:lang w:val="en-US"/>
        </w:rPr>
        <w:t>Gonda</w:t>
      </w:r>
      <w:r w:rsidRPr="0071345C">
        <w:rPr>
          <w:lang w:val="en-US"/>
        </w:rPr>
        <w:t xml:space="preserve"> 1</w:t>
      </w:r>
      <w:r w:rsidRPr="0071345C">
        <w:rPr>
          <w:lang w:val="en-US"/>
        </w:rPr>
        <w:t xml:space="preserve">992: </w:t>
      </w:r>
      <w:r w:rsidRPr="0071345C">
        <w:rPr>
          <w:lang w:val="en-US"/>
        </w:rPr>
        <w:t xml:space="preserve">VI/1 310-337, </w:t>
      </w:r>
      <w:r w:rsidRPr="0071345C">
        <w:rPr>
          <w:rStyle w:val="biblio-authorGEN"/>
          <w:sz w:val="18"/>
          <w:szCs w:val="15"/>
          <w:lang w:val="en-US"/>
        </w:rPr>
        <w:t xml:space="preserve">Kuiper </w:t>
      </w:r>
      <w:r w:rsidRPr="0071345C">
        <w:rPr>
          <w:lang w:val="en-US"/>
        </w:rPr>
        <w:t xml:space="preserve">1974: 129-132 </w:t>
      </w:r>
      <w:r w:rsidRPr="0071345C">
        <w:rPr>
          <w:lang w:val="en-US"/>
        </w:rPr>
        <w:t xml:space="preserve">and </w:t>
      </w:r>
      <w:r w:rsidRPr="0071345C">
        <w:rPr>
          <w:rStyle w:val="biblio-authorGEN"/>
          <w:sz w:val="18"/>
          <w:szCs w:val="15"/>
          <w:lang w:val="en-US"/>
        </w:rPr>
        <w:t xml:space="preserve">Oldenberg </w:t>
      </w:r>
      <w:r w:rsidRPr="0071345C">
        <w:rPr>
          <w:lang w:val="en-US"/>
        </w:rPr>
        <w:t>1900: 608-611.</w:t>
      </w:r>
      <w:r w:rsidRPr="0071345C">
        <w:rPr>
          <w:lang w:val="en-US"/>
        </w:rPr>
        <w:t xml:space="preserve"> </w:t>
      </w:r>
    </w:p>
  </w:footnote>
  <w:footnote w:id="272">
    <w:p w14:paraId="176C6629"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Miśra glosses </w:t>
      </w:r>
      <w:r w:rsidRPr="0071345C">
        <w:rPr>
          <w:i/>
          <w:iCs/>
          <w:lang w:val="en-US"/>
        </w:rPr>
        <w:t>prāptakāla</w:t>
      </w:r>
      <w:r w:rsidRPr="0071345C">
        <w:rPr>
          <w:i/>
          <w:iCs/>
          <w:lang w:val="en-US"/>
        </w:rPr>
        <w:t>ḥ</w:t>
      </w:r>
      <w:r w:rsidRPr="0071345C">
        <w:rPr>
          <w:i/>
          <w:iCs/>
          <w:lang w:val="en-US"/>
        </w:rPr>
        <w:t xml:space="preserve"> mada</w:t>
      </w:r>
      <w:r w:rsidRPr="0071345C">
        <w:rPr>
          <w:i/>
          <w:iCs/>
          <w:lang w:val="en-US"/>
        </w:rPr>
        <w:t>ḥ</w:t>
      </w:r>
      <w:r w:rsidRPr="0071345C">
        <w:rPr>
          <w:lang w:val="en-US"/>
        </w:rPr>
        <w:t>, and Sāya</w:t>
      </w:r>
      <w:r w:rsidRPr="0071345C">
        <w:rPr>
          <w:lang w:val="en-US"/>
        </w:rPr>
        <w:t>ṇ</w:t>
      </w:r>
      <w:r w:rsidRPr="0071345C">
        <w:rPr>
          <w:lang w:val="en-US"/>
        </w:rPr>
        <w:t xml:space="preserve">a also </w:t>
      </w:r>
      <w:r w:rsidRPr="0071345C">
        <w:rPr>
          <w:i/>
          <w:iCs/>
          <w:lang w:val="en-US"/>
        </w:rPr>
        <w:t>vasantādyr̥tukāle prāpta</w:t>
      </w:r>
      <w:r w:rsidRPr="0071345C">
        <w:rPr>
          <w:i/>
          <w:iCs/>
          <w:lang w:val="en-US"/>
        </w:rPr>
        <w:t>ḥ</w:t>
      </w:r>
      <w:r w:rsidRPr="0071345C">
        <w:rPr>
          <w:i/>
          <w:iCs/>
          <w:lang w:val="en-US"/>
        </w:rPr>
        <w:t>.</w:t>
      </w:r>
    </w:p>
  </w:footnote>
  <w:footnote w:id="273">
    <w:p w14:paraId="349802EB"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rStyle w:val="biblio-authorGEN"/>
          <w:sz w:val="18"/>
          <w:szCs w:val="15"/>
          <w:lang w:val="en-US"/>
        </w:rPr>
        <w:tab/>
        <w:t xml:space="preserve"> Dumont</w:t>
      </w:r>
      <w:r w:rsidRPr="0071345C">
        <w:rPr>
          <w:lang w:val="en-US"/>
        </w:rPr>
        <w:t xml:space="preserve"> 1963: 453 </w:t>
      </w:r>
      <w:r>
        <w:rPr>
          <w:lang w:val="en-GB"/>
        </w:rPr>
        <w:t>“pours out”, both Miśra and Sāya</w:t>
      </w:r>
      <w:r>
        <w:rPr>
          <w:lang w:val="en-GB"/>
        </w:rPr>
        <w:t>ṇ</w:t>
      </w:r>
      <w:r>
        <w:rPr>
          <w:lang w:val="en-GB"/>
        </w:rPr>
        <w:t xml:space="preserve">a gloss </w:t>
      </w:r>
      <w:r>
        <w:rPr>
          <w:i/>
          <w:iCs/>
          <w:lang w:val="en-GB"/>
        </w:rPr>
        <w:t xml:space="preserve">samavaiti </w:t>
      </w:r>
      <w:r>
        <w:rPr>
          <w:lang w:val="en-GB"/>
        </w:rPr>
        <w:t>“to mix together”.</w:t>
      </w:r>
    </w:p>
  </w:footnote>
  <w:footnote w:id="274">
    <w:p w14:paraId="46B4CAE9"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rFonts w:cs="Devanagari MT;Times New Roman"/>
          <w:i/>
          <w:iCs/>
          <w:lang w:val="en-US"/>
        </w:rPr>
        <w:tab/>
      </w:r>
      <w:r w:rsidRPr="0071345C">
        <w:rPr>
          <w:rFonts w:cs="Devanagari MT;Times New Roman"/>
          <w:i/>
          <w:iCs/>
          <w:lang w:val="en-US"/>
        </w:rPr>
        <w:t>avavyáyann ásita</w:t>
      </w:r>
      <w:r w:rsidRPr="0071345C">
        <w:rPr>
          <w:rFonts w:cs="Devanagari MT;Times New Roman"/>
          <w:i/>
          <w:iCs/>
          <w:lang w:val="en-US"/>
        </w:rPr>
        <w:t>ṃ</w:t>
      </w:r>
      <w:r w:rsidRPr="0071345C">
        <w:rPr>
          <w:rFonts w:cs="Devanagari MT;Times New Roman"/>
          <w:i/>
          <w:iCs/>
          <w:lang w:val="en-US"/>
        </w:rPr>
        <w:t xml:space="preserve"> </w:t>
      </w:r>
      <w:r w:rsidRPr="0071345C">
        <w:rPr>
          <w:rFonts w:cs="Devanagari MT;Times New Roman"/>
          <w:lang w:val="en-US"/>
        </w:rPr>
        <w:t xml:space="preserve">[…]  </w:t>
      </w:r>
      <w:r>
        <w:rPr>
          <w:rFonts w:ascii="Sabon Unicode" w:hAnsi="Sabon Unicode" w:cs="Devanagari MT;Times New Roman"/>
          <w:i/>
          <w:iCs/>
          <w:sz w:val="18"/>
          <w:szCs w:val="18"/>
          <w:lang w:val="en-GB" w:eastAsia="hi-IN" w:bidi="en-GB"/>
        </w:rPr>
        <w:t>apsvànta</w:t>
      </w:r>
      <w:r>
        <w:rPr>
          <w:rFonts w:ascii="Sabon Unicode" w:hAnsi="Sabon Unicode" w:cs="Devanagari MT;Times New Roman"/>
          <w:i/>
          <w:iCs/>
          <w:sz w:val="18"/>
          <w:szCs w:val="18"/>
          <w:lang w:val="en-GB" w:eastAsia="hi-IN" w:bidi="en-GB"/>
        </w:rPr>
        <w:t>ḥ</w:t>
      </w:r>
      <w:r>
        <w:rPr>
          <w:rFonts w:ascii="Sabon Unicode" w:hAnsi="Sabon Unicode" w:cs="Devanagari MT;Times New Roman"/>
          <w:i/>
          <w:iCs/>
          <w:sz w:val="18"/>
          <w:szCs w:val="18"/>
          <w:lang w:val="en-GB" w:eastAsia="hi-IN" w:bidi="en-GB"/>
        </w:rPr>
        <w:t xml:space="preserve"> </w:t>
      </w:r>
      <w:r>
        <w:rPr>
          <w:rFonts w:ascii="Sabon Unicode" w:hAnsi="Sabon Unicode" w:cs="Devanagari MT;Times New Roman"/>
          <w:sz w:val="18"/>
          <w:szCs w:val="18"/>
          <w:lang w:val="en-GB" w:eastAsia="hi-IN" w:bidi="en-GB"/>
        </w:rPr>
        <w:t>= R̥V 4.13.4b-d.</w:t>
      </w:r>
    </w:p>
  </w:footnote>
  <w:footnote w:id="275">
    <w:p w14:paraId="20D928CF" w14:textId="77777777" w:rsidR="00E53EB6" w:rsidRPr="0071345C" w:rsidRDefault="006500F5">
      <w:pPr>
        <w:pStyle w:val="FootnoteText"/>
        <w:rPr>
          <w:lang w:val="en-US"/>
        </w:rPr>
      </w:pPr>
      <w:r>
        <w:rPr>
          <w:rStyle w:val="FootnoteCharacters"/>
        </w:rPr>
        <w:footnoteRef/>
      </w:r>
      <w:r w:rsidRPr="0071345C">
        <w:rPr>
          <w:rFonts w:cs="Devanagari MT;Times New Roman"/>
          <w:lang w:val="en-US"/>
        </w:rPr>
        <w:tab/>
        <w:t xml:space="preserve"> BS:</w:t>
      </w:r>
      <w:r w:rsidRPr="0071345C">
        <w:rPr>
          <w:rFonts w:cs="Devanagari MT;Times New Roman"/>
          <w:i/>
          <w:iCs/>
          <w:lang w:val="en-US"/>
        </w:rPr>
        <w:t xml:space="preserve"> ābhí</w:t>
      </w:r>
      <w:r w:rsidRPr="0071345C">
        <w:rPr>
          <w:rFonts w:cs="Devanagari MT;Times New Roman"/>
          <w:lang w:val="en-US"/>
        </w:rPr>
        <w:t xml:space="preserve">. </w:t>
      </w:r>
    </w:p>
  </w:footnote>
  <w:footnote w:id="276">
    <w:p w14:paraId="45FF50B6"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rFonts w:cs="Devanagari MT;Times New Roman"/>
          <w:i/>
          <w:iCs/>
          <w:lang w:val="en-US"/>
        </w:rPr>
        <w:tab/>
        <w:t xml:space="preserve">ácchā vada </w:t>
      </w:r>
      <w:r w:rsidRPr="0071345C">
        <w:rPr>
          <w:rFonts w:cs="Devanagari MT;Times New Roman"/>
          <w:lang w:val="en-US"/>
        </w:rPr>
        <w:t xml:space="preserve">[…] </w:t>
      </w:r>
      <w:r>
        <w:rPr>
          <w:rFonts w:cs="Devanagari MT;Times New Roman"/>
          <w:i/>
          <w:iCs/>
          <w:sz w:val="18"/>
          <w:szCs w:val="18"/>
          <w:lang w:val="en-GB" w:eastAsia="hi-IN" w:bidi="en-GB"/>
        </w:rPr>
        <w:t xml:space="preserve">gárbham </w:t>
      </w:r>
      <w:r>
        <w:rPr>
          <w:rFonts w:cs="Devanagari MT;Times New Roman"/>
          <w:sz w:val="18"/>
          <w:szCs w:val="18"/>
          <w:lang w:val="en-GB" w:eastAsia="hi-IN" w:bidi="en-GB"/>
        </w:rPr>
        <w:t>= R</w:t>
      </w:r>
      <w:r>
        <w:rPr>
          <w:rFonts w:cs="Devanagari MT;Times New Roman"/>
          <w:i/>
          <w:iCs/>
          <w:sz w:val="18"/>
          <w:szCs w:val="18"/>
          <w:lang w:val="en-GB" w:eastAsia="hi-IN" w:bidi="en-GB"/>
        </w:rPr>
        <w:t>̥</w:t>
      </w:r>
      <w:r>
        <w:rPr>
          <w:rFonts w:cs="Devanagari MT;Times New Roman"/>
          <w:sz w:val="18"/>
          <w:szCs w:val="18"/>
          <w:lang w:val="en-GB" w:eastAsia="hi-IN" w:bidi="en-GB"/>
        </w:rPr>
        <w:t>V 5.83.1.</w:t>
      </w:r>
    </w:p>
  </w:footnote>
  <w:footnote w:id="277">
    <w:p w14:paraId="6EC822D7"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i/>
          <w:iCs/>
          <w:lang w:val="en-US"/>
        </w:rPr>
        <w:t>kánikradad</w:t>
      </w:r>
      <w:r w:rsidRPr="0071345C">
        <w:rPr>
          <w:lang w:val="en-US"/>
        </w:rPr>
        <w:t xml:space="preserve">, pres. part. of the intensive form of </w:t>
      </w:r>
      <w:r w:rsidRPr="0071345C">
        <w:rPr>
          <w:lang w:val="en-US"/>
        </w:rPr>
        <w:t>krand</w:t>
      </w:r>
      <w:r w:rsidRPr="0071345C">
        <w:rPr>
          <w:lang w:val="en-US"/>
        </w:rPr>
        <w:t xml:space="preserve"> “to cry out”.</w:t>
      </w:r>
    </w:p>
  </w:footnote>
  <w:footnote w:id="278">
    <w:p w14:paraId="0EED9250"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rFonts w:ascii="Sabon Unicode" w:eastAsia="MS Mincho;ＭＳ 明朝" w:hAnsi="Sabon Unicode"/>
          <w:i/>
          <w:iCs/>
          <w:lang w:val="en-US" w:eastAsia="hi-IN"/>
        </w:rPr>
        <w:tab/>
        <w:t xml:space="preserve"> tád asya</w:t>
      </w:r>
      <w:r w:rsidRPr="0071345C">
        <w:rPr>
          <w:rFonts w:ascii="Sabon Unicode" w:eastAsia="MS Mincho;ＭＳ 明朝" w:hAnsi="Sabon Unicode"/>
          <w:lang w:val="en-US" w:eastAsia="hi-IN"/>
        </w:rPr>
        <w:t xml:space="preserve"> […]  </w:t>
      </w:r>
      <w:r w:rsidRPr="0071345C">
        <w:rPr>
          <w:rFonts w:ascii="Sabon Unicode" w:eastAsia="MS Mincho;ＭＳ 明朝" w:hAnsi="Sabon Unicode"/>
          <w:i/>
          <w:iCs/>
          <w:lang w:val="en-US" w:eastAsia="hi-IN"/>
        </w:rPr>
        <w:t>útsa</w:t>
      </w:r>
      <w:r w:rsidRPr="0071345C">
        <w:rPr>
          <w:rFonts w:ascii="Sabon Unicode" w:eastAsia="MS Mincho;ＭＳ 明朝" w:hAnsi="Sabon Unicode"/>
          <w:i/>
          <w:iCs/>
          <w:lang w:val="en-US" w:eastAsia="hi-IN"/>
        </w:rPr>
        <w:t>ḥ</w:t>
      </w:r>
      <w:r w:rsidRPr="0071345C">
        <w:rPr>
          <w:rFonts w:ascii="Sabon Unicode" w:eastAsia="MS Mincho;ＭＳ 明朝" w:hAnsi="Sabon Unicode"/>
          <w:lang w:val="en-US" w:eastAsia="hi-IN"/>
        </w:rPr>
        <w:t xml:space="preserve"> = R</w:t>
      </w:r>
      <w:r>
        <w:rPr>
          <w:rFonts w:ascii="Sabon Unicode" w:hAnsi="Sabon Unicode" w:cs="Devanagari MT;Times New Roman"/>
          <w:sz w:val="18"/>
          <w:szCs w:val="18"/>
          <w:lang w:val="en-GB" w:eastAsia="hi-IN" w:bidi="en-GB"/>
        </w:rPr>
        <w:t>̥</w:t>
      </w:r>
      <w:r w:rsidRPr="0071345C">
        <w:rPr>
          <w:rFonts w:ascii="Sabon Unicode" w:eastAsia="MS Mincho;ＭＳ 明朝" w:hAnsi="Sabon Unicode"/>
          <w:lang w:val="en-US" w:eastAsia="hi-IN"/>
        </w:rPr>
        <w:t>V 1.154.5.</w:t>
      </w:r>
    </w:p>
  </w:footnote>
  <w:footnote w:id="279">
    <w:p w14:paraId="4B12B272"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rFonts w:ascii="Sabon Unicode" w:eastAsia="MS Mincho;ＭＳ 明朝" w:hAnsi="Sabon Unicode"/>
          <w:lang w:val="en-US" w:eastAsia="hi-IN"/>
        </w:rPr>
        <w:tab/>
        <w:t xml:space="preserve"> </w:t>
      </w:r>
      <w:r w:rsidRPr="0071345C">
        <w:rPr>
          <w:rFonts w:ascii="Sabon Unicode" w:eastAsia="MS Mincho;ＭＳ 明朝" w:hAnsi="Sabon Unicode"/>
          <w:i/>
          <w:iCs/>
          <w:lang w:val="en-US" w:eastAsia="hi-IN"/>
        </w:rPr>
        <w:t>kratvā dā</w:t>
      </w:r>
      <w:r w:rsidRPr="0071345C">
        <w:rPr>
          <w:rFonts w:ascii="Sabon Unicode" w:eastAsia="MS Mincho;ＭＳ 明朝" w:hAnsi="Sabon Unicode"/>
          <w:lang w:val="en-US" w:eastAsia="hi-IN"/>
        </w:rPr>
        <w:t>́</w:t>
      </w:r>
      <w:r w:rsidRPr="0071345C">
        <w:rPr>
          <w:rFonts w:ascii="Sabon Unicode" w:eastAsia="MS Mincho;ＭＳ 明朝" w:hAnsi="Sabon Unicode"/>
          <w:lang w:val="en-US" w:eastAsia="hi-IN"/>
        </w:rPr>
        <w:t xml:space="preserve"> […]  </w:t>
      </w:r>
      <w:r w:rsidRPr="0071345C">
        <w:rPr>
          <w:rFonts w:ascii="Sabon Unicode" w:eastAsia="MS Mincho;ＭＳ 明朝" w:hAnsi="Sabon Unicode"/>
          <w:i/>
          <w:iCs/>
          <w:lang w:val="en-US" w:eastAsia="hi-IN"/>
        </w:rPr>
        <w:t>suvr</w:t>
      </w:r>
      <w:r>
        <w:rPr>
          <w:rFonts w:ascii="Sabon Unicode" w:hAnsi="Sabon Unicode" w:cs="Devanagari MT;Times New Roman"/>
          <w:i/>
          <w:iCs/>
          <w:sz w:val="18"/>
          <w:szCs w:val="18"/>
          <w:lang w:val="en-GB" w:eastAsia="hi-IN" w:bidi="en-GB"/>
        </w:rPr>
        <w:t>̥</w:t>
      </w:r>
      <w:r w:rsidRPr="0071345C">
        <w:rPr>
          <w:rFonts w:ascii="Sabon Unicode" w:eastAsia="MS Mincho;ＭＳ 明朝" w:hAnsi="Sabon Unicode"/>
          <w:i/>
          <w:iCs/>
          <w:lang w:val="en-US" w:eastAsia="hi-IN"/>
        </w:rPr>
        <w:t>ktím</w:t>
      </w:r>
      <w:r w:rsidRPr="0071345C">
        <w:rPr>
          <w:rFonts w:ascii="Sabon Unicode" w:eastAsia="MS Mincho;ＭＳ 明朝" w:hAnsi="Sabon Unicode"/>
          <w:lang w:val="en-US" w:eastAsia="hi-IN"/>
        </w:rPr>
        <w:t xml:space="preserve"> </w:t>
      </w:r>
      <w:r w:rsidRPr="0071345C">
        <w:rPr>
          <w:rFonts w:ascii="Sabon Unicode" w:eastAsia="MS Mincho;ＭＳ 明朝" w:hAnsi="Sabon Unicode"/>
          <w:lang w:val="en-US" w:eastAsia="hi-IN"/>
        </w:rPr>
        <w:t>= R</w:t>
      </w:r>
      <w:r>
        <w:rPr>
          <w:rFonts w:ascii="Sabon Unicode" w:hAnsi="Sabon Unicode" w:cs="Devanagari MT;Times New Roman"/>
          <w:sz w:val="18"/>
          <w:szCs w:val="18"/>
          <w:lang w:val="en-GB" w:eastAsia="hi-IN" w:bidi="en-GB"/>
        </w:rPr>
        <w:t>̥</w:t>
      </w:r>
      <w:r w:rsidRPr="0071345C">
        <w:rPr>
          <w:rFonts w:ascii="Sabon Unicode" w:eastAsia="MS Mincho;ＭＳ 明朝" w:hAnsi="Sabon Unicode"/>
          <w:lang w:val="en-US" w:eastAsia="hi-IN"/>
        </w:rPr>
        <w:t xml:space="preserve">V </w:t>
      </w:r>
      <w:r w:rsidRPr="0071345C">
        <w:rPr>
          <w:rFonts w:ascii="Sabon Unicode" w:eastAsia="MS Mincho;ＭＳ 明朝" w:hAnsi="Sabon Unicode"/>
          <w:lang w:val="en-US" w:eastAsia="hi-IN"/>
        </w:rPr>
        <w:t>6.16.26.</w:t>
      </w:r>
    </w:p>
  </w:footnote>
  <w:footnote w:id="280">
    <w:p w14:paraId="27549FC6" w14:textId="77777777" w:rsidR="00E53EB6" w:rsidRPr="0071345C" w:rsidRDefault="006500F5">
      <w:pPr>
        <w:pStyle w:val="FootnoteText"/>
        <w:rPr>
          <w:i/>
          <w:iCs/>
          <w:lang w:val="en-US"/>
        </w:rPr>
      </w:pPr>
      <w:r>
        <w:rPr>
          <w:rStyle w:val="FootnoteCharacters"/>
        </w:rPr>
        <w:footnoteRef/>
      </w:r>
      <w:r w:rsidRPr="0071345C">
        <w:rPr>
          <w:i/>
          <w:iCs/>
          <w:lang w:val="en-US"/>
        </w:rPr>
        <w:tab/>
        <w:t xml:space="preserve"> asthu </w:t>
      </w:r>
      <w:r w:rsidRPr="0071345C">
        <w:rPr>
          <w:lang w:val="en-US"/>
        </w:rPr>
        <w:t>Sāya</w:t>
      </w:r>
      <w:r w:rsidRPr="0071345C">
        <w:rPr>
          <w:lang w:val="en-US"/>
        </w:rPr>
        <w:t>ṇ</w:t>
      </w:r>
      <w:r w:rsidRPr="0071345C">
        <w:rPr>
          <w:lang w:val="en-US"/>
        </w:rPr>
        <w:t>a: “</w:t>
      </w:r>
      <w:r w:rsidRPr="0071345C">
        <w:rPr>
          <w:i/>
          <w:iCs/>
          <w:lang w:val="en-US"/>
        </w:rPr>
        <w:t xml:space="preserve">astu” </w:t>
      </w:r>
      <w:r w:rsidRPr="0071345C">
        <w:rPr>
          <w:lang w:val="en-US"/>
        </w:rPr>
        <w:t xml:space="preserve">and so reads also </w:t>
      </w:r>
      <w:r w:rsidRPr="0071345C">
        <w:rPr>
          <w:rFonts w:eastAsia="Arial Unicode MS"/>
          <w:iCs/>
          <w:lang w:val="en-US"/>
        </w:rPr>
        <w:t>Bha</w:t>
      </w:r>
      <w:r w:rsidRPr="0071345C">
        <w:rPr>
          <w:rFonts w:eastAsia="Arial Unicode MS"/>
          <w:iCs/>
          <w:lang w:val="en-US"/>
        </w:rPr>
        <w:t>ṭṭ</w:t>
      </w:r>
      <w:r w:rsidRPr="0071345C">
        <w:rPr>
          <w:rFonts w:eastAsia="Arial Unicode MS"/>
          <w:iCs/>
          <w:lang w:val="en-US"/>
        </w:rPr>
        <w:t>a Bhāskara Miśra.</w:t>
      </w:r>
    </w:p>
  </w:footnote>
  <w:footnote w:id="281">
    <w:p w14:paraId="74823908" w14:textId="77777777" w:rsidR="00E53EB6" w:rsidRDefault="006500F5">
      <w:pPr>
        <w:pStyle w:val="FootnoteText"/>
        <w:suppressLineNumbers/>
        <w:spacing w:line="210" w:lineRule="exact"/>
        <w:ind w:left="240" w:hanging="240"/>
        <w:jc w:val="both"/>
      </w:pPr>
      <w:r>
        <w:rPr>
          <w:rStyle w:val="FootnoteCharacters"/>
        </w:rPr>
        <w:footnoteRef/>
      </w:r>
      <w:r>
        <w:rPr>
          <w:rFonts w:ascii="Sabon Unicode" w:eastAsia="MS Mincho;ＭＳ 明朝" w:hAnsi="Sabon Unicode"/>
          <w:i/>
          <w:iCs/>
          <w:lang w:eastAsia="hi-IN"/>
        </w:rPr>
        <w:tab/>
        <w:t xml:space="preserve"> vīhí</w:t>
      </w:r>
      <w:r>
        <w:rPr>
          <w:rFonts w:ascii="Sabon Unicode" w:eastAsia="MS Mincho;ＭＳ 明朝" w:hAnsi="Sabon Unicode"/>
          <w:lang w:eastAsia="hi-IN"/>
        </w:rPr>
        <w:t xml:space="preserve">, from </w:t>
      </w:r>
      <w:r>
        <w:rPr>
          <w:rFonts w:ascii="Sabon Unicode" w:eastAsia="MS Mincho;ＭＳ 明朝" w:hAnsi="Sabon Unicode"/>
          <w:i/>
          <w:iCs/>
          <w:lang w:eastAsia="hi-IN"/>
        </w:rPr>
        <w:t>vī</w:t>
      </w:r>
      <w:r>
        <w:rPr>
          <w:rFonts w:ascii="Sabon Unicode" w:eastAsia="MS Mincho;ＭＳ 明朝" w:hAnsi="Sabon Unicode"/>
          <w:lang w:eastAsia="hi-IN"/>
        </w:rPr>
        <w:t>-</w:t>
      </w:r>
      <w:r>
        <w:rPr>
          <w:rFonts w:ascii="Sabon Unicode" w:eastAsia="MS Mincho;ＭＳ 明朝" w:hAnsi="Sabon Unicode"/>
          <w:lang w:eastAsia="hi-IN"/>
        </w:rPr>
        <w:t xml:space="preserve"> EWAia: II 509: “sich zuwenden, streben”.</w:t>
      </w:r>
    </w:p>
  </w:footnote>
  <w:footnote w:id="282">
    <w:p w14:paraId="42D2DA66" w14:textId="77777777" w:rsidR="00E53EB6" w:rsidRDefault="006500F5">
      <w:pPr>
        <w:pStyle w:val="FootnoteText"/>
        <w:suppressLineNumbers/>
        <w:spacing w:line="210" w:lineRule="exact"/>
        <w:ind w:left="240" w:hanging="240"/>
        <w:jc w:val="both"/>
      </w:pPr>
      <w:r>
        <w:rPr>
          <w:rStyle w:val="FootnoteCharacters"/>
        </w:rPr>
        <w:footnoteRef/>
      </w:r>
      <w:r>
        <w:rPr>
          <w:i/>
          <w:iCs/>
        </w:rPr>
        <w:tab/>
        <w:t xml:space="preserve"> sá pratnaván</w:t>
      </w:r>
      <w:r>
        <w:t xml:space="preserve"> […] </w:t>
      </w:r>
      <w:r>
        <w:rPr>
          <w:i/>
          <w:iCs/>
        </w:rPr>
        <w:t>bhānúnā</w:t>
      </w:r>
      <w:r>
        <w:t xml:space="preserve"> = R</w:t>
      </w:r>
      <w:r w:rsidRPr="0071345C">
        <w:rPr>
          <w:rFonts w:ascii="Sabon Unicode" w:hAnsi="Sabon Unicode" w:cs="Devanagari MT;Times New Roman"/>
          <w:sz w:val="18"/>
          <w:szCs w:val="18"/>
          <w:lang w:eastAsia="hi-IN" w:bidi="en-GB"/>
        </w:rPr>
        <w:t>̥</w:t>
      </w:r>
      <w:r>
        <w:t>V 6.16.21.</w:t>
      </w:r>
    </w:p>
  </w:footnote>
  <w:footnote w:id="283">
    <w:p w14:paraId="2E114383" w14:textId="77777777" w:rsidR="00E53EB6" w:rsidRDefault="006500F5">
      <w:pPr>
        <w:pStyle w:val="FootnoteText"/>
        <w:suppressLineNumbers/>
        <w:spacing w:line="210" w:lineRule="exact"/>
        <w:ind w:left="240" w:hanging="240"/>
        <w:jc w:val="both"/>
      </w:pPr>
      <w:r>
        <w:rPr>
          <w:rStyle w:val="FootnoteCharacters"/>
        </w:rPr>
        <w:footnoteRef/>
      </w:r>
      <w:r>
        <w:rPr>
          <w:i/>
          <w:iCs/>
        </w:rPr>
        <w:tab/>
        <w:t xml:space="preserve"> náva</w:t>
      </w:r>
      <w:r>
        <w:rPr>
          <w:i/>
          <w:iCs/>
        </w:rPr>
        <w:t>ṃ</w:t>
      </w:r>
      <w:r>
        <w:rPr>
          <w:i/>
          <w:iCs/>
        </w:rPr>
        <w:t xml:space="preserve"> nú </w:t>
      </w:r>
      <w:r>
        <w:t xml:space="preserve">[…] </w:t>
      </w:r>
      <w:r>
        <w:rPr>
          <w:i/>
          <w:iCs/>
        </w:rPr>
        <w:t>na</w:t>
      </w:r>
      <w:r>
        <w:rPr>
          <w:i/>
          <w:iCs/>
        </w:rPr>
        <w:t>ḥ</w:t>
      </w:r>
      <w:r>
        <w:rPr>
          <w:i/>
          <w:iCs/>
        </w:rPr>
        <w:t>ī</w:t>
      </w:r>
      <w:r>
        <w:t xml:space="preserve"> = R</w:t>
      </w:r>
      <w:r w:rsidRPr="0071345C">
        <w:rPr>
          <w:rFonts w:ascii="Sabon Unicode" w:hAnsi="Sabon Unicode" w:cs="Devanagari MT;Times New Roman"/>
          <w:sz w:val="18"/>
          <w:szCs w:val="18"/>
          <w:lang w:eastAsia="hi-IN" w:bidi="en-GB"/>
        </w:rPr>
        <w:t>̥</w:t>
      </w:r>
      <w:r>
        <w:t>V 7.15.4; KS 40.14.</w:t>
      </w:r>
    </w:p>
  </w:footnote>
  <w:footnote w:id="284">
    <w:p w14:paraId="6757C4DD"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sá</w:t>
      </w:r>
      <w:r w:rsidRPr="0071345C">
        <w:rPr>
          <w:lang w:val="en-US"/>
        </w:rPr>
        <w:t xml:space="preserve"> referred to a 2</w:t>
      </w:r>
      <w:r w:rsidRPr="0071345C">
        <w:rPr>
          <w:vertAlign w:val="superscript"/>
          <w:lang w:val="en-US"/>
        </w:rPr>
        <w:t>nd</w:t>
      </w:r>
      <w:r w:rsidRPr="0071345C">
        <w:rPr>
          <w:lang w:val="en-US"/>
        </w:rPr>
        <w:t xml:space="preserve"> person can be considered as an emphatic particle.</w:t>
      </w:r>
    </w:p>
  </w:footnote>
  <w:footnote w:id="285">
    <w:p w14:paraId="2D284F0B"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As to the use of injunctive to express the intention of the subject, see </w:t>
      </w:r>
      <w:r w:rsidRPr="0071345C">
        <w:rPr>
          <w:rStyle w:val="biblio-authorGEN"/>
          <w:sz w:val="18"/>
          <w:szCs w:val="15"/>
          <w:lang w:val="en-US"/>
        </w:rPr>
        <w:t>Hoffmann</w:t>
      </w:r>
      <w:r w:rsidRPr="0071345C">
        <w:rPr>
          <w:lang w:val="en-US"/>
        </w:rPr>
        <w:t xml:space="preserve"> 1967: 253.</w:t>
      </w:r>
    </w:p>
  </w:footnote>
  <w:footnote w:id="286">
    <w:p w14:paraId="7E6D1D07"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śyena- </w:t>
      </w:r>
      <w:r w:rsidRPr="0071345C">
        <w:rPr>
          <w:lang w:val="en-US"/>
        </w:rPr>
        <w:t xml:space="preserve">indicates any bird within a praying context and especially the eagle that brings </w:t>
      </w:r>
      <w:r w:rsidRPr="0071345C">
        <w:rPr>
          <w:lang w:val="en-US"/>
        </w:rPr>
        <w:t xml:space="preserve">the </w:t>
      </w:r>
      <w:r w:rsidRPr="0071345C">
        <w:rPr>
          <w:i/>
          <w:iCs/>
          <w:lang w:val="en-US"/>
        </w:rPr>
        <w:t>soma</w:t>
      </w:r>
      <w:r w:rsidRPr="0071345C">
        <w:rPr>
          <w:lang w:val="en-US"/>
        </w:rPr>
        <w:t xml:space="preserve"> to the men.</w:t>
      </w:r>
    </w:p>
  </w:footnote>
  <w:footnote w:id="287">
    <w:p w14:paraId="3AFF930C"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váso</w:t>
      </w:r>
      <w:r w:rsidRPr="0071345C">
        <w:rPr>
          <w:i/>
          <w:iCs/>
          <w:lang w:val="en-US"/>
        </w:rPr>
        <w:t>ḥ</w:t>
      </w:r>
      <w:r w:rsidRPr="0071345C">
        <w:rPr>
          <w:i/>
          <w:iCs/>
          <w:lang w:val="en-US"/>
        </w:rPr>
        <w:t xml:space="preserve"> kuvíd,</w:t>
      </w:r>
      <w:r w:rsidRPr="0071345C">
        <w:rPr>
          <w:lang w:val="en-US"/>
        </w:rPr>
        <w:t xml:space="preserve"> as to the partitive genitive with verbs of giving and asking, cf. </w:t>
      </w:r>
      <w:r w:rsidRPr="0071345C">
        <w:rPr>
          <w:rStyle w:val="biblio-authorGEN"/>
          <w:sz w:val="18"/>
          <w:szCs w:val="15"/>
          <w:lang w:val="en-US"/>
        </w:rPr>
        <w:t>Whitney</w:t>
      </w:r>
      <w:r w:rsidRPr="0071345C">
        <w:rPr>
          <w:lang w:val="en-US"/>
        </w:rPr>
        <w:t xml:space="preserve"> 1924: §297.b and </w:t>
      </w:r>
      <w:r w:rsidRPr="0071345C">
        <w:rPr>
          <w:rStyle w:val="biblio-authorGEN"/>
          <w:sz w:val="18"/>
          <w:szCs w:val="15"/>
          <w:lang w:val="en-US"/>
        </w:rPr>
        <w:t>Macdonell</w:t>
      </w:r>
      <w:r w:rsidRPr="0071345C">
        <w:rPr>
          <w:lang w:val="en-US"/>
        </w:rPr>
        <w:t xml:space="preserve"> 1916: §202.e, see also above the gloss of the verb </w:t>
      </w:r>
      <w:r w:rsidRPr="0071345C">
        <w:rPr>
          <w:rFonts w:ascii="Sabon Unicode" w:hAnsi="Sabon Unicode"/>
          <w:i/>
          <w:iCs/>
          <w:lang w:val="en-US"/>
        </w:rPr>
        <w:t xml:space="preserve">vanā́ti </w:t>
      </w:r>
      <w:r w:rsidRPr="0071345C">
        <w:rPr>
          <w:rFonts w:ascii="Sabon Unicode" w:hAnsi="Sabon Unicode"/>
          <w:lang w:val="en-US"/>
        </w:rPr>
        <w:t>(</w:t>
      </w:r>
      <w:r w:rsidRPr="0071345C">
        <w:rPr>
          <w:rFonts w:ascii="Sabon Unicode" w:eastAsia="Arial Unicode MS" w:hAnsi="Sabon Unicode"/>
          <w:lang w:val="en-US"/>
        </w:rPr>
        <w:t>Bha</w:t>
      </w:r>
      <w:r w:rsidRPr="0071345C">
        <w:rPr>
          <w:rFonts w:ascii="Sabon Unicode" w:eastAsia="Arial Unicode MS" w:hAnsi="Sabon Unicode"/>
          <w:lang w:val="en-US"/>
        </w:rPr>
        <w:t>ṭṭ</w:t>
      </w:r>
      <w:r w:rsidRPr="0071345C">
        <w:rPr>
          <w:rFonts w:ascii="Sabon Unicode" w:eastAsia="Arial Unicode MS" w:hAnsi="Sabon Unicode"/>
          <w:lang w:val="en-US"/>
        </w:rPr>
        <w:t xml:space="preserve">a Bhāskara Miśra: </w:t>
      </w:r>
      <w:r w:rsidRPr="0071345C">
        <w:rPr>
          <w:rFonts w:ascii="Sabon Unicode" w:eastAsia="Arial Unicode MS" w:hAnsi="Sabon Unicode"/>
          <w:i/>
          <w:iCs/>
          <w:lang w:val="en-US"/>
        </w:rPr>
        <w:t>dadāti</w:t>
      </w:r>
      <w:r w:rsidRPr="0071345C">
        <w:rPr>
          <w:rFonts w:ascii="Sabon Unicode" w:eastAsia="Arial Unicode MS" w:hAnsi="Sabon Unicode"/>
          <w:lang w:val="en-US"/>
        </w:rPr>
        <w:t>)</w:t>
      </w:r>
      <w:r w:rsidRPr="0071345C">
        <w:rPr>
          <w:rFonts w:ascii="Sabon Unicode" w:eastAsia="Arial Unicode MS" w:hAnsi="Sabon Unicode"/>
          <w:i/>
          <w:iCs/>
          <w:lang w:val="en-US"/>
        </w:rPr>
        <w:t xml:space="preserve"> </w:t>
      </w:r>
      <w:r w:rsidRPr="0071345C">
        <w:rPr>
          <w:rFonts w:ascii="Sabon Unicode" w:hAnsi="Sabon Unicode"/>
          <w:lang w:val="en-US"/>
        </w:rPr>
        <w:t xml:space="preserve">The use of the </w:t>
      </w:r>
      <w:r w:rsidRPr="0071345C">
        <w:rPr>
          <w:rFonts w:ascii="Sabon Unicode" w:hAnsi="Sabon Unicode"/>
          <w:lang w:val="en-US"/>
        </w:rPr>
        <w:t>genitive creates a</w:t>
      </w:r>
      <w:r w:rsidRPr="0071345C">
        <w:rPr>
          <w:rFonts w:ascii="Sabon Unicode" w:hAnsi="Sabon Unicode"/>
          <w:lang w:val="en-US"/>
        </w:rPr>
        <w:t xml:space="preserve"> sound play with the verb.</w:t>
      </w:r>
    </w:p>
  </w:footnote>
  <w:footnote w:id="288">
    <w:p w14:paraId="79B916C9"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dr</w:t>
      </w:r>
      <w:r>
        <w:rPr>
          <w:rFonts w:ascii="Sabon Unicode" w:hAnsi="Sabon Unicode" w:cs="Devanagari MT;Times New Roman"/>
          <w:sz w:val="18"/>
          <w:szCs w:val="18"/>
          <w:lang w:val="en-GB" w:eastAsia="hi-IN" w:bidi="en-GB"/>
        </w:rPr>
        <w:t>̥</w:t>
      </w:r>
      <w:r w:rsidRPr="0071345C">
        <w:rPr>
          <w:i/>
          <w:iCs/>
          <w:lang w:val="en-US"/>
        </w:rPr>
        <w:t xml:space="preserve">śé </w:t>
      </w:r>
      <w:r w:rsidRPr="0071345C">
        <w:rPr>
          <w:lang w:val="en-US"/>
        </w:rPr>
        <w:t>scil</w:t>
      </w:r>
      <w:r w:rsidRPr="0071345C">
        <w:rPr>
          <w:i/>
          <w:iCs/>
          <w:lang w:val="en-US"/>
        </w:rPr>
        <w:t xml:space="preserve">. </w:t>
      </w:r>
      <w:r w:rsidRPr="0071345C">
        <w:rPr>
          <w:lang w:val="en-US"/>
        </w:rPr>
        <w:t>‘</w:t>
      </w:r>
      <w:r w:rsidRPr="0071345C">
        <w:rPr>
          <w:i/>
          <w:iCs/>
          <w:lang w:val="en-US"/>
        </w:rPr>
        <w:t>bhavanti</w:t>
      </w:r>
      <w:r w:rsidRPr="0071345C">
        <w:rPr>
          <w:lang w:val="en-US"/>
        </w:rPr>
        <w:t xml:space="preserve">’, literally “are at seeing”, cf. the commentaries: </w:t>
      </w:r>
      <w:r w:rsidRPr="0071345C">
        <w:rPr>
          <w:rFonts w:eastAsia="Arial Unicode MS"/>
          <w:lang w:val="en-US"/>
        </w:rPr>
        <w:t>Bha</w:t>
      </w:r>
      <w:r w:rsidRPr="0071345C">
        <w:rPr>
          <w:rFonts w:eastAsia="Arial Unicode MS"/>
          <w:lang w:val="en-US"/>
        </w:rPr>
        <w:t>ṭṭ</w:t>
      </w:r>
      <w:r w:rsidRPr="0071345C">
        <w:rPr>
          <w:rFonts w:eastAsia="Arial Unicode MS"/>
          <w:lang w:val="en-US"/>
        </w:rPr>
        <w:t xml:space="preserve">a Bhāskara Miśra </w:t>
      </w:r>
      <w:r w:rsidRPr="0071345C">
        <w:rPr>
          <w:rFonts w:eastAsia="Arial Unicode MS"/>
          <w:i/>
          <w:iCs/>
          <w:lang w:val="en-US"/>
        </w:rPr>
        <w:t>dr</w:t>
      </w:r>
      <w:r>
        <w:rPr>
          <w:rFonts w:ascii="Sabon Unicode" w:hAnsi="Sabon Unicode" w:cs="Devanagari MT;Times New Roman"/>
          <w:sz w:val="18"/>
          <w:szCs w:val="18"/>
          <w:lang w:val="en-GB" w:eastAsia="hi-IN" w:bidi="en-GB"/>
        </w:rPr>
        <w:t>̥</w:t>
      </w:r>
      <w:r w:rsidRPr="0071345C">
        <w:rPr>
          <w:rFonts w:eastAsia="Arial Unicode MS"/>
          <w:i/>
          <w:iCs/>
          <w:lang w:val="en-US"/>
        </w:rPr>
        <w:t>śe darśanīyā</w:t>
      </w:r>
      <w:r w:rsidRPr="0071345C">
        <w:rPr>
          <w:rFonts w:eastAsia="Arial Unicode MS"/>
          <w:i/>
          <w:iCs/>
          <w:lang w:val="en-US"/>
        </w:rPr>
        <w:t>ḥ</w:t>
      </w:r>
      <w:r w:rsidRPr="0071345C">
        <w:rPr>
          <w:rFonts w:eastAsia="Arial Unicode MS"/>
          <w:i/>
          <w:iCs/>
          <w:lang w:val="en-US"/>
        </w:rPr>
        <w:t xml:space="preserve"> bhavanti</w:t>
      </w:r>
      <w:r w:rsidRPr="0071345C">
        <w:rPr>
          <w:rFonts w:eastAsia="Arial Unicode MS"/>
          <w:lang w:val="en-US"/>
        </w:rPr>
        <w:t>; Sāya</w:t>
      </w:r>
      <w:r w:rsidRPr="0071345C">
        <w:rPr>
          <w:rFonts w:eastAsia="Arial Unicode MS"/>
          <w:lang w:val="en-US"/>
        </w:rPr>
        <w:t>ṇ</w:t>
      </w:r>
      <w:r w:rsidRPr="0071345C">
        <w:rPr>
          <w:rFonts w:eastAsia="Arial Unicode MS"/>
          <w:lang w:val="en-US"/>
        </w:rPr>
        <w:t xml:space="preserve">a </w:t>
      </w:r>
      <w:r w:rsidRPr="0071345C">
        <w:rPr>
          <w:rFonts w:eastAsia="Arial Unicode MS"/>
          <w:i/>
          <w:iCs/>
          <w:lang w:val="en-US"/>
        </w:rPr>
        <w:t>dr</w:t>
      </w:r>
      <w:r>
        <w:rPr>
          <w:rFonts w:ascii="Sabon Unicode" w:hAnsi="Sabon Unicode" w:cs="Devanagari MT;Times New Roman"/>
          <w:sz w:val="18"/>
          <w:szCs w:val="18"/>
          <w:lang w:val="en-GB" w:eastAsia="hi-IN" w:bidi="en-GB"/>
        </w:rPr>
        <w:t>̥</w:t>
      </w:r>
      <w:r w:rsidRPr="0071345C">
        <w:rPr>
          <w:rFonts w:eastAsia="Arial Unicode MS"/>
          <w:i/>
          <w:iCs/>
          <w:lang w:val="en-US"/>
        </w:rPr>
        <w:t>śe darśanāya nāśriyo bhavanti</w:t>
      </w:r>
      <w:r w:rsidRPr="0071345C">
        <w:rPr>
          <w:rFonts w:eastAsia="Arial Unicode MS"/>
          <w:lang w:val="en-US"/>
        </w:rPr>
        <w:t>.</w:t>
      </w:r>
    </w:p>
  </w:footnote>
  <w:footnote w:id="289">
    <w:p w14:paraId="4CAC1EA5"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gharmásvedobhir </w:t>
      </w:r>
      <w:r w:rsidRPr="0071345C">
        <w:rPr>
          <w:lang w:val="en-US"/>
        </w:rPr>
        <w:t xml:space="preserve">[…] </w:t>
      </w:r>
      <w:r w:rsidRPr="0071345C">
        <w:rPr>
          <w:i/>
          <w:iCs/>
          <w:lang w:val="en-US"/>
        </w:rPr>
        <w:t>vyā̀na</w:t>
      </w:r>
      <w:r w:rsidRPr="0071345C">
        <w:rPr>
          <w:i/>
          <w:iCs/>
          <w:lang w:val="en-US"/>
        </w:rPr>
        <w:t>ṭ</w:t>
      </w:r>
      <w:r w:rsidRPr="0071345C">
        <w:rPr>
          <w:i/>
          <w:iCs/>
          <w:lang w:val="en-US"/>
        </w:rPr>
        <w:t xml:space="preserve"> </w:t>
      </w:r>
      <w:r w:rsidRPr="0071345C">
        <w:rPr>
          <w:lang w:val="en-US"/>
        </w:rPr>
        <w:t>= R</w:t>
      </w:r>
      <w:r>
        <w:rPr>
          <w:rFonts w:ascii="Sabon Unicode" w:hAnsi="Sabon Unicode" w:cs="Devanagari MT;Times New Roman"/>
          <w:sz w:val="18"/>
          <w:szCs w:val="18"/>
          <w:lang w:val="en-GB" w:eastAsia="hi-IN" w:bidi="en-GB"/>
        </w:rPr>
        <w:t>̥</w:t>
      </w:r>
      <w:r w:rsidRPr="0071345C">
        <w:rPr>
          <w:lang w:val="en-US"/>
        </w:rPr>
        <w:t>V 10.67.7d</w:t>
      </w:r>
      <w:r w:rsidRPr="0071345C">
        <w:rPr>
          <w:lang w:val="en-US"/>
        </w:rPr>
        <w:t xml:space="preserve">, </w:t>
      </w:r>
      <w:r w:rsidRPr="0071345C">
        <w:rPr>
          <w:i/>
          <w:iCs/>
          <w:lang w:val="en-US"/>
        </w:rPr>
        <w:t>pāda</w:t>
      </w:r>
      <w:r w:rsidRPr="0071345C">
        <w:rPr>
          <w:lang w:val="en-US"/>
        </w:rPr>
        <w:t>s a-c are quoted in the preceding paragraph.</w:t>
      </w:r>
    </w:p>
  </w:footnote>
  <w:footnote w:id="290">
    <w:p w14:paraId="02208313"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lang w:val="en-US"/>
        </w:rPr>
        <w:t>D</w:t>
      </w:r>
      <w:r w:rsidRPr="0071345C">
        <w:rPr>
          <w:lang w:val="en-US"/>
        </w:rPr>
        <w:t xml:space="preserve">umont: </w:t>
      </w:r>
      <w:r w:rsidRPr="0071345C">
        <w:rPr>
          <w:i/>
          <w:iCs/>
          <w:lang w:val="en-US"/>
        </w:rPr>
        <w:t>śávasā 'sarat.</w:t>
      </w:r>
    </w:p>
  </w:footnote>
  <w:footnote w:id="291">
    <w:p w14:paraId="34512F4B"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bráhma</w:t>
      </w:r>
      <w:r w:rsidRPr="0071345C">
        <w:rPr>
          <w:i/>
          <w:iCs/>
          <w:lang w:val="en-US"/>
        </w:rPr>
        <w:t>ṇ</w:t>
      </w:r>
      <w:r w:rsidRPr="0071345C">
        <w:rPr>
          <w:i/>
          <w:iCs/>
          <w:lang w:val="en-US"/>
        </w:rPr>
        <w:t>aspáter</w:t>
      </w:r>
      <w:r w:rsidRPr="0071345C">
        <w:rPr>
          <w:lang w:val="en-US"/>
        </w:rPr>
        <w:t xml:space="preserve"> […] </w:t>
      </w:r>
      <w:r w:rsidRPr="0071345C">
        <w:rPr>
          <w:i/>
          <w:iCs/>
          <w:lang w:val="en-US"/>
        </w:rPr>
        <w:t>pŕ</w:t>
      </w:r>
      <w:r>
        <w:rPr>
          <w:rFonts w:ascii="Sabon Unicode" w:hAnsi="Sabon Unicode" w:cs="Devanagari MT;Times New Roman"/>
          <w:sz w:val="18"/>
          <w:szCs w:val="18"/>
          <w:lang w:val="en-GB" w:eastAsia="hi-IN" w:bidi="en-GB"/>
        </w:rPr>
        <w:t>̥</w:t>
      </w:r>
      <w:r w:rsidRPr="0071345C">
        <w:rPr>
          <w:i/>
          <w:iCs/>
          <w:lang w:val="en-US"/>
        </w:rPr>
        <w:t>thak</w:t>
      </w:r>
      <w:r w:rsidRPr="0071345C">
        <w:rPr>
          <w:lang w:val="en-US"/>
        </w:rPr>
        <w:t xml:space="preserve"> = R</w:t>
      </w:r>
      <w:r>
        <w:rPr>
          <w:rFonts w:ascii="Sabon Unicode" w:hAnsi="Sabon Unicode" w:cs="Devanagari MT;Times New Roman"/>
          <w:sz w:val="18"/>
          <w:szCs w:val="18"/>
          <w:lang w:val="en-GB" w:eastAsia="hi-IN" w:bidi="en-GB"/>
        </w:rPr>
        <w:t>̥</w:t>
      </w:r>
      <w:r w:rsidRPr="0071345C">
        <w:rPr>
          <w:lang w:val="en-US"/>
        </w:rPr>
        <w:t>V 2.24.14.</w:t>
      </w:r>
    </w:p>
  </w:footnote>
  <w:footnote w:id="292">
    <w:p w14:paraId="29901D5A"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Dumont: </w:t>
      </w:r>
      <w:r w:rsidRPr="0071345C">
        <w:rPr>
          <w:i/>
          <w:iCs/>
          <w:lang w:val="en-US"/>
        </w:rPr>
        <w:t>áti sá prásarsr</w:t>
      </w:r>
      <w:r>
        <w:rPr>
          <w:rFonts w:ascii="Sabon Unicode" w:hAnsi="Sabon Unicode" w:cs="Devanagari MT;Times New Roman"/>
          <w:sz w:val="18"/>
          <w:szCs w:val="18"/>
          <w:lang w:val="en-GB" w:eastAsia="hi-IN" w:bidi="en-GB"/>
        </w:rPr>
        <w:t>̥</w:t>
      </w:r>
      <w:r w:rsidRPr="0071345C">
        <w:rPr>
          <w:i/>
          <w:iCs/>
          <w:lang w:val="en-US"/>
        </w:rPr>
        <w:t>te</w:t>
      </w:r>
      <w:r w:rsidRPr="0071345C">
        <w:rPr>
          <w:lang w:val="en-US"/>
        </w:rPr>
        <w:t>, probably based upon R</w:t>
      </w:r>
      <w:r>
        <w:rPr>
          <w:rFonts w:ascii="Sabon Unicode" w:hAnsi="Sabon Unicode" w:cs="Devanagari MT;Times New Roman"/>
          <w:sz w:val="18"/>
          <w:szCs w:val="18"/>
          <w:lang w:val="en-GB" w:eastAsia="hi-IN" w:bidi="en-GB"/>
        </w:rPr>
        <w:t>̥</w:t>
      </w:r>
      <w:r w:rsidRPr="0071345C">
        <w:rPr>
          <w:lang w:val="en-US"/>
        </w:rPr>
        <w:t>V 2.25.1, so reads also MS 4.14.10.</w:t>
      </w:r>
    </w:p>
  </w:footnote>
  <w:footnote w:id="293">
    <w:p w14:paraId="18C2CCA8"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índhāno</w:t>
      </w:r>
      <w:r w:rsidRPr="0071345C">
        <w:rPr>
          <w:lang w:val="en-US"/>
        </w:rPr>
        <w:t xml:space="preserve"> […]</w:t>
      </w:r>
      <w:r w:rsidRPr="0071345C">
        <w:rPr>
          <w:i/>
          <w:iCs/>
          <w:lang w:val="en-US"/>
        </w:rPr>
        <w:t>bráhma</w:t>
      </w:r>
      <w:r w:rsidRPr="0071345C">
        <w:rPr>
          <w:i/>
          <w:iCs/>
          <w:lang w:val="en-US"/>
        </w:rPr>
        <w:t>ṇ</w:t>
      </w:r>
      <w:r w:rsidRPr="0071345C">
        <w:rPr>
          <w:i/>
          <w:iCs/>
          <w:lang w:val="en-US"/>
        </w:rPr>
        <w:t>aspáti</w:t>
      </w:r>
      <w:r w:rsidRPr="0071345C">
        <w:rPr>
          <w:i/>
          <w:iCs/>
          <w:lang w:val="en-US"/>
        </w:rPr>
        <w:t>ḥ</w:t>
      </w:r>
      <w:r w:rsidRPr="0071345C">
        <w:rPr>
          <w:lang w:val="en-US"/>
        </w:rPr>
        <w:t xml:space="preserve"> = R</w:t>
      </w:r>
      <w:r>
        <w:rPr>
          <w:rFonts w:ascii="Sabon Unicode" w:hAnsi="Sabon Unicode" w:cs="Devanagari MT;Times New Roman"/>
          <w:sz w:val="18"/>
          <w:szCs w:val="18"/>
          <w:lang w:val="en-GB" w:eastAsia="hi-IN" w:bidi="en-GB"/>
        </w:rPr>
        <w:t>̥</w:t>
      </w:r>
      <w:r w:rsidRPr="0071345C">
        <w:rPr>
          <w:lang w:val="en-US"/>
        </w:rPr>
        <w:t xml:space="preserve">V </w:t>
      </w:r>
      <w:r w:rsidRPr="0071345C">
        <w:rPr>
          <w:lang w:val="en-US"/>
        </w:rPr>
        <w:t>2.25.1; MS 4.14.10.</w:t>
      </w:r>
    </w:p>
  </w:footnote>
  <w:footnote w:id="294">
    <w:p w14:paraId="0431FD09"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bráhma</w:t>
      </w:r>
      <w:r w:rsidRPr="0071345C">
        <w:rPr>
          <w:i/>
          <w:iCs/>
          <w:lang w:val="en-US"/>
        </w:rPr>
        <w:t>ṇ</w:t>
      </w:r>
      <w:r w:rsidRPr="0071345C">
        <w:rPr>
          <w:i/>
          <w:iCs/>
          <w:lang w:val="en-US"/>
        </w:rPr>
        <w:t xml:space="preserve">aspate </w:t>
      </w:r>
      <w:r w:rsidRPr="0071345C">
        <w:rPr>
          <w:lang w:val="en-US"/>
        </w:rPr>
        <w:t xml:space="preserve">[…] </w:t>
      </w:r>
      <w:r w:rsidRPr="0071345C">
        <w:rPr>
          <w:i/>
          <w:iCs/>
          <w:lang w:val="en-US"/>
        </w:rPr>
        <w:t xml:space="preserve">hávam </w:t>
      </w:r>
      <w:r w:rsidRPr="0071345C">
        <w:rPr>
          <w:lang w:val="en-US"/>
        </w:rPr>
        <w:t>= R</w:t>
      </w:r>
      <w:r>
        <w:rPr>
          <w:rFonts w:ascii="Sabon Unicode" w:hAnsi="Sabon Unicode" w:cs="Devanagari MT;Times New Roman"/>
          <w:sz w:val="18"/>
          <w:szCs w:val="18"/>
          <w:lang w:val="en-GB" w:eastAsia="hi-IN" w:bidi="en-GB"/>
        </w:rPr>
        <w:t>̥</w:t>
      </w:r>
      <w:r w:rsidRPr="0071345C">
        <w:rPr>
          <w:lang w:val="en-US"/>
        </w:rPr>
        <w:t>V 2.24.15 (</w:t>
      </w:r>
      <w:r w:rsidRPr="0071345C">
        <w:rPr>
          <w:i/>
          <w:iCs/>
          <w:lang w:val="en-US"/>
        </w:rPr>
        <w:t>váyasvata</w:t>
      </w:r>
      <w:r w:rsidRPr="0071345C">
        <w:rPr>
          <w:i/>
          <w:iCs/>
          <w:lang w:val="en-US"/>
        </w:rPr>
        <w:t>ḥ</w:t>
      </w:r>
      <w:r w:rsidRPr="0071345C">
        <w:rPr>
          <w:i/>
          <w:iCs/>
          <w:lang w:val="en-US"/>
        </w:rPr>
        <w:t xml:space="preserve">, </w:t>
      </w:r>
      <w:r w:rsidRPr="0071345C">
        <w:rPr>
          <w:lang w:val="en-US"/>
        </w:rPr>
        <w:t xml:space="preserve">gen. sing. from </w:t>
      </w:r>
      <w:r w:rsidRPr="0071345C">
        <w:rPr>
          <w:i/>
          <w:iCs/>
          <w:lang w:val="en-US"/>
        </w:rPr>
        <w:t>váyasvat</w:t>
      </w:r>
      <w:r w:rsidRPr="0071345C">
        <w:rPr>
          <w:lang w:val="en-US"/>
        </w:rPr>
        <w:t xml:space="preserve"> “mächtig, labungsreich” Grassmann </w:t>
      </w:r>
      <w:r w:rsidRPr="0071345C">
        <w:rPr>
          <w:rFonts w:ascii="Sabon Unicode" w:hAnsi="Sabon Unicode"/>
          <w:color w:val="000000"/>
          <w:sz w:val="18"/>
          <w:szCs w:val="18"/>
          <w:lang w:val="en-US"/>
        </w:rPr>
        <w:t xml:space="preserve">1875 [ed. 1996: </w:t>
      </w:r>
      <w:r w:rsidRPr="0071345C">
        <w:rPr>
          <w:rFonts w:ascii="Sabon Unicode" w:hAnsi="Sabon Unicode"/>
          <w:sz w:val="18"/>
          <w:szCs w:val="18"/>
          <w:lang w:val="en-US"/>
        </w:rPr>
        <w:t>1215]).</w:t>
      </w:r>
    </w:p>
  </w:footnote>
  <w:footnote w:id="295">
    <w:p w14:paraId="0CC4F7FF"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sá íj </w:t>
      </w:r>
      <w:r w:rsidRPr="0071345C">
        <w:rPr>
          <w:lang w:val="en-US"/>
        </w:rPr>
        <w:t xml:space="preserve">[…] </w:t>
      </w:r>
      <w:r w:rsidRPr="0071345C">
        <w:rPr>
          <w:i/>
          <w:iCs/>
          <w:lang w:val="en-US"/>
        </w:rPr>
        <w:t>bráhma</w:t>
      </w:r>
      <w:r w:rsidRPr="0071345C">
        <w:rPr>
          <w:i/>
          <w:iCs/>
          <w:lang w:val="en-US"/>
        </w:rPr>
        <w:t>ṇ</w:t>
      </w:r>
      <w:r w:rsidRPr="0071345C">
        <w:rPr>
          <w:i/>
          <w:iCs/>
          <w:lang w:val="en-US"/>
        </w:rPr>
        <w:t>aspátim</w:t>
      </w:r>
      <w:r w:rsidRPr="0071345C">
        <w:rPr>
          <w:lang w:val="en-US"/>
        </w:rPr>
        <w:t xml:space="preserve"> = R</w:t>
      </w:r>
      <w:r>
        <w:rPr>
          <w:rFonts w:ascii="Sabon Unicode" w:hAnsi="Sabon Unicode" w:cs="Devanagari MT;Times New Roman"/>
          <w:sz w:val="18"/>
          <w:szCs w:val="18"/>
          <w:lang w:val="en-GB" w:eastAsia="hi-IN" w:bidi="en-GB"/>
        </w:rPr>
        <w:t>̥</w:t>
      </w:r>
      <w:r w:rsidRPr="0071345C">
        <w:rPr>
          <w:lang w:val="en-US"/>
        </w:rPr>
        <w:t>V 2.26.3.</w:t>
      </w:r>
    </w:p>
  </w:footnote>
  <w:footnote w:id="296">
    <w:p w14:paraId="7B6AAE2D"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yás te </w:t>
      </w:r>
      <w:r w:rsidRPr="0071345C">
        <w:rPr>
          <w:lang w:val="en-US"/>
        </w:rPr>
        <w:t xml:space="preserve">[…] </w:t>
      </w:r>
      <w:r w:rsidRPr="0071345C">
        <w:rPr>
          <w:rFonts w:ascii="Sabon Unicode" w:hAnsi="Sabon Unicode"/>
          <w:i/>
          <w:iCs/>
          <w:lang w:val="en-US"/>
        </w:rPr>
        <w:t>antá</w:t>
      </w:r>
      <w:r w:rsidRPr="0071345C">
        <w:rPr>
          <w:rFonts w:ascii="Sabon Unicode" w:hAnsi="Sabon Unicode"/>
          <w:i/>
          <w:iCs/>
          <w:lang w:val="en-US"/>
        </w:rPr>
        <w:t>ḥ</w:t>
      </w:r>
      <w:r w:rsidRPr="0071345C">
        <w:rPr>
          <w:rFonts w:ascii="Sabon Unicode" w:hAnsi="Sabon Unicode"/>
          <w:i/>
          <w:iCs/>
          <w:lang w:val="en-US"/>
        </w:rPr>
        <w:t xml:space="preserve"> </w:t>
      </w:r>
      <w:r w:rsidRPr="0071345C">
        <w:rPr>
          <w:rFonts w:ascii="Sabon Unicode" w:hAnsi="Sabon Unicode"/>
          <w:lang w:val="en-US"/>
        </w:rPr>
        <w:t xml:space="preserve">= </w:t>
      </w:r>
      <w:r w:rsidRPr="0071345C">
        <w:rPr>
          <w:rFonts w:ascii="Sabon Unicode" w:hAnsi="Sabon Unicode"/>
          <w:i/>
          <w:iCs/>
          <w:lang w:val="en-US"/>
        </w:rPr>
        <w:t xml:space="preserve">pratīka </w:t>
      </w:r>
      <w:r w:rsidRPr="0071345C">
        <w:rPr>
          <w:rFonts w:ascii="Sabon Unicode" w:hAnsi="Sabon Unicode"/>
          <w:lang w:val="en-US"/>
        </w:rPr>
        <w:t>of R</w:t>
      </w:r>
      <w:r>
        <w:rPr>
          <w:rFonts w:ascii="Sabon Unicode" w:hAnsi="Sabon Unicode" w:cs="Devanagari MT;Times New Roman"/>
          <w:sz w:val="18"/>
          <w:szCs w:val="18"/>
          <w:lang w:val="en-GB" w:eastAsia="hi-IN" w:bidi="en-GB"/>
        </w:rPr>
        <w:t>̥</w:t>
      </w:r>
      <w:r w:rsidRPr="0071345C">
        <w:rPr>
          <w:rFonts w:ascii="Sabon Unicode" w:hAnsi="Sabon Unicode"/>
          <w:lang w:val="en-US"/>
        </w:rPr>
        <w:t xml:space="preserve">V 6.58.3a (here </w:t>
      </w:r>
      <w:r w:rsidRPr="0071345C">
        <w:rPr>
          <w:rFonts w:ascii="Sabon Unicode" w:hAnsi="Sabon Unicode"/>
          <w:i/>
          <w:iCs/>
          <w:lang w:val="en-US"/>
        </w:rPr>
        <w:t>samudr</w:t>
      </w:r>
      <w:r w:rsidRPr="0071345C">
        <w:rPr>
          <w:rFonts w:ascii="Sabon Unicode" w:hAnsi="Sabon Unicode"/>
          <w:i/>
          <w:iCs/>
          <w:lang w:val="en-US"/>
        </w:rPr>
        <w:t xml:space="preserve">e </w:t>
      </w:r>
      <w:r w:rsidRPr="0071345C">
        <w:rPr>
          <w:rFonts w:ascii="Sabon Unicode" w:hAnsi="Sabon Unicode"/>
          <w:lang w:val="en-US"/>
        </w:rPr>
        <w:t>is left).</w:t>
      </w:r>
    </w:p>
  </w:footnote>
  <w:footnote w:id="297">
    <w:p w14:paraId="46A8EB8F"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śukrá</w:t>
      </w:r>
      <w:r w:rsidRPr="0071345C">
        <w:rPr>
          <w:i/>
          <w:iCs/>
          <w:lang w:val="en-US"/>
        </w:rPr>
        <w:t>ṃ</w:t>
      </w:r>
      <w:r w:rsidRPr="0071345C">
        <w:rPr>
          <w:i/>
          <w:iCs/>
          <w:lang w:val="en-US"/>
        </w:rPr>
        <w:t xml:space="preserve"> te</w:t>
      </w:r>
      <w:r w:rsidRPr="0071345C">
        <w:rPr>
          <w:lang w:val="en-US"/>
        </w:rPr>
        <w:t xml:space="preserve"> </w:t>
      </w:r>
      <w:r w:rsidRPr="0071345C">
        <w:rPr>
          <w:rFonts w:ascii="Sabon Unicode" w:hAnsi="Sabon Unicode"/>
          <w:i/>
          <w:iCs/>
          <w:lang w:val="en-US"/>
        </w:rPr>
        <w:t>anyát</w:t>
      </w:r>
      <w:r w:rsidRPr="0071345C">
        <w:rPr>
          <w:lang w:val="en-US"/>
        </w:rPr>
        <w:t xml:space="preserve"> = </w:t>
      </w:r>
      <w:r w:rsidRPr="0071345C">
        <w:rPr>
          <w:i/>
          <w:iCs/>
          <w:lang w:val="en-US"/>
        </w:rPr>
        <w:t>pratīka</w:t>
      </w:r>
      <w:r w:rsidRPr="0071345C">
        <w:rPr>
          <w:lang w:val="en-US"/>
        </w:rPr>
        <w:t xml:space="preserve"> of R</w:t>
      </w:r>
      <w:r>
        <w:rPr>
          <w:rFonts w:ascii="Sabon Unicode" w:hAnsi="Sabon Unicode" w:cs="Devanagari MT;Times New Roman"/>
          <w:sz w:val="18"/>
          <w:szCs w:val="18"/>
          <w:lang w:val="en-GB" w:eastAsia="hi-IN" w:bidi="en-GB"/>
        </w:rPr>
        <w:t>̥</w:t>
      </w:r>
      <w:r w:rsidRPr="0071345C">
        <w:rPr>
          <w:lang w:val="en-US"/>
        </w:rPr>
        <w:t>V 6.58.1a.</w:t>
      </w:r>
    </w:p>
  </w:footnote>
  <w:footnote w:id="298">
    <w:p w14:paraId="5961A67D"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pū</w:t>
      </w:r>
      <w:r w:rsidRPr="0071345C">
        <w:rPr>
          <w:i/>
          <w:iCs/>
          <w:lang w:val="en-US"/>
        </w:rPr>
        <w:t>ṣ</w:t>
      </w:r>
      <w:r w:rsidRPr="0071345C">
        <w:rPr>
          <w:i/>
          <w:iCs/>
          <w:lang w:val="en-US"/>
        </w:rPr>
        <w:t>ā́ imā́ ā́śā</w:t>
      </w:r>
      <w:r w:rsidRPr="0071345C">
        <w:rPr>
          <w:i/>
          <w:iCs/>
          <w:lang w:val="en-US"/>
        </w:rPr>
        <w:t>ḥ</w:t>
      </w:r>
      <w:r w:rsidRPr="0071345C">
        <w:rPr>
          <w:lang w:val="en-US"/>
        </w:rPr>
        <w:t xml:space="preserve"> = ŚŚ 6.10.4.</w:t>
      </w:r>
    </w:p>
  </w:footnote>
  <w:footnote w:id="299">
    <w:p w14:paraId="123CE593"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prápathe </w:t>
      </w:r>
      <w:r w:rsidRPr="0071345C">
        <w:rPr>
          <w:lang w:val="en-US"/>
        </w:rPr>
        <w:t xml:space="preserve">[…]  </w:t>
      </w:r>
      <w:r w:rsidRPr="0071345C">
        <w:rPr>
          <w:i/>
          <w:iCs/>
          <w:lang w:val="en-US"/>
        </w:rPr>
        <w:t>pū</w:t>
      </w:r>
      <w:r w:rsidRPr="0071345C">
        <w:rPr>
          <w:i/>
          <w:iCs/>
          <w:lang w:val="en-US"/>
        </w:rPr>
        <w:t>ṣ</w:t>
      </w:r>
      <w:r w:rsidRPr="0071345C">
        <w:rPr>
          <w:i/>
          <w:iCs/>
          <w:lang w:val="en-US"/>
        </w:rPr>
        <w:t xml:space="preserve">ā </w:t>
      </w:r>
      <w:r w:rsidRPr="0071345C">
        <w:rPr>
          <w:lang w:val="en-US"/>
        </w:rPr>
        <w:t>= R</w:t>
      </w:r>
      <w:r>
        <w:rPr>
          <w:rFonts w:ascii="Sabon Unicode" w:hAnsi="Sabon Unicode" w:cs="Devanagari MT;Times New Roman"/>
          <w:sz w:val="18"/>
          <w:szCs w:val="18"/>
          <w:lang w:val="en-GB" w:eastAsia="hi-IN" w:bidi="en-GB"/>
        </w:rPr>
        <w:t>̥</w:t>
      </w:r>
      <w:r w:rsidRPr="0071345C">
        <w:rPr>
          <w:lang w:val="en-US"/>
        </w:rPr>
        <w:t>V 10.17.6a.</w:t>
      </w:r>
    </w:p>
  </w:footnote>
  <w:footnote w:id="300">
    <w:p w14:paraId="453FFBEA" w14:textId="77777777" w:rsidR="00E53EB6" w:rsidRDefault="006500F5">
      <w:pPr>
        <w:pStyle w:val="FootnoteText"/>
        <w:rPr>
          <w:lang w:val="en-GB"/>
        </w:rPr>
      </w:pPr>
      <w:r>
        <w:rPr>
          <w:rStyle w:val="FootnoteCharacters"/>
        </w:rPr>
        <w:footnoteRef/>
      </w:r>
      <w:r>
        <w:rPr>
          <w:lang w:val="en-GB"/>
        </w:rPr>
        <w:tab/>
        <w:t xml:space="preserve"> The subject is Brahmanaspati and those ‘perspiring with heat’ are the bulls, cf. the end of the paragraph before.</w:t>
      </w:r>
    </w:p>
  </w:footnote>
  <w:footnote w:id="301">
    <w:p w14:paraId="42B00CBC" w14:textId="77777777" w:rsidR="00E53EB6" w:rsidRDefault="006500F5">
      <w:pPr>
        <w:pStyle w:val="FootnoteText"/>
        <w:rPr>
          <w:i/>
          <w:iCs/>
        </w:rPr>
      </w:pPr>
      <w:r>
        <w:rPr>
          <w:rStyle w:val="FootnoteCharacters"/>
        </w:rPr>
        <w:footnoteRef/>
      </w:r>
      <w:r>
        <w:tab/>
        <w:t xml:space="preserve"> For </w:t>
      </w:r>
      <w:r>
        <w:rPr>
          <w:i/>
          <w:iCs/>
        </w:rPr>
        <w:t xml:space="preserve">manyú- </w:t>
      </w:r>
      <w:r>
        <w:t>see EWAia: II 313 “erregter Sinn, Eifer”.</w:t>
      </w:r>
    </w:p>
  </w:footnote>
  <w:footnote w:id="302">
    <w:p w14:paraId="76E56222"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yathāvaśám: </w:t>
      </w:r>
      <w:r w:rsidRPr="0071345C">
        <w:rPr>
          <w:lang w:val="en-US"/>
        </w:rPr>
        <w:t>“as a desire” or “at will”.</w:t>
      </w:r>
    </w:p>
  </w:footnote>
  <w:footnote w:id="303">
    <w:p w14:paraId="58F2AA63"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For </w:t>
      </w:r>
      <w:r w:rsidRPr="0071345C">
        <w:rPr>
          <w:i/>
          <w:iCs/>
          <w:lang w:val="en-US"/>
        </w:rPr>
        <w:t xml:space="preserve">rātáhavya </w:t>
      </w:r>
      <w:r w:rsidRPr="0071345C">
        <w:rPr>
          <w:lang w:val="en-US"/>
        </w:rPr>
        <w:t xml:space="preserve">see </w:t>
      </w:r>
      <w:r w:rsidRPr="0071345C">
        <w:rPr>
          <w:rStyle w:val="biblio-authorGEN"/>
          <w:sz w:val="18"/>
          <w:szCs w:val="18"/>
          <w:lang w:val="en-US"/>
        </w:rPr>
        <w:t>Elizarenkova</w:t>
      </w:r>
      <w:r w:rsidRPr="0071345C">
        <w:rPr>
          <w:lang w:val="en-US"/>
        </w:rPr>
        <w:t xml:space="preserve"> 1995</w:t>
      </w:r>
      <w:r w:rsidRPr="0071345C">
        <w:rPr>
          <w:vertAlign w:val="superscript"/>
          <w:lang w:val="en-US"/>
        </w:rPr>
        <w:t>a</w:t>
      </w:r>
      <w:r w:rsidRPr="0071345C">
        <w:rPr>
          <w:lang w:val="en-US"/>
        </w:rPr>
        <w:t>: 62-3.</w:t>
      </w:r>
    </w:p>
  </w:footnote>
  <w:footnote w:id="304">
    <w:p w14:paraId="707F7180"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This translation follows </w:t>
      </w:r>
      <w:r w:rsidRPr="0071345C">
        <w:rPr>
          <w:lang w:val="en-US"/>
        </w:rPr>
        <w:t>Dumont’s emendation</w:t>
      </w:r>
      <w:r w:rsidRPr="0071345C">
        <w:rPr>
          <w:lang w:val="en-US"/>
        </w:rPr>
        <w:t xml:space="preserve">, being  </w:t>
      </w:r>
      <w:r w:rsidRPr="0071345C">
        <w:rPr>
          <w:i/>
          <w:iCs/>
          <w:lang w:val="en-US"/>
        </w:rPr>
        <w:t>áti sá prásarsr</w:t>
      </w:r>
      <w:r>
        <w:rPr>
          <w:rFonts w:ascii="Sabon Unicode" w:hAnsi="Sabon Unicode" w:cs="Devanagari MT;Times New Roman"/>
          <w:sz w:val="18"/>
          <w:szCs w:val="18"/>
          <w:lang w:val="en-GB" w:eastAsia="hi-IN" w:bidi="en-GB"/>
        </w:rPr>
        <w:t>̥</w:t>
      </w:r>
      <w:r w:rsidRPr="0071345C">
        <w:rPr>
          <w:i/>
          <w:iCs/>
          <w:lang w:val="en-US"/>
        </w:rPr>
        <w:t xml:space="preserve">te </w:t>
      </w:r>
      <w:r w:rsidRPr="0071345C">
        <w:rPr>
          <w:lang w:val="en-US"/>
        </w:rPr>
        <w:t>to be found also in MS 4.14.10</w:t>
      </w:r>
    </w:p>
  </w:footnote>
  <w:footnote w:id="305">
    <w:p w14:paraId="64323E06"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Or “of V</w:t>
      </w:r>
      <w:r w:rsidRPr="0071345C">
        <w:rPr>
          <w:lang w:val="en-US"/>
        </w:rPr>
        <w:t xml:space="preserve">ivasvat”, for the connection between Vivasvat and the sun, see </w:t>
      </w:r>
      <w:r w:rsidRPr="0071345C">
        <w:rPr>
          <w:rStyle w:val="biblio-authorGEN"/>
          <w:sz w:val="18"/>
          <w:szCs w:val="18"/>
          <w:lang w:val="en-US"/>
        </w:rPr>
        <w:t>Macdonell</w:t>
      </w:r>
      <w:r w:rsidRPr="0071345C">
        <w:rPr>
          <w:lang w:val="en-US"/>
        </w:rPr>
        <w:t xml:space="preserve"> 1898: §18.</w:t>
      </w:r>
    </w:p>
  </w:footnote>
  <w:footnote w:id="306">
    <w:p w14:paraId="76825633" w14:textId="77777777" w:rsidR="00E53EB6" w:rsidRDefault="006500F5">
      <w:pPr>
        <w:pStyle w:val="FootnoteText"/>
        <w:suppressLineNumbers/>
        <w:spacing w:line="210" w:lineRule="exact"/>
        <w:ind w:left="240" w:hanging="240"/>
        <w:jc w:val="both"/>
      </w:pPr>
      <w:r>
        <w:rPr>
          <w:rStyle w:val="FootnoteCharacters"/>
        </w:rPr>
        <w:footnoteRef/>
      </w:r>
      <w:r>
        <w:rPr>
          <w:i/>
          <w:iCs/>
        </w:rPr>
        <w:tab/>
        <w:t xml:space="preserve"> vā́ja- </w:t>
      </w:r>
      <w:r>
        <w:t>“Wettkampf, Sieg, Lohn” EWAia: II 540.</w:t>
      </w:r>
    </w:p>
  </w:footnote>
  <w:footnote w:id="307">
    <w:p w14:paraId="0131E38F" w14:textId="77777777" w:rsidR="00E53EB6" w:rsidRDefault="006500F5">
      <w:pPr>
        <w:pStyle w:val="FootnoteText"/>
        <w:suppressLineNumbers/>
        <w:spacing w:line="210" w:lineRule="exact"/>
        <w:ind w:left="240" w:hanging="240"/>
        <w:jc w:val="both"/>
      </w:pPr>
      <w:r>
        <w:rPr>
          <w:rStyle w:val="FootnoteCharacters"/>
        </w:rPr>
        <w:footnoteRef/>
      </w:r>
      <w:r w:rsidRPr="0071345C">
        <w:rPr>
          <w:lang w:val="en-US"/>
        </w:rPr>
        <w:tab/>
        <w:t xml:space="preserve"> These (</w:t>
      </w:r>
      <w:r w:rsidRPr="0071345C">
        <w:rPr>
          <w:rFonts w:ascii="Sabon Unicode" w:hAnsi="Sabon Unicode"/>
          <w:i/>
          <w:iCs/>
          <w:lang w:val="en-US"/>
        </w:rPr>
        <w:t xml:space="preserve">yás te </w:t>
      </w:r>
      <w:r w:rsidRPr="0071345C">
        <w:rPr>
          <w:rFonts w:ascii="Sabon Unicode" w:hAnsi="Sabon Unicode"/>
          <w:lang w:val="en-US"/>
        </w:rPr>
        <w:t xml:space="preserve">[…] </w:t>
      </w:r>
      <w:r w:rsidRPr="0071345C">
        <w:rPr>
          <w:rFonts w:ascii="Sabon Unicode" w:hAnsi="Sabon Unicode"/>
          <w:i/>
          <w:iCs/>
          <w:lang w:val="en-US"/>
        </w:rPr>
        <w:t>pū</w:t>
      </w:r>
      <w:r w:rsidRPr="0071345C">
        <w:rPr>
          <w:rFonts w:ascii="Sabon Unicode" w:hAnsi="Sabon Unicode"/>
          <w:i/>
          <w:iCs/>
          <w:lang w:val="en-US"/>
        </w:rPr>
        <w:t>ṣ</w:t>
      </w:r>
      <w:r w:rsidRPr="0071345C">
        <w:rPr>
          <w:rFonts w:ascii="Sabon Unicode" w:hAnsi="Sabon Unicode"/>
          <w:i/>
          <w:iCs/>
          <w:lang w:val="en-US"/>
        </w:rPr>
        <w:t>ā</w:t>
      </w:r>
      <w:r w:rsidRPr="0071345C">
        <w:rPr>
          <w:rFonts w:ascii="Sabon Unicode" w:hAnsi="Sabon Unicode"/>
          <w:lang w:val="en-US"/>
        </w:rPr>
        <w:t>)</w:t>
      </w:r>
      <w:r w:rsidRPr="0071345C">
        <w:rPr>
          <w:rFonts w:ascii="Sabon Unicode" w:hAnsi="Sabon Unicode"/>
          <w:i/>
          <w:iCs/>
          <w:lang w:val="en-US"/>
        </w:rPr>
        <w:t xml:space="preserve"> </w:t>
      </w:r>
      <w:r w:rsidRPr="0071345C">
        <w:rPr>
          <w:lang w:val="en-US"/>
        </w:rPr>
        <w:t xml:space="preserve">are three different </w:t>
      </w:r>
      <w:r w:rsidRPr="0071345C">
        <w:rPr>
          <w:i/>
          <w:iCs/>
          <w:lang w:val="en-US"/>
        </w:rPr>
        <w:t>mantra</w:t>
      </w:r>
      <w:r w:rsidRPr="0071345C">
        <w:rPr>
          <w:lang w:val="en-US"/>
        </w:rPr>
        <w:t>s</w:t>
      </w:r>
      <w:r w:rsidRPr="0071345C">
        <w:rPr>
          <w:lang w:val="en-US"/>
        </w:rPr>
        <w:t xml:space="preserve"> that are to be recited as </w:t>
      </w:r>
      <w:r w:rsidRPr="0071345C">
        <w:rPr>
          <w:i/>
          <w:iCs/>
          <w:lang w:val="en-US"/>
        </w:rPr>
        <w:t>puronuvākya</w:t>
      </w:r>
      <w:r w:rsidRPr="0071345C">
        <w:rPr>
          <w:lang w:val="en-US"/>
        </w:rPr>
        <w:t xml:space="preserve"> -according to Bha</w:t>
      </w:r>
      <w:r w:rsidRPr="0071345C">
        <w:rPr>
          <w:lang w:val="en-US"/>
        </w:rPr>
        <w:t>ṭṭ</w:t>
      </w:r>
      <w:r w:rsidRPr="0071345C">
        <w:rPr>
          <w:lang w:val="en-US"/>
        </w:rPr>
        <w:t xml:space="preserve">a Bhāskara </w:t>
      </w:r>
      <w:r w:rsidRPr="0071345C">
        <w:rPr>
          <w:lang w:val="en-US"/>
        </w:rPr>
        <w:t>Miśra. They are indeed fragments of R</w:t>
      </w:r>
      <w:r>
        <w:rPr>
          <w:rFonts w:ascii="Sabon Unicode" w:hAnsi="Sabon Unicode" w:cs="Devanagari MT;Times New Roman"/>
          <w:sz w:val="18"/>
          <w:szCs w:val="18"/>
          <w:lang w:val="en-GB" w:eastAsia="hi-IN" w:bidi="en-GB"/>
        </w:rPr>
        <w:t>̥</w:t>
      </w:r>
      <w:r w:rsidRPr="0071345C">
        <w:rPr>
          <w:lang w:val="en-US"/>
        </w:rPr>
        <w:t xml:space="preserve">gvedic </w:t>
      </w:r>
      <w:r w:rsidRPr="0071345C">
        <w:rPr>
          <w:i/>
          <w:iCs/>
          <w:lang w:val="en-US"/>
        </w:rPr>
        <w:t>r</w:t>
      </w:r>
      <w:r>
        <w:rPr>
          <w:rFonts w:ascii="Sabon Unicode" w:hAnsi="Sabon Unicode" w:cs="Devanagari MT;Times New Roman"/>
          <w:i/>
          <w:iCs/>
          <w:sz w:val="18"/>
          <w:szCs w:val="18"/>
          <w:lang w:val="en-GB" w:eastAsia="hi-IN" w:bidi="en-GB"/>
        </w:rPr>
        <w:t>̥</w:t>
      </w:r>
      <w:r w:rsidRPr="0071345C">
        <w:rPr>
          <w:i/>
          <w:iCs/>
          <w:lang w:val="en-US"/>
        </w:rPr>
        <w:t>cā,</w:t>
      </w:r>
      <w:r w:rsidRPr="0071345C">
        <w:rPr>
          <w:lang w:val="en-US"/>
        </w:rPr>
        <w:t xml:space="preserve"> probably used as </w:t>
      </w:r>
      <w:r w:rsidRPr="0071345C">
        <w:rPr>
          <w:i/>
          <w:iCs/>
          <w:lang w:val="en-US"/>
        </w:rPr>
        <w:t>pratīka</w:t>
      </w:r>
      <w:r w:rsidRPr="0071345C">
        <w:rPr>
          <w:lang w:val="en-US"/>
        </w:rPr>
        <w:t xml:space="preserve">s. </w:t>
      </w:r>
      <w:r>
        <w:t xml:space="preserve">For </w:t>
      </w:r>
      <w:r>
        <w:rPr>
          <w:i/>
          <w:iCs/>
        </w:rPr>
        <w:t xml:space="preserve">āśā- </w:t>
      </w:r>
      <w:r>
        <w:t xml:space="preserve">see </w:t>
      </w:r>
      <w:r>
        <w:rPr>
          <w:rStyle w:val="biblio-authorGEN"/>
          <w:sz w:val="18"/>
          <w:szCs w:val="15"/>
        </w:rPr>
        <w:t>Grassmann</w:t>
      </w:r>
      <w:r>
        <w:t xml:space="preserve"> 1875 [ed. 1996: 187] “Weltgegend, Himmelsrichtung”.</w:t>
      </w:r>
    </w:p>
  </w:footnote>
  <w:footnote w:id="308">
    <w:p w14:paraId="71F39054" w14:textId="77777777" w:rsidR="00E53EB6" w:rsidRDefault="006500F5">
      <w:pPr>
        <w:pStyle w:val="FootnoteText"/>
        <w:suppressLineNumbers/>
        <w:spacing w:line="210" w:lineRule="exact"/>
        <w:ind w:left="240" w:hanging="240"/>
        <w:jc w:val="both"/>
      </w:pPr>
      <w:r>
        <w:rPr>
          <w:rStyle w:val="FootnoteCharacters"/>
        </w:rPr>
        <w:footnoteRef/>
      </w:r>
      <w:r>
        <w:rPr>
          <w:i/>
          <w:iCs/>
        </w:rPr>
        <w:tab/>
        <w:t xml:space="preserve"> prápatha-</w:t>
      </w:r>
      <w:r>
        <w:t xml:space="preserve"> “in die Ferne führender Weg” </w:t>
      </w:r>
      <w:r>
        <w:rPr>
          <w:rStyle w:val="biblio-authorGEN"/>
          <w:sz w:val="18"/>
          <w:szCs w:val="15"/>
        </w:rPr>
        <w:t>Grassmann</w:t>
      </w:r>
      <w:r>
        <w:t xml:space="preserve"> [1875] ed. 1996: 876.</w:t>
      </w:r>
    </w:p>
  </w:footnote>
  <w:footnote w:id="309">
    <w:p w14:paraId="27F4ED3D" w14:textId="77777777" w:rsidR="00E53EB6" w:rsidRDefault="006500F5">
      <w:pPr>
        <w:pStyle w:val="FootnoteText"/>
        <w:suppressLineNumbers/>
        <w:spacing w:line="210" w:lineRule="exact"/>
        <w:ind w:left="240" w:hanging="240"/>
        <w:jc w:val="both"/>
      </w:pPr>
      <w:r>
        <w:rPr>
          <w:rStyle w:val="FootnoteCharacters"/>
        </w:rPr>
        <w:footnoteRef/>
      </w:r>
      <w:r>
        <w:tab/>
        <w:t xml:space="preserve"> </w:t>
      </w:r>
      <w:r>
        <w:rPr>
          <w:i/>
          <w:iCs/>
        </w:rPr>
        <w:t>yá índra</w:t>
      </w:r>
      <w:r>
        <w:t xml:space="preserve"> </w:t>
      </w:r>
      <w:r>
        <w:t xml:space="preserve">[…]  </w:t>
      </w:r>
      <w:r>
        <w:rPr>
          <w:i/>
          <w:iCs/>
        </w:rPr>
        <w:t>rā́dha</w:t>
      </w:r>
      <w:r>
        <w:rPr>
          <w:i/>
          <w:iCs/>
        </w:rPr>
        <w:t>ḥ</w:t>
      </w:r>
      <w:r>
        <w:t xml:space="preserve"> </w:t>
      </w:r>
      <w:r>
        <w:t>= R</w:t>
      </w:r>
      <w:r w:rsidRPr="0071345C">
        <w:rPr>
          <w:rFonts w:ascii="Sabon Unicode" w:hAnsi="Sabon Unicode" w:cs="Devanagari MT;Times New Roman"/>
          <w:sz w:val="18"/>
          <w:szCs w:val="18"/>
          <w:lang w:eastAsia="hi-IN" w:bidi="en-GB"/>
        </w:rPr>
        <w:t>̥</w:t>
      </w:r>
      <w:r>
        <w:t>V 7.27.2.</w:t>
      </w:r>
    </w:p>
  </w:footnote>
  <w:footnote w:id="310">
    <w:p w14:paraId="7A3E12CD" w14:textId="77777777" w:rsidR="00E53EB6" w:rsidRDefault="006500F5">
      <w:pPr>
        <w:pStyle w:val="FootnoteText"/>
        <w:suppressLineNumbers/>
        <w:spacing w:line="210" w:lineRule="exact"/>
        <w:ind w:left="240" w:hanging="240"/>
        <w:jc w:val="both"/>
      </w:pPr>
      <w:r>
        <w:rPr>
          <w:rStyle w:val="FootnoteCharacters"/>
        </w:rPr>
        <w:footnoteRef/>
      </w:r>
      <w:r>
        <w:tab/>
        <w:t xml:space="preserve"> </w:t>
      </w:r>
      <w:r>
        <w:rPr>
          <w:i/>
          <w:iCs/>
        </w:rPr>
        <w:t>índro rā́jā</w:t>
      </w:r>
      <w:r>
        <w:t xml:space="preserve"> </w:t>
      </w:r>
      <w:r>
        <w:t xml:space="preserve">[…] </w:t>
      </w:r>
      <w:r>
        <w:rPr>
          <w:i/>
          <w:iCs/>
        </w:rPr>
        <w:t>arvā́k</w:t>
      </w:r>
      <w:r>
        <w:t xml:space="preserve"> = R</w:t>
      </w:r>
      <w:r w:rsidRPr="0071345C">
        <w:rPr>
          <w:rFonts w:ascii="Sabon Unicode" w:hAnsi="Sabon Unicode" w:cs="Devanagari MT;Times New Roman"/>
          <w:sz w:val="18"/>
          <w:szCs w:val="18"/>
          <w:lang w:eastAsia="hi-IN" w:bidi="en-GB"/>
        </w:rPr>
        <w:t>̥</w:t>
      </w:r>
      <w:r>
        <w:t>V 7.27.3.</w:t>
      </w:r>
    </w:p>
  </w:footnote>
  <w:footnote w:id="311">
    <w:p w14:paraId="3A6433EA" w14:textId="77777777" w:rsidR="00E53EB6" w:rsidRDefault="006500F5">
      <w:pPr>
        <w:pStyle w:val="FootnoteText"/>
        <w:suppressLineNumbers/>
        <w:spacing w:line="210" w:lineRule="exact"/>
        <w:ind w:left="240" w:hanging="240"/>
        <w:jc w:val="both"/>
      </w:pPr>
      <w:r>
        <w:rPr>
          <w:rStyle w:val="FootnoteCharacters"/>
        </w:rPr>
        <w:footnoteRef/>
      </w:r>
      <w:r>
        <w:tab/>
        <w:t xml:space="preserve"> </w:t>
      </w:r>
      <w:r>
        <w:rPr>
          <w:i/>
          <w:iCs/>
        </w:rPr>
        <w:t>tám u</w:t>
      </w:r>
      <w:r>
        <w:t xml:space="preserve"> </w:t>
      </w:r>
      <w:r>
        <w:t xml:space="preserve">[…]  </w:t>
      </w:r>
      <w:r>
        <w:rPr>
          <w:i/>
          <w:iCs/>
        </w:rPr>
        <w:t>car</w:t>
      </w:r>
      <w:r>
        <w:rPr>
          <w:i/>
          <w:iCs/>
        </w:rPr>
        <w:t>ṣ</w:t>
      </w:r>
      <w:r>
        <w:rPr>
          <w:i/>
          <w:iCs/>
        </w:rPr>
        <w:t>a</w:t>
      </w:r>
      <w:r>
        <w:rPr>
          <w:i/>
          <w:iCs/>
        </w:rPr>
        <w:t>ṇ</w:t>
      </w:r>
      <w:r>
        <w:rPr>
          <w:i/>
          <w:iCs/>
        </w:rPr>
        <w:t>īnā́m</w:t>
      </w:r>
      <w:r>
        <w:t xml:space="preserve"> </w:t>
      </w:r>
      <w:r>
        <w:t>= R</w:t>
      </w:r>
      <w:r w:rsidRPr="0071345C">
        <w:rPr>
          <w:rFonts w:ascii="Sabon Unicode" w:hAnsi="Sabon Unicode" w:cs="Devanagari MT;Times New Roman"/>
          <w:sz w:val="18"/>
          <w:szCs w:val="18"/>
          <w:lang w:eastAsia="hi-IN" w:bidi="en-GB"/>
        </w:rPr>
        <w:t>̥</w:t>
      </w:r>
      <w:r>
        <w:t>V 6.18.1.</w:t>
      </w:r>
    </w:p>
  </w:footnote>
  <w:footnote w:id="312">
    <w:p w14:paraId="31287226" w14:textId="77777777" w:rsidR="00E53EB6" w:rsidRDefault="006500F5">
      <w:pPr>
        <w:pStyle w:val="FootnoteText"/>
        <w:suppressLineNumbers/>
        <w:spacing w:line="210" w:lineRule="exact"/>
        <w:ind w:left="240" w:hanging="240"/>
        <w:jc w:val="both"/>
      </w:pPr>
      <w:r>
        <w:rPr>
          <w:rStyle w:val="FootnoteCharacters"/>
        </w:rPr>
        <w:footnoteRef/>
      </w:r>
      <w:r>
        <w:tab/>
        <w:t xml:space="preserve"> </w:t>
      </w:r>
      <w:r>
        <w:rPr>
          <w:i/>
          <w:iCs/>
        </w:rPr>
        <w:t>śú</w:t>
      </w:r>
      <w:r>
        <w:rPr>
          <w:i/>
          <w:iCs/>
        </w:rPr>
        <w:t>ṣ</w:t>
      </w:r>
      <w:r>
        <w:rPr>
          <w:i/>
          <w:iCs/>
        </w:rPr>
        <w:t>ma</w:t>
      </w:r>
      <w:r>
        <w:t xml:space="preserve">- </w:t>
      </w:r>
      <w:r>
        <w:t>“Prasseln, Ungestüm” EWAia: II 649.</w:t>
      </w:r>
    </w:p>
  </w:footnote>
  <w:footnote w:id="313">
    <w:p w14:paraId="77AFE2FC" w14:textId="77777777" w:rsidR="00E53EB6" w:rsidRDefault="006500F5">
      <w:pPr>
        <w:pStyle w:val="FootnoteText"/>
        <w:rPr>
          <w:i/>
          <w:iCs/>
        </w:rPr>
      </w:pPr>
      <w:r>
        <w:rPr>
          <w:rStyle w:val="FootnoteCharacters"/>
        </w:rPr>
        <w:footnoteRef/>
      </w:r>
      <w:r>
        <w:rPr>
          <w:i/>
          <w:iCs/>
        </w:rPr>
        <w:tab/>
        <w:t xml:space="preserve"> párivr</w:t>
      </w:r>
      <w:r w:rsidRPr="0071345C">
        <w:rPr>
          <w:rFonts w:ascii="Sabon Unicode" w:hAnsi="Sabon Unicode" w:cs="Devanagari MT;Times New Roman"/>
          <w:sz w:val="18"/>
          <w:szCs w:val="18"/>
          <w:lang w:eastAsia="hi-IN" w:bidi="en-GB"/>
        </w:rPr>
        <w:t>̥</w:t>
      </w:r>
      <w:r>
        <w:rPr>
          <w:i/>
          <w:iCs/>
        </w:rPr>
        <w:t>ti</w:t>
      </w:r>
      <w:r>
        <w:rPr>
          <w:i/>
          <w:iCs/>
        </w:rPr>
        <w:t>ṃ</w:t>
      </w:r>
      <w:r>
        <w:rPr>
          <w:i/>
          <w:iCs/>
        </w:rPr>
        <w:t>,</w:t>
      </w:r>
      <w:r>
        <w:t xml:space="preserve"> R</w:t>
      </w:r>
      <w:r w:rsidRPr="0071345C">
        <w:rPr>
          <w:rFonts w:ascii="Sabon Unicode" w:hAnsi="Sabon Unicode" w:cs="Devanagari MT;Times New Roman"/>
          <w:sz w:val="18"/>
          <w:szCs w:val="18"/>
          <w:lang w:eastAsia="hi-IN" w:bidi="en-GB"/>
        </w:rPr>
        <w:t>̥</w:t>
      </w:r>
      <w:r>
        <w:t xml:space="preserve">V 7.27.2 reads </w:t>
      </w:r>
      <w:r>
        <w:rPr>
          <w:i/>
          <w:iCs/>
        </w:rPr>
        <w:t>párivr</w:t>
      </w:r>
      <w:r w:rsidRPr="0071345C">
        <w:rPr>
          <w:rFonts w:ascii="Sabon Unicode" w:hAnsi="Sabon Unicode" w:cs="Devanagari MT;Times New Roman"/>
          <w:sz w:val="18"/>
          <w:szCs w:val="18"/>
          <w:lang w:eastAsia="hi-IN" w:bidi="en-GB"/>
        </w:rPr>
        <w:t>̥</w:t>
      </w:r>
      <w:r>
        <w:rPr>
          <w:i/>
          <w:iCs/>
        </w:rPr>
        <w:t>ta</w:t>
      </w:r>
      <w:r>
        <w:rPr>
          <w:i/>
          <w:iCs/>
        </w:rPr>
        <w:t>ṃ</w:t>
      </w:r>
      <w:r>
        <w:rPr>
          <w:i/>
          <w:iCs/>
        </w:rPr>
        <w:t xml:space="preserve">, </w:t>
      </w:r>
      <w:r>
        <w:t>Bha</w:t>
      </w:r>
      <w:r>
        <w:t>ṭṭ</w:t>
      </w:r>
      <w:r>
        <w:t xml:space="preserve">a Bhāskara Miśra glosses with </w:t>
      </w:r>
      <w:r>
        <w:rPr>
          <w:i/>
          <w:iCs/>
        </w:rPr>
        <w:t xml:space="preserve">parivāra </w:t>
      </w:r>
      <w:r>
        <w:t>“cover, surrounding”.</w:t>
      </w:r>
    </w:p>
  </w:footnote>
  <w:footnote w:id="314">
    <w:p w14:paraId="31A3CCD1"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i/>
          <w:iCs/>
          <w:lang w:val="en-US"/>
        </w:rPr>
        <w:t>ugrá</w:t>
      </w:r>
      <w:r w:rsidRPr="0071345C">
        <w:rPr>
          <w:lang w:val="en-US"/>
        </w:rPr>
        <w:t>-</w:t>
      </w:r>
      <w:r w:rsidRPr="0071345C">
        <w:rPr>
          <w:lang w:val="en-US"/>
        </w:rPr>
        <w:t xml:space="preserve"> is connected with the same root of </w:t>
      </w:r>
      <w:r w:rsidRPr="0071345C">
        <w:rPr>
          <w:lang w:val="en-US"/>
        </w:rPr>
        <w:t xml:space="preserve">ójas- </w:t>
      </w:r>
      <w:r w:rsidRPr="0071345C">
        <w:rPr>
          <w:lang w:val="en-US"/>
        </w:rPr>
        <w:t>“juice” and the vigour that comes from the juice.</w:t>
      </w:r>
    </w:p>
  </w:footnote>
  <w:footnote w:id="315">
    <w:p w14:paraId="73F53DB9"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i/>
          <w:iCs/>
          <w:lang w:val="en-US"/>
        </w:rPr>
        <w:t>sáhamānam</w:t>
      </w:r>
      <w:r w:rsidRPr="0071345C">
        <w:rPr>
          <w:lang w:val="en-US"/>
        </w:rPr>
        <w:t xml:space="preserve"> </w:t>
      </w:r>
      <w:r w:rsidRPr="0071345C">
        <w:rPr>
          <w:lang w:val="en-US"/>
        </w:rPr>
        <w:t xml:space="preserve">can be read as part. pres. nom. masc. sing. Ā from </w:t>
      </w:r>
      <w:r w:rsidRPr="0071345C">
        <w:rPr>
          <w:i/>
          <w:iCs/>
          <w:lang w:val="en-US"/>
        </w:rPr>
        <w:t>sah-</w:t>
      </w:r>
      <w:r w:rsidRPr="0071345C">
        <w:rPr>
          <w:lang w:val="en-US"/>
        </w:rPr>
        <w:t xml:space="preserve"> </w:t>
      </w:r>
      <w:r w:rsidRPr="0071345C">
        <w:rPr>
          <w:lang w:val="en-US"/>
        </w:rPr>
        <w:t>“to prevail”, as well</w:t>
      </w:r>
      <w:r w:rsidRPr="0071345C">
        <w:rPr>
          <w:lang w:val="en-US"/>
        </w:rPr>
        <w:t xml:space="preserve"> as a compound: “full of </w:t>
      </w:r>
      <w:r w:rsidRPr="0071345C">
        <w:rPr>
          <w:i/>
          <w:iCs/>
          <w:lang w:val="en-US"/>
        </w:rPr>
        <w:t>manas</w:t>
      </w:r>
      <w:r w:rsidRPr="0071345C">
        <w:rPr>
          <w:lang w:val="en-US"/>
        </w:rPr>
        <w:t>-</w:t>
      </w:r>
      <w:r w:rsidRPr="0071345C">
        <w:rPr>
          <w:lang w:val="en-US"/>
        </w:rPr>
        <w:t>”. Here I would think both meaning are intended.</w:t>
      </w:r>
    </w:p>
  </w:footnote>
  <w:footnote w:id="316">
    <w:p w14:paraId="224DCD35"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color w:val="000000"/>
          <w:lang w:val="en-US"/>
        </w:rPr>
        <w:tab/>
        <w:t xml:space="preserve"> vayám̐ syāma </w:t>
      </w:r>
      <w:r w:rsidRPr="0071345C">
        <w:rPr>
          <w:color w:val="000000"/>
          <w:lang w:val="en-US"/>
        </w:rPr>
        <w:t xml:space="preserve">[…] </w:t>
      </w:r>
      <w:r w:rsidRPr="0071345C">
        <w:rPr>
          <w:i/>
          <w:iCs/>
          <w:color w:val="000000"/>
          <w:lang w:val="en-US"/>
        </w:rPr>
        <w:t>rayī</w:t>
      </w:r>
      <w:r w:rsidRPr="0071345C">
        <w:rPr>
          <w:i/>
          <w:iCs/>
          <w:color w:val="000000"/>
          <w:lang w:val="en-US"/>
        </w:rPr>
        <w:t>ṇ</w:t>
      </w:r>
      <w:r w:rsidRPr="0071345C">
        <w:rPr>
          <w:i/>
          <w:iCs/>
          <w:color w:val="000000"/>
          <w:lang w:val="en-US"/>
        </w:rPr>
        <w:t>ā́m</w:t>
      </w:r>
      <w:r w:rsidRPr="0071345C">
        <w:rPr>
          <w:color w:val="000000"/>
          <w:lang w:val="en-US"/>
        </w:rPr>
        <w:t xml:space="preserve"> = R</w:t>
      </w:r>
      <w:r>
        <w:rPr>
          <w:rFonts w:ascii="Sabon Unicode" w:hAnsi="Sabon Unicode" w:cs="Devanagari MT;Times New Roman"/>
          <w:color w:val="000000"/>
          <w:sz w:val="18"/>
          <w:szCs w:val="18"/>
          <w:lang w:val="en-GB" w:eastAsia="hi-IN" w:bidi="en-GB"/>
        </w:rPr>
        <w:t>̥</w:t>
      </w:r>
      <w:r w:rsidRPr="0071345C">
        <w:rPr>
          <w:color w:val="000000"/>
          <w:lang w:val="en-US"/>
        </w:rPr>
        <w:t xml:space="preserve">V 4.50.6d, this is a recurring </w:t>
      </w:r>
      <w:r w:rsidRPr="0071345C">
        <w:rPr>
          <w:i/>
          <w:iCs/>
          <w:color w:val="000000"/>
          <w:lang w:val="en-US"/>
        </w:rPr>
        <w:t>pāda</w:t>
      </w:r>
      <w:r w:rsidRPr="0071345C">
        <w:rPr>
          <w:color w:val="000000"/>
          <w:lang w:val="en-US"/>
        </w:rPr>
        <w:t xml:space="preserve"> cf. R</w:t>
      </w:r>
      <w:r>
        <w:rPr>
          <w:rFonts w:ascii="Sabon Unicode" w:hAnsi="Sabon Unicode" w:cs="Devanagari MT;Times New Roman"/>
          <w:color w:val="000000"/>
          <w:sz w:val="18"/>
          <w:szCs w:val="18"/>
          <w:lang w:val="en-GB" w:eastAsia="hi-IN" w:bidi="en-GB"/>
        </w:rPr>
        <w:t>̥</w:t>
      </w:r>
      <w:r w:rsidRPr="0071345C">
        <w:rPr>
          <w:color w:val="000000"/>
          <w:lang w:val="en-US"/>
        </w:rPr>
        <w:t>V 5.55.10d; 8.40.12d; 8.48.13d; 10.121.10d.</w:t>
      </w:r>
    </w:p>
  </w:footnote>
  <w:footnote w:id="317">
    <w:p w14:paraId="1DC62C6B"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sá […] </w:t>
      </w:r>
      <w:r w:rsidRPr="0071345C">
        <w:rPr>
          <w:i/>
          <w:iCs/>
          <w:color w:val="000000"/>
          <w:lang w:val="en-US"/>
        </w:rPr>
        <w:t>ā́bhavat</w:t>
      </w:r>
      <w:r w:rsidRPr="0071345C">
        <w:rPr>
          <w:color w:val="000000"/>
          <w:lang w:val="en-US"/>
        </w:rPr>
        <w:t xml:space="preserve"> </w:t>
      </w:r>
      <w:r w:rsidRPr="0071345C">
        <w:rPr>
          <w:color w:val="000000"/>
          <w:lang w:val="en-US"/>
        </w:rPr>
        <w:t xml:space="preserve">= TS 2.2.12.1a-d where is referred to </w:t>
      </w:r>
      <w:r w:rsidRPr="0071345C">
        <w:rPr>
          <w:color w:val="000000"/>
          <w:lang w:val="en-US"/>
        </w:rPr>
        <w:t>Agni; AVŚ 7.1.2.</w:t>
      </w:r>
    </w:p>
  </w:footnote>
  <w:footnote w:id="318">
    <w:p w14:paraId="56A2C742"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color w:val="000000"/>
          <w:lang w:val="en-US"/>
        </w:rPr>
        <w:tab/>
        <w:t xml:space="preserve"> ágnī</w:t>
      </w:r>
      <w:r w:rsidRPr="0071345C">
        <w:rPr>
          <w:i/>
          <w:iCs/>
          <w:color w:val="000000"/>
          <w:lang w:val="en-US"/>
        </w:rPr>
        <w:t>ṣ</w:t>
      </w:r>
      <w:r w:rsidRPr="0071345C">
        <w:rPr>
          <w:i/>
          <w:iCs/>
          <w:color w:val="000000"/>
          <w:lang w:val="en-US"/>
        </w:rPr>
        <w:t xml:space="preserve">omā </w:t>
      </w:r>
      <w:r w:rsidRPr="0071345C">
        <w:rPr>
          <w:color w:val="000000"/>
          <w:lang w:val="en-US"/>
        </w:rPr>
        <w:t xml:space="preserve">[…] </w:t>
      </w:r>
      <w:r w:rsidRPr="0071345C">
        <w:rPr>
          <w:i/>
          <w:iCs/>
          <w:color w:val="000000"/>
          <w:lang w:val="en-US"/>
        </w:rPr>
        <w:t>babhūvathu</w:t>
      </w:r>
      <w:r w:rsidRPr="0071345C">
        <w:rPr>
          <w:i/>
          <w:iCs/>
          <w:color w:val="000000"/>
          <w:lang w:val="en-US"/>
        </w:rPr>
        <w:t>ḥ</w:t>
      </w:r>
      <w:r w:rsidRPr="0071345C">
        <w:rPr>
          <w:i/>
          <w:iCs/>
          <w:color w:val="000000"/>
          <w:lang w:val="en-US"/>
        </w:rPr>
        <w:t xml:space="preserve"> </w:t>
      </w:r>
      <w:r w:rsidRPr="0071345C">
        <w:rPr>
          <w:color w:val="000000"/>
          <w:lang w:val="en-US"/>
        </w:rPr>
        <w:t xml:space="preserve">= R̥V 1.93.9; TS 2.3.14.1g; MS 4.10.1; KS 4.16. </w:t>
      </w:r>
    </w:p>
  </w:footnote>
  <w:footnote w:id="319">
    <w:p w14:paraId="3DC30645"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color w:val="000000"/>
          <w:lang w:val="en-US"/>
        </w:rPr>
        <w:tab/>
        <w:t xml:space="preserve"> yuvám</w:t>
      </w:r>
      <w:r w:rsidRPr="0071345C">
        <w:rPr>
          <w:color w:val="000000"/>
          <w:lang w:val="en-US"/>
        </w:rPr>
        <w:t xml:space="preserve"> […] </w:t>
      </w:r>
      <w:r w:rsidRPr="0071345C">
        <w:rPr>
          <w:i/>
          <w:iCs/>
          <w:color w:val="000000"/>
          <w:lang w:val="en-US"/>
        </w:rPr>
        <w:t xml:space="preserve">adhattam = </w:t>
      </w:r>
      <w:r w:rsidRPr="0071345C">
        <w:rPr>
          <w:color w:val="000000"/>
          <w:lang w:val="en-US"/>
        </w:rPr>
        <w:t>R̥V 1.93.5a-b; TS 2.3.142a; MS 4.10.1; KS 4.16.</w:t>
      </w:r>
    </w:p>
  </w:footnote>
  <w:footnote w:id="320">
    <w:p w14:paraId="7DD44FFE"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color w:val="000000"/>
          <w:lang w:val="en-US"/>
        </w:rPr>
        <w:tab/>
        <w:t xml:space="preserve"> ā́bhavat </w:t>
      </w:r>
      <w:r w:rsidRPr="0071345C">
        <w:rPr>
          <w:rStyle w:val="biblio-authorGEN"/>
          <w:color w:val="000000"/>
          <w:sz w:val="18"/>
          <w:szCs w:val="15"/>
          <w:lang w:val="en-US"/>
        </w:rPr>
        <w:t>Whitney</w:t>
      </w:r>
      <w:r w:rsidRPr="0071345C">
        <w:rPr>
          <w:color w:val="000000"/>
          <w:lang w:val="en-US"/>
        </w:rPr>
        <w:t xml:space="preserve"> 1905: VII 389 “he came to be here”. </w:t>
      </w:r>
    </w:p>
  </w:footnote>
  <w:footnote w:id="321">
    <w:p w14:paraId="550DB5B0"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This is a recurring </w:t>
      </w:r>
      <w:r w:rsidRPr="0071345C">
        <w:rPr>
          <w:i/>
          <w:iCs/>
          <w:lang w:val="en-US"/>
        </w:rPr>
        <w:t>pāda</w:t>
      </w:r>
      <w:r w:rsidRPr="0071345C">
        <w:rPr>
          <w:lang w:val="en-US"/>
        </w:rPr>
        <w:t xml:space="preserve"> within the </w:t>
      </w:r>
      <w:r w:rsidRPr="0071345C">
        <w:rPr>
          <w:i/>
          <w:iCs/>
          <w:lang w:val="en-US"/>
        </w:rPr>
        <w:t>R</w:t>
      </w:r>
      <w:r>
        <w:rPr>
          <w:rFonts w:ascii="Sabon Unicode" w:hAnsi="Sabon Unicode" w:cs="Devanagari MT;Times New Roman"/>
          <w:i/>
          <w:iCs/>
          <w:sz w:val="18"/>
          <w:szCs w:val="18"/>
          <w:lang w:val="en-GB" w:eastAsia="hi-IN" w:bidi="en-GB"/>
        </w:rPr>
        <w:t>̥</w:t>
      </w:r>
      <w:r w:rsidRPr="0071345C">
        <w:rPr>
          <w:i/>
          <w:iCs/>
          <w:lang w:val="en-US"/>
        </w:rPr>
        <w:t>gveda Sa</w:t>
      </w:r>
      <w:r w:rsidRPr="0071345C">
        <w:rPr>
          <w:i/>
          <w:iCs/>
          <w:lang w:val="en-US"/>
        </w:rPr>
        <w:t>ṃ</w:t>
      </w:r>
      <w:r w:rsidRPr="0071345C">
        <w:rPr>
          <w:i/>
          <w:iCs/>
          <w:lang w:val="en-US"/>
        </w:rPr>
        <w:t>hitā,</w:t>
      </w:r>
      <w:r w:rsidRPr="0071345C">
        <w:rPr>
          <w:lang w:val="en-US"/>
        </w:rPr>
        <w:t xml:space="preserve"> cf. R</w:t>
      </w:r>
      <w:r>
        <w:rPr>
          <w:rFonts w:ascii="Sabon Unicode" w:hAnsi="Sabon Unicode" w:cs="Devanagari MT;Times New Roman"/>
          <w:sz w:val="18"/>
          <w:szCs w:val="18"/>
          <w:lang w:val="en-GB" w:eastAsia="hi-IN" w:bidi="en-GB"/>
        </w:rPr>
        <w:t>̥</w:t>
      </w:r>
      <w:r w:rsidRPr="0071345C">
        <w:rPr>
          <w:lang w:val="en-US"/>
        </w:rPr>
        <w:t>V 5.55.10d; 8.40.12d; 8.48.13d; 10.121.10d.</w:t>
      </w:r>
    </w:p>
  </w:footnote>
  <w:footnote w:id="322">
    <w:p w14:paraId="0A0008DE"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lang w:val="en-US"/>
        </w:rPr>
        <w:t xml:space="preserve">BI </w:t>
      </w:r>
      <w:r w:rsidRPr="0071345C">
        <w:rPr>
          <w:i/>
          <w:iCs/>
          <w:lang w:val="en-US"/>
        </w:rPr>
        <w:t>mádhúnā</w:t>
      </w:r>
      <w:r w:rsidRPr="0071345C">
        <w:rPr>
          <w:lang w:val="en-US"/>
        </w:rPr>
        <w:t>.</w:t>
      </w:r>
    </w:p>
  </w:footnote>
  <w:footnote w:id="323">
    <w:p w14:paraId="3E60DDA7"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rStyle w:val="biblio-authorGEN"/>
          <w:sz w:val="18"/>
          <w:szCs w:val="15"/>
          <w:lang w:val="en-US"/>
        </w:rPr>
        <w:tab/>
        <w:t xml:space="preserve"> Dumont</w:t>
      </w:r>
      <w:r w:rsidRPr="0071345C">
        <w:rPr>
          <w:lang w:val="en-US"/>
        </w:rPr>
        <w:t xml:space="preserve"> (1962: 248) corrects </w:t>
      </w:r>
      <w:r w:rsidRPr="0071345C">
        <w:rPr>
          <w:i/>
          <w:iCs/>
          <w:lang w:val="en-US"/>
        </w:rPr>
        <w:t>tí</w:t>
      </w:r>
      <w:r w:rsidRPr="0071345C">
        <w:rPr>
          <w:i/>
          <w:iCs/>
          <w:lang w:val="en-US"/>
        </w:rPr>
        <w:t>ṣṭ</w:t>
      </w:r>
      <w:r w:rsidRPr="0071345C">
        <w:rPr>
          <w:i/>
          <w:iCs/>
          <w:lang w:val="en-US"/>
        </w:rPr>
        <w:t>hā</w:t>
      </w:r>
      <w:r w:rsidRPr="0071345C">
        <w:rPr>
          <w:lang w:val="en-US"/>
        </w:rPr>
        <w:t xml:space="preserve"> according to the reading of R̥V 3.8.1. </w:t>
      </w:r>
    </w:p>
  </w:footnote>
  <w:footnote w:id="324">
    <w:p w14:paraId="25242191"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añjánti</w:t>
      </w:r>
      <w:r w:rsidRPr="0071345C">
        <w:rPr>
          <w:lang w:val="en-US"/>
        </w:rPr>
        <w:t xml:space="preserve"> […] </w:t>
      </w:r>
      <w:r w:rsidRPr="0071345C">
        <w:rPr>
          <w:i/>
          <w:iCs/>
          <w:lang w:val="en-US"/>
        </w:rPr>
        <w:t>upás</w:t>
      </w:r>
      <w:r w:rsidRPr="0071345C">
        <w:rPr>
          <w:i/>
          <w:iCs/>
          <w:lang w:val="en-US"/>
        </w:rPr>
        <w:t>the</w:t>
      </w:r>
      <w:r w:rsidRPr="0071345C">
        <w:rPr>
          <w:lang w:val="en-US"/>
        </w:rPr>
        <w:t xml:space="preserve"> = R̥V 3.8.1</w:t>
      </w:r>
    </w:p>
  </w:footnote>
  <w:footnote w:id="325">
    <w:p w14:paraId="76287F9B"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úcchrayasva </w:t>
      </w:r>
      <w:r w:rsidRPr="0071345C">
        <w:rPr>
          <w:lang w:val="en-US"/>
        </w:rPr>
        <w:t xml:space="preserve">[…]  </w:t>
      </w:r>
      <w:r w:rsidRPr="0071345C">
        <w:rPr>
          <w:i/>
          <w:iCs/>
          <w:lang w:val="en-US"/>
        </w:rPr>
        <w:t>yajñávāhase</w:t>
      </w:r>
      <w:r w:rsidRPr="0071345C">
        <w:rPr>
          <w:lang w:val="en-US"/>
        </w:rPr>
        <w:t xml:space="preserve"> = R̥V 3.8.3</w:t>
      </w:r>
    </w:p>
  </w:footnote>
  <w:footnote w:id="326">
    <w:p w14:paraId="0AB4458A"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sámiddhasya </w:t>
      </w:r>
      <w:r w:rsidRPr="0071345C">
        <w:rPr>
          <w:lang w:val="en-US"/>
        </w:rPr>
        <w:t xml:space="preserve">[…] </w:t>
      </w:r>
      <w:r w:rsidRPr="0071345C">
        <w:rPr>
          <w:i/>
          <w:iCs/>
          <w:lang w:val="en-US"/>
        </w:rPr>
        <w:t xml:space="preserve">sáubhagāya </w:t>
      </w:r>
      <w:r w:rsidRPr="0071345C">
        <w:rPr>
          <w:lang w:val="en-US"/>
        </w:rPr>
        <w:t>= R̥V 3.8.2</w:t>
      </w:r>
    </w:p>
  </w:footnote>
  <w:footnote w:id="327">
    <w:p w14:paraId="40DC65B9"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i/>
          <w:iCs/>
          <w:lang w:val="en-US"/>
        </w:rPr>
        <w:t>devayánta</w:t>
      </w:r>
      <w:r w:rsidRPr="0071345C">
        <w:rPr>
          <w:i/>
          <w:iCs/>
          <w:lang w:val="en-US"/>
        </w:rPr>
        <w:t>ḥ</w:t>
      </w:r>
      <w:r w:rsidRPr="0071345C">
        <w:rPr>
          <w:lang w:val="en-US"/>
        </w:rPr>
        <w:t xml:space="preserve"> is referring to the priests and probably the </w:t>
      </w:r>
      <w:r w:rsidRPr="0071345C">
        <w:rPr>
          <w:i/>
          <w:iCs/>
          <w:lang w:val="en-US"/>
        </w:rPr>
        <w:t>yajamāna</w:t>
      </w:r>
      <w:r w:rsidRPr="0071345C">
        <w:rPr>
          <w:lang w:val="en-US"/>
        </w:rPr>
        <w:t xml:space="preserve"> and his wife who are performing the rite, see </w:t>
      </w:r>
      <w:r w:rsidRPr="0071345C">
        <w:rPr>
          <w:rStyle w:val="biblio-authorGEN"/>
          <w:sz w:val="18"/>
          <w:szCs w:val="15"/>
          <w:lang w:val="en-US"/>
        </w:rPr>
        <w:t>Proferes</w:t>
      </w:r>
      <w:r w:rsidRPr="0071345C">
        <w:rPr>
          <w:lang w:val="en-US"/>
        </w:rPr>
        <w:t xml:space="preserve"> 2003a: 323.</w:t>
      </w:r>
    </w:p>
  </w:footnote>
  <w:footnote w:id="328">
    <w:p w14:paraId="62373296"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Vanaspati is the Lord of wood, of the forest but also the tree of desire; despite the homophony, the noun-root </w:t>
      </w:r>
      <w:r w:rsidRPr="0071345C">
        <w:rPr>
          <w:i/>
          <w:iCs/>
          <w:lang w:val="en-US"/>
        </w:rPr>
        <w:t>ván-</w:t>
      </w:r>
      <w:r w:rsidRPr="0071345C">
        <w:rPr>
          <w:lang w:val="en-US"/>
        </w:rPr>
        <w:t xml:space="preserve"> should still not be considered as a derivate from the verbal root </w:t>
      </w:r>
      <w:r w:rsidRPr="0071345C">
        <w:rPr>
          <w:i/>
          <w:iCs/>
          <w:lang w:val="en-US"/>
        </w:rPr>
        <w:t>van</w:t>
      </w:r>
      <w:r w:rsidRPr="0071345C">
        <w:rPr>
          <w:i/>
          <w:iCs/>
          <w:lang w:val="en-US"/>
        </w:rPr>
        <w:t>-</w:t>
      </w:r>
      <w:r w:rsidRPr="0071345C">
        <w:rPr>
          <w:lang w:val="en-US"/>
        </w:rPr>
        <w:t>: the relation between the two roots is quite uncertain (see EWAia: II 500).</w:t>
      </w:r>
    </w:p>
  </w:footnote>
  <w:footnote w:id="329">
    <w:p w14:paraId="7A9C9029"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mádhu</w:t>
      </w:r>
      <w:r w:rsidRPr="0071345C">
        <w:rPr>
          <w:lang w:val="en-US"/>
        </w:rPr>
        <w:t>-</w:t>
      </w:r>
      <w:r w:rsidRPr="0071345C">
        <w:rPr>
          <w:lang w:val="en-US"/>
        </w:rPr>
        <w:t xml:space="preserve"> is sweetness connected with the honey, Bha</w:t>
      </w:r>
      <w:r w:rsidRPr="0071345C">
        <w:rPr>
          <w:lang w:val="en-US"/>
        </w:rPr>
        <w:t>ṭṭ</w:t>
      </w:r>
      <w:r w:rsidRPr="0071345C">
        <w:rPr>
          <w:lang w:val="en-US"/>
        </w:rPr>
        <w:t xml:space="preserve">a Bhāskara Miśra glosses with </w:t>
      </w:r>
      <w:r w:rsidRPr="0071345C">
        <w:rPr>
          <w:i/>
          <w:iCs/>
          <w:lang w:val="en-US"/>
        </w:rPr>
        <w:t>madhurasa</w:t>
      </w:r>
      <w:r w:rsidRPr="0071345C">
        <w:rPr>
          <w:lang w:val="en-US"/>
        </w:rPr>
        <w:t xml:space="preserve"> </w:t>
      </w:r>
      <w:r w:rsidRPr="0071345C">
        <w:rPr>
          <w:lang w:val="en-US"/>
        </w:rPr>
        <w:t xml:space="preserve">“juice of honey”, while  AB 2.2 explains the divine sweetness as clarified butter, </w:t>
      </w:r>
      <w:r w:rsidRPr="0071345C">
        <w:rPr>
          <w:i/>
          <w:iCs/>
          <w:lang w:val="en-US"/>
        </w:rPr>
        <w:t>ā</w:t>
      </w:r>
      <w:r w:rsidRPr="0071345C">
        <w:rPr>
          <w:i/>
          <w:iCs/>
          <w:lang w:val="en-US"/>
        </w:rPr>
        <w:t>́jya</w:t>
      </w:r>
      <w:r w:rsidRPr="0071345C">
        <w:rPr>
          <w:lang w:val="en-US"/>
        </w:rPr>
        <w:t>-.</w:t>
      </w:r>
    </w:p>
  </w:footnote>
  <w:footnote w:id="330">
    <w:p w14:paraId="635375C5"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súmiti</w:t>
      </w:r>
      <w:r w:rsidRPr="0071345C">
        <w:rPr>
          <w:lang w:val="en-US"/>
        </w:rPr>
        <w:t xml:space="preserve">- </w:t>
      </w:r>
      <w:r w:rsidRPr="0071345C">
        <w:rPr>
          <w:lang w:val="en-US"/>
        </w:rPr>
        <w:t>“a well made fixing” (</w:t>
      </w:r>
      <w:r w:rsidRPr="0071345C">
        <w:rPr>
          <w:rStyle w:val="biblio-authorGEN"/>
          <w:sz w:val="18"/>
          <w:szCs w:val="15"/>
          <w:lang w:val="en-US"/>
        </w:rPr>
        <w:t>Grassmann</w:t>
      </w:r>
      <w:r w:rsidRPr="0071345C">
        <w:rPr>
          <w:lang w:val="en-US"/>
        </w:rPr>
        <w:t xml:space="preserve"> 1875 [ed.1996: 555] “schöne Aufrichtung”). </w:t>
      </w:r>
      <w:r w:rsidRPr="0071345C">
        <w:rPr>
          <w:i/>
          <w:iCs/>
          <w:lang w:val="en-US"/>
        </w:rPr>
        <w:t>Súmitī mīyámāna</w:t>
      </w:r>
      <w:r w:rsidRPr="0071345C">
        <w:rPr>
          <w:i/>
          <w:iCs/>
          <w:lang w:val="en-US"/>
        </w:rPr>
        <w:t>ḥ</w:t>
      </w:r>
      <w:r w:rsidRPr="0071345C">
        <w:rPr>
          <w:lang w:val="en-US"/>
        </w:rPr>
        <w:t xml:space="preserve"> </w:t>
      </w:r>
      <w:r w:rsidRPr="0071345C">
        <w:rPr>
          <w:lang w:val="en-US"/>
        </w:rPr>
        <w:t xml:space="preserve">represents a frequent </w:t>
      </w:r>
      <w:r w:rsidRPr="0071345C">
        <w:rPr>
          <w:lang w:val="en-US"/>
        </w:rPr>
        <w:t xml:space="preserve"> figura etymologica, being t</w:t>
      </w:r>
      <w:r w:rsidRPr="0071345C">
        <w:rPr>
          <w:lang w:val="en-US"/>
        </w:rPr>
        <w:t xml:space="preserve">he noun a derivate of the same root as the part. pres. </w:t>
      </w:r>
      <w:r w:rsidRPr="0071345C">
        <w:rPr>
          <w:lang w:val="en-US"/>
        </w:rPr>
        <w:t>mīyamāna</w:t>
      </w:r>
      <w:r w:rsidRPr="0071345C">
        <w:rPr>
          <w:lang w:val="en-US"/>
        </w:rPr>
        <w:t>ḥ</w:t>
      </w:r>
      <w:r w:rsidRPr="0071345C">
        <w:rPr>
          <w:lang w:val="en-US"/>
        </w:rPr>
        <w:t xml:space="preserve">. </w:t>
      </w:r>
    </w:p>
  </w:footnote>
  <w:footnote w:id="331">
    <w:p w14:paraId="13D9F098"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About </w:t>
      </w:r>
      <w:r w:rsidRPr="0071345C">
        <w:rPr>
          <w:i/>
          <w:iCs/>
          <w:lang w:val="en-US"/>
        </w:rPr>
        <w:t>várcas-</w:t>
      </w:r>
      <w:r w:rsidRPr="0071345C">
        <w:rPr>
          <w:lang w:val="en-US"/>
        </w:rPr>
        <w:t xml:space="preserve"> “vital power</w:t>
      </w:r>
      <w:r w:rsidRPr="0071345C">
        <w:rPr>
          <w:lang w:val="en-US"/>
        </w:rPr>
        <w:t xml:space="preserve">, brilliance” EWAia: II 516 “Glanz”, see </w:t>
      </w:r>
      <w:r w:rsidRPr="0071345C">
        <w:rPr>
          <w:rStyle w:val="biblio-authorGEN"/>
          <w:sz w:val="18"/>
          <w:szCs w:val="18"/>
          <w:lang w:val="en-US"/>
        </w:rPr>
        <w:t>Proferes</w:t>
      </w:r>
      <w:r w:rsidRPr="0071345C">
        <w:rPr>
          <w:lang w:val="en-US"/>
        </w:rPr>
        <w:t xml:space="preserve"> 2007: 91 and 101-104: </w:t>
      </w:r>
      <w:r w:rsidRPr="0071345C">
        <w:rPr>
          <w:rStyle w:val="biblio-authorGEN"/>
          <w:sz w:val="18"/>
          <w:szCs w:val="15"/>
          <w:lang w:val="en-US"/>
        </w:rPr>
        <w:t>Gonda</w:t>
      </w:r>
      <w:r w:rsidRPr="0071345C">
        <w:rPr>
          <w:lang w:val="en-US"/>
        </w:rPr>
        <w:t xml:space="preserve"> 1992: VI/2 366-376.</w:t>
      </w:r>
    </w:p>
  </w:footnote>
  <w:footnote w:id="332">
    <w:p w14:paraId="2AEFAB85"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i.</w:t>
      </w:r>
      <w:r>
        <w:rPr>
          <w:lang w:val="en-GB"/>
        </w:rPr>
        <w:t>e. to the east.</w:t>
      </w:r>
    </w:p>
  </w:footnote>
  <w:footnote w:id="333">
    <w:p w14:paraId="4793DEEA"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bráhman</w:t>
      </w:r>
      <w:r w:rsidRPr="0071345C">
        <w:rPr>
          <w:lang w:val="en-US"/>
        </w:rPr>
        <w:t>-,h</w:t>
      </w:r>
      <w:r w:rsidRPr="0071345C">
        <w:rPr>
          <w:lang w:val="en-US"/>
        </w:rPr>
        <w:t xml:space="preserve">ere understood with the original value of “sacred formulation” </w:t>
      </w:r>
      <w:r w:rsidRPr="0071345C">
        <w:rPr>
          <w:rStyle w:val="biblio-authorGEN"/>
          <w:lang w:val="en-US"/>
        </w:rPr>
        <w:t>(</w:t>
      </w:r>
      <w:r w:rsidRPr="0071345C">
        <w:rPr>
          <w:rStyle w:val="biblio-authorGEN"/>
          <w:sz w:val="18"/>
          <w:szCs w:val="15"/>
          <w:lang w:val="en-US"/>
        </w:rPr>
        <w:t>Thieme</w:t>
      </w:r>
      <w:r w:rsidRPr="0071345C">
        <w:rPr>
          <w:lang w:val="en-US"/>
        </w:rPr>
        <w:t xml:space="preserve"> 1952: 91-129), see also </w:t>
      </w:r>
      <w:r w:rsidRPr="0071345C">
        <w:rPr>
          <w:rStyle w:val="biblio-authorGEN"/>
          <w:sz w:val="18"/>
          <w:szCs w:val="15"/>
          <w:lang w:val="en-US"/>
        </w:rPr>
        <w:t>Gonda</w:t>
      </w:r>
      <w:r w:rsidRPr="0071345C">
        <w:rPr>
          <w:lang w:val="en-US"/>
        </w:rPr>
        <w:t xml:space="preserve"> 1950</w:t>
      </w:r>
      <w:r w:rsidRPr="0071345C">
        <w:rPr>
          <w:vertAlign w:val="superscript"/>
          <w:lang w:val="en-US"/>
        </w:rPr>
        <w:t>a</w:t>
      </w:r>
      <w:r w:rsidRPr="0071345C">
        <w:rPr>
          <w:sz w:val="18"/>
          <w:lang w:val="en-US"/>
        </w:rPr>
        <w:t>.</w:t>
      </w:r>
    </w:p>
  </w:footnote>
  <w:footnote w:id="334">
    <w:p w14:paraId="0EDB896F"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ámati</w:t>
      </w:r>
      <w:r w:rsidRPr="0071345C">
        <w:rPr>
          <w:lang w:val="en-US"/>
        </w:rPr>
        <w:t>-</w:t>
      </w:r>
      <w:r w:rsidRPr="0071345C">
        <w:rPr>
          <w:lang w:val="en-US"/>
        </w:rPr>
        <w:t xml:space="preserve">: </w:t>
      </w:r>
      <w:r w:rsidRPr="0071345C">
        <w:rPr>
          <w:rStyle w:val="biblio-authorGEN"/>
          <w:sz w:val="18"/>
          <w:szCs w:val="15"/>
          <w:lang w:val="en-US"/>
        </w:rPr>
        <w:t>Keith</w:t>
      </w:r>
      <w:r w:rsidRPr="0071345C">
        <w:rPr>
          <w:lang w:val="en-US"/>
        </w:rPr>
        <w:t xml:space="preserve"> (1920: 135) translates, in the same passage in AB 2.2, the word </w:t>
      </w:r>
      <w:r w:rsidRPr="0071345C">
        <w:rPr>
          <w:i/>
          <w:iCs/>
          <w:lang w:val="en-US"/>
        </w:rPr>
        <w:t>ámati</w:t>
      </w:r>
      <w:r w:rsidRPr="0071345C">
        <w:rPr>
          <w:lang w:val="en-US"/>
        </w:rPr>
        <w:t>-</w:t>
      </w:r>
      <w:r w:rsidRPr="0071345C">
        <w:rPr>
          <w:lang w:val="en-US"/>
        </w:rPr>
        <w:t xml:space="preserve"> with “misfortune”; </w:t>
      </w:r>
      <w:r w:rsidRPr="0071345C">
        <w:rPr>
          <w:rStyle w:val="biblio-authorGEN"/>
          <w:sz w:val="18"/>
          <w:szCs w:val="15"/>
          <w:lang w:val="en-US"/>
        </w:rPr>
        <w:t>Proferes</w:t>
      </w:r>
      <w:r w:rsidRPr="0071345C">
        <w:rPr>
          <w:lang w:val="en-US"/>
        </w:rPr>
        <w:t xml:space="preserve"> (2003a: 324) preferes “indigence” and </w:t>
      </w:r>
      <w:r w:rsidRPr="0071345C">
        <w:rPr>
          <w:rStyle w:val="biblio-authorGEN"/>
          <w:sz w:val="18"/>
          <w:szCs w:val="15"/>
          <w:lang w:val="en-US"/>
        </w:rPr>
        <w:t>Dumont</w:t>
      </w:r>
      <w:r w:rsidRPr="0071345C">
        <w:rPr>
          <w:lang w:val="en-US"/>
        </w:rPr>
        <w:t xml:space="preserve"> (1962: 249)“poverty”</w:t>
      </w:r>
      <w:r w:rsidRPr="0071345C">
        <w:rPr>
          <w:lang w:val="en-US"/>
        </w:rPr>
        <w:t>. This translation follows Mayrhofer (EWAia: I 95) who reads it as *</w:t>
      </w:r>
      <w:r w:rsidRPr="0071345C">
        <w:rPr>
          <w:i/>
          <w:iCs/>
          <w:lang w:val="en-US"/>
        </w:rPr>
        <w:t>a</w:t>
      </w:r>
      <w:r w:rsidRPr="0071345C">
        <w:rPr>
          <w:lang w:val="en-US"/>
        </w:rPr>
        <w:t>-</w:t>
      </w:r>
      <w:r w:rsidRPr="0071345C">
        <w:rPr>
          <w:i/>
          <w:iCs/>
          <w:lang w:val="en-US"/>
        </w:rPr>
        <w:t>mati</w:t>
      </w:r>
      <w:r w:rsidRPr="0071345C">
        <w:rPr>
          <w:lang w:val="en-US"/>
        </w:rPr>
        <w:t xml:space="preserve">, </w:t>
      </w:r>
      <w:r w:rsidRPr="0071345C">
        <w:rPr>
          <w:lang w:val="en-US"/>
        </w:rPr>
        <w:t xml:space="preserve">giving as </w:t>
      </w:r>
      <w:r w:rsidRPr="0071345C">
        <w:rPr>
          <w:lang w:val="en-US"/>
        </w:rPr>
        <w:t xml:space="preserve">meaning “Mangel, Dürftigkeit, ratlos”. The same meaning is given by </w:t>
      </w:r>
      <w:r w:rsidRPr="0071345C">
        <w:rPr>
          <w:rStyle w:val="biblio-authorGEN"/>
          <w:sz w:val="18"/>
          <w:szCs w:val="15"/>
          <w:lang w:val="en-US"/>
        </w:rPr>
        <w:t>Grassmann</w:t>
      </w:r>
      <w:r w:rsidRPr="0071345C">
        <w:rPr>
          <w:lang w:val="en-US"/>
        </w:rPr>
        <w:t xml:space="preserve"> (1875 [ed. 1996: 90]), although he suggests a different derivation, namely “von </w:t>
      </w:r>
      <w:r w:rsidRPr="0071345C">
        <w:rPr>
          <w:lang w:val="en-US"/>
        </w:rPr>
        <w:t>am-</w:t>
      </w:r>
      <w:r w:rsidRPr="0071345C">
        <w:rPr>
          <w:lang w:val="en-US"/>
        </w:rPr>
        <w:t xml:space="preserve"> im passiven Sinne”. The explanation in AB 2.2 is </w:t>
      </w:r>
      <w:r w:rsidRPr="0071345C">
        <w:rPr>
          <w:i/>
          <w:iCs/>
          <w:lang w:val="en-US"/>
        </w:rPr>
        <w:t>aśanāyā vai pāpmāmatis</w:t>
      </w:r>
      <w:r w:rsidRPr="0071345C">
        <w:rPr>
          <w:lang w:val="en-US"/>
        </w:rPr>
        <w:t xml:space="preserve"> “the </w:t>
      </w:r>
      <w:r w:rsidRPr="0071345C">
        <w:rPr>
          <w:i/>
          <w:iCs/>
          <w:lang w:val="en-US"/>
        </w:rPr>
        <w:t>ámati</w:t>
      </w:r>
      <w:r w:rsidRPr="0071345C">
        <w:rPr>
          <w:lang w:val="en-US"/>
        </w:rPr>
        <w:t xml:space="preserve">- </w:t>
      </w:r>
      <w:r w:rsidRPr="0071345C">
        <w:rPr>
          <w:lang w:val="en-US"/>
        </w:rPr>
        <w:t xml:space="preserve">is indeed </w:t>
      </w:r>
      <w:r w:rsidRPr="0071345C">
        <w:rPr>
          <w:lang w:val="en-US"/>
        </w:rPr>
        <w:t xml:space="preserve">the hunger, the evil”. </w:t>
      </w:r>
      <w:r>
        <w:t xml:space="preserve">There is also  </w:t>
      </w:r>
      <w:r>
        <w:rPr>
          <w:i/>
          <w:iCs/>
        </w:rPr>
        <w:t>amáti</w:t>
      </w:r>
      <w:r>
        <w:t>-</w:t>
      </w:r>
      <w:r>
        <w:t xml:space="preserve">: EWAia: I 95-96 “etwa’ Gebilde, Erscheinung, Bildnis”; </w:t>
      </w:r>
      <w:r>
        <w:rPr>
          <w:rStyle w:val="biblio-authorGEN"/>
          <w:sz w:val="18"/>
          <w:szCs w:val="15"/>
        </w:rPr>
        <w:t>Grassmann</w:t>
      </w:r>
      <w:r>
        <w:t xml:space="preserve"> 1875 [ed. 1996: 90] “Wucht, Gewalt”. </w:t>
      </w:r>
      <w:r w:rsidRPr="0071345C">
        <w:rPr>
          <w:lang w:val="en-US"/>
        </w:rPr>
        <w:t xml:space="preserve">The accent in the </w:t>
      </w:r>
      <w:r w:rsidRPr="0071345C">
        <w:rPr>
          <w:rFonts w:ascii="Sabon Unicode" w:eastAsia="MS Mincho;ＭＳ 明朝" w:hAnsi="Sabon Unicode"/>
          <w:sz w:val="18"/>
          <w:szCs w:val="18"/>
          <w:lang w:val="en-US" w:eastAsia="hi-IN"/>
        </w:rPr>
        <w:t xml:space="preserve">R̥gvedic stanza speaks clearly for </w:t>
      </w:r>
      <w:r w:rsidRPr="0071345C">
        <w:rPr>
          <w:rFonts w:ascii="Sabon Unicode" w:eastAsia="MS Mincho;ＭＳ 明朝" w:hAnsi="Sabon Unicode"/>
          <w:i/>
          <w:iCs/>
          <w:sz w:val="18"/>
          <w:szCs w:val="18"/>
          <w:lang w:val="en-US" w:eastAsia="hi-IN"/>
        </w:rPr>
        <w:t>ámati</w:t>
      </w:r>
      <w:r w:rsidRPr="0071345C">
        <w:rPr>
          <w:rFonts w:ascii="Sabon Unicode" w:eastAsia="MS Mincho;ＭＳ 明朝" w:hAnsi="Sabon Unicode"/>
          <w:sz w:val="18"/>
          <w:szCs w:val="18"/>
          <w:lang w:val="en-US" w:eastAsia="hi-IN"/>
        </w:rPr>
        <w:t>-</w:t>
      </w:r>
      <w:r w:rsidRPr="0071345C">
        <w:rPr>
          <w:rFonts w:ascii="Sabon Unicode" w:eastAsia="MS Mincho;ＭＳ 明朝" w:hAnsi="Sabon Unicode"/>
          <w:sz w:val="18"/>
          <w:szCs w:val="18"/>
          <w:lang w:val="en-US" w:eastAsia="hi-IN"/>
        </w:rPr>
        <w:t>.</w:t>
      </w:r>
    </w:p>
  </w:footnote>
  <w:footnote w:id="335">
    <w:p w14:paraId="1734134F"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i/>
          <w:iCs/>
          <w:lang w:val="en-US"/>
        </w:rPr>
        <w:t xml:space="preserve">prá te </w:t>
      </w:r>
      <w:r w:rsidRPr="0071345C">
        <w:rPr>
          <w:lang w:val="en-US"/>
        </w:rPr>
        <w:t xml:space="preserve">[…] </w:t>
      </w:r>
      <w:r w:rsidRPr="0071345C">
        <w:rPr>
          <w:i/>
          <w:iCs/>
          <w:lang w:val="en-US"/>
        </w:rPr>
        <w:t>mádam; ghr̥tá</w:t>
      </w:r>
      <w:r w:rsidRPr="0071345C">
        <w:rPr>
          <w:i/>
          <w:iCs/>
          <w:lang w:val="en-US"/>
        </w:rPr>
        <w:t>ṃ</w:t>
      </w:r>
      <w:r w:rsidRPr="0071345C">
        <w:rPr>
          <w:i/>
          <w:iCs/>
          <w:lang w:val="en-US"/>
        </w:rPr>
        <w:t xml:space="preserve"> ná </w:t>
      </w:r>
      <w:r w:rsidRPr="0071345C">
        <w:rPr>
          <w:lang w:val="en-US"/>
        </w:rPr>
        <w:t xml:space="preserve">[…] </w:t>
      </w:r>
      <w:r w:rsidRPr="0071345C">
        <w:rPr>
          <w:i/>
          <w:iCs/>
          <w:lang w:val="en-US"/>
        </w:rPr>
        <w:t>sécate</w:t>
      </w:r>
      <w:r w:rsidRPr="0071345C">
        <w:rPr>
          <w:lang w:val="en-US"/>
        </w:rPr>
        <w:t xml:space="preserve"> and </w:t>
      </w:r>
      <w:r w:rsidRPr="0071345C">
        <w:rPr>
          <w:i/>
          <w:iCs/>
          <w:lang w:val="en-US"/>
        </w:rPr>
        <w:t>ā́ tvā viśantu</w:t>
      </w:r>
      <w:r w:rsidRPr="0071345C">
        <w:rPr>
          <w:lang w:val="en-US"/>
        </w:rPr>
        <w:t xml:space="preserve"> = R̥V 10.96.1. The stanza 10.96.1 is intermingled tree times: </w:t>
      </w:r>
      <w:r w:rsidRPr="0071345C">
        <w:rPr>
          <w:i/>
          <w:iCs/>
          <w:lang w:val="en-US"/>
        </w:rPr>
        <w:t>y</w:t>
      </w:r>
      <w:r>
        <w:rPr>
          <w:rFonts w:ascii="Sabon Unicode" w:hAnsi="Sabon Unicode" w:cs="Times Ext Roman"/>
          <w:i/>
          <w:iCs/>
          <w:sz w:val="18"/>
          <w:szCs w:val="18"/>
          <w:lang w:val="en-GB" w:eastAsia="hi-IN" w:bidi="en-GB"/>
        </w:rPr>
        <w:t>á r</w:t>
      </w:r>
      <w:r>
        <w:rPr>
          <w:rFonts w:ascii="Sabon Unicode" w:hAnsi="Sabon Unicode" w:cs="Devanagari MT;Times New Roman"/>
          <w:sz w:val="18"/>
          <w:szCs w:val="18"/>
          <w:lang w:val="en-GB" w:eastAsia="hi-IN" w:bidi="en-GB"/>
        </w:rPr>
        <w:t>̥</w:t>
      </w:r>
      <w:r>
        <w:rPr>
          <w:rFonts w:ascii="Sabon Unicode" w:hAnsi="Sabon Unicode" w:cs="Times Ext Roman"/>
          <w:i/>
          <w:iCs/>
          <w:sz w:val="18"/>
          <w:szCs w:val="18"/>
          <w:lang w:val="en-GB" w:eastAsia="hi-IN" w:bidi="en-GB"/>
        </w:rPr>
        <w:t>tvíya</w:t>
      </w:r>
      <w:r>
        <w:rPr>
          <w:rFonts w:ascii="Sabon Unicode" w:hAnsi="Sabon Unicode" w:cs="Times Ext Roman"/>
          <w:i/>
          <w:iCs/>
          <w:sz w:val="18"/>
          <w:szCs w:val="18"/>
          <w:lang w:val="en-GB" w:eastAsia="hi-IN" w:bidi="en-GB"/>
        </w:rPr>
        <w:t>ḥ</w:t>
      </w:r>
      <w:r>
        <w:rPr>
          <w:rFonts w:ascii="Sabon Unicode" w:hAnsi="Sabon Unicode" w:cs="Times Ext Roman"/>
          <w:i/>
          <w:iCs/>
          <w:sz w:val="18"/>
          <w:szCs w:val="18"/>
          <w:lang w:val="en-GB" w:eastAsia="hi-IN" w:bidi="en-GB"/>
        </w:rPr>
        <w:t>,</w:t>
      </w:r>
      <w:r>
        <w:rPr>
          <w:rFonts w:ascii="Sabon Unicode" w:eastAsia="MS Mincho;ＭＳ 明朝" w:hAnsi="Sabon Unicode" w:cs="Devanagari MT;Times New Roman"/>
          <w:sz w:val="18"/>
          <w:szCs w:val="18"/>
          <w:lang w:val="en-GB" w:eastAsia="hi-IN" w:bidi="en-GB"/>
        </w:rPr>
        <w:t xml:space="preserve"> </w:t>
      </w:r>
      <w:r>
        <w:rPr>
          <w:rFonts w:ascii="Sabon Unicode" w:hAnsi="Sabon Unicode" w:cs="Times Ext Roman"/>
          <w:i/>
          <w:iCs/>
          <w:sz w:val="18"/>
          <w:szCs w:val="18"/>
          <w:lang w:val="en-GB" w:eastAsia="hi-IN" w:bidi="en-GB"/>
        </w:rPr>
        <w:t xml:space="preserve">índro nā́ma </w:t>
      </w:r>
      <w:r>
        <w:rPr>
          <w:rFonts w:ascii="Sabon Unicode" w:hAnsi="Sabon Unicode" w:cs="Times Ext Roman"/>
          <w:sz w:val="18"/>
          <w:szCs w:val="18"/>
          <w:lang w:val="en-GB" w:eastAsia="hi-IN" w:bidi="en-GB"/>
        </w:rPr>
        <w:t xml:space="preserve">and </w:t>
      </w:r>
      <w:r>
        <w:rPr>
          <w:rFonts w:ascii="Sabon Unicode" w:hAnsi="Sabon Unicode" w:cs="Times Ext Roman"/>
          <w:i/>
          <w:iCs/>
          <w:sz w:val="18"/>
          <w:szCs w:val="18"/>
          <w:lang w:val="en-GB" w:eastAsia="hi-IN" w:bidi="en-GB"/>
        </w:rPr>
        <w:t>śrutó ga</w:t>
      </w:r>
      <w:r>
        <w:rPr>
          <w:rFonts w:ascii="Sabon Unicode" w:hAnsi="Sabon Unicode" w:cs="Times Ext Roman"/>
          <w:i/>
          <w:iCs/>
          <w:sz w:val="18"/>
          <w:szCs w:val="18"/>
          <w:lang w:val="en-GB" w:eastAsia="hi-IN" w:bidi="en-GB"/>
        </w:rPr>
        <w:t>ṇ</w:t>
      </w:r>
      <w:r>
        <w:rPr>
          <w:rFonts w:ascii="Sabon Unicode" w:hAnsi="Sabon Unicode" w:cs="Times Ext Roman"/>
          <w:i/>
          <w:iCs/>
          <w:sz w:val="18"/>
          <w:szCs w:val="18"/>
          <w:lang w:val="en-GB" w:eastAsia="hi-IN" w:bidi="en-GB"/>
        </w:rPr>
        <w:t xml:space="preserve">á </w:t>
      </w:r>
      <w:r>
        <w:rPr>
          <w:rFonts w:ascii="Sabon Unicode" w:hAnsi="Sabon Unicode" w:cs="Times Ext Roman"/>
          <w:sz w:val="18"/>
          <w:szCs w:val="18"/>
          <w:lang w:val="en-GB" w:eastAsia="hi-IN" w:bidi="en-GB"/>
        </w:rPr>
        <w:t>are inserted</w:t>
      </w:r>
      <w:r>
        <w:rPr>
          <w:rFonts w:ascii="Sabon Unicode" w:eastAsia="MS Mincho;ＭＳ 明朝" w:hAnsi="Sabon Unicode" w:cs="Devanagari MT;Times New Roman"/>
          <w:sz w:val="18"/>
          <w:szCs w:val="18"/>
          <w:lang w:val="en-GB" w:eastAsia="hi-IN" w:bidi="en-GB"/>
        </w:rPr>
        <w:t xml:space="preserve">. The meaning of this passage is not extremely different from the R̥gvedic stanza, but indeed </w:t>
      </w:r>
      <w:r>
        <w:rPr>
          <w:rFonts w:ascii="Sabon Unicode" w:eastAsia="MS Mincho;ＭＳ 明朝" w:hAnsi="Sabon Unicode" w:cs="Devanagari MT;Times New Roman"/>
          <w:sz w:val="18"/>
          <w:szCs w:val="18"/>
          <w:lang w:val="en-GB" w:eastAsia="hi-IN" w:bidi="en-GB"/>
        </w:rPr>
        <w:t xml:space="preserve">there is a clear modification of the original, as long as Indra becomes the subject of the second sentence and pours out “what is pleasant as the clarified butter”, while in R̥V 10.96.1 it is the </w:t>
      </w:r>
      <w:r>
        <w:rPr>
          <w:rFonts w:ascii="Sabon Unicode" w:eastAsia="MS Mincho;ＭＳ 明朝" w:hAnsi="Sabon Unicode" w:cs="Devanagari MT;Times New Roman"/>
          <w:i/>
          <w:iCs/>
          <w:sz w:val="18"/>
          <w:szCs w:val="18"/>
          <w:lang w:val="en-GB" w:eastAsia="hi-IN" w:bidi="en-GB"/>
        </w:rPr>
        <w:t xml:space="preserve">máda-, </w:t>
      </w:r>
      <w:r>
        <w:rPr>
          <w:rFonts w:ascii="Sabon Unicode" w:eastAsia="MS Mincho;ＭＳ 明朝" w:hAnsi="Sabon Unicode" w:cs="Devanagari MT;Times New Roman"/>
          <w:sz w:val="18"/>
          <w:szCs w:val="18"/>
          <w:lang w:val="en-GB" w:eastAsia="hi-IN" w:bidi="en-GB"/>
        </w:rPr>
        <w:t>pleasant as the clarified butter,</w:t>
      </w:r>
      <w:r>
        <w:rPr>
          <w:rFonts w:ascii="Sabon Unicode" w:eastAsia="MS Mincho;ＭＳ 明朝" w:hAnsi="Sabon Unicode" w:cs="Devanagari MT;Times New Roman"/>
          <w:i/>
          <w:iCs/>
          <w:sz w:val="18"/>
          <w:szCs w:val="18"/>
          <w:lang w:val="en-GB" w:eastAsia="hi-IN" w:bidi="en-GB"/>
        </w:rPr>
        <w:t xml:space="preserve"> </w:t>
      </w:r>
      <w:r>
        <w:rPr>
          <w:rFonts w:ascii="Sabon Unicode" w:eastAsia="MS Mincho;ＭＳ 明朝" w:hAnsi="Sabon Unicode" w:cs="Devanagari MT;Times New Roman"/>
          <w:sz w:val="18"/>
          <w:szCs w:val="18"/>
          <w:lang w:val="en-GB" w:eastAsia="hi-IN" w:bidi="en-GB"/>
        </w:rPr>
        <w:t>which pours out.</w:t>
      </w:r>
    </w:p>
  </w:footnote>
  <w:footnote w:id="336">
    <w:p w14:paraId="43D58914"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r>
      <w:r w:rsidRPr="0071345C">
        <w:rPr>
          <w:i/>
          <w:iCs/>
          <w:lang w:val="en-US"/>
        </w:rPr>
        <w:t xml:space="preserve"> índrā́dhipaté </w:t>
      </w:r>
      <w:r w:rsidRPr="0071345C">
        <w:rPr>
          <w:lang w:val="en-US"/>
        </w:rPr>
        <w:t xml:space="preserve">[…] </w:t>
      </w:r>
      <w:r w:rsidRPr="0071345C">
        <w:rPr>
          <w:i/>
          <w:iCs/>
          <w:lang w:val="en-US"/>
        </w:rPr>
        <w:t xml:space="preserve">kuru </w:t>
      </w:r>
      <w:r w:rsidRPr="0071345C">
        <w:rPr>
          <w:lang w:val="en-US"/>
        </w:rPr>
        <w:t>= ApŚS 14.3.5.</w:t>
      </w:r>
    </w:p>
  </w:footnote>
  <w:footnote w:id="337">
    <w:p w14:paraId="71F893C3"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prá aśam̐si</w:t>
      </w:r>
      <w:r w:rsidRPr="0071345C">
        <w:rPr>
          <w:i/>
          <w:iCs/>
          <w:lang w:val="en-US"/>
        </w:rPr>
        <w:t>ṣ</w:t>
      </w:r>
      <w:r w:rsidRPr="0071345C">
        <w:rPr>
          <w:i/>
          <w:iCs/>
          <w:lang w:val="en-US"/>
        </w:rPr>
        <w:t xml:space="preserve">am, </w:t>
      </w:r>
      <w:r w:rsidRPr="0071345C">
        <w:rPr>
          <w:lang w:val="en-US"/>
        </w:rPr>
        <w:t xml:space="preserve">ind. aor. while in TB 2.4.3.10 following R̥V 10.96.1 there is the inj. pres. </w:t>
      </w:r>
      <w:r w:rsidRPr="0071345C">
        <w:rPr>
          <w:i/>
          <w:iCs/>
          <w:lang w:val="en-US"/>
        </w:rPr>
        <w:t>śa</w:t>
      </w:r>
      <w:r w:rsidRPr="0071345C">
        <w:rPr>
          <w:i/>
          <w:iCs/>
          <w:lang w:val="en-US"/>
        </w:rPr>
        <w:t>ṃ</w:t>
      </w:r>
      <w:r w:rsidRPr="0071345C">
        <w:rPr>
          <w:i/>
          <w:iCs/>
          <w:lang w:val="en-US"/>
        </w:rPr>
        <w:t>si</w:t>
      </w:r>
      <w:r w:rsidRPr="0071345C">
        <w:rPr>
          <w:i/>
          <w:iCs/>
          <w:lang w:val="en-US"/>
        </w:rPr>
        <w:t>ṣ</w:t>
      </w:r>
      <w:r w:rsidRPr="0071345C">
        <w:rPr>
          <w:i/>
          <w:iCs/>
          <w:lang w:val="en-US"/>
        </w:rPr>
        <w:t>am.</w:t>
      </w:r>
      <w:r w:rsidRPr="0071345C">
        <w:rPr>
          <w:lang w:val="en-US"/>
        </w:rPr>
        <w:t xml:space="preserve"> </w:t>
      </w:r>
    </w:p>
  </w:footnote>
  <w:footnote w:id="338">
    <w:p w14:paraId="68499553"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As to the exact meaning of </w:t>
      </w:r>
      <w:r w:rsidRPr="0071345C">
        <w:rPr>
          <w:i/>
          <w:iCs/>
          <w:lang w:val="en-US"/>
        </w:rPr>
        <w:t xml:space="preserve">vidátha- </w:t>
      </w:r>
      <w:r w:rsidRPr="0071345C">
        <w:rPr>
          <w:lang w:val="en-US"/>
        </w:rPr>
        <w:t xml:space="preserve">as already a ritual fest or just as social meeting, </w:t>
      </w:r>
      <w:r w:rsidRPr="0071345C">
        <w:rPr>
          <w:lang w:val="en-US"/>
        </w:rPr>
        <w:t xml:space="preserve">see </w:t>
      </w:r>
      <w:r w:rsidRPr="0071345C">
        <w:rPr>
          <w:rStyle w:val="biblio-authorGEN"/>
          <w:sz w:val="18"/>
          <w:szCs w:val="15"/>
          <w:lang w:val="en-US"/>
        </w:rPr>
        <w:t>Gonda</w:t>
      </w:r>
      <w:r w:rsidRPr="0071345C">
        <w:rPr>
          <w:lang w:val="en-US"/>
        </w:rPr>
        <w:t xml:space="preserve"> 1992: VI/1 310-337, </w:t>
      </w:r>
      <w:r w:rsidRPr="0071345C">
        <w:rPr>
          <w:rStyle w:val="biblio-authorGEN"/>
          <w:sz w:val="18"/>
          <w:szCs w:val="15"/>
          <w:lang w:val="en-US"/>
        </w:rPr>
        <w:t xml:space="preserve">Kuiper </w:t>
      </w:r>
      <w:r w:rsidRPr="0071345C">
        <w:rPr>
          <w:lang w:val="en-US"/>
        </w:rPr>
        <w:t xml:space="preserve">1974: 129-132 and </w:t>
      </w:r>
      <w:r w:rsidRPr="0071345C">
        <w:rPr>
          <w:rStyle w:val="biblio-authorGEN"/>
          <w:sz w:val="18"/>
          <w:szCs w:val="15"/>
          <w:lang w:val="en-US"/>
        </w:rPr>
        <w:t xml:space="preserve">Oldenberg </w:t>
      </w:r>
      <w:r w:rsidRPr="0071345C">
        <w:rPr>
          <w:lang w:val="en-US"/>
        </w:rPr>
        <w:t xml:space="preserve">1900: 608-611. </w:t>
      </w:r>
    </w:p>
  </w:footnote>
  <w:footnote w:id="339">
    <w:p w14:paraId="69F28A29"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Miśra glosses </w:t>
      </w:r>
      <w:r w:rsidRPr="0071345C">
        <w:rPr>
          <w:i/>
          <w:iCs/>
          <w:lang w:val="en-US"/>
        </w:rPr>
        <w:t>prāptakāla</w:t>
      </w:r>
      <w:r w:rsidRPr="0071345C">
        <w:rPr>
          <w:i/>
          <w:iCs/>
          <w:lang w:val="en-US"/>
        </w:rPr>
        <w:t>ḥ</w:t>
      </w:r>
      <w:r w:rsidRPr="0071345C">
        <w:rPr>
          <w:i/>
          <w:iCs/>
          <w:lang w:val="en-US"/>
        </w:rPr>
        <w:t xml:space="preserve"> mada</w:t>
      </w:r>
      <w:r w:rsidRPr="0071345C">
        <w:rPr>
          <w:i/>
          <w:iCs/>
          <w:lang w:val="en-US"/>
        </w:rPr>
        <w:t>ḥ</w:t>
      </w:r>
      <w:r w:rsidRPr="0071345C">
        <w:rPr>
          <w:lang w:val="en-US"/>
        </w:rPr>
        <w:t>, and Sāya</w:t>
      </w:r>
      <w:r w:rsidRPr="0071345C">
        <w:rPr>
          <w:lang w:val="en-US"/>
        </w:rPr>
        <w:t>ṇ</w:t>
      </w:r>
      <w:r w:rsidRPr="0071345C">
        <w:rPr>
          <w:lang w:val="en-US"/>
        </w:rPr>
        <w:t xml:space="preserve">a also </w:t>
      </w:r>
      <w:r w:rsidRPr="0071345C">
        <w:rPr>
          <w:i/>
          <w:iCs/>
          <w:lang w:val="en-US"/>
        </w:rPr>
        <w:t>vasantādyr̥tukāle prāpta</w:t>
      </w:r>
      <w:r w:rsidRPr="0071345C">
        <w:rPr>
          <w:i/>
          <w:iCs/>
          <w:lang w:val="en-US"/>
        </w:rPr>
        <w:t>ḥ</w:t>
      </w:r>
      <w:r w:rsidRPr="0071345C">
        <w:rPr>
          <w:i/>
          <w:iCs/>
          <w:lang w:val="en-US"/>
        </w:rPr>
        <w:t>.</w:t>
      </w:r>
    </w:p>
  </w:footnote>
  <w:footnote w:id="340">
    <w:p w14:paraId="18AB2E26"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rStyle w:val="biblio-authorGEN"/>
          <w:sz w:val="18"/>
          <w:szCs w:val="15"/>
          <w:lang w:val="en-US"/>
        </w:rPr>
        <w:tab/>
        <w:t xml:space="preserve"> Dumont</w:t>
      </w:r>
      <w:r w:rsidRPr="0071345C">
        <w:rPr>
          <w:lang w:val="en-US"/>
        </w:rPr>
        <w:t xml:space="preserve"> 1963: 453 </w:t>
      </w:r>
      <w:r>
        <w:rPr>
          <w:lang w:val="en-GB"/>
        </w:rPr>
        <w:t xml:space="preserve">“pours out”, both Miśra </w:t>
      </w:r>
      <w:r>
        <w:rPr>
          <w:lang w:val="en-GB"/>
        </w:rPr>
        <w:t>and Sāya</w:t>
      </w:r>
      <w:r>
        <w:rPr>
          <w:lang w:val="en-GB"/>
        </w:rPr>
        <w:t>ṇ</w:t>
      </w:r>
      <w:r>
        <w:rPr>
          <w:lang w:val="en-GB"/>
        </w:rPr>
        <w:t xml:space="preserve">a glosse </w:t>
      </w:r>
      <w:r>
        <w:rPr>
          <w:i/>
          <w:iCs/>
          <w:lang w:val="en-GB"/>
        </w:rPr>
        <w:t xml:space="preserve">samavaiti </w:t>
      </w:r>
      <w:r>
        <w:rPr>
          <w:lang w:val="en-GB"/>
        </w:rPr>
        <w:t>“to mix together”.</w:t>
      </w:r>
    </w:p>
  </w:footnote>
  <w:footnote w:id="341">
    <w:p w14:paraId="7A1626D1"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ā́yu</w:t>
      </w:r>
      <w:r w:rsidRPr="0071345C">
        <w:rPr>
          <w:i/>
          <w:iCs/>
          <w:lang w:val="en-US"/>
        </w:rPr>
        <w:t>ṣ</w:t>
      </w:r>
      <w:r w:rsidRPr="0071345C">
        <w:rPr>
          <w:i/>
          <w:iCs/>
          <w:lang w:val="en-US"/>
        </w:rPr>
        <w:t>manta</w:t>
      </w:r>
      <w:r w:rsidRPr="0071345C">
        <w:rPr>
          <w:i/>
          <w:iCs/>
          <w:lang w:val="en-US"/>
        </w:rPr>
        <w:t>ṃ</w:t>
      </w:r>
      <w:r w:rsidRPr="0071345C">
        <w:rPr>
          <w:i/>
          <w:iCs/>
          <w:lang w:val="en-US"/>
        </w:rPr>
        <w:t xml:space="preserve"> várcasvanta</w:t>
      </w:r>
      <w:r w:rsidRPr="0071345C">
        <w:rPr>
          <w:i/>
          <w:iCs/>
          <w:lang w:val="en-US"/>
        </w:rPr>
        <w:t>ṃ</w:t>
      </w:r>
      <w:r w:rsidRPr="0071345C">
        <w:rPr>
          <w:lang w:val="en-US"/>
        </w:rPr>
        <w:t xml:space="preserve">: the first adjective is a common one for a king. As to the second adjective, see Gonda’s study on </w:t>
      </w:r>
      <w:r w:rsidRPr="0071345C">
        <w:rPr>
          <w:i/>
          <w:iCs/>
          <w:lang w:val="en-US"/>
        </w:rPr>
        <w:t xml:space="preserve">várcas- </w:t>
      </w:r>
      <w:r w:rsidRPr="0071345C">
        <w:rPr>
          <w:lang w:val="en-US"/>
        </w:rPr>
        <w:t>(</w:t>
      </w:r>
      <w:r w:rsidRPr="0071345C">
        <w:rPr>
          <w:rStyle w:val="biblio-authorGEN"/>
          <w:sz w:val="18"/>
          <w:szCs w:val="15"/>
          <w:lang w:val="en-US"/>
        </w:rPr>
        <w:t>Gonda</w:t>
      </w:r>
      <w:r w:rsidRPr="0071345C">
        <w:rPr>
          <w:lang w:val="en-US"/>
        </w:rPr>
        <w:t xml:space="preserve"> 1992: VI/2 366-376) for the connection with the sun having a brighte</w:t>
      </w:r>
      <w:r w:rsidRPr="0071345C">
        <w:rPr>
          <w:lang w:val="en-US"/>
        </w:rPr>
        <w:t xml:space="preserve">ning effect and for the frequency of the couple </w:t>
      </w:r>
      <w:r w:rsidRPr="0071345C">
        <w:rPr>
          <w:i/>
          <w:iCs/>
          <w:lang w:val="en-US"/>
        </w:rPr>
        <w:t>ā́yus – várcas.</w:t>
      </w:r>
    </w:p>
  </w:footnote>
  <w:footnote w:id="342">
    <w:p w14:paraId="3EDC16EA"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i/>
          <w:iCs/>
          <w:lang w:val="en-US"/>
        </w:rPr>
        <w:t>máno</w:t>
      </w:r>
      <w:r w:rsidRPr="0071345C">
        <w:rPr>
          <w:lang w:val="en-US"/>
        </w:rPr>
        <w:t xml:space="preserve"> </w:t>
      </w:r>
      <w:r w:rsidRPr="0071345C">
        <w:rPr>
          <w:i/>
          <w:iCs/>
          <w:lang w:val="en-US"/>
        </w:rPr>
        <w:t>ná</w:t>
      </w:r>
      <w:r w:rsidRPr="0071345C">
        <w:rPr>
          <w:lang w:val="en-US"/>
        </w:rPr>
        <w:t xml:space="preserve"> </w:t>
      </w:r>
      <w:r w:rsidRPr="0071345C">
        <w:rPr>
          <w:lang w:val="en-US"/>
        </w:rPr>
        <w:t xml:space="preserve">[…] </w:t>
      </w:r>
      <w:r w:rsidRPr="0071345C">
        <w:rPr>
          <w:rFonts w:ascii="Sabon Unicode" w:hAnsi="Sabon Unicode"/>
          <w:i/>
          <w:iCs/>
          <w:lang w:val="en-US"/>
        </w:rPr>
        <w:t>gábhastau</w:t>
      </w:r>
      <w:r w:rsidRPr="0071345C">
        <w:rPr>
          <w:rFonts w:ascii="Sabon Unicode" w:hAnsi="Sabon Unicode"/>
          <w:lang w:val="en-US"/>
        </w:rPr>
        <w:t xml:space="preserve"> = R̥V 10.61.3.</w:t>
      </w:r>
    </w:p>
  </w:footnote>
  <w:footnote w:id="343">
    <w:p w14:paraId="1C67D392"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Pr>
          <w:rFonts w:ascii="Sabon Unicode" w:eastAsia="MS Mincho;ＭＳ 明朝" w:hAnsi="Sabon Unicode" w:cs="Times Ext Roman"/>
          <w:i/>
          <w:iCs/>
          <w:sz w:val="18"/>
          <w:szCs w:val="18"/>
          <w:lang w:val="en-GB" w:eastAsia="hi-IN" w:bidi="en-GB"/>
        </w:rPr>
        <w:tab/>
        <w:t xml:space="preserve"> máno ná </w:t>
      </w:r>
      <w:r>
        <w:rPr>
          <w:rFonts w:ascii="Sabon Unicode" w:eastAsia="MS Mincho;ＭＳ 明朝" w:hAnsi="Sabon Unicode" w:cs="Times Ext Roman"/>
          <w:sz w:val="18"/>
          <w:szCs w:val="18"/>
          <w:lang w:val="en-GB" w:eastAsia="hi-IN" w:bidi="en-GB"/>
        </w:rPr>
        <w:t xml:space="preserve">[…] </w:t>
      </w:r>
      <w:r>
        <w:rPr>
          <w:rFonts w:ascii="Sabon Unicode" w:eastAsia="MS Mincho;ＭＳ 明朝" w:hAnsi="Sabon Unicode" w:cs="Times Ext Roman"/>
          <w:i/>
          <w:iCs/>
          <w:sz w:val="18"/>
          <w:szCs w:val="18"/>
          <w:lang w:val="en-GB" w:eastAsia="hi-IN" w:bidi="en-GB"/>
        </w:rPr>
        <w:t xml:space="preserve">pāhi </w:t>
      </w:r>
      <w:r>
        <w:rPr>
          <w:rFonts w:ascii="Sabon Unicode" w:eastAsia="MS Mincho;ＭＳ 明朝" w:hAnsi="Sabon Unicode" w:cs="Times Ext Roman"/>
          <w:sz w:val="18"/>
          <w:szCs w:val="18"/>
          <w:lang w:val="en-GB" w:eastAsia="hi-IN" w:bidi="en-GB"/>
        </w:rPr>
        <w:t>= VS 7.17.</w:t>
      </w:r>
    </w:p>
  </w:footnote>
  <w:footnote w:id="344">
    <w:p w14:paraId="562C433B"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Along the interpretation of Pischel (</w:t>
      </w:r>
      <w:r w:rsidRPr="0071345C">
        <w:rPr>
          <w:rStyle w:val="biblio-authorGEN"/>
          <w:sz w:val="18"/>
          <w:szCs w:val="18"/>
          <w:lang w:val="en-US"/>
        </w:rPr>
        <w:t>Pischel-Geldner</w:t>
      </w:r>
      <w:r w:rsidRPr="0071345C">
        <w:rPr>
          <w:lang w:val="en-US"/>
        </w:rPr>
        <w:t xml:space="preserve"> 1889-1901: I 74), the subject are the Aśvin invoked by Cyavana. The myth of Cyavana can be found also in Mbh 3.122-124. As to the different interpretations of the relative pronouns and thus of the stanza itself, see </w:t>
      </w:r>
      <w:r w:rsidRPr="0071345C">
        <w:rPr>
          <w:rStyle w:val="biblio-authorGEN"/>
          <w:sz w:val="18"/>
          <w:szCs w:val="18"/>
          <w:lang w:val="en-US"/>
        </w:rPr>
        <w:t xml:space="preserve">Oldenberg </w:t>
      </w:r>
      <w:r w:rsidRPr="0071345C">
        <w:rPr>
          <w:lang w:val="en-US"/>
        </w:rPr>
        <w:t xml:space="preserve">1912: 264 n.3 and </w:t>
      </w:r>
      <w:r w:rsidRPr="0071345C">
        <w:rPr>
          <w:rStyle w:val="biblio-authorGEN"/>
          <w:sz w:val="18"/>
          <w:szCs w:val="18"/>
          <w:lang w:val="en-US"/>
        </w:rPr>
        <w:t>Geldner</w:t>
      </w:r>
      <w:r w:rsidRPr="0071345C">
        <w:rPr>
          <w:lang w:val="en-US"/>
        </w:rPr>
        <w:t>: II</w:t>
      </w:r>
      <w:r w:rsidRPr="0071345C">
        <w:rPr>
          <w:lang w:val="en-US"/>
        </w:rPr>
        <w:t>I 227.</w:t>
      </w:r>
    </w:p>
  </w:footnote>
  <w:footnote w:id="345">
    <w:p w14:paraId="7B1C1B4D"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According to Pischel’s interpretation (</w:t>
      </w:r>
      <w:r w:rsidRPr="0071345C">
        <w:rPr>
          <w:i/>
          <w:iCs/>
          <w:lang w:val="en-US"/>
        </w:rPr>
        <w:t>ibid.</w:t>
      </w:r>
      <w:r w:rsidRPr="0071345C">
        <w:rPr>
          <w:lang w:val="en-US"/>
        </w:rPr>
        <w:t xml:space="preserve">), this passage is related to the myth of Indra, the very manly </w:t>
      </w:r>
      <w:r w:rsidRPr="0071345C">
        <w:rPr>
          <w:i/>
          <w:iCs/>
          <w:lang w:val="en-US"/>
        </w:rPr>
        <w:t>par excellance</w:t>
      </w:r>
      <w:r w:rsidRPr="0071345C">
        <w:rPr>
          <w:lang w:val="en-US"/>
        </w:rPr>
        <w:t>, weakening the will, the intention (</w:t>
      </w:r>
      <w:r w:rsidRPr="0071345C">
        <w:rPr>
          <w:i/>
          <w:iCs/>
          <w:lang w:val="en-US"/>
        </w:rPr>
        <w:t>ādiśam</w:t>
      </w:r>
      <w:r w:rsidRPr="0071345C">
        <w:rPr>
          <w:lang w:val="en-US"/>
        </w:rPr>
        <w:t xml:space="preserve">) of Cyavana. Cyavana stole the </w:t>
      </w:r>
      <w:r w:rsidRPr="0071345C">
        <w:rPr>
          <w:i/>
          <w:iCs/>
          <w:lang w:val="en-US"/>
        </w:rPr>
        <w:t>soma</w:t>
      </w:r>
      <w:r w:rsidRPr="0071345C">
        <w:rPr>
          <w:lang w:val="en-US"/>
        </w:rPr>
        <w:t xml:space="preserve"> and tried to fool the god. Indra makes him b</w:t>
      </w:r>
      <w:r w:rsidRPr="0071345C">
        <w:rPr>
          <w:lang w:val="en-US"/>
        </w:rPr>
        <w:t>ow again to his power.</w:t>
      </w:r>
    </w:p>
  </w:footnote>
  <w:footnote w:id="346">
    <w:p w14:paraId="00505642"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rFonts w:ascii="Sabon Unicode" w:hAnsi="Sabon Unicode"/>
          <w:sz w:val="18"/>
          <w:szCs w:val="18"/>
          <w:lang w:val="en-US"/>
        </w:rPr>
        <w:tab/>
        <w:t xml:space="preserve"> Scil. </w:t>
      </w:r>
      <w:r w:rsidRPr="0071345C">
        <w:rPr>
          <w:rFonts w:ascii="Sabon Unicode" w:hAnsi="Sabon Unicode"/>
          <w:i/>
          <w:iCs/>
          <w:sz w:val="18"/>
          <w:szCs w:val="18"/>
          <w:lang w:val="en-US"/>
        </w:rPr>
        <w:t>gráha</w:t>
      </w:r>
      <w:r w:rsidRPr="0071345C">
        <w:rPr>
          <w:rFonts w:ascii="Sabon Unicode" w:hAnsi="Sabon Unicode"/>
          <w:sz w:val="18"/>
          <w:szCs w:val="18"/>
          <w:lang w:val="en-US"/>
        </w:rPr>
        <w:t xml:space="preserve">, </w:t>
      </w:r>
      <w:r w:rsidRPr="0071345C">
        <w:rPr>
          <w:rFonts w:ascii="Sabon Unicode" w:hAnsi="Sabon Unicode"/>
          <w:sz w:val="18"/>
          <w:szCs w:val="18"/>
          <w:lang w:val="en-US"/>
        </w:rPr>
        <w:t>the cup for the libation.</w:t>
      </w:r>
    </w:p>
  </w:footnote>
  <w:footnote w:id="347">
    <w:p w14:paraId="2509CA11"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The mated body of the vital fluid entering the Fire Altar, which has been said being composed of speech and breath (ŚB 10.1.1.9).</w:t>
      </w:r>
    </w:p>
  </w:footnote>
  <w:footnote w:id="348">
    <w:p w14:paraId="0399A87A"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Agni.</w:t>
      </w:r>
    </w:p>
  </w:footnote>
  <w:footnote w:id="349">
    <w:p w14:paraId="38E0F7F5"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i/>
          <w:iCs/>
          <w:lang w:val="en-US"/>
        </w:rPr>
        <w:t>ātmán</w:t>
      </w:r>
      <w:r w:rsidRPr="0071345C">
        <w:rPr>
          <w:lang w:val="en-US"/>
        </w:rPr>
        <w:t>-</w:t>
      </w:r>
      <w:r w:rsidRPr="0071345C">
        <w:rPr>
          <w:lang w:val="en-US"/>
        </w:rPr>
        <w:t xml:space="preserve"> already in the Brāhma</w:t>
      </w:r>
      <w:r w:rsidRPr="0071345C">
        <w:rPr>
          <w:lang w:val="en-US"/>
        </w:rPr>
        <w:t>ṇ</w:t>
      </w:r>
      <w:r w:rsidRPr="0071345C">
        <w:rPr>
          <w:lang w:val="en-US"/>
        </w:rPr>
        <w:t>a period means th</w:t>
      </w:r>
      <w:r w:rsidRPr="0071345C">
        <w:rPr>
          <w:lang w:val="en-US"/>
        </w:rPr>
        <w:t xml:space="preserve">e Self and also the body, as it is used here all over this chapter. Whereas </w:t>
      </w:r>
      <w:r w:rsidRPr="0071345C">
        <w:rPr>
          <w:lang w:val="en-US"/>
        </w:rPr>
        <w:t xml:space="preserve"> </w:t>
      </w:r>
      <w:r w:rsidRPr="0071345C">
        <w:rPr>
          <w:lang w:val="en-US"/>
        </w:rPr>
        <w:t xml:space="preserve">in the </w:t>
      </w:r>
      <w:r w:rsidRPr="0071345C">
        <w:rPr>
          <w:i/>
          <w:iCs/>
          <w:lang w:val="en-US"/>
        </w:rPr>
        <w:t>R̥gveda Sa</w:t>
      </w:r>
      <w:r w:rsidRPr="0071345C">
        <w:rPr>
          <w:i/>
          <w:iCs/>
          <w:lang w:val="en-US"/>
        </w:rPr>
        <w:t>ṃ</w:t>
      </w:r>
      <w:r w:rsidRPr="0071345C">
        <w:rPr>
          <w:i/>
          <w:iCs/>
          <w:lang w:val="en-US"/>
        </w:rPr>
        <w:t>hitā</w:t>
      </w:r>
      <w:r w:rsidRPr="0071345C">
        <w:rPr>
          <w:lang w:val="en-US"/>
        </w:rPr>
        <w:t xml:space="preserve"> </w:t>
      </w:r>
      <w:r w:rsidRPr="0071345C">
        <w:rPr>
          <w:lang w:val="en-US"/>
        </w:rPr>
        <w:t xml:space="preserve">it mostly means “vital breath” or “self” and this older meaning is meant in the R̥gvedic </w:t>
      </w:r>
      <w:r w:rsidRPr="0071345C">
        <w:rPr>
          <w:i/>
          <w:iCs/>
          <w:lang w:val="en-US"/>
        </w:rPr>
        <w:t>pāda</w:t>
      </w:r>
      <w:r w:rsidRPr="0071345C">
        <w:rPr>
          <w:lang w:val="en-US"/>
        </w:rPr>
        <w:t xml:space="preserve">, quoted at the end; therefore there the word </w:t>
      </w:r>
      <w:r w:rsidRPr="0071345C">
        <w:rPr>
          <w:i/>
          <w:iCs/>
          <w:lang w:val="en-US"/>
        </w:rPr>
        <w:t>ātmán</w:t>
      </w:r>
      <w:r w:rsidRPr="0071345C">
        <w:rPr>
          <w:lang w:val="en-US"/>
        </w:rPr>
        <w:t>-</w:t>
      </w:r>
      <w:r w:rsidRPr="0071345C">
        <w:rPr>
          <w:lang w:val="en-US"/>
        </w:rPr>
        <w:t xml:space="preserve"> has been t</w:t>
      </w:r>
      <w:r w:rsidRPr="0071345C">
        <w:rPr>
          <w:lang w:val="en-US"/>
        </w:rPr>
        <w:t>ranslated with “vital breath”.</w:t>
      </w:r>
    </w:p>
  </w:footnote>
  <w:footnote w:id="350">
    <w:p w14:paraId="29954F37"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Pr>
          <w:rFonts w:eastAsia="MS Mincho;ＭＳ 明朝" w:cs="Times Ext Roman"/>
          <w:i/>
          <w:iCs/>
          <w:lang w:val="en-GB" w:eastAsia="hi-IN" w:bidi="en-GB"/>
        </w:rPr>
        <w:tab/>
        <w:t xml:space="preserve"> ví te</w:t>
      </w:r>
      <w:r>
        <w:rPr>
          <w:rFonts w:eastAsia="MS Mincho;ＭＳ 明朝" w:cs="Times Ext Roman"/>
          <w:lang w:val="en-GB" w:eastAsia="hi-IN" w:bidi="en-GB"/>
        </w:rPr>
        <w:t xml:space="preserve"> </w:t>
      </w:r>
      <w:r>
        <w:rPr>
          <w:rFonts w:eastAsia="MS Mincho;ＭＳ 明朝" w:cs="Times Ext Roman"/>
          <w:lang w:val="en-GB" w:eastAsia="hi-IN" w:bidi="en-GB"/>
        </w:rPr>
        <w:t xml:space="preserve">[…] </w:t>
      </w:r>
      <w:r>
        <w:rPr>
          <w:rFonts w:eastAsia="MS Mincho;ＭＳ 明朝" w:cs="Times Ext Roman"/>
          <w:i/>
          <w:iCs/>
          <w:lang w:val="en-GB" w:eastAsia="hi-IN" w:bidi="en-GB"/>
        </w:rPr>
        <w:t xml:space="preserve">rujánta </w:t>
      </w:r>
      <w:r>
        <w:rPr>
          <w:rFonts w:eastAsia="MS Mincho;ＭＳ 明朝" w:cs="Times Ext Roman"/>
          <w:lang w:val="en-GB" w:eastAsia="hi-IN" w:bidi="en-GB"/>
        </w:rPr>
        <w:t>= R̥V 6.6.3; TS 3.3.11.2e.</w:t>
      </w:r>
    </w:p>
  </w:footnote>
  <w:footnote w:id="351">
    <w:p w14:paraId="600CC952"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Verses recited while the fire is kindled.</w:t>
      </w:r>
    </w:p>
  </w:footnote>
  <w:footnote w:id="352">
    <w:p w14:paraId="65942E8C"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i/>
          <w:iCs/>
          <w:lang w:val="en-US"/>
        </w:rPr>
        <w:t>sa</w:t>
      </w:r>
      <w:r w:rsidRPr="0071345C">
        <w:rPr>
          <w:i/>
          <w:iCs/>
          <w:lang w:val="en-US"/>
        </w:rPr>
        <w:t>ṃ</w:t>
      </w:r>
      <w:r w:rsidRPr="0071345C">
        <w:rPr>
          <w:i/>
          <w:iCs/>
          <w:lang w:val="en-US"/>
        </w:rPr>
        <w:t>yājyā</w:t>
      </w:r>
      <w:r w:rsidRPr="0071345C">
        <w:rPr>
          <w:lang w:val="en-US"/>
        </w:rPr>
        <w:t xml:space="preserve">- </w:t>
      </w:r>
      <w:r w:rsidRPr="0071345C">
        <w:rPr>
          <w:lang w:val="en-US"/>
        </w:rPr>
        <w:t xml:space="preserve"> term for </w:t>
      </w:r>
      <w:r w:rsidRPr="0071345C">
        <w:rPr>
          <w:i/>
          <w:iCs/>
          <w:lang w:val="en-US"/>
        </w:rPr>
        <w:t>anuvākyā</w:t>
      </w:r>
      <w:r w:rsidRPr="0071345C">
        <w:rPr>
          <w:lang w:val="en-US"/>
        </w:rPr>
        <w:t xml:space="preserve"> </w:t>
      </w:r>
      <w:r w:rsidRPr="0071345C">
        <w:rPr>
          <w:lang w:val="en-US"/>
        </w:rPr>
        <w:t xml:space="preserve">and </w:t>
      </w:r>
      <w:r w:rsidRPr="0071345C">
        <w:rPr>
          <w:i/>
          <w:iCs/>
          <w:lang w:val="en-US"/>
        </w:rPr>
        <w:t>yājyā</w:t>
      </w:r>
      <w:r w:rsidRPr="0071345C">
        <w:rPr>
          <w:lang w:val="en-US"/>
        </w:rPr>
        <w:t xml:space="preserve"> mantra</w:t>
      </w:r>
      <w:r w:rsidRPr="0071345C">
        <w:rPr>
          <w:lang w:val="en-US"/>
        </w:rPr>
        <w:t>s.</w:t>
      </w:r>
    </w:p>
  </w:footnote>
  <w:footnote w:id="353">
    <w:p w14:paraId="00CA8FF3"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The </w:t>
      </w:r>
      <w:r w:rsidRPr="0071345C">
        <w:rPr>
          <w:i/>
          <w:iCs/>
          <w:lang w:val="en-US"/>
        </w:rPr>
        <w:t>virāj</w:t>
      </w:r>
      <w:r w:rsidRPr="0071345C">
        <w:rPr>
          <w:lang w:val="en-US"/>
        </w:rPr>
        <w:t xml:space="preserve"> </w:t>
      </w:r>
      <w:r w:rsidRPr="0071345C">
        <w:rPr>
          <w:lang w:val="en-US"/>
        </w:rPr>
        <w:t xml:space="preserve">is a metre of 10 or a multiple of ten </w:t>
      </w:r>
      <w:r w:rsidRPr="0071345C">
        <w:rPr>
          <w:i/>
          <w:iCs/>
          <w:lang w:val="en-US"/>
        </w:rPr>
        <w:t>pāda</w:t>
      </w:r>
      <w:r w:rsidRPr="0071345C">
        <w:rPr>
          <w:lang w:val="en-US"/>
        </w:rPr>
        <w:t>s</w:t>
      </w:r>
      <w:r w:rsidRPr="0071345C">
        <w:rPr>
          <w:i/>
          <w:iCs/>
          <w:lang w:val="en-US"/>
        </w:rPr>
        <w:t>.</w:t>
      </w:r>
      <w:r w:rsidRPr="0071345C">
        <w:rPr>
          <w:lang w:val="en-US"/>
        </w:rPr>
        <w:t xml:space="preserve"> </w:t>
      </w:r>
    </w:p>
  </w:footnote>
  <w:footnote w:id="354">
    <w:p w14:paraId="7600FDA5"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vā́tajūtāsa</w:t>
      </w:r>
      <w:r w:rsidRPr="0071345C">
        <w:rPr>
          <w:i/>
          <w:iCs/>
          <w:lang w:val="en-US"/>
        </w:rPr>
        <w:t>ḥ</w:t>
      </w:r>
      <w:r w:rsidRPr="0071345C">
        <w:rPr>
          <w:rFonts w:cs="Devanagari MT;Times New Roman"/>
          <w:i/>
          <w:iCs/>
          <w:lang w:val="en-US"/>
        </w:rPr>
        <w:t>,</w:t>
      </w:r>
      <w:r w:rsidRPr="0071345C">
        <w:rPr>
          <w:i/>
          <w:iCs/>
          <w:lang w:val="en-US"/>
        </w:rPr>
        <w:t xml:space="preserve"> </w:t>
      </w:r>
      <w:r w:rsidRPr="0071345C">
        <w:rPr>
          <w:lang w:val="en-US"/>
        </w:rPr>
        <w:t xml:space="preserve">from </w:t>
      </w:r>
      <w:r w:rsidRPr="0071345C">
        <w:rPr>
          <w:i/>
          <w:iCs/>
          <w:lang w:val="en-US"/>
        </w:rPr>
        <w:t xml:space="preserve">vā́tajūta- </w:t>
      </w:r>
      <w:r w:rsidRPr="0071345C">
        <w:rPr>
          <w:lang w:val="en-US"/>
        </w:rPr>
        <w:t xml:space="preserve">a </w:t>
      </w:r>
      <w:r w:rsidRPr="0071345C">
        <w:rPr>
          <w:i/>
          <w:iCs/>
          <w:lang w:val="en-US"/>
        </w:rPr>
        <w:t>tatpuru</w:t>
      </w:r>
      <w:r w:rsidRPr="0071345C">
        <w:rPr>
          <w:i/>
          <w:iCs/>
          <w:lang w:val="en-US"/>
        </w:rPr>
        <w:t>ṣ</w:t>
      </w:r>
      <w:r w:rsidRPr="0071345C">
        <w:rPr>
          <w:i/>
          <w:iCs/>
          <w:lang w:val="en-US"/>
        </w:rPr>
        <w:t>a</w:t>
      </w:r>
      <w:r w:rsidRPr="0071345C">
        <w:rPr>
          <w:lang w:val="en-US"/>
        </w:rPr>
        <w:t xml:space="preserve"> whom second member is a PPP (</w:t>
      </w:r>
      <w:r w:rsidRPr="0071345C">
        <w:rPr>
          <w:i/>
          <w:iCs/>
          <w:lang w:val="en-US"/>
        </w:rPr>
        <w:t xml:space="preserve">vā́ta- </w:t>
      </w:r>
      <w:r w:rsidRPr="0071345C">
        <w:rPr>
          <w:lang w:val="en-US"/>
        </w:rPr>
        <w:t xml:space="preserve">+ </w:t>
      </w:r>
      <w:r w:rsidRPr="0071345C">
        <w:rPr>
          <w:i/>
          <w:iCs/>
          <w:lang w:val="en-US"/>
        </w:rPr>
        <w:t>jūta- &lt;</w:t>
      </w:r>
      <w:r w:rsidRPr="0071345C">
        <w:rPr>
          <w:lang w:val="en-US"/>
        </w:rPr>
        <w:t xml:space="preserve">rad. </w:t>
      </w:r>
      <w:r w:rsidRPr="0071345C">
        <w:rPr>
          <w:i/>
          <w:iCs/>
          <w:lang w:val="en-US"/>
        </w:rPr>
        <w:t xml:space="preserve">jū- </w:t>
      </w:r>
      <w:r w:rsidRPr="0071345C">
        <w:rPr>
          <w:lang w:val="en-US"/>
        </w:rPr>
        <w:t xml:space="preserve">“to press forward, to excite”) cf. </w:t>
      </w:r>
      <w:r w:rsidRPr="0071345C">
        <w:rPr>
          <w:rStyle w:val="biblio-authorGEN"/>
          <w:sz w:val="18"/>
          <w:szCs w:val="15"/>
          <w:lang w:val="en-US"/>
        </w:rPr>
        <w:t>Whitney</w:t>
      </w:r>
      <w:r w:rsidRPr="0071345C">
        <w:rPr>
          <w:lang w:val="en-US"/>
        </w:rPr>
        <w:t xml:space="preserve"> 1888: §1273.</w:t>
      </w:r>
    </w:p>
  </w:footnote>
  <w:footnote w:id="355">
    <w:p w14:paraId="1F0F8EC4"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tuvimrak</w:t>
      </w:r>
      <w:r w:rsidRPr="0071345C">
        <w:rPr>
          <w:i/>
          <w:iCs/>
          <w:lang w:val="en-US"/>
        </w:rPr>
        <w:t>ṣ</w:t>
      </w:r>
      <w:r w:rsidRPr="0071345C">
        <w:rPr>
          <w:i/>
          <w:iCs/>
          <w:lang w:val="en-US"/>
        </w:rPr>
        <w:t>ā́sa</w:t>
      </w:r>
      <w:r w:rsidRPr="0071345C">
        <w:rPr>
          <w:i/>
          <w:iCs/>
          <w:lang w:val="en-US"/>
        </w:rPr>
        <w:t>ḥ</w:t>
      </w:r>
      <w:r w:rsidRPr="0071345C">
        <w:rPr>
          <w:i/>
          <w:iCs/>
          <w:lang w:val="en-US"/>
        </w:rPr>
        <w:t xml:space="preserve">, </w:t>
      </w:r>
      <w:r w:rsidRPr="0071345C">
        <w:rPr>
          <w:lang w:val="en-US"/>
        </w:rPr>
        <w:t xml:space="preserve">from </w:t>
      </w:r>
      <w:r w:rsidRPr="0071345C">
        <w:rPr>
          <w:i/>
          <w:iCs/>
          <w:lang w:val="en-US"/>
        </w:rPr>
        <w:t>tuvimrak</w:t>
      </w:r>
      <w:r w:rsidRPr="0071345C">
        <w:rPr>
          <w:i/>
          <w:iCs/>
          <w:lang w:val="en-US"/>
        </w:rPr>
        <w:t>ṣ</w:t>
      </w:r>
      <w:r w:rsidRPr="0071345C">
        <w:rPr>
          <w:i/>
          <w:iCs/>
          <w:lang w:val="en-US"/>
        </w:rPr>
        <w:t>ák-</w:t>
      </w:r>
      <w:r w:rsidRPr="0071345C">
        <w:rPr>
          <w:lang w:val="en-US"/>
        </w:rPr>
        <w:t xml:space="preserve"> a</w:t>
      </w:r>
      <w:r w:rsidRPr="0071345C">
        <w:rPr>
          <w:i/>
          <w:iCs/>
          <w:lang w:val="en-US"/>
        </w:rPr>
        <w:t xml:space="preserve"> karmadhāraya (tu</w:t>
      </w:r>
      <w:r w:rsidRPr="0071345C">
        <w:rPr>
          <w:i/>
          <w:iCs/>
          <w:lang w:val="en-US"/>
        </w:rPr>
        <w:t>ví</w:t>
      </w:r>
      <w:r w:rsidRPr="0071345C">
        <w:rPr>
          <w:lang w:val="en-US"/>
        </w:rPr>
        <w:t xml:space="preserve">- “much” + </w:t>
      </w:r>
      <w:r w:rsidRPr="0071345C">
        <w:rPr>
          <w:i/>
          <w:iCs/>
          <w:lang w:val="en-US"/>
        </w:rPr>
        <w:t>m</w:t>
      </w:r>
      <w:r w:rsidRPr="0071345C">
        <w:rPr>
          <w:i/>
          <w:iCs/>
          <w:lang w:val="en-US"/>
        </w:rPr>
        <w:t>r̥</w:t>
      </w:r>
      <w:r w:rsidRPr="0071345C">
        <w:rPr>
          <w:i/>
          <w:iCs/>
          <w:lang w:val="en-US"/>
        </w:rPr>
        <w:t>ak</w:t>
      </w:r>
      <w:r w:rsidRPr="0071345C">
        <w:rPr>
          <w:i/>
          <w:iCs/>
          <w:lang w:val="en-US"/>
        </w:rPr>
        <w:t>ṣ</w:t>
      </w:r>
      <w:r w:rsidRPr="0071345C">
        <w:rPr>
          <w:i/>
          <w:iCs/>
          <w:lang w:val="en-US"/>
        </w:rPr>
        <w:t>ak</w:t>
      </w:r>
      <w:r w:rsidRPr="0071345C">
        <w:rPr>
          <w:lang w:val="en-US"/>
        </w:rPr>
        <w:t xml:space="preserve">- “destroying”) that could have been chosen also for a sound-play, considering the remarkable heights of sophistication reached by </w:t>
      </w:r>
      <w:r w:rsidRPr="0071345C">
        <w:rPr>
          <w:lang w:val="en-US"/>
        </w:rPr>
        <w:t>R̥g</w:t>
      </w:r>
      <w:r w:rsidRPr="0071345C">
        <w:rPr>
          <w:lang w:val="en-US"/>
        </w:rPr>
        <w:t>vedic</w:t>
      </w:r>
      <w:r w:rsidRPr="0071345C">
        <w:rPr>
          <w:lang w:val="en-US"/>
        </w:rPr>
        <w:t xml:space="preserve"> poetry in using phonetic features as communicative means.</w:t>
      </w:r>
    </w:p>
  </w:footnote>
  <w:footnote w:id="356">
    <w:p w14:paraId="32E4C2E8"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A family of mythical priests, name</w:t>
      </w:r>
      <w:r w:rsidRPr="0071345C">
        <w:rPr>
          <w:lang w:val="en-US"/>
        </w:rPr>
        <w:t>d among the Fathers, and connected, as the A</w:t>
      </w:r>
      <w:r w:rsidRPr="0071345C">
        <w:rPr>
          <w:lang w:val="en-US"/>
        </w:rPr>
        <w:t>ṇ</w:t>
      </w:r>
      <w:r w:rsidRPr="0071345C">
        <w:rPr>
          <w:lang w:val="en-US"/>
        </w:rPr>
        <w:t>giras, to the myth of Indra and the cows of Pa</w:t>
      </w:r>
      <w:r w:rsidRPr="0071345C">
        <w:rPr>
          <w:lang w:val="en-US"/>
        </w:rPr>
        <w:t>ṇ</w:t>
      </w:r>
      <w:r w:rsidRPr="0071345C">
        <w:rPr>
          <w:lang w:val="en-US"/>
        </w:rPr>
        <w:t xml:space="preserve">is, cf. </w:t>
      </w:r>
      <w:r w:rsidRPr="0071345C">
        <w:rPr>
          <w:rStyle w:val="biblio-authorGEN"/>
          <w:sz w:val="18"/>
          <w:szCs w:val="15"/>
          <w:lang w:val="en-US"/>
        </w:rPr>
        <w:t>Macdonell</w:t>
      </w:r>
      <w:r w:rsidRPr="0071345C">
        <w:rPr>
          <w:lang w:val="en-US"/>
        </w:rPr>
        <w:t xml:space="preserve"> 1898: §55B.</w:t>
      </w:r>
    </w:p>
  </w:footnote>
  <w:footnote w:id="357">
    <w:p w14:paraId="0D15FF9F"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This formula is the </w:t>
      </w:r>
      <w:r w:rsidRPr="0071345C">
        <w:rPr>
          <w:lang w:val="en-US"/>
        </w:rPr>
        <w:t>stanza</w:t>
      </w:r>
      <w:r w:rsidRPr="0071345C">
        <w:rPr>
          <w:lang w:val="en-US"/>
        </w:rPr>
        <w:t xml:space="preserve"> R̥</w:t>
      </w:r>
      <w:r>
        <w:rPr>
          <w:rFonts w:ascii="Sabon Unicode" w:hAnsi="Sabon Unicode" w:cs="Times Ext Roman"/>
          <w:sz w:val="18"/>
          <w:szCs w:val="18"/>
          <w:lang w:val="en-GB" w:eastAsia="hi-IN" w:bidi="en-GB"/>
        </w:rPr>
        <w:t>V 5.8.3.</w:t>
      </w:r>
    </w:p>
  </w:footnote>
  <w:footnote w:id="358">
    <w:p w14:paraId="1FFC393A" w14:textId="77777777" w:rsidR="00E53EB6" w:rsidRDefault="006500F5">
      <w:pPr>
        <w:pStyle w:val="FootnoteText"/>
        <w:rPr>
          <w:lang w:val="en-GB"/>
        </w:rPr>
      </w:pPr>
      <w:r>
        <w:rPr>
          <w:rStyle w:val="FootnoteCharacters"/>
        </w:rPr>
        <w:footnoteRef/>
      </w:r>
      <w:r>
        <w:rPr>
          <w:lang w:val="en-GB"/>
        </w:rPr>
        <w:tab/>
        <w:t xml:space="preserve"> </w:t>
      </w:r>
      <w:r>
        <w:rPr>
          <w:lang w:val="en-GB"/>
        </w:rPr>
        <w:t xml:space="preserve">Literally a cousin, a son of a father’s brother: </w:t>
      </w:r>
      <w:r>
        <w:rPr>
          <w:rFonts w:ascii="Sabon Unicode" w:eastAsia="MS Mincho;ＭＳ 明朝" w:hAnsi="Sabon Unicode" w:cs="Times Ext Roman"/>
          <w:i/>
          <w:iCs/>
          <w:sz w:val="18"/>
          <w:szCs w:val="18"/>
          <w:lang w:val="en-GB" w:eastAsia="hi-IN" w:bidi="en-GB"/>
        </w:rPr>
        <w:t>bhrā́tr̥vya-.</w:t>
      </w:r>
    </w:p>
  </w:footnote>
  <w:footnote w:id="359">
    <w:p w14:paraId="2A2C1DF8" w14:textId="77777777" w:rsidR="00E53EB6" w:rsidRPr="0071345C" w:rsidRDefault="006500F5">
      <w:pPr>
        <w:pStyle w:val="FootnoteText"/>
        <w:suppressLineNumbers/>
        <w:spacing w:line="210" w:lineRule="exact"/>
        <w:ind w:left="240" w:hanging="240"/>
        <w:jc w:val="both"/>
        <w:rPr>
          <w:lang w:val="en-GB"/>
        </w:rPr>
      </w:pPr>
      <w:r>
        <w:rPr>
          <w:rStyle w:val="FootnoteCharacters"/>
        </w:rPr>
        <w:footnoteRef/>
      </w:r>
      <w:r w:rsidRPr="0071345C">
        <w:rPr>
          <w:lang w:val="en-GB"/>
        </w:rPr>
        <w:tab/>
        <w:t xml:space="preserve"> </w:t>
      </w:r>
      <w:r w:rsidRPr="0071345C">
        <w:rPr>
          <w:i/>
          <w:iCs/>
          <w:lang w:val="en-GB"/>
        </w:rPr>
        <w:t xml:space="preserve">agníś ca </w:t>
      </w:r>
      <w:r w:rsidRPr="0071345C">
        <w:rPr>
          <w:lang w:val="en-GB"/>
        </w:rPr>
        <w:t xml:space="preserve">[…] </w:t>
      </w:r>
      <w:r w:rsidRPr="0071345C">
        <w:rPr>
          <w:i/>
          <w:iCs/>
          <w:lang w:val="en-GB"/>
        </w:rPr>
        <w:t>mahá</w:t>
      </w:r>
      <w:r w:rsidRPr="0071345C">
        <w:rPr>
          <w:i/>
          <w:iCs/>
          <w:lang w:val="en-GB"/>
        </w:rPr>
        <w:t>ḥ</w:t>
      </w:r>
      <w:r w:rsidRPr="0071345C">
        <w:rPr>
          <w:i/>
          <w:iCs/>
          <w:lang w:val="en-GB"/>
        </w:rPr>
        <w:t xml:space="preserve"> </w:t>
      </w:r>
      <w:r w:rsidRPr="0071345C">
        <w:rPr>
          <w:lang w:val="en-GB"/>
        </w:rPr>
        <w:t>= AB 1.4.8</w:t>
      </w:r>
    </w:p>
  </w:footnote>
  <w:footnote w:id="360">
    <w:p w14:paraId="798679E6" w14:textId="77777777" w:rsidR="00E53EB6" w:rsidRPr="0071345C" w:rsidRDefault="006500F5">
      <w:pPr>
        <w:pStyle w:val="FootnoteText"/>
        <w:suppressLineNumbers/>
        <w:spacing w:line="210" w:lineRule="exact"/>
        <w:ind w:left="240" w:hanging="240"/>
        <w:jc w:val="both"/>
        <w:rPr>
          <w:lang w:val="en-GB"/>
        </w:rPr>
      </w:pPr>
      <w:r>
        <w:rPr>
          <w:rStyle w:val="FootnoteCharacters"/>
        </w:rPr>
        <w:footnoteRef/>
      </w:r>
      <w:r w:rsidRPr="0071345C">
        <w:rPr>
          <w:lang w:val="en-GB"/>
        </w:rPr>
        <w:tab/>
        <w:t xml:space="preserve"> </w:t>
      </w:r>
      <w:r w:rsidRPr="0071345C">
        <w:rPr>
          <w:i/>
          <w:iCs/>
          <w:lang w:val="en-GB"/>
        </w:rPr>
        <w:t xml:space="preserve">prá tád </w:t>
      </w:r>
      <w:r w:rsidRPr="0071345C">
        <w:rPr>
          <w:lang w:val="en-GB"/>
        </w:rPr>
        <w:t xml:space="preserve">[…] </w:t>
      </w:r>
      <w:r w:rsidRPr="0071345C">
        <w:rPr>
          <w:i/>
          <w:iCs/>
          <w:lang w:val="en-GB"/>
        </w:rPr>
        <w:t>b</w:t>
      </w:r>
      <w:r w:rsidRPr="0071345C">
        <w:rPr>
          <w:rFonts w:cs="Sabon Unicode"/>
          <w:i/>
          <w:iCs/>
          <w:lang w:val="en-GB"/>
        </w:rPr>
        <w:t>h</w:t>
      </w:r>
      <w:r w:rsidRPr="0071345C">
        <w:rPr>
          <w:i/>
          <w:iCs/>
          <w:lang w:val="en-GB"/>
        </w:rPr>
        <w:t>úvanāni víśvā</w:t>
      </w:r>
      <w:r w:rsidRPr="0071345C">
        <w:rPr>
          <w:lang w:val="en-GB"/>
        </w:rPr>
        <w:t xml:space="preserve"> = R̥V 1.154.2 </w:t>
      </w:r>
      <w:r w:rsidRPr="0071345C">
        <w:rPr>
          <w:rFonts w:eastAsia="DevanagariMT"/>
          <w:lang w:val="en-GB"/>
        </w:rPr>
        <w:t>(</w:t>
      </w:r>
      <w:r w:rsidRPr="0071345C">
        <w:rPr>
          <w:i/>
          <w:iCs/>
          <w:lang w:val="en-GB"/>
        </w:rPr>
        <w:t>vīryè</w:t>
      </w:r>
      <w:r w:rsidRPr="0071345C">
        <w:rPr>
          <w:i/>
          <w:iCs/>
          <w:lang w:val="en-GB"/>
        </w:rPr>
        <w:t>ṇ</w:t>
      </w:r>
      <w:r w:rsidRPr="0071345C">
        <w:rPr>
          <w:i/>
          <w:iCs/>
          <w:lang w:val="en-GB"/>
        </w:rPr>
        <w:t>a</w:t>
      </w:r>
      <w:r w:rsidRPr="0071345C">
        <w:rPr>
          <w:lang w:val="en-GB"/>
        </w:rPr>
        <w:t>)</w:t>
      </w:r>
      <w:r w:rsidRPr="0071345C">
        <w:rPr>
          <w:rFonts w:cs="Devanagari MT;Times New Roman"/>
          <w:lang w:val="en-GB"/>
        </w:rPr>
        <w:t>.</w:t>
      </w:r>
    </w:p>
  </w:footnote>
  <w:footnote w:id="361">
    <w:p w14:paraId="36FF5F59" w14:textId="77777777" w:rsidR="00E53EB6" w:rsidRPr="0071345C" w:rsidRDefault="006500F5">
      <w:pPr>
        <w:pStyle w:val="FootnoteText"/>
        <w:suppressLineNumbers/>
        <w:spacing w:line="210" w:lineRule="exact"/>
        <w:ind w:left="240" w:hanging="240"/>
        <w:jc w:val="both"/>
        <w:rPr>
          <w:lang w:val="en-GB"/>
        </w:rPr>
      </w:pPr>
      <w:r>
        <w:rPr>
          <w:rStyle w:val="FootnoteCharacters"/>
        </w:rPr>
        <w:footnoteRef/>
      </w:r>
      <w:r w:rsidRPr="0071345C">
        <w:rPr>
          <w:lang w:val="en-GB"/>
        </w:rPr>
        <w:tab/>
        <w:t xml:space="preserve"> </w:t>
      </w:r>
      <w:r w:rsidRPr="0071345C">
        <w:rPr>
          <w:i/>
          <w:iCs/>
          <w:lang w:val="en-GB"/>
        </w:rPr>
        <w:t>nū́ márto</w:t>
      </w:r>
      <w:r w:rsidRPr="0071345C">
        <w:rPr>
          <w:lang w:val="en-GB"/>
        </w:rPr>
        <w:t xml:space="preserve"> […] </w:t>
      </w:r>
      <w:r w:rsidRPr="0071345C">
        <w:rPr>
          <w:i/>
          <w:iCs/>
          <w:lang w:val="en-GB"/>
        </w:rPr>
        <w:t xml:space="preserve">āvívāsāt </w:t>
      </w:r>
      <w:r w:rsidRPr="0071345C">
        <w:rPr>
          <w:lang w:val="en-GB"/>
        </w:rPr>
        <w:t>= R̥V 7.100.1.</w:t>
      </w:r>
    </w:p>
  </w:footnote>
  <w:footnote w:id="362">
    <w:p w14:paraId="7DF9974B" w14:textId="77777777" w:rsidR="00E53EB6" w:rsidRPr="0071345C" w:rsidRDefault="006500F5">
      <w:pPr>
        <w:pStyle w:val="FootnoteText"/>
        <w:suppressLineNumbers/>
        <w:spacing w:line="210" w:lineRule="exact"/>
        <w:ind w:left="240" w:hanging="240"/>
        <w:jc w:val="both"/>
        <w:rPr>
          <w:lang w:val="en-GB"/>
        </w:rPr>
      </w:pPr>
      <w:r>
        <w:rPr>
          <w:rStyle w:val="FootnoteCharacters"/>
        </w:rPr>
        <w:footnoteRef/>
      </w:r>
      <w:r w:rsidRPr="0071345C">
        <w:rPr>
          <w:lang w:val="en-GB"/>
        </w:rPr>
        <w:tab/>
        <w:t xml:space="preserve"> </w:t>
      </w:r>
      <w:r w:rsidRPr="0071345C">
        <w:rPr>
          <w:i/>
          <w:iCs/>
          <w:lang w:val="en-GB"/>
        </w:rPr>
        <w:t xml:space="preserve">vícakrame pr̥thivī́m </w:t>
      </w:r>
      <w:r w:rsidRPr="0071345C">
        <w:rPr>
          <w:lang w:val="en-GB"/>
        </w:rPr>
        <w:t xml:space="preserve">[…] </w:t>
      </w:r>
      <w:r w:rsidRPr="0071345C">
        <w:rPr>
          <w:i/>
          <w:iCs/>
          <w:lang w:val="en-GB"/>
        </w:rPr>
        <w:t>cakāra</w:t>
      </w:r>
      <w:r w:rsidRPr="0071345C">
        <w:rPr>
          <w:lang w:val="en-GB"/>
        </w:rPr>
        <w:t xml:space="preserve"> = R̥V 7.100.4.</w:t>
      </w:r>
    </w:p>
  </w:footnote>
  <w:footnote w:id="363">
    <w:p w14:paraId="6B2E20C3"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i/>
          <w:iCs/>
          <w:lang w:val="en-US"/>
        </w:rPr>
        <w:t>trír devá</w:t>
      </w:r>
      <w:r w:rsidRPr="0071345C">
        <w:rPr>
          <w:i/>
          <w:iCs/>
          <w:lang w:val="en-US"/>
        </w:rPr>
        <w:t>ḥ</w:t>
      </w:r>
      <w:r w:rsidRPr="0071345C">
        <w:rPr>
          <w:lang w:val="en-US"/>
        </w:rPr>
        <w:t xml:space="preserve"> […] </w:t>
      </w:r>
      <w:r w:rsidRPr="0071345C">
        <w:rPr>
          <w:i/>
          <w:iCs/>
          <w:lang w:val="en-US"/>
        </w:rPr>
        <w:t>nā́ma</w:t>
      </w:r>
      <w:r w:rsidRPr="0071345C">
        <w:rPr>
          <w:lang w:val="en-US"/>
        </w:rPr>
        <w:t xml:space="preserve"> = R̥V 7.100.3.</w:t>
      </w:r>
    </w:p>
  </w:footnote>
  <w:footnote w:id="364">
    <w:p w14:paraId="63ABD73E"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i/>
          <w:iCs/>
          <w:lang w:val="en-US"/>
        </w:rPr>
        <w:t>dīk</w:t>
      </w:r>
      <w:r w:rsidRPr="0071345C">
        <w:rPr>
          <w:i/>
          <w:iCs/>
          <w:lang w:val="en-US"/>
        </w:rPr>
        <w:t>ṣ</w:t>
      </w:r>
      <w:r w:rsidRPr="0071345C">
        <w:rPr>
          <w:i/>
          <w:iCs/>
          <w:lang w:val="en-US"/>
        </w:rPr>
        <w:t xml:space="preserve">āpāla, </w:t>
      </w:r>
      <w:r w:rsidRPr="0071345C">
        <w:rPr>
          <w:lang w:val="en-US"/>
        </w:rPr>
        <w:t>“guardian of the initiation”, usually said of Agni and Vi</w:t>
      </w:r>
      <w:r w:rsidRPr="0071345C">
        <w:rPr>
          <w:lang w:val="en-US"/>
        </w:rPr>
        <w:t>ṣṇ</w:t>
      </w:r>
      <w:r w:rsidRPr="0071345C">
        <w:rPr>
          <w:lang w:val="en-US"/>
        </w:rPr>
        <w:t xml:space="preserve">u, cf. </w:t>
      </w:r>
      <w:r w:rsidRPr="0071345C">
        <w:rPr>
          <w:lang w:val="en-US"/>
        </w:rPr>
        <w:t>PW: III 643.</w:t>
      </w:r>
    </w:p>
  </w:footnote>
  <w:footnote w:id="365">
    <w:p w14:paraId="526D4FD9"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i/>
          <w:iCs/>
          <w:lang w:val="en-US"/>
        </w:rPr>
        <w:t>śakrā́</w:t>
      </w:r>
      <w:r w:rsidRPr="0071345C">
        <w:rPr>
          <w:lang w:val="en-US"/>
        </w:rPr>
        <w:t>, dual referred to Agni and Vi</w:t>
      </w:r>
      <w:r w:rsidRPr="0071345C">
        <w:rPr>
          <w:lang w:val="en-US"/>
        </w:rPr>
        <w:t>ṣṇ</w:t>
      </w:r>
      <w:r w:rsidRPr="0071345C">
        <w:rPr>
          <w:lang w:val="en-US"/>
        </w:rPr>
        <w:t xml:space="preserve">u, the two gods are here, as the comment of </w:t>
      </w:r>
      <w:r w:rsidRPr="0071345C">
        <w:rPr>
          <w:rFonts w:eastAsia="Arial Unicode MS"/>
          <w:iCs/>
          <w:lang w:val="en-US"/>
        </w:rPr>
        <w:t>Bha</w:t>
      </w:r>
      <w:r w:rsidRPr="0071345C">
        <w:rPr>
          <w:rFonts w:eastAsia="Arial Unicode MS"/>
          <w:iCs/>
          <w:lang w:val="en-US"/>
        </w:rPr>
        <w:t>ṭṭ</w:t>
      </w:r>
      <w:r w:rsidRPr="0071345C">
        <w:rPr>
          <w:rFonts w:eastAsia="Arial Unicode MS"/>
          <w:iCs/>
          <w:lang w:val="en-US"/>
        </w:rPr>
        <w:t xml:space="preserve">a Bhāskara Miśra </w:t>
      </w:r>
      <w:r w:rsidRPr="0071345C">
        <w:rPr>
          <w:lang w:val="en-US"/>
        </w:rPr>
        <w:t>suggests (</w:t>
      </w:r>
      <w:r w:rsidRPr="0071345C">
        <w:rPr>
          <w:i/>
          <w:iCs/>
          <w:lang w:val="en-US"/>
        </w:rPr>
        <w:t>indrasamānau yuvā</w:t>
      </w:r>
      <w:r w:rsidRPr="0071345C">
        <w:rPr>
          <w:i/>
          <w:iCs/>
          <w:lang w:val="en-US"/>
        </w:rPr>
        <w:t>ṃ</w:t>
      </w:r>
      <w:r w:rsidRPr="0071345C">
        <w:rPr>
          <w:lang w:val="en-US"/>
        </w:rPr>
        <w:t xml:space="preserve">), compared with Indra, to which the semantic field of the root </w:t>
      </w:r>
      <w:r w:rsidRPr="0071345C">
        <w:rPr>
          <w:i/>
          <w:iCs/>
          <w:lang w:val="en-US"/>
        </w:rPr>
        <w:t>śac-</w:t>
      </w:r>
      <w:r w:rsidRPr="0071345C">
        <w:rPr>
          <w:lang w:val="en-US"/>
        </w:rPr>
        <w:t xml:space="preserve"> is often connected.</w:t>
      </w:r>
    </w:p>
  </w:footnote>
  <w:footnote w:id="366">
    <w:p w14:paraId="469D0801"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i/>
          <w:iCs/>
          <w:lang w:val="en-US"/>
        </w:rPr>
        <w:t>vīryā̀ya</w:t>
      </w:r>
      <w:r w:rsidRPr="0071345C">
        <w:rPr>
          <w:rFonts w:cs="Devanagari MT;Times New Roman"/>
          <w:i/>
          <w:iCs/>
          <w:lang w:val="en-US"/>
        </w:rPr>
        <w:t>,</w:t>
      </w:r>
      <w:r w:rsidRPr="0071345C">
        <w:rPr>
          <w:lang w:val="en-US"/>
        </w:rPr>
        <w:t xml:space="preserve"> the comment of </w:t>
      </w:r>
      <w:r w:rsidRPr="0071345C">
        <w:rPr>
          <w:rFonts w:eastAsia="Arial Unicode MS"/>
          <w:iCs/>
          <w:lang w:val="en-US"/>
        </w:rPr>
        <w:t>Bha</w:t>
      </w:r>
      <w:r w:rsidRPr="0071345C">
        <w:rPr>
          <w:rFonts w:eastAsia="Arial Unicode MS"/>
          <w:iCs/>
          <w:lang w:val="en-US"/>
        </w:rPr>
        <w:t>ṭṭ</w:t>
      </w:r>
      <w:r w:rsidRPr="0071345C">
        <w:rPr>
          <w:rFonts w:eastAsia="Arial Unicode MS"/>
          <w:iCs/>
          <w:lang w:val="en-US"/>
        </w:rPr>
        <w:t xml:space="preserve">a Bhāskara Miśra says: </w:t>
      </w:r>
      <w:r w:rsidRPr="0071345C">
        <w:rPr>
          <w:rFonts w:eastAsia="Arial Unicode MS"/>
          <w:i/>
          <w:iCs/>
          <w:lang w:val="en-US"/>
        </w:rPr>
        <w:t>tasminkarmāni yajamānānā</w:t>
      </w:r>
      <w:r w:rsidRPr="0071345C">
        <w:rPr>
          <w:rFonts w:eastAsia="Arial Unicode MS"/>
          <w:i/>
          <w:iCs/>
          <w:lang w:val="en-US"/>
        </w:rPr>
        <w:t>ṃ</w:t>
      </w:r>
      <w:r w:rsidRPr="0071345C">
        <w:rPr>
          <w:rFonts w:eastAsia="Arial Unicode MS"/>
          <w:i/>
          <w:iCs/>
          <w:lang w:val="en-US"/>
        </w:rPr>
        <w:t xml:space="preserve"> vīryārtha</w:t>
      </w:r>
      <w:r w:rsidRPr="0071345C">
        <w:rPr>
          <w:rFonts w:eastAsia="Arial Unicode MS"/>
          <w:iCs/>
          <w:lang w:val="en-US"/>
        </w:rPr>
        <w:t>, while R̥</w:t>
      </w:r>
      <w:r w:rsidRPr="0071345C">
        <w:rPr>
          <w:lang w:val="en-US"/>
        </w:rPr>
        <w:t xml:space="preserve">V 1.154.2 has </w:t>
      </w:r>
      <w:r w:rsidRPr="0071345C">
        <w:rPr>
          <w:i/>
          <w:iCs/>
          <w:lang w:val="en-US"/>
        </w:rPr>
        <w:t>vīryè</w:t>
      </w:r>
      <w:r w:rsidRPr="0071345C">
        <w:rPr>
          <w:i/>
          <w:iCs/>
          <w:lang w:val="en-US"/>
        </w:rPr>
        <w:t>ṇ</w:t>
      </w:r>
      <w:r w:rsidRPr="0071345C">
        <w:rPr>
          <w:i/>
          <w:iCs/>
          <w:lang w:val="en-US"/>
        </w:rPr>
        <w:t>a</w:t>
      </w:r>
      <w:r w:rsidRPr="0071345C">
        <w:rPr>
          <w:lang w:val="en-US"/>
        </w:rPr>
        <w:t xml:space="preserve"> (</w:t>
      </w:r>
      <w:r w:rsidRPr="0071345C">
        <w:rPr>
          <w:sz w:val="18"/>
          <w:szCs w:val="15"/>
          <w:lang w:val="en-US"/>
        </w:rPr>
        <w:t>Geldner</w:t>
      </w:r>
      <w:r w:rsidRPr="0071345C">
        <w:rPr>
          <w:lang w:val="en-US"/>
        </w:rPr>
        <w:t xml:space="preserve"> “ob seiner Heldentat”) and the AV Śaunaka recension has </w:t>
      </w:r>
      <w:r w:rsidRPr="0071345C">
        <w:rPr>
          <w:i/>
          <w:iCs/>
          <w:lang w:val="en-US"/>
        </w:rPr>
        <w:t>vīryā</w:t>
      </w:r>
      <w:r w:rsidRPr="0071345C">
        <w:rPr>
          <w:i/>
          <w:iCs/>
          <w:lang w:val="en-US"/>
        </w:rPr>
        <w:t>ṇ</w:t>
      </w:r>
      <w:r w:rsidRPr="0071345C">
        <w:rPr>
          <w:i/>
          <w:iCs/>
          <w:lang w:val="en-US"/>
        </w:rPr>
        <w:t>i</w:t>
      </w:r>
      <w:r w:rsidRPr="0071345C">
        <w:rPr>
          <w:lang w:val="en-US"/>
        </w:rPr>
        <w:t>. This variations seem to suggest that the interpretation of the original</w:t>
      </w:r>
      <w:r w:rsidRPr="0071345C">
        <w:rPr>
          <w:lang w:val="en-US"/>
        </w:rPr>
        <w:t xml:space="preserve"> </w:t>
      </w:r>
      <w:r w:rsidRPr="0071345C">
        <w:rPr>
          <w:i/>
          <w:iCs/>
          <w:lang w:val="en-US"/>
        </w:rPr>
        <w:t>vīrye</w:t>
      </w:r>
      <w:r w:rsidRPr="0071345C">
        <w:rPr>
          <w:i/>
          <w:iCs/>
          <w:lang w:val="en-US"/>
        </w:rPr>
        <w:t>ṇ</w:t>
      </w:r>
      <w:r w:rsidRPr="0071345C">
        <w:rPr>
          <w:i/>
          <w:iCs/>
          <w:lang w:val="en-US"/>
        </w:rPr>
        <w:t>a</w:t>
      </w:r>
      <w:r w:rsidRPr="0071345C">
        <w:rPr>
          <w:lang w:val="en-US"/>
        </w:rPr>
        <w:t xml:space="preserve"> was already uncertain at that time. If we translate as Geldner and understand the dative as referred to Vi</w:t>
      </w:r>
      <w:r w:rsidRPr="0071345C">
        <w:rPr>
          <w:lang w:val="en-US"/>
        </w:rPr>
        <w:t>ṣṇ</w:t>
      </w:r>
      <w:r w:rsidRPr="0071345C">
        <w:rPr>
          <w:lang w:val="en-US"/>
        </w:rPr>
        <w:t>u, the heroic deed is probably that described immediately after.</w:t>
      </w:r>
    </w:p>
  </w:footnote>
  <w:footnote w:id="367">
    <w:p w14:paraId="1148F5D8"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i/>
          <w:iCs/>
          <w:lang w:val="en-US"/>
        </w:rPr>
        <w:t>nárya-</w:t>
      </w:r>
      <w:r w:rsidRPr="0071345C">
        <w:rPr>
          <w:lang w:val="en-US"/>
        </w:rPr>
        <w:t xml:space="preserve"> “manly, powerful, suitable for man” often “goods”  or “food”. He</w:t>
      </w:r>
      <w:r w:rsidRPr="0071345C">
        <w:rPr>
          <w:lang w:val="en-US"/>
        </w:rPr>
        <w:t>re is likely referred to Vi</w:t>
      </w:r>
      <w:r w:rsidRPr="0071345C">
        <w:rPr>
          <w:lang w:val="en-US"/>
        </w:rPr>
        <w:t>ṣṇ</w:t>
      </w:r>
      <w:r w:rsidRPr="0071345C">
        <w:rPr>
          <w:lang w:val="en-US"/>
        </w:rPr>
        <w:t>u, who represent indeed a power which is “so great” (</w:t>
      </w:r>
      <w:r w:rsidRPr="0071345C">
        <w:rPr>
          <w:i/>
          <w:iCs/>
          <w:lang w:val="en-US"/>
        </w:rPr>
        <w:t>etā́vanta</w:t>
      </w:r>
      <w:r w:rsidRPr="0071345C">
        <w:rPr>
          <w:i/>
          <w:iCs/>
          <w:lang w:val="en-US"/>
        </w:rPr>
        <w:t>ṃ</w:t>
      </w:r>
      <w:r w:rsidRPr="0071345C">
        <w:rPr>
          <w:lang w:val="en-US"/>
        </w:rPr>
        <w:t xml:space="preserve">). What the man wants to appropriate through the sacrifice is, then, the presence, the power of the god. </w:t>
      </w:r>
    </w:p>
  </w:footnote>
  <w:footnote w:id="368">
    <w:p w14:paraId="370C0D07"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The primordial man, the Man.</w:t>
      </w:r>
    </w:p>
  </w:footnote>
  <w:footnote w:id="369">
    <w:p w14:paraId="645C89CD"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As to the meaning of th</w:t>
      </w:r>
      <w:r w:rsidRPr="0071345C">
        <w:rPr>
          <w:lang w:val="en-US"/>
        </w:rPr>
        <w:t xml:space="preserve">e world </w:t>
      </w:r>
      <w:r w:rsidRPr="0071345C">
        <w:rPr>
          <w:i/>
          <w:iCs/>
          <w:lang w:val="en-US"/>
        </w:rPr>
        <w:t>kīrí-</w:t>
      </w:r>
      <w:r w:rsidRPr="0071345C">
        <w:rPr>
          <w:lang w:val="en-US"/>
        </w:rPr>
        <w:t xml:space="preserve"> “poet” or “humble” cf. Pischel in </w:t>
      </w:r>
      <w:r w:rsidRPr="0071345C">
        <w:rPr>
          <w:rStyle w:val="biblio-authorGEN"/>
          <w:sz w:val="18"/>
          <w:szCs w:val="15"/>
          <w:lang w:val="en-US"/>
        </w:rPr>
        <w:t xml:space="preserve">Pischel-Geldner </w:t>
      </w:r>
      <w:r w:rsidRPr="0071345C">
        <w:rPr>
          <w:lang w:val="en-US"/>
        </w:rPr>
        <w:t xml:space="preserve">1889-1901: 216-228; KEWA: I 215 and EWAia: I 357. Here, in opposition to </w:t>
      </w:r>
      <w:r w:rsidRPr="0071345C">
        <w:rPr>
          <w:i/>
          <w:iCs/>
          <w:lang w:val="en-US"/>
        </w:rPr>
        <w:t>dhruvá, kīrí-</w:t>
      </w:r>
      <w:r w:rsidRPr="0071345C">
        <w:rPr>
          <w:lang w:val="en-US"/>
        </w:rPr>
        <w:t xml:space="preserve"> conveys the idea of a lack of fix dwelling. Thank to Vi</w:t>
      </w:r>
      <w:r w:rsidRPr="0071345C">
        <w:rPr>
          <w:lang w:val="en-US"/>
        </w:rPr>
        <w:t>ṣṇ</w:t>
      </w:r>
      <w:r w:rsidRPr="0071345C">
        <w:rPr>
          <w:lang w:val="en-US"/>
        </w:rPr>
        <w:t xml:space="preserve">u the people of Manu got, for the first time, a </w:t>
      </w:r>
      <w:r w:rsidRPr="0071345C">
        <w:rPr>
          <w:lang w:val="en-US"/>
        </w:rPr>
        <w:t>land to live in.</w:t>
      </w:r>
    </w:p>
  </w:footnote>
  <w:footnote w:id="370">
    <w:p w14:paraId="4D1F6985"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i/>
          <w:iCs/>
          <w:lang w:val="en-US"/>
        </w:rPr>
        <w:t>śátarcas-</w:t>
      </w:r>
      <w:r w:rsidRPr="0071345C">
        <w:rPr>
          <w:rFonts w:cs="Devanagari MT;Times New Roman"/>
          <w:i/>
          <w:iCs/>
          <w:lang w:val="en-US"/>
        </w:rPr>
        <w:t>,</w:t>
      </w:r>
      <w:r w:rsidRPr="0071345C">
        <w:rPr>
          <w:lang w:val="en-US"/>
        </w:rPr>
        <w:t xml:space="preserve"> R̥gvedic </w:t>
      </w:r>
      <w:r w:rsidRPr="0071345C">
        <w:rPr>
          <w:i/>
          <w:iCs/>
          <w:lang w:val="en-US"/>
        </w:rPr>
        <w:t>hapax,</w:t>
      </w:r>
      <w:r w:rsidRPr="0071345C">
        <w:rPr>
          <w:lang w:val="en-US"/>
        </w:rPr>
        <w:t xml:space="preserve"> </w:t>
      </w:r>
      <w:r w:rsidRPr="0071345C">
        <w:rPr>
          <w:rStyle w:val="biblio-authorGEN"/>
          <w:sz w:val="18"/>
          <w:szCs w:val="15"/>
          <w:lang w:val="en-US"/>
        </w:rPr>
        <w:t>Grassman</w:t>
      </w:r>
      <w:r w:rsidRPr="0071345C">
        <w:rPr>
          <w:lang w:val="en-US"/>
        </w:rPr>
        <w:t xml:space="preserve"> 1875 [ed1996: 1375] “hundertfach zu preisen” and so </w:t>
      </w:r>
      <w:r w:rsidRPr="0071345C">
        <w:rPr>
          <w:rStyle w:val="biblio-authorGEN"/>
          <w:sz w:val="18"/>
          <w:szCs w:val="15"/>
          <w:lang w:val="en-US"/>
        </w:rPr>
        <w:t>Geldner</w:t>
      </w:r>
      <w:r w:rsidRPr="0071345C">
        <w:rPr>
          <w:lang w:val="en-US"/>
        </w:rPr>
        <w:t xml:space="preserve"> “die hundert Sänger hat”, suggesting a connection with </w:t>
      </w:r>
      <w:r w:rsidRPr="0071345C">
        <w:rPr>
          <w:i/>
          <w:iCs/>
          <w:lang w:val="en-US"/>
        </w:rPr>
        <w:t>ānr̥ce</w:t>
      </w:r>
      <w:r w:rsidRPr="0071345C">
        <w:rPr>
          <w:lang w:val="en-US"/>
        </w:rPr>
        <w:t xml:space="preserve"> in R̥V 1.160.4d.</w:t>
      </w:r>
    </w:p>
  </w:footnote>
  <w:footnote w:id="371">
    <w:p w14:paraId="491FEA4F" w14:textId="77777777" w:rsidR="00E53EB6" w:rsidRDefault="006500F5">
      <w:pPr>
        <w:pStyle w:val="FootnoteText"/>
        <w:suppressLineNumbers/>
        <w:spacing w:line="210" w:lineRule="exact"/>
        <w:ind w:left="240" w:hanging="240"/>
        <w:jc w:val="both"/>
      </w:pPr>
      <w:r>
        <w:rPr>
          <w:rStyle w:val="FootnoteCharacters"/>
        </w:rPr>
        <w:footnoteRef/>
      </w:r>
      <w:r>
        <w:tab/>
        <w:t xml:space="preserve"> </w:t>
      </w:r>
      <w:r>
        <w:rPr>
          <w:i/>
          <w:iCs/>
        </w:rPr>
        <w:t>tve</w:t>
      </w:r>
      <w:r>
        <w:rPr>
          <w:i/>
          <w:iCs/>
        </w:rPr>
        <w:t>ṣ</w:t>
      </w:r>
      <w:r>
        <w:rPr>
          <w:i/>
          <w:iCs/>
        </w:rPr>
        <w:t>á-</w:t>
      </w:r>
      <w:r>
        <w:t xml:space="preserve"> EWAia: I 686 “erregt sein, ungestüm”</w:t>
      </w:r>
    </w:p>
  </w:footnote>
  <w:footnote w:id="372">
    <w:p w14:paraId="686CAE1E" w14:textId="77777777" w:rsidR="00E53EB6" w:rsidRDefault="006500F5">
      <w:pPr>
        <w:pStyle w:val="FootnoteText"/>
        <w:suppressLineNumbers/>
        <w:spacing w:line="210" w:lineRule="exact"/>
        <w:ind w:left="240" w:hanging="240"/>
        <w:jc w:val="both"/>
      </w:pPr>
      <w:r>
        <w:rPr>
          <w:rStyle w:val="FootnoteCharacters"/>
        </w:rPr>
        <w:footnoteRef/>
      </w:r>
      <w:r>
        <w:tab/>
        <w:t xml:space="preserve"> </w:t>
      </w:r>
      <w:r>
        <w:rPr>
          <w:i/>
          <w:iCs/>
        </w:rPr>
        <w:t>úttarā</w:t>
      </w:r>
      <w:r>
        <w:rPr>
          <w:i/>
          <w:iCs/>
        </w:rPr>
        <w:t>ṃ</w:t>
      </w:r>
      <w:r>
        <w:t xml:space="preserve"> […]</w:t>
      </w:r>
      <w:r>
        <w:t xml:space="preserve"> </w:t>
      </w:r>
      <w:r>
        <w:rPr>
          <w:i/>
          <w:iCs/>
        </w:rPr>
        <w:t>ā́śāste</w:t>
      </w:r>
      <w:r>
        <w:t xml:space="preserve"> cf. ŚB 1.9.1.14-16.</w:t>
      </w:r>
    </w:p>
  </w:footnote>
  <w:footnote w:id="373">
    <w:p w14:paraId="2C609170" w14:textId="77777777" w:rsidR="00E53EB6" w:rsidRDefault="006500F5">
      <w:pPr>
        <w:pStyle w:val="FootnoteText"/>
        <w:suppressLineNumbers/>
        <w:spacing w:line="210" w:lineRule="exact"/>
        <w:ind w:left="240" w:hanging="240"/>
        <w:jc w:val="both"/>
      </w:pPr>
      <w:r>
        <w:rPr>
          <w:rStyle w:val="FootnoteCharacters"/>
        </w:rPr>
        <w:footnoteRef/>
      </w:r>
      <w:r>
        <w:tab/>
        <w:t xml:space="preserve"> </w:t>
      </w:r>
      <w:r>
        <w:rPr>
          <w:i/>
          <w:iCs/>
        </w:rPr>
        <w:t>yád</w:t>
      </w:r>
      <w:r>
        <w:t xml:space="preserve"> </w:t>
      </w:r>
      <w:r>
        <w:t xml:space="preserve">[…] </w:t>
      </w:r>
      <w:r>
        <w:rPr>
          <w:i/>
          <w:iCs/>
        </w:rPr>
        <w:t>pātām</w:t>
      </w:r>
      <w:r>
        <w:t xml:space="preserve"> </w:t>
      </w:r>
      <w:r>
        <w:t>cf. ŚB 1.9.1.16; .19-20.</w:t>
      </w:r>
    </w:p>
  </w:footnote>
  <w:footnote w:id="374">
    <w:p w14:paraId="0FB835AE" w14:textId="77777777" w:rsidR="00E53EB6" w:rsidRDefault="006500F5">
      <w:pPr>
        <w:pStyle w:val="FootnoteText"/>
        <w:suppressLineNumbers/>
        <w:spacing w:line="210" w:lineRule="exact"/>
        <w:ind w:left="240" w:hanging="240"/>
        <w:jc w:val="both"/>
      </w:pPr>
      <w:r>
        <w:rPr>
          <w:rStyle w:val="FootnoteCharacters"/>
        </w:rPr>
        <w:footnoteRef/>
      </w:r>
      <w:r>
        <w:tab/>
        <w:t xml:space="preserve"> </w:t>
      </w:r>
      <w:r>
        <w:rPr>
          <w:i/>
          <w:iCs/>
        </w:rPr>
        <w:t>víśva</w:t>
      </w:r>
      <w:r>
        <w:rPr>
          <w:i/>
          <w:iCs/>
        </w:rPr>
        <w:t>ṃ</w:t>
      </w:r>
      <w:r>
        <w:rPr>
          <w:i/>
          <w:iCs/>
        </w:rPr>
        <w:t xml:space="preserve"> </w:t>
      </w:r>
      <w:r>
        <w:t xml:space="preserve">[…] </w:t>
      </w:r>
      <w:r>
        <w:rPr>
          <w:i/>
          <w:iCs/>
        </w:rPr>
        <w:t>devébhya</w:t>
      </w:r>
      <w:r>
        <w:rPr>
          <w:i/>
          <w:iCs/>
        </w:rPr>
        <w:t>ḥ</w:t>
      </w:r>
      <w:r>
        <w:rPr>
          <w:i/>
          <w:iCs/>
        </w:rPr>
        <w:t xml:space="preserve"> </w:t>
      </w:r>
      <w:r>
        <w:t>= MS 4.13.9 (</w:t>
      </w:r>
      <w:r>
        <w:rPr>
          <w:i/>
          <w:iCs/>
        </w:rPr>
        <w:t>vanutā</w:t>
      </w:r>
      <w:r>
        <w:rPr>
          <w:i/>
          <w:iCs/>
        </w:rPr>
        <w:t>ṃ</w:t>
      </w:r>
      <w:r>
        <w:rPr>
          <w:i/>
          <w:iCs/>
        </w:rPr>
        <w:t xml:space="preserve"> </w:t>
      </w:r>
      <w:r>
        <w:t xml:space="preserve">and </w:t>
      </w:r>
      <w:r>
        <w:rPr>
          <w:i/>
          <w:iCs/>
        </w:rPr>
        <w:t>idám</w:t>
      </w:r>
      <w:r>
        <w:t>)</w:t>
      </w:r>
    </w:p>
  </w:footnote>
  <w:footnote w:id="375">
    <w:p w14:paraId="28F00C55"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i.e. the sacrificer.</w:t>
      </w:r>
    </w:p>
  </w:footnote>
  <w:footnote w:id="376">
    <w:p w14:paraId="1C15F498"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ā śas- </w:t>
      </w:r>
      <w:r w:rsidRPr="0071345C">
        <w:rPr>
          <w:lang w:val="en-US"/>
        </w:rPr>
        <w:t>“pray for” but also “desire”.</w:t>
      </w:r>
    </w:p>
  </w:footnote>
  <w:footnote w:id="377">
    <w:p w14:paraId="11552B49"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i/>
          <w:iCs/>
          <w:lang w:val="en-US"/>
        </w:rPr>
        <w:t>r̥dhyāt</w:t>
      </w:r>
      <w:r w:rsidRPr="0071345C">
        <w:rPr>
          <w:lang w:val="en-US"/>
        </w:rPr>
        <w:t xml:space="preserve"> </w:t>
      </w:r>
      <w:r w:rsidRPr="0071345C">
        <w:rPr>
          <w:lang w:val="en-US"/>
        </w:rPr>
        <w:t xml:space="preserve">optative to be distinguished from the preceding precative, </w:t>
      </w:r>
      <w:r w:rsidRPr="0071345C">
        <w:rPr>
          <w:i/>
          <w:iCs/>
          <w:lang w:val="en-US"/>
        </w:rPr>
        <w:t>aśyāt</w:t>
      </w:r>
      <w:r w:rsidRPr="0071345C">
        <w:rPr>
          <w:lang w:val="en-US"/>
        </w:rPr>
        <w:t>.</w:t>
      </w:r>
    </w:p>
  </w:footnote>
  <w:footnote w:id="378">
    <w:p w14:paraId="0B6A4E9D"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i</w:t>
      </w:r>
      <w:r w:rsidRPr="0071345C">
        <w:rPr>
          <w:i/>
          <w:iCs/>
          <w:lang w:val="en-US"/>
        </w:rPr>
        <w:t>ṣṭ</w:t>
      </w:r>
      <w:r w:rsidRPr="0071345C">
        <w:rPr>
          <w:i/>
          <w:iCs/>
          <w:lang w:val="en-US"/>
        </w:rPr>
        <w:t>á</w:t>
      </w:r>
      <w:r w:rsidRPr="0071345C">
        <w:rPr>
          <w:i/>
          <w:iCs/>
          <w:lang w:val="en-US"/>
        </w:rPr>
        <w:t>ṃ</w:t>
      </w:r>
      <w:r w:rsidRPr="0071345C">
        <w:rPr>
          <w:i/>
          <w:iCs/>
          <w:lang w:val="en-US"/>
        </w:rPr>
        <w:t xml:space="preserve"> ca vītá</w:t>
      </w:r>
      <w:r w:rsidRPr="0071345C">
        <w:rPr>
          <w:i/>
          <w:iCs/>
          <w:lang w:val="en-US"/>
        </w:rPr>
        <w:t>ṃ</w:t>
      </w:r>
      <w:r w:rsidRPr="0071345C">
        <w:rPr>
          <w:i/>
          <w:iCs/>
          <w:lang w:val="en-US"/>
        </w:rPr>
        <w:t xml:space="preserve"> ca </w:t>
      </w:r>
      <w:r w:rsidRPr="0071345C">
        <w:rPr>
          <w:lang w:val="en-US"/>
        </w:rPr>
        <w:t xml:space="preserve">is an ambiguous clause: </w:t>
      </w:r>
      <w:r w:rsidRPr="0071345C">
        <w:rPr>
          <w:i/>
          <w:iCs/>
          <w:lang w:val="en-US"/>
        </w:rPr>
        <w:t>ī</w:t>
      </w:r>
      <w:r w:rsidRPr="0071345C">
        <w:rPr>
          <w:i/>
          <w:iCs/>
          <w:lang w:val="en-US"/>
        </w:rPr>
        <w:t>ṣṭ</w:t>
      </w:r>
      <w:r w:rsidRPr="0071345C">
        <w:rPr>
          <w:i/>
          <w:iCs/>
          <w:lang w:val="en-US"/>
        </w:rPr>
        <w:t>a</w:t>
      </w:r>
      <w:r w:rsidRPr="0071345C">
        <w:rPr>
          <w:i/>
          <w:iCs/>
          <w:lang w:val="en-US"/>
        </w:rPr>
        <w:t>ṃ</w:t>
      </w:r>
      <w:r w:rsidRPr="0071345C">
        <w:rPr>
          <w:lang w:val="en-US"/>
        </w:rPr>
        <w:t xml:space="preserve"> could be interpreted as  “what is desired” (cf. </w:t>
      </w:r>
      <w:r w:rsidRPr="0071345C">
        <w:rPr>
          <w:rStyle w:val="biblio-authorGEN"/>
          <w:sz w:val="18"/>
          <w:szCs w:val="15"/>
          <w:lang w:val="en-US"/>
        </w:rPr>
        <w:t>Eggeling</w:t>
      </w:r>
      <w:r w:rsidRPr="0071345C">
        <w:rPr>
          <w:lang w:val="en-US"/>
        </w:rPr>
        <w:t xml:space="preserve"> 1900: 253) or “what is offered” (so glosses Bha</w:t>
      </w:r>
      <w:r w:rsidRPr="0071345C">
        <w:rPr>
          <w:lang w:val="en-US"/>
        </w:rPr>
        <w:t>ṭṭ</w:t>
      </w:r>
      <w:r w:rsidRPr="0071345C">
        <w:rPr>
          <w:lang w:val="en-US"/>
        </w:rPr>
        <w:t xml:space="preserve">a Bhāskara Miśra: </w:t>
      </w:r>
      <w:r w:rsidRPr="0071345C">
        <w:rPr>
          <w:i/>
          <w:iCs/>
          <w:lang w:val="en-US"/>
        </w:rPr>
        <w:t>yāganimitta</w:t>
      </w:r>
      <w:r w:rsidRPr="0071345C">
        <w:rPr>
          <w:i/>
          <w:iCs/>
          <w:lang w:val="en-US"/>
        </w:rPr>
        <w:t>ṃ</w:t>
      </w:r>
      <w:r w:rsidRPr="0071345C">
        <w:rPr>
          <w:i/>
          <w:iCs/>
          <w:lang w:val="en-US"/>
        </w:rPr>
        <w:t xml:space="preserve"> sv</w:t>
      </w:r>
      <w:r w:rsidRPr="0071345C">
        <w:rPr>
          <w:i/>
          <w:iCs/>
          <w:lang w:val="en-US"/>
        </w:rPr>
        <w:t>argādikam</w:t>
      </w:r>
      <w:r w:rsidRPr="0071345C">
        <w:rPr>
          <w:lang w:val="en-US"/>
        </w:rPr>
        <w:t xml:space="preserve">), while </w:t>
      </w:r>
      <w:r w:rsidRPr="0071345C">
        <w:rPr>
          <w:i/>
          <w:iCs/>
          <w:lang w:val="en-US"/>
        </w:rPr>
        <w:t>vītá</w:t>
      </w:r>
      <w:r w:rsidRPr="0071345C">
        <w:rPr>
          <w:i/>
          <w:iCs/>
          <w:lang w:val="en-US"/>
        </w:rPr>
        <w:t>ṃ</w:t>
      </w:r>
      <w:r w:rsidRPr="0071345C">
        <w:rPr>
          <w:lang w:val="en-US"/>
        </w:rPr>
        <w:t xml:space="preserve"> from </w:t>
      </w:r>
      <w:r w:rsidRPr="0071345C">
        <w:rPr>
          <w:i/>
          <w:iCs/>
          <w:lang w:val="en-US"/>
        </w:rPr>
        <w:t xml:space="preserve">vī- </w:t>
      </w:r>
      <w:r w:rsidRPr="0071345C">
        <w:rPr>
          <w:lang w:val="en-US"/>
        </w:rPr>
        <w:t>means</w:t>
      </w:r>
      <w:r w:rsidRPr="0071345C">
        <w:rPr>
          <w:i/>
          <w:iCs/>
          <w:lang w:val="en-US"/>
        </w:rPr>
        <w:t xml:space="preserve"> </w:t>
      </w:r>
      <w:r w:rsidRPr="0071345C">
        <w:rPr>
          <w:lang w:val="en-US"/>
        </w:rPr>
        <w:t xml:space="preserve">“to crave for”, cf. EWAia: II 509-510 “sich zuwenden, verfolgen”, but  ŚB.1.9.1.20 reads </w:t>
      </w:r>
      <w:r w:rsidRPr="0071345C">
        <w:rPr>
          <w:i/>
          <w:iCs/>
          <w:lang w:val="en-US"/>
        </w:rPr>
        <w:t>vitta</w:t>
      </w:r>
      <w:r w:rsidRPr="0071345C">
        <w:rPr>
          <w:i/>
          <w:iCs/>
          <w:lang w:val="en-US"/>
        </w:rPr>
        <w:t>ṃ</w:t>
      </w:r>
      <w:r w:rsidRPr="0071345C">
        <w:rPr>
          <w:lang w:val="en-US"/>
        </w:rPr>
        <w:t xml:space="preserve"> </w:t>
      </w:r>
      <w:r w:rsidRPr="0071345C">
        <w:rPr>
          <w:lang w:val="en-US"/>
        </w:rPr>
        <w:t xml:space="preserve">(while MS.4.13.9; .212.12;  read as TB.3.5.10.5) from </w:t>
      </w:r>
      <w:r w:rsidRPr="0071345C">
        <w:rPr>
          <w:i/>
          <w:iCs/>
          <w:lang w:val="en-US"/>
        </w:rPr>
        <w:t>vid</w:t>
      </w:r>
      <w:r w:rsidRPr="0071345C">
        <w:rPr>
          <w:lang w:val="en-US"/>
        </w:rPr>
        <w:t>- “to find”, hence Eggeling “what was searched for and found”. A</w:t>
      </w:r>
      <w:r w:rsidRPr="0071345C">
        <w:rPr>
          <w:lang w:val="en-US"/>
        </w:rPr>
        <w:t xml:space="preserve">nyway </w:t>
      </w:r>
      <w:r w:rsidRPr="0071345C">
        <w:rPr>
          <w:rStyle w:val="biblio-authorGEN"/>
          <w:sz w:val="18"/>
          <w:szCs w:val="15"/>
          <w:lang w:val="en-US"/>
        </w:rPr>
        <w:t>Eggeling</w:t>
      </w:r>
      <w:r w:rsidRPr="0071345C">
        <w:rPr>
          <w:lang w:val="en-US"/>
        </w:rPr>
        <w:t xml:space="preserve"> 1900: 253 n. 2 suggests the TB-variant to be the original one and translates it as follows “what has been offered and accepted”.</w:t>
      </w:r>
    </w:p>
  </w:footnote>
  <w:footnote w:id="379">
    <w:p w14:paraId="08568E44"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Bha</w:t>
      </w:r>
      <w:r w:rsidRPr="0071345C">
        <w:rPr>
          <w:lang w:val="en-US"/>
        </w:rPr>
        <w:t>ṭṭ</w:t>
      </w:r>
      <w:r w:rsidRPr="0071345C">
        <w:rPr>
          <w:lang w:val="en-US"/>
        </w:rPr>
        <w:t xml:space="preserve">a Bhāskara Miśra glosses </w:t>
      </w:r>
      <w:r w:rsidRPr="0071345C">
        <w:rPr>
          <w:i/>
          <w:iCs/>
          <w:lang w:val="en-US"/>
        </w:rPr>
        <w:t>iha havi</w:t>
      </w:r>
      <w:r w:rsidRPr="0071345C">
        <w:rPr>
          <w:i/>
          <w:iCs/>
          <w:lang w:val="en-US"/>
        </w:rPr>
        <w:t>ṣ</w:t>
      </w:r>
      <w:r w:rsidRPr="0071345C">
        <w:rPr>
          <w:i/>
          <w:iCs/>
          <w:lang w:val="en-US"/>
        </w:rPr>
        <w:t>e vāmasya vananīyasya dhanasya gāti</w:t>
      </w:r>
      <w:r w:rsidRPr="0071345C">
        <w:rPr>
          <w:i/>
          <w:iCs/>
          <w:lang w:val="en-US"/>
        </w:rPr>
        <w:t>ḥ</w:t>
      </w:r>
      <w:r w:rsidRPr="0071345C">
        <w:rPr>
          <w:i/>
          <w:iCs/>
          <w:lang w:val="en-US"/>
        </w:rPr>
        <w:t xml:space="preserve"> vyāpti</w:t>
      </w:r>
      <w:r w:rsidRPr="0071345C">
        <w:rPr>
          <w:i/>
          <w:iCs/>
          <w:lang w:val="en-US"/>
        </w:rPr>
        <w:t>ḥ</w:t>
      </w:r>
      <w:r w:rsidRPr="0071345C">
        <w:rPr>
          <w:i/>
          <w:iCs/>
          <w:lang w:val="en-US"/>
        </w:rPr>
        <w:t xml:space="preserve"> | ida</w:t>
      </w:r>
      <w:r w:rsidRPr="0071345C">
        <w:rPr>
          <w:i/>
          <w:iCs/>
          <w:lang w:val="en-US"/>
        </w:rPr>
        <w:t>ṃ</w:t>
      </w:r>
      <w:r w:rsidRPr="0071345C">
        <w:rPr>
          <w:i/>
          <w:iCs/>
          <w:lang w:val="en-US"/>
        </w:rPr>
        <w:t xml:space="preserve"> ca etaddhavirlak</w:t>
      </w:r>
      <w:r w:rsidRPr="0071345C">
        <w:rPr>
          <w:i/>
          <w:iCs/>
          <w:lang w:val="en-US"/>
        </w:rPr>
        <w:t>ṣ</w:t>
      </w:r>
      <w:r w:rsidRPr="0071345C">
        <w:rPr>
          <w:i/>
          <w:iCs/>
          <w:lang w:val="en-US"/>
        </w:rPr>
        <w:t>a</w:t>
      </w:r>
      <w:r w:rsidRPr="0071345C">
        <w:rPr>
          <w:i/>
          <w:iCs/>
          <w:lang w:val="en-US"/>
        </w:rPr>
        <w:t>ṇ</w:t>
      </w:r>
      <w:r w:rsidRPr="0071345C">
        <w:rPr>
          <w:i/>
          <w:iCs/>
          <w:lang w:val="en-US"/>
        </w:rPr>
        <w:t>a</w:t>
      </w:r>
      <w:r w:rsidRPr="0071345C">
        <w:rPr>
          <w:i/>
          <w:iCs/>
          <w:lang w:val="en-US"/>
        </w:rPr>
        <w:t>ṃ</w:t>
      </w:r>
      <w:r w:rsidRPr="0071345C">
        <w:rPr>
          <w:lang w:val="en-US"/>
        </w:rPr>
        <w:t xml:space="preserve">, </w:t>
      </w:r>
      <w:r w:rsidRPr="0071345C">
        <w:rPr>
          <w:lang w:val="en-US"/>
        </w:rPr>
        <w:t xml:space="preserve"> hence in the oblation is the way to get the desirable prize, this is the sign of the oblation itself. </w:t>
      </w:r>
      <w:r w:rsidRPr="0071345C">
        <w:rPr>
          <w:rStyle w:val="biblio-authorGEN"/>
          <w:sz w:val="18"/>
          <w:szCs w:val="15"/>
          <w:lang w:val="en-US"/>
        </w:rPr>
        <w:t xml:space="preserve">Dumont </w:t>
      </w:r>
      <w:r w:rsidRPr="0071345C">
        <w:rPr>
          <w:lang w:val="en-US"/>
        </w:rPr>
        <w:t>1960: 9 considers it as an adverb “right now”.</w:t>
      </w:r>
    </w:p>
  </w:footnote>
  <w:footnote w:id="380">
    <w:p w14:paraId="7B9C8723"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tádasmai</w:t>
      </w:r>
      <w:r w:rsidRPr="0071345C">
        <w:rPr>
          <w:lang w:val="en-US"/>
        </w:rPr>
        <w:t xml:space="preserve"> </w:t>
      </w:r>
      <w:r w:rsidRPr="0071345C">
        <w:rPr>
          <w:lang w:val="en-US"/>
        </w:rPr>
        <w:t xml:space="preserve">[…] </w:t>
      </w:r>
      <w:r>
        <w:rPr>
          <w:rFonts w:ascii="Sabon Unicode" w:eastAsia="MS Mincho;ＭＳ 明朝" w:hAnsi="Sabon Unicode" w:cs="Times Ext Roman"/>
          <w:i/>
          <w:iCs/>
          <w:sz w:val="18"/>
          <w:szCs w:val="18"/>
          <w:lang w:val="en-GB" w:eastAsia="hi-IN" w:bidi="en-GB"/>
        </w:rPr>
        <w:t>etádvanavāmahā</w:t>
      </w:r>
      <w:r>
        <w:rPr>
          <w:rFonts w:ascii="Sabon Unicode" w:eastAsia="MS Mincho;ＭＳ 明朝" w:hAnsi="Sabon Unicode" w:cs="Times Ext Roman"/>
          <w:sz w:val="18"/>
          <w:szCs w:val="18"/>
          <w:lang w:val="en-GB" w:eastAsia="hi-IN" w:bidi="en-GB"/>
        </w:rPr>
        <w:t xml:space="preserve"> </w:t>
      </w:r>
      <w:r>
        <w:rPr>
          <w:rFonts w:ascii="Sabon Unicode" w:eastAsia="MS Mincho;ＭＳ 明朝" w:hAnsi="Sabon Unicode" w:cs="Times Ext Roman"/>
          <w:sz w:val="18"/>
          <w:szCs w:val="18"/>
          <w:lang w:val="en-GB" w:eastAsia="hi-IN" w:bidi="en-GB"/>
        </w:rPr>
        <w:t xml:space="preserve">cf. TB 3.5.10.5; MS 4.13.9: 212,10-13 and </w:t>
      </w:r>
      <w:r w:rsidRPr="0071345C">
        <w:rPr>
          <w:i/>
          <w:iCs/>
          <w:lang w:val="en-US"/>
        </w:rPr>
        <w:t>tádāgnírdevó</w:t>
      </w:r>
      <w:r w:rsidRPr="0071345C">
        <w:rPr>
          <w:lang w:val="en-US"/>
        </w:rPr>
        <w:t xml:space="preserve"> </w:t>
      </w:r>
      <w:r w:rsidRPr="0071345C">
        <w:rPr>
          <w:lang w:val="en-US"/>
        </w:rPr>
        <w:t xml:space="preserve">[…] </w:t>
      </w:r>
      <w:r>
        <w:rPr>
          <w:rFonts w:ascii="Sabon Unicode" w:eastAsia="MS Mincho;ＭＳ 明朝" w:hAnsi="Sabon Unicode" w:cs="Times Ext Roman"/>
          <w:i/>
          <w:iCs/>
          <w:sz w:val="18"/>
          <w:szCs w:val="18"/>
          <w:lang w:val="en-GB" w:eastAsia="hi-IN" w:bidi="en-GB"/>
        </w:rPr>
        <w:t>etádvanavāmahā</w:t>
      </w:r>
      <w:r>
        <w:rPr>
          <w:rFonts w:ascii="Sabon Unicode" w:eastAsia="MS Mincho;ＭＳ 明朝" w:hAnsi="Sabon Unicode" w:cs="Times Ext Roman"/>
          <w:sz w:val="18"/>
          <w:szCs w:val="18"/>
          <w:lang w:val="en-GB" w:eastAsia="hi-IN" w:bidi="en-GB"/>
        </w:rPr>
        <w:t xml:space="preserve"> </w:t>
      </w:r>
      <w:r>
        <w:rPr>
          <w:rFonts w:ascii="Sabon Unicode" w:eastAsia="MS Mincho;ＭＳ 明朝" w:hAnsi="Sabon Unicode" w:cs="Times Ext Roman"/>
          <w:sz w:val="18"/>
          <w:szCs w:val="18"/>
          <w:lang w:val="en-GB" w:eastAsia="hi-IN" w:bidi="en-GB"/>
        </w:rPr>
        <w:t>cf. TS 2.6.9.8.</w:t>
      </w:r>
    </w:p>
  </w:footnote>
  <w:footnote w:id="381">
    <w:p w14:paraId="3EF95203"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i/>
          <w:iCs/>
          <w:lang w:val="en-US"/>
        </w:rPr>
        <w:t>kánīyasī</w:t>
      </w:r>
      <w:r w:rsidRPr="0071345C">
        <w:rPr>
          <w:i/>
          <w:iCs/>
          <w:lang w:val="en-US"/>
        </w:rPr>
        <w:t>ḥ</w:t>
      </w:r>
      <w:r w:rsidRPr="0071345C">
        <w:rPr>
          <w:lang w:val="en-US"/>
        </w:rPr>
        <w:t xml:space="preserve">, </w:t>
      </w:r>
      <w:r w:rsidRPr="0071345C">
        <w:rPr>
          <w:lang w:val="en-US"/>
        </w:rPr>
        <w:t xml:space="preserve">from </w:t>
      </w:r>
      <w:r w:rsidRPr="0071345C">
        <w:rPr>
          <w:i/>
          <w:iCs/>
          <w:lang w:val="en-US"/>
        </w:rPr>
        <w:t>kánīyas</w:t>
      </w:r>
      <w:r w:rsidRPr="0071345C">
        <w:rPr>
          <w:lang w:val="en-US"/>
        </w:rPr>
        <w:t xml:space="preserve">- </w:t>
      </w:r>
      <w:r w:rsidRPr="0071345C">
        <w:rPr>
          <w:lang w:val="en-US"/>
        </w:rPr>
        <w:t xml:space="preserve">“smaller, less”, </w:t>
      </w:r>
      <w:r w:rsidRPr="0071345C">
        <w:rPr>
          <w:i/>
          <w:iCs/>
          <w:lang w:val="en-US"/>
        </w:rPr>
        <w:t>scil.</w:t>
      </w:r>
      <w:r w:rsidRPr="0071345C">
        <w:rPr>
          <w:lang w:val="en-US"/>
        </w:rPr>
        <w:t xml:space="preserve"> </w:t>
      </w:r>
      <w:r w:rsidRPr="0071345C">
        <w:rPr>
          <w:i/>
          <w:iCs/>
          <w:lang w:val="en-US"/>
        </w:rPr>
        <w:t>āśi</w:t>
      </w:r>
      <w:r w:rsidRPr="0071345C">
        <w:rPr>
          <w:i/>
          <w:iCs/>
          <w:lang w:val="en-US"/>
        </w:rPr>
        <w:t>ṣ</w:t>
      </w:r>
      <w:r w:rsidRPr="0071345C">
        <w:rPr>
          <w:i/>
          <w:iCs/>
          <w:lang w:val="en-US"/>
        </w:rPr>
        <w:t>a</w:t>
      </w:r>
      <w:r w:rsidRPr="0071345C">
        <w:rPr>
          <w:i/>
          <w:iCs/>
          <w:lang w:val="en-US"/>
        </w:rPr>
        <w:t>ḥ</w:t>
      </w:r>
      <w:r w:rsidRPr="0071345C">
        <w:rPr>
          <w:lang w:val="en-US"/>
        </w:rPr>
        <w:t>.</w:t>
      </w:r>
    </w:p>
  </w:footnote>
  <w:footnote w:id="382">
    <w:p w14:paraId="7DCC0026"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The </w:t>
      </w:r>
      <w:r w:rsidRPr="0071345C">
        <w:rPr>
          <w:i/>
          <w:iCs/>
          <w:lang w:val="en-US"/>
        </w:rPr>
        <w:t>mantra</w:t>
      </w:r>
      <w:r w:rsidRPr="0071345C">
        <w:rPr>
          <w:lang w:val="en-US"/>
        </w:rPr>
        <w:t>s</w:t>
      </w:r>
      <w:r w:rsidRPr="0071345C">
        <w:rPr>
          <w:lang w:val="en-US"/>
        </w:rPr>
        <w:t xml:space="preserve"> to be recited are R̥V 1.75.1 and the whole hymn 3.21, both addressed to Agni. In 3.21 Agni is asked to taste the drops of clarified bu</w:t>
      </w:r>
      <w:r w:rsidRPr="0071345C">
        <w:rPr>
          <w:lang w:val="en-US"/>
        </w:rPr>
        <w:t xml:space="preserve">tter and the word </w:t>
      </w:r>
      <w:r w:rsidRPr="0071345C">
        <w:rPr>
          <w:i/>
          <w:iCs/>
          <w:lang w:val="en-US"/>
        </w:rPr>
        <w:t xml:space="preserve">stoká- </w:t>
      </w:r>
      <w:r w:rsidRPr="0071345C">
        <w:rPr>
          <w:lang w:val="en-US"/>
        </w:rPr>
        <w:t>is repeated through all the 5 stanzas.</w:t>
      </w:r>
    </w:p>
  </w:footnote>
  <w:footnote w:id="383">
    <w:p w14:paraId="162EA173"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i/>
          <w:iCs/>
          <w:lang w:val="en-US"/>
        </w:rPr>
        <w:t>itá</w:t>
      </w:r>
      <w:r w:rsidRPr="0071345C">
        <w:rPr>
          <w:i/>
          <w:iCs/>
          <w:lang w:val="en-US"/>
        </w:rPr>
        <w:t>ḥ</w:t>
      </w:r>
      <w:r w:rsidRPr="0071345C">
        <w:rPr>
          <w:i/>
          <w:iCs/>
          <w:lang w:val="en-US"/>
        </w:rPr>
        <w:t>pradāna</w:t>
      </w:r>
      <w:r w:rsidRPr="0071345C">
        <w:rPr>
          <w:lang w:val="en-US"/>
        </w:rPr>
        <w:t xml:space="preserve">-, </w:t>
      </w:r>
      <w:r w:rsidRPr="0071345C">
        <w:rPr>
          <w:lang w:val="en-US"/>
        </w:rPr>
        <w:t>“offering from here”.</w:t>
      </w:r>
    </w:p>
  </w:footnote>
  <w:footnote w:id="384">
    <w:p w14:paraId="15F48522"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the </w:t>
      </w:r>
      <w:r w:rsidRPr="0071345C">
        <w:rPr>
          <w:i/>
          <w:iCs/>
          <w:lang w:val="en-US"/>
        </w:rPr>
        <w:t>omentum</w:t>
      </w:r>
      <w:r w:rsidRPr="0071345C">
        <w:rPr>
          <w:lang w:val="en-US"/>
        </w:rPr>
        <w:t>.</w:t>
      </w:r>
    </w:p>
  </w:footnote>
  <w:footnote w:id="385">
    <w:p w14:paraId="60A42059"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He pours together the waters that are before divided in sixteen different kinds.</w:t>
      </w:r>
    </w:p>
  </w:footnote>
  <w:footnote w:id="386">
    <w:p w14:paraId="1379DC9D"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Pr>
          <w:rFonts w:ascii="Sabon Unicode" w:eastAsia="MS Mincho;ＭＳ 明朝" w:hAnsi="Sabon Unicode" w:cs="Times Ext Roman"/>
          <w:lang w:val="en-GB" w:eastAsia="hi-IN" w:bidi="en-GB"/>
        </w:rPr>
        <w:tab/>
        <w:t xml:space="preserve"> A </w:t>
      </w:r>
      <w:r>
        <w:rPr>
          <w:rFonts w:ascii="Sabon Unicode" w:eastAsia="MS Mincho;ＭＳ 明朝" w:hAnsi="Sabon Unicode" w:cs="Times Ext Roman"/>
          <w:lang w:val="en-GB" w:eastAsia="hi-IN" w:bidi="en-GB"/>
        </w:rPr>
        <w:t xml:space="preserve">vessel made with the wood of the </w:t>
      </w:r>
      <w:r>
        <w:rPr>
          <w:rFonts w:ascii="Sabon Unicode" w:eastAsia="MS Mincho;ＭＳ 明朝" w:hAnsi="Sabon Unicode" w:cs="Times Ext Roman"/>
          <w:i/>
          <w:iCs/>
          <w:lang w:val="en-GB" w:eastAsia="hi-IN" w:bidi="en-GB"/>
        </w:rPr>
        <w:t>udumbara</w:t>
      </w:r>
      <w:r>
        <w:rPr>
          <w:rFonts w:ascii="Sabon Unicode" w:eastAsia="MS Mincho;ＭＳ 明朝" w:hAnsi="Sabon Unicode" w:cs="Times Ext Roman"/>
          <w:lang w:val="en-GB" w:eastAsia="hi-IN" w:bidi="en-GB"/>
        </w:rPr>
        <w:t xml:space="preserve"> plant (Ficus Glomerata).</w:t>
      </w:r>
    </w:p>
  </w:footnote>
  <w:footnote w:id="387">
    <w:p w14:paraId="45112430"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Pr>
          <w:rFonts w:ascii="Sabon Unicode" w:eastAsia="MS Mincho;ＭＳ 明朝" w:hAnsi="Sabon Unicode" w:cs="Times Ext Roman"/>
          <w:i/>
          <w:iCs/>
          <w:lang w:val="en-GB" w:eastAsia="hi-IN" w:bidi="en-GB"/>
        </w:rPr>
        <w:tab/>
        <w:t xml:space="preserve"> rásavat-, </w:t>
      </w:r>
      <w:r>
        <w:rPr>
          <w:rFonts w:ascii="Sabon Unicode" w:eastAsia="MS Mincho;ＭＳ 明朝" w:hAnsi="Sabon Unicode" w:cs="Times Ext Roman"/>
          <w:lang w:val="en-GB" w:eastAsia="hi-IN" w:bidi="en-GB"/>
        </w:rPr>
        <w:t xml:space="preserve">from </w:t>
      </w:r>
      <w:r>
        <w:rPr>
          <w:rFonts w:ascii="Sabon Unicode" w:eastAsia="MS Mincho;ＭＳ 明朝" w:hAnsi="Sabon Unicode" w:cs="Times Ext Roman"/>
          <w:i/>
          <w:iCs/>
          <w:lang w:val="en-GB" w:eastAsia="hi-IN" w:bidi="en-GB"/>
        </w:rPr>
        <w:t>rása-</w:t>
      </w:r>
      <w:r>
        <w:rPr>
          <w:rFonts w:ascii="Sabon Unicode" w:eastAsia="MS Mincho;ＭＳ 明朝" w:hAnsi="Sabon Unicode" w:cs="Times Ext Roman"/>
          <w:lang w:val="en-GB" w:eastAsia="hi-IN" w:bidi="en-GB"/>
        </w:rPr>
        <w:t xml:space="preserve">”sap, juice, essence”, in ŚB 5.3.4.3 is compared to </w:t>
      </w:r>
      <w:r>
        <w:rPr>
          <w:rFonts w:ascii="Sabon Unicode" w:eastAsia="MS Mincho;ＭＳ 明朝" w:hAnsi="Sabon Unicode" w:cs="Times Ext Roman"/>
          <w:i/>
          <w:iCs/>
          <w:lang w:val="en-GB" w:eastAsia="hi-IN" w:bidi="en-GB"/>
        </w:rPr>
        <w:t xml:space="preserve">urjasvat- </w:t>
      </w:r>
      <w:r>
        <w:rPr>
          <w:rFonts w:ascii="Sabon Unicode" w:eastAsia="MS Mincho;ＭＳ 明朝" w:hAnsi="Sabon Unicode" w:cs="Times Ext Roman"/>
          <w:lang w:val="en-GB" w:eastAsia="hi-IN" w:bidi="en-GB"/>
        </w:rPr>
        <w:t xml:space="preserve"> </w:t>
      </w:r>
    </w:p>
  </w:footnote>
  <w:footnote w:id="388">
    <w:p w14:paraId="3DA62545"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k</w:t>
      </w:r>
      <w:r w:rsidRPr="0071345C">
        <w:rPr>
          <w:i/>
          <w:iCs/>
          <w:lang w:val="en-US"/>
        </w:rPr>
        <w:t>ṣ</w:t>
      </w:r>
      <w:r w:rsidRPr="0071345C">
        <w:rPr>
          <w:i/>
          <w:iCs/>
          <w:lang w:val="en-US"/>
        </w:rPr>
        <w:t>atríyāya</w:t>
      </w:r>
      <w:r w:rsidRPr="0071345C">
        <w:rPr>
          <w:lang w:val="en-US"/>
        </w:rPr>
        <w:t xml:space="preserve"> “for him who is eligible for rule” cf. </w:t>
      </w:r>
      <w:r w:rsidRPr="0071345C">
        <w:rPr>
          <w:rStyle w:val="biblio-authorGEN"/>
          <w:sz w:val="18"/>
          <w:szCs w:val="15"/>
          <w:lang w:val="en-US"/>
        </w:rPr>
        <w:t>Proferes</w:t>
      </w:r>
      <w:r w:rsidRPr="0071345C">
        <w:rPr>
          <w:lang w:val="en-US"/>
        </w:rPr>
        <w:t xml:space="preserve"> 2007: 97.</w:t>
      </w:r>
    </w:p>
  </w:footnote>
  <w:footnote w:id="389">
    <w:p w14:paraId="29F0AE1F"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Pr>
          <w:rFonts w:ascii="Sabon Unicode" w:eastAsia="MS Mincho;ＭＳ 明朝" w:hAnsi="Sabon Unicode" w:cs="Times Ext Roman"/>
          <w:i/>
          <w:iCs/>
          <w:lang w:val="en-GB" w:eastAsia="hi-IN" w:bidi="en-GB"/>
        </w:rPr>
        <w:tab/>
        <w:t xml:space="preserve"> āśí</w:t>
      </w:r>
      <w:r>
        <w:rPr>
          <w:rFonts w:ascii="Sabon Unicode" w:eastAsia="MS Mincho;ＭＳ 明朝" w:hAnsi="Sabon Unicode" w:cs="Times Ext Roman"/>
          <w:i/>
          <w:iCs/>
          <w:lang w:val="en-GB" w:eastAsia="hi-IN" w:bidi="en-GB"/>
        </w:rPr>
        <w:t>ṣ</w:t>
      </w:r>
      <w:r>
        <w:rPr>
          <w:rFonts w:ascii="Sabon Unicode" w:eastAsia="MS Mincho;ＭＳ 明朝" w:hAnsi="Sabon Unicode" w:cs="Times Ext Roman"/>
          <w:i/>
          <w:iCs/>
          <w:lang w:val="en-GB" w:eastAsia="hi-IN" w:bidi="en-GB"/>
        </w:rPr>
        <w:t>amā́śāste</w:t>
      </w:r>
      <w:r>
        <w:rPr>
          <w:rFonts w:ascii="Sabon Unicode" w:eastAsia="MS Mincho;ＭＳ 明朝" w:hAnsi="Sabon Unicode" w:cs="Times Ext Roman"/>
          <w:lang w:val="en-GB" w:eastAsia="hi-IN" w:bidi="en-GB"/>
        </w:rPr>
        <w:t xml:space="preserve">, the verb </w:t>
      </w:r>
      <w:r>
        <w:rPr>
          <w:rFonts w:ascii="Sabon Unicode" w:eastAsia="MS Mincho;ＭＳ 明朝" w:hAnsi="Sabon Unicode" w:cs="Times Ext Roman"/>
          <w:i/>
          <w:iCs/>
          <w:lang w:val="en-GB" w:eastAsia="hi-IN" w:bidi="en-GB"/>
        </w:rPr>
        <w:t>āśa</w:t>
      </w:r>
      <w:r>
        <w:rPr>
          <w:rFonts w:ascii="Sabon Unicode" w:eastAsia="MS Mincho;ＭＳ 明朝" w:hAnsi="Sabon Unicode" w:cs="Times Ext Roman"/>
          <w:i/>
          <w:iCs/>
          <w:lang w:val="en-GB" w:eastAsia="hi-IN" w:bidi="en-GB"/>
        </w:rPr>
        <w:t>ṃ</w:t>
      </w:r>
      <w:r>
        <w:rPr>
          <w:rFonts w:ascii="Sabon Unicode" w:eastAsia="MS Mincho;ＭＳ 明朝" w:hAnsi="Sabon Unicode" w:cs="Times Ext Roman"/>
          <w:i/>
          <w:iCs/>
          <w:lang w:val="en-GB" w:eastAsia="hi-IN" w:bidi="en-GB"/>
        </w:rPr>
        <w:t xml:space="preserve">s- </w:t>
      </w:r>
      <w:r>
        <w:rPr>
          <w:rFonts w:ascii="Sabon Unicode" w:eastAsia="MS Mincho;ＭＳ 明朝" w:hAnsi="Sabon Unicode" w:cs="Times Ext Roman"/>
          <w:lang w:val="en-GB" w:eastAsia="hi-IN" w:bidi="en-GB"/>
        </w:rPr>
        <w:t>is used here both as “to pray” “to as</w:t>
      </w:r>
      <w:r>
        <w:rPr>
          <w:rFonts w:ascii="Sabon Unicode" w:eastAsia="MS Mincho;ＭＳ 明朝" w:hAnsi="Sabon Unicode" w:cs="Times Ext Roman"/>
          <w:lang w:val="en-GB" w:eastAsia="hi-IN" w:bidi="en-GB"/>
        </w:rPr>
        <w:t xml:space="preserve">k for” with two object: </w:t>
      </w:r>
      <w:r>
        <w:rPr>
          <w:rFonts w:ascii="Sabon Unicode" w:eastAsia="MS Mincho;ＭＳ 明朝" w:hAnsi="Sabon Unicode" w:cs="Times Ext Roman"/>
          <w:i/>
          <w:iCs/>
          <w:lang w:val="en-GB" w:eastAsia="hi-IN" w:bidi="en-GB"/>
        </w:rPr>
        <w:t>āśi</w:t>
      </w:r>
      <w:r>
        <w:rPr>
          <w:rFonts w:ascii="Sabon Unicode" w:eastAsia="MS Mincho;ＭＳ 明朝" w:hAnsi="Sabon Unicode" w:cs="Times Ext Roman"/>
          <w:i/>
          <w:iCs/>
          <w:lang w:val="en-GB" w:eastAsia="hi-IN" w:bidi="en-GB"/>
        </w:rPr>
        <w:t>ṣ</w:t>
      </w:r>
      <w:r>
        <w:rPr>
          <w:rFonts w:ascii="Sabon Unicode" w:eastAsia="MS Mincho;ＭＳ 明朝" w:hAnsi="Sabon Unicode" w:cs="Times Ext Roman"/>
          <w:i/>
          <w:iCs/>
          <w:lang w:val="en-GB" w:eastAsia="hi-IN" w:bidi="en-GB"/>
        </w:rPr>
        <w:t xml:space="preserve">am </w:t>
      </w:r>
      <w:r>
        <w:rPr>
          <w:rFonts w:ascii="Sabon Unicode" w:eastAsia="MS Mincho;ＭＳ 明朝" w:hAnsi="Sabon Unicode" w:cs="Times Ext Roman"/>
          <w:lang w:val="en-GB" w:eastAsia="hi-IN" w:bidi="en-GB"/>
        </w:rPr>
        <w:t>(cognate object or etymologic accusative)</w:t>
      </w:r>
      <w:r>
        <w:rPr>
          <w:rFonts w:ascii="Sabon Unicode" w:eastAsia="MS Mincho;ＭＳ 明朝" w:hAnsi="Sabon Unicode" w:cs="Times Ext Roman"/>
          <w:i/>
          <w:iCs/>
          <w:lang w:val="en-GB" w:eastAsia="hi-IN" w:bidi="en-GB"/>
        </w:rPr>
        <w:t xml:space="preserve"> </w:t>
      </w:r>
      <w:r>
        <w:rPr>
          <w:rFonts w:ascii="Sabon Unicode" w:eastAsia="MS Mincho;ＭＳ 明朝" w:hAnsi="Sabon Unicode" w:cs="Times Ext Roman"/>
          <w:lang w:val="en-GB" w:eastAsia="hi-IN" w:bidi="en-GB"/>
        </w:rPr>
        <w:t xml:space="preserve">and  </w:t>
      </w:r>
      <w:r>
        <w:rPr>
          <w:rFonts w:ascii="Sabon Unicode" w:eastAsia="MS Mincho;ＭＳ 明朝" w:hAnsi="Sabon Unicode" w:cs="Times Ext Roman"/>
          <w:i/>
          <w:iCs/>
          <w:lang w:val="en-GB" w:eastAsia="hi-IN" w:bidi="en-GB"/>
        </w:rPr>
        <w:t>tát.</w:t>
      </w:r>
    </w:p>
  </w:footnote>
  <w:footnote w:id="390">
    <w:p w14:paraId="11549DE0"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i/>
          <w:iCs/>
          <w:lang w:val="en-US"/>
        </w:rPr>
        <w:t>ni yā-</w:t>
      </w:r>
      <w:r w:rsidRPr="0071345C">
        <w:rPr>
          <w:lang w:val="en-US"/>
        </w:rPr>
        <w:t xml:space="preserve"> </w:t>
      </w:r>
      <w:r w:rsidRPr="0071345C">
        <w:rPr>
          <w:lang w:val="en-US"/>
        </w:rPr>
        <w:t>“to attack, assail, pass over”, like a carriage.</w:t>
      </w:r>
    </w:p>
  </w:footnote>
  <w:footnote w:id="391">
    <w:p w14:paraId="76396035"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Pr>
          <w:rFonts w:ascii="Sabon Unicode" w:hAnsi="Sabon Unicode"/>
        </w:rPr>
        <w:tab/>
        <w:t xml:space="preserve"> </w:t>
      </w:r>
      <w:r>
        <w:rPr>
          <w:rFonts w:ascii="Sabon Unicode" w:hAnsi="Sabon Unicode"/>
          <w:i/>
          <w:iCs/>
        </w:rPr>
        <w:t>vājin</w:t>
      </w:r>
      <w:r>
        <w:rPr>
          <w:rFonts w:ascii="Sabon Unicode" w:hAnsi="Sabon Unicode"/>
        </w:rPr>
        <w:t xml:space="preserve">-, </w:t>
      </w:r>
      <w:r>
        <w:rPr>
          <w:rFonts w:ascii="Sabon Unicode" w:hAnsi="Sabon Unicode"/>
        </w:rPr>
        <w:t xml:space="preserve">Geldner “siegesgewohnte”; O’Flaherty “racehorse”. </w:t>
      </w:r>
      <w:r w:rsidRPr="0071345C">
        <w:rPr>
          <w:rFonts w:ascii="Sabon Unicode" w:hAnsi="Sabon Unicode"/>
          <w:lang w:val="en-US"/>
        </w:rPr>
        <w:t>This term conveys the swift of the animal and its pow</w:t>
      </w:r>
      <w:r w:rsidRPr="0071345C">
        <w:rPr>
          <w:rFonts w:ascii="Sabon Unicode" w:hAnsi="Sabon Unicode"/>
          <w:lang w:val="en-US"/>
        </w:rPr>
        <w:t>er. Is the steed that wins the prize of the race.</w:t>
      </w:r>
    </w:p>
  </w:footnote>
  <w:footnote w:id="392">
    <w:p w14:paraId="122CB62F"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lang w:val="en-US"/>
        </w:rPr>
        <w:t>The sin, the contamination, dwells within the action that is going to be performed: the slaughtering of the horse; the ritual effort of taking any possible sin away plays an important role within the whole sacrifice. In order to avoid the contamination inv</w:t>
      </w:r>
      <w:r w:rsidRPr="0071345C">
        <w:rPr>
          <w:lang w:val="en-US"/>
        </w:rPr>
        <w:t xml:space="preserve">olved in the slaughtering act, it is often said that the victim agrees with what is happening (cf. the expression </w:t>
      </w:r>
      <w:r w:rsidRPr="0071345C">
        <w:rPr>
          <w:i/>
          <w:iCs/>
          <w:lang w:val="en-US"/>
        </w:rPr>
        <w:t>sa</w:t>
      </w:r>
      <w:r w:rsidRPr="0071345C">
        <w:rPr>
          <w:i/>
          <w:iCs/>
          <w:lang w:val="en-US"/>
        </w:rPr>
        <w:t>ṃ</w:t>
      </w:r>
      <w:r w:rsidRPr="0071345C">
        <w:rPr>
          <w:i/>
          <w:iCs/>
          <w:lang w:val="en-US"/>
        </w:rPr>
        <w:t>jãpta</w:t>
      </w:r>
      <w:r w:rsidRPr="0071345C">
        <w:rPr>
          <w:i/>
          <w:iCs/>
          <w:lang w:val="en-US"/>
        </w:rPr>
        <w:t>ḥ</w:t>
      </w:r>
      <w:r w:rsidRPr="0071345C">
        <w:rPr>
          <w:i/>
          <w:iCs/>
          <w:lang w:val="en-US"/>
        </w:rPr>
        <w:t xml:space="preserve"> paśu</w:t>
      </w:r>
      <w:r w:rsidRPr="0071345C">
        <w:rPr>
          <w:i/>
          <w:iCs/>
          <w:lang w:val="en-US"/>
        </w:rPr>
        <w:t>ḥ</w:t>
      </w:r>
      <w:r w:rsidRPr="0071345C">
        <w:rPr>
          <w:lang w:val="en-US"/>
        </w:rPr>
        <w:t xml:space="preserve">, and also the Greek term </w:t>
      </w:r>
      <w:r>
        <w:rPr>
          <w:rFonts w:ascii="GFS Porson" w:hAnsi="GFS Porson" w:cs="Porson"/>
          <w:i/>
          <w:iCs/>
        </w:rPr>
        <w:t>ἂ</w:t>
      </w:r>
      <w:r>
        <w:rPr>
          <w:rFonts w:ascii="GFS Porson" w:hAnsi="GFS Porson" w:cs="Porson"/>
          <w:i/>
          <w:iCs/>
        </w:rPr>
        <w:t>γος</w:t>
      </w:r>
      <w:r w:rsidRPr="0071345C">
        <w:rPr>
          <w:rFonts w:ascii="Porson" w:hAnsi="Porson" w:cs="Porson"/>
          <w:lang w:val="en-US"/>
        </w:rPr>
        <w:t xml:space="preserve"> </w:t>
      </w:r>
      <w:r w:rsidRPr="0071345C">
        <w:rPr>
          <w:lang w:val="en-US"/>
        </w:rPr>
        <w:t xml:space="preserve">EWAia: I 159) and the actions during the cutting asunder seem to have a peculiar goal: to give new life to the animal. As for this aspect in the rituals of ancient India see </w:t>
      </w:r>
      <w:r w:rsidRPr="0071345C">
        <w:rPr>
          <w:rStyle w:val="biblio-authorGEN"/>
          <w:sz w:val="18"/>
          <w:szCs w:val="15"/>
          <w:lang w:val="en-US"/>
        </w:rPr>
        <w:t>Malamoud</w:t>
      </w:r>
      <w:r w:rsidRPr="0071345C">
        <w:rPr>
          <w:lang w:val="en-US"/>
        </w:rPr>
        <w:t xml:space="preserve"> </w:t>
      </w:r>
      <w:r w:rsidRPr="0071345C">
        <w:rPr>
          <w:lang w:val="en-US"/>
        </w:rPr>
        <w:t>1994</w:t>
      </w:r>
      <w:r w:rsidRPr="0071345C">
        <w:rPr>
          <w:lang w:val="en-US"/>
        </w:rPr>
        <w:t xml:space="preserve"> and </w:t>
      </w:r>
      <w:r w:rsidRPr="0071345C">
        <w:rPr>
          <w:rStyle w:val="biblio-authorGEN"/>
          <w:sz w:val="18"/>
          <w:szCs w:val="15"/>
          <w:lang w:val="en-US"/>
        </w:rPr>
        <w:t>Gonda</w:t>
      </w:r>
      <w:r w:rsidRPr="0071345C">
        <w:rPr>
          <w:lang w:val="en-US"/>
        </w:rPr>
        <w:t xml:space="preserve"> 1960.</w:t>
      </w:r>
    </w:p>
  </w:footnote>
  <w:footnote w:id="393">
    <w:p w14:paraId="5855F653"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The mated body of the vital fluid entering the Fi</w:t>
      </w:r>
      <w:r w:rsidRPr="0071345C">
        <w:rPr>
          <w:lang w:val="en-US"/>
        </w:rPr>
        <w:t>re Altar, which has been said being composed of speech and breath (ŚB 10.1.1.9).</w:t>
      </w:r>
    </w:p>
  </w:footnote>
  <w:footnote w:id="394">
    <w:p w14:paraId="74D7B267"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Agni.</w:t>
      </w:r>
    </w:p>
  </w:footnote>
  <w:footnote w:id="395">
    <w:p w14:paraId="11E41AF9"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i/>
          <w:iCs/>
          <w:lang w:val="en-US"/>
        </w:rPr>
        <w:t>ātmán</w:t>
      </w:r>
      <w:r w:rsidRPr="0071345C">
        <w:rPr>
          <w:lang w:val="en-US"/>
        </w:rPr>
        <w:t>-</w:t>
      </w:r>
      <w:r w:rsidRPr="0071345C">
        <w:rPr>
          <w:lang w:val="en-US"/>
        </w:rPr>
        <w:t xml:space="preserve"> already in the Brāhma</w:t>
      </w:r>
      <w:r w:rsidRPr="0071345C">
        <w:rPr>
          <w:lang w:val="en-US"/>
        </w:rPr>
        <w:t>ṇ</w:t>
      </w:r>
      <w:r w:rsidRPr="0071345C">
        <w:rPr>
          <w:lang w:val="en-US"/>
        </w:rPr>
        <w:t xml:space="preserve">a period means the Self and also the body, as it is used here all over this chapter. Whereas </w:t>
      </w:r>
      <w:r w:rsidRPr="0071345C">
        <w:rPr>
          <w:lang w:val="en-US"/>
        </w:rPr>
        <w:t xml:space="preserve"> </w:t>
      </w:r>
      <w:r w:rsidRPr="0071345C">
        <w:rPr>
          <w:lang w:val="en-US"/>
        </w:rPr>
        <w:t xml:space="preserve">in the </w:t>
      </w:r>
      <w:r w:rsidRPr="0071345C">
        <w:rPr>
          <w:i/>
          <w:iCs/>
          <w:lang w:val="en-US"/>
        </w:rPr>
        <w:t>R̥gveda Sa</w:t>
      </w:r>
      <w:r w:rsidRPr="0071345C">
        <w:rPr>
          <w:i/>
          <w:iCs/>
          <w:lang w:val="en-US"/>
        </w:rPr>
        <w:t>ṃ</w:t>
      </w:r>
      <w:r w:rsidRPr="0071345C">
        <w:rPr>
          <w:i/>
          <w:iCs/>
          <w:lang w:val="en-US"/>
        </w:rPr>
        <w:t>hitā</w:t>
      </w:r>
      <w:r w:rsidRPr="0071345C">
        <w:rPr>
          <w:lang w:val="en-US"/>
        </w:rPr>
        <w:t xml:space="preserve"> </w:t>
      </w:r>
      <w:r w:rsidRPr="0071345C">
        <w:rPr>
          <w:lang w:val="en-US"/>
        </w:rPr>
        <w:t>it mostly means “</w:t>
      </w:r>
      <w:r w:rsidRPr="0071345C">
        <w:rPr>
          <w:lang w:val="en-US"/>
        </w:rPr>
        <w:t xml:space="preserve">vital breath” or “self” and this older meaning is meant in the R̥gvedic </w:t>
      </w:r>
      <w:r w:rsidRPr="0071345C">
        <w:rPr>
          <w:i/>
          <w:iCs/>
          <w:lang w:val="en-US"/>
        </w:rPr>
        <w:t>pada</w:t>
      </w:r>
      <w:r w:rsidRPr="0071345C">
        <w:rPr>
          <w:lang w:val="en-US"/>
        </w:rPr>
        <w:t xml:space="preserve">, quoted at the end; therefore there the word </w:t>
      </w:r>
      <w:r w:rsidRPr="0071345C">
        <w:rPr>
          <w:i/>
          <w:iCs/>
          <w:lang w:val="en-US"/>
        </w:rPr>
        <w:t>ātmán</w:t>
      </w:r>
      <w:r w:rsidRPr="0071345C">
        <w:rPr>
          <w:lang w:val="en-US"/>
        </w:rPr>
        <w:t>-</w:t>
      </w:r>
      <w:r w:rsidRPr="0071345C">
        <w:rPr>
          <w:lang w:val="en-US"/>
        </w:rPr>
        <w:t xml:space="preserve"> has been translated with “vital breath”.</w:t>
      </w:r>
    </w:p>
  </w:footnote>
  <w:footnote w:id="396">
    <w:p w14:paraId="76EB782D"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For </w:t>
      </w:r>
      <w:r w:rsidRPr="0071345C">
        <w:rPr>
          <w:i/>
          <w:iCs/>
          <w:lang w:val="en-US"/>
        </w:rPr>
        <w:t xml:space="preserve">rātáhavya </w:t>
      </w:r>
      <w:r w:rsidRPr="0071345C">
        <w:rPr>
          <w:lang w:val="en-US"/>
        </w:rPr>
        <w:t xml:space="preserve">see </w:t>
      </w:r>
      <w:r w:rsidRPr="0071345C">
        <w:rPr>
          <w:rStyle w:val="biblio-authorGEN"/>
          <w:sz w:val="18"/>
          <w:szCs w:val="15"/>
          <w:lang w:val="en-US"/>
        </w:rPr>
        <w:t>Elizarenkova1995</w:t>
      </w:r>
      <w:r w:rsidRPr="0071345C">
        <w:rPr>
          <w:sz w:val="18"/>
          <w:szCs w:val="15"/>
          <w:vertAlign w:val="superscript"/>
          <w:lang w:val="en-US"/>
        </w:rPr>
        <w:t xml:space="preserve">a </w:t>
      </w:r>
      <w:r w:rsidRPr="0071345C">
        <w:rPr>
          <w:lang w:val="en-US"/>
        </w:rPr>
        <w:t>: 62-3.</w:t>
      </w:r>
    </w:p>
  </w:footnote>
  <w:footnote w:id="397">
    <w:p w14:paraId="426E5F9E"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babhūvathu</w:t>
      </w:r>
      <w:r w:rsidRPr="0071345C">
        <w:rPr>
          <w:i/>
          <w:iCs/>
          <w:lang w:val="en-US"/>
        </w:rPr>
        <w:t>ḥ</w:t>
      </w:r>
      <w:r w:rsidRPr="0071345C">
        <w:rPr>
          <w:lang w:val="en-US"/>
        </w:rPr>
        <w:t>: ind. perf. 2</w:t>
      </w:r>
      <w:r w:rsidRPr="0071345C">
        <w:rPr>
          <w:vertAlign w:val="superscript"/>
          <w:lang w:val="en-US"/>
        </w:rPr>
        <w:t>nd</w:t>
      </w:r>
      <w:r w:rsidRPr="0071345C">
        <w:rPr>
          <w:lang w:val="en-US"/>
        </w:rPr>
        <w:t xml:space="preserve"> dual from</w:t>
      </w:r>
      <w:r w:rsidRPr="0071345C">
        <w:rPr>
          <w:lang w:val="en-US"/>
        </w:rPr>
        <w:t xml:space="preserve"> </w:t>
      </w:r>
      <w:r w:rsidRPr="0071345C">
        <w:rPr>
          <w:i/>
          <w:iCs/>
          <w:lang w:val="en-US"/>
        </w:rPr>
        <w:t>bhū-</w:t>
      </w:r>
      <w:r w:rsidRPr="0071345C">
        <w:rPr>
          <w:lang w:val="en-US"/>
        </w:rPr>
        <w:t xml:space="preserve"> “you have become”, has here a perfective aspect- is resultative.</w:t>
      </w:r>
    </w:p>
  </w:footnote>
  <w:footnote w:id="398">
    <w:p w14:paraId="1F570140"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nahí te </w:t>
      </w:r>
      <w:r w:rsidRPr="0071345C">
        <w:rPr>
          <w:lang w:val="en-US"/>
        </w:rPr>
        <w:t xml:space="preserve">[…]  </w:t>
      </w:r>
      <w:r>
        <w:rPr>
          <w:rFonts w:ascii="Sabon Unicode" w:hAnsi="Sabon Unicode"/>
          <w:i/>
          <w:iCs/>
          <w:sz w:val="18"/>
          <w:szCs w:val="18"/>
          <w:lang w:val="en-GB"/>
        </w:rPr>
        <w:t xml:space="preserve">vanavase = </w:t>
      </w:r>
      <w:r>
        <w:rPr>
          <w:rFonts w:ascii="Sabon Unicode" w:hAnsi="Sabon Unicode"/>
          <w:sz w:val="18"/>
          <w:szCs w:val="18"/>
          <w:lang w:val="en-GB"/>
        </w:rPr>
        <w:t>R̥V 6.16.18.</w:t>
      </w:r>
    </w:p>
  </w:footnote>
  <w:footnote w:id="399">
    <w:p w14:paraId="67D7A759"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sá hí </w:t>
      </w:r>
      <w:r w:rsidRPr="0071345C">
        <w:rPr>
          <w:lang w:val="en-US"/>
        </w:rPr>
        <w:t xml:space="preserve">[…] </w:t>
      </w:r>
      <w:r>
        <w:rPr>
          <w:rFonts w:ascii="Sabon Unicode" w:hAnsi="Sabon Unicode"/>
          <w:i/>
          <w:iCs/>
          <w:sz w:val="18"/>
          <w:szCs w:val="18"/>
          <w:lang w:val="en-GB"/>
        </w:rPr>
        <w:t>ástr̥ta</w:t>
      </w:r>
      <w:r>
        <w:rPr>
          <w:rFonts w:ascii="Sabon Unicode" w:hAnsi="Sabon Unicode"/>
          <w:i/>
          <w:iCs/>
          <w:sz w:val="18"/>
          <w:szCs w:val="18"/>
          <w:lang w:val="en-GB"/>
        </w:rPr>
        <w:t>ḥ</w:t>
      </w:r>
      <w:r>
        <w:rPr>
          <w:rFonts w:ascii="Sabon Unicode" w:hAnsi="Sabon Unicode"/>
          <w:i/>
          <w:iCs/>
          <w:sz w:val="18"/>
          <w:szCs w:val="18"/>
          <w:lang w:val="en-GB"/>
        </w:rPr>
        <w:t xml:space="preserve"> </w:t>
      </w:r>
      <w:r>
        <w:rPr>
          <w:rFonts w:ascii="Sabon Unicode" w:hAnsi="Sabon Unicode"/>
          <w:sz w:val="18"/>
          <w:szCs w:val="18"/>
          <w:lang w:val="en-GB"/>
        </w:rPr>
        <w:t>= R̥V 6.16.20.</w:t>
      </w:r>
    </w:p>
  </w:footnote>
  <w:footnote w:id="400">
    <w:p w14:paraId="573BFCE3" w14:textId="77777777" w:rsidR="00E53EB6" w:rsidRDefault="006500F5">
      <w:pPr>
        <w:pStyle w:val="FootnoteText"/>
        <w:suppressLineNumbers/>
        <w:spacing w:line="210" w:lineRule="exact"/>
        <w:ind w:left="240" w:hanging="240"/>
        <w:jc w:val="both"/>
      </w:pPr>
      <w:r>
        <w:rPr>
          <w:rStyle w:val="FootnoteCharacters"/>
        </w:rPr>
        <w:footnoteRef/>
      </w:r>
      <w:r w:rsidRPr="0071345C">
        <w:rPr>
          <w:i/>
          <w:sz w:val="18"/>
          <w:szCs w:val="18"/>
        </w:rPr>
        <w:tab/>
        <w:t xml:space="preserve"> Nemānā</w:t>
      </w:r>
      <w:r w:rsidRPr="0071345C">
        <w:rPr>
          <w:i/>
          <w:sz w:val="18"/>
          <w:szCs w:val="18"/>
        </w:rPr>
        <w:t>ṃ</w:t>
      </w:r>
      <w:r w:rsidRPr="0071345C">
        <w:rPr>
          <w:i/>
          <w:sz w:val="18"/>
          <w:szCs w:val="18"/>
        </w:rPr>
        <w:t xml:space="preserve"> </w:t>
      </w:r>
      <w:r w:rsidRPr="0071345C">
        <w:rPr>
          <w:sz w:val="18"/>
          <w:szCs w:val="18"/>
        </w:rPr>
        <w:t xml:space="preserve">(gen. m. pl.) from </w:t>
      </w:r>
      <w:r w:rsidRPr="0071345C">
        <w:rPr>
          <w:i/>
          <w:sz w:val="18"/>
          <w:szCs w:val="18"/>
        </w:rPr>
        <w:t>néma-</w:t>
      </w:r>
      <w:r w:rsidRPr="0071345C">
        <w:rPr>
          <w:sz w:val="18"/>
          <w:szCs w:val="18"/>
        </w:rPr>
        <w:t xml:space="preserve"> EWAia: II 56 “einer, ein anderer, mancher”, cf. also </w:t>
      </w:r>
      <w:r w:rsidRPr="0071345C">
        <w:rPr>
          <w:smallCaps/>
          <w:sz w:val="18"/>
          <w:szCs w:val="18"/>
        </w:rPr>
        <w:t xml:space="preserve">Oldenberg </w:t>
      </w:r>
      <w:r w:rsidRPr="0071345C">
        <w:rPr>
          <w:sz w:val="18"/>
          <w:szCs w:val="18"/>
        </w:rPr>
        <w:t>1901: 315.</w:t>
      </w:r>
    </w:p>
  </w:footnote>
  <w:footnote w:id="401">
    <w:p w14:paraId="33617E76"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i/>
          <w:iCs/>
          <w:lang w:val="en-US"/>
        </w:rPr>
        <w:t>bhārata</w:t>
      </w:r>
      <w:r w:rsidRPr="0071345C">
        <w:rPr>
          <w:lang w:val="en-US"/>
        </w:rPr>
        <w:t xml:space="preserve">- </w:t>
      </w:r>
      <w:r w:rsidRPr="0071345C">
        <w:rPr>
          <w:lang w:val="en-US"/>
        </w:rPr>
        <w:t xml:space="preserve">is a frequent epithet of Agni, as well as </w:t>
      </w:r>
      <w:r w:rsidRPr="0071345C">
        <w:rPr>
          <w:i/>
          <w:iCs/>
          <w:lang w:val="en-US"/>
        </w:rPr>
        <w:t>bharata</w:t>
      </w:r>
      <w:r w:rsidRPr="0071345C">
        <w:rPr>
          <w:lang w:val="en-US"/>
        </w:rPr>
        <w:t>-</w:t>
      </w:r>
      <w:r w:rsidRPr="0071345C">
        <w:rPr>
          <w:lang w:val="en-US"/>
        </w:rPr>
        <w:t>, name of the ancestor of one of the mythical Vedic families.</w:t>
      </w:r>
    </w:p>
  </w:footnote>
  <w:footnote w:id="402">
    <w:p w14:paraId="3E3D4138"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Divodāsa is the name of many figures within the </w:t>
      </w:r>
      <w:r w:rsidRPr="0071345C">
        <w:rPr>
          <w:i/>
          <w:iCs/>
          <w:lang w:val="en-US"/>
        </w:rPr>
        <w:t>R̥gved</w:t>
      </w:r>
      <w:r w:rsidRPr="0071345C">
        <w:rPr>
          <w:i/>
          <w:iCs/>
          <w:lang w:val="en-US"/>
        </w:rPr>
        <w:t>a Sa</w:t>
      </w:r>
      <w:r w:rsidRPr="0071345C">
        <w:rPr>
          <w:i/>
          <w:iCs/>
          <w:lang w:val="en-US"/>
        </w:rPr>
        <w:t>ṃ</w:t>
      </w:r>
      <w:r w:rsidRPr="0071345C">
        <w:rPr>
          <w:i/>
          <w:iCs/>
          <w:lang w:val="en-US"/>
        </w:rPr>
        <w:t>hitā</w:t>
      </w:r>
      <w:r w:rsidRPr="0071345C">
        <w:rPr>
          <w:lang w:val="en-US"/>
        </w:rPr>
        <w:t>, often</w:t>
      </w:r>
      <w:r w:rsidRPr="0071345C">
        <w:rPr>
          <w:lang w:val="en-US"/>
        </w:rPr>
        <w:t xml:space="preserve"> connected with Agni. See </w:t>
      </w:r>
      <w:r w:rsidRPr="0071345C">
        <w:rPr>
          <w:rStyle w:val="biblio-authorGEN"/>
          <w:sz w:val="18"/>
          <w:szCs w:val="18"/>
          <w:lang w:val="en-US"/>
        </w:rPr>
        <w:t>Mayrhofer</w:t>
      </w:r>
      <w:r w:rsidRPr="0071345C">
        <w:rPr>
          <w:lang w:val="en-US"/>
        </w:rPr>
        <w:t xml:space="preserve"> 2003: 44.</w:t>
      </w:r>
    </w:p>
  </w:footnote>
  <w:footnote w:id="403">
    <w:p w14:paraId="4EFBDEB4"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A</w:t>
      </w:r>
      <w:r>
        <w:rPr>
          <w:lang w:val="en-GB"/>
        </w:rPr>
        <w:t>s to the use of double accusative with verbs of giving</w:t>
      </w:r>
      <w:r w:rsidRPr="0071345C">
        <w:rPr>
          <w:lang w:val="en-US"/>
        </w:rPr>
        <w:t xml:space="preserve"> cf. </w:t>
      </w:r>
      <w:r w:rsidRPr="0071345C">
        <w:rPr>
          <w:smallCaps/>
          <w:lang w:val="en-US"/>
        </w:rPr>
        <w:t>Whitney</w:t>
      </w:r>
      <w:r w:rsidRPr="0071345C">
        <w:rPr>
          <w:lang w:val="en-US"/>
        </w:rPr>
        <w:t xml:space="preserve"> 1888: §277. </w:t>
      </w:r>
    </w:p>
  </w:footnote>
  <w:footnote w:id="404">
    <w:p w14:paraId="2F9B85AB"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The</w:t>
      </w:r>
      <w:r w:rsidRPr="0071345C">
        <w:rPr>
          <w:i/>
          <w:iCs/>
          <w:lang w:val="en-US"/>
        </w:rPr>
        <w:t xml:space="preserve"> </w:t>
      </w:r>
      <w:r w:rsidRPr="0071345C">
        <w:rPr>
          <w:i/>
          <w:iCs/>
          <w:lang w:val="en-US"/>
        </w:rPr>
        <w:t>Upasad</w:t>
      </w:r>
      <w:r w:rsidRPr="0071345C">
        <w:rPr>
          <w:lang w:val="en-US"/>
        </w:rPr>
        <w:t xml:space="preserve"> is connected with the mythological eternal fight between gods and Asuras, as the gods expelled t</w:t>
      </w:r>
      <w:r w:rsidRPr="0071345C">
        <w:rPr>
          <w:lang w:val="en-US"/>
        </w:rPr>
        <w:t xml:space="preserve">he Asuras out of the three worlds with three Upasads, then the Asuras took refuge in the seasons and the gods again banished them also from the season, then also from the days, and so on. This myth is told in many parts of the Vedic corpus. </w:t>
      </w:r>
    </w:p>
  </w:footnote>
  <w:footnote w:id="405">
    <w:p w14:paraId="7C63C8A2"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For the for</w:t>
      </w:r>
      <w:r w:rsidRPr="0071345C">
        <w:rPr>
          <w:lang w:val="en-US"/>
        </w:rPr>
        <w:t xml:space="preserve">m </w:t>
      </w:r>
      <w:r w:rsidRPr="0071345C">
        <w:rPr>
          <w:i/>
          <w:iCs/>
          <w:lang w:val="en-US"/>
        </w:rPr>
        <w:t xml:space="preserve">āśī́r </w:t>
      </w:r>
      <w:r w:rsidRPr="0071345C">
        <w:rPr>
          <w:lang w:val="en-US"/>
        </w:rPr>
        <w:t xml:space="preserve">from </w:t>
      </w:r>
      <w:r w:rsidRPr="0071345C">
        <w:rPr>
          <w:i/>
          <w:iCs/>
          <w:lang w:val="en-US"/>
        </w:rPr>
        <w:t>āśi</w:t>
      </w:r>
      <w:r w:rsidRPr="0071345C">
        <w:rPr>
          <w:i/>
          <w:iCs/>
          <w:lang w:val="en-US"/>
        </w:rPr>
        <w:t>ṣ</w:t>
      </w:r>
      <w:r w:rsidRPr="0071345C">
        <w:rPr>
          <w:i/>
          <w:iCs/>
          <w:lang w:val="en-US"/>
        </w:rPr>
        <w:t>-</w:t>
      </w:r>
      <w:r w:rsidRPr="0071345C">
        <w:rPr>
          <w:lang w:val="en-US"/>
        </w:rPr>
        <w:t xml:space="preserve">, f. “prayer” but also “wish” see EWAia: I 178 “Bitte, Wunsch beim Opfer”and </w:t>
      </w:r>
      <w:r w:rsidRPr="0071345C">
        <w:rPr>
          <w:lang w:val="en-US"/>
        </w:rPr>
        <w:t>AiGr: I 42f.; II, 2 21; III 229, 248, 596.</w:t>
      </w:r>
    </w:p>
  </w:footnote>
  <w:footnote w:id="406">
    <w:p w14:paraId="1B14F50D" w14:textId="77777777" w:rsidR="00E53EB6" w:rsidRDefault="006500F5">
      <w:pPr>
        <w:pStyle w:val="FootnoteText"/>
      </w:pPr>
      <w:r>
        <w:rPr>
          <w:rStyle w:val="FootnoteCharacters"/>
        </w:rPr>
        <w:footnoteRef/>
      </w:r>
      <w:r>
        <w:rPr>
          <w:rStyle w:val="biblio-authorGEN"/>
        </w:rPr>
        <w:t xml:space="preserve"> </w:t>
      </w:r>
      <w:r>
        <w:rPr>
          <w:sz w:val="18"/>
          <w:szCs w:val="18"/>
        </w:rPr>
        <w:t>Cf.</w:t>
      </w:r>
      <w:r>
        <w:rPr>
          <w:rStyle w:val="biblio-authorGEN"/>
          <w:sz w:val="18"/>
          <w:szCs w:val="18"/>
        </w:rPr>
        <w:t xml:space="preserve"> Grassmann </w:t>
      </w:r>
      <w:r>
        <w:rPr>
          <w:sz w:val="18"/>
          <w:szCs w:val="18"/>
        </w:rPr>
        <w:t>1875 [ed. 1996: 1205].</w:t>
      </w:r>
    </w:p>
  </w:footnote>
  <w:footnote w:id="407">
    <w:p w14:paraId="0E09B37D" w14:textId="77777777" w:rsidR="00E53EB6" w:rsidRDefault="006500F5">
      <w:pPr>
        <w:pStyle w:val="FootnoteText"/>
        <w:suppressLineNumbers/>
        <w:spacing w:line="210" w:lineRule="exact"/>
        <w:ind w:left="240" w:hanging="240"/>
        <w:jc w:val="both"/>
      </w:pPr>
      <w:r>
        <w:rPr>
          <w:rStyle w:val="FootnoteCharacters"/>
        </w:rPr>
        <w:footnoteRef/>
      </w:r>
      <w:r>
        <w:rPr>
          <w:i/>
          <w:iCs/>
        </w:rPr>
        <w:tab/>
        <w:t xml:space="preserve"> vā́ja- </w:t>
      </w:r>
      <w:r>
        <w:t>“Wettkampf, Sieg, Lohn” EWAia: II 540.</w:t>
      </w:r>
    </w:p>
  </w:footnote>
  <w:footnote w:id="408">
    <w:p w14:paraId="25378BFE" w14:textId="77777777" w:rsidR="00E53EB6" w:rsidRDefault="006500F5">
      <w:pPr>
        <w:pStyle w:val="FootnoteText"/>
        <w:suppressLineNumbers/>
        <w:spacing w:line="210" w:lineRule="exact"/>
        <w:ind w:left="240" w:hanging="240"/>
        <w:jc w:val="both"/>
      </w:pPr>
      <w:r>
        <w:rPr>
          <w:rStyle w:val="FootnoteCharacters"/>
        </w:rPr>
        <w:footnoteRef/>
      </w:r>
      <w:r>
        <w:rPr>
          <w:rFonts w:cs="Devanagari MT;Times New Roman"/>
          <w:i/>
          <w:iCs/>
        </w:rPr>
        <w:tab/>
        <w:t xml:space="preserve"> avavyáyann ásita</w:t>
      </w:r>
      <w:r>
        <w:rPr>
          <w:rFonts w:cs="Devanagari MT;Times New Roman"/>
          <w:i/>
          <w:iCs/>
        </w:rPr>
        <w:t>ṃ</w:t>
      </w:r>
      <w:r>
        <w:rPr>
          <w:rFonts w:cs="Devanagari MT;Times New Roman"/>
          <w:i/>
          <w:iCs/>
        </w:rPr>
        <w:t xml:space="preserve"> </w:t>
      </w:r>
      <w:r>
        <w:rPr>
          <w:rFonts w:cs="Devanagari MT;Times New Roman"/>
        </w:rPr>
        <w:t xml:space="preserve">[…]  </w:t>
      </w:r>
      <w:r w:rsidRPr="0071345C">
        <w:rPr>
          <w:rFonts w:ascii="Sabon Unicode" w:hAnsi="Sabon Unicode" w:cs="Devanagari MT;Times New Roman"/>
          <w:i/>
          <w:iCs/>
          <w:sz w:val="18"/>
          <w:szCs w:val="18"/>
          <w:lang w:eastAsia="hi-IN" w:bidi="en-GB"/>
        </w:rPr>
        <w:t>apsv</w:t>
      </w:r>
      <w:r w:rsidRPr="0071345C">
        <w:rPr>
          <w:rFonts w:ascii="Sabon Unicode" w:hAnsi="Sabon Unicode" w:cs="Devanagari MT;Times New Roman"/>
          <w:i/>
          <w:iCs/>
          <w:sz w:val="18"/>
          <w:szCs w:val="18"/>
          <w:lang w:eastAsia="hi-IN" w:bidi="en-GB"/>
        </w:rPr>
        <w:t>ànta</w:t>
      </w:r>
      <w:r w:rsidRPr="0071345C">
        <w:rPr>
          <w:rFonts w:ascii="Sabon Unicode" w:hAnsi="Sabon Unicode" w:cs="Devanagari MT;Times New Roman"/>
          <w:i/>
          <w:iCs/>
          <w:sz w:val="18"/>
          <w:szCs w:val="18"/>
          <w:lang w:eastAsia="hi-IN" w:bidi="en-GB"/>
        </w:rPr>
        <w:t>ḥ</w:t>
      </w:r>
      <w:r w:rsidRPr="0071345C">
        <w:rPr>
          <w:rFonts w:ascii="Sabon Unicode" w:hAnsi="Sabon Unicode" w:cs="Devanagari MT;Times New Roman"/>
          <w:i/>
          <w:iCs/>
          <w:sz w:val="18"/>
          <w:szCs w:val="18"/>
          <w:lang w:eastAsia="hi-IN" w:bidi="en-GB"/>
        </w:rPr>
        <w:t xml:space="preserve"> </w:t>
      </w:r>
      <w:r w:rsidRPr="0071345C">
        <w:rPr>
          <w:rFonts w:ascii="Sabon Unicode" w:hAnsi="Sabon Unicode" w:cs="Devanagari MT;Times New Roman"/>
          <w:sz w:val="18"/>
          <w:szCs w:val="18"/>
          <w:lang w:eastAsia="hi-IN" w:bidi="en-GB"/>
        </w:rPr>
        <w:t>= R̥V 4.13.4b-d.</w:t>
      </w:r>
    </w:p>
  </w:footnote>
  <w:footnote w:id="409">
    <w:p w14:paraId="5F0250FC" w14:textId="77777777" w:rsidR="00E53EB6" w:rsidRDefault="006500F5">
      <w:pPr>
        <w:pStyle w:val="FootnoteText"/>
      </w:pPr>
      <w:r>
        <w:rPr>
          <w:rStyle w:val="FootnoteCharacters"/>
        </w:rPr>
        <w:footnoteRef/>
      </w:r>
      <w:r>
        <w:rPr>
          <w:rFonts w:cs="Devanagari MT;Times New Roman"/>
        </w:rPr>
        <w:tab/>
        <w:t xml:space="preserve"> BS:</w:t>
      </w:r>
      <w:r>
        <w:rPr>
          <w:rFonts w:cs="Devanagari MT;Times New Roman"/>
          <w:i/>
          <w:iCs/>
        </w:rPr>
        <w:t xml:space="preserve"> ābhí </w:t>
      </w:r>
    </w:p>
  </w:footnote>
  <w:footnote w:id="410">
    <w:p w14:paraId="76E9B8D9" w14:textId="77777777" w:rsidR="00E53EB6" w:rsidRDefault="006500F5">
      <w:pPr>
        <w:pStyle w:val="FootnoteText"/>
        <w:suppressLineNumbers/>
        <w:spacing w:line="210" w:lineRule="exact"/>
        <w:ind w:left="240" w:hanging="240"/>
        <w:jc w:val="both"/>
      </w:pPr>
      <w:r>
        <w:rPr>
          <w:rStyle w:val="FootnoteCharacters"/>
        </w:rPr>
        <w:footnoteRef/>
      </w:r>
      <w:r>
        <w:rPr>
          <w:rFonts w:cs="Devanagari MT;Times New Roman"/>
          <w:i/>
          <w:iCs/>
        </w:rPr>
        <w:tab/>
        <w:t xml:space="preserve"> ácchā vada </w:t>
      </w:r>
      <w:r>
        <w:rPr>
          <w:rFonts w:cs="Devanagari MT;Times New Roman"/>
        </w:rPr>
        <w:t xml:space="preserve">[…] </w:t>
      </w:r>
      <w:r w:rsidRPr="0071345C">
        <w:rPr>
          <w:rFonts w:cs="Devanagari MT;Times New Roman"/>
          <w:i/>
          <w:iCs/>
          <w:sz w:val="18"/>
          <w:szCs w:val="18"/>
          <w:lang w:eastAsia="hi-IN" w:bidi="en-GB"/>
        </w:rPr>
        <w:t xml:space="preserve">gárbham </w:t>
      </w:r>
      <w:r w:rsidRPr="0071345C">
        <w:rPr>
          <w:rFonts w:cs="Devanagari MT;Times New Roman"/>
          <w:sz w:val="18"/>
          <w:szCs w:val="18"/>
          <w:lang w:eastAsia="hi-IN" w:bidi="en-GB"/>
        </w:rPr>
        <w:t>= R</w:t>
      </w:r>
      <w:r w:rsidRPr="0071345C">
        <w:rPr>
          <w:rFonts w:cs="Devanagari MT;Times New Roman"/>
          <w:i/>
          <w:iCs/>
          <w:sz w:val="18"/>
          <w:szCs w:val="18"/>
          <w:lang w:eastAsia="hi-IN" w:bidi="en-GB"/>
        </w:rPr>
        <w:t>̥</w:t>
      </w:r>
      <w:r w:rsidRPr="0071345C">
        <w:rPr>
          <w:rFonts w:cs="Devanagari MT;Times New Roman"/>
          <w:sz w:val="18"/>
          <w:szCs w:val="18"/>
          <w:lang w:eastAsia="hi-IN" w:bidi="en-GB"/>
        </w:rPr>
        <w:t>V 5.83.1.</w:t>
      </w:r>
    </w:p>
  </w:footnote>
  <w:footnote w:id="411">
    <w:p w14:paraId="7F654CD9"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i/>
          <w:iCs/>
          <w:lang w:val="en-US"/>
        </w:rPr>
        <w:t>kánikradad</w:t>
      </w:r>
      <w:r w:rsidRPr="0071345C">
        <w:rPr>
          <w:lang w:val="en-US"/>
        </w:rPr>
        <w:t xml:space="preserve">, pres. part. of the intensive form of </w:t>
      </w:r>
      <w:r w:rsidRPr="0071345C">
        <w:rPr>
          <w:lang w:val="en-US"/>
        </w:rPr>
        <w:t>krand</w:t>
      </w:r>
      <w:r w:rsidRPr="0071345C">
        <w:rPr>
          <w:lang w:val="en-US"/>
        </w:rPr>
        <w:t xml:space="preserve"> “to cry out”.</w:t>
      </w:r>
    </w:p>
  </w:footnote>
  <w:footnote w:id="412">
    <w:p w14:paraId="6C420FF3"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lang w:val="en-US"/>
        </w:rPr>
        <w:t xml:space="preserve">Cf. Geldner’s translations of the desiderative occurrences with “einladen” or “her bitten”. </w:t>
      </w:r>
    </w:p>
  </w:footnote>
  <w:footnote w:id="413">
    <w:p w14:paraId="3D6AC581"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k</w:t>
      </w:r>
      <w:r w:rsidRPr="0071345C">
        <w:rPr>
          <w:i/>
          <w:iCs/>
          <w:lang w:val="en-US"/>
        </w:rPr>
        <w:t>ṣ</w:t>
      </w:r>
      <w:r w:rsidRPr="0071345C">
        <w:rPr>
          <w:i/>
          <w:iCs/>
          <w:lang w:val="en-US"/>
        </w:rPr>
        <w:t>atríyāya</w:t>
      </w:r>
      <w:r w:rsidRPr="0071345C">
        <w:rPr>
          <w:lang w:val="en-US"/>
        </w:rPr>
        <w:t xml:space="preserve"> “for him who is eligible for rule” cf. </w:t>
      </w:r>
      <w:r w:rsidRPr="0071345C">
        <w:rPr>
          <w:rStyle w:val="biblio-authorGEN"/>
          <w:sz w:val="18"/>
          <w:szCs w:val="15"/>
          <w:lang w:val="en-US"/>
        </w:rPr>
        <w:t>Proferes</w:t>
      </w:r>
      <w:r w:rsidRPr="0071345C">
        <w:rPr>
          <w:lang w:val="en-US"/>
        </w:rPr>
        <w:t xml:space="preserve"> 2007: 97.</w:t>
      </w:r>
    </w:p>
  </w:footnote>
  <w:footnote w:id="414">
    <w:p w14:paraId="4427B2D1"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Pr>
          <w:i/>
          <w:lang w:val="en-GB"/>
        </w:rPr>
        <w:t xml:space="preserve">éta: </w:t>
      </w:r>
      <w:r w:rsidRPr="0071345C">
        <w:rPr>
          <w:lang w:val="en-US"/>
        </w:rPr>
        <w:t>“</w:t>
      </w:r>
      <w:r>
        <w:rPr>
          <w:lang w:val="en-GB"/>
        </w:rPr>
        <w:t xml:space="preserve">of variegated colour, shining”. Worth noticing that both </w:t>
      </w:r>
      <w:r>
        <w:rPr>
          <w:i/>
          <w:lang w:val="en-GB"/>
        </w:rPr>
        <w:t xml:space="preserve">éta </w:t>
      </w:r>
      <w:r>
        <w:rPr>
          <w:lang w:val="en-GB"/>
        </w:rPr>
        <w:t xml:space="preserve">and </w:t>
      </w:r>
      <w:r>
        <w:rPr>
          <w:i/>
          <w:lang w:val="en-GB"/>
        </w:rPr>
        <w:t xml:space="preserve">varcás </w:t>
      </w:r>
      <w:r>
        <w:rPr>
          <w:lang w:val="en-GB"/>
        </w:rPr>
        <w:t>are connec</w:t>
      </w:r>
      <w:r>
        <w:rPr>
          <w:lang w:val="en-GB"/>
        </w:rPr>
        <w:t>ted with the brilliance of light, which is one of the element used to describe the royal power.</w:t>
      </w:r>
    </w:p>
  </w:footnote>
  <w:footnote w:id="415">
    <w:p w14:paraId="4203C44F"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As to the meaning of</w:t>
      </w:r>
      <w:r w:rsidRPr="0071345C">
        <w:rPr>
          <w:i/>
          <w:iCs/>
          <w:lang w:val="en-US"/>
        </w:rPr>
        <w:t xml:space="preserve"> ū́rjasvat-, ū́rj- </w:t>
      </w:r>
      <w:r w:rsidRPr="0071345C">
        <w:rPr>
          <w:lang w:val="en-US"/>
        </w:rPr>
        <w:t xml:space="preserve">see Scharfe 1985: 545 and </w:t>
      </w:r>
      <w:r w:rsidRPr="0071345C">
        <w:rPr>
          <w:rStyle w:val="biblio-authorGEN"/>
          <w:sz w:val="18"/>
          <w:szCs w:val="18"/>
          <w:lang w:val="en-US"/>
        </w:rPr>
        <w:t>Proferes</w:t>
      </w:r>
      <w:r w:rsidRPr="0071345C">
        <w:rPr>
          <w:lang w:val="en-US"/>
        </w:rPr>
        <w:t xml:space="preserve"> 2007: 101.</w:t>
      </w:r>
    </w:p>
  </w:footnote>
  <w:footnote w:id="416">
    <w:p w14:paraId="258ED003"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About </w:t>
      </w:r>
      <w:r w:rsidRPr="0071345C">
        <w:rPr>
          <w:i/>
          <w:iCs/>
          <w:lang w:val="en-US"/>
        </w:rPr>
        <w:t>várcas-</w:t>
      </w:r>
      <w:r w:rsidRPr="0071345C">
        <w:rPr>
          <w:lang w:val="en-US"/>
        </w:rPr>
        <w:t xml:space="preserve"> “vital power, brilliance” EWAia: II 516 “Glanz”, see </w:t>
      </w:r>
      <w:r w:rsidRPr="0071345C">
        <w:rPr>
          <w:rStyle w:val="biblio-authorGEN"/>
          <w:sz w:val="18"/>
          <w:szCs w:val="18"/>
          <w:lang w:val="en-US"/>
        </w:rPr>
        <w:t>Proferes</w:t>
      </w:r>
      <w:r w:rsidRPr="0071345C">
        <w:rPr>
          <w:lang w:val="en-US"/>
        </w:rPr>
        <w:t xml:space="preserve"> 2007: 91 and 101-104; </w:t>
      </w:r>
      <w:r w:rsidRPr="0071345C">
        <w:rPr>
          <w:rStyle w:val="biblio-authorGEN"/>
          <w:sz w:val="18"/>
          <w:szCs w:val="15"/>
          <w:lang w:val="en-US"/>
        </w:rPr>
        <w:t>Gonda</w:t>
      </w:r>
      <w:r w:rsidRPr="0071345C">
        <w:rPr>
          <w:lang w:val="en-US"/>
        </w:rPr>
        <w:t xml:space="preserve"> 1992: VI/2 366-376.</w:t>
      </w:r>
    </w:p>
  </w:footnote>
  <w:footnote w:id="417">
    <w:p w14:paraId="72CEB73D"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i/>
          <w:iCs/>
          <w:lang w:val="en-US"/>
        </w:rPr>
        <w:t xml:space="preserve">sadr̥śā </w:t>
      </w:r>
      <w:r w:rsidRPr="0071345C">
        <w:rPr>
          <w:i/>
          <w:iCs/>
          <w:lang w:val="en-US"/>
        </w:rPr>
        <w:t>uta / te</w:t>
      </w:r>
      <w:r w:rsidRPr="0071345C">
        <w:rPr>
          <w:i/>
          <w:iCs/>
          <w:lang w:val="en-US"/>
        </w:rPr>
        <w:t>ṣ</w:t>
      </w:r>
      <w:r w:rsidRPr="0071345C">
        <w:rPr>
          <w:i/>
          <w:iCs/>
          <w:lang w:val="en-US"/>
        </w:rPr>
        <w:t>ā</w:t>
      </w:r>
      <w:r w:rsidRPr="0071345C">
        <w:rPr>
          <w:i/>
          <w:iCs/>
          <w:lang w:val="en-US"/>
        </w:rPr>
        <w:t>ṃ</w:t>
      </w:r>
      <w:r w:rsidRPr="0071345C">
        <w:rPr>
          <w:lang w:val="en-US"/>
        </w:rPr>
        <w:t xml:space="preserve"> </w:t>
      </w:r>
      <w:r w:rsidRPr="0071345C">
        <w:rPr>
          <w:lang w:val="en-US"/>
        </w:rPr>
        <w:t xml:space="preserve">could be also interpreted referring </w:t>
      </w:r>
      <w:r w:rsidRPr="0071345C">
        <w:rPr>
          <w:i/>
          <w:iCs/>
          <w:lang w:val="en-US"/>
        </w:rPr>
        <w:t>te</w:t>
      </w:r>
      <w:r w:rsidRPr="0071345C">
        <w:rPr>
          <w:i/>
          <w:iCs/>
          <w:lang w:val="en-US"/>
        </w:rPr>
        <w:t>ṣ</w:t>
      </w:r>
      <w:r w:rsidRPr="0071345C">
        <w:rPr>
          <w:i/>
          <w:iCs/>
          <w:lang w:val="en-US"/>
        </w:rPr>
        <w:t>ā</w:t>
      </w:r>
      <w:r w:rsidRPr="0071345C">
        <w:rPr>
          <w:i/>
          <w:iCs/>
          <w:lang w:val="en-US"/>
        </w:rPr>
        <w:t>ṃ</w:t>
      </w:r>
      <w:r w:rsidRPr="0071345C">
        <w:rPr>
          <w:lang w:val="en-US"/>
        </w:rPr>
        <w:t xml:space="preserve"> to </w:t>
      </w:r>
      <w:r w:rsidRPr="0071345C">
        <w:rPr>
          <w:i/>
          <w:iCs/>
          <w:lang w:val="en-US"/>
        </w:rPr>
        <w:t>sadr̥śā</w:t>
      </w:r>
      <w:r w:rsidRPr="0071345C">
        <w:rPr>
          <w:i/>
          <w:iCs/>
          <w:lang w:val="en-US"/>
        </w:rPr>
        <w:t>ḥ</w:t>
      </w:r>
      <w:r w:rsidRPr="0071345C">
        <w:rPr>
          <w:lang w:val="en-US"/>
        </w:rPr>
        <w:t xml:space="preserve"> </w:t>
      </w:r>
      <w:r w:rsidRPr="0071345C">
        <w:rPr>
          <w:lang w:val="en-US"/>
        </w:rPr>
        <w:t>(plus gen.), the animals are, thus, similar to these here -the men o</w:t>
      </w:r>
      <w:r w:rsidRPr="0071345C">
        <w:rPr>
          <w:lang w:val="en-US"/>
        </w:rPr>
        <w:t>r maybe the animals that are actually to be sacrificed (</w:t>
      </w:r>
      <w:r w:rsidRPr="0071345C">
        <w:rPr>
          <w:i/>
          <w:iCs/>
          <w:lang w:val="en-US"/>
        </w:rPr>
        <w:t>paśu</w:t>
      </w:r>
      <w:r w:rsidRPr="0071345C">
        <w:rPr>
          <w:lang w:val="en-US"/>
        </w:rPr>
        <w:t>-</w:t>
      </w:r>
      <w:r w:rsidRPr="0071345C">
        <w:rPr>
          <w:lang w:val="en-US"/>
        </w:rPr>
        <w:t xml:space="preserve">)-: “The animals of Paśupati are manifold and similar to these here”. On the other hand, the animals can be manifold and though similar along the </w:t>
      </w:r>
      <w:r w:rsidRPr="0071345C">
        <w:rPr>
          <w:color w:val="000000"/>
          <w:lang w:val="en-US"/>
        </w:rPr>
        <w:t xml:space="preserve">contradictory </w:t>
      </w:r>
      <w:r w:rsidRPr="0071345C">
        <w:rPr>
          <w:lang w:val="en-US"/>
        </w:rPr>
        <w:t>speech which is common in the Vedic</w:t>
      </w:r>
      <w:r w:rsidRPr="0071345C">
        <w:rPr>
          <w:lang w:val="en-US"/>
        </w:rPr>
        <w:t xml:space="preserve"> logic.The genitive plural of the demonstrative pronoun is then referred to the priests performing the rite (cf. TS 3.1.4.1b). Moreover the symmetrical structure with the two genitives suggests the presence of two level: what belongs to divine level (the m</w:t>
      </w:r>
      <w:r w:rsidRPr="0071345C">
        <w:rPr>
          <w:lang w:val="en-US"/>
        </w:rPr>
        <w:t xml:space="preserve">acro-cosmic one) and what belongs to the ritual level (the meso-cosmic one). The animal, symbol of the sacrifice, shares both the levels. </w:t>
      </w:r>
    </w:p>
  </w:footnote>
  <w:footnote w:id="418">
    <w:p w14:paraId="7F58892E" w14:textId="77777777" w:rsidR="00E53EB6" w:rsidRPr="0071345C" w:rsidRDefault="006500F5">
      <w:pPr>
        <w:pStyle w:val="FootnoteText"/>
        <w:rPr>
          <w:i/>
          <w:iCs/>
          <w:lang w:val="en-US"/>
        </w:rPr>
      </w:pPr>
      <w:r>
        <w:rPr>
          <w:rStyle w:val="FootnoteCharacters"/>
        </w:rPr>
        <w:footnoteRef/>
      </w:r>
      <w:r w:rsidRPr="0071345C">
        <w:rPr>
          <w:i/>
          <w:iCs/>
          <w:lang w:val="en-US"/>
        </w:rPr>
        <w:tab/>
        <w:t xml:space="preserve"> mádhumatīrmádhumatībhi</w:t>
      </w:r>
      <w:r w:rsidRPr="0071345C">
        <w:rPr>
          <w:i/>
          <w:iCs/>
          <w:lang w:val="en-US"/>
        </w:rPr>
        <w:t>ḥ</w:t>
      </w:r>
      <w:r w:rsidRPr="0071345C">
        <w:rPr>
          <w:i/>
          <w:iCs/>
          <w:lang w:val="en-US"/>
        </w:rPr>
        <w:t xml:space="preserve"> pr̥cyantāmíti rásavatī rásavatībhi</w:t>
      </w:r>
      <w:r w:rsidRPr="0071345C">
        <w:rPr>
          <w:i/>
          <w:iCs/>
          <w:lang w:val="en-US"/>
        </w:rPr>
        <w:t>ḥ</w:t>
      </w:r>
      <w:r w:rsidRPr="0071345C">
        <w:rPr>
          <w:i/>
          <w:iCs/>
          <w:lang w:val="en-US"/>
        </w:rPr>
        <w:t xml:space="preserve"> pr̥cyantāmítyevaìtádāha máhi k</w:t>
      </w:r>
      <w:r w:rsidRPr="0071345C">
        <w:rPr>
          <w:i/>
          <w:iCs/>
          <w:lang w:val="en-US"/>
        </w:rPr>
        <w:t>ṣ</w:t>
      </w:r>
      <w:r w:rsidRPr="0071345C">
        <w:rPr>
          <w:i/>
          <w:iCs/>
          <w:lang w:val="en-US"/>
        </w:rPr>
        <w:t>atrá</w:t>
      </w:r>
      <w:r w:rsidRPr="0071345C">
        <w:rPr>
          <w:i/>
          <w:iCs/>
          <w:lang w:val="en-US"/>
        </w:rPr>
        <w:t>ṃ</w:t>
      </w:r>
      <w:r w:rsidRPr="0071345C">
        <w:rPr>
          <w:i/>
          <w:iCs/>
          <w:lang w:val="en-US"/>
        </w:rPr>
        <w:t xml:space="preserve"> k</w:t>
      </w:r>
      <w:r w:rsidRPr="0071345C">
        <w:rPr>
          <w:i/>
          <w:iCs/>
          <w:lang w:val="en-US"/>
        </w:rPr>
        <w:t>ṣ</w:t>
      </w:r>
      <w:r w:rsidRPr="0071345C">
        <w:rPr>
          <w:i/>
          <w:iCs/>
          <w:lang w:val="en-US"/>
        </w:rPr>
        <w:t>atríyāya vanvān</w:t>
      </w:r>
      <w:r w:rsidRPr="0071345C">
        <w:rPr>
          <w:i/>
          <w:iCs/>
          <w:lang w:val="en-US"/>
        </w:rPr>
        <w:t>ā íti tátparó 'k</w:t>
      </w:r>
      <w:r w:rsidRPr="0071345C">
        <w:rPr>
          <w:i/>
          <w:iCs/>
          <w:lang w:val="en-US"/>
        </w:rPr>
        <w:t>ṣ</w:t>
      </w:r>
      <w:r w:rsidRPr="0071345C">
        <w:rPr>
          <w:i/>
          <w:iCs/>
          <w:lang w:val="en-US"/>
        </w:rPr>
        <w:t>a</w:t>
      </w:r>
      <w:r w:rsidRPr="0071345C">
        <w:rPr>
          <w:i/>
          <w:iCs/>
          <w:lang w:val="en-US"/>
        </w:rPr>
        <w:t>ṃ</w:t>
      </w:r>
      <w:r w:rsidRPr="0071345C">
        <w:rPr>
          <w:i/>
          <w:iCs/>
          <w:lang w:val="en-US"/>
        </w:rPr>
        <w:t xml:space="preserve"> yájamānāyāśí</w:t>
      </w:r>
      <w:r w:rsidRPr="0071345C">
        <w:rPr>
          <w:i/>
          <w:iCs/>
          <w:lang w:val="en-US"/>
        </w:rPr>
        <w:t>ṣ</w:t>
      </w:r>
      <w:r w:rsidRPr="0071345C">
        <w:rPr>
          <w:i/>
          <w:iCs/>
          <w:lang w:val="en-US"/>
        </w:rPr>
        <w:t>amā́śāste yadā́ha máhi k</w:t>
      </w:r>
      <w:r w:rsidRPr="0071345C">
        <w:rPr>
          <w:i/>
          <w:iCs/>
          <w:lang w:val="en-US"/>
        </w:rPr>
        <w:t>ṣ</w:t>
      </w:r>
      <w:r w:rsidRPr="0071345C">
        <w:rPr>
          <w:i/>
          <w:iCs/>
          <w:lang w:val="en-US"/>
        </w:rPr>
        <w:t>atrá</w:t>
      </w:r>
      <w:r w:rsidRPr="0071345C">
        <w:rPr>
          <w:i/>
          <w:iCs/>
          <w:lang w:val="en-US"/>
        </w:rPr>
        <w:t>ṃ</w:t>
      </w:r>
      <w:r w:rsidRPr="0071345C">
        <w:rPr>
          <w:i/>
          <w:iCs/>
          <w:lang w:val="en-US"/>
        </w:rPr>
        <w:t xml:space="preserve"> k</w:t>
      </w:r>
      <w:r w:rsidRPr="0071345C">
        <w:rPr>
          <w:i/>
          <w:iCs/>
          <w:lang w:val="en-US"/>
        </w:rPr>
        <w:t>ṣ</w:t>
      </w:r>
      <w:r w:rsidRPr="0071345C">
        <w:rPr>
          <w:i/>
          <w:iCs/>
          <w:lang w:val="en-US"/>
        </w:rPr>
        <w:t>atríyāya vanvānā.</w:t>
      </w:r>
    </w:p>
  </w:footnote>
  <w:footnote w:id="419">
    <w:p w14:paraId="0293AAD1"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Pr>
          <w:rFonts w:ascii="Sabon Unicode" w:hAnsi="Sabon Unicode"/>
          <w:lang w:val="en-GB"/>
        </w:rPr>
        <w:tab/>
        <w:t xml:space="preserve"> Cf. </w:t>
      </w:r>
      <w:r>
        <w:rPr>
          <w:rStyle w:val="biblio-authorGEN"/>
          <w:rFonts w:ascii="Sabon Unicode" w:hAnsi="Sabon Unicode"/>
          <w:sz w:val="18"/>
          <w:szCs w:val="15"/>
          <w:lang w:val="en-GB"/>
        </w:rPr>
        <w:t>Caland</w:t>
      </w:r>
      <w:r>
        <w:rPr>
          <w:rFonts w:ascii="Sabon Unicode" w:hAnsi="Sabon Unicode"/>
          <w:lang w:val="en-GB"/>
        </w:rPr>
        <w:t xml:space="preserve"> 1908: 8-10.</w:t>
      </w:r>
    </w:p>
  </w:footnote>
  <w:footnote w:id="420">
    <w:p w14:paraId="760CC633"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sam bhū-</w:t>
      </w:r>
      <w:r w:rsidRPr="0071345C">
        <w:rPr>
          <w:lang w:val="en-US"/>
        </w:rPr>
        <w:t xml:space="preserve">, </w:t>
      </w:r>
      <w:r w:rsidRPr="0071345C">
        <w:rPr>
          <w:lang w:val="en-US"/>
        </w:rPr>
        <w:t xml:space="preserve">“to fall to the share” + gen. The idea expressed here is that the production of the sacrifice is not directly connected with gods: the gods give the </w:t>
      </w:r>
      <w:r w:rsidRPr="0071345C">
        <w:rPr>
          <w:i/>
          <w:iCs/>
          <w:lang w:val="en-US"/>
        </w:rPr>
        <w:t>dak</w:t>
      </w:r>
      <w:r w:rsidRPr="0071345C">
        <w:rPr>
          <w:i/>
          <w:iCs/>
          <w:lang w:val="en-US"/>
        </w:rPr>
        <w:t>ṣ</w:t>
      </w:r>
      <w:r w:rsidRPr="0071345C">
        <w:rPr>
          <w:i/>
          <w:iCs/>
          <w:lang w:val="en-US"/>
        </w:rPr>
        <w:t>inās</w:t>
      </w:r>
      <w:r w:rsidRPr="0071345C">
        <w:rPr>
          <w:lang w:val="en-US"/>
        </w:rPr>
        <w:t xml:space="preserve"> (nourishment) to the consecrated. With that he generates the sacrifice. The sacrifice will, at the</w:t>
      </w:r>
      <w:r w:rsidRPr="0071345C">
        <w:rPr>
          <w:lang w:val="en-US"/>
        </w:rPr>
        <w:t xml:space="preserve"> end, reach the gods. The image underlying the whole passage is that of circular passage between gods and men.</w:t>
      </w:r>
    </w:p>
  </w:footnote>
  <w:footnote w:id="421">
    <w:p w14:paraId="631C8E29"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The object of the sentence is the consecrated and, according to the KS, what they give to him is the </w:t>
      </w:r>
      <w:r w:rsidRPr="0071345C">
        <w:rPr>
          <w:i/>
          <w:iCs/>
          <w:lang w:val="en-US"/>
        </w:rPr>
        <w:t>dak</w:t>
      </w:r>
      <w:r w:rsidRPr="0071345C">
        <w:rPr>
          <w:i/>
          <w:iCs/>
          <w:lang w:val="en-US"/>
        </w:rPr>
        <w:t>ṣ</w:t>
      </w:r>
      <w:r w:rsidRPr="0071345C">
        <w:rPr>
          <w:i/>
          <w:iCs/>
          <w:lang w:val="en-US"/>
        </w:rPr>
        <w:t xml:space="preserve">inā. </w:t>
      </w:r>
      <w:r w:rsidRPr="0071345C">
        <w:rPr>
          <w:lang w:val="en-US"/>
        </w:rPr>
        <w:t xml:space="preserve">As to the </w:t>
      </w:r>
      <w:r w:rsidRPr="0071345C">
        <w:rPr>
          <w:i/>
          <w:iCs/>
          <w:lang w:val="en-US"/>
        </w:rPr>
        <w:t>dīk</w:t>
      </w:r>
      <w:r w:rsidRPr="0071345C">
        <w:rPr>
          <w:i/>
          <w:iCs/>
          <w:lang w:val="en-US"/>
        </w:rPr>
        <w:t>ṣ</w:t>
      </w:r>
      <w:r w:rsidRPr="0071345C">
        <w:rPr>
          <w:i/>
          <w:iCs/>
          <w:lang w:val="en-US"/>
        </w:rPr>
        <w:t>ita,</w:t>
      </w:r>
      <w:r w:rsidRPr="0071345C">
        <w:rPr>
          <w:lang w:val="en-US"/>
        </w:rPr>
        <w:t xml:space="preserve"> see, among ot</w:t>
      </w:r>
      <w:r w:rsidRPr="0071345C">
        <w:rPr>
          <w:lang w:val="en-US"/>
        </w:rPr>
        <w:t xml:space="preserve">hers, the analysis of </w:t>
      </w:r>
      <w:r w:rsidRPr="0071345C">
        <w:rPr>
          <w:rStyle w:val="biblio-authorGEN"/>
          <w:sz w:val="18"/>
          <w:szCs w:val="15"/>
          <w:lang w:val="en-US"/>
        </w:rPr>
        <w:t>Heesterman</w:t>
      </w:r>
      <w:r w:rsidRPr="0071345C">
        <w:rPr>
          <w:lang w:val="en-US"/>
        </w:rPr>
        <w:t xml:space="preserve"> 1964.</w:t>
      </w:r>
    </w:p>
  </w:footnote>
  <w:footnote w:id="422">
    <w:p w14:paraId="5986A092"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i/>
          <w:iCs/>
          <w:lang w:val="en-US"/>
        </w:rPr>
        <w:t>sá</w:t>
      </w:r>
      <w:r w:rsidRPr="0071345C">
        <w:rPr>
          <w:i/>
          <w:iCs/>
          <w:lang w:val="en-US"/>
        </w:rPr>
        <w:t>ṃ</w:t>
      </w:r>
      <w:r w:rsidRPr="0071345C">
        <w:rPr>
          <w:i/>
          <w:iCs/>
          <w:lang w:val="en-US"/>
        </w:rPr>
        <w:t>bhūtyai</w:t>
      </w:r>
      <w:r w:rsidRPr="0071345C">
        <w:rPr>
          <w:lang w:val="en-US"/>
        </w:rPr>
        <w:t xml:space="preserve">, </w:t>
      </w:r>
      <w:r w:rsidRPr="0071345C">
        <w:rPr>
          <w:lang w:val="en-US"/>
        </w:rPr>
        <w:t>dat. sing. f. (for the dative in -</w:t>
      </w:r>
      <w:r w:rsidRPr="0071345C">
        <w:rPr>
          <w:i/>
          <w:iCs/>
          <w:lang w:val="en-US"/>
        </w:rPr>
        <w:t>ai</w:t>
      </w:r>
      <w:r w:rsidRPr="0071345C">
        <w:rPr>
          <w:lang w:val="en-US"/>
        </w:rPr>
        <w:t xml:space="preserve"> in analogy with -ī declension, see </w:t>
      </w:r>
      <w:r w:rsidRPr="0071345C">
        <w:rPr>
          <w:rStyle w:val="biblio-authorGEN"/>
          <w:sz w:val="18"/>
          <w:szCs w:val="15"/>
          <w:lang w:val="en-US"/>
        </w:rPr>
        <w:t>Macdonell</w:t>
      </w:r>
      <w:r w:rsidRPr="0071345C">
        <w:rPr>
          <w:lang w:val="en-US"/>
        </w:rPr>
        <w:t xml:space="preserve"> 1916: §98b n.4) from </w:t>
      </w:r>
      <w:r w:rsidRPr="0071345C">
        <w:rPr>
          <w:i/>
          <w:iCs/>
          <w:lang w:val="en-US"/>
        </w:rPr>
        <w:t>sá</w:t>
      </w:r>
      <w:r w:rsidRPr="0071345C">
        <w:rPr>
          <w:i/>
          <w:iCs/>
          <w:lang w:val="en-US"/>
        </w:rPr>
        <w:t>ṃ</w:t>
      </w:r>
      <w:r w:rsidRPr="0071345C">
        <w:rPr>
          <w:i/>
          <w:iCs/>
          <w:lang w:val="en-US"/>
        </w:rPr>
        <w:t>bhūti</w:t>
      </w:r>
      <w:r w:rsidRPr="0071345C">
        <w:rPr>
          <w:lang w:val="en-US"/>
        </w:rPr>
        <w:t xml:space="preserve"> </w:t>
      </w:r>
      <w:r w:rsidRPr="0071345C">
        <w:rPr>
          <w:lang w:val="en-US"/>
        </w:rPr>
        <w:t>“birth, production”. The possibility of an infinite dative is less probable within the con</w:t>
      </w:r>
      <w:r w:rsidRPr="0071345C">
        <w:rPr>
          <w:lang w:val="en-US"/>
        </w:rPr>
        <w:t xml:space="preserve">struction of the sentence, moreover there is no attestation of this form in the R̥V (cf.  </w:t>
      </w:r>
      <w:r w:rsidRPr="0071345C">
        <w:rPr>
          <w:rStyle w:val="biblio-authorGEN"/>
          <w:sz w:val="18"/>
          <w:szCs w:val="15"/>
          <w:lang w:val="en-US"/>
        </w:rPr>
        <w:t>Grassmann</w:t>
      </w:r>
      <w:r w:rsidRPr="0071345C">
        <w:rPr>
          <w:lang w:val="en-US"/>
        </w:rPr>
        <w:t xml:space="preserve"> </w:t>
      </w:r>
      <w:r w:rsidRPr="0071345C">
        <w:rPr>
          <w:rFonts w:ascii="Sabon Unicode" w:hAnsi="Sabon Unicode"/>
          <w:color w:val="000000"/>
          <w:sz w:val="18"/>
          <w:szCs w:val="18"/>
          <w:lang w:val="en-US"/>
        </w:rPr>
        <w:t xml:space="preserve">1875). </w:t>
      </w:r>
    </w:p>
  </w:footnote>
  <w:footnote w:id="423">
    <w:p w14:paraId="1CCAED8A"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Lit. “be of him”.</w:t>
      </w:r>
    </w:p>
  </w:footnote>
  <w:footnote w:id="424">
    <w:p w14:paraId="30077B36" w14:textId="77777777" w:rsidR="00E53EB6" w:rsidRPr="0071345C" w:rsidRDefault="006500F5">
      <w:pPr>
        <w:pStyle w:val="FootnoteText"/>
        <w:rPr>
          <w:i/>
          <w:iCs/>
          <w:lang w:val="en-US"/>
        </w:rPr>
      </w:pPr>
      <w:r>
        <w:rPr>
          <w:rStyle w:val="FootnoteCharacters"/>
        </w:rPr>
        <w:footnoteRef/>
      </w:r>
      <w:r w:rsidRPr="0071345C">
        <w:rPr>
          <w:i/>
          <w:iCs/>
          <w:lang w:val="en-US"/>
        </w:rPr>
        <w:tab/>
        <w:t xml:space="preserve"> iti</w:t>
      </w:r>
    </w:p>
  </w:footnote>
  <w:footnote w:id="425">
    <w:p w14:paraId="2A0E8350"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i/>
          <w:iCs/>
          <w:lang w:val="en-US"/>
        </w:rPr>
        <w:t>etasmai</w:t>
      </w:r>
      <w:r w:rsidRPr="0071345C">
        <w:rPr>
          <w:lang w:val="en-US"/>
        </w:rPr>
        <w:t xml:space="preserve"> (dat. m. sing. from the determinative pronoun </w:t>
      </w:r>
      <w:r w:rsidRPr="0071345C">
        <w:rPr>
          <w:i/>
          <w:iCs/>
          <w:lang w:val="en-US"/>
        </w:rPr>
        <w:t>e</w:t>
      </w:r>
      <w:r w:rsidRPr="0071345C">
        <w:rPr>
          <w:i/>
          <w:iCs/>
          <w:lang w:val="en-US"/>
        </w:rPr>
        <w:t>ṣ</w:t>
      </w:r>
      <w:r w:rsidRPr="0071345C">
        <w:rPr>
          <w:i/>
          <w:iCs/>
          <w:lang w:val="en-US"/>
        </w:rPr>
        <w:t>as</w:t>
      </w:r>
      <w:r w:rsidRPr="0071345C">
        <w:rPr>
          <w:lang w:val="en-US"/>
        </w:rPr>
        <w:t>-)</w:t>
      </w:r>
      <w:r w:rsidRPr="0071345C">
        <w:rPr>
          <w:lang w:val="en-US"/>
        </w:rPr>
        <w:t xml:space="preserve"> “to the consecrated”,</w:t>
      </w:r>
      <w:r w:rsidRPr="0071345C">
        <w:rPr>
          <w:lang w:val="en-US"/>
        </w:rPr>
        <w:t xml:space="preserve"> a</w:t>
      </w:r>
      <w:r w:rsidRPr="0071345C">
        <w:rPr>
          <w:lang w:val="en-US"/>
        </w:rPr>
        <w:t xml:space="preserve">s to the role of the </w:t>
      </w:r>
      <w:r w:rsidRPr="0071345C">
        <w:rPr>
          <w:i/>
          <w:iCs/>
          <w:lang w:val="en-US"/>
        </w:rPr>
        <w:t>dīk</w:t>
      </w:r>
      <w:r w:rsidRPr="0071345C">
        <w:rPr>
          <w:i/>
          <w:iCs/>
          <w:lang w:val="en-US"/>
        </w:rPr>
        <w:t>ṣ</w:t>
      </w:r>
      <w:r w:rsidRPr="0071345C">
        <w:rPr>
          <w:i/>
          <w:iCs/>
          <w:lang w:val="en-US"/>
        </w:rPr>
        <w:t>ita</w:t>
      </w:r>
      <w:r w:rsidRPr="0071345C">
        <w:rPr>
          <w:lang w:val="en-US"/>
        </w:rPr>
        <w:t xml:space="preserve"> see </w:t>
      </w:r>
      <w:r w:rsidRPr="0071345C">
        <w:rPr>
          <w:lang w:val="en-US"/>
        </w:rPr>
        <w:t xml:space="preserve">among others, the analysis of </w:t>
      </w:r>
      <w:r w:rsidRPr="0071345C">
        <w:rPr>
          <w:rStyle w:val="biblio-authorGEN"/>
          <w:sz w:val="18"/>
          <w:szCs w:val="15"/>
          <w:lang w:val="en-US"/>
        </w:rPr>
        <w:t>Heesterman</w:t>
      </w:r>
      <w:r w:rsidRPr="0071345C">
        <w:rPr>
          <w:lang w:val="en-US"/>
        </w:rPr>
        <w:t xml:space="preserve"> 1964.</w:t>
      </w:r>
    </w:p>
  </w:footnote>
  <w:footnote w:id="426">
    <w:p w14:paraId="09D04C7D"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i/>
          <w:iCs/>
          <w:lang w:val="en-US"/>
        </w:rPr>
        <w:t>āgame</w:t>
      </w:r>
      <w:r w:rsidRPr="0071345C">
        <w:rPr>
          <w:lang w:val="en-US"/>
        </w:rPr>
        <w:t xml:space="preserve">, </w:t>
      </w:r>
      <w:r w:rsidRPr="0071345C">
        <w:rPr>
          <w:lang w:val="en-US"/>
        </w:rPr>
        <w:t>stative aor. 3</w:t>
      </w:r>
      <w:r w:rsidRPr="0071345C">
        <w:rPr>
          <w:vertAlign w:val="superscript"/>
          <w:lang w:val="en-US"/>
        </w:rPr>
        <w:t>rd</w:t>
      </w:r>
      <w:r w:rsidRPr="0071345C">
        <w:rPr>
          <w:lang w:val="en-US"/>
        </w:rPr>
        <w:t xml:space="preserve"> sing. cf. </w:t>
      </w:r>
      <w:r w:rsidRPr="0071345C">
        <w:rPr>
          <w:rStyle w:val="biblio-authorGEN"/>
          <w:sz w:val="18"/>
          <w:szCs w:val="15"/>
          <w:lang w:val="en-US"/>
        </w:rPr>
        <w:t>Kümmel 1996</w:t>
      </w:r>
      <w:r w:rsidRPr="0071345C">
        <w:rPr>
          <w:lang w:val="en-US"/>
        </w:rPr>
        <w:t xml:space="preserve">. See also AVŚ 6.81.2c where </w:t>
      </w:r>
      <w:r w:rsidRPr="0071345C">
        <w:rPr>
          <w:i/>
          <w:iCs/>
          <w:lang w:val="en-US"/>
        </w:rPr>
        <w:t>āgame</w:t>
      </w:r>
      <w:r w:rsidRPr="0071345C">
        <w:rPr>
          <w:lang w:val="en-US"/>
        </w:rPr>
        <w:t xml:space="preserve"> is quite unclear, cf. </w:t>
      </w:r>
      <w:r w:rsidRPr="0071345C">
        <w:rPr>
          <w:rStyle w:val="biblio-authorGEN"/>
          <w:sz w:val="18"/>
          <w:szCs w:val="18"/>
          <w:lang w:val="en-US"/>
        </w:rPr>
        <w:t>Whitney-Lanman</w:t>
      </w:r>
      <w:r w:rsidRPr="0071345C">
        <w:rPr>
          <w:lang w:val="en-US"/>
        </w:rPr>
        <w:t xml:space="preserve"> 1905: I 341-2 for possible interpretations of the word. </w:t>
      </w:r>
    </w:p>
  </w:footnote>
  <w:footnote w:id="427">
    <w:p w14:paraId="17130246"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sa</w:t>
      </w:r>
      <w:r w:rsidRPr="0071345C">
        <w:rPr>
          <w:i/>
          <w:iCs/>
          <w:lang w:val="en-US"/>
        </w:rPr>
        <w:t>ṃ</w:t>
      </w:r>
      <w:r w:rsidRPr="0071345C">
        <w:rPr>
          <w:i/>
          <w:iCs/>
          <w:lang w:val="en-US"/>
        </w:rPr>
        <w:t xml:space="preserve"> bhū-</w:t>
      </w:r>
      <w:r w:rsidRPr="0071345C">
        <w:rPr>
          <w:lang w:val="en-US"/>
        </w:rPr>
        <w:t xml:space="preserve">, </w:t>
      </w:r>
      <w:r w:rsidRPr="0071345C">
        <w:rPr>
          <w:lang w:val="en-US"/>
        </w:rPr>
        <w:t xml:space="preserve">“to affect s.o. (acc.) with (instr.)”. The idea expressed here is that the production of the sacrifice is not directly connected with gods: the gods give the </w:t>
      </w:r>
      <w:r w:rsidRPr="0071345C">
        <w:rPr>
          <w:i/>
          <w:iCs/>
          <w:lang w:val="en-US"/>
        </w:rPr>
        <w:t>dak</w:t>
      </w:r>
      <w:r w:rsidRPr="0071345C">
        <w:rPr>
          <w:i/>
          <w:iCs/>
          <w:lang w:val="en-US"/>
        </w:rPr>
        <w:t>ṣ</w:t>
      </w:r>
      <w:r w:rsidRPr="0071345C">
        <w:rPr>
          <w:i/>
          <w:iCs/>
          <w:lang w:val="en-US"/>
        </w:rPr>
        <w:t>inā</w:t>
      </w:r>
      <w:r w:rsidRPr="0071345C">
        <w:rPr>
          <w:i/>
          <w:iCs/>
          <w:lang w:val="en-US"/>
        </w:rPr>
        <w:t>ḥ</w:t>
      </w:r>
      <w:r w:rsidRPr="0071345C">
        <w:rPr>
          <w:lang w:val="en-US"/>
        </w:rPr>
        <w:t xml:space="preserve"> (nourishment) to the consecrated. With that he generates the sacrifice. The sacrifice wil</w:t>
      </w:r>
      <w:r w:rsidRPr="0071345C">
        <w:rPr>
          <w:lang w:val="en-US"/>
        </w:rPr>
        <w:t>l, at the end, reach the gods. The image underlying the whole passage is that of circular passage between gods and men.</w:t>
      </w:r>
    </w:p>
  </w:footnote>
  <w:footnote w:id="428">
    <w:p w14:paraId="4F4AE702"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Pr>
          <w:rFonts w:ascii="Sabon Unicode" w:eastAsia="MS Mincho;ＭＳ 明朝" w:hAnsi="Sabon Unicode" w:cs="Times Ext Roman"/>
          <w:lang w:val="en-GB" w:eastAsia="hi-IN" w:bidi="en-GB"/>
        </w:rPr>
        <w:tab/>
        <w:t xml:space="preserve"> For</w:t>
      </w:r>
      <w:r>
        <w:rPr>
          <w:rFonts w:ascii="Sabon Unicode" w:eastAsia="MS Mincho;ＭＳ 明朝" w:hAnsi="Sabon Unicode" w:cs="Times Ext Roman"/>
          <w:i/>
          <w:iCs/>
          <w:lang w:val="en-GB" w:eastAsia="hi-IN" w:bidi="en-GB"/>
        </w:rPr>
        <w:t xml:space="preserve"> naimi</w:t>
      </w:r>
      <w:r>
        <w:rPr>
          <w:rFonts w:ascii="Sabon Unicode" w:eastAsia="MS Mincho;ＭＳ 明朝" w:hAnsi="Sabon Unicode" w:cs="Times Ext Roman"/>
          <w:i/>
          <w:iCs/>
          <w:lang w:val="en-GB" w:eastAsia="hi-IN" w:bidi="en-GB"/>
        </w:rPr>
        <w:t>ṣ</w:t>
      </w:r>
      <w:r>
        <w:rPr>
          <w:rFonts w:ascii="Sabon Unicode" w:eastAsia="MS Mincho;ＭＳ 明朝" w:hAnsi="Sabon Unicode" w:cs="Times Ext Roman"/>
          <w:i/>
          <w:iCs/>
          <w:lang w:val="en-GB" w:eastAsia="hi-IN" w:bidi="en-GB"/>
        </w:rPr>
        <w:t xml:space="preserve">ya- </w:t>
      </w:r>
      <w:r>
        <w:rPr>
          <w:rFonts w:ascii="Sabon Unicode" w:eastAsia="MS Mincho;ＭＳ 明朝" w:hAnsi="Sabon Unicode" w:cs="Times Ext Roman"/>
          <w:lang w:val="en-GB" w:eastAsia="hi-IN" w:bidi="en-GB"/>
        </w:rPr>
        <w:t xml:space="preserve">see EWAia: II 57 </w:t>
      </w:r>
      <w:r>
        <w:rPr>
          <w:rFonts w:ascii="Sabon Unicode" w:eastAsia="MS Mincho;ＭＳ 明朝" w:hAnsi="Sabon Unicode" w:cs="Times Ext Roman"/>
          <w:i/>
          <w:iCs/>
          <w:lang w:val="en-GB" w:eastAsia="hi-IN" w:bidi="en-GB"/>
        </w:rPr>
        <w:t>naimi</w:t>
      </w:r>
      <w:r>
        <w:rPr>
          <w:rFonts w:ascii="Sabon Unicode" w:eastAsia="MS Mincho;ＭＳ 明朝" w:hAnsi="Sabon Unicode" w:cs="Times Ext Roman"/>
          <w:i/>
          <w:iCs/>
          <w:lang w:val="en-GB" w:eastAsia="hi-IN" w:bidi="en-GB"/>
        </w:rPr>
        <w:t>ṣ</w:t>
      </w:r>
      <w:r>
        <w:rPr>
          <w:rFonts w:ascii="Sabon Unicode" w:eastAsia="MS Mincho;ＭＳ 明朝" w:hAnsi="Sabon Unicode" w:cs="Times Ext Roman"/>
          <w:i/>
          <w:iCs/>
          <w:lang w:val="en-GB" w:eastAsia="hi-IN" w:bidi="en-GB"/>
        </w:rPr>
        <w:t xml:space="preserve">a- </w:t>
      </w:r>
      <w:r>
        <w:rPr>
          <w:rFonts w:ascii="Sabon Unicode" w:eastAsia="MS Mincho;ＭＳ 明朝" w:hAnsi="Sabon Unicode" w:cs="Times Ext Roman"/>
          <w:lang w:val="en-GB" w:eastAsia="hi-IN" w:bidi="en-GB"/>
        </w:rPr>
        <w:t xml:space="preserve">“Waldgebiet” </w:t>
      </w:r>
      <w:r>
        <w:rPr>
          <w:rFonts w:ascii="Sabon Unicode" w:eastAsia="MS Mincho;ＭＳ 明朝" w:hAnsi="Sabon Unicode" w:cs="Times Ext Roman"/>
          <w:i/>
          <w:iCs/>
          <w:lang w:val="en-GB" w:eastAsia="hi-IN" w:bidi="en-GB"/>
        </w:rPr>
        <w:t>naimi</w:t>
      </w:r>
      <w:r>
        <w:rPr>
          <w:rFonts w:ascii="Sabon Unicode" w:eastAsia="MS Mincho;ＭＳ 明朝" w:hAnsi="Sabon Unicode" w:cs="Times Ext Roman"/>
          <w:i/>
          <w:iCs/>
          <w:lang w:val="en-GB" w:eastAsia="hi-IN" w:bidi="en-GB"/>
        </w:rPr>
        <w:t>ṣ</w:t>
      </w:r>
      <w:r>
        <w:rPr>
          <w:rFonts w:ascii="Sabon Unicode" w:eastAsia="MS Mincho;ＭＳ 明朝" w:hAnsi="Sabon Unicode" w:cs="Times Ext Roman"/>
          <w:i/>
          <w:iCs/>
          <w:lang w:val="en-GB" w:eastAsia="hi-IN" w:bidi="en-GB"/>
        </w:rPr>
        <w:t xml:space="preserve">ya- </w:t>
      </w:r>
      <w:r>
        <w:rPr>
          <w:rFonts w:ascii="Sabon Unicode" w:eastAsia="MS Mincho;ＭＳ 明朝" w:hAnsi="Sabon Unicode" w:cs="Times Ext Roman"/>
          <w:lang w:val="en-GB" w:eastAsia="hi-IN" w:bidi="en-GB"/>
        </w:rPr>
        <w:t xml:space="preserve">“dessen Bewohner” and </w:t>
      </w:r>
      <w:r>
        <w:rPr>
          <w:rStyle w:val="biblio-authorGEN"/>
          <w:rFonts w:ascii="Sabon Unicode" w:eastAsia="MS Mincho;ＭＳ 明朝" w:hAnsi="Sabon Unicode" w:cs="Times Ext Roman"/>
          <w:sz w:val="18"/>
          <w:szCs w:val="15"/>
          <w:lang w:val="en-GB" w:eastAsia="hi-IN" w:bidi="en-GB"/>
        </w:rPr>
        <w:t>Macdonell</w:t>
      </w:r>
      <w:r>
        <w:rPr>
          <w:rFonts w:ascii="Sabon Unicode" w:eastAsia="MS Mincho;ＭＳ 明朝" w:hAnsi="Sabon Unicode" w:cs="Times Ext Roman"/>
          <w:lang w:val="en-GB" w:eastAsia="hi-IN" w:bidi="en-GB"/>
        </w:rPr>
        <w:t>-</w:t>
      </w:r>
      <w:r>
        <w:rPr>
          <w:rStyle w:val="biblio-authorGEN"/>
          <w:rFonts w:ascii="Sabon Unicode" w:eastAsia="MS Mincho;ＭＳ 明朝" w:hAnsi="Sabon Unicode" w:cs="Times Ext Roman"/>
          <w:sz w:val="18"/>
          <w:szCs w:val="15"/>
          <w:lang w:val="en-GB" w:eastAsia="hi-IN" w:bidi="en-GB"/>
        </w:rPr>
        <w:t>Keith</w:t>
      </w:r>
      <w:r>
        <w:rPr>
          <w:rFonts w:ascii="Sabon Unicode" w:eastAsia="MS Mincho;ＭＳ 明朝" w:hAnsi="Sabon Unicode" w:cs="Times Ext Roman"/>
          <w:lang w:val="en-GB" w:eastAsia="hi-IN" w:bidi="en-GB"/>
        </w:rPr>
        <w:t xml:space="preserve"> [1912] 1995: I 460. They are als</w:t>
      </w:r>
      <w:r>
        <w:rPr>
          <w:rFonts w:ascii="Sabon Unicode" w:eastAsia="MS Mincho;ＭＳ 明朝" w:hAnsi="Sabon Unicode" w:cs="Times Ext Roman"/>
          <w:lang w:val="en-GB" w:eastAsia="hi-IN" w:bidi="en-GB"/>
        </w:rPr>
        <w:t xml:space="preserve">o mentioned in </w:t>
      </w:r>
      <w:r>
        <w:rPr>
          <w:rFonts w:ascii="Sabon Unicode" w:eastAsia="MS Mincho;ＭＳ 明朝" w:hAnsi="Sabon Unicode" w:cs="Times Ext Roman"/>
          <w:i/>
          <w:iCs/>
          <w:lang w:val="en-GB" w:eastAsia="hi-IN" w:bidi="en-GB"/>
        </w:rPr>
        <w:t>Kau</w:t>
      </w:r>
      <w:r>
        <w:rPr>
          <w:rFonts w:ascii="Sabon Unicode" w:eastAsia="MS Mincho;ＭＳ 明朝" w:hAnsi="Sabon Unicode" w:cs="Times Ext Roman"/>
          <w:i/>
          <w:iCs/>
          <w:lang w:val="en-GB" w:eastAsia="hi-IN" w:bidi="en-GB"/>
        </w:rPr>
        <w:t>ṣ</w:t>
      </w:r>
      <w:r>
        <w:rPr>
          <w:rFonts w:ascii="Sabon Unicode" w:eastAsia="MS Mincho;ＭＳ 明朝" w:hAnsi="Sabon Unicode" w:cs="Times Ext Roman"/>
          <w:i/>
          <w:iCs/>
          <w:lang w:val="en-GB" w:eastAsia="hi-IN" w:bidi="en-GB"/>
        </w:rPr>
        <w:t>ītaki</w:t>
      </w:r>
      <w:r>
        <w:rPr>
          <w:rFonts w:ascii="Sabon Unicode" w:eastAsia="MS Mincho;ＭＳ 明朝" w:hAnsi="Sabon Unicode" w:cs="Times Ext Roman"/>
          <w:lang w:val="en-GB" w:eastAsia="hi-IN" w:bidi="en-GB"/>
        </w:rPr>
        <w:t xml:space="preserve"> </w:t>
      </w:r>
      <w:r>
        <w:rPr>
          <w:rFonts w:ascii="Sabon Unicode" w:eastAsia="MS Mincho;ＭＳ 明朝" w:hAnsi="Sabon Unicode" w:cs="Times Ext Roman"/>
          <w:i/>
          <w:iCs/>
          <w:lang w:val="en-GB" w:eastAsia="hi-IN" w:bidi="en-GB"/>
        </w:rPr>
        <w:t>Brāma</w:t>
      </w:r>
      <w:r>
        <w:rPr>
          <w:rFonts w:ascii="Sabon Unicode" w:eastAsia="MS Mincho;ＭＳ 明朝" w:hAnsi="Sabon Unicode" w:cs="Times Ext Roman"/>
          <w:i/>
          <w:iCs/>
          <w:lang w:val="en-GB" w:eastAsia="hi-IN" w:bidi="en-GB"/>
        </w:rPr>
        <w:t>ṇ</w:t>
      </w:r>
      <w:r>
        <w:rPr>
          <w:rFonts w:ascii="Sabon Unicode" w:eastAsia="MS Mincho;ＭＳ 明朝" w:hAnsi="Sabon Unicode" w:cs="Times Ext Roman"/>
          <w:i/>
          <w:iCs/>
          <w:lang w:val="en-GB" w:eastAsia="hi-IN" w:bidi="en-GB"/>
        </w:rPr>
        <w:t>a</w:t>
      </w:r>
      <w:r>
        <w:rPr>
          <w:rFonts w:ascii="Sabon Unicode" w:eastAsia="MS Mincho;ＭＳ 明朝" w:hAnsi="Sabon Unicode" w:cs="Times Ext Roman"/>
          <w:lang w:val="en-GB" w:eastAsia="hi-IN" w:bidi="en-GB"/>
        </w:rPr>
        <w:t xml:space="preserve"> 26.5; 28.4 and in </w:t>
      </w:r>
      <w:r>
        <w:rPr>
          <w:rFonts w:ascii="Sabon Unicode" w:eastAsia="MS Mincho;ＭＳ 明朝" w:hAnsi="Sabon Unicode" w:cs="Times Ext Roman"/>
          <w:i/>
          <w:iCs/>
          <w:lang w:val="en-GB" w:eastAsia="hi-IN" w:bidi="en-GB"/>
        </w:rPr>
        <w:t>Chāndogya</w:t>
      </w:r>
      <w:r>
        <w:rPr>
          <w:rFonts w:ascii="Sabon Unicode" w:eastAsia="MS Mincho;ＭＳ 明朝" w:hAnsi="Sabon Unicode" w:cs="Times Ext Roman"/>
          <w:lang w:val="en-GB" w:eastAsia="hi-IN" w:bidi="en-GB"/>
        </w:rPr>
        <w:t xml:space="preserve"> </w:t>
      </w:r>
      <w:r>
        <w:rPr>
          <w:rFonts w:ascii="Sabon Unicode" w:eastAsia="MS Mincho;ＭＳ 明朝" w:hAnsi="Sabon Unicode" w:cs="Times Ext Roman"/>
          <w:i/>
          <w:iCs/>
          <w:lang w:val="en-GB" w:eastAsia="hi-IN" w:bidi="en-GB"/>
        </w:rPr>
        <w:t>Upani</w:t>
      </w:r>
      <w:r>
        <w:rPr>
          <w:rFonts w:ascii="Sabon Unicode" w:eastAsia="MS Mincho;ＭＳ 明朝" w:hAnsi="Sabon Unicode" w:cs="Times Ext Roman"/>
          <w:i/>
          <w:iCs/>
          <w:lang w:val="en-GB" w:eastAsia="hi-IN" w:bidi="en-GB"/>
        </w:rPr>
        <w:t>ṣ</w:t>
      </w:r>
      <w:r>
        <w:rPr>
          <w:rFonts w:ascii="Sabon Unicode" w:eastAsia="MS Mincho;ＭＳ 明朝" w:hAnsi="Sabon Unicode" w:cs="Times Ext Roman"/>
          <w:i/>
          <w:iCs/>
          <w:lang w:val="en-GB" w:eastAsia="hi-IN" w:bidi="en-GB"/>
        </w:rPr>
        <w:t>ad</w:t>
      </w:r>
      <w:r>
        <w:rPr>
          <w:rFonts w:ascii="Sabon Unicode" w:eastAsia="MS Mincho;ＭＳ 明朝" w:hAnsi="Sabon Unicode" w:cs="Times Ext Roman"/>
          <w:lang w:val="en-GB" w:eastAsia="hi-IN" w:bidi="en-GB"/>
        </w:rPr>
        <w:t xml:space="preserve"> 1.2.13, being clearly of special sanctity. </w:t>
      </w:r>
    </w:p>
  </w:footnote>
  <w:footnote w:id="429">
    <w:p w14:paraId="078D1EAF"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rFonts w:ascii="Sabon Unicode" w:eastAsia="MS Mincho;ＭＳ 明朝" w:hAnsi="Sabon Unicode" w:cs="Times Ext Roman"/>
          <w:i/>
          <w:iCs/>
          <w:lang w:val="en-US" w:eastAsia="hi-IN" w:bidi="en-GB"/>
        </w:rPr>
        <w:tab/>
        <w:t xml:space="preserve"> </w:t>
      </w:r>
      <w:r w:rsidRPr="0071345C">
        <w:rPr>
          <w:rFonts w:ascii="Sabon Unicode" w:eastAsia="MS Mincho;ＭＳ 明朝" w:hAnsi="Sabon Unicode" w:cs="Times Ext Roman"/>
          <w:i/>
          <w:iCs/>
          <w:lang w:val="en-US" w:eastAsia="hi-IN" w:bidi="en-GB"/>
        </w:rPr>
        <w:t xml:space="preserve">satramāsata: </w:t>
      </w:r>
      <w:r w:rsidRPr="0071345C">
        <w:rPr>
          <w:rFonts w:ascii="Sabon Unicode" w:eastAsia="MS Mincho;ＭＳ 明朝" w:hAnsi="Sabon Unicode" w:cs="Times Ext Roman"/>
          <w:lang w:val="en-US" w:eastAsia="hi-IN" w:bidi="en-GB"/>
        </w:rPr>
        <w:t>it is maybe worth noticing the use of the verb</w:t>
      </w:r>
      <w:r w:rsidRPr="0071345C">
        <w:rPr>
          <w:rFonts w:ascii="Sabon Unicode" w:eastAsia="MS Mincho;ＭＳ 明朝" w:hAnsi="Sabon Unicode" w:cs="Times Ext Roman"/>
          <w:i/>
          <w:iCs/>
          <w:lang w:val="en-US" w:eastAsia="hi-IN" w:bidi="en-GB"/>
        </w:rPr>
        <w:t xml:space="preserve"> ās- </w:t>
      </w:r>
      <w:r w:rsidRPr="0071345C">
        <w:rPr>
          <w:rFonts w:ascii="Sabon Unicode" w:eastAsia="MS Mincho;ＭＳ 明朝" w:hAnsi="Sabon Unicode" w:cs="Times Ext Roman"/>
          <w:lang w:val="en-US" w:eastAsia="hi-IN" w:bidi="en-GB"/>
        </w:rPr>
        <w:t>“to sit” together with</w:t>
      </w:r>
      <w:r w:rsidRPr="0071345C">
        <w:rPr>
          <w:rFonts w:ascii="Sabon Unicode" w:eastAsia="MS Mincho;ＭＳ 明朝" w:hAnsi="Sabon Unicode" w:cs="Times Ext Roman"/>
          <w:i/>
          <w:iCs/>
          <w:lang w:val="en-US" w:eastAsia="hi-IN" w:bidi="en-GB"/>
        </w:rPr>
        <w:t xml:space="preserve"> sattrá- </w:t>
      </w:r>
      <w:r w:rsidRPr="0071345C">
        <w:rPr>
          <w:rFonts w:ascii="Sabon Unicode" w:eastAsia="MS Mincho;ＭＳ 明朝" w:hAnsi="Sabon Unicode" w:cs="Times Ext Roman"/>
          <w:lang w:val="en-US" w:eastAsia="hi-IN" w:bidi="en-GB"/>
        </w:rPr>
        <w:t xml:space="preserve">which literally means “session” deriving from the root </w:t>
      </w:r>
      <w:r w:rsidRPr="0071345C">
        <w:rPr>
          <w:rFonts w:ascii="Sabon Unicode" w:eastAsia="MS Mincho;ＭＳ 明朝" w:hAnsi="Sabon Unicode" w:cs="Times Ext Roman"/>
          <w:i/>
          <w:iCs/>
          <w:lang w:val="en-US" w:eastAsia="hi-IN" w:bidi="en-GB"/>
        </w:rPr>
        <w:t xml:space="preserve">sad- </w:t>
      </w:r>
      <w:r w:rsidRPr="0071345C">
        <w:rPr>
          <w:rFonts w:ascii="Sabon Unicode" w:eastAsia="MS Mincho;ＭＳ 明朝" w:hAnsi="Sabon Unicode" w:cs="Times Ext Roman"/>
          <w:lang w:val="en-US" w:eastAsia="hi-IN" w:bidi="en-GB"/>
        </w:rPr>
        <w:t xml:space="preserve">(cf. EWAia: II 690). For </w:t>
      </w:r>
      <w:r w:rsidRPr="0071345C">
        <w:rPr>
          <w:rFonts w:ascii="Sabon Unicode" w:eastAsia="MS Mincho;ＭＳ 明朝" w:hAnsi="Sabon Unicode" w:cs="Times Ext Roman"/>
          <w:i/>
          <w:iCs/>
          <w:lang w:val="en-US" w:eastAsia="hi-IN" w:bidi="en-GB"/>
        </w:rPr>
        <w:t>satrá</w:t>
      </w:r>
      <w:r w:rsidRPr="0071345C">
        <w:rPr>
          <w:rFonts w:ascii="Sabon Unicode" w:eastAsia="MS Mincho;ＭＳ 明朝" w:hAnsi="Sabon Unicode" w:cs="Times Ext Roman"/>
          <w:lang w:val="en-US" w:eastAsia="hi-IN" w:bidi="en-GB"/>
        </w:rPr>
        <w:t xml:space="preserve"> instead of </w:t>
      </w:r>
      <w:r w:rsidRPr="0071345C">
        <w:rPr>
          <w:rFonts w:ascii="Sabon Unicode" w:eastAsia="MS Mincho;ＭＳ 明朝" w:hAnsi="Sabon Unicode" w:cs="Times Ext Roman"/>
          <w:i/>
          <w:iCs/>
          <w:lang w:val="en-US" w:eastAsia="hi-IN" w:bidi="en-GB"/>
        </w:rPr>
        <w:t xml:space="preserve">sattrá, </w:t>
      </w:r>
      <w:r w:rsidRPr="0071345C">
        <w:rPr>
          <w:rFonts w:ascii="Sabon Unicode" w:eastAsia="MS Mincho;ＭＳ 明朝" w:hAnsi="Sabon Unicode" w:cs="Times Ext Roman"/>
          <w:lang w:val="en-US" w:eastAsia="hi-IN" w:bidi="en-GB"/>
        </w:rPr>
        <w:t xml:space="preserve">cf. AiGr: I 114 and I,1 62. The  </w:t>
      </w:r>
      <w:r w:rsidRPr="0071345C">
        <w:rPr>
          <w:rFonts w:ascii="Sabon Unicode" w:eastAsia="MS Mincho;ＭＳ 明朝" w:hAnsi="Sabon Unicode" w:cs="Times Ext Roman"/>
          <w:i/>
          <w:iCs/>
          <w:lang w:val="en-US" w:eastAsia="hi-IN" w:bidi="en-GB"/>
        </w:rPr>
        <w:t xml:space="preserve">sattra </w:t>
      </w:r>
      <w:r w:rsidRPr="0071345C">
        <w:rPr>
          <w:rFonts w:ascii="Sabon Unicode" w:eastAsia="MS Mincho;ＭＳ 明朝" w:hAnsi="Sabon Unicode" w:cs="Times Ext Roman"/>
          <w:lang w:val="en-US" w:eastAsia="hi-IN" w:bidi="en-GB"/>
        </w:rPr>
        <w:t>sacrific</w:t>
      </w:r>
      <w:r w:rsidRPr="0071345C">
        <w:rPr>
          <w:rFonts w:ascii="Sabon Unicode" w:eastAsia="MS Mincho;ＭＳ 明朝" w:hAnsi="Sabon Unicode" w:cs="Times Ext Roman"/>
          <w:sz w:val="18"/>
          <w:szCs w:val="18"/>
          <w:lang w:val="en-US" w:eastAsia="hi-IN" w:bidi="en-GB"/>
        </w:rPr>
        <w:t xml:space="preserve">e is a </w:t>
      </w:r>
      <w:r>
        <w:rPr>
          <w:rFonts w:ascii="Sabon Unicode" w:eastAsia="MS Mincho;ＭＳ 明朝" w:hAnsi="Sabon Unicode" w:cs="Times Ext Roman"/>
          <w:i/>
          <w:iCs/>
          <w:color w:val="000000"/>
          <w:sz w:val="18"/>
          <w:szCs w:val="18"/>
          <w:lang w:val="en-GB" w:eastAsia="hi-IN" w:bidi="en-GB"/>
        </w:rPr>
        <w:t>soma</w:t>
      </w:r>
      <w:r>
        <w:rPr>
          <w:rFonts w:ascii="Sabon Unicode" w:eastAsia="MS Mincho;ＭＳ 明朝" w:hAnsi="Sabon Unicode" w:cs="Times Ext Roman"/>
          <w:color w:val="000000"/>
          <w:sz w:val="18"/>
          <w:szCs w:val="18"/>
          <w:lang w:val="en-GB" w:eastAsia="hi-IN" w:bidi="en-GB"/>
        </w:rPr>
        <w:t xml:space="preserve"> sacrifices of 12 or more pressing days. See also </w:t>
      </w:r>
      <w:r>
        <w:rPr>
          <w:rStyle w:val="biblio-authorGEN"/>
          <w:rFonts w:ascii="Sabon Unicode" w:eastAsia="MS Mincho;ＭＳ 明朝" w:hAnsi="Sabon Unicode" w:cs="Times Ext Roman"/>
          <w:color w:val="000000"/>
          <w:sz w:val="18"/>
          <w:szCs w:val="18"/>
          <w:lang w:val="en-GB" w:eastAsia="hi-IN" w:bidi="en-GB"/>
        </w:rPr>
        <w:t>Falk</w:t>
      </w:r>
      <w:r>
        <w:rPr>
          <w:rFonts w:ascii="Sabon Unicode" w:eastAsia="MS Mincho;ＭＳ 明朝" w:hAnsi="Sabon Unicode" w:cs="Times Ext Roman"/>
          <w:color w:val="000000"/>
          <w:sz w:val="18"/>
          <w:szCs w:val="18"/>
          <w:lang w:val="en-GB" w:eastAsia="hi-IN" w:bidi="en-GB"/>
        </w:rPr>
        <w:t xml:space="preserve"> 1986.</w:t>
      </w:r>
    </w:p>
  </w:footnote>
  <w:footnote w:id="430">
    <w:p w14:paraId="4BDEC2B7"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22"/>
          <w:lang w:val="en-US"/>
        </w:rPr>
        <w:tab/>
        <w:t xml:space="preserve"> </w:t>
      </w:r>
      <w:r w:rsidRPr="0071345C">
        <w:rPr>
          <w:i/>
          <w:iCs/>
          <w:sz w:val="18"/>
          <w:szCs w:val="18"/>
          <w:lang w:val="en-US"/>
        </w:rPr>
        <w:t>b</w:t>
      </w:r>
      <w:r w:rsidRPr="0071345C">
        <w:rPr>
          <w:i/>
          <w:sz w:val="18"/>
          <w:szCs w:val="18"/>
          <w:lang w:val="en-US"/>
        </w:rPr>
        <w:t>hū́r</w:t>
      </w:r>
      <w:r w:rsidRPr="0071345C">
        <w:rPr>
          <w:i/>
          <w:sz w:val="18"/>
          <w:szCs w:val="18"/>
          <w:lang w:val="en-US"/>
        </w:rPr>
        <w:t>ṇ</w:t>
      </w:r>
      <w:r w:rsidRPr="0071345C">
        <w:rPr>
          <w:i/>
          <w:sz w:val="18"/>
          <w:szCs w:val="18"/>
          <w:lang w:val="en-US"/>
        </w:rPr>
        <w:t>aya</w:t>
      </w:r>
      <w:r w:rsidRPr="0071345C">
        <w:rPr>
          <w:i/>
          <w:sz w:val="18"/>
          <w:szCs w:val="18"/>
          <w:lang w:val="en-US"/>
        </w:rPr>
        <w:t>ḥ</w:t>
      </w:r>
      <w:r w:rsidRPr="0071345C">
        <w:rPr>
          <w:i/>
          <w:sz w:val="18"/>
          <w:szCs w:val="18"/>
          <w:lang w:val="en-US"/>
        </w:rPr>
        <w:t xml:space="preserve"> </w:t>
      </w:r>
      <w:r w:rsidRPr="0071345C">
        <w:rPr>
          <w:sz w:val="18"/>
          <w:szCs w:val="18"/>
          <w:lang w:val="en-US"/>
        </w:rPr>
        <w:t xml:space="preserve">(nom. m. pl.) from </w:t>
      </w:r>
      <w:r w:rsidRPr="0071345C">
        <w:rPr>
          <w:i/>
          <w:sz w:val="18"/>
          <w:szCs w:val="18"/>
          <w:lang w:val="en-US"/>
        </w:rPr>
        <w:t>bh</w:t>
      </w:r>
      <w:r w:rsidRPr="0071345C">
        <w:rPr>
          <w:i/>
          <w:sz w:val="18"/>
          <w:szCs w:val="18"/>
          <w:lang w:val="en-US"/>
        </w:rPr>
        <w:t>ū́</w:t>
      </w:r>
      <w:r w:rsidRPr="0071345C">
        <w:rPr>
          <w:i/>
          <w:sz w:val="18"/>
          <w:szCs w:val="18"/>
          <w:lang w:val="en-US"/>
        </w:rPr>
        <w:t>r</w:t>
      </w:r>
      <w:r w:rsidRPr="0071345C">
        <w:rPr>
          <w:i/>
          <w:sz w:val="18"/>
          <w:szCs w:val="18"/>
          <w:lang w:val="en-US"/>
        </w:rPr>
        <w:t>ṇ</w:t>
      </w:r>
      <w:r w:rsidRPr="0071345C">
        <w:rPr>
          <w:i/>
          <w:sz w:val="18"/>
          <w:szCs w:val="18"/>
          <w:lang w:val="en-US"/>
        </w:rPr>
        <w:t xml:space="preserve">i- </w:t>
      </w:r>
      <w:r w:rsidRPr="0071345C">
        <w:rPr>
          <w:sz w:val="18"/>
          <w:szCs w:val="18"/>
          <w:lang w:val="en-US"/>
        </w:rPr>
        <w:t xml:space="preserve">adjective derived from the root </w:t>
      </w:r>
      <w:r w:rsidRPr="0071345C">
        <w:rPr>
          <w:i/>
          <w:sz w:val="18"/>
          <w:szCs w:val="18"/>
          <w:lang w:val="en-US"/>
        </w:rPr>
        <w:t>bhur-</w:t>
      </w:r>
      <w:r w:rsidRPr="0071345C">
        <w:rPr>
          <w:sz w:val="18"/>
          <w:szCs w:val="18"/>
          <w:lang w:val="en-US"/>
        </w:rPr>
        <w:t xml:space="preserve"> “to move compulsively and continuously” cf. Lat. </w:t>
      </w:r>
      <w:r w:rsidRPr="0071345C">
        <w:rPr>
          <w:i/>
          <w:sz w:val="18"/>
          <w:szCs w:val="18"/>
          <w:lang w:val="en-US"/>
        </w:rPr>
        <w:t>furere.</w:t>
      </w:r>
    </w:p>
  </w:footnote>
  <w:footnote w:id="431">
    <w:p w14:paraId="3BE0C797"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22"/>
          <w:lang w:val="en-US"/>
        </w:rPr>
        <w:tab/>
        <w:t xml:space="preserve"> </w:t>
      </w:r>
      <w:r w:rsidRPr="0071345C">
        <w:rPr>
          <w:i/>
          <w:iCs/>
          <w:sz w:val="18"/>
          <w:szCs w:val="18"/>
          <w:lang w:val="en-US"/>
        </w:rPr>
        <w:t>v</w:t>
      </w:r>
      <w:r w:rsidRPr="0071345C">
        <w:rPr>
          <w:i/>
          <w:sz w:val="18"/>
          <w:szCs w:val="18"/>
          <w:lang w:val="en-US"/>
        </w:rPr>
        <w:t>anú</w:t>
      </w:r>
      <w:r w:rsidRPr="0071345C">
        <w:rPr>
          <w:i/>
          <w:sz w:val="18"/>
          <w:szCs w:val="18"/>
          <w:lang w:val="en-US"/>
        </w:rPr>
        <w:t>ṣ</w:t>
      </w:r>
      <w:r w:rsidRPr="0071345C">
        <w:rPr>
          <w:i/>
          <w:sz w:val="18"/>
          <w:szCs w:val="18"/>
          <w:lang w:val="en-US"/>
        </w:rPr>
        <w:t>a</w:t>
      </w:r>
      <w:r w:rsidRPr="0071345C">
        <w:rPr>
          <w:i/>
          <w:sz w:val="18"/>
          <w:szCs w:val="18"/>
          <w:lang w:val="en-US"/>
        </w:rPr>
        <w:t>ḥ</w:t>
      </w:r>
      <w:r w:rsidRPr="0071345C">
        <w:rPr>
          <w:i/>
          <w:sz w:val="18"/>
          <w:szCs w:val="18"/>
          <w:lang w:val="en-US"/>
        </w:rPr>
        <w:t xml:space="preserve"> </w:t>
      </w:r>
      <w:r w:rsidRPr="0071345C">
        <w:rPr>
          <w:sz w:val="18"/>
          <w:szCs w:val="18"/>
          <w:lang w:val="en-US"/>
        </w:rPr>
        <w:t xml:space="preserve">to be seen as genitive rather than accusative in analogy with </w:t>
      </w:r>
      <w:r w:rsidRPr="0071345C">
        <w:rPr>
          <w:i/>
          <w:sz w:val="18"/>
          <w:szCs w:val="18"/>
          <w:lang w:val="en-US"/>
        </w:rPr>
        <w:t>vanú</w:t>
      </w:r>
      <w:r w:rsidRPr="0071345C">
        <w:rPr>
          <w:i/>
          <w:sz w:val="18"/>
          <w:szCs w:val="18"/>
          <w:lang w:val="en-US"/>
        </w:rPr>
        <w:t>ṣ</w:t>
      </w:r>
      <w:r w:rsidRPr="0071345C">
        <w:rPr>
          <w:i/>
          <w:sz w:val="18"/>
          <w:szCs w:val="18"/>
          <w:lang w:val="en-US"/>
        </w:rPr>
        <w:t>ām árātī</w:t>
      </w:r>
      <w:r w:rsidRPr="0071345C">
        <w:rPr>
          <w:i/>
          <w:sz w:val="18"/>
          <w:szCs w:val="18"/>
          <w:lang w:val="en-US"/>
        </w:rPr>
        <w:t>ḥ</w:t>
      </w:r>
      <w:r w:rsidRPr="0071345C">
        <w:rPr>
          <w:sz w:val="18"/>
          <w:szCs w:val="18"/>
          <w:lang w:val="en-US"/>
        </w:rPr>
        <w:t xml:space="preserve"> cf. 4 50.11. </w:t>
      </w:r>
    </w:p>
  </w:footnote>
  <w:footnote w:id="432">
    <w:p w14:paraId="3955AEEB"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22"/>
          <w:lang w:val="en-US"/>
        </w:rPr>
        <w:tab/>
        <w:t xml:space="preserve"> </w:t>
      </w:r>
      <w:r w:rsidRPr="0071345C">
        <w:rPr>
          <w:sz w:val="18"/>
          <w:szCs w:val="18"/>
          <w:lang w:val="en-US"/>
        </w:rPr>
        <w:t>Or in other words: start the</w:t>
      </w:r>
      <w:r w:rsidRPr="0071345C">
        <w:rPr>
          <w:sz w:val="18"/>
          <w:szCs w:val="18"/>
          <w:lang w:val="en-US"/>
        </w:rPr>
        <w:t xml:space="preserve"> journey in the sky; the Aśvins are addressed here.</w:t>
      </w:r>
    </w:p>
  </w:footnote>
  <w:footnote w:id="433">
    <w:p w14:paraId="272436A7"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22"/>
          <w:lang w:val="en-US"/>
        </w:rPr>
        <w:tab/>
        <w:t xml:space="preserve"> </w:t>
      </w:r>
      <w:r w:rsidRPr="0071345C">
        <w:rPr>
          <w:i/>
          <w:iCs/>
          <w:sz w:val="18"/>
          <w:szCs w:val="18"/>
          <w:lang w:val="en-US"/>
        </w:rPr>
        <w:t>t</w:t>
      </w:r>
      <w:r w:rsidRPr="0071345C">
        <w:rPr>
          <w:i/>
          <w:sz w:val="18"/>
          <w:szCs w:val="18"/>
          <w:lang w:val="en-US"/>
        </w:rPr>
        <w:t xml:space="preserve">yájasā </w:t>
      </w:r>
      <w:r w:rsidRPr="0071345C">
        <w:rPr>
          <w:sz w:val="18"/>
          <w:szCs w:val="18"/>
          <w:lang w:val="en-US"/>
        </w:rPr>
        <w:t xml:space="preserve">(instr. n. sing.) from </w:t>
      </w:r>
      <w:r w:rsidRPr="0071345C">
        <w:rPr>
          <w:i/>
          <w:sz w:val="18"/>
          <w:szCs w:val="18"/>
          <w:lang w:val="en-US"/>
        </w:rPr>
        <w:t>tyájas-</w:t>
      </w:r>
      <w:r w:rsidRPr="0071345C">
        <w:rPr>
          <w:sz w:val="18"/>
          <w:szCs w:val="18"/>
          <w:lang w:val="en-US"/>
        </w:rPr>
        <w:t xml:space="preserve"> ; for interpretation of this term as “isolation” “abandonment” and in this sense “danger” (isolation is a serious danger for Vedic man) cf. </w:t>
      </w:r>
      <w:r w:rsidRPr="0071345C">
        <w:rPr>
          <w:smallCaps/>
          <w:sz w:val="18"/>
          <w:szCs w:val="18"/>
          <w:lang w:val="en-US"/>
        </w:rPr>
        <w:t>Gonda</w:t>
      </w:r>
      <w:r w:rsidRPr="0071345C">
        <w:rPr>
          <w:sz w:val="18"/>
          <w:szCs w:val="18"/>
          <w:lang w:val="en-US"/>
        </w:rPr>
        <w:t xml:space="preserve"> 1957</w:t>
      </w:r>
      <w:r w:rsidRPr="0071345C">
        <w:rPr>
          <w:sz w:val="18"/>
          <w:szCs w:val="18"/>
          <w:vertAlign w:val="superscript"/>
          <w:lang w:val="en-US"/>
        </w:rPr>
        <w:t>a</w:t>
      </w:r>
      <w:r w:rsidRPr="0071345C">
        <w:rPr>
          <w:sz w:val="18"/>
          <w:szCs w:val="18"/>
          <w:lang w:val="en-US"/>
        </w:rPr>
        <w:t>: 52 ff.</w:t>
      </w:r>
      <w:r w:rsidRPr="0071345C">
        <w:rPr>
          <w:sz w:val="22"/>
          <w:lang w:val="en-US"/>
        </w:rPr>
        <w:t xml:space="preserve"> </w:t>
      </w:r>
    </w:p>
  </w:footnote>
  <w:footnote w:id="434">
    <w:p w14:paraId="335170DF" w14:textId="77777777" w:rsidR="00E53EB6" w:rsidRPr="0071345C" w:rsidRDefault="006500F5">
      <w:pPr>
        <w:pStyle w:val="FootnoteText"/>
        <w:rPr>
          <w:sz w:val="18"/>
          <w:szCs w:val="18"/>
          <w:lang w:val="en-US"/>
        </w:rPr>
      </w:pPr>
      <w:r>
        <w:rPr>
          <w:rStyle w:val="FootnoteCharacters"/>
        </w:rPr>
        <w:footnoteRef/>
      </w:r>
      <w:r w:rsidRPr="0071345C">
        <w:rPr>
          <w:sz w:val="18"/>
          <w:szCs w:val="18"/>
          <w:lang w:val="en-US"/>
        </w:rPr>
        <w:tab/>
        <w:t xml:space="preserve"> In your honour.</w:t>
      </w:r>
    </w:p>
  </w:footnote>
  <w:footnote w:id="435">
    <w:p w14:paraId="5663EA6F"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w:t>
      </w:r>
      <w:r w:rsidRPr="0071345C">
        <w:rPr>
          <w:sz w:val="18"/>
          <w:szCs w:val="18"/>
          <w:lang w:val="en-US"/>
        </w:rPr>
        <w:t>Vgl</w:t>
      </w:r>
      <w:r w:rsidRPr="0071345C">
        <w:rPr>
          <w:i/>
          <w:sz w:val="18"/>
          <w:szCs w:val="18"/>
          <w:lang w:val="en-US"/>
        </w:rPr>
        <w:t>.</w:t>
      </w:r>
      <w:r w:rsidRPr="0071345C">
        <w:rPr>
          <w:sz w:val="18"/>
          <w:szCs w:val="18"/>
          <w:lang w:val="en-US"/>
        </w:rPr>
        <w:t xml:space="preserve"> “victories” cf. </w:t>
      </w:r>
      <w:r w:rsidRPr="0071345C">
        <w:rPr>
          <w:rFonts w:eastAsia="Arial Unicode MS"/>
          <w:i/>
          <w:sz w:val="18"/>
          <w:szCs w:val="18"/>
          <w:lang w:val="en-US"/>
        </w:rPr>
        <w:t>vā́jān</w:t>
      </w:r>
      <w:r w:rsidRPr="0071345C">
        <w:rPr>
          <w:sz w:val="18"/>
          <w:szCs w:val="18"/>
          <w:lang w:val="en-US"/>
        </w:rPr>
        <w:t xml:space="preserve"> in </w:t>
      </w:r>
      <w:r w:rsidRPr="0071345C">
        <w:rPr>
          <w:i/>
          <w:sz w:val="18"/>
          <w:szCs w:val="18"/>
          <w:lang w:val="en-US"/>
        </w:rPr>
        <w:t>pāda</w:t>
      </w:r>
      <w:r w:rsidRPr="0071345C">
        <w:rPr>
          <w:sz w:val="18"/>
          <w:szCs w:val="18"/>
          <w:lang w:val="en-US"/>
        </w:rPr>
        <w:t xml:space="preserve"> 9 91.4b </w:t>
      </w:r>
      <w:r w:rsidRPr="0071345C">
        <w:rPr>
          <w:rFonts w:eastAsia="Arial Unicode MS"/>
          <w:i/>
          <w:sz w:val="18"/>
          <w:szCs w:val="18"/>
          <w:lang w:val="en-US"/>
        </w:rPr>
        <w:t>punāná inda ūr</w:t>
      </w:r>
      <w:r w:rsidRPr="0071345C">
        <w:rPr>
          <w:rFonts w:eastAsia="Arial Unicode MS" w:cs="Tahoma"/>
          <w:i/>
          <w:sz w:val="18"/>
          <w:szCs w:val="18"/>
          <w:lang w:val="en-US"/>
        </w:rPr>
        <w:t>ṇ</w:t>
      </w:r>
      <w:r w:rsidRPr="0071345C">
        <w:rPr>
          <w:rFonts w:eastAsia="Arial Unicode MS"/>
          <w:i/>
          <w:sz w:val="18"/>
          <w:szCs w:val="18"/>
          <w:lang w:val="en-US"/>
        </w:rPr>
        <w:t>uhi ví vā́jān</w:t>
      </w:r>
      <w:r w:rsidRPr="0071345C">
        <w:rPr>
          <w:rFonts w:eastAsia="Arial Unicode MS"/>
          <w:sz w:val="18"/>
          <w:szCs w:val="18"/>
          <w:lang w:val="en-US"/>
        </w:rPr>
        <w:t>.</w:t>
      </w:r>
    </w:p>
  </w:footnote>
  <w:footnote w:id="436">
    <w:p w14:paraId="522592D8"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One of the kings of the tribe of the Tr̥tsu, companion to Indra, cf.</w:t>
      </w:r>
      <w:r w:rsidRPr="0071345C">
        <w:rPr>
          <w:smallCaps/>
          <w:sz w:val="18"/>
          <w:szCs w:val="18"/>
          <w:lang w:val="en-US"/>
        </w:rPr>
        <w:t xml:space="preserve"> Macdonell- </w:t>
      </w:r>
      <w:r>
        <w:rPr>
          <w:smallCaps/>
          <w:sz w:val="18"/>
          <w:szCs w:val="18"/>
          <w:lang w:val="en-GB"/>
        </w:rPr>
        <w:t>Keith</w:t>
      </w:r>
      <w:r w:rsidRPr="0071345C">
        <w:rPr>
          <w:smallCaps/>
          <w:sz w:val="18"/>
          <w:szCs w:val="18"/>
          <w:lang w:val="en-US"/>
        </w:rPr>
        <w:t xml:space="preserve"> [1912] 1995: II 454.</w:t>
      </w:r>
    </w:p>
  </w:footnote>
  <w:footnote w:id="437">
    <w:p w14:paraId="067F3F3D"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w:t>
      </w:r>
      <w:r w:rsidRPr="0071345C">
        <w:rPr>
          <w:i/>
          <w:iCs/>
          <w:sz w:val="18"/>
          <w:szCs w:val="18"/>
          <w:lang w:val="en-US"/>
        </w:rPr>
        <w:t>p</w:t>
      </w:r>
      <w:r w:rsidRPr="0071345C">
        <w:rPr>
          <w:i/>
          <w:iCs/>
          <w:sz w:val="18"/>
          <w:szCs w:val="18"/>
          <w:lang w:val="en-US"/>
        </w:rPr>
        <w:t>ā́tha</w:t>
      </w:r>
      <w:r w:rsidRPr="0071345C">
        <w:rPr>
          <w:i/>
          <w:iCs/>
          <w:sz w:val="18"/>
          <w:szCs w:val="18"/>
          <w:lang w:val="en-US"/>
        </w:rPr>
        <w:t>ḥ</w:t>
      </w:r>
      <w:r w:rsidRPr="0071345C">
        <w:rPr>
          <w:i/>
          <w:sz w:val="18"/>
          <w:szCs w:val="18"/>
          <w:lang w:val="en-US"/>
        </w:rPr>
        <w:t xml:space="preserve"> </w:t>
      </w:r>
      <w:r w:rsidRPr="0071345C">
        <w:rPr>
          <w:sz w:val="18"/>
          <w:szCs w:val="18"/>
          <w:lang w:val="en-US"/>
        </w:rPr>
        <w:t xml:space="preserve">(acc. n. sing.) from </w:t>
      </w:r>
      <w:r w:rsidRPr="0071345C">
        <w:rPr>
          <w:i/>
          <w:sz w:val="18"/>
          <w:szCs w:val="18"/>
          <w:lang w:val="en-US"/>
        </w:rPr>
        <w:t>pā́thas-</w:t>
      </w:r>
      <w:r w:rsidRPr="0071345C">
        <w:rPr>
          <w:sz w:val="18"/>
          <w:szCs w:val="18"/>
          <w:lang w:val="en-US"/>
        </w:rPr>
        <w:t xml:space="preserve"> generically “place”; in the present translation we follow the interpretation by </w:t>
      </w:r>
      <w:r w:rsidRPr="0071345C">
        <w:rPr>
          <w:smallCaps/>
          <w:sz w:val="18"/>
          <w:szCs w:val="18"/>
          <w:lang w:val="en-US"/>
        </w:rPr>
        <w:t xml:space="preserve">Schmidt </w:t>
      </w:r>
      <w:r w:rsidRPr="0071345C">
        <w:rPr>
          <w:sz w:val="18"/>
          <w:szCs w:val="18"/>
          <w:lang w:val="en-US"/>
        </w:rPr>
        <w:t xml:space="preserve">1973: 1-39 and in particular 24, </w:t>
      </w:r>
      <w:r w:rsidRPr="0071345C">
        <w:rPr>
          <w:smallCaps/>
          <w:sz w:val="18"/>
          <w:szCs w:val="18"/>
          <w:lang w:val="en-US"/>
        </w:rPr>
        <w:t>Geldner</w:t>
      </w:r>
      <w:r w:rsidRPr="0071345C">
        <w:rPr>
          <w:sz w:val="18"/>
          <w:szCs w:val="18"/>
          <w:lang w:val="en-US"/>
        </w:rPr>
        <w:t xml:space="preserve"> (II 108) “Zuflucht” and </w:t>
      </w:r>
      <w:r w:rsidRPr="0071345C">
        <w:rPr>
          <w:smallCaps/>
          <w:sz w:val="18"/>
          <w:szCs w:val="18"/>
          <w:lang w:val="en-US"/>
        </w:rPr>
        <w:t>Renou</w:t>
      </w:r>
      <w:r w:rsidRPr="0071345C">
        <w:rPr>
          <w:sz w:val="18"/>
          <w:szCs w:val="18"/>
          <w:lang w:val="en-US"/>
        </w:rPr>
        <w:t xml:space="preserve"> (XIII 48) “pacage”; on </w:t>
      </w:r>
      <w:r w:rsidRPr="0071345C">
        <w:rPr>
          <w:i/>
          <w:sz w:val="18"/>
          <w:szCs w:val="18"/>
          <w:lang w:val="en-US"/>
        </w:rPr>
        <w:t>pā́thas-</w:t>
      </w:r>
      <w:r w:rsidRPr="0071345C">
        <w:rPr>
          <w:sz w:val="18"/>
          <w:szCs w:val="18"/>
          <w:lang w:val="en-US"/>
        </w:rPr>
        <w:t xml:space="preserve"> see also </w:t>
      </w:r>
      <w:r w:rsidRPr="0071345C">
        <w:rPr>
          <w:smallCaps/>
          <w:sz w:val="18"/>
          <w:szCs w:val="18"/>
          <w:lang w:val="en-US"/>
        </w:rPr>
        <w:t>Oldenberg</w:t>
      </w:r>
      <w:r w:rsidRPr="0071345C">
        <w:rPr>
          <w:sz w:val="18"/>
          <w:szCs w:val="18"/>
          <w:lang w:val="en-US"/>
        </w:rPr>
        <w:t xml:space="preserve"> 1900: 599-608</w:t>
      </w:r>
      <w:r w:rsidRPr="0071345C">
        <w:rPr>
          <w:sz w:val="18"/>
          <w:szCs w:val="18"/>
          <w:lang w:val="en-US"/>
        </w:rPr>
        <w:t xml:space="preserve"> [n</w:t>
      </w:r>
      <w:r w:rsidRPr="0071345C">
        <w:rPr>
          <w:sz w:val="18"/>
          <w:szCs w:val="18"/>
          <w:lang w:val="en-US"/>
        </w:rPr>
        <w:t xml:space="preserve">ote </w:t>
      </w:r>
      <w:r w:rsidRPr="0071345C">
        <w:rPr>
          <w:i/>
          <w:sz w:val="18"/>
          <w:szCs w:val="18"/>
          <w:lang w:val="en-US"/>
        </w:rPr>
        <w:t>pā́tha</w:t>
      </w:r>
      <w:r w:rsidRPr="0071345C">
        <w:rPr>
          <w:i/>
          <w:sz w:val="18"/>
          <w:szCs w:val="18"/>
          <w:lang w:val="en-US"/>
        </w:rPr>
        <w:t>ḥ</w:t>
      </w:r>
      <w:r w:rsidRPr="0071345C">
        <w:rPr>
          <w:sz w:val="18"/>
          <w:szCs w:val="18"/>
          <w:lang w:val="en-US"/>
        </w:rPr>
        <w:t xml:space="preserve"> (acc. m. pl.) from </w:t>
      </w:r>
      <w:r w:rsidRPr="0071345C">
        <w:rPr>
          <w:i/>
          <w:sz w:val="18"/>
          <w:szCs w:val="18"/>
          <w:lang w:val="en-US"/>
        </w:rPr>
        <w:t>pánthā</w:t>
      </w:r>
      <w:r w:rsidRPr="0071345C">
        <w:rPr>
          <w:sz w:val="18"/>
          <w:szCs w:val="18"/>
          <w:lang w:val="en-US"/>
        </w:rPr>
        <w:t xml:space="preserve"> “road” only in 2 2.4].</w:t>
      </w:r>
    </w:p>
  </w:footnote>
  <w:footnote w:id="438">
    <w:p w14:paraId="5AA9C7AC"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w:t>
      </w:r>
      <w:r w:rsidRPr="0071345C">
        <w:rPr>
          <w:i/>
          <w:iCs/>
          <w:sz w:val="18"/>
          <w:szCs w:val="18"/>
          <w:lang w:val="en-US"/>
        </w:rPr>
        <w:t>dhvasmanvád</w:t>
      </w:r>
      <w:r w:rsidRPr="0071345C">
        <w:rPr>
          <w:sz w:val="18"/>
          <w:szCs w:val="18"/>
          <w:lang w:val="en-US"/>
        </w:rPr>
        <w:t xml:space="preserve"> (nom. n. sing.) from </w:t>
      </w:r>
      <w:r w:rsidRPr="0071345C">
        <w:rPr>
          <w:i/>
          <w:sz w:val="18"/>
          <w:szCs w:val="18"/>
          <w:lang w:val="en-US"/>
        </w:rPr>
        <w:t>dhvasmánvat-</w:t>
      </w:r>
      <w:r w:rsidRPr="0071345C">
        <w:rPr>
          <w:sz w:val="18"/>
          <w:szCs w:val="18"/>
          <w:lang w:val="en-US"/>
        </w:rPr>
        <w:t xml:space="preserve"> (m.f.n.) “endowed with dark” for </w:t>
      </w:r>
      <w:r w:rsidRPr="0071345C">
        <w:rPr>
          <w:i/>
          <w:sz w:val="18"/>
          <w:szCs w:val="18"/>
          <w:lang w:val="en-US"/>
        </w:rPr>
        <w:t>dhvasmán-</w:t>
      </w:r>
      <w:r w:rsidRPr="0071345C">
        <w:rPr>
          <w:sz w:val="18"/>
          <w:szCs w:val="18"/>
          <w:lang w:val="en-US"/>
        </w:rPr>
        <w:t xml:space="preserve"> “something dirty, decayed” but also “which darkens”; see </w:t>
      </w:r>
      <w:r w:rsidRPr="0071345C">
        <w:rPr>
          <w:smallCaps/>
          <w:sz w:val="18"/>
          <w:szCs w:val="18"/>
          <w:lang w:val="en-US"/>
        </w:rPr>
        <w:t>Renou</w:t>
      </w:r>
      <w:r w:rsidRPr="0071345C">
        <w:rPr>
          <w:sz w:val="18"/>
          <w:szCs w:val="18"/>
          <w:lang w:val="en-US"/>
        </w:rPr>
        <w:t xml:space="preserve"> X 75 (</w:t>
      </w:r>
      <w:r w:rsidRPr="0071345C">
        <w:rPr>
          <w:i/>
          <w:sz w:val="18"/>
          <w:szCs w:val="18"/>
          <w:lang w:val="en-US"/>
        </w:rPr>
        <w:t>souillure</w:t>
      </w:r>
      <w:r w:rsidRPr="0071345C">
        <w:rPr>
          <w:sz w:val="18"/>
          <w:szCs w:val="18"/>
          <w:lang w:val="en-US"/>
        </w:rPr>
        <w:t xml:space="preserve"> “stain”), </w:t>
      </w:r>
      <w:r w:rsidRPr="0071345C">
        <w:rPr>
          <w:smallCaps/>
          <w:sz w:val="18"/>
          <w:szCs w:val="18"/>
          <w:lang w:val="en-US"/>
        </w:rPr>
        <w:t xml:space="preserve">Oldenberg </w:t>
      </w:r>
      <w:r w:rsidRPr="0071345C">
        <w:rPr>
          <w:sz w:val="18"/>
          <w:szCs w:val="18"/>
          <w:lang w:val="en-US"/>
        </w:rPr>
        <w:t>1900</w:t>
      </w:r>
      <w:r w:rsidRPr="0071345C">
        <w:rPr>
          <w:sz w:val="18"/>
          <w:szCs w:val="18"/>
          <w:lang w:val="en-US"/>
        </w:rPr>
        <w:t xml:space="preserve">: 606 n. 1, and in particular </w:t>
      </w:r>
      <w:r w:rsidRPr="0071345C">
        <w:rPr>
          <w:smallCaps/>
          <w:sz w:val="18"/>
          <w:szCs w:val="18"/>
          <w:lang w:val="en-US"/>
        </w:rPr>
        <w:t xml:space="preserve">Pischel </w:t>
      </w:r>
      <w:r w:rsidRPr="0071345C">
        <w:rPr>
          <w:sz w:val="18"/>
          <w:szCs w:val="18"/>
          <w:lang w:val="en-US"/>
        </w:rPr>
        <w:t xml:space="preserve">in </w:t>
      </w:r>
      <w:r w:rsidRPr="0071345C">
        <w:rPr>
          <w:smallCaps/>
          <w:sz w:val="18"/>
          <w:szCs w:val="18"/>
          <w:lang w:val="en-US"/>
        </w:rPr>
        <w:t>Pischel-Geldner</w:t>
      </w:r>
      <w:r w:rsidRPr="0071345C">
        <w:rPr>
          <w:sz w:val="18"/>
          <w:szCs w:val="18"/>
          <w:lang w:val="en-US"/>
        </w:rPr>
        <w:t xml:space="preserve"> 1889-1901: II, 102. In the present translation the pasture is “endowed with shade” as being “covered with dust”, “hard to see” or because “darkening”, and so comparison is suggested between the herd </w:t>
      </w:r>
      <w:r w:rsidRPr="0071345C">
        <w:rPr>
          <w:sz w:val="18"/>
          <w:szCs w:val="18"/>
          <w:lang w:val="en-US"/>
        </w:rPr>
        <w:t>advancing and a grey cloud darkening the sky, cf.</w:t>
      </w:r>
      <w:r w:rsidRPr="0071345C">
        <w:rPr>
          <w:smallCaps/>
          <w:sz w:val="18"/>
          <w:szCs w:val="18"/>
          <w:lang w:val="en-US"/>
        </w:rPr>
        <w:t xml:space="preserve"> Schmidt </w:t>
      </w:r>
      <w:r w:rsidRPr="0071345C">
        <w:rPr>
          <w:sz w:val="18"/>
          <w:szCs w:val="18"/>
          <w:lang w:val="en-US"/>
        </w:rPr>
        <w:t>1973: 1-39 and in particular 24.</w:t>
      </w:r>
    </w:p>
  </w:footnote>
  <w:footnote w:id="439">
    <w:p w14:paraId="3E5DFA62"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w:t>
      </w:r>
      <w:r w:rsidRPr="0071345C">
        <w:rPr>
          <w:i/>
          <w:iCs/>
          <w:sz w:val="18"/>
          <w:szCs w:val="18"/>
          <w:lang w:val="en-US"/>
        </w:rPr>
        <w:t>p</w:t>
      </w:r>
      <w:r w:rsidRPr="0071345C">
        <w:rPr>
          <w:i/>
          <w:sz w:val="18"/>
          <w:szCs w:val="18"/>
          <w:lang w:val="en-US"/>
        </w:rPr>
        <w:t>aprathad</w:t>
      </w:r>
      <w:r w:rsidRPr="0071345C">
        <w:rPr>
          <w:sz w:val="18"/>
          <w:szCs w:val="18"/>
          <w:lang w:val="en-US"/>
        </w:rPr>
        <w:t xml:space="preserve"> (perf. subj. 3</w:t>
      </w:r>
      <w:r w:rsidRPr="0071345C">
        <w:rPr>
          <w:sz w:val="18"/>
          <w:szCs w:val="18"/>
          <w:vertAlign w:val="superscript"/>
          <w:lang w:val="en-US"/>
        </w:rPr>
        <w:t>rd</w:t>
      </w:r>
      <w:r w:rsidRPr="0071345C">
        <w:rPr>
          <w:sz w:val="18"/>
          <w:szCs w:val="18"/>
          <w:lang w:val="en-US"/>
        </w:rPr>
        <w:t xml:space="preserve"> sing.) from the root </w:t>
      </w:r>
      <w:r w:rsidRPr="0071345C">
        <w:rPr>
          <w:i/>
          <w:sz w:val="18"/>
          <w:szCs w:val="18"/>
          <w:lang w:val="en-US"/>
        </w:rPr>
        <w:t xml:space="preserve">prath- </w:t>
      </w:r>
      <w:r w:rsidRPr="0071345C">
        <w:rPr>
          <w:sz w:val="18"/>
          <w:szCs w:val="18"/>
          <w:lang w:val="en-US"/>
        </w:rPr>
        <w:t xml:space="preserve"> “to expand” “to extend”,  perfect with resultative value - logical perf. (cf. </w:t>
      </w:r>
      <w:r w:rsidRPr="0071345C">
        <w:rPr>
          <w:smallCaps/>
          <w:sz w:val="18"/>
          <w:szCs w:val="18"/>
          <w:lang w:val="en-US"/>
        </w:rPr>
        <w:t>Di Giovine</w:t>
      </w:r>
      <w:r w:rsidRPr="0071345C">
        <w:rPr>
          <w:sz w:val="18"/>
          <w:szCs w:val="18"/>
          <w:lang w:val="en-US"/>
        </w:rPr>
        <w:t xml:space="preserve"> 1996, in particul</w:t>
      </w:r>
      <w:r w:rsidRPr="0071345C">
        <w:rPr>
          <w:sz w:val="18"/>
          <w:szCs w:val="18"/>
          <w:lang w:val="en-US"/>
        </w:rPr>
        <w:t>ar 273 ff.).</w:t>
      </w:r>
    </w:p>
  </w:footnote>
  <w:footnote w:id="440">
    <w:p w14:paraId="365B66D5" w14:textId="77777777" w:rsidR="00E53EB6" w:rsidRPr="0071345C" w:rsidRDefault="006500F5">
      <w:pPr>
        <w:pStyle w:val="FootnoteText"/>
        <w:tabs>
          <w:tab w:val="left" w:pos="3079"/>
        </w:tabs>
        <w:rPr>
          <w:sz w:val="18"/>
          <w:szCs w:val="18"/>
          <w:lang w:val="en-US"/>
        </w:rPr>
      </w:pPr>
      <w:r>
        <w:rPr>
          <w:rStyle w:val="FootnoteCharacters"/>
        </w:rPr>
        <w:footnoteRef/>
      </w:r>
      <w:r w:rsidRPr="0071345C">
        <w:rPr>
          <w:sz w:val="18"/>
          <w:szCs w:val="18"/>
          <w:lang w:val="en-US"/>
        </w:rPr>
        <w:tab/>
        <w:t xml:space="preserve"> </w:t>
      </w:r>
      <w:r w:rsidRPr="0071345C">
        <w:rPr>
          <w:i/>
          <w:iCs/>
          <w:sz w:val="18"/>
          <w:szCs w:val="18"/>
          <w:lang w:val="en-US"/>
        </w:rPr>
        <w:t>b</w:t>
      </w:r>
      <w:r w:rsidRPr="0071345C">
        <w:rPr>
          <w:i/>
          <w:sz w:val="18"/>
          <w:szCs w:val="18"/>
          <w:lang w:val="en-US"/>
        </w:rPr>
        <w:t>ódhati</w:t>
      </w:r>
      <w:r w:rsidRPr="0071345C">
        <w:rPr>
          <w:sz w:val="18"/>
          <w:szCs w:val="18"/>
          <w:lang w:val="en-US"/>
        </w:rPr>
        <w:t xml:space="preserve"> (ind. pres. 3</w:t>
      </w:r>
      <w:r w:rsidRPr="0071345C">
        <w:rPr>
          <w:sz w:val="18"/>
          <w:szCs w:val="18"/>
          <w:vertAlign w:val="superscript"/>
          <w:lang w:val="en-US"/>
        </w:rPr>
        <w:t>rd</w:t>
      </w:r>
      <w:r w:rsidRPr="0071345C">
        <w:rPr>
          <w:sz w:val="18"/>
          <w:szCs w:val="18"/>
          <w:lang w:val="en-US"/>
        </w:rPr>
        <w:t xml:space="preserve"> sing.) from the root </w:t>
      </w:r>
      <w:r w:rsidRPr="0071345C">
        <w:rPr>
          <w:i/>
          <w:sz w:val="18"/>
          <w:szCs w:val="18"/>
          <w:lang w:val="en-US"/>
        </w:rPr>
        <w:t>budh-</w:t>
      </w:r>
      <w:r w:rsidRPr="0071345C">
        <w:rPr>
          <w:sz w:val="18"/>
          <w:szCs w:val="18"/>
          <w:lang w:val="en-US"/>
        </w:rPr>
        <w:t xml:space="preserve"> “to be present” “to be self aware”, in </w:t>
      </w:r>
      <w:r>
        <w:rPr>
          <w:smallCaps/>
          <w:sz w:val="18"/>
          <w:szCs w:val="18"/>
          <w:lang w:val="fr-FR"/>
        </w:rPr>
        <w:t>Renou</w:t>
      </w:r>
      <w:r>
        <w:rPr>
          <w:sz w:val="18"/>
          <w:szCs w:val="18"/>
          <w:lang w:val="fr-FR"/>
        </w:rPr>
        <w:t xml:space="preserve"> (XV 60) </w:t>
      </w:r>
      <w:r w:rsidRPr="0071345C">
        <w:rPr>
          <w:sz w:val="18"/>
          <w:szCs w:val="18"/>
          <w:lang w:val="en-US"/>
        </w:rPr>
        <w:t>“</w:t>
      </w:r>
      <w:r>
        <w:rPr>
          <w:sz w:val="18"/>
          <w:szCs w:val="18"/>
          <w:lang w:val="fr-FR"/>
        </w:rPr>
        <w:t>veille-t-il sur lui-même</w:t>
      </w:r>
      <w:r w:rsidRPr="0071345C">
        <w:rPr>
          <w:sz w:val="18"/>
          <w:szCs w:val="18"/>
          <w:lang w:val="en-US"/>
        </w:rPr>
        <w:t>”</w:t>
      </w:r>
      <w:r>
        <w:rPr>
          <w:sz w:val="18"/>
          <w:szCs w:val="18"/>
          <w:lang w:val="fr-FR"/>
        </w:rPr>
        <w:t xml:space="preserve"> .</w:t>
      </w:r>
    </w:p>
  </w:footnote>
  <w:footnote w:id="441">
    <w:p w14:paraId="6B84BC10"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Pr>
          <w:sz w:val="18"/>
          <w:szCs w:val="18"/>
          <w:lang w:val="fr-FR"/>
        </w:rPr>
        <w:tab/>
        <w:t xml:space="preserve"> </w:t>
      </w:r>
      <w:r>
        <w:rPr>
          <w:i/>
          <w:sz w:val="18"/>
          <w:szCs w:val="18"/>
          <w:lang w:val="fr-FR"/>
        </w:rPr>
        <w:t>r̥</w:t>
      </w:r>
      <w:r>
        <w:rPr>
          <w:i/>
          <w:sz w:val="18"/>
          <w:szCs w:val="18"/>
          <w:lang w:val="fr-FR"/>
        </w:rPr>
        <w:t>júr íc chá</w:t>
      </w:r>
      <w:r>
        <w:rPr>
          <w:i/>
          <w:sz w:val="18"/>
          <w:szCs w:val="18"/>
          <w:lang w:val="fr-FR"/>
        </w:rPr>
        <w:t>ṃ</w:t>
      </w:r>
      <w:r>
        <w:rPr>
          <w:i/>
          <w:sz w:val="18"/>
          <w:szCs w:val="18"/>
          <w:lang w:val="fr-FR"/>
        </w:rPr>
        <w:t>sa</w:t>
      </w:r>
      <w:r>
        <w:rPr>
          <w:i/>
          <w:sz w:val="18"/>
          <w:szCs w:val="18"/>
          <w:lang w:val="fr-FR"/>
        </w:rPr>
        <w:t>ḥ</w:t>
      </w:r>
      <w:r>
        <w:rPr>
          <w:sz w:val="18"/>
          <w:szCs w:val="18"/>
          <w:lang w:val="fr-FR"/>
        </w:rPr>
        <w:t xml:space="preserve">: </w:t>
      </w:r>
      <w:r>
        <w:rPr>
          <w:i/>
          <w:iCs/>
          <w:sz w:val="18"/>
          <w:szCs w:val="18"/>
          <w:lang w:val="fr-FR"/>
        </w:rPr>
        <w:t>tmesis</w:t>
      </w:r>
      <w:r>
        <w:rPr>
          <w:sz w:val="18"/>
          <w:szCs w:val="18"/>
          <w:lang w:val="fr-FR"/>
        </w:rPr>
        <w:t xml:space="preserve"> of </w:t>
      </w:r>
      <w:r>
        <w:rPr>
          <w:i/>
          <w:sz w:val="18"/>
          <w:szCs w:val="18"/>
          <w:lang w:val="fr-FR"/>
        </w:rPr>
        <w:t>r̥júrśá</w:t>
      </w:r>
      <w:r>
        <w:rPr>
          <w:i/>
          <w:sz w:val="18"/>
          <w:szCs w:val="18"/>
          <w:lang w:val="fr-FR"/>
        </w:rPr>
        <w:t>ṃ</w:t>
      </w:r>
      <w:r>
        <w:rPr>
          <w:i/>
          <w:sz w:val="18"/>
          <w:szCs w:val="18"/>
          <w:lang w:val="fr-FR"/>
        </w:rPr>
        <w:t>sa</w:t>
      </w:r>
      <w:r>
        <w:rPr>
          <w:i/>
          <w:sz w:val="18"/>
          <w:szCs w:val="18"/>
          <w:lang w:val="fr-FR"/>
        </w:rPr>
        <w:t>ḥ</w:t>
      </w:r>
      <w:r>
        <w:rPr>
          <w:i/>
          <w:sz w:val="18"/>
          <w:szCs w:val="18"/>
          <w:lang w:val="fr-FR"/>
        </w:rPr>
        <w:t xml:space="preserve"> </w:t>
      </w:r>
      <w:r>
        <w:rPr>
          <w:sz w:val="18"/>
          <w:szCs w:val="18"/>
          <w:lang w:val="fr-FR"/>
        </w:rPr>
        <w:t xml:space="preserve">(nom. m. </w:t>
      </w:r>
      <w:r>
        <w:rPr>
          <w:sz w:val="18"/>
          <w:szCs w:val="18"/>
          <w:lang w:val="en-GB"/>
        </w:rPr>
        <w:t>sing</w:t>
      </w:r>
      <w:r>
        <w:rPr>
          <w:sz w:val="18"/>
          <w:szCs w:val="18"/>
          <w:lang w:val="fr-FR"/>
        </w:rPr>
        <w:t xml:space="preserve">.) </w:t>
      </w:r>
      <w:r>
        <w:rPr>
          <w:i/>
          <w:sz w:val="18"/>
          <w:szCs w:val="18"/>
          <w:lang w:val="fr-FR"/>
        </w:rPr>
        <w:t>bahuvrīhi from k</w:t>
      </w:r>
      <w:r w:rsidRPr="0071345C">
        <w:rPr>
          <w:i/>
          <w:sz w:val="18"/>
          <w:szCs w:val="18"/>
          <w:lang w:val="en-US"/>
        </w:rPr>
        <w:t>a</w:t>
      </w:r>
      <w:r>
        <w:rPr>
          <w:i/>
          <w:sz w:val="18"/>
          <w:szCs w:val="18"/>
          <w:lang w:val="fr-FR"/>
        </w:rPr>
        <w:t>rmadh</w:t>
      </w:r>
      <w:r w:rsidRPr="0071345C">
        <w:rPr>
          <w:i/>
          <w:sz w:val="18"/>
          <w:szCs w:val="18"/>
          <w:lang w:val="en-US"/>
        </w:rPr>
        <w:t>ā</w:t>
      </w:r>
      <w:r>
        <w:rPr>
          <w:i/>
          <w:sz w:val="18"/>
          <w:szCs w:val="18"/>
          <w:lang w:val="fr-FR"/>
        </w:rPr>
        <w:t xml:space="preserve">raya </w:t>
      </w:r>
      <w:r>
        <w:rPr>
          <w:sz w:val="18"/>
          <w:szCs w:val="18"/>
          <w:lang w:val="fr-FR"/>
        </w:rPr>
        <w:t>(</w:t>
      </w:r>
      <w:r>
        <w:rPr>
          <w:i/>
          <w:sz w:val="18"/>
          <w:szCs w:val="18"/>
          <w:lang w:val="fr-FR"/>
        </w:rPr>
        <w:t>r̥j</w:t>
      </w:r>
      <w:r w:rsidRPr="0071345C">
        <w:rPr>
          <w:i/>
          <w:sz w:val="18"/>
          <w:szCs w:val="18"/>
          <w:lang w:val="en-US"/>
        </w:rPr>
        <w:t>ú</w:t>
      </w:r>
      <w:r>
        <w:rPr>
          <w:i/>
          <w:sz w:val="18"/>
          <w:szCs w:val="18"/>
          <w:lang w:val="fr-FR"/>
        </w:rPr>
        <w:t>-</w:t>
      </w:r>
      <w:r>
        <w:rPr>
          <w:sz w:val="18"/>
          <w:szCs w:val="18"/>
          <w:lang w:val="fr-FR"/>
        </w:rPr>
        <w:t xml:space="preserve"> </w:t>
      </w:r>
      <w:r w:rsidRPr="0071345C">
        <w:rPr>
          <w:sz w:val="18"/>
          <w:szCs w:val="18"/>
          <w:lang w:val="en-US"/>
        </w:rPr>
        <w:t xml:space="preserve">“ just, righteous” + </w:t>
      </w:r>
      <w:r>
        <w:rPr>
          <w:i/>
          <w:sz w:val="18"/>
          <w:szCs w:val="18"/>
          <w:lang w:val="fr-FR"/>
        </w:rPr>
        <w:t>śá</w:t>
      </w:r>
      <w:r>
        <w:rPr>
          <w:i/>
          <w:sz w:val="18"/>
          <w:szCs w:val="18"/>
          <w:lang w:val="fr-FR"/>
        </w:rPr>
        <w:t>ṃ</w:t>
      </w:r>
      <w:r>
        <w:rPr>
          <w:i/>
          <w:sz w:val="18"/>
          <w:szCs w:val="18"/>
          <w:lang w:val="fr-FR"/>
        </w:rPr>
        <w:t>sa-</w:t>
      </w:r>
      <w:r>
        <w:rPr>
          <w:sz w:val="18"/>
          <w:szCs w:val="18"/>
          <w:lang w:val="fr-FR"/>
        </w:rPr>
        <w:t xml:space="preserve"> </w:t>
      </w:r>
      <w:r w:rsidRPr="0071345C">
        <w:rPr>
          <w:sz w:val="18"/>
          <w:szCs w:val="18"/>
          <w:lang w:val="en-US"/>
        </w:rPr>
        <w:t>“prayer”) “ he who rightly prays”.</w:t>
      </w:r>
    </w:p>
  </w:footnote>
  <w:footnote w:id="442">
    <w:p w14:paraId="5E2FA4FA"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w:t>
      </w:r>
      <w:r w:rsidRPr="0071345C">
        <w:rPr>
          <w:i/>
          <w:iCs/>
          <w:sz w:val="18"/>
          <w:szCs w:val="18"/>
          <w:lang w:val="en-US"/>
        </w:rPr>
        <w:t>suprāvī́r</w:t>
      </w:r>
      <w:r w:rsidRPr="0071345C">
        <w:rPr>
          <w:sz w:val="18"/>
          <w:szCs w:val="18"/>
          <w:lang w:val="en-US"/>
        </w:rPr>
        <w:t xml:space="preserve"> (nom. m. sing.) from </w:t>
      </w:r>
      <w:r w:rsidRPr="0071345C">
        <w:rPr>
          <w:i/>
          <w:sz w:val="18"/>
          <w:szCs w:val="18"/>
          <w:lang w:val="en-US"/>
        </w:rPr>
        <w:t>suprāvī́-</w:t>
      </w:r>
      <w:r w:rsidRPr="0071345C">
        <w:rPr>
          <w:sz w:val="18"/>
          <w:szCs w:val="18"/>
          <w:lang w:val="en-US"/>
        </w:rPr>
        <w:t xml:space="preserve"> “very attentive”; a somewhat unclear interpretation is given by </w:t>
      </w:r>
      <w:r w:rsidRPr="0071345C">
        <w:rPr>
          <w:smallCaps/>
          <w:sz w:val="18"/>
          <w:szCs w:val="18"/>
          <w:lang w:val="en-US"/>
        </w:rPr>
        <w:t>Geldner,</w:t>
      </w:r>
      <w:r w:rsidRPr="0071345C">
        <w:rPr>
          <w:sz w:val="18"/>
          <w:szCs w:val="18"/>
          <w:lang w:val="en-US"/>
        </w:rPr>
        <w:t xml:space="preserve"> (I 309 n. 1c) “Wer gut zuredet”, who, in the note, refers to the verb </w:t>
      </w:r>
      <w:r w:rsidRPr="0071345C">
        <w:rPr>
          <w:i/>
          <w:sz w:val="18"/>
          <w:szCs w:val="18"/>
          <w:lang w:val="en-US"/>
        </w:rPr>
        <w:t>prá vi</w:t>
      </w:r>
      <w:r w:rsidRPr="0071345C">
        <w:rPr>
          <w:i/>
          <w:sz w:val="18"/>
          <w:szCs w:val="18"/>
          <w:lang w:val="en-US"/>
        </w:rPr>
        <w:t>hi</w:t>
      </w:r>
      <w:r w:rsidRPr="0071345C">
        <w:rPr>
          <w:sz w:val="18"/>
          <w:szCs w:val="18"/>
          <w:lang w:val="en-US"/>
        </w:rPr>
        <w:t xml:space="preserve"> in the following stanza: </w:t>
      </w:r>
      <w:r w:rsidRPr="0071345C">
        <w:rPr>
          <w:i/>
          <w:sz w:val="18"/>
          <w:szCs w:val="18"/>
          <w:lang w:val="en-US"/>
        </w:rPr>
        <w:t>suprāvī́</w:t>
      </w:r>
      <w:r w:rsidRPr="0071345C">
        <w:rPr>
          <w:sz w:val="18"/>
          <w:szCs w:val="18"/>
          <w:lang w:val="en-US"/>
        </w:rPr>
        <w:t xml:space="preserve">  derives from </w:t>
      </w:r>
      <w:r w:rsidRPr="0071345C">
        <w:rPr>
          <w:i/>
          <w:sz w:val="18"/>
          <w:szCs w:val="18"/>
          <w:lang w:val="en-US"/>
        </w:rPr>
        <w:t>su</w:t>
      </w:r>
      <w:r w:rsidRPr="0071345C">
        <w:rPr>
          <w:sz w:val="18"/>
          <w:szCs w:val="18"/>
          <w:lang w:val="en-US"/>
        </w:rPr>
        <w:t xml:space="preserve"> “well” and </w:t>
      </w:r>
      <w:r w:rsidRPr="0071345C">
        <w:rPr>
          <w:i/>
          <w:sz w:val="18"/>
          <w:szCs w:val="18"/>
          <w:lang w:val="en-US"/>
        </w:rPr>
        <w:t>pra-avī</w:t>
      </w:r>
      <w:r w:rsidRPr="0071345C">
        <w:rPr>
          <w:sz w:val="18"/>
          <w:szCs w:val="18"/>
          <w:lang w:val="en-US"/>
        </w:rPr>
        <w:t xml:space="preserve"> &lt; rad</w:t>
      </w:r>
      <w:r w:rsidRPr="0071345C">
        <w:rPr>
          <w:i/>
          <w:sz w:val="18"/>
          <w:szCs w:val="18"/>
          <w:lang w:val="en-US"/>
        </w:rPr>
        <w:t>. av-</w:t>
      </w:r>
      <w:r w:rsidRPr="0071345C">
        <w:rPr>
          <w:sz w:val="18"/>
          <w:szCs w:val="18"/>
          <w:lang w:val="en-US"/>
        </w:rPr>
        <w:t xml:space="preserve"> “to protect” while the verb </w:t>
      </w:r>
      <w:r w:rsidRPr="0071345C">
        <w:rPr>
          <w:i/>
          <w:sz w:val="18"/>
          <w:szCs w:val="18"/>
          <w:lang w:val="en-US"/>
        </w:rPr>
        <w:t>pra–vī-</w:t>
      </w:r>
      <w:r w:rsidRPr="0071345C">
        <w:rPr>
          <w:sz w:val="18"/>
          <w:szCs w:val="18"/>
          <w:lang w:val="en-US"/>
        </w:rPr>
        <w:t xml:space="preserve"> “to hasten, set moving” “to inspire”, from which </w:t>
      </w:r>
      <w:r w:rsidRPr="0071345C">
        <w:rPr>
          <w:i/>
          <w:sz w:val="18"/>
          <w:szCs w:val="18"/>
          <w:lang w:val="en-US"/>
        </w:rPr>
        <w:t>prá vihi</w:t>
      </w:r>
      <w:r w:rsidRPr="0071345C">
        <w:rPr>
          <w:sz w:val="18"/>
          <w:szCs w:val="18"/>
          <w:lang w:val="en-US"/>
        </w:rPr>
        <w:t xml:space="preserve">, has no connection with this root.  </w:t>
      </w:r>
    </w:p>
  </w:footnote>
  <w:footnote w:id="443">
    <w:p w14:paraId="64D8EBB3"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For the extremely extensive use of the</w:t>
      </w:r>
      <w:r w:rsidRPr="0071345C">
        <w:rPr>
          <w:sz w:val="18"/>
          <w:szCs w:val="18"/>
          <w:lang w:val="en-US"/>
        </w:rPr>
        <w:t xml:space="preserve"> term </w:t>
      </w:r>
      <w:r w:rsidRPr="0071345C">
        <w:rPr>
          <w:i/>
          <w:sz w:val="18"/>
          <w:szCs w:val="18"/>
          <w:lang w:val="en-US"/>
        </w:rPr>
        <w:t>bhójana</w:t>
      </w:r>
      <w:r w:rsidRPr="0071345C">
        <w:rPr>
          <w:sz w:val="18"/>
          <w:szCs w:val="18"/>
          <w:lang w:val="en-US"/>
        </w:rPr>
        <w:t xml:space="preserve">- “nourishment” in Hinduism cf. </w:t>
      </w:r>
      <w:r w:rsidRPr="0071345C">
        <w:rPr>
          <w:smallCaps/>
          <w:sz w:val="18"/>
          <w:szCs w:val="18"/>
          <w:lang w:val="en-US"/>
        </w:rPr>
        <w:t>Renou</w:t>
      </w:r>
      <w:r w:rsidRPr="0071345C">
        <w:rPr>
          <w:sz w:val="18"/>
          <w:szCs w:val="18"/>
          <w:lang w:val="en-US"/>
        </w:rPr>
        <w:t xml:space="preserve"> XV 61. </w:t>
      </w:r>
    </w:p>
  </w:footnote>
  <w:footnote w:id="444">
    <w:p w14:paraId="70D72CE8" w14:textId="77777777" w:rsidR="00E53EB6" w:rsidRPr="0071345C" w:rsidRDefault="006500F5">
      <w:pPr>
        <w:pStyle w:val="FootnoteText"/>
        <w:rPr>
          <w:sz w:val="18"/>
          <w:szCs w:val="18"/>
          <w:lang w:val="en-US"/>
        </w:rPr>
      </w:pPr>
      <w:r>
        <w:rPr>
          <w:rStyle w:val="FootnoteCharacters"/>
        </w:rPr>
        <w:footnoteRef/>
      </w:r>
      <w:r w:rsidRPr="0071345C">
        <w:rPr>
          <w:sz w:val="18"/>
          <w:szCs w:val="18"/>
          <w:lang w:val="en-US"/>
        </w:rPr>
        <w:tab/>
        <w:t xml:space="preserve"> Of soma.</w:t>
      </w:r>
    </w:p>
  </w:footnote>
  <w:footnote w:id="445">
    <w:p w14:paraId="09E2BC4B"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Metaphor for kindling fire, while according to </w:t>
      </w:r>
      <w:r w:rsidRPr="0071345C">
        <w:rPr>
          <w:smallCaps/>
          <w:sz w:val="18"/>
          <w:szCs w:val="18"/>
          <w:lang w:val="en-US"/>
        </w:rPr>
        <w:t>Geldner</w:t>
      </w:r>
      <w:r w:rsidRPr="0071345C">
        <w:rPr>
          <w:sz w:val="18"/>
          <w:szCs w:val="18"/>
          <w:lang w:val="en-US"/>
        </w:rPr>
        <w:t xml:space="preserve"> (III 72 n. 4c) what is strong (</w:t>
      </w:r>
      <w:r w:rsidRPr="0071345C">
        <w:rPr>
          <w:i/>
          <w:sz w:val="18"/>
          <w:szCs w:val="18"/>
          <w:lang w:val="en-US"/>
        </w:rPr>
        <w:t>inásya</w:t>
      </w:r>
      <w:r w:rsidRPr="0071345C">
        <w:rPr>
          <w:sz w:val="18"/>
          <w:szCs w:val="18"/>
          <w:lang w:val="en-US"/>
        </w:rPr>
        <w:t>) is Soma itself.</w:t>
      </w:r>
    </w:p>
  </w:footnote>
  <w:footnote w:id="446">
    <w:p w14:paraId="5A5E2E09"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w:t>
      </w:r>
      <w:r w:rsidRPr="0071345C">
        <w:rPr>
          <w:i/>
          <w:sz w:val="18"/>
          <w:szCs w:val="18"/>
          <w:lang w:val="en-US"/>
        </w:rPr>
        <w:t>Urubjám</w:t>
      </w:r>
      <w:r w:rsidRPr="0071345C">
        <w:rPr>
          <w:sz w:val="18"/>
          <w:szCs w:val="18"/>
          <w:lang w:val="en-US"/>
        </w:rPr>
        <w:t xml:space="preserve"> (acc. m. sing.) from </w:t>
      </w:r>
      <w:r w:rsidRPr="0071345C">
        <w:rPr>
          <w:i/>
          <w:sz w:val="18"/>
          <w:szCs w:val="18"/>
          <w:lang w:val="en-US"/>
        </w:rPr>
        <w:t>urubjá-</w:t>
      </w:r>
      <w:r w:rsidRPr="0071345C">
        <w:rPr>
          <w:sz w:val="18"/>
          <w:szCs w:val="18"/>
          <w:lang w:val="en-US"/>
        </w:rPr>
        <w:t xml:space="preserve">, adjective of uncertain etymology, see EWAia: I 223; other interpretations in  </w:t>
      </w:r>
      <w:r w:rsidRPr="0071345C">
        <w:rPr>
          <w:smallCaps/>
          <w:sz w:val="18"/>
          <w:szCs w:val="18"/>
          <w:lang w:val="en-US"/>
        </w:rPr>
        <w:t>Oldenberg</w:t>
      </w:r>
      <w:r w:rsidRPr="0071345C">
        <w:rPr>
          <w:sz w:val="18"/>
          <w:szCs w:val="18"/>
          <w:lang w:val="en-US"/>
        </w:rPr>
        <w:t xml:space="preserve"> 1912, 173 n. 4 and in </w:t>
      </w:r>
      <w:r w:rsidRPr="0071345C">
        <w:rPr>
          <w:smallCaps/>
          <w:sz w:val="18"/>
          <w:szCs w:val="18"/>
          <w:lang w:val="en-US"/>
        </w:rPr>
        <w:t>Renou</w:t>
      </w:r>
      <w:r w:rsidRPr="0071345C">
        <w:rPr>
          <w:sz w:val="18"/>
          <w:szCs w:val="18"/>
          <w:lang w:val="en-US"/>
        </w:rPr>
        <w:t xml:space="preserve"> IX 88; the term clearly contains the idea of “that which is opened”. </w:t>
      </w:r>
    </w:p>
  </w:footnote>
  <w:footnote w:id="447">
    <w:p w14:paraId="6A18F039"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“You have spread light on the earth” </w:t>
      </w:r>
      <w:r w:rsidRPr="0071345C">
        <w:rPr>
          <w:i/>
          <w:sz w:val="18"/>
          <w:szCs w:val="18"/>
          <w:lang w:val="en-US"/>
        </w:rPr>
        <w:t>tatantha</w:t>
      </w:r>
      <w:r w:rsidRPr="0071345C">
        <w:rPr>
          <w:sz w:val="18"/>
          <w:szCs w:val="18"/>
          <w:lang w:val="en-US"/>
        </w:rPr>
        <w:t xml:space="preserve"> (ind. perf. 2</w:t>
      </w:r>
      <w:r w:rsidRPr="0071345C">
        <w:rPr>
          <w:sz w:val="18"/>
          <w:szCs w:val="18"/>
          <w:vertAlign w:val="superscript"/>
          <w:lang w:val="en-US"/>
        </w:rPr>
        <w:t>nd</w:t>
      </w:r>
      <w:r w:rsidRPr="0071345C">
        <w:rPr>
          <w:sz w:val="18"/>
          <w:szCs w:val="18"/>
          <w:lang w:val="en-US"/>
        </w:rPr>
        <w:t xml:space="preserve"> sin</w:t>
      </w:r>
      <w:r w:rsidRPr="0071345C">
        <w:rPr>
          <w:sz w:val="18"/>
          <w:szCs w:val="18"/>
          <w:lang w:val="en-US"/>
        </w:rPr>
        <w:t xml:space="preserve">g.) from </w:t>
      </w:r>
      <w:r w:rsidRPr="0071345C">
        <w:rPr>
          <w:i/>
          <w:sz w:val="18"/>
          <w:szCs w:val="18"/>
          <w:lang w:val="en-US"/>
        </w:rPr>
        <w:t>tan-</w:t>
      </w:r>
      <w:r w:rsidRPr="0071345C">
        <w:rPr>
          <w:sz w:val="18"/>
          <w:szCs w:val="18"/>
          <w:lang w:val="en-US"/>
        </w:rPr>
        <w:t xml:space="preserve"> “to extend, to spread” here used with a sense much as in the tenth </w:t>
      </w:r>
      <w:r w:rsidRPr="0071345C">
        <w:rPr>
          <w:i/>
          <w:sz w:val="18"/>
          <w:szCs w:val="18"/>
          <w:lang w:val="en-US"/>
        </w:rPr>
        <w:t>ma</w:t>
      </w:r>
      <w:r w:rsidRPr="0071345C">
        <w:rPr>
          <w:i/>
          <w:sz w:val="18"/>
          <w:szCs w:val="18"/>
          <w:lang w:val="en-US"/>
        </w:rPr>
        <w:t>ṇḍ</w:t>
      </w:r>
      <w:r w:rsidRPr="0071345C">
        <w:rPr>
          <w:i/>
          <w:sz w:val="18"/>
          <w:szCs w:val="18"/>
          <w:lang w:val="en-US"/>
        </w:rPr>
        <w:t>ala</w:t>
      </w:r>
      <w:r w:rsidRPr="0071345C">
        <w:rPr>
          <w:sz w:val="18"/>
          <w:szCs w:val="18"/>
          <w:lang w:val="en-US"/>
        </w:rPr>
        <w:t xml:space="preserve"> (cf. 10 90.6 a-b </w:t>
      </w:r>
      <w:r w:rsidRPr="0071345C">
        <w:rPr>
          <w:i/>
          <w:sz w:val="18"/>
          <w:szCs w:val="18"/>
          <w:lang w:val="en-US"/>
        </w:rPr>
        <w:t>yát púru</w:t>
      </w:r>
      <w:r w:rsidRPr="0071345C">
        <w:rPr>
          <w:i/>
          <w:sz w:val="18"/>
          <w:szCs w:val="18"/>
          <w:lang w:val="en-US"/>
        </w:rPr>
        <w:t>ṣ</w:t>
      </w:r>
      <w:r w:rsidRPr="0071345C">
        <w:rPr>
          <w:i/>
          <w:sz w:val="18"/>
          <w:szCs w:val="18"/>
          <w:lang w:val="en-US"/>
        </w:rPr>
        <w:t>e</w:t>
      </w:r>
      <w:r w:rsidRPr="0071345C">
        <w:rPr>
          <w:i/>
          <w:sz w:val="18"/>
          <w:szCs w:val="18"/>
          <w:lang w:val="en-US"/>
        </w:rPr>
        <w:t>ṇ</w:t>
      </w:r>
      <w:r w:rsidRPr="0071345C">
        <w:rPr>
          <w:i/>
          <w:sz w:val="18"/>
          <w:szCs w:val="18"/>
          <w:lang w:val="en-US"/>
        </w:rPr>
        <w:t>a haví</w:t>
      </w:r>
      <w:r w:rsidRPr="0071345C">
        <w:rPr>
          <w:i/>
          <w:sz w:val="18"/>
          <w:szCs w:val="18"/>
          <w:lang w:val="en-US"/>
        </w:rPr>
        <w:t>ṣ</w:t>
      </w:r>
      <w:r w:rsidRPr="0071345C">
        <w:rPr>
          <w:i/>
          <w:sz w:val="18"/>
          <w:szCs w:val="18"/>
          <w:lang w:val="en-US"/>
        </w:rPr>
        <w:t>ā devā́ yajñám átanvata</w:t>
      </w:r>
      <w:r w:rsidRPr="0071345C">
        <w:rPr>
          <w:sz w:val="18"/>
          <w:szCs w:val="18"/>
          <w:lang w:val="en-US"/>
        </w:rPr>
        <w:t>) where it is the sacrifice that is “extended”, “prepared” thanks to man, and just as there is no sacrifice w</w:t>
      </w:r>
      <w:r w:rsidRPr="0071345C">
        <w:rPr>
          <w:sz w:val="18"/>
          <w:szCs w:val="18"/>
          <w:lang w:val="en-US"/>
        </w:rPr>
        <w:t xml:space="preserve">ithout </w:t>
      </w:r>
      <w:r w:rsidRPr="0071345C">
        <w:rPr>
          <w:i/>
          <w:sz w:val="18"/>
          <w:szCs w:val="18"/>
          <w:lang w:val="en-US"/>
        </w:rPr>
        <w:t>puru</w:t>
      </w:r>
      <w:r w:rsidRPr="0071345C">
        <w:rPr>
          <w:i/>
          <w:sz w:val="18"/>
          <w:szCs w:val="18"/>
          <w:lang w:val="en-US"/>
        </w:rPr>
        <w:t>ṣ</w:t>
      </w:r>
      <w:r w:rsidRPr="0071345C">
        <w:rPr>
          <w:i/>
          <w:sz w:val="18"/>
          <w:szCs w:val="18"/>
          <w:lang w:val="en-US"/>
        </w:rPr>
        <w:t>a</w:t>
      </w:r>
      <w:r w:rsidRPr="0071345C">
        <w:rPr>
          <w:sz w:val="18"/>
          <w:szCs w:val="18"/>
          <w:lang w:val="en-US"/>
        </w:rPr>
        <w:t xml:space="preserve">, so here there is no earth without light; on this point see also </w:t>
      </w:r>
      <w:r w:rsidRPr="0071345C">
        <w:rPr>
          <w:smallCaps/>
          <w:sz w:val="18"/>
          <w:szCs w:val="18"/>
          <w:lang w:val="en-US"/>
        </w:rPr>
        <w:t>Malamoud</w:t>
      </w:r>
      <w:r w:rsidRPr="0071345C">
        <w:rPr>
          <w:sz w:val="18"/>
          <w:szCs w:val="18"/>
          <w:lang w:val="en-US"/>
        </w:rPr>
        <w:t xml:space="preserve"> (1994: 223) “To accomplish the sacrifice […] is to open it out: give it its entire extension while preserving its continuity”.</w:t>
      </w:r>
    </w:p>
  </w:footnote>
  <w:footnote w:id="448">
    <w:p w14:paraId="59C4BC8E"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w:t>
      </w:r>
      <w:r w:rsidRPr="0071345C">
        <w:rPr>
          <w:i/>
          <w:iCs/>
          <w:sz w:val="18"/>
          <w:szCs w:val="18"/>
          <w:lang w:val="en-US"/>
        </w:rPr>
        <w:t>yanvántu</w:t>
      </w:r>
      <w:r w:rsidRPr="0071345C">
        <w:rPr>
          <w:sz w:val="18"/>
          <w:szCs w:val="18"/>
          <w:lang w:val="en-US"/>
        </w:rPr>
        <w:t xml:space="preserve"> (impv. pres. 3</w:t>
      </w:r>
      <w:r w:rsidRPr="0071345C">
        <w:rPr>
          <w:sz w:val="18"/>
          <w:szCs w:val="18"/>
          <w:vertAlign w:val="superscript"/>
          <w:lang w:val="en-US"/>
        </w:rPr>
        <w:t>rd</w:t>
      </w:r>
      <w:r w:rsidRPr="0071345C">
        <w:rPr>
          <w:sz w:val="18"/>
          <w:szCs w:val="18"/>
          <w:lang w:val="en-US"/>
        </w:rPr>
        <w:t xml:space="preserve"> pl.) from th</w:t>
      </w:r>
      <w:r w:rsidRPr="0071345C">
        <w:rPr>
          <w:sz w:val="18"/>
          <w:szCs w:val="18"/>
          <w:lang w:val="en-US"/>
        </w:rPr>
        <w:t xml:space="preserve">e root </w:t>
      </w:r>
      <w:r w:rsidRPr="0071345C">
        <w:rPr>
          <w:i/>
          <w:sz w:val="18"/>
          <w:szCs w:val="18"/>
          <w:lang w:val="en-US"/>
        </w:rPr>
        <w:t>van-</w:t>
      </w:r>
      <w:r w:rsidRPr="0071345C">
        <w:rPr>
          <w:sz w:val="18"/>
          <w:szCs w:val="18"/>
          <w:lang w:val="en-US"/>
        </w:rPr>
        <w:t xml:space="preserve">; while in the two previous </w:t>
      </w:r>
      <w:r w:rsidRPr="0071345C">
        <w:rPr>
          <w:i/>
          <w:sz w:val="18"/>
          <w:szCs w:val="18"/>
          <w:lang w:val="en-US"/>
        </w:rPr>
        <w:t>pāda</w:t>
      </w:r>
      <w:r w:rsidRPr="0071345C">
        <w:rPr>
          <w:sz w:val="18"/>
          <w:szCs w:val="18"/>
          <w:lang w:val="en-US"/>
        </w:rPr>
        <w:t xml:space="preserve"> the verb has as subject an “us”, here the subject is clearly a group other than that which is performing the rite, possibly a group in attendance or for whom the rite is performed (warriors going into battle?).</w:t>
      </w:r>
    </w:p>
  </w:footnote>
  <w:footnote w:id="449">
    <w:p w14:paraId="6B828B78"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w:t>
      </w:r>
      <w:r w:rsidRPr="0071345C">
        <w:rPr>
          <w:i/>
          <w:iCs/>
          <w:sz w:val="18"/>
          <w:szCs w:val="18"/>
          <w:lang w:val="en-US"/>
        </w:rPr>
        <w:t>a</w:t>
      </w:r>
      <w:r w:rsidRPr="0071345C">
        <w:rPr>
          <w:i/>
          <w:iCs/>
          <w:sz w:val="18"/>
          <w:szCs w:val="18"/>
          <w:lang w:val="en-US"/>
        </w:rPr>
        <w:t>ryáh</w:t>
      </w:r>
      <w:r w:rsidRPr="0071345C">
        <w:rPr>
          <w:sz w:val="18"/>
          <w:szCs w:val="18"/>
          <w:lang w:val="en-US"/>
        </w:rPr>
        <w:t xml:space="preserve"> (gen. m. sing., Vedic form</w:t>
      </w:r>
      <w:r w:rsidRPr="0071345C">
        <w:rPr>
          <w:sz w:val="18"/>
          <w:szCs w:val="18"/>
          <w:lang w:val="en-US"/>
        </w:rPr>
        <w:t xml:space="preserve"> cf. </w:t>
      </w:r>
      <w:r w:rsidRPr="0071345C">
        <w:rPr>
          <w:smallCaps/>
          <w:sz w:val="18"/>
          <w:szCs w:val="18"/>
          <w:lang w:val="en-US"/>
        </w:rPr>
        <w:t xml:space="preserve">Whitney </w:t>
      </w:r>
      <w:r w:rsidRPr="0071345C">
        <w:rPr>
          <w:sz w:val="18"/>
          <w:szCs w:val="18"/>
          <w:lang w:val="en-US"/>
        </w:rPr>
        <w:t xml:space="preserve">1888: </w:t>
      </w:r>
      <w:r w:rsidRPr="0071345C">
        <w:rPr>
          <w:sz w:val="18"/>
          <w:szCs w:val="18"/>
          <w:lang w:val="en-US"/>
        </w:rPr>
        <w:t xml:space="preserve">§340.e) from </w:t>
      </w:r>
      <w:r w:rsidRPr="0071345C">
        <w:rPr>
          <w:i/>
          <w:sz w:val="18"/>
          <w:szCs w:val="18"/>
          <w:lang w:val="en-US"/>
        </w:rPr>
        <w:t>arí-</w:t>
      </w:r>
      <w:r w:rsidRPr="0071345C">
        <w:rPr>
          <w:sz w:val="18"/>
          <w:szCs w:val="18"/>
          <w:lang w:val="en-US"/>
        </w:rPr>
        <w:t xml:space="preserve"> “enemy</w:t>
      </w:r>
      <w:r w:rsidRPr="0071345C">
        <w:rPr>
          <w:sz w:val="18"/>
          <w:szCs w:val="18"/>
          <w:lang w:val="en-US"/>
        </w:rPr>
        <w:t xml:space="preserve">”; for the present translation we follow the interpretation proposed by </w:t>
      </w:r>
      <w:r w:rsidRPr="0071345C">
        <w:rPr>
          <w:smallCaps/>
          <w:sz w:val="18"/>
          <w:szCs w:val="18"/>
          <w:lang w:val="en-US"/>
        </w:rPr>
        <w:t>Thieme</w:t>
      </w:r>
      <w:r w:rsidRPr="0071345C">
        <w:rPr>
          <w:sz w:val="18"/>
          <w:szCs w:val="18"/>
          <w:lang w:val="en-US"/>
        </w:rPr>
        <w:t xml:space="preserve"> 1938; see also </w:t>
      </w:r>
      <w:r w:rsidRPr="0071345C">
        <w:rPr>
          <w:smallCaps/>
          <w:sz w:val="18"/>
          <w:szCs w:val="18"/>
          <w:lang w:val="en-US"/>
        </w:rPr>
        <w:t>Oldenberg 1900</w:t>
      </w:r>
      <w:r w:rsidRPr="0071345C">
        <w:rPr>
          <w:sz w:val="18"/>
          <w:szCs w:val="18"/>
          <w:lang w:val="en-US"/>
        </w:rPr>
        <w:t>: 167-180 and EWAia: I 111-2</w:t>
      </w:r>
      <w:r w:rsidRPr="0071345C">
        <w:rPr>
          <w:sz w:val="18"/>
          <w:szCs w:val="18"/>
          <w:lang w:val="en-US"/>
        </w:rPr>
        <w:t>.</w:t>
      </w:r>
      <w:r w:rsidRPr="0071345C">
        <w:rPr>
          <w:sz w:val="18"/>
          <w:szCs w:val="18"/>
          <w:lang w:val="en-US"/>
        </w:rPr>
        <w:t xml:space="preserve"> To be noted here in particular is the con</w:t>
      </w:r>
      <w:r w:rsidRPr="0071345C">
        <w:rPr>
          <w:sz w:val="18"/>
          <w:szCs w:val="18"/>
          <w:lang w:val="en-US"/>
        </w:rPr>
        <w:t>traposition</w:t>
      </w:r>
      <w:r w:rsidRPr="0071345C">
        <w:rPr>
          <w:sz w:val="18"/>
          <w:szCs w:val="18"/>
          <w:lang w:val="en-US"/>
        </w:rPr>
        <w:t xml:space="preserve">: </w:t>
      </w:r>
      <w:r w:rsidRPr="0071345C">
        <w:rPr>
          <w:i/>
          <w:sz w:val="18"/>
          <w:szCs w:val="18"/>
          <w:lang w:val="en-US"/>
        </w:rPr>
        <w:t>‘ari-vanús-’:</w:t>
      </w:r>
      <w:r w:rsidRPr="0071345C">
        <w:rPr>
          <w:sz w:val="18"/>
          <w:szCs w:val="18"/>
          <w:lang w:val="en-US"/>
        </w:rPr>
        <w:t xml:space="preserve"> the outside enemy, foreigner, and the internal enemy (cf. </w:t>
      </w:r>
      <w:r w:rsidRPr="0071345C">
        <w:rPr>
          <w:smallCaps/>
          <w:sz w:val="18"/>
          <w:szCs w:val="18"/>
          <w:lang w:val="en-US"/>
        </w:rPr>
        <w:t>Renou</w:t>
      </w:r>
      <w:r w:rsidRPr="0071345C">
        <w:rPr>
          <w:sz w:val="18"/>
          <w:szCs w:val="18"/>
          <w:lang w:val="en-US"/>
        </w:rPr>
        <w:t xml:space="preserve"> VII 84).</w:t>
      </w:r>
    </w:p>
  </w:footnote>
  <w:footnote w:id="450">
    <w:p w14:paraId="0A2D6C6A"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w:t>
      </w:r>
      <w:r w:rsidRPr="0071345C">
        <w:rPr>
          <w:i/>
          <w:iCs/>
          <w:sz w:val="18"/>
          <w:szCs w:val="18"/>
          <w:lang w:val="en-US"/>
        </w:rPr>
        <w:t>a</w:t>
      </w:r>
      <w:r w:rsidRPr="0071345C">
        <w:rPr>
          <w:i/>
          <w:iCs/>
          <w:sz w:val="18"/>
          <w:szCs w:val="18"/>
          <w:lang w:val="en-US"/>
        </w:rPr>
        <w:t>ryáh</w:t>
      </w:r>
      <w:r w:rsidRPr="0071345C">
        <w:rPr>
          <w:sz w:val="18"/>
          <w:szCs w:val="18"/>
          <w:lang w:val="en-US"/>
        </w:rPr>
        <w:t xml:space="preserve"> (gen. m. sing., Vedic </w:t>
      </w:r>
      <w:r>
        <w:rPr>
          <w:sz w:val="18"/>
          <w:szCs w:val="18"/>
          <w:lang w:val="en-GB"/>
        </w:rPr>
        <w:t>form</w:t>
      </w:r>
      <w:r w:rsidRPr="0071345C">
        <w:rPr>
          <w:sz w:val="18"/>
          <w:szCs w:val="18"/>
          <w:lang w:val="en-US"/>
        </w:rPr>
        <w:t xml:space="preserve"> cf. </w:t>
      </w:r>
      <w:r w:rsidRPr="0071345C">
        <w:rPr>
          <w:smallCaps/>
          <w:sz w:val="18"/>
          <w:szCs w:val="18"/>
          <w:lang w:val="en-US"/>
        </w:rPr>
        <w:t xml:space="preserve">Whitney </w:t>
      </w:r>
      <w:r w:rsidRPr="0071345C">
        <w:rPr>
          <w:sz w:val="18"/>
          <w:szCs w:val="18"/>
          <w:lang w:val="en-US"/>
        </w:rPr>
        <w:t>1888:</w:t>
      </w:r>
      <w:r w:rsidRPr="0071345C">
        <w:rPr>
          <w:sz w:val="18"/>
          <w:szCs w:val="18"/>
          <w:lang w:val="en-US"/>
        </w:rPr>
        <w:t xml:space="preserve"> §340.e) </w:t>
      </w:r>
      <w:r>
        <w:rPr>
          <w:sz w:val="18"/>
          <w:szCs w:val="18"/>
          <w:lang w:val="en-GB"/>
        </w:rPr>
        <w:t>from</w:t>
      </w:r>
      <w:r w:rsidRPr="0071345C">
        <w:rPr>
          <w:sz w:val="18"/>
          <w:szCs w:val="18"/>
          <w:lang w:val="en-US"/>
        </w:rPr>
        <w:t xml:space="preserve"> </w:t>
      </w:r>
      <w:r w:rsidRPr="0071345C">
        <w:rPr>
          <w:i/>
          <w:sz w:val="18"/>
          <w:szCs w:val="18"/>
          <w:lang w:val="en-US"/>
        </w:rPr>
        <w:t>arí-</w:t>
      </w:r>
      <w:r w:rsidRPr="0071345C">
        <w:rPr>
          <w:sz w:val="18"/>
          <w:szCs w:val="18"/>
          <w:lang w:val="en-US"/>
        </w:rPr>
        <w:t xml:space="preserve"> “</w:t>
      </w:r>
      <w:r>
        <w:rPr>
          <w:sz w:val="18"/>
          <w:szCs w:val="18"/>
          <w:lang w:val="en-GB"/>
        </w:rPr>
        <w:t>enemy</w:t>
      </w:r>
      <w:r w:rsidRPr="0071345C">
        <w:rPr>
          <w:sz w:val="18"/>
          <w:szCs w:val="18"/>
          <w:lang w:val="en-US"/>
        </w:rPr>
        <w:t>”,</w:t>
      </w:r>
      <w:r w:rsidRPr="0071345C">
        <w:rPr>
          <w:sz w:val="18"/>
          <w:szCs w:val="18"/>
          <w:lang w:val="en-US"/>
        </w:rPr>
        <w:t xml:space="preserve"> cf.</w:t>
      </w:r>
      <w:r w:rsidRPr="0071345C">
        <w:rPr>
          <w:sz w:val="18"/>
          <w:szCs w:val="18"/>
          <w:lang w:val="en-US"/>
        </w:rPr>
        <w:t xml:space="preserve"> previous note.</w:t>
      </w:r>
    </w:p>
  </w:footnote>
  <w:footnote w:id="451">
    <w:p w14:paraId="0BA4CEB1" w14:textId="77777777" w:rsidR="00E53EB6" w:rsidRPr="0071345C" w:rsidRDefault="006500F5">
      <w:pPr>
        <w:pStyle w:val="FootnoteText"/>
        <w:rPr>
          <w:sz w:val="18"/>
          <w:szCs w:val="18"/>
          <w:lang w:val="en-US"/>
        </w:rPr>
      </w:pPr>
      <w:r>
        <w:rPr>
          <w:rStyle w:val="FootnoteCharacters"/>
        </w:rPr>
        <w:footnoteRef/>
      </w:r>
      <w:r w:rsidRPr="0071345C">
        <w:rPr>
          <w:sz w:val="18"/>
          <w:szCs w:val="18"/>
          <w:lang w:val="en-US"/>
        </w:rPr>
        <w:tab/>
        <w:t xml:space="preserve"> The earthly ones and the heavenly ones.</w:t>
      </w:r>
    </w:p>
  </w:footnote>
  <w:footnote w:id="452">
    <w:p w14:paraId="4C9A07E9" w14:textId="77777777" w:rsidR="00E53EB6" w:rsidRPr="0071345C" w:rsidRDefault="006500F5">
      <w:pPr>
        <w:pStyle w:val="FootnoteText"/>
        <w:rPr>
          <w:sz w:val="18"/>
          <w:szCs w:val="18"/>
          <w:lang w:val="en-US"/>
        </w:rPr>
      </w:pPr>
      <w:r>
        <w:rPr>
          <w:rStyle w:val="FootnoteCharacters"/>
        </w:rPr>
        <w:footnoteRef/>
      </w:r>
      <w:r w:rsidRPr="0071345C">
        <w:rPr>
          <w:sz w:val="18"/>
          <w:szCs w:val="18"/>
          <w:lang w:val="en-US"/>
        </w:rPr>
        <w:tab/>
        <w:t xml:space="preserve"> Here </w:t>
      </w:r>
      <w:r w:rsidRPr="0071345C">
        <w:rPr>
          <w:sz w:val="18"/>
          <w:szCs w:val="18"/>
          <w:lang w:val="en-US"/>
        </w:rPr>
        <w:t>abundance of inspiration.</w:t>
      </w:r>
    </w:p>
  </w:footnote>
  <w:footnote w:id="453">
    <w:p w14:paraId="4C2E448B"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w:t>
      </w:r>
      <w:r>
        <w:rPr>
          <w:i/>
          <w:iCs/>
          <w:sz w:val="18"/>
          <w:szCs w:val="18"/>
          <w:lang w:val="en-GB"/>
        </w:rPr>
        <w:t>aryáh</w:t>
      </w:r>
      <w:r>
        <w:rPr>
          <w:sz w:val="18"/>
          <w:szCs w:val="18"/>
          <w:lang w:val="en-GB"/>
        </w:rPr>
        <w:t xml:space="preserve"> (gen. m. sing., Vedic form cf. </w:t>
      </w:r>
      <w:r>
        <w:rPr>
          <w:smallCaps/>
          <w:sz w:val="18"/>
          <w:szCs w:val="18"/>
          <w:lang w:val="en-GB"/>
        </w:rPr>
        <w:t xml:space="preserve">Whitney </w:t>
      </w:r>
      <w:r>
        <w:rPr>
          <w:sz w:val="18"/>
          <w:szCs w:val="18"/>
          <w:lang w:val="en-GB"/>
        </w:rPr>
        <w:t xml:space="preserve">1888: §340.e) from </w:t>
      </w:r>
      <w:r>
        <w:rPr>
          <w:i/>
          <w:sz w:val="18"/>
          <w:szCs w:val="18"/>
          <w:lang w:val="en-GB"/>
        </w:rPr>
        <w:t>arí-</w:t>
      </w:r>
      <w:r>
        <w:rPr>
          <w:sz w:val="18"/>
          <w:szCs w:val="18"/>
          <w:lang w:val="en-GB"/>
        </w:rPr>
        <w:t xml:space="preserve"> “enemy”; for the present translation we have followed the interpretation proposed by </w:t>
      </w:r>
      <w:r>
        <w:rPr>
          <w:smallCaps/>
          <w:sz w:val="18"/>
          <w:szCs w:val="18"/>
          <w:lang w:val="en-GB"/>
        </w:rPr>
        <w:t>Thieme</w:t>
      </w:r>
      <w:r>
        <w:rPr>
          <w:sz w:val="18"/>
          <w:szCs w:val="18"/>
          <w:lang w:val="en-GB"/>
        </w:rPr>
        <w:t xml:space="preserve"> 1938; see also </w:t>
      </w:r>
      <w:r>
        <w:rPr>
          <w:smallCaps/>
          <w:sz w:val="18"/>
          <w:szCs w:val="18"/>
          <w:lang w:val="en-GB"/>
        </w:rPr>
        <w:t>Oldenberg 1900</w:t>
      </w:r>
      <w:r>
        <w:rPr>
          <w:sz w:val="18"/>
          <w:szCs w:val="18"/>
          <w:lang w:val="en-GB"/>
        </w:rPr>
        <w:t>: 167-180 and EWAia: I 111-2. To be n</w:t>
      </w:r>
      <w:r>
        <w:rPr>
          <w:sz w:val="18"/>
          <w:szCs w:val="18"/>
          <w:lang w:val="en-GB"/>
        </w:rPr>
        <w:t xml:space="preserve">oted here in particular is the contraposition: </w:t>
      </w:r>
      <w:r>
        <w:rPr>
          <w:i/>
          <w:sz w:val="18"/>
          <w:szCs w:val="18"/>
          <w:lang w:val="en-GB"/>
        </w:rPr>
        <w:t>‘ari-vanús-’:</w:t>
      </w:r>
      <w:r>
        <w:rPr>
          <w:sz w:val="18"/>
          <w:szCs w:val="18"/>
          <w:lang w:val="en-GB"/>
        </w:rPr>
        <w:t xml:space="preserve"> the outside enemy, foreigner, and the internal enemy (cf. </w:t>
      </w:r>
      <w:r>
        <w:rPr>
          <w:smallCaps/>
          <w:sz w:val="18"/>
          <w:szCs w:val="18"/>
          <w:lang w:val="en-GB"/>
        </w:rPr>
        <w:t>Renou</w:t>
      </w:r>
      <w:r>
        <w:rPr>
          <w:sz w:val="18"/>
          <w:szCs w:val="18"/>
          <w:lang w:val="en-GB"/>
        </w:rPr>
        <w:t xml:space="preserve"> VII 84).</w:t>
      </w:r>
    </w:p>
  </w:footnote>
  <w:footnote w:id="454">
    <w:p w14:paraId="26086C9A"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To be noted between Agni as sacrificial fire and Agni associated with Mitra (with the “Pact”) a division of tasks symme</w:t>
      </w:r>
      <w:r w:rsidRPr="0071345C">
        <w:rPr>
          <w:sz w:val="18"/>
          <w:szCs w:val="18"/>
          <w:lang w:val="en-US"/>
        </w:rPr>
        <w:t>trical to the contraposition between the distant enemy (</w:t>
      </w:r>
      <w:r w:rsidRPr="0071345C">
        <w:rPr>
          <w:i/>
          <w:sz w:val="18"/>
          <w:szCs w:val="18"/>
          <w:lang w:val="en-US"/>
        </w:rPr>
        <w:t>sánutya</w:t>
      </w:r>
      <w:r w:rsidRPr="0071345C">
        <w:rPr>
          <w:i/>
          <w:sz w:val="18"/>
          <w:szCs w:val="18"/>
          <w:lang w:val="en-US"/>
        </w:rPr>
        <w:t>ḥ</w:t>
      </w:r>
      <w:r w:rsidRPr="0071345C">
        <w:rPr>
          <w:sz w:val="18"/>
          <w:szCs w:val="18"/>
          <w:lang w:val="en-US"/>
        </w:rPr>
        <w:t>)</w:t>
      </w:r>
      <w:r w:rsidRPr="0071345C">
        <w:rPr>
          <w:sz w:val="18"/>
          <w:szCs w:val="18"/>
          <w:lang w:val="en-US"/>
        </w:rPr>
        <w:t xml:space="preserve"> and the enemy nearby (</w:t>
      </w:r>
      <w:r w:rsidRPr="0071345C">
        <w:rPr>
          <w:i/>
          <w:sz w:val="18"/>
          <w:szCs w:val="18"/>
          <w:lang w:val="en-US"/>
        </w:rPr>
        <w:t>ántaro vanu</w:t>
      </w:r>
      <w:r w:rsidRPr="0071345C">
        <w:rPr>
          <w:i/>
          <w:sz w:val="18"/>
          <w:szCs w:val="18"/>
          <w:lang w:val="en-US"/>
        </w:rPr>
        <w:t>ṣ</w:t>
      </w:r>
      <w:r w:rsidRPr="0071345C">
        <w:rPr>
          <w:i/>
          <w:sz w:val="18"/>
          <w:szCs w:val="18"/>
          <w:lang w:val="en-US"/>
        </w:rPr>
        <w:t>yā́t</w:t>
      </w:r>
      <w:r w:rsidRPr="0071345C">
        <w:rPr>
          <w:sz w:val="18"/>
          <w:szCs w:val="18"/>
          <w:lang w:val="en-US"/>
        </w:rPr>
        <w:t xml:space="preserve">): for both Agni is invoked, but with different function and attributes. </w:t>
      </w:r>
    </w:p>
  </w:footnote>
  <w:footnote w:id="455">
    <w:p w14:paraId="2C3B1D33" w14:textId="77777777" w:rsidR="00E53EB6" w:rsidRPr="0071345C" w:rsidRDefault="006500F5">
      <w:pPr>
        <w:pStyle w:val="FootnoteText"/>
        <w:rPr>
          <w:sz w:val="18"/>
          <w:szCs w:val="18"/>
          <w:lang w:val="en-US"/>
        </w:rPr>
      </w:pPr>
      <w:r>
        <w:rPr>
          <w:rStyle w:val="FootnoteCharacters"/>
        </w:rPr>
        <w:footnoteRef/>
      </w:r>
      <w:r w:rsidRPr="0071345C">
        <w:rPr>
          <w:sz w:val="18"/>
          <w:szCs w:val="18"/>
          <w:lang w:val="en-US"/>
        </w:rPr>
        <w:tab/>
        <w:t xml:space="preserve"> “To have you enter the circle of the sacrifice”.</w:t>
      </w:r>
    </w:p>
  </w:footnote>
  <w:footnote w:id="456">
    <w:p w14:paraId="72DBEB6A"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w:t>
      </w:r>
      <w:r w:rsidRPr="0071345C">
        <w:rPr>
          <w:i/>
          <w:iCs/>
          <w:sz w:val="18"/>
          <w:szCs w:val="18"/>
          <w:lang w:val="en-US"/>
        </w:rPr>
        <w:t>a</w:t>
      </w:r>
      <w:r>
        <w:rPr>
          <w:i/>
          <w:iCs/>
          <w:sz w:val="18"/>
          <w:szCs w:val="18"/>
          <w:lang w:val="fr-FR"/>
        </w:rPr>
        <w:t>ptúram</w:t>
      </w:r>
      <w:r w:rsidRPr="0071345C">
        <w:rPr>
          <w:sz w:val="18"/>
          <w:szCs w:val="18"/>
          <w:lang w:val="en-US"/>
        </w:rPr>
        <w:t xml:space="preserve"> (acc. m. sing.)</w:t>
      </w:r>
      <w:r w:rsidRPr="0071345C">
        <w:rPr>
          <w:sz w:val="18"/>
          <w:szCs w:val="18"/>
          <w:lang w:val="en-US"/>
        </w:rPr>
        <w:t xml:space="preserve"> from </w:t>
      </w:r>
      <w:r w:rsidRPr="0071345C">
        <w:rPr>
          <w:i/>
          <w:sz w:val="18"/>
          <w:szCs w:val="18"/>
          <w:lang w:val="en-US"/>
        </w:rPr>
        <w:t xml:space="preserve">aptúr- </w:t>
      </w:r>
      <w:r w:rsidRPr="0071345C">
        <w:rPr>
          <w:sz w:val="18"/>
          <w:szCs w:val="18"/>
          <w:lang w:val="en-US"/>
        </w:rPr>
        <w:t xml:space="preserve">(m. f. n.); interpretation of the term as derived from </w:t>
      </w:r>
      <w:r w:rsidRPr="0071345C">
        <w:rPr>
          <w:i/>
          <w:sz w:val="18"/>
          <w:szCs w:val="18"/>
          <w:lang w:val="en-US"/>
        </w:rPr>
        <w:t>áp-</w:t>
      </w:r>
      <w:r w:rsidRPr="0071345C">
        <w:rPr>
          <w:sz w:val="18"/>
          <w:szCs w:val="18"/>
          <w:lang w:val="en-US"/>
        </w:rPr>
        <w:t xml:space="preserve"> “water” + root </w:t>
      </w:r>
      <w:r w:rsidRPr="0071345C">
        <w:rPr>
          <w:i/>
          <w:sz w:val="18"/>
          <w:szCs w:val="18"/>
          <w:lang w:val="en-US"/>
        </w:rPr>
        <w:t xml:space="preserve">tr̥- </w:t>
      </w:r>
      <w:r w:rsidRPr="0071345C">
        <w:rPr>
          <w:sz w:val="18"/>
          <w:szCs w:val="18"/>
          <w:lang w:val="en-US"/>
        </w:rPr>
        <w:t xml:space="preserve"> “to cross” see </w:t>
      </w:r>
      <w:r w:rsidRPr="0071345C">
        <w:rPr>
          <w:smallCaps/>
          <w:sz w:val="18"/>
          <w:szCs w:val="18"/>
          <w:lang w:val="en-US"/>
        </w:rPr>
        <w:t xml:space="preserve">Thieme </w:t>
      </w:r>
      <w:r w:rsidRPr="0071345C">
        <w:rPr>
          <w:sz w:val="18"/>
          <w:szCs w:val="18"/>
          <w:lang w:val="en-US"/>
        </w:rPr>
        <w:t xml:space="preserve">1952: 7 and </w:t>
      </w:r>
      <w:r w:rsidRPr="0071345C">
        <w:rPr>
          <w:smallCaps/>
          <w:sz w:val="18"/>
          <w:szCs w:val="18"/>
          <w:lang w:val="en-US"/>
        </w:rPr>
        <w:t xml:space="preserve">Lüders </w:t>
      </w:r>
      <w:r w:rsidRPr="0071345C">
        <w:rPr>
          <w:sz w:val="18"/>
          <w:szCs w:val="18"/>
          <w:lang w:val="en-US"/>
        </w:rPr>
        <w:t>1951-1959: 235.</w:t>
      </w:r>
    </w:p>
  </w:footnote>
  <w:footnote w:id="457">
    <w:p w14:paraId="79E3430E"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As to the exact meaning of </w:t>
      </w:r>
      <w:r w:rsidRPr="0071345C">
        <w:rPr>
          <w:i/>
          <w:iCs/>
          <w:lang w:val="en-US"/>
        </w:rPr>
        <w:t xml:space="preserve">vidátha- </w:t>
      </w:r>
      <w:r w:rsidRPr="0071345C">
        <w:rPr>
          <w:lang w:val="en-US"/>
        </w:rPr>
        <w:t xml:space="preserve">as already a ritual fest or just as social meeting, </w:t>
      </w:r>
      <w:r w:rsidRPr="0071345C">
        <w:rPr>
          <w:lang w:val="en-US"/>
        </w:rPr>
        <w:t xml:space="preserve">see </w:t>
      </w:r>
      <w:r w:rsidRPr="0071345C">
        <w:rPr>
          <w:rStyle w:val="biblio-authorGEN"/>
          <w:sz w:val="18"/>
          <w:szCs w:val="15"/>
          <w:lang w:val="en-US"/>
        </w:rPr>
        <w:t>Gonda</w:t>
      </w:r>
      <w:r w:rsidRPr="0071345C">
        <w:rPr>
          <w:lang w:val="en-US"/>
        </w:rPr>
        <w:t xml:space="preserve"> 1992: VI/1 310-337, </w:t>
      </w:r>
      <w:r w:rsidRPr="0071345C">
        <w:rPr>
          <w:rStyle w:val="biblio-authorGEN"/>
          <w:sz w:val="18"/>
          <w:szCs w:val="15"/>
          <w:lang w:val="en-US"/>
        </w:rPr>
        <w:t xml:space="preserve">Kuiper </w:t>
      </w:r>
      <w:r w:rsidRPr="0071345C">
        <w:rPr>
          <w:lang w:val="en-US"/>
        </w:rPr>
        <w:t xml:space="preserve">1974: 129-132 and </w:t>
      </w:r>
      <w:r w:rsidRPr="0071345C">
        <w:rPr>
          <w:rStyle w:val="biblio-authorGEN"/>
          <w:sz w:val="18"/>
          <w:szCs w:val="15"/>
          <w:lang w:val="en-US"/>
        </w:rPr>
        <w:t xml:space="preserve">Oldenberg </w:t>
      </w:r>
      <w:r w:rsidRPr="0071345C">
        <w:rPr>
          <w:lang w:val="en-US"/>
        </w:rPr>
        <w:t xml:space="preserve">1900: 608-611. </w:t>
      </w:r>
    </w:p>
  </w:footnote>
  <w:footnote w:id="458">
    <w:p w14:paraId="1E90728A"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w:t>
      </w:r>
      <w:r w:rsidRPr="0071345C">
        <w:rPr>
          <w:smallCaps/>
          <w:sz w:val="18"/>
          <w:szCs w:val="18"/>
          <w:lang w:val="en-US"/>
        </w:rPr>
        <w:t>“</w:t>
      </w:r>
      <w:r w:rsidRPr="0071345C">
        <w:rPr>
          <w:sz w:val="18"/>
          <w:szCs w:val="18"/>
          <w:lang w:val="en-US"/>
        </w:rPr>
        <w:t>The golden” are the drops of Soma.</w:t>
      </w:r>
    </w:p>
  </w:footnote>
  <w:footnote w:id="459">
    <w:p w14:paraId="2686D4C0" w14:textId="77777777" w:rsidR="00E53EB6" w:rsidRPr="0071345C" w:rsidRDefault="006500F5">
      <w:pPr>
        <w:pStyle w:val="FootnoteText"/>
        <w:rPr>
          <w:sz w:val="18"/>
          <w:szCs w:val="18"/>
          <w:lang w:val="en-US"/>
        </w:rPr>
      </w:pPr>
      <w:r>
        <w:rPr>
          <w:rStyle w:val="FootnoteCharacters"/>
        </w:rPr>
        <w:footnoteRef/>
      </w:r>
      <w:r w:rsidRPr="0071345C">
        <w:rPr>
          <w:sz w:val="18"/>
          <w:szCs w:val="18"/>
          <w:lang w:val="en-US"/>
        </w:rPr>
        <w:tab/>
        <w:t xml:space="preserve"> The horse of the sacrifice.</w:t>
      </w:r>
    </w:p>
  </w:footnote>
  <w:footnote w:id="460">
    <w:p w14:paraId="1D9CA192"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In these first two </w:t>
      </w:r>
      <w:r w:rsidRPr="0071345C">
        <w:rPr>
          <w:i/>
          <w:sz w:val="18"/>
          <w:szCs w:val="18"/>
          <w:lang w:val="en-US"/>
        </w:rPr>
        <w:t xml:space="preserve">pāda </w:t>
      </w:r>
      <w:r w:rsidRPr="0071345C">
        <w:rPr>
          <w:sz w:val="18"/>
          <w:szCs w:val="18"/>
          <w:lang w:val="en-US"/>
        </w:rPr>
        <w:t>what is described is the p</w:t>
      </w:r>
      <w:r w:rsidRPr="0071345C">
        <w:rPr>
          <w:sz w:val="18"/>
          <w:szCs w:val="18"/>
          <w:lang w:val="en-US"/>
        </w:rPr>
        <w:t xml:space="preserve">lace where the sacrifice is being performed; the threads of wool were used to filter the juice obtained by squeezing the soma plant. </w:t>
      </w:r>
    </w:p>
  </w:footnote>
  <w:footnote w:id="461">
    <w:p w14:paraId="1CEF0D06"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On the meaning of </w:t>
      </w:r>
      <w:r w:rsidRPr="0071345C">
        <w:rPr>
          <w:i/>
          <w:sz w:val="18"/>
          <w:szCs w:val="18"/>
          <w:lang w:val="en-US"/>
        </w:rPr>
        <w:t xml:space="preserve">matí- </w:t>
      </w:r>
      <w:r w:rsidRPr="0071345C">
        <w:rPr>
          <w:sz w:val="18"/>
          <w:szCs w:val="18"/>
          <w:lang w:val="en-US"/>
        </w:rPr>
        <w:t xml:space="preserve"> “poetic thought expressed”  (&lt; root </w:t>
      </w:r>
      <w:r w:rsidRPr="0071345C">
        <w:rPr>
          <w:i/>
          <w:sz w:val="18"/>
          <w:szCs w:val="18"/>
          <w:lang w:val="en-US"/>
        </w:rPr>
        <w:t>man-</w:t>
      </w:r>
      <w:r w:rsidRPr="0071345C">
        <w:rPr>
          <w:sz w:val="18"/>
          <w:szCs w:val="18"/>
          <w:lang w:val="en-US"/>
        </w:rPr>
        <w:t xml:space="preserve"> from which also </w:t>
      </w:r>
      <w:r w:rsidRPr="0071345C">
        <w:rPr>
          <w:i/>
          <w:sz w:val="18"/>
          <w:szCs w:val="18"/>
          <w:lang w:val="en-US"/>
        </w:rPr>
        <w:t>mánas-</w:t>
      </w:r>
      <w:r w:rsidRPr="0071345C">
        <w:rPr>
          <w:sz w:val="18"/>
          <w:szCs w:val="18"/>
          <w:lang w:val="en-US"/>
        </w:rPr>
        <w:t>)</w:t>
      </w:r>
      <w:r w:rsidRPr="0071345C">
        <w:rPr>
          <w:i/>
          <w:sz w:val="18"/>
          <w:szCs w:val="18"/>
          <w:lang w:val="en-US"/>
        </w:rPr>
        <w:t xml:space="preserve"> </w:t>
      </w:r>
      <w:r w:rsidRPr="0071345C">
        <w:rPr>
          <w:sz w:val="18"/>
          <w:szCs w:val="18"/>
          <w:lang w:val="en-US"/>
        </w:rPr>
        <w:t>cf.</w:t>
      </w:r>
      <w:r w:rsidRPr="0071345C">
        <w:rPr>
          <w:smallCaps/>
          <w:sz w:val="18"/>
          <w:szCs w:val="18"/>
          <w:lang w:val="en-US"/>
        </w:rPr>
        <w:t xml:space="preserve"> Gonda </w:t>
      </w:r>
      <w:r w:rsidRPr="0071345C">
        <w:rPr>
          <w:sz w:val="18"/>
          <w:szCs w:val="18"/>
          <w:lang w:val="en-US"/>
        </w:rPr>
        <w:t xml:space="preserve">1963; </w:t>
      </w:r>
      <w:r w:rsidRPr="0071345C">
        <w:rPr>
          <w:smallCaps/>
          <w:sz w:val="18"/>
          <w:szCs w:val="18"/>
          <w:lang w:val="en-US"/>
        </w:rPr>
        <w:t xml:space="preserve">Maggi </w:t>
      </w:r>
      <w:r w:rsidRPr="0071345C">
        <w:rPr>
          <w:sz w:val="18"/>
          <w:szCs w:val="18"/>
          <w:lang w:val="en-US"/>
        </w:rPr>
        <w:t xml:space="preserve">1989:  </w:t>
      </w:r>
      <w:r w:rsidRPr="0071345C">
        <w:rPr>
          <w:sz w:val="18"/>
          <w:szCs w:val="18"/>
          <w:lang w:val="en-US"/>
        </w:rPr>
        <w:t xml:space="preserve">63-114 and </w:t>
      </w:r>
      <w:r w:rsidRPr="0071345C">
        <w:rPr>
          <w:smallCaps/>
          <w:sz w:val="18"/>
          <w:szCs w:val="18"/>
          <w:lang w:val="en-US"/>
        </w:rPr>
        <w:t>Renou</w:t>
      </w:r>
      <w:r w:rsidRPr="0071345C">
        <w:rPr>
          <w:sz w:val="18"/>
          <w:szCs w:val="18"/>
          <w:lang w:val="en-US"/>
        </w:rPr>
        <w:t xml:space="preserve"> I 2 ff.</w:t>
      </w:r>
    </w:p>
  </w:footnote>
  <w:footnote w:id="462">
    <w:p w14:paraId="19D34E63" w14:textId="77777777" w:rsidR="00E53EB6" w:rsidRPr="0071345C" w:rsidRDefault="006500F5">
      <w:pPr>
        <w:pStyle w:val="FootnoteText"/>
        <w:rPr>
          <w:sz w:val="18"/>
          <w:szCs w:val="18"/>
          <w:lang w:val="en-US"/>
        </w:rPr>
      </w:pPr>
      <w:r>
        <w:rPr>
          <w:rStyle w:val="FootnoteCharacters"/>
        </w:rPr>
        <w:footnoteRef/>
      </w:r>
      <w:r w:rsidRPr="0071345C">
        <w:rPr>
          <w:sz w:val="18"/>
          <w:szCs w:val="18"/>
          <w:lang w:val="en-US"/>
        </w:rPr>
        <w:tab/>
        <w:t xml:space="preserve"> Here with the ambiguity between the objective and subjective value of the compound adjective is deliberately maintained.  </w:t>
      </w:r>
    </w:p>
  </w:footnote>
  <w:footnote w:id="463">
    <w:p w14:paraId="5A72F013"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w:t>
      </w:r>
      <w:r w:rsidRPr="0071345C">
        <w:rPr>
          <w:caps/>
          <w:sz w:val="18"/>
          <w:szCs w:val="18"/>
          <w:lang w:val="en-US"/>
        </w:rPr>
        <w:t>a</w:t>
      </w:r>
      <w:r w:rsidRPr="0071345C">
        <w:rPr>
          <w:sz w:val="18"/>
          <w:szCs w:val="18"/>
          <w:lang w:val="en-US"/>
        </w:rPr>
        <w:t>ppellation of Rudra ( “serpent that stays on the ground” or “serpent of the depths” cf.</w:t>
      </w:r>
      <w:r w:rsidRPr="0071345C">
        <w:rPr>
          <w:smallCaps/>
          <w:sz w:val="18"/>
          <w:szCs w:val="18"/>
          <w:lang w:val="en-US"/>
        </w:rPr>
        <w:t xml:space="preserve"> Gonda</w:t>
      </w:r>
      <w:r w:rsidRPr="0071345C">
        <w:rPr>
          <w:sz w:val="18"/>
          <w:szCs w:val="18"/>
          <w:lang w:val="en-US"/>
        </w:rPr>
        <w:t xml:space="preserve"> 1980: I</w:t>
      </w:r>
      <w:r w:rsidRPr="0071345C">
        <w:rPr>
          <w:sz w:val="18"/>
          <w:szCs w:val="18"/>
          <w:lang w:val="en-US"/>
        </w:rPr>
        <w:t xml:space="preserve"> 63).</w:t>
      </w:r>
    </w:p>
  </w:footnote>
  <w:footnote w:id="464">
    <w:p w14:paraId="0670E704"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w:t>
      </w:r>
      <w:r w:rsidRPr="0071345C">
        <w:rPr>
          <w:i/>
          <w:iCs/>
          <w:sz w:val="18"/>
          <w:szCs w:val="18"/>
          <w:lang w:val="en-US"/>
        </w:rPr>
        <w:t>várūtri</w:t>
      </w:r>
      <w:r w:rsidRPr="0071345C">
        <w:rPr>
          <w:i/>
          <w:sz w:val="18"/>
          <w:szCs w:val="18"/>
          <w:lang w:val="en-US"/>
        </w:rPr>
        <w:t xml:space="preserve"> </w:t>
      </w:r>
      <w:r w:rsidRPr="0071345C">
        <w:rPr>
          <w:sz w:val="18"/>
          <w:szCs w:val="18"/>
          <w:lang w:val="en-US"/>
        </w:rPr>
        <w:t>(nom. f. sing.) is one of the appellations of the Goddess.</w:t>
      </w:r>
    </w:p>
  </w:footnote>
  <w:footnote w:id="465">
    <w:p w14:paraId="345B3D53"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w:t>
      </w:r>
      <w:r w:rsidRPr="0071345C">
        <w:rPr>
          <w:i/>
          <w:caps/>
          <w:sz w:val="18"/>
          <w:szCs w:val="18"/>
          <w:lang w:val="en-US"/>
        </w:rPr>
        <w:t>é</w:t>
      </w:r>
      <w:r w:rsidRPr="0071345C">
        <w:rPr>
          <w:i/>
          <w:sz w:val="18"/>
          <w:szCs w:val="18"/>
          <w:lang w:val="en-US"/>
        </w:rPr>
        <w:t>kadhenubhir</w:t>
      </w:r>
      <w:r w:rsidRPr="0071345C">
        <w:rPr>
          <w:sz w:val="18"/>
          <w:szCs w:val="18"/>
          <w:lang w:val="en-US"/>
        </w:rPr>
        <w:t xml:space="preserve"> (instr. m. pl.) from </w:t>
      </w:r>
      <w:r w:rsidRPr="0071345C">
        <w:rPr>
          <w:i/>
          <w:sz w:val="18"/>
          <w:szCs w:val="18"/>
          <w:lang w:val="en-US"/>
        </w:rPr>
        <w:t xml:space="preserve">ékadhenu- </w:t>
      </w:r>
      <w:r w:rsidRPr="0071345C">
        <w:rPr>
          <w:sz w:val="18"/>
          <w:szCs w:val="18"/>
          <w:lang w:val="en-US"/>
        </w:rPr>
        <w:t xml:space="preserve">literally “who possesses the only cow” </w:t>
      </w:r>
      <w:r w:rsidRPr="0071345C">
        <w:rPr>
          <w:smallCaps/>
          <w:sz w:val="18"/>
          <w:szCs w:val="18"/>
          <w:lang w:val="en-US"/>
        </w:rPr>
        <w:t xml:space="preserve">Geldner </w:t>
      </w:r>
      <w:r w:rsidRPr="0071345C">
        <w:rPr>
          <w:sz w:val="18"/>
          <w:szCs w:val="18"/>
          <w:lang w:val="en-US"/>
        </w:rPr>
        <w:t xml:space="preserve">(II 220 n. 5d) “die eine einzige oder eine gemeinsame Milchkuh [die Wunschkuh ?] </w:t>
      </w:r>
      <w:r w:rsidRPr="0071345C">
        <w:rPr>
          <w:sz w:val="18"/>
          <w:szCs w:val="18"/>
          <w:lang w:val="en-US"/>
        </w:rPr>
        <w:t>haben”; here it is used as a proper noun for divine entities otherwise unknown.</w:t>
      </w:r>
    </w:p>
  </w:footnote>
  <w:footnote w:id="466">
    <w:p w14:paraId="2B4C6DD3"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Appellation of the gods, from </w:t>
      </w:r>
      <w:r w:rsidRPr="0071345C">
        <w:rPr>
          <w:i/>
          <w:sz w:val="18"/>
          <w:szCs w:val="18"/>
          <w:lang w:val="en-US"/>
        </w:rPr>
        <w:t xml:space="preserve">vásu- </w:t>
      </w:r>
      <w:r w:rsidRPr="0071345C">
        <w:rPr>
          <w:sz w:val="18"/>
          <w:szCs w:val="18"/>
          <w:lang w:val="en-US"/>
        </w:rPr>
        <w:t xml:space="preserve"> (m.f.n.) “good” (cf. </w:t>
      </w:r>
      <w:r w:rsidRPr="0071345C">
        <w:rPr>
          <w:i/>
          <w:sz w:val="18"/>
          <w:szCs w:val="18"/>
          <w:lang w:val="en-US"/>
        </w:rPr>
        <w:t>vásu-</w:t>
      </w:r>
      <w:r w:rsidRPr="0071345C">
        <w:rPr>
          <w:sz w:val="18"/>
          <w:szCs w:val="18"/>
          <w:lang w:val="en-US"/>
        </w:rPr>
        <w:t xml:space="preserve"> (n.) “well-being”), but also a of divine beings consisting of Agni and seven other gods (earth, wind, atmosph</w:t>
      </w:r>
      <w:r w:rsidRPr="0071345C">
        <w:rPr>
          <w:sz w:val="18"/>
          <w:szCs w:val="18"/>
          <w:lang w:val="en-US"/>
        </w:rPr>
        <w:t xml:space="preserve">ere, sun, sky, moon, stars) cf. </w:t>
      </w:r>
      <w:r w:rsidRPr="0071345C">
        <w:rPr>
          <w:smallCaps/>
          <w:sz w:val="18"/>
          <w:szCs w:val="18"/>
          <w:lang w:val="en-US"/>
        </w:rPr>
        <w:t>Gonda</w:t>
      </w:r>
      <w:r w:rsidRPr="0071345C">
        <w:rPr>
          <w:sz w:val="18"/>
          <w:szCs w:val="18"/>
          <w:lang w:val="en-US"/>
        </w:rPr>
        <w:t xml:space="preserve"> 1981: 133 n. 14.</w:t>
      </w:r>
    </w:p>
  </w:footnote>
  <w:footnote w:id="467">
    <w:p w14:paraId="2E1DF4DF"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w:t>
      </w:r>
      <w:r w:rsidRPr="0071345C">
        <w:rPr>
          <w:i/>
          <w:iCs/>
          <w:sz w:val="18"/>
          <w:szCs w:val="18"/>
          <w:lang w:val="en-US"/>
        </w:rPr>
        <w:t>vanúm</w:t>
      </w:r>
      <w:r w:rsidRPr="0071345C">
        <w:rPr>
          <w:sz w:val="18"/>
          <w:szCs w:val="18"/>
          <w:lang w:val="en-US"/>
        </w:rPr>
        <w:t>, whatever it may mean, is in a position central to the two symmetrical propositions and is to be taken in relation to both verbs.</w:t>
      </w:r>
    </w:p>
  </w:footnote>
  <w:footnote w:id="468">
    <w:p w14:paraId="4E47D1D9"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The many </w:t>
      </w:r>
      <w:r w:rsidRPr="0071345C">
        <w:rPr>
          <w:i/>
          <w:sz w:val="18"/>
          <w:szCs w:val="18"/>
          <w:lang w:val="en-US"/>
        </w:rPr>
        <w:t xml:space="preserve">vā </w:t>
      </w:r>
      <w:r w:rsidRPr="0071345C">
        <w:rPr>
          <w:sz w:val="18"/>
          <w:szCs w:val="18"/>
          <w:lang w:val="en-US"/>
        </w:rPr>
        <w:t xml:space="preserve">present in the stanza have more the value of a </w:t>
      </w:r>
      <w:r w:rsidRPr="0071345C">
        <w:rPr>
          <w:sz w:val="18"/>
          <w:szCs w:val="18"/>
          <w:lang w:val="en-US"/>
        </w:rPr>
        <w:t>list than of a series of disjunctive elements.</w:t>
      </w:r>
    </w:p>
  </w:footnote>
  <w:footnote w:id="469">
    <w:p w14:paraId="344A4C92"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The repetition of a term can take on a distributed value, to be understood in this case as “every time that” cf. </w:t>
      </w:r>
      <w:r w:rsidRPr="0071345C">
        <w:rPr>
          <w:smallCaps/>
          <w:sz w:val="18"/>
          <w:szCs w:val="18"/>
          <w:lang w:val="en-US"/>
        </w:rPr>
        <w:t>Withney</w:t>
      </w:r>
      <w:r w:rsidRPr="0071345C">
        <w:rPr>
          <w:sz w:val="18"/>
          <w:szCs w:val="18"/>
          <w:lang w:val="en-US"/>
        </w:rPr>
        <w:t xml:space="preserve"> 1888: §1257.</w:t>
      </w:r>
    </w:p>
  </w:footnote>
  <w:footnote w:id="470">
    <w:p w14:paraId="2168559B"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w:t>
      </w:r>
      <w:r w:rsidRPr="0071345C">
        <w:rPr>
          <w:smallCaps/>
          <w:sz w:val="18"/>
          <w:szCs w:val="18"/>
          <w:lang w:val="en-US"/>
        </w:rPr>
        <w:t>Geldner</w:t>
      </w:r>
      <w:r w:rsidRPr="0071345C">
        <w:rPr>
          <w:sz w:val="18"/>
          <w:szCs w:val="18"/>
          <w:lang w:val="en-US"/>
        </w:rPr>
        <w:t xml:space="preserve"> (III, 343) “wer mit den Beinen ausschreitet, beendet seinen W</w:t>
      </w:r>
      <w:r w:rsidRPr="0071345C">
        <w:rPr>
          <w:sz w:val="18"/>
          <w:szCs w:val="18"/>
          <w:lang w:val="en-US"/>
        </w:rPr>
        <w:t xml:space="preserve">eg”, and thus according to </w:t>
      </w:r>
      <w:r w:rsidRPr="0071345C">
        <w:rPr>
          <w:smallCaps/>
          <w:sz w:val="18"/>
          <w:szCs w:val="18"/>
          <w:lang w:val="en-US"/>
        </w:rPr>
        <w:t>Sani</w:t>
      </w:r>
      <w:r w:rsidRPr="0071345C">
        <w:rPr>
          <w:sz w:val="18"/>
          <w:szCs w:val="18"/>
          <w:lang w:val="en-US"/>
        </w:rPr>
        <w:t xml:space="preserve"> (2000: 205) and </w:t>
      </w:r>
      <w:r w:rsidRPr="0071345C">
        <w:rPr>
          <w:smallCaps/>
          <w:sz w:val="18"/>
          <w:szCs w:val="18"/>
          <w:lang w:val="en-US"/>
        </w:rPr>
        <w:t>Ambrosini</w:t>
      </w:r>
      <w:r w:rsidRPr="0071345C">
        <w:rPr>
          <w:sz w:val="18"/>
          <w:szCs w:val="18"/>
          <w:lang w:val="en-US"/>
        </w:rPr>
        <w:t xml:space="preserve"> (1981: 108), while for </w:t>
      </w:r>
      <w:r w:rsidRPr="0071345C">
        <w:rPr>
          <w:smallCaps/>
          <w:sz w:val="18"/>
          <w:szCs w:val="18"/>
          <w:lang w:val="en-US"/>
        </w:rPr>
        <w:t>O’Flaherty</w:t>
      </w:r>
      <w:r w:rsidRPr="0071345C">
        <w:rPr>
          <w:sz w:val="18"/>
          <w:szCs w:val="18"/>
          <w:lang w:val="en-US"/>
        </w:rPr>
        <w:t xml:space="preserve"> (1984: 69) it is “the legs that walk put the road behind them”.</w:t>
      </w:r>
    </w:p>
  </w:footnote>
  <w:footnote w:id="471">
    <w:p w14:paraId="3AA8E99C"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w:t>
      </w:r>
      <w:r w:rsidRPr="0071345C">
        <w:rPr>
          <w:i/>
          <w:iCs/>
          <w:sz w:val="18"/>
          <w:szCs w:val="18"/>
          <w:lang w:val="en-US"/>
        </w:rPr>
        <w:t>vánīyān</w:t>
      </w:r>
      <w:r w:rsidRPr="0071345C">
        <w:rPr>
          <w:sz w:val="18"/>
          <w:szCs w:val="18"/>
          <w:lang w:val="en-US"/>
        </w:rPr>
        <w:t xml:space="preserve"> is in a position central to the two symmetrical propositions and is to be taken in relati</w:t>
      </w:r>
      <w:r w:rsidRPr="0071345C">
        <w:rPr>
          <w:sz w:val="18"/>
          <w:szCs w:val="18"/>
          <w:lang w:val="en-US"/>
        </w:rPr>
        <w:t>on to both verbs.</w:t>
      </w:r>
    </w:p>
  </w:footnote>
  <w:footnote w:id="472">
    <w:p w14:paraId="7D16D864"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w:t>
      </w:r>
      <w:r w:rsidRPr="0071345C">
        <w:rPr>
          <w:sz w:val="18"/>
          <w:szCs w:val="18"/>
          <w:lang w:val="en-US"/>
        </w:rPr>
        <w:t xml:space="preserve">Class of persons not well defined; this term is used not only as proper noun but also as an epithet for the sacrificer and indeed Agni himself (cf. EWAia: I 234-5); </w:t>
      </w:r>
      <w:r w:rsidRPr="0071345C">
        <w:rPr>
          <w:smallCaps/>
          <w:sz w:val="18"/>
          <w:szCs w:val="18"/>
          <w:lang w:val="en-US"/>
        </w:rPr>
        <w:t>Geldner</w:t>
      </w:r>
      <w:r w:rsidRPr="0071345C">
        <w:rPr>
          <w:sz w:val="18"/>
          <w:szCs w:val="18"/>
          <w:lang w:val="en-US"/>
        </w:rPr>
        <w:t xml:space="preserve"> in I 185 conjectures that it is the name of a family of priests, although here (II </w:t>
      </w:r>
      <w:r w:rsidRPr="0071345C">
        <w:rPr>
          <w:sz w:val="18"/>
          <w:szCs w:val="18"/>
          <w:lang w:val="en-US"/>
        </w:rPr>
        <w:t>189) he translates it is a common noun (“Fürbitter (?)”).</w:t>
      </w:r>
    </w:p>
  </w:footnote>
  <w:footnote w:id="473">
    <w:p w14:paraId="7078628C"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22"/>
          <w:lang w:val="en-US"/>
        </w:rPr>
        <w:tab/>
        <w:t xml:space="preserve"> </w:t>
      </w:r>
      <w:r w:rsidRPr="0071345C">
        <w:rPr>
          <w:sz w:val="18"/>
          <w:szCs w:val="18"/>
          <w:lang w:val="en-US"/>
        </w:rPr>
        <w:t>Cf. AiGr: II 2 §214.</w:t>
      </w:r>
    </w:p>
  </w:footnote>
  <w:footnote w:id="474">
    <w:p w14:paraId="55697631"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Agni, fire, is by his very nature “endowed with wood” or “characterised by wood”, as is, of course, the chariot, through </w:t>
      </w:r>
      <w:r w:rsidRPr="0071345C">
        <w:rPr>
          <w:i/>
          <w:sz w:val="18"/>
          <w:szCs w:val="18"/>
          <w:lang w:val="en-US"/>
        </w:rPr>
        <w:t>vanín-</w:t>
      </w:r>
      <w:r w:rsidRPr="0071345C">
        <w:rPr>
          <w:sz w:val="18"/>
          <w:szCs w:val="18"/>
          <w:lang w:val="en-US"/>
        </w:rPr>
        <w:t xml:space="preserve"> “having wood” cf. </w:t>
      </w:r>
      <w:r w:rsidRPr="0071345C">
        <w:rPr>
          <w:smallCaps/>
          <w:sz w:val="18"/>
          <w:szCs w:val="18"/>
          <w:lang w:val="en-US"/>
        </w:rPr>
        <w:t>Tucker</w:t>
      </w:r>
      <w:r w:rsidRPr="0071345C">
        <w:rPr>
          <w:sz w:val="18"/>
          <w:szCs w:val="18"/>
          <w:lang w:val="en-US"/>
        </w:rPr>
        <w:t xml:space="preserve"> 2006.  </w:t>
      </w:r>
    </w:p>
  </w:footnote>
  <w:footnote w:id="475">
    <w:p w14:paraId="49E80DD7"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While t</w:t>
      </w:r>
      <w:r w:rsidRPr="0071345C">
        <w:rPr>
          <w:sz w:val="18"/>
          <w:szCs w:val="18"/>
          <w:lang w:val="en-US"/>
        </w:rPr>
        <w:t xml:space="preserve">he first two </w:t>
      </w:r>
      <w:r w:rsidRPr="0071345C">
        <w:rPr>
          <w:i/>
          <w:sz w:val="18"/>
          <w:szCs w:val="18"/>
          <w:lang w:val="en-US"/>
        </w:rPr>
        <w:t xml:space="preserve">pāda </w:t>
      </w:r>
      <w:r w:rsidRPr="0071345C">
        <w:rPr>
          <w:sz w:val="18"/>
          <w:szCs w:val="18"/>
          <w:lang w:val="en-US"/>
        </w:rPr>
        <w:t>clearly refer to the chariot of the Aśvin, the second two can be understood as referring to Agni, fire, which has in fact countless forms and heeds the prayers of men. They can, moreover, also refer to the chariot, for Agni is hardly like</w:t>
      </w:r>
      <w:r w:rsidRPr="0071345C">
        <w:rPr>
          <w:sz w:val="18"/>
          <w:szCs w:val="18"/>
          <w:lang w:val="en-US"/>
        </w:rPr>
        <w:t>ly to be named in hymns addressed to the Aśvin.</w:t>
      </w:r>
    </w:p>
  </w:footnote>
  <w:footnote w:id="476">
    <w:p w14:paraId="6667DB5A"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Made of wood is the bowl into which the clarified butter was poured before being thrown into the fire, through </w:t>
      </w:r>
      <w:r w:rsidRPr="0071345C">
        <w:rPr>
          <w:i/>
          <w:sz w:val="18"/>
          <w:szCs w:val="18"/>
          <w:lang w:val="en-US"/>
        </w:rPr>
        <w:t>vanín-</w:t>
      </w:r>
      <w:r w:rsidRPr="0071345C">
        <w:rPr>
          <w:sz w:val="18"/>
          <w:szCs w:val="18"/>
          <w:lang w:val="en-US"/>
        </w:rPr>
        <w:t xml:space="preserve"> “having wood” cf. </w:t>
      </w:r>
      <w:r w:rsidRPr="0071345C">
        <w:rPr>
          <w:smallCaps/>
          <w:sz w:val="18"/>
          <w:szCs w:val="18"/>
          <w:lang w:val="en-US"/>
        </w:rPr>
        <w:t>Tucker</w:t>
      </w:r>
      <w:r w:rsidRPr="0071345C">
        <w:rPr>
          <w:sz w:val="18"/>
          <w:szCs w:val="18"/>
          <w:lang w:val="en-US"/>
        </w:rPr>
        <w:t xml:space="preserve"> 2006.  </w:t>
      </w:r>
    </w:p>
  </w:footnote>
  <w:footnote w:id="477">
    <w:p w14:paraId="3956FB44"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rFonts w:ascii="Sabon Unicode" w:hAnsi="Sabon Unicode"/>
          <w:sz w:val="18"/>
          <w:szCs w:val="18"/>
          <w:lang w:val="en-US"/>
        </w:rPr>
        <w:tab/>
        <w:t xml:space="preserve"> </w:t>
      </w:r>
      <w:r w:rsidRPr="0071345C">
        <w:rPr>
          <w:rFonts w:ascii="Sabon Unicode" w:hAnsi="Sabon Unicode"/>
          <w:i/>
          <w:iCs/>
          <w:sz w:val="18"/>
          <w:szCs w:val="18"/>
          <w:lang w:val="en-US"/>
        </w:rPr>
        <w:t>r̥tapsū</w:t>
      </w:r>
      <w:r w:rsidRPr="0071345C">
        <w:rPr>
          <w:rFonts w:ascii="Sabon Unicode" w:hAnsi="Sabon Unicode"/>
          <w:i/>
          <w:sz w:val="18"/>
          <w:szCs w:val="18"/>
          <w:lang w:val="en-US"/>
        </w:rPr>
        <w:t xml:space="preserve"> </w:t>
      </w:r>
      <w:r w:rsidRPr="0071345C">
        <w:rPr>
          <w:rFonts w:ascii="Sabon Unicode" w:hAnsi="Sabon Unicode"/>
          <w:sz w:val="18"/>
          <w:szCs w:val="18"/>
          <w:lang w:val="en-US"/>
        </w:rPr>
        <w:t xml:space="preserve">(voc. m. du.) from </w:t>
      </w:r>
      <w:r w:rsidRPr="0071345C">
        <w:rPr>
          <w:rFonts w:ascii="Sabon Unicode" w:hAnsi="Sabon Unicode"/>
          <w:i/>
          <w:iCs/>
          <w:sz w:val="18"/>
          <w:szCs w:val="18"/>
          <w:lang w:val="en-US"/>
        </w:rPr>
        <w:t>r̥tapsu</w:t>
      </w:r>
      <w:r w:rsidRPr="0071345C">
        <w:rPr>
          <w:rFonts w:ascii="Sabon Unicode" w:hAnsi="Sabon Unicode"/>
          <w:i/>
          <w:sz w:val="18"/>
          <w:szCs w:val="18"/>
          <w:lang w:val="en-US"/>
        </w:rPr>
        <w:t xml:space="preserve">- </w:t>
      </w:r>
      <w:r w:rsidRPr="0071345C">
        <w:rPr>
          <w:rFonts w:ascii="Sabon Unicode" w:hAnsi="Sabon Unicode"/>
          <w:sz w:val="18"/>
          <w:szCs w:val="18"/>
          <w:lang w:val="en-US"/>
        </w:rPr>
        <w:t xml:space="preserve">(m.f.n.) </w:t>
      </w:r>
      <w:r w:rsidRPr="0071345C">
        <w:rPr>
          <w:rFonts w:ascii="Sabon Unicode" w:hAnsi="Sabon Unicode"/>
          <w:i/>
          <w:iCs/>
          <w:sz w:val="18"/>
          <w:szCs w:val="18"/>
          <w:lang w:val="en-US"/>
        </w:rPr>
        <w:t>bahuvrīhi</w:t>
      </w:r>
      <w:r w:rsidRPr="0071345C">
        <w:rPr>
          <w:rFonts w:ascii="Sabon Unicode" w:hAnsi="Sabon Unicode"/>
          <w:sz w:val="18"/>
          <w:szCs w:val="18"/>
          <w:lang w:val="en-US"/>
        </w:rPr>
        <w:t xml:space="preserve"> of </w:t>
      </w:r>
      <w:r w:rsidRPr="0071345C">
        <w:rPr>
          <w:rFonts w:ascii="Sabon Unicode" w:hAnsi="Sabon Unicode"/>
          <w:i/>
          <w:iCs/>
          <w:sz w:val="18"/>
          <w:szCs w:val="18"/>
          <w:lang w:val="en-US"/>
        </w:rPr>
        <w:t>karmadhāraya,</w:t>
      </w:r>
      <w:r w:rsidRPr="0071345C">
        <w:rPr>
          <w:rFonts w:ascii="Sabon Unicode" w:hAnsi="Sabon Unicode"/>
          <w:i/>
          <w:sz w:val="18"/>
          <w:szCs w:val="18"/>
          <w:lang w:val="en-US"/>
        </w:rPr>
        <w:t xml:space="preserve"> </w:t>
      </w:r>
      <w:r w:rsidRPr="0071345C">
        <w:rPr>
          <w:rFonts w:ascii="Sabon Unicode" w:hAnsi="Sabon Unicode"/>
          <w:sz w:val="18"/>
          <w:szCs w:val="18"/>
          <w:lang w:val="en-US"/>
        </w:rPr>
        <w:t xml:space="preserve">“those whose breath is the truth” from </w:t>
      </w:r>
      <w:r w:rsidRPr="0071345C">
        <w:rPr>
          <w:rFonts w:ascii="Sabon Unicode" w:hAnsi="Sabon Unicode"/>
          <w:i/>
          <w:sz w:val="18"/>
          <w:szCs w:val="18"/>
          <w:lang w:val="en-US"/>
        </w:rPr>
        <w:t>r̥tá-</w:t>
      </w:r>
      <w:r w:rsidRPr="0071345C">
        <w:rPr>
          <w:rFonts w:ascii="Sabon Unicode" w:hAnsi="Sabon Unicode"/>
          <w:sz w:val="18"/>
          <w:szCs w:val="18"/>
          <w:lang w:val="en-US"/>
        </w:rPr>
        <w:t xml:space="preserve"> “order, law, truth”  and </w:t>
      </w:r>
      <w:r w:rsidRPr="0071345C">
        <w:rPr>
          <w:rFonts w:ascii="Sabon Unicode" w:hAnsi="Sabon Unicode"/>
          <w:i/>
          <w:sz w:val="18"/>
          <w:szCs w:val="18"/>
          <w:lang w:val="en-US"/>
        </w:rPr>
        <w:t>psu-</w:t>
      </w:r>
      <w:r w:rsidRPr="0071345C">
        <w:rPr>
          <w:rFonts w:ascii="Sabon Unicode" w:hAnsi="Sabon Unicode"/>
          <w:sz w:val="18"/>
          <w:szCs w:val="18"/>
          <w:lang w:val="en-US"/>
        </w:rPr>
        <w:t xml:space="preserve"> “breath” (cf. </w:t>
      </w:r>
      <w:r>
        <w:rPr>
          <w:rFonts w:ascii="Sabon Unicode" w:hAnsi="Sabon Unicode"/>
          <w:i/>
          <w:sz w:val="18"/>
          <w:szCs w:val="18"/>
        </w:rPr>
        <w:t>ψ</w:t>
      </w:r>
      <w:r>
        <w:rPr>
          <w:rFonts w:ascii="Sabon Unicode" w:hAnsi="Sabon Unicode"/>
          <w:i/>
          <w:sz w:val="18"/>
          <w:szCs w:val="18"/>
        </w:rPr>
        <w:t>ῡ</w:t>
      </w:r>
      <w:r>
        <w:rPr>
          <w:rFonts w:ascii="Sabon Unicode" w:hAnsi="Sabon Unicode"/>
          <w:i/>
          <w:sz w:val="18"/>
          <w:szCs w:val="18"/>
        </w:rPr>
        <w:t>χη</w:t>
      </w:r>
      <w:r w:rsidRPr="0071345C">
        <w:rPr>
          <w:rFonts w:ascii="Sabon Unicode" w:hAnsi="Sabon Unicode"/>
          <w:i/>
          <w:sz w:val="18"/>
          <w:szCs w:val="18"/>
          <w:lang w:val="en-US"/>
        </w:rPr>
        <w:t xml:space="preserve">́ </w:t>
      </w:r>
      <w:r w:rsidRPr="0071345C">
        <w:rPr>
          <w:rFonts w:ascii="Sabon Unicode" w:hAnsi="Sabon Unicode"/>
          <w:sz w:val="18"/>
          <w:szCs w:val="18"/>
          <w:lang w:val="en-US"/>
        </w:rPr>
        <w:t>in Greek), a substantive present only in the R̥gvedic compounds (EWAia: II 199); for interpretation of the term</w:t>
      </w:r>
      <w:r w:rsidRPr="0071345C">
        <w:rPr>
          <w:rFonts w:ascii="Sabon Unicode" w:hAnsi="Sabon Unicode"/>
          <w:i/>
          <w:sz w:val="18"/>
          <w:szCs w:val="18"/>
          <w:lang w:val="en-US"/>
        </w:rPr>
        <w:t xml:space="preserve"> </w:t>
      </w:r>
      <w:r w:rsidRPr="0071345C">
        <w:rPr>
          <w:rFonts w:ascii="Sabon Unicode" w:hAnsi="Sabon Unicode"/>
          <w:sz w:val="18"/>
          <w:szCs w:val="18"/>
          <w:lang w:val="en-US"/>
        </w:rPr>
        <w:t xml:space="preserve">cf. </w:t>
      </w:r>
      <w:r w:rsidRPr="0071345C">
        <w:rPr>
          <w:rFonts w:ascii="Sabon Unicode" w:hAnsi="Sabon Unicode"/>
          <w:smallCaps/>
          <w:sz w:val="18"/>
          <w:szCs w:val="18"/>
          <w:lang w:val="en-US"/>
        </w:rPr>
        <w:t>Renou</w:t>
      </w:r>
      <w:r w:rsidRPr="0071345C">
        <w:rPr>
          <w:rFonts w:ascii="Sabon Unicode" w:hAnsi="Sabon Unicode"/>
          <w:sz w:val="18"/>
          <w:szCs w:val="18"/>
          <w:lang w:val="en-US"/>
        </w:rPr>
        <w:t xml:space="preserve"> III</w:t>
      </w:r>
      <w:r w:rsidRPr="0071345C">
        <w:rPr>
          <w:rFonts w:ascii="Sabon Unicode" w:hAnsi="Sabon Unicode"/>
          <w:sz w:val="18"/>
          <w:szCs w:val="18"/>
          <w:lang w:val="en-US"/>
        </w:rPr>
        <w:t xml:space="preserve"> 29 and </w:t>
      </w:r>
      <w:r w:rsidRPr="0071345C">
        <w:rPr>
          <w:rFonts w:ascii="Sabon Unicode" w:hAnsi="Sabon Unicode"/>
          <w:smallCaps/>
          <w:sz w:val="18"/>
          <w:szCs w:val="18"/>
          <w:lang w:val="en-US"/>
        </w:rPr>
        <w:t>Thieme</w:t>
      </w:r>
      <w:r w:rsidRPr="0071345C">
        <w:rPr>
          <w:rFonts w:ascii="Sabon Unicode" w:hAnsi="Sabon Unicode"/>
          <w:sz w:val="18"/>
          <w:szCs w:val="18"/>
          <w:lang w:val="en-US"/>
        </w:rPr>
        <w:t xml:space="preserve"> 1971: 72-81 in particular </w:t>
      </w:r>
      <w:r w:rsidRPr="0071345C">
        <w:rPr>
          <w:rFonts w:ascii="Sabon Unicode" w:hAnsi="Sabon Unicode"/>
          <w:sz w:val="18"/>
          <w:szCs w:val="18"/>
          <w:lang w:val="en-US"/>
        </w:rPr>
        <w:t>77-79</w:t>
      </w:r>
      <w:r w:rsidRPr="0071345C">
        <w:rPr>
          <w:rFonts w:ascii="Sabon Unicode" w:hAnsi="Sabon Unicode"/>
          <w:sz w:val="18"/>
          <w:szCs w:val="18"/>
          <w:lang w:val="en-US"/>
        </w:rPr>
        <w:t>.</w:t>
      </w:r>
      <w:r w:rsidRPr="0071345C">
        <w:rPr>
          <w:rFonts w:ascii="Sabon Unicode" w:hAnsi="Sabon Unicode"/>
          <w:sz w:val="18"/>
          <w:szCs w:val="18"/>
          <w:lang w:val="en-US"/>
        </w:rPr>
        <w:t xml:space="preserve"> </w:t>
      </w:r>
    </w:p>
  </w:footnote>
  <w:footnote w:id="478">
    <w:p w14:paraId="58F224F0"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w:t>
      </w:r>
      <w:r w:rsidRPr="0071345C">
        <w:rPr>
          <w:i/>
          <w:iCs/>
          <w:sz w:val="18"/>
          <w:szCs w:val="18"/>
          <w:lang w:val="en-US"/>
        </w:rPr>
        <w:t>dyumnā́ni</w:t>
      </w:r>
      <w:r w:rsidRPr="0071345C">
        <w:rPr>
          <w:sz w:val="18"/>
          <w:szCs w:val="18"/>
          <w:lang w:val="en-US"/>
        </w:rPr>
        <w:t xml:space="preserve"> (nom. n. pl.) from </w:t>
      </w:r>
      <w:r w:rsidRPr="0071345C">
        <w:rPr>
          <w:i/>
          <w:sz w:val="18"/>
          <w:szCs w:val="18"/>
          <w:lang w:val="en-US"/>
        </w:rPr>
        <w:t>dyumn</w:t>
      </w:r>
      <w:r w:rsidRPr="0071345C">
        <w:rPr>
          <w:i/>
          <w:sz w:val="18"/>
          <w:szCs w:val="18"/>
          <w:lang w:val="en-US"/>
        </w:rPr>
        <w:t>á</w:t>
      </w:r>
      <w:r w:rsidRPr="0071345C">
        <w:rPr>
          <w:i/>
          <w:sz w:val="18"/>
          <w:szCs w:val="18"/>
          <w:lang w:val="en-US"/>
        </w:rPr>
        <w:t xml:space="preserve">- </w:t>
      </w:r>
      <w:r w:rsidRPr="0071345C">
        <w:rPr>
          <w:sz w:val="18"/>
          <w:szCs w:val="18"/>
          <w:lang w:val="en-US"/>
        </w:rPr>
        <w:t xml:space="preserve"> “</w:t>
      </w:r>
      <w:r w:rsidRPr="0071345C">
        <w:rPr>
          <w:sz w:val="18"/>
          <w:szCs w:val="18"/>
          <w:lang w:val="en-US"/>
        </w:rPr>
        <w:t>splendour, light”, but also “power”, “glory”</w:t>
      </w:r>
      <w:r w:rsidRPr="0071345C">
        <w:rPr>
          <w:sz w:val="18"/>
          <w:szCs w:val="18"/>
          <w:lang w:val="en-US"/>
        </w:rPr>
        <w:t xml:space="preserve"> </w:t>
      </w:r>
      <w:r w:rsidRPr="0071345C">
        <w:rPr>
          <w:smallCaps/>
          <w:sz w:val="18"/>
          <w:szCs w:val="18"/>
          <w:lang w:val="en-US"/>
        </w:rPr>
        <w:t>Geldner</w:t>
      </w:r>
      <w:r w:rsidRPr="0071345C">
        <w:rPr>
          <w:sz w:val="18"/>
          <w:szCs w:val="18"/>
          <w:lang w:val="en-US"/>
        </w:rPr>
        <w:t xml:space="preserve"> (I 382) </w:t>
      </w:r>
      <w:r w:rsidRPr="0071345C">
        <w:rPr>
          <w:sz w:val="18"/>
          <w:szCs w:val="18"/>
          <w:lang w:val="en-US"/>
        </w:rPr>
        <w:t>“</w:t>
      </w:r>
      <w:r w:rsidRPr="0071345C">
        <w:rPr>
          <w:sz w:val="18"/>
          <w:szCs w:val="18"/>
          <w:lang w:val="en-US"/>
        </w:rPr>
        <w:t>Herrlichkeiten</w:t>
      </w:r>
      <w:r w:rsidRPr="0071345C">
        <w:rPr>
          <w:sz w:val="18"/>
          <w:szCs w:val="18"/>
          <w:lang w:val="en-US"/>
        </w:rPr>
        <w:t>”,</w:t>
      </w:r>
      <w:r w:rsidRPr="0071345C">
        <w:rPr>
          <w:sz w:val="18"/>
          <w:szCs w:val="18"/>
          <w:lang w:val="en-US"/>
        </w:rPr>
        <w:t xml:space="preserve"> </w:t>
      </w:r>
      <w:r w:rsidRPr="0071345C">
        <w:rPr>
          <w:smallCaps/>
          <w:sz w:val="18"/>
          <w:szCs w:val="18"/>
          <w:lang w:val="en-US"/>
        </w:rPr>
        <w:t>Renou</w:t>
      </w:r>
      <w:r w:rsidRPr="0071345C">
        <w:rPr>
          <w:sz w:val="18"/>
          <w:szCs w:val="18"/>
          <w:lang w:val="en-US"/>
        </w:rPr>
        <w:t xml:space="preserve"> </w:t>
      </w:r>
      <w:r w:rsidRPr="0071345C">
        <w:rPr>
          <w:sz w:val="18"/>
          <w:szCs w:val="18"/>
          <w:lang w:val="en-US"/>
        </w:rPr>
        <w:t>(</w:t>
      </w:r>
      <w:r w:rsidRPr="0071345C">
        <w:rPr>
          <w:sz w:val="18"/>
          <w:szCs w:val="18"/>
          <w:lang w:val="en-US"/>
        </w:rPr>
        <w:t>XVII 83</w:t>
      </w:r>
      <w:r w:rsidRPr="0071345C">
        <w:rPr>
          <w:sz w:val="18"/>
          <w:szCs w:val="18"/>
          <w:lang w:val="en-US"/>
        </w:rPr>
        <w:t>)</w:t>
      </w:r>
      <w:r w:rsidRPr="0071345C">
        <w:rPr>
          <w:sz w:val="18"/>
          <w:szCs w:val="18"/>
          <w:lang w:val="en-US"/>
        </w:rPr>
        <w:t xml:space="preserve"> </w:t>
      </w:r>
      <w:r w:rsidRPr="0071345C">
        <w:rPr>
          <w:sz w:val="18"/>
          <w:szCs w:val="18"/>
          <w:lang w:val="en-US"/>
        </w:rPr>
        <w:t>“</w:t>
      </w:r>
      <w:r w:rsidRPr="0071345C">
        <w:rPr>
          <w:sz w:val="18"/>
          <w:szCs w:val="18"/>
          <w:lang w:val="en-US"/>
        </w:rPr>
        <w:t>formes-(éclatantes)</w:t>
      </w:r>
      <w:r w:rsidRPr="0071345C">
        <w:rPr>
          <w:sz w:val="18"/>
          <w:szCs w:val="18"/>
          <w:lang w:val="en-US"/>
        </w:rPr>
        <w:t>”; in the present translation the splendours are u</w:t>
      </w:r>
      <w:r w:rsidRPr="0071345C">
        <w:rPr>
          <w:sz w:val="18"/>
          <w:szCs w:val="18"/>
          <w:lang w:val="en-US"/>
        </w:rPr>
        <w:t xml:space="preserve">nderstood as flames, the little flashes produced by fire (Agni) to which the adjective </w:t>
      </w:r>
      <w:r w:rsidRPr="0071345C">
        <w:rPr>
          <w:i/>
          <w:sz w:val="18"/>
          <w:szCs w:val="18"/>
          <w:lang w:val="en-US"/>
        </w:rPr>
        <w:t>van</w:t>
      </w:r>
      <w:r w:rsidRPr="0071345C">
        <w:rPr>
          <w:i/>
          <w:sz w:val="18"/>
          <w:szCs w:val="18"/>
          <w:lang w:val="en-US"/>
        </w:rPr>
        <w:t>í</w:t>
      </w:r>
      <w:r w:rsidRPr="0071345C">
        <w:rPr>
          <w:i/>
          <w:sz w:val="18"/>
          <w:szCs w:val="18"/>
          <w:lang w:val="en-US"/>
        </w:rPr>
        <w:t>na</w:t>
      </w:r>
      <w:r w:rsidRPr="0071345C">
        <w:rPr>
          <w:i/>
          <w:sz w:val="18"/>
          <w:szCs w:val="18"/>
          <w:lang w:val="en-US"/>
        </w:rPr>
        <w:t>ḥ</w:t>
      </w:r>
      <w:r w:rsidRPr="0071345C">
        <w:rPr>
          <w:sz w:val="18"/>
          <w:szCs w:val="18"/>
          <w:lang w:val="en-US"/>
        </w:rPr>
        <w:t xml:space="preserve"> refers</w:t>
      </w:r>
      <w:r w:rsidRPr="0071345C">
        <w:rPr>
          <w:i/>
          <w:sz w:val="18"/>
          <w:szCs w:val="18"/>
          <w:lang w:val="en-US"/>
        </w:rPr>
        <w:t>.</w:t>
      </w:r>
    </w:p>
  </w:footnote>
  <w:footnote w:id="479">
    <w:p w14:paraId="5C7FDEBB"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Agni, fire, is by his very nature “endowed with wood” or “characterised by wood”, as is, of course, the chariot, through </w:t>
      </w:r>
      <w:r w:rsidRPr="0071345C">
        <w:rPr>
          <w:i/>
          <w:sz w:val="18"/>
          <w:szCs w:val="18"/>
          <w:lang w:val="en-US"/>
        </w:rPr>
        <w:t>vanín-</w:t>
      </w:r>
      <w:r w:rsidRPr="0071345C">
        <w:rPr>
          <w:sz w:val="18"/>
          <w:szCs w:val="18"/>
          <w:lang w:val="en-US"/>
        </w:rPr>
        <w:t xml:space="preserve"> “having wood” cf. </w:t>
      </w:r>
      <w:r w:rsidRPr="0071345C">
        <w:rPr>
          <w:smallCaps/>
          <w:sz w:val="18"/>
          <w:szCs w:val="18"/>
          <w:lang w:val="en-US"/>
        </w:rPr>
        <w:t>Tucker</w:t>
      </w:r>
      <w:r w:rsidRPr="0071345C">
        <w:rPr>
          <w:sz w:val="18"/>
          <w:szCs w:val="18"/>
          <w:lang w:val="en-US"/>
        </w:rPr>
        <w:t xml:space="preserve"> 2006.  </w:t>
      </w:r>
    </w:p>
  </w:footnote>
  <w:footnote w:id="480">
    <w:p w14:paraId="30909A14"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w:t>
      </w:r>
      <w:r w:rsidRPr="0071345C">
        <w:rPr>
          <w:i/>
          <w:iCs/>
          <w:sz w:val="18"/>
          <w:szCs w:val="18"/>
          <w:lang w:val="en-US"/>
        </w:rPr>
        <w:t>vaníno</w:t>
      </w:r>
      <w:r w:rsidRPr="0071345C">
        <w:rPr>
          <w:i/>
          <w:sz w:val="18"/>
          <w:szCs w:val="18"/>
          <w:lang w:val="en-US"/>
        </w:rPr>
        <w:t xml:space="preserve">: vanínā u </w:t>
      </w:r>
      <w:r w:rsidRPr="0071345C">
        <w:rPr>
          <w:sz w:val="18"/>
          <w:szCs w:val="18"/>
          <w:lang w:val="en-US"/>
        </w:rPr>
        <w:t xml:space="preserve">against Pp.: </w:t>
      </w:r>
      <w:r w:rsidRPr="0071345C">
        <w:rPr>
          <w:i/>
          <w:sz w:val="18"/>
          <w:szCs w:val="18"/>
          <w:lang w:val="en-US"/>
        </w:rPr>
        <w:t>vanína</w:t>
      </w:r>
      <w:r w:rsidRPr="0071345C">
        <w:rPr>
          <w:i/>
          <w:sz w:val="18"/>
          <w:szCs w:val="18"/>
          <w:lang w:val="en-US"/>
        </w:rPr>
        <w:t>ḥ</w:t>
      </w:r>
      <w:r w:rsidRPr="0071345C">
        <w:rPr>
          <w:i/>
          <w:sz w:val="18"/>
          <w:szCs w:val="18"/>
          <w:lang w:val="en-US"/>
        </w:rPr>
        <w:t>,</w:t>
      </w:r>
      <w:r w:rsidRPr="0071345C">
        <w:rPr>
          <w:sz w:val="18"/>
          <w:szCs w:val="18"/>
          <w:lang w:val="en-US"/>
        </w:rPr>
        <w:t xml:space="preserve"> the choice is dictated by the strangeness of the form within the </w:t>
      </w:r>
      <w:r w:rsidRPr="0071345C">
        <w:rPr>
          <w:i/>
          <w:sz w:val="18"/>
          <w:szCs w:val="18"/>
          <w:lang w:val="en-US"/>
        </w:rPr>
        <w:t>pāda</w:t>
      </w:r>
      <w:r w:rsidRPr="0071345C">
        <w:rPr>
          <w:sz w:val="18"/>
          <w:szCs w:val="18"/>
          <w:lang w:val="en-US"/>
        </w:rPr>
        <w:t xml:space="preserve"> (</w:t>
      </w:r>
      <w:r w:rsidRPr="0071345C">
        <w:rPr>
          <w:smallCaps/>
          <w:sz w:val="18"/>
          <w:szCs w:val="18"/>
          <w:lang w:val="en-US"/>
        </w:rPr>
        <w:t>Geldner</w:t>
      </w:r>
      <w:r w:rsidRPr="0071345C">
        <w:rPr>
          <w:sz w:val="18"/>
          <w:szCs w:val="18"/>
          <w:lang w:val="en-US"/>
        </w:rPr>
        <w:t xml:space="preserve"> II 286 in fact reads it as </w:t>
      </w:r>
      <w:r w:rsidRPr="0071345C">
        <w:rPr>
          <w:i/>
          <w:sz w:val="18"/>
          <w:szCs w:val="18"/>
          <w:lang w:val="en-US"/>
        </w:rPr>
        <w:t>vanínam</w:t>
      </w:r>
      <w:r w:rsidRPr="0071345C">
        <w:rPr>
          <w:sz w:val="18"/>
          <w:szCs w:val="18"/>
          <w:lang w:val="en-US"/>
        </w:rPr>
        <w:t xml:space="preserve">) and we follow the hypothesis that </w:t>
      </w:r>
      <w:r w:rsidRPr="0071345C">
        <w:rPr>
          <w:i/>
          <w:sz w:val="18"/>
          <w:szCs w:val="18"/>
          <w:lang w:val="en-US"/>
        </w:rPr>
        <w:t xml:space="preserve">vanín- </w:t>
      </w:r>
      <w:r w:rsidRPr="0071345C">
        <w:rPr>
          <w:sz w:val="18"/>
          <w:szCs w:val="18"/>
          <w:lang w:val="en-US"/>
        </w:rPr>
        <w:t>is Agni, fire, by his ve</w:t>
      </w:r>
      <w:r w:rsidRPr="0071345C">
        <w:rPr>
          <w:sz w:val="18"/>
          <w:szCs w:val="18"/>
          <w:lang w:val="en-US"/>
        </w:rPr>
        <w:t xml:space="preserve">ry nature “endowed with wood” or “characterised by wood”, as is, of course, the chariot, through </w:t>
      </w:r>
      <w:r w:rsidRPr="0071345C">
        <w:rPr>
          <w:i/>
          <w:sz w:val="18"/>
          <w:szCs w:val="18"/>
          <w:lang w:val="en-US"/>
        </w:rPr>
        <w:t>vanín-</w:t>
      </w:r>
      <w:r w:rsidRPr="0071345C">
        <w:rPr>
          <w:sz w:val="18"/>
          <w:szCs w:val="18"/>
          <w:lang w:val="en-US"/>
        </w:rPr>
        <w:t xml:space="preserve"> “having wood” cf. </w:t>
      </w:r>
      <w:r w:rsidRPr="0071345C">
        <w:rPr>
          <w:smallCaps/>
          <w:sz w:val="18"/>
          <w:szCs w:val="18"/>
          <w:lang w:val="en-US"/>
        </w:rPr>
        <w:t>Tucker</w:t>
      </w:r>
      <w:r w:rsidRPr="0071345C">
        <w:rPr>
          <w:sz w:val="18"/>
          <w:szCs w:val="18"/>
          <w:lang w:val="en-US"/>
        </w:rPr>
        <w:t xml:space="preserve"> 2006. </w:t>
      </w:r>
    </w:p>
  </w:footnote>
  <w:footnote w:id="481">
    <w:p w14:paraId="3673CB8E"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Through </w:t>
      </w:r>
      <w:r w:rsidRPr="0071345C">
        <w:rPr>
          <w:i/>
          <w:sz w:val="18"/>
          <w:szCs w:val="18"/>
          <w:lang w:val="en-US"/>
        </w:rPr>
        <w:t>vanín-</w:t>
      </w:r>
      <w:r w:rsidRPr="0071345C">
        <w:rPr>
          <w:sz w:val="18"/>
          <w:szCs w:val="18"/>
          <w:lang w:val="en-US"/>
        </w:rPr>
        <w:t xml:space="preserve"> “having wood” cf. </w:t>
      </w:r>
      <w:r w:rsidRPr="0071345C">
        <w:rPr>
          <w:smallCaps/>
          <w:sz w:val="18"/>
          <w:szCs w:val="18"/>
          <w:lang w:val="en-US"/>
        </w:rPr>
        <w:t>Tucker</w:t>
      </w:r>
      <w:r w:rsidRPr="0071345C">
        <w:rPr>
          <w:sz w:val="18"/>
          <w:szCs w:val="18"/>
          <w:lang w:val="en-US"/>
        </w:rPr>
        <w:t xml:space="preserve"> 2006.</w:t>
      </w:r>
    </w:p>
  </w:footnote>
  <w:footnote w:id="482">
    <w:p w14:paraId="1354DBB5" w14:textId="77777777" w:rsidR="00E53EB6" w:rsidRPr="0071345C" w:rsidRDefault="006500F5">
      <w:pPr>
        <w:pStyle w:val="FootnoteText"/>
        <w:rPr>
          <w:lang w:val="en-US"/>
        </w:rPr>
      </w:pPr>
      <w:r>
        <w:rPr>
          <w:rStyle w:val="FootnoteCharacters"/>
        </w:rPr>
        <w:footnoteRef/>
      </w:r>
      <w:r w:rsidRPr="0071345C">
        <w:rPr>
          <w:i/>
          <w:iCs/>
          <w:lang w:val="en-US"/>
        </w:rPr>
        <w:t xml:space="preserve"> </w:t>
      </w:r>
      <w:r w:rsidRPr="0071345C">
        <w:rPr>
          <w:lang w:val="en-US"/>
        </w:rPr>
        <w:t xml:space="preserve">As to the meaning of </w:t>
      </w:r>
      <w:r w:rsidRPr="0071345C">
        <w:rPr>
          <w:i/>
          <w:iCs/>
          <w:lang w:val="en-US"/>
        </w:rPr>
        <w:t xml:space="preserve"> vícar</w:t>
      </w:r>
      <w:r w:rsidRPr="0071345C">
        <w:rPr>
          <w:i/>
          <w:iCs/>
          <w:lang w:val="en-US"/>
        </w:rPr>
        <w:t>ṣ</w:t>
      </w:r>
      <w:r w:rsidRPr="0071345C">
        <w:rPr>
          <w:i/>
          <w:iCs/>
          <w:lang w:val="en-US"/>
        </w:rPr>
        <w:t>a</w:t>
      </w:r>
      <w:r w:rsidRPr="0071345C">
        <w:rPr>
          <w:i/>
          <w:iCs/>
          <w:lang w:val="en-US"/>
        </w:rPr>
        <w:t>ṇ</w:t>
      </w:r>
      <w:r w:rsidRPr="0071345C">
        <w:rPr>
          <w:i/>
          <w:iCs/>
          <w:lang w:val="en-US"/>
        </w:rPr>
        <w:t xml:space="preserve">i, </w:t>
      </w:r>
      <w:r w:rsidRPr="0071345C">
        <w:rPr>
          <w:lang w:val="en-US"/>
        </w:rPr>
        <w:t xml:space="preserve">see </w:t>
      </w:r>
      <w:r w:rsidRPr="0071345C">
        <w:rPr>
          <w:rStyle w:val="biblio-authorGEN"/>
          <w:sz w:val="18"/>
          <w:szCs w:val="15"/>
          <w:lang w:val="en-US"/>
        </w:rPr>
        <w:t>Thieme</w:t>
      </w:r>
      <w:r w:rsidRPr="0071345C">
        <w:rPr>
          <w:lang w:val="en-US"/>
        </w:rPr>
        <w:t xml:space="preserve"> 1967</w:t>
      </w:r>
      <w:r w:rsidRPr="0071345C">
        <w:rPr>
          <w:vertAlign w:val="superscript"/>
          <w:lang w:val="en-US"/>
        </w:rPr>
        <w:t>a</w:t>
      </w:r>
      <w:r w:rsidRPr="0071345C">
        <w:rPr>
          <w:sz w:val="18"/>
          <w:lang w:val="en-US"/>
        </w:rPr>
        <w:t>.</w:t>
      </w:r>
    </w:p>
  </w:footnote>
  <w:footnote w:id="483">
    <w:p w14:paraId="397D6F6B"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w:t>
      </w:r>
      <w:r w:rsidRPr="0071345C">
        <w:rPr>
          <w:i/>
          <w:iCs/>
          <w:sz w:val="18"/>
          <w:szCs w:val="18"/>
          <w:lang w:val="en-US"/>
        </w:rPr>
        <w:t>havásā</w:t>
      </w:r>
      <w:r w:rsidRPr="0071345C">
        <w:rPr>
          <w:i/>
          <w:sz w:val="18"/>
          <w:szCs w:val="18"/>
          <w:lang w:val="en-US"/>
        </w:rPr>
        <w:t xml:space="preserve"> gr̥</w:t>
      </w:r>
      <w:r w:rsidRPr="0071345C">
        <w:rPr>
          <w:i/>
          <w:sz w:val="18"/>
          <w:szCs w:val="18"/>
          <w:lang w:val="en-US"/>
        </w:rPr>
        <w:t>ṇ</w:t>
      </w:r>
      <w:r w:rsidRPr="0071345C">
        <w:rPr>
          <w:i/>
          <w:sz w:val="18"/>
          <w:szCs w:val="18"/>
          <w:lang w:val="en-US"/>
        </w:rPr>
        <w:t>īmas</w:t>
      </w:r>
      <w:r w:rsidRPr="0071345C">
        <w:rPr>
          <w:i/>
          <w:sz w:val="18"/>
          <w:szCs w:val="18"/>
          <w:lang w:val="en-US"/>
        </w:rPr>
        <w:t xml:space="preserve">i: </w:t>
      </w:r>
      <w:r w:rsidRPr="0071345C">
        <w:rPr>
          <w:sz w:val="18"/>
          <w:szCs w:val="18"/>
          <w:lang w:val="en-US"/>
        </w:rPr>
        <w:t xml:space="preserve">cf. 6.66.11 (hymn to the Marut) </w:t>
      </w:r>
      <w:r w:rsidRPr="0071345C">
        <w:rPr>
          <w:i/>
          <w:sz w:val="18"/>
          <w:szCs w:val="18"/>
          <w:lang w:val="en-US"/>
        </w:rPr>
        <w:t>havasā</w:t>
      </w:r>
      <w:r w:rsidRPr="0071345C">
        <w:rPr>
          <w:sz w:val="18"/>
          <w:szCs w:val="18"/>
          <w:lang w:val="en-US"/>
        </w:rPr>
        <w:t>́</w:t>
      </w:r>
      <w:r w:rsidRPr="0071345C">
        <w:rPr>
          <w:i/>
          <w:sz w:val="18"/>
          <w:szCs w:val="18"/>
          <w:lang w:val="en-US"/>
        </w:rPr>
        <w:t xml:space="preserve"> vivāse </w:t>
      </w:r>
      <w:r w:rsidRPr="0071345C">
        <w:rPr>
          <w:sz w:val="18"/>
          <w:szCs w:val="18"/>
          <w:lang w:val="en-US"/>
        </w:rPr>
        <w:t xml:space="preserve">“I call here with the invocation” (present indicative 1st sing. Ā from </w:t>
      </w:r>
      <w:r w:rsidRPr="0071345C">
        <w:rPr>
          <w:i/>
          <w:sz w:val="18"/>
          <w:szCs w:val="18"/>
          <w:lang w:val="en-US"/>
        </w:rPr>
        <w:t>vivās-</w:t>
      </w:r>
      <w:r w:rsidRPr="0071345C">
        <w:rPr>
          <w:sz w:val="18"/>
          <w:szCs w:val="18"/>
          <w:lang w:val="en-US"/>
        </w:rPr>
        <w:t xml:space="preserve">, stem of the desiderative from </w:t>
      </w:r>
      <w:r w:rsidRPr="0071345C">
        <w:rPr>
          <w:i/>
          <w:sz w:val="18"/>
          <w:szCs w:val="18"/>
          <w:lang w:val="en-US"/>
        </w:rPr>
        <w:t>van-</w:t>
      </w:r>
      <w:r w:rsidRPr="0071345C">
        <w:rPr>
          <w:sz w:val="18"/>
          <w:szCs w:val="18"/>
          <w:lang w:val="en-US"/>
        </w:rPr>
        <w:t>); in this case, too, the object of the action is the son of Rudra.</w:t>
      </w:r>
    </w:p>
  </w:footnote>
  <w:footnote w:id="484">
    <w:p w14:paraId="1C282C59"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The </w:t>
      </w:r>
      <w:r w:rsidRPr="0071345C">
        <w:rPr>
          <w:i/>
          <w:sz w:val="18"/>
          <w:szCs w:val="18"/>
          <w:lang w:val="en-US"/>
        </w:rPr>
        <w:t>hotr̥</w:t>
      </w:r>
      <w:r w:rsidRPr="0071345C">
        <w:rPr>
          <w:sz w:val="18"/>
          <w:szCs w:val="18"/>
          <w:lang w:val="en-US"/>
        </w:rPr>
        <w:t xml:space="preserve"> is in this c</w:t>
      </w:r>
      <w:r w:rsidRPr="0071345C">
        <w:rPr>
          <w:sz w:val="18"/>
          <w:szCs w:val="18"/>
          <w:lang w:val="en-US"/>
        </w:rPr>
        <w:t>ase both the human priest and Agni, and begins the sacrifice and the chants uttering the sacred words; similarly, maintaining the human world–divine world symmetry, Br̥haspati is both the Bráhman (</w:t>
      </w:r>
      <w:r w:rsidRPr="0071345C">
        <w:rPr>
          <w:smallCaps/>
          <w:sz w:val="18"/>
          <w:szCs w:val="18"/>
          <w:lang w:val="en-US"/>
        </w:rPr>
        <w:t>Geldner</w:t>
      </w:r>
      <w:r w:rsidRPr="0071345C">
        <w:rPr>
          <w:sz w:val="18"/>
          <w:szCs w:val="18"/>
          <w:lang w:val="en-US"/>
        </w:rPr>
        <w:t xml:space="preserve"> I 194 n.10b) and the </w:t>
      </w:r>
      <w:r w:rsidRPr="0071345C">
        <w:rPr>
          <w:i/>
          <w:sz w:val="18"/>
          <w:szCs w:val="18"/>
          <w:lang w:val="en-US"/>
        </w:rPr>
        <w:t>adhvaryu</w:t>
      </w:r>
      <w:r w:rsidRPr="0071345C">
        <w:rPr>
          <w:sz w:val="18"/>
          <w:szCs w:val="18"/>
          <w:lang w:val="en-US"/>
        </w:rPr>
        <w:t>, the human correspond</w:t>
      </w:r>
      <w:r w:rsidRPr="0071345C">
        <w:rPr>
          <w:sz w:val="18"/>
          <w:szCs w:val="18"/>
          <w:lang w:val="en-US"/>
        </w:rPr>
        <w:t xml:space="preserve">ing to the Lord of the formula. </w:t>
      </w:r>
    </w:p>
  </w:footnote>
  <w:footnote w:id="485">
    <w:p w14:paraId="4C3A08F4"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w:t>
      </w:r>
      <w:r w:rsidRPr="0071345C">
        <w:rPr>
          <w:i/>
          <w:iCs/>
          <w:sz w:val="18"/>
          <w:szCs w:val="18"/>
          <w:lang w:val="en-US"/>
        </w:rPr>
        <w:t>vā́riyam</w:t>
      </w:r>
      <w:r w:rsidRPr="0071345C">
        <w:rPr>
          <w:i/>
          <w:sz w:val="18"/>
          <w:szCs w:val="18"/>
          <w:lang w:val="en-US"/>
        </w:rPr>
        <w:t xml:space="preserve"> </w:t>
      </w:r>
      <w:r w:rsidRPr="0071345C">
        <w:rPr>
          <w:sz w:val="18"/>
          <w:szCs w:val="18"/>
          <w:lang w:val="en-US"/>
        </w:rPr>
        <w:t xml:space="preserve"> (acc. n. sing.) from </w:t>
      </w:r>
      <w:r w:rsidRPr="0071345C">
        <w:rPr>
          <w:i/>
          <w:sz w:val="18"/>
          <w:szCs w:val="18"/>
          <w:lang w:val="en-US"/>
        </w:rPr>
        <w:t>vā́rya-</w:t>
      </w:r>
      <w:r w:rsidRPr="0071345C">
        <w:rPr>
          <w:sz w:val="18"/>
          <w:szCs w:val="18"/>
          <w:lang w:val="en-US"/>
        </w:rPr>
        <w:t xml:space="preserve"> “treasure” “asset which entails choice” from the root </w:t>
      </w:r>
      <w:r w:rsidRPr="0071345C">
        <w:rPr>
          <w:i/>
          <w:sz w:val="18"/>
          <w:szCs w:val="18"/>
          <w:lang w:val="en-US"/>
        </w:rPr>
        <w:t xml:space="preserve">vr̥-  </w:t>
      </w:r>
      <w:r w:rsidRPr="0071345C">
        <w:rPr>
          <w:sz w:val="18"/>
          <w:szCs w:val="18"/>
          <w:lang w:val="en-US"/>
        </w:rPr>
        <w:t xml:space="preserve">“to choose” cf. </w:t>
      </w:r>
      <w:r w:rsidRPr="0071345C">
        <w:rPr>
          <w:i/>
          <w:sz w:val="18"/>
          <w:szCs w:val="18"/>
          <w:lang w:val="en-US"/>
        </w:rPr>
        <w:t>vāra-</w:t>
      </w:r>
      <w:r w:rsidRPr="0071345C">
        <w:rPr>
          <w:sz w:val="18"/>
          <w:szCs w:val="18"/>
          <w:lang w:val="en-US"/>
        </w:rPr>
        <w:t xml:space="preserve"> “choice”.</w:t>
      </w:r>
    </w:p>
  </w:footnote>
  <w:footnote w:id="486">
    <w:p w14:paraId="69766270"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w:t>
      </w:r>
      <w:r w:rsidRPr="0071345C">
        <w:rPr>
          <w:i/>
          <w:iCs/>
          <w:sz w:val="18"/>
          <w:szCs w:val="18"/>
          <w:lang w:val="en-US"/>
        </w:rPr>
        <w:t>araríndāni</w:t>
      </w:r>
      <w:r w:rsidRPr="0071345C">
        <w:rPr>
          <w:sz w:val="18"/>
          <w:szCs w:val="18"/>
          <w:lang w:val="en-US"/>
        </w:rPr>
        <w:t xml:space="preserve"> (acc. n. pl. ?) </w:t>
      </w:r>
      <w:r w:rsidRPr="0071345C">
        <w:rPr>
          <w:i/>
          <w:sz w:val="18"/>
          <w:szCs w:val="18"/>
          <w:lang w:val="en-US"/>
        </w:rPr>
        <w:t>hapax</w:t>
      </w:r>
      <w:r w:rsidRPr="0071345C">
        <w:rPr>
          <w:sz w:val="18"/>
          <w:szCs w:val="18"/>
          <w:lang w:val="en-US"/>
        </w:rPr>
        <w:t xml:space="preserve">, here, as in </w:t>
      </w:r>
      <w:r w:rsidRPr="0071345C">
        <w:rPr>
          <w:smallCaps/>
          <w:sz w:val="18"/>
          <w:szCs w:val="18"/>
          <w:lang w:val="en-US"/>
        </w:rPr>
        <w:t>Geldner</w:t>
      </w:r>
      <w:r w:rsidRPr="0071345C">
        <w:rPr>
          <w:sz w:val="18"/>
          <w:szCs w:val="18"/>
          <w:lang w:val="en-US"/>
        </w:rPr>
        <w:t xml:space="preserve"> (I 194)</w:t>
      </w:r>
      <w:r w:rsidRPr="0071345C">
        <w:rPr>
          <w:smallCaps/>
          <w:sz w:val="18"/>
          <w:szCs w:val="18"/>
          <w:lang w:val="en-US"/>
        </w:rPr>
        <w:t xml:space="preserve"> </w:t>
      </w:r>
      <w:r w:rsidRPr="0071345C">
        <w:rPr>
          <w:sz w:val="18"/>
          <w:szCs w:val="18"/>
          <w:lang w:val="en-US"/>
        </w:rPr>
        <w:t>and</w:t>
      </w:r>
      <w:r w:rsidRPr="0071345C">
        <w:rPr>
          <w:smallCaps/>
          <w:sz w:val="18"/>
          <w:szCs w:val="18"/>
          <w:lang w:val="en-US"/>
        </w:rPr>
        <w:t xml:space="preserve"> Renou</w:t>
      </w:r>
      <w:r w:rsidRPr="0071345C">
        <w:rPr>
          <w:sz w:val="18"/>
          <w:szCs w:val="18"/>
          <w:lang w:val="en-US"/>
        </w:rPr>
        <w:t xml:space="preserve"> (V 9), is not translated. Renou suggests taking the term to be in apposition to </w:t>
      </w:r>
      <w:r w:rsidRPr="0071345C">
        <w:rPr>
          <w:i/>
          <w:sz w:val="18"/>
          <w:szCs w:val="18"/>
          <w:lang w:val="en-US"/>
        </w:rPr>
        <w:t>sádmāni</w:t>
      </w:r>
      <w:r w:rsidRPr="0071345C">
        <w:rPr>
          <w:sz w:val="18"/>
          <w:szCs w:val="18"/>
          <w:lang w:val="en-US"/>
        </w:rPr>
        <w:t xml:space="preserve">, but it does not seem to be possible to attempt a plausible translation; on this, see </w:t>
      </w:r>
      <w:r w:rsidRPr="0071345C">
        <w:rPr>
          <w:smallCaps/>
          <w:sz w:val="18"/>
          <w:szCs w:val="18"/>
          <w:lang w:val="en-US"/>
        </w:rPr>
        <w:t xml:space="preserve">Grassmann  </w:t>
      </w:r>
      <w:r w:rsidRPr="0071345C">
        <w:rPr>
          <w:sz w:val="18"/>
          <w:szCs w:val="18"/>
          <w:lang w:val="en-US"/>
        </w:rPr>
        <w:t>1875 [ed. 1996</w:t>
      </w:r>
      <w:r w:rsidRPr="0071345C">
        <w:rPr>
          <w:smallCaps/>
          <w:sz w:val="18"/>
          <w:szCs w:val="18"/>
          <w:lang w:val="en-US"/>
        </w:rPr>
        <w:t>: 104];</w:t>
      </w:r>
      <w:r w:rsidRPr="0071345C">
        <w:rPr>
          <w:sz w:val="18"/>
          <w:szCs w:val="18"/>
          <w:lang w:val="en-US"/>
        </w:rPr>
        <w:t xml:space="preserve"> EWAia: I 110; AiGr</w:t>
      </w:r>
      <w:r w:rsidRPr="0071345C">
        <w:rPr>
          <w:smallCaps/>
          <w:sz w:val="18"/>
          <w:szCs w:val="18"/>
          <w:lang w:val="en-US"/>
        </w:rPr>
        <w:t xml:space="preserve">: </w:t>
      </w:r>
      <w:r w:rsidRPr="0071345C">
        <w:rPr>
          <w:sz w:val="18"/>
          <w:szCs w:val="18"/>
          <w:lang w:val="en-US"/>
        </w:rPr>
        <w:t xml:space="preserve">II 2 §164 and 224; </w:t>
      </w:r>
      <w:r w:rsidRPr="0071345C">
        <w:rPr>
          <w:smallCaps/>
          <w:sz w:val="18"/>
          <w:szCs w:val="18"/>
          <w:lang w:val="en-US"/>
        </w:rPr>
        <w:t>Oldenberg</w:t>
      </w:r>
      <w:r w:rsidRPr="0071345C">
        <w:rPr>
          <w:sz w:val="18"/>
          <w:szCs w:val="18"/>
          <w:lang w:val="en-US"/>
        </w:rPr>
        <w:t xml:space="preserve"> 1909: 142 n. 10.</w:t>
      </w:r>
    </w:p>
  </w:footnote>
  <w:footnote w:id="487">
    <w:p w14:paraId="7DAB4ECE"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On the neuter substantives</w:t>
      </w:r>
      <w:r w:rsidRPr="0071345C">
        <w:rPr>
          <w:sz w:val="18"/>
          <w:szCs w:val="18"/>
          <w:lang w:val="en-US"/>
        </w:rPr>
        <w:t xml:space="preserve"> in </w:t>
      </w:r>
      <w:r w:rsidRPr="0071345C">
        <w:rPr>
          <w:i/>
          <w:sz w:val="18"/>
          <w:szCs w:val="18"/>
          <w:lang w:val="en-US"/>
        </w:rPr>
        <w:t>-as</w:t>
      </w:r>
      <w:r w:rsidRPr="0071345C">
        <w:rPr>
          <w:sz w:val="18"/>
          <w:szCs w:val="18"/>
          <w:lang w:val="en-US"/>
        </w:rPr>
        <w:t xml:space="preserve"> </w:t>
      </w:r>
      <w:r w:rsidRPr="0071345C">
        <w:rPr>
          <w:sz w:val="18"/>
          <w:szCs w:val="18"/>
          <w:lang w:val="en-US"/>
        </w:rPr>
        <w:t>see AiGr:</w:t>
      </w:r>
      <w:r w:rsidRPr="0071345C">
        <w:rPr>
          <w:sz w:val="18"/>
          <w:szCs w:val="18"/>
          <w:lang w:val="en-US"/>
        </w:rPr>
        <w:t xml:space="preserve"> </w:t>
      </w:r>
      <w:r w:rsidRPr="0071345C">
        <w:rPr>
          <w:sz w:val="18"/>
          <w:szCs w:val="18"/>
          <w:lang w:val="en-US"/>
        </w:rPr>
        <w:t xml:space="preserve">II 2 </w:t>
      </w:r>
      <w:r w:rsidRPr="0071345C">
        <w:rPr>
          <w:sz w:val="18"/>
          <w:szCs w:val="18"/>
          <w:lang w:val="en-US"/>
        </w:rPr>
        <w:t>§122-132</w:t>
      </w:r>
      <w:r w:rsidRPr="0071345C">
        <w:rPr>
          <w:sz w:val="18"/>
          <w:szCs w:val="18"/>
          <w:lang w:val="en-US"/>
        </w:rPr>
        <w:t xml:space="preserve"> and the study by </w:t>
      </w:r>
      <w:r w:rsidRPr="0071345C">
        <w:rPr>
          <w:smallCaps/>
          <w:sz w:val="18"/>
          <w:szCs w:val="18"/>
          <w:lang w:val="en-US"/>
        </w:rPr>
        <w:t xml:space="preserve">Nowicki </w:t>
      </w:r>
      <w:r w:rsidRPr="0071345C">
        <w:rPr>
          <w:sz w:val="18"/>
          <w:szCs w:val="18"/>
          <w:lang w:val="en-US"/>
        </w:rPr>
        <w:t>1976</w:t>
      </w:r>
      <w:r w:rsidRPr="0071345C">
        <w:rPr>
          <w:sz w:val="18"/>
          <w:szCs w:val="18"/>
          <w:lang w:val="en-US"/>
        </w:rPr>
        <w:t>.</w:t>
      </w:r>
    </w:p>
  </w:footnote>
  <w:footnote w:id="488">
    <w:p w14:paraId="2FFB3929"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On the various interpretations of the term </w:t>
      </w:r>
      <w:r w:rsidRPr="0071345C">
        <w:rPr>
          <w:rFonts w:eastAsia="Arial Unicode MS"/>
          <w:i/>
          <w:sz w:val="18"/>
          <w:szCs w:val="18"/>
          <w:lang w:val="en-US"/>
        </w:rPr>
        <w:t>vánas</w:t>
      </w:r>
      <w:r w:rsidRPr="0071345C">
        <w:rPr>
          <w:rFonts w:eastAsia="Arial Unicode MS"/>
          <w:sz w:val="18"/>
          <w:szCs w:val="18"/>
          <w:lang w:val="en-US"/>
        </w:rPr>
        <w:t xml:space="preserve"> see also the bibliography in EWAia: II 500.</w:t>
      </w:r>
    </w:p>
    <w:p w14:paraId="53CCAB57" w14:textId="77777777" w:rsidR="00E53EB6" w:rsidRPr="0071345C" w:rsidRDefault="00E53EB6">
      <w:pPr>
        <w:pStyle w:val="FootnoteText"/>
        <w:rPr>
          <w:sz w:val="18"/>
          <w:szCs w:val="18"/>
          <w:lang w:val="en-US"/>
        </w:rPr>
      </w:pPr>
    </w:p>
  </w:footnote>
  <w:footnote w:id="489">
    <w:p w14:paraId="6DD61373"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The king who has as chariot the filter </w:t>
      </w:r>
      <w:r>
        <w:rPr>
          <w:i/>
          <w:sz w:val="18"/>
          <w:szCs w:val="18"/>
          <w:lang w:val="fr-FR"/>
        </w:rPr>
        <w:t xml:space="preserve">(rā́jā </w:t>
      </w:r>
      <w:r>
        <w:rPr>
          <w:i/>
          <w:sz w:val="18"/>
          <w:szCs w:val="18"/>
          <w:lang w:val="fr-FR"/>
        </w:rPr>
        <w:t>pavítraratho)</w:t>
      </w:r>
      <w:r w:rsidRPr="0071345C">
        <w:rPr>
          <w:sz w:val="18"/>
          <w:szCs w:val="18"/>
          <w:lang w:val="en-US"/>
        </w:rPr>
        <w:t xml:space="preserve"> is </w:t>
      </w:r>
      <w:r w:rsidRPr="0071345C">
        <w:rPr>
          <w:i/>
          <w:sz w:val="18"/>
          <w:szCs w:val="18"/>
          <w:lang w:val="en-US"/>
        </w:rPr>
        <w:t>soma</w:t>
      </w:r>
      <w:r w:rsidRPr="0071345C">
        <w:rPr>
          <w:sz w:val="18"/>
          <w:szCs w:val="18"/>
          <w:lang w:val="en-US"/>
        </w:rPr>
        <w:t xml:space="preserve">, the liquid squeezed from the plant of the same name and then filtered; in this image, however, there is reference to a precise stage in the sacrifice of the soma: the chariot race in which the king has in fact to defeat Soma; on the </w:t>
      </w:r>
      <w:r w:rsidRPr="0071345C">
        <w:rPr>
          <w:sz w:val="18"/>
          <w:szCs w:val="18"/>
          <w:lang w:val="en-US"/>
        </w:rPr>
        <w:t xml:space="preserve">connection between these three elements, see </w:t>
      </w:r>
      <w:r w:rsidRPr="0071345C">
        <w:rPr>
          <w:smallCaps/>
          <w:sz w:val="18"/>
          <w:szCs w:val="18"/>
          <w:lang w:val="en-US"/>
        </w:rPr>
        <w:t>Sparreboom</w:t>
      </w:r>
      <w:r w:rsidRPr="0071345C">
        <w:rPr>
          <w:sz w:val="18"/>
          <w:szCs w:val="18"/>
          <w:lang w:val="en-US"/>
        </w:rPr>
        <w:t xml:space="preserve">  1985: 21-23.</w:t>
      </w:r>
    </w:p>
  </w:footnote>
  <w:footnote w:id="490">
    <w:p w14:paraId="48B523BB"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w:t>
      </w:r>
      <w:r w:rsidRPr="0071345C">
        <w:rPr>
          <w:i/>
          <w:iCs/>
          <w:sz w:val="18"/>
          <w:szCs w:val="18"/>
          <w:lang w:val="en-US"/>
        </w:rPr>
        <w:t>iyānā́</w:t>
      </w:r>
      <w:r w:rsidRPr="0071345C">
        <w:rPr>
          <w:i/>
          <w:iCs/>
          <w:sz w:val="18"/>
          <w:szCs w:val="18"/>
          <w:lang w:val="en-US"/>
        </w:rPr>
        <w:t>ḥ</w:t>
      </w:r>
      <w:r w:rsidRPr="0071345C">
        <w:rPr>
          <w:sz w:val="18"/>
          <w:szCs w:val="18"/>
          <w:lang w:val="en-US"/>
        </w:rPr>
        <w:t xml:space="preserve"> (nom. f. pl. pres. part. Ā) from the root  </w:t>
      </w:r>
      <w:r w:rsidRPr="0071345C">
        <w:rPr>
          <w:i/>
          <w:sz w:val="18"/>
          <w:szCs w:val="18"/>
          <w:lang w:val="en-US"/>
        </w:rPr>
        <w:t>i-</w:t>
      </w:r>
      <w:r w:rsidRPr="0071345C">
        <w:rPr>
          <w:sz w:val="18"/>
          <w:szCs w:val="18"/>
          <w:lang w:val="en-US"/>
        </w:rPr>
        <w:t xml:space="preserve"> “to go” but also, in the Ā forms, in fact, “to approach to ask”. </w:t>
      </w:r>
    </w:p>
  </w:footnote>
  <w:footnote w:id="491">
    <w:p w14:paraId="682887A3"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Indra, who in 10.27.9d is he who yokes horses </w:t>
      </w:r>
      <w:r w:rsidRPr="0071345C">
        <w:rPr>
          <w:i/>
          <w:sz w:val="18"/>
          <w:szCs w:val="18"/>
          <w:lang w:val="en-US"/>
        </w:rPr>
        <w:t>(áyukta</w:t>
      </w:r>
      <w:r w:rsidRPr="0071345C">
        <w:rPr>
          <w:i/>
          <w:sz w:val="18"/>
          <w:szCs w:val="18"/>
          <w:lang w:val="en-US"/>
        </w:rPr>
        <w:t>ṃ</w:t>
      </w:r>
      <w:r w:rsidRPr="0071345C">
        <w:rPr>
          <w:i/>
          <w:sz w:val="18"/>
          <w:szCs w:val="18"/>
          <w:lang w:val="en-US"/>
        </w:rPr>
        <w:t xml:space="preserve"> </w:t>
      </w:r>
      <w:r w:rsidRPr="0071345C">
        <w:rPr>
          <w:i/>
          <w:sz w:val="18"/>
          <w:szCs w:val="18"/>
          <w:lang w:val="en-US"/>
        </w:rPr>
        <w:t>yunajad vavanvā́n)</w:t>
      </w:r>
      <w:r w:rsidRPr="0071345C">
        <w:rPr>
          <w:sz w:val="18"/>
          <w:szCs w:val="18"/>
          <w:lang w:val="en-US"/>
        </w:rPr>
        <w:t xml:space="preserve">, is “he who appropriates”. In the present translation </w:t>
      </w:r>
      <w:r w:rsidRPr="0071345C">
        <w:rPr>
          <w:i/>
          <w:sz w:val="18"/>
          <w:szCs w:val="18"/>
          <w:lang w:val="en-US"/>
        </w:rPr>
        <w:t xml:space="preserve">vánanvatah </w:t>
      </w:r>
      <w:r w:rsidRPr="0071345C">
        <w:rPr>
          <w:sz w:val="18"/>
          <w:szCs w:val="18"/>
          <w:lang w:val="en-US"/>
        </w:rPr>
        <w:t xml:space="preserve">is interpreted as genitive (of position, referring to </w:t>
      </w:r>
      <w:r w:rsidRPr="0071345C">
        <w:rPr>
          <w:i/>
          <w:sz w:val="18"/>
          <w:szCs w:val="18"/>
          <w:lang w:val="en-US"/>
        </w:rPr>
        <w:t>áśvān</w:t>
      </w:r>
      <w:r w:rsidRPr="0071345C">
        <w:rPr>
          <w:sz w:val="18"/>
          <w:szCs w:val="18"/>
          <w:lang w:val="en-US"/>
        </w:rPr>
        <w:t xml:space="preserve">) in consideration of the structure of the entire stanza, which draws a parallel between the </w:t>
      </w:r>
      <w:r w:rsidRPr="0071345C">
        <w:rPr>
          <w:i/>
          <w:sz w:val="18"/>
          <w:szCs w:val="18"/>
          <w:lang w:val="en-US"/>
        </w:rPr>
        <w:t>paśú</w:t>
      </w:r>
      <w:r w:rsidRPr="0071345C">
        <w:rPr>
          <w:i/>
          <w:sz w:val="18"/>
          <w:szCs w:val="18"/>
          <w:lang w:val="en-US"/>
        </w:rPr>
        <w:t>ḥ</w:t>
      </w:r>
      <w:r w:rsidRPr="0071345C">
        <w:rPr>
          <w:sz w:val="18"/>
          <w:szCs w:val="18"/>
          <w:lang w:val="en-US"/>
        </w:rPr>
        <w:t xml:space="preserve"> </w:t>
      </w:r>
      <w:r w:rsidRPr="0071345C">
        <w:rPr>
          <w:i/>
          <w:sz w:val="18"/>
          <w:szCs w:val="18"/>
          <w:lang w:val="en-US"/>
        </w:rPr>
        <w:t>yā́duva</w:t>
      </w:r>
      <w:r w:rsidRPr="0071345C">
        <w:rPr>
          <w:i/>
          <w:sz w:val="18"/>
          <w:szCs w:val="18"/>
          <w:lang w:val="en-US"/>
        </w:rPr>
        <w:t>ḥ</w:t>
      </w:r>
      <w:r w:rsidRPr="0071345C">
        <w:rPr>
          <w:sz w:val="18"/>
          <w:szCs w:val="18"/>
          <w:lang w:val="en-US"/>
        </w:rPr>
        <w:t xml:space="preserve"> (Yadu</w:t>
      </w:r>
      <w:r w:rsidRPr="0071345C">
        <w:rPr>
          <w:sz w:val="18"/>
          <w:szCs w:val="18"/>
          <w:lang w:val="en-US"/>
        </w:rPr>
        <w:t xml:space="preserve">’s cattle) and the </w:t>
      </w:r>
      <w:r w:rsidRPr="0071345C">
        <w:rPr>
          <w:i/>
          <w:sz w:val="18"/>
          <w:szCs w:val="18"/>
          <w:lang w:val="en-US"/>
        </w:rPr>
        <w:t>áśvān vánanvata</w:t>
      </w:r>
      <w:r w:rsidRPr="0071345C">
        <w:rPr>
          <w:i/>
          <w:sz w:val="18"/>
          <w:szCs w:val="18"/>
          <w:lang w:val="en-US"/>
        </w:rPr>
        <w:t>ḥ</w:t>
      </w:r>
      <w:r w:rsidRPr="0071345C">
        <w:rPr>
          <w:sz w:val="18"/>
          <w:szCs w:val="18"/>
          <w:lang w:val="en-US"/>
        </w:rPr>
        <w:t xml:space="preserve"> (the horses of him who appropriates).</w:t>
      </w:r>
    </w:p>
  </w:footnote>
  <w:footnote w:id="492">
    <w:p w14:paraId="75E855B9"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For the importance of </w:t>
      </w:r>
      <w:r w:rsidRPr="0071345C">
        <w:rPr>
          <w:i/>
          <w:sz w:val="18"/>
          <w:szCs w:val="18"/>
          <w:lang w:val="en-US"/>
        </w:rPr>
        <w:t>śraddhā́-</w:t>
      </w:r>
      <w:r w:rsidRPr="0071345C">
        <w:rPr>
          <w:sz w:val="18"/>
          <w:szCs w:val="18"/>
          <w:lang w:val="en-US"/>
        </w:rPr>
        <w:t xml:space="preserve">, as sacrifice in the cult of the dead and as divinity, cf. </w:t>
      </w:r>
      <w:r w:rsidRPr="0071345C">
        <w:rPr>
          <w:smallCaps/>
          <w:sz w:val="18"/>
          <w:szCs w:val="18"/>
          <w:lang w:val="en-US"/>
        </w:rPr>
        <w:t>Gonda</w:t>
      </w:r>
      <w:r w:rsidRPr="0071345C">
        <w:rPr>
          <w:sz w:val="18"/>
          <w:szCs w:val="18"/>
          <w:lang w:val="en-US"/>
        </w:rPr>
        <w:t xml:space="preserve"> 1980 and 1981: I 80-1.</w:t>
      </w:r>
    </w:p>
  </w:footnote>
  <w:footnote w:id="493">
    <w:p w14:paraId="6D2D8E6B"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w:t>
      </w:r>
      <w:r w:rsidRPr="0071345C">
        <w:rPr>
          <w:i/>
          <w:iCs/>
          <w:sz w:val="18"/>
          <w:szCs w:val="18"/>
          <w:lang w:val="en-US"/>
        </w:rPr>
        <w:t>c</w:t>
      </w:r>
      <w:r w:rsidRPr="0071345C">
        <w:rPr>
          <w:i/>
          <w:iCs/>
          <w:sz w:val="18"/>
          <w:szCs w:val="18"/>
          <w:lang w:val="en-US"/>
        </w:rPr>
        <w:t>ikétati</w:t>
      </w:r>
      <w:r w:rsidRPr="0071345C">
        <w:rPr>
          <w:i/>
          <w:sz w:val="18"/>
          <w:szCs w:val="18"/>
          <w:lang w:val="en-US"/>
        </w:rPr>
        <w:t xml:space="preserve"> </w:t>
      </w:r>
      <w:r w:rsidRPr="0071345C">
        <w:rPr>
          <w:sz w:val="18"/>
          <w:szCs w:val="18"/>
          <w:lang w:val="en-US"/>
        </w:rPr>
        <w:t xml:space="preserve">(subj. perf. </w:t>
      </w:r>
      <w:r w:rsidRPr="0071345C">
        <w:rPr>
          <w:sz w:val="18"/>
          <w:szCs w:val="18"/>
          <w:lang w:val="en-US"/>
        </w:rPr>
        <w:t>3</w:t>
      </w:r>
      <w:r w:rsidRPr="0071345C">
        <w:rPr>
          <w:sz w:val="18"/>
          <w:szCs w:val="18"/>
          <w:vertAlign w:val="superscript"/>
          <w:lang w:val="en-US"/>
        </w:rPr>
        <w:t>rd</w:t>
      </w:r>
      <w:r w:rsidRPr="0071345C">
        <w:rPr>
          <w:sz w:val="18"/>
          <w:szCs w:val="18"/>
          <w:lang w:val="en-US"/>
        </w:rPr>
        <w:t xml:space="preserve"> </w:t>
      </w:r>
      <w:r w:rsidRPr="0071345C">
        <w:rPr>
          <w:sz w:val="18"/>
          <w:szCs w:val="18"/>
          <w:lang w:val="en-US"/>
        </w:rPr>
        <w:t>sing</w:t>
      </w:r>
      <w:r w:rsidRPr="0071345C">
        <w:rPr>
          <w:sz w:val="18"/>
          <w:szCs w:val="18"/>
          <w:lang w:val="en-US"/>
        </w:rPr>
        <w:t xml:space="preserve">) from the root </w:t>
      </w:r>
      <w:r w:rsidRPr="0071345C">
        <w:rPr>
          <w:i/>
          <w:sz w:val="18"/>
          <w:szCs w:val="18"/>
          <w:lang w:val="en-US"/>
        </w:rPr>
        <w:t>cit-</w:t>
      </w:r>
      <w:r w:rsidRPr="0071345C">
        <w:rPr>
          <w:sz w:val="18"/>
          <w:szCs w:val="18"/>
          <w:lang w:val="en-US"/>
        </w:rPr>
        <w:t xml:space="preserve"> which</w:t>
      </w:r>
      <w:r w:rsidRPr="0071345C">
        <w:rPr>
          <w:sz w:val="18"/>
          <w:szCs w:val="18"/>
          <w:lang w:val="en-US"/>
        </w:rPr>
        <w:t xml:space="preserve"> expresses the idea of understanding through visual perception, perfect with resultative value – logical perf. (cf. </w:t>
      </w:r>
      <w:r w:rsidRPr="0071345C">
        <w:rPr>
          <w:smallCaps/>
          <w:sz w:val="18"/>
          <w:szCs w:val="18"/>
          <w:lang w:val="en-US"/>
        </w:rPr>
        <w:t>Di Giovine</w:t>
      </w:r>
      <w:r w:rsidRPr="0071345C">
        <w:rPr>
          <w:sz w:val="18"/>
          <w:szCs w:val="18"/>
          <w:lang w:val="en-US"/>
        </w:rPr>
        <w:t xml:space="preserve"> 1996, in particular 273 ff.).</w:t>
      </w:r>
    </w:p>
  </w:footnote>
  <w:footnote w:id="494">
    <w:p w14:paraId="07BD9496"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rFonts w:eastAsia="Arial Unicode MS"/>
          <w:sz w:val="18"/>
          <w:szCs w:val="18"/>
          <w:lang w:val="en-US"/>
        </w:rPr>
        <w:tab/>
        <w:t xml:space="preserve"> On the meaning of </w:t>
      </w:r>
      <w:r w:rsidRPr="0071345C">
        <w:rPr>
          <w:rFonts w:eastAsia="Arial Unicode MS"/>
          <w:i/>
          <w:sz w:val="18"/>
          <w:szCs w:val="18"/>
          <w:lang w:val="en-US"/>
        </w:rPr>
        <w:t xml:space="preserve">matí- </w:t>
      </w:r>
      <w:r w:rsidRPr="0071345C">
        <w:rPr>
          <w:rFonts w:eastAsia="Arial Unicode MS"/>
          <w:sz w:val="18"/>
          <w:szCs w:val="18"/>
          <w:lang w:val="en-US"/>
        </w:rPr>
        <w:t xml:space="preserve">(f.) “poetic thought expressed”  (&lt; root </w:t>
      </w:r>
      <w:r w:rsidRPr="0071345C">
        <w:rPr>
          <w:rFonts w:eastAsia="Arial Unicode MS"/>
          <w:i/>
          <w:sz w:val="18"/>
          <w:szCs w:val="18"/>
          <w:lang w:val="en-US"/>
        </w:rPr>
        <w:t>man-</w:t>
      </w:r>
      <w:r w:rsidRPr="0071345C">
        <w:rPr>
          <w:rFonts w:eastAsia="Arial Unicode MS"/>
          <w:sz w:val="18"/>
          <w:szCs w:val="18"/>
          <w:lang w:val="en-US"/>
        </w:rPr>
        <w:t xml:space="preserve"> from which also </w:t>
      </w:r>
      <w:r w:rsidRPr="0071345C">
        <w:rPr>
          <w:rFonts w:eastAsia="Arial Unicode MS"/>
          <w:i/>
          <w:sz w:val="18"/>
          <w:szCs w:val="18"/>
          <w:lang w:val="en-US"/>
        </w:rPr>
        <w:t>mánas-</w:t>
      </w:r>
      <w:r w:rsidRPr="0071345C">
        <w:rPr>
          <w:rFonts w:eastAsia="Arial Unicode MS"/>
          <w:sz w:val="18"/>
          <w:szCs w:val="18"/>
          <w:lang w:val="en-US"/>
        </w:rPr>
        <w:t>)</w:t>
      </w:r>
      <w:r w:rsidRPr="0071345C">
        <w:rPr>
          <w:rFonts w:eastAsia="Arial Unicode MS"/>
          <w:i/>
          <w:sz w:val="18"/>
          <w:szCs w:val="18"/>
          <w:lang w:val="en-US"/>
        </w:rPr>
        <w:t xml:space="preserve"> </w:t>
      </w:r>
      <w:r w:rsidRPr="0071345C">
        <w:rPr>
          <w:rFonts w:eastAsia="Arial Unicode MS"/>
          <w:sz w:val="18"/>
          <w:szCs w:val="18"/>
          <w:lang w:val="en-US"/>
        </w:rPr>
        <w:t>cf</w:t>
      </w:r>
      <w:r w:rsidRPr="0071345C">
        <w:rPr>
          <w:rFonts w:eastAsia="Arial Unicode MS"/>
          <w:sz w:val="18"/>
          <w:szCs w:val="18"/>
          <w:lang w:val="en-US"/>
        </w:rPr>
        <w:t>.</w:t>
      </w:r>
      <w:r w:rsidRPr="0071345C">
        <w:rPr>
          <w:rFonts w:eastAsia="Arial Unicode MS"/>
          <w:smallCaps/>
          <w:sz w:val="18"/>
          <w:szCs w:val="18"/>
          <w:lang w:val="en-US"/>
        </w:rPr>
        <w:t xml:space="preserve"> Gonda </w:t>
      </w:r>
      <w:r w:rsidRPr="0071345C">
        <w:rPr>
          <w:rFonts w:eastAsia="Arial Unicode MS"/>
          <w:sz w:val="18"/>
          <w:szCs w:val="18"/>
          <w:lang w:val="en-US"/>
        </w:rPr>
        <w:t xml:space="preserve">1963, </w:t>
      </w:r>
      <w:r w:rsidRPr="0071345C">
        <w:rPr>
          <w:rFonts w:eastAsia="Arial Unicode MS"/>
          <w:smallCaps/>
          <w:sz w:val="18"/>
          <w:szCs w:val="18"/>
          <w:lang w:val="en-US"/>
        </w:rPr>
        <w:t xml:space="preserve">Maggi </w:t>
      </w:r>
      <w:r w:rsidRPr="0071345C">
        <w:rPr>
          <w:rFonts w:eastAsia="Arial Unicode MS"/>
          <w:sz w:val="18"/>
          <w:szCs w:val="18"/>
          <w:lang w:val="en-US"/>
        </w:rPr>
        <w:t xml:space="preserve">1989: 63-114 and </w:t>
      </w:r>
      <w:r w:rsidRPr="0071345C">
        <w:rPr>
          <w:rFonts w:eastAsia="Arial Unicode MS"/>
          <w:smallCaps/>
          <w:sz w:val="18"/>
          <w:szCs w:val="18"/>
          <w:lang w:val="en-US"/>
        </w:rPr>
        <w:t>Renou</w:t>
      </w:r>
      <w:r w:rsidRPr="0071345C">
        <w:rPr>
          <w:rFonts w:eastAsia="Arial Unicode MS"/>
          <w:sz w:val="18"/>
          <w:szCs w:val="18"/>
          <w:lang w:val="en-US"/>
        </w:rPr>
        <w:t xml:space="preserve"> I 2 ff.</w:t>
      </w:r>
    </w:p>
  </w:footnote>
  <w:footnote w:id="495">
    <w:p w14:paraId="0EF9FFC2"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w:t>
      </w:r>
      <w:r w:rsidRPr="0071345C">
        <w:rPr>
          <w:i/>
          <w:iCs/>
          <w:sz w:val="18"/>
          <w:szCs w:val="18"/>
          <w:lang w:val="en-US"/>
        </w:rPr>
        <w:t>á</w:t>
      </w:r>
      <w:r w:rsidRPr="0071345C">
        <w:rPr>
          <w:i/>
          <w:iCs/>
          <w:sz w:val="18"/>
          <w:szCs w:val="18"/>
          <w:lang w:val="en-US"/>
        </w:rPr>
        <w:t>ghniyā</w:t>
      </w:r>
      <w:r w:rsidRPr="0071345C">
        <w:rPr>
          <w:sz w:val="18"/>
          <w:szCs w:val="18"/>
          <w:lang w:val="en-US"/>
        </w:rPr>
        <w:t xml:space="preserve"> (nom. </w:t>
      </w:r>
      <w:r w:rsidRPr="0071345C">
        <w:rPr>
          <w:sz w:val="18"/>
          <w:szCs w:val="18"/>
          <w:lang w:val="en-US"/>
        </w:rPr>
        <w:t>f</w:t>
      </w:r>
      <w:r w:rsidRPr="0071345C">
        <w:rPr>
          <w:sz w:val="18"/>
          <w:szCs w:val="18"/>
          <w:lang w:val="en-US"/>
        </w:rPr>
        <w:t xml:space="preserve">. sing.) from </w:t>
      </w:r>
      <w:r w:rsidRPr="0071345C">
        <w:rPr>
          <w:i/>
          <w:sz w:val="18"/>
          <w:szCs w:val="18"/>
          <w:lang w:val="en-US"/>
        </w:rPr>
        <w:t xml:space="preserve">ághniyā- </w:t>
      </w:r>
      <w:r w:rsidRPr="0071345C">
        <w:rPr>
          <w:sz w:val="18"/>
          <w:szCs w:val="18"/>
          <w:lang w:val="en-US"/>
        </w:rPr>
        <w:t xml:space="preserve">“cow”, from </w:t>
      </w:r>
      <w:r w:rsidRPr="0071345C">
        <w:rPr>
          <w:i/>
          <w:sz w:val="18"/>
          <w:szCs w:val="18"/>
          <w:lang w:val="en-US"/>
        </w:rPr>
        <w:t>*a-g</w:t>
      </w:r>
      <w:r w:rsidRPr="0071345C">
        <w:rPr>
          <w:i/>
          <w:sz w:val="18"/>
          <w:szCs w:val="18"/>
          <w:vertAlign w:val="superscript"/>
          <w:lang w:val="en-US"/>
        </w:rPr>
        <w:t>h</w:t>
      </w:r>
      <w:r w:rsidRPr="0071345C">
        <w:rPr>
          <w:i/>
          <w:sz w:val="18"/>
          <w:szCs w:val="18"/>
          <w:lang w:val="en-US"/>
        </w:rPr>
        <w:t>n- i</w:t>
      </w:r>
      <w:r w:rsidRPr="0071345C">
        <w:rPr>
          <w:rFonts w:eastAsia="Arial Unicode MS"/>
          <w:i/>
          <w:sz w:val="18"/>
          <w:szCs w:val="18"/>
          <w:lang w:val="en-US"/>
        </w:rPr>
        <w:t>i̯ā</w:t>
      </w:r>
      <w:r w:rsidRPr="0071345C">
        <w:rPr>
          <w:i/>
          <w:sz w:val="18"/>
          <w:szCs w:val="18"/>
          <w:lang w:val="en-US"/>
        </w:rPr>
        <w:t>/ă</w:t>
      </w:r>
      <w:r w:rsidRPr="0071345C">
        <w:rPr>
          <w:sz w:val="18"/>
          <w:szCs w:val="18"/>
          <w:lang w:val="en-US"/>
        </w:rPr>
        <w:t>:</w:t>
      </w:r>
      <w:r w:rsidRPr="0071345C">
        <w:rPr>
          <w:i/>
          <w:sz w:val="18"/>
          <w:szCs w:val="18"/>
          <w:lang w:val="en-US"/>
        </w:rPr>
        <w:t xml:space="preserve"> a</w:t>
      </w:r>
      <w:r w:rsidRPr="0071345C">
        <w:rPr>
          <w:sz w:val="18"/>
          <w:szCs w:val="18"/>
          <w:lang w:val="en-US"/>
        </w:rPr>
        <w:t xml:space="preserve">-subtractive + root </w:t>
      </w:r>
      <w:r w:rsidRPr="0071345C">
        <w:rPr>
          <w:i/>
          <w:sz w:val="18"/>
          <w:szCs w:val="18"/>
          <w:lang w:val="en-US"/>
        </w:rPr>
        <w:t>ghn/han-</w:t>
      </w:r>
      <w:r w:rsidRPr="0071345C">
        <w:rPr>
          <w:sz w:val="18"/>
          <w:szCs w:val="18"/>
          <w:lang w:val="en-US"/>
        </w:rPr>
        <w:t xml:space="preserve"> “to kill” : “the one not to kill”.</w:t>
      </w:r>
    </w:p>
  </w:footnote>
  <w:footnote w:id="496">
    <w:p w14:paraId="27D570F9"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w:t>
      </w:r>
      <w:r w:rsidRPr="0071345C">
        <w:rPr>
          <w:i/>
          <w:sz w:val="18"/>
          <w:szCs w:val="18"/>
          <w:lang w:val="en-US"/>
        </w:rPr>
        <w:t>Scil.</w:t>
      </w:r>
      <w:r w:rsidRPr="0071345C">
        <w:rPr>
          <w:sz w:val="18"/>
          <w:szCs w:val="18"/>
          <w:lang w:val="en-US"/>
        </w:rPr>
        <w:t xml:space="preserve"> wood, to honour Agni.</w:t>
      </w:r>
    </w:p>
  </w:footnote>
  <w:footnote w:id="497">
    <w:p w14:paraId="425BBC7A" w14:textId="77777777" w:rsidR="00E53EB6" w:rsidRPr="0071345C" w:rsidRDefault="006500F5">
      <w:pPr>
        <w:pStyle w:val="FootnoteText"/>
        <w:rPr>
          <w:sz w:val="18"/>
          <w:szCs w:val="18"/>
          <w:lang w:val="en-US"/>
        </w:rPr>
      </w:pPr>
      <w:r>
        <w:rPr>
          <w:rStyle w:val="FootnoteCharacters"/>
        </w:rPr>
        <w:footnoteRef/>
      </w:r>
      <w:r w:rsidRPr="0071345C">
        <w:rPr>
          <w:sz w:val="18"/>
          <w:szCs w:val="18"/>
          <w:lang w:val="en-US"/>
        </w:rPr>
        <w:tab/>
        <w:t xml:space="preserve"> Cf. previous note.</w:t>
      </w:r>
    </w:p>
  </w:footnote>
  <w:footnote w:id="498">
    <w:p w14:paraId="545A5AC1"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sz w:val="18"/>
          <w:szCs w:val="18"/>
          <w:lang w:val="en-US"/>
        </w:rPr>
        <w:tab/>
        <w:t xml:space="preserve"> </w:t>
      </w:r>
      <w:r w:rsidRPr="0071345C">
        <w:rPr>
          <w:i/>
          <w:iCs/>
          <w:sz w:val="18"/>
          <w:szCs w:val="18"/>
          <w:lang w:val="en-US"/>
        </w:rPr>
        <w:t>v</w:t>
      </w:r>
      <w:r w:rsidRPr="0071345C">
        <w:rPr>
          <w:i/>
          <w:iCs/>
          <w:sz w:val="18"/>
          <w:szCs w:val="18"/>
          <w:lang w:val="en-US"/>
        </w:rPr>
        <w:t>ā́tajūtāso</w:t>
      </w:r>
      <w:r w:rsidRPr="0071345C">
        <w:rPr>
          <w:i/>
          <w:sz w:val="18"/>
          <w:szCs w:val="18"/>
          <w:lang w:val="en-US"/>
        </w:rPr>
        <w:t xml:space="preserve"> </w:t>
      </w:r>
      <w:r w:rsidRPr="0071345C">
        <w:rPr>
          <w:sz w:val="18"/>
          <w:szCs w:val="18"/>
          <w:lang w:val="en-US"/>
        </w:rPr>
        <w:t xml:space="preserve">(nom. m. pl.) from </w:t>
      </w:r>
      <w:r w:rsidRPr="0071345C">
        <w:rPr>
          <w:i/>
          <w:sz w:val="18"/>
          <w:szCs w:val="18"/>
          <w:lang w:val="en-US"/>
        </w:rPr>
        <w:t>vā́tajūta-,</w:t>
      </w:r>
      <w:r w:rsidRPr="0071345C">
        <w:rPr>
          <w:sz w:val="18"/>
          <w:szCs w:val="18"/>
          <w:lang w:val="en-US"/>
        </w:rPr>
        <w:t xml:space="preserve"> compound </w:t>
      </w:r>
      <w:r w:rsidRPr="0071345C">
        <w:rPr>
          <w:i/>
          <w:sz w:val="18"/>
          <w:szCs w:val="18"/>
          <w:lang w:val="en-US"/>
        </w:rPr>
        <w:t>tatpuru</w:t>
      </w:r>
      <w:r w:rsidRPr="0071345C">
        <w:rPr>
          <w:i/>
          <w:sz w:val="18"/>
          <w:szCs w:val="18"/>
          <w:lang w:val="en-US"/>
        </w:rPr>
        <w:t>ṣ</w:t>
      </w:r>
      <w:r w:rsidRPr="0071345C">
        <w:rPr>
          <w:i/>
          <w:sz w:val="18"/>
          <w:szCs w:val="18"/>
          <w:lang w:val="en-US"/>
        </w:rPr>
        <w:t>a</w:t>
      </w:r>
      <w:r w:rsidRPr="0071345C">
        <w:rPr>
          <w:sz w:val="18"/>
          <w:szCs w:val="18"/>
          <w:lang w:val="en-US"/>
        </w:rPr>
        <w:t xml:space="preserve"> the second member of which is a passive past participle (</w:t>
      </w:r>
      <w:r w:rsidRPr="0071345C">
        <w:rPr>
          <w:i/>
          <w:sz w:val="18"/>
          <w:szCs w:val="18"/>
          <w:lang w:val="en-US"/>
        </w:rPr>
        <w:t>vā́ta-</w:t>
      </w:r>
      <w:r w:rsidRPr="0071345C">
        <w:rPr>
          <w:sz w:val="18"/>
          <w:szCs w:val="18"/>
          <w:lang w:val="en-US"/>
        </w:rPr>
        <w:t xml:space="preserve"> “wind” + </w:t>
      </w:r>
      <w:r w:rsidRPr="0071345C">
        <w:rPr>
          <w:i/>
          <w:sz w:val="18"/>
          <w:szCs w:val="18"/>
          <w:lang w:val="en-US"/>
        </w:rPr>
        <w:t>jūta-</w:t>
      </w:r>
      <w:r w:rsidRPr="0071345C">
        <w:rPr>
          <w:sz w:val="18"/>
          <w:szCs w:val="18"/>
          <w:lang w:val="en-US"/>
        </w:rPr>
        <w:t xml:space="preserve"> &lt; root </w:t>
      </w:r>
      <w:r w:rsidRPr="0071345C">
        <w:rPr>
          <w:i/>
          <w:sz w:val="18"/>
          <w:szCs w:val="18"/>
          <w:lang w:val="en-US"/>
        </w:rPr>
        <w:t xml:space="preserve">jū- </w:t>
      </w:r>
      <w:r w:rsidRPr="0071345C">
        <w:rPr>
          <w:sz w:val="18"/>
          <w:szCs w:val="18"/>
          <w:lang w:val="en-US"/>
        </w:rPr>
        <w:t xml:space="preserve">“to drive ahead, hasten”) cf. </w:t>
      </w:r>
      <w:r w:rsidRPr="0071345C">
        <w:rPr>
          <w:smallCaps/>
          <w:sz w:val="18"/>
          <w:szCs w:val="18"/>
          <w:lang w:val="en-US"/>
        </w:rPr>
        <w:t>Withney</w:t>
      </w:r>
      <w:r w:rsidRPr="0071345C">
        <w:rPr>
          <w:sz w:val="18"/>
          <w:szCs w:val="18"/>
          <w:lang w:val="en-US"/>
        </w:rPr>
        <w:t xml:space="preserve"> 1888: §1273.</w:t>
      </w:r>
    </w:p>
  </w:footnote>
  <w:footnote w:id="499">
    <w:p w14:paraId="29586E10"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w:t>
      </w:r>
      <w:r w:rsidRPr="0071345C">
        <w:rPr>
          <w:i/>
          <w:iCs/>
          <w:sz w:val="18"/>
          <w:szCs w:val="18"/>
          <w:lang w:val="en-US"/>
        </w:rPr>
        <w:t>tuvimrak</w:t>
      </w:r>
      <w:r w:rsidRPr="0071345C">
        <w:rPr>
          <w:i/>
          <w:iCs/>
          <w:sz w:val="18"/>
          <w:szCs w:val="18"/>
          <w:lang w:val="en-US"/>
        </w:rPr>
        <w:t>ṣ</w:t>
      </w:r>
      <w:r w:rsidRPr="0071345C">
        <w:rPr>
          <w:i/>
          <w:iCs/>
          <w:sz w:val="18"/>
          <w:szCs w:val="18"/>
          <w:lang w:val="en-US"/>
        </w:rPr>
        <w:t>ā́sa</w:t>
      </w:r>
      <w:r w:rsidRPr="0071345C">
        <w:rPr>
          <w:i/>
          <w:iCs/>
          <w:sz w:val="18"/>
          <w:szCs w:val="18"/>
          <w:lang w:val="en-US"/>
        </w:rPr>
        <w:t>ḥ</w:t>
      </w:r>
      <w:r w:rsidRPr="0071345C">
        <w:rPr>
          <w:sz w:val="18"/>
          <w:szCs w:val="18"/>
          <w:lang w:val="en-US"/>
        </w:rPr>
        <w:t xml:space="preserve"> (nom. m. pl.) from </w:t>
      </w:r>
      <w:r w:rsidRPr="0071345C">
        <w:rPr>
          <w:i/>
          <w:sz w:val="18"/>
          <w:szCs w:val="18"/>
          <w:lang w:val="en-US"/>
        </w:rPr>
        <w:t>tuvimrak</w:t>
      </w:r>
      <w:r w:rsidRPr="0071345C">
        <w:rPr>
          <w:i/>
          <w:sz w:val="18"/>
          <w:szCs w:val="18"/>
          <w:lang w:val="en-US"/>
        </w:rPr>
        <w:t>ṣ</w:t>
      </w:r>
      <w:r w:rsidRPr="0071345C">
        <w:rPr>
          <w:i/>
          <w:sz w:val="18"/>
          <w:szCs w:val="18"/>
          <w:lang w:val="en-US"/>
        </w:rPr>
        <w:t>ák-</w:t>
      </w:r>
      <w:r w:rsidRPr="0071345C">
        <w:rPr>
          <w:sz w:val="18"/>
          <w:szCs w:val="18"/>
          <w:lang w:val="en-US"/>
        </w:rPr>
        <w:t xml:space="preserve"> comp</w:t>
      </w:r>
      <w:r w:rsidRPr="0071345C">
        <w:rPr>
          <w:sz w:val="18"/>
          <w:szCs w:val="18"/>
          <w:lang w:val="en-US"/>
        </w:rPr>
        <w:t xml:space="preserve">ound </w:t>
      </w:r>
      <w:r w:rsidRPr="0071345C">
        <w:rPr>
          <w:i/>
          <w:sz w:val="18"/>
          <w:szCs w:val="18"/>
          <w:lang w:val="en-US"/>
        </w:rPr>
        <w:t>karmadhāraya</w:t>
      </w:r>
      <w:r w:rsidRPr="0071345C">
        <w:rPr>
          <w:sz w:val="18"/>
          <w:szCs w:val="18"/>
          <w:lang w:val="en-US"/>
        </w:rPr>
        <w:t xml:space="preserve"> (</w:t>
      </w:r>
      <w:r w:rsidRPr="0071345C">
        <w:rPr>
          <w:i/>
          <w:sz w:val="18"/>
          <w:szCs w:val="18"/>
          <w:lang w:val="en-US"/>
        </w:rPr>
        <w:t>tuví-</w:t>
      </w:r>
      <w:r w:rsidRPr="0071345C">
        <w:rPr>
          <w:sz w:val="18"/>
          <w:szCs w:val="18"/>
          <w:lang w:val="en-US"/>
        </w:rPr>
        <w:t xml:space="preserve"> “much” + </w:t>
      </w:r>
      <w:r w:rsidRPr="0071345C">
        <w:rPr>
          <w:i/>
          <w:sz w:val="18"/>
          <w:szCs w:val="18"/>
          <w:lang w:val="en-US"/>
        </w:rPr>
        <w:t>mrak</w:t>
      </w:r>
      <w:r w:rsidRPr="0071345C">
        <w:rPr>
          <w:i/>
          <w:sz w:val="18"/>
          <w:szCs w:val="18"/>
          <w:lang w:val="en-US"/>
        </w:rPr>
        <w:t>ṣ</w:t>
      </w:r>
      <w:r w:rsidRPr="0071345C">
        <w:rPr>
          <w:i/>
          <w:sz w:val="18"/>
          <w:szCs w:val="18"/>
          <w:lang w:val="en-US"/>
        </w:rPr>
        <w:t>ak-</w:t>
      </w:r>
      <w:r w:rsidRPr="0071345C">
        <w:rPr>
          <w:sz w:val="18"/>
          <w:szCs w:val="18"/>
          <w:lang w:val="en-US"/>
        </w:rPr>
        <w:t xml:space="preserve"> “that destroys”),  note the sound value of this term. </w:t>
      </w:r>
    </w:p>
  </w:footnote>
  <w:footnote w:id="500">
    <w:p w14:paraId="40832E62"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Family of mythical priests, named among the Fathers, connected, like the A</w:t>
      </w:r>
      <w:r w:rsidRPr="0071345C">
        <w:rPr>
          <w:sz w:val="18"/>
          <w:szCs w:val="18"/>
          <w:lang w:val="en-US"/>
        </w:rPr>
        <w:t>ṇ</w:t>
      </w:r>
      <w:r w:rsidRPr="0071345C">
        <w:rPr>
          <w:sz w:val="18"/>
          <w:szCs w:val="18"/>
          <w:lang w:val="en-US"/>
        </w:rPr>
        <w:t>giras, to Indra in the myth of the cows of Pa</w:t>
      </w:r>
      <w:r w:rsidRPr="0071345C">
        <w:rPr>
          <w:sz w:val="18"/>
          <w:szCs w:val="18"/>
          <w:lang w:val="en-US"/>
        </w:rPr>
        <w:t>ṇ</w:t>
      </w:r>
      <w:r w:rsidRPr="0071345C">
        <w:rPr>
          <w:sz w:val="18"/>
          <w:szCs w:val="18"/>
          <w:lang w:val="en-US"/>
        </w:rPr>
        <w:t xml:space="preserve">is cf. </w:t>
      </w:r>
      <w:r w:rsidRPr="0071345C">
        <w:rPr>
          <w:smallCaps/>
          <w:sz w:val="18"/>
          <w:szCs w:val="18"/>
          <w:lang w:val="en-US"/>
        </w:rPr>
        <w:t>Macdonell</w:t>
      </w:r>
      <w:r w:rsidRPr="0071345C">
        <w:rPr>
          <w:sz w:val="18"/>
          <w:szCs w:val="18"/>
          <w:lang w:val="en-US"/>
        </w:rPr>
        <w:t xml:space="preserve"> 1898: §55B.</w:t>
      </w:r>
    </w:p>
  </w:footnote>
  <w:footnote w:id="501">
    <w:p w14:paraId="039745E3"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As</w:t>
      </w:r>
      <w:r w:rsidRPr="0071345C">
        <w:rPr>
          <w:lang w:val="en-US"/>
        </w:rPr>
        <w:t xml:space="preserve"> to the exact meaning of </w:t>
      </w:r>
      <w:r w:rsidRPr="0071345C">
        <w:rPr>
          <w:i/>
          <w:iCs/>
          <w:lang w:val="en-US"/>
        </w:rPr>
        <w:t xml:space="preserve">vidátha- </w:t>
      </w:r>
      <w:r w:rsidRPr="0071345C">
        <w:rPr>
          <w:lang w:val="en-US"/>
        </w:rPr>
        <w:t xml:space="preserve">as already a ritual fest or just as social meeting, </w:t>
      </w:r>
      <w:r w:rsidRPr="0071345C">
        <w:rPr>
          <w:lang w:val="en-US"/>
        </w:rPr>
        <w:t xml:space="preserve">see </w:t>
      </w:r>
      <w:r w:rsidRPr="0071345C">
        <w:rPr>
          <w:rStyle w:val="biblio-authorGEN"/>
          <w:sz w:val="18"/>
          <w:szCs w:val="15"/>
          <w:lang w:val="en-US"/>
        </w:rPr>
        <w:t>Gonda</w:t>
      </w:r>
      <w:r w:rsidRPr="0071345C">
        <w:rPr>
          <w:lang w:val="en-US"/>
        </w:rPr>
        <w:t xml:space="preserve"> 1992: VI/1 310-337, </w:t>
      </w:r>
      <w:r w:rsidRPr="0071345C">
        <w:rPr>
          <w:rStyle w:val="biblio-authorGEN"/>
          <w:sz w:val="18"/>
          <w:szCs w:val="15"/>
          <w:lang w:val="en-US"/>
        </w:rPr>
        <w:t xml:space="preserve">Kuiper </w:t>
      </w:r>
      <w:r w:rsidRPr="0071345C">
        <w:rPr>
          <w:lang w:val="en-US"/>
        </w:rPr>
        <w:t xml:space="preserve">1974: 129-132 and </w:t>
      </w:r>
      <w:r w:rsidRPr="0071345C">
        <w:rPr>
          <w:rStyle w:val="biblio-authorGEN"/>
          <w:sz w:val="18"/>
          <w:szCs w:val="15"/>
          <w:lang w:val="en-US"/>
        </w:rPr>
        <w:t xml:space="preserve">Oldenberg </w:t>
      </w:r>
      <w:r w:rsidRPr="0071345C">
        <w:rPr>
          <w:lang w:val="en-US"/>
        </w:rPr>
        <w:t xml:space="preserve">1900: 608-611. </w:t>
      </w:r>
    </w:p>
  </w:footnote>
  <w:footnote w:id="502">
    <w:p w14:paraId="5D60D899"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w:t>
      </w:r>
      <w:r w:rsidRPr="0071345C">
        <w:rPr>
          <w:smallCaps/>
          <w:sz w:val="18"/>
          <w:szCs w:val="18"/>
          <w:lang w:val="en-US"/>
        </w:rPr>
        <w:t>“</w:t>
      </w:r>
      <w:r w:rsidRPr="0071345C">
        <w:rPr>
          <w:sz w:val="18"/>
          <w:szCs w:val="18"/>
          <w:lang w:val="en-US"/>
        </w:rPr>
        <w:t>The golden” are the drops of Soma.</w:t>
      </w:r>
    </w:p>
  </w:footnote>
  <w:footnote w:id="503">
    <w:p w14:paraId="67625C31" w14:textId="77777777" w:rsidR="00E53EB6" w:rsidRPr="0071345C" w:rsidRDefault="006500F5">
      <w:pPr>
        <w:pStyle w:val="FootnoteText"/>
        <w:rPr>
          <w:sz w:val="18"/>
          <w:szCs w:val="18"/>
          <w:lang w:val="en-US"/>
        </w:rPr>
      </w:pPr>
      <w:r>
        <w:rPr>
          <w:rStyle w:val="FootnoteCharacters"/>
        </w:rPr>
        <w:footnoteRef/>
      </w:r>
      <w:r w:rsidRPr="0071345C">
        <w:rPr>
          <w:sz w:val="18"/>
          <w:szCs w:val="18"/>
          <w:lang w:val="en-US"/>
        </w:rPr>
        <w:tab/>
        <w:t xml:space="preserve"> The horse of the sacrifice.</w:t>
      </w:r>
    </w:p>
  </w:footnote>
  <w:footnote w:id="504">
    <w:p w14:paraId="4377B23F"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w:t>
      </w:r>
      <w:r w:rsidRPr="0071345C">
        <w:rPr>
          <w:sz w:val="18"/>
          <w:szCs w:val="18"/>
          <w:lang w:val="en-US"/>
        </w:rPr>
        <w:t xml:space="preserve">In these first two </w:t>
      </w:r>
      <w:r w:rsidRPr="0071345C">
        <w:rPr>
          <w:i/>
          <w:sz w:val="18"/>
          <w:szCs w:val="18"/>
          <w:lang w:val="en-US"/>
        </w:rPr>
        <w:t xml:space="preserve">pāda </w:t>
      </w:r>
      <w:r w:rsidRPr="0071345C">
        <w:rPr>
          <w:sz w:val="18"/>
          <w:szCs w:val="18"/>
          <w:lang w:val="en-US"/>
        </w:rPr>
        <w:t xml:space="preserve">what is described is the place where the sacrifice is being performed; the threads of wool were used to filter the juice obtained by squeezing the soma plant. </w:t>
      </w:r>
    </w:p>
  </w:footnote>
  <w:footnote w:id="505">
    <w:p w14:paraId="61FDEAAF"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On the meaning of </w:t>
      </w:r>
      <w:r w:rsidRPr="0071345C">
        <w:rPr>
          <w:i/>
          <w:sz w:val="18"/>
          <w:szCs w:val="18"/>
          <w:lang w:val="en-US"/>
        </w:rPr>
        <w:t xml:space="preserve">matí- </w:t>
      </w:r>
      <w:r w:rsidRPr="0071345C">
        <w:rPr>
          <w:sz w:val="18"/>
          <w:szCs w:val="18"/>
          <w:lang w:val="en-US"/>
        </w:rPr>
        <w:t xml:space="preserve"> “poetic thought expressed”  (&lt; root </w:t>
      </w:r>
      <w:r w:rsidRPr="0071345C">
        <w:rPr>
          <w:i/>
          <w:sz w:val="18"/>
          <w:szCs w:val="18"/>
          <w:lang w:val="en-US"/>
        </w:rPr>
        <w:t>man-</w:t>
      </w:r>
      <w:r w:rsidRPr="0071345C">
        <w:rPr>
          <w:sz w:val="18"/>
          <w:szCs w:val="18"/>
          <w:lang w:val="en-US"/>
        </w:rPr>
        <w:t xml:space="preserve"> fro</w:t>
      </w:r>
      <w:r w:rsidRPr="0071345C">
        <w:rPr>
          <w:sz w:val="18"/>
          <w:szCs w:val="18"/>
          <w:lang w:val="en-US"/>
        </w:rPr>
        <w:t xml:space="preserve">m which also </w:t>
      </w:r>
      <w:r w:rsidRPr="0071345C">
        <w:rPr>
          <w:i/>
          <w:sz w:val="18"/>
          <w:szCs w:val="18"/>
          <w:lang w:val="en-US"/>
        </w:rPr>
        <w:t>mánas-</w:t>
      </w:r>
      <w:r w:rsidRPr="0071345C">
        <w:rPr>
          <w:sz w:val="18"/>
          <w:szCs w:val="18"/>
          <w:lang w:val="en-US"/>
        </w:rPr>
        <w:t>)</w:t>
      </w:r>
      <w:r w:rsidRPr="0071345C">
        <w:rPr>
          <w:i/>
          <w:sz w:val="18"/>
          <w:szCs w:val="18"/>
          <w:lang w:val="en-US"/>
        </w:rPr>
        <w:t xml:space="preserve"> </w:t>
      </w:r>
      <w:r w:rsidRPr="0071345C">
        <w:rPr>
          <w:sz w:val="18"/>
          <w:szCs w:val="18"/>
          <w:lang w:val="en-US"/>
        </w:rPr>
        <w:t>cf.</w:t>
      </w:r>
      <w:r w:rsidRPr="0071345C">
        <w:rPr>
          <w:smallCaps/>
          <w:sz w:val="18"/>
          <w:szCs w:val="18"/>
          <w:lang w:val="en-US"/>
        </w:rPr>
        <w:t xml:space="preserve"> Gonda </w:t>
      </w:r>
      <w:r w:rsidRPr="0071345C">
        <w:rPr>
          <w:sz w:val="18"/>
          <w:szCs w:val="18"/>
          <w:lang w:val="en-US"/>
        </w:rPr>
        <w:t xml:space="preserve">1963; </w:t>
      </w:r>
      <w:r w:rsidRPr="0071345C">
        <w:rPr>
          <w:smallCaps/>
          <w:sz w:val="18"/>
          <w:szCs w:val="18"/>
          <w:lang w:val="en-US"/>
        </w:rPr>
        <w:t xml:space="preserve">Maggi </w:t>
      </w:r>
      <w:r w:rsidRPr="0071345C">
        <w:rPr>
          <w:sz w:val="18"/>
          <w:szCs w:val="18"/>
          <w:lang w:val="en-US"/>
        </w:rPr>
        <w:t xml:space="preserve">1989:  63-114 and </w:t>
      </w:r>
      <w:r w:rsidRPr="0071345C">
        <w:rPr>
          <w:smallCaps/>
          <w:sz w:val="18"/>
          <w:szCs w:val="18"/>
          <w:lang w:val="en-US"/>
        </w:rPr>
        <w:t>Renou</w:t>
      </w:r>
      <w:r w:rsidRPr="0071345C">
        <w:rPr>
          <w:sz w:val="18"/>
          <w:szCs w:val="18"/>
          <w:lang w:val="en-US"/>
        </w:rPr>
        <w:t xml:space="preserve"> I 2 ff.</w:t>
      </w:r>
    </w:p>
  </w:footnote>
  <w:footnote w:id="506">
    <w:p w14:paraId="65212692"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To be noted between Agni as sacrificial fire and Agni associated with Mitra (with the “Pact”) a division of tasks symmetrical to the contraposition between the distant enemy (</w:t>
      </w:r>
      <w:r w:rsidRPr="0071345C">
        <w:rPr>
          <w:i/>
          <w:sz w:val="18"/>
          <w:szCs w:val="18"/>
          <w:lang w:val="en-US"/>
        </w:rPr>
        <w:t>sán</w:t>
      </w:r>
      <w:r w:rsidRPr="0071345C">
        <w:rPr>
          <w:i/>
          <w:sz w:val="18"/>
          <w:szCs w:val="18"/>
          <w:lang w:val="en-US"/>
        </w:rPr>
        <w:t>utya</w:t>
      </w:r>
      <w:r w:rsidRPr="0071345C">
        <w:rPr>
          <w:i/>
          <w:sz w:val="18"/>
          <w:szCs w:val="18"/>
          <w:lang w:val="en-US"/>
        </w:rPr>
        <w:t>ḥ</w:t>
      </w:r>
      <w:r w:rsidRPr="0071345C">
        <w:rPr>
          <w:sz w:val="18"/>
          <w:szCs w:val="18"/>
          <w:lang w:val="en-US"/>
        </w:rPr>
        <w:t>)</w:t>
      </w:r>
      <w:r w:rsidRPr="0071345C">
        <w:rPr>
          <w:sz w:val="18"/>
          <w:szCs w:val="18"/>
          <w:lang w:val="en-US"/>
        </w:rPr>
        <w:t xml:space="preserve"> and the enemy nearby (</w:t>
      </w:r>
      <w:r w:rsidRPr="0071345C">
        <w:rPr>
          <w:i/>
          <w:sz w:val="18"/>
          <w:szCs w:val="18"/>
          <w:lang w:val="en-US"/>
        </w:rPr>
        <w:t>ántaro vanu</w:t>
      </w:r>
      <w:r w:rsidRPr="0071345C">
        <w:rPr>
          <w:i/>
          <w:sz w:val="18"/>
          <w:szCs w:val="18"/>
          <w:lang w:val="en-US"/>
        </w:rPr>
        <w:t>ṣ</w:t>
      </w:r>
      <w:r w:rsidRPr="0071345C">
        <w:rPr>
          <w:i/>
          <w:sz w:val="18"/>
          <w:szCs w:val="18"/>
          <w:lang w:val="en-US"/>
        </w:rPr>
        <w:t>yā́t</w:t>
      </w:r>
      <w:r w:rsidRPr="0071345C">
        <w:rPr>
          <w:sz w:val="18"/>
          <w:szCs w:val="18"/>
          <w:lang w:val="en-US"/>
        </w:rPr>
        <w:t xml:space="preserve">): for both Agni is invoked, but with different function and attributes. </w:t>
      </w:r>
    </w:p>
  </w:footnote>
  <w:footnote w:id="507">
    <w:p w14:paraId="43D19790"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Pr>
          <w:rFonts w:ascii="Sabon Unicode" w:hAnsi="Sabon Unicode" w:cs="Times Ext Roman"/>
          <w:i/>
          <w:iCs/>
          <w:sz w:val="18"/>
          <w:szCs w:val="18"/>
          <w:lang w:val="en-GB" w:eastAsia="hi-IN" w:bidi="en-GB"/>
        </w:rPr>
        <w:tab/>
        <w:t xml:space="preserve"> sed agnir yo </w:t>
      </w:r>
      <w:r>
        <w:rPr>
          <w:rFonts w:ascii="Sabon Unicode" w:hAnsi="Sabon Unicode" w:cs="Times Ext Roman"/>
          <w:sz w:val="18"/>
          <w:szCs w:val="18"/>
          <w:lang w:val="en-GB" w:eastAsia="hi-IN" w:bidi="en-GB"/>
        </w:rPr>
        <w:t>[…]</w:t>
      </w:r>
      <w:r>
        <w:rPr>
          <w:rFonts w:ascii="Sabon Unicode" w:hAnsi="Sabon Unicode" w:cs="Times Ext Roman"/>
          <w:i/>
          <w:iCs/>
          <w:sz w:val="18"/>
          <w:szCs w:val="18"/>
          <w:lang w:val="en-GB" w:eastAsia="hi-IN" w:bidi="en-GB"/>
        </w:rPr>
        <w:t xml:space="preserve"> nipāti </w:t>
      </w:r>
      <w:r>
        <w:rPr>
          <w:rFonts w:ascii="Sabon Unicode" w:hAnsi="Sabon Unicode" w:cs="Times Ext Roman"/>
          <w:sz w:val="18"/>
          <w:szCs w:val="18"/>
          <w:lang w:val="en-GB" w:eastAsia="hi-IN" w:bidi="en-GB"/>
        </w:rPr>
        <w:t>=R̥V 7.1.15a.</w:t>
      </w:r>
    </w:p>
  </w:footnote>
  <w:footnote w:id="508">
    <w:p w14:paraId="5AB05810"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Pr>
          <w:rFonts w:ascii="Sabon Unicode" w:hAnsi="Sabon Unicode" w:cs="Times Ext Roman"/>
          <w:i/>
          <w:iCs/>
          <w:sz w:val="18"/>
          <w:szCs w:val="18"/>
          <w:lang w:val="en-GB" w:eastAsia="hi-IN" w:bidi="en-GB"/>
        </w:rPr>
        <w:tab/>
        <w:t xml:space="preserve"> vák</w:t>
      </w:r>
      <w:r>
        <w:rPr>
          <w:rFonts w:ascii="Sabon Unicode" w:hAnsi="Sabon Unicode" w:cs="Times Ext Roman"/>
          <w:i/>
          <w:iCs/>
          <w:sz w:val="18"/>
          <w:szCs w:val="18"/>
          <w:lang w:val="en-GB" w:eastAsia="hi-IN" w:bidi="en-GB"/>
        </w:rPr>
        <w:t>ṣ</w:t>
      </w:r>
      <w:r>
        <w:rPr>
          <w:rFonts w:ascii="Sabon Unicode" w:hAnsi="Sabon Unicode" w:cs="Times Ext Roman"/>
          <w:i/>
          <w:iCs/>
          <w:sz w:val="18"/>
          <w:szCs w:val="18"/>
          <w:lang w:val="en-GB" w:eastAsia="hi-IN" w:bidi="en-GB"/>
        </w:rPr>
        <w:t>a</w:t>
      </w:r>
      <w:r>
        <w:rPr>
          <w:rFonts w:ascii="Sabon Unicode" w:hAnsi="Sabon Unicode" w:cs="Times Ext Roman"/>
          <w:i/>
          <w:iCs/>
          <w:sz w:val="18"/>
          <w:szCs w:val="18"/>
          <w:lang w:val="en-GB" w:eastAsia="hi-IN" w:bidi="en-GB"/>
        </w:rPr>
        <w:t>ḥ</w:t>
      </w:r>
      <w:r>
        <w:rPr>
          <w:rFonts w:ascii="Sabon Unicode" w:hAnsi="Sabon Unicode" w:cs="Times Ext Roman"/>
          <w:i/>
          <w:iCs/>
          <w:sz w:val="18"/>
          <w:szCs w:val="18"/>
          <w:lang w:val="en-GB" w:eastAsia="hi-IN" w:bidi="en-GB"/>
        </w:rPr>
        <w:t xml:space="preserve">su </w:t>
      </w:r>
      <w:r>
        <w:rPr>
          <w:rFonts w:ascii="Sabon Unicode" w:hAnsi="Sabon Unicode" w:cs="Times Ext Roman"/>
          <w:sz w:val="18"/>
          <w:szCs w:val="18"/>
          <w:lang w:val="en-GB" w:eastAsia="hi-IN" w:bidi="en-GB"/>
        </w:rPr>
        <w:t xml:space="preserve">[…] </w:t>
      </w:r>
      <w:r>
        <w:rPr>
          <w:rFonts w:ascii="Sabon Unicode" w:hAnsi="Sabon Unicode" w:cs="Times Ext Roman"/>
          <w:i/>
          <w:iCs/>
          <w:sz w:val="18"/>
          <w:szCs w:val="18"/>
          <w:lang w:val="en-GB" w:eastAsia="hi-IN" w:bidi="en-GB"/>
        </w:rPr>
        <w:t>yácchamānā</w:t>
      </w:r>
      <w:r>
        <w:rPr>
          <w:rFonts w:ascii="Sabon Unicode" w:hAnsi="Sabon Unicode" w:cs="Times Ext Roman"/>
          <w:i/>
          <w:iCs/>
          <w:sz w:val="18"/>
          <w:szCs w:val="18"/>
          <w:lang w:val="en-GB" w:eastAsia="hi-IN" w:bidi="en-GB"/>
        </w:rPr>
        <w:t>ḥ</w:t>
      </w:r>
      <w:r>
        <w:rPr>
          <w:rFonts w:ascii="Sabon Unicode" w:hAnsi="Sabon Unicode" w:cs="Times Ext Roman"/>
          <w:i/>
          <w:iCs/>
          <w:sz w:val="18"/>
          <w:szCs w:val="18"/>
          <w:lang w:val="en-GB" w:eastAsia="hi-IN" w:bidi="en-GB"/>
        </w:rPr>
        <w:t xml:space="preserve"> </w:t>
      </w:r>
      <w:r>
        <w:rPr>
          <w:rFonts w:ascii="Sabon Unicode" w:hAnsi="Sabon Unicode" w:cs="Times Ext Roman"/>
          <w:sz w:val="18"/>
          <w:szCs w:val="18"/>
          <w:lang w:val="en-GB" w:eastAsia="hi-IN" w:bidi="en-GB"/>
        </w:rPr>
        <w:t>= R̥V 7.56.13b-d.</w:t>
      </w:r>
    </w:p>
  </w:footnote>
  <w:footnote w:id="509">
    <w:p w14:paraId="3A2F351B"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Pr>
          <w:rFonts w:ascii="Sabon Unicode" w:hAnsi="Sabon Unicode" w:cs="Times Ext Roman"/>
          <w:i/>
          <w:iCs/>
          <w:sz w:val="18"/>
          <w:szCs w:val="18"/>
          <w:lang w:val="en-GB" w:eastAsia="hi-IN" w:bidi="en-GB"/>
        </w:rPr>
        <w:tab/>
        <w:t xml:space="preserve"> yā </w:t>
      </w:r>
      <w:r>
        <w:rPr>
          <w:rFonts w:ascii="Sabon Unicode" w:hAnsi="Sabon Unicode" w:cs="Times Ext Roman"/>
          <w:sz w:val="18"/>
          <w:szCs w:val="18"/>
          <w:lang w:val="en-GB" w:eastAsia="hi-IN" w:bidi="en-GB"/>
        </w:rPr>
        <w:t xml:space="preserve">[…] </w:t>
      </w:r>
      <w:r>
        <w:rPr>
          <w:rFonts w:ascii="Sabon Unicode" w:hAnsi="Sabon Unicode" w:cs="Times Ext Roman"/>
          <w:i/>
          <w:iCs/>
          <w:sz w:val="18"/>
          <w:szCs w:val="18"/>
          <w:lang w:val="en-GB" w:eastAsia="hi-IN" w:bidi="en-GB"/>
        </w:rPr>
        <w:t xml:space="preserve">suvī́ram </w:t>
      </w:r>
      <w:r>
        <w:rPr>
          <w:rFonts w:ascii="Sabon Unicode" w:hAnsi="Sabon Unicode" w:cs="Times Ext Roman"/>
          <w:sz w:val="18"/>
          <w:szCs w:val="18"/>
          <w:lang w:val="en-GB" w:eastAsia="hi-IN" w:bidi="en-GB"/>
        </w:rPr>
        <w:t>= R̥V 1.85.12.</w:t>
      </w:r>
    </w:p>
  </w:footnote>
  <w:footnote w:id="510">
    <w:p w14:paraId="401517BD"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Pr>
          <w:rFonts w:ascii="Sabon Unicode" w:hAnsi="Sabon Unicode" w:cs="Times Ext Roman"/>
          <w:i/>
          <w:iCs/>
          <w:sz w:val="18"/>
          <w:szCs w:val="18"/>
          <w:lang w:val="en-GB" w:eastAsia="hi-IN" w:bidi="en-GB"/>
        </w:rPr>
        <w:tab/>
        <w:t xml:space="preserve"> imé </w:t>
      </w:r>
      <w:r>
        <w:rPr>
          <w:rFonts w:ascii="Sabon Unicode" w:hAnsi="Sabon Unicode" w:cs="Times Ext Roman"/>
          <w:sz w:val="18"/>
          <w:szCs w:val="18"/>
          <w:lang w:val="en-GB" w:eastAsia="hi-IN" w:bidi="en-GB"/>
        </w:rPr>
        <w:t xml:space="preserve">[…] = </w:t>
      </w:r>
      <w:r>
        <w:rPr>
          <w:rFonts w:ascii="Sabon Unicode" w:hAnsi="Sabon Unicode" w:cs="Times Ext Roman"/>
          <w:sz w:val="18"/>
          <w:szCs w:val="18"/>
          <w:lang w:val="en-GB" w:eastAsia="hi-IN" w:bidi="en-GB"/>
        </w:rPr>
        <w:t>R̥V 7.56.19a-c.</w:t>
      </w:r>
    </w:p>
  </w:footnote>
  <w:footnote w:id="511">
    <w:p w14:paraId="043C79B7"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The breast of the Maruts as it is clear with regard to the end of the preceding paragraph which is the first </w:t>
      </w:r>
      <w:r w:rsidRPr="0071345C">
        <w:rPr>
          <w:i/>
          <w:iCs/>
          <w:lang w:val="en-US"/>
        </w:rPr>
        <w:t xml:space="preserve">pāda </w:t>
      </w:r>
      <w:r w:rsidRPr="0071345C">
        <w:rPr>
          <w:lang w:val="en-US"/>
        </w:rPr>
        <w:t>of the stanza 7.56.13.</w:t>
      </w:r>
    </w:p>
  </w:footnote>
  <w:footnote w:id="512">
    <w:p w14:paraId="1F1622F8"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Pr>
          <w:rFonts w:ascii="Sabon Unicode" w:hAnsi="Sabon Unicode" w:cs="Times Ext Roman"/>
          <w:i/>
          <w:iCs/>
          <w:sz w:val="18"/>
          <w:szCs w:val="18"/>
          <w:lang w:val="en-GB" w:eastAsia="hi-IN" w:bidi="en-GB"/>
        </w:rPr>
        <w:tab/>
        <w:t xml:space="preserve"> vyr̥</w:t>
      </w:r>
      <w:r>
        <w:rPr>
          <w:rFonts w:ascii="Sabon Unicode" w:hAnsi="Sabon Unicode" w:cs="Times Ext Roman"/>
          <w:i/>
          <w:iCs/>
          <w:sz w:val="18"/>
          <w:szCs w:val="18"/>
          <w:lang w:val="en-GB" w:eastAsia="hi-IN" w:bidi="en-GB"/>
        </w:rPr>
        <w:t>ṣṭ</w:t>
      </w:r>
      <w:r>
        <w:rPr>
          <w:rFonts w:ascii="Sabon Unicode" w:hAnsi="Sabon Unicode" w:cs="Times Ext Roman"/>
          <w:i/>
          <w:iCs/>
          <w:sz w:val="18"/>
          <w:szCs w:val="18"/>
          <w:lang w:val="en-GB" w:eastAsia="hi-IN" w:bidi="en-GB"/>
        </w:rPr>
        <w:t xml:space="preserve">í- </w:t>
      </w:r>
      <w:r>
        <w:rPr>
          <w:rFonts w:ascii="Sabon Unicode" w:hAnsi="Sabon Unicode" w:cs="Times Ext Roman"/>
          <w:sz w:val="18"/>
          <w:szCs w:val="18"/>
          <w:lang w:val="en-GB" w:eastAsia="hi-IN" w:bidi="en-GB"/>
        </w:rPr>
        <w:t xml:space="preserve">(R̥V reads </w:t>
      </w:r>
      <w:r>
        <w:rPr>
          <w:rFonts w:ascii="Sabon Unicode" w:hAnsi="Sabon Unicode" w:cs="Times Ext Roman"/>
          <w:i/>
          <w:iCs/>
          <w:sz w:val="18"/>
          <w:szCs w:val="18"/>
          <w:lang w:val="en-GB" w:eastAsia="hi-IN" w:bidi="en-GB"/>
        </w:rPr>
        <w:t>vr̥</w:t>
      </w:r>
      <w:r>
        <w:rPr>
          <w:rFonts w:ascii="Sabon Unicode" w:hAnsi="Sabon Unicode" w:cs="Times Ext Roman"/>
          <w:i/>
          <w:iCs/>
          <w:sz w:val="18"/>
          <w:szCs w:val="18"/>
          <w:lang w:val="en-GB" w:eastAsia="hi-IN" w:bidi="en-GB"/>
        </w:rPr>
        <w:t>ṣṭ</w:t>
      </w:r>
      <w:r>
        <w:rPr>
          <w:rFonts w:ascii="Sabon Unicode" w:hAnsi="Sabon Unicode" w:cs="Times Ext Roman"/>
          <w:i/>
          <w:iCs/>
          <w:sz w:val="18"/>
          <w:szCs w:val="18"/>
          <w:lang w:val="en-GB" w:eastAsia="hi-IN" w:bidi="en-GB"/>
        </w:rPr>
        <w:t xml:space="preserve">ibhī </w:t>
      </w:r>
      <w:r>
        <w:rPr>
          <w:rFonts w:ascii="Sabon Unicode" w:hAnsi="Sabon Unicode" w:cs="Times Ext Roman"/>
          <w:sz w:val="18"/>
          <w:szCs w:val="18"/>
          <w:lang w:val="en-GB" w:eastAsia="hi-IN" w:bidi="en-GB"/>
        </w:rPr>
        <w:t>“through the rain”) is the proper name of an excellent like a sword</w:t>
      </w:r>
      <w:r>
        <w:rPr>
          <w:rFonts w:ascii="Sabon Unicode" w:hAnsi="Sabon Unicode" w:cs="Times Ext Roman"/>
          <w:sz w:val="18"/>
          <w:szCs w:val="18"/>
          <w:lang w:val="en-GB" w:eastAsia="hi-IN" w:bidi="en-GB"/>
        </w:rPr>
        <w:t xml:space="preserve"> or a spear. Miśra glosses  </w:t>
      </w:r>
      <w:r>
        <w:rPr>
          <w:rFonts w:ascii="Sabon Unicode" w:hAnsi="Sabon Unicode" w:cs="Times Ext Roman"/>
          <w:i/>
          <w:iCs/>
          <w:sz w:val="18"/>
          <w:szCs w:val="18"/>
          <w:lang w:val="en-GB" w:eastAsia="hi-IN" w:bidi="en-GB"/>
        </w:rPr>
        <w:t>āyudhaviśe</w:t>
      </w:r>
      <w:r>
        <w:rPr>
          <w:rFonts w:ascii="Sabon Unicode" w:hAnsi="Sabon Unicode" w:cs="Times Ext Roman"/>
          <w:i/>
          <w:iCs/>
          <w:sz w:val="18"/>
          <w:szCs w:val="18"/>
          <w:lang w:val="en-GB" w:eastAsia="hi-IN" w:bidi="en-GB"/>
        </w:rPr>
        <w:t>ṣ</w:t>
      </w:r>
      <w:r>
        <w:rPr>
          <w:rFonts w:ascii="Sabon Unicode" w:hAnsi="Sabon Unicode" w:cs="Times Ext Roman"/>
          <w:i/>
          <w:iCs/>
          <w:sz w:val="18"/>
          <w:szCs w:val="18"/>
          <w:lang w:val="en-GB" w:eastAsia="hi-IN" w:bidi="en-GB"/>
        </w:rPr>
        <w:t>air vyr̥</w:t>
      </w:r>
      <w:r>
        <w:rPr>
          <w:rFonts w:ascii="Sabon Unicode" w:hAnsi="Sabon Unicode" w:cs="Times Ext Roman"/>
          <w:i/>
          <w:iCs/>
          <w:sz w:val="18"/>
          <w:szCs w:val="18"/>
          <w:lang w:val="en-GB" w:eastAsia="hi-IN" w:bidi="en-GB"/>
        </w:rPr>
        <w:t>ṣṭ</w:t>
      </w:r>
      <w:r>
        <w:rPr>
          <w:rFonts w:ascii="Sabon Unicode" w:hAnsi="Sabon Unicode" w:cs="Times Ext Roman"/>
          <w:i/>
          <w:iCs/>
          <w:sz w:val="18"/>
          <w:szCs w:val="18"/>
          <w:lang w:val="en-GB" w:eastAsia="hi-IN" w:bidi="en-GB"/>
        </w:rPr>
        <w:t>yākhyair viśe</w:t>
      </w:r>
      <w:r>
        <w:rPr>
          <w:rFonts w:ascii="Sabon Unicode" w:hAnsi="Sabon Unicode" w:cs="Times Ext Roman"/>
          <w:i/>
          <w:iCs/>
          <w:sz w:val="18"/>
          <w:szCs w:val="18"/>
          <w:lang w:val="en-GB" w:eastAsia="hi-IN" w:bidi="en-GB"/>
        </w:rPr>
        <w:t>ṣ</w:t>
      </w:r>
      <w:r>
        <w:rPr>
          <w:rFonts w:ascii="Sabon Unicode" w:hAnsi="Sabon Unicode" w:cs="Times Ext Roman"/>
          <w:i/>
          <w:iCs/>
          <w:sz w:val="18"/>
          <w:szCs w:val="18"/>
          <w:lang w:val="en-GB" w:eastAsia="hi-IN" w:bidi="en-GB"/>
        </w:rPr>
        <w:t>e</w:t>
      </w:r>
      <w:r>
        <w:rPr>
          <w:rFonts w:ascii="Sabon Unicode" w:hAnsi="Sabon Unicode" w:cs="Times Ext Roman"/>
          <w:i/>
          <w:iCs/>
          <w:sz w:val="18"/>
          <w:szCs w:val="18"/>
          <w:lang w:val="en-GB" w:eastAsia="hi-IN" w:bidi="en-GB"/>
        </w:rPr>
        <w:t>ṇ</w:t>
      </w:r>
      <w:r>
        <w:rPr>
          <w:rFonts w:ascii="Sabon Unicode" w:hAnsi="Sabon Unicode" w:cs="Times Ext Roman"/>
          <w:i/>
          <w:iCs/>
          <w:sz w:val="18"/>
          <w:szCs w:val="18"/>
          <w:lang w:val="en-GB" w:eastAsia="hi-IN" w:bidi="en-GB"/>
        </w:rPr>
        <w:t>a rocamānā</w:t>
      </w:r>
      <w:r>
        <w:rPr>
          <w:rFonts w:ascii="Sabon Unicode" w:hAnsi="Sabon Unicode" w:cs="Times Ext Roman"/>
          <w:i/>
          <w:iCs/>
          <w:sz w:val="18"/>
          <w:szCs w:val="18"/>
          <w:lang w:val="en-GB" w:eastAsia="hi-IN" w:bidi="en-GB"/>
        </w:rPr>
        <w:t>ḥ</w:t>
      </w:r>
      <w:r>
        <w:rPr>
          <w:rFonts w:ascii="Sabon Unicode" w:hAnsi="Sabon Unicode" w:cs="Times Ext Roman"/>
          <w:i/>
          <w:iCs/>
          <w:sz w:val="18"/>
          <w:szCs w:val="18"/>
          <w:lang w:val="en-GB" w:eastAsia="hi-IN" w:bidi="en-GB"/>
        </w:rPr>
        <w:t>.</w:t>
      </w:r>
    </w:p>
  </w:footnote>
  <w:footnote w:id="513">
    <w:p w14:paraId="2F48547E"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i/>
          <w:iCs/>
          <w:lang w:val="en-US"/>
        </w:rPr>
        <w:t xml:space="preserve">abhidāti, </w:t>
      </w:r>
      <w:r w:rsidRPr="0071345C">
        <w:rPr>
          <w:rStyle w:val="biblio-authorGEN"/>
          <w:sz w:val="18"/>
          <w:szCs w:val="15"/>
          <w:lang w:val="en-US"/>
        </w:rPr>
        <w:t>Benfey</w:t>
      </w:r>
      <w:r w:rsidRPr="0071345C">
        <w:rPr>
          <w:lang w:val="en-US"/>
        </w:rPr>
        <w:t xml:space="preserve"> 1848: 229 “nachstellt” and in the note 5 “</w:t>
      </w:r>
      <w:r w:rsidRPr="0071345C">
        <w:rPr>
          <w:i/>
          <w:iCs/>
          <w:lang w:val="en-US"/>
        </w:rPr>
        <w:t>abhidāti = asmākam adattvānyebhyo dadātīti artha</w:t>
      </w:r>
      <w:r w:rsidRPr="0071345C">
        <w:rPr>
          <w:i/>
          <w:iCs/>
          <w:lang w:val="en-US"/>
        </w:rPr>
        <w:t>ḥ</w:t>
      </w:r>
      <w:r w:rsidRPr="0071345C">
        <w:rPr>
          <w:i/>
          <w:iCs/>
          <w:lang w:val="en-US"/>
        </w:rPr>
        <w:t xml:space="preserve"> </w:t>
      </w:r>
      <w:r w:rsidRPr="0071345C">
        <w:rPr>
          <w:lang w:val="en-US"/>
        </w:rPr>
        <w:t xml:space="preserve">(SvC.)”; the commentator gloss the verb with </w:t>
      </w:r>
      <w:r w:rsidRPr="0071345C">
        <w:rPr>
          <w:i/>
          <w:iCs/>
          <w:lang w:val="en-US"/>
        </w:rPr>
        <w:t xml:space="preserve">dā </w:t>
      </w:r>
      <w:r w:rsidRPr="0071345C">
        <w:rPr>
          <w:lang w:val="en-US"/>
        </w:rPr>
        <w:t>“to give”, using t</w:t>
      </w:r>
      <w:r w:rsidRPr="0071345C">
        <w:rPr>
          <w:lang w:val="en-US"/>
        </w:rPr>
        <w:t xml:space="preserve">he form </w:t>
      </w:r>
      <w:r w:rsidRPr="0071345C">
        <w:rPr>
          <w:i/>
          <w:iCs/>
          <w:lang w:val="en-US"/>
        </w:rPr>
        <w:t xml:space="preserve">dadāti, </w:t>
      </w:r>
      <w:r w:rsidRPr="0071345C">
        <w:rPr>
          <w:lang w:val="en-US"/>
        </w:rPr>
        <w:t xml:space="preserve">which indeed is ind. pres. while </w:t>
      </w:r>
      <w:r w:rsidRPr="0071345C">
        <w:rPr>
          <w:i/>
          <w:iCs/>
          <w:lang w:val="en-US"/>
        </w:rPr>
        <w:t xml:space="preserve">dāti </w:t>
      </w:r>
      <w:r w:rsidRPr="0071345C">
        <w:rPr>
          <w:lang w:val="en-US"/>
        </w:rPr>
        <w:t xml:space="preserve">should be a subj. root aor.; moreover the current meaning of the verb doesn’t seem to fit the context, and the twisting interpretation is rather doubtful. The form </w:t>
      </w:r>
      <w:r w:rsidRPr="0071345C">
        <w:rPr>
          <w:i/>
          <w:iCs/>
          <w:lang w:val="en-US"/>
        </w:rPr>
        <w:t xml:space="preserve">abhidāti </w:t>
      </w:r>
      <w:r w:rsidRPr="0071345C">
        <w:rPr>
          <w:lang w:val="en-US"/>
        </w:rPr>
        <w:t>could also be understood as i</w:t>
      </w:r>
      <w:r w:rsidRPr="0071345C">
        <w:rPr>
          <w:lang w:val="en-US"/>
        </w:rPr>
        <w:t xml:space="preserve">nd. pres. from </w:t>
      </w:r>
      <w:r w:rsidRPr="0071345C">
        <w:rPr>
          <w:i/>
          <w:iCs/>
          <w:lang w:val="en-US"/>
        </w:rPr>
        <w:t xml:space="preserve">dā- </w:t>
      </w:r>
      <w:r w:rsidRPr="0071345C">
        <w:rPr>
          <w:lang w:val="en-US"/>
        </w:rPr>
        <w:t xml:space="preserve">“to divide” which could suggest an action whose result is not quite fair for the receiver, but indeed </w:t>
      </w:r>
      <w:r w:rsidRPr="0071345C">
        <w:rPr>
          <w:i/>
          <w:iCs/>
          <w:lang w:val="en-US"/>
        </w:rPr>
        <w:t xml:space="preserve">dā </w:t>
      </w:r>
      <w:r w:rsidRPr="0071345C">
        <w:rPr>
          <w:lang w:val="en-US"/>
        </w:rPr>
        <w:t>doesn’t seem to be used that way elsewhere. Not feeling able to reach an entirely certain conclusion, I settle for translating as “t</w:t>
      </w:r>
      <w:r w:rsidRPr="0071345C">
        <w:rPr>
          <w:lang w:val="en-US"/>
        </w:rPr>
        <w:t xml:space="preserve">o be after so”, following Benfey’s interpretation. See also </w:t>
      </w:r>
      <w:r w:rsidRPr="0071345C">
        <w:rPr>
          <w:rStyle w:val="biblio-authorGEN"/>
          <w:sz w:val="18"/>
          <w:szCs w:val="15"/>
          <w:lang w:val="en-US"/>
        </w:rPr>
        <w:t>Narten</w:t>
      </w:r>
      <w:r w:rsidRPr="0071345C">
        <w:rPr>
          <w:lang w:val="en-US"/>
        </w:rPr>
        <w:t xml:space="preserve"> (1963) with regard to the relation between </w:t>
      </w:r>
      <w:r w:rsidRPr="0071345C">
        <w:rPr>
          <w:i/>
          <w:iCs/>
          <w:lang w:val="en-US"/>
        </w:rPr>
        <w:t>abhidā-</w:t>
      </w:r>
      <w:r w:rsidRPr="0071345C">
        <w:rPr>
          <w:lang w:val="en-US"/>
        </w:rPr>
        <w:t xml:space="preserve"> and </w:t>
      </w:r>
      <w:r w:rsidRPr="0071345C">
        <w:rPr>
          <w:i/>
          <w:iCs/>
          <w:lang w:val="en-US"/>
        </w:rPr>
        <w:t>abhidhā́sati.</w:t>
      </w:r>
    </w:p>
  </w:footnote>
  <w:footnote w:id="514">
    <w:p w14:paraId="04DE3BCC" w14:textId="77777777" w:rsidR="00E53EB6" w:rsidRDefault="006500F5">
      <w:pPr>
        <w:pStyle w:val="FootnoteText"/>
        <w:suppressLineNumbers/>
        <w:spacing w:line="210" w:lineRule="exact"/>
        <w:ind w:left="240" w:hanging="240"/>
        <w:jc w:val="both"/>
      </w:pPr>
      <w:r>
        <w:rPr>
          <w:rStyle w:val="FootnoteCharacters"/>
        </w:rPr>
        <w:footnoteRef/>
      </w:r>
      <w:r>
        <w:rPr>
          <w:i/>
          <w:iCs/>
        </w:rPr>
        <w:tab/>
        <w:t xml:space="preserve"> uga</w:t>
      </w:r>
      <w:r>
        <w:rPr>
          <w:i/>
          <w:iCs/>
        </w:rPr>
        <w:t>ṇ</w:t>
      </w:r>
      <w:r>
        <w:rPr>
          <w:i/>
          <w:iCs/>
        </w:rPr>
        <w:t xml:space="preserve">ā, </w:t>
      </w:r>
      <w:r>
        <w:t xml:space="preserve">EWAia: II 211 “machtvoll […] auch -ā Nom Sing”, cf. also Pischel in </w:t>
      </w:r>
      <w:r w:rsidRPr="0071345C">
        <w:rPr>
          <w:rStyle w:val="biblio-authorGEN"/>
          <w:rFonts w:ascii="Sabon Unicode" w:hAnsi="Sabon Unicode"/>
          <w:sz w:val="18"/>
          <w:szCs w:val="18"/>
        </w:rPr>
        <w:t xml:space="preserve">Pischel-Geldner </w:t>
      </w:r>
      <w:r w:rsidRPr="0071345C">
        <w:rPr>
          <w:rFonts w:ascii="Sabon Unicode" w:hAnsi="Sabon Unicode"/>
          <w:sz w:val="18"/>
          <w:szCs w:val="18"/>
        </w:rPr>
        <w:t>1889-1901: II 192.</w:t>
      </w:r>
    </w:p>
  </w:footnote>
  <w:footnote w:id="515">
    <w:p w14:paraId="5CA8A24D"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The </w:t>
      </w:r>
      <w:r w:rsidRPr="0071345C">
        <w:rPr>
          <w:sz w:val="18"/>
          <w:szCs w:val="18"/>
          <w:lang w:val="en-US"/>
        </w:rPr>
        <w:t xml:space="preserve">repetition of a term can take on a distributed value, to be understood in this case as “every time that” cf. </w:t>
      </w:r>
      <w:r w:rsidRPr="0071345C">
        <w:rPr>
          <w:smallCaps/>
          <w:sz w:val="18"/>
          <w:szCs w:val="18"/>
          <w:lang w:val="en-US"/>
        </w:rPr>
        <w:t>Withney</w:t>
      </w:r>
      <w:r w:rsidRPr="0071345C">
        <w:rPr>
          <w:sz w:val="18"/>
          <w:szCs w:val="18"/>
          <w:lang w:val="en-US"/>
        </w:rPr>
        <w:t xml:space="preserve"> 1888: §1257.</w:t>
      </w:r>
    </w:p>
  </w:footnote>
  <w:footnote w:id="516">
    <w:p w14:paraId="4C674FB8"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Pr>
          <w:rFonts w:ascii="Sabon Unicode" w:hAnsi="Sabon Unicode"/>
          <w:i/>
          <w:iCs/>
          <w:lang w:val="en-GB"/>
        </w:rPr>
        <w:tab/>
        <w:t xml:space="preserve"> índrāgahi </w:t>
      </w:r>
      <w:r>
        <w:rPr>
          <w:rFonts w:ascii="Sabon Unicode" w:hAnsi="Sabon Unicode"/>
          <w:lang w:val="en-GB"/>
        </w:rPr>
        <w:t xml:space="preserve">[…] </w:t>
      </w:r>
      <w:r>
        <w:rPr>
          <w:rFonts w:ascii="Sabon Unicode" w:hAnsi="Sabon Unicode"/>
          <w:i/>
          <w:iCs/>
          <w:lang w:val="en-GB"/>
        </w:rPr>
        <w:t xml:space="preserve">yajñíyānām </w:t>
      </w:r>
      <w:r>
        <w:rPr>
          <w:rFonts w:ascii="Sabon Unicode" w:hAnsi="Sabon Unicode"/>
          <w:lang w:val="en-GB"/>
        </w:rPr>
        <w:t>= R̥V 6.41.1d.</w:t>
      </w:r>
    </w:p>
  </w:footnote>
  <w:footnote w:id="517">
    <w:p w14:paraId="326A2754"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Pr>
          <w:rFonts w:ascii="Sabon Unicode" w:hAnsi="Sabon Unicode"/>
          <w:i/>
          <w:iCs/>
          <w:lang w:val="en-GB"/>
        </w:rPr>
        <w:tab/>
        <w:t xml:space="preserve"> yā </w:t>
      </w:r>
      <w:r>
        <w:rPr>
          <w:rFonts w:ascii="Sabon Unicode" w:hAnsi="Sabon Unicode"/>
          <w:lang w:val="en-GB"/>
        </w:rPr>
        <w:t xml:space="preserve">[…] </w:t>
      </w:r>
      <w:r>
        <w:rPr>
          <w:rFonts w:ascii="Sabon Unicode" w:hAnsi="Sabon Unicode"/>
          <w:i/>
          <w:iCs/>
          <w:lang w:val="en-GB"/>
        </w:rPr>
        <w:t>gavyú</w:t>
      </w:r>
      <w:r>
        <w:rPr>
          <w:rFonts w:ascii="Sabon Unicode" w:hAnsi="Sabon Unicode"/>
          <w:i/>
          <w:iCs/>
          <w:lang w:val="en-GB"/>
        </w:rPr>
        <w:t>ḥ</w:t>
      </w:r>
      <w:r>
        <w:rPr>
          <w:rFonts w:ascii="Sabon Unicode" w:hAnsi="Sabon Unicode"/>
          <w:lang w:val="en-GB"/>
        </w:rPr>
        <w:t xml:space="preserve"> = R̥V 6.41.2.</w:t>
      </w:r>
    </w:p>
  </w:footnote>
  <w:footnote w:id="518">
    <w:p w14:paraId="2D73810E" w14:textId="77777777" w:rsidR="00E53EB6" w:rsidRPr="0071345C" w:rsidRDefault="006500F5">
      <w:pPr>
        <w:pStyle w:val="FootnoteText"/>
        <w:rPr>
          <w:lang w:val="en-US"/>
        </w:rPr>
      </w:pPr>
      <w:r>
        <w:rPr>
          <w:rStyle w:val="FootnoteCharacters"/>
        </w:rPr>
        <w:footnoteRef/>
      </w:r>
      <w:r w:rsidRPr="0071345C">
        <w:rPr>
          <w:lang w:val="en-US"/>
        </w:rPr>
        <w:tab/>
        <w:t xml:space="preserve"> </w:t>
      </w:r>
      <w:r>
        <w:rPr>
          <w:rFonts w:ascii="Sabon Unicode" w:hAnsi="Sabon Unicode"/>
          <w:lang w:val="en-GB"/>
        </w:rPr>
        <w:t>Aufrecht reads</w:t>
      </w:r>
      <w:r>
        <w:rPr>
          <w:rFonts w:ascii="Sabon Unicode" w:hAnsi="Sabon Unicode"/>
          <w:i/>
          <w:iCs/>
          <w:lang w:val="en-GB"/>
        </w:rPr>
        <w:t xml:space="preserve"> áśvināv éhá </w:t>
      </w:r>
      <w:r>
        <w:rPr>
          <w:rFonts w:ascii="Sabon Unicode" w:hAnsi="Sabon Unicode"/>
          <w:lang w:val="en-GB"/>
        </w:rPr>
        <w:t>as R̥V 1.22.1.</w:t>
      </w:r>
    </w:p>
  </w:footnote>
  <w:footnote w:id="519">
    <w:p w14:paraId="432AD120"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Pr>
          <w:rFonts w:ascii="Sabon Unicode" w:hAnsi="Sabon Unicode"/>
          <w:i/>
          <w:iCs/>
          <w:lang w:val="en-GB"/>
        </w:rPr>
        <w:tab/>
        <w:t xml:space="preserve"> </w:t>
      </w:r>
      <w:r>
        <w:rPr>
          <w:rFonts w:ascii="Sabon Unicode" w:hAnsi="Sabon Unicode"/>
          <w:i/>
          <w:iCs/>
          <w:lang w:val="en-GB"/>
        </w:rPr>
        <w:t xml:space="preserve">prātaryújā </w:t>
      </w:r>
      <w:r>
        <w:rPr>
          <w:rFonts w:ascii="Sabon Unicode" w:hAnsi="Sabon Unicode"/>
          <w:lang w:val="en-GB"/>
        </w:rPr>
        <w:t xml:space="preserve">[…] </w:t>
      </w:r>
      <w:r>
        <w:rPr>
          <w:rFonts w:ascii="Sabon Unicode" w:hAnsi="Sabon Unicode"/>
          <w:i/>
          <w:iCs/>
          <w:lang w:val="en-GB"/>
        </w:rPr>
        <w:t xml:space="preserve">pītáye </w:t>
      </w:r>
      <w:r>
        <w:rPr>
          <w:rFonts w:ascii="Sabon Unicode" w:hAnsi="Sabon Unicode"/>
          <w:lang w:val="en-GB"/>
        </w:rPr>
        <w:t>= R̥V 1.22.1.</w:t>
      </w:r>
    </w:p>
  </w:footnote>
  <w:footnote w:id="520">
    <w:p w14:paraId="5CA586B3"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Pr>
          <w:rFonts w:ascii="Sabon Unicode" w:hAnsi="Sabon Unicode"/>
          <w:i/>
          <w:iCs/>
          <w:lang w:val="en-GB"/>
        </w:rPr>
        <w:tab/>
        <w:t xml:space="preserve"> prātaryā́vā</w:t>
      </w:r>
      <w:r>
        <w:rPr>
          <w:rFonts w:ascii="Sabon Unicode" w:hAnsi="Sabon Unicode"/>
          <w:i/>
          <w:iCs/>
          <w:lang w:val="en-GB"/>
        </w:rPr>
        <w:t>ṇ</w:t>
      </w:r>
      <w:r>
        <w:rPr>
          <w:rFonts w:ascii="Sabon Unicode" w:hAnsi="Sabon Unicode"/>
          <w:i/>
          <w:iCs/>
          <w:lang w:val="en-GB"/>
        </w:rPr>
        <w:t xml:space="preserve">ā </w:t>
      </w:r>
      <w:r>
        <w:rPr>
          <w:rFonts w:ascii="Sabon Unicode" w:hAnsi="Sabon Unicode"/>
          <w:lang w:val="en-GB"/>
        </w:rPr>
        <w:t xml:space="preserve">[…] </w:t>
      </w:r>
      <w:r>
        <w:rPr>
          <w:rFonts w:ascii="Sabon Unicode" w:hAnsi="Sabon Unicode"/>
          <w:i/>
          <w:iCs/>
          <w:lang w:val="en-GB"/>
        </w:rPr>
        <w:t>pūrvabhā́ja</w:t>
      </w:r>
      <w:r>
        <w:rPr>
          <w:rFonts w:ascii="Sabon Unicode" w:hAnsi="Sabon Unicode"/>
          <w:i/>
          <w:iCs/>
          <w:lang w:val="en-GB"/>
        </w:rPr>
        <w:t>ḥ</w:t>
      </w:r>
      <w:r>
        <w:rPr>
          <w:rFonts w:ascii="Sabon Unicode" w:hAnsi="Sabon Unicode"/>
          <w:i/>
          <w:iCs/>
          <w:lang w:val="en-GB"/>
        </w:rPr>
        <w:t xml:space="preserve"> </w:t>
      </w:r>
      <w:r>
        <w:rPr>
          <w:rFonts w:ascii="Sabon Unicode" w:hAnsi="Sabon Unicode"/>
          <w:lang w:val="en-GB"/>
        </w:rPr>
        <w:t>= R̥V 5.77.1; MS 4.12.6: 196.1-2.</w:t>
      </w:r>
    </w:p>
  </w:footnote>
  <w:footnote w:id="521">
    <w:p w14:paraId="552D6535"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Pr>
          <w:rFonts w:ascii="Sabon Unicode" w:hAnsi="Sabon Unicode"/>
          <w:i/>
          <w:iCs/>
          <w:lang w:val="en-GB"/>
        </w:rPr>
        <w:tab/>
        <w:t xml:space="preserve"> prātáryajadhvam </w:t>
      </w:r>
      <w:r>
        <w:rPr>
          <w:rFonts w:ascii="Sabon Unicode" w:hAnsi="Sabon Unicode"/>
          <w:lang w:val="en-GB"/>
        </w:rPr>
        <w:t xml:space="preserve">[…] </w:t>
      </w:r>
      <w:r>
        <w:rPr>
          <w:rFonts w:ascii="Sabon Unicode" w:hAnsi="Sabon Unicode"/>
          <w:i/>
          <w:iCs/>
          <w:lang w:val="en-GB"/>
        </w:rPr>
        <w:t xml:space="preserve">vánīyān </w:t>
      </w:r>
      <w:r>
        <w:rPr>
          <w:rFonts w:ascii="Sabon Unicode" w:hAnsi="Sabon Unicode"/>
          <w:lang w:val="en-GB"/>
        </w:rPr>
        <w:t>= R̥V 5.77.2.</w:t>
      </w:r>
    </w:p>
  </w:footnote>
  <w:footnote w:id="522">
    <w:p w14:paraId="49907679" w14:textId="77777777" w:rsidR="00E53EB6" w:rsidRPr="0071345C" w:rsidRDefault="006500F5">
      <w:pPr>
        <w:pStyle w:val="FootnoteText"/>
        <w:rPr>
          <w:i/>
          <w:iCs/>
          <w:lang w:val="en-US"/>
        </w:rPr>
      </w:pPr>
      <w:r>
        <w:rPr>
          <w:rStyle w:val="FootnoteCharacters"/>
        </w:rPr>
        <w:footnoteRef/>
      </w:r>
      <w:r w:rsidRPr="0071345C">
        <w:rPr>
          <w:i/>
          <w:iCs/>
          <w:lang w:val="en-US"/>
        </w:rPr>
        <w:tab/>
        <w:t xml:space="preserve"> mádhu- </w:t>
      </w:r>
      <w:r w:rsidRPr="0071345C">
        <w:rPr>
          <w:lang w:val="en-US"/>
        </w:rPr>
        <w:t xml:space="preserve">could be milk, honey, the </w:t>
      </w:r>
      <w:r w:rsidRPr="0071345C">
        <w:rPr>
          <w:i/>
          <w:iCs/>
          <w:lang w:val="en-US"/>
        </w:rPr>
        <w:t xml:space="preserve">soma, </w:t>
      </w:r>
      <w:r w:rsidRPr="0071345C">
        <w:rPr>
          <w:lang w:val="en-US"/>
        </w:rPr>
        <w:t>it is a sweets or a sweet drink, cf. EWAia: II 302-303</w:t>
      </w:r>
    </w:p>
  </w:footnote>
  <w:footnote w:id="523">
    <w:p w14:paraId="461DE017"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The rep</w:t>
      </w:r>
      <w:r w:rsidRPr="0071345C">
        <w:rPr>
          <w:sz w:val="18"/>
          <w:szCs w:val="18"/>
          <w:lang w:val="en-US"/>
        </w:rPr>
        <w:t xml:space="preserve">etition of a term can take on a distributed value, to be understood in this case as “every time that” cf. </w:t>
      </w:r>
      <w:r w:rsidRPr="0071345C">
        <w:rPr>
          <w:smallCaps/>
          <w:sz w:val="18"/>
          <w:szCs w:val="18"/>
          <w:lang w:val="en-US"/>
        </w:rPr>
        <w:t>Withney</w:t>
      </w:r>
      <w:r w:rsidRPr="0071345C">
        <w:rPr>
          <w:sz w:val="18"/>
          <w:szCs w:val="18"/>
          <w:lang w:val="en-US"/>
        </w:rPr>
        <w:t xml:space="preserve"> 1888: §1257.</w:t>
      </w:r>
    </w:p>
  </w:footnote>
  <w:footnote w:id="524">
    <w:p w14:paraId="032AADEC"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Pr>
          <w:rFonts w:ascii="Sabon Unicode" w:hAnsi="Sabon Unicode"/>
          <w:i/>
          <w:iCs/>
          <w:lang w:val="en-GB"/>
        </w:rPr>
        <w:tab/>
        <w:t xml:space="preserve"> ní tvā </w:t>
      </w:r>
      <w:r>
        <w:rPr>
          <w:rFonts w:ascii="Sabon Unicode" w:hAnsi="Sabon Unicode"/>
          <w:lang w:val="en-GB"/>
        </w:rPr>
        <w:t xml:space="preserve">[…] </w:t>
      </w:r>
      <w:r>
        <w:rPr>
          <w:rFonts w:ascii="Sabon Unicode" w:hAnsi="Sabon Unicode"/>
          <w:i/>
          <w:iCs/>
          <w:lang w:val="en-GB"/>
        </w:rPr>
        <w:t xml:space="preserve">ámartyam = </w:t>
      </w:r>
      <w:r>
        <w:rPr>
          <w:rFonts w:ascii="Sabon Unicode" w:hAnsi="Sabon Unicode"/>
          <w:lang w:val="en-GB"/>
        </w:rPr>
        <w:t xml:space="preserve">R̥V 1.44.11, R̥V </w:t>
      </w:r>
      <w:r>
        <w:rPr>
          <w:rFonts w:ascii="Sabon Unicode" w:hAnsi="Sabon Unicode"/>
          <w:i/>
          <w:iCs/>
          <w:lang w:val="en-GB"/>
        </w:rPr>
        <w:t>manu</w:t>
      </w:r>
      <w:r>
        <w:rPr>
          <w:rFonts w:ascii="Sabon Unicode" w:hAnsi="Sabon Unicode"/>
          <w:i/>
          <w:iCs/>
          <w:lang w:val="en-GB"/>
        </w:rPr>
        <w:t>ṣ</w:t>
      </w:r>
      <w:r>
        <w:rPr>
          <w:rFonts w:ascii="Sabon Unicode" w:hAnsi="Sabon Unicode"/>
          <w:i/>
          <w:iCs/>
          <w:lang w:val="en-GB"/>
        </w:rPr>
        <w:t>vat</w:t>
      </w:r>
      <w:r>
        <w:rPr>
          <w:rFonts w:ascii="Sabon Unicode" w:hAnsi="Sabon Unicode"/>
          <w:lang w:val="en-GB"/>
        </w:rPr>
        <w:t xml:space="preserve"> instead of </w:t>
      </w:r>
      <w:r>
        <w:rPr>
          <w:rFonts w:ascii="Sabon Unicode" w:hAnsi="Sabon Unicode"/>
          <w:i/>
          <w:iCs/>
          <w:lang w:val="en-GB"/>
        </w:rPr>
        <w:t>vanu</w:t>
      </w:r>
      <w:r>
        <w:rPr>
          <w:rFonts w:ascii="Sabon Unicode" w:hAnsi="Sabon Unicode"/>
          <w:i/>
          <w:iCs/>
          <w:lang w:val="en-GB"/>
        </w:rPr>
        <w:t>ṣ</w:t>
      </w:r>
      <w:r>
        <w:rPr>
          <w:rFonts w:ascii="Sabon Unicode" w:hAnsi="Sabon Unicode"/>
          <w:i/>
          <w:iCs/>
          <w:lang w:val="en-GB"/>
        </w:rPr>
        <w:t>vat.</w:t>
      </w:r>
    </w:p>
  </w:footnote>
  <w:footnote w:id="525">
    <w:p w14:paraId="175EE8DD"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Pr>
          <w:rFonts w:ascii="Sabon Unicode" w:hAnsi="Sabon Unicode"/>
          <w:lang w:val="en-GB"/>
        </w:rPr>
        <w:tab/>
        <w:t xml:space="preserve"> As to the actual meaning of</w:t>
      </w:r>
      <w:r>
        <w:rPr>
          <w:rFonts w:ascii="Sabon Unicode" w:hAnsi="Sabon Unicode"/>
          <w:i/>
          <w:iCs/>
          <w:lang w:val="en-GB"/>
        </w:rPr>
        <w:t xml:space="preserve"> parirāpín- </w:t>
      </w:r>
      <w:r>
        <w:rPr>
          <w:rFonts w:ascii="Sabon Unicode" w:hAnsi="Sabon Unicode"/>
          <w:lang w:val="en-GB"/>
        </w:rPr>
        <w:t xml:space="preserve">and the different explanations of the possible paradoxical intention within the </w:t>
      </w:r>
      <w:r>
        <w:rPr>
          <w:rFonts w:ascii="Sabon Unicode" w:hAnsi="Sabon Unicode"/>
          <w:i/>
          <w:iCs/>
          <w:lang w:val="en-GB"/>
        </w:rPr>
        <w:t xml:space="preserve">pāda, </w:t>
      </w:r>
      <w:r>
        <w:rPr>
          <w:rFonts w:ascii="Sabon Unicode" w:hAnsi="Sabon Unicode"/>
          <w:lang w:val="en-GB"/>
        </w:rPr>
        <w:t xml:space="preserve">see </w:t>
      </w:r>
      <w:r w:rsidRPr="0071345C">
        <w:rPr>
          <w:rStyle w:val="biblio-authorGEN"/>
          <w:lang w:val="en-US"/>
        </w:rPr>
        <w:t>Griffiths (</w:t>
      </w:r>
      <w:r>
        <w:rPr>
          <w:rFonts w:ascii="Sabon Unicode" w:hAnsi="Sabon Unicode"/>
          <w:sz w:val="18"/>
          <w:szCs w:val="15"/>
          <w:lang w:val="en-GB"/>
        </w:rPr>
        <w:t xml:space="preserve">2009: 335-336) whose translation has been followed here also. The noun is clearly connected with the root-noun </w:t>
      </w:r>
      <w:r>
        <w:rPr>
          <w:rFonts w:ascii="Sabon Unicode" w:hAnsi="Sabon Unicode"/>
          <w:i/>
          <w:iCs/>
          <w:sz w:val="18"/>
          <w:szCs w:val="15"/>
          <w:lang w:val="en-GB"/>
        </w:rPr>
        <w:t>parirā́p</w:t>
      </w:r>
      <w:r>
        <w:rPr>
          <w:rFonts w:ascii="Sabon Unicode" w:hAnsi="Sabon Unicode"/>
          <w:sz w:val="18"/>
          <w:szCs w:val="15"/>
          <w:lang w:val="en-GB"/>
        </w:rPr>
        <w:t xml:space="preserve">- and the verbal root </w:t>
      </w:r>
      <w:r>
        <w:rPr>
          <w:rFonts w:ascii="Sabon Unicode" w:hAnsi="Sabon Unicode"/>
          <w:i/>
          <w:iCs/>
          <w:sz w:val="18"/>
          <w:szCs w:val="15"/>
          <w:lang w:val="en-GB"/>
        </w:rPr>
        <w:t xml:space="preserve">rap- </w:t>
      </w:r>
      <w:r>
        <w:rPr>
          <w:rFonts w:ascii="Sabon Unicode" w:hAnsi="Sabon Unicode"/>
          <w:sz w:val="18"/>
          <w:szCs w:val="15"/>
          <w:lang w:val="en-GB"/>
        </w:rPr>
        <w:t>“to talk”.</w:t>
      </w:r>
    </w:p>
  </w:footnote>
  <w:footnote w:id="526">
    <w:p w14:paraId="2F182D9F"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Arāti is one of the personification of evil qualities, that are to be found especially in the Atharvaveda, it means “miserliness, failure”, on the word </w:t>
      </w:r>
      <w:r w:rsidRPr="0071345C">
        <w:rPr>
          <w:i/>
          <w:iCs/>
          <w:lang w:val="en-US"/>
        </w:rPr>
        <w:t xml:space="preserve">árāti- </w:t>
      </w:r>
      <w:r w:rsidRPr="0071345C">
        <w:rPr>
          <w:lang w:val="en-US"/>
        </w:rPr>
        <w:t xml:space="preserve">see </w:t>
      </w:r>
      <w:r w:rsidRPr="0071345C">
        <w:rPr>
          <w:rStyle w:val="biblio-authorGEN"/>
          <w:sz w:val="18"/>
          <w:szCs w:val="15"/>
          <w:lang w:val="en-US"/>
        </w:rPr>
        <w:t xml:space="preserve">Kuiper </w:t>
      </w:r>
      <w:r w:rsidRPr="0071345C">
        <w:rPr>
          <w:lang w:val="en-US"/>
        </w:rPr>
        <w:t>1961-62: 50 n</w:t>
      </w:r>
      <w:r w:rsidRPr="0071345C">
        <w:rPr>
          <w:lang w:val="en-US"/>
        </w:rPr>
        <w:t>. 10 “the negative power which d</w:t>
      </w:r>
      <w:r w:rsidRPr="0071345C">
        <w:rPr>
          <w:lang w:val="en-US"/>
        </w:rPr>
        <w:t xml:space="preserve">etains the gifts of the nether world” as antagonist to </w:t>
      </w:r>
      <w:r w:rsidRPr="0071345C">
        <w:rPr>
          <w:i/>
          <w:iCs/>
          <w:lang w:val="en-US"/>
        </w:rPr>
        <w:t>púra</w:t>
      </w:r>
      <w:r w:rsidRPr="0071345C">
        <w:rPr>
          <w:i/>
          <w:iCs/>
          <w:lang w:val="en-US"/>
        </w:rPr>
        <w:t>ṃ</w:t>
      </w:r>
      <w:r w:rsidRPr="0071345C">
        <w:rPr>
          <w:i/>
          <w:iCs/>
          <w:lang w:val="en-US"/>
        </w:rPr>
        <w:t xml:space="preserve">dhi- </w:t>
      </w:r>
      <w:r w:rsidRPr="0071345C">
        <w:rPr>
          <w:lang w:val="en-US"/>
        </w:rPr>
        <w:t>“the cosmic power of present-giving”</w:t>
      </w:r>
      <w:r w:rsidRPr="0071345C">
        <w:rPr>
          <w:lang w:val="en-US"/>
        </w:rPr>
        <w:t>.</w:t>
      </w:r>
    </w:p>
  </w:footnote>
  <w:footnote w:id="527">
    <w:p w14:paraId="4D9AF43E"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vī́rtsīr, </w:t>
      </w:r>
      <w:r w:rsidRPr="0071345C">
        <w:rPr>
          <w:lang w:val="en-US"/>
        </w:rPr>
        <w:t>inj.  -</w:t>
      </w:r>
      <w:r w:rsidRPr="0071345C">
        <w:rPr>
          <w:i/>
          <w:iCs/>
          <w:lang w:val="en-US"/>
        </w:rPr>
        <w:t>i</w:t>
      </w:r>
      <w:r w:rsidRPr="0071345C">
        <w:rPr>
          <w:i/>
          <w:iCs/>
          <w:lang w:val="en-US"/>
        </w:rPr>
        <w:t>ṣ</w:t>
      </w:r>
      <w:r w:rsidRPr="0071345C">
        <w:rPr>
          <w:lang w:val="en-US"/>
        </w:rPr>
        <w:t xml:space="preserve"> aor. of the desiderative form of </w:t>
      </w:r>
      <w:r w:rsidRPr="0071345C">
        <w:rPr>
          <w:i/>
          <w:iCs/>
          <w:lang w:val="en-US"/>
        </w:rPr>
        <w:t>vi- r̥dh-</w:t>
      </w:r>
      <w:r w:rsidRPr="0071345C">
        <w:rPr>
          <w:lang w:val="en-US"/>
        </w:rPr>
        <w:t xml:space="preserve">. The whole </w:t>
      </w:r>
      <w:r w:rsidRPr="0071345C">
        <w:rPr>
          <w:i/>
          <w:iCs/>
          <w:lang w:val="en-US"/>
        </w:rPr>
        <w:t>pāda</w:t>
      </w:r>
      <w:r w:rsidRPr="0071345C">
        <w:rPr>
          <w:lang w:val="en-US"/>
        </w:rPr>
        <w:t xml:space="preserve"> is clearly not well preserved, see also AVP 7.9.8.</w:t>
      </w:r>
    </w:p>
  </w:footnote>
  <w:footnote w:id="528">
    <w:p w14:paraId="4C98D34D"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Pr>
          <w:rFonts w:ascii="Sabon Unicode" w:hAnsi="Sabon Unicode"/>
          <w:sz w:val="18"/>
          <w:szCs w:val="15"/>
          <w:lang w:val="en-GB"/>
        </w:rPr>
        <w:tab/>
        <w:t xml:space="preserve"> As to </w:t>
      </w:r>
      <w:r>
        <w:rPr>
          <w:rFonts w:ascii="Sabon Unicode" w:hAnsi="Sabon Unicode"/>
          <w:i/>
          <w:iCs/>
          <w:sz w:val="18"/>
          <w:szCs w:val="15"/>
          <w:lang w:val="en-GB"/>
        </w:rPr>
        <w:t xml:space="preserve">parirāpin- </w:t>
      </w:r>
      <w:r>
        <w:rPr>
          <w:rFonts w:ascii="Sabon Unicode" w:hAnsi="Sabon Unicode"/>
          <w:sz w:val="18"/>
          <w:szCs w:val="15"/>
          <w:lang w:val="en-GB"/>
        </w:rPr>
        <w:t>and Arāti, see note on AVŚ 5.7.2.</w:t>
      </w:r>
    </w:p>
  </w:footnote>
  <w:footnote w:id="529">
    <w:p w14:paraId="1DEF1694"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Pr>
          <w:rFonts w:ascii="Sabon Unicode" w:hAnsi="Sabon Unicode"/>
          <w:i/>
          <w:iCs/>
          <w:lang w:val="en-GB"/>
        </w:rPr>
        <w:tab/>
        <w:t xml:space="preserve"> vivyatha</w:t>
      </w:r>
      <w:r>
        <w:rPr>
          <w:rFonts w:ascii="Sabon Unicode" w:hAnsi="Sabon Unicode"/>
          <w:i/>
          <w:iCs/>
          <w:lang w:val="en-GB"/>
        </w:rPr>
        <w:t>ḥ</w:t>
      </w:r>
      <w:r>
        <w:rPr>
          <w:rFonts w:ascii="Sabon Unicode" w:hAnsi="Sabon Unicode"/>
          <w:i/>
          <w:iCs/>
          <w:lang w:val="en-GB"/>
        </w:rPr>
        <w:t xml:space="preserve">, </w:t>
      </w:r>
      <w:r>
        <w:rPr>
          <w:rFonts w:ascii="Sabon Unicode" w:hAnsi="Sabon Unicode"/>
          <w:lang w:val="en-GB"/>
        </w:rPr>
        <w:t xml:space="preserve">red. subj. aor. with a causative meaning. See also </w:t>
      </w:r>
      <w:r>
        <w:rPr>
          <w:rStyle w:val="biblio-authorGEN"/>
          <w:rFonts w:ascii="Sabon Unicode" w:hAnsi="Sabon Unicode"/>
          <w:sz w:val="18"/>
          <w:szCs w:val="18"/>
          <w:lang w:val="en-GB"/>
        </w:rPr>
        <w:t xml:space="preserve">Griffiths </w:t>
      </w:r>
      <w:r w:rsidRPr="0071345C">
        <w:rPr>
          <w:lang w:val="en-US"/>
        </w:rPr>
        <w:t>2009: 336.</w:t>
      </w:r>
    </w:p>
  </w:footnote>
  <w:footnote w:id="530">
    <w:p w14:paraId="7841EAED"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vī́rtsīr, </w:t>
      </w:r>
      <w:r w:rsidRPr="0071345C">
        <w:rPr>
          <w:lang w:val="en-US"/>
        </w:rPr>
        <w:t>inj.  -</w:t>
      </w:r>
      <w:r w:rsidRPr="0071345C">
        <w:rPr>
          <w:i/>
          <w:iCs/>
          <w:lang w:val="en-US"/>
        </w:rPr>
        <w:t>i</w:t>
      </w:r>
      <w:r w:rsidRPr="0071345C">
        <w:rPr>
          <w:i/>
          <w:iCs/>
          <w:lang w:val="en-US"/>
        </w:rPr>
        <w:t>ṣ</w:t>
      </w:r>
      <w:r w:rsidRPr="0071345C">
        <w:rPr>
          <w:lang w:val="en-US"/>
        </w:rPr>
        <w:t xml:space="preserve"> aor. of the desiderative form of </w:t>
      </w:r>
      <w:r w:rsidRPr="0071345C">
        <w:rPr>
          <w:i/>
          <w:iCs/>
          <w:lang w:val="en-US"/>
        </w:rPr>
        <w:t>vi- r̥dh-</w:t>
      </w:r>
      <w:r w:rsidRPr="0071345C">
        <w:rPr>
          <w:lang w:val="en-US"/>
        </w:rPr>
        <w:t xml:space="preserve">. The whole </w:t>
      </w:r>
      <w:r w:rsidRPr="0071345C">
        <w:rPr>
          <w:i/>
          <w:iCs/>
          <w:lang w:val="en-US"/>
        </w:rPr>
        <w:t>pāda</w:t>
      </w:r>
      <w:r w:rsidRPr="0071345C">
        <w:rPr>
          <w:lang w:val="en-US"/>
        </w:rPr>
        <w:t xml:space="preserve"> is clearly not well preserved, cf. </w:t>
      </w:r>
      <w:r w:rsidRPr="0071345C">
        <w:rPr>
          <w:rStyle w:val="biblio-authorGEN"/>
          <w:sz w:val="18"/>
          <w:szCs w:val="15"/>
          <w:lang w:val="en-US"/>
        </w:rPr>
        <w:t>Griffiths</w:t>
      </w:r>
      <w:r w:rsidRPr="0071345C">
        <w:rPr>
          <w:lang w:val="en-US"/>
        </w:rPr>
        <w:t xml:space="preserve"> 2009: 342</w:t>
      </w:r>
      <w:r w:rsidRPr="0071345C">
        <w:rPr>
          <w:lang w:val="en-US"/>
        </w:rPr>
        <w:t>-343.</w:t>
      </w:r>
    </w:p>
  </w:footnote>
  <w:footnote w:id="531">
    <w:p w14:paraId="13DE8B06"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Bhattacharya edits </w:t>
      </w:r>
      <w:r w:rsidRPr="0071345C">
        <w:rPr>
          <w:i/>
          <w:iCs/>
          <w:lang w:val="en-US"/>
        </w:rPr>
        <w:t>adhi dipsanto</w:t>
      </w:r>
      <w:r w:rsidRPr="0071345C">
        <w:rPr>
          <w:lang w:val="en-US"/>
        </w:rPr>
        <w:t xml:space="preserve"> instead of </w:t>
      </w:r>
      <w:r w:rsidRPr="0071345C">
        <w:rPr>
          <w:i/>
          <w:iCs/>
          <w:lang w:val="en-US"/>
        </w:rPr>
        <w:t>adhya</w:t>
      </w:r>
      <w:r w:rsidRPr="0071345C">
        <w:rPr>
          <w:lang w:val="en-US"/>
        </w:rPr>
        <w:t xml:space="preserve"> </w:t>
      </w:r>
      <w:r w:rsidRPr="0071345C">
        <w:rPr>
          <w:i/>
          <w:iCs/>
          <w:lang w:val="en-US"/>
        </w:rPr>
        <w:t xml:space="preserve">ditsanto, </w:t>
      </w:r>
      <w:r w:rsidRPr="0071345C">
        <w:rPr>
          <w:lang w:val="en-US"/>
        </w:rPr>
        <w:t xml:space="preserve">on the problematic desiderative participle of </w:t>
      </w:r>
      <w:r w:rsidRPr="0071345C">
        <w:rPr>
          <w:i/>
          <w:iCs/>
          <w:lang w:val="en-US"/>
        </w:rPr>
        <w:t xml:space="preserve">dabh- </w:t>
      </w:r>
      <w:r w:rsidRPr="0071345C">
        <w:rPr>
          <w:lang w:val="en-US"/>
        </w:rPr>
        <w:t>“to injure” and how it entered the transmission, see</w:t>
      </w:r>
      <w:r w:rsidRPr="0071345C">
        <w:rPr>
          <w:lang w:val="en-US"/>
        </w:rPr>
        <w:t xml:space="preserve"> </w:t>
      </w:r>
      <w:r w:rsidRPr="0071345C">
        <w:rPr>
          <w:rStyle w:val="biblio-authorGEN"/>
          <w:sz w:val="18"/>
          <w:szCs w:val="15"/>
          <w:lang w:val="en-US"/>
        </w:rPr>
        <w:t>Griffiths</w:t>
      </w:r>
      <w:r w:rsidRPr="0071345C">
        <w:rPr>
          <w:lang w:val="en-US"/>
        </w:rPr>
        <w:t xml:space="preserve"> 2009: 343.</w:t>
      </w:r>
    </w:p>
  </w:footnote>
  <w:footnote w:id="532">
    <w:p w14:paraId="5B8821A5"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The second half of the </w:t>
      </w:r>
      <w:r w:rsidRPr="0071345C">
        <w:rPr>
          <w:i/>
          <w:iCs/>
          <w:lang w:val="en-US"/>
        </w:rPr>
        <w:t>pāda</w:t>
      </w:r>
      <w:r w:rsidRPr="0071345C">
        <w:rPr>
          <w:lang w:val="en-US"/>
        </w:rPr>
        <w:t xml:space="preserve"> is not clear, after Barret edition, it can be speculated that  </w:t>
      </w:r>
      <w:r>
        <w:rPr>
          <w:rFonts w:ascii="Sabon Unicode" w:hAnsi="Sabon Unicode"/>
          <w:i/>
          <w:iCs/>
          <w:lang w:val="en-GB"/>
        </w:rPr>
        <w:t>vrahmajyeya</w:t>
      </w:r>
      <w:r>
        <w:rPr>
          <w:rFonts w:ascii="Sabon Unicode" w:hAnsi="Sabon Unicode"/>
          <w:i/>
          <w:iCs/>
          <w:lang w:val="en-GB"/>
        </w:rPr>
        <w:t>ṃ</w:t>
      </w:r>
      <w:r>
        <w:rPr>
          <w:rFonts w:ascii="Sabon Unicode" w:hAnsi="Sabon Unicode"/>
          <w:i/>
          <w:iCs/>
          <w:lang w:val="en-GB"/>
        </w:rPr>
        <w:t xml:space="preserve"> </w:t>
      </w:r>
      <w:r>
        <w:rPr>
          <w:rFonts w:ascii="Sabon Unicode" w:hAnsi="Sabon Unicode"/>
          <w:lang w:val="en-GB"/>
        </w:rPr>
        <w:t xml:space="preserve">can be read as </w:t>
      </w:r>
      <w:r>
        <w:rPr>
          <w:rFonts w:ascii="Sabon Unicode" w:hAnsi="Sabon Unicode"/>
          <w:i/>
          <w:iCs/>
          <w:lang w:val="en-GB"/>
        </w:rPr>
        <w:t>brahma</w:t>
      </w:r>
      <w:r>
        <w:rPr>
          <w:rFonts w:ascii="Sabon Unicode" w:hAnsi="Sabon Unicode"/>
          <w:i/>
          <w:iCs/>
          <w:vertAlign w:val="superscript"/>
          <w:lang w:val="en-GB"/>
        </w:rPr>
        <w:t xml:space="preserve">0 </w:t>
      </w:r>
      <w:r>
        <w:rPr>
          <w:rFonts w:ascii="Sabon Unicode" w:hAnsi="Sabon Unicode"/>
          <w:lang w:val="en-GB"/>
        </w:rPr>
        <w:t>and</w:t>
      </w:r>
      <w:r>
        <w:rPr>
          <w:rFonts w:ascii="Sabon Unicode" w:hAnsi="Sabon Unicode"/>
          <w:i/>
          <w:iCs/>
          <w:lang w:val="en-GB"/>
        </w:rPr>
        <w:t xml:space="preserve"> avruvan </w:t>
      </w:r>
      <w:r>
        <w:rPr>
          <w:rFonts w:ascii="Sabon Unicode" w:hAnsi="Sabon Unicode"/>
          <w:lang w:val="en-GB"/>
        </w:rPr>
        <w:t xml:space="preserve">as </w:t>
      </w:r>
      <w:r>
        <w:rPr>
          <w:rFonts w:ascii="Sabon Unicode" w:hAnsi="Sabon Unicode"/>
          <w:i/>
          <w:iCs/>
          <w:lang w:val="en-GB"/>
        </w:rPr>
        <w:t xml:space="preserve">abruvan; nu priyāyate </w:t>
      </w:r>
      <w:r>
        <w:rPr>
          <w:rFonts w:ascii="Sabon Unicode" w:hAnsi="Sabon Unicode"/>
          <w:lang w:val="en-GB"/>
        </w:rPr>
        <w:t xml:space="preserve">is very questionable: </w:t>
      </w:r>
      <w:r>
        <w:rPr>
          <w:rFonts w:ascii="Sabon Unicode" w:hAnsi="Sabon Unicode"/>
          <w:i/>
          <w:iCs/>
          <w:lang w:val="en-GB"/>
        </w:rPr>
        <w:t>priyāya</w:t>
      </w:r>
      <w:r>
        <w:rPr>
          <w:rFonts w:ascii="Sabon Unicode" w:hAnsi="Sabon Unicode"/>
          <w:lang w:val="en-GB"/>
        </w:rPr>
        <w:t xml:space="preserve">- </w:t>
      </w:r>
      <w:r>
        <w:rPr>
          <w:rFonts w:ascii="Sabon Unicode" w:hAnsi="Sabon Unicode"/>
          <w:lang w:val="en-GB"/>
        </w:rPr>
        <w:t>“mit Liebe behalten” (PW) can also be regarded as  wrong reading for</w:t>
      </w:r>
      <w:r>
        <w:rPr>
          <w:rFonts w:ascii="Sabon Unicode" w:hAnsi="Sabon Unicode"/>
          <w:lang w:val="en-GB"/>
        </w:rPr>
        <w:t xml:space="preserve"> </w:t>
      </w:r>
      <w:r>
        <w:rPr>
          <w:rFonts w:ascii="Sabon Unicode" w:hAnsi="Sabon Unicode"/>
          <w:i/>
          <w:iCs/>
          <w:lang w:val="en-GB"/>
        </w:rPr>
        <w:t xml:space="preserve">nipriyāya-, </w:t>
      </w:r>
      <w:r>
        <w:rPr>
          <w:rFonts w:ascii="Sabon Unicode" w:hAnsi="Sabon Unicode"/>
          <w:lang w:val="en-GB"/>
        </w:rPr>
        <w:t>cf</w:t>
      </w:r>
      <w:r>
        <w:rPr>
          <w:rFonts w:ascii="Sabon Unicode" w:hAnsi="Sabon Unicode"/>
          <w:i/>
          <w:iCs/>
          <w:lang w:val="en-GB"/>
        </w:rPr>
        <w:t xml:space="preserve">.  </w:t>
      </w:r>
      <w:r>
        <w:rPr>
          <w:rFonts w:ascii="Sabon Unicode" w:hAnsi="Sabon Unicode"/>
          <w:lang w:val="en-GB"/>
        </w:rPr>
        <w:t>in</w:t>
      </w:r>
      <w:r>
        <w:rPr>
          <w:rFonts w:ascii="Sabon Unicode" w:hAnsi="Sabon Unicode"/>
          <w:lang w:val="en-GB"/>
        </w:rPr>
        <w:t xml:space="preserve"> AVŚ 12.4.11.</w:t>
      </w:r>
    </w:p>
  </w:footnote>
  <w:footnote w:id="533">
    <w:p w14:paraId="107FA730" w14:textId="77777777" w:rsidR="00E53EB6" w:rsidRDefault="006500F5">
      <w:pPr>
        <w:pStyle w:val="FootnoteText"/>
        <w:suppressLineNumbers/>
        <w:spacing w:line="210" w:lineRule="exact"/>
        <w:ind w:left="240" w:hanging="240"/>
        <w:jc w:val="both"/>
      </w:pPr>
      <w:r>
        <w:rPr>
          <w:rStyle w:val="FootnoteCharacters"/>
        </w:rPr>
        <w:footnoteRef/>
      </w:r>
      <w:r>
        <w:tab/>
        <w:t xml:space="preserve"> </w:t>
      </w:r>
      <w:r>
        <w:rPr>
          <w:i/>
          <w:iCs/>
        </w:rPr>
        <w:t>úmā-</w:t>
      </w:r>
      <w:r>
        <w:t>, EWAia: I 225 “etwa: Flachs […] Weiteres bleibt unklar”.</w:t>
      </w:r>
    </w:p>
  </w:footnote>
  <w:footnote w:id="534">
    <w:p w14:paraId="0C3D93AA" w14:textId="77777777" w:rsidR="00E53EB6" w:rsidRDefault="006500F5">
      <w:pPr>
        <w:pStyle w:val="FootnoteText"/>
        <w:suppressLineNumbers/>
        <w:spacing w:line="210" w:lineRule="exact"/>
        <w:ind w:left="240" w:hanging="240"/>
        <w:jc w:val="both"/>
      </w:pPr>
      <w:r>
        <w:rPr>
          <w:rStyle w:val="FootnoteCharacters"/>
        </w:rPr>
        <w:footnoteRef/>
      </w:r>
      <w:r>
        <w:tab/>
        <w:t xml:space="preserve">  </w:t>
      </w:r>
      <w:r w:rsidRPr="0071345C">
        <w:rPr>
          <w:rFonts w:ascii="Sabon Unicode" w:hAnsi="Sabon Unicode"/>
          <w:i/>
          <w:iCs/>
        </w:rPr>
        <w:t>kahyā́</w:t>
      </w:r>
      <w:r w:rsidRPr="0071345C">
        <w:rPr>
          <w:rFonts w:ascii="Sabon Unicode" w:hAnsi="Sabon Unicode"/>
          <w:i/>
          <w:iCs/>
        </w:rPr>
        <w:t xml:space="preserve">gni </w:t>
      </w:r>
      <w:r w:rsidRPr="0071345C">
        <w:rPr>
          <w:rFonts w:ascii="Sabon Unicode" w:hAnsi="Sabon Unicode"/>
        </w:rPr>
        <w:t xml:space="preserve">= </w:t>
      </w:r>
      <w:r w:rsidRPr="0071345C">
        <w:rPr>
          <w:rFonts w:ascii="Sabon Unicode" w:hAnsi="Sabon Unicode"/>
          <w:i/>
          <w:iCs/>
        </w:rPr>
        <w:t>gahyā́gni</w:t>
      </w:r>
      <w:r w:rsidRPr="0071345C">
        <w:rPr>
          <w:rFonts w:ascii="Sabon Unicode" w:hAnsi="Sabon Unicode"/>
        </w:rPr>
        <w:t xml:space="preserve"> one of the epithet of Agni, probably connected with </w:t>
      </w:r>
      <w:r w:rsidRPr="0071345C">
        <w:rPr>
          <w:rFonts w:ascii="Sabon Unicode" w:hAnsi="Sabon Unicode"/>
          <w:i/>
          <w:iCs/>
        </w:rPr>
        <w:t>gáhana</w:t>
      </w:r>
      <w:r w:rsidRPr="0071345C">
        <w:rPr>
          <w:rFonts w:ascii="Sabon Unicode" w:hAnsi="Sabon Unicode"/>
        </w:rPr>
        <w:t xml:space="preserve"> EWAia: I 481 “Abgrund, Tiefe, Versteck” and </w:t>
      </w:r>
      <w:r w:rsidRPr="0071345C">
        <w:rPr>
          <w:rFonts w:ascii="Sabon Unicode" w:hAnsi="Sabon Unicode"/>
          <w:i/>
          <w:iCs/>
        </w:rPr>
        <w:t xml:space="preserve">gāh- </w:t>
      </w:r>
      <w:r w:rsidRPr="0071345C">
        <w:rPr>
          <w:rFonts w:ascii="Sabon Unicode" w:hAnsi="Sabon Unicode"/>
        </w:rPr>
        <w:t>EWAia: I 486 “eindringen, eintreten”, cf. a</w:t>
      </w:r>
      <w:r w:rsidRPr="0071345C">
        <w:rPr>
          <w:rFonts w:ascii="Sabon Unicode" w:hAnsi="Sabon Unicode"/>
        </w:rPr>
        <w:t xml:space="preserve">lso </w:t>
      </w:r>
      <w:r w:rsidRPr="0071345C">
        <w:rPr>
          <w:rFonts w:ascii="Sabon Unicode" w:hAnsi="Sabon Unicode"/>
          <w:i/>
          <w:iCs/>
        </w:rPr>
        <w:t>durgáha</w:t>
      </w:r>
      <w:r w:rsidRPr="0071345C">
        <w:rPr>
          <w:rFonts w:ascii="Sabon Unicode" w:hAnsi="Sabon Unicode"/>
        </w:rPr>
        <w:t>.</w:t>
      </w:r>
    </w:p>
  </w:footnote>
  <w:footnote w:id="535">
    <w:p w14:paraId="31568F37" w14:textId="77777777" w:rsidR="00E53EB6" w:rsidRDefault="006500F5">
      <w:pPr>
        <w:pStyle w:val="FootnoteText"/>
        <w:suppressLineNumbers/>
        <w:spacing w:line="210" w:lineRule="exact"/>
        <w:ind w:left="240" w:hanging="240"/>
        <w:jc w:val="both"/>
      </w:pPr>
      <w:r>
        <w:rPr>
          <w:rStyle w:val="FootnoteCharacters"/>
        </w:rPr>
        <w:footnoteRef/>
      </w:r>
      <w:r>
        <w:tab/>
        <w:t xml:space="preserve">  </w:t>
      </w:r>
      <w:r w:rsidRPr="0071345C">
        <w:rPr>
          <w:rFonts w:ascii="Sabon Unicode" w:hAnsi="Sabon Unicode"/>
          <w:i/>
          <w:iCs/>
        </w:rPr>
        <w:t>kahyā́</w:t>
      </w:r>
      <w:r w:rsidRPr="0071345C">
        <w:rPr>
          <w:rFonts w:ascii="Sabon Unicode" w:hAnsi="Sabon Unicode"/>
          <w:i/>
          <w:iCs/>
        </w:rPr>
        <w:t xml:space="preserve">gni </w:t>
      </w:r>
      <w:r w:rsidRPr="0071345C">
        <w:rPr>
          <w:rFonts w:ascii="Sabon Unicode" w:hAnsi="Sabon Unicode"/>
        </w:rPr>
        <w:t xml:space="preserve">= </w:t>
      </w:r>
      <w:r w:rsidRPr="0071345C">
        <w:rPr>
          <w:rFonts w:ascii="Sabon Unicode" w:hAnsi="Sabon Unicode"/>
          <w:i/>
          <w:iCs/>
        </w:rPr>
        <w:t>gahyā́gni</w:t>
      </w:r>
      <w:r w:rsidRPr="0071345C">
        <w:rPr>
          <w:rFonts w:ascii="Sabon Unicode" w:hAnsi="Sabon Unicode"/>
        </w:rPr>
        <w:t xml:space="preserve"> one of the epithet of Agni, probably connected with </w:t>
      </w:r>
      <w:r w:rsidRPr="0071345C">
        <w:rPr>
          <w:rFonts w:ascii="Sabon Unicode" w:hAnsi="Sabon Unicode"/>
          <w:i/>
          <w:iCs/>
        </w:rPr>
        <w:t>gáhana</w:t>
      </w:r>
      <w:r w:rsidRPr="0071345C">
        <w:rPr>
          <w:rFonts w:ascii="Sabon Unicode" w:hAnsi="Sabon Unicode"/>
        </w:rPr>
        <w:t xml:space="preserve"> EWAia: I 481 “Abgrund, Tiefe, Versteck” and </w:t>
      </w:r>
      <w:r w:rsidRPr="0071345C">
        <w:rPr>
          <w:rFonts w:ascii="Sabon Unicode" w:hAnsi="Sabon Unicode"/>
          <w:i/>
          <w:iCs/>
        </w:rPr>
        <w:t xml:space="preserve">gāh- </w:t>
      </w:r>
      <w:r w:rsidRPr="0071345C">
        <w:rPr>
          <w:rFonts w:ascii="Sabon Unicode" w:hAnsi="Sabon Unicode"/>
        </w:rPr>
        <w:t xml:space="preserve">EWAia: I 486 “eindringen, eintreten”, cf. also </w:t>
      </w:r>
      <w:r w:rsidRPr="0071345C">
        <w:rPr>
          <w:rFonts w:ascii="Sabon Unicode" w:hAnsi="Sabon Unicode"/>
          <w:i/>
          <w:iCs/>
        </w:rPr>
        <w:t>durgáha</w:t>
      </w:r>
      <w:r w:rsidRPr="0071345C">
        <w:rPr>
          <w:rFonts w:ascii="Sabon Unicode" w:hAnsi="Sabon Unicode"/>
        </w:rPr>
        <w:t>.</w:t>
      </w:r>
    </w:p>
  </w:footnote>
  <w:footnote w:id="536">
    <w:p w14:paraId="60C0FC22"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See </w:t>
      </w:r>
      <w:r w:rsidRPr="0071345C">
        <w:rPr>
          <w:rStyle w:val="biblio-authorGEN"/>
          <w:sz w:val="18"/>
          <w:szCs w:val="15"/>
          <w:lang w:val="en-US"/>
        </w:rPr>
        <w:t>Bloomfield</w:t>
      </w:r>
      <w:r w:rsidRPr="0071345C">
        <w:rPr>
          <w:lang w:val="en-US"/>
        </w:rPr>
        <w:t xml:space="preserve"> 1899; </w:t>
      </w:r>
      <w:r w:rsidRPr="0071345C">
        <w:rPr>
          <w:rStyle w:val="biblio-authorGEN"/>
          <w:sz w:val="18"/>
          <w:szCs w:val="15"/>
          <w:lang w:val="en-US"/>
        </w:rPr>
        <w:t>Whitney</w:t>
      </w:r>
      <w:r w:rsidRPr="0071345C">
        <w:rPr>
          <w:lang w:val="en-US"/>
        </w:rPr>
        <w:t xml:space="preserve"> 1905 and more recently </w:t>
      </w:r>
      <w:r w:rsidRPr="0071345C">
        <w:rPr>
          <w:rStyle w:val="biblio-authorGEN"/>
          <w:sz w:val="18"/>
          <w:szCs w:val="15"/>
          <w:lang w:val="en-US"/>
        </w:rPr>
        <w:t>Witzel</w:t>
      </w:r>
      <w:r w:rsidRPr="0071345C">
        <w:rPr>
          <w:lang w:val="en-US"/>
        </w:rPr>
        <w:t xml:space="preserve"> 1997: 275-283. See also </w:t>
      </w:r>
      <w:r w:rsidRPr="0071345C">
        <w:rPr>
          <w:rStyle w:val="biblio-authorGEN"/>
          <w:sz w:val="18"/>
          <w:szCs w:val="18"/>
          <w:lang w:val="en-US"/>
        </w:rPr>
        <w:t>Parpola</w:t>
      </w:r>
      <w:r w:rsidRPr="0071345C">
        <w:rPr>
          <w:lang w:val="en-US"/>
        </w:rPr>
        <w:t xml:space="preserve"> 1983, 2012 for the different waves of migrations.</w:t>
      </w:r>
    </w:p>
  </w:footnote>
  <w:footnote w:id="537">
    <w:p w14:paraId="6695854F"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See, among others, </w:t>
      </w:r>
      <w:r w:rsidRPr="0071345C">
        <w:rPr>
          <w:rStyle w:val="biblio-authorGEN"/>
          <w:sz w:val="18"/>
          <w:szCs w:val="15"/>
          <w:lang w:val="en-US"/>
        </w:rPr>
        <w:t>Bhattacarya</w:t>
      </w:r>
      <w:r w:rsidRPr="0071345C">
        <w:rPr>
          <w:lang w:val="en-US"/>
        </w:rPr>
        <w:t xml:space="preserve"> 1997 and 2008; </w:t>
      </w:r>
      <w:r w:rsidRPr="0071345C">
        <w:rPr>
          <w:rStyle w:val="biblio-authorGEN"/>
          <w:sz w:val="18"/>
          <w:szCs w:val="15"/>
          <w:lang w:val="en-US"/>
        </w:rPr>
        <w:t>Zehnder</w:t>
      </w:r>
      <w:r w:rsidRPr="0071345C">
        <w:rPr>
          <w:lang w:val="en-US"/>
        </w:rPr>
        <w:t xml:space="preserve"> 1999; </w:t>
      </w:r>
      <w:r w:rsidRPr="0071345C">
        <w:rPr>
          <w:rStyle w:val="biblio-authorGEN"/>
          <w:sz w:val="18"/>
          <w:szCs w:val="18"/>
          <w:lang w:val="en-US"/>
        </w:rPr>
        <w:t>Griffiths-Schmiedchen</w:t>
      </w:r>
      <w:r w:rsidRPr="0071345C">
        <w:rPr>
          <w:lang w:val="en-US"/>
        </w:rPr>
        <w:t xml:space="preserve"> 2007 and </w:t>
      </w:r>
      <w:r w:rsidRPr="0071345C">
        <w:rPr>
          <w:rStyle w:val="biblio-authorGEN"/>
          <w:sz w:val="18"/>
          <w:szCs w:val="15"/>
          <w:lang w:val="en-US"/>
        </w:rPr>
        <w:t>Griffiths</w:t>
      </w:r>
      <w:r w:rsidRPr="0071345C">
        <w:rPr>
          <w:lang w:val="en-US"/>
        </w:rPr>
        <w:t xml:space="preserve"> 2009.</w:t>
      </w:r>
    </w:p>
  </w:footnote>
  <w:footnote w:id="538">
    <w:p w14:paraId="11280331"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rStyle w:val="biblio-authorGEN"/>
          <w:sz w:val="18"/>
          <w:szCs w:val="15"/>
          <w:lang w:val="en-US"/>
        </w:rPr>
        <w:t>Falk</w:t>
      </w:r>
      <w:r w:rsidRPr="0071345C">
        <w:rPr>
          <w:lang w:val="en-US"/>
        </w:rPr>
        <w:t xml:space="preserve"> 1986 and </w:t>
      </w:r>
      <w:r w:rsidRPr="0071345C">
        <w:rPr>
          <w:rStyle w:val="biblio-authorGEN"/>
          <w:sz w:val="18"/>
          <w:szCs w:val="15"/>
          <w:lang w:val="en-US"/>
        </w:rPr>
        <w:t>Heesterman</w:t>
      </w:r>
      <w:r w:rsidRPr="0071345C">
        <w:rPr>
          <w:lang w:val="en-US"/>
        </w:rPr>
        <w:t xml:space="preserve"> 1962.</w:t>
      </w:r>
      <w:r w:rsidRPr="0071345C">
        <w:rPr>
          <w:lang w:val="en-US"/>
        </w:rPr>
        <w:t xml:space="preserve"> See also </w:t>
      </w:r>
      <w:r w:rsidRPr="0071345C">
        <w:rPr>
          <w:rStyle w:val="biblio-authorGEN"/>
          <w:sz w:val="18"/>
          <w:szCs w:val="15"/>
          <w:lang w:val="en-US"/>
        </w:rPr>
        <w:t>Vassilkov</w:t>
      </w:r>
      <w:r w:rsidRPr="0071345C">
        <w:rPr>
          <w:lang w:val="en-US"/>
        </w:rPr>
        <w:t xml:space="preserve"> 1995.</w:t>
      </w:r>
    </w:p>
  </w:footnote>
  <w:footnote w:id="539">
    <w:p w14:paraId="470F19F6"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rFonts w:ascii="Sabon Unicode" w:hAnsi="Sabon Unicode"/>
          <w:i/>
          <w:iCs/>
          <w:sz w:val="18"/>
          <w:szCs w:val="18"/>
          <w:lang w:val="en-US"/>
        </w:rPr>
        <w:tab/>
        <w:t xml:space="preserve"> ā́ </w:t>
      </w:r>
      <w:r w:rsidRPr="0071345C">
        <w:rPr>
          <w:rFonts w:ascii="Sabon Unicode" w:hAnsi="Sabon Unicode"/>
          <w:i/>
          <w:sz w:val="18"/>
          <w:szCs w:val="18"/>
          <w:lang w:val="en-US"/>
        </w:rPr>
        <w:t xml:space="preserve">dabhan, </w:t>
      </w:r>
      <w:r w:rsidRPr="0071345C">
        <w:rPr>
          <w:rFonts w:ascii="Sabon Unicode" w:hAnsi="Sabon Unicode"/>
          <w:sz w:val="18"/>
          <w:szCs w:val="18"/>
          <w:lang w:val="en-US"/>
        </w:rPr>
        <w:t>subj. aor. or inj. 3</w:t>
      </w:r>
      <w:r w:rsidRPr="0071345C">
        <w:rPr>
          <w:rFonts w:ascii="Sabon Unicode" w:hAnsi="Sabon Unicode"/>
          <w:sz w:val="18"/>
          <w:szCs w:val="18"/>
          <w:vertAlign w:val="superscript"/>
          <w:lang w:val="en-US"/>
        </w:rPr>
        <w:t>rd</w:t>
      </w:r>
      <w:r w:rsidRPr="0071345C">
        <w:rPr>
          <w:rFonts w:ascii="Sabon Unicode" w:hAnsi="Sabon Unicode"/>
          <w:sz w:val="18"/>
          <w:szCs w:val="18"/>
          <w:lang w:val="en-US"/>
        </w:rPr>
        <w:t xml:space="preserve"> </w:t>
      </w:r>
      <w:r w:rsidRPr="0071345C">
        <w:rPr>
          <w:rFonts w:ascii="Sabon Unicode" w:hAnsi="Sabon Unicode"/>
          <w:sz w:val="18"/>
          <w:szCs w:val="18"/>
          <w:lang w:val="en-US"/>
        </w:rPr>
        <w:t xml:space="preserve">pl., cf. EWAia: I 694 and </w:t>
      </w:r>
      <w:r w:rsidRPr="0071345C">
        <w:rPr>
          <w:rStyle w:val="biblio-authorGEN"/>
          <w:rFonts w:ascii="Sabon Unicode" w:hAnsi="Sabon Unicode"/>
          <w:sz w:val="18"/>
          <w:szCs w:val="18"/>
          <w:lang w:val="en-US"/>
        </w:rPr>
        <w:t>Hoffmann</w:t>
      </w:r>
      <w:r w:rsidRPr="0071345C">
        <w:rPr>
          <w:rFonts w:ascii="Sabon Unicode" w:hAnsi="Sabon Unicode"/>
          <w:sz w:val="18"/>
          <w:szCs w:val="18"/>
          <w:lang w:val="en-US"/>
        </w:rPr>
        <w:t xml:space="preserve"> 1967:  243; as to the different meanings of the root </w:t>
      </w:r>
      <w:r w:rsidRPr="0071345C">
        <w:rPr>
          <w:rFonts w:ascii="Sabon Unicode" w:hAnsi="Sabon Unicode"/>
          <w:i/>
          <w:sz w:val="18"/>
          <w:szCs w:val="18"/>
          <w:lang w:val="en-US"/>
        </w:rPr>
        <w:t xml:space="preserve">dabh-, </w:t>
      </w:r>
      <w:r w:rsidRPr="0071345C">
        <w:rPr>
          <w:rFonts w:ascii="Sabon Unicode" w:hAnsi="Sabon Unicode"/>
          <w:sz w:val="18"/>
          <w:szCs w:val="18"/>
          <w:lang w:val="en-US"/>
        </w:rPr>
        <w:t>and the form</w:t>
      </w:r>
      <w:r w:rsidRPr="0071345C">
        <w:rPr>
          <w:rFonts w:ascii="Sabon Unicode" w:hAnsi="Sabon Unicode"/>
          <w:i/>
          <w:sz w:val="18"/>
          <w:szCs w:val="18"/>
          <w:lang w:val="en-US"/>
        </w:rPr>
        <w:t xml:space="preserve"> dambháyati, </w:t>
      </w:r>
      <w:r w:rsidRPr="0071345C">
        <w:rPr>
          <w:rFonts w:ascii="Sabon Unicode" w:hAnsi="Sabon Unicode"/>
          <w:sz w:val="18"/>
          <w:szCs w:val="18"/>
          <w:lang w:val="en-US"/>
        </w:rPr>
        <w:t xml:space="preserve">we follow </w:t>
      </w:r>
      <w:r w:rsidRPr="0071345C">
        <w:rPr>
          <w:rFonts w:ascii="Sabon Unicode" w:hAnsi="Sabon Unicode"/>
          <w:smallCaps/>
          <w:sz w:val="18"/>
          <w:szCs w:val="18"/>
          <w:lang w:val="en-US"/>
        </w:rPr>
        <w:t>Insler</w:t>
      </w:r>
      <w:r w:rsidRPr="0071345C">
        <w:rPr>
          <w:rFonts w:ascii="Sabon Unicode" w:hAnsi="Sabon Unicode"/>
          <w:sz w:val="18"/>
          <w:szCs w:val="18"/>
          <w:lang w:val="en-US"/>
        </w:rPr>
        <w:t xml:space="preserve"> (1969). According to his work, there could be a verbal theme </w:t>
      </w:r>
      <w:r w:rsidRPr="0071345C">
        <w:rPr>
          <w:rFonts w:ascii="Sabon Unicode" w:hAnsi="Sabon Unicode"/>
          <w:i/>
          <w:iCs/>
          <w:sz w:val="18"/>
          <w:szCs w:val="18"/>
          <w:lang w:val="en-US"/>
        </w:rPr>
        <w:t>dambháya</w:t>
      </w:r>
      <w:r w:rsidRPr="0071345C">
        <w:rPr>
          <w:rFonts w:ascii="Sabon Unicode" w:hAnsi="Sabon Unicode"/>
          <w:sz w:val="18"/>
          <w:szCs w:val="18"/>
          <w:lang w:val="en-US"/>
        </w:rPr>
        <w:t xml:space="preserve">- buid on the adjective </w:t>
      </w:r>
      <w:r w:rsidRPr="0071345C">
        <w:rPr>
          <w:rFonts w:ascii="Sabon Unicode" w:hAnsi="Sabon Unicode"/>
          <w:i/>
          <w:iCs/>
          <w:sz w:val="18"/>
          <w:szCs w:val="18"/>
          <w:lang w:val="en-US"/>
        </w:rPr>
        <w:t>dabhrá</w:t>
      </w:r>
      <w:r w:rsidRPr="0071345C">
        <w:rPr>
          <w:rFonts w:ascii="Sabon Unicode" w:hAnsi="Sabon Unicode"/>
          <w:sz w:val="18"/>
          <w:szCs w:val="18"/>
          <w:lang w:val="en-US"/>
        </w:rPr>
        <w:t xml:space="preserve">- (by analogy with </w:t>
      </w:r>
      <w:r w:rsidRPr="0071345C">
        <w:rPr>
          <w:rFonts w:ascii="Sabon Unicode" w:hAnsi="Sabon Unicode"/>
          <w:i/>
          <w:iCs/>
          <w:sz w:val="18"/>
          <w:szCs w:val="18"/>
          <w:lang w:val="en-US"/>
        </w:rPr>
        <w:t>randháyati</w:t>
      </w:r>
      <w:r w:rsidRPr="0071345C">
        <w:rPr>
          <w:rFonts w:ascii="Sabon Unicode" w:hAnsi="Sabon Unicode"/>
          <w:sz w:val="18"/>
          <w:szCs w:val="18"/>
          <w:lang w:val="en-US"/>
        </w:rPr>
        <w:t xml:space="preserve"> : </w:t>
      </w:r>
      <w:r w:rsidRPr="0071345C">
        <w:rPr>
          <w:rFonts w:ascii="Sabon Unicode" w:hAnsi="Sabon Unicode"/>
          <w:i/>
          <w:iCs/>
          <w:sz w:val="18"/>
          <w:szCs w:val="18"/>
          <w:lang w:val="en-US"/>
        </w:rPr>
        <w:t>radhrá</w:t>
      </w:r>
      <w:r w:rsidRPr="0071345C">
        <w:rPr>
          <w:rFonts w:ascii="Sabon Unicode" w:hAnsi="Sabon Unicode"/>
          <w:sz w:val="18"/>
          <w:szCs w:val="18"/>
          <w:lang w:val="en-US"/>
        </w:rPr>
        <w:t xml:space="preserve">-) therefore not connected with </w:t>
      </w:r>
      <w:r w:rsidRPr="0071345C">
        <w:rPr>
          <w:rFonts w:ascii="Sabon Unicode" w:hAnsi="Sabon Unicode"/>
          <w:i/>
          <w:iCs/>
          <w:sz w:val="18"/>
          <w:szCs w:val="18"/>
          <w:lang w:val="en-US"/>
        </w:rPr>
        <w:t>dabh</w:t>
      </w:r>
      <w:r w:rsidRPr="0071345C">
        <w:rPr>
          <w:rFonts w:ascii="Sabon Unicode" w:hAnsi="Sabon Unicode"/>
          <w:sz w:val="18"/>
          <w:szCs w:val="18"/>
          <w:lang w:val="en-US"/>
        </w:rPr>
        <w:t>-; for the verbal root he suggests three meaning, the first being is “to trick” “p</w:t>
      </w:r>
      <w:r w:rsidRPr="0071345C">
        <w:rPr>
          <w:rFonts w:ascii="Sabon Unicode" w:hAnsi="Sabon Unicode"/>
          <w:sz w:val="18"/>
          <w:szCs w:val="18"/>
          <w:lang w:val="en-US"/>
        </w:rPr>
        <w:t xml:space="preserve">ersuade through deceive”; the translation </w:t>
      </w:r>
      <w:r w:rsidRPr="0071345C">
        <w:rPr>
          <w:rFonts w:ascii="Sabon Unicode" w:hAnsi="Sabon Unicode"/>
          <w:smallCaps/>
          <w:sz w:val="18"/>
          <w:szCs w:val="18"/>
          <w:lang w:val="en-US"/>
        </w:rPr>
        <w:t>Insler</w:t>
      </w:r>
      <w:r w:rsidRPr="0071345C">
        <w:rPr>
          <w:rFonts w:ascii="Sabon Unicode" w:hAnsi="Sabon Unicode"/>
          <w:sz w:val="18"/>
          <w:szCs w:val="18"/>
          <w:lang w:val="en-US"/>
        </w:rPr>
        <w:t xml:space="preserve"> (1969: 22-3 “trick away (from us)”) proposes for</w:t>
      </w:r>
      <w:r w:rsidRPr="0071345C">
        <w:rPr>
          <w:rFonts w:ascii="Sabon Unicode" w:hAnsi="Sabon Unicode"/>
          <w:i/>
          <w:iCs/>
          <w:sz w:val="18"/>
          <w:szCs w:val="18"/>
          <w:lang w:val="en-US"/>
        </w:rPr>
        <w:t xml:space="preserve"> ā dabh</w:t>
      </w:r>
      <w:r w:rsidRPr="0071345C">
        <w:rPr>
          <w:rFonts w:ascii="Sabon Unicode" w:hAnsi="Sabon Unicode"/>
          <w:sz w:val="18"/>
          <w:szCs w:val="18"/>
          <w:lang w:val="en-US"/>
        </w:rPr>
        <w:t xml:space="preserve">- seems to catch a common worry of Vedic men, that the enemies or the ‘heretics’ may drive away the gods with their presence.  </w:t>
      </w:r>
    </w:p>
  </w:footnote>
  <w:footnote w:id="540">
    <w:p w14:paraId="2963BDD2"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rFonts w:ascii="Sabon Unicode" w:hAnsi="Sabon Unicode"/>
          <w:sz w:val="18"/>
          <w:szCs w:val="18"/>
          <w:lang w:val="en-US"/>
        </w:rPr>
        <w:tab/>
        <w:t xml:space="preserve"> This noun seems to be</w:t>
      </w:r>
      <w:r w:rsidRPr="0071345C">
        <w:rPr>
          <w:rFonts w:ascii="Sabon Unicode" w:hAnsi="Sabon Unicode"/>
          <w:sz w:val="18"/>
          <w:szCs w:val="18"/>
          <w:lang w:val="en-US"/>
        </w:rPr>
        <w:t xml:space="preserve"> referred to a group of people that falls apart the Brahmanic religion, so to say, representing  the ‘heretics’, a meaning which is not too far from the idea of mistake (“some who fails”) as suggested by </w:t>
      </w:r>
      <w:r w:rsidRPr="0071345C">
        <w:rPr>
          <w:rFonts w:ascii="Sabon Unicode" w:hAnsi="Sabon Unicode"/>
          <w:smallCaps/>
          <w:sz w:val="18"/>
          <w:szCs w:val="18"/>
          <w:lang w:val="en-US"/>
        </w:rPr>
        <w:t>Peca Conti</w:t>
      </w:r>
      <w:r w:rsidRPr="0071345C">
        <w:rPr>
          <w:rFonts w:ascii="Sabon Unicode" w:hAnsi="Sabon Unicode"/>
          <w:sz w:val="18"/>
          <w:szCs w:val="18"/>
          <w:lang w:val="en-US"/>
        </w:rPr>
        <w:t xml:space="preserve"> 1982-83: 41-51. The meaning of this term </w:t>
      </w:r>
      <w:r w:rsidRPr="0071345C">
        <w:rPr>
          <w:rFonts w:ascii="Sabon Unicode" w:hAnsi="Sabon Unicode"/>
          <w:sz w:val="18"/>
          <w:szCs w:val="18"/>
          <w:lang w:val="en-US"/>
        </w:rPr>
        <w:t>is although  not clearly established for all the occurrences.</w:t>
      </w:r>
    </w:p>
  </w:footnote>
  <w:footnote w:id="541">
    <w:p w14:paraId="7275F7C1"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rFonts w:ascii="Sabon Unicode" w:hAnsi="Sabon Unicode"/>
          <w:sz w:val="18"/>
          <w:szCs w:val="18"/>
          <w:lang w:val="en-US"/>
        </w:rPr>
        <w:tab/>
        <w:t xml:space="preserve"> This binary structure </w:t>
      </w:r>
      <w:r w:rsidRPr="0071345C">
        <w:rPr>
          <w:rFonts w:ascii="Sabon Unicode" w:hAnsi="Sabon Unicode"/>
          <w:i/>
          <w:sz w:val="18"/>
          <w:szCs w:val="18"/>
          <w:lang w:val="en-US"/>
        </w:rPr>
        <w:t xml:space="preserve">mā́kīm van – dviś </w:t>
      </w:r>
      <w:r w:rsidRPr="0071345C">
        <w:rPr>
          <w:rFonts w:ascii="Sabon Unicode" w:hAnsi="Sabon Unicode"/>
          <w:sz w:val="18"/>
          <w:szCs w:val="18"/>
          <w:lang w:val="en-US"/>
        </w:rPr>
        <w:t xml:space="preserve">can be compared with the antinomy good-evil that can be traced allover the thought of Zarathustra as a </w:t>
      </w:r>
      <w:r w:rsidRPr="0071345C">
        <w:rPr>
          <w:rFonts w:ascii="Sabon Unicode" w:hAnsi="Sabon Unicode"/>
          <w:i/>
          <w:iCs/>
          <w:sz w:val="18"/>
          <w:szCs w:val="18"/>
          <w:lang w:val="en-US"/>
        </w:rPr>
        <w:t>leitmotiv</w:t>
      </w:r>
      <w:r w:rsidRPr="0071345C">
        <w:rPr>
          <w:rFonts w:ascii="Sabon Unicode" w:hAnsi="Sabon Unicode"/>
          <w:sz w:val="18"/>
          <w:szCs w:val="18"/>
          <w:lang w:val="en-US"/>
        </w:rPr>
        <w:t xml:space="preserve"> of the Gāthas.</w:t>
      </w:r>
      <w:r w:rsidRPr="0071345C">
        <w:rPr>
          <w:rFonts w:ascii="Sabon Unicode" w:hAnsi="Sabon Unicode"/>
          <w:color w:val="0000FF"/>
          <w:sz w:val="18"/>
          <w:szCs w:val="18"/>
          <w:u w:val="single"/>
          <w:lang w:val="en-US"/>
        </w:rPr>
        <w:t xml:space="preserve"> </w:t>
      </w:r>
    </w:p>
  </w:footnote>
  <w:footnote w:id="542">
    <w:p w14:paraId="32AE987B"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rFonts w:ascii="Sabon Unicode" w:hAnsi="Sabon Unicode"/>
          <w:sz w:val="18"/>
          <w:szCs w:val="18"/>
          <w:lang w:val="en-US"/>
        </w:rPr>
        <w:tab/>
        <w:t xml:space="preserve"> Here the term means</w:t>
      </w:r>
      <w:r w:rsidRPr="0071345C">
        <w:rPr>
          <w:rFonts w:ascii="Sabon Unicode" w:hAnsi="Sabon Unicode"/>
          <w:sz w:val="18"/>
          <w:szCs w:val="18"/>
          <w:lang w:val="en-US"/>
        </w:rPr>
        <w:t xml:space="preserve"> not only “holy formula” (</w:t>
      </w:r>
      <w:r w:rsidRPr="0071345C">
        <w:rPr>
          <w:rFonts w:ascii="Sabon Unicode" w:hAnsi="Sabon Unicode"/>
          <w:smallCaps/>
          <w:sz w:val="18"/>
          <w:szCs w:val="18"/>
          <w:lang w:val="en-US"/>
        </w:rPr>
        <w:t>Thieme</w:t>
      </w:r>
      <w:r w:rsidRPr="0071345C">
        <w:rPr>
          <w:rFonts w:ascii="Sabon Unicode" w:hAnsi="Sabon Unicode"/>
          <w:sz w:val="18"/>
          <w:szCs w:val="18"/>
          <w:lang w:val="en-US"/>
        </w:rPr>
        <w:t xml:space="preserve"> 1952</w:t>
      </w:r>
      <w:r w:rsidRPr="0071345C">
        <w:rPr>
          <w:rFonts w:ascii="Sabon Unicode" w:hAnsi="Sabon Unicode"/>
          <w:sz w:val="18"/>
          <w:szCs w:val="18"/>
          <w:lang w:val="en-US"/>
        </w:rPr>
        <w:t>:</w:t>
      </w:r>
      <w:r w:rsidRPr="0071345C">
        <w:rPr>
          <w:rFonts w:ascii="Sabon Unicode" w:hAnsi="Sabon Unicode"/>
          <w:sz w:val="18"/>
          <w:szCs w:val="18"/>
          <w:lang w:val="en-US"/>
        </w:rPr>
        <w:t xml:space="preserve"> 91-129), but is already referring to the wider implications as “universal principle” and spirit of the whole; for a bibliography on this term, see </w:t>
      </w:r>
      <w:r w:rsidRPr="0071345C">
        <w:rPr>
          <w:rFonts w:ascii="Sabon Unicode" w:hAnsi="Sabon Unicode"/>
          <w:smallCaps/>
          <w:sz w:val="18"/>
          <w:szCs w:val="18"/>
          <w:lang w:val="en-US"/>
        </w:rPr>
        <w:t>Gonda</w:t>
      </w:r>
      <w:r w:rsidRPr="0071345C">
        <w:rPr>
          <w:rFonts w:ascii="Sabon Unicode" w:hAnsi="Sabon Unicode"/>
          <w:sz w:val="18"/>
          <w:szCs w:val="18"/>
          <w:lang w:val="en-US"/>
        </w:rPr>
        <w:t xml:space="preserve"> 1950.</w:t>
      </w:r>
    </w:p>
  </w:footnote>
  <w:footnote w:id="543">
    <w:p w14:paraId="6F1C79C7"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As to the exact meaning of </w:t>
      </w:r>
      <w:r w:rsidRPr="0071345C">
        <w:rPr>
          <w:i/>
          <w:iCs/>
          <w:lang w:val="en-US"/>
        </w:rPr>
        <w:t xml:space="preserve">vidátha- </w:t>
      </w:r>
      <w:r w:rsidRPr="0071345C">
        <w:rPr>
          <w:lang w:val="en-US"/>
        </w:rPr>
        <w:t>as already a ritual</w:t>
      </w:r>
      <w:r w:rsidRPr="0071345C">
        <w:rPr>
          <w:lang w:val="en-US"/>
        </w:rPr>
        <w:t xml:space="preserve"> fest or just as social meeting, </w:t>
      </w:r>
      <w:r w:rsidRPr="0071345C">
        <w:rPr>
          <w:lang w:val="en-US"/>
        </w:rPr>
        <w:t xml:space="preserve">see </w:t>
      </w:r>
      <w:r w:rsidRPr="0071345C">
        <w:rPr>
          <w:rStyle w:val="biblio-authorGEN"/>
          <w:sz w:val="18"/>
          <w:szCs w:val="15"/>
          <w:lang w:val="en-US"/>
        </w:rPr>
        <w:t>Gonda</w:t>
      </w:r>
      <w:r w:rsidRPr="0071345C">
        <w:rPr>
          <w:lang w:val="en-US"/>
        </w:rPr>
        <w:t xml:space="preserve"> 1992: VI/1 310-337, </w:t>
      </w:r>
      <w:r w:rsidRPr="0071345C">
        <w:rPr>
          <w:rStyle w:val="biblio-authorGEN"/>
          <w:sz w:val="18"/>
          <w:szCs w:val="15"/>
          <w:lang w:val="en-US"/>
        </w:rPr>
        <w:t xml:space="preserve">Kuiper </w:t>
      </w:r>
      <w:r w:rsidRPr="0071345C">
        <w:rPr>
          <w:lang w:val="en-US"/>
        </w:rPr>
        <w:t xml:space="preserve">1974: 129-132 and </w:t>
      </w:r>
      <w:r w:rsidRPr="0071345C">
        <w:rPr>
          <w:rStyle w:val="biblio-authorGEN"/>
          <w:sz w:val="18"/>
          <w:szCs w:val="15"/>
          <w:lang w:val="en-US"/>
        </w:rPr>
        <w:t xml:space="preserve">Oldenberg </w:t>
      </w:r>
      <w:r w:rsidRPr="0071345C">
        <w:rPr>
          <w:lang w:val="en-US"/>
        </w:rPr>
        <w:t xml:space="preserve">1900: 608-611. </w:t>
      </w:r>
    </w:p>
  </w:footnote>
  <w:footnote w:id="544">
    <w:p w14:paraId="3278B1FE"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sz w:val="18"/>
          <w:szCs w:val="18"/>
          <w:lang w:val="en-US"/>
        </w:rPr>
        <w:tab/>
        <w:t xml:space="preserve"> </w:t>
      </w:r>
      <w:r w:rsidRPr="0071345C">
        <w:rPr>
          <w:smallCaps/>
          <w:sz w:val="18"/>
          <w:szCs w:val="18"/>
          <w:lang w:val="en-US"/>
        </w:rPr>
        <w:t>“</w:t>
      </w:r>
      <w:r w:rsidRPr="0071345C">
        <w:rPr>
          <w:sz w:val="18"/>
          <w:szCs w:val="18"/>
          <w:lang w:val="en-US"/>
        </w:rPr>
        <w:t>The golden” are the drops of Soma.</w:t>
      </w:r>
    </w:p>
  </w:footnote>
  <w:footnote w:id="545">
    <w:p w14:paraId="5B5129EC"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i/>
          <w:iCs/>
          <w:lang w:val="en-US"/>
        </w:rPr>
        <w:t xml:space="preserve">Dāyi, </w:t>
      </w:r>
      <w:r w:rsidRPr="0071345C">
        <w:rPr>
          <w:lang w:val="en-US"/>
        </w:rPr>
        <w:t xml:space="preserve">from </w:t>
      </w:r>
      <w:r w:rsidRPr="0071345C">
        <w:rPr>
          <w:i/>
          <w:iCs/>
          <w:lang w:val="en-US"/>
        </w:rPr>
        <w:t xml:space="preserve">dā-, </w:t>
      </w:r>
      <w:r w:rsidRPr="0071345C">
        <w:rPr>
          <w:lang w:val="en-US"/>
        </w:rPr>
        <w:t>ind. aor. 3</w:t>
      </w:r>
      <w:r w:rsidRPr="0071345C">
        <w:rPr>
          <w:position w:val="5"/>
          <w:sz w:val="10"/>
          <w:lang w:val="en-US"/>
        </w:rPr>
        <w:t>rd</w:t>
      </w:r>
      <w:r w:rsidRPr="0071345C">
        <w:rPr>
          <w:lang w:val="en-US"/>
        </w:rPr>
        <w:t xml:space="preserve"> sing. passive, without augment, conveying an injunctive aspect cf. </w:t>
      </w:r>
      <w:r w:rsidRPr="0071345C">
        <w:rPr>
          <w:smallCaps/>
          <w:lang w:val="en-US"/>
        </w:rPr>
        <w:t>Macdonell</w:t>
      </w:r>
      <w:r w:rsidRPr="0071345C">
        <w:rPr>
          <w:lang w:val="en-US"/>
        </w:rPr>
        <w:t xml:space="preserve"> 1916: §155 and </w:t>
      </w:r>
      <w:r w:rsidRPr="0071345C">
        <w:rPr>
          <w:smallCaps/>
          <w:lang w:val="en-US"/>
        </w:rPr>
        <w:t>Whitney</w:t>
      </w:r>
      <w:r w:rsidRPr="0071345C">
        <w:rPr>
          <w:lang w:val="en-US"/>
        </w:rPr>
        <w:t xml:space="preserve"> 1888: §844.c.</w:t>
      </w:r>
    </w:p>
  </w:footnote>
  <w:footnote w:id="546">
    <w:p w14:paraId="53C23BF8"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i/>
          <w:iCs/>
          <w:lang w:val="en-US"/>
        </w:rPr>
        <w:t xml:space="preserve">Tyád, </w:t>
      </w:r>
      <w:r w:rsidRPr="0071345C">
        <w:rPr>
          <w:lang w:val="en-US"/>
        </w:rPr>
        <w:t xml:space="preserve">(acc. n. sing.) from </w:t>
      </w:r>
      <w:r w:rsidRPr="0071345C">
        <w:rPr>
          <w:i/>
          <w:iCs/>
          <w:lang w:val="en-US"/>
        </w:rPr>
        <w:t>syá-,</w:t>
      </w:r>
      <w:r w:rsidRPr="0071345C">
        <w:rPr>
          <w:lang w:val="en-US"/>
        </w:rPr>
        <w:t xml:space="preserve"> the dimostrative pronoun here refers to what is peculiar to Indra: the </w:t>
      </w:r>
      <w:r w:rsidRPr="0071345C">
        <w:rPr>
          <w:i/>
          <w:iCs/>
          <w:lang w:val="en-US"/>
        </w:rPr>
        <w:t>soma</w:t>
      </w:r>
      <w:r w:rsidRPr="0071345C">
        <w:rPr>
          <w:lang w:val="en-US"/>
        </w:rPr>
        <w:t>.</w:t>
      </w:r>
      <w:r w:rsidRPr="0071345C">
        <w:rPr>
          <w:lang w:val="en-US"/>
        </w:rPr>
        <w:t xml:space="preserve"> </w:t>
      </w:r>
    </w:p>
  </w:footnote>
  <w:footnote w:id="547">
    <w:p w14:paraId="5D836EE3"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As to the contest betwee</w:t>
      </w:r>
      <w:r w:rsidRPr="0071345C">
        <w:rPr>
          <w:lang w:val="en-US"/>
        </w:rPr>
        <w:t xml:space="preserve">n Sūrya and Etaśa and Indra’s help, see </w:t>
      </w:r>
      <w:r w:rsidRPr="0071345C">
        <w:rPr>
          <w:smallCaps/>
          <w:lang w:val="en-US"/>
        </w:rPr>
        <w:t>Macdonell-</w:t>
      </w:r>
      <w:r w:rsidRPr="0071345C">
        <w:rPr>
          <w:lang w:val="en-US"/>
        </w:rPr>
        <w:t xml:space="preserve"> </w:t>
      </w:r>
      <w:r w:rsidRPr="0071345C">
        <w:rPr>
          <w:smallCaps/>
          <w:lang w:val="en-US"/>
        </w:rPr>
        <w:t>Keith</w:t>
      </w:r>
      <w:r w:rsidRPr="0071345C">
        <w:rPr>
          <w:lang w:val="en-US"/>
        </w:rPr>
        <w:t xml:space="preserve"> [1912] 1995: I 120; Etaśa could also be the horse of Indra, a horse of variegated colour (</w:t>
      </w:r>
      <w:r w:rsidRPr="0071345C">
        <w:rPr>
          <w:i/>
          <w:iCs/>
          <w:lang w:val="en-US"/>
        </w:rPr>
        <w:t>éta-</w:t>
      </w:r>
      <w:r w:rsidRPr="0071345C">
        <w:rPr>
          <w:lang w:val="en-US"/>
        </w:rPr>
        <w:t xml:space="preserve"> (m.f.n.) “of variegated colour”.</w:t>
      </w:r>
    </w:p>
  </w:footnote>
  <w:footnote w:id="548">
    <w:p w14:paraId="1641D37C" w14:textId="77777777" w:rsidR="00E53EB6" w:rsidRPr="0071345C" w:rsidRDefault="006500F5">
      <w:pPr>
        <w:pStyle w:val="FootnoteText"/>
        <w:rPr>
          <w:i/>
          <w:iCs/>
          <w:lang w:val="en-US"/>
        </w:rPr>
      </w:pPr>
      <w:r>
        <w:rPr>
          <w:rStyle w:val="FootnoteCharacters"/>
        </w:rPr>
        <w:footnoteRef/>
      </w:r>
      <w:r w:rsidRPr="0071345C">
        <w:rPr>
          <w:i/>
          <w:iCs/>
          <w:lang w:val="en-US"/>
        </w:rPr>
        <w:tab/>
        <w:t xml:space="preserve"> sú</w:t>
      </w:r>
      <w:r w:rsidRPr="0071345C">
        <w:rPr>
          <w:i/>
          <w:iCs/>
          <w:lang w:val="en-US"/>
        </w:rPr>
        <w:t>ṣ</w:t>
      </w:r>
      <w:r w:rsidRPr="0071345C">
        <w:rPr>
          <w:i/>
          <w:iCs/>
          <w:lang w:val="en-US"/>
        </w:rPr>
        <w:t xml:space="preserve">vi-, </w:t>
      </w:r>
      <w:r w:rsidRPr="0071345C">
        <w:rPr>
          <w:lang w:val="en-US"/>
        </w:rPr>
        <w:t>indeed “pressing out”.</w:t>
      </w:r>
    </w:p>
  </w:footnote>
  <w:footnote w:id="549">
    <w:p w14:paraId="765AE76D" w14:textId="77777777" w:rsidR="00E53EB6" w:rsidRDefault="006500F5">
      <w:pPr>
        <w:pStyle w:val="FootnoteText"/>
        <w:rPr>
          <w:lang w:val="en-GB"/>
        </w:rPr>
      </w:pPr>
      <w:r>
        <w:rPr>
          <w:rStyle w:val="FootnoteCharacters"/>
        </w:rPr>
        <w:footnoteRef/>
      </w:r>
      <w:r>
        <w:rPr>
          <w:i/>
          <w:sz w:val="18"/>
          <w:szCs w:val="18"/>
          <w:lang w:val="en-GB"/>
        </w:rPr>
        <w:tab/>
        <w:t xml:space="preserve"> ābhúvam</w:t>
      </w:r>
      <w:r>
        <w:rPr>
          <w:sz w:val="18"/>
          <w:szCs w:val="18"/>
          <w:lang w:val="en-GB"/>
        </w:rPr>
        <w:t xml:space="preserve"> (acc. m. sing.) from </w:t>
      </w:r>
      <w:r>
        <w:rPr>
          <w:i/>
          <w:sz w:val="18"/>
          <w:szCs w:val="18"/>
          <w:lang w:val="en-GB"/>
        </w:rPr>
        <w:t>ābhū́</w:t>
      </w:r>
      <w:r>
        <w:rPr>
          <w:i/>
          <w:sz w:val="18"/>
          <w:szCs w:val="18"/>
          <w:lang w:val="en-GB"/>
        </w:rPr>
        <w:t>-</w:t>
      </w:r>
      <w:r>
        <w:rPr>
          <w:sz w:val="18"/>
          <w:szCs w:val="18"/>
          <w:lang w:val="en-GB"/>
        </w:rPr>
        <w:t xml:space="preserve"> (m. f. n.) &lt; root </w:t>
      </w:r>
      <w:r>
        <w:rPr>
          <w:i/>
          <w:sz w:val="18"/>
          <w:szCs w:val="18"/>
          <w:lang w:val="en-GB"/>
        </w:rPr>
        <w:t>bhū-</w:t>
      </w:r>
      <w:r>
        <w:rPr>
          <w:sz w:val="18"/>
          <w:szCs w:val="18"/>
          <w:lang w:val="en-GB"/>
        </w:rPr>
        <w:t xml:space="preserve">, “present”, PW: “tüchtig, wirksam”, as a continuos presence that comes every time in to existence and is efficacious.  </w:t>
      </w:r>
    </w:p>
  </w:footnote>
  <w:footnote w:id="550">
    <w:p w14:paraId="186D4752" w14:textId="77777777" w:rsidR="00E53EB6" w:rsidRDefault="006500F5">
      <w:pPr>
        <w:pStyle w:val="FootnoteText"/>
        <w:rPr>
          <w:lang w:val="en-GB"/>
        </w:rPr>
      </w:pPr>
      <w:r>
        <w:rPr>
          <w:rStyle w:val="FootnoteCharacters"/>
        </w:rPr>
        <w:footnoteRef/>
      </w:r>
      <w:r>
        <w:rPr>
          <w:sz w:val="18"/>
          <w:szCs w:val="18"/>
          <w:lang w:val="en-GB"/>
        </w:rPr>
        <w:t xml:space="preserve"> The term is usually used as epithet os the sacrificer as well as of Agni (cf. EWAia: I 234-5), </w:t>
      </w:r>
      <w:r>
        <w:rPr>
          <w:smallCaps/>
          <w:sz w:val="18"/>
          <w:szCs w:val="18"/>
          <w:lang w:val="en-GB"/>
        </w:rPr>
        <w:t>Geldner</w:t>
      </w:r>
      <w:r>
        <w:rPr>
          <w:sz w:val="18"/>
          <w:szCs w:val="18"/>
          <w:lang w:val="en-GB"/>
        </w:rPr>
        <w:t xml:space="preserve"> (I 185</w:t>
      </w:r>
      <w:r>
        <w:rPr>
          <w:sz w:val="18"/>
          <w:szCs w:val="18"/>
          <w:lang w:val="en-GB"/>
        </w:rPr>
        <w:t>) suggests it is the name of a priests family.</w:t>
      </w:r>
    </w:p>
  </w:footnote>
  <w:footnote w:id="551">
    <w:p w14:paraId="3355DF0B"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śrī </w:t>
      </w:r>
      <w:r w:rsidRPr="0071345C">
        <w:rPr>
          <w:lang w:val="en-US"/>
        </w:rPr>
        <w:t>“beauty, grace, light”, is here the splendour of the light of the sun and the dawn, coming right after the chariot of the Aśvin.</w:t>
      </w:r>
    </w:p>
  </w:footnote>
  <w:footnote w:id="552">
    <w:p w14:paraId="005A8310"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kakuhā́sa</w:t>
      </w:r>
      <w:r w:rsidRPr="0071345C">
        <w:rPr>
          <w:i/>
          <w:iCs/>
          <w:lang w:val="en-US"/>
        </w:rPr>
        <w:t>ḥ</w:t>
      </w:r>
      <w:r w:rsidRPr="0071345C">
        <w:rPr>
          <w:lang w:val="en-US"/>
        </w:rPr>
        <w:t xml:space="preserve"> (nom. m. sing.) </w:t>
      </w:r>
      <w:r w:rsidRPr="0071345C">
        <w:rPr>
          <w:i/>
          <w:iCs/>
          <w:lang w:val="en-US"/>
        </w:rPr>
        <w:t>kakuhá</w:t>
      </w:r>
      <w:r w:rsidRPr="0071345C">
        <w:rPr>
          <w:lang w:val="en-US"/>
        </w:rPr>
        <w:t xml:space="preserve">- (m. f. n.) “lofty, prominent, tall” from </w:t>
      </w:r>
      <w:r w:rsidRPr="0071345C">
        <w:rPr>
          <w:i/>
          <w:iCs/>
          <w:lang w:val="en-US"/>
        </w:rPr>
        <w:t>kakúbh</w:t>
      </w:r>
      <w:r w:rsidRPr="0071345C">
        <w:rPr>
          <w:lang w:val="en-US"/>
        </w:rPr>
        <w:t xml:space="preserve">- “peak”, cf. </w:t>
      </w:r>
      <w:r w:rsidRPr="0071345C">
        <w:rPr>
          <w:rStyle w:val="biblio-authorGEN"/>
          <w:sz w:val="18"/>
          <w:szCs w:val="18"/>
          <w:lang w:val="en-US"/>
        </w:rPr>
        <w:t>Macdonell-Keith [</w:t>
      </w:r>
      <w:r w:rsidRPr="0071345C">
        <w:rPr>
          <w:lang w:val="en-US"/>
        </w:rPr>
        <w:t>1912] 1995 : I 131.</w:t>
      </w:r>
    </w:p>
  </w:footnote>
  <w:footnote w:id="553">
    <w:p w14:paraId="2B62BD07" w14:textId="77777777" w:rsidR="00E53EB6" w:rsidRDefault="006500F5">
      <w:pPr>
        <w:pStyle w:val="FootnoteText"/>
        <w:rPr>
          <w:lang w:val="en-GB"/>
        </w:rPr>
      </w:pPr>
      <w:r>
        <w:rPr>
          <w:rStyle w:val="FootnoteCharacters"/>
        </w:rPr>
        <w:footnoteRef/>
      </w:r>
      <w:r>
        <w:rPr>
          <w:lang w:val="en-GB"/>
        </w:rPr>
        <w:tab/>
        <w:t xml:space="preserve"> Sāya</w:t>
      </w:r>
      <w:r>
        <w:rPr>
          <w:lang w:val="en-GB"/>
        </w:rPr>
        <w:t>ṇ</w:t>
      </w:r>
      <w:r>
        <w:rPr>
          <w:lang w:val="en-GB"/>
        </w:rPr>
        <w:t>a paraphrases “</w:t>
      </w:r>
      <w:r>
        <w:rPr>
          <w:i/>
          <w:iCs/>
          <w:lang w:val="en-GB"/>
        </w:rPr>
        <w:t>amŕ̥tam</w:t>
      </w:r>
      <w:r>
        <w:rPr>
          <w:lang w:val="en-GB"/>
        </w:rPr>
        <w:t>” with “</w:t>
      </w:r>
      <w:r>
        <w:rPr>
          <w:i/>
          <w:iCs/>
          <w:lang w:val="en-GB"/>
        </w:rPr>
        <w:t>amr̥tatvaprāpakam</w:t>
      </w:r>
      <w:r>
        <w:rPr>
          <w:lang w:val="en-GB"/>
        </w:rPr>
        <w:t xml:space="preserve">”, it is not the immortality but rather what leads to it; as to the connection between </w:t>
      </w:r>
      <w:r>
        <w:rPr>
          <w:i/>
          <w:iCs/>
          <w:lang w:val="en-GB"/>
        </w:rPr>
        <w:t xml:space="preserve">amŕ̥ta- </w:t>
      </w:r>
      <w:r>
        <w:rPr>
          <w:lang w:val="en-GB"/>
        </w:rPr>
        <w:t xml:space="preserve">and </w:t>
      </w:r>
      <w:r>
        <w:rPr>
          <w:lang w:val="en-GB"/>
        </w:rPr>
        <w:t xml:space="preserve">ambrosia, see </w:t>
      </w:r>
      <w:r>
        <w:rPr>
          <w:rStyle w:val="biblio-authorGEN"/>
          <w:sz w:val="18"/>
          <w:szCs w:val="18"/>
          <w:lang w:val="en-GB"/>
        </w:rPr>
        <w:t>Lazzeroni</w:t>
      </w:r>
      <w:r>
        <w:rPr>
          <w:lang w:val="en-GB"/>
        </w:rPr>
        <w:t xml:space="preserve"> 1998: </w:t>
      </w:r>
      <w:r>
        <w:rPr>
          <w:lang w:val="en-GB"/>
        </w:rPr>
        <w:t>65-80.</w:t>
      </w:r>
    </w:p>
  </w:footnote>
  <w:footnote w:id="554">
    <w:p w14:paraId="05FA8293" w14:textId="77777777" w:rsidR="00E53EB6" w:rsidRDefault="006500F5">
      <w:pPr>
        <w:pStyle w:val="FootnoteText"/>
        <w:rPr>
          <w:lang w:val="en-GB"/>
        </w:rPr>
      </w:pPr>
      <w:r>
        <w:rPr>
          <w:rStyle w:val="FootnoteCharacters"/>
        </w:rPr>
        <w:footnoteRef/>
      </w:r>
      <w:r>
        <w:rPr>
          <w:lang w:val="en-GB"/>
        </w:rPr>
        <w:tab/>
        <w:t xml:space="preserve"> These are names of female frogs. During the hymns the beings invoked for bringing the rain are the Marut, Agni, Prajāpati, Parjanya, Varu</w:t>
      </w:r>
      <w:r>
        <w:rPr>
          <w:lang w:val="en-GB"/>
        </w:rPr>
        <w:t>ṇ</w:t>
      </w:r>
      <w:r>
        <w:rPr>
          <w:lang w:val="en-GB"/>
        </w:rPr>
        <w:t>a and, at the end, these female frogs (vss. 14-15).</w:t>
      </w:r>
    </w:p>
  </w:footnote>
  <w:footnote w:id="555">
    <w:p w14:paraId="766FF8C5"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Pr>
          <w:i/>
          <w:iCs/>
          <w:lang w:val="en-GB"/>
        </w:rPr>
        <w:tab/>
        <w:t xml:space="preserve"> mánas- </w:t>
      </w:r>
      <w:r>
        <w:rPr>
          <w:lang w:val="en-GB"/>
        </w:rPr>
        <w:t xml:space="preserve">means “thought” </w:t>
      </w:r>
      <w:r>
        <w:rPr>
          <w:lang w:val="en-GB"/>
        </w:rPr>
        <w:t>“mind</w:t>
      </w:r>
      <w:r>
        <w:rPr>
          <w:sz w:val="18"/>
          <w:szCs w:val="18"/>
          <w:lang w:val="en-GB"/>
        </w:rPr>
        <w:t>”</w:t>
      </w:r>
      <w:r>
        <w:rPr>
          <w:i/>
          <w:iCs/>
          <w:sz w:val="18"/>
          <w:szCs w:val="18"/>
          <w:lang w:val="en-GB"/>
        </w:rPr>
        <w:t xml:space="preserve">. </w:t>
      </w:r>
      <w:r>
        <w:rPr>
          <w:rStyle w:val="biblio-authorGEN"/>
          <w:sz w:val="18"/>
          <w:szCs w:val="18"/>
          <w:lang w:val="en-GB"/>
        </w:rPr>
        <w:t xml:space="preserve">Whitney (1905: 175) </w:t>
      </w:r>
      <w:r>
        <w:rPr>
          <w:sz w:val="18"/>
          <w:szCs w:val="18"/>
          <w:lang w:val="en-GB"/>
        </w:rPr>
        <w:t>translates it</w:t>
      </w:r>
      <w:r>
        <w:rPr>
          <w:rStyle w:val="biblio-authorGEN"/>
          <w:szCs w:val="18"/>
          <w:lang w:val="en-GB"/>
        </w:rPr>
        <w:t xml:space="preserve"> </w:t>
      </w:r>
      <w:r>
        <w:rPr>
          <w:lang w:val="en-GB"/>
        </w:rPr>
        <w:t>as “favour”, but maybe here is meant  the spirit of the Marut, that is needed to get the rain.</w:t>
      </w:r>
    </w:p>
  </w:footnote>
  <w:footnote w:id="556">
    <w:p w14:paraId="40A7A6AF"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As to the meaning of </w:t>
      </w:r>
      <w:r w:rsidRPr="0071345C">
        <w:rPr>
          <w:i/>
          <w:iCs/>
          <w:lang w:val="en-US"/>
        </w:rPr>
        <w:t>cak</w:t>
      </w:r>
      <w:r w:rsidRPr="0071345C">
        <w:rPr>
          <w:i/>
          <w:iCs/>
          <w:lang w:val="en-US"/>
        </w:rPr>
        <w:t>ṣ</w:t>
      </w:r>
      <w:r w:rsidRPr="0071345C">
        <w:rPr>
          <w:i/>
          <w:iCs/>
          <w:lang w:val="en-US"/>
        </w:rPr>
        <w:t>ana</w:t>
      </w:r>
      <w:r w:rsidRPr="0071345C">
        <w:rPr>
          <w:i/>
          <w:iCs/>
          <w:lang w:val="en-US"/>
        </w:rPr>
        <w:t>ṃ</w:t>
      </w:r>
      <w:r w:rsidRPr="0071345C">
        <w:rPr>
          <w:lang w:val="en-US"/>
        </w:rPr>
        <w:t xml:space="preserve"> in this context, see also R̥V 1.170.4 </w:t>
      </w:r>
      <w:r w:rsidRPr="0071345C">
        <w:rPr>
          <w:i/>
          <w:iCs/>
          <w:lang w:val="en-US"/>
        </w:rPr>
        <w:t>tatrāmr̥tasya cetanam</w:t>
      </w:r>
      <w:r w:rsidRPr="0071345C">
        <w:rPr>
          <w:lang w:val="en-US"/>
        </w:rPr>
        <w:t>.</w:t>
      </w:r>
    </w:p>
  </w:footnote>
  <w:footnote w:id="557">
    <w:p w14:paraId="7AB270FF" w14:textId="77777777" w:rsidR="00E53EB6" w:rsidRDefault="006500F5">
      <w:pPr>
        <w:pStyle w:val="FootnoteText"/>
        <w:suppressLineNumbers/>
        <w:spacing w:line="210" w:lineRule="exact"/>
        <w:ind w:left="240" w:hanging="240"/>
        <w:jc w:val="both"/>
      </w:pPr>
      <w:r>
        <w:rPr>
          <w:rStyle w:val="FootnoteCharacters"/>
        </w:rPr>
        <w:footnoteRef/>
      </w:r>
      <w:r>
        <w:rPr>
          <w:i/>
          <w:iCs/>
        </w:rPr>
        <w:tab/>
        <w:t xml:space="preserve"> pravadá-, </w:t>
      </w:r>
      <w:r>
        <w:rPr>
          <w:sz w:val="18"/>
          <w:szCs w:val="18"/>
        </w:rPr>
        <w:t>PW:</w:t>
      </w:r>
      <w:r>
        <w:rPr>
          <w:rStyle w:val="biblio-authorGEN"/>
        </w:rPr>
        <w:t xml:space="preserve"> </w:t>
      </w:r>
      <w:r>
        <w:rPr>
          <w:sz w:val="18"/>
          <w:szCs w:val="15"/>
        </w:rPr>
        <w:t>“einen L</w:t>
      </w:r>
      <w:r>
        <w:rPr>
          <w:sz w:val="18"/>
          <w:szCs w:val="15"/>
        </w:rPr>
        <w:t>aut von sich gebend: Trommel.”</w:t>
      </w:r>
    </w:p>
  </w:footnote>
  <w:footnote w:id="558">
    <w:p w14:paraId="2AA5D648" w14:textId="77777777" w:rsidR="00E53EB6" w:rsidRDefault="006500F5">
      <w:pPr>
        <w:pStyle w:val="FootnoteText"/>
        <w:suppressLineNumbers/>
        <w:spacing w:line="210" w:lineRule="exact"/>
        <w:ind w:left="240" w:hanging="240"/>
        <w:jc w:val="both"/>
      </w:pPr>
      <w:r>
        <w:rPr>
          <w:rStyle w:val="FootnoteCharacters"/>
        </w:rPr>
        <w:footnoteRef/>
      </w:r>
      <w:r>
        <w:tab/>
        <w:t xml:space="preserve"> For </w:t>
      </w:r>
      <w:r>
        <w:rPr>
          <w:i/>
          <w:iCs/>
        </w:rPr>
        <w:t>vayuná</w:t>
      </w:r>
      <w:r>
        <w:t xml:space="preserve"> as “path” but also  “way, art” </w:t>
      </w:r>
      <w:r>
        <w:t xml:space="preserve">see Pischel in </w:t>
      </w:r>
      <w:r>
        <w:rPr>
          <w:rStyle w:val="biblio-authorGEN"/>
          <w:sz w:val="18"/>
          <w:szCs w:val="18"/>
        </w:rPr>
        <w:t>Pischel-Geldner (</w:t>
      </w:r>
      <w:r>
        <w:rPr>
          <w:rStyle w:val="biblio-authorGEN"/>
          <w:rFonts w:eastAsia="Arial Unicode MS" w:cs="Times Ext Roman"/>
          <w:sz w:val="18"/>
          <w:szCs w:val="18"/>
        </w:rPr>
        <w:t>1889-</w:t>
      </w:r>
      <w:r>
        <w:rPr>
          <w:rFonts w:eastAsia="Arial Unicode MS" w:cs="Times Ext Roman"/>
          <w:sz w:val="18"/>
          <w:szCs w:val="18"/>
        </w:rPr>
        <w:t>1901: I 295-308) 297 “die Arten des Kampfes”, and EWA</w:t>
      </w:r>
      <w:r>
        <w:rPr>
          <w:sz w:val="18"/>
          <w:szCs w:val="18"/>
        </w:rPr>
        <w:t>ia</w:t>
      </w:r>
      <w:r>
        <w:rPr>
          <w:rStyle w:val="biblio-authorGEN"/>
          <w:sz w:val="18"/>
          <w:szCs w:val="18"/>
        </w:rPr>
        <w:t>: II 510.</w:t>
      </w:r>
    </w:p>
  </w:footnote>
  <w:footnote w:id="559">
    <w:p w14:paraId="371A5482" w14:textId="77777777" w:rsidR="00E53EB6" w:rsidRPr="0071345C" w:rsidRDefault="006500F5">
      <w:pPr>
        <w:pStyle w:val="FootnoteText"/>
        <w:rPr>
          <w:i/>
          <w:iCs/>
          <w:lang w:val="en-US"/>
        </w:rPr>
      </w:pPr>
      <w:r>
        <w:rPr>
          <w:rStyle w:val="FootnoteCharacters"/>
        </w:rPr>
        <w:footnoteRef/>
      </w:r>
      <w:r w:rsidRPr="0071345C">
        <w:rPr>
          <w:i/>
          <w:iCs/>
          <w:lang w:val="en-US"/>
        </w:rPr>
        <w:tab/>
        <w:t xml:space="preserve"> ví hara, </w:t>
      </w:r>
      <w:r w:rsidRPr="0071345C">
        <w:rPr>
          <w:lang w:val="en-US"/>
        </w:rPr>
        <w:t>impv. pres. 2</w:t>
      </w:r>
      <w:r w:rsidRPr="0071345C">
        <w:rPr>
          <w:vertAlign w:val="superscript"/>
          <w:lang w:val="en-US"/>
        </w:rPr>
        <w:t>nd</w:t>
      </w:r>
      <w:r w:rsidRPr="0071345C">
        <w:rPr>
          <w:lang w:val="en-US"/>
        </w:rPr>
        <w:t xml:space="preserve"> sing. is referred to the drum mentioned in the first part within a metonymy for the fighting armies.</w:t>
      </w:r>
    </w:p>
  </w:footnote>
  <w:footnote w:id="560">
    <w:p w14:paraId="0828DC97"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āréha</w:t>
      </w:r>
      <w:r w:rsidRPr="0071345C">
        <w:rPr>
          <w:i/>
          <w:iCs/>
          <w:lang w:val="en-US"/>
        </w:rPr>
        <w:t>ṇ</w:t>
      </w:r>
      <w:r w:rsidRPr="0071345C">
        <w:rPr>
          <w:i/>
          <w:iCs/>
          <w:lang w:val="en-US"/>
        </w:rPr>
        <w:t xml:space="preserve">a, </w:t>
      </w:r>
      <w:r w:rsidRPr="0071345C">
        <w:rPr>
          <w:lang w:val="en-US"/>
        </w:rPr>
        <w:t>Sāya</w:t>
      </w:r>
      <w:r w:rsidRPr="0071345C">
        <w:rPr>
          <w:lang w:val="en-US"/>
        </w:rPr>
        <w:t>ṇ</w:t>
      </w:r>
      <w:r w:rsidRPr="0071345C">
        <w:rPr>
          <w:lang w:val="en-US"/>
        </w:rPr>
        <w:t xml:space="preserve">a explains it with </w:t>
      </w:r>
      <w:r w:rsidRPr="0071345C">
        <w:rPr>
          <w:i/>
          <w:iCs/>
          <w:lang w:val="en-US"/>
        </w:rPr>
        <w:t>āsvādanīyam</w:t>
      </w:r>
      <w:r w:rsidRPr="0071345C">
        <w:rPr>
          <w:lang w:val="en-US"/>
        </w:rPr>
        <w:t xml:space="preserve"> “something to be enjoyed by tasting”, cf. </w:t>
      </w:r>
      <w:r w:rsidRPr="0071345C">
        <w:rPr>
          <w:i/>
          <w:iCs/>
          <w:lang w:val="en-US"/>
        </w:rPr>
        <w:t xml:space="preserve">rih- </w:t>
      </w:r>
      <w:r w:rsidRPr="0071345C">
        <w:rPr>
          <w:lang w:val="en-US"/>
        </w:rPr>
        <w:t>“to lick, to kiss”.</w:t>
      </w:r>
    </w:p>
  </w:footnote>
  <w:footnote w:id="561">
    <w:p w14:paraId="22A34CC5"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As to the meaning of </w:t>
      </w:r>
      <w:r w:rsidRPr="0071345C">
        <w:rPr>
          <w:i/>
          <w:iCs/>
          <w:lang w:val="en-US"/>
        </w:rPr>
        <w:t>cak</w:t>
      </w:r>
      <w:r w:rsidRPr="0071345C">
        <w:rPr>
          <w:i/>
          <w:iCs/>
          <w:lang w:val="en-US"/>
        </w:rPr>
        <w:t>ṣ</w:t>
      </w:r>
      <w:r w:rsidRPr="0071345C">
        <w:rPr>
          <w:i/>
          <w:iCs/>
          <w:lang w:val="en-US"/>
        </w:rPr>
        <w:t>ana</w:t>
      </w:r>
      <w:r w:rsidRPr="0071345C">
        <w:rPr>
          <w:i/>
          <w:iCs/>
          <w:lang w:val="en-US"/>
        </w:rPr>
        <w:t>ṃ</w:t>
      </w:r>
      <w:r w:rsidRPr="0071345C">
        <w:rPr>
          <w:lang w:val="en-US"/>
        </w:rPr>
        <w:t xml:space="preserve"> in thi</w:t>
      </w:r>
      <w:r w:rsidRPr="0071345C">
        <w:rPr>
          <w:lang w:val="en-US"/>
        </w:rPr>
        <w:t xml:space="preserve">s context, see also R̥V 1.170.4 </w:t>
      </w:r>
      <w:r w:rsidRPr="0071345C">
        <w:rPr>
          <w:i/>
          <w:iCs/>
          <w:lang w:val="en-US"/>
        </w:rPr>
        <w:t>tatrāmr̥tasya</w:t>
      </w:r>
      <w:r w:rsidRPr="0071345C">
        <w:rPr>
          <w:lang w:val="en-US"/>
        </w:rPr>
        <w:t xml:space="preserve"> </w:t>
      </w:r>
      <w:r w:rsidRPr="0071345C">
        <w:rPr>
          <w:i/>
          <w:iCs/>
          <w:lang w:val="en-US"/>
        </w:rPr>
        <w:t>cetanam</w:t>
      </w:r>
      <w:r w:rsidRPr="0071345C">
        <w:rPr>
          <w:lang w:val="en-US"/>
        </w:rPr>
        <w:t>.</w:t>
      </w:r>
    </w:p>
  </w:footnote>
  <w:footnote w:id="562">
    <w:p w14:paraId="6DC4F915"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viśvávyacā </w:t>
      </w:r>
      <w:r w:rsidRPr="0071345C">
        <w:rPr>
          <w:lang w:val="en-US"/>
        </w:rPr>
        <w:t>is usually referred to Aditi, cf. in this hymn st. 12-13. In this stanza the person addressed is probably the corpse, the body of the dead man, that will become as Agni -usually descri</w:t>
      </w:r>
      <w:r w:rsidRPr="0071345C">
        <w:rPr>
          <w:lang w:val="en-US"/>
        </w:rPr>
        <w:t>bed</w:t>
      </w:r>
      <w:r w:rsidRPr="0071345C">
        <w:rPr>
          <w:lang w:val="en-US"/>
        </w:rPr>
        <w:t xml:space="preserve"> as  </w:t>
      </w:r>
      <w:r w:rsidRPr="0071345C">
        <w:rPr>
          <w:i/>
          <w:iCs/>
          <w:lang w:val="en-US"/>
        </w:rPr>
        <w:t>ghr̥tápr̥</w:t>
      </w:r>
      <w:r w:rsidRPr="0071345C">
        <w:rPr>
          <w:i/>
          <w:iCs/>
          <w:lang w:val="en-US"/>
        </w:rPr>
        <w:t>ṣṭ</w:t>
      </w:r>
      <w:r w:rsidRPr="0071345C">
        <w:rPr>
          <w:i/>
          <w:iCs/>
          <w:lang w:val="en-US"/>
        </w:rPr>
        <w:t xml:space="preserve">ho- </w:t>
      </w:r>
      <w:r w:rsidRPr="0071345C">
        <w:rPr>
          <w:lang w:val="en-US"/>
        </w:rPr>
        <w:t xml:space="preserve">and Aditi. He will go reach the other world and he is </w:t>
      </w:r>
      <w:r w:rsidRPr="0071345C">
        <w:rPr>
          <w:i/>
          <w:iCs/>
          <w:lang w:val="en-US"/>
        </w:rPr>
        <w:t>sáyoni</w:t>
      </w:r>
      <w:r w:rsidRPr="0071345C">
        <w:rPr>
          <w:i/>
          <w:iCs/>
          <w:lang w:val="en-US"/>
        </w:rPr>
        <w:t>ḥ</w:t>
      </w:r>
      <w:r w:rsidRPr="0071345C">
        <w:rPr>
          <w:i/>
          <w:iCs/>
          <w:lang w:val="en-US"/>
        </w:rPr>
        <w:t xml:space="preserve">, </w:t>
      </w:r>
      <w:r w:rsidRPr="0071345C">
        <w:rPr>
          <w:lang w:val="en-US"/>
        </w:rPr>
        <w:t>that is he has the same origin.</w:t>
      </w:r>
    </w:p>
  </w:footnote>
  <w:footnote w:id="563">
    <w:p w14:paraId="38947A77" w14:textId="77777777" w:rsidR="00E53EB6" w:rsidRPr="0071345C" w:rsidRDefault="006500F5">
      <w:pPr>
        <w:pStyle w:val="FootnoteText"/>
        <w:rPr>
          <w:lang w:val="en-US"/>
        </w:rPr>
      </w:pPr>
      <w:r>
        <w:rPr>
          <w:rStyle w:val="FootnoteCharacters"/>
        </w:rPr>
        <w:footnoteRef/>
      </w:r>
      <w:r w:rsidRPr="0071345C">
        <w:rPr>
          <w:lang w:val="en-US"/>
        </w:rPr>
        <w:tab/>
        <w:t xml:space="preserve"> Scil.  </w:t>
      </w:r>
      <w:r w:rsidRPr="0071345C">
        <w:rPr>
          <w:i/>
          <w:iCs/>
          <w:lang w:val="en-US"/>
        </w:rPr>
        <w:t>kulāya</w:t>
      </w:r>
      <w:r w:rsidRPr="0071345C">
        <w:rPr>
          <w:lang w:val="en-US"/>
        </w:rPr>
        <w:t xml:space="preserve">, ‘nest’ which is mentioned in the preceding </w:t>
      </w:r>
      <w:r w:rsidRPr="0071345C">
        <w:rPr>
          <w:i/>
          <w:iCs/>
          <w:lang w:val="en-US"/>
        </w:rPr>
        <w:t>pāda:</w:t>
      </w:r>
      <w:r w:rsidRPr="0071345C">
        <w:rPr>
          <w:lang w:val="en-US"/>
        </w:rPr>
        <w:t xml:space="preserve"> </w:t>
      </w:r>
      <w:r w:rsidRPr="0071345C">
        <w:rPr>
          <w:i/>
          <w:iCs/>
          <w:lang w:val="en-US"/>
        </w:rPr>
        <w:t>kúlāya</w:t>
      </w:r>
      <w:r w:rsidRPr="0071345C">
        <w:rPr>
          <w:i/>
          <w:iCs/>
          <w:lang w:val="en-US"/>
        </w:rPr>
        <w:t>ṃ</w:t>
      </w:r>
      <w:r w:rsidRPr="0071345C">
        <w:rPr>
          <w:i/>
          <w:iCs/>
          <w:lang w:val="en-US"/>
        </w:rPr>
        <w:t xml:space="preserve"> kr̥</w:t>
      </w:r>
      <w:r w:rsidRPr="0071345C">
        <w:rPr>
          <w:i/>
          <w:iCs/>
          <w:lang w:val="en-US"/>
        </w:rPr>
        <w:t>ṇ</w:t>
      </w:r>
      <w:r w:rsidRPr="0071345C">
        <w:rPr>
          <w:i/>
          <w:iCs/>
          <w:lang w:val="en-US"/>
        </w:rPr>
        <w:t>avādíti</w:t>
      </w:r>
      <w:r w:rsidRPr="0071345C">
        <w:rPr>
          <w:lang w:val="en-US"/>
        </w:rPr>
        <w:t>.</w:t>
      </w:r>
    </w:p>
  </w:footnote>
  <w:footnote w:id="564">
    <w:p w14:paraId="332AE6FF"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Pr>
          <w:lang w:val="en-GB"/>
        </w:rPr>
        <w:t xml:space="preserve">As to the interpretation of the word </w:t>
      </w:r>
      <w:r>
        <w:rPr>
          <w:i/>
          <w:iCs/>
          <w:lang w:val="en-GB"/>
        </w:rPr>
        <w:t xml:space="preserve">nīsanam </w:t>
      </w:r>
      <w:r>
        <w:rPr>
          <w:lang w:val="en-GB"/>
        </w:rPr>
        <w:t xml:space="preserve">as </w:t>
      </w:r>
      <w:r>
        <w:rPr>
          <w:lang w:val="en-GB"/>
        </w:rPr>
        <w:t>“the bottom”, it is a conjectural</w:t>
      </w:r>
      <w:r>
        <w:rPr>
          <w:i/>
          <w:iCs/>
          <w:lang w:val="en-GB"/>
        </w:rPr>
        <w:t xml:space="preserve"> </w:t>
      </w:r>
      <w:r>
        <w:rPr>
          <w:lang w:val="en-GB"/>
        </w:rPr>
        <w:t>effort</w:t>
      </w:r>
      <w:r>
        <w:rPr>
          <w:i/>
          <w:iCs/>
          <w:lang w:val="en-GB"/>
        </w:rPr>
        <w:t xml:space="preserve"> </w:t>
      </w:r>
      <w:r>
        <w:rPr>
          <w:lang w:val="en-GB"/>
        </w:rPr>
        <w:t xml:space="preserve">to explain this </w:t>
      </w:r>
      <w:r>
        <w:rPr>
          <w:i/>
          <w:iCs/>
          <w:lang w:val="en-GB"/>
        </w:rPr>
        <w:t xml:space="preserve">hapax. </w:t>
      </w:r>
      <w:r>
        <w:rPr>
          <w:lang w:val="en-GB"/>
        </w:rPr>
        <w:t>The conjectural hypothesis is</w:t>
      </w:r>
      <w:r>
        <w:rPr>
          <w:lang w:val="en-GB"/>
        </w:rPr>
        <w:t xml:space="preserve"> the i.e. root *</w:t>
      </w:r>
      <w:r>
        <w:rPr>
          <w:i/>
          <w:iCs/>
          <w:lang w:val="en-GB"/>
        </w:rPr>
        <w:t>h</w:t>
      </w:r>
      <w:r>
        <w:rPr>
          <w:i/>
          <w:iCs/>
          <w:vertAlign w:val="subscript"/>
          <w:lang w:val="en-GB"/>
        </w:rPr>
        <w:t>1</w:t>
      </w:r>
      <w:r>
        <w:rPr>
          <w:i/>
          <w:iCs/>
          <w:sz w:val="18"/>
          <w:lang w:val="en-GB"/>
        </w:rPr>
        <w:t>eh</w:t>
      </w:r>
      <w:r>
        <w:rPr>
          <w:i/>
          <w:iCs/>
          <w:vertAlign w:val="subscript"/>
          <w:lang w:val="en-GB"/>
        </w:rPr>
        <w:t>1</w:t>
      </w:r>
      <w:r>
        <w:rPr>
          <w:i/>
          <w:iCs/>
          <w:sz w:val="18"/>
          <w:lang w:val="en-GB"/>
        </w:rPr>
        <w:t>s</w:t>
      </w:r>
      <w:r>
        <w:rPr>
          <w:lang w:val="en-GB"/>
        </w:rPr>
        <w:t xml:space="preserve">, (see EWAia: I 181) plus the prefix </w:t>
      </w:r>
      <w:r>
        <w:rPr>
          <w:i/>
          <w:iCs/>
          <w:lang w:val="en-GB"/>
        </w:rPr>
        <w:t xml:space="preserve">ni- </w:t>
      </w:r>
      <w:r>
        <w:rPr>
          <w:lang w:val="en-GB"/>
        </w:rPr>
        <w:t xml:space="preserve">and the </w:t>
      </w:r>
      <w:r>
        <w:rPr>
          <w:i/>
          <w:iCs/>
          <w:lang w:val="en-GB"/>
        </w:rPr>
        <w:t>kr̥t-</w:t>
      </w:r>
      <w:r>
        <w:rPr>
          <w:lang w:val="en-GB"/>
        </w:rPr>
        <w:t>suffix -</w:t>
      </w:r>
      <w:r>
        <w:rPr>
          <w:i/>
          <w:iCs/>
          <w:lang w:val="en-GB"/>
        </w:rPr>
        <w:t>ana</w:t>
      </w:r>
      <w:r>
        <w:rPr>
          <w:lang w:val="en-GB"/>
        </w:rPr>
        <w:t>, which is used to create denominatives (cf. AiGr: II 2 ):</w:t>
      </w:r>
      <w:r>
        <w:rPr>
          <w:i/>
          <w:iCs/>
          <w:lang w:val="en-GB"/>
        </w:rPr>
        <w:t xml:space="preserve"> *ni Has-ana  &gt; *n</w:t>
      </w:r>
      <w:r>
        <w:rPr>
          <w:i/>
          <w:iCs/>
          <w:lang w:val="en-GB"/>
        </w:rPr>
        <w:t xml:space="preserve">i Hs-ana </w:t>
      </w:r>
      <w:r>
        <w:rPr>
          <w:lang w:val="en-GB"/>
        </w:rPr>
        <w:t>(zero grade)&gt; *</w:t>
      </w:r>
      <w:r>
        <w:rPr>
          <w:i/>
          <w:iCs/>
          <w:lang w:val="en-GB"/>
        </w:rPr>
        <w:t xml:space="preserve">ni-hs-ana </w:t>
      </w:r>
      <w:r>
        <w:rPr>
          <w:lang w:val="en-GB"/>
        </w:rPr>
        <w:t>(therefore no cerebralization of the following sibilant and the lengthening of the previous vowel)</w:t>
      </w:r>
      <w:r>
        <w:rPr>
          <w:i/>
          <w:iCs/>
          <w:lang w:val="en-GB"/>
        </w:rPr>
        <w:t xml:space="preserve"> &gt; nīsana, </w:t>
      </w:r>
      <w:r>
        <w:rPr>
          <w:lang w:val="en-GB"/>
        </w:rPr>
        <w:t>instead of the regular</w:t>
      </w:r>
      <w:r>
        <w:rPr>
          <w:i/>
          <w:iCs/>
          <w:lang w:val="en-GB"/>
        </w:rPr>
        <w:t xml:space="preserve"> ni.āsana &gt; nyāsana.</w:t>
      </w:r>
      <w:r>
        <w:rPr>
          <w:lang w:val="en-GB"/>
        </w:rPr>
        <w:t xml:space="preserve"> I owe much of this hypothesis to Rainer Kimmig, who gave me important </w:t>
      </w:r>
      <w:r>
        <w:rPr>
          <w:lang w:val="en-GB"/>
        </w:rPr>
        <w:t xml:space="preserve">and decisive suggestions. </w:t>
      </w:r>
    </w:p>
  </w:footnote>
  <w:footnote w:id="565">
    <w:p w14:paraId="0FEC8E38"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The etymological pun with the root </w:t>
      </w:r>
      <w:r w:rsidRPr="0071345C">
        <w:rPr>
          <w:i/>
          <w:iCs/>
          <w:lang w:val="en-US"/>
        </w:rPr>
        <w:t xml:space="preserve">pyai- </w:t>
      </w:r>
      <w:r w:rsidRPr="0071345C">
        <w:rPr>
          <w:lang w:val="en-US"/>
        </w:rPr>
        <w:t xml:space="preserve">involves the verb </w:t>
      </w:r>
      <w:r w:rsidRPr="0071345C">
        <w:rPr>
          <w:i/>
          <w:iCs/>
          <w:lang w:val="en-US"/>
        </w:rPr>
        <w:t xml:space="preserve">prapyai- </w:t>
      </w:r>
      <w:r w:rsidRPr="0071345C">
        <w:rPr>
          <w:lang w:val="en-US"/>
        </w:rPr>
        <w:t xml:space="preserve">and the derivate noun </w:t>
      </w:r>
      <w:r w:rsidRPr="0071345C">
        <w:rPr>
          <w:i/>
          <w:iCs/>
          <w:lang w:val="en-US"/>
        </w:rPr>
        <w:t xml:space="preserve">payas-, </w:t>
      </w:r>
      <w:r w:rsidRPr="0071345C">
        <w:rPr>
          <w:lang w:val="en-US"/>
        </w:rPr>
        <w:t>the fluid that has swollen up and then has flowed, cf. EWAia: II 83 “Milch, Milchstrom (übertragen auch ‘Saft, Samen, Lebenskraf</w:t>
      </w:r>
      <w:r w:rsidRPr="0071345C">
        <w:rPr>
          <w:lang w:val="en-US"/>
        </w:rPr>
        <w:t xml:space="preserve">t’ u.a.)”. </w:t>
      </w:r>
      <w:r w:rsidRPr="0071345C">
        <w:rPr>
          <w:lang w:val="en-US"/>
        </w:rPr>
        <w:t xml:space="preserve"> </w:t>
      </w:r>
    </w:p>
  </w:footnote>
  <w:footnote w:id="566">
    <w:p w14:paraId="0118BC0F"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āréha</w:t>
      </w:r>
      <w:r w:rsidRPr="0071345C">
        <w:rPr>
          <w:i/>
          <w:iCs/>
          <w:lang w:val="en-US"/>
        </w:rPr>
        <w:t>ṇ</w:t>
      </w:r>
      <w:r w:rsidRPr="0071345C">
        <w:rPr>
          <w:i/>
          <w:iCs/>
          <w:lang w:val="en-US"/>
        </w:rPr>
        <w:t xml:space="preserve">a, </w:t>
      </w:r>
      <w:r w:rsidRPr="0071345C">
        <w:rPr>
          <w:lang w:val="en-US"/>
        </w:rPr>
        <w:t>Sāya</w:t>
      </w:r>
      <w:r w:rsidRPr="0071345C">
        <w:rPr>
          <w:lang w:val="en-US"/>
        </w:rPr>
        <w:t>ṇ</w:t>
      </w:r>
      <w:r w:rsidRPr="0071345C">
        <w:rPr>
          <w:lang w:val="en-US"/>
        </w:rPr>
        <w:t xml:space="preserve">a explains it with </w:t>
      </w:r>
      <w:r w:rsidRPr="0071345C">
        <w:rPr>
          <w:i/>
          <w:iCs/>
          <w:lang w:val="en-US"/>
        </w:rPr>
        <w:t>āsvādanīyam</w:t>
      </w:r>
      <w:r w:rsidRPr="0071345C">
        <w:rPr>
          <w:lang w:val="en-US"/>
        </w:rPr>
        <w:t xml:space="preserve"> “something to be enjoyed by tasting”, cf. </w:t>
      </w:r>
      <w:r w:rsidRPr="0071345C">
        <w:rPr>
          <w:i/>
          <w:iCs/>
          <w:lang w:val="en-US"/>
        </w:rPr>
        <w:t xml:space="preserve">rih- </w:t>
      </w:r>
      <w:r w:rsidRPr="0071345C">
        <w:rPr>
          <w:lang w:val="en-US"/>
        </w:rPr>
        <w:t>“to lick, to kiss”.</w:t>
      </w:r>
    </w:p>
  </w:footnote>
  <w:footnote w:id="567">
    <w:p w14:paraId="2CF34A64" w14:textId="77777777" w:rsidR="00E53EB6" w:rsidRDefault="006500F5">
      <w:pPr>
        <w:pStyle w:val="FootnoteText"/>
        <w:rPr>
          <w:lang w:val="en-GB"/>
        </w:rPr>
      </w:pPr>
      <w:r>
        <w:rPr>
          <w:rStyle w:val="FootnoteCharacters"/>
        </w:rPr>
        <w:footnoteRef/>
      </w:r>
      <w:r>
        <w:rPr>
          <w:lang w:val="en-GB"/>
        </w:rPr>
        <w:tab/>
        <w:t xml:space="preserve"> Sāya</w:t>
      </w:r>
      <w:r>
        <w:rPr>
          <w:lang w:val="en-GB"/>
        </w:rPr>
        <w:t>ṇ</w:t>
      </w:r>
      <w:r>
        <w:rPr>
          <w:lang w:val="en-GB"/>
        </w:rPr>
        <w:t>a paraphrases “amŕ̥tam” with “amr̥tatvaprāpakam”, it is not the immortality but rather what leads to it; as to the conn</w:t>
      </w:r>
      <w:r>
        <w:rPr>
          <w:lang w:val="en-GB"/>
        </w:rPr>
        <w:t xml:space="preserve">ection between </w:t>
      </w:r>
      <w:r>
        <w:rPr>
          <w:i/>
          <w:iCs/>
          <w:lang w:val="en-GB"/>
        </w:rPr>
        <w:t xml:space="preserve">amŕ̥ta- </w:t>
      </w:r>
      <w:r>
        <w:rPr>
          <w:lang w:val="en-GB"/>
        </w:rPr>
        <w:t xml:space="preserve">and ambrosia, see </w:t>
      </w:r>
      <w:r>
        <w:rPr>
          <w:rStyle w:val="biblio-authorGEN"/>
          <w:sz w:val="18"/>
          <w:szCs w:val="15"/>
          <w:lang w:val="en-GB"/>
        </w:rPr>
        <w:t>Lazzeroni</w:t>
      </w:r>
      <w:r>
        <w:rPr>
          <w:lang w:val="en-GB"/>
        </w:rPr>
        <w:t xml:space="preserve"> 1998: </w:t>
      </w:r>
      <w:r>
        <w:rPr>
          <w:lang w:val="en-GB"/>
        </w:rPr>
        <w:t>65-80.</w:t>
      </w:r>
    </w:p>
  </w:footnote>
  <w:footnote w:id="568">
    <w:p w14:paraId="0C79A7FD" w14:textId="77777777" w:rsidR="00E53EB6" w:rsidRPr="0071345C" w:rsidRDefault="006500F5">
      <w:pPr>
        <w:pStyle w:val="FootnoteText"/>
        <w:rPr>
          <w:i/>
          <w:iCs/>
          <w:lang w:val="en-US"/>
        </w:rPr>
      </w:pPr>
      <w:r>
        <w:rPr>
          <w:rStyle w:val="FootnoteCharacters"/>
        </w:rPr>
        <w:footnoteRef/>
      </w:r>
      <w:r>
        <w:rPr>
          <w:i/>
          <w:iCs/>
        </w:rPr>
        <w:tab/>
        <w:t xml:space="preserve"> pipr̥tām, </w:t>
      </w:r>
      <w:r>
        <w:t>impv. pres. 3</w:t>
      </w:r>
      <w:r>
        <w:rPr>
          <w:vertAlign w:val="superscript"/>
        </w:rPr>
        <w:t>rd</w:t>
      </w:r>
      <w:r>
        <w:t xml:space="preserve"> du. </w:t>
      </w:r>
      <w:r w:rsidRPr="0071345C">
        <w:rPr>
          <w:lang w:val="en-US"/>
        </w:rPr>
        <w:t xml:space="preserve">(K. reads </w:t>
      </w:r>
      <w:r w:rsidRPr="0071345C">
        <w:rPr>
          <w:i/>
          <w:iCs/>
          <w:lang w:val="en-US"/>
        </w:rPr>
        <w:t>pipr̥tāt</w:t>
      </w:r>
      <w:r w:rsidRPr="0071345C">
        <w:rPr>
          <w:lang w:val="en-US"/>
        </w:rPr>
        <w:t xml:space="preserve">) since </w:t>
      </w:r>
      <w:r w:rsidRPr="0071345C">
        <w:rPr>
          <w:i/>
          <w:iCs/>
          <w:lang w:val="en-US"/>
        </w:rPr>
        <w:t xml:space="preserve">pr̥- </w:t>
      </w:r>
      <w:r w:rsidRPr="0071345C">
        <w:rPr>
          <w:lang w:val="en-US"/>
        </w:rPr>
        <w:t xml:space="preserve">is always active, it may refer to Agni and Prajāpati or to Aditi and Prajāpati who are mentioned in the preceding </w:t>
      </w:r>
      <w:r w:rsidRPr="0071345C">
        <w:rPr>
          <w:lang w:val="en-US"/>
        </w:rPr>
        <w:t>verses.</w:t>
      </w:r>
    </w:p>
  </w:footnote>
  <w:footnote w:id="569">
    <w:p w14:paraId="322E42BB" w14:textId="77777777" w:rsidR="00E53EB6" w:rsidRDefault="006500F5">
      <w:pPr>
        <w:pStyle w:val="FootnoteText"/>
        <w:suppressLineNumbers/>
        <w:spacing w:line="210" w:lineRule="exact"/>
        <w:ind w:left="240" w:hanging="240"/>
        <w:jc w:val="both"/>
      </w:pPr>
      <w:r>
        <w:rPr>
          <w:rStyle w:val="FootnoteCharacters"/>
        </w:rPr>
        <w:footnoteRef/>
      </w:r>
      <w:r>
        <w:rPr>
          <w:i/>
          <w:iCs/>
        </w:rPr>
        <w:tab/>
        <w:t xml:space="preserve"> </w:t>
      </w:r>
      <w:r w:rsidRPr="0071345C">
        <w:rPr>
          <w:i/>
          <w:iCs/>
        </w:rPr>
        <w:t xml:space="preserve">pravedo, </w:t>
      </w:r>
      <w:r w:rsidRPr="0071345C">
        <w:t>wrong reading for</w:t>
      </w:r>
      <w:r w:rsidRPr="0071345C">
        <w:rPr>
          <w:i/>
          <w:iCs/>
        </w:rPr>
        <w:t xml:space="preserve"> </w:t>
      </w:r>
      <w:r>
        <w:rPr>
          <w:i/>
          <w:iCs/>
        </w:rPr>
        <w:t xml:space="preserve">pravadá-, </w:t>
      </w:r>
      <w:r>
        <w:rPr>
          <w:sz w:val="18"/>
          <w:szCs w:val="18"/>
        </w:rPr>
        <w:t>PW:</w:t>
      </w:r>
      <w:r>
        <w:rPr>
          <w:rStyle w:val="biblio-authorGEN"/>
        </w:rPr>
        <w:t xml:space="preserve"> </w:t>
      </w:r>
      <w:r>
        <w:rPr>
          <w:sz w:val="18"/>
          <w:szCs w:val="15"/>
        </w:rPr>
        <w:t>“einen Laut von sich gebend: Trommel.”</w:t>
      </w:r>
    </w:p>
  </w:footnote>
  <w:footnote w:id="570">
    <w:p w14:paraId="33C2C967" w14:textId="77777777" w:rsidR="00E53EB6" w:rsidRDefault="006500F5">
      <w:pPr>
        <w:pStyle w:val="FootnoteText"/>
        <w:suppressLineNumbers/>
        <w:spacing w:line="210" w:lineRule="exact"/>
        <w:ind w:left="240" w:hanging="240"/>
        <w:jc w:val="both"/>
      </w:pPr>
      <w:r>
        <w:rPr>
          <w:rStyle w:val="FootnoteCharacters"/>
        </w:rPr>
        <w:footnoteRef/>
      </w:r>
      <w:r>
        <w:tab/>
        <w:t xml:space="preserve"> For </w:t>
      </w:r>
      <w:r>
        <w:rPr>
          <w:i/>
          <w:iCs/>
        </w:rPr>
        <w:t>vayuná-</w:t>
      </w:r>
      <w:r>
        <w:t xml:space="preserve"> as “path” but also  “way, art” </w:t>
      </w:r>
      <w:r>
        <w:t xml:space="preserve">see Pischel in </w:t>
      </w:r>
      <w:r>
        <w:rPr>
          <w:rStyle w:val="biblio-authorGEN"/>
          <w:sz w:val="18"/>
          <w:szCs w:val="18"/>
        </w:rPr>
        <w:t>Pischel-Geldner (</w:t>
      </w:r>
      <w:r>
        <w:rPr>
          <w:rStyle w:val="biblio-authorGEN"/>
          <w:rFonts w:eastAsia="Arial Unicode MS" w:cs="Times Ext Roman"/>
          <w:sz w:val="18"/>
          <w:szCs w:val="18"/>
        </w:rPr>
        <w:t>1889-</w:t>
      </w:r>
      <w:r>
        <w:rPr>
          <w:rFonts w:eastAsia="Arial Unicode MS" w:cs="Times Ext Roman"/>
          <w:sz w:val="18"/>
          <w:szCs w:val="18"/>
        </w:rPr>
        <w:t>1901: I 295-308) 297 “die Arten des Kampfes”, and EWA</w:t>
      </w:r>
      <w:r>
        <w:rPr>
          <w:sz w:val="18"/>
          <w:szCs w:val="18"/>
        </w:rPr>
        <w:t>ia</w:t>
      </w:r>
      <w:r>
        <w:rPr>
          <w:rStyle w:val="biblio-authorGEN"/>
          <w:sz w:val="18"/>
          <w:szCs w:val="18"/>
        </w:rPr>
        <w:t>: II 510.</w:t>
      </w:r>
    </w:p>
  </w:footnote>
  <w:footnote w:id="571">
    <w:p w14:paraId="52B53EDC" w14:textId="77777777" w:rsidR="00E53EB6" w:rsidRPr="0071345C" w:rsidRDefault="006500F5">
      <w:pPr>
        <w:pStyle w:val="FootnoteText"/>
        <w:rPr>
          <w:i/>
          <w:iCs/>
          <w:lang w:val="en-US"/>
        </w:rPr>
      </w:pPr>
      <w:r>
        <w:rPr>
          <w:rStyle w:val="FootnoteCharacters"/>
        </w:rPr>
        <w:footnoteRef/>
      </w:r>
      <w:r w:rsidRPr="0071345C">
        <w:rPr>
          <w:i/>
          <w:iCs/>
          <w:lang w:val="en-US"/>
        </w:rPr>
        <w:tab/>
        <w:t xml:space="preserve"> vi bhaja, </w:t>
      </w:r>
      <w:r w:rsidRPr="0071345C">
        <w:rPr>
          <w:lang w:val="en-US"/>
        </w:rPr>
        <w:t>impv</w:t>
      </w:r>
      <w:r w:rsidRPr="0071345C">
        <w:rPr>
          <w:lang w:val="en-US"/>
        </w:rPr>
        <w:t>. pres. 2</w:t>
      </w:r>
      <w:r w:rsidRPr="0071345C">
        <w:rPr>
          <w:vertAlign w:val="superscript"/>
          <w:lang w:val="en-US"/>
        </w:rPr>
        <w:t>nd</w:t>
      </w:r>
      <w:r w:rsidRPr="0071345C">
        <w:rPr>
          <w:lang w:val="en-US"/>
        </w:rPr>
        <w:t xml:space="preserve"> sing. is referred to the drum mentioned in the first part within a metonymy for the fighting armies.</w:t>
      </w:r>
    </w:p>
  </w:footnote>
  <w:footnote w:id="572">
    <w:p w14:paraId="0E39563A"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i/>
          <w:iCs/>
          <w:lang w:val="en-US"/>
        </w:rPr>
        <w:tab/>
        <w:t xml:space="preserve"> viśvávyacā </w:t>
      </w:r>
      <w:r w:rsidRPr="0071345C">
        <w:rPr>
          <w:lang w:val="en-US"/>
        </w:rPr>
        <w:t>is usually referred to Aditi, cf.  AVŚ 12.3.12-13. In this stanza the person addressed is probably the corpse, see note to AVŚ 12</w:t>
      </w:r>
      <w:r w:rsidRPr="0071345C">
        <w:rPr>
          <w:lang w:val="en-US"/>
        </w:rPr>
        <w:t>.3.53.</w:t>
      </w:r>
    </w:p>
  </w:footnote>
  <w:footnote w:id="573">
    <w:p w14:paraId="48ADB833"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Pr>
          <w:i/>
          <w:iCs/>
          <w:lang w:val="en-GB"/>
        </w:rPr>
        <w:tab/>
        <w:t xml:space="preserve"> vr̥haspatāu </w:t>
      </w:r>
      <w:r>
        <w:rPr>
          <w:lang w:val="en-GB"/>
        </w:rPr>
        <w:t xml:space="preserve">wrong writing for </w:t>
      </w:r>
      <w:r>
        <w:rPr>
          <w:i/>
          <w:iCs/>
          <w:lang w:val="en-GB"/>
        </w:rPr>
        <w:t>br̥haspatāu.</w:t>
      </w:r>
    </w:p>
  </w:footnote>
  <w:footnote w:id="574">
    <w:p w14:paraId="4B806128" w14:textId="77777777" w:rsidR="00E53EB6" w:rsidRDefault="006500F5">
      <w:pPr>
        <w:pStyle w:val="FootnoteText"/>
        <w:suppressLineNumbers/>
        <w:spacing w:line="210" w:lineRule="exact"/>
        <w:ind w:left="240" w:hanging="240"/>
        <w:jc w:val="both"/>
      </w:pPr>
      <w:r>
        <w:rPr>
          <w:rStyle w:val="FootnoteCharacters"/>
        </w:rPr>
        <w:footnoteRef/>
      </w:r>
      <w:r>
        <w:tab/>
        <w:t xml:space="preserve"> See </w:t>
      </w:r>
      <w:r>
        <w:rPr>
          <w:rStyle w:val="biblio-authorGEN"/>
          <w:sz w:val="18"/>
          <w:szCs w:val="15"/>
        </w:rPr>
        <w:t>Griffiths</w:t>
      </w:r>
      <w:r>
        <w:t xml:space="preserve"> 2009: 139.</w:t>
      </w:r>
    </w:p>
  </w:footnote>
  <w:footnote w:id="575">
    <w:p w14:paraId="171C1333" w14:textId="77777777" w:rsidR="00E53EB6" w:rsidRDefault="006500F5">
      <w:pPr>
        <w:pStyle w:val="FootnoteText"/>
        <w:suppressLineNumbers/>
        <w:spacing w:line="210" w:lineRule="exact"/>
        <w:ind w:left="240" w:hanging="240"/>
        <w:jc w:val="both"/>
      </w:pPr>
      <w:r>
        <w:rPr>
          <w:rStyle w:val="FootnoteCharacters"/>
        </w:rPr>
        <w:footnoteRef/>
      </w:r>
      <w:r>
        <w:tab/>
        <w:t xml:space="preserve"> See PW: 901 “begehren, wünschen, lieben, mögen” as well as EWAia II 501.</w:t>
      </w:r>
    </w:p>
  </w:footnote>
  <w:footnote w:id="576">
    <w:p w14:paraId="2B1952F0" w14:textId="77777777" w:rsidR="00E53EB6" w:rsidRDefault="006500F5">
      <w:pPr>
        <w:pStyle w:val="FootnoteText"/>
        <w:suppressLineNumbers/>
        <w:spacing w:line="210" w:lineRule="exact"/>
        <w:ind w:left="240" w:hanging="240"/>
        <w:jc w:val="both"/>
      </w:pPr>
      <w:r>
        <w:rPr>
          <w:rStyle w:val="FootnoteCharacters"/>
        </w:rPr>
        <w:footnoteRef/>
      </w:r>
      <w:r>
        <w:tab/>
        <w:t xml:space="preserve"> Cf. AVP 2.90.2-4: </w:t>
      </w:r>
      <w:r>
        <w:rPr>
          <w:i/>
          <w:iCs/>
        </w:rPr>
        <w:t>vāñcha me pādau tanva</w:t>
      </w:r>
      <w:r>
        <w:rPr>
          <w:i/>
          <w:iCs/>
        </w:rPr>
        <w:t>ṃ</w:t>
      </w:r>
      <w:r>
        <w:rPr>
          <w:i/>
          <w:iCs/>
        </w:rPr>
        <w:t xml:space="preserve"> vāñchāk</w:t>
      </w:r>
      <w:r>
        <w:rPr>
          <w:i/>
          <w:iCs/>
        </w:rPr>
        <w:t>ṣ</w:t>
      </w:r>
      <w:r>
        <w:rPr>
          <w:i/>
          <w:iCs/>
        </w:rPr>
        <w:t>yau vāñcha sakthyau /ak</w:t>
      </w:r>
      <w:r>
        <w:rPr>
          <w:i/>
          <w:iCs/>
        </w:rPr>
        <w:t>ṣ</w:t>
      </w:r>
      <w:r>
        <w:rPr>
          <w:i/>
          <w:iCs/>
        </w:rPr>
        <w:t>yau vr̥</w:t>
      </w:r>
      <w:r>
        <w:rPr>
          <w:i/>
          <w:iCs/>
        </w:rPr>
        <w:t>ṣ</w:t>
      </w:r>
      <w:r>
        <w:rPr>
          <w:i/>
          <w:iCs/>
        </w:rPr>
        <w:t>a</w:t>
      </w:r>
      <w:r>
        <w:rPr>
          <w:i/>
          <w:iCs/>
        </w:rPr>
        <w:t>ṇ</w:t>
      </w:r>
      <w:r>
        <w:rPr>
          <w:i/>
          <w:iCs/>
        </w:rPr>
        <w:t>yantyā</w:t>
      </w:r>
      <w:r>
        <w:rPr>
          <w:i/>
          <w:iCs/>
        </w:rPr>
        <w:t>ḥ</w:t>
      </w:r>
      <w:r>
        <w:rPr>
          <w:i/>
          <w:iCs/>
        </w:rPr>
        <w:t xml:space="preserve"> keśā </w:t>
      </w:r>
      <w:r>
        <w:rPr>
          <w:i/>
          <w:iCs/>
          <w:u w:val="single"/>
        </w:rPr>
        <w:t>o</w:t>
      </w:r>
      <w:r>
        <w:rPr>
          <w:i/>
          <w:iCs/>
          <w:u w:val="single"/>
        </w:rPr>
        <w:t>ṣṭ</w:t>
      </w:r>
      <w:r>
        <w:rPr>
          <w:i/>
          <w:iCs/>
          <w:u w:val="single"/>
        </w:rPr>
        <w:t>hau</w:t>
      </w:r>
      <w:r>
        <w:rPr>
          <w:i/>
          <w:iCs/>
        </w:rPr>
        <w:t xml:space="preserve"> mā</w:t>
      </w:r>
      <w:r>
        <w:rPr>
          <w:i/>
          <w:iCs/>
        </w:rPr>
        <w:t>ṃ</w:t>
      </w:r>
      <w:r>
        <w:rPr>
          <w:i/>
          <w:iCs/>
        </w:rPr>
        <w:t xml:space="preserve"> te kāmena śu</w:t>
      </w:r>
      <w:r>
        <w:rPr>
          <w:i/>
          <w:iCs/>
        </w:rPr>
        <w:t>ṣ</w:t>
      </w:r>
      <w:r>
        <w:rPr>
          <w:i/>
          <w:iCs/>
        </w:rPr>
        <w:t>yatām // 2 mayi tvā do</w:t>
      </w:r>
      <w:r>
        <w:rPr>
          <w:i/>
          <w:iCs/>
        </w:rPr>
        <w:t>ṣ</w:t>
      </w:r>
      <w:r>
        <w:rPr>
          <w:i/>
          <w:iCs/>
        </w:rPr>
        <w:t>a</w:t>
      </w:r>
      <w:r>
        <w:rPr>
          <w:i/>
          <w:iCs/>
        </w:rPr>
        <w:t>ṇ</w:t>
      </w:r>
      <w:r>
        <w:rPr>
          <w:i/>
          <w:iCs/>
        </w:rPr>
        <w:t>iśli</w:t>
      </w:r>
      <w:r>
        <w:rPr>
          <w:i/>
          <w:iCs/>
        </w:rPr>
        <w:t>ṣ</w:t>
      </w:r>
      <w:r>
        <w:rPr>
          <w:i/>
          <w:iCs/>
        </w:rPr>
        <w:t>a</w:t>
      </w:r>
      <w:r>
        <w:rPr>
          <w:i/>
          <w:iCs/>
        </w:rPr>
        <w:t>ṃ</w:t>
      </w:r>
      <w:r>
        <w:rPr>
          <w:i/>
          <w:iCs/>
        </w:rPr>
        <w:t xml:space="preserve"> kr̥</w:t>
      </w:r>
      <w:r>
        <w:rPr>
          <w:i/>
          <w:iCs/>
        </w:rPr>
        <w:t>ṇ</w:t>
      </w:r>
      <w:r>
        <w:rPr>
          <w:i/>
          <w:iCs/>
        </w:rPr>
        <w:t>omi hr̥dayaśli</w:t>
      </w:r>
      <w:r>
        <w:rPr>
          <w:i/>
          <w:iCs/>
        </w:rPr>
        <w:t>ṣ</w:t>
      </w:r>
      <w:r>
        <w:rPr>
          <w:i/>
          <w:iCs/>
        </w:rPr>
        <w:t>am / yathā mama kratāvaso mam</w:t>
      </w:r>
      <w:r>
        <w:rPr>
          <w:i/>
          <w:iCs/>
          <w:u w:val="single"/>
        </w:rPr>
        <w:t xml:space="preserve">āścedasīdapi </w:t>
      </w:r>
      <w:r>
        <w:rPr>
          <w:i/>
          <w:iCs/>
        </w:rPr>
        <w:t xml:space="preserve">// </w:t>
      </w:r>
      <w:r>
        <w:rPr>
          <w:i/>
          <w:iCs/>
        </w:rPr>
        <w:t>3 yā́sā</w:t>
      </w:r>
      <w:r>
        <w:rPr>
          <w:i/>
          <w:iCs/>
        </w:rPr>
        <w:t>ṃ</w:t>
      </w:r>
      <w:r>
        <w:rPr>
          <w:i/>
          <w:iCs/>
        </w:rPr>
        <w:t xml:space="preserve"> nābhirāreha</w:t>
      </w:r>
      <w:r>
        <w:rPr>
          <w:i/>
          <w:iCs/>
        </w:rPr>
        <w:t>ṇ</w:t>
      </w:r>
      <w:r>
        <w:rPr>
          <w:i/>
          <w:iCs/>
        </w:rPr>
        <w:t>a</w:t>
      </w:r>
      <w:r>
        <w:rPr>
          <w:i/>
          <w:iCs/>
        </w:rPr>
        <w:t>ṃ</w:t>
      </w:r>
      <w:r>
        <w:rPr>
          <w:i/>
          <w:iCs/>
        </w:rPr>
        <w:t xml:space="preserve"> hr̥di sa</w:t>
      </w:r>
      <w:r>
        <w:rPr>
          <w:i/>
          <w:iCs/>
        </w:rPr>
        <w:t>ṃ</w:t>
      </w:r>
      <w:r>
        <w:rPr>
          <w:i/>
          <w:iCs/>
        </w:rPr>
        <w:t>vanana</w:t>
      </w:r>
      <w:r>
        <w:rPr>
          <w:i/>
          <w:iCs/>
        </w:rPr>
        <w:t>ṃ</w:t>
      </w:r>
      <w:r>
        <w:rPr>
          <w:i/>
          <w:iCs/>
        </w:rPr>
        <w:t xml:space="preserve"> kr̥tam gāvo ghr̥</w:t>
      </w:r>
      <w:r>
        <w:rPr>
          <w:i/>
          <w:iCs/>
        </w:rPr>
        <w:t>tasya mātaro ‘mū</w:t>
      </w:r>
      <w:r>
        <w:rPr>
          <w:i/>
          <w:iCs/>
        </w:rPr>
        <w:t>ṃ</w:t>
      </w:r>
      <w:r>
        <w:rPr>
          <w:i/>
          <w:iCs/>
        </w:rPr>
        <w:t xml:space="preserve"> sa</w:t>
      </w:r>
      <w:r>
        <w:rPr>
          <w:i/>
          <w:iCs/>
        </w:rPr>
        <w:t>ṃ</w:t>
      </w:r>
      <w:r>
        <w:rPr>
          <w:i/>
          <w:iCs/>
        </w:rPr>
        <w:t xml:space="preserve"> vānayantu me // 4</w:t>
      </w:r>
    </w:p>
  </w:footnote>
  <w:footnote w:id="577">
    <w:p w14:paraId="058F78A3" w14:textId="77777777" w:rsidR="00E53EB6" w:rsidRDefault="006500F5">
      <w:pPr>
        <w:pStyle w:val="FootnoteText"/>
        <w:suppressLineNumbers/>
        <w:spacing w:line="210" w:lineRule="exact"/>
        <w:ind w:left="240" w:hanging="240"/>
        <w:jc w:val="both"/>
      </w:pPr>
      <w:r>
        <w:rPr>
          <w:rStyle w:val="FootnoteCharacters"/>
        </w:rPr>
        <w:footnoteRef/>
      </w:r>
      <w:r>
        <w:tab/>
        <w:t xml:space="preserve"> </w:t>
      </w:r>
      <w:r>
        <w:rPr>
          <w:i/>
          <w:iCs/>
        </w:rPr>
        <w:t>vr̥</w:t>
      </w:r>
      <w:r>
        <w:rPr>
          <w:i/>
          <w:iCs/>
        </w:rPr>
        <w:t>ṣ</w:t>
      </w:r>
      <w:r>
        <w:rPr>
          <w:i/>
          <w:iCs/>
        </w:rPr>
        <w:t>a</w:t>
      </w:r>
      <w:r>
        <w:rPr>
          <w:i/>
          <w:iCs/>
        </w:rPr>
        <w:t>ṇ</w:t>
      </w:r>
      <w:r>
        <w:rPr>
          <w:i/>
          <w:iCs/>
        </w:rPr>
        <w:t xml:space="preserve">y- </w:t>
      </w:r>
      <w:r>
        <w:t>EWAia: II 577 “brünstig sein”.</w:t>
      </w:r>
    </w:p>
  </w:footnote>
  <w:footnote w:id="578">
    <w:p w14:paraId="6C13C893"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sidRPr="0071345C">
        <w:rPr>
          <w:i/>
          <w:iCs/>
          <w:lang w:val="en-US"/>
        </w:rPr>
        <w:t>mā́</w:t>
      </w:r>
      <w:r w:rsidRPr="0071345C">
        <w:rPr>
          <w:i/>
          <w:iCs/>
          <w:lang w:val="en-US"/>
        </w:rPr>
        <w:t>ṃ</w:t>
      </w:r>
      <w:r w:rsidRPr="0071345C">
        <w:rPr>
          <w:i/>
          <w:iCs/>
          <w:lang w:val="en-US"/>
        </w:rPr>
        <w:t xml:space="preserve"> </w:t>
      </w:r>
      <w:r w:rsidRPr="0071345C">
        <w:rPr>
          <w:lang w:val="en-US"/>
        </w:rPr>
        <w:t>can be also translated together with</w:t>
      </w:r>
      <w:r w:rsidRPr="0071345C">
        <w:rPr>
          <w:i/>
          <w:iCs/>
          <w:lang w:val="en-US"/>
        </w:rPr>
        <w:t xml:space="preserve"> kā́mena </w:t>
      </w:r>
      <w:r w:rsidRPr="0071345C">
        <w:rPr>
          <w:lang w:val="en-US"/>
        </w:rPr>
        <w:t xml:space="preserve">“through loving me” cf. </w:t>
      </w:r>
      <w:r w:rsidRPr="0071345C">
        <w:rPr>
          <w:smallCaps/>
          <w:sz w:val="18"/>
          <w:szCs w:val="18"/>
          <w:lang w:val="en-US"/>
        </w:rPr>
        <w:t xml:space="preserve">Whitney </w:t>
      </w:r>
      <w:r w:rsidRPr="0071345C">
        <w:rPr>
          <w:sz w:val="18"/>
          <w:szCs w:val="18"/>
          <w:lang w:val="en-US"/>
        </w:rPr>
        <w:t>1888: § 272.</w:t>
      </w:r>
    </w:p>
  </w:footnote>
  <w:footnote w:id="579">
    <w:p w14:paraId="4E02948E" w14:textId="77777777" w:rsidR="00E53EB6" w:rsidRDefault="006500F5">
      <w:pPr>
        <w:pStyle w:val="FootnoteText"/>
        <w:rPr>
          <w:lang w:val="en-GB"/>
        </w:rPr>
      </w:pPr>
      <w:r>
        <w:rPr>
          <w:rStyle w:val="FootnoteCharacters"/>
        </w:rPr>
        <w:footnoteRef/>
      </w:r>
      <w:r>
        <w:rPr>
          <w:lang w:val="en-GB"/>
        </w:rPr>
        <w:tab/>
        <w:t xml:space="preserve"> </w:t>
      </w:r>
      <w:r>
        <w:rPr>
          <w:rFonts w:ascii="Sabon Unicode" w:hAnsi="Sabon Unicode"/>
          <w:sz w:val="18"/>
          <w:szCs w:val="18"/>
          <w:lang w:val="en-GB"/>
        </w:rPr>
        <w:t xml:space="preserve">Here the calf is the men speaking, as also confirmed by the parallel R̥V 10.145.6c-e </w:t>
      </w:r>
      <w:r>
        <w:rPr>
          <w:rFonts w:ascii="Sabon Unicode" w:hAnsi="Sabon Unicode"/>
          <w:i/>
          <w:iCs/>
          <w:sz w:val="18"/>
          <w:szCs w:val="18"/>
          <w:lang w:val="en-GB"/>
        </w:rPr>
        <w:t>mā́m ánu prá te máno vatsá</w:t>
      </w:r>
      <w:r>
        <w:rPr>
          <w:rFonts w:ascii="Sabon Unicode" w:hAnsi="Sabon Unicode"/>
          <w:i/>
          <w:iCs/>
          <w:sz w:val="18"/>
          <w:szCs w:val="18"/>
          <w:lang w:val="en-GB"/>
        </w:rPr>
        <w:t>ṃ</w:t>
      </w:r>
      <w:r>
        <w:rPr>
          <w:rFonts w:ascii="Sabon Unicode" w:hAnsi="Sabon Unicode"/>
          <w:i/>
          <w:iCs/>
          <w:sz w:val="18"/>
          <w:szCs w:val="18"/>
          <w:lang w:val="en-GB"/>
        </w:rPr>
        <w:t xml:space="preserve"> gaúr iva dhāvatu pathā́ vā́r iva dhāvatu.</w:t>
      </w:r>
      <w:r>
        <w:rPr>
          <w:i/>
          <w:iCs/>
          <w:lang w:val="en-GB"/>
        </w:rPr>
        <w:t xml:space="preserve"> </w:t>
      </w:r>
    </w:p>
  </w:footnote>
  <w:footnote w:id="580">
    <w:p w14:paraId="5409EDD1"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w:t>
      </w:r>
      <w:r>
        <w:rPr>
          <w:rFonts w:ascii="Sabon Unicode" w:hAnsi="Sabon Unicode"/>
          <w:sz w:val="18"/>
          <w:szCs w:val="18"/>
          <w:lang w:val="en-GB"/>
        </w:rPr>
        <w:t xml:space="preserve">In this </w:t>
      </w:r>
      <w:r>
        <w:rPr>
          <w:rFonts w:ascii="Sabon Unicode" w:hAnsi="Sabon Unicode"/>
          <w:sz w:val="18"/>
          <w:szCs w:val="18"/>
          <w:lang w:val="en-GB"/>
        </w:rPr>
        <w:t>section</w:t>
      </w:r>
      <w:r>
        <w:rPr>
          <w:rFonts w:ascii="Sabon Unicode" w:hAnsi="Sabon Unicode"/>
          <w:sz w:val="18"/>
          <w:szCs w:val="18"/>
          <w:lang w:val="en-GB"/>
        </w:rPr>
        <w:t xml:space="preserve"> all the occurrences of the verb </w:t>
      </w:r>
      <w:r>
        <w:rPr>
          <w:rFonts w:ascii="Sabon Unicode" w:hAnsi="Sabon Unicode"/>
          <w:i/>
          <w:sz w:val="18"/>
          <w:szCs w:val="18"/>
          <w:lang w:val="en-GB"/>
        </w:rPr>
        <w:t xml:space="preserve">vāñch- </w:t>
      </w:r>
      <w:r>
        <w:rPr>
          <w:rFonts w:ascii="Sabon Unicode" w:hAnsi="Sabon Unicode"/>
          <w:sz w:val="18"/>
          <w:szCs w:val="18"/>
          <w:lang w:val="en-GB"/>
        </w:rPr>
        <w:t xml:space="preserve">have been taken into account except for AVP(K.) 20.23.4 </w:t>
      </w:r>
      <w:r>
        <w:rPr>
          <w:rFonts w:ascii="Sabon Unicode" w:hAnsi="Sabon Unicode"/>
          <w:i/>
          <w:sz w:val="18"/>
          <w:szCs w:val="18"/>
          <w:lang w:val="en-GB"/>
        </w:rPr>
        <w:t>e</w:t>
      </w:r>
      <w:r>
        <w:rPr>
          <w:rFonts w:ascii="Sabon Unicode" w:hAnsi="Sabon Unicode"/>
          <w:i/>
          <w:sz w:val="18"/>
          <w:szCs w:val="18"/>
          <w:lang w:val="en-GB"/>
        </w:rPr>
        <w:t>ṣ</w:t>
      </w:r>
      <w:r>
        <w:rPr>
          <w:rFonts w:ascii="Sabon Unicode" w:hAnsi="Sabon Unicode"/>
          <w:i/>
          <w:sz w:val="18"/>
          <w:szCs w:val="18"/>
          <w:lang w:val="en-GB"/>
        </w:rPr>
        <w:t>a te agne vatsa ta</w:t>
      </w:r>
      <w:r>
        <w:rPr>
          <w:rFonts w:ascii="Sabon Unicode" w:hAnsi="Sabon Unicode"/>
          <w:i/>
          <w:sz w:val="18"/>
          <w:szCs w:val="18"/>
          <w:lang w:val="en-GB"/>
        </w:rPr>
        <w:t>ṃ</w:t>
      </w:r>
      <w:r>
        <w:rPr>
          <w:rFonts w:ascii="Sabon Unicode" w:hAnsi="Sabon Unicode"/>
          <w:i/>
          <w:sz w:val="18"/>
          <w:szCs w:val="18"/>
          <w:lang w:val="en-GB"/>
        </w:rPr>
        <w:t xml:space="preserve"> vāñcchas ta</w:t>
      </w:r>
      <w:r>
        <w:rPr>
          <w:rFonts w:ascii="Sabon Unicode" w:hAnsi="Sabon Unicode"/>
          <w:i/>
          <w:sz w:val="18"/>
          <w:szCs w:val="18"/>
          <w:lang w:val="en-GB"/>
        </w:rPr>
        <w:t>ṃ</w:t>
      </w:r>
      <w:r>
        <w:rPr>
          <w:rFonts w:ascii="Sabon Unicode" w:hAnsi="Sabon Unicode"/>
          <w:i/>
          <w:sz w:val="18"/>
          <w:szCs w:val="18"/>
          <w:lang w:val="en-GB"/>
        </w:rPr>
        <w:t xml:space="preserve"> satyam agni</w:t>
      </w:r>
      <w:r>
        <w:rPr>
          <w:rFonts w:ascii="Sabon Unicode" w:hAnsi="Sabon Unicode"/>
          <w:i/>
          <w:sz w:val="18"/>
          <w:szCs w:val="18"/>
          <w:lang w:val="en-GB"/>
        </w:rPr>
        <w:t>ṃ</w:t>
      </w:r>
      <w:r>
        <w:rPr>
          <w:rFonts w:ascii="Sabon Unicode" w:hAnsi="Sabon Unicode"/>
          <w:i/>
          <w:sz w:val="18"/>
          <w:szCs w:val="18"/>
          <w:lang w:val="en-GB"/>
        </w:rPr>
        <w:t xml:space="preserve"> vrūma</w:t>
      </w:r>
      <w:r>
        <w:rPr>
          <w:rFonts w:ascii="Sabon Unicode" w:hAnsi="Sabon Unicode"/>
          <w:i/>
          <w:sz w:val="18"/>
          <w:szCs w:val="18"/>
          <w:lang w:val="en-GB"/>
        </w:rPr>
        <w:t>ḥ</w:t>
      </w:r>
      <w:r>
        <w:rPr>
          <w:rFonts w:ascii="Sabon Unicode" w:hAnsi="Sabon Unicode"/>
          <w:i/>
          <w:sz w:val="18"/>
          <w:szCs w:val="18"/>
          <w:lang w:val="en-GB"/>
        </w:rPr>
        <w:t>.</w:t>
      </w:r>
      <w:r>
        <w:rPr>
          <w:rFonts w:ascii="Sabon Unicode" w:hAnsi="Sabon Unicode"/>
          <w:sz w:val="18"/>
          <w:szCs w:val="18"/>
          <w:lang w:val="en-GB"/>
        </w:rPr>
        <w:t xml:space="preserve"> Its meaning is quite unclear and does not seem to add any interesting information to the analysis.</w:t>
      </w:r>
      <w:r w:rsidRPr="0071345C">
        <w:rPr>
          <w:rFonts w:ascii="Sabon Unicode" w:hAnsi="Sabon Unicode"/>
          <w:sz w:val="18"/>
          <w:szCs w:val="18"/>
          <w:lang w:val="en-US"/>
        </w:rPr>
        <w:t xml:space="preserve">  </w:t>
      </w:r>
    </w:p>
  </w:footnote>
  <w:footnote w:id="581">
    <w:p w14:paraId="1BF549CA" w14:textId="77777777" w:rsidR="00E53EB6" w:rsidRPr="0071345C" w:rsidRDefault="006500F5">
      <w:pPr>
        <w:pStyle w:val="FootnoteText"/>
        <w:suppressLineNumbers/>
        <w:spacing w:line="210" w:lineRule="exact"/>
        <w:ind w:left="240" w:hanging="240"/>
        <w:jc w:val="both"/>
        <w:rPr>
          <w:lang w:val="en-US"/>
        </w:rPr>
      </w:pPr>
      <w:r>
        <w:rPr>
          <w:rStyle w:val="FootnoteCharacters"/>
        </w:rPr>
        <w:footnoteRef/>
      </w:r>
      <w:r w:rsidRPr="0071345C">
        <w:rPr>
          <w:lang w:val="en-US"/>
        </w:rPr>
        <w:tab/>
        <w:t xml:space="preserve"> As to the chronologically and socially v</w:t>
      </w:r>
      <w:r w:rsidRPr="0071345C">
        <w:rPr>
          <w:lang w:val="en-US"/>
        </w:rPr>
        <w:t>ariegated components of the Atharvaveda Sa</w:t>
      </w:r>
      <w:r w:rsidRPr="0071345C">
        <w:rPr>
          <w:lang w:val="en-US"/>
        </w:rPr>
        <w:t>ṃ</w:t>
      </w:r>
      <w:r w:rsidRPr="0071345C">
        <w:rPr>
          <w:lang w:val="en-US"/>
        </w:rPr>
        <w:t>hitās, see above §IV.2.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D22E0" w14:textId="51CAC93A" w:rsidR="00E53EB6" w:rsidRDefault="00E53EB6" w:rsidP="0071345C">
    <w:pPr>
      <w:pStyle w:val="HeaderLeft"/>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98003" w14:textId="2F61D0A5" w:rsidR="00E53EB6" w:rsidRDefault="006500F5">
    <w:pPr>
      <w:pStyle w:val="HeaderLeft"/>
    </w:pPr>
    <w:r>
      <w:fldChar w:fldCharType="begin"/>
    </w:r>
    <w:r>
      <w:instrText>STYLEREF  2 \* MERGEFORMAT</w:instrText>
    </w:r>
    <w:r>
      <w:fldChar w:fldCharType="separate"/>
    </w:r>
    <w:r w:rsidR="0071345C">
      <w:rPr>
        <w:noProof/>
      </w:rPr>
      <w:t>III.3 Analysis of the Occurrences</w:t>
    </w:r>
    <w: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2A8AF" w14:textId="25E2C2A0" w:rsidR="00E53EB6" w:rsidRDefault="006500F5">
    <w:pPr>
      <w:pStyle w:val="Header"/>
    </w:pPr>
    <w:r>
      <w:fldChar w:fldCharType="begin"/>
    </w:r>
    <w:r>
      <w:instrText>STYLEREF  1 \* MERGEFORMAT</w:instrText>
    </w:r>
    <w:r>
      <w:fldChar w:fldCharType="separate"/>
    </w:r>
    <w:r w:rsidR="0071345C">
      <w:rPr>
        <w:noProof/>
      </w:rPr>
      <w:t>III. Post-R̥gvedic Developments: a Diachronic Analysis</w:t>
    </w:r>
    <w: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7F8C6" w14:textId="0C4FBEEE" w:rsidR="00E53EB6" w:rsidRDefault="006500F5">
    <w:pPr>
      <w:pStyle w:val="HeaderLeft"/>
    </w:pPr>
    <w:r>
      <w:fldChar w:fldCharType="begin"/>
    </w:r>
    <w:r>
      <w:instrText>STYLEREF  2 \* MERGEFORMAT</w:instrText>
    </w:r>
    <w:r>
      <w:fldChar w:fldCharType="separate"/>
    </w:r>
    <w:r w:rsidR="0071345C">
      <w:rPr>
        <w:noProof/>
      </w:rPr>
      <w:t>IV.2 The Atharvaveda: Diastratic Evidences on van- / vani-</w:t>
    </w:r>
    <w: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37809" w14:textId="546899B5" w:rsidR="00E53EB6" w:rsidRDefault="006500F5">
    <w:pPr>
      <w:pStyle w:val="Header"/>
    </w:pPr>
    <w:r>
      <w:fldChar w:fldCharType="begin"/>
    </w:r>
    <w:r>
      <w:instrText>STYLEREF  1 \* MERGEFORMAT</w:instrText>
    </w:r>
    <w:r>
      <w:fldChar w:fldCharType="separate"/>
    </w:r>
    <w:r w:rsidR="0071345C">
      <w:rPr>
        <w:noProof/>
      </w:rPr>
      <w:t>IV. “To desire”: a Synchronic Analysis</w:t>
    </w:r>
    <w: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03125" w14:textId="10CDEF88" w:rsidR="00E53EB6" w:rsidRDefault="006500F5">
    <w:pPr>
      <w:pStyle w:val="HeaderLeft"/>
    </w:pPr>
    <w:r>
      <w:fldChar w:fldCharType="begin"/>
    </w:r>
    <w:r>
      <w:instrText>STYLEREF  2 \* MERGEFORMAT</w:instrText>
    </w:r>
    <w:r>
      <w:fldChar w:fldCharType="separate"/>
    </w:r>
    <w:r w:rsidR="004F622E">
      <w:rPr>
        <w:noProof/>
      </w:rPr>
      <w:t>V.2 Diastratic Analysis: A Social Counterpart?</w:t>
    </w:r>
    <w: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8D54B" w14:textId="0BAA9C86" w:rsidR="00E53EB6" w:rsidRDefault="006500F5">
    <w:pPr>
      <w:pStyle w:val="Header"/>
    </w:pPr>
    <w:r>
      <w:fldChar w:fldCharType="begin"/>
    </w:r>
    <w:r>
      <w:instrText>STYLEREF  1 \* MERGEFORMAT</w:instrText>
    </w:r>
    <w:r>
      <w:fldChar w:fldCharType="separate"/>
    </w:r>
    <w:r w:rsidR="004F622E">
      <w:rPr>
        <w:noProof/>
      </w:rPr>
      <w:t>V. Conclusions</w:t>
    </w:r>
    <w: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DEEBD" w14:textId="70605DBB" w:rsidR="00E53EB6" w:rsidRDefault="006500F5">
    <w:pPr>
      <w:pStyle w:val="HeaderLeft"/>
    </w:pPr>
    <w:r>
      <w:fldChar w:fldCharType="begin"/>
    </w:r>
    <w:r>
      <w:instrText>STYLEREF  2 \* MERGEFORMAT</w:instrText>
    </w:r>
    <w:r>
      <w:fldChar w:fldCharType="separate"/>
    </w:r>
    <w:r w:rsidR="004F622E">
      <w:rPr>
        <w:noProof/>
      </w:rPr>
      <w:t>VI.2 Data-base</w:t>
    </w:r>
    <w: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D8202" w14:textId="7E6B040F" w:rsidR="00E53EB6" w:rsidRDefault="006500F5">
    <w:pPr>
      <w:pStyle w:val="Header"/>
    </w:pPr>
    <w:r>
      <w:fldChar w:fldCharType="begin"/>
    </w:r>
    <w:r>
      <w:instrText>STYLEREF  1 \* MERGEFORMAT</w:instrText>
    </w:r>
    <w:r>
      <w:fldChar w:fldCharType="separate"/>
    </w:r>
    <w:r w:rsidR="004F622E">
      <w:rPr>
        <w:noProof/>
      </w:rPr>
      <w:t>VI. Appendix</w:t>
    </w:r>
    <w: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30C99" w14:textId="5324351A" w:rsidR="00E53EB6" w:rsidRDefault="006500F5">
    <w:pPr>
      <w:pStyle w:val="HeaderLeft"/>
    </w:pPr>
    <w:r>
      <w:fldChar w:fldCharType="begin"/>
    </w:r>
    <w:r>
      <w:instrText>STYLEREF  2 \* MERGEFORMAT</w:instrText>
    </w:r>
    <w:r>
      <w:fldChar w:fldCharType="separate"/>
    </w:r>
    <w:r w:rsidR="004F622E">
      <w:rPr>
        <w:noProof/>
      </w:rPr>
      <w:t>Secondary literature</w:t>
    </w:r>
    <w: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4A72F" w14:textId="3AD39A5C" w:rsidR="00E53EB6" w:rsidRDefault="006500F5">
    <w:pPr>
      <w:pStyle w:val="Header"/>
    </w:pPr>
    <w:r>
      <w:fldChar w:fldCharType="begin"/>
    </w:r>
    <w:r>
      <w:instrText>STYLEREF  1 \* MERGEFORMAT</w:instrText>
    </w:r>
    <w:r>
      <w:fldChar w:fldCharType="separate"/>
    </w:r>
    <w:r w:rsidR="004F622E">
      <w:rPr>
        <w:noProof/>
      </w:rPr>
      <w:t>Bibliography</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5D526" w14:textId="220B0411" w:rsidR="00E53EB6" w:rsidRDefault="006500F5">
    <w:pPr>
      <w:pStyle w:val="HeaderLeft"/>
    </w:pPr>
    <w:r>
      <w:fldChar w:fldCharType="begin"/>
    </w:r>
    <w:r>
      <w:instrText>STYLEREF  2 \* MERGEFORMAT</w:instrText>
    </w:r>
    <w:r>
      <w:fldChar w:fldCharType="separate"/>
    </w:r>
    <w:r w:rsidR="004F622E">
      <w:rPr>
        <w:noProof/>
      </w:rPr>
      <w:t>Criteria of the work and selection of the texts</w:t>
    </w:r>
    <w: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B5767" w14:textId="50A8E3A2" w:rsidR="00E53EB6" w:rsidRDefault="006500F5">
    <w:pPr>
      <w:pStyle w:val="HeaderLeft"/>
    </w:pPr>
    <w:r>
      <w:fldChar w:fldCharType="begin"/>
    </w:r>
    <w:r>
      <w:instrText>STYLEREF  2 \* MERGEFORMAT</w:instrText>
    </w:r>
    <w:r>
      <w:fldChar w:fldCharType="separate"/>
    </w:r>
    <w:r w:rsidR="004F622E">
      <w:rPr>
        <w:noProof/>
      </w:rPr>
      <w:t>Secondary literature</w:t>
    </w:r>
    <w: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620FC" w14:textId="6099CB1C" w:rsidR="00E53EB6" w:rsidRDefault="006500F5">
    <w:pPr>
      <w:pStyle w:val="Header"/>
    </w:pPr>
    <w:r>
      <w:fldChar w:fldCharType="begin"/>
    </w:r>
    <w:r>
      <w:instrText>STYLEREF  1 \* MERGEFORMAT</w:instrText>
    </w:r>
    <w:r>
      <w:fldChar w:fldCharType="separate"/>
    </w:r>
    <w:r w:rsidR="004F622E">
      <w:rPr>
        <w:noProof/>
      </w:rPr>
      <w:t>Index Locorum</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233D8" w14:textId="0D644B2B" w:rsidR="00E53EB6" w:rsidRDefault="006500F5">
    <w:pPr>
      <w:pStyle w:val="Header"/>
    </w:pPr>
    <w:r>
      <w:fldChar w:fldCharType="begin"/>
    </w:r>
    <w:r>
      <w:instrText>STYLEREF  1 \* MERGEFORMAT</w:instrText>
    </w:r>
    <w:r>
      <w:fldChar w:fldCharType="separate"/>
    </w:r>
    <w:r w:rsidR="004F622E">
      <w:rPr>
        <w:noProof/>
      </w:rPr>
      <w:t>Introduction</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DDE63" w14:textId="7AA2719A" w:rsidR="00E53EB6" w:rsidRDefault="006500F5">
    <w:pPr>
      <w:pStyle w:val="HeaderLeft"/>
    </w:pPr>
    <w:r>
      <w:fldChar w:fldCharType="begin"/>
    </w:r>
    <w:r>
      <w:instrText>STYLEREF  2 \* MERGEFORMAT</w:instrText>
    </w:r>
    <w:r>
      <w:fldChar w:fldCharType="separate"/>
    </w:r>
    <w:r w:rsidR="0071345C">
      <w:rPr>
        <w:noProof/>
      </w:rPr>
      <w:t>I.2 R̥gvedic Evidences – van3: Hypothesis of a Nuclear Meaning.</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2D4DF" w14:textId="229CDD0C" w:rsidR="00E53EB6" w:rsidRDefault="006500F5">
    <w:pPr>
      <w:pStyle w:val="Header"/>
    </w:pPr>
    <w:r>
      <w:fldChar w:fldCharType="begin"/>
    </w:r>
    <w:r>
      <w:instrText>STYLEREF  1 \* MERGEFORMAT</w:instrText>
    </w:r>
    <w:r>
      <w:fldChar w:fldCharType="separate"/>
    </w:r>
    <w:r w:rsidR="0071345C">
      <w:rPr>
        <w:noProof/>
      </w:rPr>
      <w:t>I. Presentation of the Problem: Two Meanings and Two Roots?</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7394F" w14:textId="59B855F3" w:rsidR="00E53EB6" w:rsidRDefault="006500F5">
    <w:pPr>
      <w:pStyle w:val="HeaderLeft"/>
    </w:pPr>
    <w:r>
      <w:fldChar w:fldCharType="begin"/>
    </w:r>
    <w:r>
      <w:instrText>STYLEREF  2 \* MERGEFORMAT</w:instrText>
    </w:r>
    <w:r>
      <w:fldChar w:fldCharType="separate"/>
    </w:r>
    <w:r w:rsidR="0071345C">
      <w:rPr>
        <w:noProof/>
      </w:rPr>
      <w:t>II.3 Nuclear Meaning, Ritual Meaning and the Absence of “desire”</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6C5E8" w14:textId="0066C196" w:rsidR="00E53EB6" w:rsidRDefault="006500F5">
    <w:pPr>
      <w:pStyle w:val="Header"/>
    </w:pPr>
    <w:r>
      <w:fldChar w:fldCharType="begin"/>
    </w:r>
    <w:r>
      <w:instrText>STYLEREF  1 \* MERGEFORMAT</w:instrText>
    </w:r>
    <w:r>
      <w:fldChar w:fldCharType="separate"/>
    </w:r>
    <w:r w:rsidR="0071345C">
      <w:rPr>
        <w:noProof/>
      </w:rPr>
      <w:t>II The R̥gvedic Scenario</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9A053" w14:textId="2364B592" w:rsidR="00E53EB6" w:rsidRDefault="006500F5">
    <w:pPr>
      <w:pStyle w:val="HeaderLeft"/>
    </w:pPr>
    <w:r>
      <w:fldChar w:fldCharType="begin"/>
    </w:r>
    <w:r>
      <w:instrText>STYLEREF  2 \* MERGEFORMAT</w:instrText>
    </w:r>
    <w:r>
      <w:fldChar w:fldCharType="separate"/>
    </w:r>
    <w:r w:rsidR="0071345C">
      <w:rPr>
        <w:noProof/>
      </w:rPr>
      <w:t>III.2 Occurrences: R̥gvedic mantras, Non-R̥gvedic mantras and brāhmaṇa-portions</w:t>
    </w:r>
    <w: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A483D" w14:textId="271EE198" w:rsidR="00E53EB6" w:rsidRDefault="006500F5">
    <w:pPr>
      <w:pStyle w:val="Header"/>
    </w:pPr>
    <w:r>
      <w:fldChar w:fldCharType="begin"/>
    </w:r>
    <w:r>
      <w:instrText>STYLEREF  1 \* MERGEFORMAT</w:instrText>
    </w:r>
    <w:r>
      <w:fldChar w:fldCharType="separate"/>
    </w:r>
    <w:r w:rsidR="0071345C">
      <w:rPr>
        <w:noProof/>
      </w:rPr>
      <w:t>III. Post-R̥gvedic Developments: a Diachronic Analysis</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E108B"/>
    <w:multiLevelType w:val="multilevel"/>
    <w:tmpl w:val="A13E680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07BD1E0D"/>
    <w:multiLevelType w:val="multilevel"/>
    <w:tmpl w:val="2ABCBC5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B183DE3"/>
    <w:multiLevelType w:val="multilevel"/>
    <w:tmpl w:val="EBBAD5B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1EBD7D65"/>
    <w:multiLevelType w:val="multilevel"/>
    <w:tmpl w:val="E1FE5AE6"/>
    <w:lvl w:ilvl="0">
      <w:start w:val="1"/>
      <w:numFmt w:val="none"/>
      <w:pStyle w:val="Heading1"/>
      <w:lvlText w:val=""/>
      <w:lvlJc w:val="left"/>
      <w:pPr>
        <w:tabs>
          <w:tab w:val="num" w:pos="0"/>
        </w:tabs>
        <w:ind w:left="0" w:firstLine="0"/>
      </w:pPr>
    </w:lvl>
    <w:lvl w:ilvl="1">
      <w:start w:val="1"/>
      <w:numFmt w:val="none"/>
      <w:pStyle w:val="Heading2"/>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pStyle w:val="Heading4"/>
      <w:lvlText w:val=""/>
      <w:lvlJc w:val="left"/>
      <w:pPr>
        <w:tabs>
          <w:tab w:val="num" w:pos="0"/>
        </w:tabs>
        <w:ind w:left="0" w:firstLine="0"/>
      </w:pPr>
    </w:lvl>
    <w:lvl w:ilvl="4">
      <w:start w:val="1"/>
      <w:numFmt w:val="none"/>
      <w:pStyle w:val="Heading5"/>
      <w:lvlText w:val=""/>
      <w:lvlJc w:val="left"/>
      <w:pPr>
        <w:tabs>
          <w:tab w:val="num" w:pos="0"/>
        </w:tabs>
        <w:ind w:left="0" w:firstLine="0"/>
      </w:pPr>
    </w:lvl>
    <w:lvl w:ilvl="5">
      <w:start w:val="1"/>
      <w:numFmt w:val="none"/>
      <w:pStyle w:val="Heading6"/>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4" w15:restartNumberingAfterBreak="0">
    <w:nsid w:val="2EED7A85"/>
    <w:multiLevelType w:val="multilevel"/>
    <w:tmpl w:val="32F2B500"/>
    <w:lvl w:ilvl="0">
      <w:start w:val="1"/>
      <w:numFmt w:val="none"/>
      <w:pStyle w:val="Heading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 w15:restartNumberingAfterBreak="0">
    <w:nsid w:val="310C46DA"/>
    <w:multiLevelType w:val="multilevel"/>
    <w:tmpl w:val="9F60CB8A"/>
    <w:lvl w:ilvl="0">
      <w:start w:val="1"/>
      <w:numFmt w:val="decimal"/>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C813AEF"/>
    <w:multiLevelType w:val="multilevel"/>
    <w:tmpl w:val="6256D9A8"/>
    <w:lvl w:ilvl="0">
      <w:start w:val="1"/>
      <w:numFmt w:val="bullet"/>
      <w:lvlText w:val=""/>
      <w:lvlJc w:val="left"/>
      <w:pPr>
        <w:tabs>
          <w:tab w:val="num" w:pos="360"/>
        </w:tabs>
        <w:ind w:left="360" w:hanging="360"/>
      </w:pPr>
      <w:rPr>
        <w:rFonts w:ascii="Symbol" w:hAnsi="Symbol" w:cs="Symbol" w:hint="default"/>
      </w:r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080" w:hanging="360"/>
      </w:pPr>
      <w:rPr>
        <w:rFonts w:ascii="Symbol" w:hAnsi="Symbol" w:cs="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Symbol" w:hAnsi="Symbol" w:cs="Symbol" w:hint="default"/>
      </w:rPr>
    </w:lvl>
    <w:lvl w:ilvl="6">
      <w:start w:val="1"/>
      <w:numFmt w:val="bullet"/>
      <w:lvlText w:val=""/>
      <w:lvlJc w:val="left"/>
      <w:pPr>
        <w:tabs>
          <w:tab w:val="num" w:pos="2520"/>
        </w:tabs>
        <w:ind w:left="2520" w:hanging="360"/>
      </w:pPr>
      <w:rPr>
        <w:rFonts w:ascii="Symbol" w:hAnsi="Symbol" w:cs="Symbol"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7" w15:restartNumberingAfterBreak="0">
    <w:nsid w:val="4F232AD7"/>
    <w:multiLevelType w:val="multilevel"/>
    <w:tmpl w:val="74E03800"/>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1080"/>
        </w:tabs>
        <w:ind w:left="1080" w:hanging="360"/>
      </w:pPr>
      <w:rPr>
        <w:rFonts w:ascii="Wingdings 2" w:hAnsi="Wingdings 2" w:cs="Wingdings 2" w:hint="default"/>
      </w:rPr>
    </w:lvl>
    <w:lvl w:ilvl="2">
      <w:start w:val="1"/>
      <w:numFmt w:val="bullet"/>
      <w:lvlText w:val="■"/>
      <w:lvlJc w:val="left"/>
      <w:pPr>
        <w:tabs>
          <w:tab w:val="num" w:pos="1440"/>
        </w:tabs>
        <w:ind w:left="1440" w:hanging="360"/>
      </w:pPr>
      <w:rPr>
        <w:rFonts w:ascii="StarSymbol" w:hAnsi="StarSymbol" w:cs="StarSymbol"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2" w:hAnsi="Wingdings 2" w:cs="Wingdings 2" w:hint="default"/>
      </w:rPr>
    </w:lvl>
    <w:lvl w:ilvl="5">
      <w:start w:val="1"/>
      <w:numFmt w:val="bullet"/>
      <w:lvlText w:val="■"/>
      <w:lvlJc w:val="left"/>
      <w:pPr>
        <w:tabs>
          <w:tab w:val="num" w:pos="2520"/>
        </w:tabs>
        <w:ind w:left="2520" w:hanging="360"/>
      </w:pPr>
      <w:rPr>
        <w:rFonts w:ascii="StarSymbol" w:hAnsi="StarSymbol" w:cs="StarSymbol"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2" w:hAnsi="Wingdings 2" w:cs="Wingdings 2" w:hint="default"/>
      </w:rPr>
    </w:lvl>
    <w:lvl w:ilvl="8">
      <w:start w:val="1"/>
      <w:numFmt w:val="bullet"/>
      <w:lvlText w:val="■"/>
      <w:lvlJc w:val="left"/>
      <w:pPr>
        <w:tabs>
          <w:tab w:val="num" w:pos="3600"/>
        </w:tabs>
        <w:ind w:left="3600" w:hanging="360"/>
      </w:pPr>
      <w:rPr>
        <w:rFonts w:ascii="StarSymbol" w:hAnsi="StarSymbol" w:cs="StarSymbol" w:hint="default"/>
      </w:rPr>
    </w:lvl>
  </w:abstractNum>
  <w:abstractNum w:abstractNumId="8" w15:restartNumberingAfterBreak="0">
    <w:nsid w:val="4F746489"/>
    <w:multiLevelType w:val="multilevel"/>
    <w:tmpl w:val="685C1EFA"/>
    <w:lvl w:ilvl="0">
      <w:start w:val="1"/>
      <w:numFmt w:val="none"/>
      <w:suff w:val="nothing"/>
      <w:lvlText w:val=""/>
      <w:lvlJc w:val="left"/>
      <w:pPr>
        <w:tabs>
          <w:tab w:val="num" w:pos="0"/>
        </w:tabs>
        <w:ind w:left="0" w:firstLine="0"/>
      </w:pPr>
      <w:rPr>
        <w:rFonts w:cs="Times New Roman"/>
      </w:rPr>
    </w:lvl>
    <w:lvl w:ilvl="1">
      <w:start w:val="1"/>
      <w:numFmt w:val="none"/>
      <w:suff w:val="nothing"/>
      <w:lvlText w:val=""/>
      <w:lvlJc w:val="left"/>
      <w:pPr>
        <w:tabs>
          <w:tab w:val="num" w:pos="0"/>
        </w:tabs>
        <w:ind w:left="0" w:firstLine="0"/>
      </w:pPr>
      <w:rPr>
        <w:rFonts w:cs="Times New Roman"/>
      </w:rPr>
    </w:lvl>
    <w:lvl w:ilvl="2">
      <w:start w:val="1"/>
      <w:numFmt w:val="none"/>
      <w:suff w:val="nothing"/>
      <w:lvlText w:val=""/>
      <w:lvlJc w:val="left"/>
      <w:pPr>
        <w:tabs>
          <w:tab w:val="num" w:pos="0"/>
        </w:tabs>
        <w:ind w:left="0" w:firstLine="0"/>
      </w:pPr>
      <w:rPr>
        <w:rFonts w:cs="Times New Roman"/>
      </w:rPr>
    </w:lvl>
    <w:lvl w:ilvl="3">
      <w:start w:val="1"/>
      <w:numFmt w:val="none"/>
      <w:suff w:val="nothing"/>
      <w:lvlText w:val=""/>
      <w:lvlJc w:val="left"/>
      <w:pPr>
        <w:tabs>
          <w:tab w:val="num" w:pos="0"/>
        </w:tabs>
        <w:ind w:left="0" w:firstLine="0"/>
      </w:pPr>
      <w:rPr>
        <w:rFonts w:cs="Times New Roman"/>
      </w:rPr>
    </w:lvl>
    <w:lvl w:ilvl="4">
      <w:start w:val="1"/>
      <w:numFmt w:val="none"/>
      <w:suff w:val="nothing"/>
      <w:lvlText w:val=""/>
      <w:lvlJc w:val="left"/>
      <w:pPr>
        <w:tabs>
          <w:tab w:val="num" w:pos="0"/>
        </w:tabs>
        <w:ind w:left="0" w:firstLine="0"/>
      </w:pPr>
      <w:rPr>
        <w:rFonts w:cs="Times New Roman"/>
      </w:rPr>
    </w:lvl>
    <w:lvl w:ilvl="5">
      <w:start w:val="1"/>
      <w:numFmt w:val="none"/>
      <w:suff w:val="nothing"/>
      <w:lvlText w:val=""/>
      <w:lvlJc w:val="left"/>
      <w:pPr>
        <w:tabs>
          <w:tab w:val="num" w:pos="0"/>
        </w:tabs>
        <w:ind w:left="0" w:firstLine="0"/>
      </w:pPr>
      <w:rPr>
        <w:rFonts w:cs="Times New Roman"/>
      </w:rPr>
    </w:lvl>
    <w:lvl w:ilvl="6">
      <w:start w:val="1"/>
      <w:numFmt w:val="none"/>
      <w:suff w:val="nothing"/>
      <w:lvlText w:val=""/>
      <w:lvlJc w:val="left"/>
      <w:pPr>
        <w:tabs>
          <w:tab w:val="num" w:pos="0"/>
        </w:tabs>
        <w:ind w:left="0" w:firstLine="0"/>
      </w:pPr>
      <w:rPr>
        <w:rFonts w:cs="Times New Roman"/>
      </w:rPr>
    </w:lvl>
    <w:lvl w:ilvl="7">
      <w:start w:val="1"/>
      <w:numFmt w:val="none"/>
      <w:suff w:val="nothing"/>
      <w:lvlText w:val=""/>
      <w:lvlJc w:val="left"/>
      <w:pPr>
        <w:tabs>
          <w:tab w:val="num" w:pos="0"/>
        </w:tabs>
        <w:ind w:left="0" w:firstLine="0"/>
      </w:pPr>
      <w:rPr>
        <w:rFonts w:cs="Times New Roman"/>
      </w:rPr>
    </w:lvl>
    <w:lvl w:ilvl="8">
      <w:start w:val="1"/>
      <w:numFmt w:val="none"/>
      <w:suff w:val="nothing"/>
      <w:lvlText w:val=""/>
      <w:lvlJc w:val="left"/>
      <w:pPr>
        <w:tabs>
          <w:tab w:val="num" w:pos="0"/>
        </w:tabs>
        <w:ind w:left="0" w:firstLine="0"/>
      </w:pPr>
      <w:rPr>
        <w:rFonts w:cs="Times New Roman"/>
      </w:rPr>
    </w:lvl>
  </w:abstractNum>
  <w:abstractNum w:abstractNumId="9" w15:restartNumberingAfterBreak="0">
    <w:nsid w:val="5B256B37"/>
    <w:multiLevelType w:val="multilevel"/>
    <w:tmpl w:val="C598EA62"/>
    <w:lvl w:ilvl="0">
      <w:start w:val="1"/>
      <w:numFmt w:val="decimal"/>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C0B752C"/>
    <w:multiLevelType w:val="multilevel"/>
    <w:tmpl w:val="E392FA6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7C3B40F0"/>
    <w:multiLevelType w:val="multilevel"/>
    <w:tmpl w:val="D3AA9D6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
  </w:num>
  <w:num w:numId="2">
    <w:abstractNumId w:val="8"/>
  </w:num>
  <w:num w:numId="3">
    <w:abstractNumId w:val="9"/>
  </w:num>
  <w:num w:numId="4">
    <w:abstractNumId w:val="5"/>
  </w:num>
  <w:num w:numId="5">
    <w:abstractNumId w:val="11"/>
  </w:num>
  <w:num w:numId="6">
    <w:abstractNumId w:val="2"/>
  </w:num>
  <w:num w:numId="7">
    <w:abstractNumId w:val="10"/>
  </w:num>
  <w:num w:numId="8">
    <w:abstractNumId w:val="1"/>
  </w:num>
  <w:num w:numId="9">
    <w:abstractNumId w:val="0"/>
  </w:num>
  <w:num w:numId="10">
    <w:abstractNumId w:val="6"/>
  </w:num>
  <w:num w:numId="11">
    <w:abstractNumId w:val="7"/>
  </w:num>
  <w:num w:numId="12">
    <w:abstractNumId w:val="6"/>
    <w:lvlOverride w:ilvl="0">
      <w:startOverride w:val="1"/>
    </w:lvlOverride>
  </w:num>
  <w:num w:numId="13">
    <w:abstractNumId w:val="7"/>
    <w:lvlOverride w:ilvl="0">
      <w:startOverride w:val="1"/>
    </w:lvlOverride>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defaultTabStop w:val="720"/>
  <w:autoHyphenation/>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EB6"/>
    <w:rsid w:val="00494885"/>
    <w:rsid w:val="004F622E"/>
    <w:rsid w:val="006500F5"/>
    <w:rsid w:val="0071345C"/>
    <w:rsid w:val="00B80C6B"/>
    <w:rsid w:val="00E53EB6"/>
  </w:rsids>
  <m:mathPr>
    <m:mathFont m:val="Cambria Math"/>
    <m:brkBin m:val="before"/>
    <m:brkBinSub m:val="--"/>
    <m:smallFrac m:val="0"/>
    <m:dispDef/>
    <m:lMargin m:val="0"/>
    <m:rMargin m:val="0"/>
    <m:defJc m:val="centerGroup"/>
    <m:wrapIndent m:val="1440"/>
    <m:intLim m:val="subSup"/>
    <m:naryLim m:val="undOvr"/>
  </m:mathPr>
  <w:themeFontLang w:val="en-DE" w:bidi="he-IL"/>
  <w:clrSchemeMapping w:bg1="light1" w:t1="dark1" w:bg2="light2" w:t2="dark2" w:accent1="accent1" w:accent2="accent2" w:accent3="accent3" w:accent4="accent4" w:accent5="accent5" w:accent6="accent6" w:hyperlink="hyperlink" w:followedHyperlink="followedHyperlink"/>
  <w:decimalSymbol w:val=","/>
  <w:listSeparator w:val=","/>
  <w14:docId w14:val="3A35B104"/>
  <w15:docId w15:val="{9BC3CBA1-3C35-B940-951A-9C05474ED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bon LT Std Roman" w:eastAsia="Arial" w:hAnsi="Sabon LT Std Roman" w:cs="Devanagari MT"/>
        <w:kern w:val="2"/>
        <w:sz w:val="21"/>
        <w:szCs w:val="19"/>
        <w:lang w:val="de-DE"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paragraph" w:styleId="Heading1">
    <w:name w:val="heading 1"/>
    <w:basedOn w:val="Heading"/>
    <w:next w:val="Hauptext"/>
    <w:uiPriority w:val="9"/>
    <w:qFormat/>
    <w:pPr>
      <w:numPr>
        <w:numId w:val="1"/>
      </w:numPr>
      <w:outlineLvl w:val="0"/>
    </w:pPr>
    <w:rPr>
      <w:sz w:val="28"/>
      <w:szCs w:val="26"/>
    </w:rPr>
  </w:style>
  <w:style w:type="paragraph" w:styleId="Heading2">
    <w:name w:val="heading 2"/>
    <w:basedOn w:val="Heading"/>
    <w:next w:val="Hauptext"/>
    <w:uiPriority w:val="9"/>
    <w:unhideWhenUsed/>
    <w:qFormat/>
    <w:pPr>
      <w:numPr>
        <w:ilvl w:val="1"/>
        <w:numId w:val="1"/>
      </w:numPr>
      <w:outlineLvl w:val="1"/>
    </w:pPr>
    <w:rPr>
      <w:sz w:val="24"/>
      <w:szCs w:val="22"/>
    </w:rPr>
  </w:style>
  <w:style w:type="paragraph" w:styleId="Heading3">
    <w:name w:val="heading 3"/>
    <w:basedOn w:val="Heading"/>
    <w:next w:val="Hauptext"/>
    <w:uiPriority w:val="9"/>
    <w:unhideWhenUsed/>
    <w:qFormat/>
    <w:pPr>
      <w:spacing w:after="60"/>
      <w:outlineLvl w:val="2"/>
    </w:pPr>
    <w:rPr>
      <w:rFonts w:ascii="Calibri" w:eastAsia="Calibri" w:hAnsi="Calibri" w:cs="Calibri"/>
      <w:b/>
      <w:bCs/>
      <w:sz w:val="26"/>
      <w:szCs w:val="26"/>
    </w:rPr>
  </w:style>
  <w:style w:type="paragraph" w:styleId="Heading4">
    <w:name w:val="heading 4"/>
    <w:basedOn w:val="Heading"/>
    <w:next w:val="Hauptext"/>
    <w:uiPriority w:val="9"/>
    <w:unhideWhenUsed/>
    <w:qFormat/>
    <w:pPr>
      <w:numPr>
        <w:ilvl w:val="3"/>
        <w:numId w:val="1"/>
      </w:numPr>
      <w:outlineLvl w:val="3"/>
    </w:pPr>
    <w:rPr>
      <w:b/>
      <w:bCs/>
      <w:iCs/>
      <w:sz w:val="20"/>
      <w:szCs w:val="20"/>
    </w:rPr>
  </w:style>
  <w:style w:type="paragraph" w:styleId="Heading5">
    <w:name w:val="heading 5"/>
    <w:basedOn w:val="Heading"/>
    <w:next w:val="Zitat"/>
    <w:uiPriority w:val="9"/>
    <w:unhideWhenUsed/>
    <w:qFormat/>
    <w:pPr>
      <w:numPr>
        <w:ilvl w:val="4"/>
        <w:numId w:val="1"/>
      </w:numPr>
      <w:outlineLvl w:val="4"/>
    </w:pPr>
    <w:rPr>
      <w:bCs/>
      <w:sz w:val="21"/>
      <w:szCs w:val="3"/>
    </w:rPr>
  </w:style>
  <w:style w:type="paragraph" w:styleId="Heading6">
    <w:name w:val="heading 6"/>
    <w:basedOn w:val="Heading"/>
    <w:next w:val="BodyText"/>
    <w:uiPriority w:val="9"/>
    <w:semiHidden/>
    <w:unhideWhenUsed/>
    <w:qFormat/>
    <w:pPr>
      <w:numPr>
        <w:ilvl w:val="5"/>
        <w:numId w:val="1"/>
      </w:numPr>
      <w:outlineLvl w:val="5"/>
    </w:pPr>
    <w:rPr>
      <w:b/>
      <w:bCs/>
      <w:sz w:val="24"/>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Characters">
    <w:name w:val="Footnote Characters"/>
    <w:qFormat/>
  </w:style>
  <w:style w:type="character" w:customStyle="1" w:styleId="EndnoteCharacters">
    <w:name w:val="Endnote Characters"/>
    <w:qFormat/>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NumberingSymbols">
    <w:name w:val="Numbering Symbols"/>
    <w:qFormat/>
  </w:style>
  <w:style w:type="character" w:customStyle="1" w:styleId="Bullets">
    <w:name w:val="Bullets"/>
    <w:qFormat/>
    <w:rPr>
      <w:rFonts w:ascii="OpenSymbol" w:eastAsia="OpenSymbol" w:hAnsi="OpenSymbol" w:cs="OpenSymbol"/>
    </w:rPr>
  </w:style>
  <w:style w:type="character" w:styleId="FootnoteReference">
    <w:name w:val="footnote reference"/>
    <w:basedOn w:val="DefaultParagraphFont"/>
    <w:qFormat/>
    <w:rPr>
      <w:rFonts w:cs="Times New Roman"/>
      <w:vertAlign w:val="superscript"/>
    </w:rPr>
  </w:style>
  <w:style w:type="character" w:customStyle="1" w:styleId="RTFNum81">
    <w:name w:val="RTF_Num 8 1"/>
    <w:qFormat/>
    <w:rPr>
      <w:rFonts w:ascii="Symbol" w:eastAsia="Symbol" w:hAnsi="Symbol" w:cs="Symbol"/>
    </w:rPr>
  </w:style>
  <w:style w:type="character" w:customStyle="1" w:styleId="RTFNum82">
    <w:name w:val="RTF_Num 8 2"/>
    <w:qFormat/>
    <w:rPr>
      <w:rFonts w:ascii="Courier New" w:eastAsia="Courier New" w:hAnsi="Courier New" w:cs="Courier New"/>
    </w:rPr>
  </w:style>
  <w:style w:type="character" w:customStyle="1" w:styleId="RTFNum83">
    <w:name w:val="RTF_Num 8 3"/>
    <w:qFormat/>
    <w:rPr>
      <w:rFonts w:ascii="Wingdings" w:eastAsia="Wingdings" w:hAnsi="Wingdings" w:cs="Wingdings"/>
    </w:rPr>
  </w:style>
  <w:style w:type="character" w:customStyle="1" w:styleId="RTFNum84">
    <w:name w:val="RTF_Num 8 4"/>
    <w:qFormat/>
    <w:rPr>
      <w:rFonts w:ascii="Symbol" w:eastAsia="Symbol" w:hAnsi="Symbol" w:cs="Symbol"/>
    </w:rPr>
  </w:style>
  <w:style w:type="character" w:customStyle="1" w:styleId="RTFNum85">
    <w:name w:val="RTF_Num 8 5"/>
    <w:qFormat/>
    <w:rPr>
      <w:rFonts w:ascii="Courier New" w:eastAsia="Courier New" w:hAnsi="Courier New" w:cs="Courier New"/>
    </w:rPr>
  </w:style>
  <w:style w:type="character" w:customStyle="1" w:styleId="RTFNum86">
    <w:name w:val="RTF_Num 8 6"/>
    <w:qFormat/>
    <w:rPr>
      <w:rFonts w:ascii="Wingdings" w:eastAsia="Wingdings" w:hAnsi="Wingdings" w:cs="Wingdings"/>
    </w:rPr>
  </w:style>
  <w:style w:type="character" w:customStyle="1" w:styleId="RTFNum87">
    <w:name w:val="RTF_Num 8 7"/>
    <w:qFormat/>
    <w:rPr>
      <w:rFonts w:ascii="Symbol" w:eastAsia="Symbol" w:hAnsi="Symbol" w:cs="Symbol"/>
    </w:rPr>
  </w:style>
  <w:style w:type="character" w:customStyle="1" w:styleId="RTFNum88">
    <w:name w:val="RTF_Num 8 8"/>
    <w:qFormat/>
    <w:rPr>
      <w:rFonts w:ascii="Courier New" w:eastAsia="Courier New" w:hAnsi="Courier New" w:cs="Courier New"/>
    </w:rPr>
  </w:style>
  <w:style w:type="character" w:customStyle="1" w:styleId="RTFNum89">
    <w:name w:val="RTF_Num 8 9"/>
    <w:qFormat/>
    <w:rPr>
      <w:rFonts w:ascii="Wingdings" w:eastAsia="Wingdings" w:hAnsi="Wingdings" w:cs="Wingdings"/>
    </w:rPr>
  </w:style>
  <w:style w:type="character" w:customStyle="1" w:styleId="biblio-authorGEN">
    <w:name w:val="biblio-authorGEN"/>
    <w:basedOn w:val="DefaultParagraphFont"/>
    <w:qFormat/>
    <w:rPr>
      <w:smallCaps/>
      <w:sz w:val="21"/>
    </w:rPr>
  </w:style>
  <w:style w:type="character" w:customStyle="1" w:styleId="WW8Num3z1">
    <w:name w:val="WW8Num3z1"/>
    <w:qFormat/>
    <w:rPr>
      <w:rFonts w:ascii="Symbol" w:hAnsi="Symbol" w:cs="StarSymbol;Arial Unicode MS"/>
      <w:sz w:val="18"/>
      <w:szCs w:val="18"/>
    </w:rPr>
  </w:style>
  <w:style w:type="character" w:customStyle="1" w:styleId="RTFNum31">
    <w:name w:val="RTF_Num 3 1"/>
    <w:qFormat/>
    <w:rPr>
      <w:rFonts w:cs="Times New Roman"/>
    </w:rPr>
  </w:style>
  <w:style w:type="character" w:customStyle="1" w:styleId="RTFNum32">
    <w:name w:val="RTF_Num 3 2"/>
    <w:qFormat/>
    <w:rPr>
      <w:rFonts w:cs="Times New Roman"/>
    </w:rPr>
  </w:style>
  <w:style w:type="character" w:customStyle="1" w:styleId="RTFNum33">
    <w:name w:val="RTF_Num 3 3"/>
    <w:qFormat/>
    <w:rPr>
      <w:rFonts w:cs="Times New Roman"/>
    </w:rPr>
  </w:style>
  <w:style w:type="character" w:customStyle="1" w:styleId="RTFNum34">
    <w:name w:val="RTF_Num 3 4"/>
    <w:qFormat/>
    <w:rPr>
      <w:rFonts w:cs="Times New Roman"/>
    </w:rPr>
  </w:style>
  <w:style w:type="character" w:customStyle="1" w:styleId="RTFNum35">
    <w:name w:val="RTF_Num 3 5"/>
    <w:qFormat/>
    <w:rPr>
      <w:rFonts w:cs="Times New Roman"/>
    </w:rPr>
  </w:style>
  <w:style w:type="character" w:customStyle="1" w:styleId="RTFNum36">
    <w:name w:val="RTF_Num 3 6"/>
    <w:qFormat/>
    <w:rPr>
      <w:rFonts w:cs="Times New Roman"/>
    </w:rPr>
  </w:style>
  <w:style w:type="character" w:customStyle="1" w:styleId="RTFNum37">
    <w:name w:val="RTF_Num 3 7"/>
    <w:qFormat/>
    <w:rPr>
      <w:rFonts w:cs="Times New Roman"/>
    </w:rPr>
  </w:style>
  <w:style w:type="character" w:customStyle="1" w:styleId="RTFNum38">
    <w:name w:val="RTF_Num 3 8"/>
    <w:qFormat/>
    <w:rPr>
      <w:rFonts w:cs="Times New Roman"/>
    </w:rPr>
  </w:style>
  <w:style w:type="character" w:customStyle="1" w:styleId="RTFNum39">
    <w:name w:val="RTF_Num 3 9"/>
    <w:qFormat/>
    <w:rPr>
      <w:rFonts w:cs="Times New Roman"/>
    </w:rPr>
  </w:style>
  <w:style w:type="character" w:styleId="Hyperlink">
    <w:name w:val="Hyperlink"/>
    <w:qFormat/>
    <w:rPr>
      <w:color w:val="000080"/>
      <w:sz w:val="24"/>
      <w:szCs w:val="24"/>
      <w:u w:val="single"/>
      <w:lang/>
    </w:rPr>
  </w:style>
  <w:style w:type="character" w:customStyle="1" w:styleId="Caratterepredefinitoparagrafo">
    <w:name w:val="Carattere predefinito paragrafo"/>
    <w:qFormat/>
  </w:style>
  <w:style w:type="character" w:customStyle="1" w:styleId="StileTitolo1LatinoArialUnicodeMSnonlatinoArialUnicCarattere">
    <w:name w:val="Stile Titolo 1 + (Latino) Arial Unicode MS (non latino) Arial Unic... Carattere"/>
    <w:basedOn w:val="Caratterepredefinitoparagrafo"/>
    <w:qFormat/>
    <w:rPr>
      <w:rFonts w:ascii="Arial Unicode MS" w:hAnsi="Arial Unicode MS" w:cs="Arial Unicode MS"/>
      <w:b/>
      <w:bCs/>
      <w:kern w:val="2"/>
      <w:sz w:val="28"/>
      <w:szCs w:val="24"/>
      <w:lang w:val="it-IT" w:bidi="sa-IN"/>
    </w:rPr>
  </w:style>
  <w:style w:type="character" w:customStyle="1" w:styleId="CarattereCarattere">
    <w:name w:val="Carattere Carattere"/>
    <w:basedOn w:val="Caratterepredefinitoparagrafo"/>
    <w:qFormat/>
    <w:rPr>
      <w:rFonts w:ascii="Arial" w:hAnsi="Arial" w:cs="Arial"/>
      <w:b/>
      <w:bCs/>
      <w:sz w:val="26"/>
      <w:szCs w:val="26"/>
      <w:lang w:val="it-IT" w:bidi="sa-IN"/>
    </w:rPr>
  </w:style>
  <w:style w:type="character" w:customStyle="1" w:styleId="TestonotaapidipaginaCarattere">
    <w:name w:val="Testo nota a piè di pagina Carattere"/>
    <w:basedOn w:val="Caratterepredefinitoparagrafo"/>
    <w:qFormat/>
    <w:rPr>
      <w:rFonts w:ascii="Times Ext Roman" w:hAnsi="Times Ext Roman" w:cs="Mangal"/>
      <w:lang w:val="it-IT" w:bidi="sa-IN"/>
    </w:rPr>
  </w:style>
  <w:style w:type="character" w:styleId="FollowedHyperlink">
    <w:name w:val="FollowedHyperlink"/>
    <w:rPr>
      <w:color w:val="800000"/>
      <w:u w:val="single"/>
      <w:lang/>
    </w:rPr>
  </w:style>
  <w:style w:type="character" w:customStyle="1" w:styleId="Carpredefinitoparagrafo">
    <w:name w:val="Car. predefinito paragrafo"/>
    <w:qFormat/>
  </w:style>
  <w:style w:type="character" w:customStyle="1" w:styleId="CarattereCarattere0">
    <w:name w:val="Carattere Carattere"/>
    <w:basedOn w:val="Carpredefinitoparagrafo"/>
    <w:qFormat/>
    <w:rPr>
      <w:rFonts w:ascii="Arial" w:eastAsia="Arial Unicode MS" w:hAnsi="Arial" w:cs="Arial"/>
      <w:b/>
      <w:bCs/>
      <w:sz w:val="26"/>
      <w:szCs w:val="26"/>
      <w:lang w:val="it-IT" w:bidi="sa-IN"/>
    </w:rPr>
  </w:style>
  <w:style w:type="character" w:customStyle="1" w:styleId="Titolo1Carattere1">
    <w:name w:val="Titolo 1 Carattere1"/>
    <w:basedOn w:val="Carpredefinitoparagrafo"/>
    <w:qFormat/>
    <w:rPr>
      <w:rFonts w:ascii="Arial" w:eastAsia="Times New Roman" w:hAnsi="Arial" w:cs="Arial"/>
      <w:b/>
      <w:bCs/>
      <w:color w:val="000000"/>
      <w:kern w:val="2"/>
      <w:sz w:val="32"/>
      <w:szCs w:val="32"/>
      <w:lang w:bidi="sa-IN"/>
    </w:rPr>
  </w:style>
  <w:style w:type="character" w:customStyle="1" w:styleId="INS">
    <w:name w:val="INS"/>
    <w:qFormat/>
  </w:style>
  <w:style w:type="character" w:customStyle="1" w:styleId="DEL">
    <w:name w:val="DEL"/>
    <w:qFormat/>
  </w:style>
  <w:style w:type="character" w:customStyle="1" w:styleId="LineNumbering">
    <w:name w:val="Line Numbering"/>
  </w:style>
  <w:style w:type="character" w:customStyle="1" w:styleId="Zeichenformat">
    <w:name w:val="Zeichenformat"/>
    <w:qFormat/>
  </w:style>
  <w:style w:type="paragraph" w:styleId="BodyText">
    <w:name w:val="Body Text"/>
    <w:basedOn w:val="Normal"/>
    <w:pPr>
      <w:spacing w:after="120"/>
    </w:pPr>
  </w:style>
  <w:style w:type="paragraph" w:customStyle="1" w:styleId="Heading">
    <w:name w:val="Heading"/>
    <w:next w:val="Hauptext"/>
    <w:qFormat/>
    <w:pPr>
      <w:keepNext/>
      <w:widowControl w:val="0"/>
      <w:spacing w:before="240" w:after="120"/>
    </w:pPr>
    <w:rPr>
      <w:rFonts w:ascii="Sabon Unicode" w:eastAsia="Sabon Unicode" w:hAnsi="Sabon Unicode"/>
      <w:sz w:val="32"/>
      <w:szCs w:val="30"/>
      <w:lang w:val="en-GB"/>
    </w:rPr>
  </w:style>
  <w:style w:type="paragraph" w:styleId="List">
    <w:name w:val="List"/>
    <w:basedOn w:val="BodyText"/>
  </w:style>
  <w:style w:type="paragraph" w:customStyle="1" w:styleId="HeaderandFooter">
    <w:name w:val="Header and Footer"/>
    <w:basedOn w:val="Normal"/>
    <w:qFormat/>
    <w:pPr>
      <w:suppressLineNumbers/>
      <w:tabs>
        <w:tab w:val="center" w:pos="4819"/>
        <w:tab w:val="right" w:pos="9638"/>
      </w:tabs>
    </w:pPr>
  </w:style>
  <w:style w:type="paragraph" w:styleId="Footer">
    <w:name w:val="footer"/>
    <w:basedOn w:val="Normal"/>
    <w:pPr>
      <w:suppressLineNumbers/>
      <w:tabs>
        <w:tab w:val="center" w:pos="4818"/>
        <w:tab w:val="right" w:pos="9637"/>
      </w:tabs>
    </w:pPr>
    <w:rPr>
      <w:rFonts w:ascii="Sabon Unicode" w:eastAsia="Sabon Unicode" w:hAnsi="Sabon Unicode"/>
      <w:lang w:val="en-GB"/>
    </w:rPr>
  </w:style>
  <w:style w:type="paragraph" w:styleId="Caption">
    <w:name w:val="caption"/>
    <w:basedOn w:val="Normal"/>
    <w:qFormat/>
    <w:pPr>
      <w:suppressLineNumbers/>
      <w:spacing w:before="120" w:after="120"/>
    </w:pPr>
    <w:rPr>
      <w:i/>
      <w:iCs/>
    </w:rPr>
  </w:style>
  <w:style w:type="paragraph" w:styleId="FootnoteText">
    <w:name w:val="footnote text"/>
    <w:basedOn w:val="Normal"/>
    <w:qFormat/>
  </w:style>
  <w:style w:type="paragraph" w:customStyle="1" w:styleId="Index">
    <w:name w:val="Index"/>
    <w:basedOn w:val="Normal"/>
    <w:qFormat/>
    <w:pPr>
      <w:suppressLineNumbers/>
    </w:pPr>
  </w:style>
  <w:style w:type="paragraph" w:customStyle="1" w:styleId="Quotations">
    <w:name w:val="Quotations"/>
    <w:qFormat/>
    <w:pPr>
      <w:widowControl w:val="0"/>
      <w:spacing w:before="210" w:line="210" w:lineRule="exact"/>
      <w:ind w:left="260"/>
      <w:jc w:val="both"/>
    </w:pPr>
    <w:rPr>
      <w:rFonts w:ascii="Sabon Unicode" w:eastAsia="Sabon Unicode" w:hAnsi="Sabon Unicode"/>
      <w:sz w:val="18"/>
      <w:szCs w:val="17"/>
      <w:lang w:val="en-GB" w:bidi="kn-IN"/>
    </w:rPr>
  </w:style>
  <w:style w:type="paragraph" w:customStyle="1" w:styleId="Hauptext">
    <w:name w:val="Hauptext"/>
    <w:next w:val="HaupttextohneEinzug"/>
    <w:qFormat/>
    <w:pPr>
      <w:widowControl w:val="0"/>
      <w:spacing w:line="260" w:lineRule="exact"/>
      <w:ind w:firstLine="260"/>
      <w:jc w:val="both"/>
    </w:pPr>
    <w:rPr>
      <w:rFonts w:ascii="Sabon Unicode" w:eastAsia="Sabon Unicode" w:hAnsi="Sabon Unicode"/>
      <w:lang w:val="en-GB"/>
    </w:rPr>
  </w:style>
  <w:style w:type="paragraph" w:customStyle="1" w:styleId="HaupttextohneEinzug">
    <w:name w:val="Haupttext (ohne Einzug)"/>
    <w:basedOn w:val="Hauptext"/>
    <w:qFormat/>
    <w:pPr>
      <w:ind w:firstLine="0"/>
    </w:pPr>
  </w:style>
  <w:style w:type="paragraph" w:customStyle="1" w:styleId="HaupttextnachZitat">
    <w:name w:val="Haupttext (nach Zitat)"/>
    <w:basedOn w:val="HaupttextohneEinzug"/>
    <w:qFormat/>
    <w:pPr>
      <w:spacing w:before="210"/>
    </w:pPr>
  </w:style>
  <w:style w:type="paragraph" w:customStyle="1" w:styleId="ZitatmitEinzug">
    <w:name w:val="Zitat (mit Einzug)"/>
    <w:basedOn w:val="Quotations"/>
    <w:qFormat/>
    <w:pPr>
      <w:spacing w:before="0"/>
      <w:ind w:firstLine="210"/>
    </w:pPr>
  </w:style>
  <w:style w:type="paragraph" w:styleId="IndexHeading">
    <w:name w:val="index heading"/>
    <w:basedOn w:val="Heading"/>
    <w:pPr>
      <w:suppressLineNumbers/>
    </w:pPr>
    <w:rPr>
      <w:b/>
      <w:bCs/>
      <w:szCs w:val="32"/>
    </w:rPr>
  </w:style>
  <w:style w:type="paragraph" w:styleId="TOAHeading">
    <w:name w:val="toa heading"/>
    <w:basedOn w:val="Heading"/>
    <w:pPr>
      <w:suppressLineNumbers/>
    </w:pPr>
    <w:rPr>
      <w:b/>
      <w:bCs/>
      <w:sz w:val="28"/>
      <w:szCs w:val="32"/>
    </w:rPr>
  </w:style>
  <w:style w:type="paragraph" w:styleId="TOC1">
    <w:name w:val="toc 1"/>
    <w:basedOn w:val="Index"/>
    <w:pPr>
      <w:tabs>
        <w:tab w:val="right" w:leader="dot" w:pos="8786"/>
      </w:tabs>
    </w:pPr>
    <w:rPr>
      <w:rFonts w:ascii="Sabon Unicode" w:eastAsia="Sabon Unicode" w:hAnsi="Sabon Unicode"/>
      <w:lang w:val="en-GB"/>
    </w:rPr>
  </w:style>
  <w:style w:type="paragraph" w:styleId="TOC2">
    <w:name w:val="toc 2"/>
    <w:basedOn w:val="Index"/>
    <w:pPr>
      <w:tabs>
        <w:tab w:val="right" w:leader="dot" w:pos="8786"/>
      </w:tabs>
      <w:ind w:left="283"/>
    </w:pPr>
    <w:rPr>
      <w:rFonts w:ascii="Sabon Unicode" w:eastAsia="Sabon Unicode" w:hAnsi="Sabon Unicode"/>
      <w:lang w:val="en-GB"/>
    </w:rPr>
  </w:style>
  <w:style w:type="paragraph" w:styleId="TOC3">
    <w:name w:val="toc 3"/>
    <w:basedOn w:val="Index"/>
    <w:pPr>
      <w:tabs>
        <w:tab w:val="right" w:leader="dot" w:pos="8786"/>
      </w:tabs>
      <w:ind w:left="566"/>
    </w:pPr>
    <w:rPr>
      <w:rFonts w:ascii="Sabon Unicode" w:eastAsia="Sabon Unicode" w:hAnsi="Sabon Unicode"/>
      <w:lang w:val="en-GB"/>
    </w:rPr>
  </w:style>
  <w:style w:type="paragraph" w:styleId="TOC4">
    <w:name w:val="toc 4"/>
    <w:basedOn w:val="Index"/>
    <w:pPr>
      <w:tabs>
        <w:tab w:val="right" w:leader="dot" w:pos="8786"/>
      </w:tabs>
      <w:ind w:left="849"/>
    </w:pPr>
    <w:rPr>
      <w:rFonts w:ascii="Sabon Unicode" w:eastAsia="Sabon Unicode" w:hAnsi="Sabon Unicode"/>
      <w:lang w:val="en-GB"/>
    </w:rPr>
  </w:style>
  <w:style w:type="paragraph" w:customStyle="1" w:styleId="biblioGEN">
    <w:name w:val="biblio GEN"/>
    <w:basedOn w:val="Normal"/>
    <w:qFormat/>
    <w:pPr>
      <w:spacing w:after="119"/>
      <w:ind w:left="709" w:hanging="709"/>
    </w:pPr>
    <w:rPr>
      <w:rFonts w:ascii="Sabon Unicode" w:eastAsia="Sabon Unicode" w:hAnsi="Sabon Unicode"/>
      <w:lang w:val="en-GB"/>
    </w:rPr>
  </w:style>
  <w:style w:type="paragraph" w:customStyle="1" w:styleId="Biblio-titel">
    <w:name w:val="Biblio-titel"/>
    <w:basedOn w:val="HaupttextohneEinzug"/>
    <w:qFormat/>
    <w:pPr>
      <w:tabs>
        <w:tab w:val="left" w:pos="1417"/>
      </w:tabs>
    </w:pPr>
    <w:rPr>
      <w:sz w:val="22"/>
    </w:rPr>
  </w:style>
  <w:style w:type="paragraph" w:customStyle="1" w:styleId="HorizontalLine">
    <w:name w:val="Horizontal Line"/>
    <w:basedOn w:val="Normal"/>
    <w:next w:val="BodyText"/>
    <w:qFormat/>
    <w:pPr>
      <w:suppressLineNumbers/>
      <w:pBdr>
        <w:bottom w:val="double" w:sz="2" w:space="0" w:color="808080"/>
      </w:pBdr>
      <w:spacing w:after="283"/>
    </w:pPr>
    <w:rPr>
      <w:sz w:val="12"/>
      <w:szCs w:val="12"/>
    </w:rPr>
  </w:style>
  <w:style w:type="paragraph" w:customStyle="1" w:styleId="Zitat">
    <w:name w:val="Zitat"/>
    <w:basedOn w:val="Normal"/>
    <w:qFormat/>
    <w:pPr>
      <w:spacing w:before="210" w:line="210" w:lineRule="exact"/>
      <w:ind w:left="260"/>
      <w:jc w:val="both"/>
    </w:pPr>
    <w:rPr>
      <w:rFonts w:ascii="Sabon Unicode" w:hAnsi="Sabon Unicode" w:cs="Times Ext Roman"/>
      <w:sz w:val="18"/>
      <w:szCs w:val="18"/>
      <w:lang w:val="en-GB" w:bidi="en-GB"/>
    </w:rPr>
  </w:style>
  <w:style w:type="paragraph" w:customStyle="1" w:styleId="TableContents">
    <w:name w:val="Table Contents"/>
    <w:basedOn w:val="Normal"/>
    <w:qFormat/>
    <w:pPr>
      <w:suppressLineNumbers/>
      <w:spacing w:before="113"/>
      <w:ind w:left="170"/>
    </w:pPr>
    <w:rPr>
      <w:rFonts w:ascii="Sabon Unicode" w:hAnsi="Sabon Unicode"/>
      <w:lang w:val="en-GB"/>
    </w:rPr>
  </w:style>
  <w:style w:type="paragraph" w:customStyle="1" w:styleId="TableHeading">
    <w:name w:val="Table Heading"/>
    <w:basedOn w:val="TableContents"/>
    <w:qFormat/>
    <w:pPr>
      <w:jc w:val="center"/>
    </w:pPr>
    <w:rPr>
      <w:b/>
      <w:bCs/>
    </w:rPr>
  </w:style>
  <w:style w:type="paragraph" w:customStyle="1" w:styleId="ZitatnachZitat">
    <w:name w:val="Zitat nach Zitat"/>
    <w:basedOn w:val="Quotations"/>
    <w:qFormat/>
    <w:pPr>
      <w:spacing w:before="0"/>
    </w:pPr>
  </w:style>
  <w:style w:type="paragraph" w:styleId="TOC5">
    <w:name w:val="toc 5"/>
    <w:basedOn w:val="Index"/>
    <w:pPr>
      <w:tabs>
        <w:tab w:val="right" w:leader="dot" w:pos="8786"/>
      </w:tabs>
      <w:ind w:left="1132"/>
    </w:pPr>
    <w:rPr>
      <w:rFonts w:ascii="Sabon Unicode" w:eastAsia="Sabon Unicode" w:hAnsi="Sabon Unicode"/>
      <w:lang w:val="en-GB"/>
    </w:rPr>
  </w:style>
  <w:style w:type="paragraph" w:customStyle="1" w:styleId="FrameContents">
    <w:name w:val="Frame Contents"/>
    <w:basedOn w:val="BodyText"/>
    <w:qFormat/>
  </w:style>
  <w:style w:type="paragraph" w:customStyle="1" w:styleId="Stile1">
    <w:name w:val="Stile1"/>
    <w:basedOn w:val="Normal"/>
    <w:qFormat/>
    <w:rPr>
      <w:rFonts w:eastAsia="Times Ext Roman;Times New Roman" w:cs="Times Ext Roman;Times New Roman"/>
      <w:sz w:val="24"/>
      <w:szCs w:val="24"/>
      <w:lang w:bidi="sa-IN"/>
    </w:rPr>
  </w:style>
  <w:style w:type="paragraph" w:styleId="Index1">
    <w:name w:val="index 1"/>
    <w:basedOn w:val="Index"/>
  </w:style>
  <w:style w:type="paragraph" w:styleId="Header">
    <w:name w:val="header"/>
    <w:basedOn w:val="Normal"/>
    <w:pPr>
      <w:suppressLineNumbers/>
      <w:tabs>
        <w:tab w:val="center" w:pos="4394"/>
        <w:tab w:val="right" w:pos="8788"/>
      </w:tabs>
      <w:jc w:val="center"/>
    </w:pPr>
    <w:rPr>
      <w:rFonts w:ascii="Sabon Unicode" w:eastAsia="Sabon Unicode" w:hAnsi="Sabon Unicode"/>
      <w:sz w:val="18"/>
    </w:rPr>
  </w:style>
  <w:style w:type="paragraph" w:customStyle="1" w:styleId="HeaderLeft">
    <w:name w:val="Header Left"/>
    <w:basedOn w:val="Normal"/>
    <w:qFormat/>
    <w:pPr>
      <w:suppressLineNumbers/>
      <w:tabs>
        <w:tab w:val="center" w:pos="4394"/>
        <w:tab w:val="right" w:pos="8788"/>
      </w:tabs>
      <w:jc w:val="center"/>
    </w:pPr>
    <w:rPr>
      <w:rFonts w:ascii="Sabon Unicode" w:eastAsia="Sabon Unicode" w:hAnsi="Sabon Unicode"/>
      <w:sz w:val="18"/>
    </w:rPr>
  </w:style>
  <w:style w:type="numbering" w:customStyle="1" w:styleId="RTFNum8">
    <w:name w:val="RTF_Num 8"/>
    <w:qFormat/>
  </w:style>
  <w:style w:type="numbering" w:customStyle="1" w:styleId="RTFNum3">
    <w:name w:val="RTF_Num 3"/>
    <w:qFormat/>
  </w:style>
  <w:style w:type="numbering" w:customStyle="1" w:styleId="RTFNum2">
    <w:name w:val="RTF_Num 2"/>
    <w:qFormat/>
  </w:style>
  <w:style w:type="numbering" w:customStyle="1" w:styleId="WW8Num26">
    <w:name w:val="WW8Num26"/>
    <w:qFormat/>
  </w:style>
  <w:style w:type="numbering" w:customStyle="1" w:styleId="WW8Num29">
    <w:name w:val="WW8Num29"/>
    <w:qFormat/>
  </w:style>
  <w:style w:type="numbering" w:customStyle="1" w:styleId="WW8Num12">
    <w:name w:val="WW8Num12"/>
    <w:qFormat/>
  </w:style>
  <w:style w:type="paragraph" w:styleId="CommentText">
    <w:name w:val="annotation text"/>
    <w:basedOn w:val="Normal"/>
    <w:link w:val="CommentTextChar"/>
    <w:uiPriority w:val="99"/>
    <w:semiHidden/>
    <w:unhideWhenUsed/>
    <w:rPr>
      <w:rFonts w:cs="Mangal"/>
      <w:sz w:val="20"/>
      <w:szCs w:val="18"/>
    </w:rPr>
  </w:style>
  <w:style w:type="character" w:customStyle="1" w:styleId="CommentTextChar">
    <w:name w:val="Comment Text Char"/>
    <w:basedOn w:val="DefaultParagraphFont"/>
    <w:link w:val="CommentText"/>
    <w:uiPriority w:val="99"/>
    <w:semiHidden/>
    <w:rPr>
      <w:rFonts w:cs="Mangal"/>
      <w:sz w:val="20"/>
      <w:szCs w:val="18"/>
    </w:rPr>
  </w:style>
  <w:style w:type="character" w:styleId="CommentReference">
    <w:name w:val="annotation reference"/>
    <w:basedOn w:val="DefaultParagraphFont"/>
    <w:uiPriority w:val="99"/>
    <w:semiHidden/>
    <w:unhideWhenUsed/>
    <w:rPr>
      <w:sz w:val="16"/>
      <w:szCs w:val="16"/>
    </w:rPr>
  </w:style>
  <w:style w:type="character" w:styleId="PageNumber">
    <w:name w:val="page number"/>
    <w:basedOn w:val="DefaultParagraphFont"/>
    <w:uiPriority w:val="99"/>
    <w:semiHidden/>
    <w:unhideWhenUsed/>
    <w:rsid w:val="007134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7.xml"/><Relationship Id="rId26" Type="http://schemas.openxmlformats.org/officeDocument/2006/relationships/hyperlink" Target="http://titus.uni-frankfurt.de/indexd.htm" TargetMode="External"/><Relationship Id="rId39" Type="http://schemas.openxmlformats.org/officeDocument/2006/relationships/footer" Target="footer15.xml"/><Relationship Id="rId21" Type="http://schemas.openxmlformats.org/officeDocument/2006/relationships/footer" Target="footer8.xml"/><Relationship Id="rId34" Type="http://schemas.openxmlformats.org/officeDocument/2006/relationships/footer" Target="footer13.xml"/><Relationship Id="rId42" Type="http://schemas.openxmlformats.org/officeDocument/2006/relationships/footer" Target="footer16.xml"/><Relationship Id="rId47" Type="http://schemas.openxmlformats.org/officeDocument/2006/relationships/footer" Target="footer18.xml"/><Relationship Id="rId50" Type="http://schemas.microsoft.com/office/2011/relationships/commentsExtended" Target="commentsExtended.xml"/><Relationship Id="rId55" Type="http://schemas.openxmlformats.org/officeDocument/2006/relationships/footer" Target="footer2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footer" Target="footer10.xml"/><Relationship Id="rId11" Type="http://schemas.openxmlformats.org/officeDocument/2006/relationships/header" Target="header2.xml"/><Relationship Id="rId24" Type="http://schemas.openxmlformats.org/officeDocument/2006/relationships/image" Target="media/image2.png"/><Relationship Id="rId32" Type="http://schemas.openxmlformats.org/officeDocument/2006/relationships/header" Target="header11.xml"/><Relationship Id="rId37" Type="http://schemas.openxmlformats.org/officeDocument/2006/relationships/header" Target="header13.xml"/><Relationship Id="rId40" Type="http://schemas.openxmlformats.org/officeDocument/2006/relationships/header" Target="header14.xml"/><Relationship Id="rId45" Type="http://schemas.openxmlformats.org/officeDocument/2006/relationships/header" Target="header16.xml"/><Relationship Id="rId53" Type="http://schemas.openxmlformats.org/officeDocument/2006/relationships/header" Target="header19.xml"/><Relationship Id="rId58" Type="http://schemas.openxmlformats.org/officeDocument/2006/relationships/footer" Target="footer22.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eader" Target="header6.xml"/><Relationship Id="rId14" Type="http://schemas.openxmlformats.org/officeDocument/2006/relationships/footer" Target="footer5.xml"/><Relationship Id="rId22" Type="http://schemas.openxmlformats.org/officeDocument/2006/relationships/footer" Target="footer9.xml"/><Relationship Id="rId27" Type="http://schemas.openxmlformats.org/officeDocument/2006/relationships/header" Target="header8.xml"/><Relationship Id="rId30" Type="http://schemas.openxmlformats.org/officeDocument/2006/relationships/footer" Target="footer11.xml"/><Relationship Id="rId35" Type="http://schemas.openxmlformats.org/officeDocument/2006/relationships/image" Target="media/image4.jpeg"/><Relationship Id="rId43" Type="http://schemas.openxmlformats.org/officeDocument/2006/relationships/footer" Target="footer17.xml"/><Relationship Id="rId48" Type="http://schemas.openxmlformats.org/officeDocument/2006/relationships/footer" Target="footer19.xml"/><Relationship Id="rId56" Type="http://schemas.openxmlformats.org/officeDocument/2006/relationships/header" Target="header20.xml"/><Relationship Id="rId8" Type="http://schemas.openxmlformats.org/officeDocument/2006/relationships/footer" Target="footer1.xml"/><Relationship Id="rId51" Type="http://schemas.microsoft.com/office/2016/09/relationships/commentsIds" Target="commentsIds.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image" Target="media/image3.jpeg"/><Relationship Id="rId33" Type="http://schemas.openxmlformats.org/officeDocument/2006/relationships/footer" Target="footer12.xml"/><Relationship Id="rId38" Type="http://schemas.openxmlformats.org/officeDocument/2006/relationships/footer" Target="footer14.xml"/><Relationship Id="rId46" Type="http://schemas.openxmlformats.org/officeDocument/2006/relationships/header" Target="header17.xml"/><Relationship Id="rId59" Type="http://schemas.openxmlformats.org/officeDocument/2006/relationships/footer" Target="footer23.xml"/><Relationship Id="rId20" Type="http://schemas.openxmlformats.org/officeDocument/2006/relationships/header" Target="header7.xml"/><Relationship Id="rId41" Type="http://schemas.openxmlformats.org/officeDocument/2006/relationships/header" Target="header15.xml"/><Relationship Id="rId54" Type="http://schemas.openxmlformats.org/officeDocument/2006/relationships/footer" Target="footer2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image" Target="media/image1.jpeg"/><Relationship Id="rId28" Type="http://schemas.openxmlformats.org/officeDocument/2006/relationships/header" Target="header9.xml"/><Relationship Id="rId36" Type="http://schemas.openxmlformats.org/officeDocument/2006/relationships/header" Target="header12.xml"/><Relationship Id="rId49" Type="http://schemas.openxmlformats.org/officeDocument/2006/relationships/comments" Target="comments.xml"/><Relationship Id="rId57" Type="http://schemas.openxmlformats.org/officeDocument/2006/relationships/header" Target="header21.xml"/><Relationship Id="rId10" Type="http://schemas.openxmlformats.org/officeDocument/2006/relationships/footer" Target="footer3.xml"/><Relationship Id="rId31" Type="http://schemas.openxmlformats.org/officeDocument/2006/relationships/header" Target="header10.xml"/><Relationship Id="rId44" Type="http://schemas.openxmlformats.org/officeDocument/2006/relationships/image" Target="media/image5.jpeg"/><Relationship Id="rId52" Type="http://schemas.openxmlformats.org/officeDocument/2006/relationships/header" Target="header18.xm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15748</TotalTime>
  <Pages>214</Pages>
  <Words>67428</Words>
  <Characters>384345</Characters>
  <Application>Microsoft Office Word</Application>
  <DocSecurity>0</DocSecurity>
  <Lines>3202</Lines>
  <Paragraphs>901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Elena Morganti</cp:lastModifiedBy>
  <cp:revision>398</cp:revision>
  <cp:lastPrinted>2014-10-15T16:57:00Z</cp:lastPrinted>
  <dcterms:created xsi:type="dcterms:W3CDTF">2011-03-11T11:55:00Z</dcterms:created>
  <dcterms:modified xsi:type="dcterms:W3CDTF">2021-08-30T16:17:00Z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