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A1F52" w14:textId="0A2C70C2" w:rsidR="00F718CE" w:rsidRPr="001E24FD" w:rsidRDefault="00F718CE" w:rsidP="00F718CE">
      <w:pPr>
        <w:jc w:val="center"/>
        <w:rPr>
          <w:rFonts w:asciiTheme="majorBidi" w:hAnsiTheme="majorBidi" w:cstheme="majorBidi"/>
          <w:b/>
          <w:bCs/>
        </w:rPr>
      </w:pPr>
      <w:r w:rsidRPr="001E24FD">
        <w:rPr>
          <w:rFonts w:asciiTheme="majorBidi" w:hAnsiTheme="majorBidi" w:cstheme="majorBidi"/>
          <w:b/>
          <w:bCs/>
        </w:rPr>
        <w:t xml:space="preserve">CHAPTER </w:t>
      </w:r>
      <w:r w:rsidR="00EA409B">
        <w:rPr>
          <w:rFonts w:asciiTheme="majorBidi" w:hAnsiTheme="majorBidi" w:cstheme="majorBidi"/>
          <w:b/>
          <w:bCs/>
        </w:rPr>
        <w:t>6</w:t>
      </w:r>
    </w:p>
    <w:p w14:paraId="45A081E7" w14:textId="77777777" w:rsidR="00F718CE" w:rsidRPr="001E24FD" w:rsidRDefault="00F718CE" w:rsidP="00F718CE">
      <w:pPr>
        <w:rPr>
          <w:rFonts w:asciiTheme="majorBidi" w:hAnsiTheme="majorBidi" w:cstheme="majorBidi"/>
          <w:b/>
          <w:bCs/>
        </w:rPr>
      </w:pPr>
    </w:p>
    <w:p w14:paraId="39A45116" w14:textId="534ECFDA" w:rsidR="00F718CE" w:rsidRPr="001E24FD" w:rsidRDefault="000F46FF" w:rsidP="00F718CE">
      <w:pPr>
        <w:jc w:val="center"/>
        <w:rPr>
          <w:rFonts w:asciiTheme="majorBidi" w:hAnsiTheme="majorBidi" w:cstheme="majorBidi"/>
          <w:b/>
          <w:bCs/>
        </w:rPr>
      </w:pPr>
      <w:r>
        <w:rPr>
          <w:rFonts w:asciiTheme="majorBidi" w:hAnsiTheme="majorBidi" w:cstheme="majorBidi"/>
          <w:b/>
          <w:bCs/>
        </w:rPr>
        <w:t>Legitimizing Politics</w:t>
      </w:r>
      <w:r w:rsidR="00F718CE" w:rsidRPr="001E24FD">
        <w:rPr>
          <w:rFonts w:asciiTheme="majorBidi" w:hAnsiTheme="majorBidi" w:cstheme="majorBidi"/>
          <w:b/>
          <w:bCs/>
        </w:rPr>
        <w:t>:</w:t>
      </w:r>
    </w:p>
    <w:p w14:paraId="6FC78E7C" w14:textId="5753AC76" w:rsidR="00F718CE" w:rsidRPr="001E24FD" w:rsidRDefault="00EA409B" w:rsidP="00F718CE">
      <w:pPr>
        <w:jc w:val="center"/>
        <w:rPr>
          <w:rFonts w:asciiTheme="majorBidi" w:hAnsiTheme="majorBidi" w:cstheme="majorBidi"/>
          <w:b/>
          <w:bCs/>
        </w:rPr>
      </w:pPr>
      <w:r>
        <w:rPr>
          <w:rFonts w:asciiTheme="majorBidi" w:hAnsiTheme="majorBidi" w:cstheme="majorBidi"/>
          <w:b/>
          <w:bCs/>
        </w:rPr>
        <w:t>Ibn al-</w:t>
      </w:r>
      <w:proofErr w:type="spellStart"/>
      <w:r>
        <w:rPr>
          <w:rFonts w:asciiTheme="majorBidi" w:hAnsiTheme="majorBidi" w:cstheme="majorBidi"/>
          <w:b/>
          <w:bCs/>
        </w:rPr>
        <w:t>Jawzī’s</w:t>
      </w:r>
      <w:proofErr w:type="spellEnd"/>
      <w:r>
        <w:rPr>
          <w:rFonts w:asciiTheme="majorBidi" w:hAnsiTheme="majorBidi" w:cstheme="majorBidi"/>
          <w:b/>
          <w:bCs/>
        </w:rPr>
        <w:t xml:space="preserve"> Reassessment of Ruler-Scholar Relations</w:t>
      </w:r>
    </w:p>
    <w:p w14:paraId="55B20E8D" w14:textId="5FDA23B3" w:rsidR="00F718CE" w:rsidRDefault="00F718CE" w:rsidP="00F718CE">
      <w:pPr>
        <w:jc w:val="center"/>
        <w:rPr>
          <w:rFonts w:asciiTheme="majorBidi" w:hAnsiTheme="majorBidi" w:cstheme="majorBidi"/>
          <w:b/>
          <w:bCs/>
        </w:rPr>
      </w:pPr>
    </w:p>
    <w:p w14:paraId="4E9881D6" w14:textId="77777777" w:rsidR="00185C3A" w:rsidRPr="001E24FD" w:rsidRDefault="00185C3A" w:rsidP="00F718CE">
      <w:pPr>
        <w:jc w:val="center"/>
        <w:rPr>
          <w:rFonts w:asciiTheme="majorBidi" w:hAnsiTheme="majorBidi" w:cstheme="majorBidi"/>
          <w:b/>
          <w:bCs/>
        </w:rPr>
      </w:pPr>
    </w:p>
    <w:p w14:paraId="65A8EB46" w14:textId="5CC0563A" w:rsidR="00F64399" w:rsidRDefault="002B127C" w:rsidP="0037533B">
      <w:pPr>
        <w:spacing w:line="360" w:lineRule="auto"/>
        <w:ind w:firstLine="720"/>
        <w:rPr>
          <w:rFonts w:asciiTheme="majorBidi" w:hAnsiTheme="majorBidi" w:cstheme="majorBidi"/>
        </w:rPr>
      </w:pPr>
      <w:r>
        <w:rPr>
          <w:rFonts w:asciiTheme="majorBidi" w:hAnsiTheme="majorBidi" w:cstheme="majorBidi"/>
        </w:rPr>
        <w:t>A</w:t>
      </w:r>
      <w:r w:rsidR="005909B2">
        <w:rPr>
          <w:rFonts w:asciiTheme="majorBidi" w:hAnsiTheme="majorBidi" w:cstheme="majorBidi"/>
        </w:rPr>
        <w:t xml:space="preserve">lthough </w:t>
      </w:r>
      <w:r>
        <w:rPr>
          <w:rFonts w:asciiTheme="majorBidi" w:hAnsiTheme="majorBidi" w:cstheme="majorBidi"/>
        </w:rPr>
        <w:t>Ibn al-</w:t>
      </w:r>
      <w:proofErr w:type="spellStart"/>
      <w:r>
        <w:rPr>
          <w:rFonts w:asciiTheme="majorBidi" w:hAnsiTheme="majorBidi" w:cstheme="majorBidi"/>
        </w:rPr>
        <w:t>Jawzī’s</w:t>
      </w:r>
      <w:proofErr w:type="spellEnd"/>
      <w:r w:rsidR="005909B2">
        <w:rPr>
          <w:rFonts w:asciiTheme="majorBidi" w:hAnsiTheme="majorBidi" w:cstheme="majorBidi"/>
        </w:rPr>
        <w:t xml:space="preserve"> biographical accounts of Muslim </w:t>
      </w:r>
      <w:proofErr w:type="gramStart"/>
      <w:r w:rsidR="005909B2">
        <w:rPr>
          <w:rFonts w:asciiTheme="majorBidi" w:hAnsiTheme="majorBidi" w:cstheme="majorBidi"/>
        </w:rPr>
        <w:t>rulers</w:t>
      </w:r>
      <w:proofErr w:type="gramEnd"/>
      <w:r w:rsidR="005909B2">
        <w:rPr>
          <w:rFonts w:asciiTheme="majorBidi" w:hAnsiTheme="majorBidi" w:cstheme="majorBidi"/>
        </w:rPr>
        <w:t xml:space="preserve"> </w:t>
      </w:r>
      <w:r>
        <w:rPr>
          <w:rFonts w:asciiTheme="majorBidi" w:hAnsiTheme="majorBidi" w:cstheme="majorBidi"/>
        </w:rPr>
        <w:t>detail</w:t>
      </w:r>
      <w:r w:rsidR="005909B2">
        <w:rPr>
          <w:rFonts w:asciiTheme="majorBidi" w:hAnsiTheme="majorBidi" w:cstheme="majorBidi"/>
        </w:rPr>
        <w:t xml:space="preserve"> a given ruler’s justice and kingly virtues, </w:t>
      </w:r>
      <w:r>
        <w:rPr>
          <w:rFonts w:asciiTheme="majorBidi" w:hAnsiTheme="majorBidi" w:cstheme="majorBidi"/>
        </w:rPr>
        <w:t>they</w:t>
      </w:r>
      <w:r w:rsidR="005909B2">
        <w:rPr>
          <w:rFonts w:asciiTheme="majorBidi" w:hAnsiTheme="majorBidi" w:cstheme="majorBidi"/>
        </w:rPr>
        <w:t xml:space="preserve"> emphasi</w:t>
      </w:r>
      <w:r>
        <w:rPr>
          <w:rFonts w:asciiTheme="majorBidi" w:hAnsiTheme="majorBidi" w:cstheme="majorBidi"/>
        </w:rPr>
        <w:t>ze</w:t>
      </w:r>
      <w:r w:rsidR="005909B2">
        <w:rPr>
          <w:rFonts w:asciiTheme="majorBidi" w:hAnsiTheme="majorBidi" w:cstheme="majorBidi"/>
        </w:rPr>
        <w:t xml:space="preserve"> the ruler’s pious and learned qualities</w:t>
      </w:r>
      <w:r>
        <w:rPr>
          <w:rFonts w:asciiTheme="majorBidi" w:hAnsiTheme="majorBidi" w:cstheme="majorBidi"/>
        </w:rPr>
        <w:t xml:space="preserve">, as is consistent with his attention to </w:t>
      </w:r>
      <w:r w:rsidR="00B3629E">
        <w:rPr>
          <w:rFonts w:asciiTheme="majorBidi" w:hAnsiTheme="majorBidi" w:cstheme="majorBidi"/>
        </w:rPr>
        <w:t xml:space="preserve">asceticism, </w:t>
      </w:r>
      <w:r w:rsidR="005909B2">
        <w:rPr>
          <w:rFonts w:asciiTheme="majorBidi" w:hAnsiTheme="majorBidi" w:cstheme="majorBidi"/>
        </w:rPr>
        <w:t xml:space="preserve">the fear of God, </w:t>
      </w:r>
      <w:r w:rsidR="00631D8A">
        <w:rPr>
          <w:rFonts w:asciiTheme="majorBidi" w:hAnsiTheme="majorBidi" w:cstheme="majorBidi"/>
        </w:rPr>
        <w:t xml:space="preserve">being mindful of death and the afterlife, </w:t>
      </w:r>
      <w:r w:rsidR="00B3629E">
        <w:rPr>
          <w:rFonts w:asciiTheme="majorBidi" w:hAnsiTheme="majorBidi" w:cstheme="majorBidi"/>
        </w:rPr>
        <w:t>and</w:t>
      </w:r>
      <w:r w:rsidR="00B9667E">
        <w:rPr>
          <w:rFonts w:asciiTheme="majorBidi" w:hAnsiTheme="majorBidi" w:cstheme="majorBidi"/>
        </w:rPr>
        <w:t xml:space="preserve"> </w:t>
      </w:r>
      <w:r w:rsidR="00B3629E">
        <w:rPr>
          <w:rFonts w:asciiTheme="majorBidi" w:hAnsiTheme="majorBidi" w:cstheme="majorBidi"/>
        </w:rPr>
        <w:t xml:space="preserve">devotion to </w:t>
      </w:r>
      <w:r w:rsidR="00A739F1">
        <w:rPr>
          <w:rFonts w:asciiTheme="majorBidi" w:hAnsiTheme="majorBidi" w:cstheme="majorBidi"/>
        </w:rPr>
        <w:t>scripture</w:t>
      </w:r>
      <w:r w:rsidR="00B3629E">
        <w:rPr>
          <w:rFonts w:asciiTheme="majorBidi" w:hAnsiTheme="majorBidi" w:cstheme="majorBidi"/>
        </w:rPr>
        <w:t xml:space="preserve"> </w:t>
      </w:r>
      <w:r w:rsidR="006D55FE">
        <w:rPr>
          <w:rFonts w:asciiTheme="majorBidi" w:hAnsiTheme="majorBidi" w:cstheme="majorBidi"/>
        </w:rPr>
        <w:t>and</w:t>
      </w:r>
      <w:r w:rsidR="00B3629E">
        <w:rPr>
          <w:rFonts w:asciiTheme="majorBidi" w:hAnsiTheme="majorBidi" w:cstheme="majorBidi"/>
        </w:rPr>
        <w:t xml:space="preserve"> ritualistic piety.</w:t>
      </w:r>
      <w:r>
        <w:rPr>
          <w:rFonts w:asciiTheme="majorBidi" w:hAnsiTheme="majorBidi" w:cstheme="majorBidi"/>
        </w:rPr>
        <w:t xml:space="preserve"> Given </w:t>
      </w:r>
      <w:r w:rsidR="005909B2">
        <w:rPr>
          <w:rFonts w:asciiTheme="majorBidi" w:hAnsiTheme="majorBidi" w:cstheme="majorBidi"/>
        </w:rPr>
        <w:t>Ibn al-</w:t>
      </w:r>
      <w:proofErr w:type="spellStart"/>
      <w:r w:rsidR="005909B2">
        <w:rPr>
          <w:rFonts w:asciiTheme="majorBidi" w:hAnsiTheme="majorBidi" w:cstheme="majorBidi"/>
        </w:rPr>
        <w:t>Jawzī</w:t>
      </w:r>
      <w:r>
        <w:rPr>
          <w:rFonts w:asciiTheme="majorBidi" w:hAnsiTheme="majorBidi" w:cstheme="majorBidi"/>
        </w:rPr>
        <w:t>’s</w:t>
      </w:r>
      <w:proofErr w:type="spellEnd"/>
      <w:r>
        <w:rPr>
          <w:rFonts w:asciiTheme="majorBidi" w:hAnsiTheme="majorBidi" w:cstheme="majorBidi"/>
        </w:rPr>
        <w:t xml:space="preserve"> commitments in this respect, how does he</w:t>
      </w:r>
      <w:r w:rsidR="00185C3A">
        <w:rPr>
          <w:rFonts w:asciiTheme="majorBidi" w:hAnsiTheme="majorBidi" w:cstheme="majorBidi"/>
        </w:rPr>
        <w:t xml:space="preserve"> think ideal rulership can be achieved</w:t>
      </w:r>
      <w:r>
        <w:rPr>
          <w:rFonts w:asciiTheme="majorBidi" w:hAnsiTheme="majorBidi" w:cstheme="majorBidi"/>
        </w:rPr>
        <w:t>?</w:t>
      </w:r>
      <w:r w:rsidR="00185C3A">
        <w:rPr>
          <w:rFonts w:asciiTheme="majorBidi" w:hAnsiTheme="majorBidi" w:cstheme="majorBidi"/>
        </w:rPr>
        <w:t xml:space="preserve"> </w:t>
      </w:r>
      <w:r w:rsidR="00925186">
        <w:rPr>
          <w:rFonts w:asciiTheme="majorBidi" w:hAnsiTheme="majorBidi" w:cstheme="majorBidi"/>
        </w:rPr>
        <w:t>In light of</w:t>
      </w:r>
      <w:r>
        <w:rPr>
          <w:rFonts w:asciiTheme="majorBidi" w:hAnsiTheme="majorBidi" w:cstheme="majorBidi"/>
        </w:rPr>
        <w:t xml:space="preserve"> his </w:t>
      </w:r>
      <w:r w:rsidR="006C0619">
        <w:rPr>
          <w:rFonts w:asciiTheme="majorBidi" w:hAnsiTheme="majorBidi" w:cstheme="majorBidi"/>
        </w:rPr>
        <w:t xml:space="preserve">principled </w:t>
      </w:r>
      <w:r>
        <w:rPr>
          <w:rFonts w:asciiTheme="majorBidi" w:hAnsiTheme="majorBidi" w:cstheme="majorBidi"/>
        </w:rPr>
        <w:t>emphasis on piety and knowledge, we might expect h</w:t>
      </w:r>
      <w:r w:rsidR="00925186">
        <w:rPr>
          <w:rFonts w:asciiTheme="majorBidi" w:hAnsiTheme="majorBidi" w:cstheme="majorBidi"/>
        </w:rPr>
        <w:t>im to push rulers to adopt these values in an absolutist fashion</w:t>
      </w:r>
      <w:r w:rsidR="006C0619">
        <w:rPr>
          <w:rFonts w:asciiTheme="majorBidi" w:hAnsiTheme="majorBidi" w:cstheme="majorBidi"/>
        </w:rPr>
        <w:t xml:space="preserve"> </w:t>
      </w:r>
      <w:r w:rsidR="006B30D6">
        <w:rPr>
          <w:rFonts w:asciiTheme="majorBidi" w:hAnsiTheme="majorBidi" w:cstheme="majorBidi"/>
        </w:rPr>
        <w:t>and to express harsh criticism of any shortcoming</w:t>
      </w:r>
      <w:r w:rsidR="00C7686C">
        <w:rPr>
          <w:rFonts w:asciiTheme="majorBidi" w:hAnsiTheme="majorBidi" w:cstheme="majorBidi"/>
        </w:rPr>
        <w:t xml:space="preserve">. </w:t>
      </w:r>
      <w:r w:rsidR="00EE3F14">
        <w:rPr>
          <w:rFonts w:asciiTheme="majorBidi" w:hAnsiTheme="majorBidi" w:cstheme="majorBidi"/>
        </w:rPr>
        <w:t>Yet I argue that h</w:t>
      </w:r>
      <w:r w:rsidR="00A739F1">
        <w:rPr>
          <w:rFonts w:asciiTheme="majorBidi" w:hAnsiTheme="majorBidi" w:cstheme="majorBidi"/>
        </w:rPr>
        <w:t>is overall approach</w:t>
      </w:r>
      <w:r w:rsidR="00C7686C">
        <w:rPr>
          <w:rFonts w:asciiTheme="majorBidi" w:hAnsiTheme="majorBidi" w:cstheme="majorBidi"/>
        </w:rPr>
        <w:t xml:space="preserve"> to the moral reform of rulers</w:t>
      </w:r>
      <w:r w:rsidR="00A739F1">
        <w:rPr>
          <w:rFonts w:asciiTheme="majorBidi" w:hAnsiTheme="majorBidi" w:cstheme="majorBidi"/>
        </w:rPr>
        <w:t xml:space="preserve">, </w:t>
      </w:r>
      <w:r w:rsidR="003C5066">
        <w:rPr>
          <w:rFonts w:asciiTheme="majorBidi" w:hAnsiTheme="majorBidi" w:cstheme="majorBidi"/>
        </w:rPr>
        <w:t xml:space="preserve">which </w:t>
      </w:r>
      <w:r w:rsidR="00485DC3">
        <w:rPr>
          <w:rFonts w:asciiTheme="majorBidi" w:hAnsiTheme="majorBidi" w:cstheme="majorBidi"/>
        </w:rPr>
        <w:t>I call “ameliorative</w:t>
      </w:r>
      <w:r w:rsidR="00E6508C">
        <w:rPr>
          <w:rFonts w:asciiTheme="majorBidi" w:hAnsiTheme="majorBidi" w:cstheme="majorBidi"/>
        </w:rPr>
        <w:t>,</w:t>
      </w:r>
      <w:r w:rsidR="00485DC3">
        <w:rPr>
          <w:rFonts w:asciiTheme="majorBidi" w:hAnsiTheme="majorBidi" w:cstheme="majorBidi"/>
        </w:rPr>
        <w:t>”</w:t>
      </w:r>
      <w:r w:rsidR="00A739F1">
        <w:rPr>
          <w:rFonts w:asciiTheme="majorBidi" w:hAnsiTheme="majorBidi" w:cstheme="majorBidi"/>
        </w:rPr>
        <w:t xml:space="preserve"> </w:t>
      </w:r>
      <w:r w:rsidR="003C5066">
        <w:rPr>
          <w:rFonts w:asciiTheme="majorBidi" w:hAnsiTheme="majorBidi" w:cstheme="majorBidi"/>
        </w:rPr>
        <w:t>can</w:t>
      </w:r>
      <w:r w:rsidR="00EE3F14">
        <w:rPr>
          <w:rFonts w:asciiTheme="majorBidi" w:hAnsiTheme="majorBidi" w:cstheme="majorBidi"/>
        </w:rPr>
        <w:t>, in fact,</w:t>
      </w:r>
      <w:r w:rsidR="003C5066">
        <w:rPr>
          <w:rFonts w:asciiTheme="majorBidi" w:hAnsiTheme="majorBidi" w:cstheme="majorBidi"/>
        </w:rPr>
        <w:t xml:space="preserve"> be characterized as </w:t>
      </w:r>
      <w:r w:rsidR="00D72106">
        <w:rPr>
          <w:rFonts w:asciiTheme="majorBidi" w:hAnsiTheme="majorBidi" w:cstheme="majorBidi"/>
        </w:rPr>
        <w:t xml:space="preserve">mediatory, </w:t>
      </w:r>
      <w:r w:rsidR="003C5066">
        <w:rPr>
          <w:rFonts w:asciiTheme="majorBidi" w:hAnsiTheme="majorBidi" w:cstheme="majorBidi"/>
        </w:rPr>
        <w:t>moderate, pragmatic</w:t>
      </w:r>
      <w:r w:rsidR="00D72106">
        <w:rPr>
          <w:rFonts w:asciiTheme="majorBidi" w:hAnsiTheme="majorBidi" w:cstheme="majorBidi"/>
        </w:rPr>
        <w:t>, and affective</w:t>
      </w:r>
      <w:r w:rsidR="00E6508C">
        <w:rPr>
          <w:rFonts w:asciiTheme="majorBidi" w:hAnsiTheme="majorBidi" w:cstheme="majorBidi"/>
        </w:rPr>
        <w:t xml:space="preserve">. </w:t>
      </w:r>
      <w:r w:rsidR="00B816C3">
        <w:rPr>
          <w:rFonts w:asciiTheme="majorBidi" w:hAnsiTheme="majorBidi" w:cstheme="majorBidi"/>
        </w:rPr>
        <w:t>Framed in light of</w:t>
      </w:r>
      <w:r w:rsidR="00485DC3">
        <w:rPr>
          <w:rFonts w:asciiTheme="majorBidi" w:hAnsiTheme="majorBidi" w:cstheme="majorBidi"/>
        </w:rPr>
        <w:t xml:space="preserve"> Ibn al-</w:t>
      </w:r>
      <w:proofErr w:type="spellStart"/>
      <w:r w:rsidR="00485DC3">
        <w:rPr>
          <w:rFonts w:asciiTheme="majorBidi" w:hAnsiTheme="majorBidi" w:cstheme="majorBidi"/>
        </w:rPr>
        <w:t>Jawzī’s</w:t>
      </w:r>
      <w:proofErr w:type="spellEnd"/>
      <w:r w:rsidR="00485DC3">
        <w:rPr>
          <w:rFonts w:asciiTheme="majorBidi" w:hAnsiTheme="majorBidi" w:cstheme="majorBidi"/>
        </w:rPr>
        <w:t xml:space="preserve"> attempts to navigate the tumultuous politics of his day</w:t>
      </w:r>
      <w:r w:rsidR="00B816C3">
        <w:rPr>
          <w:rFonts w:asciiTheme="majorBidi" w:hAnsiTheme="majorBidi" w:cstheme="majorBidi"/>
        </w:rPr>
        <w:t xml:space="preserve">, an ameliorative </w:t>
      </w:r>
      <w:r w:rsidR="003624C2">
        <w:rPr>
          <w:rFonts w:asciiTheme="majorBidi" w:hAnsiTheme="majorBidi" w:cstheme="majorBidi"/>
        </w:rPr>
        <w:t xml:space="preserve">approach </w:t>
      </w:r>
      <w:r w:rsidR="00B816C3">
        <w:rPr>
          <w:rFonts w:asciiTheme="majorBidi" w:hAnsiTheme="majorBidi" w:cstheme="majorBidi"/>
        </w:rPr>
        <w:t xml:space="preserve">to politics </w:t>
      </w:r>
      <w:r w:rsidR="008604F4">
        <w:rPr>
          <w:rFonts w:asciiTheme="majorBidi" w:hAnsiTheme="majorBidi" w:cstheme="majorBidi"/>
        </w:rPr>
        <w:t>aims to temper harsh political realities by</w:t>
      </w:r>
      <w:r w:rsidR="00F64399">
        <w:rPr>
          <w:rFonts w:asciiTheme="majorBidi" w:hAnsiTheme="majorBidi" w:cstheme="majorBidi"/>
        </w:rPr>
        <w:t xml:space="preserve"> ensuring that ruler</w:t>
      </w:r>
      <w:r w:rsidR="00485B76">
        <w:rPr>
          <w:rFonts w:asciiTheme="majorBidi" w:hAnsiTheme="majorBidi" w:cstheme="majorBidi"/>
        </w:rPr>
        <w:t xml:space="preserve">s </w:t>
      </w:r>
      <w:r w:rsidR="00F64399">
        <w:rPr>
          <w:rFonts w:asciiTheme="majorBidi" w:hAnsiTheme="majorBidi" w:cstheme="majorBidi"/>
        </w:rPr>
        <w:t>incline toward righteous rule</w:t>
      </w:r>
      <w:r w:rsidR="00EE3F14">
        <w:rPr>
          <w:rFonts w:asciiTheme="majorBidi" w:hAnsiTheme="majorBidi" w:cstheme="majorBidi"/>
        </w:rPr>
        <w:t>—with righteousness, in this case, being understood to accommodate moderation and mediation</w:t>
      </w:r>
      <w:r w:rsidR="00F64399">
        <w:rPr>
          <w:rFonts w:asciiTheme="majorBidi" w:hAnsiTheme="majorBidi" w:cstheme="majorBidi"/>
        </w:rPr>
        <w:t xml:space="preserve">. </w:t>
      </w:r>
      <w:r w:rsidR="00411623">
        <w:rPr>
          <w:rFonts w:asciiTheme="majorBidi" w:hAnsiTheme="majorBidi" w:cstheme="majorBidi"/>
        </w:rPr>
        <w:t>Key to this approach is</w:t>
      </w:r>
      <w:r w:rsidR="00485B76">
        <w:rPr>
          <w:rFonts w:asciiTheme="majorBidi" w:hAnsiTheme="majorBidi" w:cstheme="majorBidi"/>
        </w:rPr>
        <w:t xml:space="preserve"> </w:t>
      </w:r>
      <w:r w:rsidR="001A3E24">
        <w:rPr>
          <w:rFonts w:asciiTheme="majorBidi" w:hAnsiTheme="majorBidi" w:cstheme="majorBidi"/>
        </w:rPr>
        <w:t>t</w:t>
      </w:r>
      <w:r w:rsidR="00EE3F14">
        <w:rPr>
          <w:rFonts w:asciiTheme="majorBidi" w:hAnsiTheme="majorBidi" w:cstheme="majorBidi"/>
        </w:rPr>
        <w:t>he</w:t>
      </w:r>
      <w:r w:rsidR="00485B76">
        <w:rPr>
          <w:rFonts w:asciiTheme="majorBidi" w:hAnsiTheme="majorBidi" w:cstheme="majorBidi"/>
        </w:rPr>
        <w:t xml:space="preserve"> </w:t>
      </w:r>
      <w:r w:rsidR="001A3E24">
        <w:rPr>
          <w:rFonts w:asciiTheme="majorBidi" w:hAnsiTheme="majorBidi" w:cstheme="majorBidi"/>
        </w:rPr>
        <w:t>reform</w:t>
      </w:r>
      <w:r w:rsidR="00EE3F14">
        <w:rPr>
          <w:rFonts w:asciiTheme="majorBidi" w:hAnsiTheme="majorBidi" w:cstheme="majorBidi"/>
        </w:rPr>
        <w:t>ation of</w:t>
      </w:r>
      <w:r w:rsidR="001A3E24">
        <w:rPr>
          <w:rFonts w:asciiTheme="majorBidi" w:hAnsiTheme="majorBidi" w:cstheme="majorBidi"/>
        </w:rPr>
        <w:t xml:space="preserve"> the hearts of </w:t>
      </w:r>
      <w:r w:rsidR="00485B76">
        <w:rPr>
          <w:rFonts w:asciiTheme="majorBidi" w:hAnsiTheme="majorBidi" w:cstheme="majorBidi"/>
        </w:rPr>
        <w:t>rulers</w:t>
      </w:r>
      <w:r w:rsidR="003C7B27">
        <w:rPr>
          <w:rFonts w:asciiTheme="majorBidi" w:hAnsiTheme="majorBidi" w:cstheme="majorBidi"/>
        </w:rPr>
        <w:t xml:space="preserve"> along “ameliorative” lines</w:t>
      </w:r>
      <w:r w:rsidR="004E00A4">
        <w:rPr>
          <w:rFonts w:asciiTheme="majorBidi" w:hAnsiTheme="majorBidi" w:cstheme="majorBidi"/>
        </w:rPr>
        <w:t xml:space="preserve">, which will be </w:t>
      </w:r>
      <w:r w:rsidR="00225CDF">
        <w:rPr>
          <w:rFonts w:asciiTheme="majorBidi" w:hAnsiTheme="majorBidi" w:cstheme="majorBidi"/>
        </w:rPr>
        <w:t>treated</w:t>
      </w:r>
      <w:r w:rsidR="004E00A4">
        <w:rPr>
          <w:rFonts w:asciiTheme="majorBidi" w:hAnsiTheme="majorBidi" w:cstheme="majorBidi"/>
        </w:rPr>
        <w:t xml:space="preserve"> in Chapter 7</w:t>
      </w:r>
      <w:r w:rsidR="00485B76">
        <w:rPr>
          <w:rFonts w:asciiTheme="majorBidi" w:hAnsiTheme="majorBidi" w:cstheme="majorBidi"/>
        </w:rPr>
        <w:t>.</w:t>
      </w:r>
    </w:p>
    <w:p w14:paraId="529A8C7A" w14:textId="5A26618B" w:rsidR="006F09F3" w:rsidRDefault="00485B76" w:rsidP="0037533B">
      <w:pPr>
        <w:spacing w:line="360" w:lineRule="auto"/>
        <w:rPr>
          <w:rFonts w:asciiTheme="majorBidi" w:hAnsiTheme="majorBidi" w:cstheme="majorBidi"/>
        </w:rPr>
      </w:pPr>
      <w:r>
        <w:rPr>
          <w:rFonts w:asciiTheme="majorBidi" w:hAnsiTheme="majorBidi" w:cstheme="majorBidi"/>
        </w:rPr>
        <w:tab/>
      </w:r>
      <w:r w:rsidR="00787880">
        <w:rPr>
          <w:rFonts w:asciiTheme="majorBidi" w:hAnsiTheme="majorBidi" w:cstheme="majorBidi"/>
        </w:rPr>
        <w:t xml:space="preserve">Insofar as </w:t>
      </w:r>
      <w:r w:rsidR="001A3E24">
        <w:rPr>
          <w:rFonts w:asciiTheme="majorBidi" w:hAnsiTheme="majorBidi" w:cstheme="majorBidi"/>
        </w:rPr>
        <w:t>the “reform of the heart”</w:t>
      </w:r>
      <w:r w:rsidR="00787880">
        <w:rPr>
          <w:rFonts w:asciiTheme="majorBidi" w:hAnsiTheme="majorBidi" w:cstheme="majorBidi"/>
        </w:rPr>
        <w:t xml:space="preserve"> constitute</w:t>
      </w:r>
      <w:r w:rsidR="001A3E24">
        <w:rPr>
          <w:rFonts w:asciiTheme="majorBidi" w:hAnsiTheme="majorBidi" w:cstheme="majorBidi"/>
        </w:rPr>
        <w:t>s</w:t>
      </w:r>
      <w:r w:rsidR="00787880">
        <w:rPr>
          <w:rFonts w:asciiTheme="majorBidi" w:hAnsiTheme="majorBidi" w:cstheme="majorBidi"/>
        </w:rPr>
        <w:t xml:space="preserve"> the main ingredient for Ibn al-</w:t>
      </w:r>
      <w:proofErr w:type="spellStart"/>
      <w:r w:rsidR="00787880">
        <w:rPr>
          <w:rFonts w:asciiTheme="majorBidi" w:hAnsiTheme="majorBidi" w:cstheme="majorBidi"/>
        </w:rPr>
        <w:t>Jawzī’s</w:t>
      </w:r>
      <w:proofErr w:type="spellEnd"/>
      <w:r w:rsidR="00787880">
        <w:rPr>
          <w:rFonts w:asciiTheme="majorBidi" w:hAnsiTheme="majorBidi" w:cstheme="majorBidi"/>
        </w:rPr>
        <w:t xml:space="preserve"> ameliorative politics, </w:t>
      </w:r>
      <w:r w:rsidR="00722D8B">
        <w:rPr>
          <w:rFonts w:asciiTheme="majorBidi" w:hAnsiTheme="majorBidi" w:cstheme="majorBidi"/>
        </w:rPr>
        <w:t xml:space="preserve">the agents responsible for </w:t>
      </w:r>
      <w:r w:rsidR="000E1904">
        <w:rPr>
          <w:rFonts w:asciiTheme="majorBidi" w:hAnsiTheme="majorBidi" w:cstheme="majorBidi"/>
        </w:rPr>
        <w:t>fulfilling it</w:t>
      </w:r>
      <w:r w:rsidR="00787880">
        <w:rPr>
          <w:rFonts w:asciiTheme="majorBidi" w:hAnsiTheme="majorBidi" w:cstheme="majorBidi"/>
        </w:rPr>
        <w:t xml:space="preserve"> are</w:t>
      </w:r>
      <w:r w:rsidR="006A14C1">
        <w:rPr>
          <w:rFonts w:asciiTheme="majorBidi" w:hAnsiTheme="majorBidi" w:cstheme="majorBidi"/>
        </w:rPr>
        <w:t xml:space="preserve"> the religious scholars</w:t>
      </w:r>
      <w:r w:rsidR="00722D8B">
        <w:rPr>
          <w:rFonts w:asciiTheme="majorBidi" w:hAnsiTheme="majorBidi" w:cstheme="majorBidi"/>
        </w:rPr>
        <w:t xml:space="preserve"> (</w:t>
      </w:r>
      <w:proofErr w:type="spellStart"/>
      <w:r w:rsidR="006A14C1">
        <w:rPr>
          <w:rFonts w:asciiTheme="majorBidi" w:hAnsiTheme="majorBidi" w:cstheme="majorBidi"/>
          <w:i/>
          <w:iCs/>
        </w:rPr>
        <w:t>ʿulamāʾ</w:t>
      </w:r>
      <w:proofErr w:type="spellEnd"/>
      <w:r w:rsidR="00722D8B">
        <w:rPr>
          <w:rFonts w:asciiTheme="majorBidi" w:hAnsiTheme="majorBidi" w:cstheme="majorBidi"/>
        </w:rPr>
        <w:t>)</w:t>
      </w:r>
      <w:r w:rsidR="00606100">
        <w:rPr>
          <w:rFonts w:asciiTheme="majorBidi" w:hAnsiTheme="majorBidi" w:cstheme="majorBidi"/>
        </w:rPr>
        <w:t>.</w:t>
      </w:r>
      <w:r w:rsidR="00E271B7">
        <w:rPr>
          <w:rFonts w:asciiTheme="majorBidi" w:hAnsiTheme="majorBidi" w:cstheme="majorBidi"/>
        </w:rPr>
        <w:t xml:space="preserve"> </w:t>
      </w:r>
      <w:r w:rsidR="00D70066">
        <w:rPr>
          <w:rFonts w:asciiTheme="majorBidi" w:hAnsiTheme="majorBidi" w:cstheme="majorBidi"/>
        </w:rPr>
        <w:t>This chapter</w:t>
      </w:r>
      <w:r w:rsidR="003C7B27">
        <w:rPr>
          <w:rFonts w:asciiTheme="majorBidi" w:hAnsiTheme="majorBidi" w:cstheme="majorBidi"/>
        </w:rPr>
        <w:t>, then,</w:t>
      </w:r>
      <w:r w:rsidR="00D70066">
        <w:rPr>
          <w:rFonts w:asciiTheme="majorBidi" w:hAnsiTheme="majorBidi" w:cstheme="majorBidi"/>
        </w:rPr>
        <w:t xml:space="preserve"> </w:t>
      </w:r>
      <w:r w:rsidR="00225CDF">
        <w:rPr>
          <w:rFonts w:asciiTheme="majorBidi" w:hAnsiTheme="majorBidi" w:cstheme="majorBidi"/>
        </w:rPr>
        <w:t>addresses</w:t>
      </w:r>
      <w:r w:rsidR="00167F48">
        <w:rPr>
          <w:rFonts w:asciiTheme="majorBidi" w:hAnsiTheme="majorBidi" w:cstheme="majorBidi"/>
        </w:rPr>
        <w:t xml:space="preserve"> Ibn al-</w:t>
      </w:r>
      <w:proofErr w:type="spellStart"/>
      <w:r w:rsidR="00167F48">
        <w:rPr>
          <w:rFonts w:asciiTheme="majorBidi" w:hAnsiTheme="majorBidi" w:cstheme="majorBidi"/>
        </w:rPr>
        <w:t>Jawzī’s</w:t>
      </w:r>
      <w:proofErr w:type="spellEnd"/>
      <w:r w:rsidR="00167F48">
        <w:rPr>
          <w:rFonts w:asciiTheme="majorBidi" w:hAnsiTheme="majorBidi" w:cstheme="majorBidi"/>
        </w:rPr>
        <w:t xml:space="preserve"> reassessment of t</w:t>
      </w:r>
      <w:r w:rsidR="00263D96">
        <w:rPr>
          <w:rFonts w:asciiTheme="majorBidi" w:hAnsiTheme="majorBidi" w:cstheme="majorBidi"/>
        </w:rPr>
        <w:t xml:space="preserve">he ideal </w:t>
      </w:r>
      <w:r w:rsidR="00167F48">
        <w:rPr>
          <w:rFonts w:asciiTheme="majorBidi" w:hAnsiTheme="majorBidi" w:cstheme="majorBidi"/>
        </w:rPr>
        <w:t>relationship</w:t>
      </w:r>
      <w:r w:rsidR="00263D96">
        <w:rPr>
          <w:rFonts w:asciiTheme="majorBidi" w:hAnsiTheme="majorBidi" w:cstheme="majorBidi"/>
        </w:rPr>
        <w:t xml:space="preserve"> between rulers and scholars</w:t>
      </w:r>
      <w:r w:rsidR="00167F48">
        <w:rPr>
          <w:rFonts w:asciiTheme="majorBidi" w:hAnsiTheme="majorBidi" w:cstheme="majorBidi"/>
        </w:rPr>
        <w:t xml:space="preserve">. </w:t>
      </w:r>
      <w:r w:rsidR="00406474" w:rsidRPr="001E24FD">
        <w:rPr>
          <w:rFonts w:asciiTheme="majorBidi" w:hAnsiTheme="majorBidi" w:cstheme="majorBidi"/>
        </w:rPr>
        <w:t xml:space="preserve">It argues that </w:t>
      </w:r>
      <w:r w:rsidR="00263D96">
        <w:rPr>
          <w:rFonts w:asciiTheme="majorBidi" w:hAnsiTheme="majorBidi" w:cstheme="majorBidi"/>
        </w:rPr>
        <w:t xml:space="preserve">unlike most scholars who adopted a cynical view of this relationship, </w:t>
      </w:r>
      <w:r w:rsidR="000018BC">
        <w:rPr>
          <w:rFonts w:asciiTheme="majorBidi" w:hAnsiTheme="majorBidi" w:cstheme="majorBidi"/>
        </w:rPr>
        <w:t>he</w:t>
      </w:r>
      <w:r w:rsidR="00406474" w:rsidRPr="001E24FD">
        <w:rPr>
          <w:rFonts w:asciiTheme="majorBidi" w:hAnsiTheme="majorBidi" w:cstheme="majorBidi"/>
        </w:rPr>
        <w:t xml:space="preserve"> envisions a greater role for </w:t>
      </w:r>
      <w:r w:rsidR="00421D44">
        <w:rPr>
          <w:rFonts w:asciiTheme="majorBidi" w:hAnsiTheme="majorBidi" w:cstheme="majorBidi"/>
        </w:rPr>
        <w:t xml:space="preserve">scholars in </w:t>
      </w:r>
      <w:r w:rsidR="0060331D">
        <w:rPr>
          <w:rFonts w:asciiTheme="majorBidi" w:hAnsiTheme="majorBidi" w:cstheme="majorBidi"/>
        </w:rPr>
        <w:t xml:space="preserve">the moral reform of </w:t>
      </w:r>
      <w:r w:rsidR="000E1904">
        <w:rPr>
          <w:rFonts w:asciiTheme="majorBidi" w:hAnsiTheme="majorBidi" w:cstheme="majorBidi"/>
        </w:rPr>
        <w:t>rulers</w:t>
      </w:r>
      <w:r w:rsidR="00406474" w:rsidRPr="001E24FD">
        <w:rPr>
          <w:rFonts w:asciiTheme="majorBidi" w:hAnsiTheme="majorBidi" w:cstheme="majorBidi"/>
        </w:rPr>
        <w:t>. This view culminates in his suggestion that scholars who embody the</w:t>
      </w:r>
      <w:r w:rsidR="000E1904">
        <w:rPr>
          <w:rFonts w:asciiTheme="majorBidi" w:hAnsiTheme="majorBidi" w:cstheme="majorBidi"/>
        </w:rPr>
        <w:t xml:space="preserve"> </w:t>
      </w:r>
      <w:proofErr w:type="spellStart"/>
      <w:r w:rsidR="0045041A">
        <w:rPr>
          <w:rFonts w:asciiTheme="majorBidi" w:hAnsiTheme="majorBidi" w:cstheme="majorBidi"/>
          <w:i/>
          <w:iCs/>
        </w:rPr>
        <w:t>s</w:t>
      </w:r>
      <w:r w:rsidR="000E1904" w:rsidRPr="0045041A">
        <w:rPr>
          <w:rFonts w:asciiTheme="majorBidi" w:hAnsiTheme="majorBidi" w:cstheme="majorBidi"/>
          <w:i/>
          <w:iCs/>
        </w:rPr>
        <w:t>harīʿa</w:t>
      </w:r>
      <w:proofErr w:type="spellEnd"/>
      <w:r w:rsidR="000E1904">
        <w:rPr>
          <w:rFonts w:asciiTheme="majorBidi" w:hAnsiTheme="majorBidi" w:cstheme="majorBidi"/>
        </w:rPr>
        <w:t xml:space="preserve"> </w:t>
      </w:r>
      <w:r w:rsidR="00406474">
        <w:rPr>
          <w:rFonts w:asciiTheme="majorBidi" w:hAnsiTheme="majorBidi" w:cstheme="majorBidi"/>
        </w:rPr>
        <w:t xml:space="preserve">ought to dictate the </w:t>
      </w:r>
      <w:r w:rsidR="00406474" w:rsidRPr="001E24FD">
        <w:rPr>
          <w:rFonts w:asciiTheme="majorBidi" w:hAnsiTheme="majorBidi" w:cstheme="majorBidi"/>
        </w:rPr>
        <w:t xml:space="preserve">ruler’s </w:t>
      </w:r>
      <w:r w:rsidR="0037533B">
        <w:rPr>
          <w:rFonts w:asciiTheme="majorBidi" w:hAnsiTheme="majorBidi" w:cstheme="majorBidi"/>
        </w:rPr>
        <w:t xml:space="preserve">use of his </w:t>
      </w:r>
      <w:r w:rsidR="00406474">
        <w:rPr>
          <w:rFonts w:asciiTheme="majorBidi" w:hAnsiTheme="majorBidi" w:cstheme="majorBidi"/>
        </w:rPr>
        <w:t>coercive and punitive powers</w:t>
      </w:r>
      <w:r w:rsidR="00406474" w:rsidRPr="001E24FD">
        <w:rPr>
          <w:rFonts w:asciiTheme="majorBidi" w:hAnsiTheme="majorBidi" w:cstheme="majorBidi"/>
        </w:rPr>
        <w:t>.</w:t>
      </w:r>
    </w:p>
    <w:p w14:paraId="080D606A" w14:textId="15B13E17" w:rsidR="008205B8" w:rsidRDefault="008205B8" w:rsidP="0037533B">
      <w:pPr>
        <w:spacing w:line="360" w:lineRule="auto"/>
        <w:rPr>
          <w:rFonts w:asciiTheme="majorBidi" w:hAnsiTheme="majorBidi" w:cstheme="majorBidi"/>
        </w:rPr>
      </w:pPr>
    </w:p>
    <w:p w14:paraId="4BA7A4DD" w14:textId="42FA3519" w:rsidR="00CD5F50" w:rsidRDefault="00E95470" w:rsidP="0037533B">
      <w:pPr>
        <w:spacing w:line="360" w:lineRule="auto"/>
        <w:rPr>
          <w:rFonts w:asciiTheme="majorBidi" w:hAnsiTheme="majorBidi" w:cstheme="majorBidi"/>
          <w:u w:val="single"/>
        </w:rPr>
      </w:pPr>
      <w:r>
        <w:rPr>
          <w:rFonts w:asciiTheme="majorBidi" w:hAnsiTheme="majorBidi" w:cstheme="majorBidi"/>
          <w:u w:val="single"/>
        </w:rPr>
        <w:t>T</w:t>
      </w:r>
      <w:r w:rsidR="0038393E">
        <w:rPr>
          <w:rFonts w:asciiTheme="majorBidi" w:hAnsiTheme="majorBidi" w:cstheme="majorBidi"/>
          <w:u w:val="single"/>
        </w:rPr>
        <w:t xml:space="preserve">he </w:t>
      </w:r>
      <w:r w:rsidR="00DC6236">
        <w:rPr>
          <w:rFonts w:asciiTheme="majorBidi" w:hAnsiTheme="majorBidi" w:cstheme="majorBidi"/>
          <w:u w:val="single"/>
        </w:rPr>
        <w:t>Crisis of Political and Religious Authority</w:t>
      </w:r>
      <w:r>
        <w:rPr>
          <w:rFonts w:asciiTheme="majorBidi" w:hAnsiTheme="majorBidi" w:cstheme="majorBidi"/>
          <w:u w:val="single"/>
        </w:rPr>
        <w:t xml:space="preserve"> in the Age of </w:t>
      </w:r>
      <w:proofErr w:type="spellStart"/>
      <w:r>
        <w:rPr>
          <w:rFonts w:asciiTheme="majorBidi" w:hAnsiTheme="majorBidi" w:cstheme="majorBidi"/>
          <w:i/>
          <w:iCs/>
          <w:u w:val="single"/>
        </w:rPr>
        <w:t>Shawka</w:t>
      </w:r>
      <w:proofErr w:type="spellEnd"/>
      <w:r>
        <w:rPr>
          <w:rFonts w:asciiTheme="majorBidi" w:hAnsiTheme="majorBidi" w:cstheme="majorBidi"/>
          <w:u w:val="single"/>
        </w:rPr>
        <w:t xml:space="preserve"> (Brute Force)</w:t>
      </w:r>
    </w:p>
    <w:p w14:paraId="13D3C937" w14:textId="77777777" w:rsidR="00E9380C" w:rsidRPr="00E95470" w:rsidRDefault="00E9380C" w:rsidP="0037533B">
      <w:pPr>
        <w:spacing w:line="360" w:lineRule="auto"/>
        <w:rPr>
          <w:rFonts w:asciiTheme="majorBidi" w:hAnsiTheme="majorBidi" w:cstheme="majorBidi"/>
        </w:rPr>
      </w:pPr>
    </w:p>
    <w:p w14:paraId="2730C315" w14:textId="480565D0" w:rsidR="00922FC7" w:rsidRDefault="00CD5F50" w:rsidP="0037533B">
      <w:pPr>
        <w:spacing w:line="360" w:lineRule="auto"/>
        <w:rPr>
          <w:rFonts w:ascii="Times New Roman" w:hAnsi="Times New Roman" w:cs="Times New Roman"/>
        </w:rPr>
      </w:pPr>
      <w:r>
        <w:rPr>
          <w:rFonts w:asciiTheme="majorBidi" w:hAnsiTheme="majorBidi" w:cstheme="majorBidi"/>
        </w:rPr>
        <w:tab/>
        <w:t xml:space="preserve">As </w:t>
      </w:r>
      <w:r w:rsidR="0084008B">
        <w:rPr>
          <w:rFonts w:asciiTheme="majorBidi" w:hAnsiTheme="majorBidi" w:cstheme="majorBidi"/>
        </w:rPr>
        <w:t xml:space="preserve">described </w:t>
      </w:r>
      <w:r w:rsidR="009E60FD">
        <w:rPr>
          <w:rFonts w:asciiTheme="majorBidi" w:hAnsiTheme="majorBidi" w:cstheme="majorBidi"/>
        </w:rPr>
        <w:t>in Chapter 1</w:t>
      </w:r>
      <w:r>
        <w:rPr>
          <w:rFonts w:asciiTheme="majorBidi" w:hAnsiTheme="majorBidi" w:cstheme="majorBidi"/>
        </w:rPr>
        <w:t xml:space="preserve">, the rise of the Seljuq Turks marked a turning point in </w:t>
      </w:r>
      <w:r w:rsidR="00040002">
        <w:rPr>
          <w:rFonts w:asciiTheme="majorBidi" w:hAnsiTheme="majorBidi" w:cstheme="majorBidi"/>
        </w:rPr>
        <w:t>Islamic history</w:t>
      </w:r>
      <w:r>
        <w:rPr>
          <w:rFonts w:asciiTheme="majorBidi" w:hAnsiTheme="majorBidi" w:cstheme="majorBidi"/>
        </w:rPr>
        <w:t xml:space="preserve">. </w:t>
      </w:r>
      <w:r w:rsidRPr="001E24FD">
        <w:rPr>
          <w:rFonts w:asciiTheme="majorBidi" w:hAnsiTheme="majorBidi" w:cstheme="majorBidi"/>
        </w:rPr>
        <w:t>The</w:t>
      </w:r>
      <w:r w:rsidR="00040002">
        <w:rPr>
          <w:rFonts w:asciiTheme="majorBidi" w:hAnsiTheme="majorBidi" w:cstheme="majorBidi"/>
        </w:rPr>
        <w:t xml:space="preserve">ir successful conquests across the Islamic Middle East and Central Asia, as well as the militarized rule that followed, </w:t>
      </w:r>
      <w:r w:rsidRPr="001E24FD">
        <w:rPr>
          <w:rFonts w:asciiTheme="majorBidi" w:hAnsiTheme="majorBidi" w:cstheme="majorBidi"/>
        </w:rPr>
        <w:t>drove home the point that brute force (</w:t>
      </w:r>
      <w:proofErr w:type="spellStart"/>
      <w:r w:rsidRPr="001E24FD">
        <w:rPr>
          <w:rFonts w:asciiTheme="majorBidi" w:hAnsiTheme="majorBidi" w:cstheme="majorBidi"/>
          <w:i/>
          <w:iCs/>
        </w:rPr>
        <w:t>shawka</w:t>
      </w:r>
      <w:proofErr w:type="spellEnd"/>
      <w:r w:rsidRPr="001E24FD">
        <w:rPr>
          <w:rFonts w:asciiTheme="majorBidi" w:hAnsiTheme="majorBidi" w:cstheme="majorBidi"/>
        </w:rPr>
        <w:t>) b</w:t>
      </w:r>
      <w:r>
        <w:rPr>
          <w:rFonts w:asciiTheme="majorBidi" w:hAnsiTheme="majorBidi" w:cstheme="majorBidi"/>
        </w:rPr>
        <w:t>ased</w:t>
      </w:r>
      <w:r w:rsidRPr="001E24FD">
        <w:rPr>
          <w:rFonts w:asciiTheme="majorBidi" w:hAnsiTheme="majorBidi" w:cstheme="majorBidi"/>
        </w:rPr>
        <w:t xml:space="preserve"> on </w:t>
      </w:r>
      <w:r w:rsidR="00F64FAD">
        <w:rPr>
          <w:rFonts w:asciiTheme="majorBidi" w:hAnsiTheme="majorBidi" w:cstheme="majorBidi"/>
        </w:rPr>
        <w:t xml:space="preserve">raw </w:t>
      </w:r>
      <w:r w:rsidRPr="001E24FD">
        <w:rPr>
          <w:rFonts w:asciiTheme="majorBidi" w:hAnsiTheme="majorBidi" w:cstheme="majorBidi"/>
        </w:rPr>
        <w:t>military power could carry the day</w:t>
      </w:r>
      <w:r w:rsidR="004C3195">
        <w:rPr>
          <w:rFonts w:asciiTheme="majorBidi" w:hAnsiTheme="majorBidi" w:cstheme="majorBidi"/>
        </w:rPr>
        <w:t>.</w:t>
      </w:r>
      <w:r w:rsidR="009E60FD">
        <w:rPr>
          <w:rFonts w:asciiTheme="majorBidi" w:hAnsiTheme="majorBidi" w:cstheme="majorBidi"/>
        </w:rPr>
        <w:t xml:space="preserve"> </w:t>
      </w:r>
      <w:r w:rsidR="00040002">
        <w:rPr>
          <w:rFonts w:asciiTheme="majorBidi" w:hAnsiTheme="majorBidi" w:cstheme="majorBidi"/>
        </w:rPr>
        <w:t xml:space="preserve">Moreover, </w:t>
      </w:r>
      <w:r w:rsidR="00E03B2C">
        <w:rPr>
          <w:rFonts w:asciiTheme="majorBidi" w:hAnsiTheme="majorBidi" w:cstheme="majorBidi"/>
        </w:rPr>
        <w:t xml:space="preserve">their rivalry and military conflicts with the </w:t>
      </w:r>
      <w:r w:rsidR="00E03B2C">
        <w:rPr>
          <w:rFonts w:asciiTheme="majorBidi" w:hAnsiTheme="majorBidi" w:cstheme="majorBidi"/>
        </w:rPr>
        <w:lastRenderedPageBreak/>
        <w:t>Abbasid caliphs took a heavy toll on Baghdad</w:t>
      </w:r>
      <w:r w:rsidR="001C53EA">
        <w:rPr>
          <w:rFonts w:asciiTheme="majorBidi" w:hAnsiTheme="majorBidi" w:cstheme="majorBidi"/>
        </w:rPr>
        <w:t xml:space="preserve">, especially during </w:t>
      </w:r>
      <w:r w:rsidR="00541B8E">
        <w:rPr>
          <w:rFonts w:asciiTheme="majorBidi" w:hAnsiTheme="majorBidi" w:cstheme="majorBidi"/>
        </w:rPr>
        <w:t>Ibn al-</w:t>
      </w:r>
      <w:proofErr w:type="spellStart"/>
      <w:r w:rsidR="00541B8E">
        <w:rPr>
          <w:rFonts w:asciiTheme="majorBidi" w:hAnsiTheme="majorBidi" w:cstheme="majorBidi"/>
        </w:rPr>
        <w:t>Jawzī’s</w:t>
      </w:r>
      <w:proofErr w:type="spellEnd"/>
      <w:r w:rsidR="00541B8E">
        <w:rPr>
          <w:rFonts w:asciiTheme="majorBidi" w:hAnsiTheme="majorBidi" w:cstheme="majorBidi"/>
        </w:rPr>
        <w:t xml:space="preserve"> formative years in </w:t>
      </w:r>
      <w:r w:rsidR="001C53EA">
        <w:rPr>
          <w:rFonts w:asciiTheme="majorBidi" w:hAnsiTheme="majorBidi" w:cstheme="majorBidi"/>
        </w:rPr>
        <w:t>the second quarter of the sixth/twelfth century</w:t>
      </w:r>
      <w:r w:rsidR="00E03B2C">
        <w:rPr>
          <w:rFonts w:asciiTheme="majorBidi" w:hAnsiTheme="majorBidi" w:cstheme="majorBidi"/>
        </w:rPr>
        <w:t xml:space="preserve">. While </w:t>
      </w:r>
      <w:r w:rsidR="001C53EA">
        <w:rPr>
          <w:rFonts w:asciiTheme="majorBidi" w:hAnsiTheme="majorBidi" w:cstheme="majorBidi"/>
        </w:rPr>
        <w:t xml:space="preserve">the </w:t>
      </w:r>
      <w:r w:rsidR="00E03B2C">
        <w:rPr>
          <w:rFonts w:asciiTheme="majorBidi" w:hAnsiTheme="majorBidi" w:cstheme="majorBidi"/>
        </w:rPr>
        <w:t>Seljuq</w:t>
      </w:r>
      <w:r w:rsidR="001C53EA">
        <w:rPr>
          <w:rFonts w:asciiTheme="majorBidi" w:hAnsiTheme="majorBidi" w:cstheme="majorBidi"/>
        </w:rPr>
        <w:t xml:space="preserve">s </w:t>
      </w:r>
      <w:r w:rsidR="00E03B2C">
        <w:rPr>
          <w:rFonts w:asciiTheme="majorBidi" w:hAnsiTheme="majorBidi" w:cstheme="majorBidi"/>
        </w:rPr>
        <w:t xml:space="preserve">did not hesitate to besiege </w:t>
      </w:r>
      <w:r w:rsidR="00A06A2E">
        <w:rPr>
          <w:rFonts w:asciiTheme="majorBidi" w:hAnsiTheme="majorBidi" w:cstheme="majorBidi"/>
        </w:rPr>
        <w:t xml:space="preserve">and plunder </w:t>
      </w:r>
      <w:r w:rsidR="00541B8E">
        <w:rPr>
          <w:rFonts w:asciiTheme="majorBidi" w:hAnsiTheme="majorBidi" w:cstheme="majorBidi"/>
        </w:rPr>
        <w:t>Baghdad</w:t>
      </w:r>
      <w:r w:rsidR="00E03B2C">
        <w:rPr>
          <w:rFonts w:asciiTheme="majorBidi" w:hAnsiTheme="majorBidi" w:cstheme="majorBidi"/>
        </w:rPr>
        <w:t xml:space="preserve">, the </w:t>
      </w:r>
      <w:r w:rsidR="00541B8E">
        <w:rPr>
          <w:rFonts w:asciiTheme="majorBidi" w:hAnsiTheme="majorBidi" w:cstheme="majorBidi"/>
        </w:rPr>
        <w:t xml:space="preserve">populace </w:t>
      </w:r>
      <w:r w:rsidR="00A06A2E">
        <w:rPr>
          <w:rFonts w:asciiTheme="majorBidi" w:hAnsiTheme="majorBidi" w:cstheme="majorBidi"/>
        </w:rPr>
        <w:t>were</w:t>
      </w:r>
      <w:r w:rsidR="00541B8E">
        <w:rPr>
          <w:rFonts w:asciiTheme="majorBidi" w:hAnsiTheme="majorBidi" w:cstheme="majorBidi"/>
        </w:rPr>
        <w:t xml:space="preserve"> called on to defend the city and ransack Seljuq properties on behalf of the Abbasids when </w:t>
      </w:r>
      <w:r w:rsidR="00BF0396">
        <w:rPr>
          <w:rFonts w:asciiTheme="majorBidi" w:hAnsiTheme="majorBidi" w:cstheme="majorBidi"/>
        </w:rPr>
        <w:t>tens</w:t>
      </w:r>
      <w:r w:rsidR="003F3DFC">
        <w:rPr>
          <w:rFonts w:asciiTheme="majorBidi" w:hAnsiTheme="majorBidi" w:cstheme="majorBidi"/>
        </w:rPr>
        <w:t xml:space="preserve">ions erupted into </w:t>
      </w:r>
      <w:r w:rsidR="00541B8E">
        <w:rPr>
          <w:rFonts w:asciiTheme="majorBidi" w:hAnsiTheme="majorBidi" w:cstheme="majorBidi"/>
        </w:rPr>
        <w:t>outright hostility.</w:t>
      </w:r>
      <w:r w:rsidR="00BF0396">
        <w:rPr>
          <w:rFonts w:asciiTheme="majorBidi" w:hAnsiTheme="majorBidi" w:cstheme="majorBidi"/>
        </w:rPr>
        <w:t xml:space="preserve"> The plight of the common folk </w:t>
      </w:r>
      <w:r w:rsidR="00BB4BE8">
        <w:rPr>
          <w:rFonts w:asciiTheme="majorBidi" w:hAnsiTheme="majorBidi" w:cstheme="majorBidi"/>
        </w:rPr>
        <w:t xml:space="preserve">was exacerbated </w:t>
      </w:r>
      <w:r w:rsidR="00A06A2E">
        <w:rPr>
          <w:rFonts w:asciiTheme="majorBidi" w:hAnsiTheme="majorBidi" w:cstheme="majorBidi"/>
        </w:rPr>
        <w:t>by</w:t>
      </w:r>
      <w:r w:rsidR="00BB4BE8">
        <w:rPr>
          <w:rFonts w:asciiTheme="majorBidi" w:hAnsiTheme="majorBidi" w:cstheme="majorBidi"/>
        </w:rPr>
        <w:t xml:space="preserve"> the </w:t>
      </w:r>
      <w:r w:rsidR="00C44314">
        <w:rPr>
          <w:rFonts w:asciiTheme="majorBidi" w:hAnsiTheme="majorBidi" w:cstheme="majorBidi"/>
        </w:rPr>
        <w:t>presence</w:t>
      </w:r>
      <w:r w:rsidR="00BB4BE8">
        <w:rPr>
          <w:rFonts w:asciiTheme="majorBidi" w:hAnsiTheme="majorBidi" w:cstheme="majorBidi"/>
        </w:rPr>
        <w:t xml:space="preserve"> of the</w:t>
      </w:r>
      <w:r w:rsidR="00BF0396">
        <w:rPr>
          <w:rFonts w:asciiTheme="majorBidi" w:hAnsiTheme="majorBidi" w:cstheme="majorBidi"/>
        </w:rPr>
        <w:t xml:space="preserve"> </w:t>
      </w:r>
      <w:proofErr w:type="spellStart"/>
      <w:r w:rsidR="00BF0396">
        <w:rPr>
          <w:rFonts w:asciiTheme="majorBidi" w:hAnsiTheme="majorBidi" w:cstheme="majorBidi"/>
          <w:i/>
          <w:iCs/>
        </w:rPr>
        <w:t>shiḥna</w:t>
      </w:r>
      <w:proofErr w:type="spellEnd"/>
      <w:r w:rsidR="00BB4BE8">
        <w:rPr>
          <w:rFonts w:asciiTheme="majorBidi" w:hAnsiTheme="majorBidi" w:cstheme="majorBidi"/>
        </w:rPr>
        <w:t xml:space="preserve">, a military governor who </w:t>
      </w:r>
      <w:r w:rsidR="00C44314">
        <w:rPr>
          <w:rFonts w:asciiTheme="majorBidi" w:hAnsiTheme="majorBidi" w:cstheme="majorBidi"/>
        </w:rPr>
        <w:t xml:space="preserve">acted as a </w:t>
      </w:r>
      <w:r w:rsidR="00BB4BE8">
        <w:rPr>
          <w:rFonts w:asciiTheme="majorBidi" w:hAnsiTheme="majorBidi" w:cstheme="majorBidi"/>
        </w:rPr>
        <w:t>represent</w:t>
      </w:r>
      <w:r w:rsidR="00C44314">
        <w:rPr>
          <w:rFonts w:asciiTheme="majorBidi" w:hAnsiTheme="majorBidi" w:cstheme="majorBidi"/>
        </w:rPr>
        <w:t>ative of</w:t>
      </w:r>
      <w:r w:rsidR="00BB4BE8">
        <w:rPr>
          <w:rFonts w:asciiTheme="majorBidi" w:hAnsiTheme="majorBidi" w:cstheme="majorBidi"/>
        </w:rPr>
        <w:t xml:space="preserve"> the </w:t>
      </w:r>
      <w:r w:rsidR="003F3DFC">
        <w:rPr>
          <w:rFonts w:asciiTheme="majorBidi" w:hAnsiTheme="majorBidi" w:cstheme="majorBidi"/>
        </w:rPr>
        <w:t xml:space="preserve">Seljuq </w:t>
      </w:r>
      <w:r w:rsidR="00BB4BE8">
        <w:rPr>
          <w:rFonts w:asciiTheme="majorBidi" w:hAnsiTheme="majorBidi" w:cstheme="majorBidi"/>
        </w:rPr>
        <w:t>sultan in Bagh</w:t>
      </w:r>
      <w:r w:rsidR="00C44314">
        <w:rPr>
          <w:rFonts w:asciiTheme="majorBidi" w:hAnsiTheme="majorBidi" w:cstheme="majorBidi"/>
        </w:rPr>
        <w:t>d</w:t>
      </w:r>
      <w:r w:rsidR="00BB4BE8">
        <w:rPr>
          <w:rFonts w:asciiTheme="majorBidi" w:hAnsiTheme="majorBidi" w:cstheme="majorBidi"/>
        </w:rPr>
        <w:t xml:space="preserve">ad. </w:t>
      </w:r>
      <w:r w:rsidR="00BF7B5B">
        <w:rPr>
          <w:rFonts w:asciiTheme="majorBidi" w:hAnsiTheme="majorBidi" w:cstheme="majorBidi"/>
        </w:rPr>
        <w:t>T</w:t>
      </w:r>
      <w:r w:rsidR="00BB4BE8">
        <w:rPr>
          <w:rFonts w:asciiTheme="majorBidi" w:hAnsiTheme="majorBidi" w:cstheme="majorBidi"/>
        </w:rPr>
        <w:t xml:space="preserve">asked with </w:t>
      </w:r>
      <w:r w:rsidR="00BF7B5B">
        <w:rPr>
          <w:rFonts w:asciiTheme="majorBidi" w:hAnsiTheme="majorBidi" w:cstheme="majorBidi"/>
        </w:rPr>
        <w:t xml:space="preserve">the </w:t>
      </w:r>
      <w:r w:rsidR="00BB4BE8">
        <w:rPr>
          <w:rFonts w:asciiTheme="majorBidi" w:hAnsiTheme="majorBidi" w:cstheme="majorBidi"/>
        </w:rPr>
        <w:t>maint</w:t>
      </w:r>
      <w:r w:rsidR="00BF7B5B">
        <w:rPr>
          <w:rFonts w:asciiTheme="majorBidi" w:hAnsiTheme="majorBidi" w:cstheme="majorBidi"/>
        </w:rPr>
        <w:t>enance of</w:t>
      </w:r>
      <w:r w:rsidR="00BB4BE8">
        <w:rPr>
          <w:rFonts w:asciiTheme="majorBidi" w:hAnsiTheme="majorBidi" w:cstheme="majorBidi"/>
        </w:rPr>
        <w:t xml:space="preserve"> public security, </w:t>
      </w:r>
      <w:r w:rsidR="003F3DFC">
        <w:rPr>
          <w:rFonts w:asciiTheme="majorBidi" w:hAnsiTheme="majorBidi" w:cstheme="majorBidi"/>
        </w:rPr>
        <w:t>m</w:t>
      </w:r>
      <w:r w:rsidR="006D483C">
        <w:rPr>
          <w:rFonts w:asciiTheme="majorBidi" w:hAnsiTheme="majorBidi" w:cstheme="majorBidi"/>
        </w:rPr>
        <w:t xml:space="preserve">ost </w:t>
      </w:r>
      <w:proofErr w:type="spellStart"/>
      <w:r w:rsidR="00BB4BE8">
        <w:rPr>
          <w:rFonts w:asciiTheme="majorBidi" w:hAnsiTheme="majorBidi" w:cstheme="majorBidi"/>
          <w:i/>
          <w:iCs/>
        </w:rPr>
        <w:t>shiḥna</w:t>
      </w:r>
      <w:r w:rsidR="003F3DFC">
        <w:rPr>
          <w:rFonts w:asciiTheme="majorBidi" w:hAnsiTheme="majorBidi" w:cstheme="majorBidi"/>
        </w:rPr>
        <w:t>s</w:t>
      </w:r>
      <w:proofErr w:type="spellEnd"/>
      <w:r w:rsidR="00BB4BE8">
        <w:rPr>
          <w:rFonts w:asciiTheme="majorBidi" w:hAnsiTheme="majorBidi" w:cstheme="majorBidi"/>
        </w:rPr>
        <w:t xml:space="preserve"> </w:t>
      </w:r>
      <w:r w:rsidR="00BF7B5B">
        <w:rPr>
          <w:rFonts w:asciiTheme="majorBidi" w:hAnsiTheme="majorBidi" w:cstheme="majorBidi"/>
        </w:rPr>
        <w:t xml:space="preserve">ended up achieving quite the opposite. They imposed new taxes which proved unpopular and carried out public punishments in a brutal and arbitrary fashion, all of which </w:t>
      </w:r>
      <w:r w:rsidR="00EA194D">
        <w:rPr>
          <w:rFonts w:asciiTheme="majorBidi" w:hAnsiTheme="majorBidi" w:cstheme="majorBidi"/>
        </w:rPr>
        <w:t>caused</w:t>
      </w:r>
      <w:r w:rsidR="00A3455E">
        <w:rPr>
          <w:rFonts w:asciiTheme="majorBidi" w:hAnsiTheme="majorBidi" w:cstheme="majorBidi"/>
        </w:rPr>
        <w:t xml:space="preserve"> feelings of</w:t>
      </w:r>
      <w:r w:rsidR="00BF7B5B">
        <w:rPr>
          <w:rFonts w:asciiTheme="majorBidi" w:hAnsiTheme="majorBidi" w:cstheme="majorBidi"/>
        </w:rPr>
        <w:t xml:space="preserve"> insecurity</w:t>
      </w:r>
      <w:r w:rsidR="00EA194D">
        <w:rPr>
          <w:rFonts w:asciiTheme="majorBidi" w:hAnsiTheme="majorBidi" w:cstheme="majorBidi"/>
        </w:rPr>
        <w:t xml:space="preserve"> to fester</w:t>
      </w:r>
      <w:r w:rsidR="00BF7B5B">
        <w:rPr>
          <w:rFonts w:asciiTheme="majorBidi" w:hAnsiTheme="majorBidi" w:cstheme="majorBidi"/>
        </w:rPr>
        <w:t>.</w:t>
      </w:r>
      <w:r w:rsidR="00A3455E">
        <w:rPr>
          <w:rFonts w:asciiTheme="majorBidi" w:hAnsiTheme="majorBidi" w:cstheme="majorBidi"/>
        </w:rPr>
        <w:t xml:space="preserve"> Although the Abbasid caliphs </w:t>
      </w:r>
      <w:r w:rsidR="00FE424F">
        <w:rPr>
          <w:rFonts w:asciiTheme="majorBidi" w:hAnsiTheme="majorBidi" w:cstheme="majorBidi"/>
        </w:rPr>
        <w:t xml:space="preserve">usually </w:t>
      </w:r>
      <w:r w:rsidR="00A3455E">
        <w:rPr>
          <w:rFonts w:asciiTheme="majorBidi" w:hAnsiTheme="majorBidi" w:cstheme="majorBidi"/>
        </w:rPr>
        <w:t xml:space="preserve">had the </w:t>
      </w:r>
      <w:r w:rsidR="00FE424F">
        <w:rPr>
          <w:rFonts w:asciiTheme="majorBidi" w:hAnsiTheme="majorBidi" w:cstheme="majorBidi"/>
        </w:rPr>
        <w:t xml:space="preserve">Baghdad populace </w:t>
      </w:r>
      <w:r w:rsidR="00A3455E">
        <w:rPr>
          <w:rFonts w:asciiTheme="majorBidi" w:hAnsiTheme="majorBidi" w:cstheme="majorBidi"/>
        </w:rPr>
        <w:t>on their side</w:t>
      </w:r>
      <w:r w:rsidR="00FE424F">
        <w:rPr>
          <w:rFonts w:asciiTheme="majorBidi" w:hAnsiTheme="majorBidi" w:cstheme="majorBidi"/>
        </w:rPr>
        <w:t xml:space="preserve">, they, too, contributed </w:t>
      </w:r>
      <w:r w:rsidR="00FC6956">
        <w:rPr>
          <w:rFonts w:asciiTheme="majorBidi" w:hAnsiTheme="majorBidi" w:cstheme="majorBidi"/>
        </w:rPr>
        <w:t>a</w:t>
      </w:r>
      <w:r w:rsidR="00FE424F">
        <w:rPr>
          <w:rFonts w:asciiTheme="majorBidi" w:hAnsiTheme="majorBidi" w:cstheme="majorBidi"/>
        </w:rPr>
        <w:t xml:space="preserve"> fair </w:t>
      </w:r>
      <w:r w:rsidR="00EA194D">
        <w:rPr>
          <w:rFonts w:asciiTheme="majorBidi" w:hAnsiTheme="majorBidi" w:cstheme="majorBidi"/>
        </w:rPr>
        <w:t>amount</w:t>
      </w:r>
      <w:r w:rsidR="00FE424F">
        <w:rPr>
          <w:rFonts w:asciiTheme="majorBidi" w:hAnsiTheme="majorBidi" w:cstheme="majorBidi"/>
        </w:rPr>
        <w:t xml:space="preserve"> to social anxiet</w:t>
      </w:r>
      <w:r w:rsidR="00131F8F">
        <w:rPr>
          <w:rFonts w:asciiTheme="majorBidi" w:hAnsiTheme="majorBidi" w:cstheme="majorBidi"/>
        </w:rPr>
        <w:t>y</w:t>
      </w:r>
      <w:r w:rsidR="00FE424F">
        <w:rPr>
          <w:rFonts w:asciiTheme="majorBidi" w:hAnsiTheme="majorBidi" w:cstheme="majorBidi"/>
        </w:rPr>
        <w:t>. During the reign of al-</w:t>
      </w:r>
      <w:proofErr w:type="spellStart"/>
      <w:r w:rsidR="00FE424F">
        <w:rPr>
          <w:rFonts w:asciiTheme="majorBidi" w:hAnsiTheme="majorBidi" w:cstheme="majorBidi"/>
        </w:rPr>
        <w:t>Muqtafī</w:t>
      </w:r>
      <w:proofErr w:type="spellEnd"/>
      <w:r w:rsidR="00FE424F">
        <w:rPr>
          <w:rFonts w:asciiTheme="majorBidi" w:hAnsiTheme="majorBidi" w:cstheme="majorBidi"/>
        </w:rPr>
        <w:t xml:space="preserve"> (</w:t>
      </w:r>
      <w:r w:rsidR="00FE424F">
        <w:rPr>
          <w:rFonts w:ascii="Times New Roman" w:hAnsi="Times New Roman" w:cs="Times New Roman"/>
        </w:rPr>
        <w:t xml:space="preserve">r. 530–55/1136–60), for instance, several jurists were arrested </w:t>
      </w:r>
      <w:r w:rsidR="00EA194D">
        <w:rPr>
          <w:rFonts w:ascii="Times New Roman" w:hAnsi="Times New Roman" w:cs="Times New Roman"/>
        </w:rPr>
        <w:t xml:space="preserve">for </w:t>
      </w:r>
      <w:r w:rsidR="00FE424F">
        <w:rPr>
          <w:rFonts w:ascii="Times New Roman" w:hAnsi="Times New Roman" w:cs="Times New Roman"/>
        </w:rPr>
        <w:t xml:space="preserve">conspiring against him. His vizier, Ibn </w:t>
      </w:r>
      <w:proofErr w:type="spellStart"/>
      <w:r w:rsidR="00FE424F">
        <w:rPr>
          <w:rFonts w:ascii="Times New Roman" w:hAnsi="Times New Roman" w:cs="Times New Roman"/>
        </w:rPr>
        <w:t>Hubayra</w:t>
      </w:r>
      <w:proofErr w:type="spellEnd"/>
      <w:r w:rsidR="00FE424F">
        <w:rPr>
          <w:rFonts w:ascii="Times New Roman" w:hAnsi="Times New Roman" w:cs="Times New Roman"/>
        </w:rPr>
        <w:t xml:space="preserve"> (d. 560/1165), lev</w:t>
      </w:r>
      <w:r w:rsidR="00FC6956">
        <w:rPr>
          <w:rFonts w:ascii="Times New Roman" w:hAnsi="Times New Roman" w:cs="Times New Roman"/>
        </w:rPr>
        <w:t>ied</w:t>
      </w:r>
      <w:r w:rsidR="00FE424F">
        <w:rPr>
          <w:rFonts w:ascii="Times New Roman" w:hAnsi="Times New Roman" w:cs="Times New Roman"/>
        </w:rPr>
        <w:t xml:space="preserve"> higher taxes to </w:t>
      </w:r>
      <w:r w:rsidR="00CC7383">
        <w:rPr>
          <w:rFonts w:ascii="Times New Roman" w:hAnsi="Times New Roman" w:cs="Times New Roman"/>
        </w:rPr>
        <w:t>increase the revenues of the caliphate</w:t>
      </w:r>
      <w:r w:rsidR="00FE424F">
        <w:rPr>
          <w:rFonts w:ascii="Times New Roman" w:hAnsi="Times New Roman" w:cs="Times New Roman"/>
        </w:rPr>
        <w:t>.</w:t>
      </w:r>
      <w:r w:rsidR="0061346B">
        <w:rPr>
          <w:rStyle w:val="FootnoteReference"/>
          <w:rFonts w:asciiTheme="majorBidi" w:hAnsiTheme="majorBidi" w:cstheme="majorBidi"/>
        </w:rPr>
        <w:footnoteReference w:id="1"/>
      </w:r>
      <w:r w:rsidR="00617D8C">
        <w:rPr>
          <w:rFonts w:ascii="Times New Roman" w:hAnsi="Times New Roman" w:cs="Times New Roman"/>
        </w:rPr>
        <w:t xml:space="preserve"> </w:t>
      </w:r>
      <w:r w:rsidR="00B37CCB">
        <w:rPr>
          <w:rFonts w:ascii="Times New Roman" w:hAnsi="Times New Roman" w:cs="Times New Roman"/>
        </w:rPr>
        <w:t xml:space="preserve">The socio-political upheaval during the late Abbasid period as well as the </w:t>
      </w:r>
      <w:r w:rsidR="00617D8C">
        <w:rPr>
          <w:rFonts w:asciiTheme="majorBidi" w:hAnsiTheme="majorBidi" w:cstheme="majorBidi"/>
        </w:rPr>
        <w:t>Abbasid-Seljuq conflict left an imprint on Islamic political thought. Most notably, in their attempts to accommodate the Seljuq Turks into the Sunn</w:t>
      </w:r>
      <w:r w:rsidR="00546834">
        <w:rPr>
          <w:rFonts w:asciiTheme="majorBidi" w:hAnsiTheme="majorBidi" w:cstheme="majorBidi"/>
        </w:rPr>
        <w:t>i</w:t>
      </w:r>
      <w:r w:rsidR="00617D8C">
        <w:rPr>
          <w:rFonts w:asciiTheme="majorBidi" w:hAnsiTheme="majorBidi" w:cstheme="majorBidi"/>
        </w:rPr>
        <w:t xml:space="preserve"> discourse on the caliphate, scholars like al-</w:t>
      </w:r>
      <w:proofErr w:type="spellStart"/>
      <w:r w:rsidR="00617D8C">
        <w:rPr>
          <w:rFonts w:asciiTheme="majorBidi" w:hAnsiTheme="majorBidi" w:cstheme="majorBidi"/>
        </w:rPr>
        <w:t>Juwaynī</w:t>
      </w:r>
      <w:proofErr w:type="spellEnd"/>
      <w:r w:rsidR="00617D8C">
        <w:rPr>
          <w:rFonts w:asciiTheme="majorBidi" w:hAnsiTheme="majorBidi" w:cstheme="majorBidi"/>
        </w:rPr>
        <w:t xml:space="preserve"> (d. 478/1085) and al-</w:t>
      </w:r>
      <w:proofErr w:type="spellStart"/>
      <w:r w:rsidR="00617D8C">
        <w:rPr>
          <w:rFonts w:asciiTheme="majorBidi" w:hAnsiTheme="majorBidi" w:cstheme="majorBidi"/>
        </w:rPr>
        <w:t>Ghazālī</w:t>
      </w:r>
      <w:proofErr w:type="spellEnd"/>
      <w:r w:rsidR="00617D8C">
        <w:rPr>
          <w:rFonts w:asciiTheme="majorBidi" w:hAnsiTheme="majorBidi" w:cstheme="majorBidi"/>
        </w:rPr>
        <w:t xml:space="preserve"> (d. 505/1111) began to posit raw power and military force, encapsulated by the term </w:t>
      </w:r>
      <w:proofErr w:type="spellStart"/>
      <w:r w:rsidR="00617D8C">
        <w:rPr>
          <w:rFonts w:asciiTheme="majorBidi" w:hAnsiTheme="majorBidi" w:cstheme="majorBidi"/>
          <w:i/>
          <w:iCs/>
        </w:rPr>
        <w:t>s</w:t>
      </w:r>
      <w:r w:rsidR="00617D8C" w:rsidRPr="00EC1E02">
        <w:rPr>
          <w:rFonts w:asciiTheme="majorBidi" w:hAnsiTheme="majorBidi" w:cstheme="majorBidi"/>
          <w:i/>
          <w:iCs/>
        </w:rPr>
        <w:t>hawka</w:t>
      </w:r>
      <w:proofErr w:type="spellEnd"/>
      <w:r w:rsidR="00617D8C">
        <w:rPr>
          <w:rFonts w:asciiTheme="majorBidi" w:hAnsiTheme="majorBidi" w:cstheme="majorBidi"/>
        </w:rPr>
        <w:t>, as the imam’s (leader of the Muslim community) basis of authority.</w:t>
      </w:r>
      <w:r w:rsidR="00617D8C">
        <w:rPr>
          <w:rStyle w:val="FootnoteReference"/>
          <w:rFonts w:asciiTheme="majorBidi" w:hAnsiTheme="majorBidi" w:cstheme="majorBidi"/>
        </w:rPr>
        <w:footnoteReference w:id="2"/>
      </w:r>
    </w:p>
    <w:p w14:paraId="19791A86" w14:textId="538F046C" w:rsidR="004067C5" w:rsidRPr="005E1480" w:rsidRDefault="004067C5" w:rsidP="0037533B">
      <w:pPr>
        <w:spacing w:line="360" w:lineRule="auto"/>
        <w:rPr>
          <w:rFonts w:ascii="Times New Roman" w:hAnsi="Times New Roman" w:cs="Times New Roman"/>
        </w:rPr>
      </w:pPr>
      <w:r>
        <w:rPr>
          <w:rFonts w:ascii="Times New Roman" w:hAnsi="Times New Roman" w:cs="Times New Roman"/>
        </w:rPr>
        <w:tab/>
      </w:r>
      <w:r w:rsidR="00C817F2">
        <w:rPr>
          <w:rFonts w:ascii="Times New Roman" w:hAnsi="Times New Roman" w:cs="Times New Roman"/>
        </w:rPr>
        <w:t xml:space="preserve">On top of socio-political </w:t>
      </w:r>
      <w:r w:rsidR="006E7357">
        <w:rPr>
          <w:rFonts w:ascii="Times New Roman" w:hAnsi="Times New Roman" w:cs="Times New Roman"/>
        </w:rPr>
        <w:t>u</w:t>
      </w:r>
      <w:r w:rsidR="00660C52">
        <w:rPr>
          <w:rFonts w:ascii="Times New Roman" w:hAnsi="Times New Roman" w:cs="Times New Roman"/>
        </w:rPr>
        <w:t>pheaval</w:t>
      </w:r>
      <w:r w:rsidR="00C817F2">
        <w:rPr>
          <w:rFonts w:ascii="Times New Roman" w:hAnsi="Times New Roman" w:cs="Times New Roman"/>
        </w:rPr>
        <w:t>, Seljuq rule precipitated</w:t>
      </w:r>
      <w:r w:rsidR="000E0F92">
        <w:rPr>
          <w:rFonts w:ascii="Times New Roman" w:hAnsi="Times New Roman" w:cs="Times New Roman"/>
        </w:rPr>
        <w:t xml:space="preserve"> </w:t>
      </w:r>
      <w:r>
        <w:rPr>
          <w:rFonts w:ascii="Times New Roman" w:hAnsi="Times New Roman" w:cs="Times New Roman"/>
        </w:rPr>
        <w:t>a crisis in political and religious authority.</w:t>
      </w:r>
      <w:r w:rsidR="00FC6956">
        <w:rPr>
          <w:rFonts w:ascii="Times New Roman" w:hAnsi="Times New Roman" w:cs="Times New Roman"/>
        </w:rPr>
        <w:t xml:space="preserve"> </w:t>
      </w:r>
      <w:r w:rsidR="000E0F92">
        <w:rPr>
          <w:rFonts w:ascii="Times New Roman" w:hAnsi="Times New Roman" w:cs="Times New Roman"/>
        </w:rPr>
        <w:t xml:space="preserve">Much has </w:t>
      </w:r>
      <w:r w:rsidR="00FD3383">
        <w:rPr>
          <w:rFonts w:ascii="Times New Roman" w:hAnsi="Times New Roman" w:cs="Times New Roman"/>
        </w:rPr>
        <w:t xml:space="preserve">already </w:t>
      </w:r>
      <w:r w:rsidR="000E0F92">
        <w:rPr>
          <w:rFonts w:ascii="Times New Roman" w:hAnsi="Times New Roman" w:cs="Times New Roman"/>
        </w:rPr>
        <w:t xml:space="preserve">been written about </w:t>
      </w:r>
      <w:r w:rsidR="006A3151">
        <w:rPr>
          <w:rFonts w:ascii="Times New Roman" w:hAnsi="Times New Roman" w:cs="Times New Roman"/>
        </w:rPr>
        <w:t xml:space="preserve">the </w:t>
      </w:r>
      <w:r w:rsidR="000E0F92">
        <w:rPr>
          <w:rFonts w:ascii="Times New Roman" w:hAnsi="Times New Roman" w:cs="Times New Roman"/>
        </w:rPr>
        <w:t>Seljuq</w:t>
      </w:r>
      <w:r w:rsidR="006A3151">
        <w:rPr>
          <w:rFonts w:ascii="Times New Roman" w:hAnsi="Times New Roman" w:cs="Times New Roman"/>
        </w:rPr>
        <w:t>s’ relationship with Sunn</w:t>
      </w:r>
      <w:r w:rsidR="00546834">
        <w:rPr>
          <w:rFonts w:ascii="Times New Roman" w:hAnsi="Times New Roman" w:cs="Times New Roman"/>
        </w:rPr>
        <w:t>i</w:t>
      </w:r>
      <w:r w:rsidR="006A3151">
        <w:rPr>
          <w:rFonts w:ascii="Times New Roman" w:hAnsi="Times New Roman" w:cs="Times New Roman"/>
        </w:rPr>
        <w:t xml:space="preserve"> Islam</w:t>
      </w:r>
      <w:r w:rsidR="00F92A2E">
        <w:rPr>
          <w:rFonts w:ascii="Times New Roman" w:hAnsi="Times New Roman" w:cs="Times New Roman"/>
        </w:rPr>
        <w:t xml:space="preserve">, ranging from sponsoring religious institutions and cultivating ties with </w:t>
      </w:r>
      <w:r w:rsidR="004C741F">
        <w:rPr>
          <w:rFonts w:ascii="Times New Roman" w:hAnsi="Times New Roman" w:cs="Times New Roman"/>
        </w:rPr>
        <w:t xml:space="preserve">scholars and </w:t>
      </w:r>
      <w:r w:rsidR="00F92A2E">
        <w:rPr>
          <w:rFonts w:ascii="Times New Roman" w:hAnsi="Times New Roman" w:cs="Times New Roman"/>
        </w:rPr>
        <w:t>holy men to personal acts of piety in the private sphere.</w:t>
      </w:r>
      <w:r w:rsidR="00F92A2E">
        <w:rPr>
          <w:rStyle w:val="FootnoteReference"/>
          <w:rFonts w:ascii="Times New Roman" w:hAnsi="Times New Roman" w:cs="Times New Roman"/>
        </w:rPr>
        <w:footnoteReference w:id="3"/>
      </w:r>
      <w:r w:rsidR="00F92A2E">
        <w:rPr>
          <w:rFonts w:ascii="Times New Roman" w:hAnsi="Times New Roman" w:cs="Times New Roman"/>
        </w:rPr>
        <w:t xml:space="preserve"> </w:t>
      </w:r>
      <w:r w:rsidR="00F86CFD">
        <w:rPr>
          <w:rFonts w:ascii="Times New Roman" w:hAnsi="Times New Roman" w:cs="Times New Roman"/>
        </w:rPr>
        <w:t xml:space="preserve">Yet </w:t>
      </w:r>
      <w:r w:rsidR="00D90ACC">
        <w:rPr>
          <w:rFonts w:ascii="Times New Roman" w:hAnsi="Times New Roman" w:cs="Times New Roman"/>
        </w:rPr>
        <w:t xml:space="preserve">their claims to religious legitimacy </w:t>
      </w:r>
      <w:r w:rsidR="00DB387B">
        <w:rPr>
          <w:rFonts w:ascii="Times New Roman" w:hAnsi="Times New Roman" w:cs="Times New Roman"/>
        </w:rPr>
        <w:t>also</w:t>
      </w:r>
      <w:r w:rsidR="00D90ACC">
        <w:rPr>
          <w:rFonts w:ascii="Times New Roman" w:hAnsi="Times New Roman" w:cs="Times New Roman"/>
        </w:rPr>
        <w:t xml:space="preserve"> emboldened the</w:t>
      </w:r>
      <w:r w:rsidR="00DB387B">
        <w:rPr>
          <w:rFonts w:ascii="Times New Roman" w:hAnsi="Times New Roman" w:cs="Times New Roman"/>
        </w:rPr>
        <w:t>m</w:t>
      </w:r>
      <w:r w:rsidR="00D90ACC">
        <w:rPr>
          <w:rFonts w:ascii="Times New Roman" w:hAnsi="Times New Roman" w:cs="Times New Roman"/>
        </w:rPr>
        <w:t xml:space="preserve"> to encroach on religious matters</w:t>
      </w:r>
      <w:r w:rsidR="00DB387B">
        <w:rPr>
          <w:rFonts w:ascii="Times New Roman" w:hAnsi="Times New Roman" w:cs="Times New Roman"/>
        </w:rPr>
        <w:t xml:space="preserve">. Works by Christian Lange and Felicitas </w:t>
      </w:r>
      <w:proofErr w:type="spellStart"/>
      <w:r w:rsidR="00DB387B">
        <w:rPr>
          <w:rFonts w:ascii="Times New Roman" w:hAnsi="Times New Roman" w:cs="Times New Roman"/>
        </w:rPr>
        <w:lastRenderedPageBreak/>
        <w:t>Opwis</w:t>
      </w:r>
      <w:proofErr w:type="spellEnd"/>
      <w:r w:rsidR="00DB387B">
        <w:rPr>
          <w:rFonts w:ascii="Times New Roman" w:hAnsi="Times New Roman" w:cs="Times New Roman"/>
        </w:rPr>
        <w:t xml:space="preserve"> have shown this to be the case in the realm of law.</w:t>
      </w:r>
      <w:r w:rsidR="001A7487">
        <w:rPr>
          <w:rStyle w:val="FootnoteReference"/>
          <w:rFonts w:ascii="Times New Roman" w:hAnsi="Times New Roman" w:cs="Times New Roman"/>
        </w:rPr>
        <w:footnoteReference w:id="4"/>
      </w:r>
      <w:r w:rsidR="005E1480">
        <w:rPr>
          <w:rFonts w:ascii="Times New Roman" w:hAnsi="Times New Roman" w:cs="Times New Roman"/>
        </w:rPr>
        <w:t xml:space="preserve"> </w:t>
      </w:r>
      <w:r w:rsidR="00CF4D98">
        <w:rPr>
          <w:rFonts w:ascii="Times New Roman" w:hAnsi="Times New Roman" w:cs="Times New Roman"/>
        </w:rPr>
        <w:t>For one, t</w:t>
      </w:r>
      <w:r w:rsidR="00D56271">
        <w:rPr>
          <w:rFonts w:ascii="Times New Roman" w:hAnsi="Times New Roman" w:cs="Times New Roman"/>
        </w:rPr>
        <w:t xml:space="preserve">he jurisdiction of </w:t>
      </w:r>
      <w:r w:rsidR="00CF4D98">
        <w:rPr>
          <w:rFonts w:ascii="Times New Roman" w:hAnsi="Times New Roman" w:cs="Times New Roman"/>
        </w:rPr>
        <w:t xml:space="preserve">the </w:t>
      </w:r>
      <w:proofErr w:type="spellStart"/>
      <w:r w:rsidR="00D56271">
        <w:rPr>
          <w:rFonts w:ascii="Times New Roman" w:hAnsi="Times New Roman" w:cs="Times New Roman"/>
          <w:i/>
          <w:iCs/>
        </w:rPr>
        <w:t>maẓālim</w:t>
      </w:r>
      <w:proofErr w:type="spellEnd"/>
      <w:r w:rsidR="00D56271">
        <w:rPr>
          <w:rFonts w:ascii="Times New Roman" w:hAnsi="Times New Roman" w:cs="Times New Roman"/>
        </w:rPr>
        <w:t xml:space="preserve"> </w:t>
      </w:r>
      <w:r w:rsidR="00CF4D98">
        <w:rPr>
          <w:rFonts w:ascii="Times New Roman" w:hAnsi="Times New Roman" w:cs="Times New Roman"/>
        </w:rPr>
        <w:t>courts of grievances—over which the ruler or his officials presided—</w:t>
      </w:r>
      <w:r w:rsidR="00D56271">
        <w:rPr>
          <w:rFonts w:ascii="Times New Roman" w:hAnsi="Times New Roman" w:cs="Times New Roman"/>
        </w:rPr>
        <w:t xml:space="preserve">expanded beyond </w:t>
      </w:r>
      <w:r w:rsidR="0041738E">
        <w:rPr>
          <w:rFonts w:ascii="Times New Roman" w:hAnsi="Times New Roman" w:cs="Times New Roman"/>
        </w:rPr>
        <w:t>redressing the abuse of power by government officials to cover</w:t>
      </w:r>
      <w:r w:rsidR="003071B0">
        <w:rPr>
          <w:rFonts w:ascii="Times New Roman" w:hAnsi="Times New Roman" w:cs="Times New Roman"/>
        </w:rPr>
        <w:t>ing</w:t>
      </w:r>
      <w:r w:rsidR="0041738E">
        <w:rPr>
          <w:rFonts w:ascii="Times New Roman" w:hAnsi="Times New Roman" w:cs="Times New Roman"/>
        </w:rPr>
        <w:t xml:space="preserve"> matters of </w:t>
      </w:r>
      <w:r w:rsidR="003071B0">
        <w:rPr>
          <w:rFonts w:ascii="Times New Roman" w:hAnsi="Times New Roman" w:cs="Times New Roman"/>
        </w:rPr>
        <w:t>criminal law</w:t>
      </w:r>
      <w:r w:rsidR="00DC5F95">
        <w:rPr>
          <w:rFonts w:ascii="Times New Roman" w:hAnsi="Times New Roman" w:cs="Times New Roman"/>
        </w:rPr>
        <w:t xml:space="preserve">, </w:t>
      </w:r>
      <w:r w:rsidR="00D2244E">
        <w:rPr>
          <w:rFonts w:ascii="Times New Roman" w:hAnsi="Times New Roman" w:cs="Times New Roman"/>
        </w:rPr>
        <w:t xml:space="preserve">which were </w:t>
      </w:r>
      <w:r w:rsidR="00DC5F95">
        <w:rPr>
          <w:rFonts w:ascii="Times New Roman" w:hAnsi="Times New Roman" w:cs="Times New Roman"/>
        </w:rPr>
        <w:t xml:space="preserve">theoretically the preserve of the </w:t>
      </w:r>
      <w:r w:rsidR="002D2DAF">
        <w:rPr>
          <w:rFonts w:ascii="Times New Roman" w:hAnsi="Times New Roman" w:cs="Times New Roman"/>
        </w:rPr>
        <w:t xml:space="preserve">Islamic </w:t>
      </w:r>
      <w:r w:rsidR="00DC5F95">
        <w:rPr>
          <w:rFonts w:ascii="Times New Roman" w:hAnsi="Times New Roman" w:cs="Times New Roman"/>
        </w:rPr>
        <w:t>judge (</w:t>
      </w:r>
      <w:proofErr w:type="spellStart"/>
      <w:r w:rsidR="00DC5F95">
        <w:rPr>
          <w:rFonts w:ascii="Times New Roman" w:hAnsi="Times New Roman" w:cs="Times New Roman"/>
          <w:i/>
          <w:iCs/>
        </w:rPr>
        <w:t>qāḍī</w:t>
      </w:r>
      <w:proofErr w:type="spellEnd"/>
      <w:r w:rsidR="00DC5F95">
        <w:rPr>
          <w:rFonts w:ascii="Times New Roman" w:hAnsi="Times New Roman" w:cs="Times New Roman"/>
        </w:rPr>
        <w:t>)</w:t>
      </w:r>
      <w:r w:rsidR="00CF4D98">
        <w:rPr>
          <w:rFonts w:ascii="Times New Roman" w:hAnsi="Times New Roman" w:cs="Times New Roman"/>
        </w:rPr>
        <w:t>.</w:t>
      </w:r>
      <w:r w:rsidR="0041738E">
        <w:rPr>
          <w:rFonts w:ascii="Times New Roman" w:hAnsi="Times New Roman" w:cs="Times New Roman"/>
        </w:rPr>
        <w:t xml:space="preserve"> </w:t>
      </w:r>
      <w:r w:rsidR="00DC5F95">
        <w:rPr>
          <w:rFonts w:ascii="Times New Roman" w:hAnsi="Times New Roman" w:cs="Times New Roman"/>
        </w:rPr>
        <w:t>This resulted in a</w:t>
      </w:r>
      <w:r w:rsidR="0041738E">
        <w:rPr>
          <w:rFonts w:ascii="Times New Roman" w:hAnsi="Times New Roman" w:cs="Times New Roman"/>
        </w:rPr>
        <w:t xml:space="preserve"> “conflict of jurisdiction” </w:t>
      </w:r>
      <w:r w:rsidR="00EF4ABF">
        <w:rPr>
          <w:rFonts w:ascii="Times New Roman" w:hAnsi="Times New Roman" w:cs="Times New Roman"/>
        </w:rPr>
        <w:t>between t</w:t>
      </w:r>
      <w:r w:rsidR="001D7D8C">
        <w:rPr>
          <w:rFonts w:ascii="Times New Roman" w:hAnsi="Times New Roman" w:cs="Times New Roman"/>
        </w:rPr>
        <w:t xml:space="preserve">wo spheres of authority—the ruler’s political expediency </w:t>
      </w:r>
      <w:r w:rsidR="00F42757">
        <w:rPr>
          <w:rFonts w:ascii="Times New Roman" w:hAnsi="Times New Roman" w:cs="Times New Roman"/>
        </w:rPr>
        <w:t>versus</w:t>
      </w:r>
      <w:r w:rsidR="001D7D8C">
        <w:rPr>
          <w:rFonts w:ascii="Times New Roman" w:hAnsi="Times New Roman" w:cs="Times New Roman"/>
        </w:rPr>
        <w:t xml:space="preserve"> the</w:t>
      </w:r>
      <w:r w:rsidR="00C817F2">
        <w:rPr>
          <w:rFonts w:ascii="Times New Roman" w:hAnsi="Times New Roman" w:cs="Times New Roman"/>
        </w:rPr>
        <w:t xml:space="preserve"> </w:t>
      </w:r>
      <w:proofErr w:type="spellStart"/>
      <w:r w:rsidR="0045041A">
        <w:rPr>
          <w:rFonts w:ascii="Times New Roman" w:hAnsi="Times New Roman" w:cs="Times New Roman"/>
          <w:i/>
          <w:iCs/>
        </w:rPr>
        <w:t>s</w:t>
      </w:r>
      <w:r w:rsidR="00C817F2" w:rsidRPr="0045041A">
        <w:rPr>
          <w:rFonts w:ascii="Times New Roman" w:hAnsi="Times New Roman" w:cs="Times New Roman"/>
          <w:i/>
          <w:iCs/>
        </w:rPr>
        <w:t>harīʿa</w:t>
      </w:r>
      <w:proofErr w:type="spellEnd"/>
      <w:r w:rsidR="001D7D8C">
        <w:rPr>
          <w:rFonts w:ascii="Times New Roman" w:hAnsi="Times New Roman" w:cs="Times New Roman"/>
        </w:rPr>
        <w:t xml:space="preserve">-based precepts of the </w:t>
      </w:r>
      <w:proofErr w:type="spellStart"/>
      <w:r w:rsidR="001D7D8C">
        <w:rPr>
          <w:rFonts w:ascii="Times New Roman" w:hAnsi="Times New Roman" w:cs="Times New Roman"/>
          <w:i/>
          <w:iCs/>
        </w:rPr>
        <w:t>qāḍī</w:t>
      </w:r>
      <w:r w:rsidR="001D7D8C">
        <w:rPr>
          <w:rFonts w:ascii="Times New Roman" w:hAnsi="Times New Roman" w:cs="Times New Roman"/>
        </w:rPr>
        <w:t>’s</w:t>
      </w:r>
      <w:proofErr w:type="spellEnd"/>
      <w:r w:rsidR="001D7D8C">
        <w:rPr>
          <w:rFonts w:ascii="Times New Roman" w:hAnsi="Times New Roman" w:cs="Times New Roman"/>
        </w:rPr>
        <w:t xml:space="preserve"> court.</w:t>
      </w:r>
      <w:r w:rsidR="0041738E">
        <w:rPr>
          <w:rStyle w:val="FootnoteReference"/>
          <w:rFonts w:ascii="Times New Roman" w:hAnsi="Times New Roman" w:cs="Times New Roman"/>
        </w:rPr>
        <w:footnoteReference w:id="5"/>
      </w:r>
    </w:p>
    <w:p w14:paraId="6A1F88D3" w14:textId="022217E6" w:rsidR="00874B4F" w:rsidRDefault="00333037" w:rsidP="0037533B">
      <w:pPr>
        <w:spacing w:line="360" w:lineRule="auto"/>
        <w:ind w:firstLine="720"/>
        <w:rPr>
          <w:rFonts w:asciiTheme="majorBidi" w:hAnsiTheme="majorBidi" w:cstheme="majorBidi"/>
        </w:rPr>
      </w:pPr>
      <w:r>
        <w:rPr>
          <w:rFonts w:ascii="Times New Roman" w:hAnsi="Times New Roman" w:cs="Times New Roman"/>
        </w:rPr>
        <w:t>Underlying</w:t>
      </w:r>
      <w:r w:rsidR="001D7D8C">
        <w:rPr>
          <w:rFonts w:ascii="Times New Roman" w:hAnsi="Times New Roman" w:cs="Times New Roman"/>
        </w:rPr>
        <w:t xml:space="preserve"> th</w:t>
      </w:r>
      <w:r w:rsidR="002A644B">
        <w:rPr>
          <w:rFonts w:ascii="Times New Roman" w:hAnsi="Times New Roman" w:cs="Times New Roman"/>
        </w:rPr>
        <w:t>e</w:t>
      </w:r>
      <w:r w:rsidR="001D7D8C">
        <w:rPr>
          <w:rFonts w:ascii="Times New Roman" w:hAnsi="Times New Roman" w:cs="Times New Roman"/>
        </w:rPr>
        <w:t xml:space="preserve"> crisis </w:t>
      </w:r>
      <w:r w:rsidR="009F4201">
        <w:rPr>
          <w:rFonts w:ascii="Times New Roman" w:hAnsi="Times New Roman" w:cs="Times New Roman"/>
        </w:rPr>
        <w:t xml:space="preserve">of </w:t>
      </w:r>
      <w:r w:rsidR="001D7D8C">
        <w:rPr>
          <w:rFonts w:ascii="Times New Roman" w:hAnsi="Times New Roman" w:cs="Times New Roman"/>
        </w:rPr>
        <w:t>political and religious authority</w:t>
      </w:r>
      <w:r w:rsidR="001662FD">
        <w:rPr>
          <w:rFonts w:ascii="Times New Roman" w:hAnsi="Times New Roman" w:cs="Times New Roman"/>
        </w:rPr>
        <w:t xml:space="preserve"> was </w:t>
      </w:r>
      <w:r w:rsidR="001951E1">
        <w:rPr>
          <w:rFonts w:ascii="Times New Roman" w:hAnsi="Times New Roman" w:cs="Times New Roman"/>
        </w:rPr>
        <w:t xml:space="preserve">the </w:t>
      </w:r>
      <w:r w:rsidR="006E0467">
        <w:rPr>
          <w:rFonts w:ascii="Times New Roman" w:hAnsi="Times New Roman" w:cs="Times New Roman"/>
        </w:rPr>
        <w:t xml:space="preserve">conceptual </w:t>
      </w:r>
      <w:r w:rsidR="001D7D8C">
        <w:rPr>
          <w:rFonts w:ascii="Times New Roman" w:hAnsi="Times New Roman" w:cs="Times New Roman"/>
        </w:rPr>
        <w:t xml:space="preserve">tension </w:t>
      </w:r>
      <w:r w:rsidR="009F4201">
        <w:rPr>
          <w:rFonts w:ascii="Times New Roman" w:hAnsi="Times New Roman" w:cs="Times New Roman"/>
        </w:rPr>
        <w:t>between</w:t>
      </w:r>
      <w:r w:rsidR="001D7D8C">
        <w:rPr>
          <w:rFonts w:ascii="Times New Roman" w:hAnsi="Times New Roman" w:cs="Times New Roman"/>
        </w:rPr>
        <w:t xml:space="preserve"> </w:t>
      </w:r>
      <w:proofErr w:type="spellStart"/>
      <w:r w:rsidR="001D7D8C">
        <w:rPr>
          <w:rFonts w:ascii="Times New Roman" w:hAnsi="Times New Roman" w:cs="Times New Roman"/>
          <w:i/>
          <w:iCs/>
        </w:rPr>
        <w:t>siyāsa</w:t>
      </w:r>
      <w:proofErr w:type="spellEnd"/>
      <w:r w:rsidR="009F4201">
        <w:rPr>
          <w:rFonts w:ascii="Times New Roman" w:hAnsi="Times New Roman" w:cs="Times New Roman"/>
        </w:rPr>
        <w:t xml:space="preserve"> and</w:t>
      </w:r>
      <w:r w:rsidR="00C817F2">
        <w:rPr>
          <w:rFonts w:ascii="Times New Roman" w:hAnsi="Times New Roman" w:cs="Times New Roman"/>
        </w:rPr>
        <w:t xml:space="preserve"> </w:t>
      </w:r>
      <w:proofErr w:type="spellStart"/>
      <w:r w:rsidR="0045041A">
        <w:rPr>
          <w:rFonts w:ascii="Times New Roman" w:hAnsi="Times New Roman" w:cs="Times New Roman"/>
          <w:i/>
          <w:iCs/>
        </w:rPr>
        <w:t>s</w:t>
      </w:r>
      <w:r w:rsidR="00C817F2" w:rsidRPr="0045041A">
        <w:rPr>
          <w:rFonts w:ascii="Times New Roman" w:hAnsi="Times New Roman" w:cs="Times New Roman"/>
          <w:i/>
          <w:iCs/>
        </w:rPr>
        <w:t>harīʿa</w:t>
      </w:r>
      <w:proofErr w:type="spellEnd"/>
      <w:r w:rsidR="001662FD">
        <w:rPr>
          <w:rFonts w:ascii="Times New Roman" w:hAnsi="Times New Roman" w:cs="Times New Roman"/>
        </w:rPr>
        <w:t xml:space="preserve">. </w:t>
      </w:r>
      <w:r w:rsidR="001662FD" w:rsidRPr="001E24FD">
        <w:rPr>
          <w:rFonts w:asciiTheme="majorBidi" w:hAnsiTheme="majorBidi" w:cstheme="majorBidi"/>
        </w:rPr>
        <w:t xml:space="preserve">In early Islam, </w:t>
      </w:r>
      <w:proofErr w:type="spellStart"/>
      <w:r w:rsidR="001662FD" w:rsidRPr="001E24FD">
        <w:rPr>
          <w:rFonts w:asciiTheme="majorBidi" w:hAnsiTheme="majorBidi" w:cstheme="majorBidi"/>
          <w:i/>
          <w:iCs/>
        </w:rPr>
        <w:t>siyāsa</w:t>
      </w:r>
      <w:proofErr w:type="spellEnd"/>
      <w:r w:rsidR="001662FD" w:rsidRPr="001E24FD">
        <w:rPr>
          <w:rFonts w:asciiTheme="majorBidi" w:hAnsiTheme="majorBidi" w:cstheme="majorBidi"/>
          <w:i/>
          <w:iCs/>
        </w:rPr>
        <w:t xml:space="preserve"> </w:t>
      </w:r>
      <w:r w:rsidR="001662FD" w:rsidRPr="001E24FD">
        <w:rPr>
          <w:rFonts w:asciiTheme="majorBidi" w:hAnsiTheme="majorBidi" w:cstheme="majorBidi"/>
        </w:rPr>
        <w:t>bore the meaning of “statecraft” or</w:t>
      </w:r>
      <w:r w:rsidR="0001498E">
        <w:rPr>
          <w:rFonts w:asciiTheme="majorBidi" w:hAnsiTheme="majorBidi" w:cstheme="majorBidi"/>
        </w:rPr>
        <w:t xml:space="preserve"> </w:t>
      </w:r>
      <w:r w:rsidR="001662FD" w:rsidRPr="001E24FD">
        <w:rPr>
          <w:rFonts w:asciiTheme="majorBidi" w:hAnsiTheme="majorBidi" w:cstheme="majorBidi"/>
        </w:rPr>
        <w:t>“</w:t>
      </w:r>
      <w:r w:rsidR="00010470">
        <w:rPr>
          <w:rFonts w:asciiTheme="majorBidi" w:hAnsiTheme="majorBidi" w:cstheme="majorBidi"/>
        </w:rPr>
        <w:t>governance</w:t>
      </w:r>
      <w:r w:rsidR="001662FD" w:rsidRPr="001E24FD">
        <w:rPr>
          <w:rFonts w:asciiTheme="majorBidi" w:hAnsiTheme="majorBidi" w:cstheme="majorBidi"/>
        </w:rPr>
        <w:t>.” B</w:t>
      </w:r>
      <w:r w:rsidR="00D26D2E">
        <w:rPr>
          <w:rFonts w:asciiTheme="majorBidi" w:hAnsiTheme="majorBidi" w:cstheme="majorBidi"/>
        </w:rPr>
        <w:t xml:space="preserve">y the late Abbasid period, the term’s semantic </w:t>
      </w:r>
      <w:r w:rsidR="00EA194D">
        <w:rPr>
          <w:rFonts w:asciiTheme="majorBidi" w:hAnsiTheme="majorBidi" w:cstheme="majorBidi"/>
        </w:rPr>
        <w:t>scope</w:t>
      </w:r>
      <w:r w:rsidR="00D26D2E">
        <w:rPr>
          <w:rFonts w:asciiTheme="majorBidi" w:hAnsiTheme="majorBidi" w:cstheme="majorBidi"/>
        </w:rPr>
        <w:t xml:space="preserve"> had narrowed to </w:t>
      </w:r>
      <w:r w:rsidR="00A57E27">
        <w:rPr>
          <w:rFonts w:asciiTheme="majorBidi" w:hAnsiTheme="majorBidi" w:cstheme="majorBidi"/>
        </w:rPr>
        <w:t xml:space="preserve">mean “the discretionary authority of the ruler and his officials, one which they exercise outside the framework of the </w:t>
      </w:r>
      <w:proofErr w:type="spellStart"/>
      <w:r w:rsidR="00A57E27">
        <w:rPr>
          <w:rFonts w:asciiTheme="majorBidi" w:hAnsiTheme="majorBidi" w:cstheme="majorBidi"/>
          <w:i/>
          <w:iCs/>
        </w:rPr>
        <w:t>Sharīʿa</w:t>
      </w:r>
      <w:proofErr w:type="spellEnd"/>
      <w:r w:rsidR="00A57E27">
        <w:rPr>
          <w:rFonts w:asciiTheme="majorBidi" w:hAnsiTheme="majorBidi" w:cstheme="majorBidi"/>
        </w:rPr>
        <w:t xml:space="preserve">.” This later meaning </w:t>
      </w:r>
      <w:r w:rsidR="001318DE">
        <w:rPr>
          <w:rFonts w:asciiTheme="majorBidi" w:hAnsiTheme="majorBidi" w:cstheme="majorBidi"/>
        </w:rPr>
        <w:t xml:space="preserve">of </w:t>
      </w:r>
      <w:proofErr w:type="spellStart"/>
      <w:r w:rsidR="001318DE">
        <w:rPr>
          <w:rFonts w:asciiTheme="majorBidi" w:hAnsiTheme="majorBidi" w:cstheme="majorBidi"/>
          <w:i/>
          <w:iCs/>
        </w:rPr>
        <w:t>siyāsa</w:t>
      </w:r>
      <w:proofErr w:type="spellEnd"/>
      <w:r w:rsidR="001318DE">
        <w:rPr>
          <w:rFonts w:asciiTheme="majorBidi" w:hAnsiTheme="majorBidi" w:cstheme="majorBidi"/>
          <w:i/>
          <w:iCs/>
        </w:rPr>
        <w:t xml:space="preserve"> </w:t>
      </w:r>
      <w:r w:rsidR="00A57E27">
        <w:rPr>
          <w:rFonts w:asciiTheme="majorBidi" w:hAnsiTheme="majorBidi" w:cstheme="majorBidi"/>
        </w:rPr>
        <w:t xml:space="preserve">extended to </w:t>
      </w:r>
      <w:r w:rsidR="00A4178F">
        <w:rPr>
          <w:rFonts w:asciiTheme="majorBidi" w:hAnsiTheme="majorBidi" w:cstheme="majorBidi"/>
        </w:rPr>
        <w:t xml:space="preserve">criminal punishments meted out by the </w:t>
      </w:r>
      <w:r w:rsidR="00063B9D">
        <w:rPr>
          <w:rFonts w:asciiTheme="majorBidi" w:hAnsiTheme="majorBidi" w:cstheme="majorBidi"/>
        </w:rPr>
        <w:t>ruling</w:t>
      </w:r>
      <w:r w:rsidR="002D2DAF">
        <w:rPr>
          <w:rFonts w:asciiTheme="majorBidi" w:hAnsiTheme="majorBidi" w:cstheme="majorBidi"/>
        </w:rPr>
        <w:t xml:space="preserve"> authorities</w:t>
      </w:r>
      <w:r w:rsidR="00A4178F">
        <w:rPr>
          <w:rFonts w:asciiTheme="majorBidi" w:hAnsiTheme="majorBidi" w:cstheme="majorBidi"/>
        </w:rPr>
        <w:t xml:space="preserve"> on the basis of public order and </w:t>
      </w:r>
      <w:r w:rsidR="00A4178F">
        <w:rPr>
          <w:rFonts w:asciiTheme="majorBidi" w:hAnsiTheme="majorBidi" w:cstheme="majorBidi"/>
          <w:i/>
          <w:iCs/>
        </w:rPr>
        <w:t>raison d’état</w:t>
      </w:r>
      <w:r w:rsidR="00A4178F">
        <w:rPr>
          <w:rFonts w:asciiTheme="majorBidi" w:hAnsiTheme="majorBidi" w:cstheme="majorBidi"/>
        </w:rPr>
        <w:t xml:space="preserve">, </w:t>
      </w:r>
      <w:r w:rsidR="006E0467">
        <w:rPr>
          <w:rFonts w:asciiTheme="majorBidi" w:hAnsiTheme="majorBidi" w:cstheme="majorBidi"/>
        </w:rPr>
        <w:t>as distinct from</w:t>
      </w:r>
      <w:r w:rsidR="00A4178F">
        <w:rPr>
          <w:rFonts w:asciiTheme="majorBidi" w:hAnsiTheme="majorBidi" w:cstheme="majorBidi"/>
        </w:rPr>
        <w:t xml:space="preserve"> </w:t>
      </w:r>
      <w:r w:rsidR="002A644B">
        <w:rPr>
          <w:rFonts w:asciiTheme="majorBidi" w:hAnsiTheme="majorBidi" w:cstheme="majorBidi"/>
        </w:rPr>
        <w:t xml:space="preserve">the </w:t>
      </w:r>
      <w:r w:rsidR="00A4178F" w:rsidRPr="001E24FD">
        <w:rPr>
          <w:rFonts w:asciiTheme="majorBidi" w:hAnsiTheme="majorBidi" w:cstheme="majorBidi"/>
        </w:rPr>
        <w:t xml:space="preserve">punishments </w:t>
      </w:r>
      <w:r w:rsidR="00C817F2">
        <w:rPr>
          <w:rFonts w:asciiTheme="majorBidi" w:hAnsiTheme="majorBidi" w:cstheme="majorBidi"/>
        </w:rPr>
        <w:t xml:space="preserve">sanctioned by scriptural sources </w:t>
      </w:r>
      <w:r w:rsidR="00A4178F" w:rsidRPr="001E24FD">
        <w:rPr>
          <w:rFonts w:asciiTheme="majorBidi" w:hAnsiTheme="majorBidi" w:cstheme="majorBidi"/>
        </w:rPr>
        <w:t>(</w:t>
      </w:r>
      <w:proofErr w:type="spellStart"/>
      <w:r w:rsidR="00A4178F" w:rsidRPr="001E24FD">
        <w:rPr>
          <w:rFonts w:asciiTheme="majorBidi" w:hAnsiTheme="majorBidi" w:cstheme="majorBidi"/>
          <w:i/>
          <w:iCs/>
        </w:rPr>
        <w:t>ḥudūd</w:t>
      </w:r>
      <w:proofErr w:type="spellEnd"/>
      <w:r w:rsidR="00A4178F" w:rsidRPr="001E24FD">
        <w:rPr>
          <w:rFonts w:asciiTheme="majorBidi" w:hAnsiTheme="majorBidi" w:cstheme="majorBidi"/>
        </w:rPr>
        <w:t xml:space="preserve">; singular: </w:t>
      </w:r>
      <w:proofErr w:type="spellStart"/>
      <w:r w:rsidR="00A4178F" w:rsidRPr="001E24FD">
        <w:rPr>
          <w:rFonts w:asciiTheme="majorBidi" w:hAnsiTheme="majorBidi" w:cstheme="majorBidi"/>
          <w:i/>
          <w:iCs/>
        </w:rPr>
        <w:t>ḥadd</w:t>
      </w:r>
      <w:proofErr w:type="spellEnd"/>
      <w:r w:rsidR="00A4178F" w:rsidRPr="001E24FD">
        <w:rPr>
          <w:rFonts w:asciiTheme="majorBidi" w:hAnsiTheme="majorBidi" w:cstheme="majorBidi"/>
        </w:rPr>
        <w:t>)</w:t>
      </w:r>
      <w:r w:rsidR="00A4178F">
        <w:rPr>
          <w:rFonts w:asciiTheme="majorBidi" w:hAnsiTheme="majorBidi" w:cstheme="majorBidi"/>
        </w:rPr>
        <w:t>.</w:t>
      </w:r>
      <w:r w:rsidR="001662FD" w:rsidRPr="001E24FD">
        <w:rPr>
          <w:rStyle w:val="FootnoteReference"/>
          <w:rFonts w:asciiTheme="majorBidi" w:hAnsiTheme="majorBidi" w:cstheme="majorBidi"/>
        </w:rPr>
        <w:footnoteReference w:id="6"/>
      </w:r>
    </w:p>
    <w:p w14:paraId="17757C4B" w14:textId="7F89D976" w:rsidR="00874B4F" w:rsidRDefault="0001498E" w:rsidP="0037533B">
      <w:pPr>
        <w:spacing w:line="360" w:lineRule="auto"/>
        <w:ind w:firstLine="720"/>
        <w:rPr>
          <w:rFonts w:asciiTheme="majorBidi" w:hAnsiTheme="majorBidi" w:cstheme="majorBidi"/>
        </w:rPr>
      </w:pPr>
      <w:r>
        <w:rPr>
          <w:rFonts w:asciiTheme="majorBidi" w:hAnsiTheme="majorBidi" w:cstheme="majorBidi"/>
        </w:rPr>
        <w:t xml:space="preserve">In </w:t>
      </w:r>
      <w:r w:rsidR="00131F8F">
        <w:rPr>
          <w:rFonts w:asciiTheme="majorBidi" w:hAnsiTheme="majorBidi" w:cstheme="majorBidi"/>
        </w:rPr>
        <w:t xml:space="preserve">his monograph </w:t>
      </w:r>
      <w:r>
        <w:rPr>
          <w:rFonts w:asciiTheme="majorBidi" w:hAnsiTheme="majorBidi" w:cstheme="majorBidi"/>
          <w:i/>
          <w:iCs/>
        </w:rPr>
        <w:t>Politics, Law, and Community in Islamic Thought</w:t>
      </w:r>
      <w:r>
        <w:rPr>
          <w:rFonts w:asciiTheme="majorBidi" w:hAnsiTheme="majorBidi" w:cstheme="majorBidi"/>
        </w:rPr>
        <w:t>,</w:t>
      </w:r>
      <w:r>
        <w:rPr>
          <w:rFonts w:asciiTheme="majorBidi" w:hAnsiTheme="majorBidi" w:cstheme="majorBidi"/>
          <w:i/>
          <w:iCs/>
        </w:rPr>
        <w:t xml:space="preserve"> </w:t>
      </w:r>
      <w:proofErr w:type="spellStart"/>
      <w:r>
        <w:rPr>
          <w:rFonts w:asciiTheme="majorBidi" w:hAnsiTheme="majorBidi" w:cstheme="majorBidi"/>
        </w:rPr>
        <w:t>Ovamir</w:t>
      </w:r>
      <w:proofErr w:type="spellEnd"/>
      <w:r>
        <w:rPr>
          <w:rFonts w:asciiTheme="majorBidi" w:hAnsiTheme="majorBidi" w:cstheme="majorBidi"/>
        </w:rPr>
        <w:t xml:space="preserve"> Anjum</w:t>
      </w:r>
      <w:r w:rsidR="00154B7C">
        <w:rPr>
          <w:rFonts w:asciiTheme="majorBidi" w:hAnsiTheme="majorBidi" w:cstheme="majorBidi"/>
        </w:rPr>
        <w:t xml:space="preserve"> </w:t>
      </w:r>
      <w:r w:rsidR="00D46322">
        <w:rPr>
          <w:rFonts w:asciiTheme="majorBidi" w:hAnsiTheme="majorBidi" w:cstheme="majorBidi"/>
        </w:rPr>
        <w:t>maps out</w:t>
      </w:r>
      <w:r>
        <w:rPr>
          <w:rFonts w:asciiTheme="majorBidi" w:hAnsiTheme="majorBidi" w:cstheme="majorBidi"/>
        </w:rPr>
        <w:t xml:space="preserve"> two opposing positions on </w:t>
      </w:r>
      <w:proofErr w:type="spellStart"/>
      <w:r>
        <w:rPr>
          <w:rFonts w:asciiTheme="majorBidi" w:hAnsiTheme="majorBidi" w:cstheme="majorBidi"/>
          <w:i/>
          <w:iCs/>
        </w:rPr>
        <w:t>siyāsa</w:t>
      </w:r>
      <w:proofErr w:type="spellEnd"/>
      <w:r>
        <w:rPr>
          <w:rFonts w:asciiTheme="majorBidi" w:hAnsiTheme="majorBidi" w:cstheme="majorBidi"/>
        </w:rPr>
        <w:t>: “</w:t>
      </w:r>
      <w:proofErr w:type="spellStart"/>
      <w:r>
        <w:rPr>
          <w:rFonts w:asciiTheme="majorBidi" w:hAnsiTheme="majorBidi" w:cstheme="majorBidi"/>
          <w:i/>
          <w:iCs/>
        </w:rPr>
        <w:t>siyāsa</w:t>
      </w:r>
      <w:proofErr w:type="spellEnd"/>
      <w:r>
        <w:rPr>
          <w:rFonts w:asciiTheme="majorBidi" w:hAnsiTheme="majorBidi" w:cstheme="majorBidi"/>
        </w:rPr>
        <w:t xml:space="preserve"> as a friend” and “</w:t>
      </w:r>
      <w:proofErr w:type="spellStart"/>
      <w:r>
        <w:rPr>
          <w:rFonts w:asciiTheme="majorBidi" w:hAnsiTheme="majorBidi" w:cstheme="majorBidi"/>
          <w:i/>
          <w:iCs/>
        </w:rPr>
        <w:t>siyāsa</w:t>
      </w:r>
      <w:proofErr w:type="spellEnd"/>
      <w:r>
        <w:rPr>
          <w:rFonts w:asciiTheme="majorBidi" w:hAnsiTheme="majorBidi" w:cstheme="majorBidi"/>
        </w:rPr>
        <w:t xml:space="preserve"> as evil.”</w:t>
      </w:r>
      <w:r>
        <w:rPr>
          <w:rStyle w:val="FootnoteReference"/>
          <w:rFonts w:asciiTheme="majorBidi" w:hAnsiTheme="majorBidi" w:cstheme="majorBidi"/>
        </w:rPr>
        <w:footnoteReference w:id="7"/>
      </w:r>
      <w:r>
        <w:rPr>
          <w:rFonts w:asciiTheme="majorBidi" w:hAnsiTheme="majorBidi" w:cstheme="majorBidi"/>
        </w:rPr>
        <w:t xml:space="preserve"> </w:t>
      </w:r>
      <w:r w:rsidR="009919B4">
        <w:rPr>
          <w:rFonts w:asciiTheme="majorBidi" w:hAnsiTheme="majorBidi" w:cstheme="majorBidi"/>
        </w:rPr>
        <w:t>The “</w:t>
      </w:r>
      <w:proofErr w:type="spellStart"/>
      <w:r w:rsidR="009919B4">
        <w:rPr>
          <w:rFonts w:asciiTheme="majorBidi" w:hAnsiTheme="majorBidi" w:cstheme="majorBidi"/>
          <w:i/>
          <w:iCs/>
        </w:rPr>
        <w:t>siyāsa</w:t>
      </w:r>
      <w:proofErr w:type="spellEnd"/>
      <w:r w:rsidR="009919B4">
        <w:rPr>
          <w:rFonts w:asciiTheme="majorBidi" w:hAnsiTheme="majorBidi" w:cstheme="majorBidi"/>
          <w:i/>
          <w:iCs/>
        </w:rPr>
        <w:t xml:space="preserve"> </w:t>
      </w:r>
      <w:r w:rsidR="009919B4">
        <w:rPr>
          <w:rFonts w:asciiTheme="majorBidi" w:hAnsiTheme="majorBidi" w:cstheme="majorBidi"/>
        </w:rPr>
        <w:t xml:space="preserve">as a friend” camp featured a more diverse range of viewpoints among scholars. </w:t>
      </w:r>
      <w:r>
        <w:rPr>
          <w:rFonts w:asciiTheme="majorBidi" w:hAnsiTheme="majorBidi" w:cstheme="majorBidi"/>
        </w:rPr>
        <w:t xml:space="preserve">Among </w:t>
      </w:r>
      <w:r w:rsidR="009919B4">
        <w:rPr>
          <w:rFonts w:asciiTheme="majorBidi" w:hAnsiTheme="majorBidi" w:cstheme="majorBidi"/>
        </w:rPr>
        <w:lastRenderedPageBreak/>
        <w:t>them</w:t>
      </w:r>
      <w:r>
        <w:rPr>
          <w:rFonts w:asciiTheme="majorBidi" w:hAnsiTheme="majorBidi" w:cstheme="majorBidi"/>
        </w:rPr>
        <w:t xml:space="preserve"> were those who regarded </w:t>
      </w:r>
      <w:proofErr w:type="spellStart"/>
      <w:r>
        <w:rPr>
          <w:rFonts w:asciiTheme="majorBidi" w:hAnsiTheme="majorBidi" w:cstheme="majorBidi"/>
          <w:i/>
          <w:iCs/>
        </w:rPr>
        <w:t>siyāsa</w:t>
      </w:r>
      <w:proofErr w:type="spellEnd"/>
      <w:r>
        <w:rPr>
          <w:rFonts w:asciiTheme="majorBidi" w:hAnsiTheme="majorBidi" w:cstheme="majorBidi"/>
        </w:rPr>
        <w:t xml:space="preserve"> and </w:t>
      </w:r>
      <w:proofErr w:type="spellStart"/>
      <w:r>
        <w:rPr>
          <w:rFonts w:asciiTheme="majorBidi" w:hAnsiTheme="majorBidi" w:cstheme="majorBidi"/>
          <w:i/>
          <w:iCs/>
        </w:rPr>
        <w:t>sharīʿa</w:t>
      </w:r>
      <w:proofErr w:type="spellEnd"/>
      <w:r>
        <w:rPr>
          <w:rFonts w:asciiTheme="majorBidi" w:hAnsiTheme="majorBidi" w:cstheme="majorBidi"/>
        </w:rPr>
        <w:t xml:space="preserve"> as independent of each other but with </w:t>
      </w:r>
      <w:proofErr w:type="spellStart"/>
      <w:r>
        <w:rPr>
          <w:rFonts w:asciiTheme="majorBidi" w:hAnsiTheme="majorBidi" w:cstheme="majorBidi"/>
          <w:i/>
          <w:iCs/>
        </w:rPr>
        <w:t>siyāsa</w:t>
      </w:r>
      <w:proofErr w:type="spellEnd"/>
      <w:r>
        <w:rPr>
          <w:rFonts w:asciiTheme="majorBidi" w:hAnsiTheme="majorBidi" w:cstheme="majorBidi"/>
        </w:rPr>
        <w:t xml:space="preserve"> </w:t>
      </w:r>
      <w:r w:rsidR="00705978">
        <w:rPr>
          <w:rFonts w:asciiTheme="majorBidi" w:hAnsiTheme="majorBidi" w:cstheme="majorBidi"/>
        </w:rPr>
        <w:t>bolstering</w:t>
      </w:r>
      <w:r>
        <w:rPr>
          <w:rFonts w:asciiTheme="majorBidi" w:hAnsiTheme="majorBidi" w:cstheme="majorBidi"/>
        </w:rPr>
        <w:t xml:space="preserve"> the legal ordinances of </w:t>
      </w:r>
      <w:proofErr w:type="spellStart"/>
      <w:r>
        <w:rPr>
          <w:rFonts w:asciiTheme="majorBidi" w:hAnsiTheme="majorBidi" w:cstheme="majorBidi"/>
          <w:i/>
          <w:iCs/>
        </w:rPr>
        <w:t>sharīʿa</w:t>
      </w:r>
      <w:proofErr w:type="spellEnd"/>
      <w:r>
        <w:rPr>
          <w:rFonts w:asciiTheme="majorBidi" w:hAnsiTheme="majorBidi" w:cstheme="majorBidi"/>
        </w:rPr>
        <w:t xml:space="preserve">. One such example is the Andalusian </w:t>
      </w:r>
      <w:proofErr w:type="spellStart"/>
      <w:r>
        <w:rPr>
          <w:rFonts w:asciiTheme="majorBidi" w:hAnsiTheme="majorBidi" w:cstheme="majorBidi"/>
        </w:rPr>
        <w:t>Mālikī</w:t>
      </w:r>
      <w:proofErr w:type="spellEnd"/>
      <w:r>
        <w:rPr>
          <w:rFonts w:asciiTheme="majorBidi" w:hAnsiTheme="majorBidi" w:cstheme="majorBidi"/>
        </w:rPr>
        <w:t xml:space="preserve"> jurist al-</w:t>
      </w:r>
      <w:proofErr w:type="spellStart"/>
      <w:r>
        <w:rPr>
          <w:rFonts w:asciiTheme="majorBidi" w:hAnsiTheme="majorBidi" w:cstheme="majorBidi"/>
        </w:rPr>
        <w:t>Ṭurṭūshī</w:t>
      </w:r>
      <w:proofErr w:type="spellEnd"/>
      <w:r>
        <w:rPr>
          <w:rFonts w:asciiTheme="majorBidi" w:hAnsiTheme="majorBidi" w:cstheme="majorBidi"/>
        </w:rPr>
        <w:t xml:space="preserve"> (d. 520/1126), who stated that state policies (</w:t>
      </w:r>
      <w:proofErr w:type="spellStart"/>
      <w:r>
        <w:rPr>
          <w:rFonts w:asciiTheme="majorBidi" w:hAnsiTheme="majorBidi" w:cstheme="majorBidi"/>
          <w:i/>
          <w:iCs/>
        </w:rPr>
        <w:t>siyāsāt</w:t>
      </w:r>
      <w:proofErr w:type="spellEnd"/>
      <w:r>
        <w:rPr>
          <w:rFonts w:asciiTheme="majorBidi" w:hAnsiTheme="majorBidi" w:cstheme="majorBidi"/>
        </w:rPr>
        <w:t>) were instituted for the maintenance (</w:t>
      </w:r>
      <w:proofErr w:type="spellStart"/>
      <w:r>
        <w:rPr>
          <w:rFonts w:asciiTheme="majorBidi" w:hAnsiTheme="majorBidi" w:cstheme="majorBidi"/>
          <w:i/>
          <w:iCs/>
        </w:rPr>
        <w:t>iltizām</w:t>
      </w:r>
      <w:proofErr w:type="spellEnd"/>
      <w:r>
        <w:rPr>
          <w:rFonts w:asciiTheme="majorBidi" w:hAnsiTheme="majorBidi" w:cstheme="majorBidi"/>
        </w:rPr>
        <w:t>) and defense (</w:t>
      </w:r>
      <w:proofErr w:type="spellStart"/>
      <w:r>
        <w:rPr>
          <w:rFonts w:asciiTheme="majorBidi" w:hAnsiTheme="majorBidi" w:cstheme="majorBidi"/>
          <w:i/>
          <w:iCs/>
        </w:rPr>
        <w:t>dhabb</w:t>
      </w:r>
      <w:proofErr w:type="spellEnd"/>
      <w:r>
        <w:rPr>
          <w:rFonts w:asciiTheme="majorBidi" w:hAnsiTheme="majorBidi" w:cstheme="majorBidi"/>
        </w:rPr>
        <w:t>) of legal ordinances (</w:t>
      </w:r>
      <w:proofErr w:type="spellStart"/>
      <w:r>
        <w:rPr>
          <w:rFonts w:asciiTheme="majorBidi" w:hAnsiTheme="majorBidi" w:cstheme="majorBidi"/>
          <w:i/>
          <w:iCs/>
        </w:rPr>
        <w:t>aḥkām</w:t>
      </w:r>
      <w:proofErr w:type="spellEnd"/>
      <w:r>
        <w:rPr>
          <w:rFonts w:asciiTheme="majorBidi" w:hAnsiTheme="majorBidi" w:cstheme="majorBidi"/>
        </w:rPr>
        <w:t>).</w:t>
      </w:r>
      <w:r>
        <w:rPr>
          <w:rStyle w:val="FootnoteReference"/>
          <w:rFonts w:asciiTheme="majorBidi" w:hAnsiTheme="majorBidi" w:cstheme="majorBidi"/>
        </w:rPr>
        <w:footnoteReference w:id="8"/>
      </w:r>
      <w:r>
        <w:rPr>
          <w:rFonts w:asciiTheme="majorBidi" w:hAnsiTheme="majorBidi" w:cstheme="majorBidi"/>
        </w:rPr>
        <w:t xml:space="preserve"> Similarly, al-</w:t>
      </w:r>
      <w:proofErr w:type="spellStart"/>
      <w:r>
        <w:rPr>
          <w:rFonts w:asciiTheme="majorBidi" w:hAnsiTheme="majorBidi" w:cstheme="majorBidi"/>
        </w:rPr>
        <w:t>Māwardī</w:t>
      </w:r>
      <w:proofErr w:type="spellEnd"/>
      <w:r>
        <w:rPr>
          <w:rFonts w:asciiTheme="majorBidi" w:hAnsiTheme="majorBidi" w:cstheme="majorBidi"/>
        </w:rPr>
        <w:t xml:space="preserve"> (d. 450/1058) in his </w:t>
      </w:r>
      <w:r w:rsidR="00582E71">
        <w:rPr>
          <w:rFonts w:asciiTheme="majorBidi" w:hAnsiTheme="majorBidi" w:cstheme="majorBidi"/>
        </w:rPr>
        <w:t xml:space="preserve">legal </w:t>
      </w:r>
      <w:r>
        <w:rPr>
          <w:rFonts w:asciiTheme="majorBidi" w:hAnsiTheme="majorBidi" w:cstheme="majorBidi"/>
        </w:rPr>
        <w:t xml:space="preserve">treatise on government, </w:t>
      </w:r>
      <w:r w:rsidRPr="00E27417">
        <w:rPr>
          <w:rFonts w:asciiTheme="majorBidi" w:hAnsiTheme="majorBidi" w:cstheme="majorBidi"/>
          <w:i/>
          <w:iCs/>
        </w:rPr>
        <w:t>a</w:t>
      </w:r>
      <w:r>
        <w:rPr>
          <w:rFonts w:asciiTheme="majorBidi" w:hAnsiTheme="majorBidi" w:cstheme="majorBidi"/>
          <w:i/>
          <w:iCs/>
        </w:rPr>
        <w:t>l-</w:t>
      </w:r>
      <w:proofErr w:type="spellStart"/>
      <w:r>
        <w:rPr>
          <w:rFonts w:asciiTheme="majorBidi" w:hAnsiTheme="majorBidi" w:cstheme="majorBidi"/>
          <w:i/>
          <w:iCs/>
        </w:rPr>
        <w:t>Aḥkām</w:t>
      </w:r>
      <w:proofErr w:type="spellEnd"/>
      <w:r>
        <w:rPr>
          <w:rFonts w:asciiTheme="majorBidi" w:hAnsiTheme="majorBidi" w:cstheme="majorBidi"/>
          <w:i/>
          <w:iCs/>
        </w:rPr>
        <w:t xml:space="preserve"> al-</w:t>
      </w:r>
      <w:proofErr w:type="spellStart"/>
      <w:r>
        <w:rPr>
          <w:rFonts w:asciiTheme="majorBidi" w:hAnsiTheme="majorBidi" w:cstheme="majorBidi"/>
          <w:i/>
          <w:iCs/>
        </w:rPr>
        <w:t>sulṭāniyya</w:t>
      </w:r>
      <w:proofErr w:type="spellEnd"/>
      <w:r>
        <w:rPr>
          <w:rFonts w:asciiTheme="majorBidi" w:hAnsiTheme="majorBidi" w:cstheme="majorBidi"/>
        </w:rPr>
        <w:t xml:space="preserve">, </w:t>
      </w:r>
      <w:r w:rsidRPr="00E27417">
        <w:rPr>
          <w:rFonts w:asciiTheme="majorBidi" w:hAnsiTheme="majorBidi" w:cstheme="majorBidi"/>
        </w:rPr>
        <w:t>considered</w:t>
      </w:r>
      <w:r>
        <w:rPr>
          <w:rFonts w:asciiTheme="majorBidi" w:hAnsiTheme="majorBidi" w:cstheme="majorBidi"/>
        </w:rPr>
        <w:t xml:space="preserve"> the foremost function of the caliphate or imamate to be “</w:t>
      </w:r>
      <w:proofErr w:type="spellStart"/>
      <w:r>
        <w:rPr>
          <w:rFonts w:asciiTheme="majorBidi" w:hAnsiTheme="majorBidi" w:cstheme="majorBidi"/>
          <w:i/>
          <w:iCs/>
        </w:rPr>
        <w:t>ḥirāsat</w:t>
      </w:r>
      <w:proofErr w:type="spellEnd"/>
      <w:r>
        <w:rPr>
          <w:rFonts w:asciiTheme="majorBidi" w:hAnsiTheme="majorBidi" w:cstheme="majorBidi"/>
          <w:i/>
          <w:iCs/>
        </w:rPr>
        <w:t xml:space="preserve"> al-</w:t>
      </w:r>
      <w:proofErr w:type="spellStart"/>
      <w:r>
        <w:rPr>
          <w:rFonts w:asciiTheme="majorBidi" w:hAnsiTheme="majorBidi" w:cstheme="majorBidi"/>
          <w:i/>
          <w:iCs/>
        </w:rPr>
        <w:t>dīn</w:t>
      </w:r>
      <w:proofErr w:type="spellEnd"/>
      <w:r>
        <w:rPr>
          <w:rFonts w:asciiTheme="majorBidi" w:hAnsiTheme="majorBidi" w:cstheme="majorBidi"/>
          <w:i/>
          <w:iCs/>
        </w:rPr>
        <w:t xml:space="preserve"> </w:t>
      </w:r>
      <w:proofErr w:type="spellStart"/>
      <w:r>
        <w:rPr>
          <w:rFonts w:asciiTheme="majorBidi" w:hAnsiTheme="majorBidi" w:cstheme="majorBidi"/>
          <w:i/>
          <w:iCs/>
        </w:rPr>
        <w:t>wa-siyāsat</w:t>
      </w:r>
      <w:proofErr w:type="spellEnd"/>
      <w:r>
        <w:rPr>
          <w:rFonts w:asciiTheme="majorBidi" w:hAnsiTheme="majorBidi" w:cstheme="majorBidi"/>
          <w:i/>
          <w:iCs/>
        </w:rPr>
        <w:t xml:space="preserve"> al-</w:t>
      </w:r>
      <w:proofErr w:type="spellStart"/>
      <w:r>
        <w:rPr>
          <w:rFonts w:asciiTheme="majorBidi" w:hAnsiTheme="majorBidi" w:cstheme="majorBidi"/>
          <w:i/>
          <w:iCs/>
        </w:rPr>
        <w:t>dunyā</w:t>
      </w:r>
      <w:proofErr w:type="spellEnd"/>
      <w:r>
        <w:rPr>
          <w:rFonts w:asciiTheme="majorBidi" w:hAnsiTheme="majorBidi" w:cstheme="majorBidi"/>
        </w:rPr>
        <w:t>” (guarding the faith and managing the affairs of this world</w:t>
      </w:r>
      <w:r w:rsidRPr="00092187">
        <w:rPr>
          <w:rFonts w:asciiTheme="majorBidi" w:hAnsiTheme="majorBidi" w:cstheme="majorBidi"/>
        </w:rPr>
        <w:t>).</w:t>
      </w:r>
      <w:r w:rsidRPr="00092187">
        <w:rPr>
          <w:rStyle w:val="FootnoteReference"/>
          <w:rFonts w:asciiTheme="majorBidi" w:hAnsiTheme="majorBidi" w:cstheme="majorBidi"/>
        </w:rPr>
        <w:footnoteReference w:id="9"/>
      </w:r>
      <w:r w:rsidRPr="00092187">
        <w:rPr>
          <w:rFonts w:asciiTheme="majorBidi" w:hAnsiTheme="majorBidi" w:cstheme="majorBidi"/>
        </w:rPr>
        <w:t xml:space="preserve"> Then there were those who deemed the </w:t>
      </w:r>
      <w:proofErr w:type="spellStart"/>
      <w:r w:rsidRPr="00092187">
        <w:rPr>
          <w:rFonts w:asciiTheme="majorBidi" w:hAnsiTheme="majorBidi" w:cstheme="majorBidi"/>
          <w:i/>
          <w:iCs/>
        </w:rPr>
        <w:t>sharīʿa</w:t>
      </w:r>
      <w:proofErr w:type="spellEnd"/>
      <w:r w:rsidRPr="00092187">
        <w:rPr>
          <w:rFonts w:asciiTheme="majorBidi" w:hAnsiTheme="majorBidi" w:cstheme="majorBidi"/>
        </w:rPr>
        <w:t xml:space="preserve"> </w:t>
      </w:r>
      <w:r>
        <w:rPr>
          <w:rFonts w:asciiTheme="majorBidi" w:hAnsiTheme="majorBidi" w:cstheme="majorBidi"/>
        </w:rPr>
        <w:t>deficient</w:t>
      </w:r>
      <w:r w:rsidRPr="00092187">
        <w:rPr>
          <w:rFonts w:asciiTheme="majorBidi" w:hAnsiTheme="majorBidi" w:cstheme="majorBidi"/>
        </w:rPr>
        <w:t xml:space="preserve"> in dealing with matters of this world and therefore in need of </w:t>
      </w:r>
      <w:proofErr w:type="spellStart"/>
      <w:r w:rsidRPr="00092187">
        <w:rPr>
          <w:rFonts w:asciiTheme="majorBidi" w:hAnsiTheme="majorBidi" w:cstheme="majorBidi"/>
          <w:i/>
          <w:iCs/>
        </w:rPr>
        <w:t>siyāsa</w:t>
      </w:r>
      <w:proofErr w:type="spellEnd"/>
      <w:r w:rsidRPr="00092187">
        <w:rPr>
          <w:rFonts w:asciiTheme="majorBidi" w:hAnsiTheme="majorBidi" w:cstheme="majorBidi"/>
        </w:rPr>
        <w:t xml:space="preserve"> to </w:t>
      </w:r>
      <w:r>
        <w:rPr>
          <w:rFonts w:asciiTheme="majorBidi" w:hAnsiTheme="majorBidi" w:cstheme="majorBidi"/>
        </w:rPr>
        <w:t>ensure public order.</w:t>
      </w:r>
      <w:r w:rsidRPr="00092187">
        <w:rPr>
          <w:rFonts w:asciiTheme="majorBidi" w:hAnsiTheme="majorBidi" w:cstheme="majorBidi"/>
        </w:rPr>
        <w:t xml:space="preserve"> </w:t>
      </w:r>
      <w:r>
        <w:rPr>
          <w:rFonts w:asciiTheme="majorBidi" w:hAnsiTheme="majorBidi" w:cstheme="majorBidi"/>
        </w:rPr>
        <w:t xml:space="preserve">This line of reasoning seemed to be popular among the ruling elites, while a statement from the Persian litterateur </w:t>
      </w:r>
      <w:proofErr w:type="spellStart"/>
      <w:r>
        <w:rPr>
          <w:rFonts w:asciiTheme="majorBidi" w:hAnsiTheme="majorBidi" w:cstheme="majorBidi"/>
        </w:rPr>
        <w:t>Abū</w:t>
      </w:r>
      <w:proofErr w:type="spellEnd"/>
      <w:r>
        <w:rPr>
          <w:rFonts w:asciiTheme="majorBidi" w:hAnsiTheme="majorBidi" w:cstheme="majorBidi"/>
        </w:rPr>
        <w:t xml:space="preserve"> </w:t>
      </w:r>
      <w:proofErr w:type="spellStart"/>
      <w:r>
        <w:rPr>
          <w:rFonts w:asciiTheme="majorBidi" w:hAnsiTheme="majorBidi" w:cstheme="majorBidi"/>
        </w:rPr>
        <w:t>Ḥayyān</w:t>
      </w:r>
      <w:proofErr w:type="spellEnd"/>
      <w:r>
        <w:rPr>
          <w:rFonts w:asciiTheme="majorBidi" w:hAnsiTheme="majorBidi" w:cstheme="majorBidi"/>
        </w:rPr>
        <w:t xml:space="preserve"> al-</w:t>
      </w:r>
      <w:proofErr w:type="spellStart"/>
      <w:r>
        <w:rPr>
          <w:rFonts w:asciiTheme="majorBidi" w:hAnsiTheme="majorBidi" w:cstheme="majorBidi"/>
        </w:rPr>
        <w:t>Tawḥīdī</w:t>
      </w:r>
      <w:proofErr w:type="spellEnd"/>
      <w:r>
        <w:rPr>
          <w:rFonts w:asciiTheme="majorBidi" w:hAnsiTheme="majorBidi" w:cstheme="majorBidi"/>
        </w:rPr>
        <w:t xml:space="preserve"> (d. 414/1023) </w:t>
      </w:r>
      <w:r w:rsidR="001256D1">
        <w:rPr>
          <w:rFonts w:asciiTheme="majorBidi" w:hAnsiTheme="majorBidi" w:cstheme="majorBidi"/>
        </w:rPr>
        <w:t>hints at</w:t>
      </w:r>
      <w:r>
        <w:rPr>
          <w:rFonts w:asciiTheme="majorBidi" w:hAnsiTheme="majorBidi" w:cstheme="majorBidi"/>
        </w:rPr>
        <w:t xml:space="preserve"> a milder expression of this view: “the </w:t>
      </w:r>
      <w:proofErr w:type="spellStart"/>
      <w:r>
        <w:rPr>
          <w:rFonts w:asciiTheme="majorBidi" w:hAnsiTheme="majorBidi" w:cstheme="majorBidi"/>
          <w:i/>
          <w:iCs/>
        </w:rPr>
        <w:t>sharīʿa</w:t>
      </w:r>
      <w:proofErr w:type="spellEnd"/>
      <w:r>
        <w:rPr>
          <w:rFonts w:asciiTheme="majorBidi" w:hAnsiTheme="majorBidi" w:cstheme="majorBidi"/>
        </w:rPr>
        <w:t xml:space="preserve"> devoid of </w:t>
      </w:r>
      <w:proofErr w:type="spellStart"/>
      <w:r>
        <w:rPr>
          <w:rFonts w:asciiTheme="majorBidi" w:hAnsiTheme="majorBidi" w:cstheme="majorBidi"/>
          <w:i/>
          <w:iCs/>
        </w:rPr>
        <w:t>siyāsa</w:t>
      </w:r>
      <w:proofErr w:type="spellEnd"/>
      <w:r>
        <w:rPr>
          <w:rFonts w:asciiTheme="majorBidi" w:hAnsiTheme="majorBidi" w:cstheme="majorBidi"/>
        </w:rPr>
        <w:t xml:space="preserve"> is deficient (</w:t>
      </w:r>
      <w:proofErr w:type="spellStart"/>
      <w:r>
        <w:rPr>
          <w:rFonts w:asciiTheme="majorBidi" w:hAnsiTheme="majorBidi" w:cstheme="majorBidi"/>
          <w:i/>
          <w:iCs/>
        </w:rPr>
        <w:t>nāqiṣa</w:t>
      </w:r>
      <w:proofErr w:type="spellEnd"/>
      <w:r>
        <w:rPr>
          <w:rFonts w:asciiTheme="majorBidi" w:hAnsiTheme="majorBidi" w:cstheme="majorBidi"/>
        </w:rPr>
        <w:t xml:space="preserve">), and </w:t>
      </w:r>
      <w:proofErr w:type="spellStart"/>
      <w:r>
        <w:rPr>
          <w:rFonts w:asciiTheme="majorBidi" w:hAnsiTheme="majorBidi" w:cstheme="majorBidi"/>
          <w:i/>
          <w:iCs/>
        </w:rPr>
        <w:t>siyāsa</w:t>
      </w:r>
      <w:proofErr w:type="spellEnd"/>
      <w:r>
        <w:rPr>
          <w:rFonts w:asciiTheme="majorBidi" w:hAnsiTheme="majorBidi" w:cstheme="majorBidi"/>
        </w:rPr>
        <w:t xml:space="preserve"> </w:t>
      </w:r>
      <w:r w:rsidR="001256D1">
        <w:rPr>
          <w:rFonts w:asciiTheme="majorBidi" w:hAnsiTheme="majorBidi" w:cstheme="majorBidi"/>
        </w:rPr>
        <w:t>divested</w:t>
      </w:r>
      <w:r>
        <w:rPr>
          <w:rFonts w:asciiTheme="majorBidi" w:hAnsiTheme="majorBidi" w:cstheme="majorBidi"/>
        </w:rPr>
        <w:t xml:space="preserve"> of the </w:t>
      </w:r>
      <w:proofErr w:type="spellStart"/>
      <w:r>
        <w:rPr>
          <w:rFonts w:asciiTheme="majorBidi" w:hAnsiTheme="majorBidi" w:cstheme="majorBidi"/>
          <w:i/>
          <w:iCs/>
        </w:rPr>
        <w:t>sharīʿa</w:t>
      </w:r>
      <w:proofErr w:type="spellEnd"/>
      <w:r>
        <w:rPr>
          <w:rFonts w:asciiTheme="majorBidi" w:hAnsiTheme="majorBidi" w:cstheme="majorBidi"/>
        </w:rPr>
        <w:t xml:space="preserve"> is [similarly] deficient.”</w:t>
      </w:r>
      <w:r>
        <w:rPr>
          <w:rStyle w:val="FootnoteReference"/>
          <w:rFonts w:asciiTheme="majorBidi" w:hAnsiTheme="majorBidi" w:cstheme="majorBidi"/>
        </w:rPr>
        <w:footnoteReference w:id="10"/>
      </w:r>
    </w:p>
    <w:p w14:paraId="12CEBCB1" w14:textId="45DC9C39" w:rsidR="00820658" w:rsidRDefault="0001498E" w:rsidP="0037533B">
      <w:pPr>
        <w:spacing w:line="360" w:lineRule="auto"/>
        <w:ind w:firstLine="720"/>
        <w:rPr>
          <w:rFonts w:asciiTheme="majorBidi" w:hAnsiTheme="majorBidi" w:cstheme="majorBidi"/>
        </w:rPr>
      </w:pPr>
      <w:r>
        <w:rPr>
          <w:rFonts w:asciiTheme="majorBidi" w:hAnsiTheme="majorBidi" w:cstheme="majorBidi"/>
        </w:rPr>
        <w:t>The opposing “</w:t>
      </w:r>
      <w:proofErr w:type="spellStart"/>
      <w:r>
        <w:rPr>
          <w:rFonts w:asciiTheme="majorBidi" w:hAnsiTheme="majorBidi" w:cstheme="majorBidi"/>
          <w:i/>
          <w:iCs/>
        </w:rPr>
        <w:t>siyāsa</w:t>
      </w:r>
      <w:proofErr w:type="spellEnd"/>
      <w:r>
        <w:rPr>
          <w:rFonts w:asciiTheme="majorBidi" w:hAnsiTheme="majorBidi" w:cstheme="majorBidi"/>
        </w:rPr>
        <w:t xml:space="preserve"> as evil” camp directed most of their criticisms against those who regarded the </w:t>
      </w:r>
      <w:proofErr w:type="spellStart"/>
      <w:r>
        <w:rPr>
          <w:rFonts w:asciiTheme="majorBidi" w:hAnsiTheme="majorBidi" w:cstheme="majorBidi"/>
          <w:i/>
          <w:iCs/>
        </w:rPr>
        <w:t>sharīʿa</w:t>
      </w:r>
      <w:proofErr w:type="spellEnd"/>
      <w:r>
        <w:rPr>
          <w:rFonts w:asciiTheme="majorBidi" w:hAnsiTheme="majorBidi" w:cstheme="majorBidi"/>
        </w:rPr>
        <w:t xml:space="preserve"> as insufficient in relation to real-world matters. </w:t>
      </w:r>
      <w:r w:rsidR="00585586">
        <w:rPr>
          <w:rFonts w:asciiTheme="majorBidi" w:hAnsiTheme="majorBidi" w:cstheme="majorBidi"/>
        </w:rPr>
        <w:t>The crux of the</w:t>
      </w:r>
      <w:r w:rsidR="0001665F">
        <w:rPr>
          <w:rFonts w:asciiTheme="majorBidi" w:hAnsiTheme="majorBidi" w:cstheme="majorBidi"/>
        </w:rPr>
        <w:t>ir</w:t>
      </w:r>
      <w:r w:rsidR="00585586">
        <w:rPr>
          <w:rFonts w:asciiTheme="majorBidi" w:hAnsiTheme="majorBidi" w:cstheme="majorBidi"/>
        </w:rPr>
        <w:t xml:space="preserve"> criticisms centered on the issue of </w:t>
      </w:r>
      <w:r>
        <w:rPr>
          <w:rFonts w:asciiTheme="majorBidi" w:hAnsiTheme="majorBidi" w:cstheme="majorBidi"/>
        </w:rPr>
        <w:t xml:space="preserve">punishments, especially those </w:t>
      </w:r>
      <w:r w:rsidR="000B3DB9">
        <w:rPr>
          <w:rFonts w:asciiTheme="majorBidi" w:hAnsiTheme="majorBidi" w:cstheme="majorBidi"/>
        </w:rPr>
        <w:t>that</w:t>
      </w:r>
      <w:r>
        <w:rPr>
          <w:rFonts w:asciiTheme="majorBidi" w:hAnsiTheme="majorBidi" w:cstheme="majorBidi"/>
        </w:rPr>
        <w:t xml:space="preserve"> did not conform to the </w:t>
      </w:r>
      <w:r w:rsidR="00874B4F">
        <w:rPr>
          <w:rFonts w:asciiTheme="majorBidi" w:hAnsiTheme="majorBidi" w:cstheme="majorBidi"/>
        </w:rPr>
        <w:t xml:space="preserve">standards </w:t>
      </w:r>
      <w:r>
        <w:rPr>
          <w:rFonts w:asciiTheme="majorBidi" w:hAnsiTheme="majorBidi" w:cstheme="majorBidi"/>
        </w:rPr>
        <w:t>established by Islamic jurisprudence (</w:t>
      </w:r>
      <w:proofErr w:type="spellStart"/>
      <w:r>
        <w:rPr>
          <w:rFonts w:asciiTheme="majorBidi" w:hAnsiTheme="majorBidi" w:cstheme="majorBidi"/>
          <w:i/>
          <w:iCs/>
        </w:rPr>
        <w:t>fiqh</w:t>
      </w:r>
      <w:proofErr w:type="spellEnd"/>
      <w:r>
        <w:rPr>
          <w:rFonts w:asciiTheme="majorBidi" w:hAnsiTheme="majorBidi" w:cstheme="majorBidi"/>
        </w:rPr>
        <w:t xml:space="preserve">). </w:t>
      </w:r>
      <w:r w:rsidR="00585586">
        <w:rPr>
          <w:rFonts w:asciiTheme="majorBidi" w:hAnsiTheme="majorBidi" w:cstheme="majorBidi"/>
        </w:rPr>
        <w:t>As punishments became more arbitrary</w:t>
      </w:r>
      <w:r w:rsidR="00445D6F">
        <w:rPr>
          <w:rFonts w:asciiTheme="majorBidi" w:hAnsiTheme="majorBidi" w:cstheme="majorBidi"/>
        </w:rPr>
        <w:t xml:space="preserve"> and</w:t>
      </w:r>
      <w:r w:rsidR="00585586">
        <w:rPr>
          <w:rFonts w:asciiTheme="majorBidi" w:hAnsiTheme="majorBidi" w:cstheme="majorBidi"/>
        </w:rPr>
        <w:t xml:space="preserve"> brutal</w:t>
      </w:r>
      <w:r w:rsidR="00445D6F">
        <w:rPr>
          <w:rFonts w:asciiTheme="majorBidi" w:hAnsiTheme="majorBidi" w:cstheme="majorBidi"/>
        </w:rPr>
        <w:t xml:space="preserve"> </w:t>
      </w:r>
      <w:r w:rsidR="001256D1">
        <w:rPr>
          <w:rFonts w:asciiTheme="majorBidi" w:hAnsiTheme="majorBidi" w:cstheme="majorBidi"/>
        </w:rPr>
        <w:t>amidst the socio-political tumult of</w:t>
      </w:r>
      <w:r w:rsidR="00585586">
        <w:rPr>
          <w:rFonts w:asciiTheme="majorBidi" w:hAnsiTheme="majorBidi" w:cstheme="majorBidi"/>
        </w:rPr>
        <w:t xml:space="preserve"> the late Abbasid period</w:t>
      </w:r>
      <w:r w:rsidR="002B2805">
        <w:rPr>
          <w:rFonts w:asciiTheme="majorBidi" w:hAnsiTheme="majorBidi" w:cstheme="majorBidi"/>
        </w:rPr>
        <w:t xml:space="preserve">, </w:t>
      </w:r>
      <w:proofErr w:type="spellStart"/>
      <w:r w:rsidR="002B2805">
        <w:rPr>
          <w:rFonts w:asciiTheme="majorBidi" w:hAnsiTheme="majorBidi" w:cstheme="majorBidi"/>
          <w:i/>
          <w:iCs/>
        </w:rPr>
        <w:t>siyāsa</w:t>
      </w:r>
      <w:proofErr w:type="spellEnd"/>
      <w:r w:rsidR="002B2805">
        <w:rPr>
          <w:rFonts w:asciiTheme="majorBidi" w:hAnsiTheme="majorBidi" w:cstheme="majorBidi"/>
        </w:rPr>
        <w:t xml:space="preserve"> began to acquire a bad taste among</w:t>
      </w:r>
      <w:r w:rsidR="00445D6F">
        <w:rPr>
          <w:rFonts w:asciiTheme="majorBidi" w:hAnsiTheme="majorBidi" w:cstheme="majorBidi"/>
        </w:rPr>
        <w:t xml:space="preserve"> the </w:t>
      </w:r>
      <w:proofErr w:type="spellStart"/>
      <w:r w:rsidR="00131F8F">
        <w:rPr>
          <w:rFonts w:asciiTheme="majorBidi" w:hAnsiTheme="majorBidi" w:cstheme="majorBidi"/>
          <w:i/>
          <w:iCs/>
        </w:rPr>
        <w:t>ʿulamāʾ</w:t>
      </w:r>
      <w:proofErr w:type="spellEnd"/>
      <w:r w:rsidR="002B2805">
        <w:rPr>
          <w:rFonts w:asciiTheme="majorBidi" w:hAnsiTheme="majorBidi" w:cstheme="majorBidi"/>
        </w:rPr>
        <w:t>.</w:t>
      </w:r>
      <w:r>
        <w:rPr>
          <w:rFonts w:asciiTheme="majorBidi" w:hAnsiTheme="majorBidi" w:cstheme="majorBidi"/>
        </w:rPr>
        <w:t xml:space="preserve"> </w:t>
      </w:r>
      <w:r w:rsidR="00131F8F">
        <w:rPr>
          <w:rFonts w:asciiTheme="majorBidi" w:hAnsiTheme="majorBidi" w:cstheme="majorBidi"/>
        </w:rPr>
        <w:t>Ibn al-</w:t>
      </w:r>
      <w:proofErr w:type="spellStart"/>
      <w:r w:rsidR="00131F8F">
        <w:rPr>
          <w:rFonts w:asciiTheme="majorBidi" w:hAnsiTheme="majorBidi" w:cstheme="majorBidi"/>
        </w:rPr>
        <w:t>Jawzī</w:t>
      </w:r>
      <w:proofErr w:type="spellEnd"/>
      <w:r w:rsidR="00131F8F">
        <w:rPr>
          <w:rFonts w:asciiTheme="majorBidi" w:hAnsiTheme="majorBidi" w:cstheme="majorBidi"/>
        </w:rPr>
        <w:t xml:space="preserve"> fell </w:t>
      </w:r>
      <w:r w:rsidR="0001665F">
        <w:rPr>
          <w:rFonts w:asciiTheme="majorBidi" w:hAnsiTheme="majorBidi" w:cstheme="majorBidi"/>
        </w:rPr>
        <w:t>squarely within</w:t>
      </w:r>
      <w:r w:rsidR="00131F8F">
        <w:rPr>
          <w:rFonts w:asciiTheme="majorBidi" w:hAnsiTheme="majorBidi" w:cstheme="majorBidi"/>
        </w:rPr>
        <w:t xml:space="preserve"> this camp. </w:t>
      </w:r>
      <w:r w:rsidR="00820658" w:rsidRPr="001E24FD">
        <w:rPr>
          <w:rFonts w:asciiTheme="majorBidi" w:hAnsiTheme="majorBidi" w:cstheme="majorBidi"/>
        </w:rPr>
        <w:t xml:space="preserve">A brief passage </w:t>
      </w:r>
      <w:r w:rsidR="00131F8F">
        <w:rPr>
          <w:rFonts w:asciiTheme="majorBidi" w:hAnsiTheme="majorBidi" w:cstheme="majorBidi"/>
        </w:rPr>
        <w:t>from the</w:t>
      </w:r>
      <w:r w:rsidR="00820658" w:rsidRPr="001E24FD">
        <w:rPr>
          <w:rFonts w:asciiTheme="majorBidi" w:hAnsiTheme="majorBidi" w:cstheme="majorBidi"/>
        </w:rPr>
        <w:t xml:space="preserve"> </w:t>
      </w:r>
      <w:proofErr w:type="spellStart"/>
      <w:r w:rsidR="00820658" w:rsidRPr="00131F8F">
        <w:rPr>
          <w:rFonts w:asciiTheme="majorBidi" w:hAnsiTheme="majorBidi" w:cstheme="majorBidi"/>
          <w:i/>
          <w:iCs/>
        </w:rPr>
        <w:t>Muntaẓam</w:t>
      </w:r>
      <w:proofErr w:type="spellEnd"/>
      <w:r w:rsidR="00131F8F">
        <w:rPr>
          <w:rFonts w:asciiTheme="majorBidi" w:hAnsiTheme="majorBidi" w:cstheme="majorBidi"/>
        </w:rPr>
        <w:t xml:space="preserve"> a</w:t>
      </w:r>
      <w:r w:rsidR="00820658" w:rsidRPr="00131F8F">
        <w:rPr>
          <w:rFonts w:asciiTheme="majorBidi" w:hAnsiTheme="majorBidi" w:cstheme="majorBidi"/>
        </w:rPr>
        <w:t>ttests</w:t>
      </w:r>
      <w:r w:rsidR="00820658" w:rsidRPr="001E24FD">
        <w:rPr>
          <w:rFonts w:asciiTheme="majorBidi" w:hAnsiTheme="majorBidi" w:cstheme="majorBidi"/>
        </w:rPr>
        <w:t xml:space="preserve"> to what </w:t>
      </w:r>
      <w:r w:rsidR="00131F8F">
        <w:rPr>
          <w:rFonts w:asciiTheme="majorBidi" w:hAnsiTheme="majorBidi" w:cstheme="majorBidi"/>
        </w:rPr>
        <w:t xml:space="preserve">he and his like-minded peers </w:t>
      </w:r>
      <w:r w:rsidR="00AB5F6C">
        <w:rPr>
          <w:rFonts w:asciiTheme="majorBidi" w:hAnsiTheme="majorBidi" w:cstheme="majorBidi"/>
        </w:rPr>
        <w:t>thought to be</w:t>
      </w:r>
      <w:r w:rsidR="00820658" w:rsidRPr="001E24FD">
        <w:rPr>
          <w:rFonts w:asciiTheme="majorBidi" w:hAnsiTheme="majorBidi" w:cstheme="majorBidi"/>
        </w:rPr>
        <w:t xml:space="preserve"> a lamentable political </w:t>
      </w:r>
      <w:r w:rsidR="00820658">
        <w:rPr>
          <w:rFonts w:asciiTheme="majorBidi" w:hAnsiTheme="majorBidi" w:cstheme="majorBidi"/>
        </w:rPr>
        <w:t>trend</w:t>
      </w:r>
      <w:r w:rsidR="00820658" w:rsidRPr="001E24FD">
        <w:rPr>
          <w:rFonts w:asciiTheme="majorBidi" w:hAnsiTheme="majorBidi" w:cstheme="majorBidi"/>
        </w:rPr>
        <w:t>:</w:t>
      </w:r>
    </w:p>
    <w:p w14:paraId="3B6217BD" w14:textId="77777777" w:rsidR="00E9380C" w:rsidRPr="001E24FD" w:rsidRDefault="00E9380C" w:rsidP="0037533B">
      <w:pPr>
        <w:spacing w:line="360" w:lineRule="auto"/>
        <w:ind w:firstLine="720"/>
        <w:rPr>
          <w:rFonts w:asciiTheme="majorBidi" w:hAnsiTheme="majorBidi" w:cstheme="majorBidi"/>
        </w:rPr>
      </w:pPr>
    </w:p>
    <w:p w14:paraId="2029912B" w14:textId="3478C264" w:rsidR="00820658" w:rsidRDefault="001A4E68" w:rsidP="0037533B">
      <w:pPr>
        <w:rPr>
          <w:rFonts w:asciiTheme="majorBidi" w:hAnsiTheme="majorBidi" w:cstheme="majorBidi"/>
          <w:sz w:val="20"/>
          <w:szCs w:val="20"/>
        </w:rPr>
      </w:pPr>
      <w:r>
        <w:rPr>
          <w:rFonts w:asciiTheme="majorBidi" w:hAnsiTheme="majorBidi" w:cstheme="majorBidi"/>
          <w:sz w:val="20"/>
          <w:szCs w:val="20"/>
        </w:rPr>
        <w:t>T</w:t>
      </w:r>
      <w:r w:rsidR="00820658" w:rsidRPr="001E24FD">
        <w:rPr>
          <w:rFonts w:asciiTheme="majorBidi" w:hAnsiTheme="majorBidi" w:cstheme="majorBidi"/>
          <w:sz w:val="20"/>
          <w:szCs w:val="20"/>
        </w:rPr>
        <w:t>he greatest error of the</w:t>
      </w:r>
      <w:r>
        <w:rPr>
          <w:rFonts w:asciiTheme="majorBidi" w:hAnsiTheme="majorBidi" w:cstheme="majorBidi"/>
          <w:sz w:val="20"/>
          <w:szCs w:val="20"/>
        </w:rPr>
        <w:t xml:space="preserve"> rulers (</w:t>
      </w:r>
      <w:r w:rsidR="00842A93">
        <w:rPr>
          <w:rFonts w:asciiTheme="majorBidi" w:hAnsiTheme="majorBidi" w:cstheme="majorBidi"/>
          <w:i/>
          <w:iCs/>
          <w:sz w:val="20"/>
          <w:szCs w:val="20"/>
        </w:rPr>
        <w:t>al-</w:t>
      </w:r>
      <w:proofErr w:type="spellStart"/>
      <w:r>
        <w:rPr>
          <w:rFonts w:asciiTheme="majorBidi" w:hAnsiTheme="majorBidi" w:cstheme="majorBidi"/>
          <w:i/>
          <w:iCs/>
          <w:sz w:val="20"/>
          <w:szCs w:val="20"/>
        </w:rPr>
        <w:t>salāṭīn</w:t>
      </w:r>
      <w:proofErr w:type="spellEnd"/>
      <w:r w:rsidR="00842A93">
        <w:rPr>
          <w:rFonts w:asciiTheme="majorBidi" w:hAnsiTheme="majorBidi" w:cstheme="majorBidi"/>
          <w:sz w:val="20"/>
          <w:szCs w:val="20"/>
        </w:rPr>
        <w:t xml:space="preserve"> </w:t>
      </w:r>
      <w:proofErr w:type="spellStart"/>
      <w:r w:rsidR="00842A93">
        <w:rPr>
          <w:rFonts w:asciiTheme="majorBidi" w:hAnsiTheme="majorBidi" w:cstheme="majorBidi"/>
          <w:i/>
          <w:iCs/>
          <w:sz w:val="20"/>
          <w:szCs w:val="20"/>
        </w:rPr>
        <w:t>wa</w:t>
      </w:r>
      <w:proofErr w:type="spellEnd"/>
      <w:r w:rsidR="00842A93">
        <w:rPr>
          <w:rFonts w:asciiTheme="majorBidi" w:hAnsiTheme="majorBidi" w:cstheme="majorBidi"/>
          <w:i/>
          <w:iCs/>
          <w:sz w:val="20"/>
          <w:szCs w:val="20"/>
        </w:rPr>
        <w:t>-l-</w:t>
      </w:r>
      <w:proofErr w:type="spellStart"/>
      <w:r>
        <w:rPr>
          <w:rFonts w:asciiTheme="majorBidi" w:hAnsiTheme="majorBidi" w:cstheme="majorBidi"/>
          <w:i/>
          <w:iCs/>
          <w:sz w:val="20"/>
          <w:szCs w:val="20"/>
        </w:rPr>
        <w:t>umarāʾ</w:t>
      </w:r>
      <w:proofErr w:type="spellEnd"/>
      <w:r>
        <w:rPr>
          <w:rFonts w:asciiTheme="majorBidi" w:hAnsiTheme="majorBidi" w:cstheme="majorBidi"/>
          <w:iCs/>
          <w:sz w:val="20"/>
          <w:szCs w:val="20"/>
        </w:rPr>
        <w:t>)</w:t>
      </w:r>
      <w:r w:rsidR="001A67DE">
        <w:rPr>
          <w:rStyle w:val="FootnoteReference"/>
          <w:rFonts w:asciiTheme="majorBidi" w:hAnsiTheme="majorBidi" w:cstheme="majorBidi"/>
          <w:iCs/>
          <w:sz w:val="20"/>
          <w:szCs w:val="20"/>
        </w:rPr>
        <w:footnoteReference w:id="11"/>
      </w:r>
      <w:r>
        <w:rPr>
          <w:rFonts w:asciiTheme="majorBidi" w:hAnsiTheme="majorBidi" w:cstheme="majorBidi"/>
          <w:i/>
          <w:iCs/>
          <w:sz w:val="20"/>
          <w:szCs w:val="20"/>
        </w:rPr>
        <w:t xml:space="preserve"> </w:t>
      </w:r>
      <w:r w:rsidR="00820658" w:rsidRPr="001E24FD">
        <w:rPr>
          <w:rFonts w:asciiTheme="majorBidi" w:hAnsiTheme="majorBidi" w:cstheme="majorBidi"/>
          <w:sz w:val="20"/>
          <w:szCs w:val="20"/>
        </w:rPr>
        <w:t xml:space="preserve">is </w:t>
      </w:r>
      <w:r>
        <w:rPr>
          <w:rFonts w:asciiTheme="majorBidi" w:hAnsiTheme="majorBidi" w:cstheme="majorBidi"/>
          <w:sz w:val="20"/>
          <w:szCs w:val="20"/>
        </w:rPr>
        <w:t xml:space="preserve">that </w:t>
      </w:r>
      <w:r w:rsidR="00820658" w:rsidRPr="001E24FD">
        <w:rPr>
          <w:rFonts w:asciiTheme="majorBidi" w:hAnsiTheme="majorBidi" w:cstheme="majorBidi"/>
          <w:sz w:val="20"/>
          <w:szCs w:val="20"/>
        </w:rPr>
        <w:t>the</w:t>
      </w:r>
      <w:r>
        <w:rPr>
          <w:rFonts w:asciiTheme="majorBidi" w:hAnsiTheme="majorBidi" w:cstheme="majorBidi"/>
          <w:sz w:val="20"/>
          <w:szCs w:val="20"/>
        </w:rPr>
        <w:t>y</w:t>
      </w:r>
      <w:r w:rsidR="00820658" w:rsidRPr="001E24FD">
        <w:rPr>
          <w:rFonts w:asciiTheme="majorBidi" w:hAnsiTheme="majorBidi" w:cstheme="majorBidi"/>
          <w:sz w:val="20"/>
          <w:szCs w:val="20"/>
        </w:rPr>
        <w:t xml:space="preserve"> consider their predecessors’ policies (</w:t>
      </w:r>
      <w:proofErr w:type="spellStart"/>
      <w:r w:rsidR="00820658" w:rsidRPr="001E24FD">
        <w:rPr>
          <w:rFonts w:asciiTheme="majorBidi" w:hAnsiTheme="majorBidi" w:cstheme="majorBidi"/>
          <w:i/>
          <w:iCs/>
          <w:sz w:val="20"/>
          <w:szCs w:val="20"/>
        </w:rPr>
        <w:t>siyāsāt</w:t>
      </w:r>
      <w:proofErr w:type="spellEnd"/>
      <w:r w:rsidR="00820658" w:rsidRPr="001E24FD">
        <w:rPr>
          <w:rFonts w:asciiTheme="majorBidi" w:hAnsiTheme="majorBidi" w:cstheme="majorBidi"/>
          <w:sz w:val="20"/>
          <w:szCs w:val="20"/>
        </w:rPr>
        <w:t xml:space="preserve">) and </w:t>
      </w:r>
      <w:r w:rsidR="00304CF1">
        <w:rPr>
          <w:rFonts w:asciiTheme="majorBidi" w:hAnsiTheme="majorBidi" w:cstheme="majorBidi"/>
          <w:sz w:val="20"/>
          <w:szCs w:val="20"/>
        </w:rPr>
        <w:t xml:space="preserve">their own </w:t>
      </w:r>
      <w:r>
        <w:rPr>
          <w:rFonts w:asciiTheme="majorBidi" w:hAnsiTheme="majorBidi" w:cstheme="majorBidi"/>
          <w:sz w:val="20"/>
          <w:szCs w:val="20"/>
        </w:rPr>
        <w:t>deeds</w:t>
      </w:r>
      <w:r w:rsidR="00820658" w:rsidRPr="001E24FD">
        <w:rPr>
          <w:rFonts w:asciiTheme="majorBidi" w:hAnsiTheme="majorBidi" w:cstheme="majorBidi"/>
          <w:sz w:val="20"/>
          <w:szCs w:val="20"/>
        </w:rPr>
        <w:t xml:space="preserve"> on the</w:t>
      </w:r>
      <w:r w:rsidR="00304CF1">
        <w:rPr>
          <w:rFonts w:asciiTheme="majorBidi" w:hAnsiTheme="majorBidi" w:cstheme="majorBidi"/>
          <w:sz w:val="20"/>
          <w:szCs w:val="20"/>
        </w:rPr>
        <w:t xml:space="preserve"> basis of exigency </w:t>
      </w:r>
      <w:r w:rsidR="00820658" w:rsidRPr="001E24FD">
        <w:rPr>
          <w:rFonts w:asciiTheme="majorBidi" w:hAnsiTheme="majorBidi" w:cstheme="majorBidi"/>
          <w:sz w:val="20"/>
          <w:szCs w:val="20"/>
        </w:rPr>
        <w:t>(</w:t>
      </w:r>
      <w:r w:rsidR="00820658" w:rsidRPr="001E24FD">
        <w:rPr>
          <w:rFonts w:asciiTheme="majorBidi" w:hAnsiTheme="majorBidi" w:cstheme="majorBidi"/>
          <w:i/>
          <w:iCs/>
          <w:sz w:val="20"/>
          <w:szCs w:val="20"/>
        </w:rPr>
        <w:t>bi-</w:t>
      </w:r>
      <w:proofErr w:type="spellStart"/>
      <w:r w:rsidR="00820658" w:rsidRPr="001E24FD">
        <w:rPr>
          <w:rFonts w:asciiTheme="majorBidi" w:hAnsiTheme="majorBidi" w:cstheme="majorBidi"/>
          <w:i/>
          <w:iCs/>
          <w:sz w:val="20"/>
          <w:szCs w:val="20"/>
        </w:rPr>
        <w:t>muqtaḍāhā</w:t>
      </w:r>
      <w:proofErr w:type="spellEnd"/>
      <w:r w:rsidR="00820658" w:rsidRPr="001E24FD">
        <w:rPr>
          <w:rFonts w:asciiTheme="majorBidi" w:hAnsiTheme="majorBidi" w:cstheme="majorBidi"/>
          <w:sz w:val="20"/>
          <w:szCs w:val="20"/>
        </w:rPr>
        <w:t xml:space="preserve">), without looking into what </w:t>
      </w:r>
      <w:r w:rsidR="003A6098">
        <w:rPr>
          <w:rFonts w:asciiTheme="majorBidi" w:hAnsiTheme="majorBidi" w:cstheme="majorBidi"/>
          <w:sz w:val="20"/>
          <w:szCs w:val="20"/>
        </w:rPr>
        <w:t xml:space="preserve">has been revealed by divine </w:t>
      </w:r>
      <w:r w:rsidR="003A6098">
        <w:rPr>
          <w:rFonts w:asciiTheme="majorBidi" w:hAnsiTheme="majorBidi" w:cstheme="majorBidi"/>
          <w:sz w:val="20"/>
          <w:szCs w:val="20"/>
        </w:rPr>
        <w:lastRenderedPageBreak/>
        <w:t>law</w:t>
      </w:r>
      <w:r w:rsidR="00820658" w:rsidRPr="001E24FD">
        <w:rPr>
          <w:rFonts w:asciiTheme="majorBidi" w:hAnsiTheme="majorBidi" w:cstheme="majorBidi"/>
          <w:sz w:val="20"/>
          <w:szCs w:val="20"/>
        </w:rPr>
        <w:t xml:space="preserve"> (</w:t>
      </w:r>
      <w:r w:rsidR="00820658" w:rsidRPr="001E24FD">
        <w:rPr>
          <w:rFonts w:asciiTheme="majorBidi" w:hAnsiTheme="majorBidi" w:cstheme="majorBidi"/>
          <w:i/>
          <w:iCs/>
          <w:sz w:val="20"/>
          <w:szCs w:val="20"/>
        </w:rPr>
        <w:t>al-</w:t>
      </w:r>
      <w:proofErr w:type="spellStart"/>
      <w:r w:rsidR="00820658" w:rsidRPr="001E24FD">
        <w:rPr>
          <w:rFonts w:asciiTheme="majorBidi" w:hAnsiTheme="majorBidi" w:cstheme="majorBidi"/>
          <w:i/>
          <w:iCs/>
          <w:sz w:val="20"/>
          <w:szCs w:val="20"/>
        </w:rPr>
        <w:t>sharʿ</w:t>
      </w:r>
      <w:proofErr w:type="spellEnd"/>
      <w:r w:rsidR="00820658" w:rsidRPr="001E24FD">
        <w:rPr>
          <w:rFonts w:asciiTheme="majorBidi" w:hAnsiTheme="majorBidi" w:cstheme="majorBidi"/>
          <w:sz w:val="20"/>
          <w:szCs w:val="20"/>
        </w:rPr>
        <w:t xml:space="preserve">). </w:t>
      </w:r>
      <w:r w:rsidR="00304CF1">
        <w:rPr>
          <w:rFonts w:asciiTheme="majorBidi" w:hAnsiTheme="majorBidi" w:cstheme="majorBidi"/>
          <w:sz w:val="20"/>
          <w:szCs w:val="20"/>
        </w:rPr>
        <w:t>They err by calling</w:t>
      </w:r>
      <w:r w:rsidR="00820658" w:rsidRPr="001E24FD">
        <w:rPr>
          <w:rFonts w:asciiTheme="majorBidi" w:hAnsiTheme="majorBidi" w:cstheme="majorBidi"/>
          <w:sz w:val="20"/>
          <w:szCs w:val="20"/>
        </w:rPr>
        <w:t xml:space="preserve"> their acts which stray from </w:t>
      </w:r>
      <w:r w:rsidR="003A6098">
        <w:rPr>
          <w:rFonts w:asciiTheme="majorBidi" w:hAnsiTheme="majorBidi" w:cstheme="majorBidi"/>
          <w:sz w:val="20"/>
          <w:szCs w:val="20"/>
        </w:rPr>
        <w:t>divine law</w:t>
      </w:r>
      <w:r w:rsidR="00820658" w:rsidRPr="001E24FD">
        <w:rPr>
          <w:rFonts w:asciiTheme="majorBidi" w:hAnsiTheme="majorBidi" w:cstheme="majorBidi"/>
          <w:sz w:val="20"/>
          <w:szCs w:val="20"/>
        </w:rPr>
        <w:t xml:space="preserve"> </w:t>
      </w:r>
      <w:proofErr w:type="spellStart"/>
      <w:r w:rsidR="00820658" w:rsidRPr="001E24FD">
        <w:rPr>
          <w:rFonts w:asciiTheme="majorBidi" w:hAnsiTheme="majorBidi" w:cstheme="majorBidi"/>
          <w:i/>
          <w:iCs/>
          <w:sz w:val="20"/>
          <w:szCs w:val="20"/>
        </w:rPr>
        <w:t>siyāsa</w:t>
      </w:r>
      <w:proofErr w:type="spellEnd"/>
      <w:r w:rsidR="007A4B0F">
        <w:rPr>
          <w:rFonts w:asciiTheme="majorBidi" w:hAnsiTheme="majorBidi" w:cstheme="majorBidi"/>
          <w:sz w:val="20"/>
          <w:szCs w:val="20"/>
        </w:rPr>
        <w:t xml:space="preserve"> </w:t>
      </w:r>
      <w:r w:rsidR="00842A93">
        <w:rPr>
          <w:rFonts w:asciiTheme="majorBidi" w:hAnsiTheme="majorBidi" w:cstheme="majorBidi"/>
          <w:sz w:val="20"/>
          <w:szCs w:val="20"/>
        </w:rPr>
        <w:t>[</w:t>
      </w:r>
      <w:r w:rsidR="007A4B0F">
        <w:rPr>
          <w:rFonts w:asciiTheme="majorBidi" w:hAnsiTheme="majorBidi" w:cstheme="majorBidi"/>
          <w:sz w:val="20"/>
          <w:szCs w:val="20"/>
        </w:rPr>
        <w:t>i.e., governance</w:t>
      </w:r>
      <w:r w:rsidR="00842A93">
        <w:rPr>
          <w:rFonts w:asciiTheme="majorBidi" w:hAnsiTheme="majorBidi" w:cstheme="majorBidi"/>
          <w:sz w:val="20"/>
          <w:szCs w:val="20"/>
        </w:rPr>
        <w:t>]</w:t>
      </w:r>
      <w:r w:rsidR="00304CF1">
        <w:rPr>
          <w:rFonts w:asciiTheme="majorBidi" w:hAnsiTheme="majorBidi" w:cstheme="majorBidi"/>
          <w:sz w:val="20"/>
          <w:szCs w:val="20"/>
        </w:rPr>
        <w:t>.</w:t>
      </w:r>
      <w:r w:rsidR="00820658" w:rsidRPr="001E24FD">
        <w:rPr>
          <w:rFonts w:asciiTheme="majorBidi" w:hAnsiTheme="majorBidi" w:cstheme="majorBidi"/>
          <w:sz w:val="20"/>
          <w:szCs w:val="20"/>
        </w:rPr>
        <w:t xml:space="preserve"> </w:t>
      </w:r>
      <w:r w:rsidR="006A55B3">
        <w:rPr>
          <w:rFonts w:asciiTheme="majorBidi" w:hAnsiTheme="majorBidi" w:cstheme="majorBidi"/>
          <w:sz w:val="20"/>
          <w:szCs w:val="20"/>
        </w:rPr>
        <w:t xml:space="preserve">[But] </w:t>
      </w:r>
      <w:r w:rsidR="003A6098">
        <w:rPr>
          <w:rFonts w:asciiTheme="majorBidi" w:hAnsiTheme="majorBidi" w:cstheme="majorBidi"/>
          <w:sz w:val="20"/>
          <w:szCs w:val="20"/>
        </w:rPr>
        <w:t>the divine law</w:t>
      </w:r>
      <w:r w:rsidR="00304CF1">
        <w:rPr>
          <w:rFonts w:asciiTheme="majorBidi" w:hAnsiTheme="majorBidi" w:cstheme="majorBidi"/>
          <w:sz w:val="20"/>
          <w:szCs w:val="20"/>
        </w:rPr>
        <w:t xml:space="preserve"> </w:t>
      </w:r>
      <w:r w:rsidR="00820658" w:rsidRPr="001E24FD">
        <w:rPr>
          <w:rFonts w:asciiTheme="majorBidi" w:hAnsiTheme="majorBidi" w:cstheme="majorBidi"/>
          <w:sz w:val="20"/>
          <w:szCs w:val="20"/>
        </w:rPr>
        <w:t>is</w:t>
      </w:r>
      <w:r w:rsidR="00AE1EAF">
        <w:rPr>
          <w:rFonts w:asciiTheme="majorBidi" w:hAnsiTheme="majorBidi" w:cstheme="majorBidi"/>
          <w:sz w:val="20"/>
          <w:szCs w:val="20"/>
        </w:rPr>
        <w:t xml:space="preserve"> </w:t>
      </w:r>
      <w:proofErr w:type="spellStart"/>
      <w:r w:rsidR="007A4B0F">
        <w:rPr>
          <w:rFonts w:asciiTheme="majorBidi" w:hAnsiTheme="majorBidi" w:cstheme="majorBidi"/>
          <w:i/>
          <w:iCs/>
          <w:sz w:val="20"/>
          <w:szCs w:val="20"/>
        </w:rPr>
        <w:t>siyāsa</w:t>
      </w:r>
      <w:proofErr w:type="spellEnd"/>
      <w:r w:rsidR="008C3F7E">
        <w:rPr>
          <w:rFonts w:asciiTheme="majorBidi" w:hAnsiTheme="majorBidi" w:cstheme="majorBidi"/>
          <w:sz w:val="20"/>
          <w:szCs w:val="20"/>
        </w:rPr>
        <w:t xml:space="preserve"> (</w:t>
      </w:r>
      <w:r w:rsidR="008C3F7E">
        <w:rPr>
          <w:rFonts w:asciiTheme="majorBidi" w:hAnsiTheme="majorBidi" w:cstheme="majorBidi"/>
          <w:i/>
          <w:iCs/>
          <w:sz w:val="20"/>
          <w:szCs w:val="20"/>
        </w:rPr>
        <w:t>al-</w:t>
      </w:r>
      <w:proofErr w:type="spellStart"/>
      <w:r w:rsidR="008C3F7E">
        <w:rPr>
          <w:rFonts w:asciiTheme="majorBidi" w:hAnsiTheme="majorBidi" w:cstheme="majorBidi"/>
          <w:i/>
          <w:iCs/>
          <w:sz w:val="20"/>
          <w:szCs w:val="20"/>
        </w:rPr>
        <w:t>shar</w:t>
      </w:r>
      <w:r w:rsidR="003A6098">
        <w:rPr>
          <w:rFonts w:asciiTheme="majorBidi" w:hAnsiTheme="majorBidi" w:cstheme="majorBidi"/>
          <w:i/>
          <w:iCs/>
          <w:sz w:val="20"/>
          <w:szCs w:val="20"/>
        </w:rPr>
        <w:t>ʿ</w:t>
      </w:r>
      <w:proofErr w:type="spellEnd"/>
      <w:r w:rsidR="008C3F7E">
        <w:rPr>
          <w:rFonts w:asciiTheme="majorBidi" w:hAnsiTheme="majorBidi" w:cstheme="majorBidi"/>
          <w:i/>
          <w:iCs/>
          <w:sz w:val="20"/>
          <w:szCs w:val="20"/>
        </w:rPr>
        <w:t xml:space="preserve"> </w:t>
      </w:r>
      <w:proofErr w:type="spellStart"/>
      <w:r w:rsidR="008C3F7E">
        <w:rPr>
          <w:rFonts w:asciiTheme="majorBidi" w:hAnsiTheme="majorBidi" w:cstheme="majorBidi"/>
          <w:i/>
          <w:iCs/>
          <w:sz w:val="20"/>
          <w:szCs w:val="20"/>
        </w:rPr>
        <w:t>huwa</w:t>
      </w:r>
      <w:proofErr w:type="spellEnd"/>
      <w:r w:rsidR="008C3F7E">
        <w:rPr>
          <w:rFonts w:asciiTheme="majorBidi" w:hAnsiTheme="majorBidi" w:cstheme="majorBidi"/>
          <w:i/>
          <w:iCs/>
          <w:sz w:val="20"/>
          <w:szCs w:val="20"/>
        </w:rPr>
        <w:t xml:space="preserve"> al-</w:t>
      </w:r>
      <w:proofErr w:type="spellStart"/>
      <w:r w:rsidR="008C3F7E">
        <w:rPr>
          <w:rFonts w:asciiTheme="majorBidi" w:hAnsiTheme="majorBidi" w:cstheme="majorBidi"/>
          <w:i/>
          <w:iCs/>
          <w:sz w:val="20"/>
          <w:szCs w:val="20"/>
        </w:rPr>
        <w:t>siyāsa</w:t>
      </w:r>
      <w:proofErr w:type="spellEnd"/>
      <w:r w:rsidR="008C3F7E">
        <w:rPr>
          <w:rFonts w:asciiTheme="majorBidi" w:hAnsiTheme="majorBidi" w:cstheme="majorBidi"/>
          <w:sz w:val="20"/>
          <w:szCs w:val="20"/>
        </w:rPr>
        <w:t>)</w:t>
      </w:r>
      <w:r w:rsidR="00820658" w:rsidRPr="001E24FD">
        <w:rPr>
          <w:rFonts w:asciiTheme="majorBidi" w:hAnsiTheme="majorBidi" w:cstheme="majorBidi"/>
          <w:sz w:val="20"/>
          <w:szCs w:val="20"/>
        </w:rPr>
        <w:t>, not that which the</w:t>
      </w:r>
      <w:r w:rsidR="00304CF1">
        <w:rPr>
          <w:rFonts w:asciiTheme="majorBidi" w:hAnsiTheme="majorBidi" w:cstheme="majorBidi"/>
          <w:sz w:val="20"/>
          <w:szCs w:val="20"/>
        </w:rPr>
        <w:t xml:space="preserve"> ruler </w:t>
      </w:r>
      <w:r w:rsidR="00820658" w:rsidRPr="001E24FD">
        <w:rPr>
          <w:rFonts w:asciiTheme="majorBidi" w:hAnsiTheme="majorBidi" w:cstheme="majorBidi"/>
          <w:sz w:val="20"/>
          <w:szCs w:val="20"/>
        </w:rPr>
        <w:t xml:space="preserve">carries out </w:t>
      </w:r>
      <w:r w:rsidR="00304CF1">
        <w:rPr>
          <w:rFonts w:asciiTheme="majorBidi" w:hAnsiTheme="majorBidi" w:cstheme="majorBidi"/>
          <w:sz w:val="20"/>
          <w:szCs w:val="20"/>
        </w:rPr>
        <w:t>according to</w:t>
      </w:r>
      <w:r w:rsidR="00820658" w:rsidRPr="001E24FD">
        <w:rPr>
          <w:rFonts w:asciiTheme="majorBidi" w:hAnsiTheme="majorBidi" w:cstheme="majorBidi"/>
          <w:sz w:val="20"/>
          <w:szCs w:val="20"/>
        </w:rPr>
        <w:t xml:space="preserve"> his </w:t>
      </w:r>
      <w:r w:rsidR="006A55B3">
        <w:rPr>
          <w:rFonts w:asciiTheme="majorBidi" w:hAnsiTheme="majorBidi" w:cstheme="majorBidi"/>
          <w:sz w:val="20"/>
          <w:szCs w:val="20"/>
        </w:rPr>
        <w:t xml:space="preserve">opinion </w:t>
      </w:r>
      <w:r w:rsidR="00820658" w:rsidRPr="001E24FD">
        <w:rPr>
          <w:rFonts w:asciiTheme="majorBidi" w:hAnsiTheme="majorBidi" w:cstheme="majorBidi"/>
          <w:sz w:val="20"/>
          <w:szCs w:val="20"/>
        </w:rPr>
        <w:t>and desire (</w:t>
      </w:r>
      <w:r w:rsidR="006A55B3">
        <w:rPr>
          <w:rFonts w:asciiTheme="majorBidi" w:hAnsiTheme="majorBidi" w:cstheme="majorBidi"/>
          <w:i/>
          <w:iCs/>
          <w:sz w:val="20"/>
          <w:szCs w:val="20"/>
        </w:rPr>
        <w:t>bi-</w:t>
      </w:r>
      <w:proofErr w:type="spellStart"/>
      <w:r w:rsidR="006A55B3">
        <w:rPr>
          <w:rFonts w:asciiTheme="majorBidi" w:hAnsiTheme="majorBidi" w:cstheme="majorBidi"/>
          <w:i/>
          <w:iCs/>
          <w:sz w:val="20"/>
          <w:szCs w:val="20"/>
        </w:rPr>
        <w:t>raʾyihi</w:t>
      </w:r>
      <w:proofErr w:type="spellEnd"/>
      <w:r w:rsidR="006A55B3">
        <w:rPr>
          <w:rFonts w:asciiTheme="majorBidi" w:hAnsiTheme="majorBidi" w:cstheme="majorBidi"/>
          <w:i/>
          <w:iCs/>
          <w:sz w:val="20"/>
          <w:szCs w:val="20"/>
        </w:rPr>
        <w:t xml:space="preserve"> </w:t>
      </w:r>
      <w:proofErr w:type="spellStart"/>
      <w:r w:rsidR="006A55B3">
        <w:rPr>
          <w:rFonts w:asciiTheme="majorBidi" w:hAnsiTheme="majorBidi" w:cstheme="majorBidi"/>
          <w:i/>
          <w:iCs/>
          <w:sz w:val="20"/>
          <w:szCs w:val="20"/>
        </w:rPr>
        <w:t>wa-</w:t>
      </w:r>
      <w:r w:rsidR="00820658" w:rsidRPr="001E24FD">
        <w:rPr>
          <w:rFonts w:asciiTheme="majorBidi" w:hAnsiTheme="majorBidi" w:cstheme="majorBidi"/>
          <w:i/>
          <w:iCs/>
          <w:sz w:val="20"/>
          <w:szCs w:val="20"/>
        </w:rPr>
        <w:t>hawā</w:t>
      </w:r>
      <w:r w:rsidR="006A55B3">
        <w:rPr>
          <w:rFonts w:asciiTheme="majorBidi" w:hAnsiTheme="majorBidi" w:cstheme="majorBidi"/>
          <w:i/>
          <w:iCs/>
          <w:sz w:val="20"/>
          <w:szCs w:val="20"/>
        </w:rPr>
        <w:t>hi</w:t>
      </w:r>
      <w:proofErr w:type="spellEnd"/>
      <w:r w:rsidR="00820658" w:rsidRPr="001E24FD">
        <w:rPr>
          <w:rFonts w:asciiTheme="majorBidi" w:hAnsiTheme="majorBidi" w:cstheme="majorBidi"/>
          <w:sz w:val="20"/>
          <w:szCs w:val="20"/>
        </w:rPr>
        <w:t xml:space="preserve">). </w:t>
      </w:r>
      <w:r w:rsidR="006A55B3">
        <w:rPr>
          <w:rFonts w:asciiTheme="majorBidi" w:hAnsiTheme="majorBidi" w:cstheme="majorBidi"/>
          <w:sz w:val="20"/>
          <w:szCs w:val="20"/>
        </w:rPr>
        <w:t xml:space="preserve">One </w:t>
      </w:r>
      <w:r w:rsidR="00557025">
        <w:rPr>
          <w:rFonts w:asciiTheme="majorBidi" w:hAnsiTheme="majorBidi" w:cstheme="majorBidi"/>
          <w:sz w:val="20"/>
          <w:szCs w:val="20"/>
        </w:rPr>
        <w:t>instance</w:t>
      </w:r>
      <w:r w:rsidR="006A55B3">
        <w:rPr>
          <w:rFonts w:asciiTheme="majorBidi" w:hAnsiTheme="majorBidi" w:cstheme="majorBidi"/>
          <w:sz w:val="20"/>
          <w:szCs w:val="20"/>
        </w:rPr>
        <w:t xml:space="preserve"> of their error </w:t>
      </w:r>
      <w:r w:rsidR="009F278A">
        <w:rPr>
          <w:rFonts w:asciiTheme="majorBidi" w:hAnsiTheme="majorBidi" w:cstheme="majorBidi"/>
          <w:sz w:val="20"/>
          <w:szCs w:val="20"/>
        </w:rPr>
        <w:t>is their s</w:t>
      </w:r>
      <w:r w:rsidR="00820658" w:rsidRPr="001E24FD">
        <w:rPr>
          <w:rFonts w:asciiTheme="majorBidi" w:hAnsiTheme="majorBidi" w:cstheme="majorBidi"/>
          <w:sz w:val="20"/>
          <w:szCs w:val="20"/>
        </w:rPr>
        <w:t>ay</w:t>
      </w:r>
      <w:r w:rsidR="009F278A">
        <w:rPr>
          <w:rFonts w:asciiTheme="majorBidi" w:hAnsiTheme="majorBidi" w:cstheme="majorBidi"/>
          <w:sz w:val="20"/>
          <w:szCs w:val="20"/>
        </w:rPr>
        <w:t>ing,</w:t>
      </w:r>
      <w:r w:rsidR="00820658" w:rsidRPr="001E24FD">
        <w:rPr>
          <w:rFonts w:asciiTheme="majorBidi" w:hAnsiTheme="majorBidi" w:cstheme="majorBidi"/>
          <w:sz w:val="20"/>
          <w:szCs w:val="20"/>
        </w:rPr>
        <w:t xml:space="preserve"> “Since</w:t>
      </w:r>
      <w:r w:rsidR="009F278A">
        <w:rPr>
          <w:rFonts w:asciiTheme="majorBidi" w:hAnsiTheme="majorBidi" w:cstheme="majorBidi"/>
          <w:sz w:val="20"/>
          <w:szCs w:val="20"/>
        </w:rPr>
        <w:t xml:space="preserve"> </w:t>
      </w:r>
      <w:r w:rsidR="003A6098">
        <w:rPr>
          <w:rFonts w:asciiTheme="majorBidi" w:hAnsiTheme="majorBidi" w:cstheme="majorBidi"/>
          <w:sz w:val="20"/>
          <w:szCs w:val="20"/>
        </w:rPr>
        <w:t>the divine law</w:t>
      </w:r>
      <w:r w:rsidR="009F278A">
        <w:rPr>
          <w:rFonts w:asciiTheme="majorBidi" w:hAnsiTheme="majorBidi" w:cstheme="majorBidi"/>
          <w:sz w:val="20"/>
          <w:szCs w:val="20"/>
        </w:rPr>
        <w:t xml:space="preserve"> </w:t>
      </w:r>
      <w:r w:rsidR="00AE1EAF">
        <w:rPr>
          <w:rFonts w:asciiTheme="majorBidi" w:hAnsiTheme="majorBidi" w:cstheme="majorBidi"/>
          <w:sz w:val="20"/>
          <w:szCs w:val="20"/>
        </w:rPr>
        <w:t>is not sufficient</w:t>
      </w:r>
      <w:r w:rsidR="00820658" w:rsidRPr="001E24FD">
        <w:rPr>
          <w:rFonts w:asciiTheme="majorBidi" w:hAnsiTheme="majorBidi" w:cstheme="majorBidi"/>
          <w:sz w:val="20"/>
          <w:szCs w:val="20"/>
        </w:rPr>
        <w:t xml:space="preserve"> for</w:t>
      </w:r>
      <w:r w:rsidR="00AE1EAF">
        <w:rPr>
          <w:rFonts w:asciiTheme="majorBidi" w:hAnsiTheme="majorBidi" w:cstheme="majorBidi"/>
          <w:sz w:val="20"/>
          <w:szCs w:val="20"/>
        </w:rPr>
        <w:t xml:space="preserve"> governance</w:t>
      </w:r>
      <w:r w:rsidR="00820658" w:rsidRPr="001E24FD">
        <w:rPr>
          <w:rFonts w:asciiTheme="majorBidi" w:hAnsiTheme="majorBidi" w:cstheme="majorBidi"/>
          <w:sz w:val="20"/>
          <w:szCs w:val="20"/>
        </w:rPr>
        <w:t>, we need to supplement it with our judgment</w:t>
      </w:r>
      <w:r w:rsidR="00CA0374">
        <w:rPr>
          <w:rFonts w:asciiTheme="majorBidi" w:hAnsiTheme="majorBidi" w:cstheme="majorBidi"/>
          <w:sz w:val="20"/>
          <w:szCs w:val="20"/>
        </w:rPr>
        <w:t xml:space="preserve"> (</w:t>
      </w:r>
      <w:proofErr w:type="spellStart"/>
      <w:r w:rsidR="00CA0374">
        <w:rPr>
          <w:rFonts w:asciiTheme="majorBidi" w:hAnsiTheme="majorBidi" w:cstheme="majorBidi"/>
          <w:i/>
          <w:iCs/>
          <w:sz w:val="20"/>
          <w:szCs w:val="20"/>
        </w:rPr>
        <w:t>raʾy</w:t>
      </w:r>
      <w:proofErr w:type="spellEnd"/>
      <w:r w:rsidR="00CA0374">
        <w:rPr>
          <w:rFonts w:asciiTheme="majorBidi" w:hAnsiTheme="majorBidi" w:cstheme="majorBidi"/>
          <w:sz w:val="20"/>
          <w:szCs w:val="20"/>
        </w:rPr>
        <w:t>)</w:t>
      </w:r>
      <w:r w:rsidR="00820658" w:rsidRPr="001E24FD">
        <w:rPr>
          <w:rFonts w:asciiTheme="majorBidi" w:hAnsiTheme="majorBidi" w:cstheme="majorBidi"/>
          <w:sz w:val="20"/>
          <w:szCs w:val="20"/>
        </w:rPr>
        <w:t xml:space="preserve">.” </w:t>
      </w:r>
      <w:r w:rsidR="008C3F7E">
        <w:rPr>
          <w:rFonts w:asciiTheme="majorBidi" w:hAnsiTheme="majorBidi" w:cstheme="majorBidi"/>
          <w:sz w:val="20"/>
          <w:szCs w:val="20"/>
        </w:rPr>
        <w:t>On that basis</w:t>
      </w:r>
      <w:r w:rsidR="00AE1EAF">
        <w:rPr>
          <w:rFonts w:asciiTheme="majorBidi" w:hAnsiTheme="majorBidi" w:cstheme="majorBidi"/>
          <w:sz w:val="20"/>
          <w:szCs w:val="20"/>
        </w:rPr>
        <w:t xml:space="preserve">, </w:t>
      </w:r>
      <w:r w:rsidR="00820658" w:rsidRPr="001E24FD">
        <w:rPr>
          <w:rFonts w:asciiTheme="majorBidi" w:hAnsiTheme="majorBidi" w:cstheme="majorBidi"/>
          <w:sz w:val="20"/>
          <w:szCs w:val="20"/>
        </w:rPr>
        <w:t xml:space="preserve">they execute </w:t>
      </w:r>
      <w:r w:rsidR="00AE1EAF">
        <w:rPr>
          <w:rFonts w:asciiTheme="majorBidi" w:hAnsiTheme="majorBidi" w:cstheme="majorBidi"/>
          <w:sz w:val="20"/>
          <w:szCs w:val="20"/>
        </w:rPr>
        <w:t>those</w:t>
      </w:r>
      <w:r w:rsidR="00820658" w:rsidRPr="001E24FD">
        <w:rPr>
          <w:rFonts w:asciiTheme="majorBidi" w:hAnsiTheme="majorBidi" w:cstheme="majorBidi"/>
          <w:sz w:val="20"/>
          <w:szCs w:val="20"/>
        </w:rPr>
        <w:t xml:space="preserve"> who should not be executed and</w:t>
      </w:r>
      <w:r w:rsidR="00AE1EAF">
        <w:rPr>
          <w:rFonts w:asciiTheme="majorBidi" w:hAnsiTheme="majorBidi" w:cstheme="majorBidi"/>
          <w:sz w:val="20"/>
          <w:szCs w:val="20"/>
        </w:rPr>
        <w:t xml:space="preserve"> commit deeds which are not permissible. And they label all of this </w:t>
      </w:r>
      <w:proofErr w:type="spellStart"/>
      <w:r w:rsidR="007A4B0F">
        <w:rPr>
          <w:rFonts w:asciiTheme="majorBidi" w:hAnsiTheme="majorBidi" w:cstheme="majorBidi"/>
          <w:i/>
          <w:iCs/>
          <w:sz w:val="20"/>
          <w:szCs w:val="20"/>
        </w:rPr>
        <w:t>siyāsa</w:t>
      </w:r>
      <w:proofErr w:type="spellEnd"/>
      <w:r w:rsidR="007A4B0F">
        <w:rPr>
          <w:rFonts w:asciiTheme="majorBidi" w:hAnsiTheme="majorBidi" w:cstheme="majorBidi"/>
          <w:sz w:val="20"/>
          <w:szCs w:val="20"/>
        </w:rPr>
        <w:t>.</w:t>
      </w:r>
      <w:r w:rsidR="00820658" w:rsidRPr="001E24FD">
        <w:rPr>
          <w:rStyle w:val="FootnoteReference"/>
          <w:rFonts w:asciiTheme="majorBidi" w:hAnsiTheme="majorBidi" w:cstheme="majorBidi"/>
          <w:sz w:val="20"/>
          <w:szCs w:val="20"/>
        </w:rPr>
        <w:footnoteReference w:id="12"/>
      </w:r>
    </w:p>
    <w:p w14:paraId="03DCE86C" w14:textId="77777777" w:rsidR="00E9380C" w:rsidRPr="00E9380C" w:rsidRDefault="00E9380C" w:rsidP="00E7211C">
      <w:pPr>
        <w:spacing w:line="360" w:lineRule="auto"/>
        <w:rPr>
          <w:rFonts w:asciiTheme="majorBidi" w:hAnsiTheme="majorBidi" w:cstheme="majorBidi"/>
        </w:rPr>
      </w:pPr>
    </w:p>
    <w:p w14:paraId="1274B738" w14:textId="64CFEAD1" w:rsidR="002268CB" w:rsidRDefault="009E380D" w:rsidP="0037533B">
      <w:pPr>
        <w:spacing w:line="360" w:lineRule="auto"/>
        <w:rPr>
          <w:rFonts w:asciiTheme="majorBidi" w:hAnsiTheme="majorBidi" w:cstheme="majorBidi"/>
        </w:rPr>
      </w:pPr>
      <w:r w:rsidRPr="001E24FD">
        <w:rPr>
          <w:rFonts w:asciiTheme="majorBidi" w:hAnsiTheme="majorBidi" w:cstheme="majorBidi"/>
        </w:rPr>
        <w:t xml:space="preserve">These lines </w:t>
      </w:r>
      <w:r w:rsidR="00A74FB7">
        <w:rPr>
          <w:rFonts w:asciiTheme="majorBidi" w:hAnsiTheme="majorBidi" w:cstheme="majorBidi"/>
        </w:rPr>
        <w:t>capture the two issues many pro-</w:t>
      </w:r>
      <w:proofErr w:type="spellStart"/>
      <w:r w:rsidR="00A74FB7">
        <w:rPr>
          <w:rFonts w:asciiTheme="majorBidi" w:hAnsiTheme="majorBidi" w:cstheme="majorBidi"/>
          <w:i/>
          <w:iCs/>
        </w:rPr>
        <w:t>sharīʿa</w:t>
      </w:r>
      <w:proofErr w:type="spellEnd"/>
      <w:r w:rsidR="00A74FB7">
        <w:rPr>
          <w:rFonts w:asciiTheme="majorBidi" w:hAnsiTheme="majorBidi" w:cstheme="majorBidi"/>
          <w:i/>
          <w:iCs/>
        </w:rPr>
        <w:t xml:space="preserve"> </w:t>
      </w:r>
      <w:r w:rsidR="00A74FB7">
        <w:rPr>
          <w:rFonts w:asciiTheme="majorBidi" w:hAnsiTheme="majorBidi" w:cstheme="majorBidi"/>
        </w:rPr>
        <w:t xml:space="preserve">scholars found repugnant </w:t>
      </w:r>
      <w:r w:rsidR="00702CB4">
        <w:rPr>
          <w:rFonts w:asciiTheme="majorBidi" w:hAnsiTheme="majorBidi" w:cstheme="majorBidi"/>
        </w:rPr>
        <w:t>about</w:t>
      </w:r>
      <w:r w:rsidR="00A74FB7">
        <w:rPr>
          <w:rFonts w:asciiTheme="majorBidi" w:hAnsiTheme="majorBidi" w:cstheme="majorBidi"/>
        </w:rPr>
        <w:t xml:space="preserve"> </w:t>
      </w:r>
      <w:proofErr w:type="spellStart"/>
      <w:r w:rsidR="00A74FB7">
        <w:rPr>
          <w:rFonts w:asciiTheme="majorBidi" w:hAnsiTheme="majorBidi" w:cstheme="majorBidi"/>
          <w:i/>
          <w:iCs/>
        </w:rPr>
        <w:t>siyāsa</w:t>
      </w:r>
      <w:proofErr w:type="spellEnd"/>
      <w:r w:rsidR="00495853">
        <w:rPr>
          <w:rFonts w:asciiTheme="majorBidi" w:hAnsiTheme="majorBidi" w:cstheme="majorBidi"/>
        </w:rPr>
        <w:t>.</w:t>
      </w:r>
      <w:r w:rsidR="00A74FB7">
        <w:rPr>
          <w:rFonts w:asciiTheme="majorBidi" w:hAnsiTheme="majorBidi" w:cstheme="majorBidi"/>
        </w:rPr>
        <w:t xml:space="preserve"> First was the notion that the divine law or </w:t>
      </w:r>
      <w:proofErr w:type="spellStart"/>
      <w:r w:rsidR="00A74FB7">
        <w:rPr>
          <w:rFonts w:asciiTheme="majorBidi" w:hAnsiTheme="majorBidi" w:cstheme="majorBidi"/>
          <w:i/>
          <w:iCs/>
        </w:rPr>
        <w:t>sharīʿa</w:t>
      </w:r>
      <w:proofErr w:type="spellEnd"/>
      <w:r w:rsidR="00A74FB7">
        <w:rPr>
          <w:rFonts w:asciiTheme="majorBidi" w:hAnsiTheme="majorBidi" w:cstheme="majorBidi"/>
          <w:i/>
          <w:iCs/>
        </w:rPr>
        <w:t xml:space="preserve"> </w:t>
      </w:r>
      <w:r w:rsidR="00A74FB7">
        <w:rPr>
          <w:rFonts w:asciiTheme="majorBidi" w:hAnsiTheme="majorBidi" w:cstheme="majorBidi"/>
        </w:rPr>
        <w:t xml:space="preserve">was incomplete and that it required </w:t>
      </w:r>
      <w:proofErr w:type="spellStart"/>
      <w:r w:rsidR="00A74FB7">
        <w:rPr>
          <w:rFonts w:asciiTheme="majorBidi" w:hAnsiTheme="majorBidi" w:cstheme="majorBidi"/>
          <w:i/>
          <w:iCs/>
        </w:rPr>
        <w:t>siyāsa</w:t>
      </w:r>
      <w:proofErr w:type="spellEnd"/>
      <w:r w:rsidR="00CA0374">
        <w:rPr>
          <w:rFonts w:asciiTheme="majorBidi" w:hAnsiTheme="majorBidi" w:cstheme="majorBidi"/>
        </w:rPr>
        <w:t>,</w:t>
      </w:r>
      <w:r w:rsidR="00A74FB7">
        <w:rPr>
          <w:rFonts w:asciiTheme="majorBidi" w:hAnsiTheme="majorBidi" w:cstheme="majorBidi"/>
        </w:rPr>
        <w:t xml:space="preserve"> </w:t>
      </w:r>
      <w:r w:rsidR="00A57985">
        <w:rPr>
          <w:rFonts w:asciiTheme="majorBidi" w:hAnsiTheme="majorBidi" w:cstheme="majorBidi"/>
        </w:rPr>
        <w:t>rooted in the ruler’s personal discretion</w:t>
      </w:r>
      <w:r w:rsidR="00CA0374">
        <w:rPr>
          <w:rFonts w:asciiTheme="majorBidi" w:hAnsiTheme="majorBidi" w:cstheme="majorBidi"/>
        </w:rPr>
        <w:t>,</w:t>
      </w:r>
      <w:r w:rsidR="00A74FB7">
        <w:rPr>
          <w:rFonts w:asciiTheme="majorBidi" w:hAnsiTheme="majorBidi" w:cstheme="majorBidi"/>
        </w:rPr>
        <w:t xml:space="preserve"> to manage </w:t>
      </w:r>
      <w:r w:rsidR="00495853">
        <w:rPr>
          <w:rFonts w:asciiTheme="majorBidi" w:hAnsiTheme="majorBidi" w:cstheme="majorBidi"/>
        </w:rPr>
        <w:t>human affairs</w:t>
      </w:r>
      <w:r w:rsidR="00A74FB7">
        <w:rPr>
          <w:rFonts w:asciiTheme="majorBidi" w:hAnsiTheme="majorBidi" w:cstheme="majorBidi"/>
        </w:rPr>
        <w:t xml:space="preserve">. </w:t>
      </w:r>
      <w:r w:rsidR="00CA0374">
        <w:rPr>
          <w:rFonts w:asciiTheme="majorBidi" w:hAnsiTheme="majorBidi" w:cstheme="majorBidi"/>
        </w:rPr>
        <w:t>We find th</w:t>
      </w:r>
      <w:r w:rsidR="004F3AF2">
        <w:rPr>
          <w:rFonts w:asciiTheme="majorBidi" w:hAnsiTheme="majorBidi" w:cstheme="majorBidi"/>
        </w:rPr>
        <w:t>ese</w:t>
      </w:r>
      <w:r w:rsidR="00CA0374">
        <w:rPr>
          <w:rFonts w:asciiTheme="majorBidi" w:hAnsiTheme="majorBidi" w:cstheme="majorBidi"/>
        </w:rPr>
        <w:t xml:space="preserve"> sentiments echoed decades later in the writings of Ibn al-</w:t>
      </w:r>
      <w:proofErr w:type="spellStart"/>
      <w:r w:rsidR="00CA0374">
        <w:rPr>
          <w:rFonts w:asciiTheme="majorBidi" w:hAnsiTheme="majorBidi" w:cstheme="majorBidi"/>
        </w:rPr>
        <w:t>Jawzī’s</w:t>
      </w:r>
      <w:proofErr w:type="spellEnd"/>
      <w:r w:rsidR="00CA0374">
        <w:rPr>
          <w:rFonts w:asciiTheme="majorBidi" w:hAnsiTheme="majorBidi" w:cstheme="majorBidi"/>
        </w:rPr>
        <w:t xml:space="preserve"> grandson, </w:t>
      </w:r>
      <w:proofErr w:type="spellStart"/>
      <w:r w:rsidR="00CA0374">
        <w:rPr>
          <w:rFonts w:asciiTheme="majorBidi" w:hAnsiTheme="majorBidi" w:cstheme="majorBidi"/>
        </w:rPr>
        <w:t>Sibṭ</w:t>
      </w:r>
      <w:proofErr w:type="spellEnd"/>
      <w:r w:rsidR="00CA0374">
        <w:rPr>
          <w:rFonts w:asciiTheme="majorBidi" w:hAnsiTheme="majorBidi" w:cstheme="majorBidi"/>
        </w:rPr>
        <w:t xml:space="preserve"> b. al-</w:t>
      </w:r>
      <w:proofErr w:type="spellStart"/>
      <w:r w:rsidR="00CA0374">
        <w:rPr>
          <w:rFonts w:asciiTheme="majorBidi" w:hAnsiTheme="majorBidi" w:cstheme="majorBidi"/>
        </w:rPr>
        <w:t>Jawzī</w:t>
      </w:r>
      <w:proofErr w:type="spellEnd"/>
      <w:r w:rsidR="00CA0374">
        <w:rPr>
          <w:rFonts w:asciiTheme="majorBidi" w:hAnsiTheme="majorBidi" w:cstheme="majorBidi"/>
        </w:rPr>
        <w:t xml:space="preserve"> (d. 654/1256), who insists that it is erroneous to conceive of the </w:t>
      </w:r>
      <w:proofErr w:type="spellStart"/>
      <w:r w:rsidR="00CA0374">
        <w:rPr>
          <w:rFonts w:asciiTheme="majorBidi" w:hAnsiTheme="majorBidi" w:cstheme="majorBidi"/>
          <w:i/>
          <w:iCs/>
        </w:rPr>
        <w:t>sharīʿa</w:t>
      </w:r>
      <w:proofErr w:type="spellEnd"/>
      <w:r w:rsidR="00CA0374">
        <w:rPr>
          <w:rFonts w:asciiTheme="majorBidi" w:hAnsiTheme="majorBidi" w:cstheme="majorBidi"/>
        </w:rPr>
        <w:t xml:space="preserve"> as incomplete and in need of </w:t>
      </w:r>
      <w:proofErr w:type="spellStart"/>
      <w:r w:rsidR="00CA0374">
        <w:rPr>
          <w:rFonts w:asciiTheme="majorBidi" w:hAnsiTheme="majorBidi" w:cstheme="majorBidi"/>
          <w:i/>
          <w:iCs/>
        </w:rPr>
        <w:t>siyāsa</w:t>
      </w:r>
      <w:proofErr w:type="spellEnd"/>
      <w:r w:rsidR="00CA0374">
        <w:rPr>
          <w:rFonts w:asciiTheme="majorBidi" w:hAnsiTheme="majorBidi" w:cstheme="majorBidi"/>
        </w:rPr>
        <w:t xml:space="preserve"> because “the </w:t>
      </w:r>
      <w:proofErr w:type="spellStart"/>
      <w:r w:rsidR="00CA0374">
        <w:rPr>
          <w:rFonts w:asciiTheme="majorBidi" w:hAnsiTheme="majorBidi" w:cstheme="majorBidi"/>
          <w:i/>
          <w:iCs/>
        </w:rPr>
        <w:t>sharīʿa</w:t>
      </w:r>
      <w:proofErr w:type="spellEnd"/>
      <w:r w:rsidR="00CA0374">
        <w:rPr>
          <w:rFonts w:asciiTheme="majorBidi" w:hAnsiTheme="majorBidi" w:cstheme="majorBidi"/>
        </w:rPr>
        <w:t xml:space="preserve"> is </w:t>
      </w:r>
      <w:proofErr w:type="spellStart"/>
      <w:r w:rsidR="00CA0374">
        <w:rPr>
          <w:rFonts w:asciiTheme="majorBidi" w:hAnsiTheme="majorBidi" w:cstheme="majorBidi"/>
          <w:i/>
          <w:iCs/>
        </w:rPr>
        <w:t>siyāsa</w:t>
      </w:r>
      <w:proofErr w:type="spellEnd"/>
      <w:r w:rsidR="00CA0374">
        <w:rPr>
          <w:rFonts w:asciiTheme="majorBidi" w:hAnsiTheme="majorBidi" w:cstheme="majorBidi"/>
        </w:rPr>
        <w:t xml:space="preserve"> perfected.”</w:t>
      </w:r>
      <w:r w:rsidR="00CA0374">
        <w:rPr>
          <w:rStyle w:val="FootnoteReference"/>
          <w:rFonts w:asciiTheme="majorBidi" w:hAnsiTheme="majorBidi" w:cstheme="majorBidi"/>
        </w:rPr>
        <w:footnoteReference w:id="13"/>
      </w:r>
      <w:r w:rsidR="00CA0374">
        <w:rPr>
          <w:rFonts w:asciiTheme="majorBidi" w:hAnsiTheme="majorBidi" w:cstheme="majorBidi"/>
        </w:rPr>
        <w:t xml:space="preserve"> </w:t>
      </w:r>
      <w:r w:rsidR="00A74FB7">
        <w:rPr>
          <w:rFonts w:asciiTheme="majorBidi" w:hAnsiTheme="majorBidi" w:cstheme="majorBidi"/>
        </w:rPr>
        <w:t xml:space="preserve">Secondly, political authorities </w:t>
      </w:r>
      <w:r w:rsidR="00495853">
        <w:rPr>
          <w:rFonts w:asciiTheme="majorBidi" w:hAnsiTheme="majorBidi" w:cstheme="majorBidi"/>
        </w:rPr>
        <w:t>conveniently</w:t>
      </w:r>
      <w:r w:rsidR="00A74FB7">
        <w:rPr>
          <w:rFonts w:asciiTheme="majorBidi" w:hAnsiTheme="majorBidi" w:cstheme="majorBidi"/>
        </w:rPr>
        <w:t xml:space="preserve"> latch</w:t>
      </w:r>
      <w:r w:rsidR="00495853">
        <w:rPr>
          <w:rFonts w:asciiTheme="majorBidi" w:hAnsiTheme="majorBidi" w:cstheme="majorBidi"/>
        </w:rPr>
        <w:t>ed</w:t>
      </w:r>
      <w:r w:rsidR="00A74FB7">
        <w:rPr>
          <w:rFonts w:asciiTheme="majorBidi" w:hAnsiTheme="majorBidi" w:cstheme="majorBidi"/>
        </w:rPr>
        <w:t xml:space="preserve"> onto </w:t>
      </w:r>
      <w:proofErr w:type="spellStart"/>
      <w:r w:rsidR="00A74FB7">
        <w:rPr>
          <w:rFonts w:asciiTheme="majorBidi" w:hAnsiTheme="majorBidi" w:cstheme="majorBidi"/>
          <w:i/>
          <w:iCs/>
        </w:rPr>
        <w:t>siyāsa</w:t>
      </w:r>
      <w:proofErr w:type="spellEnd"/>
      <w:r w:rsidR="00A74FB7">
        <w:rPr>
          <w:rFonts w:asciiTheme="majorBidi" w:hAnsiTheme="majorBidi" w:cstheme="majorBidi"/>
        </w:rPr>
        <w:t xml:space="preserve"> to justify arbitrary punishments</w:t>
      </w:r>
      <w:r w:rsidR="00CA0374">
        <w:rPr>
          <w:rFonts w:asciiTheme="majorBidi" w:hAnsiTheme="majorBidi" w:cstheme="majorBidi"/>
        </w:rPr>
        <w:t xml:space="preserve"> without first consulting with established jurisprudential guidelines</w:t>
      </w:r>
      <w:r w:rsidR="00376FFD">
        <w:rPr>
          <w:rFonts w:asciiTheme="majorBidi" w:hAnsiTheme="majorBidi" w:cstheme="majorBidi"/>
        </w:rPr>
        <w:t>.</w:t>
      </w:r>
    </w:p>
    <w:p w14:paraId="25683F56" w14:textId="67FC6BB1" w:rsidR="00B42E37" w:rsidRPr="00F6044E" w:rsidRDefault="002268CB" w:rsidP="0037533B">
      <w:pPr>
        <w:spacing w:line="360" w:lineRule="auto"/>
        <w:rPr>
          <w:rFonts w:asciiTheme="majorBidi" w:hAnsiTheme="majorBidi" w:cstheme="majorBidi"/>
        </w:rPr>
      </w:pPr>
      <w:r>
        <w:rPr>
          <w:rFonts w:asciiTheme="majorBidi" w:hAnsiTheme="majorBidi" w:cstheme="majorBidi"/>
        </w:rPr>
        <w:tab/>
        <w:t xml:space="preserve">A crucial question underlying the </w:t>
      </w:r>
      <w:proofErr w:type="spellStart"/>
      <w:r>
        <w:rPr>
          <w:rFonts w:asciiTheme="majorBidi" w:hAnsiTheme="majorBidi" w:cstheme="majorBidi"/>
          <w:i/>
          <w:iCs/>
        </w:rPr>
        <w:t>siyāsa</w:t>
      </w:r>
      <w:r>
        <w:rPr>
          <w:rFonts w:asciiTheme="majorBidi" w:hAnsiTheme="majorBidi" w:cstheme="majorBidi"/>
        </w:rPr>
        <w:t>-</w:t>
      </w:r>
      <w:r>
        <w:rPr>
          <w:rFonts w:asciiTheme="majorBidi" w:hAnsiTheme="majorBidi" w:cstheme="majorBidi"/>
          <w:i/>
          <w:iCs/>
        </w:rPr>
        <w:t>sharīʿa</w:t>
      </w:r>
      <w:proofErr w:type="spellEnd"/>
      <w:r>
        <w:rPr>
          <w:rFonts w:asciiTheme="majorBidi" w:hAnsiTheme="majorBidi" w:cstheme="majorBidi"/>
        </w:rPr>
        <w:t xml:space="preserve"> tension, as Anjum puts it, was “whether the </w:t>
      </w:r>
      <w:proofErr w:type="spellStart"/>
      <w:r>
        <w:rPr>
          <w:rFonts w:asciiTheme="majorBidi" w:hAnsiTheme="majorBidi" w:cstheme="majorBidi"/>
        </w:rPr>
        <w:t>Sharīʿa</w:t>
      </w:r>
      <w:proofErr w:type="spellEnd"/>
      <w:r>
        <w:rPr>
          <w:rFonts w:asciiTheme="majorBidi" w:hAnsiTheme="majorBidi" w:cstheme="majorBidi"/>
        </w:rPr>
        <w:t xml:space="preserve"> could be identified with the jurists’ enterprise (</w:t>
      </w:r>
      <w:proofErr w:type="spellStart"/>
      <w:r>
        <w:rPr>
          <w:rFonts w:asciiTheme="majorBidi" w:hAnsiTheme="majorBidi" w:cstheme="majorBidi"/>
          <w:i/>
          <w:iCs/>
        </w:rPr>
        <w:t>fiqh</w:t>
      </w:r>
      <w:proofErr w:type="spellEnd"/>
      <w:r>
        <w:rPr>
          <w:rFonts w:asciiTheme="majorBidi" w:hAnsiTheme="majorBidi" w:cstheme="majorBidi"/>
        </w:rPr>
        <w:t xml:space="preserve">) or whether there was room left within the </w:t>
      </w:r>
      <w:proofErr w:type="spellStart"/>
      <w:r>
        <w:rPr>
          <w:rFonts w:asciiTheme="majorBidi" w:hAnsiTheme="majorBidi" w:cstheme="majorBidi"/>
        </w:rPr>
        <w:t>Sharīʿa</w:t>
      </w:r>
      <w:proofErr w:type="spellEnd"/>
      <w:r>
        <w:rPr>
          <w:rFonts w:asciiTheme="majorBidi" w:hAnsiTheme="majorBidi" w:cstheme="majorBidi"/>
        </w:rPr>
        <w:t xml:space="preserve"> but outside of </w:t>
      </w:r>
      <w:proofErr w:type="spellStart"/>
      <w:r>
        <w:rPr>
          <w:rFonts w:asciiTheme="majorBidi" w:hAnsiTheme="majorBidi" w:cstheme="majorBidi"/>
          <w:i/>
          <w:iCs/>
        </w:rPr>
        <w:t>fiqh</w:t>
      </w:r>
      <w:proofErr w:type="spellEnd"/>
      <w:r>
        <w:rPr>
          <w:rFonts w:asciiTheme="majorBidi" w:hAnsiTheme="majorBidi" w:cstheme="majorBidi"/>
        </w:rPr>
        <w:t xml:space="preserve">.” For most </w:t>
      </w:r>
      <w:r w:rsidR="00D24FBA">
        <w:rPr>
          <w:rFonts w:asciiTheme="majorBidi" w:hAnsiTheme="majorBidi" w:cstheme="majorBidi"/>
        </w:rPr>
        <w:t>anti-</w:t>
      </w:r>
      <w:proofErr w:type="spellStart"/>
      <w:r w:rsidR="00D24FBA">
        <w:rPr>
          <w:rFonts w:asciiTheme="majorBidi" w:hAnsiTheme="majorBidi" w:cstheme="majorBidi"/>
          <w:i/>
          <w:iCs/>
        </w:rPr>
        <w:t>siyāsa</w:t>
      </w:r>
      <w:proofErr w:type="spellEnd"/>
      <w:r>
        <w:rPr>
          <w:rFonts w:asciiTheme="majorBidi" w:hAnsiTheme="majorBidi" w:cstheme="majorBidi"/>
          <w:i/>
          <w:iCs/>
        </w:rPr>
        <w:t xml:space="preserve"> </w:t>
      </w:r>
      <w:r>
        <w:rPr>
          <w:rFonts w:asciiTheme="majorBidi" w:hAnsiTheme="majorBidi" w:cstheme="majorBidi"/>
        </w:rPr>
        <w:t>scholars, including Ibn al-</w:t>
      </w:r>
      <w:proofErr w:type="spellStart"/>
      <w:r>
        <w:rPr>
          <w:rFonts w:asciiTheme="majorBidi" w:hAnsiTheme="majorBidi" w:cstheme="majorBidi"/>
        </w:rPr>
        <w:t>Jawzī</w:t>
      </w:r>
      <w:proofErr w:type="spellEnd"/>
      <w:r>
        <w:rPr>
          <w:rFonts w:asciiTheme="majorBidi" w:hAnsiTheme="majorBidi" w:cstheme="majorBidi"/>
        </w:rPr>
        <w:t xml:space="preserve"> and </w:t>
      </w:r>
      <w:proofErr w:type="spellStart"/>
      <w:r>
        <w:rPr>
          <w:rFonts w:asciiTheme="majorBidi" w:hAnsiTheme="majorBidi" w:cstheme="majorBidi"/>
        </w:rPr>
        <w:t>Sibṭ</w:t>
      </w:r>
      <w:proofErr w:type="spellEnd"/>
      <w:r>
        <w:rPr>
          <w:rFonts w:asciiTheme="majorBidi" w:hAnsiTheme="majorBidi" w:cstheme="majorBidi"/>
        </w:rPr>
        <w:t xml:space="preserve"> b. al-</w:t>
      </w:r>
      <w:proofErr w:type="spellStart"/>
      <w:r>
        <w:rPr>
          <w:rFonts w:asciiTheme="majorBidi" w:hAnsiTheme="majorBidi" w:cstheme="majorBidi"/>
        </w:rPr>
        <w:t>Jawzī</w:t>
      </w:r>
      <w:proofErr w:type="spellEnd"/>
      <w:r>
        <w:rPr>
          <w:rFonts w:asciiTheme="majorBidi" w:hAnsiTheme="majorBidi" w:cstheme="majorBidi"/>
        </w:rPr>
        <w:t xml:space="preserve">, </w:t>
      </w:r>
      <w:proofErr w:type="spellStart"/>
      <w:r>
        <w:rPr>
          <w:rFonts w:asciiTheme="majorBidi" w:hAnsiTheme="majorBidi" w:cstheme="majorBidi"/>
          <w:i/>
          <w:iCs/>
        </w:rPr>
        <w:t>sharīʿa</w:t>
      </w:r>
      <w:proofErr w:type="spellEnd"/>
      <w:r>
        <w:rPr>
          <w:rFonts w:asciiTheme="majorBidi" w:hAnsiTheme="majorBidi" w:cstheme="majorBidi"/>
        </w:rPr>
        <w:t xml:space="preserve"> was narrowly </w:t>
      </w:r>
      <w:r w:rsidR="007C5928">
        <w:rPr>
          <w:rFonts w:asciiTheme="majorBidi" w:hAnsiTheme="majorBidi" w:cstheme="majorBidi"/>
        </w:rPr>
        <w:t>defined</w:t>
      </w:r>
      <w:r>
        <w:rPr>
          <w:rFonts w:asciiTheme="majorBidi" w:hAnsiTheme="majorBidi" w:cstheme="majorBidi"/>
        </w:rPr>
        <w:t xml:space="preserve"> </w:t>
      </w:r>
      <w:r w:rsidRPr="001E24FD">
        <w:rPr>
          <w:rFonts w:asciiTheme="majorBidi" w:hAnsiTheme="majorBidi" w:cstheme="majorBidi"/>
          <w:color w:val="000000" w:themeColor="text1"/>
        </w:rPr>
        <w:t xml:space="preserve">as </w:t>
      </w:r>
      <w:r w:rsidR="00D24FBA">
        <w:rPr>
          <w:rFonts w:asciiTheme="majorBidi" w:hAnsiTheme="majorBidi" w:cstheme="majorBidi"/>
          <w:color w:val="000000" w:themeColor="text1"/>
        </w:rPr>
        <w:t xml:space="preserve">the </w:t>
      </w:r>
      <w:r w:rsidRPr="001E24FD">
        <w:rPr>
          <w:rFonts w:asciiTheme="majorBidi" w:hAnsiTheme="majorBidi" w:cstheme="majorBidi"/>
          <w:color w:val="000000" w:themeColor="text1"/>
        </w:rPr>
        <w:t xml:space="preserve">legal ordinances formulated in accordance with the </w:t>
      </w:r>
      <w:r>
        <w:rPr>
          <w:rFonts w:asciiTheme="majorBidi" w:hAnsiTheme="majorBidi" w:cstheme="majorBidi"/>
          <w:color w:val="000000" w:themeColor="text1"/>
        </w:rPr>
        <w:t xml:space="preserve">principles of </w:t>
      </w:r>
      <w:proofErr w:type="spellStart"/>
      <w:r>
        <w:rPr>
          <w:rFonts w:asciiTheme="majorBidi" w:hAnsiTheme="majorBidi" w:cstheme="majorBidi"/>
          <w:i/>
          <w:iCs/>
          <w:color w:val="000000" w:themeColor="text1"/>
        </w:rPr>
        <w:t>fiqh</w:t>
      </w:r>
      <w:proofErr w:type="spellEnd"/>
      <w:r>
        <w:rPr>
          <w:rFonts w:asciiTheme="majorBidi" w:hAnsiTheme="majorBidi" w:cstheme="majorBidi"/>
          <w:color w:val="000000" w:themeColor="text1"/>
        </w:rPr>
        <w:t>.</w:t>
      </w:r>
      <w:r w:rsidR="003727DF">
        <w:rPr>
          <w:rStyle w:val="FootnoteReference"/>
          <w:rFonts w:asciiTheme="majorBidi" w:hAnsiTheme="majorBidi" w:cstheme="majorBidi"/>
        </w:rPr>
        <w:footnoteReference w:id="14"/>
      </w:r>
      <w:r w:rsidR="00BC24CD" w:rsidRPr="00BC24CD">
        <w:rPr>
          <w:rFonts w:asciiTheme="majorBidi" w:hAnsiTheme="majorBidi" w:cstheme="majorBidi"/>
          <w:color w:val="000000" w:themeColor="text1"/>
        </w:rPr>
        <w:t xml:space="preserve"> </w:t>
      </w:r>
      <w:r w:rsidR="00406297">
        <w:rPr>
          <w:rFonts w:asciiTheme="majorBidi" w:hAnsiTheme="majorBidi" w:cstheme="majorBidi"/>
          <w:color w:val="000000" w:themeColor="text1"/>
        </w:rPr>
        <w:t>This conception</w:t>
      </w:r>
      <w:r w:rsidR="00BC24CD">
        <w:rPr>
          <w:rFonts w:asciiTheme="majorBidi" w:hAnsiTheme="majorBidi" w:cstheme="majorBidi"/>
          <w:color w:val="000000" w:themeColor="text1"/>
        </w:rPr>
        <w:t xml:space="preserve"> of </w:t>
      </w:r>
      <w:proofErr w:type="spellStart"/>
      <w:r w:rsidR="00BC24CD">
        <w:rPr>
          <w:rFonts w:asciiTheme="majorBidi" w:hAnsiTheme="majorBidi" w:cstheme="majorBidi"/>
          <w:i/>
          <w:iCs/>
          <w:color w:val="000000" w:themeColor="text1"/>
        </w:rPr>
        <w:t>sharīʿa</w:t>
      </w:r>
      <w:proofErr w:type="spellEnd"/>
      <w:r w:rsidR="00BC24CD">
        <w:rPr>
          <w:rFonts w:asciiTheme="majorBidi" w:hAnsiTheme="majorBidi" w:cstheme="majorBidi"/>
          <w:color w:val="000000" w:themeColor="text1"/>
        </w:rPr>
        <w:t xml:space="preserve"> </w:t>
      </w:r>
      <w:r w:rsidR="009741BD">
        <w:rPr>
          <w:rFonts w:asciiTheme="majorBidi" w:hAnsiTheme="majorBidi" w:cstheme="majorBidi"/>
          <w:color w:val="000000" w:themeColor="text1"/>
        </w:rPr>
        <w:t xml:space="preserve">aimed at subsuming all of human reality </w:t>
      </w:r>
      <w:r w:rsidR="009741BD">
        <w:rPr>
          <w:rFonts w:asciiTheme="majorBidi" w:hAnsiTheme="majorBidi" w:cstheme="majorBidi"/>
          <w:color w:val="000000" w:themeColor="text1"/>
        </w:rPr>
        <w:lastRenderedPageBreak/>
        <w:t xml:space="preserve">under the hermeneutic framework of </w:t>
      </w:r>
      <w:proofErr w:type="spellStart"/>
      <w:r w:rsidR="009741BD">
        <w:rPr>
          <w:rFonts w:asciiTheme="majorBidi" w:hAnsiTheme="majorBidi" w:cstheme="majorBidi"/>
          <w:i/>
          <w:iCs/>
          <w:color w:val="000000" w:themeColor="text1"/>
        </w:rPr>
        <w:t>fiqh</w:t>
      </w:r>
      <w:proofErr w:type="spellEnd"/>
      <w:r w:rsidR="009741BD">
        <w:rPr>
          <w:rFonts w:asciiTheme="majorBidi" w:hAnsiTheme="majorBidi" w:cstheme="majorBidi"/>
          <w:color w:val="000000" w:themeColor="text1"/>
        </w:rPr>
        <w:t>.</w:t>
      </w:r>
      <w:r w:rsidR="00D24FBA">
        <w:rPr>
          <w:rStyle w:val="FootnoteReference"/>
          <w:rFonts w:asciiTheme="majorBidi" w:hAnsiTheme="majorBidi" w:cstheme="majorBidi"/>
          <w:color w:val="000000" w:themeColor="text1"/>
        </w:rPr>
        <w:footnoteReference w:id="15"/>
      </w:r>
      <w:r w:rsidR="00B961A1">
        <w:rPr>
          <w:rFonts w:asciiTheme="majorBidi" w:hAnsiTheme="majorBidi" w:cstheme="majorBidi"/>
          <w:color w:val="000000" w:themeColor="text1"/>
        </w:rPr>
        <w:t xml:space="preserve"> </w:t>
      </w:r>
      <w:r w:rsidR="00F6044E">
        <w:rPr>
          <w:rFonts w:asciiTheme="majorBidi" w:hAnsiTheme="majorBidi" w:cstheme="majorBidi"/>
          <w:color w:val="000000" w:themeColor="text1"/>
        </w:rPr>
        <w:t>Wh</w:t>
      </w:r>
      <w:r w:rsidR="00F50A38">
        <w:rPr>
          <w:rFonts w:asciiTheme="majorBidi" w:hAnsiTheme="majorBidi" w:cstheme="majorBidi"/>
          <w:color w:val="000000" w:themeColor="text1"/>
        </w:rPr>
        <w:t>ile</w:t>
      </w:r>
      <w:r w:rsidR="00F6044E">
        <w:rPr>
          <w:rFonts w:asciiTheme="majorBidi" w:hAnsiTheme="majorBidi" w:cstheme="majorBidi"/>
          <w:color w:val="000000" w:themeColor="text1"/>
        </w:rPr>
        <w:t xml:space="preserve"> the </w:t>
      </w:r>
      <w:r w:rsidR="0072503E">
        <w:rPr>
          <w:rFonts w:asciiTheme="majorBidi" w:hAnsiTheme="majorBidi" w:cstheme="majorBidi"/>
          <w:color w:val="000000" w:themeColor="text1"/>
        </w:rPr>
        <w:t>anti-</w:t>
      </w:r>
      <w:proofErr w:type="spellStart"/>
      <w:r w:rsidR="0072503E">
        <w:rPr>
          <w:rFonts w:asciiTheme="majorBidi" w:hAnsiTheme="majorBidi" w:cstheme="majorBidi"/>
          <w:i/>
          <w:iCs/>
          <w:color w:val="000000" w:themeColor="text1"/>
        </w:rPr>
        <w:t>siyāsa</w:t>
      </w:r>
      <w:proofErr w:type="spellEnd"/>
      <w:r w:rsidR="0072503E">
        <w:rPr>
          <w:rFonts w:asciiTheme="majorBidi" w:hAnsiTheme="majorBidi" w:cstheme="majorBidi"/>
          <w:color w:val="000000" w:themeColor="text1"/>
        </w:rPr>
        <w:t xml:space="preserve"> scholars</w:t>
      </w:r>
      <w:r w:rsidR="00406297">
        <w:rPr>
          <w:rFonts w:asciiTheme="majorBidi" w:hAnsiTheme="majorBidi" w:cstheme="majorBidi"/>
          <w:color w:val="000000" w:themeColor="text1"/>
        </w:rPr>
        <w:t xml:space="preserve"> </w:t>
      </w:r>
      <w:r w:rsidR="00F6044E">
        <w:rPr>
          <w:rFonts w:asciiTheme="majorBidi" w:hAnsiTheme="majorBidi" w:cstheme="majorBidi"/>
          <w:color w:val="000000" w:themeColor="text1"/>
        </w:rPr>
        <w:t>found</w:t>
      </w:r>
      <w:r w:rsidR="00406297">
        <w:rPr>
          <w:rFonts w:asciiTheme="majorBidi" w:hAnsiTheme="majorBidi" w:cstheme="majorBidi"/>
          <w:color w:val="000000" w:themeColor="text1"/>
        </w:rPr>
        <w:t xml:space="preserve"> </w:t>
      </w:r>
      <w:proofErr w:type="spellStart"/>
      <w:r w:rsidR="0072503E">
        <w:rPr>
          <w:rFonts w:asciiTheme="majorBidi" w:hAnsiTheme="majorBidi" w:cstheme="majorBidi"/>
          <w:i/>
          <w:iCs/>
          <w:color w:val="000000" w:themeColor="text1"/>
        </w:rPr>
        <w:t>siyāsa</w:t>
      </w:r>
      <w:proofErr w:type="spellEnd"/>
      <w:r w:rsidR="00406297">
        <w:rPr>
          <w:rFonts w:asciiTheme="majorBidi" w:hAnsiTheme="majorBidi" w:cstheme="majorBidi"/>
          <w:color w:val="000000" w:themeColor="text1"/>
        </w:rPr>
        <w:t xml:space="preserve"> </w:t>
      </w:r>
      <w:r w:rsidR="00F6044E">
        <w:rPr>
          <w:rFonts w:asciiTheme="majorBidi" w:hAnsiTheme="majorBidi" w:cstheme="majorBidi"/>
          <w:color w:val="000000" w:themeColor="text1"/>
        </w:rPr>
        <w:t>to be a</w:t>
      </w:r>
      <w:r w:rsidR="003727DF">
        <w:rPr>
          <w:rFonts w:asciiTheme="majorBidi" w:hAnsiTheme="majorBidi" w:cstheme="majorBidi"/>
          <w:color w:val="000000" w:themeColor="text1"/>
        </w:rPr>
        <w:t xml:space="preserve"> convenient catchword for</w:t>
      </w:r>
      <w:r w:rsidR="00F6044E">
        <w:rPr>
          <w:rFonts w:asciiTheme="majorBidi" w:hAnsiTheme="majorBidi" w:cstheme="majorBidi"/>
          <w:color w:val="000000" w:themeColor="text1"/>
        </w:rPr>
        <w:t xml:space="preserve"> arbitrary punishments, </w:t>
      </w:r>
      <w:r w:rsidR="00A838E9">
        <w:rPr>
          <w:rFonts w:asciiTheme="majorBidi" w:hAnsiTheme="majorBidi" w:cstheme="majorBidi"/>
          <w:color w:val="000000" w:themeColor="text1"/>
        </w:rPr>
        <w:t>their opponents</w:t>
      </w:r>
      <w:r w:rsidR="00F6044E">
        <w:rPr>
          <w:rFonts w:asciiTheme="majorBidi" w:hAnsiTheme="majorBidi" w:cstheme="majorBidi"/>
          <w:color w:val="000000" w:themeColor="text1"/>
        </w:rPr>
        <w:t xml:space="preserve"> </w:t>
      </w:r>
      <w:r w:rsidR="00FA0994">
        <w:rPr>
          <w:rFonts w:asciiTheme="majorBidi" w:hAnsiTheme="majorBidi" w:cstheme="majorBidi"/>
          <w:color w:val="000000" w:themeColor="text1"/>
        </w:rPr>
        <w:t xml:space="preserve">viewed </w:t>
      </w:r>
      <w:r w:rsidR="0072503E" w:rsidRPr="001E24FD">
        <w:rPr>
          <w:rFonts w:asciiTheme="majorBidi" w:hAnsiTheme="majorBidi" w:cstheme="majorBidi"/>
          <w:color w:val="000000" w:themeColor="text1"/>
        </w:rPr>
        <w:t xml:space="preserve">scholarly </w:t>
      </w:r>
      <w:proofErr w:type="spellStart"/>
      <w:r w:rsidR="0072503E" w:rsidRPr="001E24FD">
        <w:rPr>
          <w:rFonts w:asciiTheme="majorBidi" w:hAnsiTheme="majorBidi" w:cstheme="majorBidi"/>
          <w:i/>
          <w:iCs/>
          <w:color w:val="000000" w:themeColor="text1"/>
        </w:rPr>
        <w:t>fiqh</w:t>
      </w:r>
      <w:proofErr w:type="spellEnd"/>
      <w:r w:rsidR="0072503E" w:rsidRPr="001E24FD">
        <w:rPr>
          <w:rFonts w:asciiTheme="majorBidi" w:hAnsiTheme="majorBidi" w:cstheme="majorBidi"/>
          <w:i/>
          <w:iCs/>
          <w:color w:val="000000" w:themeColor="text1"/>
        </w:rPr>
        <w:t xml:space="preserve"> </w:t>
      </w:r>
      <w:r w:rsidR="0072503E" w:rsidRPr="001E24FD">
        <w:rPr>
          <w:rFonts w:asciiTheme="majorBidi" w:hAnsiTheme="majorBidi" w:cstheme="majorBidi"/>
          <w:color w:val="000000" w:themeColor="text1"/>
        </w:rPr>
        <w:t>as overly formalistic and</w:t>
      </w:r>
      <w:r w:rsidR="00FA0994">
        <w:rPr>
          <w:rFonts w:asciiTheme="majorBidi" w:hAnsiTheme="majorBidi" w:cstheme="majorBidi"/>
          <w:color w:val="000000" w:themeColor="text1"/>
        </w:rPr>
        <w:t xml:space="preserve"> </w:t>
      </w:r>
      <w:r w:rsidR="00F002CC">
        <w:rPr>
          <w:rFonts w:asciiTheme="majorBidi" w:hAnsiTheme="majorBidi" w:cstheme="majorBidi"/>
          <w:color w:val="000000" w:themeColor="text1"/>
        </w:rPr>
        <w:t xml:space="preserve">the </w:t>
      </w:r>
      <w:proofErr w:type="spellStart"/>
      <w:r w:rsidR="00F002CC">
        <w:rPr>
          <w:rFonts w:asciiTheme="majorBidi" w:hAnsiTheme="majorBidi" w:cstheme="majorBidi"/>
          <w:i/>
          <w:iCs/>
          <w:color w:val="000000" w:themeColor="text1"/>
        </w:rPr>
        <w:t>qāḍī</w:t>
      </w:r>
      <w:proofErr w:type="spellEnd"/>
      <w:r w:rsidR="00F002CC">
        <w:rPr>
          <w:rFonts w:asciiTheme="majorBidi" w:hAnsiTheme="majorBidi" w:cstheme="majorBidi"/>
          <w:i/>
          <w:iCs/>
          <w:color w:val="000000" w:themeColor="text1"/>
        </w:rPr>
        <w:t xml:space="preserve"> </w:t>
      </w:r>
      <w:r w:rsidR="00F002CC">
        <w:rPr>
          <w:rFonts w:asciiTheme="majorBidi" w:hAnsiTheme="majorBidi" w:cstheme="majorBidi"/>
          <w:color w:val="000000" w:themeColor="text1"/>
        </w:rPr>
        <w:t xml:space="preserve">courts as </w:t>
      </w:r>
      <w:r w:rsidR="00FA0994">
        <w:rPr>
          <w:rFonts w:asciiTheme="majorBidi" w:hAnsiTheme="majorBidi" w:cstheme="majorBidi"/>
          <w:color w:val="000000" w:themeColor="text1"/>
        </w:rPr>
        <w:t xml:space="preserve">inefficient in </w:t>
      </w:r>
      <w:r w:rsidR="008C6771">
        <w:rPr>
          <w:rFonts w:asciiTheme="majorBidi" w:hAnsiTheme="majorBidi" w:cstheme="majorBidi"/>
          <w:color w:val="000000" w:themeColor="text1"/>
        </w:rPr>
        <w:t>dealing with</w:t>
      </w:r>
      <w:r w:rsidR="00FA0994">
        <w:rPr>
          <w:rFonts w:asciiTheme="majorBidi" w:hAnsiTheme="majorBidi" w:cstheme="majorBidi"/>
          <w:color w:val="000000" w:themeColor="text1"/>
        </w:rPr>
        <w:t xml:space="preserve"> crime</w:t>
      </w:r>
      <w:r w:rsidR="00F6044E">
        <w:rPr>
          <w:rFonts w:asciiTheme="majorBidi" w:hAnsiTheme="majorBidi" w:cstheme="majorBidi"/>
          <w:color w:val="000000" w:themeColor="text1"/>
        </w:rPr>
        <w:t>.</w:t>
      </w:r>
    </w:p>
    <w:p w14:paraId="3DCF20A7" w14:textId="40962BF4" w:rsidR="008C63B8" w:rsidRDefault="0037533B" w:rsidP="0037533B">
      <w:pPr>
        <w:spacing w:line="360" w:lineRule="auto"/>
        <w:ind w:firstLine="720"/>
        <w:rPr>
          <w:rFonts w:asciiTheme="majorBidi" w:hAnsiTheme="majorBidi" w:cstheme="majorBidi"/>
        </w:rPr>
      </w:pPr>
      <w:r>
        <w:rPr>
          <w:rFonts w:asciiTheme="majorBidi" w:hAnsiTheme="majorBidi" w:cstheme="majorBidi"/>
        </w:rPr>
        <w:t>Predictably</w:t>
      </w:r>
      <w:r w:rsidR="00AA7DD3">
        <w:rPr>
          <w:rFonts w:asciiTheme="majorBidi" w:hAnsiTheme="majorBidi" w:cstheme="majorBidi"/>
        </w:rPr>
        <w:t>, m</w:t>
      </w:r>
      <w:r w:rsidR="00DB521C" w:rsidRPr="001E24FD">
        <w:rPr>
          <w:rFonts w:asciiTheme="majorBidi" w:hAnsiTheme="majorBidi" w:cstheme="majorBidi"/>
        </w:rPr>
        <w:t xml:space="preserve">uch of the tension between </w:t>
      </w:r>
      <w:proofErr w:type="spellStart"/>
      <w:r w:rsidR="0045041A">
        <w:rPr>
          <w:rFonts w:asciiTheme="majorBidi" w:hAnsiTheme="majorBidi" w:cstheme="majorBidi"/>
          <w:i/>
          <w:iCs/>
        </w:rPr>
        <w:t>s</w:t>
      </w:r>
      <w:r w:rsidR="00DB521C" w:rsidRPr="0045041A">
        <w:rPr>
          <w:rFonts w:asciiTheme="majorBidi" w:hAnsiTheme="majorBidi" w:cstheme="majorBidi"/>
          <w:i/>
          <w:iCs/>
        </w:rPr>
        <w:t>harīʿa</w:t>
      </w:r>
      <w:proofErr w:type="spellEnd"/>
      <w:r w:rsidR="00DB521C" w:rsidRPr="001E24FD">
        <w:rPr>
          <w:rFonts w:asciiTheme="majorBidi" w:hAnsiTheme="majorBidi" w:cstheme="majorBidi"/>
          <w:i/>
          <w:iCs/>
        </w:rPr>
        <w:t xml:space="preserve"> </w:t>
      </w:r>
      <w:r w:rsidR="00DB521C" w:rsidRPr="001E24FD">
        <w:rPr>
          <w:rFonts w:asciiTheme="majorBidi" w:hAnsiTheme="majorBidi" w:cstheme="majorBidi"/>
        </w:rPr>
        <w:t xml:space="preserve">and </w:t>
      </w:r>
      <w:proofErr w:type="spellStart"/>
      <w:r w:rsidR="00DB521C" w:rsidRPr="001E24FD">
        <w:rPr>
          <w:rFonts w:asciiTheme="majorBidi" w:hAnsiTheme="majorBidi" w:cstheme="majorBidi"/>
          <w:i/>
          <w:iCs/>
        </w:rPr>
        <w:t>siyāsa</w:t>
      </w:r>
      <w:proofErr w:type="spellEnd"/>
      <w:r w:rsidR="00DB521C" w:rsidRPr="001E24FD">
        <w:rPr>
          <w:rFonts w:asciiTheme="majorBidi" w:hAnsiTheme="majorBidi" w:cstheme="majorBidi"/>
          <w:i/>
          <w:iCs/>
        </w:rPr>
        <w:t xml:space="preserve"> </w:t>
      </w:r>
      <w:r w:rsidR="00C817F2">
        <w:rPr>
          <w:rFonts w:asciiTheme="majorBidi" w:hAnsiTheme="majorBidi" w:cstheme="majorBidi"/>
        </w:rPr>
        <w:t>manifested</w:t>
      </w:r>
      <w:r w:rsidR="00DB521C" w:rsidRPr="001E24FD">
        <w:rPr>
          <w:rFonts w:asciiTheme="majorBidi" w:hAnsiTheme="majorBidi" w:cstheme="majorBidi"/>
        </w:rPr>
        <w:t xml:space="preserve"> in the realm of </w:t>
      </w:r>
      <w:proofErr w:type="spellStart"/>
      <w:r w:rsidR="00DB521C" w:rsidRPr="001E24FD">
        <w:rPr>
          <w:rFonts w:asciiTheme="majorBidi" w:hAnsiTheme="majorBidi" w:cstheme="majorBidi"/>
          <w:i/>
          <w:iCs/>
        </w:rPr>
        <w:t>taʿzīr</w:t>
      </w:r>
      <w:proofErr w:type="spellEnd"/>
      <w:r w:rsidR="00256E33">
        <w:rPr>
          <w:rFonts w:asciiTheme="majorBidi" w:hAnsiTheme="majorBidi" w:cstheme="majorBidi"/>
        </w:rPr>
        <w:t xml:space="preserve">, </w:t>
      </w:r>
      <w:r w:rsidR="00C217D8">
        <w:rPr>
          <w:rFonts w:asciiTheme="majorBidi" w:hAnsiTheme="majorBidi" w:cstheme="majorBidi"/>
        </w:rPr>
        <w:t>discretionary punishments for crimes for which the revealed texts have not prescribed specific penalties.</w:t>
      </w:r>
      <w:r w:rsidR="00DB521C" w:rsidRPr="001E24FD">
        <w:rPr>
          <w:rStyle w:val="FootnoteReference"/>
          <w:rFonts w:asciiTheme="majorBidi" w:hAnsiTheme="majorBidi" w:cstheme="majorBidi"/>
        </w:rPr>
        <w:footnoteReference w:id="16"/>
      </w:r>
      <w:r w:rsidR="00DB521C" w:rsidRPr="001E24FD">
        <w:rPr>
          <w:rFonts w:asciiTheme="majorBidi" w:hAnsiTheme="majorBidi" w:cstheme="majorBidi"/>
          <w:i/>
          <w:iCs/>
        </w:rPr>
        <w:t xml:space="preserve"> </w:t>
      </w:r>
      <w:r w:rsidR="00063B9D">
        <w:rPr>
          <w:rFonts w:asciiTheme="majorBidi" w:hAnsiTheme="majorBidi" w:cstheme="majorBidi"/>
        </w:rPr>
        <w:t>A</w:t>
      </w:r>
      <w:r w:rsidR="002D2DAF">
        <w:rPr>
          <w:rFonts w:asciiTheme="majorBidi" w:hAnsiTheme="majorBidi" w:cstheme="majorBidi"/>
        </w:rPr>
        <w:t xml:space="preserve">lthough </w:t>
      </w:r>
      <w:r w:rsidR="00DB521C" w:rsidRPr="001E24FD">
        <w:rPr>
          <w:rFonts w:asciiTheme="majorBidi" w:hAnsiTheme="majorBidi" w:cstheme="majorBidi"/>
        </w:rPr>
        <w:t xml:space="preserve">the authority to </w:t>
      </w:r>
      <w:r w:rsidR="00793909">
        <w:rPr>
          <w:rFonts w:asciiTheme="majorBidi" w:hAnsiTheme="majorBidi" w:cstheme="majorBidi"/>
        </w:rPr>
        <w:t>implement</w:t>
      </w:r>
      <w:r w:rsidR="00DB521C" w:rsidRPr="001E24FD">
        <w:rPr>
          <w:rFonts w:asciiTheme="majorBidi" w:hAnsiTheme="majorBidi" w:cstheme="majorBidi"/>
        </w:rPr>
        <w:t xml:space="preserve"> </w:t>
      </w:r>
      <w:proofErr w:type="spellStart"/>
      <w:r w:rsidR="00DB521C" w:rsidRPr="001E24FD">
        <w:rPr>
          <w:rFonts w:asciiTheme="majorBidi" w:hAnsiTheme="majorBidi" w:cstheme="majorBidi"/>
          <w:i/>
          <w:iCs/>
        </w:rPr>
        <w:t>taʿzīr</w:t>
      </w:r>
      <w:proofErr w:type="spellEnd"/>
      <w:r w:rsidR="00DB521C" w:rsidRPr="001E24FD">
        <w:rPr>
          <w:rFonts w:asciiTheme="majorBidi" w:hAnsiTheme="majorBidi" w:cstheme="majorBidi"/>
          <w:i/>
          <w:iCs/>
        </w:rPr>
        <w:t xml:space="preserve"> </w:t>
      </w:r>
      <w:r w:rsidR="00DB521C" w:rsidRPr="001E24FD">
        <w:rPr>
          <w:rFonts w:asciiTheme="majorBidi" w:hAnsiTheme="majorBidi" w:cstheme="majorBidi"/>
        </w:rPr>
        <w:t xml:space="preserve">lay with the </w:t>
      </w:r>
      <w:proofErr w:type="spellStart"/>
      <w:r w:rsidR="00DB521C" w:rsidRPr="001E24FD">
        <w:rPr>
          <w:rFonts w:asciiTheme="majorBidi" w:hAnsiTheme="majorBidi" w:cstheme="majorBidi"/>
          <w:i/>
          <w:iCs/>
        </w:rPr>
        <w:t>qāḍī</w:t>
      </w:r>
      <w:proofErr w:type="spellEnd"/>
      <w:r w:rsidR="002D2DAF">
        <w:rPr>
          <w:rFonts w:asciiTheme="majorBidi" w:hAnsiTheme="majorBidi" w:cstheme="majorBidi"/>
        </w:rPr>
        <w:t xml:space="preserve"> in theory,</w:t>
      </w:r>
      <w:r w:rsidR="002C4F43">
        <w:rPr>
          <w:rFonts w:asciiTheme="majorBidi" w:hAnsiTheme="majorBidi" w:cstheme="majorBidi"/>
        </w:rPr>
        <w:t xml:space="preserve"> political authorities during Seljuq rule—such as </w:t>
      </w:r>
      <w:r w:rsidR="00DB521C" w:rsidRPr="001E24FD">
        <w:rPr>
          <w:rFonts w:asciiTheme="majorBidi" w:hAnsiTheme="majorBidi" w:cstheme="majorBidi"/>
        </w:rPr>
        <w:t xml:space="preserve">the </w:t>
      </w:r>
      <w:proofErr w:type="spellStart"/>
      <w:r w:rsidR="00DB521C" w:rsidRPr="001E24FD">
        <w:rPr>
          <w:rFonts w:asciiTheme="majorBidi" w:hAnsiTheme="majorBidi" w:cstheme="majorBidi"/>
          <w:i/>
          <w:iCs/>
        </w:rPr>
        <w:t>shiḥna</w:t>
      </w:r>
      <w:proofErr w:type="spellEnd"/>
      <w:r w:rsidR="00DB521C" w:rsidRPr="001E24FD">
        <w:rPr>
          <w:rFonts w:asciiTheme="majorBidi" w:hAnsiTheme="majorBidi" w:cstheme="majorBidi"/>
        </w:rPr>
        <w:t xml:space="preserve">, </w:t>
      </w:r>
      <w:proofErr w:type="spellStart"/>
      <w:r w:rsidR="00DB521C" w:rsidRPr="001E24FD">
        <w:rPr>
          <w:rFonts w:asciiTheme="majorBidi" w:hAnsiTheme="majorBidi" w:cstheme="majorBidi"/>
          <w:i/>
          <w:iCs/>
        </w:rPr>
        <w:t>shurṭa</w:t>
      </w:r>
      <w:proofErr w:type="spellEnd"/>
      <w:r w:rsidR="002C4F43">
        <w:rPr>
          <w:rFonts w:asciiTheme="majorBidi" w:hAnsiTheme="majorBidi" w:cstheme="majorBidi"/>
        </w:rPr>
        <w:t xml:space="preserve"> (</w:t>
      </w:r>
      <w:r w:rsidR="00DB521C" w:rsidRPr="001E24FD">
        <w:rPr>
          <w:rFonts w:asciiTheme="majorBidi" w:hAnsiTheme="majorBidi" w:cstheme="majorBidi"/>
        </w:rPr>
        <w:t>police force</w:t>
      </w:r>
      <w:r w:rsidR="002C4F43">
        <w:rPr>
          <w:rFonts w:asciiTheme="majorBidi" w:hAnsiTheme="majorBidi" w:cstheme="majorBidi"/>
        </w:rPr>
        <w:t>)</w:t>
      </w:r>
      <w:r w:rsidR="00DB521C" w:rsidRPr="001E24FD">
        <w:rPr>
          <w:rFonts w:asciiTheme="majorBidi" w:hAnsiTheme="majorBidi" w:cstheme="majorBidi"/>
        </w:rPr>
        <w:t xml:space="preserve">, and </w:t>
      </w:r>
      <w:proofErr w:type="spellStart"/>
      <w:r w:rsidR="00DB521C" w:rsidRPr="001E24FD">
        <w:rPr>
          <w:rFonts w:asciiTheme="majorBidi" w:hAnsiTheme="majorBidi" w:cstheme="majorBidi"/>
          <w:i/>
          <w:iCs/>
        </w:rPr>
        <w:t>muḥtasib</w:t>
      </w:r>
      <w:proofErr w:type="spellEnd"/>
      <w:r w:rsidR="002C4F43">
        <w:rPr>
          <w:rFonts w:asciiTheme="majorBidi" w:hAnsiTheme="majorBidi" w:cstheme="majorBidi"/>
        </w:rPr>
        <w:t xml:space="preserve"> (</w:t>
      </w:r>
      <w:r w:rsidR="00DB521C" w:rsidRPr="001E24FD">
        <w:rPr>
          <w:rFonts w:asciiTheme="majorBidi" w:hAnsiTheme="majorBidi" w:cstheme="majorBidi"/>
        </w:rPr>
        <w:t>market inspector)</w:t>
      </w:r>
      <w:r w:rsidR="002C4F43">
        <w:rPr>
          <w:rFonts w:asciiTheme="majorBidi" w:hAnsiTheme="majorBidi" w:cstheme="majorBidi"/>
        </w:rPr>
        <w:t xml:space="preserve">—gradually usurped the prerogative of </w:t>
      </w:r>
      <w:proofErr w:type="spellStart"/>
      <w:r w:rsidR="002C4F43">
        <w:rPr>
          <w:rFonts w:asciiTheme="majorBidi" w:hAnsiTheme="majorBidi" w:cstheme="majorBidi"/>
          <w:i/>
          <w:iCs/>
        </w:rPr>
        <w:t>taʿzīr</w:t>
      </w:r>
      <w:proofErr w:type="spellEnd"/>
      <w:r w:rsidR="00793909">
        <w:rPr>
          <w:rFonts w:asciiTheme="majorBidi" w:hAnsiTheme="majorBidi" w:cstheme="majorBidi"/>
        </w:rPr>
        <w:t xml:space="preserve"> and carried out </w:t>
      </w:r>
      <w:r w:rsidR="00F31828">
        <w:rPr>
          <w:rFonts w:asciiTheme="majorBidi" w:hAnsiTheme="majorBidi" w:cstheme="majorBidi"/>
        </w:rPr>
        <w:t xml:space="preserve">its related </w:t>
      </w:r>
      <w:r w:rsidR="00793909">
        <w:rPr>
          <w:rFonts w:asciiTheme="majorBidi" w:hAnsiTheme="majorBidi" w:cstheme="majorBidi"/>
        </w:rPr>
        <w:t xml:space="preserve">punishments </w:t>
      </w:r>
      <w:r w:rsidR="000B4708">
        <w:rPr>
          <w:rFonts w:asciiTheme="majorBidi" w:hAnsiTheme="majorBidi" w:cstheme="majorBidi"/>
        </w:rPr>
        <w:t xml:space="preserve">under the pretext of political expediency or </w:t>
      </w:r>
      <w:proofErr w:type="spellStart"/>
      <w:r w:rsidR="000B4708">
        <w:rPr>
          <w:rFonts w:asciiTheme="majorBidi" w:hAnsiTheme="majorBidi" w:cstheme="majorBidi"/>
          <w:i/>
          <w:iCs/>
        </w:rPr>
        <w:t>siyāsa</w:t>
      </w:r>
      <w:proofErr w:type="spellEnd"/>
      <w:r w:rsidR="000B4708">
        <w:rPr>
          <w:rFonts w:asciiTheme="majorBidi" w:hAnsiTheme="majorBidi" w:cstheme="majorBidi"/>
        </w:rPr>
        <w:t xml:space="preserve"> with no regard for </w:t>
      </w:r>
      <w:proofErr w:type="spellStart"/>
      <w:r w:rsidR="000B4708">
        <w:rPr>
          <w:rFonts w:asciiTheme="majorBidi" w:hAnsiTheme="majorBidi" w:cstheme="majorBidi"/>
          <w:i/>
          <w:iCs/>
        </w:rPr>
        <w:t>sharīʿa</w:t>
      </w:r>
      <w:proofErr w:type="spellEnd"/>
      <w:r w:rsidR="000B4708">
        <w:rPr>
          <w:rFonts w:asciiTheme="majorBidi" w:hAnsiTheme="majorBidi" w:cstheme="majorBidi"/>
          <w:i/>
          <w:iCs/>
        </w:rPr>
        <w:softHyphen/>
      </w:r>
      <w:r w:rsidR="000B4708">
        <w:rPr>
          <w:rFonts w:asciiTheme="majorBidi" w:hAnsiTheme="majorBidi" w:cstheme="majorBidi"/>
        </w:rPr>
        <w:t>-backed ordinances</w:t>
      </w:r>
      <w:r w:rsidR="002C4F43">
        <w:rPr>
          <w:rFonts w:asciiTheme="majorBidi" w:hAnsiTheme="majorBidi" w:cstheme="majorBidi"/>
        </w:rPr>
        <w:t>.</w:t>
      </w:r>
      <w:r w:rsidR="002B69E6">
        <w:rPr>
          <w:rFonts w:asciiTheme="majorBidi" w:hAnsiTheme="majorBidi" w:cstheme="majorBidi"/>
        </w:rPr>
        <w:t xml:space="preserve"> </w:t>
      </w:r>
      <w:r w:rsidR="00F31828">
        <w:rPr>
          <w:rFonts w:asciiTheme="majorBidi" w:hAnsiTheme="majorBidi" w:cstheme="majorBidi"/>
        </w:rPr>
        <w:t>So much so that from the sixth/twelfth century onward</w:t>
      </w:r>
      <w:r w:rsidR="00DB521C" w:rsidRPr="001E24FD">
        <w:rPr>
          <w:rFonts w:asciiTheme="majorBidi" w:hAnsiTheme="majorBidi" w:cstheme="majorBidi"/>
        </w:rPr>
        <w:t xml:space="preserve">, </w:t>
      </w:r>
      <w:r w:rsidR="00F31828">
        <w:rPr>
          <w:rFonts w:asciiTheme="majorBidi" w:hAnsiTheme="majorBidi" w:cstheme="majorBidi"/>
        </w:rPr>
        <w:t xml:space="preserve">in Lange’s words, </w:t>
      </w:r>
      <w:r w:rsidR="00DB521C" w:rsidRPr="001E24FD">
        <w:rPr>
          <w:rFonts w:asciiTheme="majorBidi" w:hAnsiTheme="majorBidi" w:cstheme="majorBidi"/>
        </w:rPr>
        <w:t>“</w:t>
      </w:r>
      <w:proofErr w:type="spellStart"/>
      <w:r w:rsidR="00DB521C" w:rsidRPr="001E24FD">
        <w:rPr>
          <w:rFonts w:asciiTheme="majorBidi" w:hAnsiTheme="majorBidi" w:cstheme="majorBidi"/>
          <w:i/>
          <w:iCs/>
        </w:rPr>
        <w:t>taʿzīr</w:t>
      </w:r>
      <w:proofErr w:type="spellEnd"/>
      <w:r w:rsidR="00DB521C" w:rsidRPr="001E24FD">
        <w:rPr>
          <w:rFonts w:asciiTheme="majorBidi" w:hAnsiTheme="majorBidi" w:cstheme="majorBidi"/>
          <w:i/>
          <w:iCs/>
        </w:rPr>
        <w:t xml:space="preserve"> </w:t>
      </w:r>
      <w:r w:rsidR="00DB521C" w:rsidRPr="001E24FD">
        <w:rPr>
          <w:rFonts w:asciiTheme="majorBidi" w:hAnsiTheme="majorBidi" w:cstheme="majorBidi"/>
        </w:rPr>
        <w:t xml:space="preserve">and </w:t>
      </w:r>
      <w:proofErr w:type="spellStart"/>
      <w:r w:rsidR="00DB521C" w:rsidRPr="001E24FD">
        <w:rPr>
          <w:rFonts w:asciiTheme="majorBidi" w:hAnsiTheme="majorBidi" w:cstheme="majorBidi"/>
          <w:i/>
          <w:iCs/>
        </w:rPr>
        <w:t>siyāsa</w:t>
      </w:r>
      <w:proofErr w:type="spellEnd"/>
      <w:r w:rsidR="00DB521C" w:rsidRPr="001E24FD">
        <w:rPr>
          <w:rFonts w:asciiTheme="majorBidi" w:hAnsiTheme="majorBidi" w:cstheme="majorBidi"/>
          <w:i/>
          <w:iCs/>
        </w:rPr>
        <w:t xml:space="preserve"> </w:t>
      </w:r>
      <w:r w:rsidR="00DB521C" w:rsidRPr="001E24FD">
        <w:rPr>
          <w:rFonts w:asciiTheme="majorBidi" w:hAnsiTheme="majorBidi" w:cstheme="majorBidi"/>
        </w:rPr>
        <w:t>became the backdoor entry for the imposing, for policy reasons (</w:t>
      </w:r>
      <w:proofErr w:type="spellStart"/>
      <w:r w:rsidR="00DB521C" w:rsidRPr="001E24FD">
        <w:rPr>
          <w:rFonts w:asciiTheme="majorBidi" w:hAnsiTheme="majorBidi" w:cstheme="majorBidi"/>
          <w:i/>
          <w:iCs/>
        </w:rPr>
        <w:t>siyāsatan</w:t>
      </w:r>
      <w:proofErr w:type="spellEnd"/>
      <w:r w:rsidR="00DB521C" w:rsidRPr="001E24FD">
        <w:rPr>
          <w:rFonts w:asciiTheme="majorBidi" w:hAnsiTheme="majorBidi" w:cstheme="majorBidi"/>
        </w:rPr>
        <w:t>), of severe punishments by the authorities, from torture and punishment to capital punishment.”</w:t>
      </w:r>
      <w:r w:rsidR="00DB521C" w:rsidRPr="001E24FD">
        <w:rPr>
          <w:rStyle w:val="FootnoteReference"/>
          <w:rFonts w:asciiTheme="majorBidi" w:hAnsiTheme="majorBidi" w:cstheme="majorBidi"/>
        </w:rPr>
        <w:footnoteReference w:id="17"/>
      </w:r>
      <w:r w:rsidR="00435FAC">
        <w:rPr>
          <w:rFonts w:asciiTheme="majorBidi" w:hAnsiTheme="majorBidi" w:cstheme="majorBidi"/>
        </w:rPr>
        <w:t xml:space="preserve"> Indeed</w:t>
      </w:r>
      <w:r w:rsidR="00112AC5">
        <w:rPr>
          <w:rFonts w:asciiTheme="majorBidi" w:hAnsiTheme="majorBidi" w:cstheme="majorBidi"/>
        </w:rPr>
        <w:t>, Ibn al-</w:t>
      </w:r>
      <w:proofErr w:type="spellStart"/>
      <w:r w:rsidR="00112AC5">
        <w:rPr>
          <w:rFonts w:asciiTheme="majorBidi" w:hAnsiTheme="majorBidi" w:cstheme="majorBidi"/>
        </w:rPr>
        <w:t>Jawzī’s</w:t>
      </w:r>
      <w:proofErr w:type="spellEnd"/>
      <w:r w:rsidR="00112AC5">
        <w:rPr>
          <w:rFonts w:asciiTheme="majorBidi" w:hAnsiTheme="majorBidi" w:cstheme="majorBidi"/>
        </w:rPr>
        <w:t xml:space="preserve"> criticism that ruling authorities “</w:t>
      </w:r>
      <w:r w:rsidR="003D5BF8">
        <w:rPr>
          <w:rFonts w:asciiTheme="majorBidi" w:hAnsiTheme="majorBidi" w:cstheme="majorBidi"/>
        </w:rPr>
        <w:t xml:space="preserve">amputate limbs which the </w:t>
      </w:r>
      <w:proofErr w:type="spellStart"/>
      <w:r w:rsidR="003D5BF8">
        <w:rPr>
          <w:rFonts w:asciiTheme="majorBidi" w:hAnsiTheme="majorBidi" w:cstheme="majorBidi"/>
          <w:i/>
          <w:iCs/>
        </w:rPr>
        <w:t>sharīʿa</w:t>
      </w:r>
      <w:proofErr w:type="spellEnd"/>
      <w:r w:rsidR="003D5BF8">
        <w:rPr>
          <w:rFonts w:asciiTheme="majorBidi" w:hAnsiTheme="majorBidi" w:cstheme="majorBidi"/>
        </w:rPr>
        <w:t xml:space="preserve"> does not permit</w:t>
      </w:r>
      <w:r w:rsidR="003D5BF8">
        <w:rPr>
          <w:rFonts w:asciiTheme="majorBidi" w:hAnsiTheme="majorBidi" w:cstheme="majorBidi"/>
          <w:i/>
          <w:iCs/>
        </w:rPr>
        <w:t xml:space="preserve"> </w:t>
      </w:r>
      <w:r w:rsidR="003D5BF8">
        <w:rPr>
          <w:rFonts w:asciiTheme="majorBidi" w:hAnsiTheme="majorBidi" w:cstheme="majorBidi"/>
        </w:rPr>
        <w:t xml:space="preserve">to be amputated and execute people who ought not to be executed” </w:t>
      </w:r>
      <w:r w:rsidR="00112AC5">
        <w:rPr>
          <w:rFonts w:asciiTheme="majorBidi" w:hAnsiTheme="majorBidi" w:cstheme="majorBidi"/>
        </w:rPr>
        <w:t xml:space="preserve">attests to the arbitrary nature of these punishments during his </w:t>
      </w:r>
      <w:r w:rsidR="00885626">
        <w:rPr>
          <w:rFonts w:asciiTheme="majorBidi" w:hAnsiTheme="majorBidi" w:cstheme="majorBidi"/>
        </w:rPr>
        <w:t>time</w:t>
      </w:r>
      <w:r w:rsidR="00112AC5">
        <w:rPr>
          <w:rFonts w:asciiTheme="majorBidi" w:hAnsiTheme="majorBidi" w:cstheme="majorBidi"/>
        </w:rPr>
        <w:t>.</w:t>
      </w:r>
      <w:r w:rsidR="00714858">
        <w:rPr>
          <w:rStyle w:val="FootnoteReference"/>
          <w:rFonts w:asciiTheme="majorBidi" w:hAnsiTheme="majorBidi" w:cstheme="majorBidi"/>
        </w:rPr>
        <w:footnoteReference w:id="18"/>
      </w:r>
    </w:p>
    <w:p w14:paraId="34FF3FC3" w14:textId="25A59794" w:rsidR="002268CB" w:rsidRDefault="00F94322" w:rsidP="0037533B">
      <w:pPr>
        <w:spacing w:line="360" w:lineRule="auto"/>
        <w:ind w:firstLine="720"/>
        <w:rPr>
          <w:rFonts w:asciiTheme="majorBidi" w:hAnsiTheme="majorBidi" w:cstheme="majorBidi"/>
        </w:rPr>
      </w:pPr>
      <w:r>
        <w:rPr>
          <w:rFonts w:asciiTheme="majorBidi" w:hAnsiTheme="majorBidi" w:cstheme="majorBidi"/>
        </w:rPr>
        <w:t>By Ibn al-</w:t>
      </w:r>
      <w:proofErr w:type="spellStart"/>
      <w:r>
        <w:rPr>
          <w:rFonts w:asciiTheme="majorBidi" w:hAnsiTheme="majorBidi" w:cstheme="majorBidi"/>
        </w:rPr>
        <w:t>Jawzī’s</w:t>
      </w:r>
      <w:proofErr w:type="spellEnd"/>
      <w:r>
        <w:rPr>
          <w:rFonts w:asciiTheme="majorBidi" w:hAnsiTheme="majorBidi" w:cstheme="majorBidi"/>
        </w:rPr>
        <w:t xml:space="preserve"> day,</w:t>
      </w:r>
      <w:r>
        <w:rPr>
          <w:rFonts w:asciiTheme="majorBidi" w:hAnsiTheme="majorBidi" w:cstheme="majorBidi"/>
          <w:i/>
          <w:iCs/>
        </w:rPr>
        <w:t xml:space="preserve"> </w:t>
      </w:r>
      <w:r w:rsidR="00393AEC">
        <w:rPr>
          <w:rFonts w:asciiTheme="majorBidi" w:hAnsiTheme="majorBidi" w:cstheme="majorBidi"/>
        </w:rPr>
        <w:t>the Sunn</w:t>
      </w:r>
      <w:r w:rsidR="00546834">
        <w:rPr>
          <w:rFonts w:asciiTheme="majorBidi" w:hAnsiTheme="majorBidi" w:cstheme="majorBidi"/>
        </w:rPr>
        <w:t>i</w:t>
      </w:r>
      <w:r w:rsidR="00393AEC">
        <w:rPr>
          <w:rFonts w:asciiTheme="majorBidi" w:hAnsiTheme="majorBidi" w:cstheme="majorBidi"/>
        </w:rPr>
        <w:t xml:space="preserve"> learned community had developed </w:t>
      </w:r>
      <w:r w:rsidR="00FC458B">
        <w:rPr>
          <w:rFonts w:asciiTheme="majorBidi" w:hAnsiTheme="majorBidi" w:cstheme="majorBidi"/>
        </w:rPr>
        <w:t xml:space="preserve">several </w:t>
      </w:r>
      <w:r>
        <w:rPr>
          <w:rFonts w:asciiTheme="majorBidi" w:hAnsiTheme="majorBidi" w:cstheme="majorBidi"/>
        </w:rPr>
        <w:t>mechanisms</w:t>
      </w:r>
      <w:r w:rsidR="00FC458B">
        <w:rPr>
          <w:rFonts w:asciiTheme="majorBidi" w:hAnsiTheme="majorBidi" w:cstheme="majorBidi"/>
        </w:rPr>
        <w:t xml:space="preserve"> to deal with the tension between political and religious authority. </w:t>
      </w:r>
      <w:r w:rsidR="00331786">
        <w:rPr>
          <w:rFonts w:asciiTheme="majorBidi" w:hAnsiTheme="majorBidi" w:cstheme="majorBidi"/>
        </w:rPr>
        <w:t xml:space="preserve">On the issue of </w:t>
      </w:r>
      <w:proofErr w:type="spellStart"/>
      <w:r w:rsidR="00331786">
        <w:rPr>
          <w:rFonts w:asciiTheme="majorBidi" w:hAnsiTheme="majorBidi" w:cstheme="majorBidi"/>
          <w:i/>
          <w:iCs/>
        </w:rPr>
        <w:t>taʿzīr</w:t>
      </w:r>
      <w:proofErr w:type="spellEnd"/>
      <w:r w:rsidR="00331786">
        <w:rPr>
          <w:rFonts w:asciiTheme="majorBidi" w:hAnsiTheme="majorBidi" w:cstheme="majorBidi"/>
        </w:rPr>
        <w:t>, s</w:t>
      </w:r>
      <w:r w:rsidR="00FC458B">
        <w:rPr>
          <w:rFonts w:asciiTheme="majorBidi" w:hAnsiTheme="majorBidi" w:cstheme="majorBidi"/>
        </w:rPr>
        <w:t>ome</w:t>
      </w:r>
      <w:r w:rsidR="003A0906">
        <w:rPr>
          <w:rFonts w:asciiTheme="majorBidi" w:hAnsiTheme="majorBidi" w:cstheme="majorBidi"/>
        </w:rPr>
        <w:t xml:space="preserve"> jurists</w:t>
      </w:r>
      <w:r>
        <w:rPr>
          <w:rFonts w:asciiTheme="majorBidi" w:hAnsiTheme="majorBidi" w:cstheme="majorBidi"/>
        </w:rPr>
        <w:t xml:space="preserve">, such as the </w:t>
      </w:r>
      <w:proofErr w:type="spellStart"/>
      <w:r>
        <w:rPr>
          <w:rFonts w:asciiTheme="majorBidi" w:hAnsiTheme="majorBidi" w:cstheme="majorBidi"/>
        </w:rPr>
        <w:t>Shāfiʿī</w:t>
      </w:r>
      <w:proofErr w:type="spellEnd"/>
      <w:r>
        <w:rPr>
          <w:rFonts w:asciiTheme="majorBidi" w:hAnsiTheme="majorBidi" w:cstheme="majorBidi"/>
        </w:rPr>
        <w:t xml:space="preserve"> </w:t>
      </w:r>
      <w:proofErr w:type="spellStart"/>
      <w:r>
        <w:rPr>
          <w:rFonts w:asciiTheme="majorBidi" w:hAnsiTheme="majorBidi" w:cstheme="majorBidi"/>
        </w:rPr>
        <w:t>Abū</w:t>
      </w:r>
      <w:proofErr w:type="spellEnd"/>
      <w:r>
        <w:rPr>
          <w:rFonts w:asciiTheme="majorBidi" w:hAnsiTheme="majorBidi" w:cstheme="majorBidi"/>
        </w:rPr>
        <w:t xml:space="preserve"> </w:t>
      </w:r>
      <w:proofErr w:type="spellStart"/>
      <w:r>
        <w:rPr>
          <w:rFonts w:asciiTheme="majorBidi" w:hAnsiTheme="majorBidi" w:cstheme="majorBidi"/>
        </w:rPr>
        <w:t>Isḥāq</w:t>
      </w:r>
      <w:proofErr w:type="spellEnd"/>
      <w:r>
        <w:rPr>
          <w:rFonts w:asciiTheme="majorBidi" w:hAnsiTheme="majorBidi" w:cstheme="majorBidi"/>
        </w:rPr>
        <w:t xml:space="preserve"> al-</w:t>
      </w:r>
      <w:proofErr w:type="spellStart"/>
      <w:r>
        <w:rPr>
          <w:rFonts w:asciiTheme="majorBidi" w:hAnsiTheme="majorBidi" w:cstheme="majorBidi"/>
        </w:rPr>
        <w:t>Shīrāzī</w:t>
      </w:r>
      <w:proofErr w:type="spellEnd"/>
      <w:r>
        <w:rPr>
          <w:rFonts w:asciiTheme="majorBidi" w:hAnsiTheme="majorBidi" w:cstheme="majorBidi"/>
        </w:rPr>
        <w:t xml:space="preserve"> (476/1083)</w:t>
      </w:r>
      <w:r w:rsidR="00FD72E6">
        <w:rPr>
          <w:rFonts w:asciiTheme="majorBidi" w:hAnsiTheme="majorBidi" w:cstheme="majorBidi"/>
        </w:rPr>
        <w:t xml:space="preserve"> and </w:t>
      </w:r>
      <w:proofErr w:type="spellStart"/>
      <w:r w:rsidR="003A0906">
        <w:rPr>
          <w:rFonts w:asciiTheme="majorBidi" w:hAnsiTheme="majorBidi" w:cstheme="majorBidi"/>
        </w:rPr>
        <w:t>Ḥanafī</w:t>
      </w:r>
      <w:proofErr w:type="spellEnd"/>
      <w:r w:rsidR="003A0906">
        <w:rPr>
          <w:rFonts w:asciiTheme="majorBidi" w:hAnsiTheme="majorBidi" w:cstheme="majorBidi"/>
        </w:rPr>
        <w:t xml:space="preserve"> </w:t>
      </w:r>
      <w:proofErr w:type="spellStart"/>
      <w:r w:rsidR="003A0906">
        <w:rPr>
          <w:rFonts w:asciiTheme="majorBidi" w:hAnsiTheme="majorBidi" w:cstheme="majorBidi"/>
        </w:rPr>
        <w:t>Abū</w:t>
      </w:r>
      <w:proofErr w:type="spellEnd"/>
      <w:r w:rsidR="003A0906">
        <w:rPr>
          <w:rFonts w:asciiTheme="majorBidi" w:hAnsiTheme="majorBidi" w:cstheme="majorBidi"/>
        </w:rPr>
        <w:t xml:space="preserve"> al-</w:t>
      </w:r>
      <w:proofErr w:type="spellStart"/>
      <w:r w:rsidR="003A0906">
        <w:rPr>
          <w:rFonts w:asciiTheme="majorBidi" w:hAnsiTheme="majorBidi" w:cstheme="majorBidi"/>
        </w:rPr>
        <w:t>Ḥasan</w:t>
      </w:r>
      <w:proofErr w:type="spellEnd"/>
      <w:r w:rsidR="003A0906">
        <w:rPr>
          <w:rFonts w:asciiTheme="majorBidi" w:hAnsiTheme="majorBidi" w:cstheme="majorBidi"/>
        </w:rPr>
        <w:t xml:space="preserve"> </w:t>
      </w:r>
      <w:r w:rsidR="00FD72E6">
        <w:rPr>
          <w:rFonts w:asciiTheme="majorBidi" w:hAnsiTheme="majorBidi" w:cstheme="majorBidi"/>
        </w:rPr>
        <w:t>al-</w:t>
      </w:r>
      <w:proofErr w:type="spellStart"/>
      <w:r w:rsidR="00FD72E6">
        <w:rPr>
          <w:rFonts w:asciiTheme="majorBidi" w:hAnsiTheme="majorBidi" w:cstheme="majorBidi"/>
        </w:rPr>
        <w:t>Sughdī</w:t>
      </w:r>
      <w:proofErr w:type="spellEnd"/>
      <w:r w:rsidR="00FD72E6">
        <w:rPr>
          <w:rFonts w:asciiTheme="majorBidi" w:hAnsiTheme="majorBidi" w:cstheme="majorBidi"/>
        </w:rPr>
        <w:t xml:space="preserve"> (d. 461/1069)</w:t>
      </w:r>
      <w:r>
        <w:rPr>
          <w:rFonts w:asciiTheme="majorBidi" w:hAnsiTheme="majorBidi" w:cstheme="majorBidi"/>
        </w:rPr>
        <w:t xml:space="preserve">, </w:t>
      </w:r>
      <w:r w:rsidR="000B4708">
        <w:rPr>
          <w:rFonts w:asciiTheme="majorBidi" w:hAnsiTheme="majorBidi" w:cstheme="majorBidi"/>
        </w:rPr>
        <w:t xml:space="preserve">granted that the authority of </w:t>
      </w:r>
      <w:proofErr w:type="spellStart"/>
      <w:r w:rsidR="000B4708">
        <w:rPr>
          <w:rFonts w:asciiTheme="majorBidi" w:hAnsiTheme="majorBidi" w:cstheme="majorBidi"/>
          <w:i/>
          <w:iCs/>
        </w:rPr>
        <w:t>taʿzīr</w:t>
      </w:r>
      <w:proofErr w:type="spellEnd"/>
      <w:r w:rsidR="000B4708">
        <w:rPr>
          <w:rFonts w:asciiTheme="majorBidi" w:hAnsiTheme="majorBidi" w:cstheme="majorBidi"/>
          <w:i/>
          <w:iCs/>
        </w:rPr>
        <w:t xml:space="preserve"> </w:t>
      </w:r>
      <w:r w:rsidR="000B4708">
        <w:rPr>
          <w:rFonts w:asciiTheme="majorBidi" w:hAnsiTheme="majorBidi" w:cstheme="majorBidi"/>
        </w:rPr>
        <w:t>lay with rulers and government officials.</w:t>
      </w:r>
      <w:r w:rsidR="000B4708">
        <w:rPr>
          <w:rStyle w:val="FootnoteReference"/>
          <w:rFonts w:asciiTheme="majorBidi" w:hAnsiTheme="majorBidi" w:cstheme="majorBidi"/>
        </w:rPr>
        <w:footnoteReference w:id="19"/>
      </w:r>
      <w:r w:rsidR="000B4708">
        <w:rPr>
          <w:rFonts w:asciiTheme="majorBidi" w:hAnsiTheme="majorBidi" w:cstheme="majorBidi"/>
        </w:rPr>
        <w:t xml:space="preserve"> </w:t>
      </w:r>
      <w:r w:rsidR="00083889">
        <w:rPr>
          <w:rFonts w:asciiTheme="majorBidi" w:hAnsiTheme="majorBidi" w:cstheme="majorBidi"/>
        </w:rPr>
        <w:t xml:space="preserve">Some who did not wish to concede that much, including </w:t>
      </w:r>
      <w:proofErr w:type="spellStart"/>
      <w:r w:rsidR="00083889">
        <w:rPr>
          <w:rFonts w:asciiTheme="majorBidi" w:hAnsiTheme="majorBidi" w:cstheme="majorBidi"/>
        </w:rPr>
        <w:t>Burhān</w:t>
      </w:r>
      <w:proofErr w:type="spellEnd"/>
      <w:r w:rsidR="00083889">
        <w:rPr>
          <w:rFonts w:asciiTheme="majorBidi" w:hAnsiTheme="majorBidi" w:cstheme="majorBidi"/>
        </w:rPr>
        <w:t xml:space="preserve"> al-</w:t>
      </w:r>
      <w:proofErr w:type="spellStart"/>
      <w:r w:rsidR="00083889">
        <w:rPr>
          <w:rFonts w:asciiTheme="majorBidi" w:hAnsiTheme="majorBidi" w:cstheme="majorBidi"/>
        </w:rPr>
        <w:t>Dīn</w:t>
      </w:r>
      <w:proofErr w:type="spellEnd"/>
      <w:r w:rsidR="00083889">
        <w:rPr>
          <w:rFonts w:asciiTheme="majorBidi" w:hAnsiTheme="majorBidi" w:cstheme="majorBidi"/>
        </w:rPr>
        <w:t xml:space="preserve"> al-</w:t>
      </w:r>
      <w:proofErr w:type="spellStart"/>
      <w:r w:rsidR="00083889">
        <w:rPr>
          <w:rFonts w:asciiTheme="majorBidi" w:hAnsiTheme="majorBidi" w:cstheme="majorBidi"/>
        </w:rPr>
        <w:t>Marghīnānī</w:t>
      </w:r>
      <w:proofErr w:type="spellEnd"/>
      <w:r w:rsidR="00083889">
        <w:rPr>
          <w:rFonts w:asciiTheme="majorBidi" w:hAnsiTheme="majorBidi" w:cstheme="majorBidi"/>
        </w:rPr>
        <w:t xml:space="preserve"> (d. </w:t>
      </w:r>
      <w:r w:rsidR="00083889">
        <w:rPr>
          <w:rFonts w:asciiTheme="majorBidi" w:hAnsiTheme="majorBidi" w:cstheme="majorBidi"/>
        </w:rPr>
        <w:lastRenderedPageBreak/>
        <w:t xml:space="preserve">593/1197), upheld </w:t>
      </w:r>
      <w:proofErr w:type="spellStart"/>
      <w:r w:rsidR="00083889">
        <w:rPr>
          <w:rFonts w:asciiTheme="majorBidi" w:hAnsiTheme="majorBidi" w:cstheme="majorBidi"/>
          <w:i/>
          <w:iCs/>
        </w:rPr>
        <w:t>taʿzīr</w:t>
      </w:r>
      <w:proofErr w:type="spellEnd"/>
      <w:r w:rsidR="00083889">
        <w:rPr>
          <w:rFonts w:asciiTheme="majorBidi" w:hAnsiTheme="majorBidi" w:cstheme="majorBidi"/>
          <w:i/>
          <w:iCs/>
        </w:rPr>
        <w:t xml:space="preserve"> </w:t>
      </w:r>
      <w:r w:rsidR="00083889">
        <w:rPr>
          <w:rFonts w:asciiTheme="majorBidi" w:hAnsiTheme="majorBidi" w:cstheme="majorBidi"/>
        </w:rPr>
        <w:t xml:space="preserve">for the </w:t>
      </w:r>
      <w:proofErr w:type="spellStart"/>
      <w:r w:rsidR="00083889">
        <w:rPr>
          <w:rFonts w:asciiTheme="majorBidi" w:hAnsiTheme="majorBidi" w:cstheme="majorBidi"/>
          <w:i/>
          <w:iCs/>
        </w:rPr>
        <w:t>qāḍī</w:t>
      </w:r>
      <w:proofErr w:type="spellEnd"/>
      <w:r w:rsidR="00083889">
        <w:rPr>
          <w:rFonts w:asciiTheme="majorBidi" w:hAnsiTheme="majorBidi" w:cstheme="majorBidi"/>
        </w:rPr>
        <w:t xml:space="preserve"> but claimed that he </w:t>
      </w:r>
      <w:r w:rsidR="00BF51DD">
        <w:rPr>
          <w:rFonts w:asciiTheme="majorBidi" w:hAnsiTheme="majorBidi" w:cstheme="majorBidi"/>
        </w:rPr>
        <w:t>did so “as an agent of the state, not of the divine law.”</w:t>
      </w:r>
      <w:r w:rsidR="00BF51DD">
        <w:rPr>
          <w:rStyle w:val="FootnoteReference"/>
          <w:rFonts w:asciiTheme="majorBidi" w:hAnsiTheme="majorBidi" w:cstheme="majorBidi"/>
        </w:rPr>
        <w:footnoteReference w:id="20"/>
      </w:r>
    </w:p>
    <w:p w14:paraId="2B595F65" w14:textId="6D1FE174" w:rsidR="00BE4084" w:rsidRDefault="000B4708" w:rsidP="0037533B">
      <w:pPr>
        <w:spacing w:line="360" w:lineRule="auto"/>
        <w:ind w:firstLine="720"/>
        <w:rPr>
          <w:rFonts w:asciiTheme="majorBidi" w:hAnsiTheme="majorBidi" w:cstheme="majorBidi"/>
        </w:rPr>
      </w:pPr>
      <w:r>
        <w:rPr>
          <w:rFonts w:asciiTheme="majorBidi" w:hAnsiTheme="majorBidi" w:cstheme="majorBidi"/>
        </w:rPr>
        <w:t>Others</w:t>
      </w:r>
      <w:r w:rsidR="007A7860">
        <w:rPr>
          <w:rFonts w:asciiTheme="majorBidi" w:hAnsiTheme="majorBidi" w:cstheme="majorBidi"/>
        </w:rPr>
        <w:t>,</w:t>
      </w:r>
      <w:r w:rsidR="00DD6D07">
        <w:rPr>
          <w:rFonts w:asciiTheme="majorBidi" w:hAnsiTheme="majorBidi" w:cstheme="majorBidi"/>
        </w:rPr>
        <w:t xml:space="preserve"> </w:t>
      </w:r>
      <w:r w:rsidR="007A7860">
        <w:rPr>
          <w:rFonts w:asciiTheme="majorBidi" w:hAnsiTheme="majorBidi" w:cstheme="majorBidi"/>
        </w:rPr>
        <w:t xml:space="preserve">while </w:t>
      </w:r>
      <w:r w:rsidR="00EB1FF0">
        <w:rPr>
          <w:rFonts w:asciiTheme="majorBidi" w:hAnsiTheme="majorBidi" w:cstheme="majorBidi"/>
        </w:rPr>
        <w:t>refus</w:t>
      </w:r>
      <w:r w:rsidR="007A7860">
        <w:rPr>
          <w:rFonts w:asciiTheme="majorBidi" w:hAnsiTheme="majorBidi" w:cstheme="majorBidi"/>
        </w:rPr>
        <w:t>ing</w:t>
      </w:r>
      <w:r w:rsidR="00EB1FF0">
        <w:rPr>
          <w:rFonts w:asciiTheme="majorBidi" w:hAnsiTheme="majorBidi" w:cstheme="majorBidi"/>
        </w:rPr>
        <w:t xml:space="preserve"> to </w:t>
      </w:r>
      <w:r w:rsidR="00DD6D07">
        <w:rPr>
          <w:rFonts w:asciiTheme="majorBidi" w:hAnsiTheme="majorBidi" w:cstheme="majorBidi"/>
        </w:rPr>
        <w:t>legitimize the ruling authorities’ encroachment into the religious sphere,</w:t>
      </w:r>
      <w:r w:rsidR="007A7860">
        <w:rPr>
          <w:rFonts w:asciiTheme="majorBidi" w:hAnsiTheme="majorBidi" w:cstheme="majorBidi"/>
        </w:rPr>
        <w:t xml:space="preserve"> </w:t>
      </w:r>
      <w:r w:rsidR="00DD6D07">
        <w:rPr>
          <w:rFonts w:asciiTheme="majorBidi" w:hAnsiTheme="majorBidi" w:cstheme="majorBidi"/>
        </w:rPr>
        <w:t xml:space="preserve">acknowledged the futility of challenging </w:t>
      </w:r>
      <w:r w:rsidR="00014BF0">
        <w:rPr>
          <w:rFonts w:asciiTheme="majorBidi" w:hAnsiTheme="majorBidi" w:cstheme="majorBidi"/>
        </w:rPr>
        <w:t>them</w:t>
      </w:r>
      <w:r w:rsidR="00DD6D07">
        <w:rPr>
          <w:rFonts w:asciiTheme="majorBidi" w:hAnsiTheme="majorBidi" w:cstheme="majorBidi"/>
        </w:rPr>
        <w:t xml:space="preserve"> on this front</w:t>
      </w:r>
      <w:r w:rsidR="00E9380C">
        <w:rPr>
          <w:rFonts w:asciiTheme="majorBidi" w:hAnsiTheme="majorBidi" w:cstheme="majorBidi"/>
        </w:rPr>
        <w:t xml:space="preserve">, given the extent to which </w:t>
      </w:r>
      <w:r w:rsidR="00E95470">
        <w:rPr>
          <w:rFonts w:asciiTheme="majorBidi" w:hAnsiTheme="majorBidi" w:cstheme="majorBidi"/>
        </w:rPr>
        <w:t xml:space="preserve">the </w:t>
      </w:r>
      <w:r w:rsidR="00BE4084">
        <w:rPr>
          <w:rFonts w:asciiTheme="majorBidi" w:hAnsiTheme="majorBidi" w:cstheme="majorBidi"/>
        </w:rPr>
        <w:t xml:space="preserve">increasingly </w:t>
      </w:r>
      <w:r w:rsidR="00E95470">
        <w:rPr>
          <w:rFonts w:asciiTheme="majorBidi" w:hAnsiTheme="majorBidi" w:cstheme="majorBidi"/>
        </w:rPr>
        <w:t>repressive</w:t>
      </w:r>
      <w:r w:rsidR="00BE4084">
        <w:rPr>
          <w:rFonts w:asciiTheme="majorBidi" w:hAnsiTheme="majorBidi" w:cstheme="majorBidi"/>
        </w:rPr>
        <w:t xml:space="preserve"> nature</w:t>
      </w:r>
      <w:r w:rsidR="00E95470">
        <w:rPr>
          <w:rFonts w:asciiTheme="majorBidi" w:hAnsiTheme="majorBidi" w:cstheme="majorBidi"/>
        </w:rPr>
        <w:t xml:space="preserve"> of the </w:t>
      </w:r>
      <w:r w:rsidR="00BE4084">
        <w:rPr>
          <w:rFonts w:asciiTheme="majorBidi" w:hAnsiTheme="majorBidi" w:cstheme="majorBidi"/>
        </w:rPr>
        <w:t xml:space="preserve">Seljuq regime </w:t>
      </w:r>
      <w:r w:rsidR="00E9380C">
        <w:rPr>
          <w:rFonts w:asciiTheme="majorBidi" w:hAnsiTheme="majorBidi" w:cstheme="majorBidi"/>
        </w:rPr>
        <w:t xml:space="preserve">had </w:t>
      </w:r>
      <w:r w:rsidR="00BE4084">
        <w:rPr>
          <w:rFonts w:asciiTheme="majorBidi" w:hAnsiTheme="majorBidi" w:cstheme="majorBidi"/>
        </w:rPr>
        <w:t>dampened</w:t>
      </w:r>
      <w:r w:rsidR="00E95470">
        <w:rPr>
          <w:rFonts w:asciiTheme="majorBidi" w:hAnsiTheme="majorBidi" w:cstheme="majorBidi"/>
        </w:rPr>
        <w:t xml:space="preserve"> </w:t>
      </w:r>
      <w:r w:rsidR="00C269DE">
        <w:rPr>
          <w:rFonts w:asciiTheme="majorBidi" w:hAnsiTheme="majorBidi" w:cstheme="majorBidi"/>
        </w:rPr>
        <w:t xml:space="preserve">the </w:t>
      </w:r>
      <w:r w:rsidR="00E9380C">
        <w:rPr>
          <w:rFonts w:asciiTheme="majorBidi" w:hAnsiTheme="majorBidi" w:cstheme="majorBidi"/>
        </w:rPr>
        <w:t>capacity</w:t>
      </w:r>
      <w:r w:rsidR="00E95470">
        <w:rPr>
          <w:rFonts w:asciiTheme="majorBidi" w:hAnsiTheme="majorBidi" w:cstheme="majorBidi"/>
        </w:rPr>
        <w:t xml:space="preserve"> of the </w:t>
      </w:r>
      <w:proofErr w:type="spellStart"/>
      <w:r w:rsidR="00E95470">
        <w:rPr>
          <w:rFonts w:asciiTheme="majorBidi" w:hAnsiTheme="majorBidi" w:cstheme="majorBidi"/>
          <w:i/>
          <w:iCs/>
        </w:rPr>
        <w:t>ʿulamāʾ</w:t>
      </w:r>
      <w:proofErr w:type="spellEnd"/>
      <w:r w:rsidR="00E95470">
        <w:rPr>
          <w:rFonts w:asciiTheme="majorBidi" w:hAnsiTheme="majorBidi" w:cstheme="majorBidi"/>
          <w:i/>
          <w:iCs/>
        </w:rPr>
        <w:t xml:space="preserve"> </w:t>
      </w:r>
      <w:r w:rsidR="00E95470">
        <w:rPr>
          <w:rFonts w:asciiTheme="majorBidi" w:hAnsiTheme="majorBidi" w:cstheme="majorBidi"/>
        </w:rPr>
        <w:t xml:space="preserve">to remedy the </w:t>
      </w:r>
      <w:r w:rsidR="00CE594F">
        <w:rPr>
          <w:rFonts w:asciiTheme="majorBidi" w:hAnsiTheme="majorBidi" w:cstheme="majorBidi"/>
        </w:rPr>
        <w:t>crisis of political and religious authority</w:t>
      </w:r>
      <w:r w:rsidR="00E9380C">
        <w:rPr>
          <w:rFonts w:asciiTheme="majorBidi" w:hAnsiTheme="majorBidi" w:cstheme="majorBidi"/>
        </w:rPr>
        <w:t xml:space="preserve"> through political action</w:t>
      </w:r>
      <w:r w:rsidR="00E00B87">
        <w:rPr>
          <w:rFonts w:asciiTheme="majorBidi" w:hAnsiTheme="majorBidi" w:cstheme="majorBidi"/>
        </w:rPr>
        <w:t>.</w:t>
      </w:r>
      <w:r w:rsidR="00C13156" w:rsidRPr="00C13156">
        <w:rPr>
          <w:rFonts w:asciiTheme="majorBidi" w:hAnsiTheme="majorBidi" w:cstheme="majorBidi"/>
        </w:rPr>
        <w:t xml:space="preserve"> </w:t>
      </w:r>
      <w:r w:rsidR="00774E0A">
        <w:rPr>
          <w:rFonts w:asciiTheme="majorBidi" w:hAnsiTheme="majorBidi" w:cstheme="majorBidi"/>
        </w:rPr>
        <w:t>Although t</w:t>
      </w:r>
      <w:r w:rsidR="00C13156">
        <w:rPr>
          <w:rFonts w:asciiTheme="majorBidi" w:hAnsiTheme="majorBidi" w:cstheme="majorBidi"/>
        </w:rPr>
        <w:t xml:space="preserve">he Abbasids </w:t>
      </w:r>
      <w:r w:rsidR="00774E0A">
        <w:rPr>
          <w:rFonts w:asciiTheme="majorBidi" w:hAnsiTheme="majorBidi" w:cstheme="majorBidi"/>
        </w:rPr>
        <w:t xml:space="preserve">enjoyed </w:t>
      </w:r>
      <w:r w:rsidR="00E213FA">
        <w:rPr>
          <w:rFonts w:asciiTheme="majorBidi" w:hAnsiTheme="majorBidi" w:cstheme="majorBidi"/>
        </w:rPr>
        <w:t xml:space="preserve">symbolic religious prestige </w:t>
      </w:r>
      <w:r w:rsidR="00545E76">
        <w:rPr>
          <w:rFonts w:asciiTheme="majorBidi" w:hAnsiTheme="majorBidi" w:cstheme="majorBidi"/>
        </w:rPr>
        <w:t>in</w:t>
      </w:r>
      <w:r w:rsidR="00E213FA">
        <w:rPr>
          <w:rFonts w:asciiTheme="majorBidi" w:hAnsiTheme="majorBidi" w:cstheme="majorBidi"/>
        </w:rPr>
        <w:t xml:space="preserve"> </w:t>
      </w:r>
      <w:r w:rsidR="00545E76">
        <w:rPr>
          <w:rFonts w:asciiTheme="majorBidi" w:hAnsiTheme="majorBidi" w:cstheme="majorBidi"/>
        </w:rPr>
        <w:t xml:space="preserve">the eyes of the </w:t>
      </w:r>
      <w:proofErr w:type="spellStart"/>
      <w:r w:rsidR="00545E76">
        <w:rPr>
          <w:rFonts w:asciiTheme="majorBidi" w:hAnsiTheme="majorBidi" w:cstheme="majorBidi"/>
          <w:i/>
          <w:iCs/>
        </w:rPr>
        <w:t>ʿulamāʾ</w:t>
      </w:r>
      <w:proofErr w:type="spellEnd"/>
      <w:r w:rsidR="00545E76">
        <w:rPr>
          <w:rFonts w:asciiTheme="majorBidi" w:hAnsiTheme="majorBidi" w:cstheme="majorBidi"/>
        </w:rPr>
        <w:t>, they</w:t>
      </w:r>
      <w:r w:rsidR="00545E76">
        <w:rPr>
          <w:rFonts w:asciiTheme="majorBidi" w:hAnsiTheme="majorBidi" w:cstheme="majorBidi"/>
          <w:i/>
          <w:iCs/>
        </w:rPr>
        <w:t xml:space="preserve"> </w:t>
      </w:r>
      <w:r w:rsidR="00C13156">
        <w:rPr>
          <w:rFonts w:asciiTheme="majorBidi" w:hAnsiTheme="majorBidi" w:cstheme="majorBidi"/>
        </w:rPr>
        <w:t xml:space="preserve">proved to be no less coercive and arbitrary in </w:t>
      </w:r>
      <w:r w:rsidR="000D3FA9">
        <w:rPr>
          <w:rFonts w:asciiTheme="majorBidi" w:hAnsiTheme="majorBidi" w:cstheme="majorBidi"/>
        </w:rPr>
        <w:t xml:space="preserve">their </w:t>
      </w:r>
      <w:r w:rsidR="00C13156">
        <w:rPr>
          <w:rFonts w:asciiTheme="majorBidi" w:hAnsiTheme="majorBidi" w:cstheme="majorBidi"/>
        </w:rPr>
        <w:t>dealing</w:t>
      </w:r>
      <w:r w:rsidR="000D3FA9">
        <w:rPr>
          <w:rFonts w:asciiTheme="majorBidi" w:hAnsiTheme="majorBidi" w:cstheme="majorBidi"/>
        </w:rPr>
        <w:t>s</w:t>
      </w:r>
      <w:r w:rsidR="00C13156">
        <w:rPr>
          <w:rFonts w:asciiTheme="majorBidi" w:hAnsiTheme="majorBidi" w:cstheme="majorBidi"/>
        </w:rPr>
        <w:t xml:space="preserve"> with scholars</w:t>
      </w:r>
      <w:r w:rsidR="00774E0A">
        <w:rPr>
          <w:rFonts w:asciiTheme="majorBidi" w:hAnsiTheme="majorBidi" w:cstheme="majorBidi"/>
        </w:rPr>
        <w:t>. W</w:t>
      </w:r>
      <w:r w:rsidR="00D63D4E">
        <w:rPr>
          <w:rFonts w:asciiTheme="majorBidi" w:hAnsiTheme="majorBidi" w:cstheme="majorBidi"/>
        </w:rPr>
        <w:t xml:space="preserve">hen Abbasid-Seljuq </w:t>
      </w:r>
      <w:r w:rsidR="006D6F69">
        <w:rPr>
          <w:rFonts w:asciiTheme="majorBidi" w:hAnsiTheme="majorBidi" w:cstheme="majorBidi"/>
        </w:rPr>
        <w:t>tensions</w:t>
      </w:r>
      <w:r w:rsidR="00D63D4E">
        <w:rPr>
          <w:rFonts w:asciiTheme="majorBidi" w:hAnsiTheme="majorBidi" w:cstheme="majorBidi"/>
        </w:rPr>
        <w:t xml:space="preserve"> reached fever pitch, </w:t>
      </w:r>
      <w:r w:rsidR="00C13156">
        <w:rPr>
          <w:rFonts w:asciiTheme="majorBidi" w:hAnsiTheme="majorBidi" w:cstheme="majorBidi"/>
        </w:rPr>
        <w:t xml:space="preserve">scholars </w:t>
      </w:r>
      <w:r w:rsidR="00774E0A">
        <w:rPr>
          <w:rFonts w:asciiTheme="majorBidi" w:hAnsiTheme="majorBidi" w:cstheme="majorBidi"/>
        </w:rPr>
        <w:t xml:space="preserve">occasionally </w:t>
      </w:r>
      <w:r w:rsidR="00D63D4E">
        <w:rPr>
          <w:rFonts w:asciiTheme="majorBidi" w:hAnsiTheme="majorBidi" w:cstheme="majorBidi"/>
        </w:rPr>
        <w:t>became scapegoats and targets of repression</w:t>
      </w:r>
      <w:r w:rsidR="006D6F69">
        <w:rPr>
          <w:rFonts w:asciiTheme="majorBidi" w:hAnsiTheme="majorBidi" w:cstheme="majorBidi"/>
        </w:rPr>
        <w:t xml:space="preserve"> </w:t>
      </w:r>
      <w:r w:rsidR="00774E0A">
        <w:rPr>
          <w:rFonts w:asciiTheme="majorBidi" w:hAnsiTheme="majorBidi" w:cstheme="majorBidi"/>
        </w:rPr>
        <w:t>in Abbasid attempts to flex their political muscle vis-à-vis the Seljuqs</w:t>
      </w:r>
      <w:r w:rsidR="00C13156">
        <w:rPr>
          <w:rFonts w:asciiTheme="majorBidi" w:hAnsiTheme="majorBidi" w:cstheme="majorBidi"/>
        </w:rPr>
        <w:t>.</w:t>
      </w:r>
      <w:r w:rsidR="00BE4084">
        <w:rPr>
          <w:rStyle w:val="FootnoteReference"/>
          <w:rFonts w:asciiTheme="majorBidi" w:hAnsiTheme="majorBidi" w:cstheme="majorBidi"/>
        </w:rPr>
        <w:footnoteReference w:id="21"/>
      </w:r>
    </w:p>
    <w:p w14:paraId="512CA72B" w14:textId="77777777" w:rsidR="00E9380C" w:rsidRDefault="00E9380C" w:rsidP="0037533B">
      <w:pPr>
        <w:spacing w:line="360" w:lineRule="auto"/>
        <w:ind w:firstLine="720"/>
        <w:rPr>
          <w:rFonts w:asciiTheme="majorBidi" w:hAnsiTheme="majorBidi" w:cstheme="majorBidi"/>
        </w:rPr>
      </w:pPr>
      <w:r>
        <w:rPr>
          <w:rFonts w:asciiTheme="majorBidi" w:hAnsiTheme="majorBidi" w:cstheme="majorBidi"/>
        </w:rPr>
        <w:t>What</w:t>
      </w:r>
      <w:r w:rsidR="006D1887">
        <w:rPr>
          <w:rFonts w:asciiTheme="majorBidi" w:hAnsiTheme="majorBidi" w:cstheme="majorBidi"/>
        </w:rPr>
        <w:t xml:space="preserve"> th</w:t>
      </w:r>
      <w:r w:rsidR="00014BF0">
        <w:rPr>
          <w:rFonts w:asciiTheme="majorBidi" w:hAnsiTheme="majorBidi" w:cstheme="majorBidi"/>
        </w:rPr>
        <w:t>e jurists</w:t>
      </w:r>
      <w:r w:rsidR="006D1887">
        <w:rPr>
          <w:rFonts w:asciiTheme="majorBidi" w:hAnsiTheme="majorBidi" w:cstheme="majorBidi"/>
        </w:rPr>
        <w:t xml:space="preserve"> </w:t>
      </w:r>
      <w:r w:rsidR="00581DD4">
        <w:rPr>
          <w:rFonts w:asciiTheme="majorBidi" w:hAnsiTheme="majorBidi" w:cstheme="majorBidi"/>
        </w:rPr>
        <w:t xml:space="preserve">forfeited </w:t>
      </w:r>
      <w:r w:rsidR="006D1887">
        <w:rPr>
          <w:rFonts w:asciiTheme="majorBidi" w:hAnsiTheme="majorBidi" w:cstheme="majorBidi"/>
        </w:rPr>
        <w:t>in reality</w:t>
      </w:r>
      <w:r w:rsidR="007A7860">
        <w:rPr>
          <w:rFonts w:asciiTheme="majorBidi" w:hAnsiTheme="majorBidi" w:cstheme="majorBidi"/>
        </w:rPr>
        <w:t>,</w:t>
      </w:r>
      <w:r w:rsidR="006D1887">
        <w:rPr>
          <w:rFonts w:asciiTheme="majorBidi" w:hAnsiTheme="majorBidi" w:cstheme="majorBidi"/>
        </w:rPr>
        <w:t xml:space="preserve"> </w:t>
      </w:r>
      <w:r w:rsidR="00581DD4">
        <w:rPr>
          <w:rFonts w:asciiTheme="majorBidi" w:hAnsiTheme="majorBidi" w:cstheme="majorBidi"/>
        </w:rPr>
        <w:t>they made up for</w:t>
      </w:r>
      <w:r w:rsidR="006D1887">
        <w:rPr>
          <w:rFonts w:asciiTheme="majorBidi" w:hAnsiTheme="majorBidi" w:cstheme="majorBidi"/>
        </w:rPr>
        <w:t xml:space="preserve"> </w:t>
      </w:r>
      <w:r w:rsidR="00E84848">
        <w:rPr>
          <w:rFonts w:asciiTheme="majorBidi" w:hAnsiTheme="majorBidi" w:cstheme="majorBidi"/>
        </w:rPr>
        <w:t>in intellectual terms</w:t>
      </w:r>
      <w:r w:rsidR="006D1887">
        <w:rPr>
          <w:rFonts w:asciiTheme="majorBidi" w:hAnsiTheme="majorBidi" w:cstheme="majorBidi"/>
        </w:rPr>
        <w:t>.</w:t>
      </w:r>
      <w:r w:rsidR="00EB1FF0">
        <w:rPr>
          <w:rFonts w:asciiTheme="majorBidi" w:hAnsiTheme="majorBidi" w:cstheme="majorBidi"/>
        </w:rPr>
        <w:t xml:space="preserve"> According to Lange, </w:t>
      </w:r>
      <w:r w:rsidR="00581DD4">
        <w:rPr>
          <w:rFonts w:asciiTheme="majorBidi" w:hAnsiTheme="majorBidi" w:cstheme="majorBidi"/>
        </w:rPr>
        <w:t xml:space="preserve">although </w:t>
      </w:r>
      <w:r w:rsidR="00E23400">
        <w:rPr>
          <w:rFonts w:asciiTheme="majorBidi" w:hAnsiTheme="majorBidi" w:cstheme="majorBidi"/>
        </w:rPr>
        <w:t xml:space="preserve">the </w:t>
      </w:r>
      <w:r w:rsidR="00581DD4">
        <w:rPr>
          <w:rFonts w:asciiTheme="majorBidi" w:hAnsiTheme="majorBidi" w:cstheme="majorBidi"/>
        </w:rPr>
        <w:t>Sunn</w:t>
      </w:r>
      <w:r w:rsidR="00546834">
        <w:rPr>
          <w:rFonts w:asciiTheme="majorBidi" w:hAnsiTheme="majorBidi" w:cstheme="majorBidi"/>
        </w:rPr>
        <w:t>i</w:t>
      </w:r>
      <w:r w:rsidR="00581DD4">
        <w:rPr>
          <w:rFonts w:asciiTheme="majorBidi" w:hAnsiTheme="majorBidi" w:cstheme="majorBidi"/>
        </w:rPr>
        <w:t xml:space="preserve"> jurists </w:t>
      </w:r>
      <w:r w:rsidR="00E23400">
        <w:rPr>
          <w:rFonts w:asciiTheme="majorBidi" w:hAnsiTheme="majorBidi" w:cstheme="majorBidi"/>
        </w:rPr>
        <w:t>of the late Abbasid period</w:t>
      </w:r>
      <w:r w:rsidR="00014BF0">
        <w:rPr>
          <w:rFonts w:asciiTheme="majorBidi" w:hAnsiTheme="majorBidi" w:cstheme="majorBidi"/>
        </w:rPr>
        <w:t xml:space="preserve"> had ceded the administration of criminal punishment to the temporal powers, they still managed to </w:t>
      </w:r>
      <w:proofErr w:type="gramStart"/>
      <w:r w:rsidR="00014BF0">
        <w:rPr>
          <w:rFonts w:asciiTheme="majorBidi" w:hAnsiTheme="majorBidi" w:cstheme="majorBidi"/>
        </w:rPr>
        <w:t>claim</w:t>
      </w:r>
      <w:proofErr w:type="gramEnd"/>
      <w:r w:rsidR="00014BF0">
        <w:rPr>
          <w:rFonts w:asciiTheme="majorBidi" w:hAnsiTheme="majorBidi" w:cstheme="majorBidi"/>
        </w:rPr>
        <w:t xml:space="preserve"> “a measure of d</w:t>
      </w:r>
      <w:r w:rsidR="00581DD4">
        <w:rPr>
          <w:rFonts w:asciiTheme="majorBidi" w:hAnsiTheme="majorBidi" w:cstheme="majorBidi"/>
        </w:rPr>
        <w:t>iscursive hegemony</w:t>
      </w:r>
      <w:r w:rsidR="00014BF0">
        <w:rPr>
          <w:rFonts w:asciiTheme="majorBidi" w:hAnsiTheme="majorBidi" w:cstheme="majorBidi"/>
        </w:rPr>
        <w:t xml:space="preserve"> over the public sphere” by “[carving] out a space of individual freedom from arbitrary punishment.”</w:t>
      </w:r>
      <w:r w:rsidR="00AE7EB1">
        <w:rPr>
          <w:rStyle w:val="FootnoteReference"/>
          <w:rFonts w:asciiTheme="majorBidi" w:hAnsiTheme="majorBidi" w:cstheme="majorBidi"/>
        </w:rPr>
        <w:footnoteReference w:id="22"/>
      </w:r>
      <w:r w:rsidR="00E7127F">
        <w:rPr>
          <w:rFonts w:asciiTheme="majorBidi" w:hAnsiTheme="majorBidi" w:cstheme="majorBidi"/>
        </w:rPr>
        <w:t xml:space="preserve"> Th</w:t>
      </w:r>
      <w:r w:rsidR="00E61367">
        <w:rPr>
          <w:rFonts w:asciiTheme="majorBidi" w:hAnsiTheme="majorBidi" w:cstheme="majorBidi"/>
        </w:rPr>
        <w:t xml:space="preserve">is can be </w:t>
      </w:r>
      <w:r w:rsidR="00E40FF8">
        <w:rPr>
          <w:rFonts w:asciiTheme="majorBidi" w:hAnsiTheme="majorBidi" w:cstheme="majorBidi"/>
        </w:rPr>
        <w:t>observed</w:t>
      </w:r>
      <w:r w:rsidR="00E61367">
        <w:rPr>
          <w:rFonts w:asciiTheme="majorBidi" w:hAnsiTheme="majorBidi" w:cstheme="majorBidi"/>
        </w:rPr>
        <w:t xml:space="preserve"> in </w:t>
      </w:r>
      <w:proofErr w:type="spellStart"/>
      <w:r w:rsidR="00D26494">
        <w:rPr>
          <w:rFonts w:asciiTheme="majorBidi" w:hAnsiTheme="majorBidi" w:cstheme="majorBidi"/>
        </w:rPr>
        <w:t>Ḥanafī</w:t>
      </w:r>
      <w:proofErr w:type="spellEnd"/>
      <w:r w:rsidR="00D26494">
        <w:rPr>
          <w:rFonts w:asciiTheme="majorBidi" w:hAnsiTheme="majorBidi" w:cstheme="majorBidi"/>
        </w:rPr>
        <w:t xml:space="preserve"> </w:t>
      </w:r>
      <w:r w:rsidR="00E61367">
        <w:rPr>
          <w:rFonts w:asciiTheme="majorBidi" w:hAnsiTheme="majorBidi" w:cstheme="majorBidi"/>
        </w:rPr>
        <w:t>works of substantive law (</w:t>
      </w:r>
      <w:proofErr w:type="spellStart"/>
      <w:r w:rsidR="00E61367">
        <w:rPr>
          <w:rFonts w:asciiTheme="majorBidi" w:hAnsiTheme="majorBidi" w:cstheme="majorBidi"/>
          <w:i/>
          <w:iCs/>
        </w:rPr>
        <w:t>furūʿ</w:t>
      </w:r>
      <w:proofErr w:type="spellEnd"/>
      <w:r w:rsidR="00E61367">
        <w:rPr>
          <w:rFonts w:asciiTheme="majorBidi" w:hAnsiTheme="majorBidi" w:cstheme="majorBidi"/>
          <w:i/>
          <w:iCs/>
        </w:rPr>
        <w:t xml:space="preserve"> al-</w:t>
      </w:r>
      <w:proofErr w:type="spellStart"/>
      <w:r w:rsidR="00E61367">
        <w:rPr>
          <w:rFonts w:asciiTheme="majorBidi" w:hAnsiTheme="majorBidi" w:cstheme="majorBidi"/>
          <w:i/>
          <w:iCs/>
        </w:rPr>
        <w:t>fiqh</w:t>
      </w:r>
      <w:proofErr w:type="spellEnd"/>
      <w:r w:rsidR="00E61367">
        <w:rPr>
          <w:rFonts w:asciiTheme="majorBidi" w:hAnsiTheme="majorBidi" w:cstheme="majorBidi"/>
        </w:rPr>
        <w:t>), where jurists circumscribed th</w:t>
      </w:r>
      <w:r w:rsidR="00D26494">
        <w:rPr>
          <w:rFonts w:asciiTheme="majorBidi" w:hAnsiTheme="majorBidi" w:cstheme="majorBidi"/>
        </w:rPr>
        <w:t xml:space="preserve">e scope of criminal </w:t>
      </w:r>
      <w:r w:rsidR="000F0C41">
        <w:rPr>
          <w:rFonts w:asciiTheme="majorBidi" w:hAnsiTheme="majorBidi" w:cstheme="majorBidi"/>
        </w:rPr>
        <w:t>law</w:t>
      </w:r>
      <w:r w:rsidR="00D26494">
        <w:rPr>
          <w:rFonts w:asciiTheme="majorBidi" w:hAnsiTheme="majorBidi" w:cstheme="majorBidi"/>
        </w:rPr>
        <w:t xml:space="preserve"> falling under </w:t>
      </w:r>
      <w:proofErr w:type="spellStart"/>
      <w:r w:rsidR="00D26494">
        <w:rPr>
          <w:rFonts w:asciiTheme="majorBidi" w:hAnsiTheme="majorBidi" w:cstheme="majorBidi"/>
          <w:i/>
          <w:iCs/>
        </w:rPr>
        <w:t>ḥadd</w:t>
      </w:r>
      <w:proofErr w:type="spellEnd"/>
      <w:r w:rsidR="00D26494">
        <w:rPr>
          <w:rFonts w:asciiTheme="majorBidi" w:hAnsiTheme="majorBidi" w:cstheme="majorBidi"/>
        </w:rPr>
        <w:t xml:space="preserve"> and </w:t>
      </w:r>
      <w:proofErr w:type="spellStart"/>
      <w:r w:rsidR="00D26494">
        <w:rPr>
          <w:rFonts w:asciiTheme="majorBidi" w:hAnsiTheme="majorBidi" w:cstheme="majorBidi"/>
          <w:i/>
          <w:iCs/>
        </w:rPr>
        <w:t>taʿzīr</w:t>
      </w:r>
      <w:proofErr w:type="spellEnd"/>
      <w:r w:rsidR="000F0C41">
        <w:rPr>
          <w:rFonts w:asciiTheme="majorBidi" w:hAnsiTheme="majorBidi" w:cstheme="majorBidi"/>
        </w:rPr>
        <w:t xml:space="preserve">. </w:t>
      </w:r>
      <w:r w:rsidR="00A0601A">
        <w:rPr>
          <w:rFonts w:asciiTheme="majorBidi" w:hAnsiTheme="majorBidi" w:cstheme="majorBidi"/>
        </w:rPr>
        <w:t>With regard to</w:t>
      </w:r>
      <w:r w:rsidR="00BD7E14">
        <w:rPr>
          <w:rFonts w:asciiTheme="majorBidi" w:hAnsiTheme="majorBidi" w:cstheme="majorBidi"/>
        </w:rPr>
        <w:t xml:space="preserve"> </w:t>
      </w:r>
      <w:r w:rsidR="00AF5894">
        <w:rPr>
          <w:rFonts w:asciiTheme="majorBidi" w:hAnsiTheme="majorBidi" w:cstheme="majorBidi"/>
        </w:rPr>
        <w:t>the latter</w:t>
      </w:r>
      <w:r w:rsidR="000F0C41">
        <w:rPr>
          <w:rFonts w:asciiTheme="majorBidi" w:hAnsiTheme="majorBidi" w:cstheme="majorBidi"/>
        </w:rPr>
        <w:t xml:space="preserve">, they </w:t>
      </w:r>
      <w:r w:rsidR="006055FE">
        <w:rPr>
          <w:rFonts w:asciiTheme="majorBidi" w:hAnsiTheme="majorBidi" w:cstheme="majorBidi"/>
        </w:rPr>
        <w:t xml:space="preserve">argued that only offenses committed in public were punishable by </w:t>
      </w:r>
      <w:proofErr w:type="spellStart"/>
      <w:r w:rsidR="006055FE">
        <w:rPr>
          <w:rFonts w:asciiTheme="majorBidi" w:hAnsiTheme="majorBidi" w:cstheme="majorBidi"/>
          <w:i/>
          <w:iCs/>
        </w:rPr>
        <w:t>taʿzīr</w:t>
      </w:r>
      <w:proofErr w:type="spellEnd"/>
      <w:r w:rsidR="00AE7EB1">
        <w:rPr>
          <w:rFonts w:asciiTheme="majorBidi" w:hAnsiTheme="majorBidi" w:cstheme="majorBidi"/>
        </w:rPr>
        <w:t xml:space="preserve">, in effect protecting </w:t>
      </w:r>
      <w:r w:rsidR="000F0C41">
        <w:rPr>
          <w:rFonts w:asciiTheme="majorBidi" w:hAnsiTheme="majorBidi" w:cstheme="majorBidi"/>
        </w:rPr>
        <w:t xml:space="preserve">the private sphere </w:t>
      </w:r>
      <w:r w:rsidR="00AE7EB1">
        <w:rPr>
          <w:rFonts w:asciiTheme="majorBidi" w:hAnsiTheme="majorBidi" w:cstheme="majorBidi"/>
        </w:rPr>
        <w:t xml:space="preserve">of individual Muslims </w:t>
      </w:r>
      <w:r w:rsidR="006055FE">
        <w:rPr>
          <w:rFonts w:asciiTheme="majorBidi" w:hAnsiTheme="majorBidi" w:cstheme="majorBidi"/>
        </w:rPr>
        <w:t>from intrusion by the state.</w:t>
      </w:r>
      <w:r w:rsidR="00E7127F">
        <w:rPr>
          <w:rStyle w:val="FootnoteReference"/>
          <w:rFonts w:asciiTheme="majorBidi" w:hAnsiTheme="majorBidi" w:cstheme="majorBidi"/>
        </w:rPr>
        <w:footnoteReference w:id="23"/>
      </w:r>
      <w:r w:rsidR="003D3319">
        <w:rPr>
          <w:rFonts w:asciiTheme="majorBidi" w:hAnsiTheme="majorBidi" w:cstheme="majorBidi"/>
        </w:rPr>
        <w:t xml:space="preserve"> </w:t>
      </w:r>
      <w:r w:rsidR="00A7784B" w:rsidRPr="00EC3C91">
        <w:rPr>
          <w:rFonts w:asciiTheme="majorBidi" w:hAnsiTheme="majorBidi" w:cstheme="majorBidi"/>
        </w:rPr>
        <w:t xml:space="preserve">Another </w:t>
      </w:r>
      <w:r w:rsidR="00D14149">
        <w:rPr>
          <w:rFonts w:asciiTheme="majorBidi" w:hAnsiTheme="majorBidi" w:cstheme="majorBidi"/>
        </w:rPr>
        <w:t xml:space="preserve">strategy, </w:t>
      </w:r>
      <w:r w:rsidR="00280838" w:rsidRPr="00EC3C91">
        <w:rPr>
          <w:rFonts w:asciiTheme="majorBidi" w:hAnsiTheme="majorBidi" w:cstheme="majorBidi"/>
        </w:rPr>
        <w:t>i</w:t>
      </w:r>
      <w:r w:rsidR="00BD7E14">
        <w:rPr>
          <w:rFonts w:asciiTheme="majorBidi" w:hAnsiTheme="majorBidi" w:cstheme="majorBidi"/>
        </w:rPr>
        <w:t xml:space="preserve">dentified by </w:t>
      </w:r>
      <w:proofErr w:type="spellStart"/>
      <w:r w:rsidR="00280838" w:rsidRPr="00EC3C91">
        <w:rPr>
          <w:rFonts w:asciiTheme="majorBidi" w:hAnsiTheme="majorBidi" w:cstheme="majorBidi"/>
        </w:rPr>
        <w:t>Opwis</w:t>
      </w:r>
      <w:proofErr w:type="spellEnd"/>
      <w:r w:rsidR="00280838" w:rsidRPr="00EC3C91">
        <w:rPr>
          <w:rFonts w:asciiTheme="majorBidi" w:hAnsiTheme="majorBidi" w:cstheme="majorBidi"/>
        </w:rPr>
        <w:t xml:space="preserve">, involved </w:t>
      </w:r>
      <w:r w:rsidR="004042AF" w:rsidRPr="00EC3C91">
        <w:rPr>
          <w:rFonts w:asciiTheme="majorBidi" w:hAnsiTheme="majorBidi" w:cstheme="majorBidi"/>
        </w:rPr>
        <w:t xml:space="preserve">shifting the basis of </w:t>
      </w:r>
      <w:r w:rsidR="00CA365F" w:rsidRPr="00EC3C91">
        <w:rPr>
          <w:rFonts w:asciiTheme="majorBidi" w:hAnsiTheme="majorBidi" w:cstheme="majorBidi"/>
        </w:rPr>
        <w:t xml:space="preserve">legal </w:t>
      </w:r>
      <w:r w:rsidR="004042AF" w:rsidRPr="00EC3C91">
        <w:rPr>
          <w:rFonts w:asciiTheme="majorBidi" w:hAnsiTheme="majorBidi" w:cstheme="majorBidi"/>
        </w:rPr>
        <w:t xml:space="preserve">rulings from </w:t>
      </w:r>
      <w:r w:rsidR="00CA365F" w:rsidRPr="00EC3C91">
        <w:rPr>
          <w:rFonts w:asciiTheme="majorBidi" w:hAnsiTheme="majorBidi" w:cstheme="majorBidi"/>
        </w:rPr>
        <w:t xml:space="preserve">the </w:t>
      </w:r>
      <w:r w:rsidR="00600A15">
        <w:rPr>
          <w:rFonts w:asciiTheme="majorBidi" w:hAnsiTheme="majorBidi" w:cstheme="majorBidi"/>
        </w:rPr>
        <w:t>precedent</w:t>
      </w:r>
      <w:r w:rsidR="00CA365F" w:rsidRPr="00EC3C91">
        <w:rPr>
          <w:rFonts w:asciiTheme="majorBidi" w:hAnsiTheme="majorBidi" w:cstheme="majorBidi"/>
        </w:rPr>
        <w:t xml:space="preserve"> of the early </w:t>
      </w:r>
      <w:r w:rsidR="00600A15">
        <w:rPr>
          <w:rFonts w:asciiTheme="majorBidi" w:hAnsiTheme="majorBidi" w:cstheme="majorBidi"/>
        </w:rPr>
        <w:t>caliphs</w:t>
      </w:r>
      <w:r w:rsidR="00CA365F" w:rsidRPr="00EC3C91">
        <w:rPr>
          <w:rFonts w:asciiTheme="majorBidi" w:hAnsiTheme="majorBidi" w:cstheme="majorBidi"/>
        </w:rPr>
        <w:t>,</w:t>
      </w:r>
      <w:r w:rsidR="00600A15">
        <w:rPr>
          <w:rFonts w:asciiTheme="majorBidi" w:hAnsiTheme="majorBidi" w:cstheme="majorBidi"/>
        </w:rPr>
        <w:t xml:space="preserve"> </w:t>
      </w:r>
      <w:r w:rsidR="00E40FF8">
        <w:rPr>
          <w:rFonts w:asciiTheme="majorBidi" w:hAnsiTheme="majorBidi" w:cstheme="majorBidi"/>
        </w:rPr>
        <w:t xml:space="preserve">which </w:t>
      </w:r>
      <w:r w:rsidR="00600A15">
        <w:rPr>
          <w:rFonts w:asciiTheme="majorBidi" w:hAnsiTheme="majorBidi" w:cstheme="majorBidi"/>
        </w:rPr>
        <w:t>allowed room</w:t>
      </w:r>
      <w:r w:rsidR="00CA365F" w:rsidRPr="00EC3C91">
        <w:rPr>
          <w:rFonts w:asciiTheme="majorBidi" w:hAnsiTheme="majorBidi" w:cstheme="majorBidi"/>
        </w:rPr>
        <w:t xml:space="preserve"> for </w:t>
      </w:r>
      <w:r w:rsidR="00600A15">
        <w:rPr>
          <w:rFonts w:asciiTheme="majorBidi" w:hAnsiTheme="majorBidi" w:cstheme="majorBidi"/>
        </w:rPr>
        <w:t xml:space="preserve">political expediency and </w:t>
      </w:r>
      <w:r w:rsidR="00C245CF">
        <w:rPr>
          <w:rFonts w:asciiTheme="majorBidi" w:hAnsiTheme="majorBidi" w:cstheme="majorBidi"/>
        </w:rPr>
        <w:t>a</w:t>
      </w:r>
      <w:r w:rsidR="004042AF" w:rsidRPr="00EC3C91">
        <w:rPr>
          <w:rFonts w:asciiTheme="majorBidi" w:hAnsiTheme="majorBidi" w:cstheme="majorBidi"/>
        </w:rPr>
        <w:t xml:space="preserve"> ruler’s</w:t>
      </w:r>
      <w:r w:rsidR="00CA365F" w:rsidRPr="00EC3C91">
        <w:rPr>
          <w:rFonts w:asciiTheme="majorBidi" w:hAnsiTheme="majorBidi" w:cstheme="majorBidi"/>
        </w:rPr>
        <w:t xml:space="preserve"> discretionary opinion (</w:t>
      </w:r>
      <w:proofErr w:type="spellStart"/>
      <w:r w:rsidR="00CA365F" w:rsidRPr="00EC3C91">
        <w:rPr>
          <w:rFonts w:asciiTheme="majorBidi" w:hAnsiTheme="majorBidi" w:cstheme="majorBidi"/>
          <w:i/>
          <w:iCs/>
        </w:rPr>
        <w:t>raʾy</w:t>
      </w:r>
      <w:proofErr w:type="spellEnd"/>
      <w:r w:rsidR="00CA365F" w:rsidRPr="00EC3C91">
        <w:rPr>
          <w:rFonts w:asciiTheme="majorBidi" w:hAnsiTheme="majorBidi" w:cstheme="majorBidi"/>
        </w:rPr>
        <w:t>)</w:t>
      </w:r>
      <w:r w:rsidR="00600A15">
        <w:rPr>
          <w:rFonts w:asciiTheme="majorBidi" w:hAnsiTheme="majorBidi" w:cstheme="majorBidi"/>
        </w:rPr>
        <w:t>,</w:t>
      </w:r>
      <w:r w:rsidR="004042AF" w:rsidRPr="00EC3C91">
        <w:rPr>
          <w:rFonts w:asciiTheme="majorBidi" w:hAnsiTheme="majorBidi" w:cstheme="majorBidi"/>
        </w:rPr>
        <w:t xml:space="preserve"> to</w:t>
      </w:r>
      <w:r w:rsidR="00CA365F" w:rsidRPr="00EC3C91">
        <w:rPr>
          <w:rFonts w:asciiTheme="majorBidi" w:hAnsiTheme="majorBidi" w:cstheme="majorBidi"/>
        </w:rPr>
        <w:t xml:space="preserve"> </w:t>
      </w:r>
      <w:r w:rsidR="00F831B3">
        <w:rPr>
          <w:rFonts w:asciiTheme="majorBidi" w:hAnsiTheme="majorBidi" w:cstheme="majorBidi"/>
        </w:rPr>
        <w:t>the textual authority of scriptural texts</w:t>
      </w:r>
      <w:r w:rsidR="00D14149">
        <w:rPr>
          <w:rFonts w:asciiTheme="majorBidi" w:hAnsiTheme="majorBidi" w:cstheme="majorBidi"/>
        </w:rPr>
        <w:t xml:space="preserve"> established through legal analogy (</w:t>
      </w:r>
      <w:proofErr w:type="spellStart"/>
      <w:r w:rsidR="00D14149">
        <w:rPr>
          <w:rFonts w:asciiTheme="majorBidi" w:hAnsiTheme="majorBidi" w:cstheme="majorBidi"/>
          <w:i/>
          <w:iCs/>
        </w:rPr>
        <w:t>qiyās</w:t>
      </w:r>
      <w:proofErr w:type="spellEnd"/>
      <w:r w:rsidR="00D14149">
        <w:rPr>
          <w:rFonts w:asciiTheme="majorBidi" w:hAnsiTheme="majorBidi" w:cstheme="majorBidi"/>
        </w:rPr>
        <w:t>)</w:t>
      </w:r>
      <w:r w:rsidR="00600A15">
        <w:rPr>
          <w:rFonts w:asciiTheme="majorBidi" w:hAnsiTheme="majorBidi" w:cstheme="majorBidi"/>
        </w:rPr>
        <w:t>, over which</w:t>
      </w:r>
      <w:r w:rsidR="00C245CF">
        <w:rPr>
          <w:rFonts w:asciiTheme="majorBidi" w:hAnsiTheme="majorBidi" w:cstheme="majorBidi"/>
        </w:rPr>
        <w:t xml:space="preserve"> the </w:t>
      </w:r>
      <w:proofErr w:type="spellStart"/>
      <w:r w:rsidR="00F831B3">
        <w:rPr>
          <w:rFonts w:asciiTheme="majorBidi" w:hAnsiTheme="majorBidi" w:cstheme="majorBidi"/>
          <w:i/>
          <w:iCs/>
        </w:rPr>
        <w:t>ʿulamāʾ</w:t>
      </w:r>
      <w:proofErr w:type="spellEnd"/>
      <w:r w:rsidR="00600A15">
        <w:rPr>
          <w:rFonts w:asciiTheme="majorBidi" w:hAnsiTheme="majorBidi" w:cstheme="majorBidi"/>
          <w:i/>
          <w:iCs/>
        </w:rPr>
        <w:t xml:space="preserve"> </w:t>
      </w:r>
      <w:r w:rsidR="00600A15">
        <w:rPr>
          <w:rFonts w:asciiTheme="majorBidi" w:hAnsiTheme="majorBidi" w:cstheme="majorBidi"/>
        </w:rPr>
        <w:t xml:space="preserve">had more say. </w:t>
      </w:r>
      <w:r w:rsidR="001951E1">
        <w:rPr>
          <w:rFonts w:asciiTheme="majorBidi" w:hAnsiTheme="majorBidi" w:cstheme="majorBidi"/>
        </w:rPr>
        <w:t>The shift of authority from rulers to scripture</w:t>
      </w:r>
      <w:r w:rsidR="00D14149">
        <w:rPr>
          <w:rFonts w:asciiTheme="majorBidi" w:hAnsiTheme="majorBidi" w:cstheme="majorBidi"/>
        </w:rPr>
        <w:t xml:space="preserve"> </w:t>
      </w:r>
      <w:r w:rsidR="00E40FF8">
        <w:rPr>
          <w:rFonts w:asciiTheme="majorBidi" w:hAnsiTheme="majorBidi" w:cstheme="majorBidi"/>
        </w:rPr>
        <w:t xml:space="preserve">was most evident </w:t>
      </w:r>
      <w:r w:rsidR="00D76A3A">
        <w:rPr>
          <w:rFonts w:asciiTheme="majorBidi" w:hAnsiTheme="majorBidi" w:cstheme="majorBidi"/>
        </w:rPr>
        <w:t xml:space="preserve">in </w:t>
      </w:r>
      <w:r w:rsidR="00CA365F" w:rsidRPr="00EC3C91">
        <w:rPr>
          <w:rFonts w:asciiTheme="majorBidi" w:hAnsiTheme="majorBidi" w:cstheme="majorBidi"/>
        </w:rPr>
        <w:t>matters on which scriptu</w:t>
      </w:r>
      <w:r w:rsidR="00D14149">
        <w:rPr>
          <w:rFonts w:asciiTheme="majorBidi" w:hAnsiTheme="majorBidi" w:cstheme="majorBidi"/>
        </w:rPr>
        <w:t>re</w:t>
      </w:r>
      <w:r w:rsidR="00CA365F" w:rsidRPr="00EC3C91">
        <w:rPr>
          <w:rFonts w:asciiTheme="majorBidi" w:hAnsiTheme="majorBidi" w:cstheme="majorBidi"/>
        </w:rPr>
        <w:t xml:space="preserve"> w</w:t>
      </w:r>
      <w:r w:rsidR="00B91CC7">
        <w:rPr>
          <w:rFonts w:asciiTheme="majorBidi" w:hAnsiTheme="majorBidi" w:cstheme="majorBidi"/>
        </w:rPr>
        <w:t>as</w:t>
      </w:r>
      <w:r w:rsidR="00CA365F" w:rsidRPr="00EC3C91">
        <w:rPr>
          <w:rFonts w:asciiTheme="majorBidi" w:hAnsiTheme="majorBidi" w:cstheme="majorBidi"/>
        </w:rPr>
        <w:t xml:space="preserve"> silent</w:t>
      </w:r>
      <w:r w:rsidR="00E40FF8">
        <w:rPr>
          <w:rFonts w:asciiTheme="majorBidi" w:hAnsiTheme="majorBidi" w:cstheme="majorBidi"/>
        </w:rPr>
        <w:t>,</w:t>
      </w:r>
      <w:r w:rsidR="00E40FF8" w:rsidRPr="00E40FF8">
        <w:rPr>
          <w:rFonts w:asciiTheme="majorBidi" w:hAnsiTheme="majorBidi" w:cstheme="majorBidi"/>
        </w:rPr>
        <w:t xml:space="preserve"> </w:t>
      </w:r>
      <w:r w:rsidR="00E40FF8">
        <w:rPr>
          <w:rFonts w:asciiTheme="majorBidi" w:hAnsiTheme="majorBidi" w:cstheme="majorBidi"/>
        </w:rPr>
        <w:t xml:space="preserve">such as </w:t>
      </w:r>
      <w:r w:rsidR="00D76A3A">
        <w:rPr>
          <w:rFonts w:asciiTheme="majorBidi" w:hAnsiTheme="majorBidi" w:cstheme="majorBidi"/>
        </w:rPr>
        <w:t xml:space="preserve">the punishment for </w:t>
      </w:r>
      <w:r w:rsidR="00E40FF8">
        <w:rPr>
          <w:rFonts w:asciiTheme="majorBidi" w:hAnsiTheme="majorBidi" w:cstheme="majorBidi"/>
        </w:rPr>
        <w:t>wine drinking</w:t>
      </w:r>
      <w:r w:rsidR="00D14149">
        <w:rPr>
          <w:rFonts w:asciiTheme="majorBidi" w:hAnsiTheme="majorBidi" w:cstheme="majorBidi"/>
        </w:rPr>
        <w:t>.</w:t>
      </w:r>
      <w:r w:rsidR="00733DC3" w:rsidRPr="00EC3C91">
        <w:rPr>
          <w:rStyle w:val="FootnoteReference"/>
          <w:rFonts w:asciiTheme="majorBidi" w:hAnsiTheme="majorBidi" w:cstheme="majorBidi"/>
        </w:rPr>
        <w:footnoteReference w:id="24"/>
      </w:r>
      <w:r w:rsidR="007E579F">
        <w:rPr>
          <w:rFonts w:asciiTheme="majorBidi" w:hAnsiTheme="majorBidi" w:cstheme="majorBidi"/>
        </w:rPr>
        <w:t xml:space="preserve"> </w:t>
      </w:r>
    </w:p>
    <w:p w14:paraId="0504F492" w14:textId="17C3E4C9" w:rsidR="00E95470" w:rsidRDefault="00D11A5A" w:rsidP="0037533B">
      <w:pPr>
        <w:spacing w:line="360" w:lineRule="auto"/>
        <w:ind w:firstLine="720"/>
        <w:rPr>
          <w:rFonts w:asciiTheme="majorBidi" w:hAnsiTheme="majorBidi" w:cstheme="majorBidi"/>
        </w:rPr>
      </w:pPr>
      <w:r>
        <w:rPr>
          <w:rFonts w:asciiTheme="majorBidi" w:hAnsiTheme="majorBidi" w:cstheme="majorBidi"/>
        </w:rPr>
        <w:t>Parallel to</w:t>
      </w:r>
      <w:r w:rsidR="001951E1">
        <w:rPr>
          <w:rFonts w:asciiTheme="majorBidi" w:hAnsiTheme="majorBidi" w:cstheme="majorBidi"/>
        </w:rPr>
        <w:t xml:space="preserve"> this discursive development was the </w:t>
      </w:r>
      <w:r>
        <w:rPr>
          <w:rFonts w:asciiTheme="majorBidi" w:hAnsiTheme="majorBidi" w:cstheme="majorBidi"/>
        </w:rPr>
        <w:t xml:space="preserve">repurposing of </w:t>
      </w:r>
      <w:proofErr w:type="spellStart"/>
      <w:r w:rsidR="001951E1">
        <w:rPr>
          <w:rFonts w:asciiTheme="majorBidi" w:hAnsiTheme="majorBidi" w:cstheme="majorBidi"/>
          <w:i/>
          <w:iCs/>
        </w:rPr>
        <w:t>maṣlaḥa</w:t>
      </w:r>
      <w:proofErr w:type="spellEnd"/>
      <w:r w:rsidR="001951E1">
        <w:rPr>
          <w:rFonts w:asciiTheme="majorBidi" w:hAnsiTheme="majorBidi" w:cstheme="majorBidi"/>
        </w:rPr>
        <w:t xml:space="preserve">, </w:t>
      </w:r>
      <w:r w:rsidR="0041278A">
        <w:rPr>
          <w:rFonts w:asciiTheme="majorBidi" w:hAnsiTheme="majorBidi" w:cstheme="majorBidi"/>
        </w:rPr>
        <w:t xml:space="preserve">a term </w:t>
      </w:r>
      <w:r w:rsidR="001915C5">
        <w:rPr>
          <w:rFonts w:asciiTheme="majorBidi" w:hAnsiTheme="majorBidi" w:cstheme="majorBidi"/>
        </w:rPr>
        <w:t>usually rendered as “public interest,” “common good,” “well-being,” or “welfare”</w:t>
      </w:r>
      <w:r w:rsidR="00A86BCA">
        <w:rPr>
          <w:rFonts w:asciiTheme="majorBidi" w:hAnsiTheme="majorBidi" w:cstheme="majorBidi"/>
        </w:rPr>
        <w:t xml:space="preserve"> in English. As </w:t>
      </w:r>
      <w:proofErr w:type="spellStart"/>
      <w:r w:rsidR="00A86BCA">
        <w:rPr>
          <w:rFonts w:asciiTheme="majorBidi" w:hAnsiTheme="majorBidi" w:cstheme="majorBidi"/>
        </w:rPr>
        <w:t>Opwis</w:t>
      </w:r>
      <w:proofErr w:type="spellEnd"/>
      <w:r w:rsidR="00A86BCA">
        <w:rPr>
          <w:rFonts w:asciiTheme="majorBidi" w:hAnsiTheme="majorBidi" w:cstheme="majorBidi"/>
        </w:rPr>
        <w:t xml:space="preserve"> observes, while scholars </w:t>
      </w:r>
      <w:r w:rsidR="00E83AE7">
        <w:rPr>
          <w:rFonts w:asciiTheme="majorBidi" w:hAnsiTheme="majorBidi" w:cstheme="majorBidi"/>
        </w:rPr>
        <w:t xml:space="preserve">writing during Seljuq ascendancy </w:t>
      </w:r>
      <w:r w:rsidR="00A86BCA">
        <w:rPr>
          <w:rFonts w:asciiTheme="majorBidi" w:hAnsiTheme="majorBidi" w:cstheme="majorBidi"/>
        </w:rPr>
        <w:t xml:space="preserve">“associated considerations of </w:t>
      </w:r>
      <w:proofErr w:type="spellStart"/>
      <w:r w:rsidR="00A86BCA">
        <w:rPr>
          <w:rFonts w:asciiTheme="majorBidi" w:hAnsiTheme="majorBidi" w:cstheme="majorBidi"/>
          <w:i/>
          <w:iCs/>
        </w:rPr>
        <w:t>maṣlaḥa</w:t>
      </w:r>
      <w:proofErr w:type="spellEnd"/>
      <w:r w:rsidR="00A86BCA">
        <w:rPr>
          <w:rFonts w:asciiTheme="majorBidi" w:hAnsiTheme="majorBidi" w:cstheme="majorBidi"/>
        </w:rPr>
        <w:t xml:space="preserve"> </w:t>
      </w:r>
      <w:r w:rsidR="00A86BCA">
        <w:rPr>
          <w:rFonts w:asciiTheme="majorBidi" w:hAnsiTheme="majorBidi" w:cstheme="majorBidi"/>
        </w:rPr>
        <w:lastRenderedPageBreak/>
        <w:t xml:space="preserve">primarily with secular authority and </w:t>
      </w:r>
      <w:proofErr w:type="spellStart"/>
      <w:r w:rsidR="00A86BCA">
        <w:rPr>
          <w:rFonts w:asciiTheme="majorBidi" w:hAnsiTheme="majorBidi" w:cstheme="majorBidi"/>
          <w:i/>
          <w:iCs/>
        </w:rPr>
        <w:t>siyāsa</w:t>
      </w:r>
      <w:proofErr w:type="spellEnd"/>
      <w:r w:rsidR="00A86BCA">
        <w:rPr>
          <w:rFonts w:asciiTheme="majorBidi" w:hAnsiTheme="majorBidi" w:cstheme="majorBidi"/>
        </w:rPr>
        <w:t>,” later scholars</w:t>
      </w:r>
      <w:r w:rsidR="00962F83">
        <w:rPr>
          <w:rFonts w:asciiTheme="majorBidi" w:hAnsiTheme="majorBidi" w:cstheme="majorBidi"/>
        </w:rPr>
        <w:t xml:space="preserve"> </w:t>
      </w:r>
      <w:r w:rsidR="00BD0818">
        <w:rPr>
          <w:rFonts w:asciiTheme="majorBidi" w:hAnsiTheme="majorBidi" w:cstheme="majorBidi"/>
        </w:rPr>
        <w:t>wrested</w:t>
      </w:r>
      <w:r w:rsidR="00962F83">
        <w:rPr>
          <w:rFonts w:asciiTheme="majorBidi" w:hAnsiTheme="majorBidi" w:cstheme="majorBidi"/>
        </w:rPr>
        <w:t xml:space="preserve"> </w:t>
      </w:r>
      <w:proofErr w:type="spellStart"/>
      <w:r w:rsidR="00962F83">
        <w:rPr>
          <w:rFonts w:asciiTheme="majorBidi" w:hAnsiTheme="majorBidi" w:cstheme="majorBidi"/>
          <w:i/>
          <w:iCs/>
        </w:rPr>
        <w:t>maṣlaḥa</w:t>
      </w:r>
      <w:proofErr w:type="spellEnd"/>
      <w:r w:rsidR="00962F83">
        <w:rPr>
          <w:rFonts w:asciiTheme="majorBidi" w:hAnsiTheme="majorBidi" w:cstheme="majorBidi"/>
        </w:rPr>
        <w:t xml:space="preserve"> </w:t>
      </w:r>
      <w:r w:rsidR="00E83AE7">
        <w:rPr>
          <w:rFonts w:asciiTheme="majorBidi" w:hAnsiTheme="majorBidi" w:cstheme="majorBidi"/>
        </w:rPr>
        <w:t xml:space="preserve">away </w:t>
      </w:r>
      <w:r w:rsidR="00962F83">
        <w:rPr>
          <w:rFonts w:asciiTheme="majorBidi" w:hAnsiTheme="majorBidi" w:cstheme="majorBidi"/>
        </w:rPr>
        <w:t xml:space="preserve">from political rulers and </w:t>
      </w:r>
      <w:r w:rsidR="00CA75EF">
        <w:rPr>
          <w:rFonts w:asciiTheme="majorBidi" w:hAnsiTheme="majorBidi" w:cstheme="majorBidi"/>
        </w:rPr>
        <w:t xml:space="preserve">appropriated it within the realm of </w:t>
      </w:r>
      <w:proofErr w:type="spellStart"/>
      <w:r w:rsidR="00CA75EF">
        <w:rPr>
          <w:rFonts w:asciiTheme="majorBidi" w:hAnsiTheme="majorBidi" w:cstheme="majorBidi"/>
          <w:i/>
          <w:iCs/>
        </w:rPr>
        <w:t>fiqh</w:t>
      </w:r>
      <w:proofErr w:type="spellEnd"/>
      <w:r w:rsidR="00CA75EF">
        <w:rPr>
          <w:rFonts w:asciiTheme="majorBidi" w:hAnsiTheme="majorBidi" w:cstheme="majorBidi"/>
        </w:rPr>
        <w:t xml:space="preserve"> by </w:t>
      </w:r>
      <w:r w:rsidR="00E83AE7">
        <w:rPr>
          <w:rFonts w:asciiTheme="majorBidi" w:hAnsiTheme="majorBidi" w:cstheme="majorBidi"/>
        </w:rPr>
        <w:t>redefin</w:t>
      </w:r>
      <w:r w:rsidR="00CA75EF">
        <w:rPr>
          <w:rFonts w:asciiTheme="majorBidi" w:hAnsiTheme="majorBidi" w:cstheme="majorBidi"/>
        </w:rPr>
        <w:t>ing</w:t>
      </w:r>
      <w:r w:rsidR="00E83AE7">
        <w:rPr>
          <w:rFonts w:asciiTheme="majorBidi" w:hAnsiTheme="majorBidi" w:cstheme="majorBidi"/>
        </w:rPr>
        <w:t xml:space="preserve"> it in religious terms as </w:t>
      </w:r>
      <w:r w:rsidR="00BD0818">
        <w:rPr>
          <w:rFonts w:asciiTheme="majorBidi" w:hAnsiTheme="majorBidi" w:cstheme="majorBidi"/>
        </w:rPr>
        <w:t>“</w:t>
      </w:r>
      <w:r w:rsidR="00E83AE7">
        <w:rPr>
          <w:rFonts w:asciiTheme="majorBidi" w:hAnsiTheme="majorBidi" w:cstheme="majorBidi"/>
        </w:rPr>
        <w:t xml:space="preserve">the purpose of the </w:t>
      </w:r>
      <w:proofErr w:type="spellStart"/>
      <w:r w:rsidR="00BD0818">
        <w:rPr>
          <w:rFonts w:asciiTheme="majorBidi" w:hAnsiTheme="majorBidi" w:cstheme="majorBidi"/>
          <w:i/>
          <w:iCs/>
        </w:rPr>
        <w:t>s</w:t>
      </w:r>
      <w:r w:rsidR="00E83AE7" w:rsidRPr="00BD0818">
        <w:rPr>
          <w:rFonts w:asciiTheme="majorBidi" w:hAnsiTheme="majorBidi" w:cstheme="majorBidi"/>
          <w:i/>
          <w:iCs/>
        </w:rPr>
        <w:t>harīʿa</w:t>
      </w:r>
      <w:proofErr w:type="spellEnd"/>
      <w:r w:rsidR="00D44C6F">
        <w:rPr>
          <w:rFonts w:asciiTheme="majorBidi" w:hAnsiTheme="majorBidi" w:cstheme="majorBidi"/>
        </w:rPr>
        <w:t>.</w:t>
      </w:r>
      <w:r w:rsidR="00BD0818">
        <w:rPr>
          <w:rFonts w:asciiTheme="majorBidi" w:hAnsiTheme="majorBidi" w:cstheme="majorBidi"/>
        </w:rPr>
        <w:t>”</w:t>
      </w:r>
      <w:r w:rsidR="00962F83">
        <w:rPr>
          <w:rFonts w:asciiTheme="majorBidi" w:hAnsiTheme="majorBidi" w:cstheme="majorBidi"/>
        </w:rPr>
        <w:t xml:space="preserve"> </w:t>
      </w:r>
      <w:r w:rsidR="0057791E">
        <w:rPr>
          <w:rFonts w:asciiTheme="majorBidi" w:hAnsiTheme="majorBidi" w:cstheme="majorBidi"/>
        </w:rPr>
        <w:t xml:space="preserve">Doing </w:t>
      </w:r>
      <w:r w:rsidR="00DD5AB5">
        <w:rPr>
          <w:rFonts w:asciiTheme="majorBidi" w:hAnsiTheme="majorBidi" w:cstheme="majorBidi"/>
        </w:rPr>
        <w:t>so</w:t>
      </w:r>
      <w:r w:rsidR="0057791E">
        <w:rPr>
          <w:rFonts w:asciiTheme="majorBidi" w:hAnsiTheme="majorBidi" w:cstheme="majorBidi"/>
        </w:rPr>
        <w:t xml:space="preserve"> allowed </w:t>
      </w:r>
      <w:r w:rsidR="00BD0818">
        <w:rPr>
          <w:rFonts w:asciiTheme="majorBidi" w:hAnsiTheme="majorBidi" w:cstheme="majorBidi"/>
        </w:rPr>
        <w:t>them</w:t>
      </w:r>
      <w:r w:rsidR="0057791E">
        <w:rPr>
          <w:rFonts w:asciiTheme="majorBidi" w:hAnsiTheme="majorBidi" w:cstheme="majorBidi"/>
        </w:rPr>
        <w:t xml:space="preserve"> to </w:t>
      </w:r>
      <w:r w:rsidR="00CA75EF">
        <w:rPr>
          <w:rFonts w:asciiTheme="majorBidi" w:hAnsiTheme="majorBidi" w:cstheme="majorBidi"/>
        </w:rPr>
        <w:t>assert</w:t>
      </w:r>
      <w:r w:rsidR="0057791E">
        <w:rPr>
          <w:rFonts w:asciiTheme="majorBidi" w:hAnsiTheme="majorBidi" w:cstheme="majorBidi"/>
        </w:rPr>
        <w:t xml:space="preserve"> that the </w:t>
      </w:r>
      <w:proofErr w:type="spellStart"/>
      <w:r w:rsidR="0057791E">
        <w:rPr>
          <w:rFonts w:asciiTheme="majorBidi" w:hAnsiTheme="majorBidi" w:cstheme="majorBidi"/>
          <w:i/>
          <w:iCs/>
        </w:rPr>
        <w:t>sharīʿa</w:t>
      </w:r>
      <w:proofErr w:type="spellEnd"/>
      <w:r w:rsidR="00BD0818">
        <w:rPr>
          <w:rFonts w:asciiTheme="majorBidi" w:hAnsiTheme="majorBidi" w:cstheme="majorBidi"/>
          <w:i/>
          <w:iCs/>
        </w:rPr>
        <w:t xml:space="preserve"> </w:t>
      </w:r>
      <w:r w:rsidR="0057791E">
        <w:rPr>
          <w:rFonts w:asciiTheme="majorBidi" w:hAnsiTheme="majorBidi" w:cstheme="majorBidi"/>
        </w:rPr>
        <w:t>encompass</w:t>
      </w:r>
      <w:r w:rsidR="00BD0818">
        <w:rPr>
          <w:rFonts w:asciiTheme="majorBidi" w:hAnsiTheme="majorBidi" w:cstheme="majorBidi"/>
        </w:rPr>
        <w:t xml:space="preserve">ed </w:t>
      </w:r>
      <w:r w:rsidR="0057791E">
        <w:rPr>
          <w:rFonts w:asciiTheme="majorBidi" w:hAnsiTheme="majorBidi" w:cstheme="majorBidi"/>
        </w:rPr>
        <w:t>all aspects of human welfare</w:t>
      </w:r>
      <w:r w:rsidR="00BD0818">
        <w:rPr>
          <w:rFonts w:asciiTheme="majorBidi" w:hAnsiTheme="majorBidi" w:cstheme="majorBidi"/>
        </w:rPr>
        <w:t>, including those not explicitly addressed in the scriptural texts</w:t>
      </w:r>
      <w:r w:rsidR="0057791E">
        <w:rPr>
          <w:rFonts w:asciiTheme="majorBidi" w:hAnsiTheme="majorBidi" w:cstheme="majorBidi"/>
        </w:rPr>
        <w:t xml:space="preserve">. </w:t>
      </w:r>
      <w:r w:rsidR="00F3382C">
        <w:rPr>
          <w:rFonts w:asciiTheme="majorBidi" w:hAnsiTheme="majorBidi" w:cstheme="majorBidi"/>
        </w:rPr>
        <w:t>Th</w:t>
      </w:r>
      <w:r w:rsidR="00CA75EF">
        <w:rPr>
          <w:rFonts w:asciiTheme="majorBidi" w:hAnsiTheme="majorBidi" w:cstheme="majorBidi"/>
        </w:rPr>
        <w:t>is</w:t>
      </w:r>
      <w:r w:rsidR="00F3382C">
        <w:rPr>
          <w:rFonts w:asciiTheme="majorBidi" w:hAnsiTheme="majorBidi" w:cstheme="majorBidi"/>
        </w:rPr>
        <w:t xml:space="preserve"> effort</w:t>
      </w:r>
      <w:r>
        <w:rPr>
          <w:rFonts w:asciiTheme="majorBidi" w:hAnsiTheme="majorBidi" w:cstheme="majorBidi"/>
        </w:rPr>
        <w:t xml:space="preserve"> </w:t>
      </w:r>
      <w:r w:rsidR="00BF10FA">
        <w:rPr>
          <w:rFonts w:asciiTheme="majorBidi" w:hAnsiTheme="majorBidi" w:cstheme="majorBidi"/>
        </w:rPr>
        <w:t>provided</w:t>
      </w:r>
      <w:r>
        <w:rPr>
          <w:rFonts w:asciiTheme="majorBidi" w:hAnsiTheme="majorBidi" w:cstheme="majorBidi"/>
        </w:rPr>
        <w:t xml:space="preserve"> jurists, as guardians of the </w:t>
      </w:r>
      <w:proofErr w:type="spellStart"/>
      <w:r>
        <w:rPr>
          <w:rFonts w:asciiTheme="majorBidi" w:hAnsiTheme="majorBidi" w:cstheme="majorBidi"/>
          <w:i/>
          <w:iCs/>
        </w:rPr>
        <w:t>sharīʿa</w:t>
      </w:r>
      <w:proofErr w:type="spellEnd"/>
      <w:r>
        <w:rPr>
          <w:rFonts w:asciiTheme="majorBidi" w:hAnsiTheme="majorBidi" w:cstheme="majorBidi"/>
        </w:rPr>
        <w:t xml:space="preserve">, </w:t>
      </w:r>
      <w:r w:rsidR="00BF10FA">
        <w:rPr>
          <w:rFonts w:asciiTheme="majorBidi" w:hAnsiTheme="majorBidi" w:cstheme="majorBidi"/>
        </w:rPr>
        <w:t xml:space="preserve">with intellectual arsenal </w:t>
      </w:r>
      <w:r>
        <w:rPr>
          <w:rFonts w:asciiTheme="majorBidi" w:hAnsiTheme="majorBidi" w:cstheme="majorBidi"/>
        </w:rPr>
        <w:t xml:space="preserve">to challenge the ruler’s prerogatives over </w:t>
      </w:r>
      <w:r w:rsidR="001613A7">
        <w:rPr>
          <w:rFonts w:asciiTheme="majorBidi" w:hAnsiTheme="majorBidi" w:cstheme="majorBidi"/>
        </w:rPr>
        <w:t>human affairs</w:t>
      </w:r>
      <w:r w:rsidR="00F3382C">
        <w:rPr>
          <w:rFonts w:asciiTheme="majorBidi" w:hAnsiTheme="majorBidi" w:cstheme="majorBidi"/>
        </w:rPr>
        <w:t>.</w:t>
      </w:r>
      <w:r w:rsidR="00AF42E1">
        <w:rPr>
          <w:rStyle w:val="FootnoteReference"/>
          <w:rFonts w:asciiTheme="majorBidi" w:hAnsiTheme="majorBidi" w:cstheme="majorBidi"/>
        </w:rPr>
        <w:footnoteReference w:id="25"/>
      </w:r>
      <w:r w:rsidR="001613A7">
        <w:rPr>
          <w:rFonts w:asciiTheme="majorBidi" w:hAnsiTheme="majorBidi" w:cstheme="majorBidi"/>
        </w:rPr>
        <w:t xml:space="preserve"> When it came to the issue of punishments, </w:t>
      </w:r>
      <w:proofErr w:type="spellStart"/>
      <w:r w:rsidR="001613A7">
        <w:rPr>
          <w:rFonts w:asciiTheme="majorBidi" w:hAnsiTheme="majorBidi" w:cstheme="majorBidi"/>
          <w:i/>
          <w:iCs/>
        </w:rPr>
        <w:t>maṣlaḥa</w:t>
      </w:r>
      <w:proofErr w:type="spellEnd"/>
      <w:r w:rsidR="001613A7">
        <w:rPr>
          <w:rFonts w:asciiTheme="majorBidi" w:hAnsiTheme="majorBidi" w:cstheme="majorBidi"/>
        </w:rPr>
        <w:t xml:space="preserve"> became the jurist’</w:t>
      </w:r>
      <w:r w:rsidR="00E14139">
        <w:rPr>
          <w:rFonts w:asciiTheme="majorBidi" w:hAnsiTheme="majorBidi" w:cstheme="majorBidi"/>
        </w:rPr>
        <w:t>s</w:t>
      </w:r>
      <w:r w:rsidR="001613A7">
        <w:rPr>
          <w:rFonts w:asciiTheme="majorBidi" w:hAnsiTheme="majorBidi" w:cstheme="majorBidi"/>
        </w:rPr>
        <w:t xml:space="preserve"> weapon to edge out the </w:t>
      </w:r>
      <w:r w:rsidR="00E14139">
        <w:rPr>
          <w:rFonts w:asciiTheme="majorBidi" w:hAnsiTheme="majorBidi" w:cstheme="majorBidi"/>
        </w:rPr>
        <w:t>ruler</w:t>
      </w:r>
      <w:r w:rsidR="0002492D">
        <w:rPr>
          <w:rFonts w:asciiTheme="majorBidi" w:hAnsiTheme="majorBidi" w:cstheme="majorBidi"/>
        </w:rPr>
        <w:t>’</w:t>
      </w:r>
      <w:r w:rsidR="00E14139">
        <w:rPr>
          <w:rFonts w:asciiTheme="majorBidi" w:hAnsiTheme="majorBidi" w:cstheme="majorBidi"/>
        </w:rPr>
        <w:t>s</w:t>
      </w:r>
      <w:r w:rsidR="0002492D">
        <w:rPr>
          <w:rFonts w:asciiTheme="majorBidi" w:hAnsiTheme="majorBidi" w:cstheme="majorBidi"/>
        </w:rPr>
        <w:t xml:space="preserve"> </w:t>
      </w:r>
      <w:proofErr w:type="spellStart"/>
      <w:r w:rsidR="0002492D">
        <w:rPr>
          <w:rFonts w:asciiTheme="majorBidi" w:hAnsiTheme="majorBidi" w:cstheme="majorBidi"/>
          <w:i/>
          <w:iCs/>
        </w:rPr>
        <w:t>siyāsa</w:t>
      </w:r>
      <w:proofErr w:type="spellEnd"/>
      <w:r w:rsidR="001613A7">
        <w:rPr>
          <w:rFonts w:asciiTheme="majorBidi" w:hAnsiTheme="majorBidi" w:cstheme="majorBidi"/>
        </w:rPr>
        <w:t xml:space="preserve"> at the discursive level.</w:t>
      </w:r>
    </w:p>
    <w:p w14:paraId="2C7DEE77" w14:textId="76321149" w:rsidR="0001394D" w:rsidRDefault="0001394D" w:rsidP="0037533B">
      <w:pPr>
        <w:spacing w:line="360" w:lineRule="auto"/>
        <w:rPr>
          <w:rFonts w:asciiTheme="majorBidi" w:hAnsiTheme="majorBidi" w:cstheme="majorBidi"/>
        </w:rPr>
      </w:pPr>
    </w:p>
    <w:p w14:paraId="79CE175A" w14:textId="391606A5" w:rsidR="0001394D" w:rsidRDefault="00DD5AB5" w:rsidP="0037533B">
      <w:pPr>
        <w:spacing w:line="360" w:lineRule="auto"/>
        <w:rPr>
          <w:rFonts w:asciiTheme="majorBidi" w:hAnsiTheme="majorBidi" w:cstheme="majorBidi"/>
          <w:u w:val="single"/>
        </w:rPr>
      </w:pPr>
      <w:r>
        <w:rPr>
          <w:rFonts w:asciiTheme="majorBidi" w:hAnsiTheme="majorBidi" w:cstheme="majorBidi"/>
          <w:u w:val="single"/>
        </w:rPr>
        <w:t xml:space="preserve">Sunni </w:t>
      </w:r>
      <w:r w:rsidR="0001394D">
        <w:rPr>
          <w:rFonts w:asciiTheme="majorBidi" w:hAnsiTheme="majorBidi" w:cstheme="majorBidi"/>
          <w:u w:val="single"/>
        </w:rPr>
        <w:t>Attitudes toward Ruler-Scholar Relations: An Overview</w:t>
      </w:r>
    </w:p>
    <w:p w14:paraId="1D09C29B" w14:textId="77777777" w:rsidR="00E9380C" w:rsidRPr="0001394D" w:rsidRDefault="00E9380C" w:rsidP="0037533B">
      <w:pPr>
        <w:spacing w:line="360" w:lineRule="auto"/>
        <w:rPr>
          <w:rFonts w:asciiTheme="majorBidi" w:hAnsiTheme="majorBidi" w:cstheme="majorBidi"/>
          <w:u w:val="single"/>
        </w:rPr>
      </w:pPr>
    </w:p>
    <w:p w14:paraId="30FD634E" w14:textId="7791FBF7" w:rsidR="0022016D" w:rsidRDefault="00853D5C" w:rsidP="0037533B">
      <w:pPr>
        <w:spacing w:line="360" w:lineRule="auto"/>
        <w:ind w:firstLine="720"/>
        <w:rPr>
          <w:rFonts w:asciiTheme="majorBidi" w:hAnsiTheme="majorBidi" w:cstheme="majorBidi"/>
        </w:rPr>
      </w:pPr>
      <w:r>
        <w:rPr>
          <w:rFonts w:asciiTheme="majorBidi" w:hAnsiTheme="majorBidi" w:cstheme="majorBidi"/>
        </w:rPr>
        <w:t xml:space="preserve">Putting things in a wider perspective, the debates surrounding </w:t>
      </w:r>
      <w:proofErr w:type="spellStart"/>
      <w:r>
        <w:rPr>
          <w:rFonts w:asciiTheme="majorBidi" w:hAnsiTheme="majorBidi" w:cstheme="majorBidi"/>
          <w:i/>
          <w:iCs/>
        </w:rPr>
        <w:t>taʿzīr</w:t>
      </w:r>
      <w:proofErr w:type="spellEnd"/>
      <w:r w:rsidR="001B728A">
        <w:rPr>
          <w:rFonts w:asciiTheme="majorBidi" w:hAnsiTheme="majorBidi" w:cstheme="majorBidi"/>
        </w:rPr>
        <w:t>,</w:t>
      </w:r>
      <w:r w:rsidR="001B728A">
        <w:rPr>
          <w:rFonts w:asciiTheme="majorBidi" w:hAnsiTheme="majorBidi" w:cstheme="majorBidi"/>
          <w:i/>
          <w:iCs/>
        </w:rPr>
        <w:t xml:space="preserve"> </w:t>
      </w:r>
      <w:proofErr w:type="spellStart"/>
      <w:r>
        <w:rPr>
          <w:rFonts w:asciiTheme="majorBidi" w:hAnsiTheme="majorBidi" w:cstheme="majorBidi"/>
          <w:i/>
          <w:iCs/>
        </w:rPr>
        <w:t>siyāsa</w:t>
      </w:r>
      <w:proofErr w:type="spellEnd"/>
      <w:r w:rsidR="001B728A">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and </w:t>
      </w:r>
      <w:proofErr w:type="spellStart"/>
      <w:r>
        <w:rPr>
          <w:rFonts w:asciiTheme="majorBidi" w:hAnsiTheme="majorBidi" w:cstheme="majorBidi"/>
          <w:i/>
          <w:iCs/>
        </w:rPr>
        <w:t>sharīʿa</w:t>
      </w:r>
      <w:proofErr w:type="spellEnd"/>
      <w:r>
        <w:rPr>
          <w:rFonts w:asciiTheme="majorBidi" w:hAnsiTheme="majorBidi" w:cstheme="majorBidi"/>
        </w:rPr>
        <w:t xml:space="preserve"> </w:t>
      </w:r>
      <w:r w:rsidR="00B62291">
        <w:rPr>
          <w:rFonts w:asciiTheme="majorBidi" w:hAnsiTheme="majorBidi" w:cstheme="majorBidi"/>
        </w:rPr>
        <w:t xml:space="preserve">largely </w:t>
      </w:r>
      <w:r w:rsidR="002268CB">
        <w:rPr>
          <w:rFonts w:asciiTheme="majorBidi" w:hAnsiTheme="majorBidi" w:cstheme="majorBidi"/>
        </w:rPr>
        <w:t xml:space="preserve">hinge on the role of </w:t>
      </w:r>
      <w:r w:rsidR="004972DE">
        <w:rPr>
          <w:rFonts w:asciiTheme="majorBidi" w:hAnsiTheme="majorBidi" w:cstheme="majorBidi"/>
        </w:rPr>
        <w:t xml:space="preserve">the </w:t>
      </w:r>
      <w:proofErr w:type="spellStart"/>
      <w:r w:rsidR="004972DE">
        <w:rPr>
          <w:rFonts w:asciiTheme="majorBidi" w:hAnsiTheme="majorBidi" w:cstheme="majorBidi"/>
          <w:i/>
          <w:iCs/>
        </w:rPr>
        <w:t>ʿulamāʾ</w:t>
      </w:r>
      <w:proofErr w:type="spellEnd"/>
      <w:r w:rsidR="002268CB">
        <w:rPr>
          <w:rFonts w:asciiTheme="majorBidi" w:hAnsiTheme="majorBidi" w:cstheme="majorBidi"/>
        </w:rPr>
        <w:t xml:space="preserve"> in politics</w:t>
      </w:r>
      <w:r w:rsidR="00EB2320">
        <w:rPr>
          <w:rFonts w:asciiTheme="majorBidi" w:hAnsiTheme="majorBidi" w:cstheme="majorBidi"/>
        </w:rPr>
        <w:t>.</w:t>
      </w:r>
      <w:r w:rsidR="00923F82">
        <w:rPr>
          <w:rFonts w:asciiTheme="majorBidi" w:hAnsiTheme="majorBidi" w:cstheme="majorBidi"/>
        </w:rPr>
        <w:t xml:space="preserve"> The circumscribing of</w:t>
      </w:r>
      <w:r w:rsidR="00F160CE">
        <w:rPr>
          <w:rFonts w:asciiTheme="majorBidi" w:hAnsiTheme="majorBidi" w:cstheme="majorBidi"/>
        </w:rPr>
        <w:t xml:space="preserve"> </w:t>
      </w:r>
      <w:r w:rsidR="00923F82">
        <w:rPr>
          <w:rFonts w:asciiTheme="majorBidi" w:hAnsiTheme="majorBidi" w:cstheme="majorBidi"/>
        </w:rPr>
        <w:t xml:space="preserve">criminal </w:t>
      </w:r>
      <w:r w:rsidR="00D66A14">
        <w:rPr>
          <w:rFonts w:asciiTheme="majorBidi" w:hAnsiTheme="majorBidi" w:cstheme="majorBidi"/>
        </w:rPr>
        <w:t>law</w:t>
      </w:r>
      <w:r w:rsidR="005402AE">
        <w:rPr>
          <w:rFonts w:asciiTheme="majorBidi" w:hAnsiTheme="majorBidi" w:cstheme="majorBidi"/>
        </w:rPr>
        <w:t>s</w:t>
      </w:r>
      <w:r w:rsidR="00923F82">
        <w:rPr>
          <w:rFonts w:asciiTheme="majorBidi" w:hAnsiTheme="majorBidi" w:cstheme="majorBidi"/>
        </w:rPr>
        <w:t xml:space="preserve">, as </w:t>
      </w:r>
      <w:r w:rsidR="0041278A">
        <w:rPr>
          <w:rFonts w:asciiTheme="majorBidi" w:hAnsiTheme="majorBidi" w:cstheme="majorBidi"/>
        </w:rPr>
        <w:t>outlined</w:t>
      </w:r>
      <w:r w:rsidR="00923F82">
        <w:rPr>
          <w:rFonts w:asciiTheme="majorBidi" w:hAnsiTheme="majorBidi" w:cstheme="majorBidi"/>
        </w:rPr>
        <w:t xml:space="preserve"> above, can be read as a triumph for the </w:t>
      </w:r>
      <w:proofErr w:type="spellStart"/>
      <w:r w:rsidR="00923F82">
        <w:rPr>
          <w:rFonts w:asciiTheme="majorBidi" w:hAnsiTheme="majorBidi" w:cstheme="majorBidi"/>
          <w:i/>
          <w:iCs/>
        </w:rPr>
        <w:t>ʿulamāʾ</w:t>
      </w:r>
      <w:proofErr w:type="spellEnd"/>
      <w:r w:rsidR="00923F82">
        <w:rPr>
          <w:rFonts w:asciiTheme="majorBidi" w:hAnsiTheme="majorBidi" w:cstheme="majorBidi"/>
          <w:i/>
          <w:iCs/>
        </w:rPr>
        <w:t xml:space="preserve"> </w:t>
      </w:r>
      <w:r w:rsidR="00923F82">
        <w:rPr>
          <w:rFonts w:asciiTheme="majorBidi" w:hAnsiTheme="majorBidi" w:cstheme="majorBidi"/>
        </w:rPr>
        <w:t>in claiming “discursive hegemony</w:t>
      </w:r>
      <w:r w:rsidR="00F4022F">
        <w:rPr>
          <w:rFonts w:asciiTheme="majorBidi" w:hAnsiTheme="majorBidi" w:cstheme="majorBidi"/>
        </w:rPr>
        <w:t>” over the legal sphere</w:t>
      </w:r>
      <w:r w:rsidR="0041278A">
        <w:rPr>
          <w:rFonts w:asciiTheme="majorBidi" w:hAnsiTheme="majorBidi" w:cstheme="majorBidi"/>
        </w:rPr>
        <w:t xml:space="preserve"> and hence</w:t>
      </w:r>
      <w:r w:rsidR="00F160CE">
        <w:rPr>
          <w:rFonts w:asciiTheme="majorBidi" w:hAnsiTheme="majorBidi" w:cstheme="majorBidi"/>
        </w:rPr>
        <w:t xml:space="preserve"> </w:t>
      </w:r>
      <w:r w:rsidR="00F4022F">
        <w:rPr>
          <w:rFonts w:asciiTheme="majorBidi" w:hAnsiTheme="majorBidi" w:cstheme="majorBidi"/>
        </w:rPr>
        <w:t xml:space="preserve">protecting it from encroachment by the political authorities. But </w:t>
      </w:r>
      <w:r w:rsidR="009B75D4">
        <w:rPr>
          <w:rFonts w:asciiTheme="majorBidi" w:hAnsiTheme="majorBidi" w:cstheme="majorBidi"/>
        </w:rPr>
        <w:t>this discursive triumph also masked a tacit recognition that the public and political sphere had</w:t>
      </w:r>
      <w:r w:rsidR="0041278A">
        <w:rPr>
          <w:rFonts w:asciiTheme="majorBidi" w:hAnsiTheme="majorBidi" w:cstheme="majorBidi"/>
        </w:rPr>
        <w:t xml:space="preserve"> </w:t>
      </w:r>
      <w:r w:rsidR="009B75D4">
        <w:rPr>
          <w:rFonts w:asciiTheme="majorBidi" w:hAnsiTheme="majorBidi" w:cstheme="majorBidi"/>
        </w:rPr>
        <w:t>become a lost caus</w:t>
      </w:r>
      <w:r w:rsidR="009E5C08">
        <w:rPr>
          <w:rFonts w:asciiTheme="majorBidi" w:hAnsiTheme="majorBidi" w:cstheme="majorBidi"/>
        </w:rPr>
        <w:t>e</w:t>
      </w:r>
      <w:r w:rsidR="000E5DE9">
        <w:rPr>
          <w:rFonts w:asciiTheme="majorBidi" w:hAnsiTheme="majorBidi" w:cstheme="majorBidi"/>
        </w:rPr>
        <w:t>.</w:t>
      </w:r>
      <w:r w:rsidR="00BD6C97">
        <w:rPr>
          <w:rFonts w:asciiTheme="majorBidi" w:hAnsiTheme="majorBidi" w:cstheme="majorBidi"/>
        </w:rPr>
        <w:t xml:space="preserve"> Faced with repressive regimes and the fear of arbitrary punishments, the room for actual action aim</w:t>
      </w:r>
      <w:r w:rsidR="00F160CE">
        <w:rPr>
          <w:rFonts w:asciiTheme="majorBidi" w:hAnsiTheme="majorBidi" w:cstheme="majorBidi"/>
        </w:rPr>
        <w:t>ed</w:t>
      </w:r>
      <w:r w:rsidR="00BD6C97">
        <w:rPr>
          <w:rFonts w:asciiTheme="majorBidi" w:hAnsiTheme="majorBidi" w:cstheme="majorBidi"/>
        </w:rPr>
        <w:t xml:space="preserve"> at political reform</w:t>
      </w:r>
      <w:r w:rsidR="00F160CE">
        <w:rPr>
          <w:rFonts w:asciiTheme="majorBidi" w:hAnsiTheme="majorBidi" w:cstheme="majorBidi"/>
        </w:rPr>
        <w:t xml:space="preserve"> on the part of the scholars narrowed significantly</w:t>
      </w:r>
      <w:r w:rsidR="0041278A">
        <w:rPr>
          <w:rFonts w:asciiTheme="majorBidi" w:hAnsiTheme="majorBidi" w:cstheme="majorBidi"/>
        </w:rPr>
        <w:t xml:space="preserve">, while </w:t>
      </w:r>
      <w:r w:rsidR="00F160CE">
        <w:rPr>
          <w:rFonts w:asciiTheme="majorBidi" w:hAnsiTheme="majorBidi" w:cstheme="majorBidi"/>
        </w:rPr>
        <w:t xml:space="preserve">the textual and discursive realm </w:t>
      </w:r>
      <w:r w:rsidR="00E81590">
        <w:rPr>
          <w:rFonts w:asciiTheme="majorBidi" w:hAnsiTheme="majorBidi" w:cstheme="majorBidi"/>
        </w:rPr>
        <w:t>remained</w:t>
      </w:r>
      <w:r w:rsidR="00081ACC">
        <w:rPr>
          <w:rFonts w:asciiTheme="majorBidi" w:hAnsiTheme="majorBidi" w:cstheme="majorBidi"/>
        </w:rPr>
        <w:t xml:space="preserve"> the only space in which they could maneuver </w:t>
      </w:r>
      <w:r w:rsidR="009F1A35">
        <w:rPr>
          <w:rFonts w:asciiTheme="majorBidi" w:hAnsiTheme="majorBidi" w:cstheme="majorBidi"/>
        </w:rPr>
        <w:t>to assert</w:t>
      </w:r>
      <w:r w:rsidR="00081ACC">
        <w:rPr>
          <w:rFonts w:asciiTheme="majorBidi" w:hAnsiTheme="majorBidi" w:cstheme="majorBidi"/>
        </w:rPr>
        <w:t xml:space="preserve"> some semblance of authority.</w:t>
      </w:r>
      <w:r w:rsidR="009F683C">
        <w:rPr>
          <w:rFonts w:asciiTheme="majorBidi" w:hAnsiTheme="majorBidi" w:cstheme="majorBidi"/>
        </w:rPr>
        <w:t xml:space="preserve"> </w:t>
      </w:r>
    </w:p>
    <w:p w14:paraId="3C9C8608" w14:textId="36246AD0" w:rsidR="009F43F2" w:rsidRDefault="009F683C" w:rsidP="0037533B">
      <w:pPr>
        <w:spacing w:line="360" w:lineRule="auto"/>
        <w:ind w:firstLine="720"/>
        <w:rPr>
          <w:rFonts w:asciiTheme="majorBidi" w:hAnsiTheme="majorBidi" w:cstheme="majorBidi"/>
        </w:rPr>
      </w:pPr>
      <w:r>
        <w:rPr>
          <w:rFonts w:asciiTheme="majorBidi" w:hAnsiTheme="majorBidi" w:cstheme="majorBidi"/>
        </w:rPr>
        <w:t xml:space="preserve">Anjum </w:t>
      </w:r>
      <w:r w:rsidR="001B2C11">
        <w:rPr>
          <w:rFonts w:asciiTheme="majorBidi" w:hAnsiTheme="majorBidi" w:cstheme="majorBidi"/>
        </w:rPr>
        <w:t>diagnoses</w:t>
      </w:r>
      <w:r>
        <w:rPr>
          <w:rFonts w:asciiTheme="majorBidi" w:hAnsiTheme="majorBidi" w:cstheme="majorBidi"/>
        </w:rPr>
        <w:t xml:space="preserve"> this phenomenon as </w:t>
      </w:r>
      <w:r w:rsidR="007B1981">
        <w:rPr>
          <w:rFonts w:asciiTheme="majorBidi" w:hAnsiTheme="majorBidi" w:cstheme="majorBidi"/>
        </w:rPr>
        <w:t xml:space="preserve">symptomatic of </w:t>
      </w:r>
      <w:r>
        <w:rPr>
          <w:rFonts w:asciiTheme="majorBidi" w:hAnsiTheme="majorBidi" w:cstheme="majorBidi"/>
        </w:rPr>
        <w:t xml:space="preserve">“the mainstream classical ulama’s deliberate </w:t>
      </w:r>
      <w:r w:rsidR="005334A6">
        <w:rPr>
          <w:rFonts w:asciiTheme="majorBidi" w:hAnsiTheme="majorBidi" w:cstheme="majorBidi"/>
        </w:rPr>
        <w:t>flight from politics.”</w:t>
      </w:r>
      <w:r w:rsidR="005334A6">
        <w:rPr>
          <w:rStyle w:val="FootnoteReference"/>
          <w:rFonts w:asciiTheme="majorBidi" w:hAnsiTheme="majorBidi" w:cstheme="majorBidi"/>
        </w:rPr>
        <w:footnoteReference w:id="26"/>
      </w:r>
      <w:r w:rsidR="006803DA">
        <w:rPr>
          <w:rFonts w:asciiTheme="majorBidi" w:hAnsiTheme="majorBidi" w:cstheme="majorBidi"/>
        </w:rPr>
        <w:t xml:space="preserve"> </w:t>
      </w:r>
      <w:r w:rsidR="00587DA7">
        <w:rPr>
          <w:rFonts w:asciiTheme="majorBidi" w:hAnsiTheme="majorBidi" w:cstheme="majorBidi"/>
        </w:rPr>
        <w:t xml:space="preserve">Rather than seek </w:t>
      </w:r>
      <w:r w:rsidR="00E81590">
        <w:rPr>
          <w:rFonts w:asciiTheme="majorBidi" w:hAnsiTheme="majorBidi" w:cstheme="majorBidi"/>
        </w:rPr>
        <w:t>pragmatic</w:t>
      </w:r>
      <w:r w:rsidR="00587DA7">
        <w:rPr>
          <w:rFonts w:asciiTheme="majorBidi" w:hAnsiTheme="majorBidi" w:cstheme="majorBidi"/>
        </w:rPr>
        <w:t xml:space="preserve"> polit</w:t>
      </w:r>
      <w:r w:rsidR="00E81590">
        <w:rPr>
          <w:rFonts w:asciiTheme="majorBidi" w:hAnsiTheme="majorBidi" w:cstheme="majorBidi"/>
        </w:rPr>
        <w:t>ical</w:t>
      </w:r>
      <w:r w:rsidR="00587DA7">
        <w:rPr>
          <w:rFonts w:asciiTheme="majorBidi" w:hAnsiTheme="majorBidi" w:cstheme="majorBidi"/>
        </w:rPr>
        <w:t xml:space="preserve"> solutions to political problems, </w:t>
      </w:r>
      <w:r w:rsidR="00136F2F">
        <w:rPr>
          <w:rFonts w:asciiTheme="majorBidi" w:hAnsiTheme="majorBidi" w:cstheme="majorBidi"/>
        </w:rPr>
        <w:t>medieval</w:t>
      </w:r>
      <w:r w:rsidR="00587DA7">
        <w:rPr>
          <w:rFonts w:asciiTheme="majorBidi" w:hAnsiTheme="majorBidi" w:cstheme="majorBidi"/>
        </w:rPr>
        <w:t xml:space="preserve"> Muslim scholars </w:t>
      </w:r>
      <w:r w:rsidR="00E81590">
        <w:rPr>
          <w:rFonts w:asciiTheme="majorBidi" w:hAnsiTheme="majorBidi" w:cstheme="majorBidi"/>
        </w:rPr>
        <w:t>resorted to legal fictions</w:t>
      </w:r>
      <w:r w:rsidR="00C134D2">
        <w:rPr>
          <w:rFonts w:asciiTheme="majorBidi" w:hAnsiTheme="majorBidi" w:cstheme="majorBidi"/>
        </w:rPr>
        <w:t xml:space="preserve">—the circumscribing of criminal punishments </w:t>
      </w:r>
      <w:r w:rsidR="007B1981">
        <w:rPr>
          <w:rFonts w:asciiTheme="majorBidi" w:hAnsiTheme="majorBidi" w:cstheme="majorBidi"/>
        </w:rPr>
        <w:t>can be considered as such</w:t>
      </w:r>
      <w:r w:rsidR="00C134D2">
        <w:rPr>
          <w:rFonts w:asciiTheme="majorBidi" w:hAnsiTheme="majorBidi" w:cstheme="majorBidi"/>
        </w:rPr>
        <w:t>—</w:t>
      </w:r>
      <w:r w:rsidR="00CA64C3">
        <w:rPr>
          <w:rFonts w:asciiTheme="majorBidi" w:hAnsiTheme="majorBidi" w:cstheme="majorBidi"/>
        </w:rPr>
        <w:t>to guard the religious sphere from tyrannical rulers</w:t>
      </w:r>
      <w:r w:rsidR="00C134D2">
        <w:rPr>
          <w:rFonts w:asciiTheme="majorBidi" w:hAnsiTheme="majorBidi" w:cstheme="majorBidi"/>
        </w:rPr>
        <w:t xml:space="preserve">. </w:t>
      </w:r>
      <w:r w:rsidR="00726DCB">
        <w:rPr>
          <w:rFonts w:asciiTheme="majorBidi" w:hAnsiTheme="majorBidi" w:cstheme="majorBidi"/>
        </w:rPr>
        <w:t xml:space="preserve">If religious doctrines guaranteeing salvation in the hereafter were already protected </w:t>
      </w:r>
      <w:r w:rsidR="009C0638">
        <w:rPr>
          <w:rFonts w:asciiTheme="majorBidi" w:hAnsiTheme="majorBidi" w:cstheme="majorBidi"/>
        </w:rPr>
        <w:t>in the discursive realm</w:t>
      </w:r>
      <w:r w:rsidR="00726DCB">
        <w:rPr>
          <w:rFonts w:asciiTheme="majorBidi" w:hAnsiTheme="majorBidi" w:cstheme="majorBidi"/>
        </w:rPr>
        <w:t>, why even bother with reforming rulers</w:t>
      </w:r>
      <w:r w:rsidR="009C0638">
        <w:rPr>
          <w:rFonts w:asciiTheme="majorBidi" w:hAnsiTheme="majorBidi" w:cstheme="majorBidi"/>
        </w:rPr>
        <w:t>, especially when they were oppressive tyrants</w:t>
      </w:r>
      <w:r w:rsidR="00726DCB">
        <w:rPr>
          <w:rFonts w:asciiTheme="majorBidi" w:hAnsiTheme="majorBidi" w:cstheme="majorBidi"/>
        </w:rPr>
        <w:t xml:space="preserve">? </w:t>
      </w:r>
      <w:r w:rsidR="00625BA7">
        <w:rPr>
          <w:rFonts w:asciiTheme="majorBidi" w:hAnsiTheme="majorBidi" w:cstheme="majorBidi"/>
        </w:rPr>
        <w:t>A</w:t>
      </w:r>
      <w:r w:rsidR="006A602F">
        <w:rPr>
          <w:rFonts w:asciiTheme="majorBidi" w:hAnsiTheme="majorBidi" w:cstheme="majorBidi"/>
        </w:rPr>
        <w:t xml:space="preserve">n </w:t>
      </w:r>
      <w:r w:rsidR="00C134D2">
        <w:rPr>
          <w:rFonts w:asciiTheme="majorBidi" w:hAnsiTheme="majorBidi" w:cstheme="majorBidi"/>
        </w:rPr>
        <w:t>“unrelenting legal formalism</w:t>
      </w:r>
      <w:r w:rsidR="007B1981">
        <w:rPr>
          <w:rFonts w:asciiTheme="majorBidi" w:hAnsiTheme="majorBidi" w:cstheme="majorBidi"/>
        </w:rPr>
        <w:t xml:space="preserve">” </w:t>
      </w:r>
      <w:r w:rsidR="00426772">
        <w:rPr>
          <w:rFonts w:asciiTheme="majorBidi" w:hAnsiTheme="majorBidi" w:cstheme="majorBidi"/>
        </w:rPr>
        <w:t xml:space="preserve">went hand in hand with </w:t>
      </w:r>
      <w:r w:rsidR="00C67BFD">
        <w:rPr>
          <w:rFonts w:asciiTheme="majorBidi" w:hAnsiTheme="majorBidi" w:cstheme="majorBidi"/>
        </w:rPr>
        <w:t xml:space="preserve">the </w:t>
      </w:r>
      <w:r w:rsidR="006203F9">
        <w:rPr>
          <w:rFonts w:asciiTheme="majorBidi" w:hAnsiTheme="majorBidi" w:cstheme="majorBidi"/>
        </w:rPr>
        <w:t xml:space="preserve">depoliticization of </w:t>
      </w:r>
      <w:r w:rsidR="00426772">
        <w:rPr>
          <w:rFonts w:asciiTheme="majorBidi" w:hAnsiTheme="majorBidi" w:cstheme="majorBidi"/>
        </w:rPr>
        <w:t>the Muslim community (</w:t>
      </w:r>
      <w:r w:rsidR="00426772">
        <w:rPr>
          <w:rFonts w:asciiTheme="majorBidi" w:hAnsiTheme="majorBidi" w:cstheme="majorBidi"/>
          <w:i/>
          <w:iCs/>
        </w:rPr>
        <w:t>umma</w:t>
      </w:r>
      <w:r w:rsidR="00426772">
        <w:rPr>
          <w:rFonts w:asciiTheme="majorBidi" w:hAnsiTheme="majorBidi" w:cstheme="majorBidi"/>
        </w:rPr>
        <w:t>).</w:t>
      </w:r>
      <w:r w:rsidR="001B2C11">
        <w:rPr>
          <w:rStyle w:val="FootnoteReference"/>
          <w:rFonts w:asciiTheme="majorBidi" w:hAnsiTheme="majorBidi" w:cstheme="majorBidi"/>
        </w:rPr>
        <w:footnoteReference w:id="27"/>
      </w:r>
      <w:r w:rsidR="00726DCB">
        <w:rPr>
          <w:rFonts w:asciiTheme="majorBidi" w:hAnsiTheme="majorBidi" w:cstheme="majorBidi"/>
        </w:rPr>
        <w:t xml:space="preserve"> </w:t>
      </w:r>
      <w:r w:rsidR="00582E71">
        <w:rPr>
          <w:rFonts w:asciiTheme="majorBidi" w:hAnsiTheme="majorBidi" w:cstheme="majorBidi"/>
        </w:rPr>
        <w:t>A t</w:t>
      </w:r>
      <w:r w:rsidR="0022016D">
        <w:rPr>
          <w:rFonts w:asciiTheme="majorBidi" w:hAnsiTheme="majorBidi" w:cstheme="majorBidi"/>
        </w:rPr>
        <w:t xml:space="preserve">urning point </w:t>
      </w:r>
      <w:r w:rsidR="00582E71">
        <w:rPr>
          <w:rFonts w:asciiTheme="majorBidi" w:hAnsiTheme="majorBidi" w:cstheme="majorBidi"/>
        </w:rPr>
        <w:t xml:space="preserve">came about </w:t>
      </w:r>
      <w:r w:rsidR="0022016D">
        <w:rPr>
          <w:rFonts w:asciiTheme="majorBidi" w:hAnsiTheme="majorBidi" w:cstheme="majorBidi"/>
        </w:rPr>
        <w:t xml:space="preserve">during the Mamluk period when Ibn </w:t>
      </w:r>
      <w:proofErr w:type="spellStart"/>
      <w:r w:rsidR="0022016D">
        <w:rPr>
          <w:rFonts w:asciiTheme="majorBidi" w:hAnsiTheme="majorBidi" w:cstheme="majorBidi"/>
        </w:rPr>
        <w:lastRenderedPageBreak/>
        <w:t>Taymiyya</w:t>
      </w:r>
      <w:proofErr w:type="spellEnd"/>
      <w:r w:rsidR="0022016D">
        <w:rPr>
          <w:rFonts w:asciiTheme="majorBidi" w:hAnsiTheme="majorBidi" w:cstheme="majorBidi"/>
        </w:rPr>
        <w:t xml:space="preserve"> (d. 728/1328) </w:t>
      </w:r>
      <w:r w:rsidR="0022016D" w:rsidRPr="001E24FD">
        <w:rPr>
          <w:rFonts w:asciiTheme="majorBidi" w:hAnsiTheme="majorBidi" w:cstheme="majorBidi"/>
        </w:rPr>
        <w:t>subjected this paradigm of political thought to a total critique from within</w:t>
      </w:r>
      <w:r w:rsidR="00582E71">
        <w:rPr>
          <w:rFonts w:asciiTheme="majorBidi" w:hAnsiTheme="majorBidi" w:cstheme="majorBidi"/>
        </w:rPr>
        <w:t xml:space="preserve">. He achieved this by </w:t>
      </w:r>
      <w:r w:rsidR="0022016D">
        <w:rPr>
          <w:rFonts w:asciiTheme="majorBidi" w:hAnsiTheme="majorBidi" w:cstheme="majorBidi"/>
        </w:rPr>
        <w:t>envisioning</w:t>
      </w:r>
      <w:r w:rsidR="0022016D" w:rsidRPr="001E24FD">
        <w:rPr>
          <w:rFonts w:asciiTheme="majorBidi" w:hAnsiTheme="majorBidi" w:cstheme="majorBidi"/>
        </w:rPr>
        <w:t xml:space="preserve"> a greater role not only </w:t>
      </w:r>
      <w:r w:rsidR="0022016D">
        <w:rPr>
          <w:rFonts w:asciiTheme="majorBidi" w:hAnsiTheme="majorBidi" w:cstheme="majorBidi"/>
        </w:rPr>
        <w:t xml:space="preserve">for </w:t>
      </w:r>
      <w:r w:rsidR="0022016D" w:rsidRPr="001E24FD">
        <w:rPr>
          <w:rFonts w:asciiTheme="majorBidi" w:hAnsiTheme="majorBidi" w:cstheme="majorBidi"/>
        </w:rPr>
        <w:t>the</w:t>
      </w:r>
      <w:r w:rsidR="0022016D">
        <w:rPr>
          <w:rFonts w:asciiTheme="majorBidi" w:hAnsiTheme="majorBidi" w:cstheme="majorBidi"/>
        </w:rPr>
        <w:t xml:space="preserve"> </w:t>
      </w:r>
      <w:proofErr w:type="spellStart"/>
      <w:r w:rsidR="0022016D">
        <w:rPr>
          <w:rFonts w:asciiTheme="majorBidi" w:hAnsiTheme="majorBidi" w:cstheme="majorBidi"/>
          <w:i/>
          <w:iCs/>
        </w:rPr>
        <w:t>ʿulamāʾ</w:t>
      </w:r>
      <w:proofErr w:type="spellEnd"/>
      <w:r w:rsidR="0022016D" w:rsidRPr="001E24FD">
        <w:rPr>
          <w:rFonts w:asciiTheme="majorBidi" w:hAnsiTheme="majorBidi" w:cstheme="majorBidi"/>
        </w:rPr>
        <w:t xml:space="preserve"> but also </w:t>
      </w:r>
      <w:r w:rsidR="00582E71">
        <w:rPr>
          <w:rFonts w:asciiTheme="majorBidi" w:hAnsiTheme="majorBidi" w:cstheme="majorBidi"/>
        </w:rPr>
        <w:t xml:space="preserve">for </w:t>
      </w:r>
      <w:r w:rsidR="0022016D" w:rsidRPr="001E24FD">
        <w:rPr>
          <w:rFonts w:asciiTheme="majorBidi" w:hAnsiTheme="majorBidi" w:cstheme="majorBidi"/>
        </w:rPr>
        <w:t>the Muslim community at large in government.</w:t>
      </w:r>
      <w:r w:rsidR="00421901" w:rsidRPr="001E24FD">
        <w:rPr>
          <w:rFonts w:asciiTheme="majorBidi" w:hAnsiTheme="majorBidi" w:cstheme="majorBidi"/>
        </w:rPr>
        <w:t xml:space="preserve"> </w:t>
      </w:r>
      <w:r w:rsidR="0022016D" w:rsidRPr="001E24FD">
        <w:rPr>
          <w:rFonts w:asciiTheme="majorBidi" w:hAnsiTheme="majorBidi" w:cstheme="majorBidi"/>
        </w:rPr>
        <w:t>Through mutual cooperation (</w:t>
      </w:r>
      <w:proofErr w:type="spellStart"/>
      <w:r w:rsidR="0022016D" w:rsidRPr="001E24FD">
        <w:rPr>
          <w:rFonts w:asciiTheme="majorBidi" w:hAnsiTheme="majorBidi" w:cstheme="majorBidi"/>
          <w:i/>
          <w:iCs/>
        </w:rPr>
        <w:t>taʿāwun</w:t>
      </w:r>
      <w:proofErr w:type="spellEnd"/>
      <w:r w:rsidR="0022016D" w:rsidRPr="001E24FD">
        <w:rPr>
          <w:rFonts w:asciiTheme="majorBidi" w:hAnsiTheme="majorBidi" w:cstheme="majorBidi"/>
        </w:rPr>
        <w:t xml:space="preserve">), </w:t>
      </w:r>
      <w:r w:rsidR="00623872">
        <w:rPr>
          <w:rFonts w:asciiTheme="majorBidi" w:hAnsiTheme="majorBidi" w:cstheme="majorBidi"/>
        </w:rPr>
        <w:t xml:space="preserve">the </w:t>
      </w:r>
      <w:r w:rsidR="0022016D" w:rsidRPr="001E24FD">
        <w:rPr>
          <w:rFonts w:asciiTheme="majorBidi" w:hAnsiTheme="majorBidi" w:cstheme="majorBidi"/>
        </w:rPr>
        <w:t xml:space="preserve">rulers and </w:t>
      </w:r>
      <w:r w:rsidR="00623872">
        <w:rPr>
          <w:rFonts w:asciiTheme="majorBidi" w:hAnsiTheme="majorBidi" w:cstheme="majorBidi"/>
        </w:rPr>
        <w:t xml:space="preserve">the </w:t>
      </w:r>
      <w:r w:rsidR="0022016D" w:rsidRPr="001E24FD">
        <w:rPr>
          <w:rFonts w:asciiTheme="majorBidi" w:hAnsiTheme="majorBidi" w:cstheme="majorBidi"/>
        </w:rPr>
        <w:t>ruled complete each other (</w:t>
      </w:r>
      <w:proofErr w:type="spellStart"/>
      <w:r w:rsidR="0022016D" w:rsidRPr="001E24FD">
        <w:rPr>
          <w:rFonts w:asciiTheme="majorBidi" w:hAnsiTheme="majorBidi" w:cstheme="majorBidi"/>
          <w:i/>
          <w:iCs/>
        </w:rPr>
        <w:t>istikmāl</w:t>
      </w:r>
      <w:proofErr w:type="spellEnd"/>
      <w:r w:rsidR="0022016D" w:rsidRPr="001E24FD">
        <w:rPr>
          <w:rFonts w:asciiTheme="majorBidi" w:hAnsiTheme="majorBidi" w:cstheme="majorBidi"/>
        </w:rPr>
        <w:t>) in ensuring that political rule is based on the</w:t>
      </w:r>
      <w:r w:rsidR="00A347EE">
        <w:rPr>
          <w:rFonts w:asciiTheme="majorBidi" w:hAnsiTheme="majorBidi" w:cstheme="majorBidi"/>
        </w:rPr>
        <w:t xml:space="preserve"> </w:t>
      </w:r>
      <w:proofErr w:type="spellStart"/>
      <w:r w:rsidR="00A347EE">
        <w:rPr>
          <w:rFonts w:asciiTheme="majorBidi" w:hAnsiTheme="majorBidi" w:cstheme="majorBidi"/>
          <w:i/>
          <w:iCs/>
        </w:rPr>
        <w:t>sharīʿa</w:t>
      </w:r>
      <w:proofErr w:type="spellEnd"/>
      <w:r w:rsidR="0022016D" w:rsidRPr="001E24FD">
        <w:rPr>
          <w:rFonts w:asciiTheme="majorBidi" w:hAnsiTheme="majorBidi" w:cstheme="majorBidi"/>
        </w:rPr>
        <w:t>.</w:t>
      </w:r>
      <w:r w:rsidR="0022016D" w:rsidRPr="001E24FD">
        <w:rPr>
          <w:rStyle w:val="FootnoteReference"/>
          <w:rFonts w:asciiTheme="majorBidi" w:hAnsiTheme="majorBidi" w:cstheme="majorBidi"/>
        </w:rPr>
        <w:footnoteReference w:id="28"/>
      </w:r>
    </w:p>
    <w:p w14:paraId="269BB4C8" w14:textId="599E6E30" w:rsidR="0022016D" w:rsidRPr="004D41BB" w:rsidRDefault="009F43F2" w:rsidP="0037533B">
      <w:pPr>
        <w:spacing w:line="360" w:lineRule="auto"/>
        <w:ind w:firstLine="720"/>
        <w:rPr>
          <w:rFonts w:asciiTheme="majorBidi" w:hAnsiTheme="majorBidi" w:cstheme="majorBidi"/>
        </w:rPr>
      </w:pPr>
      <w:r>
        <w:rPr>
          <w:rFonts w:asciiTheme="majorBidi" w:hAnsiTheme="majorBidi" w:cstheme="majorBidi"/>
        </w:rPr>
        <w:t xml:space="preserve">Although the overall trend of the </w:t>
      </w:r>
      <w:proofErr w:type="spellStart"/>
      <w:r>
        <w:rPr>
          <w:rFonts w:asciiTheme="majorBidi" w:hAnsiTheme="majorBidi" w:cstheme="majorBidi"/>
          <w:i/>
          <w:iCs/>
        </w:rPr>
        <w:t>ʿulamāʾ</w:t>
      </w:r>
      <w:r>
        <w:rPr>
          <w:rFonts w:asciiTheme="majorBidi" w:hAnsiTheme="majorBidi" w:cstheme="majorBidi"/>
        </w:rPr>
        <w:t>’s</w:t>
      </w:r>
      <w:proofErr w:type="spellEnd"/>
      <w:r>
        <w:rPr>
          <w:rFonts w:asciiTheme="majorBidi" w:hAnsiTheme="majorBidi" w:cstheme="majorBidi"/>
        </w:rPr>
        <w:t xml:space="preserve"> flight from politics generally bears out in the sources, Anjum</w:t>
      </w:r>
      <w:r w:rsidR="00C47910">
        <w:rPr>
          <w:rFonts w:asciiTheme="majorBidi" w:hAnsiTheme="majorBidi" w:cstheme="majorBidi"/>
        </w:rPr>
        <w:t xml:space="preserve"> might have overstated </w:t>
      </w:r>
      <w:r>
        <w:rPr>
          <w:rFonts w:asciiTheme="majorBidi" w:hAnsiTheme="majorBidi" w:cstheme="majorBidi"/>
        </w:rPr>
        <w:t>its</w:t>
      </w:r>
      <w:r w:rsidR="00C47910">
        <w:rPr>
          <w:rFonts w:asciiTheme="majorBidi" w:hAnsiTheme="majorBidi" w:cstheme="majorBidi"/>
        </w:rPr>
        <w:t xml:space="preserve"> case for the </w:t>
      </w:r>
      <w:r>
        <w:rPr>
          <w:rFonts w:asciiTheme="majorBidi" w:hAnsiTheme="majorBidi" w:cstheme="majorBidi"/>
        </w:rPr>
        <w:t xml:space="preserve">period before Ibn </w:t>
      </w:r>
      <w:proofErr w:type="spellStart"/>
      <w:r>
        <w:rPr>
          <w:rFonts w:asciiTheme="majorBidi" w:hAnsiTheme="majorBidi" w:cstheme="majorBidi"/>
        </w:rPr>
        <w:t>Taymiyya</w:t>
      </w:r>
      <w:proofErr w:type="spellEnd"/>
      <w:r>
        <w:rPr>
          <w:rFonts w:asciiTheme="majorBidi" w:hAnsiTheme="majorBidi" w:cstheme="majorBidi"/>
        </w:rPr>
        <w:t xml:space="preserve"> as</w:t>
      </w:r>
      <w:r w:rsidR="002D6F76">
        <w:rPr>
          <w:rFonts w:asciiTheme="majorBidi" w:hAnsiTheme="majorBidi" w:cstheme="majorBidi"/>
        </w:rPr>
        <w:t xml:space="preserve"> there were indeed scholarly and Sufi groups in the </w:t>
      </w:r>
      <w:r w:rsidR="00A347EE">
        <w:rPr>
          <w:rFonts w:asciiTheme="majorBidi" w:hAnsiTheme="majorBidi" w:cstheme="majorBidi"/>
        </w:rPr>
        <w:t xml:space="preserve">twelfth-century </w:t>
      </w:r>
      <w:r w:rsidR="002D6F76">
        <w:rPr>
          <w:rFonts w:asciiTheme="majorBidi" w:hAnsiTheme="majorBidi" w:cstheme="majorBidi"/>
        </w:rPr>
        <w:t>western Islamic world</w:t>
      </w:r>
      <w:r>
        <w:rPr>
          <w:rFonts w:asciiTheme="majorBidi" w:hAnsiTheme="majorBidi" w:cstheme="majorBidi"/>
        </w:rPr>
        <w:t xml:space="preserve"> </w:t>
      </w:r>
      <w:r w:rsidR="00BF385B">
        <w:rPr>
          <w:rFonts w:asciiTheme="majorBidi" w:hAnsiTheme="majorBidi" w:cstheme="majorBidi"/>
        </w:rPr>
        <w:t>that espoused radical forms of political activism and reform. Two such movements even resulted in the creation of</w:t>
      </w:r>
      <w:r w:rsidR="003B0665">
        <w:rPr>
          <w:rFonts w:asciiTheme="majorBidi" w:hAnsiTheme="majorBidi" w:cstheme="majorBidi"/>
        </w:rPr>
        <w:t xml:space="preserve"> ruling regimes.</w:t>
      </w:r>
      <w:r w:rsidR="003B0665">
        <w:rPr>
          <w:rStyle w:val="FootnoteReference"/>
          <w:rFonts w:asciiTheme="majorBidi" w:hAnsiTheme="majorBidi" w:cstheme="majorBidi"/>
        </w:rPr>
        <w:footnoteReference w:id="29"/>
      </w:r>
      <w:r w:rsidR="00F122DC">
        <w:rPr>
          <w:rFonts w:asciiTheme="majorBidi" w:hAnsiTheme="majorBidi" w:cstheme="majorBidi"/>
        </w:rPr>
        <w:t xml:space="preserve"> But even if we concede that radical movements by scholars pushing for political change were largely </w:t>
      </w:r>
      <w:r w:rsidR="004D41BB">
        <w:rPr>
          <w:rFonts w:asciiTheme="majorBidi" w:hAnsiTheme="majorBidi" w:cstheme="majorBidi"/>
        </w:rPr>
        <w:t>confined</w:t>
      </w:r>
      <w:r w:rsidR="00F122DC">
        <w:rPr>
          <w:rFonts w:asciiTheme="majorBidi" w:hAnsiTheme="majorBidi" w:cstheme="majorBidi"/>
        </w:rPr>
        <w:t xml:space="preserve"> to the Islamic west</w:t>
      </w:r>
      <w:r w:rsidR="004D41BB">
        <w:rPr>
          <w:rFonts w:asciiTheme="majorBidi" w:hAnsiTheme="majorBidi" w:cstheme="majorBidi"/>
        </w:rPr>
        <w:t xml:space="preserve">, </w:t>
      </w:r>
      <w:r w:rsidR="009053E8">
        <w:rPr>
          <w:rFonts w:asciiTheme="majorBidi" w:hAnsiTheme="majorBidi" w:cstheme="majorBidi"/>
        </w:rPr>
        <w:t xml:space="preserve">in the Islamic east </w:t>
      </w:r>
      <w:r w:rsidR="00A347EE">
        <w:rPr>
          <w:rFonts w:asciiTheme="majorBidi" w:hAnsiTheme="majorBidi" w:cstheme="majorBidi"/>
        </w:rPr>
        <w:t xml:space="preserve">before Ibn </w:t>
      </w:r>
      <w:proofErr w:type="spellStart"/>
      <w:r w:rsidR="00A347EE">
        <w:rPr>
          <w:rFonts w:asciiTheme="majorBidi" w:hAnsiTheme="majorBidi" w:cstheme="majorBidi"/>
        </w:rPr>
        <w:t>Taymiyya</w:t>
      </w:r>
      <w:proofErr w:type="spellEnd"/>
      <w:r w:rsidR="00A347EE">
        <w:rPr>
          <w:rFonts w:asciiTheme="majorBidi" w:hAnsiTheme="majorBidi" w:cstheme="majorBidi"/>
        </w:rPr>
        <w:t xml:space="preserve">, </w:t>
      </w:r>
      <w:r w:rsidR="004D41BB">
        <w:rPr>
          <w:rFonts w:asciiTheme="majorBidi" w:hAnsiTheme="majorBidi" w:cstheme="majorBidi"/>
        </w:rPr>
        <w:t xml:space="preserve">the </w:t>
      </w:r>
      <w:proofErr w:type="spellStart"/>
      <w:r w:rsidR="004D41BB">
        <w:rPr>
          <w:rFonts w:asciiTheme="majorBidi" w:hAnsiTheme="majorBidi" w:cstheme="majorBidi"/>
          <w:i/>
          <w:iCs/>
        </w:rPr>
        <w:t>ʿulamāʾ</w:t>
      </w:r>
      <w:r w:rsidR="004D41BB">
        <w:rPr>
          <w:rFonts w:asciiTheme="majorBidi" w:hAnsiTheme="majorBidi" w:cstheme="majorBidi"/>
        </w:rPr>
        <w:t>’s</w:t>
      </w:r>
      <w:proofErr w:type="spellEnd"/>
      <w:r w:rsidR="004D41BB">
        <w:rPr>
          <w:rFonts w:asciiTheme="majorBidi" w:hAnsiTheme="majorBidi" w:cstheme="majorBidi"/>
        </w:rPr>
        <w:t xml:space="preserve"> flight from politics </w:t>
      </w:r>
      <w:r w:rsidR="009053E8">
        <w:rPr>
          <w:rFonts w:asciiTheme="majorBidi" w:hAnsiTheme="majorBidi" w:cstheme="majorBidi"/>
        </w:rPr>
        <w:t>was not total either, as I shall demonstrate later using the case of Ibn al-</w:t>
      </w:r>
      <w:proofErr w:type="spellStart"/>
      <w:r w:rsidR="009053E8">
        <w:rPr>
          <w:rFonts w:asciiTheme="majorBidi" w:hAnsiTheme="majorBidi" w:cstheme="majorBidi"/>
        </w:rPr>
        <w:t>Jawzī</w:t>
      </w:r>
      <w:proofErr w:type="spellEnd"/>
      <w:r w:rsidR="009053E8">
        <w:rPr>
          <w:rFonts w:asciiTheme="majorBidi" w:hAnsiTheme="majorBidi" w:cstheme="majorBidi"/>
        </w:rPr>
        <w:t>.</w:t>
      </w:r>
    </w:p>
    <w:p w14:paraId="4A4439D0" w14:textId="54A1FFBF" w:rsidR="004A3A56" w:rsidRDefault="00A347EE" w:rsidP="0037533B">
      <w:pPr>
        <w:spacing w:line="360" w:lineRule="auto"/>
        <w:ind w:firstLine="720"/>
        <w:rPr>
          <w:rFonts w:asciiTheme="majorBidi" w:hAnsiTheme="majorBidi" w:cstheme="majorBidi"/>
        </w:rPr>
      </w:pPr>
      <w:r>
        <w:rPr>
          <w:rFonts w:asciiTheme="majorBidi" w:hAnsiTheme="majorBidi" w:cstheme="majorBidi"/>
        </w:rPr>
        <w:t>To be sure, t</w:t>
      </w:r>
      <w:r w:rsidR="00C25201">
        <w:rPr>
          <w:rFonts w:asciiTheme="majorBidi" w:hAnsiTheme="majorBidi" w:cstheme="majorBidi"/>
        </w:rPr>
        <w:t xml:space="preserve">he </w:t>
      </w:r>
      <w:proofErr w:type="spellStart"/>
      <w:r w:rsidR="00C25201">
        <w:rPr>
          <w:rFonts w:asciiTheme="majorBidi" w:hAnsiTheme="majorBidi" w:cstheme="majorBidi"/>
          <w:i/>
          <w:iCs/>
        </w:rPr>
        <w:t>ʿulamāʾ</w:t>
      </w:r>
      <w:r w:rsidR="00C25201">
        <w:rPr>
          <w:rFonts w:asciiTheme="majorBidi" w:hAnsiTheme="majorBidi" w:cstheme="majorBidi"/>
        </w:rPr>
        <w:t>’s</w:t>
      </w:r>
      <w:proofErr w:type="spellEnd"/>
      <w:r w:rsidR="00C25201">
        <w:rPr>
          <w:rFonts w:asciiTheme="majorBidi" w:hAnsiTheme="majorBidi" w:cstheme="majorBidi"/>
        </w:rPr>
        <w:t xml:space="preserve"> flight from politics </w:t>
      </w:r>
      <w:r w:rsidR="00707E8B">
        <w:rPr>
          <w:rFonts w:asciiTheme="majorBidi" w:hAnsiTheme="majorBidi" w:cstheme="majorBidi"/>
        </w:rPr>
        <w:t xml:space="preserve">did find expression in late Abbasid Sunni </w:t>
      </w:r>
      <w:r w:rsidR="00FE307C">
        <w:rPr>
          <w:rFonts w:asciiTheme="majorBidi" w:hAnsiTheme="majorBidi" w:cstheme="majorBidi"/>
        </w:rPr>
        <w:t>views toward ruler-scholar relations</w:t>
      </w:r>
      <w:r w:rsidR="00707E8B">
        <w:rPr>
          <w:rFonts w:asciiTheme="majorBidi" w:hAnsiTheme="majorBidi" w:cstheme="majorBidi"/>
        </w:rPr>
        <w:t>, albeit in different ways</w:t>
      </w:r>
      <w:r w:rsidR="00FE307C">
        <w:rPr>
          <w:rFonts w:asciiTheme="majorBidi" w:hAnsiTheme="majorBidi" w:cstheme="majorBidi"/>
        </w:rPr>
        <w:t>.</w:t>
      </w:r>
      <w:r w:rsidR="00200185">
        <w:rPr>
          <w:rFonts w:asciiTheme="majorBidi" w:hAnsiTheme="majorBidi" w:cstheme="majorBidi"/>
        </w:rPr>
        <w:t xml:space="preserve"> On one end of the spectrum, we find those who disavowed the political sphere</w:t>
      </w:r>
      <w:r w:rsidR="00C30D31">
        <w:rPr>
          <w:rFonts w:asciiTheme="majorBidi" w:hAnsiTheme="majorBidi" w:cstheme="majorBidi"/>
        </w:rPr>
        <w:t xml:space="preserve"> and</w:t>
      </w:r>
      <w:r w:rsidR="00200185">
        <w:rPr>
          <w:rFonts w:asciiTheme="majorBidi" w:hAnsiTheme="majorBidi" w:cstheme="majorBidi"/>
        </w:rPr>
        <w:t xml:space="preserve"> deem</w:t>
      </w:r>
      <w:r w:rsidR="00C30D31">
        <w:rPr>
          <w:rFonts w:asciiTheme="majorBidi" w:hAnsiTheme="majorBidi" w:cstheme="majorBidi"/>
        </w:rPr>
        <w:t>ed</w:t>
      </w:r>
      <w:r w:rsidR="00200185">
        <w:rPr>
          <w:rFonts w:asciiTheme="majorBidi" w:hAnsiTheme="majorBidi" w:cstheme="majorBidi"/>
        </w:rPr>
        <w:t xml:space="preserve"> it illegitimate altogether.</w:t>
      </w:r>
      <w:r w:rsidR="00276947">
        <w:rPr>
          <w:rFonts w:asciiTheme="majorBidi" w:hAnsiTheme="majorBidi" w:cstheme="majorBidi"/>
        </w:rPr>
        <w:t xml:space="preserve"> One such figure was the dissident scholar, jurist, and Sufi, </w:t>
      </w:r>
      <w:proofErr w:type="spellStart"/>
      <w:r w:rsidR="00276947">
        <w:rPr>
          <w:rFonts w:asciiTheme="majorBidi" w:hAnsiTheme="majorBidi" w:cstheme="majorBidi"/>
        </w:rPr>
        <w:t>ʿAyn</w:t>
      </w:r>
      <w:proofErr w:type="spellEnd"/>
      <w:r w:rsidR="00276947">
        <w:rPr>
          <w:rFonts w:asciiTheme="majorBidi" w:hAnsiTheme="majorBidi" w:cstheme="majorBidi"/>
        </w:rPr>
        <w:t xml:space="preserve"> al-</w:t>
      </w:r>
      <w:proofErr w:type="spellStart"/>
      <w:r w:rsidR="00276947">
        <w:rPr>
          <w:rFonts w:asciiTheme="majorBidi" w:hAnsiTheme="majorBidi" w:cstheme="majorBidi"/>
        </w:rPr>
        <w:t>Quḍāt</w:t>
      </w:r>
      <w:proofErr w:type="spellEnd"/>
      <w:r w:rsidR="00276947">
        <w:rPr>
          <w:rFonts w:asciiTheme="majorBidi" w:hAnsiTheme="majorBidi" w:cstheme="majorBidi"/>
        </w:rPr>
        <w:t xml:space="preserve"> al-</w:t>
      </w:r>
      <w:proofErr w:type="spellStart"/>
      <w:r w:rsidR="00276947">
        <w:rPr>
          <w:rFonts w:asciiTheme="majorBidi" w:hAnsiTheme="majorBidi" w:cstheme="majorBidi"/>
        </w:rPr>
        <w:t>Hamadhānī</w:t>
      </w:r>
      <w:proofErr w:type="spellEnd"/>
      <w:r w:rsidR="00276947">
        <w:rPr>
          <w:rFonts w:asciiTheme="majorBidi" w:hAnsiTheme="majorBidi" w:cstheme="majorBidi"/>
        </w:rPr>
        <w:t xml:space="preserve"> (d. 525/1131)</w:t>
      </w:r>
      <w:r w:rsidR="00AE4947">
        <w:rPr>
          <w:rFonts w:asciiTheme="majorBidi" w:hAnsiTheme="majorBidi" w:cstheme="majorBidi"/>
        </w:rPr>
        <w:t>, who castigate</w:t>
      </w:r>
      <w:r w:rsidR="00AC3685">
        <w:rPr>
          <w:rFonts w:asciiTheme="majorBidi" w:hAnsiTheme="majorBidi" w:cstheme="majorBidi"/>
        </w:rPr>
        <w:t>d</w:t>
      </w:r>
      <w:r w:rsidR="00AE4947">
        <w:rPr>
          <w:rFonts w:asciiTheme="majorBidi" w:hAnsiTheme="majorBidi" w:cstheme="majorBidi"/>
        </w:rPr>
        <w:t xml:space="preserve"> scholars serving the Seljuqs in the harshest terms possible.</w:t>
      </w:r>
      <w:r w:rsidR="00AC3685">
        <w:rPr>
          <w:rStyle w:val="FootnoteReference"/>
          <w:rFonts w:asciiTheme="majorBidi" w:hAnsiTheme="majorBidi" w:cstheme="majorBidi"/>
        </w:rPr>
        <w:footnoteReference w:id="30"/>
      </w:r>
      <w:r w:rsidR="00AE4947">
        <w:rPr>
          <w:rFonts w:asciiTheme="majorBidi" w:hAnsiTheme="majorBidi" w:cstheme="majorBidi"/>
        </w:rPr>
        <w:t xml:space="preserve"> Not only d</w:t>
      </w:r>
      <w:r w:rsidR="00A25636">
        <w:rPr>
          <w:rFonts w:asciiTheme="majorBidi" w:hAnsiTheme="majorBidi" w:cstheme="majorBidi"/>
        </w:rPr>
        <w:t xml:space="preserve">id </w:t>
      </w:r>
      <w:r w:rsidR="00AE4947">
        <w:rPr>
          <w:rFonts w:asciiTheme="majorBidi" w:hAnsiTheme="majorBidi" w:cstheme="majorBidi"/>
        </w:rPr>
        <w:t xml:space="preserve">service to the Seljuq court symbolize attachment to worldly desires, it was </w:t>
      </w:r>
      <w:r w:rsidR="00AC3685">
        <w:rPr>
          <w:rFonts w:asciiTheme="majorBidi" w:hAnsiTheme="majorBidi" w:cstheme="majorBidi"/>
        </w:rPr>
        <w:t xml:space="preserve">also tantamount to turning away from Islam. </w:t>
      </w:r>
      <w:proofErr w:type="spellStart"/>
      <w:r w:rsidR="00AC3685">
        <w:rPr>
          <w:rFonts w:asciiTheme="majorBidi" w:hAnsiTheme="majorBidi" w:cstheme="majorBidi"/>
        </w:rPr>
        <w:t>ʿAyn</w:t>
      </w:r>
      <w:proofErr w:type="spellEnd"/>
      <w:r w:rsidR="00AC3685">
        <w:rPr>
          <w:rFonts w:asciiTheme="majorBidi" w:hAnsiTheme="majorBidi" w:cstheme="majorBidi"/>
        </w:rPr>
        <w:t xml:space="preserve"> al-</w:t>
      </w:r>
      <w:proofErr w:type="spellStart"/>
      <w:r w:rsidR="00AC3685">
        <w:rPr>
          <w:rFonts w:asciiTheme="majorBidi" w:hAnsiTheme="majorBidi" w:cstheme="majorBidi"/>
        </w:rPr>
        <w:t>Quḍāt</w:t>
      </w:r>
      <w:proofErr w:type="spellEnd"/>
      <w:r w:rsidR="00AC3685">
        <w:rPr>
          <w:rFonts w:asciiTheme="majorBidi" w:hAnsiTheme="majorBidi" w:cstheme="majorBidi"/>
        </w:rPr>
        <w:t xml:space="preserve"> refers to </w:t>
      </w:r>
      <w:r w:rsidR="003B0665">
        <w:rPr>
          <w:rFonts w:asciiTheme="majorBidi" w:hAnsiTheme="majorBidi" w:cstheme="majorBidi"/>
        </w:rPr>
        <w:t>these</w:t>
      </w:r>
      <w:r w:rsidR="00AC3685">
        <w:rPr>
          <w:rFonts w:asciiTheme="majorBidi" w:hAnsiTheme="majorBidi" w:cstheme="majorBidi"/>
        </w:rPr>
        <w:t xml:space="preserve"> scholars as adherents of “the religion of </w:t>
      </w:r>
      <w:proofErr w:type="spellStart"/>
      <w:r w:rsidR="00AC3685">
        <w:rPr>
          <w:rFonts w:asciiTheme="majorBidi" w:hAnsiTheme="majorBidi" w:cstheme="majorBidi"/>
        </w:rPr>
        <w:t>Satans</w:t>
      </w:r>
      <w:proofErr w:type="spellEnd"/>
      <w:r w:rsidR="00AC3685">
        <w:rPr>
          <w:rFonts w:asciiTheme="majorBidi" w:hAnsiTheme="majorBidi" w:cstheme="majorBidi"/>
        </w:rPr>
        <w:t xml:space="preserve">” </w:t>
      </w:r>
      <w:r w:rsidR="00AC3685">
        <w:rPr>
          <w:rFonts w:asciiTheme="majorBidi" w:hAnsiTheme="majorBidi" w:cstheme="majorBidi"/>
        </w:rPr>
        <w:lastRenderedPageBreak/>
        <w:t xml:space="preserve">and treading “the path of </w:t>
      </w:r>
      <w:proofErr w:type="spellStart"/>
      <w:r w:rsidR="00AC3685">
        <w:rPr>
          <w:rFonts w:asciiTheme="majorBidi" w:hAnsiTheme="majorBidi" w:cstheme="majorBidi"/>
        </w:rPr>
        <w:t>Satans</w:t>
      </w:r>
      <w:proofErr w:type="spellEnd"/>
      <w:r w:rsidR="00734F93">
        <w:rPr>
          <w:rFonts w:asciiTheme="majorBidi" w:hAnsiTheme="majorBidi" w:cstheme="majorBidi"/>
        </w:rPr>
        <w:t>,</w:t>
      </w:r>
      <w:r w:rsidR="00AC3685">
        <w:rPr>
          <w:rFonts w:asciiTheme="majorBidi" w:hAnsiTheme="majorBidi" w:cstheme="majorBidi"/>
        </w:rPr>
        <w:t>”</w:t>
      </w:r>
      <w:r w:rsidR="00907D9E">
        <w:rPr>
          <w:rFonts w:asciiTheme="majorBidi" w:hAnsiTheme="majorBidi" w:cstheme="majorBidi"/>
        </w:rPr>
        <w:t xml:space="preserve"> </w:t>
      </w:r>
      <w:r w:rsidR="00734F93">
        <w:rPr>
          <w:rFonts w:asciiTheme="majorBidi" w:hAnsiTheme="majorBidi" w:cstheme="majorBidi"/>
        </w:rPr>
        <w:t xml:space="preserve">and even claims that their proclamation of the Islamic faith, the </w:t>
      </w:r>
      <w:proofErr w:type="spellStart"/>
      <w:r w:rsidR="00734F93">
        <w:rPr>
          <w:rFonts w:asciiTheme="majorBidi" w:hAnsiTheme="majorBidi" w:cstheme="majorBidi"/>
          <w:i/>
          <w:iCs/>
        </w:rPr>
        <w:t>shahāda</w:t>
      </w:r>
      <w:proofErr w:type="spellEnd"/>
      <w:r w:rsidR="00734F93">
        <w:rPr>
          <w:rFonts w:asciiTheme="majorBidi" w:hAnsiTheme="majorBidi" w:cstheme="majorBidi"/>
        </w:rPr>
        <w:t>, was no longer valid.</w:t>
      </w:r>
      <w:r w:rsidR="00AC3685">
        <w:rPr>
          <w:rStyle w:val="FootnoteReference"/>
          <w:rFonts w:asciiTheme="majorBidi" w:hAnsiTheme="majorBidi" w:cstheme="majorBidi"/>
        </w:rPr>
        <w:footnoteReference w:id="31"/>
      </w:r>
      <w:r w:rsidR="003D3075">
        <w:rPr>
          <w:rFonts w:asciiTheme="majorBidi" w:hAnsiTheme="majorBidi" w:cstheme="majorBidi"/>
        </w:rPr>
        <w:t xml:space="preserve"> </w:t>
      </w:r>
      <w:proofErr w:type="spellStart"/>
      <w:r w:rsidR="00F0541A">
        <w:rPr>
          <w:rFonts w:asciiTheme="majorBidi" w:hAnsiTheme="majorBidi" w:cstheme="majorBidi"/>
        </w:rPr>
        <w:t>ʿAyn</w:t>
      </w:r>
      <w:proofErr w:type="spellEnd"/>
      <w:r w:rsidR="00F0541A">
        <w:rPr>
          <w:rFonts w:asciiTheme="majorBidi" w:hAnsiTheme="majorBidi" w:cstheme="majorBidi"/>
        </w:rPr>
        <w:t xml:space="preserve"> al-</w:t>
      </w:r>
      <w:proofErr w:type="spellStart"/>
      <w:r w:rsidR="00F0541A">
        <w:rPr>
          <w:rFonts w:asciiTheme="majorBidi" w:hAnsiTheme="majorBidi" w:cstheme="majorBidi"/>
        </w:rPr>
        <w:t>Quḍāt’s</w:t>
      </w:r>
      <w:proofErr w:type="spellEnd"/>
      <w:r w:rsidR="00F0541A">
        <w:rPr>
          <w:rFonts w:asciiTheme="majorBidi" w:hAnsiTheme="majorBidi" w:cstheme="majorBidi"/>
        </w:rPr>
        <w:t xml:space="preserve"> criticisms d</w:t>
      </w:r>
      <w:r w:rsidR="00A25636">
        <w:rPr>
          <w:rFonts w:asciiTheme="majorBidi" w:hAnsiTheme="majorBidi" w:cstheme="majorBidi"/>
        </w:rPr>
        <w:t>id</w:t>
      </w:r>
      <w:r w:rsidR="00F0541A">
        <w:rPr>
          <w:rFonts w:asciiTheme="majorBidi" w:hAnsiTheme="majorBidi" w:cstheme="majorBidi"/>
        </w:rPr>
        <w:t xml:space="preserve"> not stop at scholars, however; he also call</w:t>
      </w:r>
      <w:r w:rsidR="00A25636">
        <w:rPr>
          <w:rFonts w:asciiTheme="majorBidi" w:hAnsiTheme="majorBidi" w:cstheme="majorBidi"/>
        </w:rPr>
        <w:t>ed</w:t>
      </w:r>
      <w:r w:rsidR="00F0541A">
        <w:rPr>
          <w:rFonts w:asciiTheme="majorBidi" w:hAnsiTheme="majorBidi" w:cstheme="majorBidi"/>
        </w:rPr>
        <w:t xml:space="preserve"> into question the legitimacy of the Seljuq state by leveling harsh critiques at </w:t>
      </w:r>
      <w:r w:rsidR="009F3E0E">
        <w:rPr>
          <w:rFonts w:asciiTheme="majorBidi" w:hAnsiTheme="majorBidi" w:cstheme="majorBidi"/>
        </w:rPr>
        <w:t>its</w:t>
      </w:r>
      <w:r w:rsidR="003701AD">
        <w:rPr>
          <w:rFonts w:asciiTheme="majorBidi" w:hAnsiTheme="majorBidi" w:cstheme="majorBidi"/>
        </w:rPr>
        <w:t xml:space="preserve"> very</w:t>
      </w:r>
      <w:r w:rsidR="009F3E0E">
        <w:rPr>
          <w:rFonts w:asciiTheme="majorBidi" w:hAnsiTheme="majorBidi" w:cstheme="majorBidi"/>
        </w:rPr>
        <w:t xml:space="preserve"> core foundation</w:t>
      </w:r>
      <w:r w:rsidR="003701AD">
        <w:rPr>
          <w:rFonts w:asciiTheme="majorBidi" w:hAnsiTheme="majorBidi" w:cstheme="majorBidi"/>
        </w:rPr>
        <w:t xml:space="preserve">, </w:t>
      </w:r>
      <w:r w:rsidR="00F0541A">
        <w:rPr>
          <w:rFonts w:asciiTheme="majorBidi" w:hAnsiTheme="majorBidi" w:cstheme="majorBidi"/>
        </w:rPr>
        <w:t xml:space="preserve">the </w:t>
      </w:r>
      <w:proofErr w:type="spellStart"/>
      <w:r w:rsidR="00F0541A">
        <w:rPr>
          <w:rFonts w:asciiTheme="majorBidi" w:hAnsiTheme="majorBidi" w:cstheme="majorBidi"/>
          <w:i/>
          <w:iCs/>
        </w:rPr>
        <w:t>iqṭāʿ</w:t>
      </w:r>
      <w:proofErr w:type="spellEnd"/>
      <w:r w:rsidR="00F0541A">
        <w:rPr>
          <w:rFonts w:asciiTheme="majorBidi" w:hAnsiTheme="majorBidi" w:cstheme="majorBidi"/>
        </w:rPr>
        <w:t xml:space="preserve"> system</w:t>
      </w:r>
      <w:r w:rsidR="003701AD">
        <w:rPr>
          <w:rFonts w:asciiTheme="majorBidi" w:hAnsiTheme="majorBidi" w:cstheme="majorBidi"/>
        </w:rPr>
        <w:t>.</w:t>
      </w:r>
      <w:r w:rsidR="0021624E">
        <w:rPr>
          <w:rStyle w:val="FootnoteReference"/>
          <w:rFonts w:asciiTheme="majorBidi" w:hAnsiTheme="majorBidi" w:cstheme="majorBidi"/>
        </w:rPr>
        <w:footnoteReference w:id="32"/>
      </w:r>
      <w:r w:rsidR="003701AD">
        <w:rPr>
          <w:rFonts w:asciiTheme="majorBidi" w:hAnsiTheme="majorBidi" w:cstheme="majorBidi"/>
        </w:rPr>
        <w:t xml:space="preserve"> </w:t>
      </w:r>
      <w:r w:rsidR="0021624E">
        <w:rPr>
          <w:rFonts w:asciiTheme="majorBidi" w:hAnsiTheme="majorBidi" w:cstheme="majorBidi"/>
        </w:rPr>
        <w:t>Instead of</w:t>
      </w:r>
      <w:r w:rsidR="00C30D31">
        <w:rPr>
          <w:rFonts w:asciiTheme="majorBidi" w:hAnsiTheme="majorBidi" w:cstheme="majorBidi"/>
        </w:rPr>
        <w:t xml:space="preserve"> recognizing it as</w:t>
      </w:r>
      <w:r w:rsidR="0021624E">
        <w:rPr>
          <w:rFonts w:asciiTheme="majorBidi" w:hAnsiTheme="majorBidi" w:cstheme="majorBidi"/>
        </w:rPr>
        <w:t xml:space="preserve"> a land grant to state and military officials, he </w:t>
      </w:r>
      <w:r w:rsidR="00125E53">
        <w:rPr>
          <w:rFonts w:asciiTheme="majorBidi" w:hAnsiTheme="majorBidi" w:cstheme="majorBidi"/>
        </w:rPr>
        <w:t>saw it as nothing but plunder</w:t>
      </w:r>
      <w:r w:rsidR="0021624E">
        <w:rPr>
          <w:rFonts w:asciiTheme="majorBidi" w:hAnsiTheme="majorBidi" w:cstheme="majorBidi"/>
        </w:rPr>
        <w:t xml:space="preserve"> </w:t>
      </w:r>
      <w:r w:rsidR="00125E53">
        <w:rPr>
          <w:rFonts w:asciiTheme="majorBidi" w:hAnsiTheme="majorBidi" w:cstheme="majorBidi"/>
        </w:rPr>
        <w:t>and considered its proliferation during Seljuq times as akin to the condition of the pre-Islamic Age of Ignorance (</w:t>
      </w:r>
      <w:proofErr w:type="spellStart"/>
      <w:r w:rsidR="00125E53">
        <w:rPr>
          <w:rFonts w:asciiTheme="majorBidi" w:hAnsiTheme="majorBidi" w:cstheme="majorBidi"/>
          <w:i/>
          <w:iCs/>
        </w:rPr>
        <w:t>Jāhiliyya</w:t>
      </w:r>
      <w:proofErr w:type="spellEnd"/>
      <w:r w:rsidR="00125E53">
        <w:rPr>
          <w:rFonts w:asciiTheme="majorBidi" w:hAnsiTheme="majorBidi" w:cstheme="majorBidi"/>
        </w:rPr>
        <w:t>).</w:t>
      </w:r>
      <w:r w:rsidR="00F0541A">
        <w:rPr>
          <w:rStyle w:val="FootnoteReference"/>
          <w:rFonts w:asciiTheme="majorBidi" w:hAnsiTheme="majorBidi" w:cstheme="majorBidi"/>
        </w:rPr>
        <w:footnoteReference w:id="33"/>
      </w:r>
      <w:r w:rsidR="00707E8B">
        <w:rPr>
          <w:rFonts w:asciiTheme="majorBidi" w:hAnsiTheme="majorBidi" w:cstheme="majorBidi"/>
        </w:rPr>
        <w:t xml:space="preserve"> </w:t>
      </w:r>
    </w:p>
    <w:p w14:paraId="010BF487" w14:textId="37D36122" w:rsidR="00FE307C" w:rsidRDefault="0080511B" w:rsidP="0037533B">
      <w:pPr>
        <w:spacing w:line="360" w:lineRule="auto"/>
        <w:ind w:firstLine="720"/>
        <w:rPr>
          <w:rFonts w:asciiTheme="majorBidi" w:hAnsiTheme="majorBidi" w:cstheme="majorBidi"/>
        </w:rPr>
      </w:pPr>
      <w:r>
        <w:rPr>
          <w:rFonts w:asciiTheme="majorBidi" w:hAnsiTheme="majorBidi" w:cstheme="majorBidi"/>
        </w:rPr>
        <w:t xml:space="preserve">On the other end, there </w:t>
      </w:r>
      <w:r w:rsidR="004A3A56">
        <w:rPr>
          <w:rFonts w:asciiTheme="majorBidi" w:hAnsiTheme="majorBidi" w:cstheme="majorBidi"/>
        </w:rPr>
        <w:t xml:space="preserve">were </w:t>
      </w:r>
      <w:r>
        <w:rPr>
          <w:rFonts w:asciiTheme="majorBidi" w:hAnsiTheme="majorBidi" w:cstheme="majorBidi"/>
        </w:rPr>
        <w:t>those</w:t>
      </w:r>
      <w:r w:rsidR="004A3A56">
        <w:rPr>
          <w:rFonts w:asciiTheme="majorBidi" w:hAnsiTheme="majorBidi" w:cstheme="majorBidi"/>
        </w:rPr>
        <w:t xml:space="preserve"> to whom </w:t>
      </w:r>
      <w:r>
        <w:rPr>
          <w:rFonts w:asciiTheme="majorBidi" w:hAnsiTheme="majorBidi" w:cstheme="majorBidi"/>
        </w:rPr>
        <w:t xml:space="preserve">politics and </w:t>
      </w:r>
      <w:r w:rsidR="00820B38">
        <w:rPr>
          <w:rFonts w:asciiTheme="majorBidi" w:hAnsiTheme="majorBidi" w:cstheme="majorBidi"/>
        </w:rPr>
        <w:t>government</w:t>
      </w:r>
      <w:r w:rsidR="004A3A56">
        <w:rPr>
          <w:rFonts w:asciiTheme="majorBidi" w:hAnsiTheme="majorBidi" w:cstheme="majorBidi"/>
        </w:rPr>
        <w:t xml:space="preserve"> w</w:t>
      </w:r>
      <w:r>
        <w:rPr>
          <w:rFonts w:asciiTheme="majorBidi" w:hAnsiTheme="majorBidi" w:cstheme="majorBidi"/>
        </w:rPr>
        <w:t>ere</w:t>
      </w:r>
      <w:r w:rsidR="004A3A56">
        <w:rPr>
          <w:rFonts w:asciiTheme="majorBidi" w:hAnsiTheme="majorBidi" w:cstheme="majorBidi"/>
        </w:rPr>
        <w:t xml:space="preserve"> irrelevant and </w:t>
      </w:r>
      <w:r w:rsidR="00341CE8">
        <w:rPr>
          <w:rFonts w:asciiTheme="majorBidi" w:hAnsiTheme="majorBidi" w:cstheme="majorBidi"/>
        </w:rPr>
        <w:t>best</w:t>
      </w:r>
      <w:r w:rsidR="004A3A56">
        <w:rPr>
          <w:rFonts w:asciiTheme="majorBidi" w:hAnsiTheme="majorBidi" w:cstheme="majorBidi"/>
        </w:rPr>
        <w:t xml:space="preserve"> avoided.</w:t>
      </w:r>
      <w:r w:rsidR="00E2318A">
        <w:rPr>
          <w:rFonts w:asciiTheme="majorBidi" w:hAnsiTheme="majorBidi" w:cstheme="majorBidi"/>
        </w:rPr>
        <w:t xml:space="preserve"> Th</w:t>
      </w:r>
      <w:r w:rsidR="00D171F1">
        <w:rPr>
          <w:rFonts w:asciiTheme="majorBidi" w:hAnsiTheme="majorBidi" w:cstheme="majorBidi"/>
        </w:rPr>
        <w:t>is group</w:t>
      </w:r>
      <w:r w:rsidR="00E2318A">
        <w:rPr>
          <w:rFonts w:asciiTheme="majorBidi" w:hAnsiTheme="majorBidi" w:cstheme="majorBidi"/>
        </w:rPr>
        <w:t xml:space="preserve"> included the </w:t>
      </w:r>
      <w:r w:rsidR="00707E8B">
        <w:rPr>
          <w:rFonts w:asciiTheme="majorBidi" w:hAnsiTheme="majorBidi" w:cstheme="majorBidi"/>
        </w:rPr>
        <w:t xml:space="preserve">renunciant ascetics </w:t>
      </w:r>
      <w:r w:rsidR="00E2318A">
        <w:rPr>
          <w:rFonts w:asciiTheme="majorBidi" w:hAnsiTheme="majorBidi" w:cstheme="majorBidi"/>
        </w:rPr>
        <w:t>(</w:t>
      </w:r>
      <w:proofErr w:type="spellStart"/>
      <w:r w:rsidR="00E2318A">
        <w:rPr>
          <w:rFonts w:asciiTheme="majorBidi" w:hAnsiTheme="majorBidi" w:cstheme="majorBidi"/>
          <w:i/>
          <w:iCs/>
        </w:rPr>
        <w:t>zuhhād</w:t>
      </w:r>
      <w:proofErr w:type="spellEnd"/>
      <w:r w:rsidR="00E2318A">
        <w:rPr>
          <w:rFonts w:asciiTheme="majorBidi" w:hAnsiTheme="majorBidi" w:cstheme="majorBidi"/>
        </w:rPr>
        <w:t>)</w:t>
      </w:r>
      <w:r w:rsidR="00E2318A">
        <w:rPr>
          <w:rFonts w:asciiTheme="majorBidi" w:hAnsiTheme="majorBidi" w:cstheme="majorBidi"/>
          <w:i/>
          <w:iCs/>
        </w:rPr>
        <w:t xml:space="preserve"> </w:t>
      </w:r>
      <w:r w:rsidR="00E2318A">
        <w:rPr>
          <w:rFonts w:asciiTheme="majorBidi" w:hAnsiTheme="majorBidi" w:cstheme="majorBidi"/>
        </w:rPr>
        <w:t xml:space="preserve">and </w:t>
      </w:r>
      <w:r w:rsidR="00D171F1">
        <w:rPr>
          <w:rFonts w:asciiTheme="majorBidi" w:hAnsiTheme="majorBidi" w:cstheme="majorBidi"/>
        </w:rPr>
        <w:t>Sufis, many of whom associated</w:t>
      </w:r>
      <w:r w:rsidR="002E36FF">
        <w:rPr>
          <w:rFonts w:asciiTheme="majorBidi" w:hAnsiTheme="majorBidi" w:cstheme="majorBidi"/>
        </w:rPr>
        <w:t xml:space="preserve"> </w:t>
      </w:r>
      <w:r w:rsidR="00D171F1">
        <w:rPr>
          <w:rFonts w:asciiTheme="majorBidi" w:hAnsiTheme="majorBidi" w:cstheme="majorBidi"/>
        </w:rPr>
        <w:t>rulers with illegal taxation, usurped land, worldly pleasures, and immorality</w:t>
      </w:r>
      <w:r w:rsidR="002E36FF">
        <w:rPr>
          <w:rFonts w:asciiTheme="majorBidi" w:hAnsiTheme="majorBidi" w:cstheme="majorBidi"/>
        </w:rPr>
        <w:t xml:space="preserve">. However, rather than openly criticizing </w:t>
      </w:r>
      <w:r w:rsidR="00D171F1">
        <w:rPr>
          <w:rFonts w:asciiTheme="majorBidi" w:hAnsiTheme="majorBidi" w:cstheme="majorBidi"/>
        </w:rPr>
        <w:t>the ruling regime</w:t>
      </w:r>
      <w:r w:rsidR="00263D96">
        <w:rPr>
          <w:rFonts w:asciiTheme="majorBidi" w:hAnsiTheme="majorBidi" w:cstheme="majorBidi"/>
        </w:rPr>
        <w:t xml:space="preserve"> as </w:t>
      </w:r>
      <w:proofErr w:type="spellStart"/>
      <w:r w:rsidR="00263D96">
        <w:rPr>
          <w:rFonts w:asciiTheme="majorBidi" w:hAnsiTheme="majorBidi" w:cstheme="majorBidi"/>
        </w:rPr>
        <w:t>ʿAyn</w:t>
      </w:r>
      <w:proofErr w:type="spellEnd"/>
      <w:r w:rsidR="00263D96">
        <w:rPr>
          <w:rFonts w:asciiTheme="majorBidi" w:hAnsiTheme="majorBidi" w:cstheme="majorBidi"/>
        </w:rPr>
        <w:t xml:space="preserve"> al-</w:t>
      </w:r>
      <w:proofErr w:type="spellStart"/>
      <w:r w:rsidR="00263D96">
        <w:rPr>
          <w:rFonts w:asciiTheme="majorBidi" w:hAnsiTheme="majorBidi" w:cstheme="majorBidi"/>
        </w:rPr>
        <w:t>Quḍāt</w:t>
      </w:r>
      <w:proofErr w:type="spellEnd"/>
      <w:r w:rsidR="00263D96">
        <w:rPr>
          <w:rFonts w:asciiTheme="majorBidi" w:hAnsiTheme="majorBidi" w:cstheme="majorBidi"/>
        </w:rPr>
        <w:t xml:space="preserve"> did</w:t>
      </w:r>
      <w:r w:rsidR="002E36FF">
        <w:rPr>
          <w:rFonts w:asciiTheme="majorBidi" w:hAnsiTheme="majorBidi" w:cstheme="majorBidi"/>
        </w:rPr>
        <w:t xml:space="preserve">, they </w:t>
      </w:r>
      <w:r w:rsidR="007C1A20">
        <w:rPr>
          <w:rFonts w:asciiTheme="majorBidi" w:hAnsiTheme="majorBidi" w:cstheme="majorBidi"/>
        </w:rPr>
        <w:t xml:space="preserve">tried their best to </w:t>
      </w:r>
      <w:r w:rsidR="002E36FF">
        <w:rPr>
          <w:rFonts w:asciiTheme="majorBidi" w:hAnsiTheme="majorBidi" w:cstheme="majorBidi"/>
        </w:rPr>
        <w:t xml:space="preserve">stay away from it </w:t>
      </w:r>
      <w:r w:rsidR="00A74440">
        <w:rPr>
          <w:rFonts w:asciiTheme="majorBidi" w:hAnsiTheme="majorBidi" w:cstheme="majorBidi"/>
        </w:rPr>
        <w:t>and excise its relevance from their lives.</w:t>
      </w:r>
      <w:r w:rsidR="00D171F1">
        <w:rPr>
          <w:rFonts w:asciiTheme="majorBidi" w:hAnsiTheme="majorBidi" w:cstheme="majorBidi"/>
        </w:rPr>
        <w:t xml:space="preserve"> Refusing governmental appointments, avoiding </w:t>
      </w:r>
      <w:r w:rsidR="00E85815">
        <w:rPr>
          <w:rFonts w:asciiTheme="majorBidi" w:hAnsiTheme="majorBidi" w:cstheme="majorBidi"/>
        </w:rPr>
        <w:t xml:space="preserve">food and drink from rulers, and refraining from inhabiting government-owned land </w:t>
      </w:r>
      <w:r w:rsidR="00D171F1">
        <w:rPr>
          <w:rFonts w:asciiTheme="majorBidi" w:hAnsiTheme="majorBidi" w:cstheme="majorBidi"/>
        </w:rPr>
        <w:t>were among such efforts.</w:t>
      </w:r>
      <w:r w:rsidR="00D171F1">
        <w:rPr>
          <w:rStyle w:val="FootnoteReference"/>
          <w:rFonts w:asciiTheme="majorBidi" w:hAnsiTheme="majorBidi" w:cstheme="majorBidi"/>
        </w:rPr>
        <w:footnoteReference w:id="34"/>
      </w:r>
      <w:r w:rsidR="00A0501C">
        <w:rPr>
          <w:rFonts w:asciiTheme="majorBidi" w:hAnsiTheme="majorBidi" w:cstheme="majorBidi"/>
        </w:rPr>
        <w:t xml:space="preserve"> For inspiration, these individuals need look no further than the eponymous founder of Ibn al-</w:t>
      </w:r>
      <w:proofErr w:type="spellStart"/>
      <w:r w:rsidR="00A0501C">
        <w:rPr>
          <w:rFonts w:asciiTheme="majorBidi" w:hAnsiTheme="majorBidi" w:cstheme="majorBidi"/>
        </w:rPr>
        <w:t>Jawzī’s</w:t>
      </w:r>
      <w:proofErr w:type="spellEnd"/>
      <w:r w:rsidR="00A0501C">
        <w:rPr>
          <w:rFonts w:asciiTheme="majorBidi" w:hAnsiTheme="majorBidi" w:cstheme="majorBidi"/>
        </w:rPr>
        <w:t xml:space="preserve"> </w:t>
      </w:r>
      <w:proofErr w:type="spellStart"/>
      <w:r w:rsidR="00A0501C">
        <w:rPr>
          <w:rFonts w:asciiTheme="majorBidi" w:hAnsiTheme="majorBidi" w:cstheme="majorBidi"/>
        </w:rPr>
        <w:t>Ḥanbalī</w:t>
      </w:r>
      <w:proofErr w:type="spellEnd"/>
      <w:r w:rsidR="00A0501C">
        <w:rPr>
          <w:rFonts w:asciiTheme="majorBidi" w:hAnsiTheme="majorBidi" w:cstheme="majorBidi"/>
        </w:rPr>
        <w:t xml:space="preserve"> school, </w:t>
      </w:r>
      <w:proofErr w:type="spellStart"/>
      <w:r w:rsidR="00A0501C">
        <w:rPr>
          <w:rFonts w:asciiTheme="majorBidi" w:hAnsiTheme="majorBidi" w:cstheme="majorBidi"/>
        </w:rPr>
        <w:t>Aḥmad</w:t>
      </w:r>
      <w:proofErr w:type="spellEnd"/>
      <w:r w:rsidR="00A0501C">
        <w:rPr>
          <w:rFonts w:asciiTheme="majorBidi" w:hAnsiTheme="majorBidi" w:cstheme="majorBidi"/>
        </w:rPr>
        <w:t xml:space="preserve"> b. </w:t>
      </w:r>
      <w:proofErr w:type="spellStart"/>
      <w:r w:rsidR="00A0501C">
        <w:rPr>
          <w:rFonts w:asciiTheme="majorBidi" w:hAnsiTheme="majorBidi" w:cstheme="majorBidi"/>
        </w:rPr>
        <w:t>Ḥanbal</w:t>
      </w:r>
      <w:proofErr w:type="spellEnd"/>
      <w:r w:rsidR="00A0501C">
        <w:rPr>
          <w:rFonts w:asciiTheme="majorBidi" w:hAnsiTheme="majorBidi" w:cstheme="majorBidi"/>
        </w:rPr>
        <w:t xml:space="preserve">, who </w:t>
      </w:r>
      <w:r w:rsidR="00B03DC3">
        <w:rPr>
          <w:rFonts w:asciiTheme="majorBidi" w:hAnsiTheme="majorBidi" w:cstheme="majorBidi"/>
        </w:rPr>
        <w:t xml:space="preserve">strove to </w:t>
      </w:r>
      <w:r w:rsidR="00A0501C">
        <w:rPr>
          <w:rFonts w:asciiTheme="majorBidi" w:hAnsiTheme="majorBidi" w:cstheme="majorBidi"/>
        </w:rPr>
        <w:t>le</w:t>
      </w:r>
      <w:r w:rsidR="00B03DC3">
        <w:rPr>
          <w:rFonts w:asciiTheme="majorBidi" w:hAnsiTheme="majorBidi" w:cstheme="majorBidi"/>
        </w:rPr>
        <w:t>a</w:t>
      </w:r>
      <w:r w:rsidR="00A0501C">
        <w:rPr>
          <w:rFonts w:asciiTheme="majorBidi" w:hAnsiTheme="majorBidi" w:cstheme="majorBidi"/>
        </w:rPr>
        <w:t>d an apolitical life</w:t>
      </w:r>
      <w:r w:rsidR="00C30D31">
        <w:rPr>
          <w:rFonts w:asciiTheme="majorBidi" w:hAnsiTheme="majorBidi" w:cstheme="majorBidi"/>
        </w:rPr>
        <w:t xml:space="preserve"> in which he</w:t>
      </w:r>
      <w:r w:rsidR="00A0501C">
        <w:rPr>
          <w:rFonts w:asciiTheme="majorBidi" w:hAnsiTheme="majorBidi" w:cstheme="majorBidi"/>
        </w:rPr>
        <w:t xml:space="preserve"> </w:t>
      </w:r>
      <w:r w:rsidR="00B03DC3">
        <w:rPr>
          <w:rFonts w:asciiTheme="majorBidi" w:hAnsiTheme="majorBidi" w:cstheme="majorBidi"/>
        </w:rPr>
        <w:t>refused to</w:t>
      </w:r>
      <w:r w:rsidR="00A0501C">
        <w:rPr>
          <w:rFonts w:asciiTheme="majorBidi" w:hAnsiTheme="majorBidi" w:cstheme="majorBidi"/>
        </w:rPr>
        <w:t xml:space="preserve"> confront or work with the ruling authorities.</w:t>
      </w:r>
      <w:r w:rsidR="00A0501C">
        <w:rPr>
          <w:rStyle w:val="FootnoteReference"/>
          <w:rFonts w:asciiTheme="majorBidi" w:hAnsiTheme="majorBidi" w:cstheme="majorBidi"/>
        </w:rPr>
        <w:footnoteReference w:id="35"/>
      </w:r>
    </w:p>
    <w:p w14:paraId="383A13B4" w14:textId="3E8970F0" w:rsidR="00BB0565" w:rsidRDefault="00E9380C" w:rsidP="0037533B">
      <w:pPr>
        <w:spacing w:line="360" w:lineRule="auto"/>
        <w:ind w:firstLine="720"/>
        <w:rPr>
          <w:rFonts w:asciiTheme="majorBidi" w:hAnsiTheme="majorBidi" w:cstheme="majorBidi"/>
        </w:rPr>
      </w:pPr>
      <w:r>
        <w:rPr>
          <w:rFonts w:asciiTheme="majorBidi" w:hAnsiTheme="majorBidi" w:cstheme="majorBidi"/>
        </w:rPr>
        <w:t>M</w:t>
      </w:r>
      <w:r w:rsidR="00A74440">
        <w:rPr>
          <w:rFonts w:asciiTheme="majorBidi" w:hAnsiTheme="majorBidi" w:cstheme="majorBidi"/>
        </w:rPr>
        <w:t xml:space="preserve">ore commonly encountered </w:t>
      </w:r>
      <w:r w:rsidR="00377702">
        <w:rPr>
          <w:rFonts w:asciiTheme="majorBidi" w:hAnsiTheme="majorBidi" w:cstheme="majorBidi"/>
        </w:rPr>
        <w:t xml:space="preserve">in the scholarly tradition </w:t>
      </w:r>
      <w:r w:rsidR="00A74440">
        <w:rPr>
          <w:rFonts w:asciiTheme="majorBidi" w:hAnsiTheme="majorBidi" w:cstheme="majorBidi"/>
        </w:rPr>
        <w:t xml:space="preserve">were </w:t>
      </w:r>
      <w:r w:rsidR="0080511B">
        <w:rPr>
          <w:rFonts w:asciiTheme="majorBidi" w:hAnsiTheme="majorBidi" w:cstheme="majorBidi"/>
        </w:rPr>
        <w:t>scholars</w:t>
      </w:r>
      <w:r w:rsidR="00A74440">
        <w:rPr>
          <w:rFonts w:asciiTheme="majorBidi" w:hAnsiTheme="majorBidi" w:cstheme="majorBidi"/>
        </w:rPr>
        <w:t xml:space="preserve"> who </w:t>
      </w:r>
      <w:r w:rsidR="006561BF">
        <w:rPr>
          <w:rFonts w:asciiTheme="majorBidi" w:hAnsiTheme="majorBidi" w:cstheme="majorBidi"/>
        </w:rPr>
        <w:t>maintained</w:t>
      </w:r>
      <w:r w:rsidR="00632134" w:rsidRPr="00A74440">
        <w:rPr>
          <w:rFonts w:asciiTheme="majorBidi" w:hAnsiTheme="majorBidi" w:cstheme="majorBidi"/>
        </w:rPr>
        <w:t xml:space="preserve"> a delicate balancing act</w:t>
      </w:r>
      <w:r w:rsidR="006561BF">
        <w:rPr>
          <w:rFonts w:asciiTheme="majorBidi" w:hAnsiTheme="majorBidi" w:cstheme="majorBidi"/>
        </w:rPr>
        <w:t xml:space="preserve"> between rulers and scholars, </w:t>
      </w:r>
      <w:r w:rsidR="002651E5">
        <w:rPr>
          <w:rFonts w:asciiTheme="majorBidi" w:hAnsiTheme="majorBidi" w:cstheme="majorBidi"/>
        </w:rPr>
        <w:t xml:space="preserve">an act </w:t>
      </w:r>
      <w:r w:rsidR="006561BF">
        <w:rPr>
          <w:rFonts w:asciiTheme="majorBidi" w:hAnsiTheme="majorBidi" w:cstheme="majorBidi"/>
        </w:rPr>
        <w:t xml:space="preserve">which also resulted in an ambivalent view of ruler-scholar relations. </w:t>
      </w:r>
      <w:r w:rsidR="001E6E7A">
        <w:rPr>
          <w:rFonts w:asciiTheme="majorBidi" w:hAnsiTheme="majorBidi" w:cstheme="majorBidi"/>
        </w:rPr>
        <w:t xml:space="preserve">This ambivalence </w:t>
      </w:r>
      <w:r w:rsidR="00442A0B">
        <w:rPr>
          <w:rFonts w:asciiTheme="majorBidi" w:hAnsiTheme="majorBidi" w:cstheme="majorBidi"/>
        </w:rPr>
        <w:t>plays out</w:t>
      </w:r>
      <w:r w:rsidR="002651E5">
        <w:rPr>
          <w:rFonts w:asciiTheme="majorBidi" w:hAnsiTheme="majorBidi" w:cstheme="majorBidi"/>
        </w:rPr>
        <w:t xml:space="preserve"> in the writings of</w:t>
      </w:r>
      <w:r w:rsidR="00DF51D8">
        <w:rPr>
          <w:rFonts w:asciiTheme="majorBidi" w:hAnsiTheme="majorBidi" w:cstheme="majorBidi"/>
        </w:rPr>
        <w:t xml:space="preserve"> al-</w:t>
      </w:r>
      <w:proofErr w:type="spellStart"/>
      <w:r w:rsidR="00DF51D8">
        <w:rPr>
          <w:rFonts w:asciiTheme="majorBidi" w:hAnsiTheme="majorBidi" w:cstheme="majorBidi"/>
        </w:rPr>
        <w:t>Ghazālī</w:t>
      </w:r>
      <w:proofErr w:type="spellEnd"/>
      <w:r w:rsidR="00DF51D8">
        <w:rPr>
          <w:rFonts w:asciiTheme="majorBidi" w:hAnsiTheme="majorBidi" w:cstheme="majorBidi"/>
        </w:rPr>
        <w:t xml:space="preserve"> (d. 505/1111)</w:t>
      </w:r>
      <w:r w:rsidR="002651E5">
        <w:rPr>
          <w:rFonts w:asciiTheme="majorBidi" w:hAnsiTheme="majorBidi" w:cstheme="majorBidi"/>
        </w:rPr>
        <w:t xml:space="preserve">. </w:t>
      </w:r>
      <w:r w:rsidR="00091592">
        <w:rPr>
          <w:rFonts w:asciiTheme="majorBidi" w:hAnsiTheme="majorBidi" w:cstheme="majorBidi"/>
        </w:rPr>
        <w:t xml:space="preserve">Unlike </w:t>
      </w:r>
      <w:proofErr w:type="spellStart"/>
      <w:r w:rsidR="00091592">
        <w:rPr>
          <w:rFonts w:asciiTheme="majorBidi" w:hAnsiTheme="majorBidi" w:cstheme="majorBidi"/>
        </w:rPr>
        <w:t>ʿAyn</w:t>
      </w:r>
      <w:proofErr w:type="spellEnd"/>
      <w:r w:rsidR="00091592">
        <w:rPr>
          <w:rFonts w:asciiTheme="majorBidi" w:hAnsiTheme="majorBidi" w:cstheme="majorBidi"/>
        </w:rPr>
        <w:t xml:space="preserve"> al-</w:t>
      </w:r>
      <w:proofErr w:type="spellStart"/>
      <w:r w:rsidR="00091592">
        <w:rPr>
          <w:rFonts w:asciiTheme="majorBidi" w:hAnsiTheme="majorBidi" w:cstheme="majorBidi"/>
        </w:rPr>
        <w:t>Quḍāt</w:t>
      </w:r>
      <w:proofErr w:type="spellEnd"/>
      <w:r w:rsidR="00442A0B">
        <w:rPr>
          <w:rFonts w:asciiTheme="majorBidi" w:hAnsiTheme="majorBidi" w:cstheme="majorBidi"/>
        </w:rPr>
        <w:t>, al-</w:t>
      </w:r>
      <w:proofErr w:type="spellStart"/>
      <w:r w:rsidR="00442A0B">
        <w:rPr>
          <w:rFonts w:asciiTheme="majorBidi" w:hAnsiTheme="majorBidi" w:cstheme="majorBidi"/>
        </w:rPr>
        <w:t>Ghazālī</w:t>
      </w:r>
      <w:proofErr w:type="spellEnd"/>
      <w:r w:rsidR="00442A0B">
        <w:rPr>
          <w:rFonts w:asciiTheme="majorBidi" w:hAnsiTheme="majorBidi" w:cstheme="majorBidi"/>
        </w:rPr>
        <w:t xml:space="preserve"> d</w:t>
      </w:r>
      <w:r w:rsidR="00091592">
        <w:rPr>
          <w:rFonts w:asciiTheme="majorBidi" w:hAnsiTheme="majorBidi" w:cstheme="majorBidi"/>
        </w:rPr>
        <w:t>id</w:t>
      </w:r>
      <w:r w:rsidR="00442A0B">
        <w:rPr>
          <w:rFonts w:asciiTheme="majorBidi" w:hAnsiTheme="majorBidi" w:cstheme="majorBidi"/>
        </w:rPr>
        <w:t xml:space="preserve"> not deem </w:t>
      </w:r>
      <w:r w:rsidR="00511044">
        <w:rPr>
          <w:rFonts w:asciiTheme="majorBidi" w:hAnsiTheme="majorBidi" w:cstheme="majorBidi"/>
        </w:rPr>
        <w:t>government to be</w:t>
      </w:r>
      <w:r w:rsidR="00442A0B">
        <w:rPr>
          <w:rFonts w:asciiTheme="majorBidi" w:hAnsiTheme="majorBidi" w:cstheme="majorBidi"/>
        </w:rPr>
        <w:t xml:space="preserve"> illegitimate</w:t>
      </w:r>
      <w:r w:rsidR="00091592">
        <w:rPr>
          <w:rFonts w:asciiTheme="majorBidi" w:hAnsiTheme="majorBidi" w:cstheme="majorBidi"/>
        </w:rPr>
        <w:t xml:space="preserve"> </w:t>
      </w:r>
      <w:r w:rsidR="00BF255B">
        <w:rPr>
          <w:rFonts w:asciiTheme="majorBidi" w:hAnsiTheme="majorBidi" w:cstheme="majorBidi"/>
        </w:rPr>
        <w:t xml:space="preserve">or irrelevant </w:t>
      </w:r>
      <w:r w:rsidR="00091592">
        <w:rPr>
          <w:rFonts w:asciiTheme="majorBidi" w:hAnsiTheme="majorBidi" w:cstheme="majorBidi"/>
        </w:rPr>
        <w:t xml:space="preserve">since </w:t>
      </w:r>
      <w:r w:rsidR="00BB0565">
        <w:rPr>
          <w:rFonts w:asciiTheme="majorBidi" w:hAnsiTheme="majorBidi" w:cstheme="majorBidi"/>
        </w:rPr>
        <w:t>a</w:t>
      </w:r>
      <w:r w:rsidR="005C3FB6">
        <w:rPr>
          <w:rFonts w:asciiTheme="majorBidi" w:hAnsiTheme="majorBidi" w:cstheme="majorBidi"/>
        </w:rPr>
        <w:t xml:space="preserve"> ruler</w:t>
      </w:r>
      <w:r w:rsidR="00442A0B">
        <w:rPr>
          <w:rFonts w:asciiTheme="majorBidi" w:hAnsiTheme="majorBidi" w:cstheme="majorBidi"/>
        </w:rPr>
        <w:t xml:space="preserve"> is </w:t>
      </w:r>
      <w:r w:rsidR="00794971">
        <w:rPr>
          <w:rFonts w:asciiTheme="majorBidi" w:hAnsiTheme="majorBidi" w:cstheme="majorBidi"/>
        </w:rPr>
        <w:t xml:space="preserve">still </w:t>
      </w:r>
      <w:r w:rsidR="00442A0B">
        <w:rPr>
          <w:rFonts w:asciiTheme="majorBidi" w:hAnsiTheme="majorBidi" w:cstheme="majorBidi"/>
        </w:rPr>
        <w:t xml:space="preserve">needed to </w:t>
      </w:r>
      <w:r w:rsidR="00511044">
        <w:rPr>
          <w:rFonts w:asciiTheme="majorBidi" w:hAnsiTheme="majorBidi" w:cstheme="majorBidi"/>
        </w:rPr>
        <w:t xml:space="preserve">ensure that </w:t>
      </w:r>
      <w:r w:rsidR="00091592">
        <w:rPr>
          <w:rFonts w:asciiTheme="majorBidi" w:hAnsiTheme="majorBidi" w:cstheme="majorBidi"/>
        </w:rPr>
        <w:t xml:space="preserve">worldly affairs </w:t>
      </w:r>
      <w:r w:rsidR="00511044">
        <w:rPr>
          <w:rFonts w:asciiTheme="majorBidi" w:hAnsiTheme="majorBidi" w:cstheme="majorBidi"/>
        </w:rPr>
        <w:t xml:space="preserve">are </w:t>
      </w:r>
      <w:r w:rsidR="00E21D6C">
        <w:rPr>
          <w:rFonts w:asciiTheme="majorBidi" w:hAnsiTheme="majorBidi" w:cstheme="majorBidi"/>
        </w:rPr>
        <w:t>kept in order</w:t>
      </w:r>
      <w:r w:rsidR="00511044">
        <w:rPr>
          <w:rFonts w:asciiTheme="majorBidi" w:hAnsiTheme="majorBidi" w:cstheme="majorBidi"/>
        </w:rPr>
        <w:t xml:space="preserve">. </w:t>
      </w:r>
      <w:r w:rsidR="00D55336">
        <w:rPr>
          <w:rFonts w:asciiTheme="majorBidi" w:hAnsiTheme="majorBidi" w:cstheme="majorBidi"/>
        </w:rPr>
        <w:t>Insofar as w</w:t>
      </w:r>
      <w:r w:rsidR="00511044">
        <w:rPr>
          <w:rFonts w:asciiTheme="majorBidi" w:hAnsiTheme="majorBidi" w:cstheme="majorBidi"/>
        </w:rPr>
        <w:t xml:space="preserve">ell-ordered </w:t>
      </w:r>
      <w:r w:rsidR="002B558A">
        <w:rPr>
          <w:rFonts w:asciiTheme="majorBidi" w:hAnsiTheme="majorBidi" w:cstheme="majorBidi"/>
        </w:rPr>
        <w:t>worldly affairs (</w:t>
      </w:r>
      <w:proofErr w:type="spellStart"/>
      <w:r w:rsidR="002B558A">
        <w:rPr>
          <w:rFonts w:asciiTheme="majorBidi" w:hAnsiTheme="majorBidi" w:cstheme="majorBidi"/>
          <w:i/>
          <w:iCs/>
        </w:rPr>
        <w:t>niẓām</w:t>
      </w:r>
      <w:proofErr w:type="spellEnd"/>
      <w:r w:rsidR="002B558A">
        <w:rPr>
          <w:rFonts w:asciiTheme="majorBidi" w:hAnsiTheme="majorBidi" w:cstheme="majorBidi"/>
          <w:i/>
          <w:iCs/>
        </w:rPr>
        <w:t xml:space="preserve"> al-</w:t>
      </w:r>
      <w:proofErr w:type="spellStart"/>
      <w:r w:rsidR="002B558A">
        <w:rPr>
          <w:rFonts w:asciiTheme="majorBidi" w:hAnsiTheme="majorBidi" w:cstheme="majorBidi"/>
          <w:i/>
          <w:iCs/>
        </w:rPr>
        <w:t>dunyā</w:t>
      </w:r>
      <w:proofErr w:type="spellEnd"/>
      <w:r w:rsidR="002B558A">
        <w:rPr>
          <w:rFonts w:asciiTheme="majorBidi" w:hAnsiTheme="majorBidi" w:cstheme="majorBidi"/>
        </w:rPr>
        <w:t xml:space="preserve">) are required for well-ordered religious affairs </w:t>
      </w:r>
      <w:r w:rsidR="002B558A">
        <w:rPr>
          <w:rFonts w:asciiTheme="majorBidi" w:hAnsiTheme="majorBidi" w:cstheme="majorBidi"/>
        </w:rPr>
        <w:lastRenderedPageBreak/>
        <w:t>(</w:t>
      </w:r>
      <w:proofErr w:type="spellStart"/>
      <w:r w:rsidR="002B558A">
        <w:rPr>
          <w:rFonts w:asciiTheme="majorBidi" w:hAnsiTheme="majorBidi" w:cstheme="majorBidi"/>
          <w:i/>
          <w:iCs/>
        </w:rPr>
        <w:t>niẓām</w:t>
      </w:r>
      <w:proofErr w:type="spellEnd"/>
      <w:r w:rsidR="002B558A">
        <w:rPr>
          <w:rFonts w:asciiTheme="majorBidi" w:hAnsiTheme="majorBidi" w:cstheme="majorBidi"/>
          <w:i/>
          <w:iCs/>
        </w:rPr>
        <w:t xml:space="preserve"> al-</w:t>
      </w:r>
      <w:proofErr w:type="spellStart"/>
      <w:r w:rsidR="002B558A">
        <w:rPr>
          <w:rFonts w:asciiTheme="majorBidi" w:hAnsiTheme="majorBidi" w:cstheme="majorBidi"/>
          <w:i/>
          <w:iCs/>
        </w:rPr>
        <w:t>dīn</w:t>
      </w:r>
      <w:proofErr w:type="spellEnd"/>
      <w:r w:rsidR="002B558A">
        <w:rPr>
          <w:rFonts w:asciiTheme="majorBidi" w:hAnsiTheme="majorBidi" w:cstheme="majorBidi"/>
        </w:rPr>
        <w:t>)</w:t>
      </w:r>
      <w:r w:rsidR="00D55336">
        <w:rPr>
          <w:rFonts w:asciiTheme="majorBidi" w:hAnsiTheme="majorBidi" w:cstheme="majorBidi"/>
        </w:rPr>
        <w:t xml:space="preserve">, religion </w:t>
      </w:r>
      <w:r w:rsidR="00E21D6C">
        <w:rPr>
          <w:rFonts w:asciiTheme="majorBidi" w:hAnsiTheme="majorBidi" w:cstheme="majorBidi"/>
        </w:rPr>
        <w:t>serves as</w:t>
      </w:r>
      <w:r w:rsidR="00D55336">
        <w:rPr>
          <w:rFonts w:asciiTheme="majorBidi" w:hAnsiTheme="majorBidi" w:cstheme="majorBidi"/>
        </w:rPr>
        <w:t xml:space="preserve"> the foundation of the state</w:t>
      </w:r>
      <w:r w:rsidR="002B558A">
        <w:rPr>
          <w:rFonts w:asciiTheme="majorBidi" w:hAnsiTheme="majorBidi" w:cstheme="majorBidi"/>
        </w:rPr>
        <w:t>.</w:t>
      </w:r>
      <w:r w:rsidR="00091592">
        <w:rPr>
          <w:rStyle w:val="FootnoteReference"/>
          <w:rFonts w:asciiTheme="majorBidi" w:hAnsiTheme="majorBidi" w:cstheme="majorBidi"/>
        </w:rPr>
        <w:footnoteReference w:id="36"/>
      </w:r>
      <w:r w:rsidR="001E6E7A">
        <w:rPr>
          <w:rFonts w:asciiTheme="majorBidi" w:hAnsiTheme="majorBidi" w:cstheme="majorBidi"/>
        </w:rPr>
        <w:t xml:space="preserve"> </w:t>
      </w:r>
      <w:r w:rsidR="000241E2">
        <w:rPr>
          <w:rFonts w:asciiTheme="majorBidi" w:hAnsiTheme="majorBidi" w:cstheme="majorBidi"/>
        </w:rPr>
        <w:t>In several of al-</w:t>
      </w:r>
      <w:proofErr w:type="spellStart"/>
      <w:r w:rsidR="000241E2">
        <w:rPr>
          <w:rFonts w:asciiTheme="majorBidi" w:hAnsiTheme="majorBidi" w:cstheme="majorBidi"/>
        </w:rPr>
        <w:t>Ghazālī’s</w:t>
      </w:r>
      <w:proofErr w:type="spellEnd"/>
      <w:r w:rsidR="000241E2">
        <w:rPr>
          <w:rFonts w:asciiTheme="majorBidi" w:hAnsiTheme="majorBidi" w:cstheme="majorBidi"/>
        </w:rPr>
        <w:t xml:space="preserve"> writings, t</w:t>
      </w:r>
      <w:r w:rsidR="00D55336">
        <w:rPr>
          <w:rFonts w:asciiTheme="majorBidi" w:hAnsiTheme="majorBidi" w:cstheme="majorBidi"/>
        </w:rPr>
        <w:t xml:space="preserve">his </w:t>
      </w:r>
      <w:r w:rsidR="00E21D6C">
        <w:rPr>
          <w:rFonts w:asciiTheme="majorBidi" w:hAnsiTheme="majorBidi" w:cstheme="majorBidi"/>
        </w:rPr>
        <w:t>inter</w:t>
      </w:r>
      <w:r w:rsidR="00D55336">
        <w:rPr>
          <w:rFonts w:asciiTheme="majorBidi" w:hAnsiTheme="majorBidi" w:cstheme="majorBidi"/>
        </w:rPr>
        <w:t>dependen</w:t>
      </w:r>
      <w:r w:rsidR="00E21D6C">
        <w:rPr>
          <w:rFonts w:asciiTheme="majorBidi" w:hAnsiTheme="majorBidi" w:cstheme="majorBidi"/>
        </w:rPr>
        <w:t>t relationship</w:t>
      </w:r>
      <w:r w:rsidR="00D55336">
        <w:rPr>
          <w:rFonts w:asciiTheme="majorBidi" w:hAnsiTheme="majorBidi" w:cstheme="majorBidi"/>
        </w:rPr>
        <w:t xml:space="preserve"> between the political and religious spheres</w:t>
      </w:r>
      <w:r w:rsidR="000241E2">
        <w:rPr>
          <w:rFonts w:asciiTheme="majorBidi" w:hAnsiTheme="majorBidi" w:cstheme="majorBidi"/>
        </w:rPr>
        <w:t xml:space="preserve"> translates </w:t>
      </w:r>
      <w:r w:rsidR="000241E2" w:rsidRPr="000241E2">
        <w:rPr>
          <w:rFonts w:asciiTheme="majorBidi" w:hAnsiTheme="majorBidi" w:cstheme="majorBidi"/>
        </w:rPr>
        <w:t xml:space="preserve">into </w:t>
      </w:r>
      <w:r w:rsidR="00D942DF" w:rsidRPr="000241E2">
        <w:rPr>
          <w:rFonts w:asciiTheme="majorBidi" w:hAnsiTheme="majorBidi" w:cstheme="majorBidi"/>
        </w:rPr>
        <w:t>advice for rulers to consult religious scholars</w:t>
      </w:r>
      <w:r w:rsidR="00AD207A">
        <w:rPr>
          <w:rFonts w:asciiTheme="majorBidi" w:hAnsiTheme="majorBidi" w:cstheme="majorBidi"/>
        </w:rPr>
        <w:t xml:space="preserve">. </w:t>
      </w:r>
      <w:r w:rsidR="00AD207A" w:rsidRPr="001E24FD">
        <w:rPr>
          <w:rFonts w:asciiTheme="majorBidi" w:hAnsiTheme="majorBidi" w:cstheme="majorBidi"/>
        </w:rPr>
        <w:t>In</w:t>
      </w:r>
      <w:r w:rsidR="00AD207A">
        <w:rPr>
          <w:rFonts w:asciiTheme="majorBidi" w:hAnsiTheme="majorBidi" w:cstheme="majorBidi"/>
        </w:rPr>
        <w:t xml:space="preserve"> </w:t>
      </w:r>
      <w:proofErr w:type="spellStart"/>
      <w:r w:rsidR="00AD207A" w:rsidRPr="001E24FD">
        <w:rPr>
          <w:rFonts w:asciiTheme="majorBidi" w:hAnsiTheme="majorBidi" w:cstheme="majorBidi"/>
          <w:i/>
          <w:iCs/>
        </w:rPr>
        <w:t>Naṣīḥat</w:t>
      </w:r>
      <w:proofErr w:type="spellEnd"/>
      <w:r w:rsidR="00AD207A" w:rsidRPr="001E24FD">
        <w:rPr>
          <w:rFonts w:asciiTheme="majorBidi" w:hAnsiTheme="majorBidi" w:cstheme="majorBidi"/>
          <w:i/>
          <w:iCs/>
        </w:rPr>
        <w:t xml:space="preserve"> al-</w:t>
      </w:r>
      <w:proofErr w:type="spellStart"/>
      <w:r w:rsidR="00AD207A" w:rsidRPr="001E24FD">
        <w:rPr>
          <w:rFonts w:asciiTheme="majorBidi" w:hAnsiTheme="majorBidi" w:cstheme="majorBidi"/>
          <w:i/>
          <w:iCs/>
        </w:rPr>
        <w:t>mulūk</w:t>
      </w:r>
      <w:proofErr w:type="spellEnd"/>
      <w:r w:rsidR="00AD207A" w:rsidRPr="001E24FD">
        <w:rPr>
          <w:rFonts w:asciiTheme="majorBidi" w:hAnsiTheme="majorBidi" w:cstheme="majorBidi"/>
        </w:rPr>
        <w:t xml:space="preserve">, a mirror for princes </w:t>
      </w:r>
      <w:r w:rsidR="00501488">
        <w:rPr>
          <w:rFonts w:asciiTheme="majorBidi" w:hAnsiTheme="majorBidi" w:cstheme="majorBidi"/>
        </w:rPr>
        <w:t xml:space="preserve">likely </w:t>
      </w:r>
      <w:r w:rsidR="00503D69">
        <w:rPr>
          <w:rFonts w:asciiTheme="majorBidi" w:hAnsiTheme="majorBidi" w:cstheme="majorBidi"/>
        </w:rPr>
        <w:t>dedicated to</w:t>
      </w:r>
      <w:r w:rsidR="00AD207A" w:rsidRPr="001E24FD">
        <w:rPr>
          <w:rFonts w:asciiTheme="majorBidi" w:hAnsiTheme="majorBidi" w:cstheme="majorBidi"/>
        </w:rPr>
        <w:t xml:space="preserve"> the Seljuq sultan </w:t>
      </w:r>
      <w:proofErr w:type="spellStart"/>
      <w:r w:rsidR="00501488">
        <w:rPr>
          <w:rFonts w:asciiTheme="majorBidi" w:hAnsiTheme="majorBidi" w:cstheme="majorBidi"/>
        </w:rPr>
        <w:t>Sanjar</w:t>
      </w:r>
      <w:proofErr w:type="spellEnd"/>
      <w:r w:rsidR="00AD207A" w:rsidRPr="001E24FD">
        <w:rPr>
          <w:rFonts w:asciiTheme="majorBidi" w:hAnsiTheme="majorBidi" w:cstheme="majorBidi"/>
        </w:rPr>
        <w:t xml:space="preserve"> (d. 5</w:t>
      </w:r>
      <w:r w:rsidR="00501488">
        <w:rPr>
          <w:rFonts w:asciiTheme="majorBidi" w:hAnsiTheme="majorBidi" w:cstheme="majorBidi"/>
        </w:rPr>
        <w:t>52/1157</w:t>
      </w:r>
      <w:r w:rsidR="00AD207A" w:rsidRPr="001E24FD">
        <w:rPr>
          <w:rFonts w:asciiTheme="majorBidi" w:hAnsiTheme="majorBidi" w:cstheme="majorBidi"/>
        </w:rPr>
        <w:t xml:space="preserve">), </w:t>
      </w:r>
      <w:r w:rsidR="00501488">
        <w:rPr>
          <w:rFonts w:asciiTheme="majorBidi" w:hAnsiTheme="majorBidi" w:cstheme="majorBidi"/>
        </w:rPr>
        <w:t>al-</w:t>
      </w:r>
      <w:proofErr w:type="spellStart"/>
      <w:r w:rsidR="00AD207A" w:rsidRPr="001E24FD">
        <w:rPr>
          <w:rFonts w:asciiTheme="majorBidi" w:hAnsiTheme="majorBidi" w:cstheme="majorBidi"/>
        </w:rPr>
        <w:t>Ghazālī</w:t>
      </w:r>
      <w:proofErr w:type="spellEnd"/>
      <w:r w:rsidR="00AD207A" w:rsidRPr="001E24FD">
        <w:rPr>
          <w:rFonts w:asciiTheme="majorBidi" w:hAnsiTheme="majorBidi" w:cstheme="majorBidi"/>
        </w:rPr>
        <w:t xml:space="preserve"> </w:t>
      </w:r>
      <w:r w:rsidR="00255926">
        <w:rPr>
          <w:rFonts w:asciiTheme="majorBidi" w:hAnsiTheme="majorBidi" w:cstheme="majorBidi"/>
        </w:rPr>
        <w:t xml:space="preserve">writes that “the ruler should know that he will find safety in always being with devout </w:t>
      </w:r>
      <w:proofErr w:type="spellStart"/>
      <w:r w:rsidR="00255926">
        <w:rPr>
          <w:rFonts w:asciiTheme="majorBidi" w:hAnsiTheme="majorBidi" w:cstheme="majorBidi"/>
          <w:i/>
          <w:iCs/>
        </w:rPr>
        <w:t>ʿulamāʾ</w:t>
      </w:r>
      <w:proofErr w:type="spellEnd"/>
      <w:r w:rsidR="00255926">
        <w:rPr>
          <w:rFonts w:asciiTheme="majorBidi" w:hAnsiTheme="majorBidi" w:cstheme="majorBidi"/>
        </w:rPr>
        <w:t xml:space="preserve"> who will instruct him in the way of justice”</w:t>
      </w:r>
      <w:r w:rsidR="00AD207A" w:rsidRPr="001E24FD">
        <w:rPr>
          <w:rFonts w:asciiTheme="majorBidi" w:hAnsiTheme="majorBidi" w:cstheme="majorBidi"/>
        </w:rPr>
        <w:t xml:space="preserve"> </w:t>
      </w:r>
      <w:r w:rsidR="00503D69">
        <w:rPr>
          <w:rFonts w:asciiTheme="majorBidi" w:hAnsiTheme="majorBidi" w:cstheme="majorBidi"/>
        </w:rPr>
        <w:t xml:space="preserve">and that he “should be always thirsting to </w:t>
      </w:r>
      <w:r w:rsidR="00AD207A" w:rsidRPr="001E24FD">
        <w:rPr>
          <w:rFonts w:asciiTheme="majorBidi" w:hAnsiTheme="majorBidi" w:cstheme="majorBidi"/>
        </w:rPr>
        <w:t xml:space="preserve">meet devout </w:t>
      </w:r>
      <w:proofErr w:type="spellStart"/>
      <w:r w:rsidR="00AD207A" w:rsidRPr="001E24FD">
        <w:rPr>
          <w:rFonts w:asciiTheme="majorBidi" w:hAnsiTheme="majorBidi" w:cstheme="majorBidi"/>
          <w:i/>
          <w:iCs/>
        </w:rPr>
        <w:t>ʿulamāʾ</w:t>
      </w:r>
      <w:proofErr w:type="spellEnd"/>
      <w:r w:rsidR="00AD207A" w:rsidRPr="001E24FD">
        <w:rPr>
          <w:rFonts w:asciiTheme="majorBidi" w:hAnsiTheme="majorBidi" w:cstheme="majorBidi"/>
        </w:rPr>
        <w:t xml:space="preserve"> and ask them for advice</w:t>
      </w:r>
      <w:r w:rsidR="00503D69">
        <w:rPr>
          <w:rFonts w:asciiTheme="majorBidi" w:hAnsiTheme="majorBidi" w:cstheme="majorBidi"/>
        </w:rPr>
        <w:t>.</w:t>
      </w:r>
      <w:r w:rsidR="00AD207A" w:rsidRPr="001E24FD">
        <w:rPr>
          <w:rFonts w:asciiTheme="majorBidi" w:hAnsiTheme="majorBidi" w:cstheme="majorBidi"/>
        </w:rPr>
        <w:t>”</w:t>
      </w:r>
      <w:r w:rsidR="00AD207A" w:rsidRPr="001E24FD">
        <w:rPr>
          <w:rStyle w:val="FootnoteReference"/>
          <w:rFonts w:asciiTheme="majorBidi" w:hAnsiTheme="majorBidi" w:cstheme="majorBidi"/>
        </w:rPr>
        <w:footnoteReference w:id="37"/>
      </w:r>
      <w:r w:rsidR="00AD207A" w:rsidRPr="001E24FD">
        <w:rPr>
          <w:rFonts w:asciiTheme="majorBidi" w:hAnsiTheme="majorBidi" w:cstheme="majorBidi"/>
        </w:rPr>
        <w:t xml:space="preserve"> </w:t>
      </w:r>
      <w:r w:rsidR="000241E2">
        <w:rPr>
          <w:rFonts w:asciiTheme="majorBidi" w:hAnsiTheme="majorBidi" w:cstheme="majorBidi"/>
        </w:rPr>
        <w:t>Similarly</w:t>
      </w:r>
      <w:r w:rsidR="00AD207A" w:rsidRPr="001E24FD">
        <w:rPr>
          <w:rFonts w:asciiTheme="majorBidi" w:hAnsiTheme="majorBidi" w:cstheme="majorBidi"/>
        </w:rPr>
        <w:t xml:space="preserve">, </w:t>
      </w:r>
      <w:r w:rsidR="00503D69">
        <w:rPr>
          <w:rFonts w:asciiTheme="majorBidi" w:hAnsiTheme="majorBidi" w:cstheme="majorBidi"/>
        </w:rPr>
        <w:t>he</w:t>
      </w:r>
      <w:r w:rsidR="00AD207A" w:rsidRPr="001E24FD">
        <w:rPr>
          <w:rFonts w:asciiTheme="majorBidi" w:hAnsiTheme="majorBidi" w:cstheme="majorBidi"/>
        </w:rPr>
        <w:t xml:space="preserve"> insists in the </w:t>
      </w:r>
      <w:proofErr w:type="spellStart"/>
      <w:r w:rsidR="000241E2" w:rsidRPr="001E24FD">
        <w:rPr>
          <w:rFonts w:asciiTheme="majorBidi" w:hAnsiTheme="majorBidi" w:cstheme="majorBidi"/>
          <w:i/>
        </w:rPr>
        <w:t>Faḍāʾiḥ</w:t>
      </w:r>
      <w:proofErr w:type="spellEnd"/>
      <w:r w:rsidR="000241E2" w:rsidRPr="001E24FD">
        <w:rPr>
          <w:rFonts w:asciiTheme="majorBidi" w:hAnsiTheme="majorBidi" w:cstheme="majorBidi"/>
          <w:i/>
        </w:rPr>
        <w:t xml:space="preserve"> al-</w:t>
      </w:r>
      <w:proofErr w:type="spellStart"/>
      <w:r w:rsidR="000241E2" w:rsidRPr="001E24FD">
        <w:rPr>
          <w:rFonts w:asciiTheme="majorBidi" w:hAnsiTheme="majorBidi" w:cstheme="majorBidi"/>
          <w:i/>
        </w:rPr>
        <w:t>bāṭiniyy</w:t>
      </w:r>
      <w:r w:rsidR="000241E2">
        <w:rPr>
          <w:rFonts w:asciiTheme="majorBidi" w:hAnsiTheme="majorBidi" w:cstheme="majorBidi"/>
          <w:i/>
        </w:rPr>
        <w:t>a</w:t>
      </w:r>
      <w:proofErr w:type="spellEnd"/>
      <w:r w:rsidR="000241E2">
        <w:rPr>
          <w:rFonts w:asciiTheme="majorBidi" w:hAnsiTheme="majorBidi" w:cstheme="majorBidi"/>
          <w:i/>
        </w:rPr>
        <w:t xml:space="preserve"> </w:t>
      </w:r>
      <w:proofErr w:type="spellStart"/>
      <w:r w:rsidR="000241E2">
        <w:rPr>
          <w:rFonts w:asciiTheme="majorBidi" w:hAnsiTheme="majorBidi" w:cstheme="majorBidi"/>
          <w:i/>
        </w:rPr>
        <w:t>wa-</w:t>
      </w:r>
      <w:r w:rsidR="000241E2" w:rsidRPr="001E24FD">
        <w:rPr>
          <w:rFonts w:asciiTheme="majorBidi" w:hAnsiTheme="majorBidi" w:cstheme="majorBidi"/>
          <w:i/>
        </w:rPr>
        <w:t>faḍāʾil</w:t>
      </w:r>
      <w:proofErr w:type="spellEnd"/>
      <w:r w:rsidR="000241E2" w:rsidRPr="001E24FD">
        <w:rPr>
          <w:rFonts w:asciiTheme="majorBidi" w:hAnsiTheme="majorBidi" w:cstheme="majorBidi"/>
          <w:i/>
        </w:rPr>
        <w:t xml:space="preserve"> al-</w:t>
      </w:r>
      <w:proofErr w:type="spellStart"/>
      <w:r w:rsidR="000241E2" w:rsidRPr="001E24FD">
        <w:rPr>
          <w:rFonts w:asciiTheme="majorBidi" w:hAnsiTheme="majorBidi" w:cstheme="majorBidi"/>
          <w:i/>
        </w:rPr>
        <w:t>Mustaẓhiriyya</w:t>
      </w:r>
      <w:proofErr w:type="spellEnd"/>
      <w:r w:rsidR="000241E2">
        <w:rPr>
          <w:rFonts w:asciiTheme="majorBidi" w:hAnsiTheme="majorBidi" w:cstheme="majorBidi"/>
        </w:rPr>
        <w:t>—</w:t>
      </w:r>
      <w:r w:rsidR="00AD207A" w:rsidRPr="001E24FD">
        <w:rPr>
          <w:rFonts w:asciiTheme="majorBidi" w:hAnsiTheme="majorBidi" w:cstheme="majorBidi"/>
        </w:rPr>
        <w:t>written at the behest of the caliph al-</w:t>
      </w:r>
      <w:proofErr w:type="spellStart"/>
      <w:r w:rsidR="00AD207A" w:rsidRPr="001E24FD">
        <w:rPr>
          <w:rFonts w:asciiTheme="majorBidi" w:hAnsiTheme="majorBidi" w:cstheme="majorBidi"/>
        </w:rPr>
        <w:t>Mustaẓhir</w:t>
      </w:r>
      <w:proofErr w:type="spellEnd"/>
      <w:r w:rsidR="00AD207A" w:rsidRPr="001E24FD">
        <w:rPr>
          <w:rFonts w:asciiTheme="majorBidi" w:hAnsiTheme="majorBidi" w:cstheme="majorBidi"/>
        </w:rPr>
        <w:t xml:space="preserve"> </w:t>
      </w:r>
      <w:r w:rsidR="000241E2">
        <w:rPr>
          <w:rFonts w:asciiTheme="majorBidi" w:hAnsiTheme="majorBidi" w:cstheme="majorBidi"/>
        </w:rPr>
        <w:t>(</w:t>
      </w:r>
      <w:r w:rsidR="000241E2">
        <w:rPr>
          <w:rFonts w:ascii="Times New Roman" w:hAnsi="Times New Roman" w:cs="Times New Roman"/>
        </w:rPr>
        <w:t xml:space="preserve">r. 487–512/1094–1118) </w:t>
      </w:r>
      <w:r w:rsidR="00AD207A" w:rsidRPr="001E24FD">
        <w:rPr>
          <w:rFonts w:asciiTheme="majorBidi" w:hAnsiTheme="majorBidi" w:cstheme="majorBidi"/>
        </w:rPr>
        <w:t xml:space="preserve">to refute </w:t>
      </w:r>
      <w:proofErr w:type="spellStart"/>
      <w:r w:rsidR="00AD207A" w:rsidRPr="001E24FD">
        <w:rPr>
          <w:rFonts w:asciiTheme="majorBidi" w:hAnsiTheme="majorBidi" w:cstheme="majorBidi"/>
        </w:rPr>
        <w:t>Ismāʿīlī</w:t>
      </w:r>
      <w:proofErr w:type="spellEnd"/>
      <w:r w:rsidR="00AD207A" w:rsidRPr="001E24FD">
        <w:rPr>
          <w:rFonts w:asciiTheme="majorBidi" w:hAnsiTheme="majorBidi" w:cstheme="majorBidi"/>
        </w:rPr>
        <w:t xml:space="preserve"> doctrin</w:t>
      </w:r>
      <w:r w:rsidR="00D4017F">
        <w:rPr>
          <w:rFonts w:asciiTheme="majorBidi" w:hAnsiTheme="majorBidi" w:cstheme="majorBidi"/>
        </w:rPr>
        <w:t>es</w:t>
      </w:r>
      <w:r w:rsidR="000241E2">
        <w:rPr>
          <w:rFonts w:asciiTheme="majorBidi" w:hAnsiTheme="majorBidi" w:cstheme="majorBidi"/>
        </w:rPr>
        <w:t>—</w:t>
      </w:r>
      <w:r w:rsidR="00AD207A" w:rsidRPr="001E24FD">
        <w:rPr>
          <w:rFonts w:asciiTheme="majorBidi" w:hAnsiTheme="majorBidi" w:cstheme="majorBidi"/>
        </w:rPr>
        <w:t>that the quality of knowledge (</w:t>
      </w:r>
      <w:proofErr w:type="spellStart"/>
      <w:r w:rsidR="00AD207A" w:rsidRPr="001E24FD">
        <w:rPr>
          <w:rFonts w:asciiTheme="majorBidi" w:hAnsiTheme="majorBidi" w:cstheme="majorBidi"/>
          <w:i/>
          <w:iCs/>
        </w:rPr>
        <w:t>ʿilm</w:t>
      </w:r>
      <w:proofErr w:type="spellEnd"/>
      <w:r w:rsidR="00AD207A" w:rsidRPr="001E24FD">
        <w:rPr>
          <w:rFonts w:asciiTheme="majorBidi" w:hAnsiTheme="majorBidi" w:cstheme="majorBidi"/>
        </w:rPr>
        <w:t>) exists in al-</w:t>
      </w:r>
      <w:proofErr w:type="spellStart"/>
      <w:r w:rsidR="00AD207A" w:rsidRPr="001E24FD">
        <w:rPr>
          <w:rFonts w:asciiTheme="majorBidi" w:hAnsiTheme="majorBidi" w:cstheme="majorBidi"/>
        </w:rPr>
        <w:t>Mustaẓhir</w:t>
      </w:r>
      <w:proofErr w:type="spellEnd"/>
      <w:r w:rsidR="00AD207A" w:rsidRPr="001E24FD">
        <w:rPr>
          <w:rFonts w:asciiTheme="majorBidi" w:hAnsiTheme="majorBidi" w:cstheme="majorBidi"/>
        </w:rPr>
        <w:t xml:space="preserve"> by virtue of him </w:t>
      </w:r>
      <w:r w:rsidR="00CF1220">
        <w:rPr>
          <w:rFonts w:asciiTheme="majorBidi" w:hAnsiTheme="majorBidi" w:cstheme="majorBidi"/>
        </w:rPr>
        <w:t xml:space="preserve">consulting the </w:t>
      </w:r>
      <w:proofErr w:type="spellStart"/>
      <w:r w:rsidR="00CF1220">
        <w:rPr>
          <w:rFonts w:asciiTheme="majorBidi" w:hAnsiTheme="majorBidi" w:cstheme="majorBidi"/>
          <w:i/>
          <w:iCs/>
        </w:rPr>
        <w:t>ʿulamāʾ</w:t>
      </w:r>
      <w:proofErr w:type="spellEnd"/>
      <w:r w:rsidR="00CF1220">
        <w:rPr>
          <w:rFonts w:asciiTheme="majorBidi" w:hAnsiTheme="majorBidi" w:cstheme="majorBidi"/>
        </w:rPr>
        <w:t xml:space="preserve"> and seeking their help.</w:t>
      </w:r>
      <w:r w:rsidR="00AD207A" w:rsidRPr="001E24FD">
        <w:rPr>
          <w:rStyle w:val="FootnoteReference"/>
          <w:rFonts w:asciiTheme="majorBidi" w:hAnsiTheme="majorBidi" w:cstheme="majorBidi"/>
        </w:rPr>
        <w:footnoteReference w:id="38"/>
      </w:r>
    </w:p>
    <w:p w14:paraId="4FF9BC63" w14:textId="0EE695EC" w:rsidR="00AD207A" w:rsidRDefault="007D73EB" w:rsidP="0037533B">
      <w:pPr>
        <w:spacing w:line="360" w:lineRule="auto"/>
        <w:ind w:firstLine="720"/>
        <w:rPr>
          <w:rFonts w:asciiTheme="majorBidi" w:hAnsiTheme="majorBidi" w:cstheme="majorBidi"/>
        </w:rPr>
      </w:pPr>
      <w:r>
        <w:rPr>
          <w:rFonts w:asciiTheme="majorBidi" w:hAnsiTheme="majorBidi" w:cstheme="majorBidi"/>
        </w:rPr>
        <w:t>A more ambivalent tone regarding ruler-scholar relations</w:t>
      </w:r>
      <w:r w:rsidR="00BF255B">
        <w:rPr>
          <w:rFonts w:asciiTheme="majorBidi" w:hAnsiTheme="majorBidi" w:cstheme="majorBidi"/>
        </w:rPr>
        <w:t>, however,</w:t>
      </w:r>
      <w:r w:rsidR="008D5C91">
        <w:rPr>
          <w:rFonts w:asciiTheme="majorBidi" w:hAnsiTheme="majorBidi" w:cstheme="majorBidi"/>
        </w:rPr>
        <w:t xml:space="preserve"> </w:t>
      </w:r>
      <w:r w:rsidR="0075693A">
        <w:rPr>
          <w:rFonts w:asciiTheme="majorBidi" w:hAnsiTheme="majorBidi" w:cstheme="majorBidi"/>
        </w:rPr>
        <w:t>can be d</w:t>
      </w:r>
      <w:r w:rsidR="00CF1220">
        <w:rPr>
          <w:rFonts w:asciiTheme="majorBidi" w:hAnsiTheme="majorBidi" w:cstheme="majorBidi"/>
        </w:rPr>
        <w:t>etected</w:t>
      </w:r>
      <w:r w:rsidR="0075693A">
        <w:rPr>
          <w:rFonts w:asciiTheme="majorBidi" w:hAnsiTheme="majorBidi" w:cstheme="majorBidi"/>
        </w:rPr>
        <w:t xml:space="preserve"> in al-</w:t>
      </w:r>
      <w:proofErr w:type="spellStart"/>
      <w:r w:rsidR="0075693A">
        <w:rPr>
          <w:rFonts w:asciiTheme="majorBidi" w:hAnsiTheme="majorBidi" w:cstheme="majorBidi"/>
        </w:rPr>
        <w:t>Ghazālī’s</w:t>
      </w:r>
      <w:proofErr w:type="spellEnd"/>
      <w:r w:rsidR="0075693A">
        <w:rPr>
          <w:rFonts w:asciiTheme="majorBidi" w:hAnsiTheme="majorBidi" w:cstheme="majorBidi"/>
        </w:rPr>
        <w:t xml:space="preserve"> </w:t>
      </w:r>
      <w:r w:rsidR="0075693A">
        <w:rPr>
          <w:rFonts w:asciiTheme="majorBidi" w:hAnsiTheme="majorBidi" w:cstheme="majorBidi"/>
          <w:i/>
          <w:iCs/>
        </w:rPr>
        <w:t>magnum opus</w:t>
      </w:r>
      <w:r w:rsidR="0075693A">
        <w:rPr>
          <w:rFonts w:asciiTheme="majorBidi" w:hAnsiTheme="majorBidi" w:cstheme="majorBidi"/>
        </w:rPr>
        <w:t xml:space="preserve">, </w:t>
      </w:r>
      <w:proofErr w:type="spellStart"/>
      <w:r w:rsidR="0075693A">
        <w:rPr>
          <w:rFonts w:asciiTheme="majorBidi" w:hAnsiTheme="majorBidi" w:cstheme="majorBidi"/>
          <w:i/>
          <w:iCs/>
        </w:rPr>
        <w:t>Iḥyāʾ</w:t>
      </w:r>
      <w:proofErr w:type="spellEnd"/>
      <w:r w:rsidR="0075693A">
        <w:rPr>
          <w:rFonts w:asciiTheme="majorBidi" w:hAnsiTheme="majorBidi" w:cstheme="majorBidi"/>
          <w:i/>
          <w:iCs/>
        </w:rPr>
        <w:t xml:space="preserve"> </w:t>
      </w:r>
      <w:proofErr w:type="spellStart"/>
      <w:r w:rsidR="0075693A">
        <w:rPr>
          <w:rFonts w:asciiTheme="majorBidi" w:hAnsiTheme="majorBidi" w:cstheme="majorBidi"/>
          <w:i/>
          <w:iCs/>
        </w:rPr>
        <w:t>ʿulūm</w:t>
      </w:r>
      <w:proofErr w:type="spellEnd"/>
      <w:r w:rsidR="0075693A">
        <w:rPr>
          <w:rFonts w:asciiTheme="majorBidi" w:hAnsiTheme="majorBidi" w:cstheme="majorBidi"/>
          <w:i/>
          <w:iCs/>
        </w:rPr>
        <w:t xml:space="preserve"> al-</w:t>
      </w:r>
      <w:proofErr w:type="spellStart"/>
      <w:r w:rsidR="0075693A">
        <w:rPr>
          <w:rFonts w:asciiTheme="majorBidi" w:hAnsiTheme="majorBidi" w:cstheme="majorBidi"/>
          <w:i/>
          <w:iCs/>
        </w:rPr>
        <w:t>dīn</w:t>
      </w:r>
      <w:proofErr w:type="spellEnd"/>
      <w:r w:rsidR="0075693A">
        <w:rPr>
          <w:rFonts w:asciiTheme="majorBidi" w:hAnsiTheme="majorBidi" w:cstheme="majorBidi"/>
        </w:rPr>
        <w:t xml:space="preserve">. </w:t>
      </w:r>
      <w:r w:rsidR="003B1018">
        <w:rPr>
          <w:rFonts w:asciiTheme="majorBidi" w:hAnsiTheme="majorBidi" w:cstheme="majorBidi"/>
        </w:rPr>
        <w:t xml:space="preserve">For </w:t>
      </w:r>
      <w:r w:rsidR="0098098C">
        <w:rPr>
          <w:rFonts w:asciiTheme="majorBidi" w:hAnsiTheme="majorBidi" w:cstheme="majorBidi"/>
        </w:rPr>
        <w:t>example</w:t>
      </w:r>
      <w:r w:rsidR="00891D31">
        <w:rPr>
          <w:rFonts w:asciiTheme="majorBidi" w:hAnsiTheme="majorBidi" w:cstheme="majorBidi"/>
        </w:rPr>
        <w:t xml:space="preserve">, </w:t>
      </w:r>
      <w:r w:rsidR="00794971">
        <w:rPr>
          <w:rFonts w:asciiTheme="majorBidi" w:hAnsiTheme="majorBidi" w:cstheme="majorBidi"/>
        </w:rPr>
        <w:t>just in</w:t>
      </w:r>
      <w:r w:rsidR="003B1018">
        <w:rPr>
          <w:rFonts w:asciiTheme="majorBidi" w:hAnsiTheme="majorBidi" w:cstheme="majorBidi"/>
        </w:rPr>
        <w:t xml:space="preserve"> </w:t>
      </w:r>
      <w:r w:rsidR="00BE12DE">
        <w:rPr>
          <w:rFonts w:asciiTheme="majorBidi" w:hAnsiTheme="majorBidi" w:cstheme="majorBidi"/>
        </w:rPr>
        <w:t>its</w:t>
      </w:r>
      <w:r w:rsidR="008D5C91">
        <w:rPr>
          <w:rFonts w:asciiTheme="majorBidi" w:hAnsiTheme="majorBidi" w:cstheme="majorBidi"/>
        </w:rPr>
        <w:t xml:space="preserve"> “</w:t>
      </w:r>
      <w:proofErr w:type="spellStart"/>
      <w:r w:rsidR="008D5C91">
        <w:rPr>
          <w:rFonts w:asciiTheme="majorBidi" w:hAnsiTheme="majorBidi" w:cstheme="majorBidi"/>
        </w:rPr>
        <w:t>Kitāb</w:t>
      </w:r>
      <w:proofErr w:type="spellEnd"/>
      <w:r w:rsidR="008D5C91">
        <w:rPr>
          <w:rFonts w:asciiTheme="majorBidi" w:hAnsiTheme="majorBidi" w:cstheme="majorBidi"/>
        </w:rPr>
        <w:t xml:space="preserve"> al-</w:t>
      </w:r>
      <w:proofErr w:type="spellStart"/>
      <w:r w:rsidR="008D5C91">
        <w:rPr>
          <w:rFonts w:asciiTheme="majorBidi" w:hAnsiTheme="majorBidi" w:cstheme="majorBidi"/>
        </w:rPr>
        <w:t>ʿIlm</w:t>
      </w:r>
      <w:proofErr w:type="spellEnd"/>
      <w:r w:rsidR="008D5C91">
        <w:rPr>
          <w:rFonts w:asciiTheme="majorBidi" w:hAnsiTheme="majorBidi" w:cstheme="majorBidi"/>
        </w:rPr>
        <w:t>” (“The Book of Knowledge”)</w:t>
      </w:r>
      <w:r w:rsidR="00794971">
        <w:rPr>
          <w:rFonts w:asciiTheme="majorBidi" w:hAnsiTheme="majorBidi" w:cstheme="majorBidi"/>
        </w:rPr>
        <w:t xml:space="preserve"> alone</w:t>
      </w:r>
      <w:r w:rsidR="008D5C91">
        <w:rPr>
          <w:rFonts w:asciiTheme="majorBidi" w:hAnsiTheme="majorBidi" w:cstheme="majorBidi"/>
        </w:rPr>
        <w:t xml:space="preserve">, </w:t>
      </w:r>
      <w:r w:rsidR="00891D31">
        <w:rPr>
          <w:rFonts w:asciiTheme="majorBidi" w:hAnsiTheme="majorBidi" w:cstheme="majorBidi"/>
        </w:rPr>
        <w:t xml:space="preserve">we find statements </w:t>
      </w:r>
      <w:r w:rsidR="003B1018">
        <w:rPr>
          <w:rFonts w:asciiTheme="majorBidi" w:hAnsiTheme="majorBidi" w:cstheme="majorBidi"/>
        </w:rPr>
        <w:t xml:space="preserve">stressing the mutual dependence between rulers and scholars as well as statements cautioning scholars against </w:t>
      </w:r>
      <w:r w:rsidR="0075693A">
        <w:rPr>
          <w:rFonts w:asciiTheme="majorBidi" w:hAnsiTheme="majorBidi" w:cstheme="majorBidi"/>
        </w:rPr>
        <w:t>associating with rulers for the sake of maintaining their spiritual integrity.</w:t>
      </w:r>
      <w:r w:rsidR="0075693A">
        <w:rPr>
          <w:rStyle w:val="FootnoteReference"/>
          <w:rFonts w:asciiTheme="majorBidi" w:hAnsiTheme="majorBidi" w:cstheme="majorBidi"/>
        </w:rPr>
        <w:footnoteReference w:id="39"/>
      </w:r>
      <w:r w:rsidR="008D5C91">
        <w:rPr>
          <w:rFonts w:asciiTheme="majorBidi" w:hAnsiTheme="majorBidi" w:cstheme="majorBidi"/>
        </w:rPr>
        <w:t xml:space="preserve"> </w:t>
      </w:r>
      <w:r w:rsidR="002749F3">
        <w:rPr>
          <w:rFonts w:asciiTheme="majorBidi" w:hAnsiTheme="majorBidi" w:cstheme="majorBidi"/>
        </w:rPr>
        <w:t>T</w:t>
      </w:r>
      <w:r w:rsidR="008D5C91">
        <w:rPr>
          <w:rFonts w:asciiTheme="majorBidi" w:hAnsiTheme="majorBidi" w:cstheme="majorBidi"/>
        </w:rPr>
        <w:t xml:space="preserve">he overall tone of the </w:t>
      </w:r>
      <w:proofErr w:type="spellStart"/>
      <w:r w:rsidR="008D5C91">
        <w:rPr>
          <w:rFonts w:asciiTheme="majorBidi" w:hAnsiTheme="majorBidi" w:cstheme="majorBidi"/>
          <w:i/>
          <w:iCs/>
        </w:rPr>
        <w:t>Ihyāʾ</w:t>
      </w:r>
      <w:proofErr w:type="spellEnd"/>
      <w:r w:rsidR="00054CCA">
        <w:rPr>
          <w:rFonts w:asciiTheme="majorBidi" w:hAnsiTheme="majorBidi" w:cstheme="majorBidi"/>
        </w:rPr>
        <w:t xml:space="preserve"> </w:t>
      </w:r>
      <w:r w:rsidR="008D5C91">
        <w:rPr>
          <w:rFonts w:asciiTheme="majorBidi" w:hAnsiTheme="majorBidi" w:cstheme="majorBidi"/>
        </w:rPr>
        <w:t>tilts toward the latter</w:t>
      </w:r>
      <w:r w:rsidR="002749F3">
        <w:rPr>
          <w:rFonts w:asciiTheme="majorBidi" w:hAnsiTheme="majorBidi" w:cstheme="majorBidi"/>
        </w:rPr>
        <w:t>, however</w:t>
      </w:r>
      <w:r w:rsidR="008D5C91">
        <w:rPr>
          <w:rFonts w:asciiTheme="majorBidi" w:hAnsiTheme="majorBidi" w:cstheme="majorBidi"/>
        </w:rPr>
        <w:t xml:space="preserve">. </w:t>
      </w:r>
      <w:r w:rsidR="00BF255B">
        <w:rPr>
          <w:rFonts w:asciiTheme="majorBidi" w:hAnsiTheme="majorBidi" w:cstheme="majorBidi"/>
        </w:rPr>
        <w:t>Al-</w:t>
      </w:r>
      <w:proofErr w:type="spellStart"/>
      <w:r w:rsidR="00BF255B">
        <w:rPr>
          <w:rFonts w:asciiTheme="majorBidi" w:hAnsiTheme="majorBidi" w:cstheme="majorBidi"/>
        </w:rPr>
        <w:t>Ghazālī’s</w:t>
      </w:r>
      <w:proofErr w:type="spellEnd"/>
      <w:r w:rsidR="008D5C91">
        <w:rPr>
          <w:rFonts w:asciiTheme="majorBidi" w:hAnsiTheme="majorBidi" w:cstheme="majorBidi"/>
        </w:rPr>
        <w:t xml:space="preserve"> most</w:t>
      </w:r>
      <w:r w:rsidR="00BE437C">
        <w:rPr>
          <w:rFonts w:asciiTheme="majorBidi" w:hAnsiTheme="majorBidi" w:cstheme="majorBidi"/>
        </w:rPr>
        <w:t xml:space="preserve"> </w:t>
      </w:r>
      <w:r w:rsidR="008D5C91">
        <w:rPr>
          <w:rFonts w:asciiTheme="majorBidi" w:hAnsiTheme="majorBidi" w:cstheme="majorBidi"/>
        </w:rPr>
        <w:t xml:space="preserve">scathing critique of the practice of </w:t>
      </w:r>
      <w:r w:rsidR="00FB2BDC">
        <w:rPr>
          <w:rFonts w:asciiTheme="majorBidi" w:hAnsiTheme="majorBidi" w:cstheme="majorBidi"/>
        </w:rPr>
        <w:t>associating with rulers</w:t>
      </w:r>
      <w:r w:rsidR="008D5C91">
        <w:rPr>
          <w:rFonts w:asciiTheme="majorBidi" w:hAnsiTheme="majorBidi" w:cstheme="majorBidi"/>
        </w:rPr>
        <w:t xml:space="preserve"> comes in </w:t>
      </w:r>
      <w:r w:rsidR="00BE12DE">
        <w:rPr>
          <w:rFonts w:asciiTheme="majorBidi" w:hAnsiTheme="majorBidi" w:cstheme="majorBidi"/>
        </w:rPr>
        <w:t xml:space="preserve">a chapter on the legality of associating with </w:t>
      </w:r>
      <w:r w:rsidR="00FB2BDC">
        <w:rPr>
          <w:rFonts w:asciiTheme="majorBidi" w:hAnsiTheme="majorBidi" w:cstheme="majorBidi"/>
        </w:rPr>
        <w:t>tyrants</w:t>
      </w:r>
      <w:r w:rsidR="00BE12DE">
        <w:rPr>
          <w:rFonts w:asciiTheme="majorBidi" w:hAnsiTheme="majorBidi" w:cstheme="majorBidi"/>
        </w:rPr>
        <w:t xml:space="preserve"> (</w:t>
      </w:r>
      <w:r w:rsidR="00BE12DE" w:rsidRPr="001E24FD">
        <w:rPr>
          <w:rFonts w:asciiTheme="majorBidi" w:hAnsiTheme="majorBidi" w:cstheme="majorBidi"/>
          <w:i/>
          <w:iCs/>
        </w:rPr>
        <w:t>al-</w:t>
      </w:r>
      <w:proofErr w:type="spellStart"/>
      <w:r w:rsidR="00BE12DE" w:rsidRPr="001E24FD">
        <w:rPr>
          <w:rFonts w:asciiTheme="majorBidi" w:hAnsiTheme="majorBidi" w:cstheme="majorBidi"/>
          <w:i/>
          <w:iCs/>
        </w:rPr>
        <w:t>salāṭīn</w:t>
      </w:r>
      <w:proofErr w:type="spellEnd"/>
      <w:r w:rsidR="00BE12DE" w:rsidRPr="001E24FD">
        <w:rPr>
          <w:rFonts w:asciiTheme="majorBidi" w:hAnsiTheme="majorBidi" w:cstheme="majorBidi"/>
          <w:i/>
          <w:iCs/>
        </w:rPr>
        <w:t xml:space="preserve"> al-</w:t>
      </w:r>
      <w:proofErr w:type="spellStart"/>
      <w:r w:rsidR="00BE12DE" w:rsidRPr="001E24FD">
        <w:rPr>
          <w:rFonts w:asciiTheme="majorBidi" w:hAnsiTheme="majorBidi" w:cstheme="majorBidi"/>
          <w:i/>
          <w:iCs/>
        </w:rPr>
        <w:t>ẓalama</w:t>
      </w:r>
      <w:proofErr w:type="spellEnd"/>
      <w:r w:rsidR="00BE12DE">
        <w:rPr>
          <w:rFonts w:asciiTheme="majorBidi" w:hAnsiTheme="majorBidi" w:cstheme="majorBidi"/>
        </w:rPr>
        <w:t>).</w:t>
      </w:r>
      <w:r w:rsidR="008D5C91">
        <w:rPr>
          <w:rStyle w:val="FootnoteReference"/>
          <w:rFonts w:asciiTheme="majorBidi" w:hAnsiTheme="majorBidi" w:cstheme="majorBidi"/>
        </w:rPr>
        <w:footnoteReference w:id="40"/>
      </w:r>
      <w:r w:rsidR="00BA6716">
        <w:rPr>
          <w:rFonts w:asciiTheme="majorBidi" w:hAnsiTheme="majorBidi" w:cstheme="majorBidi"/>
        </w:rPr>
        <w:t xml:space="preserve"> In this chapter, he</w:t>
      </w:r>
      <w:r w:rsidR="00AD207A" w:rsidRPr="001E24FD">
        <w:rPr>
          <w:rFonts w:asciiTheme="majorBidi" w:hAnsiTheme="majorBidi" w:cstheme="majorBidi"/>
        </w:rPr>
        <w:t xml:space="preserve"> writes that there are three possible relationships open to scholars with respect to despotic rulers and officials: (1) the worst relationship, that is to visit these men of power; (2) being visited by the rulers, which is less harmful for scholars; </w:t>
      </w:r>
      <w:r w:rsidR="00AD207A">
        <w:rPr>
          <w:rFonts w:asciiTheme="majorBidi" w:hAnsiTheme="majorBidi" w:cstheme="majorBidi"/>
        </w:rPr>
        <w:t xml:space="preserve">and (3) the safest option, that is </w:t>
      </w:r>
      <w:r w:rsidR="00BE437C">
        <w:rPr>
          <w:rFonts w:asciiTheme="majorBidi" w:hAnsiTheme="majorBidi" w:cstheme="majorBidi"/>
        </w:rPr>
        <w:t xml:space="preserve">to </w:t>
      </w:r>
      <w:r w:rsidR="00AD207A" w:rsidRPr="001E24FD">
        <w:rPr>
          <w:rFonts w:asciiTheme="majorBidi" w:hAnsiTheme="majorBidi" w:cstheme="majorBidi"/>
        </w:rPr>
        <w:t>avoid them</w:t>
      </w:r>
      <w:r w:rsidR="002749F3">
        <w:rPr>
          <w:rFonts w:asciiTheme="majorBidi" w:hAnsiTheme="majorBidi" w:cstheme="majorBidi"/>
        </w:rPr>
        <w:t xml:space="preserve"> completely</w:t>
      </w:r>
      <w:r w:rsidR="00AD207A" w:rsidRPr="001E24FD">
        <w:rPr>
          <w:rFonts w:asciiTheme="majorBidi" w:hAnsiTheme="majorBidi" w:cstheme="majorBidi"/>
        </w:rPr>
        <w:t>.</w:t>
      </w:r>
      <w:r w:rsidR="00AD207A" w:rsidRPr="001E24FD">
        <w:rPr>
          <w:rStyle w:val="FootnoteReference"/>
          <w:rFonts w:asciiTheme="majorBidi" w:hAnsiTheme="majorBidi" w:cstheme="majorBidi"/>
        </w:rPr>
        <w:footnoteReference w:id="41"/>
      </w:r>
      <w:r w:rsidR="00AD207A" w:rsidRPr="001E24FD">
        <w:rPr>
          <w:rFonts w:asciiTheme="majorBidi" w:hAnsiTheme="majorBidi" w:cstheme="majorBidi"/>
        </w:rPr>
        <w:t xml:space="preserve"> The harshest </w:t>
      </w:r>
      <w:r w:rsidR="00BE437C">
        <w:rPr>
          <w:rFonts w:asciiTheme="majorBidi" w:hAnsiTheme="majorBidi" w:cstheme="majorBidi"/>
        </w:rPr>
        <w:t xml:space="preserve">criticisms </w:t>
      </w:r>
      <w:r w:rsidR="00AD207A" w:rsidRPr="001E24FD">
        <w:rPr>
          <w:rFonts w:asciiTheme="majorBidi" w:hAnsiTheme="majorBidi" w:cstheme="majorBidi"/>
        </w:rPr>
        <w:t>are leveled against th</w:t>
      </w:r>
      <w:r w:rsidR="004F3AF2">
        <w:rPr>
          <w:rFonts w:asciiTheme="majorBidi" w:hAnsiTheme="majorBidi" w:cstheme="majorBidi"/>
        </w:rPr>
        <w:t>ose who engage in the first type of relationship</w:t>
      </w:r>
      <w:r w:rsidR="00AD207A" w:rsidRPr="001E24FD">
        <w:rPr>
          <w:rFonts w:asciiTheme="majorBidi" w:hAnsiTheme="majorBidi" w:cstheme="majorBidi"/>
        </w:rPr>
        <w:t xml:space="preserve">. Although despotic rulers </w:t>
      </w:r>
      <w:r w:rsidR="00054CCA">
        <w:rPr>
          <w:rFonts w:asciiTheme="majorBidi" w:hAnsiTheme="majorBidi" w:cstheme="majorBidi"/>
        </w:rPr>
        <w:t>seem to be</w:t>
      </w:r>
      <w:r w:rsidR="00AD207A" w:rsidRPr="001E24FD">
        <w:rPr>
          <w:rFonts w:asciiTheme="majorBidi" w:hAnsiTheme="majorBidi" w:cstheme="majorBidi"/>
        </w:rPr>
        <w:t xml:space="preserve"> the focus of </w:t>
      </w:r>
      <w:r w:rsidR="00054CCA">
        <w:rPr>
          <w:rFonts w:asciiTheme="majorBidi" w:hAnsiTheme="majorBidi" w:cstheme="majorBidi"/>
        </w:rPr>
        <w:t>the chapter</w:t>
      </w:r>
      <w:r w:rsidR="00AD207A" w:rsidRPr="001E24FD">
        <w:rPr>
          <w:rFonts w:asciiTheme="majorBidi" w:hAnsiTheme="majorBidi" w:cstheme="majorBidi"/>
        </w:rPr>
        <w:t xml:space="preserve">, </w:t>
      </w:r>
      <w:r w:rsidR="00054CCA">
        <w:rPr>
          <w:rFonts w:asciiTheme="majorBidi" w:hAnsiTheme="majorBidi" w:cstheme="majorBidi"/>
        </w:rPr>
        <w:t>al-</w:t>
      </w:r>
      <w:proofErr w:type="spellStart"/>
      <w:r w:rsidR="00054CCA">
        <w:rPr>
          <w:rFonts w:asciiTheme="majorBidi" w:hAnsiTheme="majorBidi" w:cstheme="majorBidi"/>
        </w:rPr>
        <w:t>Ghazālī’s</w:t>
      </w:r>
      <w:proofErr w:type="spellEnd"/>
      <w:r w:rsidR="00054CCA">
        <w:rPr>
          <w:rFonts w:asciiTheme="majorBidi" w:hAnsiTheme="majorBidi" w:cstheme="majorBidi"/>
        </w:rPr>
        <w:t xml:space="preserve"> criticisms are in fact directed at scholars who associate with just about any ruler</w:t>
      </w:r>
      <w:r w:rsidR="00AD207A" w:rsidRPr="001E24FD">
        <w:rPr>
          <w:rFonts w:asciiTheme="majorBidi" w:hAnsiTheme="majorBidi" w:cstheme="majorBidi"/>
        </w:rPr>
        <w:t xml:space="preserve">. </w:t>
      </w:r>
      <w:r w:rsidR="002749F3">
        <w:rPr>
          <w:rFonts w:asciiTheme="majorBidi" w:hAnsiTheme="majorBidi" w:cstheme="majorBidi"/>
        </w:rPr>
        <w:t>His</w:t>
      </w:r>
      <w:r w:rsidR="00054CCA">
        <w:rPr>
          <w:rFonts w:asciiTheme="majorBidi" w:hAnsiTheme="majorBidi" w:cstheme="majorBidi"/>
        </w:rPr>
        <w:t xml:space="preserve"> criticisms are </w:t>
      </w:r>
      <w:r w:rsidR="00054CCA">
        <w:rPr>
          <w:rFonts w:asciiTheme="majorBidi" w:hAnsiTheme="majorBidi" w:cstheme="majorBidi"/>
        </w:rPr>
        <w:lastRenderedPageBreak/>
        <w:t>conveyed through</w:t>
      </w:r>
      <w:r w:rsidR="00AD207A" w:rsidRPr="001E24FD">
        <w:rPr>
          <w:rFonts w:asciiTheme="majorBidi" w:hAnsiTheme="majorBidi" w:cstheme="majorBidi"/>
        </w:rPr>
        <w:t xml:space="preserve"> a string of Prophetic </w:t>
      </w:r>
      <w:proofErr w:type="spellStart"/>
      <w:r w:rsidR="00AD207A" w:rsidRPr="001E24FD">
        <w:rPr>
          <w:rFonts w:asciiTheme="majorBidi" w:hAnsiTheme="majorBidi" w:cstheme="majorBidi"/>
          <w:i/>
          <w:iCs/>
        </w:rPr>
        <w:t>ḥadīth</w:t>
      </w:r>
      <w:r w:rsidR="00AD207A" w:rsidRPr="001E24FD">
        <w:rPr>
          <w:rFonts w:asciiTheme="majorBidi" w:hAnsiTheme="majorBidi" w:cstheme="majorBidi"/>
        </w:rPr>
        <w:t>s</w:t>
      </w:r>
      <w:proofErr w:type="spellEnd"/>
      <w:r w:rsidR="00AD207A" w:rsidRPr="001E24FD">
        <w:rPr>
          <w:rFonts w:asciiTheme="majorBidi" w:hAnsiTheme="majorBidi" w:cstheme="majorBidi"/>
        </w:rPr>
        <w:t xml:space="preserve"> a</w:t>
      </w:r>
      <w:r w:rsidR="00054CCA">
        <w:rPr>
          <w:rFonts w:asciiTheme="majorBidi" w:hAnsiTheme="majorBidi" w:cstheme="majorBidi"/>
        </w:rPr>
        <w:t>s well as</w:t>
      </w:r>
      <w:r w:rsidR="00AD207A" w:rsidRPr="001E24FD">
        <w:rPr>
          <w:rFonts w:asciiTheme="majorBidi" w:hAnsiTheme="majorBidi" w:cstheme="majorBidi"/>
        </w:rPr>
        <w:t xml:space="preserve"> sayings from early Muslim scholars. Taken together, these</w:t>
      </w:r>
      <w:r w:rsidR="00054CCA">
        <w:rPr>
          <w:rFonts w:asciiTheme="majorBidi" w:hAnsiTheme="majorBidi" w:cstheme="majorBidi"/>
        </w:rPr>
        <w:t xml:space="preserve"> statements </w:t>
      </w:r>
      <w:r w:rsidR="00AD207A" w:rsidRPr="001E24FD">
        <w:rPr>
          <w:rFonts w:asciiTheme="majorBidi" w:hAnsiTheme="majorBidi" w:cstheme="majorBidi"/>
        </w:rPr>
        <w:t xml:space="preserve">can be categorized into two broad categories: (1) those that categorically condemn scholars who visit rulers and (2) those that warn scholars of the dangers and temptations that await them when </w:t>
      </w:r>
      <w:r w:rsidR="00054CCA">
        <w:rPr>
          <w:rFonts w:asciiTheme="majorBidi" w:hAnsiTheme="majorBidi" w:cstheme="majorBidi"/>
        </w:rPr>
        <w:t xml:space="preserve">they </w:t>
      </w:r>
      <w:r w:rsidR="00AD207A" w:rsidRPr="001E24FD">
        <w:rPr>
          <w:rFonts w:asciiTheme="majorBidi" w:hAnsiTheme="majorBidi" w:cstheme="majorBidi"/>
        </w:rPr>
        <w:t>visit rulers. Those in the first category include:</w:t>
      </w:r>
    </w:p>
    <w:p w14:paraId="59385FF1" w14:textId="77777777" w:rsidR="00E9380C" w:rsidRPr="001E24FD" w:rsidRDefault="00E9380C" w:rsidP="0037533B">
      <w:pPr>
        <w:spacing w:line="360" w:lineRule="auto"/>
        <w:ind w:firstLine="720"/>
        <w:rPr>
          <w:rFonts w:asciiTheme="majorBidi" w:hAnsiTheme="majorBidi" w:cstheme="majorBidi"/>
        </w:rPr>
      </w:pPr>
    </w:p>
    <w:p w14:paraId="3ABD02D9" w14:textId="37AC481C" w:rsidR="00AD207A" w:rsidRPr="001E24FD" w:rsidRDefault="00651543" w:rsidP="00E7211C">
      <w:pPr>
        <w:pStyle w:val="ListParagraph"/>
        <w:numPr>
          <w:ilvl w:val="0"/>
          <w:numId w:val="1"/>
        </w:numPr>
        <w:ind w:left="720" w:right="720"/>
        <w:rPr>
          <w:rFonts w:asciiTheme="majorBidi" w:hAnsiTheme="majorBidi" w:cstheme="majorBidi"/>
          <w:sz w:val="20"/>
          <w:szCs w:val="20"/>
        </w:rPr>
      </w:pPr>
      <w:r>
        <w:rPr>
          <w:rFonts w:asciiTheme="majorBidi" w:hAnsiTheme="majorBidi" w:cstheme="majorBidi"/>
          <w:sz w:val="20"/>
          <w:szCs w:val="20"/>
        </w:rPr>
        <w:t xml:space="preserve">Prophetic </w:t>
      </w:r>
      <w:proofErr w:type="spellStart"/>
      <w:r>
        <w:rPr>
          <w:rFonts w:asciiTheme="majorBidi" w:hAnsiTheme="majorBidi" w:cstheme="majorBidi"/>
          <w:i/>
          <w:iCs/>
          <w:sz w:val="20"/>
          <w:szCs w:val="20"/>
        </w:rPr>
        <w:t>ḥ</w:t>
      </w:r>
      <w:r w:rsidR="00AD207A" w:rsidRPr="001E24FD">
        <w:rPr>
          <w:rFonts w:asciiTheme="majorBidi" w:hAnsiTheme="majorBidi" w:cstheme="majorBidi"/>
          <w:i/>
          <w:iCs/>
          <w:sz w:val="20"/>
          <w:szCs w:val="20"/>
        </w:rPr>
        <w:t>adīth</w:t>
      </w:r>
      <w:proofErr w:type="spellEnd"/>
      <w:r w:rsidR="00AD207A" w:rsidRPr="001E24FD">
        <w:rPr>
          <w:rFonts w:asciiTheme="majorBidi" w:hAnsiTheme="majorBidi" w:cstheme="majorBidi"/>
          <w:sz w:val="20"/>
          <w:szCs w:val="20"/>
        </w:rPr>
        <w:t xml:space="preserve"> on the authority of </w:t>
      </w:r>
      <w:proofErr w:type="spellStart"/>
      <w:r w:rsidR="00AD207A" w:rsidRPr="001E24FD">
        <w:rPr>
          <w:rFonts w:asciiTheme="majorBidi" w:hAnsiTheme="majorBidi" w:cstheme="majorBidi"/>
          <w:sz w:val="20"/>
          <w:szCs w:val="20"/>
        </w:rPr>
        <w:t>Abū</w:t>
      </w:r>
      <w:proofErr w:type="spellEnd"/>
      <w:r w:rsidR="00AD207A" w:rsidRPr="001E24FD">
        <w:rPr>
          <w:rFonts w:asciiTheme="majorBidi" w:hAnsiTheme="majorBidi" w:cstheme="majorBidi"/>
          <w:sz w:val="20"/>
          <w:szCs w:val="20"/>
        </w:rPr>
        <w:t xml:space="preserve"> </w:t>
      </w:r>
      <w:proofErr w:type="spellStart"/>
      <w:r w:rsidR="00AD207A" w:rsidRPr="001E24FD">
        <w:rPr>
          <w:rFonts w:asciiTheme="majorBidi" w:hAnsiTheme="majorBidi" w:cstheme="majorBidi"/>
          <w:sz w:val="20"/>
          <w:szCs w:val="20"/>
        </w:rPr>
        <w:t>Hurayra</w:t>
      </w:r>
      <w:proofErr w:type="spellEnd"/>
      <w:r w:rsidR="00AD207A" w:rsidRPr="001E24FD">
        <w:rPr>
          <w:rFonts w:asciiTheme="majorBidi" w:hAnsiTheme="majorBidi" w:cstheme="majorBidi"/>
          <w:sz w:val="20"/>
          <w:szCs w:val="20"/>
        </w:rPr>
        <w:t xml:space="preserve">: “The most detested of </w:t>
      </w:r>
      <w:proofErr w:type="spellStart"/>
      <w:r w:rsidR="00AD207A" w:rsidRPr="001E24FD">
        <w:rPr>
          <w:rFonts w:asciiTheme="majorBidi" w:hAnsiTheme="majorBidi" w:cstheme="majorBidi"/>
          <w:sz w:val="20"/>
          <w:szCs w:val="20"/>
        </w:rPr>
        <w:t>Qurʾān</w:t>
      </w:r>
      <w:proofErr w:type="spellEnd"/>
      <w:r w:rsidR="00AD207A" w:rsidRPr="001E24FD">
        <w:rPr>
          <w:rFonts w:asciiTheme="majorBidi" w:hAnsiTheme="majorBidi" w:cstheme="majorBidi"/>
          <w:sz w:val="20"/>
          <w:szCs w:val="20"/>
        </w:rPr>
        <w:t xml:space="preserve"> </w:t>
      </w:r>
      <w:r w:rsidR="005F6AD7">
        <w:rPr>
          <w:rFonts w:asciiTheme="majorBidi" w:hAnsiTheme="majorBidi" w:cstheme="majorBidi"/>
          <w:sz w:val="20"/>
          <w:szCs w:val="20"/>
        </w:rPr>
        <w:t xml:space="preserve">reciters </w:t>
      </w:r>
      <w:r w:rsidR="00AD207A" w:rsidRPr="001E24FD">
        <w:rPr>
          <w:rFonts w:asciiTheme="majorBidi" w:hAnsiTheme="majorBidi" w:cstheme="majorBidi"/>
          <w:sz w:val="20"/>
          <w:szCs w:val="20"/>
        </w:rPr>
        <w:t>(</w:t>
      </w:r>
      <w:proofErr w:type="spellStart"/>
      <w:r w:rsidR="00AD207A" w:rsidRPr="001E24FD">
        <w:rPr>
          <w:rFonts w:asciiTheme="majorBidi" w:hAnsiTheme="majorBidi" w:cstheme="majorBidi"/>
          <w:i/>
          <w:iCs/>
          <w:sz w:val="20"/>
          <w:szCs w:val="20"/>
        </w:rPr>
        <w:t>qurrāʾ</w:t>
      </w:r>
      <w:proofErr w:type="spellEnd"/>
      <w:r w:rsidR="00AD207A" w:rsidRPr="001E24FD">
        <w:rPr>
          <w:rFonts w:asciiTheme="majorBidi" w:hAnsiTheme="majorBidi" w:cstheme="majorBidi"/>
          <w:sz w:val="20"/>
          <w:szCs w:val="20"/>
        </w:rPr>
        <w:t>)</w:t>
      </w:r>
      <w:r w:rsidR="005F6AD7">
        <w:rPr>
          <w:rFonts w:asciiTheme="majorBidi" w:hAnsiTheme="majorBidi" w:cstheme="majorBidi"/>
          <w:sz w:val="20"/>
          <w:szCs w:val="20"/>
        </w:rPr>
        <w:t xml:space="preserve"> to God </w:t>
      </w:r>
      <w:r w:rsidR="00AD207A" w:rsidRPr="001E24FD">
        <w:rPr>
          <w:rFonts w:asciiTheme="majorBidi" w:hAnsiTheme="majorBidi" w:cstheme="majorBidi"/>
          <w:sz w:val="20"/>
          <w:szCs w:val="20"/>
        </w:rPr>
        <w:t>are those who visit rulers.”</w:t>
      </w:r>
    </w:p>
    <w:p w14:paraId="0023135B" w14:textId="77777777" w:rsidR="00AD207A" w:rsidRPr="001E24FD" w:rsidRDefault="00AD207A" w:rsidP="00E7211C">
      <w:pPr>
        <w:pStyle w:val="ListParagraph"/>
        <w:ind w:right="720"/>
        <w:rPr>
          <w:rFonts w:asciiTheme="majorBidi" w:hAnsiTheme="majorBidi" w:cstheme="majorBidi"/>
          <w:sz w:val="20"/>
          <w:szCs w:val="20"/>
        </w:rPr>
      </w:pPr>
    </w:p>
    <w:p w14:paraId="5CAA3956" w14:textId="66A8B2CF" w:rsidR="00AD207A" w:rsidRPr="001E24FD" w:rsidRDefault="00651543" w:rsidP="00E7211C">
      <w:pPr>
        <w:pStyle w:val="ListParagraph"/>
        <w:numPr>
          <w:ilvl w:val="0"/>
          <w:numId w:val="1"/>
        </w:numPr>
        <w:ind w:left="720" w:right="720"/>
        <w:rPr>
          <w:rFonts w:asciiTheme="majorBidi" w:hAnsiTheme="majorBidi" w:cstheme="majorBidi"/>
          <w:sz w:val="20"/>
          <w:szCs w:val="20"/>
        </w:rPr>
      </w:pPr>
      <w:r>
        <w:rPr>
          <w:rFonts w:asciiTheme="majorBidi" w:hAnsiTheme="majorBidi" w:cstheme="majorBidi"/>
          <w:sz w:val="20"/>
          <w:szCs w:val="20"/>
        </w:rPr>
        <w:t xml:space="preserve">Prophetic </w:t>
      </w:r>
      <w:proofErr w:type="spellStart"/>
      <w:r>
        <w:rPr>
          <w:rFonts w:asciiTheme="majorBidi" w:hAnsiTheme="majorBidi" w:cstheme="majorBidi"/>
          <w:i/>
          <w:iCs/>
          <w:sz w:val="20"/>
          <w:szCs w:val="20"/>
        </w:rPr>
        <w:t>ḥ</w:t>
      </w:r>
      <w:r w:rsidR="00AD207A" w:rsidRPr="001E24FD">
        <w:rPr>
          <w:rFonts w:asciiTheme="majorBidi" w:hAnsiTheme="majorBidi" w:cstheme="majorBidi"/>
          <w:i/>
          <w:iCs/>
          <w:sz w:val="20"/>
          <w:szCs w:val="20"/>
        </w:rPr>
        <w:t>adīth</w:t>
      </w:r>
      <w:proofErr w:type="spellEnd"/>
      <w:r w:rsidR="00AD207A" w:rsidRPr="001E24FD">
        <w:rPr>
          <w:rFonts w:asciiTheme="majorBidi" w:hAnsiTheme="majorBidi" w:cstheme="majorBidi"/>
          <w:sz w:val="20"/>
          <w:szCs w:val="20"/>
        </w:rPr>
        <w:t xml:space="preserve"> on the authority of Anas b. </w:t>
      </w:r>
      <w:proofErr w:type="spellStart"/>
      <w:r w:rsidR="00AD207A" w:rsidRPr="001E24FD">
        <w:rPr>
          <w:rFonts w:asciiTheme="majorBidi" w:hAnsiTheme="majorBidi" w:cstheme="majorBidi"/>
          <w:sz w:val="20"/>
          <w:szCs w:val="20"/>
        </w:rPr>
        <w:t>Mālik</w:t>
      </w:r>
      <w:proofErr w:type="spellEnd"/>
      <w:r w:rsidR="00AD207A" w:rsidRPr="001E24FD">
        <w:rPr>
          <w:rFonts w:asciiTheme="majorBidi" w:hAnsiTheme="majorBidi" w:cstheme="majorBidi"/>
          <w:sz w:val="20"/>
          <w:szCs w:val="20"/>
        </w:rPr>
        <w:t xml:space="preserve">: “Scholars are the trustees </w:t>
      </w:r>
      <w:r w:rsidR="005F6AD7">
        <w:rPr>
          <w:rFonts w:asciiTheme="majorBidi" w:hAnsiTheme="majorBidi" w:cstheme="majorBidi"/>
          <w:sz w:val="20"/>
          <w:szCs w:val="20"/>
        </w:rPr>
        <w:t>(</w:t>
      </w:r>
      <w:proofErr w:type="spellStart"/>
      <w:r w:rsidR="005F6AD7">
        <w:rPr>
          <w:rFonts w:asciiTheme="majorBidi" w:hAnsiTheme="majorBidi" w:cstheme="majorBidi"/>
          <w:i/>
          <w:iCs/>
          <w:sz w:val="20"/>
          <w:szCs w:val="20"/>
        </w:rPr>
        <w:t>umanāʾ</w:t>
      </w:r>
      <w:proofErr w:type="spellEnd"/>
      <w:r w:rsidR="005F6AD7">
        <w:rPr>
          <w:rFonts w:asciiTheme="majorBidi" w:hAnsiTheme="majorBidi" w:cstheme="majorBidi"/>
          <w:sz w:val="20"/>
          <w:szCs w:val="20"/>
        </w:rPr>
        <w:t xml:space="preserve">) </w:t>
      </w:r>
      <w:r w:rsidR="00AD207A" w:rsidRPr="001E24FD">
        <w:rPr>
          <w:rFonts w:asciiTheme="majorBidi" w:hAnsiTheme="majorBidi" w:cstheme="majorBidi"/>
          <w:sz w:val="20"/>
          <w:szCs w:val="20"/>
        </w:rPr>
        <w:t>of</w:t>
      </w:r>
      <w:r w:rsidR="005F6AD7">
        <w:rPr>
          <w:rFonts w:asciiTheme="majorBidi" w:hAnsiTheme="majorBidi" w:cstheme="majorBidi"/>
          <w:sz w:val="20"/>
          <w:szCs w:val="20"/>
        </w:rPr>
        <w:t xml:space="preserve"> the</w:t>
      </w:r>
      <w:r w:rsidR="00AD207A" w:rsidRPr="001E24FD">
        <w:rPr>
          <w:rFonts w:asciiTheme="majorBidi" w:hAnsiTheme="majorBidi" w:cstheme="majorBidi"/>
          <w:sz w:val="20"/>
          <w:szCs w:val="20"/>
        </w:rPr>
        <w:t xml:space="preserve"> messengers over those who worship </w:t>
      </w:r>
      <w:r w:rsidR="005F6AD7">
        <w:rPr>
          <w:rFonts w:asciiTheme="majorBidi" w:hAnsiTheme="majorBidi" w:cstheme="majorBidi"/>
          <w:sz w:val="20"/>
          <w:szCs w:val="20"/>
        </w:rPr>
        <w:t>God</w:t>
      </w:r>
      <w:r w:rsidR="00AD207A" w:rsidRPr="001E24FD">
        <w:rPr>
          <w:rFonts w:asciiTheme="majorBidi" w:hAnsiTheme="majorBidi" w:cstheme="majorBidi"/>
          <w:sz w:val="20"/>
          <w:szCs w:val="20"/>
        </w:rPr>
        <w:t xml:space="preserve"> as long as they do not mix with rulers. If they do </w:t>
      </w:r>
      <w:r w:rsidR="005F6AD7">
        <w:rPr>
          <w:rFonts w:asciiTheme="majorBidi" w:hAnsiTheme="majorBidi" w:cstheme="majorBidi"/>
          <w:sz w:val="20"/>
          <w:szCs w:val="20"/>
        </w:rPr>
        <w:t>so</w:t>
      </w:r>
      <w:r w:rsidR="00AD207A" w:rsidRPr="001E24FD">
        <w:rPr>
          <w:rFonts w:asciiTheme="majorBidi" w:hAnsiTheme="majorBidi" w:cstheme="majorBidi"/>
          <w:sz w:val="20"/>
          <w:szCs w:val="20"/>
        </w:rPr>
        <w:t xml:space="preserve">, they would have betrayed </w:t>
      </w:r>
      <w:r w:rsidR="005F6AD7">
        <w:rPr>
          <w:rFonts w:asciiTheme="majorBidi" w:hAnsiTheme="majorBidi" w:cstheme="majorBidi"/>
          <w:sz w:val="20"/>
          <w:szCs w:val="20"/>
        </w:rPr>
        <w:t>[</w:t>
      </w:r>
      <w:r w:rsidR="00AD207A" w:rsidRPr="001E24FD">
        <w:rPr>
          <w:rFonts w:asciiTheme="majorBidi" w:hAnsiTheme="majorBidi" w:cstheme="majorBidi"/>
          <w:sz w:val="20"/>
          <w:szCs w:val="20"/>
        </w:rPr>
        <w:t>the trust of</w:t>
      </w:r>
      <w:r w:rsidR="005F6AD7">
        <w:rPr>
          <w:rFonts w:asciiTheme="majorBidi" w:hAnsiTheme="majorBidi" w:cstheme="majorBidi"/>
          <w:sz w:val="20"/>
          <w:szCs w:val="20"/>
        </w:rPr>
        <w:t>]</w:t>
      </w:r>
      <w:r w:rsidR="00AD207A" w:rsidRPr="001E24FD">
        <w:rPr>
          <w:rFonts w:asciiTheme="majorBidi" w:hAnsiTheme="majorBidi" w:cstheme="majorBidi"/>
          <w:sz w:val="20"/>
          <w:szCs w:val="20"/>
        </w:rPr>
        <w:t xml:space="preserve"> </w:t>
      </w:r>
      <w:r w:rsidR="005F6AD7">
        <w:rPr>
          <w:rFonts w:asciiTheme="majorBidi" w:hAnsiTheme="majorBidi" w:cstheme="majorBidi"/>
          <w:sz w:val="20"/>
          <w:szCs w:val="20"/>
        </w:rPr>
        <w:t xml:space="preserve">the </w:t>
      </w:r>
      <w:r w:rsidR="00AD207A" w:rsidRPr="001E24FD">
        <w:rPr>
          <w:rFonts w:asciiTheme="majorBidi" w:hAnsiTheme="majorBidi" w:cstheme="majorBidi"/>
          <w:sz w:val="20"/>
          <w:szCs w:val="20"/>
        </w:rPr>
        <w:t xml:space="preserve">messengers. </w:t>
      </w:r>
      <w:r w:rsidR="00FD2E35">
        <w:rPr>
          <w:rFonts w:asciiTheme="majorBidi" w:hAnsiTheme="majorBidi" w:cstheme="majorBidi"/>
          <w:sz w:val="20"/>
          <w:szCs w:val="20"/>
        </w:rPr>
        <w:t>B</w:t>
      </w:r>
      <w:r w:rsidR="00AD207A" w:rsidRPr="001E24FD">
        <w:rPr>
          <w:rFonts w:asciiTheme="majorBidi" w:hAnsiTheme="majorBidi" w:cstheme="majorBidi"/>
          <w:sz w:val="20"/>
          <w:szCs w:val="20"/>
        </w:rPr>
        <w:t>e</w:t>
      </w:r>
      <w:r w:rsidR="00FD2E35">
        <w:rPr>
          <w:rFonts w:asciiTheme="majorBidi" w:hAnsiTheme="majorBidi" w:cstheme="majorBidi"/>
          <w:sz w:val="20"/>
          <w:szCs w:val="20"/>
        </w:rPr>
        <w:t>ware of [such scholars]</w:t>
      </w:r>
      <w:r w:rsidR="00AD207A" w:rsidRPr="001E24FD">
        <w:rPr>
          <w:rFonts w:asciiTheme="majorBidi" w:hAnsiTheme="majorBidi" w:cstheme="majorBidi"/>
          <w:sz w:val="20"/>
          <w:szCs w:val="20"/>
        </w:rPr>
        <w:t xml:space="preserve"> and </w:t>
      </w:r>
      <w:r w:rsidR="00FD2E35">
        <w:rPr>
          <w:rFonts w:asciiTheme="majorBidi" w:hAnsiTheme="majorBidi" w:cstheme="majorBidi"/>
          <w:sz w:val="20"/>
          <w:szCs w:val="20"/>
        </w:rPr>
        <w:t>keep</w:t>
      </w:r>
      <w:r w:rsidR="00AD207A" w:rsidRPr="001E24FD">
        <w:rPr>
          <w:rFonts w:asciiTheme="majorBidi" w:hAnsiTheme="majorBidi" w:cstheme="majorBidi"/>
          <w:sz w:val="20"/>
          <w:szCs w:val="20"/>
        </w:rPr>
        <w:t xml:space="preserve"> away from them.”</w:t>
      </w:r>
    </w:p>
    <w:p w14:paraId="096689B0" w14:textId="77777777" w:rsidR="00AD207A" w:rsidRPr="001E24FD" w:rsidRDefault="00AD207A" w:rsidP="00E7211C">
      <w:pPr>
        <w:pStyle w:val="ListParagraph"/>
        <w:ind w:right="720"/>
        <w:rPr>
          <w:rFonts w:asciiTheme="majorBidi" w:hAnsiTheme="majorBidi" w:cstheme="majorBidi"/>
          <w:sz w:val="20"/>
          <w:szCs w:val="20"/>
        </w:rPr>
      </w:pPr>
    </w:p>
    <w:p w14:paraId="3DBCE6F3" w14:textId="729681B5" w:rsidR="00AD207A" w:rsidRPr="001E24FD" w:rsidRDefault="00AD207A" w:rsidP="00E7211C">
      <w:pPr>
        <w:pStyle w:val="ListParagraph"/>
        <w:numPr>
          <w:ilvl w:val="0"/>
          <w:numId w:val="1"/>
        </w:numPr>
        <w:ind w:left="720" w:right="720"/>
        <w:rPr>
          <w:rFonts w:asciiTheme="majorBidi" w:hAnsiTheme="majorBidi" w:cstheme="majorBidi"/>
          <w:sz w:val="20"/>
          <w:szCs w:val="20"/>
        </w:rPr>
      </w:pPr>
      <w:r w:rsidRPr="001E24FD">
        <w:rPr>
          <w:rFonts w:asciiTheme="majorBidi" w:hAnsiTheme="majorBidi" w:cstheme="majorBidi"/>
          <w:sz w:val="20"/>
          <w:szCs w:val="20"/>
        </w:rPr>
        <w:t xml:space="preserve">Saying by </w:t>
      </w:r>
      <w:proofErr w:type="spellStart"/>
      <w:r w:rsidRPr="001E24FD">
        <w:rPr>
          <w:rFonts w:asciiTheme="majorBidi" w:hAnsiTheme="majorBidi" w:cstheme="majorBidi"/>
          <w:sz w:val="20"/>
          <w:szCs w:val="20"/>
        </w:rPr>
        <w:t>Sufyān</w:t>
      </w:r>
      <w:proofErr w:type="spellEnd"/>
      <w:r w:rsidRPr="001E24FD">
        <w:rPr>
          <w:rFonts w:asciiTheme="majorBidi" w:hAnsiTheme="majorBidi" w:cstheme="majorBidi"/>
          <w:sz w:val="20"/>
          <w:szCs w:val="20"/>
        </w:rPr>
        <w:t xml:space="preserve"> al-</w:t>
      </w:r>
      <w:proofErr w:type="spellStart"/>
      <w:r w:rsidRPr="001E24FD">
        <w:rPr>
          <w:rFonts w:asciiTheme="majorBidi" w:hAnsiTheme="majorBidi" w:cstheme="majorBidi"/>
          <w:sz w:val="20"/>
          <w:szCs w:val="20"/>
        </w:rPr>
        <w:t>Thawrī</w:t>
      </w:r>
      <w:proofErr w:type="spellEnd"/>
      <w:r w:rsidRPr="001E24FD">
        <w:rPr>
          <w:rFonts w:asciiTheme="majorBidi" w:hAnsiTheme="majorBidi" w:cstheme="majorBidi"/>
          <w:sz w:val="20"/>
          <w:szCs w:val="20"/>
        </w:rPr>
        <w:t xml:space="preserve">: “In </w:t>
      </w:r>
      <w:r w:rsidR="00FD2E35">
        <w:rPr>
          <w:rFonts w:asciiTheme="majorBidi" w:hAnsiTheme="majorBidi" w:cstheme="majorBidi"/>
          <w:sz w:val="20"/>
          <w:szCs w:val="20"/>
        </w:rPr>
        <w:t xml:space="preserve">hell </w:t>
      </w:r>
      <w:r w:rsidRPr="001E24FD">
        <w:rPr>
          <w:rFonts w:asciiTheme="majorBidi" w:hAnsiTheme="majorBidi" w:cstheme="majorBidi"/>
          <w:sz w:val="20"/>
          <w:szCs w:val="20"/>
        </w:rPr>
        <w:t xml:space="preserve">there is a valley inhabited only by </w:t>
      </w:r>
      <w:proofErr w:type="spellStart"/>
      <w:r w:rsidR="00FD2E35">
        <w:rPr>
          <w:rFonts w:asciiTheme="majorBidi" w:hAnsiTheme="majorBidi" w:cstheme="majorBidi"/>
          <w:sz w:val="20"/>
          <w:szCs w:val="20"/>
        </w:rPr>
        <w:t>Qurʾān</w:t>
      </w:r>
      <w:proofErr w:type="spellEnd"/>
      <w:r w:rsidR="00FD2E35">
        <w:rPr>
          <w:rFonts w:asciiTheme="majorBidi" w:hAnsiTheme="majorBidi" w:cstheme="majorBidi"/>
          <w:sz w:val="20"/>
          <w:szCs w:val="20"/>
        </w:rPr>
        <w:t xml:space="preserve"> reciters </w:t>
      </w:r>
      <w:r w:rsidRPr="001E24FD">
        <w:rPr>
          <w:rFonts w:asciiTheme="majorBidi" w:hAnsiTheme="majorBidi" w:cstheme="majorBidi"/>
          <w:sz w:val="20"/>
          <w:szCs w:val="20"/>
        </w:rPr>
        <w:t>who used to visit kings.”</w:t>
      </w:r>
    </w:p>
    <w:p w14:paraId="12F4D318" w14:textId="77777777" w:rsidR="00AD207A" w:rsidRPr="001E24FD" w:rsidRDefault="00AD207A" w:rsidP="00E7211C">
      <w:pPr>
        <w:pStyle w:val="ListParagraph"/>
        <w:ind w:right="720"/>
        <w:rPr>
          <w:rFonts w:asciiTheme="majorBidi" w:hAnsiTheme="majorBidi" w:cstheme="majorBidi"/>
          <w:sz w:val="20"/>
          <w:szCs w:val="20"/>
        </w:rPr>
      </w:pPr>
    </w:p>
    <w:p w14:paraId="5552F8E3" w14:textId="25BB8561" w:rsidR="00AD207A" w:rsidRPr="001E24FD" w:rsidRDefault="00AD207A" w:rsidP="00E7211C">
      <w:pPr>
        <w:pStyle w:val="ListParagraph"/>
        <w:numPr>
          <w:ilvl w:val="0"/>
          <w:numId w:val="1"/>
        </w:numPr>
        <w:ind w:left="720" w:right="720"/>
        <w:rPr>
          <w:rFonts w:asciiTheme="majorBidi" w:hAnsiTheme="majorBidi" w:cstheme="majorBidi"/>
          <w:sz w:val="20"/>
          <w:szCs w:val="20"/>
        </w:rPr>
      </w:pPr>
      <w:r w:rsidRPr="001E24FD">
        <w:rPr>
          <w:rFonts w:asciiTheme="majorBidi" w:hAnsiTheme="majorBidi" w:cstheme="majorBidi"/>
          <w:sz w:val="20"/>
          <w:szCs w:val="20"/>
        </w:rPr>
        <w:t xml:space="preserve">Saying by </w:t>
      </w:r>
      <w:proofErr w:type="spellStart"/>
      <w:r w:rsidRPr="001E24FD">
        <w:rPr>
          <w:rFonts w:asciiTheme="majorBidi" w:hAnsiTheme="majorBidi" w:cstheme="majorBidi"/>
          <w:sz w:val="20"/>
          <w:szCs w:val="20"/>
        </w:rPr>
        <w:t>Awzāʿī</w:t>
      </w:r>
      <w:proofErr w:type="spellEnd"/>
      <w:r w:rsidRPr="001E24FD">
        <w:rPr>
          <w:rFonts w:asciiTheme="majorBidi" w:hAnsiTheme="majorBidi" w:cstheme="majorBidi"/>
          <w:sz w:val="20"/>
          <w:szCs w:val="20"/>
        </w:rPr>
        <w:t>: “There is nothing more hated by God than a scholar who visits a governor.”</w:t>
      </w:r>
    </w:p>
    <w:p w14:paraId="6B230D01" w14:textId="77777777" w:rsidR="00AD207A" w:rsidRPr="001E24FD" w:rsidRDefault="00AD207A" w:rsidP="00E7211C">
      <w:pPr>
        <w:pStyle w:val="ListParagraph"/>
        <w:ind w:right="720"/>
        <w:rPr>
          <w:rFonts w:asciiTheme="majorBidi" w:hAnsiTheme="majorBidi" w:cstheme="majorBidi"/>
          <w:sz w:val="20"/>
          <w:szCs w:val="20"/>
        </w:rPr>
      </w:pPr>
    </w:p>
    <w:p w14:paraId="66FCEE5D" w14:textId="10514B77" w:rsidR="00C76348" w:rsidRDefault="00AD207A" w:rsidP="00E7211C">
      <w:pPr>
        <w:pStyle w:val="ListParagraph"/>
        <w:numPr>
          <w:ilvl w:val="0"/>
          <w:numId w:val="1"/>
        </w:numPr>
        <w:ind w:left="720" w:right="720"/>
        <w:rPr>
          <w:rFonts w:asciiTheme="majorBidi" w:hAnsiTheme="majorBidi" w:cstheme="majorBidi"/>
          <w:sz w:val="20"/>
          <w:szCs w:val="20"/>
        </w:rPr>
      </w:pPr>
      <w:r w:rsidRPr="001E24FD">
        <w:rPr>
          <w:rFonts w:asciiTheme="majorBidi" w:hAnsiTheme="majorBidi" w:cstheme="majorBidi"/>
          <w:sz w:val="20"/>
          <w:szCs w:val="20"/>
        </w:rPr>
        <w:t>Saying by al-</w:t>
      </w:r>
      <w:proofErr w:type="spellStart"/>
      <w:r w:rsidRPr="001E24FD">
        <w:rPr>
          <w:rFonts w:asciiTheme="majorBidi" w:hAnsiTheme="majorBidi" w:cstheme="majorBidi"/>
          <w:sz w:val="20"/>
          <w:szCs w:val="20"/>
        </w:rPr>
        <w:t>Fuḍayl</w:t>
      </w:r>
      <w:proofErr w:type="spellEnd"/>
      <w:r w:rsidRPr="001E24FD">
        <w:rPr>
          <w:rFonts w:asciiTheme="majorBidi" w:hAnsiTheme="majorBidi" w:cstheme="majorBidi"/>
          <w:sz w:val="20"/>
          <w:szCs w:val="20"/>
        </w:rPr>
        <w:t xml:space="preserve"> b. </w:t>
      </w:r>
      <w:proofErr w:type="spellStart"/>
      <w:r w:rsidRPr="001E24FD">
        <w:rPr>
          <w:rFonts w:asciiTheme="majorBidi" w:hAnsiTheme="majorBidi" w:cstheme="majorBidi"/>
          <w:sz w:val="20"/>
          <w:szCs w:val="20"/>
        </w:rPr>
        <w:t>ʿIyāḍ</w:t>
      </w:r>
      <w:proofErr w:type="spellEnd"/>
      <w:r w:rsidRPr="001E24FD">
        <w:rPr>
          <w:rFonts w:asciiTheme="majorBidi" w:hAnsiTheme="majorBidi" w:cstheme="majorBidi"/>
          <w:sz w:val="20"/>
          <w:szCs w:val="20"/>
        </w:rPr>
        <w:t xml:space="preserve">: “No </w:t>
      </w:r>
      <w:r w:rsidR="00C76348">
        <w:rPr>
          <w:rFonts w:asciiTheme="majorBidi" w:hAnsiTheme="majorBidi" w:cstheme="majorBidi"/>
          <w:sz w:val="20"/>
          <w:szCs w:val="20"/>
        </w:rPr>
        <w:t>man</w:t>
      </w:r>
      <w:r w:rsidRPr="001E24FD">
        <w:rPr>
          <w:rFonts w:asciiTheme="majorBidi" w:hAnsiTheme="majorBidi" w:cstheme="majorBidi"/>
          <w:sz w:val="20"/>
          <w:szCs w:val="20"/>
        </w:rPr>
        <w:t xml:space="preserve"> </w:t>
      </w:r>
      <w:r w:rsidR="00C76348">
        <w:rPr>
          <w:rFonts w:asciiTheme="majorBidi" w:hAnsiTheme="majorBidi" w:cstheme="majorBidi"/>
          <w:sz w:val="20"/>
          <w:szCs w:val="20"/>
        </w:rPr>
        <w:t>draws</w:t>
      </w:r>
      <w:r w:rsidRPr="001E24FD">
        <w:rPr>
          <w:rFonts w:asciiTheme="majorBidi" w:hAnsiTheme="majorBidi" w:cstheme="majorBidi"/>
          <w:sz w:val="20"/>
          <w:szCs w:val="20"/>
        </w:rPr>
        <w:t xml:space="preserve"> </w:t>
      </w:r>
      <w:r w:rsidR="00C76348">
        <w:rPr>
          <w:rFonts w:asciiTheme="majorBidi" w:hAnsiTheme="majorBidi" w:cstheme="majorBidi"/>
          <w:sz w:val="20"/>
          <w:szCs w:val="20"/>
        </w:rPr>
        <w:t xml:space="preserve">closer </w:t>
      </w:r>
      <w:r w:rsidRPr="001E24FD">
        <w:rPr>
          <w:rFonts w:asciiTheme="majorBidi" w:hAnsiTheme="majorBidi" w:cstheme="majorBidi"/>
          <w:sz w:val="20"/>
          <w:szCs w:val="20"/>
        </w:rPr>
        <w:t>to a holder of power (</w:t>
      </w:r>
      <w:proofErr w:type="spellStart"/>
      <w:r w:rsidRPr="001E24FD">
        <w:rPr>
          <w:rFonts w:asciiTheme="majorBidi" w:hAnsiTheme="majorBidi" w:cstheme="majorBidi"/>
          <w:i/>
          <w:iCs/>
          <w:sz w:val="20"/>
          <w:szCs w:val="20"/>
        </w:rPr>
        <w:t>dhū</w:t>
      </w:r>
      <w:proofErr w:type="spellEnd"/>
      <w:r w:rsidRPr="001E24FD">
        <w:rPr>
          <w:rFonts w:asciiTheme="majorBidi" w:hAnsiTheme="majorBidi" w:cstheme="majorBidi"/>
          <w:i/>
          <w:iCs/>
          <w:sz w:val="20"/>
          <w:szCs w:val="20"/>
        </w:rPr>
        <w:t xml:space="preserve"> </w:t>
      </w:r>
      <w:proofErr w:type="spellStart"/>
      <w:r w:rsidRPr="001E24FD">
        <w:rPr>
          <w:rFonts w:asciiTheme="majorBidi" w:hAnsiTheme="majorBidi" w:cstheme="majorBidi"/>
          <w:i/>
          <w:iCs/>
          <w:sz w:val="20"/>
          <w:szCs w:val="20"/>
        </w:rPr>
        <w:t>sulṭān</w:t>
      </w:r>
      <w:proofErr w:type="spellEnd"/>
      <w:r w:rsidRPr="001E24FD">
        <w:rPr>
          <w:rFonts w:asciiTheme="majorBidi" w:hAnsiTheme="majorBidi" w:cstheme="majorBidi"/>
          <w:sz w:val="20"/>
          <w:szCs w:val="20"/>
        </w:rPr>
        <w:t xml:space="preserve">) </w:t>
      </w:r>
      <w:r w:rsidR="00C76348">
        <w:rPr>
          <w:rFonts w:asciiTheme="majorBidi" w:hAnsiTheme="majorBidi" w:cstheme="majorBidi"/>
          <w:sz w:val="20"/>
          <w:szCs w:val="20"/>
        </w:rPr>
        <w:t>without</w:t>
      </w:r>
      <w:r w:rsidRPr="001E24FD">
        <w:rPr>
          <w:rFonts w:asciiTheme="majorBidi" w:hAnsiTheme="majorBidi" w:cstheme="majorBidi"/>
          <w:sz w:val="20"/>
          <w:szCs w:val="20"/>
        </w:rPr>
        <w:t xml:space="preserve"> </w:t>
      </w:r>
      <w:r w:rsidR="00C76348">
        <w:rPr>
          <w:rFonts w:asciiTheme="majorBidi" w:hAnsiTheme="majorBidi" w:cstheme="majorBidi"/>
          <w:sz w:val="20"/>
          <w:szCs w:val="20"/>
        </w:rPr>
        <w:t xml:space="preserve">becoming more </w:t>
      </w:r>
      <w:r w:rsidRPr="001E24FD">
        <w:rPr>
          <w:rFonts w:asciiTheme="majorBidi" w:hAnsiTheme="majorBidi" w:cstheme="majorBidi"/>
          <w:sz w:val="20"/>
          <w:szCs w:val="20"/>
        </w:rPr>
        <w:t>distant from God.”</w:t>
      </w:r>
    </w:p>
    <w:p w14:paraId="19C8DA5E" w14:textId="77777777" w:rsidR="00C76348" w:rsidRDefault="00C76348" w:rsidP="00E7211C">
      <w:pPr>
        <w:pStyle w:val="ListParagraph"/>
        <w:ind w:right="720"/>
        <w:rPr>
          <w:rFonts w:asciiTheme="majorBidi" w:hAnsiTheme="majorBidi" w:cstheme="majorBidi"/>
          <w:sz w:val="20"/>
          <w:szCs w:val="20"/>
        </w:rPr>
      </w:pPr>
    </w:p>
    <w:p w14:paraId="13A8DB11" w14:textId="710D4D60" w:rsidR="00AD207A" w:rsidRDefault="00C76348" w:rsidP="00E7211C">
      <w:pPr>
        <w:pStyle w:val="ListParagraph"/>
        <w:numPr>
          <w:ilvl w:val="0"/>
          <w:numId w:val="1"/>
        </w:numPr>
        <w:ind w:left="720" w:right="720"/>
        <w:rPr>
          <w:rFonts w:asciiTheme="majorBidi" w:hAnsiTheme="majorBidi" w:cstheme="majorBidi"/>
          <w:sz w:val="20"/>
          <w:szCs w:val="20"/>
        </w:rPr>
      </w:pPr>
      <w:r>
        <w:rPr>
          <w:rFonts w:asciiTheme="majorBidi" w:hAnsiTheme="majorBidi" w:cstheme="majorBidi"/>
          <w:sz w:val="20"/>
          <w:szCs w:val="20"/>
        </w:rPr>
        <w:t xml:space="preserve">Saying by </w:t>
      </w:r>
      <w:proofErr w:type="spellStart"/>
      <w:r>
        <w:rPr>
          <w:rFonts w:asciiTheme="majorBidi" w:hAnsiTheme="majorBidi" w:cstheme="majorBidi"/>
          <w:sz w:val="20"/>
          <w:szCs w:val="20"/>
        </w:rPr>
        <w:t>Muḥammad</w:t>
      </w:r>
      <w:proofErr w:type="spellEnd"/>
      <w:r>
        <w:rPr>
          <w:rFonts w:asciiTheme="majorBidi" w:hAnsiTheme="majorBidi" w:cstheme="majorBidi"/>
          <w:sz w:val="20"/>
          <w:szCs w:val="20"/>
        </w:rPr>
        <w:t xml:space="preserve"> b. Salama: “Flies on dung are more becoming</w:t>
      </w:r>
      <w:r w:rsidR="007376D6">
        <w:rPr>
          <w:rFonts w:asciiTheme="majorBidi" w:hAnsiTheme="majorBidi" w:cstheme="majorBidi"/>
          <w:sz w:val="20"/>
          <w:szCs w:val="20"/>
        </w:rPr>
        <w:t xml:space="preserve"> than</w:t>
      </w:r>
      <w:r>
        <w:rPr>
          <w:rFonts w:asciiTheme="majorBidi" w:hAnsiTheme="majorBidi" w:cstheme="majorBidi"/>
          <w:sz w:val="20"/>
          <w:szCs w:val="20"/>
        </w:rPr>
        <w:t xml:space="preserve"> a </w:t>
      </w:r>
      <w:proofErr w:type="spellStart"/>
      <w:r>
        <w:rPr>
          <w:rFonts w:asciiTheme="majorBidi" w:hAnsiTheme="majorBidi" w:cstheme="majorBidi"/>
          <w:sz w:val="20"/>
          <w:szCs w:val="20"/>
        </w:rPr>
        <w:t>Qurʾān</w:t>
      </w:r>
      <w:proofErr w:type="spellEnd"/>
      <w:r>
        <w:rPr>
          <w:rFonts w:asciiTheme="majorBidi" w:hAnsiTheme="majorBidi" w:cstheme="majorBidi"/>
          <w:sz w:val="20"/>
          <w:szCs w:val="20"/>
        </w:rPr>
        <w:t xml:space="preserve"> reciter at the door</w:t>
      </w:r>
      <w:r w:rsidR="00891EBD">
        <w:rPr>
          <w:rFonts w:asciiTheme="majorBidi" w:hAnsiTheme="majorBidi" w:cstheme="majorBidi"/>
          <w:sz w:val="20"/>
          <w:szCs w:val="20"/>
        </w:rPr>
        <w:t>s</w:t>
      </w:r>
      <w:r>
        <w:rPr>
          <w:rFonts w:asciiTheme="majorBidi" w:hAnsiTheme="majorBidi" w:cstheme="majorBidi"/>
          <w:sz w:val="20"/>
          <w:szCs w:val="20"/>
        </w:rPr>
        <w:t xml:space="preserve"> of </w:t>
      </w:r>
      <w:r w:rsidR="00891EBD">
        <w:rPr>
          <w:rFonts w:asciiTheme="majorBidi" w:hAnsiTheme="majorBidi" w:cstheme="majorBidi"/>
          <w:sz w:val="20"/>
          <w:szCs w:val="20"/>
        </w:rPr>
        <w:t>the</w:t>
      </w:r>
      <w:r>
        <w:rPr>
          <w:rFonts w:asciiTheme="majorBidi" w:hAnsiTheme="majorBidi" w:cstheme="majorBidi"/>
          <w:sz w:val="20"/>
          <w:szCs w:val="20"/>
        </w:rPr>
        <w:t xml:space="preserve"> </w:t>
      </w:r>
      <w:r w:rsidR="00891EBD">
        <w:rPr>
          <w:rFonts w:asciiTheme="majorBidi" w:hAnsiTheme="majorBidi" w:cstheme="majorBidi"/>
          <w:sz w:val="20"/>
          <w:szCs w:val="20"/>
        </w:rPr>
        <w:t>authorities</w:t>
      </w:r>
      <w:r>
        <w:rPr>
          <w:rFonts w:asciiTheme="majorBidi" w:hAnsiTheme="majorBidi" w:cstheme="majorBidi"/>
          <w:sz w:val="20"/>
          <w:szCs w:val="20"/>
        </w:rPr>
        <w:t>.”</w:t>
      </w:r>
      <w:r w:rsidR="002F3841" w:rsidRPr="002F3841">
        <w:rPr>
          <w:rStyle w:val="FootnoteReference"/>
          <w:rFonts w:asciiTheme="majorBidi" w:hAnsiTheme="majorBidi" w:cstheme="majorBidi"/>
          <w:sz w:val="20"/>
          <w:szCs w:val="20"/>
        </w:rPr>
        <w:footnoteReference w:id="42"/>
      </w:r>
    </w:p>
    <w:p w14:paraId="265E4813" w14:textId="77777777" w:rsidR="00E7211C" w:rsidRPr="00E7211C" w:rsidRDefault="00E7211C" w:rsidP="00E7211C">
      <w:pPr>
        <w:spacing w:line="360" w:lineRule="auto"/>
        <w:ind w:right="720"/>
        <w:rPr>
          <w:rFonts w:asciiTheme="majorBidi" w:hAnsiTheme="majorBidi" w:cstheme="majorBidi"/>
        </w:rPr>
      </w:pPr>
    </w:p>
    <w:p w14:paraId="4FE8C86F" w14:textId="09FFBF79" w:rsidR="00AD207A" w:rsidRDefault="00AD207A" w:rsidP="0037533B">
      <w:pPr>
        <w:pStyle w:val="ListParagraph"/>
        <w:spacing w:line="360" w:lineRule="auto"/>
        <w:ind w:left="0"/>
        <w:rPr>
          <w:rFonts w:asciiTheme="majorBidi" w:hAnsiTheme="majorBidi" w:cstheme="majorBidi"/>
        </w:rPr>
      </w:pPr>
      <w:r w:rsidRPr="001E24FD">
        <w:rPr>
          <w:rFonts w:asciiTheme="majorBidi" w:hAnsiTheme="majorBidi" w:cstheme="majorBidi"/>
        </w:rPr>
        <w:t>Reports belonging to the second category include:</w:t>
      </w:r>
    </w:p>
    <w:p w14:paraId="33612BC5" w14:textId="77777777" w:rsidR="00E7211C" w:rsidRPr="001E24FD" w:rsidRDefault="00E7211C" w:rsidP="0037533B">
      <w:pPr>
        <w:pStyle w:val="ListParagraph"/>
        <w:spacing w:line="360" w:lineRule="auto"/>
        <w:ind w:left="0"/>
        <w:rPr>
          <w:rFonts w:asciiTheme="majorBidi" w:hAnsiTheme="majorBidi" w:cstheme="majorBidi"/>
        </w:rPr>
      </w:pPr>
    </w:p>
    <w:p w14:paraId="305E1913" w14:textId="58044F3B" w:rsidR="00AD207A" w:rsidRPr="001E24FD" w:rsidRDefault="00651543" w:rsidP="00E7211C">
      <w:pPr>
        <w:pStyle w:val="ListParagraph"/>
        <w:numPr>
          <w:ilvl w:val="0"/>
          <w:numId w:val="2"/>
        </w:numPr>
        <w:ind w:right="720"/>
        <w:rPr>
          <w:rFonts w:asciiTheme="majorBidi" w:hAnsiTheme="majorBidi" w:cstheme="majorBidi"/>
          <w:sz w:val="20"/>
          <w:szCs w:val="20"/>
        </w:rPr>
      </w:pPr>
      <w:r>
        <w:rPr>
          <w:rFonts w:asciiTheme="majorBidi" w:hAnsiTheme="majorBidi" w:cstheme="majorBidi"/>
          <w:sz w:val="20"/>
          <w:szCs w:val="20"/>
        </w:rPr>
        <w:t xml:space="preserve">Prophetic </w:t>
      </w:r>
      <w:proofErr w:type="spellStart"/>
      <w:r>
        <w:rPr>
          <w:rFonts w:asciiTheme="majorBidi" w:hAnsiTheme="majorBidi" w:cstheme="majorBidi"/>
          <w:i/>
          <w:iCs/>
          <w:sz w:val="20"/>
          <w:szCs w:val="20"/>
        </w:rPr>
        <w:t>ḥ</w:t>
      </w:r>
      <w:r w:rsidR="00AD207A" w:rsidRPr="001E24FD">
        <w:rPr>
          <w:rFonts w:asciiTheme="majorBidi" w:hAnsiTheme="majorBidi" w:cstheme="majorBidi"/>
          <w:i/>
          <w:iCs/>
          <w:sz w:val="20"/>
          <w:szCs w:val="20"/>
        </w:rPr>
        <w:t>adīth</w:t>
      </w:r>
      <w:proofErr w:type="spellEnd"/>
      <w:r w:rsidR="00AD207A" w:rsidRPr="001E24FD">
        <w:rPr>
          <w:rFonts w:asciiTheme="majorBidi" w:hAnsiTheme="majorBidi" w:cstheme="majorBidi"/>
          <w:sz w:val="20"/>
          <w:szCs w:val="20"/>
        </w:rPr>
        <w:t>: “</w:t>
      </w:r>
      <w:r>
        <w:rPr>
          <w:rFonts w:asciiTheme="majorBidi" w:hAnsiTheme="majorBidi" w:cstheme="majorBidi"/>
          <w:sz w:val="20"/>
          <w:szCs w:val="20"/>
        </w:rPr>
        <w:t>There will be</w:t>
      </w:r>
      <w:r w:rsidR="00AD207A" w:rsidRPr="001E24FD">
        <w:rPr>
          <w:rFonts w:asciiTheme="majorBidi" w:hAnsiTheme="majorBidi" w:cstheme="majorBidi"/>
          <w:sz w:val="20"/>
          <w:szCs w:val="20"/>
        </w:rPr>
        <w:t xml:space="preserve"> rulers </w:t>
      </w:r>
      <w:r>
        <w:rPr>
          <w:rFonts w:asciiTheme="majorBidi" w:hAnsiTheme="majorBidi" w:cstheme="majorBidi"/>
          <w:sz w:val="20"/>
          <w:szCs w:val="20"/>
        </w:rPr>
        <w:t xml:space="preserve">after me </w:t>
      </w:r>
      <w:r w:rsidR="00AD207A" w:rsidRPr="001E24FD">
        <w:rPr>
          <w:rFonts w:asciiTheme="majorBidi" w:hAnsiTheme="majorBidi" w:cstheme="majorBidi"/>
          <w:sz w:val="20"/>
          <w:szCs w:val="20"/>
        </w:rPr>
        <w:t xml:space="preserve">who will </w:t>
      </w:r>
      <w:r>
        <w:rPr>
          <w:rFonts w:asciiTheme="majorBidi" w:hAnsiTheme="majorBidi" w:cstheme="majorBidi"/>
          <w:sz w:val="20"/>
          <w:szCs w:val="20"/>
        </w:rPr>
        <w:t>deceive</w:t>
      </w:r>
      <w:r w:rsidR="00AD207A" w:rsidRPr="001E24FD">
        <w:rPr>
          <w:rFonts w:asciiTheme="majorBidi" w:hAnsiTheme="majorBidi" w:cstheme="majorBidi"/>
          <w:sz w:val="20"/>
          <w:szCs w:val="20"/>
        </w:rPr>
        <w:t xml:space="preserve"> and oppress. </w:t>
      </w:r>
      <w:r>
        <w:rPr>
          <w:rFonts w:asciiTheme="majorBidi" w:hAnsiTheme="majorBidi" w:cstheme="majorBidi"/>
          <w:sz w:val="20"/>
          <w:szCs w:val="20"/>
        </w:rPr>
        <w:t>A</w:t>
      </w:r>
      <w:r w:rsidR="00AD207A" w:rsidRPr="001E24FD">
        <w:rPr>
          <w:rFonts w:asciiTheme="majorBidi" w:hAnsiTheme="majorBidi" w:cstheme="majorBidi"/>
          <w:sz w:val="20"/>
          <w:szCs w:val="20"/>
        </w:rPr>
        <w:t xml:space="preserve">nyone </w:t>
      </w:r>
      <w:r>
        <w:rPr>
          <w:rFonts w:asciiTheme="majorBidi" w:hAnsiTheme="majorBidi" w:cstheme="majorBidi"/>
          <w:sz w:val="20"/>
          <w:szCs w:val="20"/>
        </w:rPr>
        <w:t>giving credence to</w:t>
      </w:r>
      <w:r w:rsidR="00AD207A" w:rsidRPr="001E24FD">
        <w:rPr>
          <w:rFonts w:asciiTheme="majorBidi" w:hAnsiTheme="majorBidi" w:cstheme="majorBidi"/>
          <w:sz w:val="20"/>
          <w:szCs w:val="20"/>
        </w:rPr>
        <w:t xml:space="preserve"> the</w:t>
      </w:r>
      <w:r>
        <w:rPr>
          <w:rFonts w:asciiTheme="majorBidi" w:hAnsiTheme="majorBidi" w:cstheme="majorBidi"/>
          <w:sz w:val="20"/>
          <w:szCs w:val="20"/>
        </w:rPr>
        <w:t>ir</w:t>
      </w:r>
      <w:r w:rsidR="00AD207A" w:rsidRPr="001E24FD">
        <w:rPr>
          <w:rFonts w:asciiTheme="majorBidi" w:hAnsiTheme="majorBidi" w:cstheme="majorBidi"/>
          <w:sz w:val="20"/>
          <w:szCs w:val="20"/>
        </w:rPr>
        <w:t xml:space="preserve"> </w:t>
      </w:r>
      <w:r>
        <w:rPr>
          <w:rFonts w:asciiTheme="majorBidi" w:hAnsiTheme="majorBidi" w:cstheme="majorBidi"/>
          <w:sz w:val="20"/>
          <w:szCs w:val="20"/>
        </w:rPr>
        <w:t>lies</w:t>
      </w:r>
      <w:r w:rsidR="00AD207A" w:rsidRPr="001E24FD">
        <w:rPr>
          <w:rFonts w:asciiTheme="majorBidi" w:hAnsiTheme="majorBidi" w:cstheme="majorBidi"/>
          <w:sz w:val="20"/>
          <w:szCs w:val="20"/>
        </w:rPr>
        <w:t xml:space="preserve"> </w:t>
      </w:r>
      <w:r>
        <w:rPr>
          <w:rFonts w:asciiTheme="majorBidi" w:hAnsiTheme="majorBidi" w:cstheme="majorBidi"/>
          <w:sz w:val="20"/>
          <w:szCs w:val="20"/>
        </w:rPr>
        <w:t>and</w:t>
      </w:r>
      <w:r w:rsidR="00AD207A" w:rsidRPr="001E24FD">
        <w:rPr>
          <w:rFonts w:asciiTheme="majorBidi" w:hAnsiTheme="majorBidi" w:cstheme="majorBidi"/>
          <w:sz w:val="20"/>
          <w:szCs w:val="20"/>
        </w:rPr>
        <w:t xml:space="preserve"> assist</w:t>
      </w:r>
      <w:r>
        <w:rPr>
          <w:rFonts w:asciiTheme="majorBidi" w:hAnsiTheme="majorBidi" w:cstheme="majorBidi"/>
          <w:sz w:val="20"/>
          <w:szCs w:val="20"/>
        </w:rPr>
        <w:t>ing</w:t>
      </w:r>
      <w:r w:rsidR="00AD207A" w:rsidRPr="001E24FD">
        <w:rPr>
          <w:rFonts w:asciiTheme="majorBidi" w:hAnsiTheme="majorBidi" w:cstheme="majorBidi"/>
          <w:sz w:val="20"/>
          <w:szCs w:val="20"/>
        </w:rPr>
        <w:t xml:space="preserve"> in the</w:t>
      </w:r>
      <w:r>
        <w:rPr>
          <w:rFonts w:asciiTheme="majorBidi" w:hAnsiTheme="majorBidi" w:cstheme="majorBidi"/>
          <w:sz w:val="20"/>
          <w:szCs w:val="20"/>
        </w:rPr>
        <w:t>ir</w:t>
      </w:r>
      <w:r w:rsidR="00AD207A" w:rsidRPr="001E24FD">
        <w:rPr>
          <w:rFonts w:asciiTheme="majorBidi" w:hAnsiTheme="majorBidi" w:cstheme="majorBidi"/>
          <w:sz w:val="20"/>
          <w:szCs w:val="20"/>
        </w:rPr>
        <w:t xml:space="preserve"> </w:t>
      </w:r>
      <w:r>
        <w:rPr>
          <w:rFonts w:asciiTheme="majorBidi" w:hAnsiTheme="majorBidi" w:cstheme="majorBidi"/>
          <w:sz w:val="20"/>
          <w:szCs w:val="20"/>
        </w:rPr>
        <w:t>oppression</w:t>
      </w:r>
      <w:r w:rsidR="00AD207A" w:rsidRPr="001E24FD">
        <w:rPr>
          <w:rFonts w:asciiTheme="majorBidi" w:hAnsiTheme="majorBidi" w:cstheme="majorBidi"/>
          <w:sz w:val="20"/>
          <w:szCs w:val="20"/>
        </w:rPr>
        <w:t xml:space="preserve"> </w:t>
      </w:r>
      <w:r w:rsidR="00785761">
        <w:rPr>
          <w:rFonts w:asciiTheme="majorBidi" w:hAnsiTheme="majorBidi" w:cstheme="majorBidi"/>
          <w:sz w:val="20"/>
          <w:szCs w:val="20"/>
        </w:rPr>
        <w:t xml:space="preserve">neither belongs to me, nor do I to him. </w:t>
      </w:r>
      <w:r w:rsidR="00686ABD">
        <w:rPr>
          <w:rFonts w:asciiTheme="majorBidi" w:hAnsiTheme="majorBidi" w:cstheme="majorBidi"/>
          <w:sz w:val="20"/>
          <w:szCs w:val="20"/>
        </w:rPr>
        <w:t xml:space="preserve">And he will not pass </w:t>
      </w:r>
      <w:r w:rsidR="00AD207A" w:rsidRPr="001E24FD">
        <w:rPr>
          <w:rFonts w:asciiTheme="majorBidi" w:hAnsiTheme="majorBidi" w:cstheme="majorBidi"/>
          <w:sz w:val="20"/>
          <w:szCs w:val="20"/>
        </w:rPr>
        <w:t xml:space="preserve">by the </w:t>
      </w:r>
      <w:r w:rsidR="00686ABD">
        <w:rPr>
          <w:rFonts w:asciiTheme="majorBidi" w:hAnsiTheme="majorBidi" w:cstheme="majorBidi"/>
          <w:sz w:val="20"/>
          <w:szCs w:val="20"/>
        </w:rPr>
        <w:t>P</w:t>
      </w:r>
      <w:r w:rsidR="00AD207A" w:rsidRPr="001E24FD">
        <w:rPr>
          <w:rFonts w:asciiTheme="majorBidi" w:hAnsiTheme="majorBidi" w:cstheme="majorBidi"/>
          <w:sz w:val="20"/>
          <w:szCs w:val="20"/>
        </w:rPr>
        <w:t xml:space="preserve">ool of </w:t>
      </w:r>
      <w:r w:rsidR="00686ABD">
        <w:rPr>
          <w:rFonts w:asciiTheme="majorBidi" w:hAnsiTheme="majorBidi" w:cstheme="majorBidi"/>
          <w:sz w:val="20"/>
          <w:szCs w:val="20"/>
        </w:rPr>
        <w:t>Abundance (</w:t>
      </w:r>
      <w:r w:rsidR="00686ABD">
        <w:rPr>
          <w:rFonts w:asciiTheme="majorBidi" w:hAnsiTheme="majorBidi" w:cstheme="majorBidi"/>
          <w:i/>
          <w:iCs/>
          <w:sz w:val="20"/>
          <w:szCs w:val="20"/>
        </w:rPr>
        <w:t>al-</w:t>
      </w:r>
      <w:proofErr w:type="spellStart"/>
      <w:r w:rsidR="00686ABD">
        <w:rPr>
          <w:rFonts w:asciiTheme="majorBidi" w:hAnsiTheme="majorBidi" w:cstheme="majorBidi"/>
          <w:i/>
          <w:iCs/>
          <w:sz w:val="20"/>
          <w:szCs w:val="20"/>
        </w:rPr>
        <w:t>ḥawḍ</w:t>
      </w:r>
      <w:proofErr w:type="spellEnd"/>
      <w:r w:rsidR="00686ABD">
        <w:rPr>
          <w:rFonts w:asciiTheme="majorBidi" w:hAnsiTheme="majorBidi" w:cstheme="majorBidi"/>
          <w:sz w:val="20"/>
          <w:szCs w:val="20"/>
        </w:rPr>
        <w:t>)</w:t>
      </w:r>
      <w:r w:rsidR="00AD207A" w:rsidRPr="001E24FD">
        <w:rPr>
          <w:rFonts w:asciiTheme="majorBidi" w:hAnsiTheme="majorBidi" w:cstheme="majorBidi"/>
          <w:sz w:val="20"/>
          <w:szCs w:val="20"/>
        </w:rPr>
        <w:t>.”</w:t>
      </w:r>
    </w:p>
    <w:p w14:paraId="24F4C412" w14:textId="77777777" w:rsidR="00AD207A" w:rsidRPr="001E24FD" w:rsidRDefault="00AD207A" w:rsidP="00E7211C">
      <w:pPr>
        <w:pStyle w:val="ListParagraph"/>
        <w:ind w:right="720"/>
        <w:rPr>
          <w:rFonts w:asciiTheme="majorBidi" w:hAnsiTheme="majorBidi" w:cstheme="majorBidi"/>
          <w:sz w:val="20"/>
          <w:szCs w:val="20"/>
        </w:rPr>
      </w:pPr>
    </w:p>
    <w:p w14:paraId="5D12BC08" w14:textId="7EDD9268" w:rsidR="00AD207A" w:rsidRPr="001E24FD" w:rsidRDefault="00AD207A" w:rsidP="00E7211C">
      <w:pPr>
        <w:pStyle w:val="ListParagraph"/>
        <w:numPr>
          <w:ilvl w:val="0"/>
          <w:numId w:val="2"/>
        </w:numPr>
        <w:ind w:right="720"/>
        <w:rPr>
          <w:rFonts w:asciiTheme="majorBidi" w:hAnsiTheme="majorBidi" w:cstheme="majorBidi"/>
          <w:sz w:val="20"/>
          <w:szCs w:val="20"/>
        </w:rPr>
      </w:pPr>
      <w:r w:rsidRPr="001E24FD">
        <w:rPr>
          <w:rFonts w:asciiTheme="majorBidi" w:hAnsiTheme="majorBidi" w:cstheme="majorBidi"/>
          <w:sz w:val="20"/>
          <w:szCs w:val="20"/>
        </w:rPr>
        <w:t xml:space="preserve">Statement from </w:t>
      </w:r>
      <w:proofErr w:type="spellStart"/>
      <w:r w:rsidRPr="001E24FD">
        <w:rPr>
          <w:rFonts w:asciiTheme="majorBidi" w:hAnsiTheme="majorBidi" w:cstheme="majorBidi"/>
          <w:sz w:val="20"/>
          <w:szCs w:val="20"/>
        </w:rPr>
        <w:t>Ḥudhayfa</w:t>
      </w:r>
      <w:proofErr w:type="spellEnd"/>
      <w:r w:rsidRPr="001E24FD">
        <w:rPr>
          <w:rFonts w:asciiTheme="majorBidi" w:hAnsiTheme="majorBidi" w:cstheme="majorBidi"/>
          <w:sz w:val="20"/>
          <w:szCs w:val="20"/>
        </w:rPr>
        <w:t>: “Beware of the places of trial (</w:t>
      </w:r>
      <w:proofErr w:type="spellStart"/>
      <w:r w:rsidRPr="001E24FD">
        <w:rPr>
          <w:rFonts w:asciiTheme="majorBidi" w:hAnsiTheme="majorBidi" w:cstheme="majorBidi"/>
          <w:i/>
          <w:iCs/>
          <w:sz w:val="20"/>
          <w:szCs w:val="20"/>
        </w:rPr>
        <w:t>mawāqif</w:t>
      </w:r>
      <w:proofErr w:type="spellEnd"/>
      <w:r w:rsidRPr="001E24FD">
        <w:rPr>
          <w:rFonts w:asciiTheme="majorBidi" w:hAnsiTheme="majorBidi" w:cstheme="majorBidi"/>
          <w:i/>
          <w:iCs/>
          <w:sz w:val="20"/>
          <w:szCs w:val="20"/>
        </w:rPr>
        <w:t xml:space="preserve"> al-</w:t>
      </w:r>
      <w:proofErr w:type="spellStart"/>
      <w:r w:rsidRPr="001E24FD">
        <w:rPr>
          <w:rFonts w:asciiTheme="majorBidi" w:hAnsiTheme="majorBidi" w:cstheme="majorBidi"/>
          <w:i/>
          <w:iCs/>
          <w:sz w:val="20"/>
          <w:szCs w:val="20"/>
        </w:rPr>
        <w:t>fitan</w:t>
      </w:r>
      <w:proofErr w:type="spellEnd"/>
      <w:r w:rsidRPr="001E24FD">
        <w:rPr>
          <w:rFonts w:asciiTheme="majorBidi" w:hAnsiTheme="majorBidi" w:cstheme="majorBidi"/>
          <w:sz w:val="20"/>
          <w:szCs w:val="20"/>
        </w:rPr>
        <w:t xml:space="preserve">)!” When asked what those places were, </w:t>
      </w:r>
      <w:proofErr w:type="spellStart"/>
      <w:r w:rsidRPr="001E24FD">
        <w:rPr>
          <w:rFonts w:asciiTheme="majorBidi" w:hAnsiTheme="majorBidi" w:cstheme="majorBidi"/>
          <w:sz w:val="20"/>
          <w:szCs w:val="20"/>
        </w:rPr>
        <w:t>Ḥudhayfa</w:t>
      </w:r>
      <w:proofErr w:type="spellEnd"/>
      <w:r w:rsidRPr="001E24FD">
        <w:rPr>
          <w:rFonts w:asciiTheme="majorBidi" w:hAnsiTheme="majorBidi" w:cstheme="majorBidi"/>
          <w:sz w:val="20"/>
          <w:szCs w:val="20"/>
        </w:rPr>
        <w:t xml:space="preserve"> replied, “The doors of the rulers. You might enter the presence of the ruler and find yourself </w:t>
      </w:r>
      <w:r w:rsidR="00686ABD">
        <w:rPr>
          <w:rFonts w:asciiTheme="majorBidi" w:hAnsiTheme="majorBidi" w:cstheme="majorBidi"/>
          <w:sz w:val="20"/>
          <w:szCs w:val="20"/>
        </w:rPr>
        <w:t>giving credence to his lies</w:t>
      </w:r>
      <w:r w:rsidRPr="001E24FD">
        <w:rPr>
          <w:rFonts w:asciiTheme="majorBidi" w:hAnsiTheme="majorBidi" w:cstheme="majorBidi"/>
          <w:sz w:val="20"/>
          <w:szCs w:val="20"/>
        </w:rPr>
        <w:t xml:space="preserve"> and saying things about him that are </w:t>
      </w:r>
      <w:r w:rsidR="00686ABD">
        <w:rPr>
          <w:rFonts w:asciiTheme="majorBidi" w:hAnsiTheme="majorBidi" w:cstheme="majorBidi"/>
          <w:sz w:val="20"/>
          <w:szCs w:val="20"/>
        </w:rPr>
        <w:t>untrue</w:t>
      </w:r>
      <w:r w:rsidRPr="001E24FD">
        <w:rPr>
          <w:rFonts w:asciiTheme="majorBidi" w:hAnsiTheme="majorBidi" w:cstheme="majorBidi"/>
          <w:sz w:val="20"/>
          <w:szCs w:val="20"/>
        </w:rPr>
        <w:t>.”</w:t>
      </w:r>
    </w:p>
    <w:p w14:paraId="32C4626A" w14:textId="77777777" w:rsidR="00AD207A" w:rsidRPr="001E24FD" w:rsidRDefault="00AD207A" w:rsidP="00E7211C">
      <w:pPr>
        <w:pStyle w:val="ListParagraph"/>
        <w:ind w:right="720"/>
        <w:rPr>
          <w:rFonts w:asciiTheme="majorBidi" w:hAnsiTheme="majorBidi" w:cstheme="majorBidi"/>
          <w:sz w:val="20"/>
          <w:szCs w:val="20"/>
        </w:rPr>
      </w:pPr>
    </w:p>
    <w:p w14:paraId="33003860" w14:textId="56A4CB17" w:rsidR="00AD207A" w:rsidRDefault="00AD207A" w:rsidP="00E7211C">
      <w:pPr>
        <w:pStyle w:val="ListParagraph"/>
        <w:numPr>
          <w:ilvl w:val="0"/>
          <w:numId w:val="2"/>
        </w:numPr>
        <w:ind w:right="720"/>
        <w:rPr>
          <w:rFonts w:asciiTheme="majorBidi" w:hAnsiTheme="majorBidi" w:cstheme="majorBidi"/>
          <w:sz w:val="20"/>
          <w:szCs w:val="20"/>
        </w:rPr>
      </w:pPr>
      <w:r w:rsidRPr="001E24FD">
        <w:rPr>
          <w:rFonts w:asciiTheme="majorBidi" w:hAnsiTheme="majorBidi" w:cstheme="majorBidi"/>
          <w:sz w:val="20"/>
          <w:szCs w:val="20"/>
        </w:rPr>
        <w:t xml:space="preserve">Statement from </w:t>
      </w:r>
      <w:proofErr w:type="spellStart"/>
      <w:r w:rsidR="00075D5E">
        <w:rPr>
          <w:rFonts w:asciiTheme="majorBidi" w:hAnsiTheme="majorBidi" w:cstheme="majorBidi"/>
          <w:sz w:val="20"/>
          <w:szCs w:val="20"/>
        </w:rPr>
        <w:t>Sam</w:t>
      </w:r>
      <w:r w:rsidRPr="001E24FD">
        <w:rPr>
          <w:rFonts w:asciiTheme="majorBidi" w:hAnsiTheme="majorBidi" w:cstheme="majorBidi"/>
          <w:sz w:val="20"/>
          <w:szCs w:val="20"/>
        </w:rPr>
        <w:t>nūn</w:t>
      </w:r>
      <w:proofErr w:type="spellEnd"/>
      <w:r w:rsidRPr="001E24FD">
        <w:rPr>
          <w:rFonts w:asciiTheme="majorBidi" w:hAnsiTheme="majorBidi" w:cstheme="majorBidi"/>
          <w:sz w:val="20"/>
          <w:szCs w:val="20"/>
        </w:rPr>
        <w:t>: “</w:t>
      </w:r>
      <w:r w:rsidR="008841CE">
        <w:rPr>
          <w:rFonts w:asciiTheme="majorBidi" w:hAnsiTheme="majorBidi" w:cstheme="majorBidi"/>
          <w:sz w:val="20"/>
          <w:szCs w:val="20"/>
        </w:rPr>
        <w:t xml:space="preserve">How revolting it is for </w:t>
      </w:r>
      <w:r w:rsidRPr="001E24FD">
        <w:rPr>
          <w:rFonts w:asciiTheme="majorBidi" w:hAnsiTheme="majorBidi" w:cstheme="majorBidi"/>
          <w:sz w:val="20"/>
          <w:szCs w:val="20"/>
        </w:rPr>
        <w:t xml:space="preserve">a scholar to be sought at his </w:t>
      </w:r>
      <w:r w:rsidR="008841CE">
        <w:rPr>
          <w:rFonts w:asciiTheme="majorBidi" w:hAnsiTheme="majorBidi" w:cstheme="majorBidi"/>
          <w:sz w:val="20"/>
          <w:szCs w:val="20"/>
        </w:rPr>
        <w:t>assembly but</w:t>
      </w:r>
      <w:r w:rsidRPr="001E24FD">
        <w:rPr>
          <w:rFonts w:asciiTheme="majorBidi" w:hAnsiTheme="majorBidi" w:cstheme="majorBidi"/>
          <w:sz w:val="20"/>
          <w:szCs w:val="20"/>
        </w:rPr>
        <w:t xml:space="preserve"> not </w:t>
      </w:r>
      <w:r w:rsidR="008841CE">
        <w:rPr>
          <w:rFonts w:asciiTheme="majorBidi" w:hAnsiTheme="majorBidi" w:cstheme="majorBidi"/>
          <w:sz w:val="20"/>
          <w:szCs w:val="20"/>
        </w:rPr>
        <w:t xml:space="preserve">be </w:t>
      </w:r>
      <w:r w:rsidRPr="001E24FD">
        <w:rPr>
          <w:rFonts w:asciiTheme="majorBidi" w:hAnsiTheme="majorBidi" w:cstheme="majorBidi"/>
          <w:sz w:val="20"/>
          <w:szCs w:val="20"/>
        </w:rPr>
        <w:t>found</w:t>
      </w:r>
      <w:r w:rsidR="008841CE">
        <w:rPr>
          <w:rFonts w:asciiTheme="majorBidi" w:hAnsiTheme="majorBidi" w:cstheme="majorBidi"/>
          <w:sz w:val="20"/>
          <w:szCs w:val="20"/>
        </w:rPr>
        <w:t>,</w:t>
      </w:r>
      <w:r w:rsidRPr="001E24FD">
        <w:rPr>
          <w:rFonts w:asciiTheme="majorBidi" w:hAnsiTheme="majorBidi" w:cstheme="majorBidi"/>
          <w:sz w:val="20"/>
          <w:szCs w:val="20"/>
        </w:rPr>
        <w:t xml:space="preserve"> </w:t>
      </w:r>
      <w:r w:rsidR="008841CE">
        <w:rPr>
          <w:rFonts w:asciiTheme="majorBidi" w:hAnsiTheme="majorBidi" w:cstheme="majorBidi"/>
          <w:sz w:val="20"/>
          <w:szCs w:val="20"/>
        </w:rPr>
        <w:t>and</w:t>
      </w:r>
      <w:r w:rsidRPr="001E24FD">
        <w:rPr>
          <w:rFonts w:asciiTheme="majorBidi" w:hAnsiTheme="majorBidi" w:cstheme="majorBidi"/>
          <w:sz w:val="20"/>
          <w:szCs w:val="20"/>
        </w:rPr>
        <w:t xml:space="preserve"> to have </w:t>
      </w:r>
      <w:r w:rsidR="008841CE">
        <w:rPr>
          <w:rFonts w:asciiTheme="majorBidi" w:hAnsiTheme="majorBidi" w:cstheme="majorBidi"/>
          <w:sz w:val="20"/>
          <w:szCs w:val="20"/>
        </w:rPr>
        <w:t>this</w:t>
      </w:r>
      <w:r w:rsidRPr="001E24FD">
        <w:rPr>
          <w:rFonts w:asciiTheme="majorBidi" w:hAnsiTheme="majorBidi" w:cstheme="majorBidi"/>
          <w:sz w:val="20"/>
          <w:szCs w:val="20"/>
        </w:rPr>
        <w:t xml:space="preserve"> said </w:t>
      </w:r>
      <w:r w:rsidR="008841CE">
        <w:rPr>
          <w:rFonts w:asciiTheme="majorBidi" w:hAnsiTheme="majorBidi" w:cstheme="majorBidi"/>
          <w:sz w:val="20"/>
          <w:szCs w:val="20"/>
        </w:rPr>
        <w:t>about</w:t>
      </w:r>
      <w:r w:rsidRPr="001E24FD">
        <w:rPr>
          <w:rFonts w:asciiTheme="majorBidi" w:hAnsiTheme="majorBidi" w:cstheme="majorBidi"/>
          <w:sz w:val="20"/>
          <w:szCs w:val="20"/>
        </w:rPr>
        <w:t xml:space="preserve"> him</w:t>
      </w:r>
      <w:r w:rsidR="008841CE">
        <w:rPr>
          <w:rFonts w:asciiTheme="majorBidi" w:hAnsiTheme="majorBidi" w:cstheme="majorBidi"/>
          <w:sz w:val="20"/>
          <w:szCs w:val="20"/>
        </w:rPr>
        <w:t>:</w:t>
      </w:r>
      <w:r w:rsidRPr="001E24FD">
        <w:rPr>
          <w:rFonts w:asciiTheme="majorBidi" w:hAnsiTheme="majorBidi" w:cstheme="majorBidi"/>
          <w:sz w:val="20"/>
          <w:szCs w:val="20"/>
        </w:rPr>
        <w:t xml:space="preserve"> ‘He is with the ruler.’ I used to hear it said</w:t>
      </w:r>
      <w:r w:rsidR="008841CE">
        <w:rPr>
          <w:rFonts w:asciiTheme="majorBidi" w:hAnsiTheme="majorBidi" w:cstheme="majorBidi"/>
          <w:sz w:val="20"/>
          <w:szCs w:val="20"/>
        </w:rPr>
        <w:t xml:space="preserve"> that i</w:t>
      </w:r>
      <w:r w:rsidRPr="001E24FD">
        <w:rPr>
          <w:rFonts w:asciiTheme="majorBidi" w:hAnsiTheme="majorBidi" w:cstheme="majorBidi"/>
          <w:sz w:val="20"/>
          <w:szCs w:val="20"/>
        </w:rPr>
        <w:t xml:space="preserve">f you see a scholar in love with the world, do not trust him in matters of your </w:t>
      </w:r>
      <w:r w:rsidR="008841CE">
        <w:rPr>
          <w:rFonts w:asciiTheme="majorBidi" w:hAnsiTheme="majorBidi" w:cstheme="majorBidi"/>
          <w:sz w:val="20"/>
          <w:szCs w:val="20"/>
        </w:rPr>
        <w:t>faith</w:t>
      </w:r>
      <w:r w:rsidRPr="001E24FD">
        <w:rPr>
          <w:rFonts w:asciiTheme="majorBidi" w:hAnsiTheme="majorBidi" w:cstheme="majorBidi"/>
          <w:sz w:val="20"/>
          <w:szCs w:val="20"/>
        </w:rPr>
        <w:t xml:space="preserve"> until you have </w:t>
      </w:r>
      <w:r w:rsidR="008841CE">
        <w:rPr>
          <w:rFonts w:asciiTheme="majorBidi" w:hAnsiTheme="majorBidi" w:cstheme="majorBidi"/>
          <w:sz w:val="20"/>
          <w:szCs w:val="20"/>
        </w:rPr>
        <w:t>tested him</w:t>
      </w:r>
      <w:r w:rsidRPr="001E24FD">
        <w:rPr>
          <w:rFonts w:asciiTheme="majorBidi" w:hAnsiTheme="majorBidi" w:cstheme="majorBidi"/>
          <w:sz w:val="20"/>
          <w:szCs w:val="20"/>
        </w:rPr>
        <w:t>.</w:t>
      </w:r>
      <w:r w:rsidR="009E2FDA">
        <w:rPr>
          <w:rFonts w:asciiTheme="majorBidi" w:hAnsiTheme="majorBidi" w:cstheme="majorBidi"/>
          <w:sz w:val="20"/>
          <w:szCs w:val="20"/>
        </w:rPr>
        <w:t xml:space="preserve"> I have never </w:t>
      </w:r>
      <w:r w:rsidRPr="001E24FD">
        <w:rPr>
          <w:rFonts w:asciiTheme="majorBidi" w:hAnsiTheme="majorBidi" w:cstheme="majorBidi"/>
          <w:sz w:val="20"/>
          <w:szCs w:val="20"/>
        </w:rPr>
        <w:t>visit</w:t>
      </w:r>
      <w:r w:rsidR="009E2FDA">
        <w:rPr>
          <w:rFonts w:asciiTheme="majorBidi" w:hAnsiTheme="majorBidi" w:cstheme="majorBidi"/>
          <w:sz w:val="20"/>
          <w:szCs w:val="20"/>
        </w:rPr>
        <w:t>ed</w:t>
      </w:r>
      <w:r w:rsidRPr="001E24FD">
        <w:rPr>
          <w:rFonts w:asciiTheme="majorBidi" w:hAnsiTheme="majorBidi" w:cstheme="majorBidi"/>
          <w:sz w:val="20"/>
          <w:szCs w:val="20"/>
        </w:rPr>
        <w:t xml:space="preserve"> a ruler</w:t>
      </w:r>
      <w:r w:rsidR="009E2FDA">
        <w:rPr>
          <w:rFonts w:asciiTheme="majorBidi" w:hAnsiTheme="majorBidi" w:cstheme="majorBidi"/>
          <w:sz w:val="20"/>
          <w:szCs w:val="20"/>
        </w:rPr>
        <w:t xml:space="preserve"> without </w:t>
      </w:r>
      <w:r w:rsidR="00FC3C7F">
        <w:rPr>
          <w:rFonts w:asciiTheme="majorBidi" w:hAnsiTheme="majorBidi" w:cstheme="majorBidi"/>
          <w:sz w:val="20"/>
          <w:szCs w:val="20"/>
        </w:rPr>
        <w:t xml:space="preserve">having to </w:t>
      </w:r>
      <w:r w:rsidR="009E2FDA">
        <w:rPr>
          <w:rFonts w:asciiTheme="majorBidi" w:hAnsiTheme="majorBidi" w:cstheme="majorBidi"/>
          <w:sz w:val="20"/>
          <w:szCs w:val="20"/>
        </w:rPr>
        <w:t xml:space="preserve">be on guard </w:t>
      </w:r>
      <w:r w:rsidR="00FC3C7F">
        <w:rPr>
          <w:rFonts w:asciiTheme="majorBidi" w:hAnsiTheme="majorBidi" w:cstheme="majorBidi"/>
          <w:sz w:val="20"/>
          <w:szCs w:val="20"/>
        </w:rPr>
        <w:t>for my soul,</w:t>
      </w:r>
      <w:r w:rsidRPr="001E24FD">
        <w:rPr>
          <w:rFonts w:asciiTheme="majorBidi" w:hAnsiTheme="majorBidi" w:cstheme="majorBidi"/>
          <w:sz w:val="20"/>
          <w:szCs w:val="20"/>
        </w:rPr>
        <w:t xml:space="preserve"> regardless of how harshly I </w:t>
      </w:r>
      <w:r w:rsidR="00FC3C7F">
        <w:rPr>
          <w:rFonts w:asciiTheme="majorBidi" w:hAnsiTheme="majorBidi" w:cstheme="majorBidi"/>
          <w:sz w:val="20"/>
          <w:szCs w:val="20"/>
        </w:rPr>
        <w:t>spoke to</w:t>
      </w:r>
      <w:r w:rsidRPr="001E24FD">
        <w:rPr>
          <w:rFonts w:asciiTheme="majorBidi" w:hAnsiTheme="majorBidi" w:cstheme="majorBidi"/>
          <w:sz w:val="20"/>
          <w:szCs w:val="20"/>
        </w:rPr>
        <w:t xml:space="preserve"> him or oppose</w:t>
      </w:r>
      <w:r w:rsidR="00FC3C7F">
        <w:rPr>
          <w:rFonts w:asciiTheme="majorBidi" w:hAnsiTheme="majorBidi" w:cstheme="majorBidi"/>
          <w:sz w:val="20"/>
          <w:szCs w:val="20"/>
        </w:rPr>
        <w:t>d</w:t>
      </w:r>
      <w:r w:rsidRPr="001E24FD">
        <w:rPr>
          <w:rFonts w:asciiTheme="majorBidi" w:hAnsiTheme="majorBidi" w:cstheme="majorBidi"/>
          <w:sz w:val="20"/>
          <w:szCs w:val="20"/>
        </w:rPr>
        <w:t xml:space="preserve"> his desires.”</w:t>
      </w:r>
    </w:p>
    <w:p w14:paraId="012760EC" w14:textId="77777777" w:rsidR="005F6AD7" w:rsidRDefault="005F6AD7" w:rsidP="00E7211C">
      <w:pPr>
        <w:pStyle w:val="ListParagraph"/>
        <w:ind w:right="720"/>
        <w:rPr>
          <w:rFonts w:asciiTheme="majorBidi" w:hAnsiTheme="majorBidi" w:cstheme="majorBidi"/>
          <w:sz w:val="20"/>
          <w:szCs w:val="20"/>
        </w:rPr>
      </w:pPr>
    </w:p>
    <w:p w14:paraId="2A7F99BC" w14:textId="05CCF774" w:rsidR="00AD207A" w:rsidRDefault="005F6AD7" w:rsidP="00E7211C">
      <w:pPr>
        <w:pStyle w:val="ListParagraph"/>
        <w:numPr>
          <w:ilvl w:val="0"/>
          <w:numId w:val="2"/>
        </w:numPr>
        <w:ind w:right="720"/>
        <w:rPr>
          <w:rFonts w:asciiTheme="majorBidi" w:hAnsiTheme="majorBidi" w:cstheme="majorBidi"/>
          <w:sz w:val="20"/>
          <w:szCs w:val="20"/>
        </w:rPr>
      </w:pPr>
      <w:r>
        <w:rPr>
          <w:rFonts w:asciiTheme="majorBidi" w:hAnsiTheme="majorBidi" w:cstheme="majorBidi"/>
          <w:sz w:val="20"/>
          <w:szCs w:val="20"/>
        </w:rPr>
        <w:t xml:space="preserve">Statement from Ibn </w:t>
      </w:r>
      <w:proofErr w:type="spellStart"/>
      <w:r>
        <w:rPr>
          <w:rFonts w:asciiTheme="majorBidi" w:hAnsiTheme="majorBidi" w:cstheme="majorBidi"/>
          <w:sz w:val="20"/>
          <w:szCs w:val="20"/>
        </w:rPr>
        <w:t>Masʿūd</w:t>
      </w:r>
      <w:proofErr w:type="spellEnd"/>
      <w:r>
        <w:rPr>
          <w:rFonts w:asciiTheme="majorBidi" w:hAnsiTheme="majorBidi" w:cstheme="majorBidi"/>
          <w:sz w:val="20"/>
          <w:szCs w:val="20"/>
        </w:rPr>
        <w:t xml:space="preserve">: “A person may enter the presence of the ruler with his </w:t>
      </w:r>
      <w:r w:rsidR="00FC3C7F">
        <w:rPr>
          <w:rFonts w:asciiTheme="majorBidi" w:hAnsiTheme="majorBidi" w:cstheme="majorBidi"/>
          <w:sz w:val="20"/>
          <w:szCs w:val="20"/>
        </w:rPr>
        <w:t>faith</w:t>
      </w:r>
      <w:r>
        <w:rPr>
          <w:rFonts w:asciiTheme="majorBidi" w:hAnsiTheme="majorBidi" w:cstheme="majorBidi"/>
          <w:sz w:val="20"/>
          <w:szCs w:val="20"/>
        </w:rPr>
        <w:t xml:space="preserve"> and exit without it.”</w:t>
      </w:r>
      <w:r w:rsidRPr="002F3841">
        <w:rPr>
          <w:rStyle w:val="FootnoteReference"/>
          <w:rFonts w:asciiTheme="majorBidi" w:hAnsiTheme="majorBidi" w:cstheme="majorBidi"/>
          <w:sz w:val="20"/>
          <w:szCs w:val="20"/>
        </w:rPr>
        <w:footnoteReference w:id="43"/>
      </w:r>
    </w:p>
    <w:p w14:paraId="233DE18D" w14:textId="77777777" w:rsidR="00E7211C" w:rsidRPr="00E7211C" w:rsidRDefault="00E7211C" w:rsidP="00E7211C">
      <w:pPr>
        <w:spacing w:line="360" w:lineRule="auto"/>
        <w:ind w:right="720"/>
        <w:rPr>
          <w:rFonts w:asciiTheme="majorBidi" w:hAnsiTheme="majorBidi" w:cstheme="majorBidi"/>
        </w:rPr>
      </w:pPr>
    </w:p>
    <w:p w14:paraId="114BFFF7" w14:textId="055122D7" w:rsidR="00BB0565" w:rsidRDefault="00AD207A" w:rsidP="0037533B">
      <w:pPr>
        <w:spacing w:line="360" w:lineRule="auto"/>
        <w:rPr>
          <w:rFonts w:asciiTheme="majorBidi" w:hAnsiTheme="majorBidi" w:cstheme="majorBidi"/>
        </w:rPr>
      </w:pPr>
      <w:r w:rsidRPr="001E24FD">
        <w:rPr>
          <w:rFonts w:asciiTheme="majorBidi" w:hAnsiTheme="majorBidi" w:cstheme="majorBidi"/>
        </w:rPr>
        <w:t xml:space="preserve">The reports in the first category </w:t>
      </w:r>
      <w:r w:rsidR="00FF53AC">
        <w:rPr>
          <w:rFonts w:asciiTheme="majorBidi" w:hAnsiTheme="majorBidi" w:cstheme="majorBidi"/>
        </w:rPr>
        <w:t>condemn</w:t>
      </w:r>
      <w:r w:rsidRPr="001E24FD">
        <w:rPr>
          <w:rFonts w:asciiTheme="majorBidi" w:hAnsiTheme="majorBidi" w:cstheme="majorBidi"/>
        </w:rPr>
        <w:t xml:space="preserve"> scholars who attend ruler</w:t>
      </w:r>
      <w:r w:rsidR="00FF53AC">
        <w:rPr>
          <w:rFonts w:asciiTheme="majorBidi" w:hAnsiTheme="majorBidi" w:cstheme="majorBidi"/>
        </w:rPr>
        <w:t xml:space="preserve">s </w:t>
      </w:r>
      <w:r w:rsidRPr="001E24FD">
        <w:rPr>
          <w:rFonts w:asciiTheme="majorBidi" w:hAnsiTheme="majorBidi" w:cstheme="majorBidi"/>
        </w:rPr>
        <w:t>in the harshest terms, deem</w:t>
      </w:r>
      <w:r>
        <w:rPr>
          <w:rFonts w:asciiTheme="majorBidi" w:hAnsiTheme="majorBidi" w:cstheme="majorBidi"/>
        </w:rPr>
        <w:t>ing</w:t>
      </w:r>
      <w:r w:rsidRPr="001E24FD">
        <w:rPr>
          <w:rFonts w:asciiTheme="majorBidi" w:hAnsiTheme="majorBidi" w:cstheme="majorBidi"/>
        </w:rPr>
        <w:t xml:space="preserve"> them to be detested by God and destined for hell. Those in the second category are not at all forgiv</w:t>
      </w:r>
      <w:r>
        <w:rPr>
          <w:rFonts w:asciiTheme="majorBidi" w:hAnsiTheme="majorBidi" w:cstheme="majorBidi"/>
        </w:rPr>
        <w:t>ing, but they are slightly milder</w:t>
      </w:r>
      <w:r w:rsidRPr="001E24FD">
        <w:rPr>
          <w:rFonts w:asciiTheme="majorBidi" w:hAnsiTheme="majorBidi" w:cstheme="majorBidi"/>
        </w:rPr>
        <w:t xml:space="preserve"> in comparison to the first </w:t>
      </w:r>
      <w:r w:rsidR="002F3841">
        <w:rPr>
          <w:rFonts w:asciiTheme="majorBidi" w:hAnsiTheme="majorBidi" w:cstheme="majorBidi"/>
        </w:rPr>
        <w:t>as</w:t>
      </w:r>
      <w:r w:rsidRPr="001E24FD">
        <w:rPr>
          <w:rFonts w:asciiTheme="majorBidi" w:hAnsiTheme="majorBidi" w:cstheme="majorBidi"/>
        </w:rPr>
        <w:t xml:space="preserve"> the focus is on the ruler’s court as a site of temptation where scholars might forsake their piety if they are not steadfast in faith.</w:t>
      </w:r>
      <w:r w:rsidR="0036584B">
        <w:rPr>
          <w:rFonts w:asciiTheme="majorBidi" w:hAnsiTheme="majorBidi" w:cstheme="majorBidi"/>
        </w:rPr>
        <w:t xml:space="preserve"> In the rest of the chapter, al-</w:t>
      </w:r>
      <w:proofErr w:type="spellStart"/>
      <w:r w:rsidR="0036584B">
        <w:rPr>
          <w:rFonts w:asciiTheme="majorBidi" w:hAnsiTheme="majorBidi" w:cstheme="majorBidi"/>
        </w:rPr>
        <w:t>Ghazālī</w:t>
      </w:r>
      <w:proofErr w:type="spellEnd"/>
      <w:r w:rsidR="0036584B">
        <w:rPr>
          <w:rFonts w:asciiTheme="majorBidi" w:hAnsiTheme="majorBidi" w:cstheme="majorBidi"/>
        </w:rPr>
        <w:t xml:space="preserve"> discusses the many moral dangers </w:t>
      </w:r>
      <w:r w:rsidR="00D67BE8">
        <w:rPr>
          <w:rFonts w:asciiTheme="majorBidi" w:hAnsiTheme="majorBidi" w:cstheme="majorBidi"/>
        </w:rPr>
        <w:t>that loom overhead when</w:t>
      </w:r>
      <w:r w:rsidR="0036584B">
        <w:rPr>
          <w:rFonts w:asciiTheme="majorBidi" w:hAnsiTheme="majorBidi" w:cstheme="majorBidi"/>
        </w:rPr>
        <w:t xml:space="preserve"> associating with rulers, including setting foot on usurped property and offering unlawful praise to them.</w:t>
      </w:r>
      <w:r w:rsidR="0036584B">
        <w:rPr>
          <w:rStyle w:val="FootnoteReference"/>
          <w:rFonts w:asciiTheme="majorBidi" w:hAnsiTheme="majorBidi" w:cstheme="majorBidi"/>
        </w:rPr>
        <w:footnoteReference w:id="44"/>
      </w:r>
    </w:p>
    <w:p w14:paraId="251BDA79" w14:textId="18F304A0" w:rsidR="00BA3756" w:rsidRDefault="00A45D32" w:rsidP="0037533B">
      <w:pPr>
        <w:spacing w:line="360" w:lineRule="auto"/>
        <w:ind w:firstLine="720"/>
        <w:rPr>
          <w:rFonts w:asciiTheme="majorBidi" w:hAnsiTheme="majorBidi" w:cstheme="majorBidi"/>
        </w:rPr>
      </w:pPr>
      <w:r>
        <w:rPr>
          <w:rFonts w:asciiTheme="majorBidi" w:hAnsiTheme="majorBidi" w:cstheme="majorBidi"/>
        </w:rPr>
        <w:t xml:space="preserve">The different </w:t>
      </w:r>
      <w:r w:rsidR="00260154">
        <w:rPr>
          <w:rFonts w:asciiTheme="majorBidi" w:hAnsiTheme="majorBidi" w:cstheme="majorBidi"/>
        </w:rPr>
        <w:t xml:space="preserve">manifestations of the </w:t>
      </w:r>
      <w:proofErr w:type="spellStart"/>
      <w:r w:rsidR="00136F2F">
        <w:rPr>
          <w:rFonts w:asciiTheme="majorBidi" w:hAnsiTheme="majorBidi" w:cstheme="majorBidi"/>
          <w:i/>
          <w:iCs/>
        </w:rPr>
        <w:t>ʿulamāʾ</w:t>
      </w:r>
      <w:r w:rsidR="00260154">
        <w:rPr>
          <w:rFonts w:asciiTheme="majorBidi" w:hAnsiTheme="majorBidi" w:cstheme="majorBidi"/>
        </w:rPr>
        <w:t>’</w:t>
      </w:r>
      <w:r w:rsidR="00136F2F">
        <w:rPr>
          <w:rFonts w:asciiTheme="majorBidi" w:hAnsiTheme="majorBidi" w:cstheme="majorBidi"/>
        </w:rPr>
        <w:t>s</w:t>
      </w:r>
      <w:proofErr w:type="spellEnd"/>
      <w:r w:rsidR="00260154">
        <w:rPr>
          <w:rFonts w:asciiTheme="majorBidi" w:hAnsiTheme="majorBidi" w:cstheme="majorBidi"/>
        </w:rPr>
        <w:t xml:space="preserve"> flight from politics notwithstanding</w:t>
      </w:r>
      <w:r>
        <w:rPr>
          <w:rFonts w:asciiTheme="majorBidi" w:hAnsiTheme="majorBidi" w:cstheme="majorBidi"/>
        </w:rPr>
        <w:t>, the</w:t>
      </w:r>
      <w:r w:rsidR="00260154">
        <w:rPr>
          <w:rFonts w:asciiTheme="majorBidi" w:hAnsiTheme="majorBidi" w:cstheme="majorBidi"/>
        </w:rPr>
        <w:t>y</w:t>
      </w:r>
      <w:r w:rsidR="00E7211C">
        <w:rPr>
          <w:rFonts w:asciiTheme="majorBidi" w:hAnsiTheme="majorBidi" w:cstheme="majorBidi"/>
        </w:rPr>
        <w:t xml:space="preserve"> </w:t>
      </w:r>
      <w:r w:rsidR="00260154">
        <w:rPr>
          <w:rFonts w:asciiTheme="majorBidi" w:hAnsiTheme="majorBidi" w:cstheme="majorBidi"/>
        </w:rPr>
        <w:t xml:space="preserve">share a </w:t>
      </w:r>
      <w:r w:rsidR="00C279E5">
        <w:rPr>
          <w:rFonts w:asciiTheme="majorBidi" w:hAnsiTheme="majorBidi" w:cstheme="majorBidi"/>
        </w:rPr>
        <w:t>pervasive</w:t>
      </w:r>
      <w:r w:rsidR="00136F2F">
        <w:rPr>
          <w:rFonts w:asciiTheme="majorBidi" w:hAnsiTheme="majorBidi" w:cstheme="majorBidi"/>
        </w:rPr>
        <w:t xml:space="preserve"> sense of </w:t>
      </w:r>
      <w:r w:rsidR="00260154">
        <w:rPr>
          <w:rFonts w:asciiTheme="majorBidi" w:hAnsiTheme="majorBidi" w:cstheme="majorBidi"/>
        </w:rPr>
        <w:t xml:space="preserve">cynicism toward </w:t>
      </w:r>
      <w:r w:rsidR="00136F2F">
        <w:rPr>
          <w:rFonts w:asciiTheme="majorBidi" w:hAnsiTheme="majorBidi" w:cstheme="majorBidi"/>
        </w:rPr>
        <w:t xml:space="preserve">politics and </w:t>
      </w:r>
      <w:r w:rsidR="00DA585C">
        <w:rPr>
          <w:rFonts w:asciiTheme="majorBidi" w:hAnsiTheme="majorBidi" w:cstheme="majorBidi"/>
        </w:rPr>
        <w:t>government</w:t>
      </w:r>
      <w:r w:rsidR="00260154">
        <w:rPr>
          <w:rFonts w:asciiTheme="majorBidi" w:hAnsiTheme="majorBidi" w:cstheme="majorBidi"/>
        </w:rPr>
        <w:t>.</w:t>
      </w:r>
      <w:r w:rsidR="00136F2F">
        <w:rPr>
          <w:rFonts w:asciiTheme="majorBidi" w:hAnsiTheme="majorBidi" w:cstheme="majorBidi"/>
        </w:rPr>
        <w:t xml:space="preserve"> </w:t>
      </w:r>
      <w:r w:rsidR="00374507">
        <w:rPr>
          <w:rFonts w:asciiTheme="majorBidi" w:hAnsiTheme="majorBidi" w:cstheme="majorBidi"/>
        </w:rPr>
        <w:t>M</w:t>
      </w:r>
      <w:r w:rsidR="004C29A5">
        <w:rPr>
          <w:rFonts w:asciiTheme="majorBidi" w:hAnsiTheme="majorBidi" w:cstheme="majorBidi"/>
        </w:rPr>
        <w:t xml:space="preserve">uch of this cynicism </w:t>
      </w:r>
      <w:r w:rsidR="00374507">
        <w:rPr>
          <w:rFonts w:asciiTheme="majorBidi" w:hAnsiTheme="majorBidi" w:cstheme="majorBidi"/>
        </w:rPr>
        <w:t>was rooted in the “problem of counsel”</w:t>
      </w:r>
      <w:r w:rsidR="0050664D">
        <w:rPr>
          <w:rFonts w:asciiTheme="majorBidi" w:hAnsiTheme="majorBidi" w:cstheme="majorBidi"/>
        </w:rPr>
        <w:t>—</w:t>
      </w:r>
      <w:r w:rsidR="00374507">
        <w:rPr>
          <w:rFonts w:asciiTheme="majorBidi" w:hAnsiTheme="majorBidi" w:cstheme="majorBidi"/>
        </w:rPr>
        <w:t>the impossibility of offering sincere and virtuous advice to rulers, given that they were constantly surrounded by corrupt men.</w:t>
      </w:r>
      <w:r w:rsidR="00374507">
        <w:rPr>
          <w:rStyle w:val="FootnoteReference"/>
          <w:rFonts w:asciiTheme="majorBidi" w:hAnsiTheme="majorBidi" w:cstheme="majorBidi"/>
        </w:rPr>
        <w:footnoteReference w:id="45"/>
      </w:r>
      <w:r w:rsidR="00374507">
        <w:rPr>
          <w:rFonts w:asciiTheme="majorBidi" w:hAnsiTheme="majorBidi" w:cstheme="majorBidi"/>
        </w:rPr>
        <w:t xml:space="preserve"> </w:t>
      </w:r>
      <w:r w:rsidR="007851BE">
        <w:rPr>
          <w:rFonts w:asciiTheme="majorBidi" w:hAnsiTheme="majorBidi" w:cstheme="majorBidi"/>
        </w:rPr>
        <w:t>T</w:t>
      </w:r>
      <w:r w:rsidR="002E6654">
        <w:rPr>
          <w:rFonts w:asciiTheme="majorBidi" w:hAnsiTheme="majorBidi" w:cstheme="majorBidi"/>
        </w:rPr>
        <w:t>he</w:t>
      </w:r>
      <w:r w:rsidR="00B21FA2">
        <w:rPr>
          <w:rFonts w:asciiTheme="majorBidi" w:hAnsiTheme="majorBidi" w:cstheme="majorBidi"/>
        </w:rPr>
        <w:t xml:space="preserve"> sayings and </w:t>
      </w:r>
      <w:proofErr w:type="spellStart"/>
      <w:r w:rsidR="00B21FA2">
        <w:rPr>
          <w:rFonts w:asciiTheme="majorBidi" w:hAnsiTheme="majorBidi" w:cstheme="majorBidi"/>
          <w:i/>
          <w:iCs/>
        </w:rPr>
        <w:t>ḥadīth</w:t>
      </w:r>
      <w:r w:rsidR="00B21FA2">
        <w:rPr>
          <w:rFonts w:asciiTheme="majorBidi" w:hAnsiTheme="majorBidi" w:cstheme="majorBidi"/>
        </w:rPr>
        <w:t>s</w:t>
      </w:r>
      <w:proofErr w:type="spellEnd"/>
      <w:r w:rsidR="00B21FA2">
        <w:rPr>
          <w:rFonts w:asciiTheme="majorBidi" w:hAnsiTheme="majorBidi" w:cstheme="majorBidi"/>
          <w:i/>
          <w:iCs/>
        </w:rPr>
        <w:t xml:space="preserve"> </w:t>
      </w:r>
      <w:r w:rsidR="002E6654">
        <w:rPr>
          <w:rFonts w:asciiTheme="majorBidi" w:hAnsiTheme="majorBidi" w:cstheme="majorBidi"/>
        </w:rPr>
        <w:t xml:space="preserve">listed </w:t>
      </w:r>
      <w:r w:rsidR="00B21FA2">
        <w:rPr>
          <w:rFonts w:asciiTheme="majorBidi" w:hAnsiTheme="majorBidi" w:cstheme="majorBidi"/>
        </w:rPr>
        <w:t>above</w:t>
      </w:r>
      <w:r w:rsidR="002E6654">
        <w:rPr>
          <w:rFonts w:asciiTheme="majorBidi" w:hAnsiTheme="majorBidi" w:cstheme="majorBidi"/>
        </w:rPr>
        <w:t xml:space="preserve"> </w:t>
      </w:r>
      <w:r w:rsidR="007851BE">
        <w:rPr>
          <w:rFonts w:asciiTheme="majorBidi" w:hAnsiTheme="majorBidi" w:cstheme="majorBidi"/>
        </w:rPr>
        <w:t xml:space="preserve">lend credence to a deep-seated fear among scholars that they </w:t>
      </w:r>
      <w:r w:rsidR="00837AAC">
        <w:rPr>
          <w:rFonts w:asciiTheme="majorBidi" w:hAnsiTheme="majorBidi" w:cstheme="majorBidi"/>
        </w:rPr>
        <w:t xml:space="preserve">might even be influenced by </w:t>
      </w:r>
      <w:r w:rsidR="00B21FA2">
        <w:rPr>
          <w:rFonts w:asciiTheme="majorBidi" w:hAnsiTheme="majorBidi" w:cstheme="majorBidi"/>
        </w:rPr>
        <w:t>such</w:t>
      </w:r>
      <w:r w:rsidR="00837AAC">
        <w:rPr>
          <w:rFonts w:asciiTheme="majorBidi" w:hAnsiTheme="majorBidi" w:cstheme="majorBidi"/>
        </w:rPr>
        <w:t xml:space="preserve"> men or pressured by the ruler to flatter or give unlawful advice,</w:t>
      </w:r>
      <w:r w:rsidR="00AB6446">
        <w:rPr>
          <w:rFonts w:asciiTheme="majorBidi" w:hAnsiTheme="majorBidi" w:cstheme="majorBidi"/>
        </w:rPr>
        <w:t xml:space="preserve"> </w:t>
      </w:r>
      <w:r w:rsidR="00837AAC">
        <w:rPr>
          <w:rFonts w:asciiTheme="majorBidi" w:hAnsiTheme="majorBidi" w:cstheme="majorBidi"/>
        </w:rPr>
        <w:t>compromising their morals and faith</w:t>
      </w:r>
      <w:r w:rsidR="00AB6446">
        <w:rPr>
          <w:rFonts w:asciiTheme="majorBidi" w:hAnsiTheme="majorBidi" w:cstheme="majorBidi"/>
        </w:rPr>
        <w:t xml:space="preserve"> </w:t>
      </w:r>
      <w:r w:rsidR="001D1B01">
        <w:rPr>
          <w:rFonts w:asciiTheme="majorBidi" w:hAnsiTheme="majorBidi" w:cstheme="majorBidi"/>
        </w:rPr>
        <w:t>in the process</w:t>
      </w:r>
      <w:r w:rsidR="00837AAC">
        <w:rPr>
          <w:rFonts w:asciiTheme="majorBidi" w:hAnsiTheme="majorBidi" w:cstheme="majorBidi"/>
        </w:rPr>
        <w:t>.</w:t>
      </w:r>
      <w:r w:rsidR="002E6654">
        <w:rPr>
          <w:rFonts w:asciiTheme="majorBidi" w:hAnsiTheme="majorBidi" w:cstheme="majorBidi"/>
          <w:i/>
          <w:iCs/>
        </w:rPr>
        <w:t xml:space="preserve"> </w:t>
      </w:r>
      <w:r w:rsidR="00B21FA2">
        <w:rPr>
          <w:rFonts w:asciiTheme="majorBidi" w:hAnsiTheme="majorBidi" w:cstheme="majorBidi"/>
        </w:rPr>
        <w:t>T</w:t>
      </w:r>
      <w:r w:rsidR="004C29A5">
        <w:rPr>
          <w:rFonts w:asciiTheme="majorBidi" w:hAnsiTheme="majorBidi" w:cstheme="majorBidi"/>
        </w:rPr>
        <w:t>h</w:t>
      </w:r>
      <w:r w:rsidR="00B21FA2">
        <w:rPr>
          <w:rFonts w:asciiTheme="majorBidi" w:hAnsiTheme="majorBidi" w:cstheme="majorBidi"/>
        </w:rPr>
        <w:t>e scholars’</w:t>
      </w:r>
      <w:r w:rsidR="004C29A5">
        <w:rPr>
          <w:rFonts w:asciiTheme="majorBidi" w:hAnsiTheme="majorBidi" w:cstheme="majorBidi"/>
        </w:rPr>
        <w:t xml:space="preserve"> fear</w:t>
      </w:r>
      <w:r w:rsidR="00136F2F">
        <w:rPr>
          <w:rFonts w:asciiTheme="majorBidi" w:hAnsiTheme="majorBidi" w:cstheme="majorBidi"/>
        </w:rPr>
        <w:t xml:space="preserve"> </w:t>
      </w:r>
      <w:r w:rsidR="00B21FA2">
        <w:rPr>
          <w:rFonts w:asciiTheme="majorBidi" w:hAnsiTheme="majorBidi" w:cstheme="majorBidi"/>
        </w:rPr>
        <w:t xml:space="preserve">of the intoxication of power </w:t>
      </w:r>
      <w:r w:rsidR="004C29A5">
        <w:rPr>
          <w:rFonts w:asciiTheme="majorBidi" w:hAnsiTheme="majorBidi" w:cstheme="majorBidi"/>
        </w:rPr>
        <w:t xml:space="preserve">was nothing new </w:t>
      </w:r>
      <w:r w:rsidR="00DF51D8">
        <w:rPr>
          <w:rFonts w:asciiTheme="majorBidi" w:hAnsiTheme="majorBidi" w:cstheme="majorBidi"/>
        </w:rPr>
        <w:t>during al-</w:t>
      </w:r>
      <w:proofErr w:type="spellStart"/>
      <w:r w:rsidR="00DF51D8">
        <w:rPr>
          <w:rFonts w:asciiTheme="majorBidi" w:hAnsiTheme="majorBidi" w:cstheme="majorBidi"/>
        </w:rPr>
        <w:t>Ghazālī’s</w:t>
      </w:r>
      <w:proofErr w:type="spellEnd"/>
      <w:r w:rsidR="00DF51D8">
        <w:rPr>
          <w:rFonts w:asciiTheme="majorBidi" w:hAnsiTheme="majorBidi" w:cstheme="majorBidi"/>
        </w:rPr>
        <w:t xml:space="preserve"> time</w:t>
      </w:r>
      <w:r w:rsidR="00B21FA2">
        <w:rPr>
          <w:rFonts w:asciiTheme="majorBidi" w:hAnsiTheme="majorBidi" w:cstheme="majorBidi"/>
        </w:rPr>
        <w:t>. A</w:t>
      </w:r>
      <w:r w:rsidR="00DF51D8">
        <w:rPr>
          <w:rFonts w:asciiTheme="majorBidi" w:hAnsiTheme="majorBidi" w:cstheme="majorBidi"/>
        </w:rPr>
        <w:t xml:space="preserve">necdotes of scholars declining government appointments or refusing to attend rulers abound in </w:t>
      </w:r>
      <w:r w:rsidR="00136F2F">
        <w:rPr>
          <w:rFonts w:asciiTheme="majorBidi" w:hAnsiTheme="majorBidi" w:cstheme="majorBidi"/>
        </w:rPr>
        <w:t xml:space="preserve">medieval </w:t>
      </w:r>
      <w:r w:rsidR="00DF51D8">
        <w:rPr>
          <w:rFonts w:asciiTheme="majorBidi" w:hAnsiTheme="majorBidi" w:cstheme="majorBidi"/>
        </w:rPr>
        <w:t xml:space="preserve">biographical dictionaries, with towering figures like </w:t>
      </w:r>
      <w:proofErr w:type="spellStart"/>
      <w:r w:rsidR="00DF51D8">
        <w:rPr>
          <w:rFonts w:asciiTheme="majorBidi" w:hAnsiTheme="majorBidi" w:cstheme="majorBidi"/>
        </w:rPr>
        <w:t>Abū</w:t>
      </w:r>
      <w:proofErr w:type="spellEnd"/>
      <w:r w:rsidR="00DF51D8">
        <w:rPr>
          <w:rFonts w:asciiTheme="majorBidi" w:hAnsiTheme="majorBidi" w:cstheme="majorBidi"/>
        </w:rPr>
        <w:t xml:space="preserve"> </w:t>
      </w:r>
      <w:proofErr w:type="spellStart"/>
      <w:r w:rsidR="00DF51D8">
        <w:rPr>
          <w:rFonts w:asciiTheme="majorBidi" w:hAnsiTheme="majorBidi" w:cstheme="majorBidi"/>
        </w:rPr>
        <w:t>Ḥanīfa</w:t>
      </w:r>
      <w:proofErr w:type="spellEnd"/>
      <w:r w:rsidR="00DF51D8">
        <w:rPr>
          <w:rFonts w:asciiTheme="majorBidi" w:hAnsiTheme="majorBidi" w:cstheme="majorBidi"/>
        </w:rPr>
        <w:t xml:space="preserve"> and </w:t>
      </w:r>
      <w:proofErr w:type="spellStart"/>
      <w:r w:rsidR="00DF51D8">
        <w:rPr>
          <w:rFonts w:asciiTheme="majorBidi" w:hAnsiTheme="majorBidi" w:cstheme="majorBidi"/>
        </w:rPr>
        <w:t>Aḥmad</w:t>
      </w:r>
      <w:proofErr w:type="spellEnd"/>
      <w:r w:rsidR="00DF51D8">
        <w:rPr>
          <w:rFonts w:asciiTheme="majorBidi" w:hAnsiTheme="majorBidi" w:cstheme="majorBidi"/>
        </w:rPr>
        <w:t xml:space="preserve"> b. </w:t>
      </w:r>
      <w:proofErr w:type="spellStart"/>
      <w:r w:rsidR="00DF51D8">
        <w:rPr>
          <w:rFonts w:asciiTheme="majorBidi" w:hAnsiTheme="majorBidi" w:cstheme="majorBidi"/>
        </w:rPr>
        <w:t>Ḥanbal</w:t>
      </w:r>
      <w:proofErr w:type="spellEnd"/>
      <w:r w:rsidR="00DF51D8">
        <w:rPr>
          <w:rFonts w:asciiTheme="majorBidi" w:hAnsiTheme="majorBidi" w:cstheme="majorBidi"/>
        </w:rPr>
        <w:t xml:space="preserve"> numbering among the classic cases.</w:t>
      </w:r>
      <w:r w:rsidR="00DF51D8">
        <w:rPr>
          <w:rStyle w:val="FootnoteReference"/>
          <w:rFonts w:asciiTheme="majorBidi" w:hAnsiTheme="majorBidi" w:cstheme="majorBidi"/>
        </w:rPr>
        <w:footnoteReference w:id="46"/>
      </w:r>
      <w:r w:rsidR="00DF51D8">
        <w:rPr>
          <w:rFonts w:asciiTheme="majorBidi" w:hAnsiTheme="majorBidi" w:cstheme="majorBidi"/>
        </w:rPr>
        <w:t xml:space="preserve"> The period of Seljuq dominance was no exception. With the proliferation of </w:t>
      </w:r>
      <w:r w:rsidR="00DF51D8" w:rsidRPr="00136F2F">
        <w:rPr>
          <w:rFonts w:asciiTheme="majorBidi" w:hAnsiTheme="majorBidi" w:cstheme="majorBidi"/>
          <w:i/>
          <w:iCs/>
        </w:rPr>
        <w:t>madrasa</w:t>
      </w:r>
      <w:r w:rsidR="00DF51D8" w:rsidRPr="00136F2F">
        <w:rPr>
          <w:rFonts w:asciiTheme="majorBidi" w:hAnsiTheme="majorBidi" w:cstheme="majorBidi"/>
        </w:rPr>
        <w:t>s</w:t>
      </w:r>
      <w:r w:rsidR="00DF51D8">
        <w:rPr>
          <w:rFonts w:asciiTheme="majorBidi" w:hAnsiTheme="majorBidi" w:cstheme="majorBidi"/>
          <w:i/>
          <w:iCs/>
        </w:rPr>
        <w:t xml:space="preserve"> </w:t>
      </w:r>
      <w:r w:rsidR="00DF51D8">
        <w:rPr>
          <w:rFonts w:asciiTheme="majorBidi" w:hAnsiTheme="majorBidi" w:cstheme="majorBidi"/>
        </w:rPr>
        <w:t>under the Seljuqs, political patronage extended informally to professorships</w:t>
      </w:r>
      <w:r w:rsidR="00D67BE8">
        <w:rPr>
          <w:rFonts w:asciiTheme="majorBidi" w:hAnsiTheme="majorBidi" w:cstheme="majorBidi"/>
        </w:rPr>
        <w:t xml:space="preserve"> as well</w:t>
      </w:r>
      <w:r w:rsidR="00DF51D8">
        <w:rPr>
          <w:rFonts w:asciiTheme="majorBidi" w:hAnsiTheme="majorBidi" w:cstheme="majorBidi"/>
        </w:rPr>
        <w:t xml:space="preserve">, especially when a particular </w:t>
      </w:r>
      <w:r w:rsidR="00DF51D8" w:rsidRPr="00136F2F">
        <w:rPr>
          <w:rFonts w:asciiTheme="majorBidi" w:hAnsiTheme="majorBidi" w:cstheme="majorBidi"/>
          <w:i/>
          <w:iCs/>
        </w:rPr>
        <w:t>madrasa</w:t>
      </w:r>
      <w:r w:rsidR="00DF51D8">
        <w:rPr>
          <w:rFonts w:asciiTheme="majorBidi" w:hAnsiTheme="majorBidi" w:cstheme="majorBidi"/>
        </w:rPr>
        <w:t xml:space="preserve"> was endowed by a member of the ruling elite. </w:t>
      </w:r>
      <w:r w:rsidR="004C29A5">
        <w:rPr>
          <w:rFonts w:asciiTheme="majorBidi" w:hAnsiTheme="majorBidi" w:cstheme="majorBidi"/>
        </w:rPr>
        <w:t xml:space="preserve">As the </w:t>
      </w:r>
      <w:r w:rsidR="002F0B1E">
        <w:rPr>
          <w:rFonts w:asciiTheme="majorBidi" w:hAnsiTheme="majorBidi" w:cstheme="majorBidi"/>
        </w:rPr>
        <w:t xml:space="preserve">ruling authorities </w:t>
      </w:r>
      <w:r w:rsidR="00BA3756">
        <w:rPr>
          <w:rFonts w:asciiTheme="majorBidi" w:hAnsiTheme="majorBidi" w:cstheme="majorBidi"/>
        </w:rPr>
        <w:t>impinged more and more on the religious sphere</w:t>
      </w:r>
      <w:r w:rsidR="004C29A5">
        <w:rPr>
          <w:rFonts w:asciiTheme="majorBidi" w:hAnsiTheme="majorBidi" w:cstheme="majorBidi"/>
        </w:rPr>
        <w:t xml:space="preserve">, </w:t>
      </w:r>
      <w:r w:rsidR="00F22369">
        <w:rPr>
          <w:rFonts w:asciiTheme="majorBidi" w:hAnsiTheme="majorBidi" w:cstheme="majorBidi"/>
        </w:rPr>
        <w:t>s</w:t>
      </w:r>
      <w:r w:rsidR="008549BC">
        <w:rPr>
          <w:rFonts w:asciiTheme="majorBidi" w:hAnsiTheme="majorBidi" w:cstheme="majorBidi"/>
        </w:rPr>
        <w:t>ome of these</w:t>
      </w:r>
      <w:r w:rsidR="00F22369">
        <w:rPr>
          <w:rFonts w:asciiTheme="majorBidi" w:hAnsiTheme="majorBidi" w:cstheme="majorBidi"/>
        </w:rPr>
        <w:t xml:space="preserve"> professorial appointments, too, </w:t>
      </w:r>
      <w:r w:rsidR="00F22369">
        <w:rPr>
          <w:rFonts w:asciiTheme="majorBidi" w:hAnsiTheme="majorBidi" w:cstheme="majorBidi"/>
        </w:rPr>
        <w:lastRenderedPageBreak/>
        <w:t>were viewed with suspicion</w:t>
      </w:r>
      <w:r w:rsidR="002F0B1E">
        <w:rPr>
          <w:rFonts w:asciiTheme="majorBidi" w:hAnsiTheme="majorBidi" w:cstheme="majorBidi"/>
        </w:rPr>
        <w:t xml:space="preserve"> by the pious-minded</w:t>
      </w:r>
      <w:r w:rsidR="00DF51D8">
        <w:rPr>
          <w:rFonts w:asciiTheme="majorBidi" w:hAnsiTheme="majorBidi" w:cstheme="majorBidi"/>
        </w:rPr>
        <w:t>.</w:t>
      </w:r>
      <w:r w:rsidR="00DF51D8">
        <w:rPr>
          <w:rStyle w:val="FootnoteReference"/>
          <w:rFonts w:asciiTheme="majorBidi" w:hAnsiTheme="majorBidi" w:cstheme="majorBidi"/>
        </w:rPr>
        <w:footnoteReference w:id="47"/>
      </w:r>
      <w:r w:rsidR="00BA3756">
        <w:rPr>
          <w:rFonts w:asciiTheme="majorBidi" w:hAnsiTheme="majorBidi" w:cstheme="majorBidi"/>
        </w:rPr>
        <w:t xml:space="preserve"> Meanwhile, </w:t>
      </w:r>
      <w:r w:rsidR="00463A81">
        <w:rPr>
          <w:rFonts w:asciiTheme="majorBidi" w:hAnsiTheme="majorBidi" w:cstheme="majorBidi"/>
        </w:rPr>
        <w:t xml:space="preserve">the increasing corporatization of the </w:t>
      </w:r>
      <w:proofErr w:type="spellStart"/>
      <w:r w:rsidR="00463A81">
        <w:rPr>
          <w:rFonts w:asciiTheme="majorBidi" w:hAnsiTheme="majorBidi" w:cstheme="majorBidi"/>
          <w:i/>
          <w:iCs/>
        </w:rPr>
        <w:t>ʿulamāʾ</w:t>
      </w:r>
      <w:proofErr w:type="spellEnd"/>
      <w:r w:rsidR="00463A81">
        <w:rPr>
          <w:rFonts w:asciiTheme="majorBidi" w:hAnsiTheme="majorBidi" w:cstheme="majorBidi"/>
        </w:rPr>
        <w:t xml:space="preserve"> gave rise to a </w:t>
      </w:r>
      <w:r w:rsidR="00B735C8">
        <w:rPr>
          <w:rFonts w:asciiTheme="majorBidi" w:hAnsiTheme="majorBidi" w:cstheme="majorBidi"/>
        </w:rPr>
        <w:t>sense of elevated social status and, a</w:t>
      </w:r>
      <w:r w:rsidR="00B21FA2">
        <w:rPr>
          <w:rFonts w:asciiTheme="majorBidi" w:hAnsiTheme="majorBidi" w:cstheme="majorBidi"/>
        </w:rPr>
        <w:t>long with that</w:t>
      </w:r>
      <w:r w:rsidR="00B735C8">
        <w:rPr>
          <w:rFonts w:asciiTheme="majorBidi" w:hAnsiTheme="majorBidi" w:cstheme="majorBidi"/>
        </w:rPr>
        <w:t>, a disdain toward the common folk (</w:t>
      </w:r>
      <w:r w:rsidR="00962C0A">
        <w:rPr>
          <w:rFonts w:asciiTheme="majorBidi" w:hAnsiTheme="majorBidi" w:cstheme="majorBidi"/>
          <w:i/>
          <w:iCs/>
        </w:rPr>
        <w:t>al-</w:t>
      </w:r>
      <w:proofErr w:type="spellStart"/>
      <w:r w:rsidR="00B735C8">
        <w:rPr>
          <w:rFonts w:asciiTheme="majorBidi" w:hAnsiTheme="majorBidi" w:cstheme="majorBidi"/>
          <w:i/>
          <w:iCs/>
        </w:rPr>
        <w:t>ʿawāmm</w:t>
      </w:r>
      <w:proofErr w:type="spellEnd"/>
      <w:r w:rsidR="00B735C8">
        <w:rPr>
          <w:rFonts w:asciiTheme="majorBidi" w:hAnsiTheme="majorBidi" w:cstheme="majorBidi"/>
        </w:rPr>
        <w:t xml:space="preserve">). Mingling with </w:t>
      </w:r>
      <w:r w:rsidR="00B4465F">
        <w:rPr>
          <w:rFonts w:asciiTheme="majorBidi" w:hAnsiTheme="majorBidi" w:cstheme="majorBidi"/>
        </w:rPr>
        <w:t>people</w:t>
      </w:r>
      <w:r w:rsidR="00DD7D3D">
        <w:rPr>
          <w:rFonts w:asciiTheme="majorBidi" w:hAnsiTheme="majorBidi" w:cstheme="majorBidi"/>
        </w:rPr>
        <w:t xml:space="preserve"> in the streets and markets </w:t>
      </w:r>
      <w:r w:rsidR="00B735C8">
        <w:rPr>
          <w:rFonts w:asciiTheme="majorBidi" w:hAnsiTheme="majorBidi" w:cstheme="majorBidi"/>
        </w:rPr>
        <w:t>was thought to be unbecoming of a scholar.</w:t>
      </w:r>
      <w:r w:rsidR="00B735C8">
        <w:rPr>
          <w:rStyle w:val="FootnoteReference"/>
          <w:rFonts w:asciiTheme="majorBidi" w:hAnsiTheme="majorBidi" w:cstheme="majorBidi"/>
        </w:rPr>
        <w:footnoteReference w:id="48"/>
      </w:r>
      <w:r w:rsidR="00DD7D3D">
        <w:rPr>
          <w:rFonts w:asciiTheme="majorBidi" w:hAnsiTheme="majorBidi" w:cstheme="majorBidi"/>
        </w:rPr>
        <w:t xml:space="preserve"> As much as</w:t>
      </w:r>
      <w:r w:rsidR="00BA3756">
        <w:rPr>
          <w:rFonts w:asciiTheme="majorBidi" w:hAnsiTheme="majorBidi" w:cstheme="majorBidi"/>
        </w:rPr>
        <w:t xml:space="preserve"> </w:t>
      </w:r>
      <w:r w:rsidR="00DD7D3D">
        <w:rPr>
          <w:rFonts w:asciiTheme="majorBidi" w:hAnsiTheme="majorBidi" w:cstheme="majorBidi"/>
        </w:rPr>
        <w:t>scholars</w:t>
      </w:r>
      <w:r w:rsidR="00BA3756">
        <w:rPr>
          <w:rFonts w:asciiTheme="majorBidi" w:hAnsiTheme="majorBidi" w:cstheme="majorBidi"/>
        </w:rPr>
        <w:t xml:space="preserve"> should </w:t>
      </w:r>
      <w:r w:rsidR="00DD7D3D">
        <w:rPr>
          <w:rFonts w:asciiTheme="majorBidi" w:hAnsiTheme="majorBidi" w:cstheme="majorBidi"/>
        </w:rPr>
        <w:t>avoid</w:t>
      </w:r>
      <w:r w:rsidR="00BA3756">
        <w:rPr>
          <w:rFonts w:asciiTheme="majorBidi" w:hAnsiTheme="majorBidi" w:cstheme="majorBidi"/>
        </w:rPr>
        <w:t xml:space="preserve"> rulers to pr</w:t>
      </w:r>
      <w:r w:rsidR="00DD7D3D">
        <w:rPr>
          <w:rFonts w:asciiTheme="majorBidi" w:hAnsiTheme="majorBidi" w:cstheme="majorBidi"/>
        </w:rPr>
        <w:t>otect their</w:t>
      </w:r>
      <w:r w:rsidR="00BA3756">
        <w:rPr>
          <w:rFonts w:asciiTheme="majorBidi" w:hAnsiTheme="majorBidi" w:cstheme="majorBidi"/>
        </w:rPr>
        <w:t xml:space="preserve"> moral and spiritual integrity, </w:t>
      </w:r>
      <w:r w:rsidR="00DD7D3D">
        <w:rPr>
          <w:rFonts w:asciiTheme="majorBidi" w:hAnsiTheme="majorBidi" w:cstheme="majorBidi"/>
        </w:rPr>
        <w:t>they</w:t>
      </w:r>
      <w:r w:rsidR="00BA3756">
        <w:rPr>
          <w:rFonts w:asciiTheme="majorBidi" w:hAnsiTheme="majorBidi" w:cstheme="majorBidi"/>
        </w:rPr>
        <w:t xml:space="preserve"> also</w:t>
      </w:r>
      <w:r w:rsidR="00F0578A">
        <w:rPr>
          <w:rFonts w:asciiTheme="majorBidi" w:hAnsiTheme="majorBidi" w:cstheme="majorBidi"/>
        </w:rPr>
        <w:t xml:space="preserve"> ought to</w:t>
      </w:r>
      <w:r w:rsidR="00BA3756">
        <w:rPr>
          <w:rFonts w:asciiTheme="majorBidi" w:hAnsiTheme="majorBidi" w:cstheme="majorBidi"/>
        </w:rPr>
        <w:t xml:space="preserve"> </w:t>
      </w:r>
      <w:r w:rsidR="00E76939">
        <w:rPr>
          <w:rFonts w:asciiTheme="majorBidi" w:hAnsiTheme="majorBidi" w:cstheme="majorBidi"/>
        </w:rPr>
        <w:t>maintain</w:t>
      </w:r>
      <w:r w:rsidR="00DD7D3D">
        <w:rPr>
          <w:rFonts w:asciiTheme="majorBidi" w:hAnsiTheme="majorBidi" w:cstheme="majorBidi"/>
        </w:rPr>
        <w:t xml:space="preserve"> </w:t>
      </w:r>
      <w:r w:rsidR="00B4465F">
        <w:rPr>
          <w:rFonts w:asciiTheme="majorBidi" w:hAnsiTheme="majorBidi" w:cstheme="majorBidi"/>
        </w:rPr>
        <w:t>their</w:t>
      </w:r>
      <w:r w:rsidR="00DD7D3D">
        <w:rPr>
          <w:rFonts w:asciiTheme="majorBidi" w:hAnsiTheme="majorBidi" w:cstheme="majorBidi"/>
        </w:rPr>
        <w:t xml:space="preserve"> distance from</w:t>
      </w:r>
      <w:r w:rsidR="00BA3756">
        <w:rPr>
          <w:rFonts w:asciiTheme="majorBidi" w:hAnsiTheme="majorBidi" w:cstheme="majorBidi"/>
        </w:rPr>
        <w:t xml:space="preserve"> </w:t>
      </w:r>
      <w:r w:rsidR="00172C1F">
        <w:rPr>
          <w:rFonts w:asciiTheme="majorBidi" w:hAnsiTheme="majorBidi" w:cstheme="majorBidi"/>
        </w:rPr>
        <w:t xml:space="preserve">the </w:t>
      </w:r>
      <w:r w:rsidR="003A6387">
        <w:rPr>
          <w:rFonts w:asciiTheme="majorBidi" w:hAnsiTheme="majorBidi" w:cstheme="majorBidi"/>
        </w:rPr>
        <w:t>commoners</w:t>
      </w:r>
      <w:r w:rsidR="00BA3756">
        <w:rPr>
          <w:rFonts w:asciiTheme="majorBidi" w:hAnsiTheme="majorBidi" w:cstheme="majorBidi"/>
        </w:rPr>
        <w:t xml:space="preserve"> </w:t>
      </w:r>
      <w:r w:rsidR="00E76939">
        <w:rPr>
          <w:rFonts w:asciiTheme="majorBidi" w:hAnsiTheme="majorBidi" w:cstheme="majorBidi"/>
        </w:rPr>
        <w:t>so as to not upset the social hierarchy.</w:t>
      </w:r>
    </w:p>
    <w:p w14:paraId="25F9A5D5" w14:textId="755BA881" w:rsidR="001E6E7A" w:rsidRDefault="001E6E7A" w:rsidP="0037533B">
      <w:pPr>
        <w:spacing w:line="360" w:lineRule="auto"/>
        <w:ind w:firstLine="720"/>
        <w:rPr>
          <w:rFonts w:asciiTheme="majorBidi" w:hAnsiTheme="majorBidi" w:cstheme="majorBidi"/>
        </w:rPr>
      </w:pPr>
    </w:p>
    <w:p w14:paraId="195970A2" w14:textId="3E052AF8" w:rsidR="00B220AE" w:rsidRDefault="00D05073" w:rsidP="0037533B">
      <w:pPr>
        <w:spacing w:line="360" w:lineRule="auto"/>
        <w:rPr>
          <w:rFonts w:asciiTheme="majorBidi" w:hAnsiTheme="majorBidi" w:cstheme="majorBidi"/>
          <w:u w:val="single"/>
        </w:rPr>
      </w:pPr>
      <w:r>
        <w:rPr>
          <w:rFonts w:asciiTheme="majorBidi" w:hAnsiTheme="majorBidi" w:cstheme="majorBidi"/>
          <w:u w:val="single"/>
        </w:rPr>
        <w:t>The</w:t>
      </w:r>
      <w:r w:rsidR="00A23F13" w:rsidRPr="00A23F13">
        <w:rPr>
          <w:rFonts w:asciiTheme="majorBidi" w:hAnsiTheme="majorBidi" w:cstheme="majorBidi"/>
          <w:u w:val="single"/>
        </w:rPr>
        <w:t xml:space="preserve"> Ameliorative Approach to Ruler-Scholar Relations</w:t>
      </w:r>
    </w:p>
    <w:p w14:paraId="674E3273" w14:textId="77777777" w:rsidR="00E7211C" w:rsidRPr="00A23F13" w:rsidRDefault="00E7211C" w:rsidP="0037533B">
      <w:pPr>
        <w:spacing w:line="360" w:lineRule="auto"/>
        <w:rPr>
          <w:rFonts w:asciiTheme="majorBidi" w:hAnsiTheme="majorBidi" w:cstheme="majorBidi"/>
          <w:u w:val="single"/>
        </w:rPr>
      </w:pPr>
    </w:p>
    <w:p w14:paraId="5879112A" w14:textId="3DF2551F" w:rsidR="00B50BA2" w:rsidRDefault="009A4959" w:rsidP="0037533B">
      <w:pPr>
        <w:spacing w:line="360" w:lineRule="auto"/>
        <w:rPr>
          <w:rFonts w:asciiTheme="majorBidi" w:hAnsiTheme="majorBidi" w:cstheme="majorBidi"/>
        </w:rPr>
      </w:pPr>
      <w:r>
        <w:rPr>
          <w:rFonts w:asciiTheme="majorBidi" w:hAnsiTheme="majorBidi" w:cstheme="majorBidi"/>
        </w:rPr>
        <w:tab/>
      </w:r>
      <w:r w:rsidR="00ED5AA4">
        <w:rPr>
          <w:rFonts w:asciiTheme="majorBidi" w:hAnsiTheme="majorBidi" w:cstheme="majorBidi"/>
        </w:rPr>
        <w:t xml:space="preserve">Having mapped out the </w:t>
      </w:r>
      <w:r w:rsidR="00FF3274">
        <w:rPr>
          <w:rFonts w:asciiTheme="majorBidi" w:hAnsiTheme="majorBidi" w:cstheme="majorBidi"/>
        </w:rPr>
        <w:t>different</w:t>
      </w:r>
      <w:r w:rsidR="00ED5AA4">
        <w:rPr>
          <w:rFonts w:asciiTheme="majorBidi" w:hAnsiTheme="majorBidi" w:cstheme="majorBidi"/>
        </w:rPr>
        <w:t xml:space="preserve"> attitudes to</w:t>
      </w:r>
      <w:r w:rsidR="00DF64D9">
        <w:rPr>
          <w:rFonts w:asciiTheme="majorBidi" w:hAnsiTheme="majorBidi" w:cstheme="majorBidi"/>
        </w:rPr>
        <w:t>ward</w:t>
      </w:r>
      <w:r w:rsidR="00ED5AA4">
        <w:rPr>
          <w:rFonts w:asciiTheme="majorBidi" w:hAnsiTheme="majorBidi" w:cstheme="majorBidi"/>
        </w:rPr>
        <w:t xml:space="preserve"> ruler-scholar relations </w:t>
      </w:r>
      <w:r w:rsidR="00DF64D9">
        <w:rPr>
          <w:rFonts w:asciiTheme="majorBidi" w:hAnsiTheme="majorBidi" w:cstheme="majorBidi"/>
        </w:rPr>
        <w:t xml:space="preserve">among the Sunni </w:t>
      </w:r>
      <w:proofErr w:type="spellStart"/>
      <w:r w:rsidR="00DF64D9">
        <w:rPr>
          <w:rFonts w:asciiTheme="majorBidi" w:hAnsiTheme="majorBidi" w:cstheme="majorBidi"/>
          <w:i/>
          <w:iCs/>
        </w:rPr>
        <w:t>ʿulamāʾ</w:t>
      </w:r>
      <w:proofErr w:type="spellEnd"/>
      <w:r w:rsidR="00ED5AA4">
        <w:rPr>
          <w:rFonts w:asciiTheme="majorBidi" w:hAnsiTheme="majorBidi" w:cstheme="majorBidi"/>
        </w:rPr>
        <w:t xml:space="preserve">, </w:t>
      </w:r>
      <w:r w:rsidR="00DF64D9">
        <w:rPr>
          <w:rFonts w:asciiTheme="majorBidi" w:hAnsiTheme="majorBidi" w:cstheme="majorBidi"/>
        </w:rPr>
        <w:t>I</w:t>
      </w:r>
      <w:r w:rsidR="00801975">
        <w:rPr>
          <w:rFonts w:asciiTheme="majorBidi" w:hAnsiTheme="majorBidi" w:cstheme="majorBidi"/>
        </w:rPr>
        <w:t xml:space="preserve"> now come to Ibn al-</w:t>
      </w:r>
      <w:proofErr w:type="spellStart"/>
      <w:r w:rsidR="00801975">
        <w:rPr>
          <w:rFonts w:asciiTheme="majorBidi" w:hAnsiTheme="majorBidi" w:cstheme="majorBidi"/>
        </w:rPr>
        <w:t>Jawzī’s</w:t>
      </w:r>
      <w:proofErr w:type="spellEnd"/>
      <w:r w:rsidR="00801975">
        <w:rPr>
          <w:rFonts w:asciiTheme="majorBidi" w:hAnsiTheme="majorBidi" w:cstheme="majorBidi"/>
        </w:rPr>
        <w:t xml:space="preserve"> </w:t>
      </w:r>
      <w:r w:rsidR="0027695F">
        <w:rPr>
          <w:rFonts w:asciiTheme="majorBidi" w:hAnsiTheme="majorBidi" w:cstheme="majorBidi"/>
        </w:rPr>
        <w:t>intervention</w:t>
      </w:r>
      <w:r w:rsidR="00DF64D9">
        <w:rPr>
          <w:rFonts w:asciiTheme="majorBidi" w:hAnsiTheme="majorBidi" w:cstheme="majorBidi"/>
        </w:rPr>
        <w:t xml:space="preserve"> in this debate</w:t>
      </w:r>
      <w:r w:rsidR="0027695F">
        <w:rPr>
          <w:rFonts w:asciiTheme="majorBidi" w:hAnsiTheme="majorBidi" w:cstheme="majorBidi"/>
        </w:rPr>
        <w:t xml:space="preserve">. </w:t>
      </w:r>
      <w:r w:rsidR="0027695F" w:rsidRPr="00DF64D9">
        <w:rPr>
          <w:rFonts w:asciiTheme="majorBidi" w:hAnsiTheme="majorBidi" w:cstheme="majorBidi"/>
        </w:rPr>
        <w:t xml:space="preserve">I have </w:t>
      </w:r>
      <w:r w:rsidR="00AB53A9" w:rsidRPr="00DF64D9">
        <w:rPr>
          <w:rFonts w:asciiTheme="majorBidi" w:hAnsiTheme="majorBidi" w:cstheme="majorBidi"/>
        </w:rPr>
        <w:t>labeled</w:t>
      </w:r>
      <w:r w:rsidR="0027695F" w:rsidRPr="00DF64D9">
        <w:rPr>
          <w:rFonts w:asciiTheme="majorBidi" w:hAnsiTheme="majorBidi" w:cstheme="majorBidi"/>
        </w:rPr>
        <w:t xml:space="preserve"> his intervention </w:t>
      </w:r>
      <w:r w:rsidR="00801975" w:rsidRPr="00DF64D9">
        <w:rPr>
          <w:rFonts w:asciiTheme="majorBidi" w:hAnsiTheme="majorBidi" w:cstheme="majorBidi"/>
        </w:rPr>
        <w:t>“ameliorative</w:t>
      </w:r>
      <w:r w:rsidR="0027695F" w:rsidRPr="00DF64D9">
        <w:rPr>
          <w:rFonts w:asciiTheme="majorBidi" w:hAnsiTheme="majorBidi" w:cstheme="majorBidi"/>
        </w:rPr>
        <w:t>”</w:t>
      </w:r>
      <w:r w:rsidR="00ED5AA4" w:rsidRPr="00DF64D9">
        <w:rPr>
          <w:rFonts w:asciiTheme="majorBidi" w:hAnsiTheme="majorBidi" w:cstheme="majorBidi"/>
        </w:rPr>
        <w:t xml:space="preserve"> </w:t>
      </w:r>
      <w:r w:rsidR="00AB53A9" w:rsidRPr="00DF64D9">
        <w:rPr>
          <w:rFonts w:asciiTheme="majorBidi" w:hAnsiTheme="majorBidi" w:cstheme="majorBidi"/>
        </w:rPr>
        <w:t xml:space="preserve">in light of his attempt to </w:t>
      </w:r>
      <w:r w:rsidR="001263B7" w:rsidRPr="00DF64D9">
        <w:rPr>
          <w:rFonts w:asciiTheme="majorBidi" w:hAnsiTheme="majorBidi" w:cstheme="majorBidi"/>
        </w:rPr>
        <w:t xml:space="preserve">ameliorate </w:t>
      </w:r>
      <w:r w:rsidR="00DF64D9" w:rsidRPr="00DF64D9">
        <w:rPr>
          <w:rFonts w:asciiTheme="majorBidi" w:hAnsiTheme="majorBidi" w:cstheme="majorBidi"/>
        </w:rPr>
        <w:t xml:space="preserve">and temper </w:t>
      </w:r>
      <w:r w:rsidR="00AB53A9" w:rsidRPr="00DF64D9">
        <w:rPr>
          <w:rFonts w:asciiTheme="majorBidi" w:hAnsiTheme="majorBidi" w:cstheme="majorBidi"/>
        </w:rPr>
        <w:t>the turbulent politics of his time</w:t>
      </w:r>
      <w:r w:rsidR="00DF64D9">
        <w:rPr>
          <w:rFonts w:asciiTheme="majorBidi" w:hAnsiTheme="majorBidi" w:cstheme="majorBidi"/>
        </w:rPr>
        <w:t xml:space="preserve"> through a </w:t>
      </w:r>
      <w:r w:rsidR="00ED5AA4">
        <w:rPr>
          <w:rFonts w:asciiTheme="majorBidi" w:hAnsiTheme="majorBidi" w:cstheme="majorBidi"/>
        </w:rPr>
        <w:t>mediatory, moderate, pragmatic</w:t>
      </w:r>
      <w:r w:rsidR="00EA18D2">
        <w:rPr>
          <w:rFonts w:asciiTheme="majorBidi" w:hAnsiTheme="majorBidi" w:cstheme="majorBidi"/>
        </w:rPr>
        <w:t xml:space="preserve">, and </w:t>
      </w:r>
      <w:r w:rsidR="009C1562">
        <w:rPr>
          <w:rFonts w:asciiTheme="majorBidi" w:hAnsiTheme="majorBidi" w:cstheme="majorBidi"/>
        </w:rPr>
        <w:t>affective</w:t>
      </w:r>
      <w:r w:rsidR="00ED5AA4">
        <w:rPr>
          <w:rFonts w:asciiTheme="majorBidi" w:hAnsiTheme="majorBidi" w:cstheme="majorBidi"/>
        </w:rPr>
        <w:t xml:space="preserve"> approach to power. </w:t>
      </w:r>
      <w:r w:rsidR="00B50BA2">
        <w:rPr>
          <w:rFonts w:asciiTheme="majorBidi" w:hAnsiTheme="majorBidi" w:cstheme="majorBidi"/>
        </w:rPr>
        <w:t>In doing so, I have taken as my cue the humanist political discourses of Renaissance Italy,</w:t>
      </w:r>
      <w:r w:rsidR="002F0DCA">
        <w:rPr>
          <w:rStyle w:val="FootnoteReference"/>
          <w:rFonts w:asciiTheme="majorBidi" w:hAnsiTheme="majorBidi" w:cstheme="majorBidi"/>
        </w:rPr>
        <w:footnoteReference w:id="49"/>
      </w:r>
      <w:r w:rsidR="00B50BA2">
        <w:rPr>
          <w:rFonts w:asciiTheme="majorBidi" w:hAnsiTheme="majorBidi" w:cstheme="majorBidi"/>
        </w:rPr>
        <w:t xml:space="preserve"> </w:t>
      </w:r>
      <w:r w:rsidR="006E524C">
        <w:rPr>
          <w:rFonts w:asciiTheme="majorBidi" w:hAnsiTheme="majorBidi" w:cstheme="majorBidi"/>
        </w:rPr>
        <w:t xml:space="preserve">captured under the term </w:t>
      </w:r>
      <w:r w:rsidR="005056BA">
        <w:rPr>
          <w:rFonts w:asciiTheme="majorBidi" w:hAnsiTheme="majorBidi" w:cstheme="majorBidi"/>
        </w:rPr>
        <w:t xml:space="preserve">“virtue politics” by </w:t>
      </w:r>
      <w:r w:rsidR="00581429" w:rsidRPr="00BD2C60">
        <w:rPr>
          <w:rFonts w:asciiTheme="majorBidi" w:hAnsiTheme="majorBidi" w:cstheme="majorBidi"/>
        </w:rPr>
        <w:t>James Hankins</w:t>
      </w:r>
      <w:r w:rsidR="00BD2C60">
        <w:rPr>
          <w:rFonts w:asciiTheme="majorBidi" w:hAnsiTheme="majorBidi" w:cstheme="majorBidi"/>
        </w:rPr>
        <w:t>.</w:t>
      </w:r>
      <w:r w:rsidR="00581429">
        <w:rPr>
          <w:rFonts w:asciiTheme="majorBidi" w:hAnsiTheme="majorBidi" w:cstheme="majorBidi"/>
        </w:rPr>
        <w:t xml:space="preserve"> </w:t>
      </w:r>
      <w:r w:rsidR="00B32215">
        <w:rPr>
          <w:rFonts w:asciiTheme="majorBidi" w:hAnsiTheme="majorBidi" w:cstheme="majorBidi"/>
        </w:rPr>
        <w:t xml:space="preserve">Inspired by “virtue ethics,” </w:t>
      </w:r>
      <w:r w:rsidR="00C96CFD">
        <w:rPr>
          <w:rFonts w:asciiTheme="majorBidi" w:hAnsiTheme="majorBidi" w:cstheme="majorBidi"/>
        </w:rPr>
        <w:t>an approach to moral philosophy that “emphasizes the need to develop, through reflection and practice, excellent patterns of conduct (the virtues) so as to achieve the human good and human flourishing (</w:t>
      </w:r>
      <w:r w:rsidR="00C96CFD">
        <w:rPr>
          <w:rFonts w:asciiTheme="majorBidi" w:hAnsiTheme="majorBidi" w:cstheme="majorBidi"/>
          <w:i/>
          <w:iCs/>
        </w:rPr>
        <w:t>eudaimonia</w:t>
      </w:r>
      <w:r w:rsidR="00C96CFD">
        <w:rPr>
          <w:rFonts w:asciiTheme="majorBidi" w:hAnsiTheme="majorBidi" w:cstheme="majorBidi"/>
        </w:rPr>
        <w:t xml:space="preserve">, or happiness),” </w:t>
      </w:r>
      <w:r w:rsidR="00B32215">
        <w:rPr>
          <w:rFonts w:asciiTheme="majorBidi" w:hAnsiTheme="majorBidi" w:cstheme="majorBidi"/>
        </w:rPr>
        <w:t xml:space="preserve">Hankins </w:t>
      </w:r>
      <w:r w:rsidR="002A4A9E">
        <w:rPr>
          <w:rFonts w:asciiTheme="majorBidi" w:hAnsiTheme="majorBidi" w:cstheme="majorBidi"/>
        </w:rPr>
        <w:t>defines</w:t>
      </w:r>
      <w:r w:rsidR="00B32215">
        <w:rPr>
          <w:rFonts w:asciiTheme="majorBidi" w:hAnsiTheme="majorBidi" w:cstheme="majorBidi"/>
        </w:rPr>
        <w:t xml:space="preserve"> “virtue politics” as follows:</w:t>
      </w:r>
    </w:p>
    <w:p w14:paraId="14B85CF5" w14:textId="77777777" w:rsidR="00E7211C" w:rsidRDefault="00E7211C" w:rsidP="0037533B">
      <w:pPr>
        <w:spacing w:line="360" w:lineRule="auto"/>
        <w:rPr>
          <w:rFonts w:asciiTheme="majorBidi" w:hAnsiTheme="majorBidi" w:cstheme="majorBidi"/>
        </w:rPr>
      </w:pPr>
    </w:p>
    <w:p w14:paraId="5763D3E1" w14:textId="2BC443AB" w:rsidR="00E7211C" w:rsidRDefault="00C96CFD" w:rsidP="004746E1">
      <w:pPr>
        <w:rPr>
          <w:rFonts w:asciiTheme="majorBidi" w:hAnsiTheme="majorBidi" w:cstheme="majorBidi"/>
          <w:sz w:val="20"/>
          <w:szCs w:val="20"/>
        </w:rPr>
      </w:pPr>
      <w:r>
        <w:rPr>
          <w:rFonts w:asciiTheme="majorBidi" w:hAnsiTheme="majorBidi" w:cstheme="majorBidi"/>
          <w:sz w:val="20"/>
          <w:szCs w:val="20"/>
        </w:rPr>
        <w:t>“Virtue politics,” by analogy with virtue ethics, focuses on improving the character and wisdom of the ruling class with a view to bringing about a happy and flourishing commonwealth. It sees the political legitimacy of the state as tightly linked with the virtue of rulers and especially their practice of justice, defined as a preference for the common good over private goods—their “other-directedness” as a modern might put it.</w:t>
      </w:r>
      <w:r>
        <w:rPr>
          <w:rStyle w:val="FootnoteReference"/>
          <w:rFonts w:asciiTheme="majorBidi" w:hAnsiTheme="majorBidi" w:cstheme="majorBidi"/>
          <w:sz w:val="20"/>
          <w:szCs w:val="20"/>
        </w:rPr>
        <w:footnoteReference w:id="50"/>
      </w:r>
    </w:p>
    <w:p w14:paraId="786F83CB" w14:textId="691FF502" w:rsidR="00C96CFD" w:rsidRDefault="00C96CFD" w:rsidP="00E7211C">
      <w:pPr>
        <w:spacing w:line="360" w:lineRule="auto"/>
        <w:rPr>
          <w:rFonts w:asciiTheme="majorBidi" w:hAnsiTheme="majorBidi" w:cstheme="majorBidi"/>
        </w:rPr>
      </w:pPr>
    </w:p>
    <w:p w14:paraId="29C5D84A" w14:textId="02BB7FD4" w:rsidR="00423DD6" w:rsidRDefault="008955F7" w:rsidP="0037533B">
      <w:pPr>
        <w:spacing w:line="360" w:lineRule="auto"/>
        <w:rPr>
          <w:rFonts w:asciiTheme="majorBidi" w:hAnsiTheme="majorBidi" w:cstheme="majorBidi"/>
        </w:rPr>
      </w:pPr>
      <w:r>
        <w:rPr>
          <w:rFonts w:asciiTheme="majorBidi" w:hAnsiTheme="majorBidi" w:cstheme="majorBidi"/>
        </w:rPr>
        <w:t xml:space="preserve">In this conception of politics, the </w:t>
      </w:r>
      <w:r w:rsidR="007977EF">
        <w:rPr>
          <w:rFonts w:asciiTheme="majorBidi" w:hAnsiTheme="majorBidi" w:cstheme="majorBidi"/>
        </w:rPr>
        <w:t>moral</w:t>
      </w:r>
      <w:r w:rsidR="00E61406">
        <w:rPr>
          <w:rFonts w:asciiTheme="majorBidi" w:hAnsiTheme="majorBidi" w:cstheme="majorBidi"/>
        </w:rPr>
        <w:t xml:space="preserve"> character</w:t>
      </w:r>
      <w:r w:rsidR="007977EF">
        <w:rPr>
          <w:rFonts w:asciiTheme="majorBidi" w:hAnsiTheme="majorBidi" w:cstheme="majorBidi"/>
        </w:rPr>
        <w:t xml:space="preserve"> of the ruler mattered for the health of the polity. </w:t>
      </w:r>
      <w:r w:rsidR="00CE49BF">
        <w:rPr>
          <w:rFonts w:asciiTheme="majorBidi" w:hAnsiTheme="majorBidi" w:cstheme="majorBidi"/>
        </w:rPr>
        <w:t xml:space="preserve">Having lost faith in the </w:t>
      </w:r>
      <w:r w:rsidR="00CA27C3">
        <w:rPr>
          <w:rFonts w:asciiTheme="majorBidi" w:hAnsiTheme="majorBidi" w:cstheme="majorBidi"/>
        </w:rPr>
        <w:t xml:space="preserve">efficacy of the </w:t>
      </w:r>
      <w:r w:rsidR="003E0851">
        <w:rPr>
          <w:rFonts w:asciiTheme="majorBidi" w:hAnsiTheme="majorBidi" w:cstheme="majorBidi"/>
        </w:rPr>
        <w:t xml:space="preserve">laws and legal reform in </w:t>
      </w:r>
      <w:r w:rsidR="00CE49BF">
        <w:rPr>
          <w:rFonts w:asciiTheme="majorBidi" w:hAnsiTheme="majorBidi" w:cstheme="majorBidi"/>
        </w:rPr>
        <w:t>bring</w:t>
      </w:r>
      <w:r w:rsidR="003E0851">
        <w:rPr>
          <w:rFonts w:asciiTheme="majorBidi" w:hAnsiTheme="majorBidi" w:cstheme="majorBidi"/>
        </w:rPr>
        <w:t>ing</w:t>
      </w:r>
      <w:r w:rsidR="00CE49BF">
        <w:rPr>
          <w:rFonts w:asciiTheme="majorBidi" w:hAnsiTheme="majorBidi" w:cstheme="majorBidi"/>
        </w:rPr>
        <w:t xml:space="preserve"> about</w:t>
      </w:r>
      <w:r w:rsidR="00CF05FE">
        <w:rPr>
          <w:rFonts w:asciiTheme="majorBidi" w:hAnsiTheme="majorBidi" w:cstheme="majorBidi"/>
        </w:rPr>
        <w:t xml:space="preserve"> virtuous rulership</w:t>
      </w:r>
      <w:r w:rsidR="007977EF">
        <w:rPr>
          <w:rFonts w:asciiTheme="majorBidi" w:hAnsiTheme="majorBidi" w:cstheme="majorBidi"/>
        </w:rPr>
        <w:t>, humanist political thinkers stressed the need to appeal directly to the</w:t>
      </w:r>
      <w:r w:rsidR="00CA27C3">
        <w:rPr>
          <w:rFonts w:asciiTheme="majorBidi" w:hAnsiTheme="majorBidi" w:cstheme="majorBidi"/>
        </w:rPr>
        <w:t xml:space="preserve"> </w:t>
      </w:r>
      <w:r w:rsidR="00DF7541">
        <w:rPr>
          <w:rFonts w:asciiTheme="majorBidi" w:hAnsiTheme="majorBidi" w:cstheme="majorBidi"/>
        </w:rPr>
        <w:t xml:space="preserve">will </w:t>
      </w:r>
      <w:r w:rsidR="00CA27C3">
        <w:rPr>
          <w:rFonts w:asciiTheme="majorBidi" w:hAnsiTheme="majorBidi" w:cstheme="majorBidi"/>
        </w:rPr>
        <w:t xml:space="preserve">and character </w:t>
      </w:r>
      <w:r w:rsidR="00CE49BF">
        <w:rPr>
          <w:rFonts w:asciiTheme="majorBidi" w:hAnsiTheme="majorBidi" w:cstheme="majorBidi"/>
        </w:rPr>
        <w:t>of the ruler</w:t>
      </w:r>
      <w:r w:rsidR="0050541E">
        <w:rPr>
          <w:rFonts w:asciiTheme="majorBidi" w:hAnsiTheme="majorBidi" w:cstheme="majorBidi"/>
        </w:rPr>
        <w:t xml:space="preserve">, thus placing more emphasis on </w:t>
      </w:r>
      <w:proofErr w:type="spellStart"/>
      <w:r w:rsidR="0050541E">
        <w:rPr>
          <w:rFonts w:asciiTheme="majorBidi" w:hAnsiTheme="majorBidi" w:cstheme="majorBidi"/>
        </w:rPr>
        <w:t>soulcraft</w:t>
      </w:r>
      <w:proofErr w:type="spellEnd"/>
      <w:r w:rsidR="0050541E">
        <w:rPr>
          <w:rFonts w:asciiTheme="majorBidi" w:hAnsiTheme="majorBidi" w:cstheme="majorBidi"/>
        </w:rPr>
        <w:t xml:space="preserve"> than </w:t>
      </w:r>
      <w:r w:rsidR="00D9040B">
        <w:rPr>
          <w:rFonts w:asciiTheme="majorBidi" w:hAnsiTheme="majorBidi" w:cstheme="majorBidi"/>
        </w:rPr>
        <w:t xml:space="preserve">on </w:t>
      </w:r>
      <w:r w:rsidR="0050541E">
        <w:rPr>
          <w:rFonts w:asciiTheme="majorBidi" w:hAnsiTheme="majorBidi" w:cstheme="majorBidi"/>
        </w:rPr>
        <w:t>statecraft</w:t>
      </w:r>
      <w:r w:rsidR="00CE49BF">
        <w:rPr>
          <w:rFonts w:asciiTheme="majorBidi" w:hAnsiTheme="majorBidi" w:cstheme="majorBidi"/>
        </w:rPr>
        <w:t xml:space="preserve">. The key to political </w:t>
      </w:r>
      <w:r w:rsidR="00CE49BF">
        <w:rPr>
          <w:rFonts w:asciiTheme="majorBidi" w:hAnsiTheme="majorBidi" w:cstheme="majorBidi"/>
        </w:rPr>
        <w:lastRenderedPageBreak/>
        <w:t>reform</w:t>
      </w:r>
      <w:r w:rsidR="00E61406">
        <w:rPr>
          <w:rFonts w:asciiTheme="majorBidi" w:hAnsiTheme="majorBidi" w:cstheme="majorBidi"/>
        </w:rPr>
        <w:t xml:space="preserve">, according to them, </w:t>
      </w:r>
      <w:r w:rsidR="00CE49BF">
        <w:rPr>
          <w:rFonts w:asciiTheme="majorBidi" w:hAnsiTheme="majorBidi" w:cstheme="majorBidi"/>
        </w:rPr>
        <w:t xml:space="preserve">lay in surrounding the ruler with </w:t>
      </w:r>
      <w:r w:rsidR="00E61406">
        <w:rPr>
          <w:rFonts w:asciiTheme="majorBidi" w:hAnsiTheme="majorBidi" w:cstheme="majorBidi"/>
        </w:rPr>
        <w:t>wise and virtuous individuals who could “promote justice in the heart of the ruler”</w:t>
      </w:r>
      <w:r w:rsidR="00BF180E">
        <w:rPr>
          <w:rFonts w:asciiTheme="majorBidi" w:hAnsiTheme="majorBidi" w:cstheme="majorBidi"/>
        </w:rPr>
        <w:t xml:space="preserve"> </w:t>
      </w:r>
      <w:r w:rsidR="00417DFA">
        <w:rPr>
          <w:rFonts w:asciiTheme="majorBidi" w:hAnsiTheme="majorBidi" w:cstheme="majorBidi"/>
        </w:rPr>
        <w:t xml:space="preserve">using the arts of persuasion. </w:t>
      </w:r>
      <w:r w:rsidR="00CF05FE">
        <w:rPr>
          <w:rFonts w:asciiTheme="majorBidi" w:hAnsiTheme="majorBidi" w:cstheme="majorBidi"/>
        </w:rPr>
        <w:t>E</w:t>
      </w:r>
      <w:r w:rsidR="00CC254F">
        <w:rPr>
          <w:rFonts w:asciiTheme="majorBidi" w:hAnsiTheme="majorBidi" w:cstheme="majorBidi"/>
        </w:rPr>
        <w:t>loquence</w:t>
      </w:r>
      <w:r w:rsidR="001D13D8">
        <w:rPr>
          <w:rFonts w:asciiTheme="majorBidi" w:hAnsiTheme="majorBidi" w:cstheme="majorBidi"/>
        </w:rPr>
        <w:t>, often channeled through the authors of classical antiquity,</w:t>
      </w:r>
      <w:r w:rsidR="00CC254F">
        <w:rPr>
          <w:rFonts w:asciiTheme="majorBidi" w:hAnsiTheme="majorBidi" w:cstheme="majorBidi"/>
        </w:rPr>
        <w:t xml:space="preserve"> acquired a political function</w:t>
      </w:r>
      <w:r w:rsidR="001D13D8">
        <w:rPr>
          <w:rFonts w:asciiTheme="majorBidi" w:hAnsiTheme="majorBidi" w:cstheme="majorBidi"/>
        </w:rPr>
        <w:t xml:space="preserve"> </w:t>
      </w:r>
      <w:r w:rsidR="00324FE2">
        <w:rPr>
          <w:rFonts w:asciiTheme="majorBidi" w:hAnsiTheme="majorBidi" w:cstheme="majorBidi"/>
        </w:rPr>
        <w:t>owing</w:t>
      </w:r>
      <w:r w:rsidR="00453685">
        <w:rPr>
          <w:rFonts w:asciiTheme="majorBidi" w:hAnsiTheme="majorBidi" w:cstheme="majorBidi"/>
        </w:rPr>
        <w:t xml:space="preserve"> to its ability to</w:t>
      </w:r>
      <w:r w:rsidR="00CA68D5">
        <w:rPr>
          <w:rFonts w:asciiTheme="majorBidi" w:hAnsiTheme="majorBidi" w:cstheme="majorBidi"/>
        </w:rPr>
        <w:t xml:space="preserve"> mov</w:t>
      </w:r>
      <w:r w:rsidR="00453685">
        <w:rPr>
          <w:rFonts w:asciiTheme="majorBidi" w:hAnsiTheme="majorBidi" w:cstheme="majorBidi"/>
        </w:rPr>
        <w:t>e</w:t>
      </w:r>
      <w:r w:rsidR="00CA68D5">
        <w:rPr>
          <w:rFonts w:asciiTheme="majorBidi" w:hAnsiTheme="majorBidi" w:cstheme="majorBidi"/>
        </w:rPr>
        <w:t xml:space="preserve"> the hearts and minds of rulers toward virtuous rule</w:t>
      </w:r>
      <w:r w:rsidR="00801A60">
        <w:rPr>
          <w:rFonts w:asciiTheme="majorBidi" w:hAnsiTheme="majorBidi" w:cstheme="majorBidi"/>
        </w:rPr>
        <w:t xml:space="preserve"> without </w:t>
      </w:r>
      <w:r w:rsidR="00317D97">
        <w:rPr>
          <w:rFonts w:asciiTheme="majorBidi" w:hAnsiTheme="majorBidi" w:cstheme="majorBidi"/>
        </w:rPr>
        <w:t>the use of</w:t>
      </w:r>
      <w:r w:rsidR="00932926">
        <w:rPr>
          <w:rFonts w:asciiTheme="majorBidi" w:hAnsiTheme="majorBidi" w:cstheme="majorBidi"/>
        </w:rPr>
        <w:t xml:space="preserve"> </w:t>
      </w:r>
      <w:r w:rsidR="00801A60">
        <w:rPr>
          <w:rFonts w:asciiTheme="majorBidi" w:hAnsiTheme="majorBidi" w:cstheme="majorBidi"/>
        </w:rPr>
        <w:t>violence</w:t>
      </w:r>
      <w:r w:rsidR="00CA68D5">
        <w:rPr>
          <w:rFonts w:asciiTheme="majorBidi" w:hAnsiTheme="majorBidi" w:cstheme="majorBidi"/>
        </w:rPr>
        <w:t>.</w:t>
      </w:r>
      <w:r w:rsidR="00CF05FE">
        <w:rPr>
          <w:rStyle w:val="FootnoteReference"/>
          <w:rFonts w:asciiTheme="majorBidi" w:hAnsiTheme="majorBidi" w:cstheme="majorBidi"/>
        </w:rPr>
        <w:footnoteReference w:id="51"/>
      </w:r>
    </w:p>
    <w:p w14:paraId="7082B3E2" w14:textId="47060876" w:rsidR="007C74BA" w:rsidRDefault="00AE3597" w:rsidP="0037533B">
      <w:pPr>
        <w:spacing w:line="360" w:lineRule="auto"/>
        <w:ind w:firstLine="720"/>
        <w:rPr>
          <w:rFonts w:asciiTheme="majorBidi" w:hAnsiTheme="majorBidi" w:cstheme="majorBidi"/>
        </w:rPr>
      </w:pPr>
      <w:r>
        <w:rPr>
          <w:rFonts w:asciiTheme="majorBidi" w:hAnsiTheme="majorBidi" w:cstheme="majorBidi"/>
        </w:rPr>
        <w:t xml:space="preserve">In concluding his study of the Renaissance </w:t>
      </w:r>
      <w:r w:rsidR="00CD1BA0">
        <w:rPr>
          <w:rFonts w:asciiTheme="majorBidi" w:hAnsiTheme="majorBidi" w:cstheme="majorBidi"/>
        </w:rPr>
        <w:t xml:space="preserve">Italian </w:t>
      </w:r>
      <w:r>
        <w:rPr>
          <w:rFonts w:asciiTheme="majorBidi" w:hAnsiTheme="majorBidi" w:cstheme="majorBidi"/>
        </w:rPr>
        <w:t xml:space="preserve">humanists, Hankins </w:t>
      </w:r>
      <w:r w:rsidR="00D9040B">
        <w:rPr>
          <w:rFonts w:asciiTheme="majorBidi" w:hAnsiTheme="majorBidi" w:cstheme="majorBidi"/>
        </w:rPr>
        <w:t>draw</w:t>
      </w:r>
      <w:r w:rsidR="00BE79F7">
        <w:rPr>
          <w:rFonts w:asciiTheme="majorBidi" w:hAnsiTheme="majorBidi" w:cstheme="majorBidi"/>
        </w:rPr>
        <w:t xml:space="preserve">s out </w:t>
      </w:r>
      <w:r w:rsidR="00897EE9">
        <w:rPr>
          <w:rFonts w:asciiTheme="majorBidi" w:hAnsiTheme="majorBidi" w:cstheme="majorBidi"/>
        </w:rPr>
        <w:t>the resemblances between humanist virtue politics and</w:t>
      </w:r>
      <w:r>
        <w:rPr>
          <w:rFonts w:asciiTheme="majorBidi" w:hAnsiTheme="majorBidi" w:cstheme="majorBidi"/>
        </w:rPr>
        <w:t xml:space="preserve"> Confucian</w:t>
      </w:r>
      <w:r w:rsidR="001521F2">
        <w:rPr>
          <w:rFonts w:asciiTheme="majorBidi" w:hAnsiTheme="majorBidi" w:cstheme="majorBidi"/>
        </w:rPr>
        <w:t xml:space="preserve">ism </w:t>
      </w:r>
      <w:r w:rsidR="00897EE9">
        <w:rPr>
          <w:rFonts w:asciiTheme="majorBidi" w:hAnsiTheme="majorBidi" w:cstheme="majorBidi"/>
        </w:rPr>
        <w:t xml:space="preserve">in </w:t>
      </w:r>
      <w:r w:rsidR="00CD1BA0">
        <w:rPr>
          <w:rFonts w:asciiTheme="majorBidi" w:hAnsiTheme="majorBidi" w:cstheme="majorBidi"/>
        </w:rPr>
        <w:t xml:space="preserve">premodern </w:t>
      </w:r>
      <w:r w:rsidR="00897EE9">
        <w:rPr>
          <w:rFonts w:asciiTheme="majorBidi" w:hAnsiTheme="majorBidi" w:cstheme="majorBidi"/>
        </w:rPr>
        <w:t>China</w:t>
      </w:r>
      <w:r w:rsidR="00CA68D5">
        <w:rPr>
          <w:rFonts w:asciiTheme="majorBidi" w:hAnsiTheme="majorBidi" w:cstheme="majorBidi"/>
        </w:rPr>
        <w:t>, particularly</w:t>
      </w:r>
      <w:r w:rsidR="00897EE9">
        <w:rPr>
          <w:rFonts w:asciiTheme="majorBidi" w:hAnsiTheme="majorBidi" w:cstheme="majorBidi"/>
        </w:rPr>
        <w:t xml:space="preserve"> </w:t>
      </w:r>
      <w:r w:rsidR="00CD1BA0">
        <w:rPr>
          <w:rFonts w:asciiTheme="majorBidi" w:hAnsiTheme="majorBidi" w:cstheme="majorBidi"/>
        </w:rPr>
        <w:t>with regard to</w:t>
      </w:r>
      <w:r w:rsidR="001521F2">
        <w:rPr>
          <w:rFonts w:asciiTheme="majorBidi" w:hAnsiTheme="majorBidi" w:cstheme="majorBidi"/>
        </w:rPr>
        <w:t xml:space="preserve"> </w:t>
      </w:r>
      <w:r w:rsidR="0038715B">
        <w:rPr>
          <w:rFonts w:asciiTheme="majorBidi" w:hAnsiTheme="majorBidi" w:cstheme="majorBidi"/>
        </w:rPr>
        <w:t>the c</w:t>
      </w:r>
      <w:r w:rsidR="00476A9B">
        <w:rPr>
          <w:rFonts w:asciiTheme="majorBidi" w:hAnsiTheme="majorBidi" w:cstheme="majorBidi"/>
        </w:rPr>
        <w:t>entral</w:t>
      </w:r>
      <w:r w:rsidR="0038715B">
        <w:rPr>
          <w:rFonts w:asciiTheme="majorBidi" w:hAnsiTheme="majorBidi" w:cstheme="majorBidi"/>
        </w:rPr>
        <w:t xml:space="preserve"> role </w:t>
      </w:r>
      <w:r w:rsidR="00476A9B">
        <w:rPr>
          <w:rFonts w:asciiTheme="majorBidi" w:hAnsiTheme="majorBidi" w:cstheme="majorBidi"/>
        </w:rPr>
        <w:t>of</w:t>
      </w:r>
      <w:r w:rsidR="0038715B">
        <w:rPr>
          <w:rFonts w:asciiTheme="majorBidi" w:hAnsiTheme="majorBidi" w:cstheme="majorBidi"/>
        </w:rPr>
        <w:t xml:space="preserve"> </w:t>
      </w:r>
      <w:r w:rsidR="00CA68D5">
        <w:rPr>
          <w:rFonts w:asciiTheme="majorBidi" w:hAnsiTheme="majorBidi" w:cstheme="majorBidi"/>
        </w:rPr>
        <w:t>scholar-officials in</w:t>
      </w:r>
      <w:r w:rsidR="00476A9B">
        <w:rPr>
          <w:rFonts w:asciiTheme="majorBidi" w:hAnsiTheme="majorBidi" w:cstheme="majorBidi"/>
        </w:rPr>
        <w:t xml:space="preserve"> promoting virtuous rule</w:t>
      </w:r>
      <w:r w:rsidR="00CA68D5">
        <w:rPr>
          <w:rFonts w:asciiTheme="majorBidi" w:hAnsiTheme="majorBidi" w:cstheme="majorBidi"/>
        </w:rPr>
        <w:t>.</w:t>
      </w:r>
      <w:r w:rsidR="00BE79F7">
        <w:rPr>
          <w:rStyle w:val="FootnoteReference"/>
          <w:rFonts w:asciiTheme="majorBidi" w:hAnsiTheme="majorBidi" w:cstheme="majorBidi"/>
        </w:rPr>
        <w:footnoteReference w:id="52"/>
      </w:r>
      <w:r w:rsidR="00317D97">
        <w:rPr>
          <w:rFonts w:asciiTheme="majorBidi" w:hAnsiTheme="majorBidi" w:cstheme="majorBidi"/>
        </w:rPr>
        <w:t xml:space="preserve"> </w:t>
      </w:r>
      <w:r w:rsidR="00A80488">
        <w:rPr>
          <w:rFonts w:asciiTheme="majorBidi" w:hAnsiTheme="majorBidi" w:cstheme="majorBidi"/>
        </w:rPr>
        <w:t>It is worth noting, h</w:t>
      </w:r>
      <w:r w:rsidR="005A4EE5">
        <w:rPr>
          <w:rFonts w:asciiTheme="majorBidi" w:hAnsiTheme="majorBidi" w:cstheme="majorBidi"/>
        </w:rPr>
        <w:t xml:space="preserve">owever, </w:t>
      </w:r>
      <w:r w:rsidR="00A80488">
        <w:rPr>
          <w:rFonts w:asciiTheme="majorBidi" w:hAnsiTheme="majorBidi" w:cstheme="majorBidi"/>
        </w:rPr>
        <w:t xml:space="preserve">that </w:t>
      </w:r>
      <w:r w:rsidR="002A4A9E">
        <w:rPr>
          <w:rFonts w:asciiTheme="majorBidi" w:hAnsiTheme="majorBidi" w:cstheme="majorBidi"/>
        </w:rPr>
        <w:t>Confucianism is not the only tradition that shares</w:t>
      </w:r>
      <w:r w:rsidR="005A4EE5">
        <w:rPr>
          <w:rFonts w:asciiTheme="majorBidi" w:hAnsiTheme="majorBidi" w:cstheme="majorBidi"/>
        </w:rPr>
        <w:t xml:space="preserve"> parallels with</w:t>
      </w:r>
      <w:r w:rsidR="00A80488">
        <w:rPr>
          <w:rFonts w:asciiTheme="majorBidi" w:hAnsiTheme="majorBidi" w:cstheme="majorBidi"/>
        </w:rPr>
        <w:t xml:space="preserve"> </w:t>
      </w:r>
      <w:r w:rsidR="005A4EE5">
        <w:rPr>
          <w:rFonts w:asciiTheme="majorBidi" w:hAnsiTheme="majorBidi" w:cstheme="majorBidi"/>
        </w:rPr>
        <w:t>virtue politics</w:t>
      </w:r>
      <w:r w:rsidR="002A4A9E">
        <w:rPr>
          <w:rFonts w:asciiTheme="majorBidi" w:hAnsiTheme="majorBidi" w:cstheme="majorBidi"/>
        </w:rPr>
        <w:t xml:space="preserve">; these parallels </w:t>
      </w:r>
      <w:r w:rsidR="005A4EE5">
        <w:rPr>
          <w:rFonts w:asciiTheme="majorBidi" w:hAnsiTheme="majorBidi" w:cstheme="majorBidi"/>
        </w:rPr>
        <w:t xml:space="preserve">can be extended </w:t>
      </w:r>
      <w:r w:rsidR="002A4A9E">
        <w:rPr>
          <w:rFonts w:asciiTheme="majorBidi" w:hAnsiTheme="majorBidi" w:cstheme="majorBidi"/>
        </w:rPr>
        <w:t xml:space="preserve">as well </w:t>
      </w:r>
      <w:r w:rsidR="00A82998">
        <w:rPr>
          <w:rFonts w:asciiTheme="majorBidi" w:hAnsiTheme="majorBidi" w:cstheme="majorBidi"/>
        </w:rPr>
        <w:t xml:space="preserve">to medieval Islam </w:t>
      </w:r>
      <w:r w:rsidR="002A4A9E">
        <w:rPr>
          <w:rFonts w:asciiTheme="majorBidi" w:hAnsiTheme="majorBidi" w:cstheme="majorBidi"/>
        </w:rPr>
        <w:t>in the case of Ibn al-</w:t>
      </w:r>
      <w:proofErr w:type="spellStart"/>
      <w:r w:rsidR="002A4A9E">
        <w:rPr>
          <w:rFonts w:asciiTheme="majorBidi" w:hAnsiTheme="majorBidi" w:cstheme="majorBidi"/>
        </w:rPr>
        <w:t>Jawzī</w:t>
      </w:r>
      <w:r w:rsidR="00A61B5E">
        <w:rPr>
          <w:rFonts w:asciiTheme="majorBidi" w:hAnsiTheme="majorBidi" w:cstheme="majorBidi"/>
        </w:rPr>
        <w:t>’s</w:t>
      </w:r>
      <w:proofErr w:type="spellEnd"/>
      <w:r w:rsidR="00A61B5E">
        <w:rPr>
          <w:rFonts w:asciiTheme="majorBidi" w:hAnsiTheme="majorBidi" w:cstheme="majorBidi"/>
        </w:rPr>
        <w:t xml:space="preserve"> political thought</w:t>
      </w:r>
      <w:r w:rsidR="005A4EE5">
        <w:rPr>
          <w:rFonts w:asciiTheme="majorBidi" w:hAnsiTheme="majorBidi" w:cstheme="majorBidi"/>
        </w:rPr>
        <w:t>.</w:t>
      </w:r>
      <w:r w:rsidR="002A4A9E">
        <w:rPr>
          <w:rFonts w:asciiTheme="majorBidi" w:hAnsiTheme="majorBidi" w:cstheme="majorBidi"/>
        </w:rPr>
        <w:t xml:space="preserve"> </w:t>
      </w:r>
      <w:r w:rsidR="00CF498B">
        <w:rPr>
          <w:rFonts w:asciiTheme="majorBidi" w:hAnsiTheme="majorBidi" w:cstheme="majorBidi"/>
        </w:rPr>
        <w:t xml:space="preserve">For </w:t>
      </w:r>
      <w:r w:rsidR="00BE04AC">
        <w:rPr>
          <w:rFonts w:asciiTheme="majorBidi" w:hAnsiTheme="majorBidi" w:cstheme="majorBidi"/>
        </w:rPr>
        <w:t>instance</w:t>
      </w:r>
      <w:r w:rsidR="00CF498B">
        <w:rPr>
          <w:rFonts w:asciiTheme="majorBidi" w:hAnsiTheme="majorBidi" w:cstheme="majorBidi"/>
        </w:rPr>
        <w:t>, t</w:t>
      </w:r>
      <w:r w:rsidR="00A61B5E">
        <w:rPr>
          <w:rFonts w:asciiTheme="majorBidi" w:hAnsiTheme="majorBidi" w:cstheme="majorBidi"/>
        </w:rPr>
        <w:t>he</w:t>
      </w:r>
      <w:r w:rsidR="00CF498B">
        <w:rPr>
          <w:rFonts w:asciiTheme="majorBidi" w:hAnsiTheme="majorBidi" w:cstheme="majorBidi"/>
        </w:rPr>
        <w:t xml:space="preserve"> humanist program of using eloquent speech </w:t>
      </w:r>
      <w:r w:rsidR="00C21D2D">
        <w:rPr>
          <w:rFonts w:asciiTheme="majorBidi" w:hAnsiTheme="majorBidi" w:cstheme="majorBidi"/>
        </w:rPr>
        <w:t xml:space="preserve">to </w:t>
      </w:r>
      <w:r w:rsidR="00484D40">
        <w:rPr>
          <w:rFonts w:asciiTheme="majorBidi" w:hAnsiTheme="majorBidi" w:cstheme="majorBidi"/>
        </w:rPr>
        <w:t xml:space="preserve">change hearts and minds </w:t>
      </w:r>
      <w:r w:rsidR="00CF498B">
        <w:rPr>
          <w:rFonts w:asciiTheme="majorBidi" w:hAnsiTheme="majorBidi" w:cstheme="majorBidi"/>
        </w:rPr>
        <w:t>is</w:t>
      </w:r>
      <w:r w:rsidR="00484D40">
        <w:rPr>
          <w:rFonts w:asciiTheme="majorBidi" w:hAnsiTheme="majorBidi" w:cstheme="majorBidi"/>
        </w:rPr>
        <w:t xml:space="preserve"> </w:t>
      </w:r>
      <w:r w:rsidR="00CF498B">
        <w:rPr>
          <w:rFonts w:asciiTheme="majorBidi" w:hAnsiTheme="majorBidi" w:cstheme="majorBidi"/>
        </w:rPr>
        <w:t>quite analogous</w:t>
      </w:r>
      <w:r w:rsidR="00BF180E">
        <w:rPr>
          <w:rFonts w:asciiTheme="majorBidi" w:hAnsiTheme="majorBidi" w:cstheme="majorBidi"/>
        </w:rPr>
        <w:t xml:space="preserve"> to Ibn al-</w:t>
      </w:r>
      <w:proofErr w:type="spellStart"/>
      <w:r w:rsidR="00BF180E">
        <w:rPr>
          <w:rFonts w:asciiTheme="majorBidi" w:hAnsiTheme="majorBidi" w:cstheme="majorBidi"/>
        </w:rPr>
        <w:t>Jawzī’s</w:t>
      </w:r>
      <w:proofErr w:type="spellEnd"/>
      <w:r w:rsidR="00BF180E">
        <w:rPr>
          <w:rFonts w:asciiTheme="majorBidi" w:hAnsiTheme="majorBidi" w:cstheme="majorBidi"/>
        </w:rPr>
        <w:t xml:space="preserve"> </w:t>
      </w:r>
      <w:r w:rsidR="00C21D2D">
        <w:rPr>
          <w:rFonts w:asciiTheme="majorBidi" w:hAnsiTheme="majorBidi" w:cstheme="majorBidi"/>
        </w:rPr>
        <w:t>conception of</w:t>
      </w:r>
      <w:r w:rsidR="00BF180E">
        <w:rPr>
          <w:rFonts w:asciiTheme="majorBidi" w:hAnsiTheme="majorBidi" w:cstheme="majorBidi"/>
        </w:rPr>
        <w:t xml:space="preserve"> </w:t>
      </w:r>
      <w:r w:rsidR="00417DFA">
        <w:rPr>
          <w:rFonts w:asciiTheme="majorBidi" w:hAnsiTheme="majorBidi" w:cstheme="majorBidi"/>
        </w:rPr>
        <w:t>homiletic exhortation (</w:t>
      </w:r>
      <w:proofErr w:type="spellStart"/>
      <w:r w:rsidR="00417DFA">
        <w:rPr>
          <w:rFonts w:asciiTheme="majorBidi" w:hAnsiTheme="majorBidi" w:cstheme="majorBidi"/>
          <w:i/>
          <w:iCs/>
        </w:rPr>
        <w:t>waʿẓ</w:t>
      </w:r>
      <w:proofErr w:type="spellEnd"/>
      <w:r w:rsidR="00417DFA">
        <w:rPr>
          <w:rFonts w:asciiTheme="majorBidi" w:hAnsiTheme="majorBidi" w:cstheme="majorBidi"/>
        </w:rPr>
        <w:t xml:space="preserve">) </w:t>
      </w:r>
      <w:r w:rsidR="00C21D2D">
        <w:rPr>
          <w:rFonts w:asciiTheme="majorBidi" w:hAnsiTheme="majorBidi" w:cstheme="majorBidi"/>
        </w:rPr>
        <w:t xml:space="preserve">as a means </w:t>
      </w:r>
      <w:r w:rsidR="00417DFA">
        <w:rPr>
          <w:rFonts w:asciiTheme="majorBidi" w:hAnsiTheme="majorBidi" w:cstheme="majorBidi"/>
        </w:rPr>
        <w:t xml:space="preserve">to </w:t>
      </w:r>
      <w:r w:rsidR="00150086">
        <w:rPr>
          <w:rFonts w:asciiTheme="majorBidi" w:hAnsiTheme="majorBidi" w:cstheme="majorBidi"/>
        </w:rPr>
        <w:t>reform, or even soften, heart</w:t>
      </w:r>
      <w:r w:rsidR="00417DFA">
        <w:rPr>
          <w:rFonts w:asciiTheme="majorBidi" w:hAnsiTheme="majorBidi" w:cstheme="majorBidi"/>
        </w:rPr>
        <w:t>s</w:t>
      </w:r>
      <w:r w:rsidR="00150086">
        <w:rPr>
          <w:rFonts w:asciiTheme="majorBidi" w:hAnsiTheme="majorBidi" w:cstheme="majorBidi"/>
        </w:rPr>
        <w:t>.</w:t>
      </w:r>
      <w:r w:rsidR="001D40C1">
        <w:rPr>
          <w:rStyle w:val="FootnoteReference"/>
          <w:rFonts w:asciiTheme="majorBidi" w:hAnsiTheme="majorBidi" w:cstheme="majorBidi"/>
        </w:rPr>
        <w:footnoteReference w:id="53"/>
      </w:r>
      <w:r w:rsidR="00484D40">
        <w:rPr>
          <w:rFonts w:asciiTheme="majorBidi" w:hAnsiTheme="majorBidi" w:cstheme="majorBidi"/>
        </w:rPr>
        <w:t xml:space="preserve"> Like the humanist Francesco Patrizi </w:t>
      </w:r>
      <w:r w:rsidR="00DE4779">
        <w:rPr>
          <w:rFonts w:asciiTheme="majorBidi" w:hAnsiTheme="majorBidi" w:cstheme="majorBidi"/>
        </w:rPr>
        <w:t xml:space="preserve">of Siena </w:t>
      </w:r>
      <w:r w:rsidR="00484D40">
        <w:rPr>
          <w:rFonts w:asciiTheme="majorBidi" w:hAnsiTheme="majorBidi" w:cstheme="majorBidi"/>
        </w:rPr>
        <w:t xml:space="preserve">(d. </w:t>
      </w:r>
      <w:r w:rsidR="00DE4779">
        <w:rPr>
          <w:rFonts w:asciiTheme="majorBidi" w:hAnsiTheme="majorBidi" w:cstheme="majorBidi"/>
        </w:rPr>
        <w:t xml:space="preserve">1494) </w:t>
      </w:r>
      <w:r w:rsidR="00484D40">
        <w:rPr>
          <w:rFonts w:asciiTheme="majorBidi" w:hAnsiTheme="majorBidi" w:cstheme="majorBidi"/>
        </w:rPr>
        <w:t xml:space="preserve">who </w:t>
      </w:r>
      <w:r w:rsidR="00DE4779">
        <w:rPr>
          <w:rFonts w:asciiTheme="majorBidi" w:hAnsiTheme="majorBidi" w:cstheme="majorBidi"/>
        </w:rPr>
        <w:t>describe</w:t>
      </w:r>
      <w:r w:rsidR="001B5188">
        <w:rPr>
          <w:rFonts w:asciiTheme="majorBidi" w:hAnsiTheme="majorBidi" w:cstheme="majorBidi"/>
        </w:rPr>
        <w:t>d</w:t>
      </w:r>
      <w:r w:rsidR="00DE4779">
        <w:rPr>
          <w:rFonts w:asciiTheme="majorBidi" w:hAnsiTheme="majorBidi" w:cstheme="majorBidi"/>
        </w:rPr>
        <w:t xml:space="preserve"> eloquence as a “medicine for the soul, repressing vice and arousing the torpid,”</w:t>
      </w:r>
      <w:r w:rsidR="005C7571">
        <w:rPr>
          <w:rStyle w:val="FootnoteReference"/>
          <w:rFonts w:asciiTheme="majorBidi" w:hAnsiTheme="majorBidi" w:cstheme="majorBidi"/>
        </w:rPr>
        <w:footnoteReference w:id="54"/>
      </w:r>
      <w:r w:rsidR="00DE4779">
        <w:rPr>
          <w:rFonts w:asciiTheme="majorBidi" w:hAnsiTheme="majorBidi" w:cstheme="majorBidi"/>
        </w:rPr>
        <w:t xml:space="preserve"> Ibn al-</w:t>
      </w:r>
      <w:proofErr w:type="spellStart"/>
      <w:r w:rsidR="00DE4779">
        <w:rPr>
          <w:rFonts w:asciiTheme="majorBidi" w:hAnsiTheme="majorBidi" w:cstheme="majorBidi"/>
        </w:rPr>
        <w:t>Jawzī</w:t>
      </w:r>
      <w:proofErr w:type="spellEnd"/>
      <w:r w:rsidR="001B5188">
        <w:rPr>
          <w:rFonts w:asciiTheme="majorBidi" w:hAnsiTheme="majorBidi" w:cstheme="majorBidi"/>
        </w:rPr>
        <w:t xml:space="preserve"> also </w:t>
      </w:r>
      <w:r w:rsidR="00DE4779">
        <w:rPr>
          <w:rFonts w:asciiTheme="majorBidi" w:hAnsiTheme="majorBidi" w:cstheme="majorBidi"/>
        </w:rPr>
        <w:t>conceive</w:t>
      </w:r>
      <w:r w:rsidR="001B5188">
        <w:rPr>
          <w:rFonts w:asciiTheme="majorBidi" w:hAnsiTheme="majorBidi" w:cstheme="majorBidi"/>
        </w:rPr>
        <w:t>d</w:t>
      </w:r>
      <w:r w:rsidR="00DE4779">
        <w:rPr>
          <w:rFonts w:asciiTheme="majorBidi" w:hAnsiTheme="majorBidi" w:cstheme="majorBidi"/>
        </w:rPr>
        <w:t xml:space="preserve"> of </w:t>
      </w:r>
      <w:proofErr w:type="spellStart"/>
      <w:r w:rsidR="00DE4779">
        <w:rPr>
          <w:rFonts w:asciiTheme="majorBidi" w:hAnsiTheme="majorBidi" w:cstheme="majorBidi"/>
          <w:i/>
          <w:iCs/>
        </w:rPr>
        <w:t>waʿẓ</w:t>
      </w:r>
      <w:proofErr w:type="spellEnd"/>
      <w:r w:rsidR="00DE4779">
        <w:rPr>
          <w:rFonts w:asciiTheme="majorBidi" w:hAnsiTheme="majorBidi" w:cstheme="majorBidi"/>
        </w:rPr>
        <w:t xml:space="preserve"> in medicinal terms as the antidote to </w:t>
      </w:r>
      <w:r w:rsidR="001B5188">
        <w:rPr>
          <w:rFonts w:asciiTheme="majorBidi" w:hAnsiTheme="majorBidi" w:cstheme="majorBidi"/>
        </w:rPr>
        <w:t>sins and vices.</w:t>
      </w:r>
      <w:r w:rsidR="001D40C1">
        <w:rPr>
          <w:rStyle w:val="FootnoteReference"/>
          <w:rFonts w:asciiTheme="majorBidi" w:hAnsiTheme="majorBidi" w:cstheme="majorBidi"/>
        </w:rPr>
        <w:footnoteReference w:id="55"/>
      </w:r>
    </w:p>
    <w:p w14:paraId="2D3BDF9E" w14:textId="77777777" w:rsidR="004746E1" w:rsidRDefault="00D024DE" w:rsidP="0037533B">
      <w:pPr>
        <w:spacing w:line="360" w:lineRule="auto"/>
        <w:ind w:firstLine="720"/>
        <w:rPr>
          <w:rFonts w:asciiTheme="majorBidi" w:hAnsiTheme="majorBidi" w:cstheme="majorBidi"/>
        </w:rPr>
      </w:pPr>
      <w:r>
        <w:rPr>
          <w:rFonts w:asciiTheme="majorBidi" w:hAnsiTheme="majorBidi" w:cstheme="majorBidi"/>
        </w:rPr>
        <w:t>Ibn al-</w:t>
      </w:r>
      <w:proofErr w:type="spellStart"/>
      <w:r>
        <w:rPr>
          <w:rFonts w:asciiTheme="majorBidi" w:hAnsiTheme="majorBidi" w:cstheme="majorBidi"/>
        </w:rPr>
        <w:t>Jawzī’s</w:t>
      </w:r>
      <w:proofErr w:type="spellEnd"/>
      <w:r>
        <w:rPr>
          <w:rFonts w:asciiTheme="majorBidi" w:hAnsiTheme="majorBidi" w:cstheme="majorBidi"/>
        </w:rPr>
        <w:t xml:space="preserve"> ameliorative </w:t>
      </w:r>
      <w:r w:rsidR="00B61223">
        <w:rPr>
          <w:rFonts w:asciiTheme="majorBidi" w:hAnsiTheme="majorBidi" w:cstheme="majorBidi"/>
        </w:rPr>
        <w:t>approach</w:t>
      </w:r>
      <w:r w:rsidR="00EA18D2">
        <w:rPr>
          <w:rFonts w:asciiTheme="majorBidi" w:hAnsiTheme="majorBidi" w:cstheme="majorBidi"/>
        </w:rPr>
        <w:t xml:space="preserve"> </w:t>
      </w:r>
      <w:r>
        <w:rPr>
          <w:rFonts w:asciiTheme="majorBidi" w:hAnsiTheme="majorBidi" w:cstheme="majorBidi"/>
        </w:rPr>
        <w:t xml:space="preserve">to politics </w:t>
      </w:r>
      <w:r w:rsidR="00EA18D2">
        <w:rPr>
          <w:rFonts w:asciiTheme="majorBidi" w:hAnsiTheme="majorBidi" w:cstheme="majorBidi"/>
        </w:rPr>
        <w:t>is mediatory in that he view</w:t>
      </w:r>
      <w:r w:rsidR="00B408E7">
        <w:rPr>
          <w:rFonts w:asciiTheme="majorBidi" w:hAnsiTheme="majorBidi" w:cstheme="majorBidi"/>
        </w:rPr>
        <w:t>ed</w:t>
      </w:r>
      <w:r w:rsidR="00EA18D2">
        <w:rPr>
          <w:rFonts w:asciiTheme="majorBidi" w:hAnsiTheme="majorBidi" w:cstheme="majorBidi"/>
        </w:rPr>
        <w:t xml:space="preserve"> the</w:t>
      </w:r>
      <w:r w:rsidR="00D7312E">
        <w:rPr>
          <w:rFonts w:asciiTheme="majorBidi" w:hAnsiTheme="majorBidi" w:cstheme="majorBidi"/>
        </w:rPr>
        <w:t xml:space="preserve"> religious scholars </w:t>
      </w:r>
      <w:r w:rsidR="00EA18D2">
        <w:rPr>
          <w:rFonts w:asciiTheme="majorBidi" w:hAnsiTheme="majorBidi" w:cstheme="majorBidi"/>
        </w:rPr>
        <w:t xml:space="preserve">as mediators between rulers and subjects in the </w:t>
      </w:r>
      <w:r w:rsidR="00B61223">
        <w:rPr>
          <w:rFonts w:asciiTheme="majorBidi" w:hAnsiTheme="majorBidi" w:cstheme="majorBidi"/>
        </w:rPr>
        <w:t>pursuit</w:t>
      </w:r>
      <w:r w:rsidR="00EA18D2">
        <w:rPr>
          <w:rFonts w:asciiTheme="majorBidi" w:hAnsiTheme="majorBidi" w:cstheme="majorBidi"/>
        </w:rPr>
        <w:t xml:space="preserve"> of an ideal Islamic polity. </w:t>
      </w:r>
      <w:r w:rsidR="00D7312E">
        <w:rPr>
          <w:rFonts w:asciiTheme="majorBidi" w:hAnsiTheme="majorBidi" w:cstheme="majorBidi"/>
        </w:rPr>
        <w:t xml:space="preserve">In </w:t>
      </w:r>
      <w:r>
        <w:rPr>
          <w:rFonts w:asciiTheme="majorBidi" w:hAnsiTheme="majorBidi" w:cstheme="majorBidi"/>
        </w:rPr>
        <w:t>hi</w:t>
      </w:r>
      <w:r w:rsidR="00D7312E">
        <w:rPr>
          <w:rFonts w:asciiTheme="majorBidi" w:hAnsiTheme="majorBidi" w:cstheme="majorBidi"/>
        </w:rPr>
        <w:t>s political visi</w:t>
      </w:r>
      <w:r w:rsidR="00F112DE">
        <w:rPr>
          <w:rFonts w:asciiTheme="majorBidi" w:hAnsiTheme="majorBidi" w:cstheme="majorBidi"/>
        </w:rPr>
        <w:t>on</w:t>
      </w:r>
      <w:r w:rsidR="00D7312E">
        <w:rPr>
          <w:rFonts w:asciiTheme="majorBidi" w:hAnsiTheme="majorBidi" w:cstheme="majorBidi"/>
        </w:rPr>
        <w:t>, a just and pious ruler guarantee</w:t>
      </w:r>
      <w:r w:rsidR="00B61223">
        <w:rPr>
          <w:rFonts w:asciiTheme="majorBidi" w:hAnsiTheme="majorBidi" w:cstheme="majorBidi"/>
        </w:rPr>
        <w:t>d</w:t>
      </w:r>
      <w:r w:rsidR="00D7312E">
        <w:rPr>
          <w:rFonts w:asciiTheme="majorBidi" w:hAnsiTheme="majorBidi" w:cstheme="majorBidi"/>
        </w:rPr>
        <w:t xml:space="preserve"> the </w:t>
      </w:r>
      <w:r w:rsidR="00564ADE">
        <w:rPr>
          <w:rFonts w:asciiTheme="majorBidi" w:hAnsiTheme="majorBidi" w:cstheme="majorBidi"/>
        </w:rPr>
        <w:t>general</w:t>
      </w:r>
      <w:r w:rsidR="00D7312E">
        <w:rPr>
          <w:rFonts w:asciiTheme="majorBidi" w:hAnsiTheme="majorBidi" w:cstheme="majorBidi"/>
        </w:rPr>
        <w:t xml:space="preserve"> welfare of the Muslim community</w:t>
      </w:r>
      <w:r w:rsidR="00751AA0">
        <w:rPr>
          <w:rFonts w:asciiTheme="majorBidi" w:hAnsiTheme="majorBidi" w:cstheme="majorBidi"/>
        </w:rPr>
        <w:t>; c</w:t>
      </w:r>
      <w:r w:rsidR="00D7312E">
        <w:rPr>
          <w:rFonts w:asciiTheme="majorBidi" w:hAnsiTheme="majorBidi" w:cstheme="majorBidi"/>
        </w:rPr>
        <w:t>onversely, an unjust and impious ruler naturally le</w:t>
      </w:r>
      <w:r w:rsidR="00B408E7">
        <w:rPr>
          <w:rFonts w:asciiTheme="majorBidi" w:hAnsiTheme="majorBidi" w:cstheme="majorBidi"/>
        </w:rPr>
        <w:t>d</w:t>
      </w:r>
      <w:r w:rsidR="00D7312E">
        <w:rPr>
          <w:rFonts w:asciiTheme="majorBidi" w:hAnsiTheme="majorBidi" w:cstheme="majorBidi"/>
        </w:rPr>
        <w:t xml:space="preserve"> to </w:t>
      </w:r>
      <w:r w:rsidR="001A4A08">
        <w:rPr>
          <w:rFonts w:asciiTheme="majorBidi" w:hAnsiTheme="majorBidi" w:cstheme="majorBidi"/>
        </w:rPr>
        <w:t xml:space="preserve">societal </w:t>
      </w:r>
      <w:r w:rsidR="00564ADE">
        <w:rPr>
          <w:rFonts w:asciiTheme="majorBidi" w:hAnsiTheme="majorBidi" w:cstheme="majorBidi"/>
        </w:rPr>
        <w:t>disorder</w:t>
      </w:r>
      <w:r w:rsidR="003D56C3">
        <w:rPr>
          <w:rFonts w:asciiTheme="majorBidi" w:hAnsiTheme="majorBidi" w:cstheme="majorBidi"/>
        </w:rPr>
        <w:t xml:space="preserve">. </w:t>
      </w:r>
      <w:r w:rsidR="00B61223">
        <w:rPr>
          <w:rFonts w:asciiTheme="majorBidi" w:hAnsiTheme="majorBidi" w:cstheme="majorBidi"/>
        </w:rPr>
        <w:t>Because the</w:t>
      </w:r>
      <w:r w:rsidR="003D56C3">
        <w:rPr>
          <w:rFonts w:asciiTheme="majorBidi" w:hAnsiTheme="majorBidi" w:cstheme="majorBidi"/>
        </w:rPr>
        <w:t xml:space="preserve"> morality of the ruler matter</w:t>
      </w:r>
      <w:r w:rsidR="00B61223">
        <w:rPr>
          <w:rFonts w:asciiTheme="majorBidi" w:hAnsiTheme="majorBidi" w:cstheme="majorBidi"/>
        </w:rPr>
        <w:t xml:space="preserve">ed for the common good, </w:t>
      </w:r>
      <w:r w:rsidR="009C0638">
        <w:rPr>
          <w:rFonts w:asciiTheme="majorBidi" w:hAnsiTheme="majorBidi" w:cstheme="majorBidi"/>
        </w:rPr>
        <w:t xml:space="preserve">counsel and advice </w:t>
      </w:r>
      <w:r w:rsidR="00B61223">
        <w:rPr>
          <w:rFonts w:asciiTheme="majorBidi" w:hAnsiTheme="majorBidi" w:cstheme="majorBidi"/>
        </w:rPr>
        <w:t>we</w:t>
      </w:r>
      <w:r w:rsidR="009C0638">
        <w:rPr>
          <w:rFonts w:asciiTheme="majorBidi" w:hAnsiTheme="majorBidi" w:cstheme="majorBidi"/>
        </w:rPr>
        <w:t xml:space="preserve">re required to </w:t>
      </w:r>
      <w:r w:rsidR="00B61223">
        <w:rPr>
          <w:rFonts w:asciiTheme="majorBidi" w:hAnsiTheme="majorBidi" w:cstheme="majorBidi"/>
        </w:rPr>
        <w:t>reform rulers whenever they veered off the moral path</w:t>
      </w:r>
      <w:r w:rsidR="00F112DE">
        <w:rPr>
          <w:rFonts w:asciiTheme="majorBidi" w:hAnsiTheme="majorBidi" w:cstheme="majorBidi"/>
        </w:rPr>
        <w:t xml:space="preserve">, an approach </w:t>
      </w:r>
      <w:r w:rsidR="00B62CFF">
        <w:rPr>
          <w:rFonts w:asciiTheme="majorBidi" w:hAnsiTheme="majorBidi" w:cstheme="majorBidi"/>
        </w:rPr>
        <w:t>with which</w:t>
      </w:r>
      <w:r w:rsidR="00F112DE">
        <w:rPr>
          <w:rFonts w:asciiTheme="majorBidi" w:hAnsiTheme="majorBidi" w:cstheme="majorBidi"/>
        </w:rPr>
        <w:t xml:space="preserve"> the Italian </w:t>
      </w:r>
      <w:r w:rsidR="00F112DE">
        <w:rPr>
          <w:rFonts w:asciiTheme="majorBidi" w:hAnsiTheme="majorBidi" w:cstheme="majorBidi"/>
        </w:rPr>
        <w:lastRenderedPageBreak/>
        <w:t>humanists</w:t>
      </w:r>
      <w:r w:rsidR="00B62CFF">
        <w:rPr>
          <w:rFonts w:asciiTheme="majorBidi" w:hAnsiTheme="majorBidi" w:cstheme="majorBidi"/>
        </w:rPr>
        <w:t xml:space="preserve"> would find much to agree</w:t>
      </w:r>
      <w:r w:rsidR="009C0638">
        <w:rPr>
          <w:rFonts w:asciiTheme="majorBidi" w:hAnsiTheme="majorBidi" w:cstheme="majorBidi"/>
        </w:rPr>
        <w:t>.</w:t>
      </w:r>
      <w:r w:rsidR="004B1C03">
        <w:rPr>
          <w:rFonts w:asciiTheme="majorBidi" w:hAnsiTheme="majorBidi" w:cstheme="majorBidi"/>
        </w:rPr>
        <w:t xml:space="preserve"> </w:t>
      </w:r>
      <w:r w:rsidR="00F112DE">
        <w:rPr>
          <w:rFonts w:asciiTheme="majorBidi" w:hAnsiTheme="majorBidi" w:cstheme="majorBidi"/>
        </w:rPr>
        <w:t xml:space="preserve">But </w:t>
      </w:r>
      <w:r w:rsidR="00B62CFF">
        <w:rPr>
          <w:rFonts w:asciiTheme="majorBidi" w:hAnsiTheme="majorBidi" w:cstheme="majorBidi"/>
        </w:rPr>
        <w:t xml:space="preserve">unlike the humanists, who considered this task of counsel and advice </w:t>
      </w:r>
      <w:r w:rsidR="007F4B5A">
        <w:rPr>
          <w:rFonts w:asciiTheme="majorBidi" w:hAnsiTheme="majorBidi" w:cstheme="majorBidi"/>
        </w:rPr>
        <w:t xml:space="preserve">mainly </w:t>
      </w:r>
      <w:r w:rsidR="007B2F19">
        <w:rPr>
          <w:rFonts w:asciiTheme="majorBidi" w:hAnsiTheme="majorBidi" w:cstheme="majorBidi"/>
        </w:rPr>
        <w:t xml:space="preserve">to be the responsibility of </w:t>
      </w:r>
      <w:r w:rsidR="00B62CFF">
        <w:rPr>
          <w:rFonts w:asciiTheme="majorBidi" w:hAnsiTheme="majorBidi" w:cstheme="majorBidi"/>
        </w:rPr>
        <w:t>learned men outside the religious hierarchy</w:t>
      </w:r>
      <w:r w:rsidR="007F4B5A">
        <w:rPr>
          <w:rFonts w:asciiTheme="majorBidi" w:hAnsiTheme="majorBidi" w:cstheme="majorBidi"/>
        </w:rPr>
        <w:t>—</w:t>
      </w:r>
      <w:r w:rsidR="00B62CFF">
        <w:rPr>
          <w:rFonts w:asciiTheme="majorBidi" w:hAnsiTheme="majorBidi" w:cstheme="majorBidi"/>
        </w:rPr>
        <w:t>including teachers, poets, chancery officials, bureaucrats, and statesmen</w:t>
      </w:r>
      <w:r w:rsidR="007F4B5A">
        <w:rPr>
          <w:rFonts w:asciiTheme="majorBidi" w:hAnsiTheme="majorBidi" w:cstheme="majorBidi"/>
        </w:rPr>
        <w:t>—</w:t>
      </w:r>
      <w:r>
        <w:rPr>
          <w:rFonts w:asciiTheme="majorBidi" w:hAnsiTheme="majorBidi" w:cstheme="majorBidi"/>
        </w:rPr>
        <w:t>Ibn al-</w:t>
      </w:r>
      <w:proofErr w:type="spellStart"/>
      <w:r>
        <w:rPr>
          <w:rFonts w:asciiTheme="majorBidi" w:hAnsiTheme="majorBidi" w:cstheme="majorBidi"/>
        </w:rPr>
        <w:t>Jawzī</w:t>
      </w:r>
      <w:proofErr w:type="spellEnd"/>
      <w:r>
        <w:rPr>
          <w:rFonts w:asciiTheme="majorBidi" w:hAnsiTheme="majorBidi" w:cstheme="majorBidi"/>
        </w:rPr>
        <w:t xml:space="preserve"> </w:t>
      </w:r>
      <w:r w:rsidR="00B62CFF">
        <w:rPr>
          <w:rFonts w:asciiTheme="majorBidi" w:hAnsiTheme="majorBidi" w:cstheme="majorBidi"/>
        </w:rPr>
        <w:t>placed its onus on</w:t>
      </w:r>
      <w:r w:rsidR="009C0638">
        <w:rPr>
          <w:rFonts w:asciiTheme="majorBidi" w:hAnsiTheme="majorBidi" w:cstheme="majorBidi"/>
        </w:rPr>
        <w:t xml:space="preserve"> the religious scholars.</w:t>
      </w:r>
      <w:r w:rsidR="004B7256">
        <w:rPr>
          <w:rFonts w:asciiTheme="majorBidi" w:hAnsiTheme="majorBidi" w:cstheme="majorBidi"/>
        </w:rPr>
        <w:t xml:space="preserve"> </w:t>
      </w:r>
    </w:p>
    <w:p w14:paraId="0D9BEB7E" w14:textId="75864765" w:rsidR="004B7256" w:rsidRDefault="0065303F" w:rsidP="0037533B">
      <w:pPr>
        <w:spacing w:line="360" w:lineRule="auto"/>
        <w:ind w:firstLine="720"/>
        <w:rPr>
          <w:rFonts w:asciiTheme="majorBidi" w:hAnsiTheme="majorBidi" w:cstheme="majorBidi"/>
        </w:rPr>
      </w:pPr>
      <w:r>
        <w:rPr>
          <w:rFonts w:asciiTheme="majorBidi" w:hAnsiTheme="majorBidi" w:cstheme="majorBidi"/>
        </w:rPr>
        <w:t xml:space="preserve">To the extent that </w:t>
      </w:r>
      <w:r w:rsidR="004B1C03">
        <w:rPr>
          <w:rFonts w:asciiTheme="majorBidi" w:hAnsiTheme="majorBidi" w:cstheme="majorBidi"/>
        </w:rPr>
        <w:t xml:space="preserve">religious </w:t>
      </w:r>
      <w:r>
        <w:rPr>
          <w:rFonts w:asciiTheme="majorBidi" w:hAnsiTheme="majorBidi" w:cstheme="majorBidi"/>
        </w:rPr>
        <w:t>s</w:t>
      </w:r>
      <w:r w:rsidR="00D024DE">
        <w:rPr>
          <w:rFonts w:asciiTheme="majorBidi" w:hAnsiTheme="majorBidi" w:cstheme="majorBidi"/>
        </w:rPr>
        <w:t xml:space="preserve">cholars </w:t>
      </w:r>
      <w:r w:rsidR="00B3610D">
        <w:rPr>
          <w:rFonts w:asciiTheme="majorBidi" w:hAnsiTheme="majorBidi" w:cstheme="majorBidi"/>
        </w:rPr>
        <w:t>contributed to their respective communities</w:t>
      </w:r>
      <w:r w:rsidR="00BA037D">
        <w:rPr>
          <w:rFonts w:asciiTheme="majorBidi" w:hAnsiTheme="majorBidi" w:cstheme="majorBidi"/>
        </w:rPr>
        <w:t xml:space="preserve"> by </w:t>
      </w:r>
      <w:r w:rsidR="00B3610D">
        <w:rPr>
          <w:rFonts w:asciiTheme="majorBidi" w:hAnsiTheme="majorBidi" w:cstheme="majorBidi"/>
        </w:rPr>
        <w:t>transmitting</w:t>
      </w:r>
      <w:r w:rsidR="001F34E5">
        <w:rPr>
          <w:rFonts w:asciiTheme="majorBidi" w:hAnsiTheme="majorBidi" w:cstheme="majorBidi"/>
        </w:rPr>
        <w:t xml:space="preserve"> religious knowledge and </w:t>
      </w:r>
      <w:r>
        <w:rPr>
          <w:rFonts w:asciiTheme="majorBidi" w:hAnsiTheme="majorBidi" w:cstheme="majorBidi"/>
        </w:rPr>
        <w:t>providing legal guidance to</w:t>
      </w:r>
      <w:r w:rsidR="00BA037D">
        <w:rPr>
          <w:rFonts w:asciiTheme="majorBidi" w:hAnsiTheme="majorBidi" w:cstheme="majorBidi"/>
        </w:rPr>
        <w:t xml:space="preserve"> </w:t>
      </w:r>
      <w:r w:rsidR="00B3610D">
        <w:rPr>
          <w:rFonts w:asciiTheme="majorBidi" w:hAnsiTheme="majorBidi" w:cstheme="majorBidi"/>
        </w:rPr>
        <w:t>those around the</w:t>
      </w:r>
      <w:r>
        <w:rPr>
          <w:rFonts w:asciiTheme="majorBidi" w:hAnsiTheme="majorBidi" w:cstheme="majorBidi"/>
        </w:rPr>
        <w:t>m</w:t>
      </w:r>
      <w:r w:rsidR="00C0068B">
        <w:rPr>
          <w:rFonts w:asciiTheme="majorBidi" w:hAnsiTheme="majorBidi" w:cstheme="majorBidi"/>
        </w:rPr>
        <w:t xml:space="preserve">, they </w:t>
      </w:r>
      <w:r>
        <w:rPr>
          <w:rFonts w:asciiTheme="majorBidi" w:hAnsiTheme="majorBidi" w:cstheme="majorBidi"/>
        </w:rPr>
        <w:t xml:space="preserve">could potentially benefit an entire polity by </w:t>
      </w:r>
      <w:r w:rsidR="002015E9">
        <w:rPr>
          <w:rFonts w:asciiTheme="majorBidi" w:hAnsiTheme="majorBidi" w:cstheme="majorBidi"/>
        </w:rPr>
        <w:t>guiding its ruler toward virtuous rule.</w:t>
      </w:r>
      <w:r w:rsidR="00D024DE">
        <w:rPr>
          <w:rFonts w:asciiTheme="majorBidi" w:hAnsiTheme="majorBidi" w:cstheme="majorBidi"/>
        </w:rPr>
        <w:t xml:space="preserve"> </w:t>
      </w:r>
      <w:r w:rsidR="002015E9">
        <w:rPr>
          <w:rFonts w:asciiTheme="majorBidi" w:hAnsiTheme="majorBidi" w:cstheme="majorBidi"/>
        </w:rPr>
        <w:t>“The foremost among those who would benefit from knowledge (</w:t>
      </w:r>
      <w:proofErr w:type="spellStart"/>
      <w:r w:rsidR="002015E9">
        <w:rPr>
          <w:rFonts w:asciiTheme="majorBidi" w:hAnsiTheme="majorBidi" w:cstheme="majorBidi"/>
          <w:i/>
          <w:iCs/>
        </w:rPr>
        <w:t>ʿilm</w:t>
      </w:r>
      <w:proofErr w:type="spellEnd"/>
      <w:r w:rsidR="002015E9">
        <w:rPr>
          <w:rFonts w:asciiTheme="majorBidi" w:hAnsiTheme="majorBidi" w:cstheme="majorBidi"/>
        </w:rPr>
        <w:t>),” Ibn al-</w:t>
      </w:r>
      <w:proofErr w:type="spellStart"/>
      <w:r w:rsidR="002015E9">
        <w:rPr>
          <w:rFonts w:asciiTheme="majorBidi" w:hAnsiTheme="majorBidi" w:cstheme="majorBidi"/>
        </w:rPr>
        <w:t>Jawzī</w:t>
      </w:r>
      <w:proofErr w:type="spellEnd"/>
      <w:r w:rsidR="002015E9">
        <w:rPr>
          <w:rFonts w:asciiTheme="majorBidi" w:hAnsiTheme="majorBidi" w:cstheme="majorBidi"/>
        </w:rPr>
        <w:t xml:space="preserve"> </w:t>
      </w:r>
      <w:r w:rsidR="005F06B4">
        <w:rPr>
          <w:rFonts w:asciiTheme="majorBidi" w:hAnsiTheme="majorBidi" w:cstheme="majorBidi"/>
        </w:rPr>
        <w:t>claims</w:t>
      </w:r>
      <w:r w:rsidR="002015E9">
        <w:rPr>
          <w:rFonts w:asciiTheme="majorBidi" w:hAnsiTheme="majorBidi" w:cstheme="majorBidi"/>
        </w:rPr>
        <w:t>, “is he for whom this benefit surpasses [all others</w:t>
      </w:r>
      <w:r w:rsidR="007F4B5A">
        <w:rPr>
          <w:rFonts w:asciiTheme="majorBidi" w:hAnsiTheme="majorBidi" w:cstheme="majorBidi"/>
        </w:rPr>
        <w:t>]</w:t>
      </w:r>
      <w:r w:rsidR="002015E9">
        <w:rPr>
          <w:rFonts w:asciiTheme="majorBidi" w:hAnsiTheme="majorBidi" w:cstheme="majorBidi"/>
        </w:rPr>
        <w:t>. The benefit</w:t>
      </w:r>
      <w:r w:rsidR="00A230FC">
        <w:rPr>
          <w:rFonts w:asciiTheme="majorBidi" w:hAnsiTheme="majorBidi" w:cstheme="majorBidi"/>
        </w:rPr>
        <w:t>s</w:t>
      </w:r>
      <w:r w:rsidR="002015E9">
        <w:rPr>
          <w:rFonts w:asciiTheme="majorBidi" w:hAnsiTheme="majorBidi" w:cstheme="majorBidi"/>
        </w:rPr>
        <w:t xml:space="preserve"> that knowledge </w:t>
      </w:r>
      <w:r w:rsidR="004F3AF2">
        <w:rPr>
          <w:rFonts w:asciiTheme="majorBidi" w:hAnsiTheme="majorBidi" w:cstheme="majorBidi"/>
        </w:rPr>
        <w:t>brings</w:t>
      </w:r>
      <w:r w:rsidR="002015E9">
        <w:rPr>
          <w:rFonts w:asciiTheme="majorBidi" w:hAnsiTheme="majorBidi" w:cstheme="majorBidi"/>
        </w:rPr>
        <w:t xml:space="preserve"> to the ruler (</w:t>
      </w:r>
      <w:r w:rsidR="002015E9">
        <w:rPr>
          <w:rFonts w:asciiTheme="majorBidi" w:hAnsiTheme="majorBidi" w:cstheme="majorBidi"/>
          <w:i/>
          <w:iCs/>
        </w:rPr>
        <w:t>al-</w:t>
      </w:r>
      <w:proofErr w:type="spellStart"/>
      <w:r w:rsidR="002015E9">
        <w:rPr>
          <w:rFonts w:asciiTheme="majorBidi" w:hAnsiTheme="majorBidi" w:cstheme="majorBidi"/>
          <w:i/>
          <w:iCs/>
        </w:rPr>
        <w:t>sulṭān</w:t>
      </w:r>
      <w:proofErr w:type="spellEnd"/>
      <w:r w:rsidR="002015E9">
        <w:rPr>
          <w:rFonts w:asciiTheme="majorBidi" w:hAnsiTheme="majorBidi" w:cstheme="majorBidi"/>
        </w:rPr>
        <w:t xml:space="preserve">) </w:t>
      </w:r>
      <w:r w:rsidR="00AC7D6C">
        <w:rPr>
          <w:rFonts w:asciiTheme="majorBidi" w:hAnsiTheme="majorBidi" w:cstheme="majorBidi"/>
        </w:rPr>
        <w:t>extend beyond him</w:t>
      </w:r>
      <w:r w:rsidR="00093E2B">
        <w:rPr>
          <w:rFonts w:asciiTheme="majorBidi" w:hAnsiTheme="majorBidi" w:cstheme="majorBidi"/>
        </w:rPr>
        <w:t xml:space="preserve">, and </w:t>
      </w:r>
      <w:r w:rsidR="00A230FC">
        <w:rPr>
          <w:rFonts w:asciiTheme="majorBidi" w:hAnsiTheme="majorBidi" w:cstheme="majorBidi"/>
        </w:rPr>
        <w:t>thus</w:t>
      </w:r>
      <w:r w:rsidR="00093E2B">
        <w:rPr>
          <w:rFonts w:asciiTheme="majorBidi" w:hAnsiTheme="majorBidi" w:cstheme="majorBidi"/>
        </w:rPr>
        <w:t xml:space="preserve"> </w:t>
      </w:r>
      <w:r w:rsidR="00ED5FFE">
        <w:rPr>
          <w:rFonts w:asciiTheme="majorBidi" w:hAnsiTheme="majorBidi" w:cstheme="majorBidi"/>
        </w:rPr>
        <w:t xml:space="preserve">it is </w:t>
      </w:r>
      <w:r w:rsidR="00A230FC">
        <w:rPr>
          <w:rFonts w:asciiTheme="majorBidi" w:hAnsiTheme="majorBidi" w:cstheme="majorBidi"/>
        </w:rPr>
        <w:t>necessary</w:t>
      </w:r>
      <w:r w:rsidR="00ED5FFE">
        <w:rPr>
          <w:rFonts w:asciiTheme="majorBidi" w:hAnsiTheme="majorBidi" w:cstheme="majorBidi"/>
        </w:rPr>
        <w:t xml:space="preserve"> to guide and instruct him.</w:t>
      </w:r>
      <w:r w:rsidR="00AC7D6C">
        <w:rPr>
          <w:rFonts w:asciiTheme="majorBidi" w:hAnsiTheme="majorBidi" w:cstheme="majorBidi"/>
        </w:rPr>
        <w:t>”</w:t>
      </w:r>
      <w:r w:rsidR="00AC7D6C">
        <w:rPr>
          <w:rStyle w:val="FootnoteReference"/>
          <w:rFonts w:asciiTheme="majorBidi" w:hAnsiTheme="majorBidi" w:cstheme="majorBidi"/>
        </w:rPr>
        <w:footnoteReference w:id="56"/>
      </w:r>
      <w:r w:rsidR="00994752">
        <w:rPr>
          <w:rFonts w:asciiTheme="majorBidi" w:hAnsiTheme="majorBidi" w:cstheme="majorBidi"/>
        </w:rPr>
        <w:t xml:space="preserve"> </w:t>
      </w:r>
      <w:r w:rsidR="006B16DB">
        <w:rPr>
          <w:rFonts w:asciiTheme="majorBidi" w:hAnsiTheme="majorBidi" w:cstheme="majorBidi"/>
        </w:rPr>
        <w:t xml:space="preserve">This stress on the ruler’s morals in the pursuit of societal reform can be distinguished from </w:t>
      </w:r>
      <w:r w:rsidR="00C0739D">
        <w:rPr>
          <w:rFonts w:asciiTheme="majorBidi" w:hAnsiTheme="majorBidi" w:cstheme="majorBidi"/>
        </w:rPr>
        <w:t>the prevalent</w:t>
      </w:r>
      <w:r w:rsidR="006B16DB">
        <w:rPr>
          <w:rFonts w:asciiTheme="majorBidi" w:hAnsiTheme="majorBidi" w:cstheme="majorBidi"/>
        </w:rPr>
        <w:t xml:space="preserve"> juridical approach of redefining the boundaries of legality when faced with rulers who fell short of the ideal</w:t>
      </w:r>
      <w:r w:rsidR="008D1707">
        <w:rPr>
          <w:rFonts w:asciiTheme="majorBidi" w:hAnsiTheme="majorBidi" w:cstheme="majorBidi"/>
        </w:rPr>
        <w:t xml:space="preserve">—what </w:t>
      </w:r>
      <w:r w:rsidR="007F4B5A">
        <w:rPr>
          <w:rFonts w:asciiTheme="majorBidi" w:hAnsiTheme="majorBidi" w:cstheme="majorBidi"/>
        </w:rPr>
        <w:t xml:space="preserve">some </w:t>
      </w:r>
      <w:r w:rsidR="008D1707">
        <w:rPr>
          <w:rFonts w:asciiTheme="majorBidi" w:hAnsiTheme="majorBidi" w:cstheme="majorBidi"/>
        </w:rPr>
        <w:t>modern scholars would refer to as the construing of legal fictions</w:t>
      </w:r>
      <w:r w:rsidR="006B16DB">
        <w:rPr>
          <w:rFonts w:asciiTheme="majorBidi" w:hAnsiTheme="majorBidi" w:cstheme="majorBidi"/>
        </w:rPr>
        <w:t xml:space="preserve">. </w:t>
      </w:r>
      <w:r w:rsidR="008D1707">
        <w:rPr>
          <w:rFonts w:asciiTheme="majorBidi" w:hAnsiTheme="majorBidi" w:cstheme="majorBidi"/>
        </w:rPr>
        <w:t xml:space="preserve">The willingness to </w:t>
      </w:r>
      <w:r w:rsidR="00785E17">
        <w:rPr>
          <w:rFonts w:asciiTheme="majorBidi" w:hAnsiTheme="majorBidi" w:cstheme="majorBidi"/>
        </w:rPr>
        <w:t>legitimiz</w:t>
      </w:r>
      <w:r w:rsidR="008D1707">
        <w:rPr>
          <w:rFonts w:asciiTheme="majorBidi" w:hAnsiTheme="majorBidi" w:cstheme="majorBidi"/>
        </w:rPr>
        <w:t>e</w:t>
      </w:r>
      <w:r w:rsidR="00785E17">
        <w:rPr>
          <w:rFonts w:asciiTheme="majorBidi" w:hAnsiTheme="majorBidi" w:cstheme="majorBidi"/>
        </w:rPr>
        <w:t xml:space="preserve"> usurpers and </w:t>
      </w:r>
      <w:r w:rsidR="008D1707">
        <w:rPr>
          <w:rFonts w:asciiTheme="majorBidi" w:hAnsiTheme="majorBidi" w:cstheme="majorBidi"/>
        </w:rPr>
        <w:t>to accept an inferior candidate (</w:t>
      </w:r>
      <w:r w:rsidR="008D1707">
        <w:rPr>
          <w:rFonts w:asciiTheme="majorBidi" w:hAnsiTheme="majorBidi" w:cstheme="majorBidi"/>
          <w:i/>
          <w:iCs/>
        </w:rPr>
        <w:t>al-</w:t>
      </w:r>
      <w:proofErr w:type="spellStart"/>
      <w:r w:rsidR="008D1707">
        <w:rPr>
          <w:rFonts w:asciiTheme="majorBidi" w:hAnsiTheme="majorBidi" w:cstheme="majorBidi"/>
          <w:i/>
          <w:iCs/>
        </w:rPr>
        <w:t>mafḍūl</w:t>
      </w:r>
      <w:proofErr w:type="spellEnd"/>
      <w:r w:rsidR="008D1707">
        <w:rPr>
          <w:rFonts w:asciiTheme="majorBidi" w:hAnsiTheme="majorBidi" w:cstheme="majorBidi"/>
        </w:rPr>
        <w:t>)</w:t>
      </w:r>
      <w:r w:rsidR="008D1707">
        <w:rPr>
          <w:rFonts w:asciiTheme="majorBidi" w:hAnsiTheme="majorBidi" w:cstheme="majorBidi"/>
          <w:i/>
          <w:iCs/>
        </w:rPr>
        <w:t xml:space="preserve"> </w:t>
      </w:r>
      <w:r w:rsidR="008D1707">
        <w:rPr>
          <w:rFonts w:asciiTheme="majorBidi" w:hAnsiTheme="majorBidi" w:cstheme="majorBidi"/>
        </w:rPr>
        <w:t xml:space="preserve">for leadership </w:t>
      </w:r>
      <w:r w:rsidR="003D16E9">
        <w:rPr>
          <w:rFonts w:asciiTheme="majorBidi" w:hAnsiTheme="majorBidi" w:cstheme="majorBidi"/>
        </w:rPr>
        <w:t>is</w:t>
      </w:r>
      <w:r w:rsidR="00126430">
        <w:rPr>
          <w:rFonts w:asciiTheme="majorBidi" w:hAnsiTheme="majorBidi" w:cstheme="majorBidi"/>
        </w:rPr>
        <w:t xml:space="preserve"> characteristic of such juridical efforts.</w:t>
      </w:r>
      <w:r w:rsidR="00126430">
        <w:rPr>
          <w:rStyle w:val="FootnoteReference"/>
          <w:rFonts w:asciiTheme="majorBidi" w:hAnsiTheme="majorBidi" w:cstheme="majorBidi"/>
        </w:rPr>
        <w:footnoteReference w:id="57"/>
      </w:r>
      <w:r w:rsidR="00126430">
        <w:rPr>
          <w:rFonts w:asciiTheme="majorBidi" w:hAnsiTheme="majorBidi" w:cstheme="majorBidi"/>
        </w:rPr>
        <w:t xml:space="preserve"> </w:t>
      </w:r>
      <w:r w:rsidR="00E27974">
        <w:rPr>
          <w:rFonts w:asciiTheme="majorBidi" w:hAnsiTheme="majorBidi" w:cstheme="majorBidi"/>
        </w:rPr>
        <w:t>When viewed in light of today’s emphasis on institutions and checks and balances in government, Ibn al-</w:t>
      </w:r>
      <w:proofErr w:type="spellStart"/>
      <w:r w:rsidR="00E27974">
        <w:rPr>
          <w:rFonts w:asciiTheme="majorBidi" w:hAnsiTheme="majorBidi" w:cstheme="majorBidi"/>
        </w:rPr>
        <w:t>Jawzī’s</w:t>
      </w:r>
      <w:proofErr w:type="spellEnd"/>
      <w:r w:rsidR="00E27974">
        <w:rPr>
          <w:rFonts w:asciiTheme="majorBidi" w:hAnsiTheme="majorBidi" w:cstheme="majorBidi"/>
        </w:rPr>
        <w:t xml:space="preserve"> anchoring of his ideal polity on </w:t>
      </w:r>
      <w:r w:rsidR="00B50C2D">
        <w:rPr>
          <w:rFonts w:asciiTheme="majorBidi" w:hAnsiTheme="majorBidi" w:cstheme="majorBidi"/>
        </w:rPr>
        <w:t xml:space="preserve">the </w:t>
      </w:r>
      <w:r w:rsidR="007F4B5A">
        <w:rPr>
          <w:rFonts w:asciiTheme="majorBidi" w:hAnsiTheme="majorBidi" w:cstheme="majorBidi"/>
        </w:rPr>
        <w:t xml:space="preserve">scholar’s </w:t>
      </w:r>
      <w:r w:rsidR="00E27974">
        <w:rPr>
          <w:rFonts w:asciiTheme="majorBidi" w:hAnsiTheme="majorBidi" w:cstheme="majorBidi"/>
        </w:rPr>
        <w:t xml:space="preserve">moral </w:t>
      </w:r>
      <w:r w:rsidR="00B50C2D">
        <w:rPr>
          <w:rFonts w:asciiTheme="majorBidi" w:hAnsiTheme="majorBidi" w:cstheme="majorBidi"/>
        </w:rPr>
        <w:t xml:space="preserve">reform of </w:t>
      </w:r>
      <w:r w:rsidR="00E27974">
        <w:rPr>
          <w:rFonts w:asciiTheme="majorBidi" w:hAnsiTheme="majorBidi" w:cstheme="majorBidi"/>
        </w:rPr>
        <w:t>a monarch</w:t>
      </w:r>
      <w:r w:rsidR="00B50C2D">
        <w:rPr>
          <w:rFonts w:asciiTheme="majorBidi" w:hAnsiTheme="majorBidi" w:cstheme="majorBidi"/>
        </w:rPr>
        <w:t xml:space="preserve"> might s</w:t>
      </w:r>
      <w:r w:rsidR="003D16E9">
        <w:rPr>
          <w:rFonts w:asciiTheme="majorBidi" w:hAnsiTheme="majorBidi" w:cstheme="majorBidi"/>
        </w:rPr>
        <w:t>ound</w:t>
      </w:r>
      <w:r w:rsidR="00B50C2D">
        <w:rPr>
          <w:rFonts w:asciiTheme="majorBidi" w:hAnsiTheme="majorBidi" w:cstheme="majorBidi"/>
        </w:rPr>
        <w:t xml:space="preserve"> naïve to </w:t>
      </w:r>
      <w:r w:rsidR="007E5C8D">
        <w:rPr>
          <w:rFonts w:asciiTheme="majorBidi" w:hAnsiTheme="majorBidi" w:cstheme="majorBidi"/>
        </w:rPr>
        <w:t>our modern sensibilities</w:t>
      </w:r>
      <w:r w:rsidR="00E27974">
        <w:rPr>
          <w:rFonts w:asciiTheme="majorBidi" w:hAnsiTheme="majorBidi" w:cstheme="majorBidi"/>
        </w:rPr>
        <w:t xml:space="preserve">. </w:t>
      </w:r>
      <w:r w:rsidR="00DA3525">
        <w:rPr>
          <w:rFonts w:asciiTheme="majorBidi" w:hAnsiTheme="majorBidi" w:cstheme="majorBidi"/>
        </w:rPr>
        <w:t>I</w:t>
      </w:r>
      <w:r w:rsidR="00E27974">
        <w:rPr>
          <w:rFonts w:asciiTheme="majorBidi" w:hAnsiTheme="majorBidi" w:cstheme="majorBidi"/>
        </w:rPr>
        <w:t xml:space="preserve">t would have </w:t>
      </w:r>
      <w:r w:rsidR="001727B9">
        <w:rPr>
          <w:rFonts w:asciiTheme="majorBidi" w:hAnsiTheme="majorBidi" w:cstheme="majorBidi"/>
        </w:rPr>
        <w:t xml:space="preserve">also </w:t>
      </w:r>
      <w:r w:rsidR="00E27974">
        <w:rPr>
          <w:rFonts w:asciiTheme="majorBidi" w:hAnsiTheme="majorBidi" w:cstheme="majorBidi"/>
        </w:rPr>
        <w:t xml:space="preserve">sounded </w:t>
      </w:r>
      <w:r w:rsidR="001727B9">
        <w:rPr>
          <w:rFonts w:asciiTheme="majorBidi" w:hAnsiTheme="majorBidi" w:cstheme="majorBidi"/>
        </w:rPr>
        <w:t xml:space="preserve">equally </w:t>
      </w:r>
      <w:r w:rsidR="00B41A50">
        <w:rPr>
          <w:rFonts w:asciiTheme="majorBidi" w:hAnsiTheme="majorBidi" w:cstheme="majorBidi"/>
        </w:rPr>
        <w:t>impossible to many jurists of his time who thought that “</w:t>
      </w:r>
      <w:r w:rsidR="00B41A50" w:rsidRPr="001E24FD">
        <w:rPr>
          <w:rFonts w:asciiTheme="majorBidi" w:hAnsiTheme="majorBidi" w:cstheme="majorBidi"/>
        </w:rPr>
        <w:t xml:space="preserve">the world </w:t>
      </w:r>
      <w:r w:rsidR="00B41A50">
        <w:rPr>
          <w:rFonts w:asciiTheme="majorBidi" w:hAnsiTheme="majorBidi" w:cstheme="majorBidi"/>
        </w:rPr>
        <w:t>[was]</w:t>
      </w:r>
      <w:r w:rsidR="00B41A50" w:rsidRPr="001E24FD">
        <w:rPr>
          <w:rFonts w:asciiTheme="majorBidi" w:hAnsiTheme="majorBidi" w:cstheme="majorBidi"/>
        </w:rPr>
        <w:t xml:space="preserve"> not so enchanted that the piety of the ruler would in itself ensure prosperity and piety of the ruled</w:t>
      </w:r>
      <w:r w:rsidR="00B41A50">
        <w:rPr>
          <w:rFonts w:asciiTheme="majorBidi" w:hAnsiTheme="majorBidi" w:cstheme="majorBidi"/>
        </w:rPr>
        <w:t>,” to borrow from Anjum’s assessment of al-</w:t>
      </w:r>
      <w:proofErr w:type="spellStart"/>
      <w:r w:rsidR="00B41A50">
        <w:rPr>
          <w:rFonts w:asciiTheme="majorBidi" w:hAnsiTheme="majorBidi" w:cstheme="majorBidi"/>
        </w:rPr>
        <w:t>Juwaynī’s</w:t>
      </w:r>
      <w:proofErr w:type="spellEnd"/>
      <w:r w:rsidR="00B41A50">
        <w:rPr>
          <w:rFonts w:asciiTheme="majorBidi" w:hAnsiTheme="majorBidi" w:cstheme="majorBidi"/>
        </w:rPr>
        <w:t xml:space="preserve"> political thought.</w:t>
      </w:r>
      <w:r w:rsidR="00B41A50">
        <w:rPr>
          <w:rStyle w:val="FootnoteReference"/>
          <w:rFonts w:asciiTheme="majorBidi" w:hAnsiTheme="majorBidi" w:cstheme="majorBidi"/>
        </w:rPr>
        <w:footnoteReference w:id="58"/>
      </w:r>
      <w:r w:rsidR="00751AA0">
        <w:rPr>
          <w:rFonts w:asciiTheme="majorBidi" w:hAnsiTheme="majorBidi" w:cstheme="majorBidi"/>
        </w:rPr>
        <w:t xml:space="preserve"> </w:t>
      </w:r>
      <w:r w:rsidR="00484217">
        <w:rPr>
          <w:rFonts w:asciiTheme="majorBidi" w:hAnsiTheme="majorBidi" w:cstheme="majorBidi"/>
        </w:rPr>
        <w:t>Regardless of its practicalities, the</w:t>
      </w:r>
      <w:r w:rsidR="004750CF">
        <w:rPr>
          <w:rFonts w:asciiTheme="majorBidi" w:hAnsiTheme="majorBidi" w:cstheme="majorBidi"/>
        </w:rPr>
        <w:t xml:space="preserve"> </w:t>
      </w:r>
      <w:r w:rsidR="00484217">
        <w:rPr>
          <w:rFonts w:asciiTheme="majorBidi" w:hAnsiTheme="majorBidi" w:cstheme="majorBidi"/>
        </w:rPr>
        <w:t xml:space="preserve">idealism </w:t>
      </w:r>
      <w:r w:rsidR="004750CF">
        <w:rPr>
          <w:rFonts w:asciiTheme="majorBidi" w:hAnsiTheme="majorBidi" w:cstheme="majorBidi"/>
        </w:rPr>
        <w:t>animating</w:t>
      </w:r>
      <w:r w:rsidR="00484217">
        <w:rPr>
          <w:rFonts w:asciiTheme="majorBidi" w:hAnsiTheme="majorBidi" w:cstheme="majorBidi"/>
        </w:rPr>
        <w:t xml:space="preserve"> Ibn al-</w:t>
      </w:r>
      <w:proofErr w:type="spellStart"/>
      <w:r w:rsidR="00484217">
        <w:rPr>
          <w:rFonts w:asciiTheme="majorBidi" w:hAnsiTheme="majorBidi" w:cstheme="majorBidi"/>
        </w:rPr>
        <w:t>Jawzī’s</w:t>
      </w:r>
      <w:proofErr w:type="spellEnd"/>
      <w:r w:rsidR="00484217">
        <w:rPr>
          <w:rFonts w:asciiTheme="majorBidi" w:hAnsiTheme="majorBidi" w:cstheme="majorBidi"/>
        </w:rPr>
        <w:t xml:space="preserve"> ameliorative politics</w:t>
      </w:r>
      <w:r w:rsidR="004750CF">
        <w:rPr>
          <w:rFonts w:asciiTheme="majorBidi" w:hAnsiTheme="majorBidi" w:cstheme="majorBidi"/>
        </w:rPr>
        <w:t xml:space="preserve"> is palpable.</w:t>
      </w:r>
    </w:p>
    <w:p w14:paraId="791339F9" w14:textId="38BFA114" w:rsidR="004746E1" w:rsidRDefault="00E05888" w:rsidP="0037533B">
      <w:pPr>
        <w:spacing w:line="360" w:lineRule="auto"/>
        <w:ind w:firstLine="720"/>
        <w:rPr>
          <w:rFonts w:asciiTheme="majorBidi" w:hAnsiTheme="majorBidi" w:cstheme="majorBidi"/>
          <w:iCs/>
        </w:rPr>
      </w:pPr>
      <w:r>
        <w:rPr>
          <w:rFonts w:asciiTheme="majorBidi" w:hAnsiTheme="majorBidi" w:cstheme="majorBidi"/>
        </w:rPr>
        <w:t>In order f</w:t>
      </w:r>
      <w:r w:rsidR="00F94537">
        <w:rPr>
          <w:rFonts w:asciiTheme="majorBidi" w:hAnsiTheme="majorBidi" w:cstheme="majorBidi"/>
        </w:rPr>
        <w:t>or the</w:t>
      </w:r>
      <w:r>
        <w:rPr>
          <w:rFonts w:asciiTheme="majorBidi" w:hAnsiTheme="majorBidi" w:cstheme="majorBidi"/>
        </w:rPr>
        <w:t xml:space="preserve"> scholars </w:t>
      </w:r>
      <w:r w:rsidR="00F94537">
        <w:rPr>
          <w:rFonts w:asciiTheme="majorBidi" w:hAnsiTheme="majorBidi" w:cstheme="majorBidi"/>
        </w:rPr>
        <w:t>to serve in a mediatory capacity vis-à-vis rulers and subjects,</w:t>
      </w:r>
      <w:r>
        <w:rPr>
          <w:rFonts w:asciiTheme="majorBidi" w:hAnsiTheme="majorBidi" w:cstheme="majorBidi"/>
        </w:rPr>
        <w:t xml:space="preserve"> </w:t>
      </w:r>
      <w:r w:rsidR="00F94537">
        <w:rPr>
          <w:rFonts w:asciiTheme="majorBidi" w:hAnsiTheme="majorBidi" w:cstheme="majorBidi"/>
        </w:rPr>
        <w:t xml:space="preserve">the political sphere </w:t>
      </w:r>
      <w:r>
        <w:rPr>
          <w:rFonts w:asciiTheme="majorBidi" w:hAnsiTheme="majorBidi" w:cstheme="majorBidi"/>
        </w:rPr>
        <w:t xml:space="preserve">had </w:t>
      </w:r>
      <w:r w:rsidR="00F94537">
        <w:rPr>
          <w:rFonts w:asciiTheme="majorBidi" w:hAnsiTheme="majorBidi" w:cstheme="majorBidi"/>
        </w:rPr>
        <w:t xml:space="preserve">to be </w:t>
      </w:r>
      <w:r>
        <w:rPr>
          <w:rFonts w:asciiTheme="majorBidi" w:hAnsiTheme="majorBidi" w:cstheme="majorBidi"/>
        </w:rPr>
        <w:t>reimagined as a site of reform instead of corruption, and this is where the moderate aspect of Ibn al-</w:t>
      </w:r>
      <w:proofErr w:type="spellStart"/>
      <w:r>
        <w:rPr>
          <w:rFonts w:asciiTheme="majorBidi" w:hAnsiTheme="majorBidi" w:cstheme="majorBidi"/>
        </w:rPr>
        <w:t>Jawzī’s</w:t>
      </w:r>
      <w:proofErr w:type="spellEnd"/>
      <w:r>
        <w:rPr>
          <w:rFonts w:asciiTheme="majorBidi" w:hAnsiTheme="majorBidi" w:cstheme="majorBidi"/>
        </w:rPr>
        <w:t xml:space="preserve"> ameliorative politics</w:t>
      </w:r>
      <w:r w:rsidR="00527EBB">
        <w:rPr>
          <w:rFonts w:asciiTheme="majorBidi" w:hAnsiTheme="majorBidi" w:cstheme="majorBidi"/>
        </w:rPr>
        <w:t xml:space="preserve"> becomes apparent</w:t>
      </w:r>
      <w:r w:rsidR="00F94537">
        <w:rPr>
          <w:rFonts w:asciiTheme="majorBidi" w:hAnsiTheme="majorBidi" w:cstheme="majorBidi"/>
        </w:rPr>
        <w:t xml:space="preserve">. </w:t>
      </w:r>
      <w:r>
        <w:rPr>
          <w:rFonts w:asciiTheme="majorBidi" w:hAnsiTheme="majorBidi" w:cstheme="majorBidi"/>
        </w:rPr>
        <w:t>While most of his peers would agree that rulers should surround themselves with wise and learned scholars, they</w:t>
      </w:r>
      <w:r w:rsidR="001727B9">
        <w:rPr>
          <w:rFonts w:asciiTheme="majorBidi" w:hAnsiTheme="majorBidi" w:cstheme="majorBidi"/>
        </w:rPr>
        <w:t xml:space="preserve"> </w:t>
      </w:r>
      <w:r>
        <w:rPr>
          <w:rFonts w:asciiTheme="majorBidi" w:hAnsiTheme="majorBidi" w:cstheme="majorBidi"/>
        </w:rPr>
        <w:t xml:space="preserve">remained </w:t>
      </w:r>
      <w:r w:rsidR="00741937">
        <w:rPr>
          <w:rFonts w:asciiTheme="majorBidi" w:hAnsiTheme="majorBidi" w:cstheme="majorBidi"/>
        </w:rPr>
        <w:t xml:space="preserve">largely </w:t>
      </w:r>
      <w:r>
        <w:rPr>
          <w:rFonts w:asciiTheme="majorBidi" w:hAnsiTheme="majorBidi" w:cstheme="majorBidi"/>
        </w:rPr>
        <w:t xml:space="preserve">skeptical of the political sphere, as </w:t>
      </w:r>
      <w:r w:rsidR="001727B9">
        <w:rPr>
          <w:rFonts w:asciiTheme="majorBidi" w:hAnsiTheme="majorBidi" w:cstheme="majorBidi"/>
        </w:rPr>
        <w:t>shown</w:t>
      </w:r>
      <w:r>
        <w:rPr>
          <w:rFonts w:asciiTheme="majorBidi" w:hAnsiTheme="majorBidi" w:cstheme="majorBidi"/>
        </w:rPr>
        <w:t xml:space="preserve"> in the case of al-</w:t>
      </w:r>
      <w:proofErr w:type="spellStart"/>
      <w:r>
        <w:rPr>
          <w:rFonts w:asciiTheme="majorBidi" w:hAnsiTheme="majorBidi" w:cstheme="majorBidi"/>
        </w:rPr>
        <w:t>Ghazālī</w:t>
      </w:r>
      <w:proofErr w:type="spellEnd"/>
      <w:r>
        <w:rPr>
          <w:rFonts w:asciiTheme="majorBidi" w:hAnsiTheme="majorBidi" w:cstheme="majorBidi"/>
        </w:rPr>
        <w:t>.</w:t>
      </w:r>
      <w:r w:rsidR="00A979AC">
        <w:rPr>
          <w:rStyle w:val="FootnoteReference"/>
          <w:rFonts w:asciiTheme="majorBidi" w:hAnsiTheme="majorBidi" w:cstheme="majorBidi"/>
        </w:rPr>
        <w:footnoteReference w:id="59"/>
      </w:r>
      <w:r>
        <w:rPr>
          <w:rFonts w:asciiTheme="majorBidi" w:hAnsiTheme="majorBidi" w:cstheme="majorBidi"/>
        </w:rPr>
        <w:t xml:space="preserve"> </w:t>
      </w:r>
      <w:r w:rsidR="001727B9">
        <w:rPr>
          <w:rFonts w:asciiTheme="majorBidi" w:hAnsiTheme="majorBidi" w:cstheme="majorBidi"/>
        </w:rPr>
        <w:t xml:space="preserve">To be </w:t>
      </w:r>
      <w:r w:rsidR="001727B9">
        <w:rPr>
          <w:rFonts w:asciiTheme="majorBidi" w:hAnsiTheme="majorBidi" w:cstheme="majorBidi"/>
        </w:rPr>
        <w:lastRenderedPageBreak/>
        <w:t>sure, Ibn al-</w:t>
      </w:r>
      <w:proofErr w:type="spellStart"/>
      <w:r w:rsidR="001727B9">
        <w:rPr>
          <w:rFonts w:asciiTheme="majorBidi" w:hAnsiTheme="majorBidi" w:cstheme="majorBidi"/>
        </w:rPr>
        <w:t>Jawzī</w:t>
      </w:r>
      <w:proofErr w:type="spellEnd"/>
      <w:r w:rsidR="001727B9">
        <w:rPr>
          <w:rFonts w:asciiTheme="majorBidi" w:hAnsiTheme="majorBidi" w:cstheme="majorBidi"/>
        </w:rPr>
        <w:t xml:space="preserve"> did not embrace the political sphere wholeheartedly either</w:t>
      </w:r>
      <w:r w:rsidR="00136B24">
        <w:rPr>
          <w:rFonts w:asciiTheme="majorBidi" w:hAnsiTheme="majorBidi" w:cstheme="majorBidi"/>
        </w:rPr>
        <w:t>. A</w:t>
      </w:r>
      <w:r w:rsidR="001727B9">
        <w:rPr>
          <w:rFonts w:asciiTheme="majorBidi" w:hAnsiTheme="majorBidi" w:cstheme="majorBidi"/>
        </w:rPr>
        <w:t xml:space="preserve"> fear of the court’s intoxicating potential can in fact be detected in several of his writings. In </w:t>
      </w:r>
      <w:proofErr w:type="spellStart"/>
      <w:r w:rsidR="001727B9">
        <w:rPr>
          <w:rFonts w:asciiTheme="majorBidi" w:hAnsiTheme="majorBidi" w:cstheme="majorBidi"/>
          <w:i/>
          <w:iCs/>
        </w:rPr>
        <w:t>Talbīs</w:t>
      </w:r>
      <w:proofErr w:type="spellEnd"/>
      <w:r w:rsidR="001727B9">
        <w:rPr>
          <w:rFonts w:asciiTheme="majorBidi" w:hAnsiTheme="majorBidi" w:cstheme="majorBidi"/>
          <w:i/>
          <w:iCs/>
        </w:rPr>
        <w:t xml:space="preserve"> </w:t>
      </w:r>
      <w:proofErr w:type="spellStart"/>
      <w:r w:rsidR="001727B9">
        <w:rPr>
          <w:rFonts w:asciiTheme="majorBidi" w:hAnsiTheme="majorBidi" w:cstheme="majorBidi"/>
          <w:i/>
          <w:iCs/>
        </w:rPr>
        <w:t>Iblīs</w:t>
      </w:r>
      <w:proofErr w:type="spellEnd"/>
      <w:r w:rsidR="001727B9">
        <w:rPr>
          <w:rFonts w:asciiTheme="majorBidi" w:hAnsiTheme="majorBidi" w:cstheme="majorBidi"/>
        </w:rPr>
        <w:t xml:space="preserve">, </w:t>
      </w:r>
      <w:r w:rsidR="0091276A">
        <w:rPr>
          <w:rFonts w:asciiTheme="majorBidi" w:hAnsiTheme="majorBidi" w:cstheme="majorBidi"/>
        </w:rPr>
        <w:t xml:space="preserve">he writes that Satan has deceived </w:t>
      </w:r>
      <w:r w:rsidR="001727B9">
        <w:rPr>
          <w:rFonts w:asciiTheme="majorBidi" w:hAnsiTheme="majorBidi" w:cstheme="majorBidi"/>
        </w:rPr>
        <w:t>certain groups of</w:t>
      </w:r>
      <w:r w:rsidR="0091276A">
        <w:rPr>
          <w:rFonts w:asciiTheme="majorBidi" w:hAnsiTheme="majorBidi" w:cstheme="majorBidi"/>
        </w:rPr>
        <w:t xml:space="preserve"> jurists into intermingling with rulers and flattering them for worldly gain, without calling out their wrongdoings despite having the ability to do so.</w:t>
      </w:r>
      <w:r w:rsidR="0091276A">
        <w:rPr>
          <w:rStyle w:val="FootnoteReference"/>
          <w:rFonts w:asciiTheme="majorBidi" w:hAnsiTheme="majorBidi" w:cstheme="majorBidi"/>
        </w:rPr>
        <w:footnoteReference w:id="60"/>
      </w:r>
      <w:r w:rsidR="003D72E6">
        <w:rPr>
          <w:rFonts w:asciiTheme="majorBidi" w:hAnsiTheme="majorBidi" w:cstheme="majorBidi"/>
        </w:rPr>
        <w:t xml:space="preserve"> </w:t>
      </w:r>
      <w:r w:rsidR="003D16E9">
        <w:rPr>
          <w:rFonts w:asciiTheme="majorBidi" w:hAnsiTheme="majorBidi" w:cstheme="majorBidi"/>
        </w:rPr>
        <w:t xml:space="preserve">Likewise, </w:t>
      </w:r>
      <w:r w:rsidR="00105BED">
        <w:rPr>
          <w:rFonts w:asciiTheme="majorBidi" w:hAnsiTheme="majorBidi" w:cstheme="majorBidi"/>
        </w:rPr>
        <w:t xml:space="preserve">warnings about corrupting </w:t>
      </w:r>
      <w:r w:rsidR="00737034">
        <w:rPr>
          <w:rFonts w:asciiTheme="majorBidi" w:hAnsiTheme="majorBidi" w:cstheme="majorBidi"/>
        </w:rPr>
        <w:t xml:space="preserve">one’s </w:t>
      </w:r>
      <w:r w:rsidR="00105BED">
        <w:rPr>
          <w:rFonts w:asciiTheme="majorBidi" w:hAnsiTheme="majorBidi" w:cstheme="majorBidi"/>
        </w:rPr>
        <w:t>faith</w:t>
      </w:r>
      <w:r w:rsidR="00737034">
        <w:rPr>
          <w:rFonts w:asciiTheme="majorBidi" w:hAnsiTheme="majorBidi" w:cstheme="majorBidi"/>
        </w:rPr>
        <w:t xml:space="preserve"> </w:t>
      </w:r>
      <w:r w:rsidR="0051666F">
        <w:rPr>
          <w:rFonts w:asciiTheme="majorBidi" w:hAnsiTheme="majorBidi" w:cstheme="majorBidi"/>
        </w:rPr>
        <w:t xml:space="preserve">when visiting rulers </w:t>
      </w:r>
      <w:r w:rsidR="008B2702">
        <w:rPr>
          <w:rFonts w:asciiTheme="majorBidi" w:hAnsiTheme="majorBidi" w:cstheme="majorBidi"/>
        </w:rPr>
        <w:t xml:space="preserve">are </w:t>
      </w:r>
      <w:r w:rsidR="007E7FF3">
        <w:rPr>
          <w:rFonts w:asciiTheme="majorBidi" w:hAnsiTheme="majorBidi" w:cstheme="majorBidi"/>
        </w:rPr>
        <w:t xml:space="preserve">quite </w:t>
      </w:r>
      <w:r w:rsidR="008B2702">
        <w:rPr>
          <w:rFonts w:asciiTheme="majorBidi" w:hAnsiTheme="majorBidi" w:cstheme="majorBidi"/>
        </w:rPr>
        <w:t xml:space="preserve">common refrains in </w:t>
      </w:r>
      <w:proofErr w:type="spellStart"/>
      <w:r w:rsidR="00BC1943">
        <w:rPr>
          <w:rFonts w:asciiTheme="majorBidi" w:hAnsiTheme="majorBidi" w:cstheme="majorBidi"/>
          <w:i/>
        </w:rPr>
        <w:t>Ṣayd</w:t>
      </w:r>
      <w:proofErr w:type="spellEnd"/>
      <w:r w:rsidR="00BC1943">
        <w:rPr>
          <w:rFonts w:asciiTheme="majorBidi" w:hAnsiTheme="majorBidi" w:cstheme="majorBidi"/>
          <w:i/>
        </w:rPr>
        <w:t xml:space="preserve"> al-</w:t>
      </w:r>
      <w:proofErr w:type="spellStart"/>
      <w:r w:rsidR="00BC1943">
        <w:rPr>
          <w:rFonts w:asciiTheme="majorBidi" w:hAnsiTheme="majorBidi" w:cstheme="majorBidi"/>
          <w:i/>
        </w:rPr>
        <w:t>khāṭir</w:t>
      </w:r>
      <w:proofErr w:type="spellEnd"/>
      <w:r w:rsidR="00105BED">
        <w:rPr>
          <w:rFonts w:asciiTheme="majorBidi" w:hAnsiTheme="majorBidi" w:cstheme="majorBidi"/>
          <w:iCs/>
        </w:rPr>
        <w:t>, as are</w:t>
      </w:r>
      <w:r w:rsidR="00C07924">
        <w:rPr>
          <w:rFonts w:asciiTheme="majorBidi" w:hAnsiTheme="majorBidi" w:cstheme="majorBidi"/>
          <w:iCs/>
        </w:rPr>
        <w:t xml:space="preserve"> criticisms of</w:t>
      </w:r>
      <w:r w:rsidR="00C07924">
        <w:rPr>
          <w:rFonts w:asciiTheme="majorBidi" w:hAnsiTheme="majorBidi" w:cstheme="majorBidi"/>
        </w:rPr>
        <w:t xml:space="preserve"> the brutality of rulers and their illegal sources of wealth</w:t>
      </w:r>
      <w:r w:rsidR="00750A1C">
        <w:rPr>
          <w:rFonts w:asciiTheme="majorBidi" w:hAnsiTheme="majorBidi" w:cstheme="majorBidi"/>
          <w:iCs/>
        </w:rPr>
        <w:t>.</w:t>
      </w:r>
      <w:r w:rsidR="00750A1C">
        <w:rPr>
          <w:rStyle w:val="FootnoteReference"/>
          <w:rFonts w:asciiTheme="majorBidi" w:hAnsiTheme="majorBidi" w:cstheme="majorBidi"/>
          <w:iCs/>
        </w:rPr>
        <w:footnoteReference w:id="61"/>
      </w:r>
      <w:r w:rsidR="00741937">
        <w:rPr>
          <w:rFonts w:asciiTheme="majorBidi" w:hAnsiTheme="majorBidi" w:cstheme="majorBidi"/>
          <w:iCs/>
        </w:rPr>
        <w:t xml:space="preserve"> </w:t>
      </w:r>
      <w:r w:rsidR="00232F9B">
        <w:rPr>
          <w:rFonts w:asciiTheme="majorBidi" w:hAnsiTheme="majorBidi" w:cstheme="majorBidi"/>
          <w:iCs/>
        </w:rPr>
        <w:t>These</w:t>
      </w:r>
      <w:r w:rsidR="00741937">
        <w:rPr>
          <w:rFonts w:asciiTheme="majorBidi" w:hAnsiTheme="majorBidi" w:cstheme="majorBidi"/>
          <w:iCs/>
        </w:rPr>
        <w:t xml:space="preserve"> s</w:t>
      </w:r>
      <w:r w:rsidR="005052E7">
        <w:rPr>
          <w:rFonts w:asciiTheme="majorBidi" w:hAnsiTheme="majorBidi" w:cstheme="majorBidi"/>
          <w:iCs/>
        </w:rPr>
        <w:t>entiments</w:t>
      </w:r>
      <w:r w:rsidR="004746E1">
        <w:rPr>
          <w:rFonts w:asciiTheme="majorBidi" w:hAnsiTheme="majorBidi" w:cstheme="majorBidi"/>
          <w:iCs/>
        </w:rPr>
        <w:t>,</w:t>
      </w:r>
      <w:r w:rsidR="005052E7">
        <w:rPr>
          <w:rFonts w:asciiTheme="majorBidi" w:hAnsiTheme="majorBidi" w:cstheme="majorBidi"/>
          <w:iCs/>
        </w:rPr>
        <w:t xml:space="preserve"> </w:t>
      </w:r>
      <w:r w:rsidR="004F5097">
        <w:rPr>
          <w:rFonts w:asciiTheme="majorBidi" w:hAnsiTheme="majorBidi" w:cstheme="majorBidi"/>
          <w:iCs/>
        </w:rPr>
        <w:t xml:space="preserve">when </w:t>
      </w:r>
      <w:r w:rsidR="00741937">
        <w:rPr>
          <w:rFonts w:asciiTheme="majorBidi" w:hAnsiTheme="majorBidi" w:cstheme="majorBidi"/>
          <w:iCs/>
        </w:rPr>
        <w:t xml:space="preserve">coupled with </w:t>
      </w:r>
      <w:r w:rsidR="00765931">
        <w:rPr>
          <w:rFonts w:asciiTheme="majorBidi" w:hAnsiTheme="majorBidi" w:cstheme="majorBidi"/>
          <w:iCs/>
        </w:rPr>
        <w:t>his</w:t>
      </w:r>
      <w:r w:rsidR="00741937">
        <w:rPr>
          <w:rFonts w:asciiTheme="majorBidi" w:hAnsiTheme="majorBidi" w:cstheme="majorBidi"/>
          <w:iCs/>
        </w:rPr>
        <w:t xml:space="preserve"> close relationship with </w:t>
      </w:r>
      <w:r w:rsidR="00694FC4">
        <w:rPr>
          <w:rFonts w:asciiTheme="majorBidi" w:hAnsiTheme="majorBidi" w:cstheme="majorBidi"/>
          <w:iCs/>
        </w:rPr>
        <w:t>the caliphal court during the height of his preaching career</w:t>
      </w:r>
      <w:r w:rsidR="004746E1">
        <w:rPr>
          <w:rFonts w:asciiTheme="majorBidi" w:hAnsiTheme="majorBidi" w:cstheme="majorBidi"/>
          <w:iCs/>
        </w:rPr>
        <w:t>,</w:t>
      </w:r>
      <w:r w:rsidR="00741937">
        <w:rPr>
          <w:rFonts w:asciiTheme="majorBidi" w:hAnsiTheme="majorBidi" w:cstheme="majorBidi"/>
          <w:iCs/>
        </w:rPr>
        <w:t xml:space="preserve"> might </w:t>
      </w:r>
      <w:r w:rsidR="004F5097">
        <w:rPr>
          <w:rFonts w:asciiTheme="majorBidi" w:hAnsiTheme="majorBidi" w:cstheme="majorBidi"/>
          <w:iCs/>
        </w:rPr>
        <w:t>read</w:t>
      </w:r>
      <w:r w:rsidR="00741937">
        <w:rPr>
          <w:rFonts w:asciiTheme="majorBidi" w:hAnsiTheme="majorBidi" w:cstheme="majorBidi"/>
          <w:iCs/>
        </w:rPr>
        <w:t xml:space="preserve"> like </w:t>
      </w:r>
      <w:r w:rsidR="00D91435">
        <w:rPr>
          <w:rFonts w:asciiTheme="majorBidi" w:hAnsiTheme="majorBidi" w:cstheme="majorBidi"/>
          <w:iCs/>
        </w:rPr>
        <w:t>yet another</w:t>
      </w:r>
      <w:r w:rsidR="00741937">
        <w:rPr>
          <w:rFonts w:asciiTheme="majorBidi" w:hAnsiTheme="majorBidi" w:cstheme="majorBidi"/>
          <w:iCs/>
        </w:rPr>
        <w:t xml:space="preserve"> ambivalent approach to ruler-scholar relations</w:t>
      </w:r>
      <w:r w:rsidR="005056BA">
        <w:rPr>
          <w:rFonts w:asciiTheme="majorBidi" w:hAnsiTheme="majorBidi" w:cstheme="majorBidi"/>
          <w:iCs/>
        </w:rPr>
        <w:t xml:space="preserve">, and this is indeed </w:t>
      </w:r>
      <w:r w:rsidR="00081AC6">
        <w:rPr>
          <w:rFonts w:asciiTheme="majorBidi" w:hAnsiTheme="majorBidi" w:cstheme="majorBidi"/>
          <w:iCs/>
        </w:rPr>
        <w:t>a common conclusion among modern scholars</w:t>
      </w:r>
      <w:r w:rsidR="00E33AAA">
        <w:rPr>
          <w:rFonts w:asciiTheme="majorBidi" w:hAnsiTheme="majorBidi" w:cstheme="majorBidi"/>
          <w:iCs/>
        </w:rPr>
        <w:t>.</w:t>
      </w:r>
      <w:r w:rsidR="005052E7">
        <w:rPr>
          <w:rStyle w:val="FootnoteReference"/>
          <w:rFonts w:asciiTheme="majorBidi" w:hAnsiTheme="majorBidi" w:cstheme="majorBidi"/>
          <w:iCs/>
        </w:rPr>
        <w:footnoteReference w:id="62"/>
      </w:r>
      <w:r w:rsidR="00765931">
        <w:rPr>
          <w:rFonts w:asciiTheme="majorBidi" w:hAnsiTheme="majorBidi" w:cstheme="majorBidi"/>
          <w:iCs/>
        </w:rPr>
        <w:t xml:space="preserve"> </w:t>
      </w:r>
    </w:p>
    <w:p w14:paraId="5A5C9BE1" w14:textId="7537BA44" w:rsidR="00421967" w:rsidRDefault="00576619" w:rsidP="0037533B">
      <w:pPr>
        <w:spacing w:line="360" w:lineRule="auto"/>
        <w:ind w:firstLine="720"/>
        <w:rPr>
          <w:rFonts w:asciiTheme="majorBidi" w:hAnsiTheme="majorBidi" w:cstheme="majorBidi"/>
        </w:rPr>
      </w:pPr>
      <w:r>
        <w:rPr>
          <w:rFonts w:asciiTheme="majorBidi" w:hAnsiTheme="majorBidi" w:cstheme="majorBidi"/>
          <w:iCs/>
        </w:rPr>
        <w:t xml:space="preserve">However, </w:t>
      </w:r>
      <w:r w:rsidR="00765931">
        <w:rPr>
          <w:rFonts w:asciiTheme="majorBidi" w:hAnsiTheme="majorBidi" w:cstheme="majorBidi"/>
          <w:iCs/>
        </w:rPr>
        <w:t>this was not all there was to Ibn al-</w:t>
      </w:r>
      <w:proofErr w:type="spellStart"/>
      <w:r w:rsidR="00765931">
        <w:rPr>
          <w:rFonts w:asciiTheme="majorBidi" w:hAnsiTheme="majorBidi" w:cstheme="majorBidi"/>
          <w:iCs/>
        </w:rPr>
        <w:t>Jawzī’s</w:t>
      </w:r>
      <w:proofErr w:type="spellEnd"/>
      <w:r w:rsidR="00765931">
        <w:rPr>
          <w:rFonts w:asciiTheme="majorBidi" w:hAnsiTheme="majorBidi" w:cstheme="majorBidi"/>
          <w:iCs/>
        </w:rPr>
        <w:t xml:space="preserve"> political thought.</w:t>
      </w:r>
      <w:r w:rsidR="00CA1234">
        <w:rPr>
          <w:rFonts w:asciiTheme="majorBidi" w:hAnsiTheme="majorBidi" w:cstheme="majorBidi"/>
          <w:iCs/>
        </w:rPr>
        <w:t xml:space="preserve"> </w:t>
      </w:r>
      <w:r>
        <w:rPr>
          <w:rFonts w:asciiTheme="majorBidi" w:hAnsiTheme="majorBidi" w:cstheme="majorBidi"/>
          <w:iCs/>
        </w:rPr>
        <w:t>T</w:t>
      </w:r>
      <w:r w:rsidR="00545004" w:rsidRPr="001E24FD">
        <w:rPr>
          <w:rFonts w:asciiTheme="majorBidi" w:hAnsiTheme="majorBidi" w:cstheme="majorBidi"/>
        </w:rPr>
        <w:t>he problem</w:t>
      </w:r>
      <w:r w:rsidR="004F3AF2">
        <w:rPr>
          <w:rFonts w:asciiTheme="majorBidi" w:hAnsiTheme="majorBidi" w:cstheme="majorBidi"/>
        </w:rPr>
        <w:t>,</w:t>
      </w:r>
      <w:r>
        <w:rPr>
          <w:rFonts w:asciiTheme="majorBidi" w:hAnsiTheme="majorBidi" w:cstheme="majorBidi"/>
        </w:rPr>
        <w:t xml:space="preserve"> </w:t>
      </w:r>
      <w:r w:rsidR="00AC7518">
        <w:rPr>
          <w:rFonts w:asciiTheme="majorBidi" w:hAnsiTheme="majorBidi" w:cstheme="majorBidi"/>
        </w:rPr>
        <w:t>according to him</w:t>
      </w:r>
      <w:r w:rsidR="004F3AF2">
        <w:rPr>
          <w:rFonts w:asciiTheme="majorBidi" w:hAnsiTheme="majorBidi" w:cstheme="majorBidi"/>
        </w:rPr>
        <w:t>,</w:t>
      </w:r>
      <w:r>
        <w:rPr>
          <w:rFonts w:asciiTheme="majorBidi" w:hAnsiTheme="majorBidi" w:cstheme="majorBidi"/>
        </w:rPr>
        <w:t xml:space="preserve"> </w:t>
      </w:r>
      <w:r w:rsidR="00545004" w:rsidRPr="001E24FD">
        <w:rPr>
          <w:rFonts w:asciiTheme="majorBidi" w:hAnsiTheme="majorBidi" w:cstheme="majorBidi"/>
        </w:rPr>
        <w:t>also l</w:t>
      </w:r>
      <w:r w:rsidR="00545004">
        <w:rPr>
          <w:rFonts w:asciiTheme="majorBidi" w:hAnsiTheme="majorBidi" w:cstheme="majorBidi"/>
        </w:rPr>
        <w:t>ay</w:t>
      </w:r>
      <w:r w:rsidR="001373E2">
        <w:rPr>
          <w:rFonts w:asciiTheme="majorBidi" w:hAnsiTheme="majorBidi" w:cstheme="majorBidi"/>
        </w:rPr>
        <w:t xml:space="preserve"> </w:t>
      </w:r>
      <w:r w:rsidR="00545004" w:rsidRPr="001E24FD">
        <w:rPr>
          <w:rFonts w:asciiTheme="majorBidi" w:hAnsiTheme="majorBidi" w:cstheme="majorBidi"/>
        </w:rPr>
        <w:t>with</w:t>
      </w:r>
      <w:r w:rsidR="001373E2">
        <w:rPr>
          <w:rFonts w:asciiTheme="majorBidi" w:hAnsiTheme="majorBidi" w:cstheme="majorBidi"/>
        </w:rPr>
        <w:t xml:space="preserve"> </w:t>
      </w:r>
      <w:r w:rsidR="00545004">
        <w:rPr>
          <w:rFonts w:asciiTheme="majorBidi" w:hAnsiTheme="majorBidi" w:cstheme="majorBidi"/>
        </w:rPr>
        <w:t>scholars</w:t>
      </w:r>
      <w:r w:rsidR="00545004" w:rsidRPr="001E24FD">
        <w:rPr>
          <w:rFonts w:asciiTheme="majorBidi" w:hAnsiTheme="majorBidi" w:cstheme="majorBidi"/>
        </w:rPr>
        <w:t xml:space="preserve"> who ke</w:t>
      </w:r>
      <w:r w:rsidR="00411F86">
        <w:rPr>
          <w:rFonts w:asciiTheme="majorBidi" w:hAnsiTheme="majorBidi" w:cstheme="majorBidi"/>
        </w:rPr>
        <w:t>pt</w:t>
      </w:r>
      <w:r w:rsidR="00545004" w:rsidRPr="001E24FD">
        <w:rPr>
          <w:rFonts w:asciiTheme="majorBidi" w:hAnsiTheme="majorBidi" w:cstheme="majorBidi"/>
        </w:rPr>
        <w:t xml:space="preserve"> away from </w:t>
      </w:r>
      <w:r w:rsidR="00411F86">
        <w:rPr>
          <w:rFonts w:asciiTheme="majorBidi" w:hAnsiTheme="majorBidi" w:cstheme="majorBidi"/>
        </w:rPr>
        <w:t>rulers</w:t>
      </w:r>
      <w:r w:rsidR="00545004" w:rsidRPr="001E24FD">
        <w:rPr>
          <w:rFonts w:asciiTheme="majorBidi" w:hAnsiTheme="majorBidi" w:cstheme="majorBidi"/>
        </w:rPr>
        <w:t xml:space="preserve"> </w:t>
      </w:r>
      <w:r w:rsidR="001373E2">
        <w:rPr>
          <w:rFonts w:asciiTheme="majorBidi" w:hAnsiTheme="majorBidi" w:cstheme="majorBidi"/>
        </w:rPr>
        <w:t xml:space="preserve">to </w:t>
      </w:r>
      <w:r w:rsidR="00411F86">
        <w:rPr>
          <w:rFonts w:asciiTheme="majorBidi" w:hAnsiTheme="majorBidi" w:cstheme="majorBidi"/>
        </w:rPr>
        <w:t>devote themselves to</w:t>
      </w:r>
      <w:r w:rsidR="001373E2">
        <w:rPr>
          <w:rFonts w:asciiTheme="majorBidi" w:hAnsiTheme="majorBidi" w:cstheme="majorBidi"/>
        </w:rPr>
        <w:t xml:space="preserve"> worship and fai</w:t>
      </w:r>
      <w:r w:rsidR="00411F86">
        <w:rPr>
          <w:rFonts w:asciiTheme="majorBidi" w:hAnsiTheme="majorBidi" w:cstheme="majorBidi"/>
        </w:rPr>
        <w:t>th</w:t>
      </w:r>
      <w:r w:rsidR="00545004" w:rsidRPr="001E24FD">
        <w:rPr>
          <w:rFonts w:asciiTheme="majorBidi" w:hAnsiTheme="majorBidi" w:cstheme="majorBidi"/>
        </w:rPr>
        <w:t xml:space="preserve"> </w:t>
      </w:r>
      <w:r w:rsidR="00411F86">
        <w:rPr>
          <w:rFonts w:asciiTheme="majorBidi" w:hAnsiTheme="majorBidi" w:cstheme="majorBidi"/>
        </w:rPr>
        <w:t>but yet</w:t>
      </w:r>
      <w:r w:rsidR="00545004" w:rsidRPr="001E24FD">
        <w:rPr>
          <w:rFonts w:asciiTheme="majorBidi" w:hAnsiTheme="majorBidi" w:cstheme="majorBidi"/>
        </w:rPr>
        <w:t xml:space="preserve"> </w:t>
      </w:r>
      <w:r w:rsidR="00411F86">
        <w:rPr>
          <w:rFonts w:asciiTheme="majorBidi" w:hAnsiTheme="majorBidi" w:cstheme="majorBidi"/>
        </w:rPr>
        <w:t xml:space="preserve">readily </w:t>
      </w:r>
      <w:r w:rsidR="00545004" w:rsidRPr="001E24FD">
        <w:rPr>
          <w:rFonts w:asciiTheme="majorBidi" w:hAnsiTheme="majorBidi" w:cstheme="majorBidi"/>
        </w:rPr>
        <w:t>mount</w:t>
      </w:r>
      <w:r w:rsidR="00411F86">
        <w:rPr>
          <w:rFonts w:asciiTheme="majorBidi" w:hAnsiTheme="majorBidi" w:cstheme="majorBidi"/>
        </w:rPr>
        <w:t>ed</w:t>
      </w:r>
      <w:r w:rsidR="00545004" w:rsidRPr="001E24FD">
        <w:rPr>
          <w:rFonts w:asciiTheme="majorBidi" w:hAnsiTheme="majorBidi" w:cstheme="majorBidi"/>
        </w:rPr>
        <w:t xml:space="preserve"> their moral high horses </w:t>
      </w:r>
      <w:r w:rsidR="00411F86">
        <w:rPr>
          <w:rFonts w:asciiTheme="majorBidi" w:hAnsiTheme="majorBidi" w:cstheme="majorBidi"/>
        </w:rPr>
        <w:t>to</w:t>
      </w:r>
      <w:r w:rsidR="00545004" w:rsidRPr="001E24FD">
        <w:rPr>
          <w:rFonts w:asciiTheme="majorBidi" w:hAnsiTheme="majorBidi" w:cstheme="majorBidi"/>
        </w:rPr>
        <w:t xml:space="preserve"> </w:t>
      </w:r>
      <w:r w:rsidR="00411F86">
        <w:rPr>
          <w:rFonts w:asciiTheme="majorBidi" w:hAnsiTheme="majorBidi" w:cstheme="majorBidi"/>
        </w:rPr>
        <w:t>malign</w:t>
      </w:r>
      <w:r w:rsidR="00545004" w:rsidRPr="001E24FD">
        <w:rPr>
          <w:rFonts w:asciiTheme="majorBidi" w:hAnsiTheme="majorBidi" w:cstheme="majorBidi"/>
        </w:rPr>
        <w:t xml:space="preserve"> scholars who </w:t>
      </w:r>
      <w:r w:rsidR="00411F86">
        <w:rPr>
          <w:rFonts w:asciiTheme="majorBidi" w:hAnsiTheme="majorBidi" w:cstheme="majorBidi"/>
        </w:rPr>
        <w:t xml:space="preserve">attended </w:t>
      </w:r>
      <w:r w:rsidR="00545004" w:rsidRPr="001E24FD">
        <w:rPr>
          <w:rFonts w:asciiTheme="majorBidi" w:hAnsiTheme="majorBidi" w:cstheme="majorBidi"/>
        </w:rPr>
        <w:t>ruler</w:t>
      </w:r>
      <w:r w:rsidR="00411F86">
        <w:rPr>
          <w:rFonts w:asciiTheme="majorBidi" w:hAnsiTheme="majorBidi" w:cstheme="majorBidi"/>
        </w:rPr>
        <w:t>s</w:t>
      </w:r>
      <w:r w:rsidR="00545004" w:rsidRPr="001E24FD">
        <w:rPr>
          <w:rFonts w:asciiTheme="majorBidi" w:hAnsiTheme="majorBidi" w:cstheme="majorBidi"/>
        </w:rPr>
        <w:t>.</w:t>
      </w:r>
      <w:r w:rsidR="00411F86">
        <w:rPr>
          <w:rStyle w:val="FootnoteReference"/>
          <w:rFonts w:asciiTheme="majorBidi" w:hAnsiTheme="majorBidi" w:cstheme="majorBidi"/>
        </w:rPr>
        <w:footnoteReference w:id="63"/>
      </w:r>
      <w:r w:rsidR="00545004">
        <w:rPr>
          <w:rFonts w:asciiTheme="majorBidi" w:hAnsiTheme="majorBidi" w:cstheme="majorBidi"/>
        </w:rPr>
        <w:t xml:space="preserve"> </w:t>
      </w:r>
      <w:r w:rsidR="001373E2">
        <w:rPr>
          <w:rFonts w:asciiTheme="majorBidi" w:hAnsiTheme="majorBidi" w:cstheme="majorBidi"/>
        </w:rPr>
        <w:t>Moreover, a</w:t>
      </w:r>
      <w:r w:rsidR="00CA1234">
        <w:rPr>
          <w:rFonts w:asciiTheme="majorBidi" w:hAnsiTheme="majorBidi" w:cstheme="majorBidi"/>
          <w:iCs/>
        </w:rPr>
        <w:t xml:space="preserve">s I will </w:t>
      </w:r>
      <w:r w:rsidR="00B726D4">
        <w:rPr>
          <w:rFonts w:asciiTheme="majorBidi" w:hAnsiTheme="majorBidi" w:cstheme="majorBidi"/>
          <w:iCs/>
        </w:rPr>
        <w:t xml:space="preserve">show below, </w:t>
      </w:r>
      <w:r w:rsidR="00192B8B">
        <w:rPr>
          <w:rFonts w:asciiTheme="majorBidi" w:hAnsiTheme="majorBidi" w:cstheme="majorBidi"/>
          <w:iCs/>
        </w:rPr>
        <w:t>h</w:t>
      </w:r>
      <w:r w:rsidR="00DE6CE2">
        <w:rPr>
          <w:rFonts w:asciiTheme="majorBidi" w:hAnsiTheme="majorBidi" w:cstheme="majorBidi"/>
          <w:iCs/>
        </w:rPr>
        <w:t>is other writings</w:t>
      </w:r>
      <w:r w:rsidR="00192B8B">
        <w:rPr>
          <w:rFonts w:asciiTheme="majorBidi" w:hAnsiTheme="majorBidi" w:cstheme="majorBidi"/>
          <w:iCs/>
        </w:rPr>
        <w:t xml:space="preserve"> display</w:t>
      </w:r>
      <w:r w:rsidR="00751AA0">
        <w:rPr>
          <w:rFonts w:asciiTheme="majorBidi" w:hAnsiTheme="majorBidi" w:cstheme="majorBidi"/>
        </w:rPr>
        <w:t xml:space="preserve"> </w:t>
      </w:r>
      <w:r w:rsidR="00192B8B">
        <w:rPr>
          <w:rFonts w:asciiTheme="majorBidi" w:hAnsiTheme="majorBidi" w:cstheme="majorBidi"/>
        </w:rPr>
        <w:t xml:space="preserve">a </w:t>
      </w:r>
      <w:r w:rsidR="00751AA0">
        <w:rPr>
          <w:rFonts w:asciiTheme="majorBidi" w:hAnsiTheme="majorBidi" w:cstheme="majorBidi"/>
        </w:rPr>
        <w:t xml:space="preserve">more sustained commitment to </w:t>
      </w:r>
      <w:r w:rsidR="00852F1B">
        <w:rPr>
          <w:rFonts w:asciiTheme="majorBidi" w:hAnsiTheme="majorBidi" w:cstheme="majorBidi"/>
        </w:rPr>
        <w:t>conceptualize scholars as agents of political reform</w:t>
      </w:r>
      <w:r w:rsidR="00751AA0">
        <w:rPr>
          <w:rFonts w:asciiTheme="majorBidi" w:hAnsiTheme="majorBidi" w:cstheme="majorBidi"/>
        </w:rPr>
        <w:t xml:space="preserve">. </w:t>
      </w:r>
      <w:r w:rsidR="00852F1B">
        <w:rPr>
          <w:rFonts w:asciiTheme="majorBidi" w:hAnsiTheme="majorBidi" w:cstheme="majorBidi"/>
        </w:rPr>
        <w:t>R</w:t>
      </w:r>
      <w:r w:rsidR="00EA18D2">
        <w:rPr>
          <w:rFonts w:asciiTheme="majorBidi" w:hAnsiTheme="majorBidi" w:cstheme="majorBidi"/>
        </w:rPr>
        <w:t xml:space="preserve">ather than </w:t>
      </w:r>
      <w:r w:rsidR="00D7312E">
        <w:rPr>
          <w:rFonts w:asciiTheme="majorBidi" w:hAnsiTheme="majorBidi" w:cstheme="majorBidi"/>
        </w:rPr>
        <w:t xml:space="preserve">upending </w:t>
      </w:r>
      <w:r w:rsidR="00336E69">
        <w:rPr>
          <w:rFonts w:asciiTheme="majorBidi" w:hAnsiTheme="majorBidi" w:cstheme="majorBidi"/>
        </w:rPr>
        <w:t xml:space="preserve">the state </w:t>
      </w:r>
      <w:r w:rsidR="00EA18D2">
        <w:rPr>
          <w:rFonts w:asciiTheme="majorBidi" w:hAnsiTheme="majorBidi" w:cstheme="majorBidi"/>
        </w:rPr>
        <w:t xml:space="preserve">through revolutionary </w:t>
      </w:r>
      <w:r w:rsidR="00D7312E">
        <w:rPr>
          <w:rFonts w:asciiTheme="majorBidi" w:hAnsiTheme="majorBidi" w:cstheme="majorBidi"/>
        </w:rPr>
        <w:t>action</w:t>
      </w:r>
      <w:r w:rsidR="00EA18D2">
        <w:rPr>
          <w:rFonts w:asciiTheme="majorBidi" w:hAnsiTheme="majorBidi" w:cstheme="majorBidi"/>
        </w:rPr>
        <w:t>,</w:t>
      </w:r>
      <w:r w:rsidR="00B726D4">
        <w:rPr>
          <w:rFonts w:asciiTheme="majorBidi" w:hAnsiTheme="majorBidi" w:cstheme="majorBidi"/>
        </w:rPr>
        <w:t xml:space="preserve"> </w:t>
      </w:r>
      <w:r w:rsidR="00EA18D2">
        <w:rPr>
          <w:rFonts w:asciiTheme="majorBidi" w:hAnsiTheme="majorBidi" w:cstheme="majorBidi"/>
        </w:rPr>
        <w:t>deem</w:t>
      </w:r>
      <w:r w:rsidR="00D7312E">
        <w:rPr>
          <w:rFonts w:asciiTheme="majorBidi" w:hAnsiTheme="majorBidi" w:cstheme="majorBidi"/>
        </w:rPr>
        <w:t>ing</w:t>
      </w:r>
      <w:r w:rsidR="00EA18D2">
        <w:rPr>
          <w:rFonts w:asciiTheme="majorBidi" w:hAnsiTheme="majorBidi" w:cstheme="majorBidi"/>
        </w:rPr>
        <w:t xml:space="preserve"> </w:t>
      </w:r>
      <w:r w:rsidR="00336E69">
        <w:rPr>
          <w:rFonts w:asciiTheme="majorBidi" w:hAnsiTheme="majorBidi" w:cstheme="majorBidi"/>
        </w:rPr>
        <w:t>it</w:t>
      </w:r>
      <w:r w:rsidR="00EA18D2">
        <w:rPr>
          <w:rFonts w:asciiTheme="majorBidi" w:hAnsiTheme="majorBidi" w:cstheme="majorBidi"/>
        </w:rPr>
        <w:t xml:space="preserve"> illegitimate, or </w:t>
      </w:r>
      <w:r w:rsidR="00D7312E">
        <w:rPr>
          <w:rFonts w:asciiTheme="majorBidi" w:hAnsiTheme="majorBidi" w:cstheme="majorBidi"/>
        </w:rPr>
        <w:t>avoiding it</w:t>
      </w:r>
      <w:r w:rsidR="007E5C8D">
        <w:rPr>
          <w:rFonts w:asciiTheme="majorBidi" w:hAnsiTheme="majorBidi" w:cstheme="majorBidi"/>
        </w:rPr>
        <w:t xml:space="preserve"> altogether</w:t>
      </w:r>
      <w:r w:rsidR="00D7312E">
        <w:rPr>
          <w:rFonts w:asciiTheme="majorBidi" w:hAnsiTheme="majorBidi" w:cstheme="majorBidi"/>
        </w:rPr>
        <w:t xml:space="preserve">, </w:t>
      </w:r>
      <w:r w:rsidR="009D58FC">
        <w:rPr>
          <w:rFonts w:asciiTheme="majorBidi" w:hAnsiTheme="majorBidi" w:cstheme="majorBidi"/>
        </w:rPr>
        <w:t>he</w:t>
      </w:r>
      <w:r w:rsidR="00D7312E">
        <w:rPr>
          <w:rFonts w:asciiTheme="majorBidi" w:hAnsiTheme="majorBidi" w:cstheme="majorBidi"/>
        </w:rPr>
        <w:t xml:space="preserve"> </w:t>
      </w:r>
      <w:r w:rsidR="009D58FC">
        <w:rPr>
          <w:rFonts w:asciiTheme="majorBidi" w:hAnsiTheme="majorBidi" w:cstheme="majorBidi"/>
        </w:rPr>
        <w:t>view</w:t>
      </w:r>
      <w:r w:rsidR="00DE6CE2">
        <w:rPr>
          <w:rFonts w:asciiTheme="majorBidi" w:hAnsiTheme="majorBidi" w:cstheme="majorBidi"/>
        </w:rPr>
        <w:t>ed</w:t>
      </w:r>
      <w:r w:rsidR="009D58FC">
        <w:rPr>
          <w:rFonts w:asciiTheme="majorBidi" w:hAnsiTheme="majorBidi" w:cstheme="majorBidi"/>
        </w:rPr>
        <w:t xml:space="preserve"> the </w:t>
      </w:r>
      <w:r w:rsidR="00336E69">
        <w:rPr>
          <w:rFonts w:asciiTheme="majorBidi" w:hAnsiTheme="majorBidi" w:cstheme="majorBidi"/>
        </w:rPr>
        <w:t xml:space="preserve">political sphere in moderate terms </w:t>
      </w:r>
      <w:r w:rsidR="00D7312E">
        <w:rPr>
          <w:rFonts w:asciiTheme="majorBidi" w:hAnsiTheme="majorBidi" w:cstheme="majorBidi"/>
        </w:rPr>
        <w:t xml:space="preserve">as a site of societal reform in which scholars </w:t>
      </w:r>
      <w:r w:rsidR="00852F1B">
        <w:rPr>
          <w:rFonts w:asciiTheme="majorBidi" w:hAnsiTheme="majorBidi" w:cstheme="majorBidi"/>
        </w:rPr>
        <w:t xml:space="preserve">can </w:t>
      </w:r>
      <w:r w:rsidR="00D7312E">
        <w:rPr>
          <w:rFonts w:asciiTheme="majorBidi" w:hAnsiTheme="majorBidi" w:cstheme="majorBidi"/>
        </w:rPr>
        <w:t>play a crucial role.</w:t>
      </w:r>
      <w:r w:rsidR="00852F1B">
        <w:rPr>
          <w:rFonts w:asciiTheme="majorBidi" w:hAnsiTheme="majorBidi" w:cstheme="majorBidi"/>
        </w:rPr>
        <w:t xml:space="preserve"> Even if the court </w:t>
      </w:r>
      <w:r w:rsidR="009C0821">
        <w:rPr>
          <w:rFonts w:asciiTheme="majorBidi" w:hAnsiTheme="majorBidi" w:cstheme="majorBidi"/>
        </w:rPr>
        <w:t>should not</w:t>
      </w:r>
      <w:r w:rsidR="00852F1B">
        <w:rPr>
          <w:rFonts w:asciiTheme="majorBidi" w:hAnsiTheme="majorBidi" w:cstheme="majorBidi"/>
        </w:rPr>
        <w:t xml:space="preserve"> be </w:t>
      </w:r>
      <w:r w:rsidR="00BD10F0">
        <w:rPr>
          <w:rFonts w:asciiTheme="majorBidi" w:hAnsiTheme="majorBidi" w:cstheme="majorBidi"/>
        </w:rPr>
        <w:t xml:space="preserve">fully </w:t>
      </w:r>
      <w:r w:rsidR="00852F1B">
        <w:rPr>
          <w:rFonts w:asciiTheme="majorBidi" w:hAnsiTheme="majorBidi" w:cstheme="majorBidi"/>
        </w:rPr>
        <w:t xml:space="preserve">embraced, </w:t>
      </w:r>
      <w:r w:rsidR="00DE6CE2">
        <w:rPr>
          <w:rFonts w:asciiTheme="majorBidi" w:hAnsiTheme="majorBidi" w:cstheme="majorBidi"/>
        </w:rPr>
        <w:t>it c</w:t>
      </w:r>
      <w:r w:rsidR="00BD10F0">
        <w:rPr>
          <w:rFonts w:asciiTheme="majorBidi" w:hAnsiTheme="majorBidi" w:cstheme="majorBidi"/>
        </w:rPr>
        <w:t>ould</w:t>
      </w:r>
      <w:r w:rsidR="00DE6CE2">
        <w:rPr>
          <w:rFonts w:asciiTheme="majorBidi" w:hAnsiTheme="majorBidi" w:cstheme="majorBidi"/>
        </w:rPr>
        <w:t xml:space="preserve"> be approached carefully by </w:t>
      </w:r>
      <w:r w:rsidR="00BD10F0">
        <w:rPr>
          <w:rFonts w:asciiTheme="majorBidi" w:hAnsiTheme="majorBidi" w:cstheme="majorBidi"/>
        </w:rPr>
        <w:t>sincere</w:t>
      </w:r>
      <w:r w:rsidR="00F47E47">
        <w:rPr>
          <w:rFonts w:asciiTheme="majorBidi" w:hAnsiTheme="majorBidi" w:cstheme="majorBidi"/>
        </w:rPr>
        <w:t>-minded</w:t>
      </w:r>
      <w:r w:rsidR="00BD10F0">
        <w:rPr>
          <w:rFonts w:asciiTheme="majorBidi" w:hAnsiTheme="majorBidi" w:cstheme="majorBidi"/>
        </w:rPr>
        <w:t xml:space="preserve"> </w:t>
      </w:r>
      <w:r w:rsidR="00DE6CE2">
        <w:rPr>
          <w:rFonts w:asciiTheme="majorBidi" w:hAnsiTheme="majorBidi" w:cstheme="majorBidi"/>
        </w:rPr>
        <w:t xml:space="preserve">scholars with </w:t>
      </w:r>
      <w:r w:rsidR="00F47E47">
        <w:rPr>
          <w:rFonts w:asciiTheme="majorBidi" w:hAnsiTheme="majorBidi" w:cstheme="majorBidi"/>
        </w:rPr>
        <w:t>genuine</w:t>
      </w:r>
      <w:r w:rsidR="00DE6CE2">
        <w:rPr>
          <w:rFonts w:asciiTheme="majorBidi" w:hAnsiTheme="majorBidi" w:cstheme="majorBidi"/>
        </w:rPr>
        <w:t xml:space="preserve"> intention</w:t>
      </w:r>
      <w:r w:rsidR="00F47E47">
        <w:rPr>
          <w:rFonts w:asciiTheme="majorBidi" w:hAnsiTheme="majorBidi" w:cstheme="majorBidi"/>
        </w:rPr>
        <w:t>s</w:t>
      </w:r>
      <w:r w:rsidR="00DE6CE2">
        <w:rPr>
          <w:rFonts w:asciiTheme="majorBidi" w:hAnsiTheme="majorBidi" w:cstheme="majorBidi"/>
        </w:rPr>
        <w:t xml:space="preserve"> to reform rulers</w:t>
      </w:r>
      <w:r w:rsidR="00F47E47">
        <w:rPr>
          <w:rFonts w:asciiTheme="majorBidi" w:hAnsiTheme="majorBidi" w:cstheme="majorBidi"/>
        </w:rPr>
        <w:t xml:space="preserve"> for the better</w:t>
      </w:r>
      <w:r w:rsidR="00DE6CE2">
        <w:rPr>
          <w:rFonts w:asciiTheme="majorBidi" w:hAnsiTheme="majorBidi" w:cstheme="majorBidi"/>
        </w:rPr>
        <w:t>.</w:t>
      </w:r>
    </w:p>
    <w:p w14:paraId="7069A657" w14:textId="5548D1A8" w:rsidR="004746E1" w:rsidRDefault="00DE6CE2" w:rsidP="0037533B">
      <w:pPr>
        <w:spacing w:line="360" w:lineRule="auto"/>
        <w:ind w:firstLine="720"/>
        <w:rPr>
          <w:rFonts w:asciiTheme="majorBidi" w:hAnsiTheme="majorBidi" w:cstheme="majorBidi"/>
          <w:color w:val="000000" w:themeColor="text1"/>
        </w:rPr>
      </w:pPr>
      <w:r>
        <w:rPr>
          <w:rFonts w:asciiTheme="majorBidi" w:hAnsiTheme="majorBidi" w:cstheme="majorBidi"/>
        </w:rPr>
        <w:t>The last two characteristics of the ameliorative approach to politics,</w:t>
      </w:r>
      <w:r w:rsidR="00574FD0">
        <w:rPr>
          <w:rFonts w:asciiTheme="majorBidi" w:hAnsiTheme="majorBidi" w:cstheme="majorBidi"/>
        </w:rPr>
        <w:t xml:space="preserve"> </w:t>
      </w:r>
      <w:r>
        <w:rPr>
          <w:rFonts w:asciiTheme="majorBidi" w:hAnsiTheme="majorBidi" w:cstheme="majorBidi"/>
        </w:rPr>
        <w:t xml:space="preserve">the pragmatic and the </w:t>
      </w:r>
      <w:r w:rsidR="006E4A35">
        <w:rPr>
          <w:rFonts w:asciiTheme="majorBidi" w:hAnsiTheme="majorBidi" w:cstheme="majorBidi"/>
        </w:rPr>
        <w:t>affective</w:t>
      </w:r>
      <w:r>
        <w:rPr>
          <w:rFonts w:asciiTheme="majorBidi" w:hAnsiTheme="majorBidi" w:cstheme="majorBidi"/>
        </w:rPr>
        <w:t xml:space="preserve">, concern how </w:t>
      </w:r>
      <w:r w:rsidR="009371D2">
        <w:rPr>
          <w:rFonts w:asciiTheme="majorBidi" w:hAnsiTheme="majorBidi" w:cstheme="majorBidi"/>
        </w:rPr>
        <w:t xml:space="preserve">religious </w:t>
      </w:r>
      <w:r>
        <w:rPr>
          <w:rFonts w:asciiTheme="majorBidi" w:hAnsiTheme="majorBidi" w:cstheme="majorBidi"/>
        </w:rPr>
        <w:t>scholars should deal with rulers</w:t>
      </w:r>
      <w:r w:rsidR="007B2F19">
        <w:rPr>
          <w:rFonts w:asciiTheme="majorBidi" w:hAnsiTheme="majorBidi" w:cstheme="majorBidi"/>
        </w:rPr>
        <w:t xml:space="preserve">. They also bear the imprint of </w:t>
      </w:r>
      <w:r w:rsidR="00AE7659">
        <w:rPr>
          <w:rFonts w:asciiTheme="majorBidi" w:hAnsiTheme="majorBidi" w:cstheme="majorBidi"/>
        </w:rPr>
        <w:t>Ibn al-</w:t>
      </w:r>
      <w:proofErr w:type="spellStart"/>
      <w:r w:rsidR="00AE7659">
        <w:rPr>
          <w:rFonts w:asciiTheme="majorBidi" w:hAnsiTheme="majorBidi" w:cstheme="majorBidi"/>
        </w:rPr>
        <w:t>Jawzī’s</w:t>
      </w:r>
      <w:proofErr w:type="spellEnd"/>
      <w:r w:rsidR="0020027A">
        <w:rPr>
          <w:rFonts w:asciiTheme="majorBidi" w:hAnsiTheme="majorBidi" w:cstheme="majorBidi"/>
        </w:rPr>
        <w:t xml:space="preserve"> public career </w:t>
      </w:r>
      <w:r w:rsidR="007B2F19" w:rsidRPr="001E24FD">
        <w:rPr>
          <w:rFonts w:asciiTheme="majorBidi" w:hAnsiTheme="majorBidi" w:cstheme="majorBidi"/>
          <w:color w:val="000000" w:themeColor="text1"/>
        </w:rPr>
        <w:t xml:space="preserve">as a </w:t>
      </w:r>
      <w:r w:rsidR="0048524A">
        <w:rPr>
          <w:rFonts w:asciiTheme="majorBidi" w:hAnsiTheme="majorBidi" w:cstheme="majorBidi"/>
          <w:color w:val="000000" w:themeColor="text1"/>
        </w:rPr>
        <w:t xml:space="preserve">hortatory </w:t>
      </w:r>
      <w:r w:rsidR="007B2F19" w:rsidRPr="001E24FD">
        <w:rPr>
          <w:rFonts w:asciiTheme="majorBidi" w:hAnsiTheme="majorBidi" w:cstheme="majorBidi"/>
          <w:color w:val="000000" w:themeColor="text1"/>
        </w:rPr>
        <w:t>preacher</w:t>
      </w:r>
      <w:r w:rsidR="009C3FB4">
        <w:rPr>
          <w:rFonts w:asciiTheme="majorBidi" w:hAnsiTheme="majorBidi" w:cstheme="majorBidi"/>
          <w:color w:val="000000" w:themeColor="text1"/>
        </w:rPr>
        <w:t xml:space="preserve"> (</w:t>
      </w:r>
      <w:proofErr w:type="spellStart"/>
      <w:r w:rsidR="009C3FB4">
        <w:rPr>
          <w:rFonts w:asciiTheme="majorBidi" w:hAnsiTheme="majorBidi" w:cstheme="majorBidi"/>
          <w:i/>
          <w:iCs/>
          <w:color w:val="000000" w:themeColor="text1"/>
        </w:rPr>
        <w:t>wāʿiẓ</w:t>
      </w:r>
      <w:proofErr w:type="spellEnd"/>
      <w:r w:rsidR="009C3FB4">
        <w:rPr>
          <w:rFonts w:asciiTheme="majorBidi" w:hAnsiTheme="majorBidi" w:cstheme="majorBidi"/>
          <w:color w:val="000000" w:themeColor="text1"/>
        </w:rPr>
        <w:t>)</w:t>
      </w:r>
      <w:r w:rsidR="007B2F19">
        <w:rPr>
          <w:rFonts w:asciiTheme="majorBidi" w:hAnsiTheme="majorBidi" w:cstheme="majorBidi"/>
          <w:color w:val="000000" w:themeColor="text1"/>
        </w:rPr>
        <w:t>.</w:t>
      </w:r>
      <w:r w:rsidR="00B363F6">
        <w:rPr>
          <w:rFonts w:asciiTheme="majorBidi" w:hAnsiTheme="majorBidi" w:cstheme="majorBidi"/>
          <w:color w:val="000000" w:themeColor="text1"/>
        </w:rPr>
        <w:t xml:space="preserve"> </w:t>
      </w:r>
      <w:r w:rsidR="00576619">
        <w:rPr>
          <w:rFonts w:asciiTheme="majorBidi" w:hAnsiTheme="majorBidi" w:cstheme="majorBidi"/>
          <w:color w:val="000000" w:themeColor="text1"/>
        </w:rPr>
        <w:t>As much as</w:t>
      </w:r>
      <w:r w:rsidR="0058593E">
        <w:rPr>
          <w:rFonts w:asciiTheme="majorBidi" w:hAnsiTheme="majorBidi" w:cstheme="majorBidi"/>
          <w:color w:val="000000" w:themeColor="text1"/>
        </w:rPr>
        <w:t xml:space="preserve"> </w:t>
      </w:r>
      <w:r w:rsidR="009371D2">
        <w:rPr>
          <w:rFonts w:asciiTheme="majorBidi" w:hAnsiTheme="majorBidi" w:cstheme="majorBidi"/>
          <w:color w:val="000000" w:themeColor="text1"/>
        </w:rPr>
        <w:t>scholars</w:t>
      </w:r>
      <w:r w:rsidR="00B363F6">
        <w:rPr>
          <w:rFonts w:asciiTheme="majorBidi" w:hAnsiTheme="majorBidi" w:cstheme="majorBidi"/>
          <w:color w:val="000000" w:themeColor="text1"/>
        </w:rPr>
        <w:t xml:space="preserve"> </w:t>
      </w:r>
      <w:r w:rsidR="00545004">
        <w:rPr>
          <w:rFonts w:asciiTheme="majorBidi" w:hAnsiTheme="majorBidi" w:cstheme="majorBidi"/>
          <w:color w:val="000000" w:themeColor="text1"/>
        </w:rPr>
        <w:t xml:space="preserve">were tasked with </w:t>
      </w:r>
      <w:r w:rsidR="00695162">
        <w:rPr>
          <w:rFonts w:asciiTheme="majorBidi" w:hAnsiTheme="majorBidi" w:cstheme="majorBidi"/>
          <w:color w:val="000000" w:themeColor="text1"/>
        </w:rPr>
        <w:t xml:space="preserve">reforming rulers for the sake of the common good, </w:t>
      </w:r>
      <w:r w:rsidR="00B363F6">
        <w:rPr>
          <w:rFonts w:asciiTheme="majorBidi" w:hAnsiTheme="majorBidi" w:cstheme="majorBidi"/>
          <w:color w:val="000000" w:themeColor="text1"/>
        </w:rPr>
        <w:t xml:space="preserve">a high level of </w:t>
      </w:r>
      <w:r w:rsidR="007F57DE">
        <w:rPr>
          <w:rFonts w:asciiTheme="majorBidi" w:hAnsiTheme="majorBidi" w:cstheme="majorBidi"/>
          <w:color w:val="000000" w:themeColor="text1"/>
        </w:rPr>
        <w:t>pragmatism</w:t>
      </w:r>
      <w:r w:rsidR="00B363F6">
        <w:rPr>
          <w:rFonts w:asciiTheme="majorBidi" w:hAnsiTheme="majorBidi" w:cstheme="majorBidi"/>
          <w:color w:val="000000" w:themeColor="text1"/>
        </w:rPr>
        <w:t xml:space="preserve"> was required to navigate the rough</w:t>
      </w:r>
      <w:r w:rsidR="001B02B6">
        <w:rPr>
          <w:rFonts w:asciiTheme="majorBidi" w:hAnsiTheme="majorBidi" w:cstheme="majorBidi"/>
          <w:color w:val="000000" w:themeColor="text1"/>
        </w:rPr>
        <w:t>,</w:t>
      </w:r>
      <w:r w:rsidR="005F129D">
        <w:rPr>
          <w:rFonts w:asciiTheme="majorBidi" w:hAnsiTheme="majorBidi" w:cstheme="majorBidi"/>
          <w:color w:val="000000" w:themeColor="text1"/>
        </w:rPr>
        <w:t xml:space="preserve"> strongman </w:t>
      </w:r>
      <w:r w:rsidR="00B363F6">
        <w:rPr>
          <w:rFonts w:asciiTheme="majorBidi" w:hAnsiTheme="majorBidi" w:cstheme="majorBidi"/>
          <w:color w:val="000000" w:themeColor="text1"/>
        </w:rPr>
        <w:t>politics of late Abbasid</w:t>
      </w:r>
      <w:r w:rsidR="00695162">
        <w:rPr>
          <w:rFonts w:asciiTheme="majorBidi" w:hAnsiTheme="majorBidi" w:cstheme="majorBidi"/>
          <w:color w:val="000000" w:themeColor="text1"/>
        </w:rPr>
        <w:t xml:space="preserve"> society</w:t>
      </w:r>
      <w:r w:rsidR="00DF4BA5">
        <w:rPr>
          <w:rFonts w:asciiTheme="majorBidi" w:hAnsiTheme="majorBidi" w:cstheme="majorBidi"/>
          <w:color w:val="000000" w:themeColor="text1"/>
        </w:rPr>
        <w:t xml:space="preserve"> in which</w:t>
      </w:r>
      <w:r w:rsidR="00020248">
        <w:rPr>
          <w:rFonts w:asciiTheme="majorBidi" w:hAnsiTheme="majorBidi" w:cstheme="majorBidi"/>
          <w:color w:val="000000" w:themeColor="text1"/>
        </w:rPr>
        <w:t xml:space="preserve"> </w:t>
      </w:r>
      <w:r w:rsidR="00DF4BA5">
        <w:rPr>
          <w:rFonts w:asciiTheme="majorBidi" w:hAnsiTheme="majorBidi" w:cstheme="majorBidi"/>
          <w:color w:val="000000" w:themeColor="text1"/>
        </w:rPr>
        <w:t>p</w:t>
      </w:r>
      <w:r w:rsidR="00020248">
        <w:rPr>
          <w:rFonts w:asciiTheme="majorBidi" w:hAnsiTheme="majorBidi" w:cstheme="majorBidi"/>
          <w:color w:val="000000" w:themeColor="text1"/>
        </w:rPr>
        <w:t>unishments</w:t>
      </w:r>
      <w:r w:rsidR="00D2343E">
        <w:rPr>
          <w:rFonts w:asciiTheme="majorBidi" w:hAnsiTheme="majorBidi" w:cstheme="majorBidi"/>
          <w:color w:val="000000" w:themeColor="text1"/>
        </w:rPr>
        <w:t>, including for dissidents,</w:t>
      </w:r>
      <w:r w:rsidR="00020248">
        <w:rPr>
          <w:rFonts w:asciiTheme="majorBidi" w:hAnsiTheme="majorBidi" w:cstheme="majorBidi"/>
          <w:color w:val="000000" w:themeColor="text1"/>
        </w:rPr>
        <w:t xml:space="preserve"> were meted out </w:t>
      </w:r>
      <w:r w:rsidR="005F129D">
        <w:rPr>
          <w:rFonts w:asciiTheme="majorBidi" w:hAnsiTheme="majorBidi" w:cstheme="majorBidi"/>
          <w:color w:val="000000" w:themeColor="text1"/>
        </w:rPr>
        <w:t>in a harsh and arbitrary manner</w:t>
      </w:r>
      <w:r w:rsidR="00FB319F">
        <w:rPr>
          <w:rFonts w:asciiTheme="majorBidi" w:hAnsiTheme="majorBidi" w:cstheme="majorBidi"/>
          <w:color w:val="000000" w:themeColor="text1"/>
        </w:rPr>
        <w:t>.</w:t>
      </w:r>
      <w:r w:rsidR="00B02F22">
        <w:rPr>
          <w:rFonts w:asciiTheme="majorBidi" w:hAnsiTheme="majorBidi" w:cstheme="majorBidi"/>
          <w:color w:val="000000" w:themeColor="text1"/>
        </w:rPr>
        <w:t xml:space="preserve"> </w:t>
      </w:r>
      <w:r w:rsidR="00CA4163">
        <w:rPr>
          <w:rFonts w:asciiTheme="majorBidi" w:hAnsiTheme="majorBidi" w:cstheme="majorBidi"/>
          <w:color w:val="000000" w:themeColor="text1"/>
        </w:rPr>
        <w:t>In</w:t>
      </w:r>
      <w:r w:rsidR="00B02F22">
        <w:rPr>
          <w:rFonts w:asciiTheme="majorBidi" w:hAnsiTheme="majorBidi" w:cstheme="majorBidi"/>
          <w:color w:val="000000" w:themeColor="text1"/>
        </w:rPr>
        <w:t xml:space="preserve"> such </w:t>
      </w:r>
      <w:r w:rsidR="005F129D">
        <w:rPr>
          <w:rFonts w:asciiTheme="majorBidi" w:hAnsiTheme="majorBidi" w:cstheme="majorBidi"/>
          <w:color w:val="000000" w:themeColor="text1"/>
        </w:rPr>
        <w:t>an un</w:t>
      </w:r>
      <w:r w:rsidR="004F1EF8">
        <w:rPr>
          <w:rFonts w:asciiTheme="majorBidi" w:hAnsiTheme="majorBidi" w:cstheme="majorBidi"/>
          <w:color w:val="000000" w:themeColor="text1"/>
        </w:rPr>
        <w:t>predictable</w:t>
      </w:r>
      <w:r w:rsidR="005F129D">
        <w:rPr>
          <w:rFonts w:asciiTheme="majorBidi" w:hAnsiTheme="majorBidi" w:cstheme="majorBidi"/>
          <w:color w:val="000000" w:themeColor="text1"/>
        </w:rPr>
        <w:t xml:space="preserve"> political environment, a scholar who did not tread carefully in administering counsel to rulers would not only see his efforts go to waste but </w:t>
      </w:r>
      <w:r w:rsidR="001B02B6">
        <w:rPr>
          <w:rFonts w:asciiTheme="majorBidi" w:hAnsiTheme="majorBidi" w:cstheme="majorBidi"/>
          <w:color w:val="000000" w:themeColor="text1"/>
        </w:rPr>
        <w:t>would end up endangering</w:t>
      </w:r>
      <w:r w:rsidR="005F129D">
        <w:rPr>
          <w:rFonts w:asciiTheme="majorBidi" w:hAnsiTheme="majorBidi" w:cstheme="majorBidi"/>
          <w:color w:val="000000" w:themeColor="text1"/>
        </w:rPr>
        <w:t xml:space="preserve"> his own life as well.</w:t>
      </w:r>
      <w:r w:rsidR="001B02B6">
        <w:rPr>
          <w:rFonts w:asciiTheme="majorBidi" w:hAnsiTheme="majorBidi" w:cstheme="majorBidi"/>
          <w:color w:val="000000" w:themeColor="text1"/>
        </w:rPr>
        <w:t xml:space="preserve"> </w:t>
      </w:r>
      <w:r w:rsidR="00CA4163">
        <w:rPr>
          <w:rFonts w:asciiTheme="majorBidi" w:hAnsiTheme="majorBidi" w:cstheme="majorBidi"/>
          <w:color w:val="000000" w:themeColor="text1"/>
        </w:rPr>
        <w:t>In Ibn al-</w:t>
      </w:r>
      <w:proofErr w:type="spellStart"/>
      <w:r w:rsidR="00CA4163">
        <w:rPr>
          <w:rFonts w:asciiTheme="majorBidi" w:hAnsiTheme="majorBidi" w:cstheme="majorBidi"/>
          <w:color w:val="000000" w:themeColor="text1"/>
        </w:rPr>
        <w:t>Jawzī’s</w:t>
      </w:r>
      <w:proofErr w:type="spellEnd"/>
      <w:r w:rsidR="00CA4163">
        <w:rPr>
          <w:rFonts w:asciiTheme="majorBidi" w:hAnsiTheme="majorBidi" w:cstheme="majorBidi"/>
          <w:color w:val="000000" w:themeColor="text1"/>
        </w:rPr>
        <w:t xml:space="preserve"> political framework, t</w:t>
      </w:r>
      <w:r w:rsidR="001B02B6">
        <w:rPr>
          <w:rFonts w:asciiTheme="majorBidi" w:hAnsiTheme="majorBidi" w:cstheme="majorBidi"/>
          <w:color w:val="000000" w:themeColor="text1"/>
        </w:rPr>
        <w:t>h</w:t>
      </w:r>
      <w:r w:rsidR="00CA4163">
        <w:rPr>
          <w:rFonts w:asciiTheme="majorBidi" w:hAnsiTheme="majorBidi" w:cstheme="majorBidi"/>
          <w:color w:val="000000" w:themeColor="text1"/>
        </w:rPr>
        <w:t>ese circumstances</w:t>
      </w:r>
      <w:r w:rsidR="001B02B6">
        <w:rPr>
          <w:rFonts w:asciiTheme="majorBidi" w:hAnsiTheme="majorBidi" w:cstheme="majorBidi"/>
          <w:color w:val="000000" w:themeColor="text1"/>
        </w:rPr>
        <w:t xml:space="preserve"> call for a</w:t>
      </w:r>
      <w:r w:rsidR="00583D66">
        <w:rPr>
          <w:rFonts w:asciiTheme="majorBidi" w:hAnsiTheme="majorBidi" w:cstheme="majorBidi"/>
          <w:color w:val="000000" w:themeColor="text1"/>
        </w:rPr>
        <w:t>n eloquent</w:t>
      </w:r>
      <w:r w:rsidR="001B02B6">
        <w:rPr>
          <w:rFonts w:asciiTheme="majorBidi" w:hAnsiTheme="majorBidi" w:cstheme="majorBidi"/>
          <w:color w:val="000000" w:themeColor="text1"/>
        </w:rPr>
        <w:t xml:space="preserve"> </w:t>
      </w:r>
      <w:r w:rsidR="001B02B6">
        <w:rPr>
          <w:rFonts w:asciiTheme="majorBidi" w:hAnsiTheme="majorBidi" w:cstheme="majorBidi"/>
          <w:color w:val="000000" w:themeColor="text1"/>
        </w:rPr>
        <w:lastRenderedPageBreak/>
        <w:t>scholar</w:t>
      </w:r>
      <w:r w:rsidR="0024255F">
        <w:rPr>
          <w:rFonts w:asciiTheme="majorBidi" w:hAnsiTheme="majorBidi" w:cstheme="majorBidi"/>
          <w:color w:val="000000" w:themeColor="text1"/>
        </w:rPr>
        <w:t>-preacher</w:t>
      </w:r>
      <w:r w:rsidR="001B02B6">
        <w:rPr>
          <w:rFonts w:asciiTheme="majorBidi" w:hAnsiTheme="majorBidi" w:cstheme="majorBidi"/>
          <w:color w:val="000000" w:themeColor="text1"/>
        </w:rPr>
        <w:t xml:space="preserve"> wh</w:t>
      </w:r>
      <w:r w:rsidR="00CA4163">
        <w:rPr>
          <w:rFonts w:asciiTheme="majorBidi" w:hAnsiTheme="majorBidi" w:cstheme="majorBidi"/>
          <w:color w:val="000000" w:themeColor="text1"/>
        </w:rPr>
        <w:t>o is</w:t>
      </w:r>
      <w:r w:rsidR="001E0244">
        <w:rPr>
          <w:rFonts w:asciiTheme="majorBidi" w:hAnsiTheme="majorBidi" w:cstheme="majorBidi"/>
          <w:color w:val="000000" w:themeColor="text1"/>
        </w:rPr>
        <w:t xml:space="preserve"> </w:t>
      </w:r>
      <w:r w:rsidR="001E0244" w:rsidRPr="001E24FD">
        <w:rPr>
          <w:rFonts w:asciiTheme="majorBidi" w:hAnsiTheme="majorBidi" w:cstheme="majorBidi"/>
          <w:color w:val="000000" w:themeColor="text1"/>
        </w:rPr>
        <w:t xml:space="preserve">sensitive to rhetorical subtleties and the </w:t>
      </w:r>
      <w:r w:rsidR="00FB1850">
        <w:rPr>
          <w:rFonts w:asciiTheme="majorBidi" w:hAnsiTheme="majorBidi" w:cstheme="majorBidi"/>
          <w:color w:val="000000" w:themeColor="text1"/>
        </w:rPr>
        <w:t>affective</w:t>
      </w:r>
      <w:r w:rsidR="001E0244" w:rsidRPr="001E24FD">
        <w:rPr>
          <w:rFonts w:asciiTheme="majorBidi" w:hAnsiTheme="majorBidi" w:cstheme="majorBidi"/>
          <w:color w:val="000000" w:themeColor="text1"/>
        </w:rPr>
        <w:t xml:space="preserve"> responses of his audience</w:t>
      </w:r>
      <w:r w:rsidR="001E0244">
        <w:rPr>
          <w:rFonts w:asciiTheme="majorBidi" w:hAnsiTheme="majorBidi" w:cstheme="majorBidi"/>
          <w:color w:val="000000" w:themeColor="text1"/>
        </w:rPr>
        <w:t xml:space="preserve">, and </w:t>
      </w:r>
      <w:r w:rsidR="007C59B5">
        <w:rPr>
          <w:rFonts w:asciiTheme="majorBidi" w:hAnsiTheme="majorBidi" w:cstheme="majorBidi"/>
          <w:color w:val="000000" w:themeColor="text1"/>
        </w:rPr>
        <w:t xml:space="preserve">with the ability to apply </w:t>
      </w:r>
      <w:r w:rsidR="002A42B9">
        <w:rPr>
          <w:rFonts w:asciiTheme="majorBidi" w:hAnsiTheme="majorBidi" w:cstheme="majorBidi"/>
          <w:color w:val="000000" w:themeColor="text1"/>
        </w:rPr>
        <w:t>his homiletic skills</w:t>
      </w:r>
      <w:r w:rsidR="007C59B5">
        <w:rPr>
          <w:rFonts w:asciiTheme="majorBidi" w:hAnsiTheme="majorBidi" w:cstheme="majorBidi"/>
          <w:color w:val="000000" w:themeColor="text1"/>
        </w:rPr>
        <w:t xml:space="preserve"> to the business of political admonition.</w:t>
      </w:r>
      <w:r w:rsidR="00FB1850">
        <w:rPr>
          <w:rStyle w:val="FootnoteReference"/>
          <w:rFonts w:asciiTheme="majorBidi" w:hAnsiTheme="majorBidi" w:cstheme="majorBidi"/>
          <w:color w:val="000000" w:themeColor="text1"/>
        </w:rPr>
        <w:footnoteReference w:id="64"/>
      </w:r>
      <w:r w:rsidR="00254E6C">
        <w:rPr>
          <w:rFonts w:asciiTheme="majorBidi" w:hAnsiTheme="majorBidi" w:cstheme="majorBidi"/>
          <w:color w:val="000000" w:themeColor="text1"/>
        </w:rPr>
        <w:t xml:space="preserve"> </w:t>
      </w:r>
    </w:p>
    <w:p w14:paraId="7FEF5613" w14:textId="2A934FD0" w:rsidR="00DE6CE2" w:rsidRDefault="007C59B5" w:rsidP="0037533B">
      <w:pPr>
        <w:spacing w:line="360" w:lineRule="auto"/>
        <w:ind w:firstLine="720"/>
        <w:rPr>
          <w:rFonts w:asciiTheme="majorBidi" w:hAnsiTheme="majorBidi" w:cstheme="majorBidi"/>
          <w:color w:val="000000" w:themeColor="text1"/>
        </w:rPr>
      </w:pPr>
      <w:r>
        <w:rPr>
          <w:rFonts w:asciiTheme="majorBidi" w:hAnsiTheme="majorBidi" w:cstheme="majorBidi"/>
          <w:color w:val="000000" w:themeColor="text1"/>
        </w:rPr>
        <w:t xml:space="preserve">Compared to a jurist or theologian, a preacher is better </w:t>
      </w:r>
      <w:r w:rsidR="00CA4163">
        <w:rPr>
          <w:rFonts w:asciiTheme="majorBidi" w:hAnsiTheme="majorBidi" w:cstheme="majorBidi"/>
          <w:color w:val="000000" w:themeColor="text1"/>
        </w:rPr>
        <w:t>suited</w:t>
      </w:r>
      <w:r>
        <w:rPr>
          <w:rFonts w:asciiTheme="majorBidi" w:hAnsiTheme="majorBidi" w:cstheme="majorBidi"/>
          <w:color w:val="000000" w:themeColor="text1"/>
        </w:rPr>
        <w:t xml:space="preserve"> to deal with </w:t>
      </w:r>
      <w:r w:rsidR="004F1EF8">
        <w:rPr>
          <w:rFonts w:asciiTheme="majorBidi" w:hAnsiTheme="majorBidi" w:cstheme="majorBidi"/>
          <w:color w:val="000000" w:themeColor="text1"/>
        </w:rPr>
        <w:t>the unpredictable</w:t>
      </w:r>
      <w:r w:rsidR="004552BC">
        <w:rPr>
          <w:rFonts w:asciiTheme="majorBidi" w:hAnsiTheme="majorBidi" w:cstheme="majorBidi"/>
          <w:color w:val="000000" w:themeColor="text1"/>
        </w:rPr>
        <w:t xml:space="preserve"> </w:t>
      </w:r>
      <w:r w:rsidR="004F1EF8">
        <w:rPr>
          <w:rFonts w:asciiTheme="majorBidi" w:hAnsiTheme="majorBidi" w:cstheme="majorBidi"/>
          <w:color w:val="000000" w:themeColor="text1"/>
        </w:rPr>
        <w:t xml:space="preserve">nature of </w:t>
      </w:r>
      <w:r w:rsidR="00CA4163">
        <w:rPr>
          <w:rFonts w:asciiTheme="majorBidi" w:hAnsiTheme="majorBidi" w:cstheme="majorBidi"/>
          <w:color w:val="000000" w:themeColor="text1"/>
        </w:rPr>
        <w:t>late Abbasid politics</w:t>
      </w:r>
      <w:r w:rsidR="004F1EF8">
        <w:rPr>
          <w:rFonts w:asciiTheme="majorBidi" w:hAnsiTheme="majorBidi" w:cstheme="majorBidi"/>
          <w:color w:val="000000" w:themeColor="text1"/>
        </w:rPr>
        <w:t xml:space="preserve"> </w:t>
      </w:r>
      <w:r w:rsidR="00324FE2">
        <w:rPr>
          <w:rFonts w:asciiTheme="majorBidi" w:hAnsiTheme="majorBidi" w:cstheme="majorBidi"/>
          <w:color w:val="000000" w:themeColor="text1"/>
        </w:rPr>
        <w:t>due to</w:t>
      </w:r>
      <w:r w:rsidR="00CA4163">
        <w:rPr>
          <w:rFonts w:asciiTheme="majorBidi" w:hAnsiTheme="majorBidi" w:cstheme="majorBidi"/>
          <w:color w:val="000000" w:themeColor="text1"/>
        </w:rPr>
        <w:t xml:space="preserve"> his ability to modulate his speech according to </w:t>
      </w:r>
      <w:r w:rsidR="002A42B9">
        <w:rPr>
          <w:rFonts w:asciiTheme="majorBidi" w:hAnsiTheme="majorBidi" w:cstheme="majorBidi"/>
          <w:color w:val="000000" w:themeColor="text1"/>
        </w:rPr>
        <w:t>a ruler’s</w:t>
      </w:r>
      <w:r w:rsidR="00CA4163">
        <w:rPr>
          <w:rFonts w:asciiTheme="majorBidi" w:hAnsiTheme="majorBidi" w:cstheme="majorBidi"/>
          <w:color w:val="000000" w:themeColor="text1"/>
        </w:rPr>
        <w:t xml:space="preserve"> </w:t>
      </w:r>
      <w:r w:rsidR="00A2097D">
        <w:rPr>
          <w:rFonts w:asciiTheme="majorBidi" w:hAnsiTheme="majorBidi" w:cstheme="majorBidi"/>
          <w:color w:val="000000" w:themeColor="text1"/>
        </w:rPr>
        <w:t xml:space="preserve">personality and </w:t>
      </w:r>
      <w:r w:rsidR="00CA4163">
        <w:rPr>
          <w:rFonts w:asciiTheme="majorBidi" w:hAnsiTheme="majorBidi" w:cstheme="majorBidi"/>
          <w:color w:val="000000" w:themeColor="text1"/>
        </w:rPr>
        <w:t>mood</w:t>
      </w:r>
      <w:r>
        <w:rPr>
          <w:rFonts w:asciiTheme="majorBidi" w:hAnsiTheme="majorBidi" w:cstheme="majorBidi"/>
          <w:color w:val="000000" w:themeColor="text1"/>
        </w:rPr>
        <w:t>.</w:t>
      </w:r>
      <w:r w:rsidR="00844B75">
        <w:rPr>
          <w:rFonts w:asciiTheme="majorBidi" w:hAnsiTheme="majorBidi" w:cstheme="majorBidi"/>
          <w:color w:val="000000" w:themeColor="text1"/>
        </w:rPr>
        <w:t xml:space="preserve"> </w:t>
      </w:r>
      <w:r w:rsidR="005415E9">
        <w:rPr>
          <w:rFonts w:asciiTheme="majorBidi" w:hAnsiTheme="majorBidi" w:cstheme="majorBidi"/>
          <w:color w:val="000000" w:themeColor="text1"/>
        </w:rPr>
        <w:t>It is important to note, however, that t</w:t>
      </w:r>
      <w:r w:rsidR="00844B75">
        <w:rPr>
          <w:rFonts w:asciiTheme="majorBidi" w:hAnsiTheme="majorBidi" w:cstheme="majorBidi"/>
          <w:color w:val="000000" w:themeColor="text1"/>
        </w:rPr>
        <w:t xml:space="preserve">his pragmatism </w:t>
      </w:r>
      <w:r w:rsidR="00791655">
        <w:rPr>
          <w:rFonts w:asciiTheme="majorBidi" w:hAnsiTheme="majorBidi" w:cstheme="majorBidi"/>
          <w:color w:val="000000" w:themeColor="text1"/>
        </w:rPr>
        <w:t>differed</w:t>
      </w:r>
      <w:r w:rsidR="00844B75">
        <w:rPr>
          <w:rFonts w:asciiTheme="majorBidi" w:hAnsiTheme="majorBidi" w:cstheme="majorBidi"/>
          <w:color w:val="000000" w:themeColor="text1"/>
        </w:rPr>
        <w:t xml:space="preserve"> from the pragmatism of jurists who</w:t>
      </w:r>
      <w:r w:rsidR="005415E9">
        <w:rPr>
          <w:rFonts w:asciiTheme="majorBidi" w:hAnsiTheme="majorBidi" w:cstheme="majorBidi"/>
          <w:color w:val="000000" w:themeColor="text1"/>
        </w:rPr>
        <w:t xml:space="preserve"> were willing to compromise on the ideal qualifications </w:t>
      </w:r>
      <w:r w:rsidR="00791655">
        <w:rPr>
          <w:rFonts w:asciiTheme="majorBidi" w:hAnsiTheme="majorBidi" w:cstheme="majorBidi"/>
          <w:color w:val="000000" w:themeColor="text1"/>
        </w:rPr>
        <w:t>for</w:t>
      </w:r>
      <w:r w:rsidR="005415E9">
        <w:rPr>
          <w:rFonts w:asciiTheme="majorBidi" w:hAnsiTheme="majorBidi" w:cstheme="majorBidi"/>
          <w:color w:val="000000" w:themeColor="text1"/>
        </w:rPr>
        <w:t xml:space="preserve"> rulership and </w:t>
      </w:r>
      <w:r w:rsidR="00791655">
        <w:rPr>
          <w:rFonts w:asciiTheme="majorBidi" w:hAnsiTheme="majorBidi" w:cstheme="majorBidi"/>
          <w:color w:val="000000" w:themeColor="text1"/>
        </w:rPr>
        <w:t xml:space="preserve">make juridical concessions when faced with political circumstances </w:t>
      </w:r>
      <w:r w:rsidR="00690959">
        <w:rPr>
          <w:rFonts w:asciiTheme="majorBidi" w:hAnsiTheme="majorBidi" w:cstheme="majorBidi"/>
          <w:color w:val="000000" w:themeColor="text1"/>
        </w:rPr>
        <w:t>that</w:t>
      </w:r>
      <w:r w:rsidR="00791655">
        <w:rPr>
          <w:rFonts w:asciiTheme="majorBidi" w:hAnsiTheme="majorBidi" w:cstheme="majorBidi"/>
          <w:color w:val="000000" w:themeColor="text1"/>
        </w:rPr>
        <w:t xml:space="preserve"> </w:t>
      </w:r>
      <w:r w:rsidR="002429E5">
        <w:rPr>
          <w:rFonts w:asciiTheme="majorBidi" w:hAnsiTheme="majorBidi" w:cstheme="majorBidi"/>
          <w:color w:val="000000" w:themeColor="text1"/>
        </w:rPr>
        <w:t>fell short of the ideal</w:t>
      </w:r>
      <w:r w:rsidR="006735B0">
        <w:rPr>
          <w:rFonts w:asciiTheme="majorBidi" w:hAnsiTheme="majorBidi" w:cstheme="majorBidi"/>
          <w:color w:val="000000" w:themeColor="text1"/>
        </w:rPr>
        <w:t>, as seen in Chapter 3</w:t>
      </w:r>
      <w:r w:rsidR="00791655">
        <w:rPr>
          <w:rFonts w:asciiTheme="majorBidi" w:hAnsiTheme="majorBidi" w:cstheme="majorBidi"/>
          <w:color w:val="000000" w:themeColor="text1"/>
        </w:rPr>
        <w:t>.</w:t>
      </w:r>
      <w:r w:rsidR="00C56B70">
        <w:rPr>
          <w:rFonts w:asciiTheme="majorBidi" w:hAnsiTheme="majorBidi" w:cstheme="majorBidi"/>
          <w:color w:val="000000" w:themeColor="text1"/>
        </w:rPr>
        <w:t xml:space="preserve"> For Ibn al-</w:t>
      </w:r>
      <w:proofErr w:type="spellStart"/>
      <w:r w:rsidR="00C56B70">
        <w:rPr>
          <w:rFonts w:asciiTheme="majorBidi" w:hAnsiTheme="majorBidi" w:cstheme="majorBidi"/>
          <w:color w:val="000000" w:themeColor="text1"/>
        </w:rPr>
        <w:t>Jawzī</w:t>
      </w:r>
      <w:proofErr w:type="spellEnd"/>
      <w:r w:rsidR="00C56B70">
        <w:rPr>
          <w:rFonts w:asciiTheme="majorBidi" w:hAnsiTheme="majorBidi" w:cstheme="majorBidi"/>
          <w:color w:val="000000" w:themeColor="text1"/>
        </w:rPr>
        <w:t xml:space="preserve">, the </w:t>
      </w:r>
      <w:r w:rsidR="003D4917">
        <w:rPr>
          <w:rFonts w:asciiTheme="majorBidi" w:hAnsiTheme="majorBidi" w:cstheme="majorBidi"/>
          <w:color w:val="000000" w:themeColor="text1"/>
        </w:rPr>
        <w:t xml:space="preserve">justice and piety of the ruler were not to be compromised, </w:t>
      </w:r>
      <w:r w:rsidR="0091652A">
        <w:rPr>
          <w:rFonts w:asciiTheme="majorBidi" w:hAnsiTheme="majorBidi" w:cstheme="majorBidi"/>
          <w:color w:val="000000" w:themeColor="text1"/>
        </w:rPr>
        <w:t>though</w:t>
      </w:r>
      <w:r w:rsidR="003D4917">
        <w:rPr>
          <w:rFonts w:asciiTheme="majorBidi" w:hAnsiTheme="majorBidi" w:cstheme="majorBidi"/>
          <w:color w:val="000000" w:themeColor="text1"/>
        </w:rPr>
        <w:t xml:space="preserve"> the means to achieve these moral ideals could be altered </w:t>
      </w:r>
      <w:r w:rsidR="0091652A">
        <w:rPr>
          <w:rFonts w:asciiTheme="majorBidi" w:hAnsiTheme="majorBidi" w:cstheme="majorBidi"/>
          <w:color w:val="000000" w:themeColor="text1"/>
        </w:rPr>
        <w:t>based on</w:t>
      </w:r>
      <w:r w:rsidR="003D4917">
        <w:rPr>
          <w:rFonts w:asciiTheme="majorBidi" w:hAnsiTheme="majorBidi" w:cstheme="majorBidi"/>
          <w:color w:val="000000" w:themeColor="text1"/>
        </w:rPr>
        <w:t xml:space="preserve"> the circumstances at hand.</w:t>
      </w:r>
    </w:p>
    <w:p w14:paraId="6D89B12B" w14:textId="77777777" w:rsidR="004746E1" w:rsidRDefault="00E65BA1" w:rsidP="0037533B">
      <w:pPr>
        <w:spacing w:line="360" w:lineRule="auto"/>
        <w:ind w:firstLine="720"/>
        <w:rPr>
          <w:rFonts w:asciiTheme="majorBidi" w:hAnsiTheme="majorBidi" w:cstheme="majorBidi"/>
          <w:color w:val="000000" w:themeColor="text1"/>
        </w:rPr>
      </w:pPr>
      <w:r>
        <w:rPr>
          <w:rFonts w:asciiTheme="majorBidi" w:hAnsiTheme="majorBidi" w:cstheme="majorBidi"/>
          <w:color w:val="000000" w:themeColor="text1"/>
        </w:rPr>
        <w:t>Given the importance of</w:t>
      </w:r>
      <w:r w:rsidR="00BD02A7">
        <w:rPr>
          <w:rFonts w:asciiTheme="majorBidi" w:hAnsiTheme="majorBidi" w:cstheme="majorBidi"/>
          <w:color w:val="000000" w:themeColor="text1"/>
        </w:rPr>
        <w:t xml:space="preserve"> gaug</w:t>
      </w:r>
      <w:r>
        <w:rPr>
          <w:rFonts w:asciiTheme="majorBidi" w:hAnsiTheme="majorBidi" w:cstheme="majorBidi"/>
          <w:color w:val="000000" w:themeColor="text1"/>
        </w:rPr>
        <w:t>ing</w:t>
      </w:r>
      <w:r w:rsidR="00BD02A7">
        <w:rPr>
          <w:rFonts w:asciiTheme="majorBidi" w:hAnsiTheme="majorBidi" w:cstheme="majorBidi"/>
          <w:color w:val="000000" w:themeColor="text1"/>
        </w:rPr>
        <w:t xml:space="preserve"> moods</w:t>
      </w:r>
      <w:r>
        <w:rPr>
          <w:rFonts w:asciiTheme="majorBidi" w:hAnsiTheme="majorBidi" w:cstheme="majorBidi"/>
          <w:color w:val="000000" w:themeColor="text1"/>
        </w:rPr>
        <w:t>, be it</w:t>
      </w:r>
      <w:r w:rsidR="00BD02A7">
        <w:rPr>
          <w:rFonts w:asciiTheme="majorBidi" w:hAnsiTheme="majorBidi" w:cstheme="majorBidi"/>
          <w:color w:val="000000" w:themeColor="text1"/>
        </w:rPr>
        <w:t xml:space="preserve"> of rulers </w:t>
      </w:r>
      <w:r>
        <w:rPr>
          <w:rFonts w:asciiTheme="majorBidi" w:hAnsiTheme="majorBidi" w:cstheme="majorBidi"/>
          <w:color w:val="000000" w:themeColor="text1"/>
        </w:rPr>
        <w:t>or mass</w:t>
      </w:r>
      <w:r w:rsidR="00BD02A7">
        <w:rPr>
          <w:rFonts w:asciiTheme="majorBidi" w:hAnsiTheme="majorBidi" w:cstheme="majorBidi"/>
          <w:color w:val="000000" w:themeColor="text1"/>
        </w:rPr>
        <w:t xml:space="preserve"> audiences, </w:t>
      </w:r>
      <w:r>
        <w:rPr>
          <w:rFonts w:asciiTheme="majorBidi" w:hAnsiTheme="majorBidi" w:cstheme="majorBidi"/>
          <w:color w:val="000000" w:themeColor="text1"/>
        </w:rPr>
        <w:t xml:space="preserve">my </w:t>
      </w:r>
      <w:r w:rsidR="00BD02A7">
        <w:rPr>
          <w:rFonts w:asciiTheme="majorBidi" w:hAnsiTheme="majorBidi" w:cstheme="majorBidi"/>
          <w:color w:val="000000" w:themeColor="text1"/>
        </w:rPr>
        <w:t xml:space="preserve">discussion </w:t>
      </w:r>
      <w:r>
        <w:rPr>
          <w:rFonts w:asciiTheme="majorBidi" w:hAnsiTheme="majorBidi" w:cstheme="majorBidi"/>
          <w:color w:val="000000" w:themeColor="text1"/>
        </w:rPr>
        <w:t xml:space="preserve">of political admonition </w:t>
      </w:r>
      <w:r w:rsidR="00BD02A7">
        <w:rPr>
          <w:rFonts w:asciiTheme="majorBidi" w:hAnsiTheme="majorBidi" w:cstheme="majorBidi"/>
          <w:color w:val="000000" w:themeColor="text1"/>
        </w:rPr>
        <w:t xml:space="preserve">would be remiss if it did not </w:t>
      </w:r>
      <w:r>
        <w:rPr>
          <w:rFonts w:asciiTheme="majorBidi" w:hAnsiTheme="majorBidi" w:cstheme="majorBidi"/>
          <w:color w:val="000000" w:themeColor="text1"/>
        </w:rPr>
        <w:t xml:space="preserve">include a discussion of emotions, </w:t>
      </w:r>
      <w:r w:rsidR="00727E28" w:rsidRPr="00E65BA1">
        <w:rPr>
          <w:rFonts w:asciiTheme="majorBidi" w:hAnsiTheme="majorBidi" w:cstheme="majorBidi"/>
          <w:color w:val="000000" w:themeColor="text1"/>
        </w:rPr>
        <w:t>which</w:t>
      </w:r>
      <w:r w:rsidR="0051676C">
        <w:rPr>
          <w:rFonts w:asciiTheme="majorBidi" w:hAnsiTheme="majorBidi" w:cstheme="majorBidi"/>
          <w:color w:val="000000" w:themeColor="text1"/>
        </w:rPr>
        <w:t xml:space="preserve"> </w:t>
      </w:r>
      <w:r w:rsidR="007970A2">
        <w:rPr>
          <w:rFonts w:asciiTheme="majorBidi" w:hAnsiTheme="majorBidi" w:cstheme="majorBidi"/>
          <w:color w:val="000000" w:themeColor="text1"/>
        </w:rPr>
        <w:t xml:space="preserve">now </w:t>
      </w:r>
      <w:r w:rsidR="00727E28" w:rsidRPr="00E65BA1">
        <w:rPr>
          <w:rFonts w:asciiTheme="majorBidi" w:hAnsiTheme="majorBidi" w:cstheme="majorBidi"/>
          <w:color w:val="000000" w:themeColor="text1"/>
        </w:rPr>
        <w:t xml:space="preserve">brings </w:t>
      </w:r>
      <w:r w:rsidR="0051676C">
        <w:rPr>
          <w:rFonts w:asciiTheme="majorBidi" w:hAnsiTheme="majorBidi" w:cstheme="majorBidi"/>
          <w:color w:val="000000" w:themeColor="text1"/>
        </w:rPr>
        <w:t>us</w:t>
      </w:r>
      <w:r w:rsidR="00727E28" w:rsidRPr="00E65BA1">
        <w:rPr>
          <w:rFonts w:asciiTheme="majorBidi" w:hAnsiTheme="majorBidi" w:cstheme="majorBidi"/>
          <w:color w:val="000000" w:themeColor="text1"/>
        </w:rPr>
        <w:t xml:space="preserve"> to the affective component of </w:t>
      </w:r>
      <w:r>
        <w:rPr>
          <w:rFonts w:asciiTheme="majorBidi" w:hAnsiTheme="majorBidi" w:cstheme="majorBidi"/>
          <w:color w:val="000000" w:themeColor="text1"/>
        </w:rPr>
        <w:t>Ibn al-</w:t>
      </w:r>
      <w:proofErr w:type="spellStart"/>
      <w:r>
        <w:rPr>
          <w:rFonts w:asciiTheme="majorBidi" w:hAnsiTheme="majorBidi" w:cstheme="majorBidi"/>
          <w:color w:val="000000" w:themeColor="text1"/>
        </w:rPr>
        <w:t>Jawzī’s</w:t>
      </w:r>
      <w:proofErr w:type="spellEnd"/>
      <w:r w:rsidR="00727E28" w:rsidRPr="00E65BA1">
        <w:rPr>
          <w:rFonts w:asciiTheme="majorBidi" w:hAnsiTheme="majorBidi" w:cstheme="majorBidi"/>
          <w:color w:val="000000" w:themeColor="text1"/>
        </w:rPr>
        <w:t xml:space="preserve"> ameliorative </w:t>
      </w:r>
      <w:r>
        <w:rPr>
          <w:rFonts w:asciiTheme="majorBidi" w:hAnsiTheme="majorBidi" w:cstheme="majorBidi"/>
          <w:color w:val="000000" w:themeColor="text1"/>
        </w:rPr>
        <w:t>politics.</w:t>
      </w:r>
      <w:r w:rsidR="00B916F0">
        <w:rPr>
          <w:rFonts w:asciiTheme="majorBidi" w:hAnsiTheme="majorBidi" w:cstheme="majorBidi"/>
          <w:color w:val="000000" w:themeColor="text1"/>
        </w:rPr>
        <w:t xml:space="preserve"> </w:t>
      </w:r>
      <w:r w:rsidR="00A262DE">
        <w:rPr>
          <w:rFonts w:asciiTheme="majorBidi" w:hAnsiTheme="majorBidi" w:cstheme="majorBidi"/>
          <w:color w:val="000000" w:themeColor="text1"/>
        </w:rPr>
        <w:t>Insofar as</w:t>
      </w:r>
      <w:r w:rsidR="00AE09B1">
        <w:rPr>
          <w:rFonts w:asciiTheme="majorBidi" w:hAnsiTheme="majorBidi" w:cstheme="majorBidi"/>
          <w:color w:val="000000" w:themeColor="text1"/>
        </w:rPr>
        <w:t xml:space="preserve"> </w:t>
      </w:r>
      <w:r w:rsidR="00A262DE">
        <w:rPr>
          <w:rFonts w:asciiTheme="majorBidi" w:hAnsiTheme="majorBidi" w:cstheme="majorBidi"/>
          <w:color w:val="000000" w:themeColor="text1"/>
        </w:rPr>
        <w:t xml:space="preserve">virtuous rule remains the ultimate goal </w:t>
      </w:r>
      <w:r w:rsidR="00AE09B1">
        <w:rPr>
          <w:rFonts w:asciiTheme="majorBidi" w:hAnsiTheme="majorBidi" w:cstheme="majorBidi"/>
          <w:color w:val="000000" w:themeColor="text1"/>
        </w:rPr>
        <w:t xml:space="preserve">in the ameliorative </w:t>
      </w:r>
      <w:r w:rsidR="00480073">
        <w:rPr>
          <w:rFonts w:asciiTheme="majorBidi" w:hAnsiTheme="majorBidi" w:cstheme="majorBidi"/>
          <w:color w:val="000000" w:themeColor="text1"/>
        </w:rPr>
        <w:t xml:space="preserve">approach </w:t>
      </w:r>
      <w:r w:rsidR="00AE09B1">
        <w:rPr>
          <w:rFonts w:asciiTheme="majorBidi" w:hAnsiTheme="majorBidi" w:cstheme="majorBidi"/>
          <w:color w:val="000000" w:themeColor="text1"/>
        </w:rPr>
        <w:t>to politics</w:t>
      </w:r>
      <w:r w:rsidR="00A262DE">
        <w:rPr>
          <w:rFonts w:asciiTheme="majorBidi" w:hAnsiTheme="majorBidi" w:cstheme="majorBidi"/>
          <w:color w:val="000000" w:themeColor="text1"/>
        </w:rPr>
        <w:t xml:space="preserve">, a crucial step would be for the scholar-preacher to </w:t>
      </w:r>
      <w:r w:rsidR="0008671C">
        <w:rPr>
          <w:rFonts w:asciiTheme="majorBidi" w:hAnsiTheme="majorBidi" w:cstheme="majorBidi"/>
          <w:color w:val="000000" w:themeColor="text1"/>
        </w:rPr>
        <w:t>steer</w:t>
      </w:r>
      <w:r w:rsidR="00A262DE">
        <w:rPr>
          <w:rFonts w:asciiTheme="majorBidi" w:hAnsiTheme="majorBidi" w:cstheme="majorBidi"/>
          <w:color w:val="000000" w:themeColor="text1"/>
        </w:rPr>
        <w:t xml:space="preserve"> the ruler’s </w:t>
      </w:r>
      <w:r w:rsidR="0051676C">
        <w:rPr>
          <w:rFonts w:asciiTheme="majorBidi" w:hAnsiTheme="majorBidi" w:cstheme="majorBidi"/>
          <w:color w:val="000000" w:themeColor="text1"/>
        </w:rPr>
        <w:t>will</w:t>
      </w:r>
      <w:r w:rsidR="00A262DE">
        <w:rPr>
          <w:rFonts w:asciiTheme="majorBidi" w:hAnsiTheme="majorBidi" w:cstheme="majorBidi"/>
          <w:color w:val="000000" w:themeColor="text1"/>
        </w:rPr>
        <w:t xml:space="preserve"> to</w:t>
      </w:r>
      <w:r w:rsidR="0051676C">
        <w:rPr>
          <w:rFonts w:asciiTheme="majorBidi" w:hAnsiTheme="majorBidi" w:cstheme="majorBidi"/>
          <w:color w:val="000000" w:themeColor="text1"/>
        </w:rPr>
        <w:t>ward</w:t>
      </w:r>
      <w:r w:rsidR="00A262DE">
        <w:rPr>
          <w:rFonts w:asciiTheme="majorBidi" w:hAnsiTheme="majorBidi" w:cstheme="majorBidi"/>
          <w:color w:val="000000" w:themeColor="text1"/>
        </w:rPr>
        <w:t xml:space="preserve"> </w:t>
      </w:r>
      <w:r w:rsidR="00FB1850">
        <w:rPr>
          <w:rFonts w:asciiTheme="majorBidi" w:hAnsiTheme="majorBidi" w:cstheme="majorBidi"/>
          <w:color w:val="000000" w:themeColor="text1"/>
        </w:rPr>
        <w:t>justice and piety</w:t>
      </w:r>
      <w:r w:rsidR="00CF350D">
        <w:rPr>
          <w:rFonts w:asciiTheme="majorBidi" w:hAnsiTheme="majorBidi" w:cstheme="majorBidi"/>
          <w:color w:val="000000" w:themeColor="text1"/>
        </w:rPr>
        <w:t xml:space="preserve"> using the arts of </w:t>
      </w:r>
      <w:r w:rsidR="00EA2859">
        <w:rPr>
          <w:rFonts w:asciiTheme="majorBidi" w:hAnsiTheme="majorBidi" w:cstheme="majorBidi"/>
          <w:color w:val="000000" w:themeColor="text1"/>
        </w:rPr>
        <w:t xml:space="preserve">eloquence and </w:t>
      </w:r>
      <w:r w:rsidR="00CF350D">
        <w:rPr>
          <w:rFonts w:asciiTheme="majorBidi" w:hAnsiTheme="majorBidi" w:cstheme="majorBidi"/>
          <w:color w:val="000000" w:themeColor="text1"/>
        </w:rPr>
        <w:t>persuasion</w:t>
      </w:r>
      <w:r w:rsidR="00480073">
        <w:rPr>
          <w:rFonts w:asciiTheme="majorBidi" w:hAnsiTheme="majorBidi" w:cstheme="majorBidi"/>
          <w:color w:val="000000" w:themeColor="text1"/>
        </w:rPr>
        <w:t>.</w:t>
      </w:r>
      <w:r w:rsidR="00B7357F">
        <w:rPr>
          <w:rFonts w:asciiTheme="majorBidi" w:hAnsiTheme="majorBidi" w:cstheme="majorBidi"/>
          <w:color w:val="000000" w:themeColor="text1"/>
        </w:rPr>
        <w:t xml:space="preserve"> </w:t>
      </w:r>
      <w:r w:rsidR="00163E84">
        <w:rPr>
          <w:rFonts w:asciiTheme="majorBidi" w:hAnsiTheme="majorBidi" w:cstheme="majorBidi"/>
          <w:color w:val="000000" w:themeColor="text1"/>
        </w:rPr>
        <w:t xml:space="preserve">This belief in the power of speech to reform hearts has parallels in humanist virtue politics, </w:t>
      </w:r>
      <w:r w:rsidR="00CB6BBC">
        <w:rPr>
          <w:rFonts w:asciiTheme="majorBidi" w:hAnsiTheme="majorBidi" w:cstheme="majorBidi"/>
          <w:color w:val="000000" w:themeColor="text1"/>
        </w:rPr>
        <w:t xml:space="preserve">as mentioned earlier. </w:t>
      </w:r>
      <w:r w:rsidR="00B76AD7">
        <w:rPr>
          <w:rFonts w:asciiTheme="majorBidi" w:hAnsiTheme="majorBidi" w:cstheme="majorBidi"/>
          <w:color w:val="000000" w:themeColor="text1"/>
        </w:rPr>
        <w:t xml:space="preserve">In her work on Arabic oratory, Linda Jones </w:t>
      </w:r>
      <w:r w:rsidR="00042AA7">
        <w:rPr>
          <w:rFonts w:asciiTheme="majorBidi" w:hAnsiTheme="majorBidi" w:cstheme="majorBidi"/>
          <w:color w:val="000000" w:themeColor="text1"/>
        </w:rPr>
        <w:t xml:space="preserve">identifies several rhetorical strategies used by medieval Muslim orators and preachers </w:t>
      </w:r>
      <w:r w:rsidR="00E146CC">
        <w:rPr>
          <w:rFonts w:asciiTheme="majorBidi" w:hAnsiTheme="majorBidi" w:cstheme="majorBidi"/>
          <w:color w:val="000000" w:themeColor="text1"/>
        </w:rPr>
        <w:t xml:space="preserve">to boost the </w:t>
      </w:r>
      <w:r w:rsidR="00D37EF9">
        <w:rPr>
          <w:rFonts w:asciiTheme="majorBidi" w:hAnsiTheme="majorBidi" w:cstheme="majorBidi"/>
          <w:color w:val="000000" w:themeColor="text1"/>
        </w:rPr>
        <w:t xml:space="preserve">emotive </w:t>
      </w:r>
      <w:r w:rsidR="00E146CC">
        <w:rPr>
          <w:rFonts w:asciiTheme="majorBidi" w:hAnsiTheme="majorBidi" w:cstheme="majorBidi"/>
          <w:color w:val="000000" w:themeColor="text1"/>
        </w:rPr>
        <w:t xml:space="preserve">efficacy of their sermons, </w:t>
      </w:r>
      <w:r w:rsidR="00215BED">
        <w:rPr>
          <w:rFonts w:asciiTheme="majorBidi" w:hAnsiTheme="majorBidi" w:cstheme="majorBidi"/>
          <w:color w:val="000000" w:themeColor="text1"/>
        </w:rPr>
        <w:t xml:space="preserve">including </w:t>
      </w:r>
      <w:r w:rsidR="00E146CC">
        <w:rPr>
          <w:rFonts w:asciiTheme="majorBidi" w:hAnsiTheme="majorBidi" w:cstheme="majorBidi"/>
          <w:color w:val="000000" w:themeColor="text1"/>
        </w:rPr>
        <w:t>rhymed prose</w:t>
      </w:r>
      <w:r w:rsidR="00215BED">
        <w:rPr>
          <w:rFonts w:asciiTheme="majorBidi" w:hAnsiTheme="majorBidi" w:cstheme="majorBidi"/>
          <w:color w:val="000000" w:themeColor="text1"/>
        </w:rPr>
        <w:t xml:space="preserve"> (</w:t>
      </w:r>
      <w:proofErr w:type="spellStart"/>
      <w:r w:rsidR="00215BED">
        <w:rPr>
          <w:rFonts w:asciiTheme="majorBidi" w:hAnsiTheme="majorBidi" w:cstheme="majorBidi"/>
          <w:i/>
          <w:iCs/>
          <w:color w:val="000000" w:themeColor="text1"/>
        </w:rPr>
        <w:t>sajʿ</w:t>
      </w:r>
      <w:proofErr w:type="spellEnd"/>
      <w:r w:rsidR="00215BED">
        <w:rPr>
          <w:rFonts w:asciiTheme="majorBidi" w:hAnsiTheme="majorBidi" w:cstheme="majorBidi"/>
          <w:color w:val="000000" w:themeColor="text1"/>
        </w:rPr>
        <w:t>)</w:t>
      </w:r>
      <w:r w:rsidR="00E146CC">
        <w:rPr>
          <w:rFonts w:asciiTheme="majorBidi" w:hAnsiTheme="majorBidi" w:cstheme="majorBidi"/>
          <w:color w:val="000000" w:themeColor="text1"/>
        </w:rPr>
        <w:t xml:space="preserve">, </w:t>
      </w:r>
      <w:r w:rsidR="00215BED">
        <w:rPr>
          <w:rFonts w:asciiTheme="majorBidi" w:hAnsiTheme="majorBidi" w:cstheme="majorBidi"/>
          <w:color w:val="000000" w:themeColor="text1"/>
        </w:rPr>
        <w:t>exhortation, narrative</w:t>
      </w:r>
      <w:r w:rsidR="002029D1">
        <w:rPr>
          <w:rFonts w:asciiTheme="majorBidi" w:hAnsiTheme="majorBidi" w:cstheme="majorBidi"/>
          <w:color w:val="000000" w:themeColor="text1"/>
        </w:rPr>
        <w:t xml:space="preserve"> elements</w:t>
      </w:r>
      <w:r w:rsidR="00366707">
        <w:rPr>
          <w:rFonts w:asciiTheme="majorBidi" w:hAnsiTheme="majorBidi" w:cstheme="majorBidi"/>
          <w:color w:val="000000" w:themeColor="text1"/>
        </w:rPr>
        <w:t>, and varying linguistic registers</w:t>
      </w:r>
      <w:r w:rsidR="00215BED">
        <w:rPr>
          <w:rFonts w:asciiTheme="majorBidi" w:hAnsiTheme="majorBidi" w:cstheme="majorBidi"/>
          <w:color w:val="000000" w:themeColor="text1"/>
        </w:rPr>
        <w:t>.</w:t>
      </w:r>
      <w:r w:rsidR="00E146CC">
        <w:rPr>
          <w:rStyle w:val="FootnoteReference"/>
          <w:rFonts w:asciiTheme="majorBidi" w:hAnsiTheme="majorBidi" w:cstheme="majorBidi"/>
          <w:color w:val="000000" w:themeColor="text1"/>
        </w:rPr>
        <w:footnoteReference w:id="65"/>
      </w:r>
      <w:r w:rsidR="00E146CC">
        <w:rPr>
          <w:rFonts w:asciiTheme="majorBidi" w:hAnsiTheme="majorBidi" w:cstheme="majorBidi"/>
          <w:color w:val="000000" w:themeColor="text1"/>
        </w:rPr>
        <w:t xml:space="preserve"> </w:t>
      </w:r>
    </w:p>
    <w:p w14:paraId="5F9B488F" w14:textId="201F5842" w:rsidR="0005753A" w:rsidRDefault="008067CC" w:rsidP="0037533B">
      <w:pPr>
        <w:spacing w:line="360" w:lineRule="auto"/>
        <w:ind w:firstLine="720"/>
        <w:rPr>
          <w:rFonts w:asciiTheme="majorBidi" w:hAnsiTheme="majorBidi" w:cstheme="majorBidi"/>
          <w:color w:val="000000" w:themeColor="text1"/>
        </w:rPr>
      </w:pPr>
      <w:r>
        <w:rPr>
          <w:rFonts w:asciiTheme="majorBidi" w:hAnsiTheme="majorBidi" w:cstheme="majorBidi"/>
          <w:color w:val="000000" w:themeColor="text1"/>
        </w:rPr>
        <w:t xml:space="preserve">These </w:t>
      </w:r>
      <w:r w:rsidR="00366707">
        <w:rPr>
          <w:rFonts w:asciiTheme="majorBidi" w:hAnsiTheme="majorBidi" w:cstheme="majorBidi"/>
          <w:color w:val="000000" w:themeColor="text1"/>
        </w:rPr>
        <w:t>strategies</w:t>
      </w:r>
      <w:r>
        <w:rPr>
          <w:rFonts w:asciiTheme="majorBidi" w:hAnsiTheme="majorBidi" w:cstheme="majorBidi"/>
          <w:color w:val="000000" w:themeColor="text1"/>
        </w:rPr>
        <w:t xml:space="preserve"> are </w:t>
      </w:r>
      <w:r w:rsidR="001F7BF3">
        <w:rPr>
          <w:rFonts w:asciiTheme="majorBidi" w:hAnsiTheme="majorBidi" w:cstheme="majorBidi"/>
          <w:color w:val="000000" w:themeColor="text1"/>
        </w:rPr>
        <w:t>a</w:t>
      </w:r>
      <w:r w:rsidR="00652246">
        <w:rPr>
          <w:rFonts w:asciiTheme="majorBidi" w:hAnsiTheme="majorBidi" w:cstheme="majorBidi"/>
          <w:color w:val="000000" w:themeColor="text1"/>
        </w:rPr>
        <w:t>t play</w:t>
      </w:r>
      <w:r>
        <w:rPr>
          <w:rFonts w:asciiTheme="majorBidi" w:hAnsiTheme="majorBidi" w:cstheme="majorBidi"/>
          <w:color w:val="000000" w:themeColor="text1"/>
        </w:rPr>
        <w:t xml:space="preserve"> in Ibn al-</w:t>
      </w:r>
      <w:proofErr w:type="spellStart"/>
      <w:r>
        <w:rPr>
          <w:rFonts w:asciiTheme="majorBidi" w:hAnsiTheme="majorBidi" w:cstheme="majorBidi"/>
          <w:color w:val="000000" w:themeColor="text1"/>
        </w:rPr>
        <w:t>Jawzī’s</w:t>
      </w:r>
      <w:proofErr w:type="spellEnd"/>
      <w:r>
        <w:rPr>
          <w:rFonts w:asciiTheme="majorBidi" w:hAnsiTheme="majorBidi" w:cstheme="majorBidi"/>
          <w:color w:val="000000" w:themeColor="text1"/>
        </w:rPr>
        <w:t xml:space="preserve"> </w:t>
      </w:r>
      <w:r w:rsidR="00652246">
        <w:rPr>
          <w:rFonts w:asciiTheme="majorBidi" w:hAnsiTheme="majorBidi" w:cstheme="majorBidi"/>
          <w:color w:val="000000" w:themeColor="text1"/>
        </w:rPr>
        <w:t xml:space="preserve">advice on admonishing rulers and </w:t>
      </w:r>
      <w:r w:rsidR="00D93AFB">
        <w:rPr>
          <w:rFonts w:asciiTheme="majorBidi" w:hAnsiTheme="majorBidi" w:cstheme="majorBidi"/>
          <w:color w:val="000000" w:themeColor="text1"/>
        </w:rPr>
        <w:t xml:space="preserve">in </w:t>
      </w:r>
      <w:r w:rsidR="00652246">
        <w:rPr>
          <w:rFonts w:asciiTheme="majorBidi" w:hAnsiTheme="majorBidi" w:cstheme="majorBidi"/>
          <w:color w:val="000000" w:themeColor="text1"/>
        </w:rPr>
        <w:t>his mirrors for princes</w:t>
      </w:r>
      <w:r w:rsidR="000C0943">
        <w:rPr>
          <w:rFonts w:ascii="Times New Roman" w:hAnsi="Times New Roman" w:cs="Times New Roman"/>
        </w:rPr>
        <w:t>.</w:t>
      </w:r>
      <w:r w:rsidR="00652246">
        <w:rPr>
          <w:rFonts w:ascii="Times New Roman" w:hAnsi="Times New Roman" w:cs="Times New Roman"/>
        </w:rPr>
        <w:t xml:space="preserve"> </w:t>
      </w:r>
      <w:r w:rsidR="000C0943">
        <w:rPr>
          <w:rFonts w:ascii="Times New Roman" w:hAnsi="Times New Roman" w:cs="Times New Roman"/>
        </w:rPr>
        <w:t>A</w:t>
      </w:r>
      <w:r w:rsidR="00652246">
        <w:rPr>
          <w:rFonts w:ascii="Times New Roman" w:hAnsi="Times New Roman" w:cs="Times New Roman"/>
        </w:rPr>
        <w:t>s will be seen in the next chapter</w:t>
      </w:r>
      <w:r w:rsidR="000C0943">
        <w:rPr>
          <w:rFonts w:ascii="Times New Roman" w:hAnsi="Times New Roman" w:cs="Times New Roman"/>
        </w:rPr>
        <w:t xml:space="preserve">, his book of advice dedicated to </w:t>
      </w:r>
      <w:r w:rsidR="006637C8">
        <w:rPr>
          <w:rFonts w:ascii="Times New Roman" w:hAnsi="Times New Roman" w:cs="Times New Roman"/>
        </w:rPr>
        <w:t>his</w:t>
      </w:r>
      <w:r w:rsidR="000C0943">
        <w:rPr>
          <w:rFonts w:ascii="Times New Roman" w:hAnsi="Times New Roman" w:cs="Times New Roman"/>
        </w:rPr>
        <w:t xml:space="preserve"> </w:t>
      </w:r>
      <w:r w:rsidR="006637C8">
        <w:rPr>
          <w:rFonts w:ascii="Times New Roman" w:hAnsi="Times New Roman" w:cs="Times New Roman"/>
        </w:rPr>
        <w:t>patron-</w:t>
      </w:r>
      <w:r w:rsidR="000C0943">
        <w:rPr>
          <w:rFonts w:ascii="Times New Roman" w:hAnsi="Times New Roman" w:cs="Times New Roman"/>
        </w:rPr>
        <w:t>caliph al-</w:t>
      </w:r>
      <w:proofErr w:type="spellStart"/>
      <w:r w:rsidR="000C0943">
        <w:rPr>
          <w:rFonts w:ascii="Times New Roman" w:hAnsi="Times New Roman" w:cs="Times New Roman"/>
        </w:rPr>
        <w:t>Mustaḍīʾ</w:t>
      </w:r>
      <w:proofErr w:type="spellEnd"/>
      <w:r w:rsidR="000C0943">
        <w:rPr>
          <w:rFonts w:ascii="Times New Roman" w:hAnsi="Times New Roman" w:cs="Times New Roman"/>
        </w:rPr>
        <w:t xml:space="preserve"> (r. 566–75/1170–80) is organized in such a way that would put the caliph through a range of emotions in </w:t>
      </w:r>
      <w:r w:rsidR="00C07ED7">
        <w:rPr>
          <w:rFonts w:ascii="Times New Roman" w:hAnsi="Times New Roman" w:cs="Times New Roman"/>
        </w:rPr>
        <w:t>making him realize the importance of justice</w:t>
      </w:r>
      <w:r w:rsidR="00031789">
        <w:rPr>
          <w:rFonts w:asciiTheme="majorBidi" w:hAnsiTheme="majorBidi" w:cstheme="majorBidi"/>
          <w:color w:val="000000" w:themeColor="text1"/>
        </w:rPr>
        <w:t xml:space="preserve">. </w:t>
      </w:r>
      <w:r w:rsidR="00E2030D">
        <w:rPr>
          <w:rFonts w:asciiTheme="majorBidi" w:hAnsiTheme="majorBidi" w:cstheme="majorBidi"/>
          <w:color w:val="000000" w:themeColor="text1"/>
        </w:rPr>
        <w:t>Key to</w:t>
      </w:r>
      <w:r w:rsidR="000C0943">
        <w:rPr>
          <w:rFonts w:asciiTheme="majorBidi" w:hAnsiTheme="majorBidi" w:cstheme="majorBidi"/>
          <w:color w:val="000000" w:themeColor="text1"/>
        </w:rPr>
        <w:t xml:space="preserve"> this effort </w:t>
      </w:r>
      <w:r w:rsidR="00E2030D">
        <w:rPr>
          <w:rFonts w:asciiTheme="majorBidi" w:hAnsiTheme="majorBidi" w:cstheme="majorBidi"/>
          <w:color w:val="000000" w:themeColor="text1"/>
        </w:rPr>
        <w:t xml:space="preserve">are narrative elements such as </w:t>
      </w:r>
      <w:r w:rsidR="0077134F">
        <w:rPr>
          <w:rFonts w:asciiTheme="majorBidi" w:hAnsiTheme="majorBidi" w:cstheme="majorBidi"/>
          <w:color w:val="000000" w:themeColor="text1"/>
        </w:rPr>
        <w:t xml:space="preserve">laudatory </w:t>
      </w:r>
      <w:r w:rsidR="00E2030D">
        <w:rPr>
          <w:rFonts w:asciiTheme="majorBidi" w:hAnsiTheme="majorBidi" w:cstheme="majorBidi"/>
          <w:color w:val="000000" w:themeColor="text1"/>
        </w:rPr>
        <w:t>anecdotes (</w:t>
      </w:r>
      <w:proofErr w:type="spellStart"/>
      <w:r w:rsidR="0077134F">
        <w:rPr>
          <w:rFonts w:asciiTheme="majorBidi" w:hAnsiTheme="majorBidi" w:cstheme="majorBidi"/>
          <w:i/>
          <w:iCs/>
          <w:color w:val="000000" w:themeColor="text1"/>
        </w:rPr>
        <w:t>manāqib</w:t>
      </w:r>
      <w:proofErr w:type="spellEnd"/>
      <w:r w:rsidR="00E2030D">
        <w:rPr>
          <w:rFonts w:asciiTheme="majorBidi" w:hAnsiTheme="majorBidi" w:cstheme="majorBidi"/>
          <w:color w:val="000000" w:themeColor="text1"/>
        </w:rPr>
        <w:t>)</w:t>
      </w:r>
      <w:r w:rsidR="00E2030D">
        <w:rPr>
          <w:rFonts w:asciiTheme="majorBidi" w:hAnsiTheme="majorBidi" w:cstheme="majorBidi"/>
          <w:i/>
          <w:iCs/>
          <w:color w:val="000000" w:themeColor="text1"/>
        </w:rPr>
        <w:t xml:space="preserve"> </w:t>
      </w:r>
      <w:r w:rsidR="0077134F">
        <w:rPr>
          <w:rFonts w:asciiTheme="majorBidi" w:hAnsiTheme="majorBidi" w:cstheme="majorBidi"/>
          <w:color w:val="000000" w:themeColor="text1"/>
        </w:rPr>
        <w:t xml:space="preserve">about </w:t>
      </w:r>
      <w:r w:rsidR="00E2030D">
        <w:rPr>
          <w:rFonts w:asciiTheme="majorBidi" w:hAnsiTheme="majorBidi" w:cstheme="majorBidi"/>
          <w:color w:val="000000" w:themeColor="text1"/>
        </w:rPr>
        <w:t xml:space="preserve">past </w:t>
      </w:r>
      <w:r w:rsidR="0077134F">
        <w:rPr>
          <w:rFonts w:asciiTheme="majorBidi" w:hAnsiTheme="majorBidi" w:cstheme="majorBidi"/>
          <w:color w:val="000000" w:themeColor="text1"/>
        </w:rPr>
        <w:t xml:space="preserve">rulers </w:t>
      </w:r>
      <w:r w:rsidR="00E2030D">
        <w:rPr>
          <w:rFonts w:asciiTheme="majorBidi" w:hAnsiTheme="majorBidi" w:cstheme="majorBidi"/>
          <w:color w:val="000000" w:themeColor="text1"/>
        </w:rPr>
        <w:t xml:space="preserve">as well as </w:t>
      </w:r>
      <w:r w:rsidR="0077134F">
        <w:rPr>
          <w:rFonts w:asciiTheme="majorBidi" w:hAnsiTheme="majorBidi" w:cstheme="majorBidi"/>
          <w:color w:val="000000" w:themeColor="text1"/>
        </w:rPr>
        <w:lastRenderedPageBreak/>
        <w:t xml:space="preserve">Prophetic </w:t>
      </w:r>
      <w:proofErr w:type="spellStart"/>
      <w:r w:rsidR="0077134F">
        <w:rPr>
          <w:rFonts w:asciiTheme="majorBidi" w:hAnsiTheme="majorBidi" w:cstheme="majorBidi"/>
          <w:i/>
          <w:iCs/>
          <w:color w:val="000000" w:themeColor="text1"/>
        </w:rPr>
        <w:t>ḥadīth</w:t>
      </w:r>
      <w:r w:rsidR="0077134F">
        <w:rPr>
          <w:rFonts w:asciiTheme="majorBidi" w:hAnsiTheme="majorBidi" w:cstheme="majorBidi"/>
          <w:color w:val="000000" w:themeColor="text1"/>
        </w:rPr>
        <w:t>s</w:t>
      </w:r>
      <w:proofErr w:type="spellEnd"/>
      <w:r w:rsidR="0077134F">
        <w:rPr>
          <w:rFonts w:asciiTheme="majorBidi" w:hAnsiTheme="majorBidi" w:cstheme="majorBidi"/>
          <w:color w:val="000000" w:themeColor="text1"/>
        </w:rPr>
        <w:t xml:space="preserve"> and sayings from eminent scholars</w:t>
      </w:r>
      <w:r w:rsidR="00C93EC7">
        <w:rPr>
          <w:rFonts w:asciiTheme="majorBidi" w:hAnsiTheme="majorBidi" w:cstheme="majorBidi"/>
          <w:color w:val="000000" w:themeColor="text1"/>
        </w:rPr>
        <w:t xml:space="preserve"> of early Islam</w:t>
      </w:r>
      <w:r w:rsidR="0077134F">
        <w:rPr>
          <w:rFonts w:asciiTheme="majorBidi" w:hAnsiTheme="majorBidi" w:cstheme="majorBidi"/>
          <w:color w:val="000000" w:themeColor="text1"/>
        </w:rPr>
        <w:t xml:space="preserve">. </w:t>
      </w:r>
      <w:r w:rsidR="00C07ED7">
        <w:rPr>
          <w:rFonts w:asciiTheme="majorBidi" w:hAnsiTheme="majorBidi" w:cstheme="majorBidi"/>
          <w:color w:val="000000" w:themeColor="text1"/>
        </w:rPr>
        <w:t>T</w:t>
      </w:r>
      <w:r w:rsidR="00930828">
        <w:rPr>
          <w:rFonts w:asciiTheme="majorBidi" w:hAnsiTheme="majorBidi" w:cstheme="majorBidi"/>
          <w:color w:val="000000" w:themeColor="text1"/>
        </w:rPr>
        <w:t xml:space="preserve">he dialectical discourses of the jurist </w:t>
      </w:r>
      <w:r w:rsidR="00C07ED7">
        <w:rPr>
          <w:rFonts w:asciiTheme="majorBidi" w:hAnsiTheme="majorBidi" w:cstheme="majorBidi"/>
          <w:color w:val="000000" w:themeColor="text1"/>
        </w:rPr>
        <w:t xml:space="preserve">might </w:t>
      </w:r>
      <w:r w:rsidR="00930828">
        <w:rPr>
          <w:rFonts w:asciiTheme="majorBidi" w:hAnsiTheme="majorBidi" w:cstheme="majorBidi"/>
          <w:color w:val="000000" w:themeColor="text1"/>
        </w:rPr>
        <w:t xml:space="preserve">engage with </w:t>
      </w:r>
      <w:r w:rsidR="00C07ED7">
        <w:rPr>
          <w:rFonts w:asciiTheme="majorBidi" w:hAnsiTheme="majorBidi" w:cstheme="majorBidi"/>
          <w:color w:val="000000" w:themeColor="text1"/>
        </w:rPr>
        <w:t>one’s</w:t>
      </w:r>
      <w:r w:rsidR="00930828">
        <w:rPr>
          <w:rFonts w:asciiTheme="majorBidi" w:hAnsiTheme="majorBidi" w:cstheme="majorBidi"/>
          <w:color w:val="000000" w:themeColor="text1"/>
        </w:rPr>
        <w:t xml:space="preserve"> reason, </w:t>
      </w:r>
      <w:r w:rsidR="00930828" w:rsidRPr="001E24FD">
        <w:rPr>
          <w:rFonts w:asciiTheme="majorBidi" w:hAnsiTheme="majorBidi" w:cstheme="majorBidi"/>
          <w:color w:val="000000" w:themeColor="text1"/>
        </w:rPr>
        <w:t xml:space="preserve">but </w:t>
      </w:r>
      <w:r w:rsidR="00C07ED7">
        <w:rPr>
          <w:rFonts w:asciiTheme="majorBidi" w:hAnsiTheme="majorBidi" w:cstheme="majorBidi"/>
          <w:color w:val="000000" w:themeColor="text1"/>
        </w:rPr>
        <w:t>anecdotes and stories</w:t>
      </w:r>
      <w:r w:rsidR="002876DD">
        <w:rPr>
          <w:rFonts w:asciiTheme="majorBidi" w:hAnsiTheme="majorBidi" w:cstheme="majorBidi"/>
          <w:color w:val="000000" w:themeColor="text1"/>
        </w:rPr>
        <w:t xml:space="preserve"> </w:t>
      </w:r>
      <w:r w:rsidR="00585B4A">
        <w:rPr>
          <w:rFonts w:asciiTheme="majorBidi" w:hAnsiTheme="majorBidi" w:cstheme="majorBidi"/>
          <w:color w:val="000000" w:themeColor="text1"/>
        </w:rPr>
        <w:t xml:space="preserve">have the ability to </w:t>
      </w:r>
      <w:r w:rsidR="00930828">
        <w:rPr>
          <w:rFonts w:asciiTheme="majorBidi" w:hAnsiTheme="majorBidi" w:cstheme="majorBidi"/>
          <w:color w:val="000000" w:themeColor="text1"/>
        </w:rPr>
        <w:t xml:space="preserve">appeal to </w:t>
      </w:r>
      <w:r w:rsidR="00C07ED7">
        <w:rPr>
          <w:rFonts w:asciiTheme="majorBidi" w:hAnsiTheme="majorBidi" w:cstheme="majorBidi"/>
          <w:color w:val="000000" w:themeColor="text1"/>
        </w:rPr>
        <w:t>one’s</w:t>
      </w:r>
      <w:r w:rsidR="00930828">
        <w:rPr>
          <w:rFonts w:asciiTheme="majorBidi" w:hAnsiTheme="majorBidi" w:cstheme="majorBidi"/>
          <w:color w:val="000000" w:themeColor="text1"/>
        </w:rPr>
        <w:t xml:space="preserve"> moral and emotional sensitivities</w:t>
      </w:r>
      <w:r w:rsidR="00C07ED7">
        <w:rPr>
          <w:rFonts w:asciiTheme="majorBidi" w:hAnsiTheme="majorBidi" w:cstheme="majorBidi"/>
          <w:color w:val="000000" w:themeColor="text1"/>
        </w:rPr>
        <w:t xml:space="preserve"> and thus</w:t>
      </w:r>
      <w:r w:rsidR="00930828">
        <w:rPr>
          <w:rFonts w:asciiTheme="majorBidi" w:hAnsiTheme="majorBidi" w:cstheme="majorBidi"/>
          <w:color w:val="000000" w:themeColor="text1"/>
        </w:rPr>
        <w:t xml:space="preserve"> possess a higher efficacy in</w:t>
      </w:r>
      <w:r w:rsidR="00C07ED7">
        <w:rPr>
          <w:rFonts w:asciiTheme="majorBidi" w:hAnsiTheme="majorBidi" w:cstheme="majorBidi"/>
          <w:color w:val="000000" w:themeColor="text1"/>
        </w:rPr>
        <w:t xml:space="preserve"> softening</w:t>
      </w:r>
      <w:r w:rsidR="00585B4A">
        <w:rPr>
          <w:rFonts w:asciiTheme="majorBidi" w:hAnsiTheme="majorBidi" w:cstheme="majorBidi"/>
          <w:color w:val="000000" w:themeColor="text1"/>
        </w:rPr>
        <w:t xml:space="preserve"> the </w:t>
      </w:r>
      <w:r w:rsidR="00C07ED7">
        <w:rPr>
          <w:rFonts w:asciiTheme="majorBidi" w:hAnsiTheme="majorBidi" w:cstheme="majorBidi"/>
          <w:color w:val="000000" w:themeColor="text1"/>
        </w:rPr>
        <w:t>heart</w:t>
      </w:r>
      <w:r w:rsidR="00585B4A">
        <w:rPr>
          <w:rFonts w:asciiTheme="majorBidi" w:hAnsiTheme="majorBidi" w:cstheme="majorBidi"/>
          <w:color w:val="000000" w:themeColor="text1"/>
        </w:rPr>
        <w:t xml:space="preserve"> (</w:t>
      </w:r>
      <w:proofErr w:type="spellStart"/>
      <w:r w:rsidR="00585B4A">
        <w:rPr>
          <w:rFonts w:asciiTheme="majorBidi" w:hAnsiTheme="majorBidi" w:cstheme="majorBidi"/>
          <w:i/>
          <w:iCs/>
          <w:color w:val="000000" w:themeColor="text1"/>
        </w:rPr>
        <w:t>riqqat</w:t>
      </w:r>
      <w:proofErr w:type="spellEnd"/>
      <w:r w:rsidR="00585B4A">
        <w:rPr>
          <w:rFonts w:asciiTheme="majorBidi" w:hAnsiTheme="majorBidi" w:cstheme="majorBidi"/>
          <w:i/>
          <w:iCs/>
          <w:color w:val="000000" w:themeColor="text1"/>
        </w:rPr>
        <w:t xml:space="preserve"> al-</w:t>
      </w:r>
      <w:proofErr w:type="spellStart"/>
      <w:r w:rsidR="00585B4A">
        <w:rPr>
          <w:rFonts w:asciiTheme="majorBidi" w:hAnsiTheme="majorBidi" w:cstheme="majorBidi"/>
          <w:i/>
          <w:iCs/>
          <w:color w:val="000000" w:themeColor="text1"/>
        </w:rPr>
        <w:t>qalb</w:t>
      </w:r>
      <w:proofErr w:type="spellEnd"/>
      <w:r w:rsidR="00585B4A">
        <w:rPr>
          <w:rFonts w:asciiTheme="majorBidi" w:hAnsiTheme="majorBidi" w:cstheme="majorBidi"/>
          <w:color w:val="000000" w:themeColor="text1"/>
        </w:rPr>
        <w:t>)</w:t>
      </w:r>
      <w:r w:rsidR="00930828">
        <w:rPr>
          <w:rFonts w:asciiTheme="majorBidi" w:hAnsiTheme="majorBidi" w:cstheme="majorBidi"/>
          <w:color w:val="000000" w:themeColor="text1"/>
        </w:rPr>
        <w:t>.</w:t>
      </w:r>
      <w:r w:rsidR="00585B4A">
        <w:rPr>
          <w:rStyle w:val="FootnoteReference"/>
          <w:rFonts w:asciiTheme="majorBidi" w:hAnsiTheme="majorBidi" w:cstheme="majorBidi"/>
          <w:color w:val="000000" w:themeColor="text1"/>
        </w:rPr>
        <w:footnoteReference w:id="66"/>
      </w:r>
      <w:r w:rsidR="00F56CEC">
        <w:rPr>
          <w:rFonts w:asciiTheme="majorBidi" w:hAnsiTheme="majorBidi" w:cstheme="majorBidi"/>
          <w:color w:val="000000" w:themeColor="text1"/>
        </w:rPr>
        <w:t xml:space="preserve"> </w:t>
      </w:r>
      <w:r w:rsidR="0005753A">
        <w:rPr>
          <w:rFonts w:asciiTheme="majorBidi" w:hAnsiTheme="majorBidi" w:cstheme="majorBidi"/>
          <w:color w:val="000000" w:themeColor="text1"/>
        </w:rPr>
        <w:t xml:space="preserve">In </w:t>
      </w:r>
      <w:r w:rsidR="00C66059">
        <w:rPr>
          <w:rFonts w:asciiTheme="majorBidi" w:hAnsiTheme="majorBidi" w:cstheme="majorBidi"/>
          <w:color w:val="000000" w:themeColor="text1"/>
        </w:rPr>
        <w:t>the remaining sections of this chapter</w:t>
      </w:r>
      <w:r w:rsidR="0005753A">
        <w:rPr>
          <w:rFonts w:asciiTheme="majorBidi" w:hAnsiTheme="majorBidi" w:cstheme="majorBidi"/>
          <w:color w:val="000000" w:themeColor="text1"/>
        </w:rPr>
        <w:t>, I will flesh out the mediatory and moderate characteristics of Ibn al-</w:t>
      </w:r>
      <w:proofErr w:type="spellStart"/>
      <w:r w:rsidR="0005753A">
        <w:rPr>
          <w:rFonts w:asciiTheme="majorBidi" w:hAnsiTheme="majorBidi" w:cstheme="majorBidi"/>
          <w:color w:val="000000" w:themeColor="text1"/>
        </w:rPr>
        <w:t>Jawzī’s</w:t>
      </w:r>
      <w:proofErr w:type="spellEnd"/>
      <w:r w:rsidR="0005753A">
        <w:rPr>
          <w:rFonts w:asciiTheme="majorBidi" w:hAnsiTheme="majorBidi" w:cstheme="majorBidi"/>
          <w:color w:val="000000" w:themeColor="text1"/>
        </w:rPr>
        <w:t xml:space="preserve"> ameliorative approach to </w:t>
      </w:r>
      <w:r w:rsidR="00C66059">
        <w:rPr>
          <w:rFonts w:asciiTheme="majorBidi" w:hAnsiTheme="majorBidi" w:cstheme="majorBidi"/>
          <w:color w:val="000000" w:themeColor="text1"/>
        </w:rPr>
        <w:t>ruler-scholar relations</w:t>
      </w:r>
      <w:r w:rsidR="0005753A">
        <w:rPr>
          <w:rFonts w:asciiTheme="majorBidi" w:hAnsiTheme="majorBidi" w:cstheme="majorBidi"/>
          <w:color w:val="000000" w:themeColor="text1"/>
        </w:rPr>
        <w:t xml:space="preserve">, whereas the </w:t>
      </w:r>
      <w:r w:rsidR="00C66059">
        <w:rPr>
          <w:rFonts w:asciiTheme="majorBidi" w:hAnsiTheme="majorBidi" w:cstheme="majorBidi"/>
          <w:color w:val="000000" w:themeColor="text1"/>
        </w:rPr>
        <w:t xml:space="preserve">other two—the pragmatic and </w:t>
      </w:r>
      <w:r w:rsidR="00FD62A4">
        <w:rPr>
          <w:rFonts w:asciiTheme="majorBidi" w:hAnsiTheme="majorBidi" w:cstheme="majorBidi"/>
          <w:color w:val="000000" w:themeColor="text1"/>
        </w:rPr>
        <w:t xml:space="preserve">the </w:t>
      </w:r>
      <w:r w:rsidR="00C66059">
        <w:rPr>
          <w:rFonts w:asciiTheme="majorBidi" w:hAnsiTheme="majorBidi" w:cstheme="majorBidi"/>
          <w:color w:val="000000" w:themeColor="text1"/>
        </w:rPr>
        <w:t xml:space="preserve">affective—will be illustrated in </w:t>
      </w:r>
      <w:r w:rsidR="00FD62A4">
        <w:rPr>
          <w:rFonts w:asciiTheme="majorBidi" w:hAnsiTheme="majorBidi" w:cstheme="majorBidi"/>
          <w:color w:val="000000" w:themeColor="text1"/>
        </w:rPr>
        <w:t>Chapter 7</w:t>
      </w:r>
      <w:r w:rsidR="00C66059">
        <w:rPr>
          <w:rFonts w:asciiTheme="majorBidi" w:hAnsiTheme="majorBidi" w:cstheme="majorBidi"/>
          <w:color w:val="000000" w:themeColor="text1"/>
        </w:rPr>
        <w:t>.</w:t>
      </w:r>
    </w:p>
    <w:p w14:paraId="576410C2" w14:textId="60FE141A" w:rsidR="001736C0" w:rsidRDefault="001736C0" w:rsidP="0037533B">
      <w:pPr>
        <w:spacing w:line="360" w:lineRule="auto"/>
        <w:rPr>
          <w:rFonts w:asciiTheme="majorBidi" w:hAnsiTheme="majorBidi" w:cstheme="majorBidi"/>
        </w:rPr>
      </w:pPr>
    </w:p>
    <w:p w14:paraId="0E5610A0" w14:textId="565EAC9D" w:rsidR="00C66059" w:rsidRDefault="00C66059" w:rsidP="0037533B">
      <w:pPr>
        <w:spacing w:line="360" w:lineRule="auto"/>
        <w:rPr>
          <w:rFonts w:asciiTheme="majorBidi" w:hAnsiTheme="majorBidi" w:cstheme="majorBidi"/>
          <w:u w:val="single"/>
        </w:rPr>
      </w:pPr>
      <w:r>
        <w:rPr>
          <w:rFonts w:asciiTheme="majorBidi" w:hAnsiTheme="majorBidi" w:cstheme="majorBidi"/>
          <w:u w:val="single"/>
        </w:rPr>
        <w:t>Re</w:t>
      </w:r>
      <w:r w:rsidR="00242ED9">
        <w:rPr>
          <w:rFonts w:asciiTheme="majorBidi" w:hAnsiTheme="majorBidi" w:cstheme="majorBidi"/>
          <w:u w:val="single"/>
        </w:rPr>
        <w:t>thinking</w:t>
      </w:r>
      <w:r>
        <w:rPr>
          <w:rFonts w:asciiTheme="majorBidi" w:hAnsiTheme="majorBidi" w:cstheme="majorBidi"/>
          <w:u w:val="single"/>
        </w:rPr>
        <w:t xml:space="preserve"> the Relationship between Rulers and Scholars</w:t>
      </w:r>
    </w:p>
    <w:p w14:paraId="0910F5C1" w14:textId="77777777" w:rsidR="004746E1" w:rsidRDefault="004746E1" w:rsidP="0037533B">
      <w:pPr>
        <w:spacing w:line="360" w:lineRule="auto"/>
        <w:rPr>
          <w:rFonts w:asciiTheme="majorBidi" w:hAnsiTheme="majorBidi" w:cstheme="majorBidi"/>
        </w:rPr>
      </w:pPr>
    </w:p>
    <w:p w14:paraId="67F53D07" w14:textId="453589D3" w:rsidR="00C66059" w:rsidRDefault="00C66059" w:rsidP="0037533B">
      <w:pPr>
        <w:spacing w:line="360" w:lineRule="auto"/>
        <w:rPr>
          <w:rFonts w:asciiTheme="majorBidi" w:hAnsiTheme="majorBidi" w:cstheme="majorBidi"/>
        </w:rPr>
      </w:pPr>
      <w:r>
        <w:rPr>
          <w:rFonts w:asciiTheme="majorBidi" w:hAnsiTheme="majorBidi" w:cstheme="majorBidi"/>
        </w:rPr>
        <w:tab/>
      </w:r>
      <w:r w:rsidR="00A2088D">
        <w:rPr>
          <w:rFonts w:asciiTheme="majorBidi" w:hAnsiTheme="majorBidi" w:cstheme="majorBidi"/>
        </w:rPr>
        <w:t>It is opportune to return to al-</w:t>
      </w:r>
      <w:proofErr w:type="spellStart"/>
      <w:r w:rsidR="00A2088D">
        <w:rPr>
          <w:rFonts w:asciiTheme="majorBidi" w:hAnsiTheme="majorBidi" w:cstheme="majorBidi"/>
        </w:rPr>
        <w:t>Ghazālī’s</w:t>
      </w:r>
      <w:proofErr w:type="spellEnd"/>
      <w:r w:rsidR="00A2088D">
        <w:rPr>
          <w:rFonts w:asciiTheme="majorBidi" w:hAnsiTheme="majorBidi" w:cstheme="majorBidi"/>
        </w:rPr>
        <w:t xml:space="preserve"> </w:t>
      </w:r>
      <w:proofErr w:type="spellStart"/>
      <w:r w:rsidR="00A2088D">
        <w:rPr>
          <w:rFonts w:asciiTheme="majorBidi" w:hAnsiTheme="majorBidi" w:cstheme="majorBidi"/>
          <w:i/>
          <w:iCs/>
        </w:rPr>
        <w:t>Iḥyāʾ</w:t>
      </w:r>
      <w:proofErr w:type="spellEnd"/>
      <w:r w:rsidR="00A2088D">
        <w:rPr>
          <w:rFonts w:asciiTheme="majorBidi" w:hAnsiTheme="majorBidi" w:cstheme="majorBidi"/>
          <w:i/>
          <w:iCs/>
        </w:rPr>
        <w:t xml:space="preserve"> </w:t>
      </w:r>
      <w:r w:rsidR="00A2088D">
        <w:rPr>
          <w:rFonts w:asciiTheme="majorBidi" w:hAnsiTheme="majorBidi" w:cstheme="majorBidi"/>
        </w:rPr>
        <w:t>t</w:t>
      </w:r>
      <w:r w:rsidR="00251958">
        <w:rPr>
          <w:rFonts w:asciiTheme="majorBidi" w:hAnsiTheme="majorBidi" w:cstheme="majorBidi"/>
        </w:rPr>
        <w:t xml:space="preserve">o </w:t>
      </w:r>
      <w:r w:rsidR="003B122F">
        <w:rPr>
          <w:rFonts w:asciiTheme="majorBidi" w:hAnsiTheme="majorBidi" w:cstheme="majorBidi"/>
        </w:rPr>
        <w:t xml:space="preserve">begin </w:t>
      </w:r>
      <w:r w:rsidR="00A2088D">
        <w:rPr>
          <w:rFonts w:asciiTheme="majorBidi" w:hAnsiTheme="majorBidi" w:cstheme="majorBidi"/>
        </w:rPr>
        <w:t xml:space="preserve">our </w:t>
      </w:r>
      <w:r w:rsidR="003B122F">
        <w:rPr>
          <w:rFonts w:asciiTheme="majorBidi" w:hAnsiTheme="majorBidi" w:cstheme="majorBidi"/>
        </w:rPr>
        <w:t>discussi</w:t>
      </w:r>
      <w:r w:rsidR="00A2088D">
        <w:rPr>
          <w:rFonts w:asciiTheme="majorBidi" w:hAnsiTheme="majorBidi" w:cstheme="majorBidi"/>
        </w:rPr>
        <w:t>on of</w:t>
      </w:r>
      <w:r w:rsidR="003B122F">
        <w:rPr>
          <w:rFonts w:asciiTheme="majorBidi" w:hAnsiTheme="majorBidi" w:cstheme="majorBidi"/>
        </w:rPr>
        <w:t xml:space="preserve"> Ibn al-</w:t>
      </w:r>
      <w:proofErr w:type="spellStart"/>
      <w:r w:rsidR="003B122F">
        <w:rPr>
          <w:rFonts w:asciiTheme="majorBidi" w:hAnsiTheme="majorBidi" w:cstheme="majorBidi"/>
        </w:rPr>
        <w:t>Jawzī’s</w:t>
      </w:r>
      <w:proofErr w:type="spellEnd"/>
      <w:r w:rsidR="003B122F">
        <w:rPr>
          <w:rFonts w:asciiTheme="majorBidi" w:hAnsiTheme="majorBidi" w:cstheme="majorBidi"/>
        </w:rPr>
        <w:t xml:space="preserve"> reassessment of </w:t>
      </w:r>
      <w:r w:rsidR="009034DD">
        <w:rPr>
          <w:rFonts w:asciiTheme="majorBidi" w:hAnsiTheme="majorBidi" w:cstheme="majorBidi"/>
        </w:rPr>
        <w:t>ruler-scholar relations</w:t>
      </w:r>
      <w:r w:rsidR="003B122F">
        <w:rPr>
          <w:rFonts w:asciiTheme="majorBidi" w:hAnsiTheme="majorBidi" w:cstheme="majorBidi"/>
        </w:rPr>
        <w:t>, especially since</w:t>
      </w:r>
      <w:r w:rsidR="003B122F" w:rsidRPr="001E24FD">
        <w:rPr>
          <w:rFonts w:asciiTheme="majorBidi" w:hAnsiTheme="majorBidi" w:cstheme="majorBidi"/>
        </w:rPr>
        <w:t xml:space="preserve"> </w:t>
      </w:r>
      <w:r w:rsidR="00A2088D">
        <w:rPr>
          <w:rFonts w:asciiTheme="majorBidi" w:hAnsiTheme="majorBidi" w:cstheme="majorBidi"/>
        </w:rPr>
        <w:t>he wrote</w:t>
      </w:r>
      <w:r w:rsidR="003B122F" w:rsidRPr="001E24FD">
        <w:rPr>
          <w:rFonts w:asciiTheme="majorBidi" w:hAnsiTheme="majorBidi" w:cstheme="majorBidi"/>
        </w:rPr>
        <w:t xml:space="preserve"> a reworked abridgement of the</w:t>
      </w:r>
      <w:r w:rsidR="00B51B30">
        <w:rPr>
          <w:rFonts w:asciiTheme="majorBidi" w:hAnsiTheme="majorBidi" w:cstheme="majorBidi"/>
        </w:rPr>
        <w:t xml:space="preserve"> </w:t>
      </w:r>
      <w:proofErr w:type="spellStart"/>
      <w:r w:rsidR="00A2088D">
        <w:rPr>
          <w:rFonts w:asciiTheme="majorBidi" w:hAnsiTheme="majorBidi" w:cstheme="majorBidi"/>
          <w:i/>
          <w:iCs/>
        </w:rPr>
        <w:t>Iḥyāʾ</w:t>
      </w:r>
      <w:proofErr w:type="spellEnd"/>
      <w:r w:rsidR="00B51B30">
        <w:rPr>
          <w:rFonts w:asciiTheme="majorBidi" w:hAnsiTheme="majorBidi" w:cstheme="majorBidi"/>
        </w:rPr>
        <w:t xml:space="preserve"> </w:t>
      </w:r>
      <w:r w:rsidR="003B122F" w:rsidRPr="001E24FD">
        <w:rPr>
          <w:rFonts w:asciiTheme="majorBidi" w:hAnsiTheme="majorBidi" w:cstheme="majorBidi"/>
        </w:rPr>
        <w:t xml:space="preserve">entitled </w:t>
      </w:r>
      <w:proofErr w:type="spellStart"/>
      <w:r w:rsidR="003B122F" w:rsidRPr="001E24FD">
        <w:rPr>
          <w:rFonts w:asciiTheme="majorBidi" w:hAnsiTheme="majorBidi" w:cstheme="majorBidi"/>
          <w:i/>
          <w:iCs/>
        </w:rPr>
        <w:t>Minhāj</w:t>
      </w:r>
      <w:proofErr w:type="spellEnd"/>
      <w:r w:rsidR="003B122F" w:rsidRPr="001E24FD">
        <w:rPr>
          <w:rFonts w:asciiTheme="majorBidi" w:hAnsiTheme="majorBidi" w:cstheme="majorBidi"/>
          <w:i/>
          <w:iCs/>
        </w:rPr>
        <w:t xml:space="preserve"> al-</w:t>
      </w:r>
      <w:proofErr w:type="spellStart"/>
      <w:r w:rsidR="003B122F" w:rsidRPr="001E24FD">
        <w:rPr>
          <w:rFonts w:asciiTheme="majorBidi" w:hAnsiTheme="majorBidi" w:cstheme="majorBidi"/>
          <w:i/>
          <w:iCs/>
        </w:rPr>
        <w:t>qāṣidīn</w:t>
      </w:r>
      <w:proofErr w:type="spellEnd"/>
      <w:r w:rsidR="003B122F" w:rsidRPr="001E24FD">
        <w:rPr>
          <w:rFonts w:asciiTheme="majorBidi" w:hAnsiTheme="majorBidi" w:cstheme="majorBidi"/>
          <w:i/>
          <w:iCs/>
        </w:rPr>
        <w:t xml:space="preserve"> </w:t>
      </w:r>
      <w:proofErr w:type="spellStart"/>
      <w:r w:rsidR="003B122F" w:rsidRPr="001E24FD">
        <w:rPr>
          <w:rFonts w:asciiTheme="majorBidi" w:hAnsiTheme="majorBidi" w:cstheme="majorBidi"/>
          <w:i/>
          <w:iCs/>
        </w:rPr>
        <w:t>wa-mufīd</w:t>
      </w:r>
      <w:proofErr w:type="spellEnd"/>
      <w:r w:rsidR="003B122F" w:rsidRPr="001E24FD">
        <w:rPr>
          <w:rFonts w:asciiTheme="majorBidi" w:hAnsiTheme="majorBidi" w:cstheme="majorBidi"/>
          <w:i/>
          <w:iCs/>
        </w:rPr>
        <w:t xml:space="preserve"> al-</w:t>
      </w:r>
      <w:proofErr w:type="spellStart"/>
      <w:r w:rsidR="003B122F" w:rsidRPr="001E24FD">
        <w:rPr>
          <w:rFonts w:asciiTheme="majorBidi" w:hAnsiTheme="majorBidi" w:cstheme="majorBidi"/>
          <w:i/>
          <w:iCs/>
        </w:rPr>
        <w:t>ṣādiqīn</w:t>
      </w:r>
      <w:proofErr w:type="spellEnd"/>
      <w:r w:rsidR="003B122F">
        <w:rPr>
          <w:rFonts w:asciiTheme="majorBidi" w:hAnsiTheme="majorBidi" w:cstheme="majorBidi"/>
        </w:rPr>
        <w:t>.</w:t>
      </w:r>
      <w:r w:rsidR="00251958">
        <w:rPr>
          <w:rFonts w:asciiTheme="majorBidi" w:hAnsiTheme="majorBidi" w:cstheme="majorBidi"/>
        </w:rPr>
        <w:t xml:space="preserve"> </w:t>
      </w:r>
      <w:r w:rsidR="001147A0">
        <w:rPr>
          <w:rFonts w:asciiTheme="majorBidi" w:hAnsiTheme="majorBidi" w:cstheme="majorBidi"/>
        </w:rPr>
        <w:t xml:space="preserve">The </w:t>
      </w:r>
      <w:r w:rsidR="00A2088D">
        <w:rPr>
          <w:rFonts w:asciiTheme="majorBidi" w:hAnsiTheme="majorBidi" w:cstheme="majorBidi"/>
        </w:rPr>
        <w:t xml:space="preserve">impetus </w:t>
      </w:r>
      <w:r w:rsidR="001147A0">
        <w:rPr>
          <w:rFonts w:asciiTheme="majorBidi" w:hAnsiTheme="majorBidi" w:cstheme="majorBidi"/>
        </w:rPr>
        <w:t xml:space="preserve">for writing the </w:t>
      </w:r>
      <w:proofErr w:type="spellStart"/>
      <w:r w:rsidR="001147A0">
        <w:rPr>
          <w:rFonts w:asciiTheme="majorBidi" w:hAnsiTheme="majorBidi" w:cstheme="majorBidi"/>
          <w:i/>
          <w:iCs/>
        </w:rPr>
        <w:t>Minhāj</w:t>
      </w:r>
      <w:proofErr w:type="spellEnd"/>
      <w:r w:rsidR="001147A0">
        <w:rPr>
          <w:rFonts w:asciiTheme="majorBidi" w:hAnsiTheme="majorBidi" w:cstheme="majorBidi"/>
        </w:rPr>
        <w:t>, states Ibn al-</w:t>
      </w:r>
      <w:proofErr w:type="spellStart"/>
      <w:r w:rsidR="001147A0">
        <w:rPr>
          <w:rFonts w:asciiTheme="majorBidi" w:hAnsiTheme="majorBidi" w:cstheme="majorBidi"/>
        </w:rPr>
        <w:t>Jawzī</w:t>
      </w:r>
      <w:proofErr w:type="spellEnd"/>
      <w:r w:rsidR="001147A0">
        <w:rPr>
          <w:rFonts w:asciiTheme="majorBidi" w:hAnsiTheme="majorBidi" w:cstheme="majorBidi"/>
        </w:rPr>
        <w:t xml:space="preserve">, </w:t>
      </w:r>
      <w:r w:rsidR="00A2088D">
        <w:rPr>
          <w:rFonts w:asciiTheme="majorBidi" w:hAnsiTheme="majorBidi" w:cstheme="majorBidi"/>
        </w:rPr>
        <w:t xml:space="preserve">stemmed from the </w:t>
      </w:r>
      <w:r w:rsidR="00B527FA">
        <w:rPr>
          <w:rFonts w:asciiTheme="majorBidi" w:hAnsiTheme="majorBidi" w:cstheme="majorBidi"/>
        </w:rPr>
        <w:t xml:space="preserve">fabricated </w:t>
      </w:r>
      <w:proofErr w:type="spellStart"/>
      <w:r w:rsidR="00B527FA">
        <w:rPr>
          <w:rFonts w:asciiTheme="majorBidi" w:hAnsiTheme="majorBidi" w:cstheme="majorBidi"/>
          <w:i/>
          <w:iCs/>
        </w:rPr>
        <w:t>ḥadīth</w:t>
      </w:r>
      <w:r w:rsidR="00B527FA">
        <w:rPr>
          <w:rFonts w:asciiTheme="majorBidi" w:hAnsiTheme="majorBidi" w:cstheme="majorBidi"/>
        </w:rPr>
        <w:t>s</w:t>
      </w:r>
      <w:proofErr w:type="spellEnd"/>
      <w:r w:rsidR="00B527FA">
        <w:rPr>
          <w:rFonts w:asciiTheme="majorBidi" w:hAnsiTheme="majorBidi" w:cstheme="majorBidi"/>
        </w:rPr>
        <w:t xml:space="preserve"> and misleading Sufi teachings he detected in the </w:t>
      </w:r>
      <w:proofErr w:type="spellStart"/>
      <w:r w:rsidR="00B527FA">
        <w:rPr>
          <w:rFonts w:asciiTheme="majorBidi" w:hAnsiTheme="majorBidi" w:cstheme="majorBidi"/>
          <w:i/>
          <w:iCs/>
        </w:rPr>
        <w:t>Iḥyāʾ</w:t>
      </w:r>
      <w:proofErr w:type="spellEnd"/>
      <w:r w:rsidR="00B527FA">
        <w:rPr>
          <w:rFonts w:asciiTheme="majorBidi" w:hAnsiTheme="majorBidi" w:cstheme="majorBidi"/>
        </w:rPr>
        <w:t>.</w:t>
      </w:r>
      <w:r w:rsidR="00B527FA">
        <w:rPr>
          <w:rStyle w:val="FootnoteReference"/>
          <w:rFonts w:asciiTheme="majorBidi" w:hAnsiTheme="majorBidi" w:cstheme="majorBidi"/>
        </w:rPr>
        <w:footnoteReference w:id="67"/>
      </w:r>
      <w:r w:rsidR="00B527FA">
        <w:rPr>
          <w:rFonts w:asciiTheme="majorBidi" w:hAnsiTheme="majorBidi" w:cstheme="majorBidi"/>
        </w:rPr>
        <w:t xml:space="preserve"> </w:t>
      </w:r>
      <w:r w:rsidR="00B32C95">
        <w:rPr>
          <w:rFonts w:asciiTheme="majorBidi" w:hAnsiTheme="majorBidi" w:cstheme="majorBidi"/>
        </w:rPr>
        <w:t>While he ha</w:t>
      </w:r>
      <w:r w:rsidR="009034DD">
        <w:rPr>
          <w:rFonts w:asciiTheme="majorBidi" w:hAnsiTheme="majorBidi" w:cstheme="majorBidi"/>
        </w:rPr>
        <w:t xml:space="preserve">d </w:t>
      </w:r>
      <w:r w:rsidR="00B32C95">
        <w:rPr>
          <w:rFonts w:asciiTheme="majorBidi" w:hAnsiTheme="majorBidi" w:cstheme="majorBidi"/>
        </w:rPr>
        <w:t xml:space="preserve">already composed a separate work pointing out </w:t>
      </w:r>
      <w:r w:rsidR="000A16CE">
        <w:rPr>
          <w:rFonts w:asciiTheme="majorBidi" w:hAnsiTheme="majorBidi" w:cstheme="majorBidi"/>
        </w:rPr>
        <w:t xml:space="preserve">the </w:t>
      </w:r>
      <w:r w:rsidR="000A55F9">
        <w:rPr>
          <w:rFonts w:asciiTheme="majorBidi" w:hAnsiTheme="majorBidi" w:cstheme="majorBidi"/>
        </w:rPr>
        <w:t xml:space="preserve">errors </w:t>
      </w:r>
      <w:r w:rsidR="000A16CE">
        <w:rPr>
          <w:rFonts w:asciiTheme="majorBidi" w:hAnsiTheme="majorBidi" w:cstheme="majorBidi"/>
        </w:rPr>
        <w:t xml:space="preserve">in the </w:t>
      </w:r>
      <w:proofErr w:type="spellStart"/>
      <w:r w:rsidR="000A16CE">
        <w:rPr>
          <w:rFonts w:asciiTheme="majorBidi" w:hAnsiTheme="majorBidi" w:cstheme="majorBidi"/>
          <w:i/>
          <w:iCs/>
        </w:rPr>
        <w:t>Iḥyāʾ</w:t>
      </w:r>
      <w:proofErr w:type="spellEnd"/>
      <w:r w:rsidR="000A16CE">
        <w:rPr>
          <w:rFonts w:asciiTheme="majorBidi" w:hAnsiTheme="majorBidi" w:cstheme="majorBidi"/>
        </w:rPr>
        <w:t xml:space="preserve">, </w:t>
      </w:r>
      <w:r w:rsidR="002E76DD">
        <w:rPr>
          <w:rFonts w:asciiTheme="majorBidi" w:hAnsiTheme="majorBidi" w:cstheme="majorBidi"/>
        </w:rPr>
        <w:t xml:space="preserve">titled </w:t>
      </w:r>
      <w:proofErr w:type="spellStart"/>
      <w:r w:rsidR="002E76DD">
        <w:rPr>
          <w:rFonts w:asciiTheme="majorBidi" w:hAnsiTheme="majorBidi" w:cstheme="majorBidi"/>
          <w:i/>
          <w:iCs/>
        </w:rPr>
        <w:t>Iʿlām</w:t>
      </w:r>
      <w:proofErr w:type="spellEnd"/>
      <w:r w:rsidR="002E76DD">
        <w:rPr>
          <w:rFonts w:asciiTheme="majorBidi" w:hAnsiTheme="majorBidi" w:cstheme="majorBidi"/>
          <w:i/>
          <w:iCs/>
        </w:rPr>
        <w:t xml:space="preserve"> al-</w:t>
      </w:r>
      <w:proofErr w:type="spellStart"/>
      <w:r w:rsidR="002E76DD">
        <w:rPr>
          <w:rFonts w:asciiTheme="majorBidi" w:hAnsiTheme="majorBidi" w:cstheme="majorBidi"/>
          <w:i/>
          <w:iCs/>
        </w:rPr>
        <w:t>Iḥyāʾ</w:t>
      </w:r>
      <w:proofErr w:type="spellEnd"/>
      <w:r w:rsidR="002E76DD">
        <w:rPr>
          <w:rFonts w:asciiTheme="majorBidi" w:hAnsiTheme="majorBidi" w:cstheme="majorBidi"/>
          <w:i/>
          <w:iCs/>
        </w:rPr>
        <w:t xml:space="preserve"> bi-</w:t>
      </w:r>
      <w:proofErr w:type="spellStart"/>
      <w:r w:rsidR="002E76DD">
        <w:rPr>
          <w:rFonts w:asciiTheme="majorBidi" w:hAnsiTheme="majorBidi" w:cstheme="majorBidi"/>
          <w:i/>
          <w:iCs/>
        </w:rPr>
        <w:t>aghlāṭ</w:t>
      </w:r>
      <w:proofErr w:type="spellEnd"/>
      <w:r w:rsidR="002E76DD">
        <w:rPr>
          <w:rFonts w:asciiTheme="majorBidi" w:hAnsiTheme="majorBidi" w:cstheme="majorBidi"/>
          <w:i/>
          <w:iCs/>
        </w:rPr>
        <w:t xml:space="preserve"> al-</w:t>
      </w:r>
      <w:proofErr w:type="spellStart"/>
      <w:r w:rsidR="002E76DD">
        <w:rPr>
          <w:rFonts w:asciiTheme="majorBidi" w:hAnsiTheme="majorBidi" w:cstheme="majorBidi"/>
          <w:i/>
          <w:iCs/>
        </w:rPr>
        <w:t>Iḥyāʾ</w:t>
      </w:r>
      <w:proofErr w:type="spellEnd"/>
      <w:r w:rsidR="002E76DD">
        <w:rPr>
          <w:rFonts w:asciiTheme="majorBidi" w:hAnsiTheme="majorBidi" w:cstheme="majorBidi"/>
        </w:rPr>
        <w:t xml:space="preserve">, </w:t>
      </w:r>
      <w:r w:rsidR="00FB3389">
        <w:rPr>
          <w:rFonts w:asciiTheme="majorBidi" w:hAnsiTheme="majorBidi" w:cstheme="majorBidi"/>
        </w:rPr>
        <w:t xml:space="preserve">the </w:t>
      </w:r>
      <w:proofErr w:type="spellStart"/>
      <w:r w:rsidR="00FB3389">
        <w:rPr>
          <w:rFonts w:asciiTheme="majorBidi" w:hAnsiTheme="majorBidi" w:cstheme="majorBidi"/>
          <w:i/>
          <w:iCs/>
        </w:rPr>
        <w:t>Minhāj</w:t>
      </w:r>
      <w:proofErr w:type="spellEnd"/>
      <w:r w:rsidR="009034DD">
        <w:rPr>
          <w:rFonts w:asciiTheme="majorBidi" w:hAnsiTheme="majorBidi" w:cstheme="majorBidi"/>
        </w:rPr>
        <w:t xml:space="preserve"> is </w:t>
      </w:r>
      <w:r w:rsidR="000A55F9">
        <w:rPr>
          <w:rFonts w:asciiTheme="majorBidi" w:hAnsiTheme="majorBidi" w:cstheme="majorBidi"/>
        </w:rPr>
        <w:t>intended as a</w:t>
      </w:r>
      <w:r w:rsidR="002E76DD">
        <w:rPr>
          <w:rFonts w:asciiTheme="majorBidi" w:hAnsiTheme="majorBidi" w:cstheme="majorBidi"/>
        </w:rPr>
        <w:t>n improved</w:t>
      </w:r>
      <w:r w:rsidR="000A55F9">
        <w:rPr>
          <w:rFonts w:asciiTheme="majorBidi" w:hAnsiTheme="majorBidi" w:cstheme="majorBidi"/>
        </w:rPr>
        <w:t xml:space="preserve"> version of the </w:t>
      </w:r>
      <w:proofErr w:type="spellStart"/>
      <w:r w:rsidR="000A55F9">
        <w:rPr>
          <w:rFonts w:asciiTheme="majorBidi" w:hAnsiTheme="majorBidi" w:cstheme="majorBidi"/>
          <w:i/>
          <w:iCs/>
        </w:rPr>
        <w:t>Iḥyāʾ</w:t>
      </w:r>
      <w:proofErr w:type="spellEnd"/>
      <w:r w:rsidR="000A55F9">
        <w:rPr>
          <w:rFonts w:asciiTheme="majorBidi" w:hAnsiTheme="majorBidi" w:cstheme="majorBidi"/>
          <w:i/>
          <w:iCs/>
        </w:rPr>
        <w:t xml:space="preserve"> </w:t>
      </w:r>
      <w:r w:rsidR="002E76DD">
        <w:rPr>
          <w:rFonts w:asciiTheme="majorBidi" w:hAnsiTheme="majorBidi" w:cstheme="majorBidi"/>
        </w:rPr>
        <w:t xml:space="preserve">minus </w:t>
      </w:r>
      <w:r w:rsidR="000A55F9">
        <w:rPr>
          <w:rFonts w:asciiTheme="majorBidi" w:hAnsiTheme="majorBidi" w:cstheme="majorBidi"/>
        </w:rPr>
        <w:t>al-</w:t>
      </w:r>
      <w:proofErr w:type="spellStart"/>
      <w:r w:rsidR="000A55F9">
        <w:rPr>
          <w:rFonts w:asciiTheme="majorBidi" w:hAnsiTheme="majorBidi" w:cstheme="majorBidi"/>
        </w:rPr>
        <w:t>Ghazālī’s</w:t>
      </w:r>
      <w:proofErr w:type="spellEnd"/>
      <w:r w:rsidR="000A55F9">
        <w:rPr>
          <w:rFonts w:asciiTheme="majorBidi" w:hAnsiTheme="majorBidi" w:cstheme="majorBidi"/>
        </w:rPr>
        <w:t xml:space="preserve"> blunders.</w:t>
      </w:r>
      <w:r w:rsidR="000A55F9">
        <w:rPr>
          <w:rStyle w:val="FootnoteReference"/>
          <w:rFonts w:asciiTheme="majorBidi" w:hAnsiTheme="majorBidi" w:cstheme="majorBidi"/>
        </w:rPr>
        <w:footnoteReference w:id="68"/>
      </w:r>
      <w:r w:rsidR="000A55F9">
        <w:rPr>
          <w:rFonts w:asciiTheme="majorBidi" w:hAnsiTheme="majorBidi" w:cstheme="majorBidi"/>
        </w:rPr>
        <w:t xml:space="preserve"> Since the </w:t>
      </w:r>
      <w:proofErr w:type="spellStart"/>
      <w:r w:rsidR="000A55F9">
        <w:rPr>
          <w:rFonts w:asciiTheme="majorBidi" w:hAnsiTheme="majorBidi" w:cstheme="majorBidi"/>
          <w:i/>
          <w:iCs/>
        </w:rPr>
        <w:t>Minhāj</w:t>
      </w:r>
      <w:proofErr w:type="spellEnd"/>
      <w:r w:rsidR="000A55F9">
        <w:rPr>
          <w:rFonts w:asciiTheme="majorBidi" w:hAnsiTheme="majorBidi" w:cstheme="majorBidi"/>
        </w:rPr>
        <w:t xml:space="preserve"> adheres to the original structure of the </w:t>
      </w:r>
      <w:proofErr w:type="spellStart"/>
      <w:r w:rsidR="000A55F9">
        <w:rPr>
          <w:rFonts w:asciiTheme="majorBidi" w:hAnsiTheme="majorBidi" w:cstheme="majorBidi"/>
          <w:i/>
          <w:iCs/>
        </w:rPr>
        <w:t>Iḥyāʾ</w:t>
      </w:r>
      <w:proofErr w:type="spellEnd"/>
      <w:r w:rsidR="000A55F9">
        <w:rPr>
          <w:rFonts w:asciiTheme="majorBidi" w:hAnsiTheme="majorBidi" w:cstheme="majorBidi"/>
        </w:rPr>
        <w:t xml:space="preserve">, </w:t>
      </w:r>
      <w:r w:rsidR="00FB45FC">
        <w:rPr>
          <w:rFonts w:asciiTheme="majorBidi" w:hAnsiTheme="majorBidi" w:cstheme="majorBidi"/>
        </w:rPr>
        <w:t xml:space="preserve">any departure from it, however subtle, is quite indicative of </w:t>
      </w:r>
      <w:r w:rsidR="009034DD">
        <w:rPr>
          <w:rFonts w:asciiTheme="majorBidi" w:hAnsiTheme="majorBidi" w:cstheme="majorBidi"/>
        </w:rPr>
        <w:t>what</w:t>
      </w:r>
      <w:r w:rsidR="00FB45FC">
        <w:rPr>
          <w:rFonts w:asciiTheme="majorBidi" w:hAnsiTheme="majorBidi" w:cstheme="majorBidi"/>
        </w:rPr>
        <w:t xml:space="preserve"> Ibn al-</w:t>
      </w:r>
      <w:proofErr w:type="spellStart"/>
      <w:r w:rsidR="00FB45FC">
        <w:rPr>
          <w:rFonts w:asciiTheme="majorBidi" w:hAnsiTheme="majorBidi" w:cstheme="majorBidi"/>
        </w:rPr>
        <w:t>Jawzī</w:t>
      </w:r>
      <w:proofErr w:type="spellEnd"/>
      <w:r w:rsidR="00FB45FC">
        <w:rPr>
          <w:rFonts w:asciiTheme="majorBidi" w:hAnsiTheme="majorBidi" w:cstheme="majorBidi"/>
        </w:rPr>
        <w:t xml:space="preserve"> </w:t>
      </w:r>
      <w:r w:rsidR="009034DD">
        <w:rPr>
          <w:rFonts w:asciiTheme="majorBidi" w:hAnsiTheme="majorBidi" w:cstheme="majorBidi"/>
        </w:rPr>
        <w:t>thought about</w:t>
      </w:r>
      <w:r w:rsidR="00FB45FC">
        <w:rPr>
          <w:rFonts w:asciiTheme="majorBidi" w:hAnsiTheme="majorBidi" w:cstheme="majorBidi"/>
        </w:rPr>
        <w:t xml:space="preserve"> al-</w:t>
      </w:r>
      <w:proofErr w:type="spellStart"/>
      <w:r w:rsidR="00FB45FC">
        <w:rPr>
          <w:rFonts w:asciiTheme="majorBidi" w:hAnsiTheme="majorBidi" w:cstheme="majorBidi"/>
        </w:rPr>
        <w:t>Ghazālī’s</w:t>
      </w:r>
      <w:proofErr w:type="spellEnd"/>
      <w:r w:rsidR="00FB45FC">
        <w:rPr>
          <w:rFonts w:asciiTheme="majorBidi" w:hAnsiTheme="majorBidi" w:cstheme="majorBidi"/>
        </w:rPr>
        <w:t xml:space="preserve"> views</w:t>
      </w:r>
      <w:r w:rsidR="009034DD">
        <w:rPr>
          <w:rFonts w:asciiTheme="majorBidi" w:hAnsiTheme="majorBidi" w:cstheme="majorBidi"/>
        </w:rPr>
        <w:t xml:space="preserve"> on a given issue</w:t>
      </w:r>
      <w:r w:rsidR="00FB45FC">
        <w:rPr>
          <w:rFonts w:asciiTheme="majorBidi" w:hAnsiTheme="majorBidi" w:cstheme="majorBidi"/>
        </w:rPr>
        <w:t>.</w:t>
      </w:r>
    </w:p>
    <w:p w14:paraId="3AEAA677" w14:textId="2BC4FC5E" w:rsidR="005A78E6" w:rsidRDefault="00804DD6" w:rsidP="0037533B">
      <w:pPr>
        <w:spacing w:line="360" w:lineRule="auto"/>
        <w:ind w:firstLine="720"/>
        <w:rPr>
          <w:rFonts w:asciiTheme="majorBidi" w:hAnsiTheme="majorBidi" w:cstheme="majorBidi"/>
        </w:rPr>
      </w:pPr>
      <w:r>
        <w:rPr>
          <w:rFonts w:asciiTheme="majorBidi" w:hAnsiTheme="majorBidi" w:cstheme="majorBidi"/>
        </w:rPr>
        <w:t>Recall that al-</w:t>
      </w:r>
      <w:proofErr w:type="spellStart"/>
      <w:r>
        <w:rPr>
          <w:rFonts w:asciiTheme="majorBidi" w:hAnsiTheme="majorBidi" w:cstheme="majorBidi"/>
        </w:rPr>
        <w:t>Ghazāl</w:t>
      </w:r>
      <w:r w:rsidR="00FB2BDC">
        <w:rPr>
          <w:rFonts w:asciiTheme="majorBidi" w:hAnsiTheme="majorBidi" w:cstheme="majorBidi"/>
        </w:rPr>
        <w:t>ī’s</w:t>
      </w:r>
      <w:proofErr w:type="spellEnd"/>
      <w:r w:rsidR="00FB2BDC">
        <w:rPr>
          <w:rFonts w:asciiTheme="majorBidi" w:hAnsiTheme="majorBidi" w:cstheme="majorBidi"/>
        </w:rPr>
        <w:t xml:space="preserve"> harsh critique of scholars associating with rulers consists mainly of two groups of </w:t>
      </w:r>
      <w:proofErr w:type="spellStart"/>
      <w:r w:rsidR="00FB2BDC">
        <w:rPr>
          <w:rFonts w:asciiTheme="majorBidi" w:hAnsiTheme="majorBidi" w:cstheme="majorBidi"/>
          <w:i/>
          <w:iCs/>
        </w:rPr>
        <w:t>ḥadīth</w:t>
      </w:r>
      <w:r w:rsidR="00FB2BDC">
        <w:rPr>
          <w:rFonts w:asciiTheme="majorBidi" w:hAnsiTheme="majorBidi" w:cstheme="majorBidi"/>
        </w:rPr>
        <w:t>s</w:t>
      </w:r>
      <w:proofErr w:type="spellEnd"/>
      <w:r w:rsidR="00636098">
        <w:rPr>
          <w:rFonts w:asciiTheme="majorBidi" w:hAnsiTheme="majorBidi" w:cstheme="majorBidi"/>
        </w:rPr>
        <w:t xml:space="preserve"> and sayings</w:t>
      </w:r>
      <w:r w:rsidR="00FB2BDC">
        <w:rPr>
          <w:rFonts w:asciiTheme="majorBidi" w:hAnsiTheme="majorBidi" w:cstheme="majorBidi"/>
        </w:rPr>
        <w:t>: the first categorically condemns</w:t>
      </w:r>
      <w:r w:rsidR="00FB2BDC" w:rsidRPr="001E24FD">
        <w:rPr>
          <w:rFonts w:asciiTheme="majorBidi" w:hAnsiTheme="majorBidi" w:cstheme="majorBidi"/>
        </w:rPr>
        <w:t xml:space="preserve"> scholars who attend ruler</w:t>
      </w:r>
      <w:r w:rsidR="00FB2BDC">
        <w:rPr>
          <w:rFonts w:asciiTheme="majorBidi" w:hAnsiTheme="majorBidi" w:cstheme="majorBidi"/>
        </w:rPr>
        <w:t xml:space="preserve">s and considers them irredeemable in the eyes of God, whereas the second focuses on </w:t>
      </w:r>
      <w:r w:rsidR="00FB2BDC" w:rsidRPr="001E24FD">
        <w:rPr>
          <w:rFonts w:asciiTheme="majorBidi" w:hAnsiTheme="majorBidi" w:cstheme="majorBidi"/>
        </w:rPr>
        <w:t xml:space="preserve">the </w:t>
      </w:r>
      <w:r w:rsidR="00FB2BDC">
        <w:rPr>
          <w:rFonts w:asciiTheme="majorBidi" w:hAnsiTheme="majorBidi" w:cstheme="majorBidi"/>
        </w:rPr>
        <w:t xml:space="preserve">moral temptations associated with the </w:t>
      </w:r>
      <w:r w:rsidR="00FB2BDC" w:rsidRPr="001E24FD">
        <w:rPr>
          <w:rFonts w:asciiTheme="majorBidi" w:hAnsiTheme="majorBidi" w:cstheme="majorBidi"/>
        </w:rPr>
        <w:t>ruler’s court.</w:t>
      </w:r>
      <w:r w:rsidR="005A78E6" w:rsidRPr="005A78E6">
        <w:rPr>
          <w:rFonts w:asciiTheme="majorBidi" w:hAnsiTheme="majorBidi" w:cstheme="majorBidi"/>
        </w:rPr>
        <w:t xml:space="preserve"> </w:t>
      </w:r>
      <w:r w:rsidR="005A78E6" w:rsidRPr="001E24FD">
        <w:rPr>
          <w:rFonts w:asciiTheme="majorBidi" w:hAnsiTheme="majorBidi" w:cstheme="majorBidi"/>
        </w:rPr>
        <w:t xml:space="preserve">In </w:t>
      </w:r>
      <w:r w:rsidR="0000021F">
        <w:rPr>
          <w:rFonts w:asciiTheme="majorBidi" w:hAnsiTheme="majorBidi" w:cstheme="majorBidi"/>
        </w:rPr>
        <w:t xml:space="preserve">the corresponding chapter in </w:t>
      </w:r>
      <w:r w:rsidR="005A78E6" w:rsidRPr="001E24FD">
        <w:rPr>
          <w:rFonts w:asciiTheme="majorBidi" w:hAnsiTheme="majorBidi" w:cstheme="majorBidi"/>
        </w:rPr>
        <w:t>Ibn al-</w:t>
      </w:r>
      <w:proofErr w:type="spellStart"/>
      <w:r w:rsidR="005A78E6" w:rsidRPr="001E24FD">
        <w:rPr>
          <w:rFonts w:asciiTheme="majorBidi" w:hAnsiTheme="majorBidi" w:cstheme="majorBidi"/>
        </w:rPr>
        <w:t>Jawzī’s</w:t>
      </w:r>
      <w:proofErr w:type="spellEnd"/>
      <w:r w:rsidR="005A78E6" w:rsidRPr="001E24FD">
        <w:rPr>
          <w:rFonts w:asciiTheme="majorBidi" w:hAnsiTheme="majorBidi" w:cstheme="majorBidi"/>
        </w:rPr>
        <w:t xml:space="preserve"> </w:t>
      </w:r>
      <w:proofErr w:type="spellStart"/>
      <w:r w:rsidR="005A78E6" w:rsidRPr="001E24FD">
        <w:rPr>
          <w:rFonts w:asciiTheme="majorBidi" w:hAnsiTheme="majorBidi" w:cstheme="majorBidi"/>
          <w:i/>
          <w:iCs/>
        </w:rPr>
        <w:t>Minhāj</w:t>
      </w:r>
      <w:proofErr w:type="spellEnd"/>
      <w:r w:rsidR="005A78E6" w:rsidRPr="001E24FD">
        <w:rPr>
          <w:rFonts w:asciiTheme="majorBidi" w:hAnsiTheme="majorBidi" w:cstheme="majorBidi"/>
          <w:i/>
          <w:iCs/>
        </w:rPr>
        <w:t xml:space="preserve"> al-</w:t>
      </w:r>
      <w:proofErr w:type="spellStart"/>
      <w:r w:rsidR="005A78E6" w:rsidRPr="001E24FD">
        <w:rPr>
          <w:rFonts w:asciiTheme="majorBidi" w:hAnsiTheme="majorBidi" w:cstheme="majorBidi"/>
          <w:i/>
          <w:iCs/>
        </w:rPr>
        <w:t>qāṣidīn</w:t>
      </w:r>
      <w:proofErr w:type="spellEnd"/>
      <w:r w:rsidR="005A78E6" w:rsidRPr="001E24FD">
        <w:rPr>
          <w:rFonts w:asciiTheme="majorBidi" w:hAnsiTheme="majorBidi" w:cstheme="majorBidi"/>
        </w:rPr>
        <w:t xml:space="preserve">, all of the harsh reports belonging to the first category are omitted. </w:t>
      </w:r>
      <w:r w:rsidR="00B257FD">
        <w:rPr>
          <w:rFonts w:asciiTheme="majorBidi" w:hAnsiTheme="majorBidi" w:cstheme="majorBidi"/>
        </w:rPr>
        <w:t>His</w:t>
      </w:r>
      <w:r w:rsidR="005A78E6" w:rsidRPr="001E24FD">
        <w:rPr>
          <w:rFonts w:asciiTheme="majorBidi" w:hAnsiTheme="majorBidi" w:cstheme="majorBidi"/>
        </w:rPr>
        <w:t xml:space="preserve"> account consists almost entirely of reports in the second </w:t>
      </w:r>
      <w:r w:rsidR="005A78E6">
        <w:rPr>
          <w:rFonts w:asciiTheme="majorBidi" w:hAnsiTheme="majorBidi" w:cstheme="majorBidi"/>
        </w:rPr>
        <w:t>category, that is,</w:t>
      </w:r>
      <w:r w:rsidR="005A78E6" w:rsidRPr="001E24FD">
        <w:rPr>
          <w:rFonts w:asciiTheme="majorBidi" w:hAnsiTheme="majorBidi" w:cstheme="majorBidi"/>
        </w:rPr>
        <w:t xml:space="preserve"> those that depict the </w:t>
      </w:r>
      <w:r w:rsidR="005A78E6" w:rsidRPr="001E24FD">
        <w:rPr>
          <w:rFonts w:asciiTheme="majorBidi" w:hAnsiTheme="majorBidi" w:cstheme="majorBidi"/>
        </w:rPr>
        <w:lastRenderedPageBreak/>
        <w:t>ruler’s court as a site of temptation and trial for the visiting scholar.</w:t>
      </w:r>
      <w:r w:rsidR="00B37B39">
        <w:rPr>
          <w:rStyle w:val="FootnoteReference"/>
          <w:rFonts w:asciiTheme="majorBidi" w:hAnsiTheme="majorBidi" w:cstheme="majorBidi"/>
        </w:rPr>
        <w:footnoteReference w:id="69"/>
      </w:r>
      <w:r w:rsidR="005A78E6" w:rsidRPr="001E24FD">
        <w:rPr>
          <w:rFonts w:asciiTheme="majorBidi" w:hAnsiTheme="majorBidi" w:cstheme="majorBidi"/>
        </w:rPr>
        <w:t xml:space="preserve"> Several of </w:t>
      </w:r>
      <w:r w:rsidR="00802BF6">
        <w:rPr>
          <w:rFonts w:asciiTheme="majorBidi" w:hAnsiTheme="majorBidi" w:cstheme="majorBidi"/>
        </w:rPr>
        <w:t>al-</w:t>
      </w:r>
      <w:proofErr w:type="spellStart"/>
      <w:r w:rsidR="005A78E6" w:rsidRPr="001E24FD">
        <w:rPr>
          <w:rFonts w:asciiTheme="majorBidi" w:hAnsiTheme="majorBidi" w:cstheme="majorBidi"/>
        </w:rPr>
        <w:t>Ghazālī’s</w:t>
      </w:r>
      <w:proofErr w:type="spellEnd"/>
      <w:r w:rsidR="005A78E6" w:rsidRPr="001E24FD">
        <w:rPr>
          <w:rFonts w:asciiTheme="majorBidi" w:hAnsiTheme="majorBidi" w:cstheme="majorBidi"/>
        </w:rPr>
        <w:t xml:space="preserve"> reports from the second category are retained, while Ibn al-</w:t>
      </w:r>
      <w:proofErr w:type="spellStart"/>
      <w:r w:rsidR="005A78E6" w:rsidRPr="001E24FD">
        <w:rPr>
          <w:rFonts w:asciiTheme="majorBidi" w:hAnsiTheme="majorBidi" w:cstheme="majorBidi"/>
        </w:rPr>
        <w:t>Jawzī</w:t>
      </w:r>
      <w:proofErr w:type="spellEnd"/>
      <w:r w:rsidR="005A78E6" w:rsidRPr="001E24FD">
        <w:rPr>
          <w:rFonts w:asciiTheme="majorBidi" w:hAnsiTheme="majorBidi" w:cstheme="majorBidi"/>
        </w:rPr>
        <w:t xml:space="preserve"> adds a couple of his own that express similar sentiments:</w:t>
      </w:r>
    </w:p>
    <w:p w14:paraId="3F127F5C" w14:textId="77777777" w:rsidR="004746E1" w:rsidRPr="001E24FD" w:rsidRDefault="004746E1" w:rsidP="0037533B">
      <w:pPr>
        <w:spacing w:line="360" w:lineRule="auto"/>
        <w:ind w:firstLine="720"/>
        <w:rPr>
          <w:rFonts w:asciiTheme="majorBidi" w:hAnsiTheme="majorBidi" w:cstheme="majorBidi"/>
        </w:rPr>
      </w:pPr>
    </w:p>
    <w:p w14:paraId="3DBF18EB" w14:textId="53F3DE92" w:rsidR="001650BC" w:rsidRPr="001E24FD" w:rsidRDefault="001650BC" w:rsidP="004746E1">
      <w:pPr>
        <w:pStyle w:val="ListParagraph"/>
        <w:numPr>
          <w:ilvl w:val="0"/>
          <w:numId w:val="3"/>
        </w:numPr>
        <w:ind w:right="720"/>
        <w:rPr>
          <w:rFonts w:asciiTheme="majorBidi" w:hAnsiTheme="majorBidi" w:cstheme="majorBidi"/>
          <w:sz w:val="20"/>
          <w:szCs w:val="20"/>
        </w:rPr>
      </w:pPr>
      <w:proofErr w:type="spellStart"/>
      <w:r w:rsidRPr="001E24FD">
        <w:rPr>
          <w:rFonts w:asciiTheme="majorBidi" w:hAnsiTheme="majorBidi" w:cstheme="majorBidi"/>
          <w:i/>
          <w:iCs/>
          <w:sz w:val="20"/>
          <w:szCs w:val="20"/>
        </w:rPr>
        <w:t>Ḥadīth</w:t>
      </w:r>
      <w:proofErr w:type="spellEnd"/>
      <w:r w:rsidRPr="001E24FD">
        <w:rPr>
          <w:rFonts w:asciiTheme="majorBidi" w:hAnsiTheme="majorBidi" w:cstheme="majorBidi"/>
          <w:sz w:val="20"/>
          <w:szCs w:val="20"/>
        </w:rPr>
        <w:t xml:space="preserve"> on the authority of </w:t>
      </w:r>
      <w:proofErr w:type="spellStart"/>
      <w:r w:rsidRPr="001E24FD">
        <w:rPr>
          <w:rFonts w:asciiTheme="majorBidi" w:hAnsiTheme="majorBidi" w:cstheme="majorBidi"/>
          <w:sz w:val="20"/>
          <w:szCs w:val="20"/>
        </w:rPr>
        <w:t>Abū</w:t>
      </w:r>
      <w:proofErr w:type="spellEnd"/>
      <w:r w:rsidRPr="001E24FD">
        <w:rPr>
          <w:rFonts w:asciiTheme="majorBidi" w:hAnsiTheme="majorBidi" w:cstheme="majorBidi"/>
          <w:sz w:val="20"/>
          <w:szCs w:val="20"/>
        </w:rPr>
        <w:t xml:space="preserve"> </w:t>
      </w:r>
      <w:proofErr w:type="spellStart"/>
      <w:r w:rsidRPr="001E24FD">
        <w:rPr>
          <w:rFonts w:asciiTheme="majorBidi" w:hAnsiTheme="majorBidi" w:cstheme="majorBidi"/>
          <w:sz w:val="20"/>
          <w:szCs w:val="20"/>
        </w:rPr>
        <w:t>Hurayra</w:t>
      </w:r>
      <w:proofErr w:type="spellEnd"/>
      <w:r w:rsidRPr="001E24FD">
        <w:rPr>
          <w:rFonts w:asciiTheme="majorBidi" w:hAnsiTheme="majorBidi" w:cstheme="majorBidi"/>
          <w:sz w:val="20"/>
          <w:szCs w:val="20"/>
        </w:rPr>
        <w:t>: “Whoever comes to the door of the ruler is tested (</w:t>
      </w:r>
      <w:r w:rsidRPr="001E24FD">
        <w:rPr>
          <w:rFonts w:asciiTheme="majorBidi" w:hAnsiTheme="majorBidi" w:cstheme="majorBidi"/>
          <w:i/>
          <w:iCs/>
          <w:sz w:val="20"/>
          <w:szCs w:val="20"/>
        </w:rPr>
        <w:t xml:space="preserve">man </w:t>
      </w:r>
      <w:proofErr w:type="spellStart"/>
      <w:r w:rsidRPr="001E24FD">
        <w:rPr>
          <w:rFonts w:asciiTheme="majorBidi" w:hAnsiTheme="majorBidi" w:cstheme="majorBidi"/>
          <w:i/>
          <w:iCs/>
          <w:sz w:val="20"/>
          <w:szCs w:val="20"/>
        </w:rPr>
        <w:t>atā</w:t>
      </w:r>
      <w:proofErr w:type="spellEnd"/>
      <w:r w:rsidRPr="001E24FD">
        <w:rPr>
          <w:rFonts w:asciiTheme="majorBidi" w:hAnsiTheme="majorBidi" w:cstheme="majorBidi"/>
          <w:i/>
          <w:iCs/>
          <w:sz w:val="20"/>
          <w:szCs w:val="20"/>
        </w:rPr>
        <w:t xml:space="preserve"> </w:t>
      </w:r>
      <w:proofErr w:type="spellStart"/>
      <w:r w:rsidRPr="001E24FD">
        <w:rPr>
          <w:rFonts w:asciiTheme="majorBidi" w:hAnsiTheme="majorBidi" w:cstheme="majorBidi"/>
          <w:i/>
          <w:iCs/>
          <w:sz w:val="20"/>
          <w:szCs w:val="20"/>
        </w:rPr>
        <w:t>abwāb</w:t>
      </w:r>
      <w:proofErr w:type="spellEnd"/>
      <w:r w:rsidRPr="001E24FD">
        <w:rPr>
          <w:rFonts w:asciiTheme="majorBidi" w:hAnsiTheme="majorBidi" w:cstheme="majorBidi"/>
          <w:i/>
          <w:iCs/>
          <w:sz w:val="20"/>
          <w:szCs w:val="20"/>
        </w:rPr>
        <w:t xml:space="preserve"> al-</w:t>
      </w:r>
      <w:proofErr w:type="spellStart"/>
      <w:r w:rsidRPr="001E24FD">
        <w:rPr>
          <w:rFonts w:asciiTheme="majorBidi" w:hAnsiTheme="majorBidi" w:cstheme="majorBidi"/>
          <w:i/>
          <w:iCs/>
          <w:sz w:val="20"/>
          <w:szCs w:val="20"/>
        </w:rPr>
        <w:t>salāṭīn</w:t>
      </w:r>
      <w:proofErr w:type="spellEnd"/>
      <w:r w:rsidRPr="001E24FD">
        <w:rPr>
          <w:rFonts w:asciiTheme="majorBidi" w:hAnsiTheme="majorBidi" w:cstheme="majorBidi"/>
          <w:i/>
          <w:iCs/>
          <w:sz w:val="20"/>
          <w:szCs w:val="20"/>
        </w:rPr>
        <w:t xml:space="preserve"> </w:t>
      </w:r>
      <w:proofErr w:type="spellStart"/>
      <w:r w:rsidRPr="001E24FD">
        <w:rPr>
          <w:rFonts w:asciiTheme="majorBidi" w:hAnsiTheme="majorBidi" w:cstheme="majorBidi"/>
          <w:i/>
          <w:iCs/>
          <w:sz w:val="20"/>
          <w:szCs w:val="20"/>
        </w:rPr>
        <w:t>iftatana</w:t>
      </w:r>
      <w:proofErr w:type="spellEnd"/>
      <w:r w:rsidRPr="001E24FD">
        <w:rPr>
          <w:rFonts w:asciiTheme="majorBidi" w:hAnsiTheme="majorBidi" w:cstheme="majorBidi"/>
          <w:sz w:val="20"/>
          <w:szCs w:val="20"/>
        </w:rPr>
        <w:t>)</w:t>
      </w:r>
      <w:r w:rsidR="007775FC">
        <w:rPr>
          <w:rFonts w:asciiTheme="majorBidi" w:hAnsiTheme="majorBidi" w:cstheme="majorBidi"/>
          <w:sz w:val="20"/>
          <w:szCs w:val="20"/>
        </w:rPr>
        <w:t>, and n</w:t>
      </w:r>
      <w:r w:rsidR="007775FC" w:rsidRPr="001E24FD">
        <w:rPr>
          <w:rFonts w:asciiTheme="majorBidi" w:hAnsiTheme="majorBidi" w:cstheme="majorBidi"/>
          <w:sz w:val="20"/>
          <w:szCs w:val="20"/>
        </w:rPr>
        <w:t xml:space="preserve">o </w:t>
      </w:r>
      <w:r w:rsidR="007775FC">
        <w:rPr>
          <w:rFonts w:asciiTheme="majorBidi" w:hAnsiTheme="majorBidi" w:cstheme="majorBidi"/>
          <w:sz w:val="20"/>
          <w:szCs w:val="20"/>
        </w:rPr>
        <w:t>worshipper</w:t>
      </w:r>
      <w:r w:rsidR="007775FC" w:rsidRPr="001E24FD">
        <w:rPr>
          <w:rFonts w:asciiTheme="majorBidi" w:hAnsiTheme="majorBidi" w:cstheme="majorBidi"/>
          <w:sz w:val="20"/>
          <w:szCs w:val="20"/>
        </w:rPr>
        <w:t xml:space="preserve"> </w:t>
      </w:r>
      <w:r w:rsidR="007775FC">
        <w:rPr>
          <w:rFonts w:asciiTheme="majorBidi" w:hAnsiTheme="majorBidi" w:cstheme="majorBidi"/>
          <w:sz w:val="20"/>
          <w:szCs w:val="20"/>
        </w:rPr>
        <w:t>draws</w:t>
      </w:r>
      <w:r w:rsidR="007775FC" w:rsidRPr="001E24FD">
        <w:rPr>
          <w:rFonts w:asciiTheme="majorBidi" w:hAnsiTheme="majorBidi" w:cstheme="majorBidi"/>
          <w:sz w:val="20"/>
          <w:szCs w:val="20"/>
        </w:rPr>
        <w:t xml:space="preserve"> </w:t>
      </w:r>
      <w:r w:rsidR="007775FC">
        <w:rPr>
          <w:rFonts w:asciiTheme="majorBidi" w:hAnsiTheme="majorBidi" w:cstheme="majorBidi"/>
          <w:sz w:val="20"/>
          <w:szCs w:val="20"/>
        </w:rPr>
        <w:t xml:space="preserve">closer </w:t>
      </w:r>
      <w:r w:rsidR="007775FC" w:rsidRPr="001E24FD">
        <w:rPr>
          <w:rFonts w:asciiTheme="majorBidi" w:hAnsiTheme="majorBidi" w:cstheme="majorBidi"/>
          <w:sz w:val="20"/>
          <w:szCs w:val="20"/>
        </w:rPr>
        <w:t>to</w:t>
      </w:r>
      <w:r w:rsidR="007775FC">
        <w:rPr>
          <w:rFonts w:asciiTheme="majorBidi" w:hAnsiTheme="majorBidi" w:cstheme="majorBidi"/>
          <w:sz w:val="20"/>
          <w:szCs w:val="20"/>
        </w:rPr>
        <w:t xml:space="preserve"> the ruler </w:t>
      </w:r>
      <w:r w:rsidR="007775FC" w:rsidRPr="001E24FD">
        <w:rPr>
          <w:rFonts w:asciiTheme="majorBidi" w:hAnsiTheme="majorBidi" w:cstheme="majorBidi"/>
          <w:sz w:val="20"/>
          <w:szCs w:val="20"/>
        </w:rPr>
        <w:t>(</w:t>
      </w:r>
      <w:r w:rsidR="007775FC">
        <w:rPr>
          <w:rFonts w:asciiTheme="majorBidi" w:hAnsiTheme="majorBidi" w:cstheme="majorBidi"/>
          <w:i/>
          <w:iCs/>
          <w:sz w:val="20"/>
          <w:szCs w:val="20"/>
        </w:rPr>
        <w:t>al-</w:t>
      </w:r>
      <w:proofErr w:type="spellStart"/>
      <w:r w:rsidR="007775FC" w:rsidRPr="001E24FD">
        <w:rPr>
          <w:rFonts w:asciiTheme="majorBidi" w:hAnsiTheme="majorBidi" w:cstheme="majorBidi"/>
          <w:i/>
          <w:iCs/>
          <w:sz w:val="20"/>
          <w:szCs w:val="20"/>
        </w:rPr>
        <w:t>sulṭān</w:t>
      </w:r>
      <w:proofErr w:type="spellEnd"/>
      <w:r w:rsidR="007775FC" w:rsidRPr="001E24FD">
        <w:rPr>
          <w:rFonts w:asciiTheme="majorBidi" w:hAnsiTheme="majorBidi" w:cstheme="majorBidi"/>
          <w:sz w:val="20"/>
          <w:szCs w:val="20"/>
        </w:rPr>
        <w:t xml:space="preserve">) </w:t>
      </w:r>
      <w:r w:rsidR="007775FC">
        <w:rPr>
          <w:rFonts w:asciiTheme="majorBidi" w:hAnsiTheme="majorBidi" w:cstheme="majorBidi"/>
          <w:sz w:val="20"/>
          <w:szCs w:val="20"/>
        </w:rPr>
        <w:t>without</w:t>
      </w:r>
      <w:r w:rsidR="007775FC" w:rsidRPr="001E24FD">
        <w:rPr>
          <w:rFonts w:asciiTheme="majorBidi" w:hAnsiTheme="majorBidi" w:cstheme="majorBidi"/>
          <w:sz w:val="20"/>
          <w:szCs w:val="20"/>
        </w:rPr>
        <w:t xml:space="preserve"> </w:t>
      </w:r>
      <w:r w:rsidR="007775FC">
        <w:rPr>
          <w:rFonts w:asciiTheme="majorBidi" w:hAnsiTheme="majorBidi" w:cstheme="majorBidi"/>
          <w:sz w:val="20"/>
          <w:szCs w:val="20"/>
        </w:rPr>
        <w:t xml:space="preserve">becoming more </w:t>
      </w:r>
      <w:r w:rsidR="007775FC" w:rsidRPr="001E24FD">
        <w:rPr>
          <w:rFonts w:asciiTheme="majorBidi" w:hAnsiTheme="majorBidi" w:cstheme="majorBidi"/>
          <w:sz w:val="20"/>
          <w:szCs w:val="20"/>
        </w:rPr>
        <w:t>distant from God</w:t>
      </w:r>
      <w:r w:rsidRPr="001E24FD">
        <w:rPr>
          <w:rFonts w:asciiTheme="majorBidi" w:hAnsiTheme="majorBidi" w:cstheme="majorBidi"/>
          <w:sz w:val="20"/>
          <w:szCs w:val="20"/>
        </w:rPr>
        <w:t>.</w:t>
      </w:r>
      <w:r w:rsidR="007775FC">
        <w:rPr>
          <w:rFonts w:asciiTheme="majorBidi" w:hAnsiTheme="majorBidi" w:cstheme="majorBidi"/>
          <w:sz w:val="20"/>
          <w:szCs w:val="20"/>
        </w:rPr>
        <w:t>”</w:t>
      </w:r>
      <w:r w:rsidR="00B257FD">
        <w:rPr>
          <w:rStyle w:val="FootnoteReference"/>
          <w:rFonts w:asciiTheme="majorBidi" w:hAnsiTheme="majorBidi" w:cstheme="majorBidi"/>
          <w:sz w:val="20"/>
          <w:szCs w:val="20"/>
        </w:rPr>
        <w:footnoteReference w:id="70"/>
      </w:r>
    </w:p>
    <w:p w14:paraId="672BBE1E" w14:textId="77777777" w:rsidR="001650BC" w:rsidRPr="001E24FD" w:rsidRDefault="001650BC" w:rsidP="004746E1">
      <w:pPr>
        <w:pStyle w:val="ListParagraph"/>
        <w:ind w:right="720"/>
        <w:rPr>
          <w:rFonts w:asciiTheme="majorBidi" w:hAnsiTheme="majorBidi" w:cstheme="majorBidi"/>
          <w:sz w:val="20"/>
          <w:szCs w:val="20"/>
        </w:rPr>
      </w:pPr>
    </w:p>
    <w:p w14:paraId="1429816F" w14:textId="77777777" w:rsidR="001650BC" w:rsidRPr="001E24FD" w:rsidRDefault="001650BC" w:rsidP="004746E1">
      <w:pPr>
        <w:pStyle w:val="ListParagraph"/>
        <w:numPr>
          <w:ilvl w:val="0"/>
          <w:numId w:val="3"/>
        </w:numPr>
        <w:ind w:right="720"/>
        <w:rPr>
          <w:rFonts w:asciiTheme="majorBidi" w:hAnsiTheme="majorBidi" w:cstheme="majorBidi"/>
          <w:sz w:val="20"/>
          <w:szCs w:val="20"/>
        </w:rPr>
      </w:pPr>
      <w:r w:rsidRPr="001E24FD">
        <w:rPr>
          <w:rFonts w:asciiTheme="majorBidi" w:hAnsiTheme="majorBidi" w:cstheme="majorBidi"/>
          <w:sz w:val="20"/>
          <w:szCs w:val="20"/>
        </w:rPr>
        <w:t xml:space="preserve">Someone once said to </w:t>
      </w:r>
      <w:proofErr w:type="spellStart"/>
      <w:r w:rsidRPr="001E24FD">
        <w:rPr>
          <w:rFonts w:asciiTheme="majorBidi" w:hAnsiTheme="majorBidi" w:cstheme="majorBidi"/>
          <w:sz w:val="20"/>
          <w:szCs w:val="20"/>
        </w:rPr>
        <w:t>ʿAlqama</w:t>
      </w:r>
      <w:proofErr w:type="spellEnd"/>
      <w:r w:rsidRPr="001E24FD">
        <w:rPr>
          <w:rFonts w:asciiTheme="majorBidi" w:hAnsiTheme="majorBidi" w:cstheme="majorBidi"/>
          <w:sz w:val="20"/>
          <w:szCs w:val="20"/>
        </w:rPr>
        <w:t>: “If you enter the presence of the rulers, they will acknowledge your noble rank (</w:t>
      </w:r>
      <w:proofErr w:type="spellStart"/>
      <w:r w:rsidRPr="001E24FD">
        <w:rPr>
          <w:rFonts w:asciiTheme="majorBidi" w:hAnsiTheme="majorBidi" w:cstheme="majorBidi"/>
          <w:i/>
          <w:iCs/>
          <w:sz w:val="20"/>
          <w:szCs w:val="20"/>
        </w:rPr>
        <w:t>sharaf</w:t>
      </w:r>
      <w:proofErr w:type="spellEnd"/>
      <w:r w:rsidRPr="001E24FD">
        <w:rPr>
          <w:rFonts w:asciiTheme="majorBidi" w:hAnsiTheme="majorBidi" w:cstheme="majorBidi"/>
          <w:iCs/>
          <w:sz w:val="20"/>
          <w:szCs w:val="20"/>
        </w:rPr>
        <w:t xml:space="preserve">).” </w:t>
      </w:r>
      <w:proofErr w:type="spellStart"/>
      <w:r w:rsidRPr="001E24FD">
        <w:rPr>
          <w:rFonts w:asciiTheme="majorBidi" w:hAnsiTheme="majorBidi" w:cstheme="majorBidi"/>
          <w:iCs/>
          <w:sz w:val="20"/>
          <w:szCs w:val="20"/>
        </w:rPr>
        <w:t>ʿAlqama</w:t>
      </w:r>
      <w:proofErr w:type="spellEnd"/>
      <w:r w:rsidRPr="001E24FD">
        <w:rPr>
          <w:rFonts w:asciiTheme="majorBidi" w:hAnsiTheme="majorBidi" w:cstheme="majorBidi"/>
          <w:iCs/>
          <w:sz w:val="20"/>
          <w:szCs w:val="20"/>
        </w:rPr>
        <w:t xml:space="preserve"> said in reply, “[But] I fear that what they take from me will be greater than what I take from them.”</w:t>
      </w:r>
    </w:p>
    <w:p w14:paraId="17572E75" w14:textId="77777777" w:rsidR="001650BC" w:rsidRPr="001E24FD" w:rsidRDefault="001650BC" w:rsidP="004746E1">
      <w:pPr>
        <w:pStyle w:val="ListParagraph"/>
        <w:ind w:right="720"/>
        <w:rPr>
          <w:rFonts w:asciiTheme="majorBidi" w:hAnsiTheme="majorBidi" w:cstheme="majorBidi"/>
          <w:sz w:val="20"/>
          <w:szCs w:val="20"/>
        </w:rPr>
      </w:pPr>
    </w:p>
    <w:p w14:paraId="069DFBA6" w14:textId="30CF4115" w:rsidR="001650BC" w:rsidRPr="001E24FD" w:rsidRDefault="001650BC" w:rsidP="004746E1">
      <w:pPr>
        <w:pStyle w:val="ListParagraph"/>
        <w:numPr>
          <w:ilvl w:val="0"/>
          <w:numId w:val="3"/>
        </w:numPr>
        <w:ind w:right="720"/>
        <w:rPr>
          <w:rFonts w:asciiTheme="majorBidi" w:hAnsiTheme="majorBidi" w:cstheme="majorBidi"/>
          <w:sz w:val="20"/>
          <w:szCs w:val="20"/>
        </w:rPr>
      </w:pPr>
      <w:r w:rsidRPr="001E24FD">
        <w:rPr>
          <w:rFonts w:asciiTheme="majorBidi" w:hAnsiTheme="majorBidi" w:cstheme="majorBidi"/>
          <w:sz w:val="20"/>
          <w:szCs w:val="20"/>
        </w:rPr>
        <w:t>A ruler once asked an ascetic, “Why do you not visit me?” The ascetic replied, “I fear that I will be subject to temptations once you draw me close and will feel deprived once you drive me away. You do not have anything that I yearn, and I do not have anything that might strike fear in you. Those who come to you seek to satisfy themselves with what you can offer, but I am satisfied with that which [God] has provided me in order to not be in need of you.”</w:t>
      </w:r>
      <w:r w:rsidR="007775FC" w:rsidRPr="007775FC">
        <w:rPr>
          <w:rStyle w:val="FootnoteReference"/>
          <w:rFonts w:asciiTheme="majorBidi" w:hAnsiTheme="majorBidi" w:cstheme="majorBidi"/>
          <w:sz w:val="20"/>
          <w:szCs w:val="20"/>
        </w:rPr>
        <w:footnoteReference w:id="71"/>
      </w:r>
      <w:r w:rsidRPr="001E24FD">
        <w:rPr>
          <w:rFonts w:asciiTheme="majorBidi" w:hAnsiTheme="majorBidi" w:cstheme="majorBidi"/>
          <w:sz w:val="20"/>
          <w:szCs w:val="20"/>
        </w:rPr>
        <w:t xml:space="preserve">  </w:t>
      </w:r>
    </w:p>
    <w:p w14:paraId="75CBCB2B" w14:textId="77777777" w:rsidR="001650BC" w:rsidRPr="001E24FD" w:rsidRDefault="001650BC" w:rsidP="0037533B">
      <w:pPr>
        <w:spacing w:line="360" w:lineRule="auto"/>
        <w:ind w:right="720"/>
        <w:rPr>
          <w:rFonts w:asciiTheme="majorBidi" w:hAnsiTheme="majorBidi" w:cstheme="majorBidi"/>
        </w:rPr>
      </w:pPr>
    </w:p>
    <w:p w14:paraId="115F0110" w14:textId="6B962E1D" w:rsidR="009034DD" w:rsidRPr="00847094" w:rsidRDefault="001650BC" w:rsidP="0037533B">
      <w:pPr>
        <w:spacing w:line="360" w:lineRule="auto"/>
        <w:rPr>
          <w:rFonts w:asciiTheme="majorBidi" w:hAnsiTheme="majorBidi" w:cstheme="majorBidi"/>
          <w:i/>
          <w:iCs/>
        </w:rPr>
      </w:pPr>
      <w:r w:rsidRPr="001E24FD">
        <w:rPr>
          <w:rFonts w:asciiTheme="majorBidi" w:hAnsiTheme="majorBidi" w:cstheme="majorBidi"/>
        </w:rPr>
        <w:t>For Ibn al-</w:t>
      </w:r>
      <w:proofErr w:type="spellStart"/>
      <w:r w:rsidRPr="001E24FD">
        <w:rPr>
          <w:rFonts w:asciiTheme="majorBidi" w:hAnsiTheme="majorBidi" w:cstheme="majorBidi"/>
        </w:rPr>
        <w:t>Jawzī</w:t>
      </w:r>
      <w:proofErr w:type="spellEnd"/>
      <w:r w:rsidRPr="001E24FD">
        <w:rPr>
          <w:rFonts w:asciiTheme="majorBidi" w:hAnsiTheme="majorBidi" w:cstheme="majorBidi"/>
        </w:rPr>
        <w:t xml:space="preserve">, the act of visiting rulers </w:t>
      </w:r>
      <w:r w:rsidR="00504108">
        <w:rPr>
          <w:rFonts w:asciiTheme="majorBidi" w:hAnsiTheme="majorBidi" w:cstheme="majorBidi"/>
        </w:rPr>
        <w:t xml:space="preserve">does </w:t>
      </w:r>
      <w:r w:rsidRPr="001E24FD">
        <w:rPr>
          <w:rFonts w:asciiTheme="majorBidi" w:hAnsiTheme="majorBidi" w:cstheme="majorBidi"/>
        </w:rPr>
        <w:t xml:space="preserve">involve being subjected to the temptations of worldly pleasures, which rulers are ever ready to offer and which scholars often find difficult to refuse. </w:t>
      </w:r>
      <w:r w:rsidR="00504108">
        <w:rPr>
          <w:rFonts w:asciiTheme="majorBidi" w:hAnsiTheme="majorBidi" w:cstheme="majorBidi"/>
        </w:rPr>
        <w:t xml:space="preserve">Yet </w:t>
      </w:r>
      <w:r w:rsidRPr="001E24FD">
        <w:rPr>
          <w:rFonts w:asciiTheme="majorBidi" w:hAnsiTheme="majorBidi" w:cstheme="majorBidi"/>
        </w:rPr>
        <w:t>scholars who visit rulers are not expressly condemned as godforsaken. Ibn al-</w:t>
      </w:r>
      <w:proofErr w:type="spellStart"/>
      <w:r w:rsidRPr="001E24FD">
        <w:rPr>
          <w:rFonts w:asciiTheme="majorBidi" w:hAnsiTheme="majorBidi" w:cstheme="majorBidi"/>
        </w:rPr>
        <w:t>Jawzī’s</w:t>
      </w:r>
      <w:proofErr w:type="spellEnd"/>
      <w:r w:rsidRPr="001E24FD">
        <w:rPr>
          <w:rFonts w:asciiTheme="majorBidi" w:hAnsiTheme="majorBidi" w:cstheme="majorBidi"/>
        </w:rPr>
        <w:t xml:space="preserve"> focus is </w:t>
      </w:r>
      <w:r w:rsidR="00504108">
        <w:rPr>
          <w:rFonts w:asciiTheme="majorBidi" w:hAnsiTheme="majorBidi" w:cstheme="majorBidi"/>
        </w:rPr>
        <w:t xml:space="preserve">more </w:t>
      </w:r>
      <w:r w:rsidRPr="001E24FD">
        <w:rPr>
          <w:rFonts w:asciiTheme="majorBidi" w:hAnsiTheme="majorBidi" w:cstheme="majorBidi"/>
        </w:rPr>
        <w:t xml:space="preserve">on the corrupt effects of the ruler’s court and less on condemning the scholar’s act of visiting rulers in and of itself. </w:t>
      </w:r>
      <w:r w:rsidR="0000021F">
        <w:rPr>
          <w:rFonts w:asciiTheme="majorBidi" w:hAnsiTheme="majorBidi" w:cstheme="majorBidi"/>
        </w:rPr>
        <w:t xml:space="preserve">Although the remaining parts of the chapter </w:t>
      </w:r>
      <w:r w:rsidR="00636098">
        <w:rPr>
          <w:rFonts w:asciiTheme="majorBidi" w:hAnsiTheme="majorBidi" w:cstheme="majorBidi"/>
        </w:rPr>
        <w:t>are</w:t>
      </w:r>
      <w:r w:rsidR="0000021F">
        <w:rPr>
          <w:rFonts w:asciiTheme="majorBidi" w:hAnsiTheme="majorBidi" w:cstheme="majorBidi"/>
        </w:rPr>
        <w:t xml:space="preserve"> largely abridged from the </w:t>
      </w:r>
      <w:proofErr w:type="spellStart"/>
      <w:r w:rsidR="0000021F">
        <w:rPr>
          <w:rFonts w:asciiTheme="majorBidi" w:hAnsiTheme="majorBidi" w:cstheme="majorBidi"/>
          <w:i/>
          <w:iCs/>
        </w:rPr>
        <w:t>Iḥyāʾ</w:t>
      </w:r>
      <w:proofErr w:type="spellEnd"/>
      <w:r w:rsidR="0000021F">
        <w:rPr>
          <w:rFonts w:asciiTheme="majorBidi" w:hAnsiTheme="majorBidi" w:cstheme="majorBidi"/>
        </w:rPr>
        <w:t xml:space="preserve"> with hardly any variation</w:t>
      </w:r>
      <w:r w:rsidRPr="001E24FD">
        <w:rPr>
          <w:rFonts w:asciiTheme="majorBidi" w:hAnsiTheme="majorBidi" w:cstheme="majorBidi"/>
        </w:rPr>
        <w:t>, Ibn al-</w:t>
      </w:r>
      <w:proofErr w:type="spellStart"/>
      <w:r w:rsidRPr="001E24FD">
        <w:rPr>
          <w:rFonts w:asciiTheme="majorBidi" w:hAnsiTheme="majorBidi" w:cstheme="majorBidi"/>
        </w:rPr>
        <w:t>Jawzī</w:t>
      </w:r>
      <w:r w:rsidR="00636098">
        <w:rPr>
          <w:rFonts w:asciiTheme="majorBidi" w:hAnsiTheme="majorBidi" w:cstheme="majorBidi"/>
        </w:rPr>
        <w:t>’s</w:t>
      </w:r>
      <w:proofErr w:type="spellEnd"/>
      <w:r w:rsidR="00636098">
        <w:rPr>
          <w:rFonts w:asciiTheme="majorBidi" w:hAnsiTheme="majorBidi" w:cstheme="majorBidi"/>
        </w:rPr>
        <w:t xml:space="preserve"> reorganization of </w:t>
      </w:r>
      <w:proofErr w:type="spellStart"/>
      <w:r w:rsidR="00636098" w:rsidRPr="001E24FD">
        <w:rPr>
          <w:rFonts w:asciiTheme="majorBidi" w:hAnsiTheme="majorBidi" w:cstheme="majorBidi"/>
          <w:i/>
          <w:iCs/>
        </w:rPr>
        <w:t>ḥadīth</w:t>
      </w:r>
      <w:r w:rsidR="00636098" w:rsidRPr="001E24FD">
        <w:rPr>
          <w:rFonts w:asciiTheme="majorBidi" w:hAnsiTheme="majorBidi" w:cstheme="majorBidi"/>
        </w:rPr>
        <w:t>s</w:t>
      </w:r>
      <w:proofErr w:type="spellEnd"/>
      <w:r w:rsidR="00636098" w:rsidRPr="001E24FD">
        <w:rPr>
          <w:rFonts w:asciiTheme="majorBidi" w:hAnsiTheme="majorBidi" w:cstheme="majorBidi"/>
        </w:rPr>
        <w:t xml:space="preserve"> a</w:t>
      </w:r>
      <w:r w:rsidR="00636098">
        <w:rPr>
          <w:rFonts w:asciiTheme="majorBidi" w:hAnsiTheme="majorBidi" w:cstheme="majorBidi"/>
        </w:rPr>
        <w:t>nd</w:t>
      </w:r>
      <w:r w:rsidR="00636098" w:rsidRPr="001E24FD">
        <w:rPr>
          <w:rFonts w:asciiTheme="majorBidi" w:hAnsiTheme="majorBidi" w:cstheme="majorBidi"/>
        </w:rPr>
        <w:t xml:space="preserve"> </w:t>
      </w:r>
      <w:r w:rsidR="000B2825">
        <w:rPr>
          <w:rFonts w:asciiTheme="majorBidi" w:hAnsiTheme="majorBidi" w:cstheme="majorBidi"/>
        </w:rPr>
        <w:t xml:space="preserve">famous </w:t>
      </w:r>
      <w:r w:rsidR="00636098" w:rsidRPr="001E24FD">
        <w:rPr>
          <w:rFonts w:asciiTheme="majorBidi" w:hAnsiTheme="majorBidi" w:cstheme="majorBidi"/>
        </w:rPr>
        <w:t>sayings</w:t>
      </w:r>
      <w:r w:rsidR="000B2825">
        <w:rPr>
          <w:rFonts w:asciiTheme="majorBidi" w:hAnsiTheme="majorBidi" w:cstheme="majorBidi"/>
        </w:rPr>
        <w:t xml:space="preserve"> </w:t>
      </w:r>
      <w:r w:rsidR="00636098">
        <w:rPr>
          <w:rFonts w:asciiTheme="majorBidi" w:hAnsiTheme="majorBidi" w:cstheme="majorBidi"/>
        </w:rPr>
        <w:t xml:space="preserve">has the effect of </w:t>
      </w:r>
      <w:r w:rsidRPr="001E24FD">
        <w:rPr>
          <w:rFonts w:asciiTheme="majorBidi" w:hAnsiTheme="majorBidi" w:cstheme="majorBidi"/>
        </w:rPr>
        <w:t>soften</w:t>
      </w:r>
      <w:r w:rsidR="00636098">
        <w:rPr>
          <w:rFonts w:asciiTheme="majorBidi" w:hAnsiTheme="majorBidi" w:cstheme="majorBidi"/>
        </w:rPr>
        <w:t>ing</w:t>
      </w:r>
      <w:r w:rsidRPr="001E24FD">
        <w:rPr>
          <w:rFonts w:asciiTheme="majorBidi" w:hAnsiTheme="majorBidi" w:cstheme="majorBidi"/>
        </w:rPr>
        <w:t xml:space="preserve"> </w:t>
      </w:r>
      <w:r w:rsidR="00636098">
        <w:rPr>
          <w:rFonts w:asciiTheme="majorBidi" w:hAnsiTheme="majorBidi" w:cstheme="majorBidi"/>
        </w:rPr>
        <w:t>al-</w:t>
      </w:r>
      <w:proofErr w:type="spellStart"/>
      <w:r w:rsidRPr="001E24FD">
        <w:rPr>
          <w:rFonts w:asciiTheme="majorBidi" w:hAnsiTheme="majorBidi" w:cstheme="majorBidi"/>
        </w:rPr>
        <w:t>Ghazālī’s</w:t>
      </w:r>
      <w:proofErr w:type="spellEnd"/>
      <w:r w:rsidRPr="001E24FD">
        <w:rPr>
          <w:rFonts w:asciiTheme="majorBidi" w:hAnsiTheme="majorBidi" w:cstheme="majorBidi"/>
        </w:rPr>
        <w:t xml:space="preserve"> harsh stance toward scholars who a</w:t>
      </w:r>
      <w:r w:rsidR="00BB70C3">
        <w:rPr>
          <w:rFonts w:asciiTheme="majorBidi" w:hAnsiTheme="majorBidi" w:cstheme="majorBidi"/>
        </w:rPr>
        <w:t>ssociate with</w:t>
      </w:r>
      <w:r w:rsidRPr="001E24FD">
        <w:rPr>
          <w:rFonts w:asciiTheme="majorBidi" w:hAnsiTheme="majorBidi" w:cstheme="majorBidi"/>
        </w:rPr>
        <w:t xml:space="preserve"> rulers.</w:t>
      </w:r>
      <w:r w:rsidR="0016542A">
        <w:rPr>
          <w:rFonts w:asciiTheme="majorBidi" w:hAnsiTheme="majorBidi" w:cstheme="majorBidi"/>
        </w:rPr>
        <w:t xml:space="preserve"> </w:t>
      </w:r>
      <w:r w:rsidR="007B695E">
        <w:rPr>
          <w:rFonts w:asciiTheme="majorBidi" w:hAnsiTheme="majorBidi" w:cstheme="majorBidi"/>
        </w:rPr>
        <w:t xml:space="preserve">Nevertheless, </w:t>
      </w:r>
      <w:r w:rsidR="0016542A" w:rsidRPr="001E24FD">
        <w:rPr>
          <w:rFonts w:asciiTheme="majorBidi" w:hAnsiTheme="majorBidi" w:cstheme="majorBidi"/>
        </w:rPr>
        <w:t xml:space="preserve">the fact that the </w:t>
      </w:r>
      <w:proofErr w:type="spellStart"/>
      <w:r w:rsidR="0016542A" w:rsidRPr="001E24FD">
        <w:rPr>
          <w:rFonts w:asciiTheme="majorBidi" w:hAnsiTheme="majorBidi" w:cstheme="majorBidi"/>
          <w:i/>
          <w:iCs/>
        </w:rPr>
        <w:t>Minhāj</w:t>
      </w:r>
      <w:proofErr w:type="spellEnd"/>
      <w:r w:rsidR="0016542A" w:rsidRPr="001E24FD">
        <w:rPr>
          <w:rFonts w:asciiTheme="majorBidi" w:hAnsiTheme="majorBidi" w:cstheme="majorBidi"/>
        </w:rPr>
        <w:t xml:space="preserve"> takes its cue from </w:t>
      </w:r>
      <w:r w:rsidR="007B695E">
        <w:rPr>
          <w:rFonts w:asciiTheme="majorBidi" w:hAnsiTheme="majorBidi" w:cstheme="majorBidi"/>
        </w:rPr>
        <w:t xml:space="preserve">the </w:t>
      </w:r>
      <w:proofErr w:type="spellStart"/>
      <w:r w:rsidR="007B695E">
        <w:rPr>
          <w:rFonts w:asciiTheme="majorBidi" w:hAnsiTheme="majorBidi" w:cstheme="majorBidi"/>
          <w:i/>
          <w:iCs/>
        </w:rPr>
        <w:t>Iḥyāʾ</w:t>
      </w:r>
      <w:proofErr w:type="spellEnd"/>
      <w:r w:rsidR="0016542A" w:rsidRPr="001E24FD">
        <w:rPr>
          <w:rFonts w:asciiTheme="majorBidi" w:hAnsiTheme="majorBidi" w:cstheme="majorBidi"/>
        </w:rPr>
        <w:t xml:space="preserve"> means that </w:t>
      </w:r>
      <w:r w:rsidR="007B695E">
        <w:rPr>
          <w:rFonts w:asciiTheme="majorBidi" w:hAnsiTheme="majorBidi" w:cstheme="majorBidi"/>
        </w:rPr>
        <w:t>Ibn al-</w:t>
      </w:r>
      <w:proofErr w:type="spellStart"/>
      <w:r w:rsidR="007B695E">
        <w:rPr>
          <w:rFonts w:asciiTheme="majorBidi" w:hAnsiTheme="majorBidi" w:cstheme="majorBidi"/>
        </w:rPr>
        <w:t>Jawzī</w:t>
      </w:r>
      <w:proofErr w:type="spellEnd"/>
      <w:r w:rsidR="0016542A" w:rsidRPr="001E24FD">
        <w:rPr>
          <w:rFonts w:asciiTheme="majorBidi" w:hAnsiTheme="majorBidi" w:cstheme="majorBidi"/>
        </w:rPr>
        <w:t xml:space="preserve"> has to adhere to the contours set by </w:t>
      </w:r>
      <w:r w:rsidR="007B695E">
        <w:rPr>
          <w:rFonts w:asciiTheme="majorBidi" w:hAnsiTheme="majorBidi" w:cstheme="majorBidi"/>
        </w:rPr>
        <w:t>al-</w:t>
      </w:r>
      <w:proofErr w:type="spellStart"/>
      <w:r w:rsidR="0016542A" w:rsidRPr="001E24FD">
        <w:rPr>
          <w:rFonts w:asciiTheme="majorBidi" w:hAnsiTheme="majorBidi" w:cstheme="majorBidi"/>
        </w:rPr>
        <w:t>Ghazālī</w:t>
      </w:r>
      <w:proofErr w:type="spellEnd"/>
      <w:r w:rsidR="007B695E">
        <w:rPr>
          <w:rFonts w:asciiTheme="majorBidi" w:hAnsiTheme="majorBidi" w:cstheme="majorBidi"/>
        </w:rPr>
        <w:t xml:space="preserve"> </w:t>
      </w:r>
      <w:r w:rsidR="0016542A" w:rsidRPr="001E24FD">
        <w:rPr>
          <w:rFonts w:asciiTheme="majorBidi" w:hAnsiTheme="majorBidi" w:cstheme="majorBidi"/>
        </w:rPr>
        <w:t xml:space="preserve">and is therefore left with little </w:t>
      </w:r>
      <w:r w:rsidR="007B695E">
        <w:rPr>
          <w:rFonts w:asciiTheme="majorBidi" w:hAnsiTheme="majorBidi" w:cstheme="majorBidi"/>
        </w:rPr>
        <w:t>room</w:t>
      </w:r>
      <w:r w:rsidR="0016542A" w:rsidRPr="001E24FD">
        <w:rPr>
          <w:rFonts w:asciiTheme="majorBidi" w:hAnsiTheme="majorBidi" w:cstheme="majorBidi"/>
        </w:rPr>
        <w:t xml:space="preserve"> to expound his views.</w:t>
      </w:r>
      <w:r w:rsidR="007B695E">
        <w:rPr>
          <w:rFonts w:asciiTheme="majorBidi" w:hAnsiTheme="majorBidi" w:cstheme="majorBidi"/>
        </w:rPr>
        <w:t xml:space="preserve"> To fully grasp his stance </w:t>
      </w:r>
      <w:r w:rsidR="000B2825">
        <w:rPr>
          <w:rFonts w:asciiTheme="majorBidi" w:hAnsiTheme="majorBidi" w:cstheme="majorBidi"/>
        </w:rPr>
        <w:t>on</w:t>
      </w:r>
      <w:r w:rsidR="00CF1123">
        <w:rPr>
          <w:rFonts w:asciiTheme="majorBidi" w:hAnsiTheme="majorBidi" w:cstheme="majorBidi"/>
        </w:rPr>
        <w:t xml:space="preserve"> ruler-scholar relations, we have to look </w:t>
      </w:r>
      <w:r w:rsidR="00847094">
        <w:rPr>
          <w:rFonts w:asciiTheme="majorBidi" w:hAnsiTheme="majorBidi" w:cstheme="majorBidi"/>
        </w:rPr>
        <w:t>elsewhere.</w:t>
      </w:r>
    </w:p>
    <w:p w14:paraId="0487D919" w14:textId="42C5331F" w:rsidR="00CF1123" w:rsidRDefault="00CF1123" w:rsidP="0037533B">
      <w:pPr>
        <w:spacing w:line="360" w:lineRule="auto"/>
        <w:rPr>
          <w:rFonts w:asciiTheme="majorBidi" w:hAnsiTheme="majorBidi" w:cstheme="majorBidi"/>
        </w:rPr>
      </w:pPr>
      <w:r>
        <w:rPr>
          <w:rFonts w:asciiTheme="majorBidi" w:hAnsiTheme="majorBidi" w:cstheme="majorBidi"/>
        </w:rPr>
        <w:lastRenderedPageBreak/>
        <w:tab/>
      </w:r>
      <w:r w:rsidR="00847094">
        <w:rPr>
          <w:rFonts w:asciiTheme="majorBidi" w:hAnsiTheme="majorBidi" w:cstheme="majorBidi"/>
        </w:rPr>
        <w:t>Ibn al-</w:t>
      </w:r>
      <w:proofErr w:type="spellStart"/>
      <w:r w:rsidR="00847094">
        <w:rPr>
          <w:rFonts w:asciiTheme="majorBidi" w:hAnsiTheme="majorBidi" w:cstheme="majorBidi"/>
        </w:rPr>
        <w:t>Jawzī</w:t>
      </w:r>
      <w:proofErr w:type="spellEnd"/>
      <w:r w:rsidR="00847094">
        <w:rPr>
          <w:rFonts w:asciiTheme="majorBidi" w:hAnsiTheme="majorBidi" w:cstheme="majorBidi"/>
        </w:rPr>
        <w:t xml:space="preserve"> squarely confronts the </w:t>
      </w:r>
      <w:r w:rsidR="00847094" w:rsidRPr="001E24FD">
        <w:rPr>
          <w:rFonts w:asciiTheme="majorBidi" w:hAnsiTheme="majorBidi" w:cstheme="majorBidi"/>
        </w:rPr>
        <w:t>tension between scholars and rulers in a</w:t>
      </w:r>
      <w:r w:rsidR="00847094">
        <w:rPr>
          <w:rFonts w:asciiTheme="majorBidi" w:hAnsiTheme="majorBidi" w:cstheme="majorBidi"/>
        </w:rPr>
        <w:t xml:space="preserve"> </w:t>
      </w:r>
      <w:r w:rsidR="00847094" w:rsidRPr="001E24FD">
        <w:rPr>
          <w:rFonts w:asciiTheme="majorBidi" w:hAnsiTheme="majorBidi" w:cstheme="majorBidi"/>
        </w:rPr>
        <w:t xml:space="preserve">treatise aptly titled </w:t>
      </w:r>
      <w:proofErr w:type="spellStart"/>
      <w:r w:rsidR="00847094" w:rsidRPr="001E24FD">
        <w:rPr>
          <w:rFonts w:asciiTheme="majorBidi" w:hAnsiTheme="majorBidi" w:cstheme="majorBidi"/>
          <w:i/>
          <w:iCs/>
        </w:rPr>
        <w:t>ʿAṭf</w:t>
      </w:r>
      <w:proofErr w:type="spellEnd"/>
      <w:r w:rsidR="00847094" w:rsidRPr="001E24FD">
        <w:rPr>
          <w:rFonts w:asciiTheme="majorBidi" w:hAnsiTheme="majorBidi" w:cstheme="majorBidi"/>
          <w:i/>
          <w:iCs/>
        </w:rPr>
        <w:t xml:space="preserve"> al-</w:t>
      </w:r>
      <w:proofErr w:type="spellStart"/>
      <w:r w:rsidR="00847094" w:rsidRPr="001E24FD">
        <w:rPr>
          <w:rFonts w:asciiTheme="majorBidi" w:hAnsiTheme="majorBidi" w:cstheme="majorBidi"/>
          <w:i/>
          <w:iCs/>
        </w:rPr>
        <w:t>ʿulamāʾ</w:t>
      </w:r>
      <w:proofErr w:type="spellEnd"/>
      <w:r w:rsidR="00847094" w:rsidRPr="001E24FD">
        <w:rPr>
          <w:rFonts w:asciiTheme="majorBidi" w:hAnsiTheme="majorBidi" w:cstheme="majorBidi"/>
          <w:i/>
          <w:iCs/>
        </w:rPr>
        <w:t xml:space="preserve"> </w:t>
      </w:r>
      <w:proofErr w:type="spellStart"/>
      <w:r w:rsidR="00847094" w:rsidRPr="001E24FD">
        <w:rPr>
          <w:rFonts w:asciiTheme="majorBidi" w:hAnsiTheme="majorBidi" w:cstheme="majorBidi"/>
          <w:i/>
          <w:iCs/>
        </w:rPr>
        <w:t>ʿalā</w:t>
      </w:r>
      <w:proofErr w:type="spellEnd"/>
      <w:r w:rsidR="00847094">
        <w:rPr>
          <w:rFonts w:asciiTheme="majorBidi" w:hAnsiTheme="majorBidi" w:cstheme="majorBidi"/>
          <w:i/>
          <w:iCs/>
        </w:rPr>
        <w:t xml:space="preserve"> a</w:t>
      </w:r>
      <w:r w:rsidR="00847094" w:rsidRPr="001E24FD">
        <w:rPr>
          <w:rFonts w:asciiTheme="majorBidi" w:hAnsiTheme="majorBidi" w:cstheme="majorBidi"/>
          <w:i/>
          <w:iCs/>
        </w:rPr>
        <w:t>l-</w:t>
      </w:r>
      <w:proofErr w:type="spellStart"/>
      <w:r w:rsidR="00847094" w:rsidRPr="001E24FD">
        <w:rPr>
          <w:rFonts w:asciiTheme="majorBidi" w:hAnsiTheme="majorBidi" w:cstheme="majorBidi"/>
          <w:i/>
          <w:iCs/>
        </w:rPr>
        <w:t>umarāʾ</w:t>
      </w:r>
      <w:proofErr w:type="spellEnd"/>
      <w:r w:rsidR="00847094" w:rsidRPr="001E24FD">
        <w:rPr>
          <w:rFonts w:asciiTheme="majorBidi" w:hAnsiTheme="majorBidi" w:cstheme="majorBidi"/>
          <w:i/>
          <w:iCs/>
        </w:rPr>
        <w:t xml:space="preserve"> </w:t>
      </w:r>
      <w:proofErr w:type="spellStart"/>
      <w:r w:rsidR="00847094" w:rsidRPr="001E24FD">
        <w:rPr>
          <w:rFonts w:asciiTheme="majorBidi" w:hAnsiTheme="majorBidi" w:cstheme="majorBidi"/>
          <w:i/>
          <w:iCs/>
        </w:rPr>
        <w:t>wa</w:t>
      </w:r>
      <w:proofErr w:type="spellEnd"/>
      <w:r w:rsidR="00847094">
        <w:rPr>
          <w:rFonts w:asciiTheme="majorBidi" w:hAnsiTheme="majorBidi" w:cstheme="majorBidi"/>
          <w:i/>
          <w:iCs/>
        </w:rPr>
        <w:t>-</w:t>
      </w:r>
      <w:r w:rsidR="00847094" w:rsidRPr="001E24FD">
        <w:rPr>
          <w:rFonts w:asciiTheme="majorBidi" w:hAnsiTheme="majorBidi" w:cstheme="majorBidi"/>
          <w:i/>
          <w:iCs/>
        </w:rPr>
        <w:t>l-</w:t>
      </w:r>
      <w:proofErr w:type="spellStart"/>
      <w:r w:rsidR="00847094" w:rsidRPr="001E24FD">
        <w:rPr>
          <w:rFonts w:asciiTheme="majorBidi" w:hAnsiTheme="majorBidi" w:cstheme="majorBidi"/>
          <w:i/>
          <w:iCs/>
        </w:rPr>
        <w:t>umarāʾ</w:t>
      </w:r>
      <w:proofErr w:type="spellEnd"/>
      <w:r w:rsidR="00847094" w:rsidRPr="001E24FD">
        <w:rPr>
          <w:rFonts w:asciiTheme="majorBidi" w:hAnsiTheme="majorBidi" w:cstheme="majorBidi"/>
          <w:i/>
          <w:iCs/>
        </w:rPr>
        <w:t xml:space="preserve"> </w:t>
      </w:r>
      <w:proofErr w:type="spellStart"/>
      <w:r w:rsidR="00847094" w:rsidRPr="001E24FD">
        <w:rPr>
          <w:rFonts w:asciiTheme="majorBidi" w:hAnsiTheme="majorBidi" w:cstheme="majorBidi"/>
          <w:i/>
          <w:iCs/>
        </w:rPr>
        <w:t>ʿalā</w:t>
      </w:r>
      <w:proofErr w:type="spellEnd"/>
      <w:r w:rsidR="00847094">
        <w:rPr>
          <w:rFonts w:asciiTheme="majorBidi" w:hAnsiTheme="majorBidi" w:cstheme="majorBidi"/>
          <w:i/>
          <w:iCs/>
        </w:rPr>
        <w:t xml:space="preserve"> a</w:t>
      </w:r>
      <w:r w:rsidR="00847094" w:rsidRPr="001E24FD">
        <w:rPr>
          <w:rFonts w:asciiTheme="majorBidi" w:hAnsiTheme="majorBidi" w:cstheme="majorBidi"/>
          <w:i/>
          <w:iCs/>
        </w:rPr>
        <w:t>l-</w:t>
      </w:r>
      <w:proofErr w:type="spellStart"/>
      <w:r w:rsidR="00847094" w:rsidRPr="001E24FD">
        <w:rPr>
          <w:rFonts w:asciiTheme="majorBidi" w:hAnsiTheme="majorBidi" w:cstheme="majorBidi"/>
          <w:i/>
          <w:iCs/>
        </w:rPr>
        <w:t>ʿulamāʾ</w:t>
      </w:r>
      <w:proofErr w:type="spellEnd"/>
      <w:r w:rsidR="00847094" w:rsidRPr="001E24FD">
        <w:rPr>
          <w:rFonts w:asciiTheme="majorBidi" w:hAnsiTheme="majorBidi" w:cstheme="majorBidi"/>
        </w:rPr>
        <w:t xml:space="preserve"> (</w:t>
      </w:r>
      <w:r w:rsidR="00847094" w:rsidRPr="001E24FD">
        <w:rPr>
          <w:rFonts w:asciiTheme="majorBidi" w:hAnsiTheme="majorBidi" w:cstheme="majorBidi"/>
          <w:i/>
          <w:iCs/>
        </w:rPr>
        <w:t>The Inclination of the Religious Scholars Toward the Rulers and of the Rulers Toward the Scholars</w:t>
      </w:r>
      <w:r w:rsidR="00847094">
        <w:rPr>
          <w:rFonts w:asciiTheme="majorBidi" w:hAnsiTheme="majorBidi" w:cstheme="majorBidi"/>
        </w:rPr>
        <w:t xml:space="preserve">). The </w:t>
      </w:r>
      <w:proofErr w:type="spellStart"/>
      <w:r w:rsidR="00847094">
        <w:rPr>
          <w:rFonts w:asciiTheme="majorBidi" w:hAnsiTheme="majorBidi" w:cstheme="majorBidi"/>
          <w:i/>
          <w:iCs/>
        </w:rPr>
        <w:t>ʿAṭf</w:t>
      </w:r>
      <w:proofErr w:type="spellEnd"/>
      <w:r w:rsidR="00847094">
        <w:rPr>
          <w:rFonts w:asciiTheme="majorBidi" w:hAnsiTheme="majorBidi" w:cstheme="majorBidi"/>
        </w:rPr>
        <w:t xml:space="preserve"> belongs to a genre of works devoted solely to the subject of ruler-scholar relations</w:t>
      </w:r>
      <w:r w:rsidR="00F87C2C">
        <w:rPr>
          <w:rFonts w:asciiTheme="majorBidi" w:hAnsiTheme="majorBidi" w:cstheme="majorBidi"/>
        </w:rPr>
        <w:t>,</w:t>
      </w:r>
      <w:r w:rsidR="00847094">
        <w:rPr>
          <w:rStyle w:val="FootnoteReference"/>
          <w:rFonts w:asciiTheme="majorBidi" w:hAnsiTheme="majorBidi" w:cstheme="majorBidi"/>
        </w:rPr>
        <w:footnoteReference w:id="72"/>
      </w:r>
      <w:r w:rsidR="00D36A28">
        <w:rPr>
          <w:rFonts w:asciiTheme="majorBidi" w:hAnsiTheme="majorBidi" w:cstheme="majorBidi"/>
        </w:rPr>
        <w:t xml:space="preserve"> </w:t>
      </w:r>
      <w:r w:rsidR="00F87C2C">
        <w:rPr>
          <w:rFonts w:asciiTheme="majorBidi" w:hAnsiTheme="majorBidi" w:cstheme="majorBidi"/>
        </w:rPr>
        <w:t>and</w:t>
      </w:r>
      <w:r w:rsidR="00D36A28">
        <w:rPr>
          <w:rFonts w:asciiTheme="majorBidi" w:hAnsiTheme="majorBidi" w:cstheme="majorBidi"/>
        </w:rPr>
        <w:t xml:space="preserve"> was likely written during the height of </w:t>
      </w:r>
      <w:r w:rsidR="00065362">
        <w:rPr>
          <w:rFonts w:asciiTheme="majorBidi" w:hAnsiTheme="majorBidi" w:cstheme="majorBidi"/>
        </w:rPr>
        <w:t>Ibn al-</w:t>
      </w:r>
      <w:proofErr w:type="spellStart"/>
      <w:r w:rsidR="00065362">
        <w:rPr>
          <w:rFonts w:asciiTheme="majorBidi" w:hAnsiTheme="majorBidi" w:cstheme="majorBidi"/>
        </w:rPr>
        <w:t>Jawzī’s</w:t>
      </w:r>
      <w:proofErr w:type="spellEnd"/>
      <w:r w:rsidR="00065362">
        <w:rPr>
          <w:rFonts w:asciiTheme="majorBidi" w:hAnsiTheme="majorBidi" w:cstheme="majorBidi"/>
        </w:rPr>
        <w:t xml:space="preserve"> preaching career during the </w:t>
      </w:r>
      <w:r w:rsidR="009B6249">
        <w:rPr>
          <w:rFonts w:asciiTheme="majorBidi" w:hAnsiTheme="majorBidi" w:cstheme="majorBidi"/>
        </w:rPr>
        <w:t>caliphate of al-</w:t>
      </w:r>
      <w:proofErr w:type="spellStart"/>
      <w:r w:rsidR="009B6249">
        <w:rPr>
          <w:rFonts w:asciiTheme="majorBidi" w:hAnsiTheme="majorBidi" w:cstheme="majorBidi"/>
        </w:rPr>
        <w:t>Mustaḍīʾ</w:t>
      </w:r>
      <w:proofErr w:type="spellEnd"/>
      <w:r w:rsidR="009B6249">
        <w:rPr>
          <w:rFonts w:asciiTheme="majorBidi" w:hAnsiTheme="majorBidi" w:cstheme="majorBidi"/>
        </w:rPr>
        <w:t>.</w:t>
      </w:r>
      <w:r w:rsidR="009B6249">
        <w:rPr>
          <w:rStyle w:val="FootnoteReference"/>
          <w:rFonts w:asciiTheme="majorBidi" w:hAnsiTheme="majorBidi" w:cstheme="majorBidi"/>
        </w:rPr>
        <w:footnoteReference w:id="73"/>
      </w:r>
      <w:r w:rsidR="00953D3E">
        <w:rPr>
          <w:rFonts w:asciiTheme="majorBidi" w:hAnsiTheme="majorBidi" w:cstheme="majorBidi"/>
        </w:rPr>
        <w:t xml:space="preserve"> Based on its contents, </w:t>
      </w:r>
      <w:r w:rsidR="000343E3">
        <w:rPr>
          <w:rFonts w:asciiTheme="majorBidi" w:hAnsiTheme="majorBidi" w:cstheme="majorBidi"/>
        </w:rPr>
        <w:t xml:space="preserve">one can surmise that </w:t>
      </w:r>
      <w:r w:rsidR="00FD4807">
        <w:rPr>
          <w:rFonts w:asciiTheme="majorBidi" w:hAnsiTheme="majorBidi" w:cstheme="majorBidi"/>
        </w:rPr>
        <w:t>Ibn al-</w:t>
      </w:r>
      <w:proofErr w:type="spellStart"/>
      <w:r w:rsidR="00FD4807">
        <w:rPr>
          <w:rFonts w:asciiTheme="majorBidi" w:hAnsiTheme="majorBidi" w:cstheme="majorBidi"/>
        </w:rPr>
        <w:t>Jawzī</w:t>
      </w:r>
      <w:proofErr w:type="spellEnd"/>
      <w:r w:rsidR="00FD4807">
        <w:rPr>
          <w:rFonts w:asciiTheme="majorBidi" w:hAnsiTheme="majorBidi" w:cstheme="majorBidi"/>
        </w:rPr>
        <w:t xml:space="preserve"> wrote the </w:t>
      </w:r>
      <w:proofErr w:type="spellStart"/>
      <w:r w:rsidR="00FD4807">
        <w:rPr>
          <w:rFonts w:asciiTheme="majorBidi" w:hAnsiTheme="majorBidi" w:cstheme="majorBidi"/>
          <w:i/>
          <w:iCs/>
        </w:rPr>
        <w:t>ʿAṭf</w:t>
      </w:r>
      <w:proofErr w:type="spellEnd"/>
      <w:r w:rsidR="00FD4807">
        <w:rPr>
          <w:rFonts w:asciiTheme="majorBidi" w:hAnsiTheme="majorBidi" w:cstheme="majorBidi"/>
        </w:rPr>
        <w:t xml:space="preserve"> with two purposes in mind: </w:t>
      </w:r>
      <w:r w:rsidR="00FD4807" w:rsidRPr="001E24FD">
        <w:rPr>
          <w:rFonts w:asciiTheme="majorBidi" w:hAnsiTheme="majorBidi" w:cstheme="majorBidi"/>
        </w:rPr>
        <w:t xml:space="preserve">(1) to defend the practice of scholars </w:t>
      </w:r>
      <w:r w:rsidR="00FD4807">
        <w:rPr>
          <w:rFonts w:asciiTheme="majorBidi" w:hAnsiTheme="majorBidi" w:cstheme="majorBidi"/>
        </w:rPr>
        <w:t>associating with</w:t>
      </w:r>
      <w:r w:rsidR="00FD4807" w:rsidRPr="001E24FD">
        <w:rPr>
          <w:rFonts w:asciiTheme="majorBidi" w:hAnsiTheme="majorBidi" w:cstheme="majorBidi"/>
        </w:rPr>
        <w:t xml:space="preserve"> rulers and (2) to serve as a guide for scholars who intend to admonish rulers.</w:t>
      </w:r>
      <w:r w:rsidR="00DD233D">
        <w:rPr>
          <w:rFonts w:asciiTheme="majorBidi" w:hAnsiTheme="majorBidi" w:cstheme="majorBidi"/>
        </w:rPr>
        <w:t xml:space="preserve"> I will discuss the first purpose in the remaining parts of this chapter and return to the second in the next chapter.</w:t>
      </w:r>
    </w:p>
    <w:p w14:paraId="5834D6B5" w14:textId="6CEE9636" w:rsidR="00A55608" w:rsidRDefault="00DD233D" w:rsidP="0037533B">
      <w:pPr>
        <w:spacing w:line="360" w:lineRule="auto"/>
        <w:ind w:firstLine="720"/>
        <w:rPr>
          <w:rFonts w:asciiTheme="majorBidi" w:hAnsiTheme="majorBidi" w:cstheme="majorBidi"/>
        </w:rPr>
      </w:pPr>
      <w:r>
        <w:rPr>
          <w:rFonts w:asciiTheme="majorBidi" w:hAnsiTheme="majorBidi" w:cstheme="majorBidi"/>
        </w:rPr>
        <w:t>Ibn al-</w:t>
      </w:r>
      <w:proofErr w:type="spellStart"/>
      <w:r>
        <w:rPr>
          <w:rFonts w:asciiTheme="majorBidi" w:hAnsiTheme="majorBidi" w:cstheme="majorBidi"/>
        </w:rPr>
        <w:t>Jawzī</w:t>
      </w:r>
      <w:proofErr w:type="spellEnd"/>
      <w:r>
        <w:rPr>
          <w:rFonts w:asciiTheme="majorBidi" w:hAnsiTheme="majorBidi" w:cstheme="majorBidi"/>
        </w:rPr>
        <w:t xml:space="preserve"> begins the </w:t>
      </w:r>
      <w:proofErr w:type="spellStart"/>
      <w:r w:rsidR="007B5005">
        <w:rPr>
          <w:rFonts w:asciiTheme="majorBidi" w:hAnsiTheme="majorBidi" w:cstheme="majorBidi"/>
          <w:i/>
          <w:iCs/>
        </w:rPr>
        <w:t>ʿAṭf</w:t>
      </w:r>
      <w:proofErr w:type="spellEnd"/>
      <w:r>
        <w:rPr>
          <w:rFonts w:asciiTheme="majorBidi" w:hAnsiTheme="majorBidi" w:cstheme="majorBidi"/>
        </w:rPr>
        <w:t xml:space="preserve"> </w:t>
      </w:r>
      <w:r w:rsidR="00E829BD">
        <w:rPr>
          <w:rFonts w:asciiTheme="majorBidi" w:hAnsiTheme="majorBidi" w:cstheme="majorBidi"/>
        </w:rPr>
        <w:t xml:space="preserve">by stating the main problem at hand underlying ruler-scholar relations </w:t>
      </w:r>
      <w:r w:rsidR="008053FA">
        <w:rPr>
          <w:rFonts w:asciiTheme="majorBidi" w:hAnsiTheme="majorBidi" w:cstheme="majorBidi"/>
        </w:rPr>
        <w:t>during his time</w:t>
      </w:r>
      <w:r w:rsidR="007B5005">
        <w:rPr>
          <w:rFonts w:asciiTheme="majorBidi" w:hAnsiTheme="majorBidi" w:cstheme="majorBidi"/>
        </w:rPr>
        <w:t xml:space="preserve">, starting with </w:t>
      </w:r>
      <w:r w:rsidR="00EA4F9B">
        <w:rPr>
          <w:rFonts w:asciiTheme="majorBidi" w:hAnsiTheme="majorBidi" w:cstheme="majorBidi"/>
        </w:rPr>
        <w:t>a sketch</w:t>
      </w:r>
      <w:r w:rsidR="007B5005">
        <w:rPr>
          <w:rFonts w:asciiTheme="majorBidi" w:hAnsiTheme="majorBidi" w:cstheme="majorBidi"/>
        </w:rPr>
        <w:t xml:space="preserve"> of the primordial order of the world. </w:t>
      </w:r>
      <w:r w:rsidR="00032AAD">
        <w:rPr>
          <w:rFonts w:asciiTheme="majorBidi" w:hAnsiTheme="majorBidi" w:cstheme="majorBidi"/>
        </w:rPr>
        <w:t xml:space="preserve">God, according to the author, has </w:t>
      </w:r>
      <w:r w:rsidR="00A91A9F">
        <w:rPr>
          <w:rFonts w:asciiTheme="majorBidi" w:hAnsiTheme="majorBidi" w:cstheme="majorBidi"/>
        </w:rPr>
        <w:t>divided the leaders</w:t>
      </w:r>
      <w:r w:rsidR="00A91A9F">
        <w:rPr>
          <w:rFonts w:asciiTheme="majorBidi" w:hAnsiTheme="majorBidi" w:cstheme="majorBidi"/>
          <w:i/>
          <w:iCs/>
        </w:rPr>
        <w:t xml:space="preserve"> </w:t>
      </w:r>
      <w:r w:rsidR="00A91A9F">
        <w:rPr>
          <w:rFonts w:asciiTheme="majorBidi" w:hAnsiTheme="majorBidi" w:cstheme="majorBidi"/>
        </w:rPr>
        <w:t>of humankind into two groups</w:t>
      </w:r>
      <w:r w:rsidR="00AF13CD">
        <w:rPr>
          <w:rFonts w:asciiTheme="majorBidi" w:hAnsiTheme="majorBidi" w:cstheme="majorBidi"/>
        </w:rPr>
        <w:t xml:space="preserve">: </w:t>
      </w:r>
      <w:r w:rsidR="00AF13CD" w:rsidRPr="001E24FD">
        <w:rPr>
          <w:rFonts w:asciiTheme="majorBidi" w:hAnsiTheme="majorBidi" w:cstheme="majorBidi"/>
        </w:rPr>
        <w:t>the religious scholars (</w:t>
      </w:r>
      <w:r w:rsidR="00AF13CD">
        <w:rPr>
          <w:rFonts w:asciiTheme="majorBidi" w:hAnsiTheme="majorBidi" w:cstheme="majorBidi"/>
          <w:i/>
          <w:iCs/>
        </w:rPr>
        <w:t>al-</w:t>
      </w:r>
      <w:proofErr w:type="spellStart"/>
      <w:r w:rsidR="00AF13CD" w:rsidRPr="001E24FD">
        <w:rPr>
          <w:rFonts w:asciiTheme="majorBidi" w:hAnsiTheme="majorBidi" w:cstheme="majorBidi"/>
          <w:i/>
          <w:iCs/>
        </w:rPr>
        <w:t>ʿulamāʾ</w:t>
      </w:r>
      <w:proofErr w:type="spellEnd"/>
      <w:r w:rsidR="00AF13CD" w:rsidRPr="001E24FD">
        <w:rPr>
          <w:rFonts w:asciiTheme="majorBidi" w:hAnsiTheme="majorBidi" w:cstheme="majorBidi"/>
        </w:rPr>
        <w:t>), who issue legal opinions (</w:t>
      </w:r>
      <w:proofErr w:type="spellStart"/>
      <w:r w:rsidR="00AF13CD" w:rsidRPr="001E24FD">
        <w:rPr>
          <w:rFonts w:asciiTheme="majorBidi" w:hAnsiTheme="majorBidi" w:cstheme="majorBidi"/>
          <w:i/>
          <w:iCs/>
        </w:rPr>
        <w:t>fatāwā</w:t>
      </w:r>
      <w:proofErr w:type="spellEnd"/>
      <w:r w:rsidR="00AF13CD" w:rsidRPr="001E24FD">
        <w:rPr>
          <w:rFonts w:asciiTheme="majorBidi" w:hAnsiTheme="majorBidi" w:cstheme="majorBidi"/>
        </w:rPr>
        <w:t>)</w:t>
      </w:r>
      <w:r w:rsidR="00AF13CD" w:rsidRPr="001E24FD">
        <w:rPr>
          <w:rFonts w:asciiTheme="majorBidi" w:hAnsiTheme="majorBidi" w:cstheme="majorBidi"/>
          <w:i/>
          <w:iCs/>
        </w:rPr>
        <w:t xml:space="preserve"> </w:t>
      </w:r>
      <w:r w:rsidR="00AF13CD" w:rsidRPr="001E24FD">
        <w:rPr>
          <w:rFonts w:asciiTheme="majorBidi" w:hAnsiTheme="majorBidi" w:cstheme="majorBidi"/>
        </w:rPr>
        <w:t>to prevent humans from committing injustice to each other, and the rulers (</w:t>
      </w:r>
      <w:r w:rsidR="00AF13CD">
        <w:rPr>
          <w:rFonts w:asciiTheme="majorBidi" w:hAnsiTheme="majorBidi" w:cstheme="majorBidi"/>
          <w:i/>
          <w:iCs/>
        </w:rPr>
        <w:t>al-</w:t>
      </w:r>
      <w:proofErr w:type="spellStart"/>
      <w:r w:rsidR="00AF13CD" w:rsidRPr="001E24FD">
        <w:rPr>
          <w:rFonts w:asciiTheme="majorBidi" w:hAnsiTheme="majorBidi" w:cstheme="majorBidi"/>
          <w:i/>
          <w:iCs/>
        </w:rPr>
        <w:t>umarāʾ</w:t>
      </w:r>
      <w:proofErr w:type="spellEnd"/>
      <w:r w:rsidR="00AF13CD" w:rsidRPr="001E24FD">
        <w:rPr>
          <w:rFonts w:asciiTheme="majorBidi" w:hAnsiTheme="majorBidi" w:cstheme="majorBidi"/>
        </w:rPr>
        <w:t>), who are responsible for restraining those who cannot be set aright except by the sword</w:t>
      </w:r>
      <w:r w:rsidR="00AF13CD">
        <w:rPr>
          <w:rFonts w:asciiTheme="majorBidi" w:hAnsiTheme="majorBidi" w:cstheme="majorBidi"/>
        </w:rPr>
        <w:t>.</w:t>
      </w:r>
      <w:r w:rsidR="00A32666">
        <w:rPr>
          <w:rFonts w:asciiTheme="majorBidi" w:hAnsiTheme="majorBidi" w:cstheme="majorBidi"/>
        </w:rPr>
        <w:t xml:space="preserve"> </w:t>
      </w:r>
      <w:r w:rsidR="00A32666" w:rsidRPr="001E24FD">
        <w:rPr>
          <w:rFonts w:asciiTheme="majorBidi" w:hAnsiTheme="majorBidi" w:cstheme="majorBidi"/>
        </w:rPr>
        <w:t xml:space="preserve">Despite this division of labor, both scholars and rulers are similarly tasked </w:t>
      </w:r>
      <w:r w:rsidR="00A32666">
        <w:rPr>
          <w:rFonts w:asciiTheme="majorBidi" w:hAnsiTheme="majorBidi" w:cstheme="majorBidi"/>
        </w:rPr>
        <w:t>“</w:t>
      </w:r>
      <w:r w:rsidR="00A32666" w:rsidRPr="001E24FD">
        <w:rPr>
          <w:rFonts w:asciiTheme="majorBidi" w:hAnsiTheme="majorBidi" w:cstheme="majorBidi"/>
        </w:rPr>
        <w:t>to lead humankind to the most upright of morals and the clearest of paths and to guard them from error.”</w:t>
      </w:r>
      <w:r w:rsidR="00A32666" w:rsidRPr="001E24FD">
        <w:rPr>
          <w:rStyle w:val="FootnoteReference"/>
          <w:rFonts w:asciiTheme="majorBidi" w:hAnsiTheme="majorBidi" w:cstheme="majorBidi"/>
        </w:rPr>
        <w:footnoteReference w:id="74"/>
      </w:r>
      <w:r w:rsidR="00AB3D39">
        <w:rPr>
          <w:rFonts w:asciiTheme="majorBidi" w:hAnsiTheme="majorBidi" w:cstheme="majorBidi"/>
        </w:rPr>
        <w:t xml:space="preserve"> </w:t>
      </w:r>
    </w:p>
    <w:p w14:paraId="543E99BF" w14:textId="3012B19E" w:rsidR="00AB3D39" w:rsidRPr="001E24FD" w:rsidRDefault="00AB3D39" w:rsidP="0037533B">
      <w:pPr>
        <w:spacing w:line="360" w:lineRule="auto"/>
        <w:ind w:firstLine="720"/>
        <w:rPr>
          <w:rFonts w:asciiTheme="majorBidi" w:hAnsiTheme="majorBidi" w:cstheme="majorBidi"/>
        </w:rPr>
      </w:pPr>
      <w:r w:rsidRPr="001E24FD">
        <w:rPr>
          <w:rFonts w:asciiTheme="majorBidi" w:hAnsiTheme="majorBidi" w:cstheme="majorBidi"/>
        </w:rPr>
        <w:t>This noble state of affairs</w:t>
      </w:r>
      <w:r w:rsidR="00242ED9">
        <w:rPr>
          <w:rFonts w:asciiTheme="majorBidi" w:hAnsiTheme="majorBidi" w:cstheme="majorBidi"/>
        </w:rPr>
        <w:t xml:space="preserve"> </w:t>
      </w:r>
      <w:r w:rsidRPr="001E24FD">
        <w:rPr>
          <w:rFonts w:asciiTheme="majorBidi" w:hAnsiTheme="majorBidi" w:cstheme="majorBidi"/>
        </w:rPr>
        <w:t>did not last</w:t>
      </w:r>
      <w:r w:rsidR="00242ED9">
        <w:rPr>
          <w:rFonts w:asciiTheme="majorBidi" w:hAnsiTheme="majorBidi" w:cstheme="majorBidi"/>
        </w:rPr>
        <w:t>, however,</w:t>
      </w:r>
      <w:r>
        <w:rPr>
          <w:rFonts w:asciiTheme="majorBidi" w:hAnsiTheme="majorBidi" w:cstheme="majorBidi"/>
        </w:rPr>
        <w:t xml:space="preserve"> as</w:t>
      </w:r>
      <w:r w:rsidRPr="001E24FD">
        <w:rPr>
          <w:rFonts w:asciiTheme="majorBidi" w:hAnsiTheme="majorBidi" w:cstheme="majorBidi"/>
        </w:rPr>
        <w:t xml:space="preserve"> most scholars in </w:t>
      </w:r>
      <w:r>
        <w:rPr>
          <w:rFonts w:asciiTheme="majorBidi" w:hAnsiTheme="majorBidi" w:cstheme="majorBidi"/>
        </w:rPr>
        <w:t>t</w:t>
      </w:r>
      <w:r w:rsidRPr="001E24FD">
        <w:rPr>
          <w:rFonts w:asciiTheme="majorBidi" w:hAnsiTheme="majorBidi" w:cstheme="majorBidi"/>
        </w:rPr>
        <w:t xml:space="preserve">his day and age </w:t>
      </w:r>
      <w:r w:rsidR="003D4E8F">
        <w:rPr>
          <w:rFonts w:asciiTheme="majorBidi" w:hAnsiTheme="majorBidi" w:cstheme="majorBidi"/>
        </w:rPr>
        <w:t>are</w:t>
      </w:r>
      <w:r w:rsidRPr="001E24FD">
        <w:rPr>
          <w:rFonts w:asciiTheme="majorBidi" w:hAnsiTheme="majorBidi" w:cstheme="majorBidi"/>
        </w:rPr>
        <w:t xml:space="preserve"> </w:t>
      </w:r>
      <w:r>
        <w:rPr>
          <w:rFonts w:asciiTheme="majorBidi" w:hAnsiTheme="majorBidi" w:cstheme="majorBidi"/>
        </w:rPr>
        <w:t>of two kinds</w:t>
      </w:r>
      <w:r w:rsidRPr="001E24FD">
        <w:rPr>
          <w:rFonts w:asciiTheme="majorBidi" w:hAnsiTheme="majorBidi" w:cstheme="majorBidi"/>
        </w:rPr>
        <w:t xml:space="preserve">: the righteous ones who </w:t>
      </w:r>
      <w:r w:rsidR="003D4E8F">
        <w:rPr>
          <w:rFonts w:asciiTheme="majorBidi" w:hAnsiTheme="majorBidi" w:cstheme="majorBidi"/>
        </w:rPr>
        <w:t>are</w:t>
      </w:r>
      <w:r w:rsidRPr="001E24FD">
        <w:rPr>
          <w:rFonts w:asciiTheme="majorBidi" w:hAnsiTheme="majorBidi" w:cstheme="majorBidi"/>
        </w:rPr>
        <w:t xml:space="preserve"> fearful for their faith and maintain their distance from the rulers and the hypocrit</w:t>
      </w:r>
      <w:r>
        <w:rPr>
          <w:rFonts w:asciiTheme="majorBidi" w:hAnsiTheme="majorBidi" w:cstheme="majorBidi"/>
        </w:rPr>
        <w:t>ical ones</w:t>
      </w:r>
      <w:r w:rsidRPr="001E24FD">
        <w:rPr>
          <w:rFonts w:asciiTheme="majorBidi" w:hAnsiTheme="majorBidi" w:cstheme="majorBidi"/>
        </w:rPr>
        <w:t xml:space="preserve"> who associate with rulers </w:t>
      </w:r>
      <w:r w:rsidR="003D4E8F">
        <w:rPr>
          <w:rFonts w:asciiTheme="majorBidi" w:hAnsiTheme="majorBidi" w:cstheme="majorBidi"/>
        </w:rPr>
        <w:t xml:space="preserve">solely </w:t>
      </w:r>
      <w:r w:rsidRPr="001E24FD">
        <w:rPr>
          <w:rFonts w:asciiTheme="majorBidi" w:hAnsiTheme="majorBidi" w:cstheme="majorBidi"/>
        </w:rPr>
        <w:t xml:space="preserve">to gain worldly benefits. As for the rulers, most of them do not pay </w:t>
      </w:r>
      <w:r w:rsidR="003D4E8F">
        <w:rPr>
          <w:rFonts w:asciiTheme="majorBidi" w:hAnsiTheme="majorBidi" w:cstheme="majorBidi"/>
        </w:rPr>
        <w:t xml:space="preserve">any </w:t>
      </w:r>
      <w:r w:rsidRPr="001E24FD">
        <w:rPr>
          <w:rFonts w:asciiTheme="majorBidi" w:hAnsiTheme="majorBidi" w:cstheme="majorBidi"/>
        </w:rPr>
        <w:t xml:space="preserve">attention to scholars and are not </w:t>
      </w:r>
      <w:r w:rsidR="003D4E8F">
        <w:rPr>
          <w:rFonts w:asciiTheme="majorBidi" w:hAnsiTheme="majorBidi" w:cstheme="majorBidi"/>
        </w:rPr>
        <w:t>even aware</w:t>
      </w:r>
      <w:r w:rsidRPr="001E24FD">
        <w:rPr>
          <w:rFonts w:asciiTheme="majorBidi" w:hAnsiTheme="majorBidi" w:cstheme="majorBidi"/>
        </w:rPr>
        <w:t xml:space="preserve"> of </w:t>
      </w:r>
      <w:r w:rsidR="003D4E8F">
        <w:rPr>
          <w:rFonts w:asciiTheme="majorBidi" w:hAnsiTheme="majorBidi" w:cstheme="majorBidi"/>
        </w:rPr>
        <w:t xml:space="preserve">the extent to which </w:t>
      </w:r>
      <w:r w:rsidRPr="001E24FD">
        <w:rPr>
          <w:rFonts w:asciiTheme="majorBidi" w:hAnsiTheme="majorBidi" w:cstheme="majorBidi"/>
        </w:rPr>
        <w:t xml:space="preserve">the </w:t>
      </w:r>
      <w:r w:rsidR="000A6837">
        <w:rPr>
          <w:rFonts w:asciiTheme="majorBidi" w:hAnsiTheme="majorBidi" w:cstheme="majorBidi"/>
        </w:rPr>
        <w:t>scholars</w:t>
      </w:r>
      <w:r w:rsidRPr="001E24FD">
        <w:rPr>
          <w:rFonts w:asciiTheme="majorBidi" w:hAnsiTheme="majorBidi" w:cstheme="majorBidi"/>
        </w:rPr>
        <w:t xml:space="preserve"> </w:t>
      </w:r>
      <w:r w:rsidR="00D54BB5">
        <w:rPr>
          <w:rFonts w:asciiTheme="majorBidi" w:hAnsiTheme="majorBidi" w:cstheme="majorBidi"/>
        </w:rPr>
        <w:t xml:space="preserve">avoid </w:t>
      </w:r>
      <w:r w:rsidRPr="001E24FD">
        <w:rPr>
          <w:rFonts w:asciiTheme="majorBidi" w:hAnsiTheme="majorBidi" w:cstheme="majorBidi"/>
        </w:rPr>
        <w:t xml:space="preserve">them. Worse still, these rulers deem scholars to be no different </w:t>
      </w:r>
      <w:r w:rsidRPr="001E24FD">
        <w:rPr>
          <w:rFonts w:asciiTheme="majorBidi" w:hAnsiTheme="majorBidi" w:cstheme="majorBidi"/>
        </w:rPr>
        <w:lastRenderedPageBreak/>
        <w:t xml:space="preserve">from the </w:t>
      </w:r>
      <w:r w:rsidR="00334B33">
        <w:rPr>
          <w:rFonts w:asciiTheme="majorBidi" w:hAnsiTheme="majorBidi" w:cstheme="majorBidi"/>
        </w:rPr>
        <w:t>laypeople</w:t>
      </w:r>
      <w:r w:rsidRPr="001E24FD">
        <w:rPr>
          <w:rFonts w:asciiTheme="majorBidi" w:hAnsiTheme="majorBidi" w:cstheme="majorBidi"/>
        </w:rPr>
        <w:t xml:space="preserve"> </w:t>
      </w:r>
      <w:r w:rsidR="00334B33">
        <w:rPr>
          <w:rFonts w:asciiTheme="majorBidi" w:hAnsiTheme="majorBidi" w:cstheme="majorBidi"/>
        </w:rPr>
        <w:t xml:space="preserve">in the marketplace </w:t>
      </w:r>
      <w:r w:rsidR="009E1B73">
        <w:rPr>
          <w:rFonts w:asciiTheme="majorBidi" w:hAnsiTheme="majorBidi" w:cstheme="majorBidi"/>
        </w:rPr>
        <w:t xml:space="preserve">and </w:t>
      </w:r>
      <w:r w:rsidR="00260B37">
        <w:rPr>
          <w:rFonts w:asciiTheme="majorBidi" w:hAnsiTheme="majorBidi" w:cstheme="majorBidi"/>
        </w:rPr>
        <w:t>measure</w:t>
      </w:r>
      <w:r w:rsidR="00DA5772">
        <w:rPr>
          <w:rFonts w:asciiTheme="majorBidi" w:hAnsiTheme="majorBidi" w:cstheme="majorBidi"/>
        </w:rPr>
        <w:t xml:space="preserve"> </w:t>
      </w:r>
      <w:r w:rsidR="00260B37">
        <w:rPr>
          <w:rFonts w:asciiTheme="majorBidi" w:hAnsiTheme="majorBidi" w:cstheme="majorBidi"/>
        </w:rPr>
        <w:t xml:space="preserve">the </w:t>
      </w:r>
      <w:r w:rsidR="00F808BD">
        <w:rPr>
          <w:rFonts w:asciiTheme="majorBidi" w:hAnsiTheme="majorBidi" w:cstheme="majorBidi"/>
        </w:rPr>
        <w:t xml:space="preserve">worth of the </w:t>
      </w:r>
      <w:r w:rsidR="00DA5772">
        <w:rPr>
          <w:rFonts w:asciiTheme="majorBidi" w:hAnsiTheme="majorBidi" w:cstheme="majorBidi"/>
        </w:rPr>
        <w:t xml:space="preserve">genuine </w:t>
      </w:r>
      <w:r w:rsidR="00260B37">
        <w:rPr>
          <w:rFonts w:asciiTheme="majorBidi" w:hAnsiTheme="majorBidi" w:cstheme="majorBidi"/>
        </w:rPr>
        <w:t xml:space="preserve">among them </w:t>
      </w:r>
      <w:r w:rsidR="00DA5772">
        <w:rPr>
          <w:rFonts w:asciiTheme="majorBidi" w:hAnsiTheme="majorBidi" w:cstheme="majorBidi"/>
        </w:rPr>
        <w:t xml:space="preserve">with </w:t>
      </w:r>
      <w:r w:rsidR="00F808BD">
        <w:rPr>
          <w:rFonts w:asciiTheme="majorBidi" w:hAnsiTheme="majorBidi" w:cstheme="majorBidi"/>
        </w:rPr>
        <w:t xml:space="preserve">that of </w:t>
      </w:r>
      <w:r w:rsidR="00DA5772">
        <w:rPr>
          <w:rFonts w:asciiTheme="majorBidi" w:hAnsiTheme="majorBidi" w:cstheme="majorBidi"/>
        </w:rPr>
        <w:t xml:space="preserve">the </w:t>
      </w:r>
      <w:r w:rsidR="00260B37">
        <w:rPr>
          <w:rFonts w:asciiTheme="majorBidi" w:hAnsiTheme="majorBidi" w:cstheme="majorBidi"/>
        </w:rPr>
        <w:t>depraved ones</w:t>
      </w:r>
      <w:r w:rsidRPr="001E24FD">
        <w:rPr>
          <w:rFonts w:asciiTheme="majorBidi" w:hAnsiTheme="majorBidi" w:cstheme="majorBidi"/>
        </w:rPr>
        <w:t xml:space="preserve">. Yet rulers are the foremost of people in society who should benefit from </w:t>
      </w:r>
      <w:r w:rsidR="006603A7">
        <w:rPr>
          <w:rFonts w:asciiTheme="majorBidi" w:hAnsiTheme="majorBidi" w:cstheme="majorBidi"/>
        </w:rPr>
        <w:t xml:space="preserve">scholarly </w:t>
      </w:r>
      <w:r w:rsidRPr="001E24FD">
        <w:rPr>
          <w:rFonts w:asciiTheme="majorBidi" w:hAnsiTheme="majorBidi" w:cstheme="majorBidi"/>
        </w:rPr>
        <w:t>knowledge because this benefit (</w:t>
      </w:r>
      <w:proofErr w:type="spellStart"/>
      <w:r w:rsidRPr="001E24FD">
        <w:rPr>
          <w:rFonts w:asciiTheme="majorBidi" w:hAnsiTheme="majorBidi" w:cstheme="majorBidi"/>
          <w:i/>
          <w:iCs/>
        </w:rPr>
        <w:t>nafʿ</w:t>
      </w:r>
      <w:proofErr w:type="spellEnd"/>
      <w:r w:rsidRPr="001E24FD">
        <w:rPr>
          <w:rFonts w:asciiTheme="majorBidi" w:hAnsiTheme="majorBidi" w:cstheme="majorBidi"/>
        </w:rPr>
        <w:t>)</w:t>
      </w:r>
      <w:r w:rsidRPr="001E24FD">
        <w:rPr>
          <w:rFonts w:asciiTheme="majorBidi" w:hAnsiTheme="majorBidi" w:cstheme="majorBidi"/>
          <w:i/>
          <w:iCs/>
        </w:rPr>
        <w:t xml:space="preserve"> </w:t>
      </w:r>
      <w:r w:rsidRPr="001E24FD">
        <w:rPr>
          <w:rFonts w:asciiTheme="majorBidi" w:hAnsiTheme="majorBidi" w:cstheme="majorBidi"/>
        </w:rPr>
        <w:t xml:space="preserve">does not only </w:t>
      </w:r>
      <w:r w:rsidR="006603A7">
        <w:rPr>
          <w:rFonts w:asciiTheme="majorBidi" w:hAnsiTheme="majorBidi" w:cstheme="majorBidi"/>
        </w:rPr>
        <w:t>pertain to</w:t>
      </w:r>
      <w:r w:rsidRPr="001E24FD">
        <w:rPr>
          <w:rFonts w:asciiTheme="majorBidi" w:hAnsiTheme="majorBidi" w:cstheme="majorBidi"/>
        </w:rPr>
        <w:t xml:space="preserve"> the ruler but is also enjoyed by others beyond his immediate circle.</w:t>
      </w:r>
      <w:r w:rsidRPr="001E24FD">
        <w:rPr>
          <w:rStyle w:val="FootnoteReference"/>
          <w:rFonts w:asciiTheme="majorBidi" w:hAnsiTheme="majorBidi" w:cstheme="majorBidi"/>
        </w:rPr>
        <w:footnoteReference w:id="75"/>
      </w:r>
      <w:r w:rsidRPr="001E24FD">
        <w:rPr>
          <w:rFonts w:asciiTheme="majorBidi" w:hAnsiTheme="majorBidi" w:cstheme="majorBidi"/>
        </w:rPr>
        <w:t xml:space="preserve"> Herein lies the main crux of the problem underlying ruler</w:t>
      </w:r>
      <w:r w:rsidR="00334B33">
        <w:rPr>
          <w:rFonts w:asciiTheme="majorBidi" w:hAnsiTheme="majorBidi" w:cstheme="majorBidi"/>
        </w:rPr>
        <w:t>-scholar</w:t>
      </w:r>
      <w:r w:rsidR="00785932">
        <w:rPr>
          <w:rFonts w:asciiTheme="majorBidi" w:hAnsiTheme="majorBidi" w:cstheme="majorBidi"/>
        </w:rPr>
        <w:t xml:space="preserve"> </w:t>
      </w:r>
      <w:r w:rsidRPr="001E24FD">
        <w:rPr>
          <w:rFonts w:asciiTheme="majorBidi" w:hAnsiTheme="majorBidi" w:cstheme="majorBidi"/>
        </w:rPr>
        <w:t>relations</w:t>
      </w:r>
      <w:r w:rsidR="00334B33">
        <w:rPr>
          <w:rFonts w:asciiTheme="majorBidi" w:hAnsiTheme="majorBidi" w:cstheme="majorBidi"/>
        </w:rPr>
        <w:t xml:space="preserve">, remarks </w:t>
      </w:r>
      <w:r w:rsidRPr="001E24FD">
        <w:rPr>
          <w:rFonts w:asciiTheme="majorBidi" w:hAnsiTheme="majorBidi" w:cstheme="majorBidi"/>
        </w:rPr>
        <w:t>Ibn al-</w:t>
      </w:r>
      <w:proofErr w:type="spellStart"/>
      <w:r w:rsidRPr="001E24FD">
        <w:rPr>
          <w:rFonts w:asciiTheme="majorBidi" w:hAnsiTheme="majorBidi" w:cstheme="majorBidi"/>
        </w:rPr>
        <w:t>Jawzī</w:t>
      </w:r>
      <w:proofErr w:type="spellEnd"/>
      <w:r w:rsidRPr="001E24FD">
        <w:rPr>
          <w:rFonts w:asciiTheme="majorBidi" w:hAnsiTheme="majorBidi" w:cstheme="majorBidi"/>
        </w:rPr>
        <w:t>: “If it harms the ruler to be close to [the scholar who only comes to him for worldly benefits] while the righteous scholar keeps away, then who will enjoin him to do good and guide him to proper conduct in accordance with the Sunna and the Book?”</w:t>
      </w:r>
      <w:r w:rsidR="00F808BD">
        <w:rPr>
          <w:rFonts w:asciiTheme="majorBidi" w:hAnsiTheme="majorBidi" w:cstheme="majorBidi"/>
        </w:rPr>
        <w:t xml:space="preserve"> </w:t>
      </w:r>
      <w:r w:rsidRPr="001E24FD">
        <w:rPr>
          <w:rFonts w:asciiTheme="majorBidi" w:hAnsiTheme="majorBidi" w:cstheme="majorBidi"/>
        </w:rPr>
        <w:t xml:space="preserve">The </w:t>
      </w:r>
      <w:proofErr w:type="spellStart"/>
      <w:r w:rsidRPr="001E24FD">
        <w:rPr>
          <w:rFonts w:asciiTheme="majorBidi" w:hAnsiTheme="majorBidi" w:cstheme="majorBidi"/>
          <w:i/>
          <w:iCs/>
        </w:rPr>
        <w:t>ʿAṭf</w:t>
      </w:r>
      <w:proofErr w:type="spellEnd"/>
      <w:r w:rsidRPr="001E24FD">
        <w:rPr>
          <w:rFonts w:asciiTheme="majorBidi" w:hAnsiTheme="majorBidi" w:cstheme="majorBidi"/>
        </w:rPr>
        <w:t xml:space="preserve"> is composed to </w:t>
      </w:r>
      <w:r>
        <w:rPr>
          <w:rFonts w:asciiTheme="majorBidi" w:hAnsiTheme="majorBidi" w:cstheme="majorBidi"/>
        </w:rPr>
        <w:t>resolve</w:t>
      </w:r>
      <w:r w:rsidRPr="001E24FD">
        <w:rPr>
          <w:rFonts w:asciiTheme="majorBidi" w:hAnsiTheme="majorBidi" w:cstheme="majorBidi"/>
        </w:rPr>
        <w:t xml:space="preserve"> th</w:t>
      </w:r>
      <w:r w:rsidR="009E1B73">
        <w:rPr>
          <w:rFonts w:asciiTheme="majorBidi" w:hAnsiTheme="majorBidi" w:cstheme="majorBidi"/>
        </w:rPr>
        <w:t xml:space="preserve">is problem </w:t>
      </w:r>
      <w:r w:rsidR="00B93DD4">
        <w:rPr>
          <w:rFonts w:asciiTheme="majorBidi" w:hAnsiTheme="majorBidi" w:cstheme="majorBidi"/>
        </w:rPr>
        <w:t>by way of</w:t>
      </w:r>
      <w:r w:rsidRPr="001E24FD">
        <w:rPr>
          <w:rFonts w:asciiTheme="majorBidi" w:hAnsiTheme="majorBidi" w:cstheme="majorBidi"/>
        </w:rPr>
        <w:t xml:space="preserve"> a middle-ground </w:t>
      </w:r>
      <w:r w:rsidR="00B93DD4">
        <w:rPr>
          <w:rFonts w:asciiTheme="majorBidi" w:hAnsiTheme="majorBidi" w:cstheme="majorBidi"/>
        </w:rPr>
        <w:t>solution</w:t>
      </w:r>
      <w:r w:rsidRPr="001E24FD">
        <w:rPr>
          <w:rFonts w:asciiTheme="majorBidi" w:hAnsiTheme="majorBidi" w:cstheme="majorBidi"/>
        </w:rPr>
        <w:t>.</w:t>
      </w:r>
      <w:r w:rsidR="00F808BD" w:rsidRPr="001E24FD">
        <w:rPr>
          <w:rStyle w:val="FootnoteReference"/>
          <w:rFonts w:asciiTheme="majorBidi" w:hAnsiTheme="majorBidi" w:cstheme="majorBidi"/>
        </w:rPr>
        <w:footnoteReference w:id="76"/>
      </w:r>
    </w:p>
    <w:p w14:paraId="5996E029" w14:textId="77777777" w:rsidR="00A55608" w:rsidRDefault="00F808BD" w:rsidP="0037533B">
      <w:pPr>
        <w:spacing w:line="360" w:lineRule="auto"/>
        <w:ind w:firstLine="720"/>
        <w:rPr>
          <w:rFonts w:asciiTheme="majorBidi" w:hAnsiTheme="majorBidi" w:cstheme="majorBidi"/>
          <w:color w:val="000000" w:themeColor="text1"/>
        </w:rPr>
      </w:pPr>
      <w:r w:rsidRPr="001E24FD">
        <w:rPr>
          <w:rFonts w:asciiTheme="majorBidi" w:hAnsiTheme="majorBidi" w:cstheme="majorBidi"/>
          <w:color w:val="000000" w:themeColor="text1"/>
        </w:rPr>
        <w:t xml:space="preserve">The </w:t>
      </w:r>
      <w:proofErr w:type="spellStart"/>
      <w:r>
        <w:rPr>
          <w:rFonts w:asciiTheme="majorBidi" w:hAnsiTheme="majorBidi" w:cstheme="majorBidi"/>
          <w:i/>
          <w:iCs/>
          <w:color w:val="000000" w:themeColor="text1"/>
        </w:rPr>
        <w:t>ʿAṭf</w:t>
      </w:r>
      <w:r w:rsidRPr="001E24FD">
        <w:rPr>
          <w:rFonts w:asciiTheme="majorBidi" w:hAnsiTheme="majorBidi" w:cstheme="majorBidi"/>
          <w:color w:val="000000" w:themeColor="text1"/>
        </w:rPr>
        <w:t>’s</w:t>
      </w:r>
      <w:proofErr w:type="spellEnd"/>
      <w:r w:rsidRPr="001E24FD">
        <w:rPr>
          <w:rFonts w:asciiTheme="majorBidi" w:hAnsiTheme="majorBidi" w:cstheme="majorBidi"/>
          <w:color w:val="000000" w:themeColor="text1"/>
        </w:rPr>
        <w:t xml:space="preserve"> first chapter is addressed to scholars and begins with a defense of </w:t>
      </w:r>
      <w:r w:rsidR="002D51C3">
        <w:rPr>
          <w:rFonts w:asciiTheme="majorBidi" w:hAnsiTheme="majorBidi" w:cstheme="majorBidi"/>
          <w:color w:val="000000" w:themeColor="text1"/>
        </w:rPr>
        <w:t>visiting</w:t>
      </w:r>
      <w:r w:rsidRPr="001E24FD">
        <w:rPr>
          <w:rFonts w:asciiTheme="majorBidi" w:hAnsiTheme="majorBidi" w:cstheme="majorBidi"/>
          <w:color w:val="000000" w:themeColor="text1"/>
        </w:rPr>
        <w:t xml:space="preserve"> rulers. As a prelude to this defense, Ibn al-</w:t>
      </w:r>
      <w:proofErr w:type="spellStart"/>
      <w:r w:rsidRPr="001E24FD">
        <w:rPr>
          <w:rFonts w:asciiTheme="majorBidi" w:hAnsiTheme="majorBidi" w:cstheme="majorBidi"/>
          <w:color w:val="000000" w:themeColor="text1"/>
        </w:rPr>
        <w:t>Jawzī</w:t>
      </w:r>
      <w:proofErr w:type="spellEnd"/>
      <w:r w:rsidRPr="001E24FD">
        <w:rPr>
          <w:rFonts w:asciiTheme="majorBidi" w:hAnsiTheme="majorBidi" w:cstheme="majorBidi"/>
          <w:color w:val="000000" w:themeColor="text1"/>
        </w:rPr>
        <w:t xml:space="preserve"> mark</w:t>
      </w:r>
      <w:r w:rsidR="007F3091">
        <w:rPr>
          <w:rFonts w:asciiTheme="majorBidi" w:hAnsiTheme="majorBidi" w:cstheme="majorBidi"/>
          <w:color w:val="000000" w:themeColor="text1"/>
        </w:rPr>
        <w:t>s</w:t>
      </w:r>
      <w:r w:rsidRPr="001E24FD">
        <w:rPr>
          <w:rFonts w:asciiTheme="majorBidi" w:hAnsiTheme="majorBidi" w:cstheme="majorBidi"/>
          <w:color w:val="000000" w:themeColor="text1"/>
        </w:rPr>
        <w:t xml:space="preserve"> out three distinct phases in the history of ruler</w:t>
      </w:r>
      <w:r w:rsidR="007F3091">
        <w:rPr>
          <w:rFonts w:asciiTheme="majorBidi" w:hAnsiTheme="majorBidi" w:cstheme="majorBidi"/>
          <w:color w:val="000000" w:themeColor="text1"/>
        </w:rPr>
        <w:t>-scholar</w:t>
      </w:r>
      <w:r w:rsidRPr="001E24FD">
        <w:rPr>
          <w:rFonts w:asciiTheme="majorBidi" w:hAnsiTheme="majorBidi" w:cstheme="majorBidi"/>
          <w:color w:val="000000" w:themeColor="text1"/>
        </w:rPr>
        <w:t xml:space="preserve"> relations. In the first phase, rulers </w:t>
      </w:r>
      <w:r w:rsidR="00390CBD">
        <w:rPr>
          <w:rFonts w:asciiTheme="majorBidi" w:hAnsiTheme="majorBidi" w:cstheme="majorBidi"/>
          <w:color w:val="000000" w:themeColor="text1"/>
        </w:rPr>
        <w:t>of early Islam possessed</w:t>
      </w:r>
      <w:r w:rsidRPr="001E24FD">
        <w:rPr>
          <w:rFonts w:asciiTheme="majorBidi" w:hAnsiTheme="majorBidi" w:cstheme="majorBidi"/>
          <w:color w:val="000000" w:themeColor="text1"/>
        </w:rPr>
        <w:t xml:space="preserve"> knowledge and</w:t>
      </w:r>
      <w:r w:rsidR="00390CBD">
        <w:rPr>
          <w:rFonts w:asciiTheme="majorBidi" w:hAnsiTheme="majorBidi" w:cstheme="majorBidi"/>
          <w:color w:val="000000" w:themeColor="text1"/>
        </w:rPr>
        <w:t xml:space="preserve"> were self-sufficient in regard to it</w:t>
      </w:r>
      <w:r w:rsidRPr="001E24FD">
        <w:rPr>
          <w:rFonts w:asciiTheme="majorBidi" w:hAnsiTheme="majorBidi" w:cstheme="majorBidi"/>
          <w:color w:val="000000" w:themeColor="text1"/>
        </w:rPr>
        <w:t xml:space="preserve">. The second phase began when rulers found themselves in need of scholars who could advise them in matters related to faith and various sciences. </w:t>
      </w:r>
      <w:r w:rsidR="00AB2D05">
        <w:rPr>
          <w:rFonts w:asciiTheme="majorBidi" w:hAnsiTheme="majorBidi" w:cstheme="majorBidi"/>
          <w:color w:val="000000" w:themeColor="text1"/>
        </w:rPr>
        <w:t>The third</w:t>
      </w:r>
      <w:r w:rsidR="00B618D1">
        <w:rPr>
          <w:rFonts w:asciiTheme="majorBidi" w:hAnsiTheme="majorBidi" w:cstheme="majorBidi"/>
          <w:color w:val="000000" w:themeColor="text1"/>
        </w:rPr>
        <w:t xml:space="preserve"> and latest </w:t>
      </w:r>
      <w:r w:rsidR="00AB2D05">
        <w:rPr>
          <w:rFonts w:asciiTheme="majorBidi" w:hAnsiTheme="majorBidi" w:cstheme="majorBidi"/>
          <w:color w:val="000000" w:themeColor="text1"/>
        </w:rPr>
        <w:t>phase</w:t>
      </w:r>
      <w:r w:rsidR="00A52147">
        <w:rPr>
          <w:rFonts w:asciiTheme="majorBidi" w:hAnsiTheme="majorBidi" w:cstheme="majorBidi"/>
          <w:color w:val="000000" w:themeColor="text1"/>
        </w:rPr>
        <w:t xml:space="preserve"> </w:t>
      </w:r>
      <w:r w:rsidR="00AB2D05">
        <w:rPr>
          <w:rFonts w:asciiTheme="majorBidi" w:hAnsiTheme="majorBidi" w:cstheme="majorBidi"/>
          <w:color w:val="000000" w:themeColor="text1"/>
        </w:rPr>
        <w:t xml:space="preserve">is marked by the increase of </w:t>
      </w:r>
      <w:r w:rsidR="00A52147">
        <w:rPr>
          <w:rFonts w:asciiTheme="majorBidi" w:hAnsiTheme="majorBidi" w:cstheme="majorBidi"/>
          <w:color w:val="000000" w:themeColor="text1"/>
        </w:rPr>
        <w:t xml:space="preserve">court </w:t>
      </w:r>
      <w:r w:rsidRPr="001E24FD">
        <w:rPr>
          <w:rFonts w:asciiTheme="majorBidi" w:hAnsiTheme="majorBidi" w:cstheme="majorBidi"/>
          <w:color w:val="000000" w:themeColor="text1"/>
        </w:rPr>
        <w:t>chamberlains (</w:t>
      </w:r>
      <w:proofErr w:type="spellStart"/>
      <w:r w:rsidRPr="001E24FD">
        <w:rPr>
          <w:rFonts w:asciiTheme="majorBidi" w:hAnsiTheme="majorBidi" w:cstheme="majorBidi"/>
          <w:i/>
          <w:iCs/>
          <w:color w:val="000000" w:themeColor="text1"/>
        </w:rPr>
        <w:t>ḥujjāb</w:t>
      </w:r>
      <w:proofErr w:type="spellEnd"/>
      <w:r w:rsidRPr="001E24FD">
        <w:rPr>
          <w:rFonts w:asciiTheme="majorBidi" w:hAnsiTheme="majorBidi" w:cstheme="majorBidi"/>
          <w:color w:val="000000" w:themeColor="text1"/>
        </w:rPr>
        <w:t>)</w:t>
      </w:r>
      <w:r w:rsidRPr="001E24FD">
        <w:rPr>
          <w:rStyle w:val="FootnoteReference"/>
          <w:rFonts w:asciiTheme="majorBidi" w:hAnsiTheme="majorBidi" w:cstheme="majorBidi"/>
          <w:color w:val="000000" w:themeColor="text1"/>
        </w:rPr>
        <w:footnoteReference w:id="77"/>
      </w:r>
      <w:r w:rsidRPr="001E24FD">
        <w:rPr>
          <w:rFonts w:asciiTheme="majorBidi" w:hAnsiTheme="majorBidi" w:cstheme="majorBidi"/>
          <w:color w:val="000000" w:themeColor="text1"/>
        </w:rPr>
        <w:t xml:space="preserve"> </w:t>
      </w:r>
      <w:r w:rsidR="00AB2D05">
        <w:rPr>
          <w:rFonts w:asciiTheme="majorBidi" w:hAnsiTheme="majorBidi" w:cstheme="majorBidi"/>
          <w:color w:val="000000" w:themeColor="text1"/>
        </w:rPr>
        <w:t>who</w:t>
      </w:r>
      <w:r w:rsidRPr="001E24FD">
        <w:rPr>
          <w:rFonts w:asciiTheme="majorBidi" w:hAnsiTheme="majorBidi" w:cstheme="majorBidi"/>
          <w:color w:val="000000" w:themeColor="text1"/>
        </w:rPr>
        <w:t xml:space="preserve"> </w:t>
      </w:r>
      <w:r w:rsidR="00AB2D05">
        <w:rPr>
          <w:rFonts w:asciiTheme="majorBidi" w:hAnsiTheme="majorBidi" w:cstheme="majorBidi"/>
          <w:color w:val="000000" w:themeColor="text1"/>
        </w:rPr>
        <w:t>restrict access to</w:t>
      </w:r>
      <w:r w:rsidRPr="001E24FD">
        <w:rPr>
          <w:rFonts w:asciiTheme="majorBidi" w:hAnsiTheme="majorBidi" w:cstheme="majorBidi"/>
          <w:color w:val="000000" w:themeColor="text1"/>
        </w:rPr>
        <w:t xml:space="preserve"> the ruler. </w:t>
      </w:r>
      <w:r w:rsidR="00B618D1">
        <w:rPr>
          <w:rFonts w:asciiTheme="majorBidi" w:hAnsiTheme="majorBidi" w:cstheme="majorBidi"/>
          <w:color w:val="000000" w:themeColor="text1"/>
        </w:rPr>
        <w:t>S</w:t>
      </w:r>
      <w:r w:rsidR="00390CBD">
        <w:rPr>
          <w:rFonts w:asciiTheme="majorBidi" w:hAnsiTheme="majorBidi" w:cstheme="majorBidi"/>
          <w:color w:val="000000" w:themeColor="text1"/>
        </w:rPr>
        <w:t>cholars</w:t>
      </w:r>
      <w:r w:rsidRPr="001E24FD">
        <w:rPr>
          <w:rFonts w:asciiTheme="majorBidi" w:hAnsiTheme="majorBidi" w:cstheme="majorBidi"/>
          <w:color w:val="000000" w:themeColor="text1"/>
        </w:rPr>
        <w:t xml:space="preserve"> who </w:t>
      </w:r>
      <w:r w:rsidR="00785932">
        <w:rPr>
          <w:rFonts w:asciiTheme="majorBidi" w:hAnsiTheme="majorBidi" w:cstheme="majorBidi"/>
          <w:color w:val="000000" w:themeColor="text1"/>
        </w:rPr>
        <w:t xml:space="preserve">manage to </w:t>
      </w:r>
      <w:r w:rsidRPr="001E24FD">
        <w:rPr>
          <w:rFonts w:asciiTheme="majorBidi" w:hAnsiTheme="majorBidi" w:cstheme="majorBidi"/>
          <w:color w:val="000000" w:themeColor="text1"/>
        </w:rPr>
        <w:t xml:space="preserve">gain access to the ruler </w:t>
      </w:r>
      <w:r w:rsidR="00B618D1">
        <w:rPr>
          <w:rFonts w:asciiTheme="majorBidi" w:hAnsiTheme="majorBidi" w:cstheme="majorBidi"/>
          <w:color w:val="000000" w:themeColor="text1"/>
        </w:rPr>
        <w:t xml:space="preserve">would </w:t>
      </w:r>
      <w:r w:rsidR="00390CBD">
        <w:rPr>
          <w:rFonts w:asciiTheme="majorBidi" w:hAnsiTheme="majorBidi" w:cstheme="majorBidi"/>
          <w:color w:val="000000" w:themeColor="text1"/>
        </w:rPr>
        <w:t xml:space="preserve">often </w:t>
      </w:r>
      <w:r w:rsidRPr="001E24FD">
        <w:rPr>
          <w:rFonts w:asciiTheme="majorBidi" w:hAnsiTheme="majorBidi" w:cstheme="majorBidi"/>
          <w:color w:val="000000" w:themeColor="text1"/>
        </w:rPr>
        <w:t>mix in deception with their advice</w:t>
      </w:r>
      <w:r w:rsidR="00B618D1">
        <w:rPr>
          <w:rFonts w:asciiTheme="majorBidi" w:hAnsiTheme="majorBidi" w:cstheme="majorBidi"/>
          <w:color w:val="000000" w:themeColor="text1"/>
        </w:rPr>
        <w:t xml:space="preserve"> in order to maintain a cozy relationship with the court</w:t>
      </w:r>
      <w:r w:rsidRPr="001E24FD">
        <w:rPr>
          <w:rFonts w:asciiTheme="majorBidi" w:hAnsiTheme="majorBidi" w:cstheme="majorBidi"/>
          <w:color w:val="000000" w:themeColor="text1"/>
        </w:rPr>
        <w:t xml:space="preserve">. </w:t>
      </w:r>
      <w:r w:rsidR="00B618D1">
        <w:rPr>
          <w:rFonts w:asciiTheme="majorBidi" w:hAnsiTheme="majorBidi" w:cstheme="majorBidi"/>
          <w:color w:val="000000" w:themeColor="text1"/>
        </w:rPr>
        <w:t xml:space="preserve">As a result, </w:t>
      </w:r>
      <w:r w:rsidRPr="001E24FD">
        <w:rPr>
          <w:rFonts w:asciiTheme="majorBidi" w:hAnsiTheme="majorBidi" w:cstheme="majorBidi"/>
          <w:color w:val="000000" w:themeColor="text1"/>
        </w:rPr>
        <w:t xml:space="preserve">rulers </w:t>
      </w:r>
      <w:r w:rsidR="00B618D1">
        <w:rPr>
          <w:rFonts w:asciiTheme="majorBidi" w:hAnsiTheme="majorBidi" w:cstheme="majorBidi"/>
          <w:color w:val="000000" w:themeColor="text1"/>
        </w:rPr>
        <w:t>are</w:t>
      </w:r>
      <w:r w:rsidRPr="001E24FD">
        <w:rPr>
          <w:rFonts w:asciiTheme="majorBidi" w:hAnsiTheme="majorBidi" w:cstheme="majorBidi"/>
          <w:color w:val="000000" w:themeColor="text1"/>
        </w:rPr>
        <w:t xml:space="preserve"> left to act according to their own whims and fancies</w:t>
      </w:r>
      <w:r w:rsidR="004C0B24">
        <w:rPr>
          <w:rFonts w:asciiTheme="majorBidi" w:hAnsiTheme="majorBidi" w:cstheme="majorBidi"/>
          <w:color w:val="000000" w:themeColor="text1"/>
        </w:rPr>
        <w:t xml:space="preserve"> </w:t>
      </w:r>
      <w:r w:rsidRPr="001E24FD">
        <w:rPr>
          <w:rFonts w:asciiTheme="majorBidi" w:hAnsiTheme="majorBidi" w:cstheme="majorBidi"/>
          <w:color w:val="000000" w:themeColor="text1"/>
        </w:rPr>
        <w:t>without proper</w:t>
      </w:r>
      <w:r w:rsidR="004C0B24">
        <w:rPr>
          <w:rFonts w:asciiTheme="majorBidi" w:hAnsiTheme="majorBidi" w:cstheme="majorBidi"/>
          <w:color w:val="000000" w:themeColor="text1"/>
        </w:rPr>
        <w:t xml:space="preserve"> guidance</w:t>
      </w:r>
      <w:r w:rsidRPr="001E24FD">
        <w:rPr>
          <w:rFonts w:asciiTheme="majorBidi" w:hAnsiTheme="majorBidi" w:cstheme="majorBidi"/>
          <w:color w:val="000000" w:themeColor="text1"/>
        </w:rPr>
        <w:t>.</w:t>
      </w:r>
      <w:r w:rsidRPr="001E24FD">
        <w:rPr>
          <w:rStyle w:val="FootnoteReference"/>
          <w:rFonts w:asciiTheme="majorBidi" w:hAnsiTheme="majorBidi" w:cstheme="majorBidi"/>
          <w:color w:val="000000" w:themeColor="text1"/>
        </w:rPr>
        <w:footnoteReference w:id="78"/>
      </w:r>
      <w:r w:rsidRPr="001E24FD">
        <w:rPr>
          <w:rFonts w:asciiTheme="majorBidi" w:hAnsiTheme="majorBidi" w:cstheme="majorBidi"/>
          <w:color w:val="000000" w:themeColor="text1"/>
        </w:rPr>
        <w:t xml:space="preserve"> </w:t>
      </w:r>
    </w:p>
    <w:p w14:paraId="13FD172E" w14:textId="75BB4333" w:rsidR="00785932" w:rsidRPr="001E24FD" w:rsidRDefault="004C0B24" w:rsidP="0037533B">
      <w:pPr>
        <w:spacing w:line="360" w:lineRule="auto"/>
        <w:ind w:firstLine="720"/>
        <w:rPr>
          <w:rFonts w:asciiTheme="majorBidi" w:hAnsiTheme="majorBidi" w:cstheme="majorBidi"/>
          <w:color w:val="000000" w:themeColor="text1"/>
        </w:rPr>
      </w:pPr>
      <w:r>
        <w:rPr>
          <w:rFonts w:asciiTheme="majorBidi" w:hAnsiTheme="majorBidi" w:cstheme="majorBidi"/>
          <w:color w:val="000000" w:themeColor="text1"/>
        </w:rPr>
        <w:t>Considering these bleak developments</w:t>
      </w:r>
      <w:r w:rsidR="00785932" w:rsidRPr="001E24FD">
        <w:rPr>
          <w:rFonts w:asciiTheme="majorBidi" w:hAnsiTheme="majorBidi" w:cstheme="majorBidi"/>
          <w:color w:val="000000" w:themeColor="text1"/>
        </w:rPr>
        <w:t>, Ibn al-</w:t>
      </w:r>
      <w:proofErr w:type="spellStart"/>
      <w:r w:rsidR="00785932" w:rsidRPr="001E24FD">
        <w:rPr>
          <w:rFonts w:asciiTheme="majorBidi" w:hAnsiTheme="majorBidi" w:cstheme="majorBidi"/>
          <w:color w:val="000000" w:themeColor="text1"/>
        </w:rPr>
        <w:t>Jawzī</w:t>
      </w:r>
      <w:proofErr w:type="spellEnd"/>
      <w:r w:rsidR="00785932" w:rsidRPr="001E24FD">
        <w:rPr>
          <w:rFonts w:asciiTheme="majorBidi" w:hAnsiTheme="majorBidi" w:cstheme="majorBidi"/>
          <w:color w:val="000000" w:themeColor="text1"/>
        </w:rPr>
        <w:t xml:space="preserve"> acknowledges that there have been </w:t>
      </w:r>
      <w:proofErr w:type="spellStart"/>
      <w:r w:rsidR="00785932" w:rsidRPr="001E24FD">
        <w:rPr>
          <w:rFonts w:asciiTheme="majorBidi" w:hAnsiTheme="majorBidi" w:cstheme="majorBidi"/>
          <w:i/>
          <w:iCs/>
          <w:color w:val="000000" w:themeColor="text1"/>
        </w:rPr>
        <w:t>ḥadīth</w:t>
      </w:r>
      <w:r w:rsidR="00785932" w:rsidRPr="001E24FD">
        <w:rPr>
          <w:rFonts w:asciiTheme="majorBidi" w:hAnsiTheme="majorBidi" w:cstheme="majorBidi"/>
          <w:color w:val="000000" w:themeColor="text1"/>
        </w:rPr>
        <w:t>s</w:t>
      </w:r>
      <w:proofErr w:type="spellEnd"/>
      <w:r w:rsidR="00785932" w:rsidRPr="001E24FD">
        <w:rPr>
          <w:rFonts w:asciiTheme="majorBidi" w:hAnsiTheme="majorBidi" w:cstheme="majorBidi"/>
          <w:color w:val="000000" w:themeColor="text1"/>
        </w:rPr>
        <w:t xml:space="preserve"> transmitted </w:t>
      </w:r>
      <w:r w:rsidR="00CB0FAA">
        <w:rPr>
          <w:rFonts w:asciiTheme="majorBidi" w:hAnsiTheme="majorBidi" w:cstheme="majorBidi"/>
          <w:color w:val="000000" w:themeColor="text1"/>
        </w:rPr>
        <w:t>that</w:t>
      </w:r>
      <w:r w:rsidR="00785932" w:rsidRPr="001E24FD">
        <w:rPr>
          <w:rFonts w:asciiTheme="majorBidi" w:hAnsiTheme="majorBidi" w:cstheme="majorBidi"/>
          <w:color w:val="000000" w:themeColor="text1"/>
        </w:rPr>
        <w:t xml:space="preserve"> forbid proximity with rulers a</w:t>
      </w:r>
      <w:r w:rsidR="009C63BA">
        <w:rPr>
          <w:rFonts w:asciiTheme="majorBidi" w:hAnsiTheme="majorBidi" w:cstheme="majorBidi"/>
          <w:color w:val="000000" w:themeColor="text1"/>
        </w:rPr>
        <w:t xml:space="preserve">s well as </w:t>
      </w:r>
      <w:r w:rsidR="00785932" w:rsidRPr="001E24FD">
        <w:rPr>
          <w:rFonts w:asciiTheme="majorBidi" w:hAnsiTheme="majorBidi" w:cstheme="majorBidi"/>
          <w:color w:val="000000" w:themeColor="text1"/>
        </w:rPr>
        <w:t xml:space="preserve">sayings from the pious forebears </w:t>
      </w:r>
      <w:r w:rsidR="00CB0FAA">
        <w:rPr>
          <w:rFonts w:asciiTheme="majorBidi" w:hAnsiTheme="majorBidi" w:cstheme="majorBidi"/>
          <w:color w:val="000000" w:themeColor="text1"/>
        </w:rPr>
        <w:t>(</w:t>
      </w:r>
      <w:r w:rsidR="00CB0FAA">
        <w:rPr>
          <w:rFonts w:asciiTheme="majorBidi" w:hAnsiTheme="majorBidi" w:cstheme="majorBidi"/>
          <w:i/>
          <w:iCs/>
          <w:color w:val="000000" w:themeColor="text1"/>
        </w:rPr>
        <w:t>al-</w:t>
      </w:r>
      <w:proofErr w:type="spellStart"/>
      <w:r w:rsidR="00CB0FAA">
        <w:rPr>
          <w:rFonts w:asciiTheme="majorBidi" w:hAnsiTheme="majorBidi" w:cstheme="majorBidi"/>
          <w:i/>
          <w:iCs/>
          <w:color w:val="000000" w:themeColor="text1"/>
        </w:rPr>
        <w:t>salaf</w:t>
      </w:r>
      <w:proofErr w:type="spellEnd"/>
      <w:r w:rsidR="00CB0FAA">
        <w:rPr>
          <w:rFonts w:asciiTheme="majorBidi" w:hAnsiTheme="majorBidi" w:cstheme="majorBidi"/>
          <w:color w:val="000000" w:themeColor="text1"/>
        </w:rPr>
        <w:t>) that</w:t>
      </w:r>
      <w:r w:rsidR="00785932" w:rsidRPr="001E24FD">
        <w:rPr>
          <w:rFonts w:asciiTheme="majorBidi" w:hAnsiTheme="majorBidi" w:cstheme="majorBidi"/>
          <w:color w:val="000000" w:themeColor="text1"/>
        </w:rPr>
        <w:t xml:space="preserve"> warn against this practice. After listing two </w:t>
      </w:r>
      <w:r w:rsidR="00CB0FAA">
        <w:rPr>
          <w:rFonts w:asciiTheme="majorBidi" w:hAnsiTheme="majorBidi" w:cstheme="majorBidi"/>
          <w:color w:val="000000" w:themeColor="text1"/>
        </w:rPr>
        <w:t xml:space="preserve">such </w:t>
      </w:r>
      <w:proofErr w:type="spellStart"/>
      <w:r w:rsidR="00785932" w:rsidRPr="001E24FD">
        <w:rPr>
          <w:rFonts w:asciiTheme="majorBidi" w:hAnsiTheme="majorBidi" w:cstheme="majorBidi"/>
          <w:i/>
          <w:iCs/>
          <w:color w:val="000000" w:themeColor="text1"/>
        </w:rPr>
        <w:t>ḥadīth</w:t>
      </w:r>
      <w:r w:rsidR="00785932" w:rsidRPr="001E24FD">
        <w:rPr>
          <w:rFonts w:asciiTheme="majorBidi" w:hAnsiTheme="majorBidi" w:cstheme="majorBidi"/>
          <w:color w:val="000000" w:themeColor="text1"/>
        </w:rPr>
        <w:t>s</w:t>
      </w:r>
      <w:proofErr w:type="spellEnd"/>
      <w:r w:rsidR="00785932" w:rsidRPr="001E24FD">
        <w:rPr>
          <w:rStyle w:val="FootnoteReference"/>
          <w:rFonts w:asciiTheme="majorBidi" w:hAnsiTheme="majorBidi" w:cstheme="majorBidi"/>
          <w:color w:val="000000" w:themeColor="text1"/>
        </w:rPr>
        <w:footnoteReference w:id="79"/>
      </w:r>
      <w:r w:rsidR="00785932" w:rsidRPr="001E24FD">
        <w:rPr>
          <w:rFonts w:asciiTheme="majorBidi" w:hAnsiTheme="majorBidi" w:cstheme="majorBidi"/>
          <w:color w:val="000000" w:themeColor="text1"/>
        </w:rPr>
        <w:t xml:space="preserve"> and seven </w:t>
      </w:r>
      <w:r w:rsidR="00CB0FAA">
        <w:rPr>
          <w:rFonts w:asciiTheme="majorBidi" w:hAnsiTheme="majorBidi" w:cstheme="majorBidi"/>
          <w:color w:val="000000" w:themeColor="text1"/>
        </w:rPr>
        <w:t xml:space="preserve">such </w:t>
      </w:r>
      <w:r w:rsidR="00785932" w:rsidRPr="001E24FD">
        <w:rPr>
          <w:rFonts w:asciiTheme="majorBidi" w:hAnsiTheme="majorBidi" w:cstheme="majorBidi"/>
          <w:color w:val="000000" w:themeColor="text1"/>
        </w:rPr>
        <w:t>sayings, Ibn al-</w:t>
      </w:r>
      <w:proofErr w:type="spellStart"/>
      <w:r w:rsidR="00785932" w:rsidRPr="001E24FD">
        <w:rPr>
          <w:rFonts w:asciiTheme="majorBidi" w:hAnsiTheme="majorBidi" w:cstheme="majorBidi"/>
          <w:color w:val="000000" w:themeColor="text1"/>
        </w:rPr>
        <w:t>Jawzī</w:t>
      </w:r>
      <w:proofErr w:type="spellEnd"/>
      <w:r w:rsidR="00785932" w:rsidRPr="001E24FD">
        <w:rPr>
          <w:rFonts w:asciiTheme="majorBidi" w:hAnsiTheme="majorBidi" w:cstheme="majorBidi"/>
          <w:color w:val="000000" w:themeColor="text1"/>
        </w:rPr>
        <w:t xml:space="preserve"> interjects immediately with a remark </w:t>
      </w:r>
      <w:r w:rsidR="00A03C13">
        <w:rPr>
          <w:rFonts w:asciiTheme="majorBidi" w:hAnsiTheme="majorBidi" w:cstheme="majorBidi"/>
          <w:color w:val="000000" w:themeColor="text1"/>
        </w:rPr>
        <w:t>indicating</w:t>
      </w:r>
      <w:r w:rsidR="00785932" w:rsidRPr="001E24FD">
        <w:rPr>
          <w:rFonts w:asciiTheme="majorBidi" w:hAnsiTheme="majorBidi" w:cstheme="majorBidi"/>
          <w:color w:val="000000" w:themeColor="text1"/>
        </w:rPr>
        <w:t xml:space="preserve"> that these </w:t>
      </w:r>
      <w:proofErr w:type="spellStart"/>
      <w:r w:rsidR="00785932" w:rsidRPr="001E24FD">
        <w:rPr>
          <w:rFonts w:asciiTheme="majorBidi" w:hAnsiTheme="majorBidi" w:cstheme="majorBidi"/>
          <w:i/>
          <w:iCs/>
          <w:color w:val="000000" w:themeColor="text1"/>
        </w:rPr>
        <w:t>ḥadīth</w:t>
      </w:r>
      <w:r w:rsidR="00785932" w:rsidRPr="001E24FD">
        <w:rPr>
          <w:rFonts w:asciiTheme="majorBidi" w:hAnsiTheme="majorBidi" w:cstheme="majorBidi"/>
          <w:color w:val="000000" w:themeColor="text1"/>
        </w:rPr>
        <w:t>s</w:t>
      </w:r>
      <w:proofErr w:type="spellEnd"/>
      <w:r w:rsidR="00785932" w:rsidRPr="001E24FD">
        <w:rPr>
          <w:rFonts w:asciiTheme="majorBidi" w:hAnsiTheme="majorBidi" w:cstheme="majorBidi"/>
          <w:color w:val="000000" w:themeColor="text1"/>
        </w:rPr>
        <w:t xml:space="preserve"> are not sound and that the sayings from the pious forebears are targeted at </w:t>
      </w:r>
      <w:r w:rsidR="009C63BA">
        <w:rPr>
          <w:rFonts w:asciiTheme="majorBidi" w:hAnsiTheme="majorBidi" w:cstheme="majorBidi"/>
          <w:color w:val="000000" w:themeColor="text1"/>
        </w:rPr>
        <w:t xml:space="preserve">the majority of </w:t>
      </w:r>
      <w:r w:rsidR="00785932" w:rsidRPr="001E24FD">
        <w:rPr>
          <w:rFonts w:asciiTheme="majorBidi" w:hAnsiTheme="majorBidi" w:cstheme="majorBidi"/>
          <w:color w:val="000000" w:themeColor="text1"/>
        </w:rPr>
        <w:t>scholars</w:t>
      </w:r>
      <w:r w:rsidR="00326261">
        <w:rPr>
          <w:rFonts w:asciiTheme="majorBidi" w:hAnsiTheme="majorBidi" w:cstheme="majorBidi"/>
          <w:color w:val="000000" w:themeColor="text1"/>
        </w:rPr>
        <w:t xml:space="preserve"> who </w:t>
      </w:r>
      <w:r w:rsidR="009C63BA">
        <w:rPr>
          <w:rFonts w:asciiTheme="majorBidi" w:hAnsiTheme="majorBidi" w:cstheme="majorBidi"/>
          <w:color w:val="000000" w:themeColor="text1"/>
        </w:rPr>
        <w:t>also happen to be</w:t>
      </w:r>
      <w:r w:rsidR="00326261">
        <w:rPr>
          <w:rFonts w:asciiTheme="majorBidi" w:hAnsiTheme="majorBidi" w:cstheme="majorBidi"/>
          <w:color w:val="000000" w:themeColor="text1"/>
        </w:rPr>
        <w:t xml:space="preserve"> spiritually weak</w:t>
      </w:r>
      <w:r w:rsidR="00785932" w:rsidRPr="001E24FD">
        <w:rPr>
          <w:rFonts w:asciiTheme="majorBidi" w:hAnsiTheme="majorBidi" w:cstheme="majorBidi"/>
          <w:color w:val="000000" w:themeColor="text1"/>
        </w:rPr>
        <w:t xml:space="preserve">. For </w:t>
      </w:r>
      <w:r w:rsidR="00CB0FAA">
        <w:rPr>
          <w:rFonts w:asciiTheme="majorBidi" w:hAnsiTheme="majorBidi" w:cstheme="majorBidi"/>
          <w:color w:val="000000" w:themeColor="text1"/>
        </w:rPr>
        <w:t>these</w:t>
      </w:r>
      <w:r w:rsidR="00785932" w:rsidRPr="001E24FD">
        <w:rPr>
          <w:rFonts w:asciiTheme="majorBidi" w:hAnsiTheme="majorBidi" w:cstheme="majorBidi"/>
          <w:color w:val="000000" w:themeColor="text1"/>
        </w:rPr>
        <w:t xml:space="preserve"> scholars, visiting the ruler </w:t>
      </w:r>
      <w:r w:rsidR="007E3B24">
        <w:rPr>
          <w:rFonts w:asciiTheme="majorBidi" w:hAnsiTheme="majorBidi" w:cstheme="majorBidi"/>
          <w:color w:val="000000" w:themeColor="text1"/>
        </w:rPr>
        <w:t xml:space="preserve">does indeed </w:t>
      </w:r>
      <w:r w:rsidR="00785932">
        <w:rPr>
          <w:rFonts w:asciiTheme="majorBidi" w:hAnsiTheme="majorBidi" w:cstheme="majorBidi"/>
          <w:color w:val="000000" w:themeColor="text1"/>
        </w:rPr>
        <w:t xml:space="preserve">constitute </w:t>
      </w:r>
      <w:r w:rsidR="00785932" w:rsidRPr="001E24FD">
        <w:rPr>
          <w:rFonts w:asciiTheme="majorBidi" w:hAnsiTheme="majorBidi" w:cstheme="majorBidi"/>
          <w:color w:val="000000" w:themeColor="text1"/>
        </w:rPr>
        <w:t>a trial because they either replace advi</w:t>
      </w:r>
      <w:r w:rsidR="00303D8C">
        <w:rPr>
          <w:rFonts w:asciiTheme="majorBidi" w:hAnsiTheme="majorBidi" w:cstheme="majorBidi"/>
          <w:color w:val="000000" w:themeColor="text1"/>
        </w:rPr>
        <w:t>c</w:t>
      </w:r>
      <w:r w:rsidR="00785932" w:rsidRPr="001E24FD">
        <w:rPr>
          <w:rFonts w:asciiTheme="majorBidi" w:hAnsiTheme="majorBidi" w:cstheme="majorBidi"/>
          <w:color w:val="000000" w:themeColor="text1"/>
        </w:rPr>
        <w:t>e with flattery in order to enjoy the vanities of this world</w:t>
      </w:r>
      <w:r w:rsidR="00503EAD">
        <w:rPr>
          <w:rFonts w:asciiTheme="majorBidi" w:hAnsiTheme="majorBidi" w:cstheme="majorBidi"/>
          <w:color w:val="000000" w:themeColor="text1"/>
        </w:rPr>
        <w:t xml:space="preserve"> or</w:t>
      </w:r>
      <w:r w:rsidR="00785932" w:rsidRPr="001E24FD">
        <w:rPr>
          <w:rFonts w:asciiTheme="majorBidi" w:hAnsiTheme="majorBidi" w:cstheme="majorBidi"/>
          <w:color w:val="000000" w:themeColor="text1"/>
        </w:rPr>
        <w:t xml:space="preserve"> remain </w:t>
      </w:r>
      <w:r w:rsidR="00785932" w:rsidRPr="001E24FD">
        <w:rPr>
          <w:rFonts w:asciiTheme="majorBidi" w:hAnsiTheme="majorBidi" w:cstheme="majorBidi"/>
          <w:color w:val="000000" w:themeColor="text1"/>
        </w:rPr>
        <w:lastRenderedPageBreak/>
        <w:t>silent when confronted with the ruler’s wrongdoings.</w:t>
      </w:r>
      <w:r w:rsidR="00785932" w:rsidRPr="001E24FD">
        <w:rPr>
          <w:rStyle w:val="FootnoteReference"/>
          <w:rFonts w:asciiTheme="majorBidi" w:hAnsiTheme="majorBidi" w:cstheme="majorBidi"/>
          <w:color w:val="000000" w:themeColor="text1"/>
        </w:rPr>
        <w:footnoteReference w:id="80"/>
      </w:r>
      <w:r w:rsidR="00785932" w:rsidRPr="001E24FD">
        <w:rPr>
          <w:rFonts w:asciiTheme="majorBidi" w:hAnsiTheme="majorBidi" w:cstheme="majorBidi"/>
          <w:color w:val="000000" w:themeColor="text1"/>
        </w:rPr>
        <w:t xml:space="preserve"> Ibn al-</w:t>
      </w:r>
      <w:proofErr w:type="spellStart"/>
      <w:r w:rsidR="00785932" w:rsidRPr="001E24FD">
        <w:rPr>
          <w:rFonts w:asciiTheme="majorBidi" w:hAnsiTheme="majorBidi" w:cstheme="majorBidi"/>
          <w:color w:val="000000" w:themeColor="text1"/>
        </w:rPr>
        <w:t>Jawzī’s</w:t>
      </w:r>
      <w:proofErr w:type="spellEnd"/>
      <w:r w:rsidR="00785932" w:rsidRPr="001E24FD">
        <w:rPr>
          <w:rFonts w:asciiTheme="majorBidi" w:hAnsiTheme="majorBidi" w:cstheme="majorBidi"/>
          <w:color w:val="000000" w:themeColor="text1"/>
        </w:rPr>
        <w:t xml:space="preserve"> </w:t>
      </w:r>
      <w:proofErr w:type="spellStart"/>
      <w:r w:rsidR="00785932" w:rsidRPr="001E24FD">
        <w:rPr>
          <w:rFonts w:asciiTheme="majorBidi" w:hAnsiTheme="majorBidi" w:cstheme="majorBidi"/>
          <w:i/>
          <w:iCs/>
          <w:color w:val="000000" w:themeColor="text1"/>
        </w:rPr>
        <w:t>ʿAṭf</w:t>
      </w:r>
      <w:proofErr w:type="spellEnd"/>
      <w:r w:rsidR="00785932" w:rsidRPr="001E24FD">
        <w:rPr>
          <w:rFonts w:asciiTheme="majorBidi" w:hAnsiTheme="majorBidi" w:cstheme="majorBidi"/>
          <w:color w:val="000000" w:themeColor="text1"/>
        </w:rPr>
        <w:t xml:space="preserve"> is directe</w:t>
      </w:r>
      <w:r w:rsidR="00785932">
        <w:rPr>
          <w:rFonts w:asciiTheme="majorBidi" w:hAnsiTheme="majorBidi" w:cstheme="majorBidi"/>
          <w:color w:val="000000" w:themeColor="text1"/>
        </w:rPr>
        <w:t>d less at scholars of this sort</w:t>
      </w:r>
      <w:r w:rsidR="00785932" w:rsidRPr="001E24FD">
        <w:rPr>
          <w:rFonts w:asciiTheme="majorBidi" w:hAnsiTheme="majorBidi" w:cstheme="majorBidi"/>
          <w:color w:val="000000" w:themeColor="text1"/>
        </w:rPr>
        <w:t xml:space="preserve"> and more at those with sincere intentio</w:t>
      </w:r>
      <w:r w:rsidR="00BE7C76">
        <w:rPr>
          <w:rFonts w:asciiTheme="majorBidi" w:hAnsiTheme="majorBidi" w:cstheme="majorBidi"/>
          <w:color w:val="000000" w:themeColor="text1"/>
        </w:rPr>
        <w:t>ns</w:t>
      </w:r>
      <w:r w:rsidR="00785932" w:rsidRPr="001E24FD">
        <w:rPr>
          <w:rFonts w:asciiTheme="majorBidi" w:hAnsiTheme="majorBidi" w:cstheme="majorBidi"/>
          <w:color w:val="000000" w:themeColor="text1"/>
        </w:rPr>
        <w:t xml:space="preserve"> to reform ruler</w:t>
      </w:r>
      <w:r w:rsidR="009C63BA">
        <w:rPr>
          <w:rFonts w:asciiTheme="majorBidi" w:hAnsiTheme="majorBidi" w:cstheme="majorBidi"/>
          <w:color w:val="000000" w:themeColor="text1"/>
        </w:rPr>
        <w:t>s</w:t>
      </w:r>
      <w:r w:rsidR="00785932" w:rsidRPr="001E24FD">
        <w:rPr>
          <w:rFonts w:asciiTheme="majorBidi" w:hAnsiTheme="majorBidi" w:cstheme="majorBidi"/>
          <w:color w:val="000000" w:themeColor="text1"/>
        </w:rPr>
        <w:t>.</w:t>
      </w:r>
    </w:p>
    <w:p w14:paraId="6F6F06F7" w14:textId="1DC99917" w:rsidR="00785932" w:rsidRDefault="00785932" w:rsidP="0037533B">
      <w:pPr>
        <w:spacing w:line="360" w:lineRule="auto"/>
        <w:ind w:firstLine="720"/>
        <w:rPr>
          <w:rFonts w:asciiTheme="majorBidi" w:hAnsiTheme="majorBidi" w:cstheme="majorBidi"/>
          <w:color w:val="000000" w:themeColor="text1"/>
        </w:rPr>
      </w:pPr>
      <w:r w:rsidRPr="001E24FD">
        <w:rPr>
          <w:rFonts w:asciiTheme="majorBidi" w:hAnsiTheme="majorBidi" w:cstheme="majorBidi"/>
          <w:color w:val="000000" w:themeColor="text1"/>
        </w:rPr>
        <w:t xml:space="preserve">At </w:t>
      </w:r>
      <w:r w:rsidR="00FF3274">
        <w:rPr>
          <w:rFonts w:asciiTheme="majorBidi" w:hAnsiTheme="majorBidi" w:cstheme="majorBidi"/>
          <w:color w:val="000000" w:themeColor="text1"/>
        </w:rPr>
        <w:t>various</w:t>
      </w:r>
      <w:r w:rsidRPr="001E24FD">
        <w:rPr>
          <w:rFonts w:asciiTheme="majorBidi" w:hAnsiTheme="majorBidi" w:cstheme="majorBidi"/>
          <w:color w:val="000000" w:themeColor="text1"/>
        </w:rPr>
        <w:t xml:space="preserve"> points in the </w:t>
      </w:r>
      <w:proofErr w:type="spellStart"/>
      <w:r w:rsidRPr="001E24FD">
        <w:rPr>
          <w:rFonts w:asciiTheme="majorBidi" w:hAnsiTheme="majorBidi" w:cstheme="majorBidi"/>
          <w:i/>
          <w:iCs/>
          <w:color w:val="000000" w:themeColor="text1"/>
        </w:rPr>
        <w:t>ʿAṭf</w:t>
      </w:r>
      <w:proofErr w:type="spellEnd"/>
      <w:r w:rsidRPr="001E24FD">
        <w:rPr>
          <w:rFonts w:asciiTheme="majorBidi" w:hAnsiTheme="majorBidi" w:cstheme="majorBidi"/>
          <w:color w:val="000000" w:themeColor="text1"/>
        </w:rPr>
        <w:t>, Ibn al-</w:t>
      </w:r>
      <w:proofErr w:type="spellStart"/>
      <w:r w:rsidRPr="001E24FD">
        <w:rPr>
          <w:rFonts w:asciiTheme="majorBidi" w:hAnsiTheme="majorBidi" w:cstheme="majorBidi"/>
          <w:color w:val="000000" w:themeColor="text1"/>
        </w:rPr>
        <w:t>Jawzī</w:t>
      </w:r>
      <w:proofErr w:type="spellEnd"/>
      <w:r w:rsidRPr="001E24FD">
        <w:rPr>
          <w:rFonts w:asciiTheme="majorBidi" w:hAnsiTheme="majorBidi" w:cstheme="majorBidi"/>
          <w:color w:val="000000" w:themeColor="text1"/>
        </w:rPr>
        <w:t xml:space="preserve"> stresses that the act of visiting rulers and entering their presence is not reprehensible in and of itself. “There is nothing objectionable,” he </w:t>
      </w:r>
      <w:r w:rsidR="00FF3274">
        <w:rPr>
          <w:rFonts w:asciiTheme="majorBidi" w:hAnsiTheme="majorBidi" w:cstheme="majorBidi"/>
          <w:color w:val="000000" w:themeColor="text1"/>
        </w:rPr>
        <w:t>asserts</w:t>
      </w:r>
      <w:r w:rsidRPr="001E24FD">
        <w:rPr>
          <w:rFonts w:asciiTheme="majorBidi" w:hAnsiTheme="majorBidi" w:cstheme="majorBidi"/>
          <w:color w:val="000000" w:themeColor="text1"/>
        </w:rPr>
        <w:t>, “in people entering the ruler’s presence while their intentions toward the ruler is sound.”</w:t>
      </w:r>
      <w:r w:rsidRPr="001E24FD">
        <w:rPr>
          <w:rStyle w:val="FootnoteReference"/>
          <w:rFonts w:asciiTheme="majorBidi" w:hAnsiTheme="majorBidi" w:cstheme="majorBidi"/>
          <w:color w:val="000000" w:themeColor="text1"/>
        </w:rPr>
        <w:footnoteReference w:id="81"/>
      </w:r>
      <w:r w:rsidRPr="001E24FD">
        <w:rPr>
          <w:rFonts w:asciiTheme="majorBidi" w:hAnsiTheme="majorBidi" w:cstheme="majorBidi"/>
          <w:color w:val="000000" w:themeColor="text1"/>
        </w:rPr>
        <w:t xml:space="preserve"> The problem arises when scholars—the majority of them, in fact—succumb to the temptations of worldly desires and vanities</w:t>
      </w:r>
      <w:r w:rsidR="004404F1">
        <w:rPr>
          <w:rFonts w:asciiTheme="majorBidi" w:hAnsiTheme="majorBidi" w:cstheme="majorBidi"/>
          <w:color w:val="000000" w:themeColor="text1"/>
        </w:rPr>
        <w:t>, especially since e</w:t>
      </w:r>
      <w:r w:rsidRPr="001E24FD">
        <w:rPr>
          <w:rFonts w:asciiTheme="majorBidi" w:hAnsiTheme="majorBidi" w:cstheme="majorBidi"/>
          <w:color w:val="000000" w:themeColor="text1"/>
        </w:rPr>
        <w:t xml:space="preserve">ntering the ruler’s court </w:t>
      </w:r>
      <w:r w:rsidR="004404F1">
        <w:rPr>
          <w:rFonts w:asciiTheme="majorBidi" w:hAnsiTheme="majorBidi" w:cstheme="majorBidi"/>
          <w:color w:val="000000" w:themeColor="text1"/>
        </w:rPr>
        <w:t xml:space="preserve">inevitably </w:t>
      </w:r>
      <w:r w:rsidRPr="001E24FD">
        <w:rPr>
          <w:rFonts w:asciiTheme="majorBidi" w:hAnsiTheme="majorBidi" w:cstheme="majorBidi"/>
          <w:color w:val="000000" w:themeColor="text1"/>
        </w:rPr>
        <w:t>exposes one to many sins (</w:t>
      </w:r>
      <w:proofErr w:type="spellStart"/>
      <w:r w:rsidRPr="00EA6D40">
        <w:rPr>
          <w:rFonts w:asciiTheme="majorBidi" w:hAnsiTheme="majorBidi" w:cstheme="majorBidi"/>
          <w:i/>
          <w:iCs/>
          <w:color w:val="000000" w:themeColor="text1"/>
        </w:rPr>
        <w:t>maʿāṣin</w:t>
      </w:r>
      <w:proofErr w:type="spellEnd"/>
      <w:r w:rsidRPr="001E24FD">
        <w:rPr>
          <w:rFonts w:asciiTheme="majorBidi" w:hAnsiTheme="majorBidi" w:cstheme="majorBidi"/>
          <w:color w:val="000000" w:themeColor="text1"/>
        </w:rPr>
        <w:t xml:space="preserve">). </w:t>
      </w:r>
      <w:r w:rsidR="004404F1">
        <w:rPr>
          <w:rFonts w:asciiTheme="majorBidi" w:hAnsiTheme="majorBidi" w:cstheme="majorBidi"/>
          <w:color w:val="000000" w:themeColor="text1"/>
        </w:rPr>
        <w:t>For instance, t</w:t>
      </w:r>
      <w:r w:rsidRPr="001E24FD">
        <w:rPr>
          <w:rFonts w:asciiTheme="majorBidi" w:hAnsiTheme="majorBidi" w:cstheme="majorBidi"/>
          <w:color w:val="000000" w:themeColor="text1"/>
        </w:rPr>
        <w:t>he ruler might be living in a property that is usurped (</w:t>
      </w:r>
      <w:proofErr w:type="spellStart"/>
      <w:r w:rsidRPr="001E24FD">
        <w:rPr>
          <w:rFonts w:asciiTheme="majorBidi" w:hAnsiTheme="majorBidi" w:cstheme="majorBidi"/>
          <w:i/>
          <w:iCs/>
          <w:color w:val="000000" w:themeColor="text1"/>
        </w:rPr>
        <w:t>dūr</w:t>
      </w:r>
      <w:proofErr w:type="spellEnd"/>
      <w:r w:rsidRPr="001E24FD">
        <w:rPr>
          <w:rFonts w:asciiTheme="majorBidi" w:hAnsiTheme="majorBidi" w:cstheme="majorBidi"/>
          <w:i/>
          <w:iCs/>
          <w:color w:val="000000" w:themeColor="text1"/>
        </w:rPr>
        <w:t xml:space="preserve"> </w:t>
      </w:r>
      <w:proofErr w:type="spellStart"/>
      <w:r w:rsidRPr="001E24FD">
        <w:rPr>
          <w:rFonts w:asciiTheme="majorBidi" w:hAnsiTheme="majorBidi" w:cstheme="majorBidi"/>
          <w:i/>
          <w:iCs/>
          <w:color w:val="000000" w:themeColor="text1"/>
        </w:rPr>
        <w:t>maghṣūba</w:t>
      </w:r>
      <w:proofErr w:type="spellEnd"/>
      <w:r w:rsidRPr="001E24FD">
        <w:rPr>
          <w:rFonts w:asciiTheme="majorBidi" w:hAnsiTheme="majorBidi" w:cstheme="majorBidi"/>
          <w:color w:val="000000" w:themeColor="text1"/>
        </w:rPr>
        <w:t>)</w:t>
      </w:r>
      <w:r w:rsidR="004404F1">
        <w:rPr>
          <w:rFonts w:asciiTheme="majorBidi" w:hAnsiTheme="majorBidi" w:cstheme="majorBidi"/>
          <w:color w:val="000000" w:themeColor="text1"/>
        </w:rPr>
        <w:t>. S</w:t>
      </w:r>
      <w:r w:rsidRPr="001E24FD">
        <w:rPr>
          <w:rFonts w:asciiTheme="majorBidi" w:hAnsiTheme="majorBidi" w:cstheme="majorBidi"/>
          <w:color w:val="000000" w:themeColor="text1"/>
        </w:rPr>
        <w:t xml:space="preserve">cholars might be required to kneel and prostrate in front of the ruler </w:t>
      </w:r>
      <w:r w:rsidR="004404F1">
        <w:rPr>
          <w:rFonts w:asciiTheme="majorBidi" w:hAnsiTheme="majorBidi" w:cstheme="majorBidi"/>
          <w:color w:val="000000" w:themeColor="text1"/>
        </w:rPr>
        <w:t>in accordance with</w:t>
      </w:r>
      <w:r w:rsidRPr="001E24FD">
        <w:rPr>
          <w:rFonts w:asciiTheme="majorBidi" w:hAnsiTheme="majorBidi" w:cstheme="majorBidi"/>
          <w:color w:val="000000" w:themeColor="text1"/>
        </w:rPr>
        <w:t xml:space="preserve"> court protocol. One might </w:t>
      </w:r>
      <w:r w:rsidR="004404F1">
        <w:rPr>
          <w:rFonts w:asciiTheme="majorBidi" w:hAnsiTheme="majorBidi" w:cstheme="majorBidi"/>
          <w:color w:val="000000" w:themeColor="text1"/>
        </w:rPr>
        <w:t xml:space="preserve">even </w:t>
      </w:r>
      <w:r w:rsidRPr="001E24FD">
        <w:rPr>
          <w:rFonts w:asciiTheme="majorBidi" w:hAnsiTheme="majorBidi" w:cstheme="majorBidi"/>
          <w:color w:val="000000" w:themeColor="text1"/>
        </w:rPr>
        <w:t xml:space="preserve">be bedazzled by the palaces of gold and silver and the silk clothes worn by the ruler and his officials. One might also hear words which are not permissible </w:t>
      </w:r>
      <w:r w:rsidR="009C031B">
        <w:rPr>
          <w:rFonts w:asciiTheme="majorBidi" w:hAnsiTheme="majorBidi" w:cstheme="majorBidi"/>
          <w:color w:val="000000" w:themeColor="text1"/>
        </w:rPr>
        <w:t xml:space="preserve">in Islamic law </w:t>
      </w:r>
      <w:r w:rsidRPr="001E24FD">
        <w:rPr>
          <w:rFonts w:asciiTheme="majorBidi" w:hAnsiTheme="majorBidi" w:cstheme="majorBidi"/>
          <w:color w:val="000000" w:themeColor="text1"/>
        </w:rPr>
        <w:t>to be uttered.</w:t>
      </w:r>
      <w:r w:rsidRPr="001E24FD">
        <w:rPr>
          <w:rStyle w:val="FootnoteReference"/>
          <w:rFonts w:asciiTheme="majorBidi" w:hAnsiTheme="majorBidi" w:cstheme="majorBidi"/>
          <w:color w:val="000000" w:themeColor="text1"/>
        </w:rPr>
        <w:footnoteReference w:id="82"/>
      </w:r>
      <w:r w:rsidRPr="001E24FD">
        <w:rPr>
          <w:rFonts w:asciiTheme="majorBidi" w:hAnsiTheme="majorBidi" w:cstheme="majorBidi"/>
          <w:color w:val="000000" w:themeColor="text1"/>
        </w:rPr>
        <w:t xml:space="preserve"> </w:t>
      </w:r>
      <w:r w:rsidR="004404F1">
        <w:rPr>
          <w:rFonts w:asciiTheme="majorBidi" w:hAnsiTheme="majorBidi" w:cstheme="majorBidi"/>
          <w:color w:val="000000" w:themeColor="text1"/>
        </w:rPr>
        <w:t>Yet</w:t>
      </w:r>
      <w:r w:rsidR="004F7C32">
        <w:rPr>
          <w:rFonts w:asciiTheme="majorBidi" w:hAnsiTheme="majorBidi" w:cstheme="majorBidi"/>
          <w:color w:val="000000" w:themeColor="text1"/>
        </w:rPr>
        <w:t>, Ibn al-</w:t>
      </w:r>
      <w:proofErr w:type="spellStart"/>
      <w:r w:rsidR="004F7C32">
        <w:rPr>
          <w:rFonts w:asciiTheme="majorBidi" w:hAnsiTheme="majorBidi" w:cstheme="majorBidi"/>
          <w:color w:val="000000" w:themeColor="text1"/>
        </w:rPr>
        <w:t>Jawzī</w:t>
      </w:r>
      <w:proofErr w:type="spellEnd"/>
      <w:r w:rsidR="004F7C32">
        <w:rPr>
          <w:rFonts w:asciiTheme="majorBidi" w:hAnsiTheme="majorBidi" w:cstheme="majorBidi"/>
          <w:color w:val="000000" w:themeColor="text1"/>
        </w:rPr>
        <w:t xml:space="preserve"> continues,</w:t>
      </w:r>
      <w:r w:rsidRPr="001E24FD">
        <w:rPr>
          <w:rFonts w:asciiTheme="majorBidi" w:hAnsiTheme="majorBidi" w:cstheme="majorBidi"/>
          <w:color w:val="000000" w:themeColor="text1"/>
        </w:rPr>
        <w:t xml:space="preserve"> </w:t>
      </w:r>
      <w:r w:rsidR="004F7C32">
        <w:rPr>
          <w:rFonts w:asciiTheme="majorBidi" w:hAnsiTheme="majorBidi" w:cstheme="majorBidi"/>
          <w:color w:val="000000" w:themeColor="text1"/>
        </w:rPr>
        <w:t xml:space="preserve">it would simply be ignorant to </w:t>
      </w:r>
      <w:r w:rsidR="004F7C32" w:rsidRPr="001E24FD">
        <w:rPr>
          <w:rFonts w:asciiTheme="majorBidi" w:hAnsiTheme="majorBidi" w:cstheme="majorBidi"/>
          <w:color w:val="000000" w:themeColor="text1"/>
        </w:rPr>
        <w:t>abandon the duty of commanding right and forbidding wrong</w:t>
      </w:r>
      <w:r w:rsidR="004F7C32">
        <w:rPr>
          <w:rFonts w:asciiTheme="majorBidi" w:hAnsiTheme="majorBidi" w:cstheme="majorBidi"/>
          <w:color w:val="000000" w:themeColor="text1"/>
        </w:rPr>
        <w:t xml:space="preserve"> altogether due to </w:t>
      </w:r>
      <w:r w:rsidRPr="001E24FD">
        <w:rPr>
          <w:rFonts w:asciiTheme="majorBidi" w:hAnsiTheme="majorBidi" w:cstheme="majorBidi"/>
          <w:color w:val="000000" w:themeColor="text1"/>
        </w:rPr>
        <w:t xml:space="preserve">these </w:t>
      </w:r>
      <w:r w:rsidR="00FC093E">
        <w:rPr>
          <w:rFonts w:asciiTheme="majorBidi" w:hAnsiTheme="majorBidi" w:cstheme="majorBidi"/>
          <w:color w:val="000000" w:themeColor="text1"/>
        </w:rPr>
        <w:t>potential moral hazards</w:t>
      </w:r>
      <w:r w:rsidRPr="001E24FD">
        <w:rPr>
          <w:rFonts w:asciiTheme="majorBidi" w:hAnsiTheme="majorBidi" w:cstheme="majorBidi"/>
          <w:color w:val="000000" w:themeColor="text1"/>
        </w:rPr>
        <w:t xml:space="preserve">. The general </w:t>
      </w:r>
      <w:r w:rsidR="00284EF3">
        <w:rPr>
          <w:rFonts w:asciiTheme="majorBidi" w:hAnsiTheme="majorBidi" w:cstheme="majorBidi"/>
          <w:color w:val="000000" w:themeColor="text1"/>
        </w:rPr>
        <w:t>good</w:t>
      </w:r>
      <w:r w:rsidRPr="001E24FD">
        <w:rPr>
          <w:rFonts w:asciiTheme="majorBidi" w:hAnsiTheme="majorBidi" w:cstheme="majorBidi"/>
          <w:color w:val="000000" w:themeColor="text1"/>
        </w:rPr>
        <w:t xml:space="preserve"> (</w:t>
      </w:r>
      <w:r w:rsidRPr="001E24FD">
        <w:rPr>
          <w:rFonts w:asciiTheme="majorBidi" w:hAnsiTheme="majorBidi" w:cstheme="majorBidi"/>
          <w:i/>
          <w:iCs/>
          <w:color w:val="000000" w:themeColor="text1"/>
        </w:rPr>
        <w:t>al-</w:t>
      </w:r>
      <w:proofErr w:type="spellStart"/>
      <w:r w:rsidRPr="001E24FD">
        <w:rPr>
          <w:rFonts w:asciiTheme="majorBidi" w:hAnsiTheme="majorBidi" w:cstheme="majorBidi"/>
          <w:i/>
          <w:iCs/>
          <w:color w:val="000000" w:themeColor="text1"/>
        </w:rPr>
        <w:t>nafʿ</w:t>
      </w:r>
      <w:proofErr w:type="spellEnd"/>
      <w:r w:rsidRPr="001E24FD">
        <w:rPr>
          <w:rFonts w:asciiTheme="majorBidi" w:hAnsiTheme="majorBidi" w:cstheme="majorBidi"/>
          <w:i/>
          <w:iCs/>
          <w:color w:val="000000" w:themeColor="text1"/>
        </w:rPr>
        <w:t xml:space="preserve"> al-</w:t>
      </w:r>
      <w:proofErr w:type="spellStart"/>
      <w:r w:rsidRPr="001E24FD">
        <w:rPr>
          <w:rFonts w:asciiTheme="majorBidi" w:hAnsiTheme="majorBidi" w:cstheme="majorBidi"/>
          <w:i/>
          <w:iCs/>
          <w:color w:val="000000" w:themeColor="text1"/>
        </w:rPr>
        <w:t>ʿāmm</w:t>
      </w:r>
      <w:proofErr w:type="spellEnd"/>
      <w:r w:rsidRPr="001E24FD">
        <w:rPr>
          <w:rFonts w:asciiTheme="majorBidi" w:hAnsiTheme="majorBidi" w:cstheme="majorBidi"/>
          <w:color w:val="000000" w:themeColor="text1"/>
        </w:rPr>
        <w:t xml:space="preserve">) to be gained from enjoining the ruler to do right and forbidding him from </w:t>
      </w:r>
      <w:r w:rsidR="009C031B">
        <w:rPr>
          <w:rFonts w:asciiTheme="majorBidi" w:hAnsiTheme="majorBidi" w:cstheme="majorBidi"/>
          <w:color w:val="000000" w:themeColor="text1"/>
        </w:rPr>
        <w:t>error</w:t>
      </w:r>
      <w:r w:rsidRPr="001E24FD">
        <w:rPr>
          <w:rFonts w:asciiTheme="majorBidi" w:hAnsiTheme="majorBidi" w:cstheme="majorBidi"/>
          <w:color w:val="000000" w:themeColor="text1"/>
        </w:rPr>
        <w:t xml:space="preserve"> should not be </w:t>
      </w:r>
      <w:r w:rsidR="004F7C32" w:rsidRPr="001E24FD">
        <w:rPr>
          <w:rFonts w:asciiTheme="majorBidi" w:hAnsiTheme="majorBidi" w:cstheme="majorBidi"/>
          <w:color w:val="000000" w:themeColor="text1"/>
        </w:rPr>
        <w:t>forsaken</w:t>
      </w:r>
      <w:r w:rsidRPr="001E24FD">
        <w:rPr>
          <w:rFonts w:asciiTheme="majorBidi" w:hAnsiTheme="majorBidi" w:cstheme="majorBidi"/>
          <w:color w:val="000000" w:themeColor="text1"/>
        </w:rPr>
        <w:t xml:space="preserve"> for the sake of preventing a specific harm (</w:t>
      </w:r>
      <w:proofErr w:type="spellStart"/>
      <w:r w:rsidRPr="001E24FD">
        <w:rPr>
          <w:rFonts w:asciiTheme="majorBidi" w:hAnsiTheme="majorBidi" w:cstheme="majorBidi"/>
          <w:i/>
          <w:iCs/>
          <w:color w:val="000000" w:themeColor="text1"/>
        </w:rPr>
        <w:t>ḍarar</w:t>
      </w:r>
      <w:proofErr w:type="spellEnd"/>
      <w:r w:rsidRPr="001E24FD">
        <w:rPr>
          <w:rFonts w:asciiTheme="majorBidi" w:hAnsiTheme="majorBidi" w:cstheme="majorBidi"/>
          <w:i/>
          <w:iCs/>
          <w:color w:val="000000" w:themeColor="text1"/>
        </w:rPr>
        <w:t xml:space="preserve"> </w:t>
      </w:r>
      <w:proofErr w:type="spellStart"/>
      <w:r w:rsidRPr="001E24FD">
        <w:rPr>
          <w:rFonts w:asciiTheme="majorBidi" w:hAnsiTheme="majorBidi" w:cstheme="majorBidi"/>
          <w:i/>
          <w:iCs/>
          <w:color w:val="000000" w:themeColor="text1"/>
        </w:rPr>
        <w:t>khāṣṣ</w:t>
      </w:r>
      <w:proofErr w:type="spellEnd"/>
      <w:r w:rsidRPr="001E24FD">
        <w:rPr>
          <w:rFonts w:asciiTheme="majorBidi" w:hAnsiTheme="majorBidi" w:cstheme="majorBidi"/>
          <w:color w:val="000000" w:themeColor="text1"/>
        </w:rPr>
        <w:t xml:space="preserve">). If </w:t>
      </w:r>
      <w:r w:rsidR="00284EF3">
        <w:rPr>
          <w:rFonts w:asciiTheme="majorBidi" w:hAnsiTheme="majorBidi" w:cstheme="majorBidi"/>
          <w:color w:val="000000" w:themeColor="text1"/>
        </w:rPr>
        <w:t xml:space="preserve">a </w:t>
      </w:r>
      <w:r w:rsidRPr="001E24FD">
        <w:rPr>
          <w:rFonts w:asciiTheme="majorBidi" w:hAnsiTheme="majorBidi" w:cstheme="majorBidi"/>
          <w:color w:val="000000" w:themeColor="text1"/>
        </w:rPr>
        <w:t>scholar deems it safe physically and spiritually</w:t>
      </w:r>
      <w:r w:rsidR="00284EF3">
        <w:rPr>
          <w:rFonts w:asciiTheme="majorBidi" w:hAnsiTheme="majorBidi" w:cstheme="majorBidi"/>
          <w:color w:val="000000" w:themeColor="text1"/>
        </w:rPr>
        <w:t xml:space="preserve"> </w:t>
      </w:r>
      <w:r w:rsidRPr="001E24FD">
        <w:rPr>
          <w:rFonts w:asciiTheme="majorBidi" w:hAnsiTheme="majorBidi" w:cstheme="majorBidi"/>
          <w:color w:val="000000" w:themeColor="text1"/>
        </w:rPr>
        <w:t xml:space="preserve">to </w:t>
      </w:r>
      <w:r w:rsidR="009C031B">
        <w:rPr>
          <w:rFonts w:asciiTheme="majorBidi" w:hAnsiTheme="majorBidi" w:cstheme="majorBidi"/>
          <w:color w:val="000000" w:themeColor="text1"/>
        </w:rPr>
        <w:t>enter</w:t>
      </w:r>
      <w:r w:rsidRPr="001E24FD">
        <w:rPr>
          <w:rFonts w:asciiTheme="majorBidi" w:hAnsiTheme="majorBidi" w:cstheme="majorBidi"/>
          <w:color w:val="000000" w:themeColor="text1"/>
        </w:rPr>
        <w:t xml:space="preserve"> the </w:t>
      </w:r>
      <w:r w:rsidR="009C031B">
        <w:rPr>
          <w:rFonts w:asciiTheme="majorBidi" w:hAnsiTheme="majorBidi" w:cstheme="majorBidi"/>
          <w:color w:val="000000" w:themeColor="text1"/>
        </w:rPr>
        <w:t xml:space="preserve">presence of a </w:t>
      </w:r>
      <w:r w:rsidRPr="001E24FD">
        <w:rPr>
          <w:rFonts w:asciiTheme="majorBidi" w:hAnsiTheme="majorBidi" w:cstheme="majorBidi"/>
          <w:color w:val="000000" w:themeColor="text1"/>
        </w:rPr>
        <w:t xml:space="preserve">ruler, then it is permissible for him to </w:t>
      </w:r>
      <w:r w:rsidR="004F7C32">
        <w:rPr>
          <w:rFonts w:asciiTheme="majorBidi" w:hAnsiTheme="majorBidi" w:cstheme="majorBidi"/>
          <w:color w:val="000000" w:themeColor="text1"/>
        </w:rPr>
        <w:t>associate</w:t>
      </w:r>
      <w:r w:rsidRPr="001E24FD">
        <w:rPr>
          <w:rFonts w:asciiTheme="majorBidi" w:hAnsiTheme="majorBidi" w:cstheme="majorBidi"/>
          <w:color w:val="000000" w:themeColor="text1"/>
        </w:rPr>
        <w:t xml:space="preserve"> with the ruler because </w:t>
      </w:r>
      <w:r w:rsidR="009C031B">
        <w:rPr>
          <w:rFonts w:asciiTheme="majorBidi" w:hAnsiTheme="majorBidi" w:cstheme="majorBidi"/>
          <w:color w:val="000000" w:themeColor="text1"/>
        </w:rPr>
        <w:t xml:space="preserve">this presents an opportunity for him to </w:t>
      </w:r>
      <w:r w:rsidR="004F7C32">
        <w:rPr>
          <w:rFonts w:asciiTheme="majorBidi" w:hAnsiTheme="majorBidi" w:cstheme="majorBidi"/>
          <w:color w:val="000000" w:themeColor="text1"/>
        </w:rPr>
        <w:t xml:space="preserve">instruct </w:t>
      </w:r>
      <w:r w:rsidRPr="001E24FD">
        <w:rPr>
          <w:rFonts w:asciiTheme="majorBidi" w:hAnsiTheme="majorBidi" w:cstheme="majorBidi"/>
          <w:color w:val="000000" w:themeColor="text1"/>
        </w:rPr>
        <w:t xml:space="preserve">the ruler </w:t>
      </w:r>
      <w:r w:rsidR="00C25B96">
        <w:rPr>
          <w:rFonts w:asciiTheme="majorBidi" w:hAnsiTheme="majorBidi" w:cstheme="majorBidi"/>
          <w:color w:val="000000" w:themeColor="text1"/>
        </w:rPr>
        <w:t>in</w:t>
      </w:r>
      <w:r w:rsidRPr="001E24FD">
        <w:rPr>
          <w:rFonts w:asciiTheme="majorBidi" w:hAnsiTheme="majorBidi" w:cstheme="majorBidi"/>
          <w:color w:val="000000" w:themeColor="text1"/>
        </w:rPr>
        <w:t xml:space="preserve"> </w:t>
      </w:r>
      <w:r w:rsidR="004F7C32">
        <w:rPr>
          <w:rFonts w:asciiTheme="majorBidi" w:hAnsiTheme="majorBidi" w:cstheme="majorBidi"/>
          <w:color w:val="000000" w:themeColor="text1"/>
        </w:rPr>
        <w:t>righteousness</w:t>
      </w:r>
      <w:r w:rsidRPr="001E24FD">
        <w:rPr>
          <w:rFonts w:asciiTheme="majorBidi" w:hAnsiTheme="majorBidi" w:cstheme="majorBidi"/>
          <w:color w:val="000000" w:themeColor="text1"/>
        </w:rPr>
        <w:t>.</w:t>
      </w:r>
      <w:r w:rsidRPr="001E24FD">
        <w:rPr>
          <w:rStyle w:val="FootnoteReference"/>
          <w:rFonts w:asciiTheme="majorBidi" w:hAnsiTheme="majorBidi" w:cstheme="majorBidi"/>
          <w:color w:val="000000" w:themeColor="text1"/>
        </w:rPr>
        <w:footnoteReference w:id="83"/>
      </w:r>
    </w:p>
    <w:p w14:paraId="1845D600" w14:textId="4A2F6DE1" w:rsidR="004404F1" w:rsidRDefault="004404F1" w:rsidP="0037533B">
      <w:pPr>
        <w:spacing w:line="360" w:lineRule="auto"/>
        <w:rPr>
          <w:rFonts w:asciiTheme="majorBidi" w:hAnsiTheme="majorBidi" w:cstheme="majorBidi"/>
          <w:color w:val="000000" w:themeColor="text1"/>
        </w:rPr>
      </w:pPr>
    </w:p>
    <w:p w14:paraId="189738B4" w14:textId="57E6D292" w:rsidR="004404F1" w:rsidRDefault="004404F1" w:rsidP="0037533B">
      <w:pPr>
        <w:spacing w:line="360" w:lineRule="auto"/>
        <w:rPr>
          <w:rFonts w:asciiTheme="majorBidi" w:hAnsiTheme="majorBidi" w:cstheme="majorBidi"/>
          <w:color w:val="000000" w:themeColor="text1"/>
          <w:u w:val="single"/>
        </w:rPr>
      </w:pPr>
      <w:r>
        <w:rPr>
          <w:rFonts w:asciiTheme="majorBidi" w:hAnsiTheme="majorBidi" w:cstheme="majorBidi"/>
          <w:color w:val="000000" w:themeColor="text1"/>
          <w:u w:val="single"/>
        </w:rPr>
        <w:t xml:space="preserve">Reconceptualizing </w:t>
      </w:r>
      <w:r w:rsidR="0039699A">
        <w:rPr>
          <w:rFonts w:asciiTheme="majorBidi" w:hAnsiTheme="majorBidi" w:cstheme="majorBidi"/>
          <w:color w:val="000000" w:themeColor="text1"/>
          <w:u w:val="single"/>
        </w:rPr>
        <w:t>Political and Religious Authority</w:t>
      </w:r>
    </w:p>
    <w:p w14:paraId="4D29004F" w14:textId="77777777" w:rsidR="00303D8C" w:rsidRDefault="00303D8C" w:rsidP="0037533B">
      <w:pPr>
        <w:spacing w:line="360" w:lineRule="auto"/>
        <w:rPr>
          <w:rFonts w:asciiTheme="majorBidi" w:hAnsiTheme="majorBidi" w:cstheme="majorBidi"/>
          <w:color w:val="000000" w:themeColor="text1"/>
        </w:rPr>
      </w:pPr>
    </w:p>
    <w:p w14:paraId="41BBBB28" w14:textId="60FB7A90" w:rsidR="00BA27C5" w:rsidRDefault="004404F1" w:rsidP="0037533B">
      <w:pPr>
        <w:spacing w:line="360" w:lineRule="auto"/>
        <w:rPr>
          <w:rFonts w:asciiTheme="majorBidi" w:hAnsiTheme="majorBidi" w:cstheme="majorBidi"/>
        </w:rPr>
      </w:pPr>
      <w:r>
        <w:rPr>
          <w:rFonts w:asciiTheme="majorBidi" w:hAnsiTheme="majorBidi" w:cstheme="majorBidi"/>
          <w:color w:val="000000" w:themeColor="text1"/>
        </w:rPr>
        <w:tab/>
      </w:r>
      <w:r w:rsidR="00A82837">
        <w:rPr>
          <w:rFonts w:asciiTheme="majorBidi" w:hAnsiTheme="majorBidi" w:cstheme="majorBidi"/>
          <w:color w:val="000000" w:themeColor="text1"/>
        </w:rPr>
        <w:t xml:space="preserve">As </w:t>
      </w:r>
      <w:r w:rsidR="00C62181">
        <w:rPr>
          <w:rFonts w:asciiTheme="majorBidi" w:hAnsiTheme="majorBidi" w:cstheme="majorBidi"/>
          <w:color w:val="000000" w:themeColor="text1"/>
        </w:rPr>
        <w:t xml:space="preserve">we </w:t>
      </w:r>
      <w:r w:rsidR="00FE1945">
        <w:rPr>
          <w:rFonts w:asciiTheme="majorBidi" w:hAnsiTheme="majorBidi" w:cstheme="majorBidi"/>
          <w:color w:val="000000" w:themeColor="text1"/>
        </w:rPr>
        <w:t>near the end of</w:t>
      </w:r>
      <w:r w:rsidR="00B62867">
        <w:rPr>
          <w:rFonts w:asciiTheme="majorBidi" w:hAnsiTheme="majorBidi" w:cstheme="majorBidi"/>
          <w:color w:val="000000" w:themeColor="text1"/>
        </w:rPr>
        <w:t xml:space="preserve"> the </w:t>
      </w:r>
      <w:proofErr w:type="spellStart"/>
      <w:r w:rsidR="00B62867">
        <w:rPr>
          <w:rFonts w:asciiTheme="majorBidi" w:hAnsiTheme="majorBidi" w:cstheme="majorBidi"/>
          <w:i/>
          <w:iCs/>
          <w:color w:val="000000" w:themeColor="text1"/>
        </w:rPr>
        <w:t>ʿAṭf</w:t>
      </w:r>
      <w:proofErr w:type="spellEnd"/>
      <w:r w:rsidR="00B62867">
        <w:rPr>
          <w:rFonts w:asciiTheme="majorBidi" w:hAnsiTheme="majorBidi" w:cstheme="majorBidi"/>
          <w:color w:val="000000" w:themeColor="text1"/>
        </w:rPr>
        <w:t xml:space="preserve">, it becomes </w:t>
      </w:r>
      <w:r w:rsidR="00C62181">
        <w:rPr>
          <w:rFonts w:asciiTheme="majorBidi" w:hAnsiTheme="majorBidi" w:cstheme="majorBidi"/>
          <w:color w:val="000000" w:themeColor="text1"/>
        </w:rPr>
        <w:t xml:space="preserve">increasingly </w:t>
      </w:r>
      <w:r w:rsidR="00B62867">
        <w:rPr>
          <w:rFonts w:asciiTheme="majorBidi" w:hAnsiTheme="majorBidi" w:cstheme="majorBidi"/>
          <w:color w:val="000000" w:themeColor="text1"/>
        </w:rPr>
        <w:t>clear that Ibn al-</w:t>
      </w:r>
      <w:proofErr w:type="spellStart"/>
      <w:r w:rsidR="00B62867">
        <w:rPr>
          <w:rFonts w:asciiTheme="majorBidi" w:hAnsiTheme="majorBidi" w:cstheme="majorBidi"/>
          <w:color w:val="000000" w:themeColor="text1"/>
        </w:rPr>
        <w:t>Jawzī’s</w:t>
      </w:r>
      <w:proofErr w:type="spellEnd"/>
      <w:r w:rsidR="00B62867">
        <w:rPr>
          <w:rFonts w:asciiTheme="majorBidi" w:hAnsiTheme="majorBidi" w:cstheme="majorBidi"/>
          <w:color w:val="000000" w:themeColor="text1"/>
        </w:rPr>
        <w:t xml:space="preserve"> </w:t>
      </w:r>
      <w:r w:rsidR="00AC7214">
        <w:rPr>
          <w:rFonts w:asciiTheme="majorBidi" w:hAnsiTheme="majorBidi" w:cstheme="majorBidi"/>
          <w:color w:val="000000" w:themeColor="text1"/>
        </w:rPr>
        <w:t xml:space="preserve">solution to </w:t>
      </w:r>
      <w:r w:rsidR="00A82837">
        <w:rPr>
          <w:rFonts w:asciiTheme="majorBidi" w:hAnsiTheme="majorBidi" w:cstheme="majorBidi"/>
          <w:color w:val="000000" w:themeColor="text1"/>
        </w:rPr>
        <w:t xml:space="preserve">the crisis of political and religious authority during the late Abbasid period is not limited to defending the practice of associating with rulers. </w:t>
      </w:r>
      <w:r w:rsidRPr="001E24FD">
        <w:rPr>
          <w:rFonts w:asciiTheme="majorBidi" w:hAnsiTheme="majorBidi" w:cstheme="majorBidi"/>
        </w:rPr>
        <w:t xml:space="preserve">The second chapter of </w:t>
      </w:r>
      <w:r w:rsidR="00FE1945">
        <w:rPr>
          <w:rFonts w:asciiTheme="majorBidi" w:hAnsiTheme="majorBidi" w:cstheme="majorBidi"/>
        </w:rPr>
        <w:t xml:space="preserve">the treatise, which is </w:t>
      </w:r>
      <w:r w:rsidRPr="001E24FD">
        <w:rPr>
          <w:rFonts w:asciiTheme="majorBidi" w:hAnsiTheme="majorBidi" w:cstheme="majorBidi"/>
        </w:rPr>
        <w:t>addressed to rulers</w:t>
      </w:r>
      <w:r w:rsidR="00FE1945">
        <w:rPr>
          <w:rFonts w:asciiTheme="majorBidi" w:hAnsiTheme="majorBidi" w:cstheme="majorBidi"/>
        </w:rPr>
        <w:t xml:space="preserve">, provides additional </w:t>
      </w:r>
      <w:r w:rsidR="00522193">
        <w:rPr>
          <w:rFonts w:asciiTheme="majorBidi" w:hAnsiTheme="majorBidi" w:cstheme="majorBidi"/>
        </w:rPr>
        <w:t>details</w:t>
      </w:r>
      <w:r w:rsidR="00FE1945">
        <w:rPr>
          <w:rFonts w:asciiTheme="majorBidi" w:hAnsiTheme="majorBidi" w:cstheme="majorBidi"/>
        </w:rPr>
        <w:t xml:space="preserve"> about his political program</w:t>
      </w:r>
      <w:r w:rsidR="00F47F25">
        <w:rPr>
          <w:rFonts w:asciiTheme="majorBidi" w:hAnsiTheme="majorBidi" w:cstheme="majorBidi"/>
        </w:rPr>
        <w:t xml:space="preserve">, especially with regard to </w:t>
      </w:r>
      <w:r w:rsidRPr="001E24FD">
        <w:rPr>
          <w:rFonts w:asciiTheme="majorBidi" w:hAnsiTheme="majorBidi" w:cstheme="majorBidi"/>
        </w:rPr>
        <w:t xml:space="preserve">the hierarchy of authority </w:t>
      </w:r>
      <w:r w:rsidR="00AA4019">
        <w:rPr>
          <w:rFonts w:asciiTheme="majorBidi" w:hAnsiTheme="majorBidi" w:cstheme="majorBidi"/>
        </w:rPr>
        <w:t>he</w:t>
      </w:r>
      <w:r w:rsidRPr="001E24FD">
        <w:rPr>
          <w:rFonts w:asciiTheme="majorBidi" w:hAnsiTheme="majorBidi" w:cstheme="majorBidi"/>
        </w:rPr>
        <w:t xml:space="preserve"> envisions for ideal Islamic rule.</w:t>
      </w:r>
      <w:r w:rsidR="00D36F8B">
        <w:rPr>
          <w:rFonts w:asciiTheme="majorBidi" w:hAnsiTheme="majorBidi" w:cstheme="majorBidi"/>
        </w:rPr>
        <w:t xml:space="preserve"> </w:t>
      </w:r>
      <w:r w:rsidR="00124EB3">
        <w:rPr>
          <w:rFonts w:asciiTheme="majorBidi" w:hAnsiTheme="majorBidi" w:cstheme="majorBidi"/>
        </w:rPr>
        <w:t>T</w:t>
      </w:r>
      <w:r w:rsidRPr="001E24FD">
        <w:rPr>
          <w:rFonts w:asciiTheme="majorBidi" w:hAnsiTheme="majorBidi" w:cstheme="majorBidi"/>
        </w:rPr>
        <w:t xml:space="preserve">he chapter </w:t>
      </w:r>
      <w:r w:rsidR="00124EB3">
        <w:rPr>
          <w:rFonts w:asciiTheme="majorBidi" w:hAnsiTheme="majorBidi" w:cstheme="majorBidi"/>
        </w:rPr>
        <w:t xml:space="preserve">begins </w:t>
      </w:r>
      <w:r w:rsidRPr="001E24FD">
        <w:rPr>
          <w:rFonts w:asciiTheme="majorBidi" w:hAnsiTheme="majorBidi" w:cstheme="majorBidi"/>
        </w:rPr>
        <w:t>with a short excursus on the noble nature of rulershi</w:t>
      </w:r>
      <w:r w:rsidR="00124EB3">
        <w:rPr>
          <w:rFonts w:asciiTheme="majorBidi" w:hAnsiTheme="majorBidi" w:cstheme="majorBidi"/>
        </w:rPr>
        <w:t>p by</w:t>
      </w:r>
      <w:r w:rsidRPr="001E24FD">
        <w:rPr>
          <w:rFonts w:asciiTheme="majorBidi" w:hAnsiTheme="majorBidi" w:cstheme="majorBidi"/>
        </w:rPr>
        <w:t xml:space="preserve"> remind</w:t>
      </w:r>
      <w:r w:rsidR="00124EB3">
        <w:rPr>
          <w:rFonts w:asciiTheme="majorBidi" w:hAnsiTheme="majorBidi" w:cstheme="majorBidi"/>
        </w:rPr>
        <w:t>ing</w:t>
      </w:r>
      <w:r w:rsidRPr="001E24FD">
        <w:rPr>
          <w:rFonts w:asciiTheme="majorBidi" w:hAnsiTheme="majorBidi" w:cstheme="majorBidi"/>
        </w:rPr>
        <w:t xml:space="preserve"> the ruler that the foundation (</w:t>
      </w:r>
      <w:proofErr w:type="spellStart"/>
      <w:r w:rsidRPr="001E24FD">
        <w:rPr>
          <w:rFonts w:asciiTheme="majorBidi" w:hAnsiTheme="majorBidi" w:cstheme="majorBidi"/>
          <w:i/>
          <w:iCs/>
        </w:rPr>
        <w:t>aṣl</w:t>
      </w:r>
      <w:proofErr w:type="spellEnd"/>
      <w:r w:rsidRPr="001E24FD">
        <w:rPr>
          <w:rFonts w:asciiTheme="majorBidi" w:hAnsiTheme="majorBidi" w:cstheme="majorBidi"/>
        </w:rPr>
        <w:t xml:space="preserve">) of his </w:t>
      </w:r>
      <w:r w:rsidRPr="001E24FD">
        <w:rPr>
          <w:rFonts w:asciiTheme="majorBidi" w:hAnsiTheme="majorBidi" w:cstheme="majorBidi"/>
        </w:rPr>
        <w:lastRenderedPageBreak/>
        <w:t>rule is religion (</w:t>
      </w:r>
      <w:proofErr w:type="spellStart"/>
      <w:r w:rsidRPr="001E24FD">
        <w:rPr>
          <w:rFonts w:asciiTheme="majorBidi" w:hAnsiTheme="majorBidi" w:cstheme="majorBidi"/>
          <w:i/>
          <w:iCs/>
        </w:rPr>
        <w:t>dīn</w:t>
      </w:r>
      <w:proofErr w:type="spellEnd"/>
      <w:r w:rsidRPr="001E24FD">
        <w:rPr>
          <w:rFonts w:asciiTheme="majorBidi" w:hAnsiTheme="majorBidi" w:cstheme="majorBidi"/>
        </w:rPr>
        <w:t>). The knowledge (</w:t>
      </w:r>
      <w:proofErr w:type="spellStart"/>
      <w:r w:rsidRPr="001E24FD">
        <w:rPr>
          <w:rFonts w:asciiTheme="majorBidi" w:hAnsiTheme="majorBidi" w:cstheme="majorBidi"/>
          <w:i/>
          <w:iCs/>
        </w:rPr>
        <w:t>maʿrifa</w:t>
      </w:r>
      <w:proofErr w:type="spellEnd"/>
      <w:r w:rsidRPr="001E24FD">
        <w:rPr>
          <w:rFonts w:asciiTheme="majorBidi" w:hAnsiTheme="majorBidi" w:cstheme="majorBidi"/>
        </w:rPr>
        <w:t>)</w:t>
      </w:r>
      <w:r w:rsidRPr="001E24FD">
        <w:rPr>
          <w:rFonts w:asciiTheme="majorBidi" w:hAnsiTheme="majorBidi" w:cstheme="majorBidi"/>
          <w:i/>
          <w:iCs/>
        </w:rPr>
        <w:t xml:space="preserve"> </w:t>
      </w:r>
      <w:r w:rsidRPr="001E24FD">
        <w:rPr>
          <w:rFonts w:asciiTheme="majorBidi" w:hAnsiTheme="majorBidi" w:cstheme="majorBidi"/>
        </w:rPr>
        <w:t xml:space="preserve">of religion </w:t>
      </w:r>
      <w:r w:rsidR="00C7561A">
        <w:rPr>
          <w:rFonts w:asciiTheme="majorBidi" w:hAnsiTheme="majorBidi" w:cstheme="majorBidi"/>
        </w:rPr>
        <w:t>belongs to</w:t>
      </w:r>
      <w:r w:rsidRPr="001E24FD">
        <w:rPr>
          <w:rFonts w:asciiTheme="majorBidi" w:hAnsiTheme="majorBidi" w:cstheme="majorBidi"/>
        </w:rPr>
        <w:t xml:space="preserve"> the religious scholars, whereas the ruler is tasked with protecting religion.</w:t>
      </w:r>
      <w:r w:rsidRPr="001E24FD">
        <w:rPr>
          <w:rStyle w:val="FootnoteReference"/>
          <w:rFonts w:asciiTheme="majorBidi" w:hAnsiTheme="majorBidi" w:cstheme="majorBidi"/>
        </w:rPr>
        <w:footnoteReference w:id="84"/>
      </w:r>
    </w:p>
    <w:p w14:paraId="29B074A3" w14:textId="0C225FA3" w:rsidR="00D36F8B" w:rsidRDefault="00BA27C5" w:rsidP="0037533B">
      <w:pPr>
        <w:spacing w:line="360" w:lineRule="auto"/>
        <w:ind w:firstLine="720"/>
        <w:rPr>
          <w:rFonts w:asciiTheme="majorBidi" w:hAnsiTheme="majorBidi" w:cstheme="majorBidi"/>
        </w:rPr>
      </w:pPr>
      <w:r>
        <w:rPr>
          <w:rFonts w:asciiTheme="majorBidi" w:hAnsiTheme="majorBidi" w:cstheme="majorBidi"/>
        </w:rPr>
        <w:t>Ibn al-</w:t>
      </w:r>
      <w:proofErr w:type="spellStart"/>
      <w:r>
        <w:rPr>
          <w:rFonts w:asciiTheme="majorBidi" w:hAnsiTheme="majorBidi" w:cstheme="majorBidi"/>
        </w:rPr>
        <w:t>Jawzī</w:t>
      </w:r>
      <w:proofErr w:type="spellEnd"/>
      <w:r w:rsidR="00204A30">
        <w:rPr>
          <w:rFonts w:asciiTheme="majorBidi" w:hAnsiTheme="majorBidi" w:cstheme="majorBidi"/>
        </w:rPr>
        <w:t xml:space="preserve"> then goes on to complicate this seemingly </w:t>
      </w:r>
      <w:r>
        <w:rPr>
          <w:rFonts w:asciiTheme="majorBidi" w:hAnsiTheme="majorBidi" w:cstheme="majorBidi"/>
        </w:rPr>
        <w:t>neat division of labor between rulers and scholars. He claims that</w:t>
      </w:r>
      <w:r w:rsidR="004404F1" w:rsidRPr="001E24FD">
        <w:rPr>
          <w:rFonts w:asciiTheme="majorBidi" w:hAnsiTheme="majorBidi" w:cstheme="majorBidi"/>
        </w:rPr>
        <w:t xml:space="preserve"> “if the scholars order a person to carry out certain legal obligations (</w:t>
      </w:r>
      <w:proofErr w:type="spellStart"/>
      <w:r w:rsidR="004404F1" w:rsidRPr="001E24FD">
        <w:rPr>
          <w:rFonts w:asciiTheme="majorBidi" w:hAnsiTheme="majorBidi" w:cstheme="majorBidi"/>
          <w:i/>
          <w:iCs/>
        </w:rPr>
        <w:t>wājibāt</w:t>
      </w:r>
      <w:proofErr w:type="spellEnd"/>
      <w:r w:rsidR="004404F1" w:rsidRPr="001E24FD">
        <w:rPr>
          <w:rFonts w:asciiTheme="majorBidi" w:hAnsiTheme="majorBidi" w:cstheme="majorBidi"/>
        </w:rPr>
        <w:t>) and forbid him from indulging in legal prohibitions (</w:t>
      </w:r>
      <w:proofErr w:type="spellStart"/>
      <w:r w:rsidR="004404F1" w:rsidRPr="001E24FD">
        <w:rPr>
          <w:rFonts w:asciiTheme="majorBidi" w:hAnsiTheme="majorBidi" w:cstheme="majorBidi"/>
          <w:i/>
          <w:iCs/>
        </w:rPr>
        <w:t>maḥẓūrāt</w:t>
      </w:r>
      <w:proofErr w:type="spellEnd"/>
      <w:r w:rsidR="004404F1" w:rsidRPr="001E24FD">
        <w:rPr>
          <w:rFonts w:asciiTheme="majorBidi" w:hAnsiTheme="majorBidi" w:cstheme="majorBidi"/>
        </w:rPr>
        <w:t xml:space="preserve">), but the person refuses, then it is up to the ruler </w:t>
      </w:r>
      <w:r w:rsidR="004404F1">
        <w:rPr>
          <w:rFonts w:asciiTheme="majorBidi" w:hAnsiTheme="majorBidi" w:cstheme="majorBidi"/>
        </w:rPr>
        <w:t xml:space="preserve">to set things right by applying </w:t>
      </w:r>
      <w:r w:rsidR="004404F1" w:rsidRPr="001E24FD">
        <w:rPr>
          <w:rFonts w:asciiTheme="majorBidi" w:hAnsiTheme="majorBidi" w:cstheme="majorBidi"/>
        </w:rPr>
        <w:t>discretionary punishments (</w:t>
      </w:r>
      <w:r w:rsidR="00D73372">
        <w:rPr>
          <w:rFonts w:asciiTheme="majorBidi" w:hAnsiTheme="majorBidi" w:cstheme="majorBidi"/>
          <w:i/>
          <w:iCs/>
        </w:rPr>
        <w:t>bi-</w:t>
      </w:r>
      <w:proofErr w:type="spellStart"/>
      <w:r w:rsidR="004404F1" w:rsidRPr="001E24FD">
        <w:rPr>
          <w:rFonts w:asciiTheme="majorBidi" w:hAnsiTheme="majorBidi" w:cstheme="majorBidi"/>
          <w:i/>
          <w:iCs/>
        </w:rPr>
        <w:t>siyāsa</w:t>
      </w:r>
      <w:r w:rsidR="00D73372">
        <w:rPr>
          <w:rFonts w:asciiTheme="majorBidi" w:hAnsiTheme="majorBidi" w:cstheme="majorBidi"/>
          <w:i/>
          <w:iCs/>
        </w:rPr>
        <w:t>tihi</w:t>
      </w:r>
      <w:proofErr w:type="spellEnd"/>
      <w:r w:rsidR="004404F1" w:rsidRPr="001E24FD">
        <w:rPr>
          <w:rFonts w:asciiTheme="majorBidi" w:hAnsiTheme="majorBidi" w:cstheme="majorBidi"/>
        </w:rPr>
        <w:t>).”</w:t>
      </w:r>
      <w:r w:rsidR="004404F1" w:rsidRPr="001E24FD">
        <w:rPr>
          <w:rStyle w:val="FootnoteReference"/>
          <w:rFonts w:asciiTheme="majorBidi" w:hAnsiTheme="majorBidi" w:cstheme="majorBidi"/>
        </w:rPr>
        <w:footnoteReference w:id="85"/>
      </w:r>
      <w:r w:rsidR="004404F1" w:rsidRPr="001E24FD">
        <w:rPr>
          <w:rFonts w:asciiTheme="majorBidi" w:hAnsiTheme="majorBidi" w:cstheme="majorBidi"/>
        </w:rPr>
        <w:t xml:space="preserve"> This </w:t>
      </w:r>
      <w:r w:rsidR="00BD578E">
        <w:rPr>
          <w:rFonts w:asciiTheme="majorBidi" w:hAnsiTheme="majorBidi" w:cstheme="majorBidi"/>
        </w:rPr>
        <w:t>is in line</w:t>
      </w:r>
      <w:r w:rsidR="004404F1" w:rsidRPr="001E24FD">
        <w:rPr>
          <w:rFonts w:asciiTheme="majorBidi" w:hAnsiTheme="majorBidi" w:cstheme="majorBidi"/>
        </w:rPr>
        <w:t xml:space="preserve"> with God’s words</w:t>
      </w:r>
      <w:r w:rsidR="00C7561A">
        <w:rPr>
          <w:rFonts w:asciiTheme="majorBidi" w:hAnsiTheme="majorBidi" w:cstheme="majorBidi"/>
        </w:rPr>
        <w:t xml:space="preserve"> in the </w:t>
      </w:r>
      <w:proofErr w:type="spellStart"/>
      <w:r w:rsidR="00C7561A">
        <w:rPr>
          <w:rFonts w:asciiTheme="majorBidi" w:hAnsiTheme="majorBidi" w:cstheme="majorBidi"/>
        </w:rPr>
        <w:t>Qurʾān</w:t>
      </w:r>
      <w:proofErr w:type="spellEnd"/>
      <w:r w:rsidR="004404F1" w:rsidRPr="001E24FD">
        <w:rPr>
          <w:rFonts w:asciiTheme="majorBidi" w:hAnsiTheme="majorBidi" w:cstheme="majorBidi"/>
        </w:rPr>
        <w:t>: “We have sent Our messengers</w:t>
      </w:r>
      <w:r w:rsidR="004404F1" w:rsidRPr="001E24FD">
        <w:rPr>
          <w:rFonts w:asciiTheme="majorBidi" w:hAnsiTheme="majorBidi" w:cstheme="majorBidi"/>
          <w:i/>
          <w:iCs/>
        </w:rPr>
        <w:t xml:space="preserve"> </w:t>
      </w:r>
      <w:r w:rsidR="004404F1" w:rsidRPr="001E24FD">
        <w:rPr>
          <w:rFonts w:asciiTheme="majorBidi" w:hAnsiTheme="majorBidi" w:cstheme="majorBidi"/>
        </w:rPr>
        <w:t>with clear proofs (</w:t>
      </w:r>
      <w:r w:rsidR="004404F1" w:rsidRPr="001E24FD">
        <w:rPr>
          <w:rFonts w:asciiTheme="majorBidi" w:hAnsiTheme="majorBidi" w:cstheme="majorBidi"/>
          <w:i/>
          <w:iCs/>
        </w:rPr>
        <w:t>al-</w:t>
      </w:r>
      <w:proofErr w:type="spellStart"/>
      <w:r w:rsidR="004404F1" w:rsidRPr="001E24FD">
        <w:rPr>
          <w:rFonts w:asciiTheme="majorBidi" w:hAnsiTheme="majorBidi" w:cstheme="majorBidi"/>
          <w:i/>
          <w:iCs/>
        </w:rPr>
        <w:t>bayyināt</w:t>
      </w:r>
      <w:proofErr w:type="spellEnd"/>
      <w:r w:rsidR="004404F1" w:rsidRPr="001E24FD">
        <w:rPr>
          <w:rFonts w:asciiTheme="majorBidi" w:hAnsiTheme="majorBidi" w:cstheme="majorBidi"/>
        </w:rPr>
        <w:t>), and sent down the Book and the Balance with them, so that people would uphold justice. And We sent down iron (</w:t>
      </w:r>
      <w:r w:rsidR="004404F1" w:rsidRPr="001E24FD">
        <w:rPr>
          <w:rFonts w:asciiTheme="majorBidi" w:hAnsiTheme="majorBidi" w:cstheme="majorBidi"/>
          <w:i/>
          <w:iCs/>
        </w:rPr>
        <w:t>al-</w:t>
      </w:r>
      <w:proofErr w:type="spellStart"/>
      <w:r w:rsidR="004404F1" w:rsidRPr="001E24FD">
        <w:rPr>
          <w:rFonts w:asciiTheme="majorBidi" w:hAnsiTheme="majorBidi" w:cstheme="majorBidi"/>
          <w:i/>
          <w:iCs/>
        </w:rPr>
        <w:t>ḥadīd</w:t>
      </w:r>
      <w:proofErr w:type="spellEnd"/>
      <w:r w:rsidR="004404F1" w:rsidRPr="001E24FD">
        <w:rPr>
          <w:rFonts w:asciiTheme="majorBidi" w:hAnsiTheme="majorBidi" w:cstheme="majorBidi"/>
        </w:rPr>
        <w:t>), wherein are great might and benefits for mankind, and so that God may know those who will help Him and His messengers unseen. Tru</w:t>
      </w:r>
      <w:r w:rsidR="004404F1">
        <w:rPr>
          <w:rFonts w:asciiTheme="majorBidi" w:hAnsiTheme="majorBidi" w:cstheme="majorBidi"/>
        </w:rPr>
        <w:t>ly God is strong and mighty” (</w:t>
      </w:r>
      <w:r w:rsidR="004404F1" w:rsidRPr="001E24FD">
        <w:rPr>
          <w:rFonts w:asciiTheme="majorBidi" w:hAnsiTheme="majorBidi" w:cstheme="majorBidi"/>
        </w:rPr>
        <w:t xml:space="preserve">57:25). </w:t>
      </w:r>
      <w:r w:rsidR="00CC384B">
        <w:rPr>
          <w:rFonts w:asciiTheme="majorBidi" w:hAnsiTheme="majorBidi" w:cstheme="majorBidi"/>
        </w:rPr>
        <w:t xml:space="preserve">After mentioning the verse, </w:t>
      </w:r>
      <w:r w:rsidR="004404F1" w:rsidRPr="001E24FD">
        <w:rPr>
          <w:rFonts w:asciiTheme="majorBidi" w:hAnsiTheme="majorBidi" w:cstheme="majorBidi"/>
        </w:rPr>
        <w:t>Ibn al-</w:t>
      </w:r>
      <w:proofErr w:type="spellStart"/>
      <w:r w:rsidR="004404F1" w:rsidRPr="001E24FD">
        <w:rPr>
          <w:rFonts w:asciiTheme="majorBidi" w:hAnsiTheme="majorBidi" w:cstheme="majorBidi"/>
        </w:rPr>
        <w:t>Jawzī</w:t>
      </w:r>
      <w:proofErr w:type="spellEnd"/>
      <w:r w:rsidR="004404F1" w:rsidRPr="001E24FD">
        <w:rPr>
          <w:rFonts w:asciiTheme="majorBidi" w:hAnsiTheme="majorBidi" w:cstheme="majorBidi"/>
        </w:rPr>
        <w:t xml:space="preserve"> proceeds to provide a short exegesis of </w:t>
      </w:r>
      <w:r w:rsidR="00CC384B">
        <w:rPr>
          <w:rFonts w:asciiTheme="majorBidi" w:hAnsiTheme="majorBidi" w:cstheme="majorBidi"/>
        </w:rPr>
        <w:t>it</w:t>
      </w:r>
      <w:r w:rsidR="00D36F8B">
        <w:rPr>
          <w:rFonts w:asciiTheme="majorBidi" w:hAnsiTheme="majorBidi" w:cstheme="majorBidi"/>
        </w:rPr>
        <w:t>:</w:t>
      </w:r>
    </w:p>
    <w:p w14:paraId="1DBBA26B" w14:textId="77777777" w:rsidR="00A55608" w:rsidRDefault="00A55608" w:rsidP="0037533B">
      <w:pPr>
        <w:spacing w:line="360" w:lineRule="auto"/>
        <w:ind w:firstLine="720"/>
        <w:rPr>
          <w:rFonts w:asciiTheme="majorBidi" w:hAnsiTheme="majorBidi" w:cstheme="majorBidi"/>
        </w:rPr>
      </w:pPr>
    </w:p>
    <w:p w14:paraId="5E29BD67" w14:textId="486058A6" w:rsidR="00DB79FC" w:rsidRPr="00D36F8B" w:rsidRDefault="00D36F8B" w:rsidP="00A55608">
      <w:pPr>
        <w:rPr>
          <w:rFonts w:asciiTheme="majorBidi" w:hAnsiTheme="majorBidi" w:cstheme="majorBidi"/>
          <w:sz w:val="20"/>
          <w:szCs w:val="20"/>
        </w:rPr>
      </w:pPr>
      <w:r w:rsidRPr="00D36F8B">
        <w:rPr>
          <w:rFonts w:asciiTheme="majorBidi" w:hAnsiTheme="majorBidi" w:cstheme="majorBidi"/>
          <w:sz w:val="20"/>
          <w:szCs w:val="20"/>
        </w:rPr>
        <w:t>“Clear proofs” (</w:t>
      </w:r>
      <w:r w:rsidRPr="00D36F8B">
        <w:rPr>
          <w:rFonts w:asciiTheme="majorBidi" w:hAnsiTheme="majorBidi" w:cstheme="majorBidi"/>
          <w:i/>
          <w:iCs/>
          <w:sz w:val="20"/>
          <w:szCs w:val="20"/>
        </w:rPr>
        <w:t>al-</w:t>
      </w:r>
      <w:proofErr w:type="spellStart"/>
      <w:r w:rsidRPr="00D36F8B">
        <w:rPr>
          <w:rFonts w:asciiTheme="majorBidi" w:hAnsiTheme="majorBidi" w:cstheme="majorBidi"/>
          <w:i/>
          <w:iCs/>
          <w:sz w:val="20"/>
          <w:szCs w:val="20"/>
        </w:rPr>
        <w:t>bayyināt</w:t>
      </w:r>
      <w:proofErr w:type="spellEnd"/>
      <w:r w:rsidRPr="00D36F8B">
        <w:rPr>
          <w:rFonts w:asciiTheme="majorBidi" w:hAnsiTheme="majorBidi" w:cstheme="majorBidi"/>
          <w:sz w:val="20"/>
          <w:szCs w:val="20"/>
        </w:rPr>
        <w:t xml:space="preserve">) means </w:t>
      </w:r>
      <w:r w:rsidR="004404F1" w:rsidRPr="00D36F8B">
        <w:rPr>
          <w:rFonts w:asciiTheme="majorBidi" w:hAnsiTheme="majorBidi" w:cstheme="majorBidi"/>
          <w:sz w:val="20"/>
          <w:szCs w:val="20"/>
        </w:rPr>
        <w:t xml:space="preserve">the clear indications </w:t>
      </w:r>
      <w:r w:rsidR="00124EB3">
        <w:rPr>
          <w:rFonts w:asciiTheme="majorBidi" w:hAnsiTheme="majorBidi" w:cstheme="majorBidi"/>
          <w:sz w:val="20"/>
          <w:szCs w:val="20"/>
        </w:rPr>
        <w:t xml:space="preserve">of </w:t>
      </w:r>
      <w:r w:rsidR="004404F1" w:rsidRPr="00D36F8B">
        <w:rPr>
          <w:rFonts w:asciiTheme="majorBidi" w:hAnsiTheme="majorBidi" w:cstheme="majorBidi"/>
          <w:sz w:val="20"/>
          <w:szCs w:val="20"/>
        </w:rPr>
        <w:t>the truthfulness of the messengers</w:t>
      </w:r>
      <w:r w:rsidR="0039699A" w:rsidRPr="00D36F8B">
        <w:rPr>
          <w:rFonts w:asciiTheme="majorBidi" w:hAnsiTheme="majorBidi" w:cstheme="majorBidi"/>
          <w:sz w:val="20"/>
          <w:szCs w:val="20"/>
        </w:rPr>
        <w:t xml:space="preserve"> (</w:t>
      </w:r>
      <w:r w:rsidR="0039699A" w:rsidRPr="00D36F8B">
        <w:rPr>
          <w:rFonts w:asciiTheme="majorBidi" w:hAnsiTheme="majorBidi" w:cstheme="majorBidi"/>
          <w:i/>
          <w:iCs/>
          <w:sz w:val="20"/>
          <w:szCs w:val="20"/>
        </w:rPr>
        <w:t>al-</w:t>
      </w:r>
      <w:proofErr w:type="spellStart"/>
      <w:r w:rsidR="0039699A" w:rsidRPr="00D36F8B">
        <w:rPr>
          <w:rFonts w:asciiTheme="majorBidi" w:hAnsiTheme="majorBidi" w:cstheme="majorBidi"/>
          <w:i/>
          <w:iCs/>
          <w:sz w:val="20"/>
          <w:szCs w:val="20"/>
        </w:rPr>
        <w:t>dalālāt</w:t>
      </w:r>
      <w:proofErr w:type="spellEnd"/>
      <w:r w:rsidR="0039699A" w:rsidRPr="00D36F8B">
        <w:rPr>
          <w:rFonts w:asciiTheme="majorBidi" w:hAnsiTheme="majorBidi" w:cstheme="majorBidi"/>
          <w:i/>
          <w:iCs/>
          <w:sz w:val="20"/>
          <w:szCs w:val="20"/>
        </w:rPr>
        <w:t xml:space="preserve"> al-</w:t>
      </w:r>
      <w:proofErr w:type="spellStart"/>
      <w:r w:rsidR="0039699A" w:rsidRPr="00D36F8B">
        <w:rPr>
          <w:rFonts w:asciiTheme="majorBidi" w:hAnsiTheme="majorBidi" w:cstheme="majorBidi"/>
          <w:i/>
          <w:iCs/>
          <w:sz w:val="20"/>
          <w:szCs w:val="20"/>
        </w:rPr>
        <w:t>wāḍiḥāt</w:t>
      </w:r>
      <w:proofErr w:type="spellEnd"/>
      <w:r w:rsidR="0039699A" w:rsidRPr="00D36F8B">
        <w:rPr>
          <w:rFonts w:asciiTheme="majorBidi" w:hAnsiTheme="majorBidi" w:cstheme="majorBidi"/>
          <w:i/>
          <w:iCs/>
          <w:sz w:val="20"/>
          <w:szCs w:val="20"/>
        </w:rPr>
        <w:t xml:space="preserve"> </w:t>
      </w:r>
      <w:proofErr w:type="spellStart"/>
      <w:r w:rsidR="0039699A" w:rsidRPr="00D36F8B">
        <w:rPr>
          <w:rFonts w:asciiTheme="majorBidi" w:hAnsiTheme="majorBidi" w:cstheme="majorBidi"/>
          <w:i/>
          <w:iCs/>
          <w:sz w:val="20"/>
          <w:szCs w:val="20"/>
        </w:rPr>
        <w:t>ʿalā</w:t>
      </w:r>
      <w:proofErr w:type="spellEnd"/>
      <w:r w:rsidR="0039699A" w:rsidRPr="00D36F8B">
        <w:rPr>
          <w:rFonts w:asciiTheme="majorBidi" w:hAnsiTheme="majorBidi" w:cstheme="majorBidi"/>
          <w:i/>
          <w:iCs/>
          <w:sz w:val="20"/>
          <w:szCs w:val="20"/>
        </w:rPr>
        <w:t xml:space="preserve"> </w:t>
      </w:r>
      <w:proofErr w:type="spellStart"/>
      <w:r w:rsidR="0039699A" w:rsidRPr="00D36F8B">
        <w:rPr>
          <w:rFonts w:asciiTheme="majorBidi" w:hAnsiTheme="majorBidi" w:cstheme="majorBidi"/>
          <w:i/>
          <w:iCs/>
          <w:sz w:val="20"/>
          <w:szCs w:val="20"/>
        </w:rPr>
        <w:t>ṣidq</w:t>
      </w:r>
      <w:proofErr w:type="spellEnd"/>
      <w:r w:rsidR="0039699A" w:rsidRPr="00D36F8B">
        <w:rPr>
          <w:rFonts w:asciiTheme="majorBidi" w:hAnsiTheme="majorBidi" w:cstheme="majorBidi"/>
          <w:i/>
          <w:iCs/>
          <w:sz w:val="20"/>
          <w:szCs w:val="20"/>
        </w:rPr>
        <w:t xml:space="preserve"> al-</w:t>
      </w:r>
      <w:proofErr w:type="spellStart"/>
      <w:r w:rsidR="0039699A" w:rsidRPr="00D36F8B">
        <w:rPr>
          <w:rFonts w:asciiTheme="majorBidi" w:hAnsiTheme="majorBidi" w:cstheme="majorBidi"/>
          <w:i/>
          <w:iCs/>
          <w:sz w:val="20"/>
          <w:szCs w:val="20"/>
        </w:rPr>
        <w:t>rusul</w:t>
      </w:r>
      <w:proofErr w:type="spellEnd"/>
      <w:r w:rsidR="0039699A" w:rsidRPr="00D36F8B">
        <w:rPr>
          <w:rFonts w:asciiTheme="majorBidi" w:hAnsiTheme="majorBidi" w:cstheme="majorBidi"/>
          <w:sz w:val="20"/>
          <w:szCs w:val="20"/>
        </w:rPr>
        <w:t>)</w:t>
      </w:r>
      <w:r w:rsidR="004404F1" w:rsidRPr="00D36F8B">
        <w:rPr>
          <w:rFonts w:asciiTheme="majorBidi" w:hAnsiTheme="majorBidi" w:cstheme="majorBidi"/>
          <w:sz w:val="20"/>
          <w:szCs w:val="20"/>
        </w:rPr>
        <w:t xml:space="preserve">. If their truthfulness is well established, then it is </w:t>
      </w:r>
      <w:r w:rsidR="00124EB3">
        <w:rPr>
          <w:rFonts w:asciiTheme="majorBidi" w:hAnsiTheme="majorBidi" w:cstheme="majorBidi"/>
          <w:sz w:val="20"/>
          <w:szCs w:val="20"/>
        </w:rPr>
        <w:t xml:space="preserve">obligatory </w:t>
      </w:r>
      <w:r w:rsidR="004404F1" w:rsidRPr="00D36F8B">
        <w:rPr>
          <w:rFonts w:asciiTheme="majorBidi" w:hAnsiTheme="majorBidi" w:cstheme="majorBidi"/>
          <w:sz w:val="20"/>
          <w:szCs w:val="20"/>
        </w:rPr>
        <w:t>to obey their command</w:t>
      </w:r>
      <w:r w:rsidR="0039699A" w:rsidRPr="00D36F8B">
        <w:rPr>
          <w:rFonts w:asciiTheme="majorBidi" w:hAnsiTheme="majorBidi" w:cstheme="majorBidi"/>
          <w:sz w:val="20"/>
          <w:szCs w:val="20"/>
        </w:rPr>
        <w:t>s</w:t>
      </w:r>
      <w:r w:rsidR="004404F1" w:rsidRPr="00D36F8B">
        <w:rPr>
          <w:rFonts w:asciiTheme="majorBidi" w:hAnsiTheme="majorBidi" w:cstheme="majorBidi"/>
          <w:sz w:val="20"/>
          <w:szCs w:val="20"/>
        </w:rPr>
        <w:t xml:space="preserve"> and accept the scripture</w:t>
      </w:r>
      <w:r w:rsidR="0039699A" w:rsidRPr="00D36F8B">
        <w:rPr>
          <w:rFonts w:asciiTheme="majorBidi" w:hAnsiTheme="majorBidi" w:cstheme="majorBidi"/>
          <w:sz w:val="20"/>
          <w:szCs w:val="20"/>
        </w:rPr>
        <w:t xml:space="preserve">s </w:t>
      </w:r>
      <w:r w:rsidR="004404F1" w:rsidRPr="00D36F8B">
        <w:rPr>
          <w:rFonts w:asciiTheme="majorBidi" w:hAnsiTheme="majorBidi" w:cstheme="majorBidi"/>
          <w:sz w:val="20"/>
          <w:szCs w:val="20"/>
        </w:rPr>
        <w:t xml:space="preserve">that came with </w:t>
      </w:r>
      <w:r w:rsidR="0039699A" w:rsidRPr="00D36F8B">
        <w:rPr>
          <w:rFonts w:asciiTheme="majorBidi" w:hAnsiTheme="majorBidi" w:cstheme="majorBidi"/>
          <w:sz w:val="20"/>
          <w:szCs w:val="20"/>
        </w:rPr>
        <w:t>them</w:t>
      </w:r>
      <w:r w:rsidR="004404F1" w:rsidRPr="00D36F8B">
        <w:rPr>
          <w:rFonts w:asciiTheme="majorBidi" w:hAnsiTheme="majorBidi" w:cstheme="majorBidi"/>
          <w:sz w:val="20"/>
          <w:szCs w:val="20"/>
        </w:rPr>
        <w:t xml:space="preserve">. </w:t>
      </w:r>
      <w:r w:rsidRPr="00D36F8B">
        <w:rPr>
          <w:rFonts w:asciiTheme="majorBidi" w:hAnsiTheme="majorBidi" w:cstheme="majorBidi"/>
          <w:sz w:val="20"/>
          <w:szCs w:val="20"/>
        </w:rPr>
        <w:t>Know that justice (</w:t>
      </w:r>
      <w:r w:rsidRPr="00D36F8B">
        <w:rPr>
          <w:rFonts w:asciiTheme="majorBidi" w:hAnsiTheme="majorBidi" w:cstheme="majorBidi"/>
          <w:i/>
          <w:iCs/>
          <w:sz w:val="20"/>
          <w:szCs w:val="20"/>
        </w:rPr>
        <w:t>al-</w:t>
      </w:r>
      <w:proofErr w:type="spellStart"/>
      <w:r w:rsidRPr="00D36F8B">
        <w:rPr>
          <w:rFonts w:asciiTheme="majorBidi" w:hAnsiTheme="majorBidi" w:cstheme="majorBidi"/>
          <w:i/>
          <w:iCs/>
          <w:sz w:val="20"/>
          <w:szCs w:val="20"/>
        </w:rPr>
        <w:t>ʿadl</w:t>
      </w:r>
      <w:proofErr w:type="spellEnd"/>
      <w:r w:rsidRPr="00D36F8B">
        <w:rPr>
          <w:rFonts w:asciiTheme="majorBidi" w:hAnsiTheme="majorBidi" w:cstheme="majorBidi"/>
          <w:sz w:val="20"/>
          <w:szCs w:val="20"/>
        </w:rPr>
        <w:t xml:space="preserve">) is </w:t>
      </w:r>
      <w:r w:rsidR="00D73372">
        <w:rPr>
          <w:rFonts w:asciiTheme="majorBidi" w:hAnsiTheme="majorBidi" w:cstheme="majorBidi"/>
          <w:sz w:val="20"/>
          <w:szCs w:val="20"/>
        </w:rPr>
        <w:t xml:space="preserve">meant for </w:t>
      </w:r>
      <w:r w:rsidRPr="00D36F8B">
        <w:rPr>
          <w:rFonts w:asciiTheme="majorBidi" w:hAnsiTheme="majorBidi" w:cstheme="majorBidi"/>
          <w:sz w:val="20"/>
          <w:szCs w:val="20"/>
        </w:rPr>
        <w:t>those</w:t>
      </w:r>
      <w:r w:rsidR="004404F1" w:rsidRPr="00D36F8B">
        <w:rPr>
          <w:rFonts w:asciiTheme="majorBidi" w:hAnsiTheme="majorBidi" w:cstheme="majorBidi"/>
          <w:sz w:val="20"/>
          <w:szCs w:val="20"/>
        </w:rPr>
        <w:t xml:space="preserve"> whom scripture cannot reform</w:t>
      </w:r>
      <w:r w:rsidR="00D73372">
        <w:rPr>
          <w:rFonts w:asciiTheme="majorBidi" w:hAnsiTheme="majorBidi" w:cstheme="majorBidi"/>
          <w:sz w:val="20"/>
          <w:szCs w:val="20"/>
        </w:rPr>
        <w:t>. [After all]</w:t>
      </w:r>
      <w:r w:rsidR="00124EB3">
        <w:rPr>
          <w:rFonts w:asciiTheme="majorBidi" w:hAnsiTheme="majorBidi" w:cstheme="majorBidi"/>
          <w:sz w:val="20"/>
          <w:szCs w:val="20"/>
        </w:rPr>
        <w:t>,</w:t>
      </w:r>
      <w:r w:rsidR="00D73372">
        <w:rPr>
          <w:rFonts w:asciiTheme="majorBidi" w:hAnsiTheme="majorBidi" w:cstheme="majorBidi"/>
          <w:sz w:val="20"/>
          <w:szCs w:val="20"/>
        </w:rPr>
        <w:t xml:space="preserve"> </w:t>
      </w:r>
      <w:r w:rsidR="004404F1" w:rsidRPr="00D36F8B">
        <w:rPr>
          <w:rFonts w:asciiTheme="majorBidi" w:hAnsiTheme="majorBidi" w:cstheme="majorBidi"/>
          <w:sz w:val="20"/>
          <w:szCs w:val="20"/>
        </w:rPr>
        <w:t>the sayings of the messengers have been put in order by iron</w:t>
      </w:r>
      <w:r w:rsidR="00D73372">
        <w:rPr>
          <w:rFonts w:asciiTheme="majorBidi" w:hAnsiTheme="majorBidi" w:cstheme="majorBidi"/>
          <w:sz w:val="20"/>
          <w:szCs w:val="20"/>
        </w:rPr>
        <w:t xml:space="preserve"> (</w:t>
      </w:r>
      <w:r w:rsidR="00D73372">
        <w:rPr>
          <w:rFonts w:asciiTheme="majorBidi" w:hAnsiTheme="majorBidi" w:cstheme="majorBidi"/>
          <w:i/>
          <w:iCs/>
          <w:sz w:val="20"/>
          <w:szCs w:val="20"/>
        </w:rPr>
        <w:t>al-</w:t>
      </w:r>
      <w:proofErr w:type="spellStart"/>
      <w:r w:rsidR="00D73372">
        <w:rPr>
          <w:rFonts w:asciiTheme="majorBidi" w:hAnsiTheme="majorBidi" w:cstheme="majorBidi"/>
          <w:i/>
          <w:iCs/>
          <w:sz w:val="20"/>
          <w:szCs w:val="20"/>
        </w:rPr>
        <w:t>ḥadīd</w:t>
      </w:r>
      <w:proofErr w:type="spellEnd"/>
      <w:r w:rsidR="00D73372">
        <w:rPr>
          <w:rFonts w:asciiTheme="majorBidi" w:hAnsiTheme="majorBidi" w:cstheme="majorBidi"/>
          <w:sz w:val="20"/>
          <w:szCs w:val="20"/>
        </w:rPr>
        <w:t>)</w:t>
      </w:r>
      <w:r w:rsidR="004404F1" w:rsidRPr="00D36F8B">
        <w:rPr>
          <w:rFonts w:asciiTheme="majorBidi" w:hAnsiTheme="majorBidi" w:cstheme="majorBidi"/>
          <w:sz w:val="20"/>
          <w:szCs w:val="20"/>
        </w:rPr>
        <w:t>, that is</w:t>
      </w:r>
      <w:r w:rsidR="00204A30">
        <w:rPr>
          <w:rFonts w:asciiTheme="majorBidi" w:hAnsiTheme="majorBidi" w:cstheme="majorBidi"/>
          <w:sz w:val="20"/>
          <w:szCs w:val="20"/>
        </w:rPr>
        <w:t>,</w:t>
      </w:r>
      <w:r w:rsidR="004404F1" w:rsidRPr="00D36F8B">
        <w:rPr>
          <w:rFonts w:asciiTheme="majorBidi" w:hAnsiTheme="majorBidi" w:cstheme="majorBidi"/>
          <w:sz w:val="20"/>
          <w:szCs w:val="20"/>
        </w:rPr>
        <w:t xml:space="preserve"> the sword (</w:t>
      </w:r>
      <w:r w:rsidR="004404F1" w:rsidRPr="00D36F8B">
        <w:rPr>
          <w:rFonts w:asciiTheme="majorBidi" w:hAnsiTheme="majorBidi" w:cstheme="majorBidi"/>
          <w:i/>
          <w:iCs/>
          <w:sz w:val="20"/>
          <w:szCs w:val="20"/>
        </w:rPr>
        <w:t>al-</w:t>
      </w:r>
      <w:proofErr w:type="spellStart"/>
      <w:r w:rsidR="004404F1" w:rsidRPr="00D36F8B">
        <w:rPr>
          <w:rFonts w:asciiTheme="majorBidi" w:hAnsiTheme="majorBidi" w:cstheme="majorBidi"/>
          <w:i/>
          <w:iCs/>
          <w:sz w:val="20"/>
          <w:szCs w:val="20"/>
        </w:rPr>
        <w:t>sayf</w:t>
      </w:r>
      <w:proofErr w:type="spellEnd"/>
      <w:r w:rsidR="004404F1" w:rsidRPr="00D36F8B">
        <w:rPr>
          <w:rFonts w:asciiTheme="majorBidi" w:hAnsiTheme="majorBidi" w:cstheme="majorBidi"/>
          <w:sz w:val="20"/>
          <w:szCs w:val="20"/>
        </w:rPr>
        <w:t>).</w:t>
      </w:r>
      <w:r w:rsidR="004404F1" w:rsidRPr="00D36F8B">
        <w:rPr>
          <w:rStyle w:val="FootnoteReference"/>
          <w:rFonts w:asciiTheme="majorBidi" w:hAnsiTheme="majorBidi" w:cstheme="majorBidi"/>
          <w:sz w:val="20"/>
          <w:szCs w:val="20"/>
        </w:rPr>
        <w:footnoteReference w:id="86"/>
      </w:r>
    </w:p>
    <w:p w14:paraId="3012B52B" w14:textId="77777777" w:rsidR="00D36F8B" w:rsidRPr="00D36F8B" w:rsidRDefault="00D36F8B" w:rsidP="0037533B">
      <w:pPr>
        <w:spacing w:line="360" w:lineRule="auto"/>
        <w:rPr>
          <w:rFonts w:asciiTheme="majorBidi" w:hAnsiTheme="majorBidi" w:cstheme="majorBidi"/>
        </w:rPr>
      </w:pPr>
    </w:p>
    <w:p w14:paraId="596F169F" w14:textId="77777777" w:rsidR="0067273E" w:rsidRDefault="00D73372" w:rsidP="0037533B">
      <w:pPr>
        <w:spacing w:line="360" w:lineRule="auto"/>
        <w:rPr>
          <w:rFonts w:asciiTheme="majorBidi" w:hAnsiTheme="majorBidi" w:cstheme="majorBidi"/>
        </w:rPr>
      </w:pPr>
      <w:r>
        <w:rPr>
          <w:rFonts w:asciiTheme="majorBidi" w:hAnsiTheme="majorBidi" w:cstheme="majorBidi"/>
        </w:rPr>
        <w:t>This</w:t>
      </w:r>
      <w:r w:rsidR="00DB79FC">
        <w:rPr>
          <w:rFonts w:asciiTheme="majorBidi" w:hAnsiTheme="majorBidi" w:cstheme="majorBidi"/>
        </w:rPr>
        <w:t xml:space="preserve"> brief exegesis </w:t>
      </w:r>
      <w:r w:rsidR="00DA6970">
        <w:rPr>
          <w:rFonts w:asciiTheme="majorBidi" w:hAnsiTheme="majorBidi" w:cstheme="majorBidi"/>
        </w:rPr>
        <w:t xml:space="preserve">is </w:t>
      </w:r>
      <w:r w:rsidR="00FF203C">
        <w:rPr>
          <w:rFonts w:asciiTheme="majorBidi" w:hAnsiTheme="majorBidi" w:cstheme="majorBidi"/>
        </w:rPr>
        <w:t xml:space="preserve">quite </w:t>
      </w:r>
      <w:r w:rsidR="00DA6970">
        <w:rPr>
          <w:rFonts w:asciiTheme="majorBidi" w:hAnsiTheme="majorBidi" w:cstheme="majorBidi"/>
        </w:rPr>
        <w:t xml:space="preserve">suggestive of </w:t>
      </w:r>
      <w:r>
        <w:rPr>
          <w:rFonts w:asciiTheme="majorBidi" w:hAnsiTheme="majorBidi" w:cstheme="majorBidi"/>
        </w:rPr>
        <w:t>Ibn al-</w:t>
      </w:r>
      <w:proofErr w:type="spellStart"/>
      <w:r>
        <w:rPr>
          <w:rFonts w:asciiTheme="majorBidi" w:hAnsiTheme="majorBidi" w:cstheme="majorBidi"/>
        </w:rPr>
        <w:t>Jawzī’s</w:t>
      </w:r>
      <w:proofErr w:type="spellEnd"/>
      <w:r w:rsidR="00D36F8B">
        <w:rPr>
          <w:rFonts w:asciiTheme="majorBidi" w:hAnsiTheme="majorBidi" w:cstheme="majorBidi"/>
        </w:rPr>
        <w:t xml:space="preserve"> ideal hierarchy of authority. </w:t>
      </w:r>
      <w:r>
        <w:rPr>
          <w:rFonts w:asciiTheme="majorBidi" w:hAnsiTheme="majorBidi" w:cstheme="majorBidi"/>
        </w:rPr>
        <w:t xml:space="preserve">What appears to be a mutual dependence between political and religious authority is in fact a </w:t>
      </w:r>
      <w:r w:rsidR="00FF203C">
        <w:rPr>
          <w:rFonts w:asciiTheme="majorBidi" w:hAnsiTheme="majorBidi" w:cstheme="majorBidi"/>
        </w:rPr>
        <w:t xml:space="preserve">rather </w:t>
      </w:r>
      <w:r>
        <w:rPr>
          <w:rFonts w:asciiTheme="majorBidi" w:hAnsiTheme="majorBidi" w:cstheme="majorBidi"/>
        </w:rPr>
        <w:t xml:space="preserve">lopsided dependence. Insofar as </w:t>
      </w:r>
      <w:r w:rsidR="004404F1" w:rsidRPr="001E24FD">
        <w:rPr>
          <w:rFonts w:asciiTheme="majorBidi" w:hAnsiTheme="majorBidi" w:cstheme="majorBidi"/>
        </w:rPr>
        <w:t>the words and commands of scripture do require political authority or coercive force to be implemented among humankind</w:t>
      </w:r>
      <w:r>
        <w:rPr>
          <w:rFonts w:asciiTheme="majorBidi" w:hAnsiTheme="majorBidi" w:cstheme="majorBidi"/>
        </w:rPr>
        <w:t xml:space="preserve">, </w:t>
      </w:r>
      <w:r w:rsidRPr="001E24FD">
        <w:rPr>
          <w:rFonts w:asciiTheme="majorBidi" w:hAnsiTheme="majorBidi" w:cstheme="majorBidi"/>
        </w:rPr>
        <w:t>the ruler’s sword</w:t>
      </w:r>
      <w:r w:rsidR="00456ABD">
        <w:rPr>
          <w:rFonts w:asciiTheme="majorBidi" w:hAnsiTheme="majorBidi" w:cstheme="majorBidi"/>
        </w:rPr>
        <w:t>—or</w:t>
      </w:r>
      <w:r w:rsidR="00FF203C">
        <w:rPr>
          <w:rFonts w:asciiTheme="majorBidi" w:hAnsiTheme="majorBidi" w:cstheme="majorBidi"/>
        </w:rPr>
        <w:t xml:space="preserve"> more generally,</w:t>
      </w:r>
      <w:r w:rsidR="00456ABD">
        <w:rPr>
          <w:rFonts w:asciiTheme="majorBidi" w:hAnsiTheme="majorBidi" w:cstheme="majorBidi"/>
        </w:rPr>
        <w:t xml:space="preserve"> </w:t>
      </w:r>
      <w:proofErr w:type="spellStart"/>
      <w:r w:rsidR="00456ABD">
        <w:rPr>
          <w:rFonts w:asciiTheme="majorBidi" w:hAnsiTheme="majorBidi" w:cstheme="majorBidi"/>
          <w:i/>
          <w:iCs/>
        </w:rPr>
        <w:t>siyāsa</w:t>
      </w:r>
      <w:proofErr w:type="spellEnd"/>
      <w:r w:rsidR="00456ABD">
        <w:rPr>
          <w:rFonts w:asciiTheme="majorBidi" w:hAnsiTheme="majorBidi" w:cstheme="majorBidi"/>
        </w:rPr>
        <w:t>—</w:t>
      </w:r>
      <w:r w:rsidRPr="001E24FD">
        <w:rPr>
          <w:rFonts w:asciiTheme="majorBidi" w:hAnsiTheme="majorBidi" w:cstheme="majorBidi"/>
        </w:rPr>
        <w:t xml:space="preserve">only enters the picture when the messengers’ teachings and commands prove </w:t>
      </w:r>
      <w:r w:rsidRPr="001E24FD">
        <w:rPr>
          <w:rFonts w:asciiTheme="majorBidi" w:hAnsiTheme="majorBidi" w:cstheme="majorBidi"/>
        </w:rPr>
        <w:lastRenderedPageBreak/>
        <w:t>ineffective</w:t>
      </w:r>
      <w:r w:rsidR="00456ABD">
        <w:rPr>
          <w:rFonts w:asciiTheme="majorBidi" w:hAnsiTheme="majorBidi" w:cstheme="majorBidi"/>
        </w:rPr>
        <w:t xml:space="preserve"> in reforming hearts and minds</w:t>
      </w:r>
      <w:r w:rsidRPr="001E24FD">
        <w:rPr>
          <w:rFonts w:asciiTheme="majorBidi" w:hAnsiTheme="majorBidi" w:cstheme="majorBidi"/>
        </w:rPr>
        <w:t xml:space="preserve">. </w:t>
      </w:r>
      <w:r>
        <w:rPr>
          <w:rFonts w:asciiTheme="majorBidi" w:hAnsiTheme="majorBidi" w:cstheme="majorBidi"/>
        </w:rPr>
        <w:t>T</w:t>
      </w:r>
      <w:r w:rsidRPr="001E24FD">
        <w:rPr>
          <w:rFonts w:asciiTheme="majorBidi" w:hAnsiTheme="majorBidi" w:cstheme="majorBidi"/>
        </w:rPr>
        <w:t xml:space="preserve">he primary responsibility for guiding the people toward legal obligations and away from prohibitions </w:t>
      </w:r>
      <w:r>
        <w:rPr>
          <w:rFonts w:asciiTheme="majorBidi" w:hAnsiTheme="majorBidi" w:cstheme="majorBidi"/>
        </w:rPr>
        <w:t>remains</w:t>
      </w:r>
      <w:r w:rsidRPr="001E24FD">
        <w:rPr>
          <w:rFonts w:asciiTheme="majorBidi" w:hAnsiTheme="majorBidi" w:cstheme="majorBidi"/>
        </w:rPr>
        <w:t xml:space="preserve"> with the religious scholars.</w:t>
      </w:r>
      <w:r w:rsidR="00FF203C">
        <w:rPr>
          <w:rFonts w:asciiTheme="majorBidi" w:hAnsiTheme="majorBidi" w:cstheme="majorBidi"/>
        </w:rPr>
        <w:t xml:space="preserve"> </w:t>
      </w:r>
    </w:p>
    <w:p w14:paraId="103EFCC2" w14:textId="4252B12C" w:rsidR="004404F1" w:rsidRDefault="004404F1" w:rsidP="0037533B">
      <w:pPr>
        <w:spacing w:line="360" w:lineRule="auto"/>
        <w:rPr>
          <w:rFonts w:asciiTheme="majorBidi" w:hAnsiTheme="majorBidi" w:cstheme="majorBidi"/>
        </w:rPr>
      </w:pPr>
      <w:r w:rsidRPr="001E24FD">
        <w:rPr>
          <w:rFonts w:asciiTheme="majorBidi" w:hAnsiTheme="majorBidi" w:cstheme="majorBidi"/>
        </w:rPr>
        <w:tab/>
      </w:r>
      <w:r w:rsidR="0025037B">
        <w:rPr>
          <w:rFonts w:asciiTheme="majorBidi" w:hAnsiTheme="majorBidi" w:cstheme="majorBidi"/>
        </w:rPr>
        <w:t>Taking his reassessment of ruler-scholar relations one step further</w:t>
      </w:r>
      <w:r w:rsidRPr="001E24FD">
        <w:rPr>
          <w:rFonts w:asciiTheme="majorBidi" w:hAnsiTheme="majorBidi" w:cstheme="majorBidi"/>
        </w:rPr>
        <w:t>, Ibn al-</w:t>
      </w:r>
      <w:proofErr w:type="spellStart"/>
      <w:r w:rsidRPr="001E24FD">
        <w:rPr>
          <w:rFonts w:asciiTheme="majorBidi" w:hAnsiTheme="majorBidi" w:cstheme="majorBidi"/>
        </w:rPr>
        <w:t>Jawzī</w:t>
      </w:r>
      <w:proofErr w:type="spellEnd"/>
      <w:r w:rsidRPr="001E24FD">
        <w:rPr>
          <w:rFonts w:asciiTheme="majorBidi" w:hAnsiTheme="majorBidi" w:cstheme="majorBidi"/>
        </w:rPr>
        <w:t xml:space="preserve"> goes on to </w:t>
      </w:r>
      <w:r w:rsidR="00E74FB9">
        <w:rPr>
          <w:rFonts w:asciiTheme="majorBidi" w:hAnsiTheme="majorBidi" w:cstheme="majorBidi"/>
        </w:rPr>
        <w:t>state</w:t>
      </w:r>
      <w:r w:rsidRPr="001E24FD">
        <w:rPr>
          <w:rFonts w:asciiTheme="majorBidi" w:hAnsiTheme="majorBidi" w:cstheme="majorBidi"/>
        </w:rPr>
        <w:t xml:space="preserve"> the case for the primacy of religious scholars over rulers </w:t>
      </w:r>
      <w:r w:rsidR="00204A30">
        <w:rPr>
          <w:rFonts w:asciiTheme="majorBidi" w:hAnsiTheme="majorBidi" w:cstheme="majorBidi"/>
        </w:rPr>
        <w:t xml:space="preserve">even </w:t>
      </w:r>
      <w:r w:rsidRPr="001E24FD">
        <w:rPr>
          <w:rFonts w:asciiTheme="majorBidi" w:hAnsiTheme="majorBidi" w:cstheme="majorBidi"/>
        </w:rPr>
        <w:t xml:space="preserve">in </w:t>
      </w:r>
      <w:r w:rsidR="0025037B">
        <w:rPr>
          <w:rFonts w:asciiTheme="majorBidi" w:hAnsiTheme="majorBidi" w:cstheme="majorBidi"/>
        </w:rPr>
        <w:t xml:space="preserve">the </w:t>
      </w:r>
      <w:r w:rsidR="00641475">
        <w:rPr>
          <w:rFonts w:asciiTheme="majorBidi" w:hAnsiTheme="majorBidi" w:cstheme="majorBidi"/>
        </w:rPr>
        <w:t>sphere</w:t>
      </w:r>
      <w:r w:rsidR="0025037B">
        <w:rPr>
          <w:rFonts w:asciiTheme="majorBidi" w:hAnsiTheme="majorBidi" w:cstheme="majorBidi"/>
        </w:rPr>
        <w:t xml:space="preserve"> of punishments</w:t>
      </w:r>
      <w:r w:rsidRPr="001E24FD">
        <w:rPr>
          <w:rFonts w:asciiTheme="majorBidi" w:hAnsiTheme="majorBidi" w:cstheme="majorBidi"/>
        </w:rPr>
        <w:t>:</w:t>
      </w:r>
    </w:p>
    <w:p w14:paraId="7963B7B4" w14:textId="77777777" w:rsidR="00A55608" w:rsidRPr="001E24FD" w:rsidRDefault="00A55608" w:rsidP="0037533B">
      <w:pPr>
        <w:spacing w:line="360" w:lineRule="auto"/>
        <w:rPr>
          <w:rFonts w:asciiTheme="majorBidi" w:hAnsiTheme="majorBidi" w:cstheme="majorBidi"/>
        </w:rPr>
      </w:pPr>
    </w:p>
    <w:p w14:paraId="5B736B5A" w14:textId="218C9D2F" w:rsidR="004404F1" w:rsidRPr="001E24FD" w:rsidRDefault="004404F1" w:rsidP="00A55608">
      <w:pPr>
        <w:rPr>
          <w:rFonts w:asciiTheme="majorBidi" w:hAnsiTheme="majorBidi" w:cstheme="majorBidi"/>
          <w:sz w:val="20"/>
          <w:szCs w:val="20"/>
        </w:rPr>
      </w:pPr>
      <w:r w:rsidRPr="001E24FD">
        <w:rPr>
          <w:rFonts w:asciiTheme="majorBidi" w:hAnsiTheme="majorBidi" w:cstheme="majorBidi"/>
          <w:sz w:val="20"/>
          <w:szCs w:val="20"/>
        </w:rPr>
        <w:t xml:space="preserve">If the ruler understands the </w:t>
      </w:r>
      <w:r w:rsidR="00E74FB9">
        <w:rPr>
          <w:rFonts w:asciiTheme="majorBidi" w:hAnsiTheme="majorBidi" w:cstheme="majorBidi"/>
          <w:sz w:val="20"/>
          <w:szCs w:val="20"/>
        </w:rPr>
        <w:t xml:space="preserve">value </w:t>
      </w:r>
      <w:r w:rsidRPr="001E24FD">
        <w:rPr>
          <w:rFonts w:asciiTheme="majorBidi" w:hAnsiTheme="majorBidi" w:cstheme="majorBidi"/>
          <w:sz w:val="20"/>
          <w:szCs w:val="20"/>
        </w:rPr>
        <w:t xml:space="preserve">of knowledge and the scholars, he will make sure </w:t>
      </w:r>
      <w:r>
        <w:rPr>
          <w:rFonts w:asciiTheme="majorBidi" w:hAnsiTheme="majorBidi" w:cstheme="majorBidi"/>
          <w:sz w:val="20"/>
          <w:szCs w:val="20"/>
        </w:rPr>
        <w:t xml:space="preserve">that he is </w:t>
      </w:r>
      <w:r w:rsidRPr="001E24FD">
        <w:rPr>
          <w:rFonts w:asciiTheme="majorBidi" w:hAnsiTheme="majorBidi" w:cstheme="majorBidi"/>
          <w:sz w:val="20"/>
          <w:szCs w:val="20"/>
        </w:rPr>
        <w:t xml:space="preserve">at their disposal like the </w:t>
      </w:r>
      <w:proofErr w:type="spellStart"/>
      <w:r w:rsidRPr="001E24FD">
        <w:rPr>
          <w:rFonts w:asciiTheme="majorBidi" w:hAnsiTheme="majorBidi" w:cstheme="majorBidi"/>
          <w:i/>
          <w:iCs/>
          <w:sz w:val="20"/>
          <w:szCs w:val="20"/>
        </w:rPr>
        <w:t>shiḥna</w:t>
      </w:r>
      <w:proofErr w:type="spellEnd"/>
      <w:r w:rsidRPr="001E24FD">
        <w:rPr>
          <w:rFonts w:asciiTheme="majorBidi" w:hAnsiTheme="majorBidi" w:cstheme="majorBidi"/>
          <w:sz w:val="20"/>
          <w:szCs w:val="20"/>
        </w:rPr>
        <w:t xml:space="preserve"> and [that his power] issues from their authority (</w:t>
      </w:r>
      <w:proofErr w:type="spellStart"/>
      <w:r w:rsidRPr="001E24FD">
        <w:rPr>
          <w:rFonts w:asciiTheme="majorBidi" w:hAnsiTheme="majorBidi" w:cstheme="majorBidi"/>
          <w:i/>
          <w:iCs/>
          <w:sz w:val="20"/>
          <w:szCs w:val="20"/>
        </w:rPr>
        <w:t>ayqana</w:t>
      </w:r>
      <w:proofErr w:type="spellEnd"/>
      <w:r w:rsidRPr="001E24FD">
        <w:rPr>
          <w:rFonts w:asciiTheme="majorBidi" w:hAnsiTheme="majorBidi" w:cstheme="majorBidi"/>
          <w:i/>
          <w:iCs/>
          <w:sz w:val="20"/>
          <w:szCs w:val="20"/>
        </w:rPr>
        <w:t xml:space="preserve"> </w:t>
      </w:r>
      <w:proofErr w:type="spellStart"/>
      <w:r w:rsidRPr="001E24FD">
        <w:rPr>
          <w:rFonts w:asciiTheme="majorBidi" w:hAnsiTheme="majorBidi" w:cstheme="majorBidi"/>
          <w:i/>
          <w:iCs/>
          <w:sz w:val="20"/>
          <w:szCs w:val="20"/>
        </w:rPr>
        <w:t>annahu</w:t>
      </w:r>
      <w:proofErr w:type="spellEnd"/>
      <w:r w:rsidRPr="001E24FD">
        <w:rPr>
          <w:rFonts w:asciiTheme="majorBidi" w:hAnsiTheme="majorBidi" w:cstheme="majorBidi"/>
          <w:i/>
          <w:iCs/>
          <w:sz w:val="20"/>
          <w:szCs w:val="20"/>
        </w:rPr>
        <w:t xml:space="preserve"> </w:t>
      </w:r>
      <w:proofErr w:type="spellStart"/>
      <w:r w:rsidRPr="001E24FD">
        <w:rPr>
          <w:rFonts w:asciiTheme="majorBidi" w:hAnsiTheme="majorBidi" w:cstheme="majorBidi"/>
          <w:i/>
          <w:iCs/>
          <w:sz w:val="20"/>
          <w:szCs w:val="20"/>
        </w:rPr>
        <w:t>bayna</w:t>
      </w:r>
      <w:proofErr w:type="spellEnd"/>
      <w:r w:rsidRPr="001E24FD">
        <w:rPr>
          <w:rFonts w:asciiTheme="majorBidi" w:hAnsiTheme="majorBidi" w:cstheme="majorBidi"/>
          <w:i/>
          <w:iCs/>
          <w:sz w:val="20"/>
          <w:szCs w:val="20"/>
        </w:rPr>
        <w:t xml:space="preserve"> </w:t>
      </w:r>
      <w:proofErr w:type="spellStart"/>
      <w:r w:rsidRPr="001E24FD">
        <w:rPr>
          <w:rFonts w:asciiTheme="majorBidi" w:hAnsiTheme="majorBidi" w:cstheme="majorBidi"/>
          <w:i/>
          <w:iCs/>
          <w:sz w:val="20"/>
          <w:szCs w:val="20"/>
        </w:rPr>
        <w:t>aydīhim</w:t>
      </w:r>
      <w:proofErr w:type="spellEnd"/>
      <w:r w:rsidRPr="001E24FD">
        <w:rPr>
          <w:rFonts w:asciiTheme="majorBidi" w:hAnsiTheme="majorBidi" w:cstheme="majorBidi"/>
          <w:i/>
          <w:iCs/>
          <w:sz w:val="20"/>
          <w:szCs w:val="20"/>
        </w:rPr>
        <w:t xml:space="preserve"> ka</w:t>
      </w:r>
      <w:r w:rsidR="00E74FB9">
        <w:rPr>
          <w:rFonts w:asciiTheme="majorBidi" w:hAnsiTheme="majorBidi" w:cstheme="majorBidi"/>
          <w:i/>
          <w:iCs/>
          <w:sz w:val="20"/>
          <w:szCs w:val="20"/>
        </w:rPr>
        <w:t>-</w:t>
      </w:r>
      <w:r w:rsidRPr="001E24FD">
        <w:rPr>
          <w:rFonts w:asciiTheme="majorBidi" w:hAnsiTheme="majorBidi" w:cstheme="majorBidi"/>
          <w:i/>
          <w:iCs/>
          <w:sz w:val="20"/>
          <w:szCs w:val="20"/>
        </w:rPr>
        <w:t>l-</w:t>
      </w:r>
      <w:proofErr w:type="spellStart"/>
      <w:r w:rsidRPr="001E24FD">
        <w:rPr>
          <w:rFonts w:asciiTheme="majorBidi" w:hAnsiTheme="majorBidi" w:cstheme="majorBidi"/>
          <w:i/>
          <w:iCs/>
          <w:sz w:val="20"/>
          <w:szCs w:val="20"/>
        </w:rPr>
        <w:t>shiḥna</w:t>
      </w:r>
      <w:proofErr w:type="spellEnd"/>
      <w:r w:rsidRPr="001E24FD">
        <w:rPr>
          <w:rFonts w:asciiTheme="majorBidi" w:hAnsiTheme="majorBidi" w:cstheme="majorBidi"/>
          <w:i/>
          <w:iCs/>
          <w:sz w:val="20"/>
          <w:szCs w:val="20"/>
        </w:rPr>
        <w:t xml:space="preserve"> </w:t>
      </w:r>
      <w:proofErr w:type="spellStart"/>
      <w:r w:rsidRPr="001E24FD">
        <w:rPr>
          <w:rFonts w:asciiTheme="majorBidi" w:hAnsiTheme="majorBidi" w:cstheme="majorBidi"/>
          <w:i/>
          <w:iCs/>
          <w:sz w:val="20"/>
          <w:szCs w:val="20"/>
        </w:rPr>
        <w:t>yaṣduru</w:t>
      </w:r>
      <w:proofErr w:type="spellEnd"/>
      <w:r w:rsidRPr="001E24FD">
        <w:rPr>
          <w:rFonts w:asciiTheme="majorBidi" w:hAnsiTheme="majorBidi" w:cstheme="majorBidi"/>
          <w:i/>
          <w:iCs/>
          <w:sz w:val="20"/>
          <w:szCs w:val="20"/>
        </w:rPr>
        <w:t xml:space="preserve"> </w:t>
      </w:r>
      <w:proofErr w:type="spellStart"/>
      <w:r w:rsidRPr="001E24FD">
        <w:rPr>
          <w:rFonts w:asciiTheme="majorBidi" w:hAnsiTheme="majorBidi" w:cstheme="majorBidi"/>
          <w:i/>
          <w:iCs/>
          <w:sz w:val="20"/>
          <w:szCs w:val="20"/>
        </w:rPr>
        <w:t>ʿan</w:t>
      </w:r>
      <w:proofErr w:type="spellEnd"/>
      <w:r w:rsidRPr="001E24FD">
        <w:rPr>
          <w:rFonts w:asciiTheme="majorBidi" w:hAnsiTheme="majorBidi" w:cstheme="majorBidi"/>
          <w:i/>
          <w:iCs/>
          <w:sz w:val="20"/>
          <w:szCs w:val="20"/>
        </w:rPr>
        <w:t xml:space="preserve"> </w:t>
      </w:r>
      <w:proofErr w:type="spellStart"/>
      <w:r w:rsidRPr="001E24FD">
        <w:rPr>
          <w:rFonts w:asciiTheme="majorBidi" w:hAnsiTheme="majorBidi" w:cstheme="majorBidi"/>
          <w:i/>
          <w:iCs/>
          <w:sz w:val="20"/>
          <w:szCs w:val="20"/>
        </w:rPr>
        <w:t>amrihim</w:t>
      </w:r>
      <w:proofErr w:type="spellEnd"/>
      <w:r w:rsidRPr="001E24FD">
        <w:rPr>
          <w:rFonts w:asciiTheme="majorBidi" w:hAnsiTheme="majorBidi" w:cstheme="majorBidi"/>
          <w:sz w:val="20"/>
          <w:szCs w:val="20"/>
        </w:rPr>
        <w:t xml:space="preserve">). Therefore, if [the scholars] order [the ruler] to kill someone, he will do as they say. If they order him to strike someone, he will do so as well. For if he acts according to his caprice, he no longer </w:t>
      </w:r>
      <w:r w:rsidR="00E74FB9">
        <w:rPr>
          <w:rFonts w:asciiTheme="majorBidi" w:hAnsiTheme="majorBidi" w:cstheme="majorBidi"/>
          <w:sz w:val="20"/>
          <w:szCs w:val="20"/>
        </w:rPr>
        <w:t xml:space="preserve">acts as </w:t>
      </w:r>
      <w:r w:rsidRPr="001E24FD">
        <w:rPr>
          <w:rFonts w:asciiTheme="majorBidi" w:hAnsiTheme="majorBidi" w:cstheme="majorBidi"/>
          <w:sz w:val="20"/>
          <w:szCs w:val="20"/>
        </w:rPr>
        <w:t>the deputy of God</w:t>
      </w:r>
      <w:r w:rsidR="00E74FB9">
        <w:rPr>
          <w:rFonts w:asciiTheme="majorBidi" w:hAnsiTheme="majorBidi" w:cstheme="majorBidi"/>
          <w:sz w:val="20"/>
          <w:szCs w:val="20"/>
        </w:rPr>
        <w:t xml:space="preserve"> </w:t>
      </w:r>
      <w:r w:rsidRPr="001E24FD">
        <w:rPr>
          <w:rFonts w:asciiTheme="majorBidi" w:hAnsiTheme="majorBidi" w:cstheme="majorBidi"/>
          <w:sz w:val="20"/>
          <w:szCs w:val="20"/>
        </w:rPr>
        <w:t>and His messenger</w:t>
      </w:r>
      <w:r w:rsidR="00E74FB9">
        <w:rPr>
          <w:rFonts w:asciiTheme="majorBidi" w:hAnsiTheme="majorBidi" w:cstheme="majorBidi"/>
          <w:sz w:val="20"/>
          <w:szCs w:val="20"/>
        </w:rPr>
        <w:t xml:space="preserve"> </w:t>
      </w:r>
      <w:r w:rsidR="00E74FB9" w:rsidRPr="001E24FD">
        <w:rPr>
          <w:rFonts w:asciiTheme="majorBidi" w:hAnsiTheme="majorBidi" w:cstheme="majorBidi"/>
          <w:sz w:val="20"/>
          <w:szCs w:val="20"/>
        </w:rPr>
        <w:t>(</w:t>
      </w:r>
      <w:r w:rsidR="00E74FB9">
        <w:rPr>
          <w:rFonts w:asciiTheme="majorBidi" w:hAnsiTheme="majorBidi" w:cstheme="majorBidi"/>
          <w:i/>
          <w:iCs/>
          <w:sz w:val="20"/>
          <w:szCs w:val="20"/>
        </w:rPr>
        <w:t xml:space="preserve">lam </w:t>
      </w:r>
      <w:proofErr w:type="spellStart"/>
      <w:r w:rsidR="00E74FB9">
        <w:rPr>
          <w:rFonts w:asciiTheme="majorBidi" w:hAnsiTheme="majorBidi" w:cstheme="majorBidi"/>
          <w:i/>
          <w:iCs/>
          <w:sz w:val="20"/>
          <w:szCs w:val="20"/>
        </w:rPr>
        <w:t>yakun</w:t>
      </w:r>
      <w:proofErr w:type="spellEnd"/>
      <w:r w:rsidR="00E74FB9">
        <w:rPr>
          <w:rFonts w:asciiTheme="majorBidi" w:hAnsiTheme="majorBidi" w:cstheme="majorBidi"/>
          <w:i/>
          <w:iCs/>
          <w:sz w:val="20"/>
          <w:szCs w:val="20"/>
        </w:rPr>
        <w:t xml:space="preserve"> </w:t>
      </w:r>
      <w:proofErr w:type="spellStart"/>
      <w:r w:rsidR="00E74FB9" w:rsidRPr="001E24FD">
        <w:rPr>
          <w:rFonts w:asciiTheme="majorBidi" w:hAnsiTheme="majorBidi" w:cstheme="majorBidi"/>
          <w:i/>
          <w:iCs/>
          <w:sz w:val="20"/>
          <w:szCs w:val="20"/>
        </w:rPr>
        <w:t>nāʾiban</w:t>
      </w:r>
      <w:proofErr w:type="spellEnd"/>
      <w:r w:rsidR="00E74FB9" w:rsidRPr="001E24FD">
        <w:rPr>
          <w:rFonts w:asciiTheme="majorBidi" w:hAnsiTheme="majorBidi" w:cstheme="majorBidi"/>
          <w:i/>
          <w:iCs/>
          <w:sz w:val="20"/>
          <w:szCs w:val="20"/>
        </w:rPr>
        <w:t xml:space="preserve"> </w:t>
      </w:r>
      <w:proofErr w:type="spellStart"/>
      <w:r w:rsidR="00E74FB9" w:rsidRPr="001E24FD">
        <w:rPr>
          <w:rFonts w:asciiTheme="majorBidi" w:hAnsiTheme="majorBidi" w:cstheme="majorBidi"/>
          <w:i/>
          <w:iCs/>
          <w:sz w:val="20"/>
          <w:szCs w:val="20"/>
        </w:rPr>
        <w:t>ʿan</w:t>
      </w:r>
      <w:proofErr w:type="spellEnd"/>
      <w:r w:rsidR="00E74FB9" w:rsidRPr="001E24FD">
        <w:rPr>
          <w:rFonts w:asciiTheme="majorBidi" w:hAnsiTheme="majorBidi" w:cstheme="majorBidi"/>
          <w:i/>
          <w:iCs/>
          <w:sz w:val="20"/>
          <w:szCs w:val="20"/>
        </w:rPr>
        <w:t xml:space="preserve"> </w:t>
      </w:r>
      <w:proofErr w:type="spellStart"/>
      <w:r w:rsidR="00E74FB9" w:rsidRPr="001E24FD">
        <w:rPr>
          <w:rFonts w:asciiTheme="majorBidi" w:hAnsiTheme="majorBidi" w:cstheme="majorBidi"/>
          <w:i/>
          <w:iCs/>
          <w:sz w:val="20"/>
          <w:szCs w:val="20"/>
        </w:rPr>
        <w:t>Allāh</w:t>
      </w:r>
      <w:proofErr w:type="spellEnd"/>
      <w:r w:rsidR="00E74FB9">
        <w:rPr>
          <w:rFonts w:asciiTheme="majorBidi" w:hAnsiTheme="majorBidi" w:cstheme="majorBidi"/>
          <w:i/>
          <w:iCs/>
          <w:sz w:val="20"/>
          <w:szCs w:val="20"/>
        </w:rPr>
        <w:t xml:space="preserve"> </w:t>
      </w:r>
      <w:proofErr w:type="spellStart"/>
      <w:r w:rsidR="00E74FB9">
        <w:rPr>
          <w:rFonts w:asciiTheme="majorBidi" w:hAnsiTheme="majorBidi" w:cstheme="majorBidi"/>
          <w:i/>
          <w:iCs/>
          <w:sz w:val="20"/>
          <w:szCs w:val="20"/>
        </w:rPr>
        <w:t>wa-lā</w:t>
      </w:r>
      <w:proofErr w:type="spellEnd"/>
      <w:r w:rsidR="00E74FB9">
        <w:rPr>
          <w:rFonts w:asciiTheme="majorBidi" w:hAnsiTheme="majorBidi" w:cstheme="majorBidi"/>
          <w:i/>
          <w:iCs/>
          <w:sz w:val="20"/>
          <w:szCs w:val="20"/>
        </w:rPr>
        <w:t xml:space="preserve"> </w:t>
      </w:r>
      <w:proofErr w:type="spellStart"/>
      <w:r w:rsidR="00E74FB9">
        <w:rPr>
          <w:rFonts w:asciiTheme="majorBidi" w:hAnsiTheme="majorBidi" w:cstheme="majorBidi"/>
          <w:i/>
          <w:iCs/>
          <w:sz w:val="20"/>
          <w:szCs w:val="20"/>
        </w:rPr>
        <w:t>ʿan</w:t>
      </w:r>
      <w:proofErr w:type="spellEnd"/>
      <w:r w:rsidR="00E74FB9">
        <w:rPr>
          <w:rFonts w:asciiTheme="majorBidi" w:hAnsiTheme="majorBidi" w:cstheme="majorBidi"/>
          <w:i/>
          <w:iCs/>
          <w:sz w:val="20"/>
          <w:szCs w:val="20"/>
        </w:rPr>
        <w:t xml:space="preserve"> </w:t>
      </w:r>
      <w:proofErr w:type="spellStart"/>
      <w:r w:rsidR="00E74FB9">
        <w:rPr>
          <w:rFonts w:asciiTheme="majorBidi" w:hAnsiTheme="majorBidi" w:cstheme="majorBidi"/>
          <w:i/>
          <w:iCs/>
          <w:sz w:val="20"/>
          <w:szCs w:val="20"/>
        </w:rPr>
        <w:t>rasūlihi</w:t>
      </w:r>
      <w:proofErr w:type="spellEnd"/>
      <w:r w:rsidR="00E74FB9" w:rsidRPr="001E24FD">
        <w:rPr>
          <w:rFonts w:asciiTheme="majorBidi" w:hAnsiTheme="majorBidi" w:cstheme="majorBidi"/>
          <w:sz w:val="20"/>
          <w:szCs w:val="20"/>
        </w:rPr>
        <w:t>)</w:t>
      </w:r>
      <w:r w:rsidRPr="001E24FD">
        <w:rPr>
          <w:rFonts w:asciiTheme="majorBidi" w:hAnsiTheme="majorBidi" w:cstheme="majorBidi"/>
          <w:sz w:val="20"/>
          <w:szCs w:val="20"/>
        </w:rPr>
        <w:t>; his authority (</w:t>
      </w:r>
      <w:proofErr w:type="spellStart"/>
      <w:r w:rsidRPr="001E24FD">
        <w:rPr>
          <w:rFonts w:asciiTheme="majorBidi" w:hAnsiTheme="majorBidi" w:cstheme="majorBidi"/>
          <w:i/>
          <w:iCs/>
          <w:sz w:val="20"/>
          <w:szCs w:val="20"/>
        </w:rPr>
        <w:t>wilāya</w:t>
      </w:r>
      <w:proofErr w:type="spellEnd"/>
      <w:r w:rsidRPr="001E24FD">
        <w:rPr>
          <w:rFonts w:asciiTheme="majorBidi" w:hAnsiTheme="majorBidi" w:cstheme="majorBidi"/>
          <w:sz w:val="20"/>
          <w:szCs w:val="20"/>
        </w:rPr>
        <w:t>)</w:t>
      </w:r>
      <w:r w:rsidRPr="001E24FD">
        <w:rPr>
          <w:rFonts w:asciiTheme="majorBidi" w:hAnsiTheme="majorBidi" w:cstheme="majorBidi"/>
          <w:i/>
          <w:iCs/>
          <w:sz w:val="20"/>
          <w:szCs w:val="20"/>
        </w:rPr>
        <w:t xml:space="preserve"> </w:t>
      </w:r>
      <w:r w:rsidRPr="001E24FD">
        <w:rPr>
          <w:rFonts w:asciiTheme="majorBidi" w:hAnsiTheme="majorBidi" w:cstheme="majorBidi"/>
          <w:sz w:val="20"/>
          <w:szCs w:val="20"/>
        </w:rPr>
        <w:t>is tyranny (</w:t>
      </w:r>
      <w:proofErr w:type="spellStart"/>
      <w:r w:rsidRPr="001E24FD">
        <w:rPr>
          <w:rFonts w:asciiTheme="majorBidi" w:hAnsiTheme="majorBidi" w:cstheme="majorBidi"/>
          <w:i/>
          <w:iCs/>
          <w:sz w:val="20"/>
          <w:szCs w:val="20"/>
        </w:rPr>
        <w:t>jawr</w:t>
      </w:r>
      <w:proofErr w:type="spellEnd"/>
      <w:r w:rsidRPr="001E24FD">
        <w:rPr>
          <w:rFonts w:asciiTheme="majorBidi" w:hAnsiTheme="majorBidi" w:cstheme="majorBidi"/>
          <w:sz w:val="20"/>
          <w:szCs w:val="20"/>
        </w:rPr>
        <w:t>) and not legitimate rule (</w:t>
      </w:r>
      <w:proofErr w:type="spellStart"/>
      <w:r w:rsidRPr="001E24FD">
        <w:rPr>
          <w:rFonts w:asciiTheme="majorBidi" w:hAnsiTheme="majorBidi" w:cstheme="majorBidi"/>
          <w:i/>
          <w:iCs/>
          <w:sz w:val="20"/>
          <w:szCs w:val="20"/>
        </w:rPr>
        <w:t>imāra</w:t>
      </w:r>
      <w:proofErr w:type="spellEnd"/>
      <w:r w:rsidRPr="001E24FD">
        <w:rPr>
          <w:rFonts w:asciiTheme="majorBidi" w:hAnsiTheme="majorBidi" w:cstheme="majorBidi"/>
          <w:sz w:val="20"/>
          <w:szCs w:val="20"/>
        </w:rPr>
        <w:t>).</w:t>
      </w:r>
      <w:r w:rsidRPr="001E24FD">
        <w:rPr>
          <w:rStyle w:val="FootnoteReference"/>
          <w:rFonts w:asciiTheme="majorBidi" w:hAnsiTheme="majorBidi" w:cstheme="majorBidi"/>
          <w:sz w:val="20"/>
          <w:szCs w:val="20"/>
        </w:rPr>
        <w:footnoteReference w:id="87"/>
      </w:r>
    </w:p>
    <w:p w14:paraId="75EA4378" w14:textId="77777777" w:rsidR="004404F1" w:rsidRPr="001E24FD" w:rsidRDefault="004404F1" w:rsidP="0037533B">
      <w:pPr>
        <w:spacing w:line="360" w:lineRule="auto"/>
        <w:rPr>
          <w:rFonts w:asciiTheme="majorBidi" w:hAnsiTheme="majorBidi" w:cstheme="majorBidi"/>
        </w:rPr>
      </w:pPr>
    </w:p>
    <w:p w14:paraId="5C3123C6" w14:textId="4977B51A" w:rsidR="004404F1" w:rsidRDefault="004404F1" w:rsidP="0037533B">
      <w:pPr>
        <w:spacing w:line="360" w:lineRule="auto"/>
        <w:rPr>
          <w:rFonts w:asciiTheme="majorBidi" w:hAnsiTheme="majorBidi" w:cstheme="majorBidi"/>
        </w:rPr>
      </w:pPr>
      <w:r w:rsidRPr="001E24FD">
        <w:rPr>
          <w:rFonts w:asciiTheme="majorBidi" w:hAnsiTheme="majorBidi" w:cstheme="majorBidi"/>
        </w:rPr>
        <w:t xml:space="preserve">This loaded statement </w:t>
      </w:r>
      <w:r w:rsidR="00F3671F">
        <w:rPr>
          <w:rFonts w:asciiTheme="majorBidi" w:hAnsiTheme="majorBidi" w:cstheme="majorBidi"/>
        </w:rPr>
        <w:t>suggests</w:t>
      </w:r>
      <w:r w:rsidRPr="001E24FD">
        <w:rPr>
          <w:rFonts w:asciiTheme="majorBidi" w:hAnsiTheme="majorBidi" w:cstheme="majorBidi"/>
        </w:rPr>
        <w:t xml:space="preserve"> that in Ibn al-</w:t>
      </w:r>
      <w:proofErr w:type="spellStart"/>
      <w:r w:rsidRPr="001E24FD">
        <w:rPr>
          <w:rFonts w:asciiTheme="majorBidi" w:hAnsiTheme="majorBidi" w:cstheme="majorBidi"/>
        </w:rPr>
        <w:t>Jawzī’s</w:t>
      </w:r>
      <w:proofErr w:type="spellEnd"/>
      <w:r w:rsidRPr="001E24FD">
        <w:rPr>
          <w:rFonts w:asciiTheme="majorBidi" w:hAnsiTheme="majorBidi" w:cstheme="majorBidi"/>
        </w:rPr>
        <w:t xml:space="preserve"> ideal hierarchy of authority, it is the religious scholars who define </w:t>
      </w:r>
      <w:r>
        <w:rPr>
          <w:rFonts w:asciiTheme="majorBidi" w:hAnsiTheme="majorBidi" w:cstheme="majorBidi"/>
        </w:rPr>
        <w:t>the limits of the ruler’s coercive and punitive policies</w:t>
      </w:r>
      <w:r w:rsidRPr="001E24FD">
        <w:rPr>
          <w:rFonts w:asciiTheme="majorBidi" w:hAnsiTheme="majorBidi" w:cstheme="majorBidi"/>
        </w:rPr>
        <w:t xml:space="preserve">. </w:t>
      </w:r>
      <w:r w:rsidR="00794932">
        <w:rPr>
          <w:rFonts w:asciiTheme="majorBidi" w:hAnsiTheme="majorBidi" w:cstheme="majorBidi"/>
        </w:rPr>
        <w:t xml:space="preserve">The crisis of political and religious authority owing to increasing Seljuq encroachment in the religious sphere is now turned on its head with scholars dictating the punishments and rulers functioning as the scholars’ executive punitive arm. </w:t>
      </w:r>
      <w:r w:rsidR="00863A21">
        <w:rPr>
          <w:rFonts w:asciiTheme="majorBidi" w:hAnsiTheme="majorBidi" w:cstheme="majorBidi"/>
        </w:rPr>
        <w:t>I</w:t>
      </w:r>
      <w:r w:rsidR="00863A21" w:rsidRPr="001E24FD">
        <w:rPr>
          <w:rFonts w:asciiTheme="majorBidi" w:hAnsiTheme="majorBidi" w:cstheme="majorBidi"/>
        </w:rPr>
        <w:t xml:space="preserve">t is only by acting according to the </w:t>
      </w:r>
      <w:r w:rsidR="00863A21">
        <w:rPr>
          <w:rFonts w:asciiTheme="majorBidi" w:hAnsiTheme="majorBidi" w:cstheme="majorBidi"/>
        </w:rPr>
        <w:t>scholars’ precepts in the realm of punishments</w:t>
      </w:r>
      <w:r w:rsidR="00863A21" w:rsidRPr="001E24FD">
        <w:rPr>
          <w:rFonts w:asciiTheme="majorBidi" w:hAnsiTheme="majorBidi" w:cstheme="majorBidi"/>
        </w:rPr>
        <w:t xml:space="preserve"> can a ruler’s polity be considered legitimate</w:t>
      </w:r>
      <w:r w:rsidR="00863A21">
        <w:rPr>
          <w:rFonts w:asciiTheme="majorBidi" w:hAnsiTheme="majorBidi" w:cstheme="majorBidi"/>
        </w:rPr>
        <w:t xml:space="preserve">. </w:t>
      </w:r>
      <w:r w:rsidR="00794932">
        <w:rPr>
          <w:rFonts w:asciiTheme="majorBidi" w:hAnsiTheme="majorBidi" w:cstheme="majorBidi"/>
        </w:rPr>
        <w:t>Given this hierarchy of authority, Ibn al-</w:t>
      </w:r>
      <w:proofErr w:type="spellStart"/>
      <w:r w:rsidR="00794932">
        <w:rPr>
          <w:rFonts w:asciiTheme="majorBidi" w:hAnsiTheme="majorBidi" w:cstheme="majorBidi"/>
        </w:rPr>
        <w:t>Jawzī</w:t>
      </w:r>
      <w:proofErr w:type="spellEnd"/>
      <w:r w:rsidR="00794932">
        <w:rPr>
          <w:rFonts w:asciiTheme="majorBidi" w:hAnsiTheme="majorBidi" w:cstheme="majorBidi"/>
        </w:rPr>
        <w:t xml:space="preserve"> continues, i</w:t>
      </w:r>
      <w:r w:rsidRPr="001E24FD">
        <w:rPr>
          <w:rFonts w:asciiTheme="majorBidi" w:hAnsiTheme="majorBidi" w:cstheme="majorBidi"/>
        </w:rPr>
        <w:t xml:space="preserve">t is required for rulers to “exalt the scholars, be close to them, and learn from them.” </w:t>
      </w:r>
      <w:r w:rsidR="00CB3A41">
        <w:rPr>
          <w:rFonts w:asciiTheme="majorBidi" w:hAnsiTheme="majorBidi" w:cstheme="majorBidi"/>
        </w:rPr>
        <w:t xml:space="preserve">Since </w:t>
      </w:r>
      <w:r w:rsidRPr="001E24FD">
        <w:rPr>
          <w:rFonts w:asciiTheme="majorBidi" w:hAnsiTheme="majorBidi" w:cstheme="majorBidi"/>
        </w:rPr>
        <w:t xml:space="preserve">the noble rank of the scholars is </w:t>
      </w:r>
      <w:r w:rsidR="00CB3A41">
        <w:rPr>
          <w:rFonts w:asciiTheme="majorBidi" w:hAnsiTheme="majorBidi" w:cstheme="majorBidi"/>
        </w:rPr>
        <w:t xml:space="preserve">exactly </w:t>
      </w:r>
      <w:r w:rsidRPr="001E24FD">
        <w:rPr>
          <w:rFonts w:asciiTheme="majorBidi" w:hAnsiTheme="majorBidi" w:cstheme="majorBidi"/>
        </w:rPr>
        <w:t>what inclines rulers to them (</w:t>
      </w:r>
      <w:proofErr w:type="spellStart"/>
      <w:r w:rsidRPr="001E24FD">
        <w:rPr>
          <w:rFonts w:asciiTheme="majorBidi" w:hAnsiTheme="majorBidi" w:cstheme="majorBidi"/>
          <w:i/>
          <w:iCs/>
        </w:rPr>
        <w:t>yaʿṭifu</w:t>
      </w:r>
      <w:proofErr w:type="spellEnd"/>
      <w:r w:rsidRPr="001E24FD">
        <w:rPr>
          <w:rFonts w:asciiTheme="majorBidi" w:hAnsiTheme="majorBidi" w:cstheme="majorBidi"/>
          <w:i/>
          <w:iCs/>
        </w:rPr>
        <w:t xml:space="preserve"> al-</w:t>
      </w:r>
      <w:proofErr w:type="spellStart"/>
      <w:r w:rsidRPr="001E24FD">
        <w:rPr>
          <w:rFonts w:asciiTheme="majorBidi" w:hAnsiTheme="majorBidi" w:cstheme="majorBidi"/>
          <w:i/>
          <w:iCs/>
        </w:rPr>
        <w:t>umarāʾ</w:t>
      </w:r>
      <w:proofErr w:type="spellEnd"/>
      <w:r w:rsidRPr="001E24FD">
        <w:rPr>
          <w:rFonts w:asciiTheme="majorBidi" w:hAnsiTheme="majorBidi" w:cstheme="majorBidi"/>
          <w:i/>
          <w:iCs/>
        </w:rPr>
        <w:t xml:space="preserve"> </w:t>
      </w:r>
      <w:proofErr w:type="spellStart"/>
      <w:r w:rsidRPr="001E24FD">
        <w:rPr>
          <w:rFonts w:asciiTheme="majorBidi" w:hAnsiTheme="majorBidi" w:cstheme="majorBidi"/>
          <w:i/>
          <w:iCs/>
        </w:rPr>
        <w:t>ʿalā</w:t>
      </w:r>
      <w:proofErr w:type="spellEnd"/>
      <w:r w:rsidR="00794932">
        <w:rPr>
          <w:rFonts w:asciiTheme="majorBidi" w:hAnsiTheme="majorBidi" w:cstheme="majorBidi"/>
          <w:i/>
          <w:iCs/>
        </w:rPr>
        <w:t xml:space="preserve"> a</w:t>
      </w:r>
      <w:r w:rsidRPr="001E24FD">
        <w:rPr>
          <w:rFonts w:asciiTheme="majorBidi" w:hAnsiTheme="majorBidi" w:cstheme="majorBidi"/>
          <w:i/>
          <w:iCs/>
        </w:rPr>
        <w:t>l-</w:t>
      </w:r>
      <w:proofErr w:type="spellStart"/>
      <w:r w:rsidRPr="001E24FD">
        <w:rPr>
          <w:rFonts w:asciiTheme="majorBidi" w:hAnsiTheme="majorBidi" w:cstheme="majorBidi"/>
          <w:i/>
          <w:iCs/>
        </w:rPr>
        <w:t>ʿulamāʾ</w:t>
      </w:r>
      <w:proofErr w:type="spellEnd"/>
      <w:r w:rsidRPr="001E24FD">
        <w:rPr>
          <w:rFonts w:asciiTheme="majorBidi" w:hAnsiTheme="majorBidi" w:cstheme="majorBidi"/>
        </w:rPr>
        <w:t>)</w:t>
      </w:r>
      <w:r w:rsidR="00CB3A41">
        <w:rPr>
          <w:rFonts w:asciiTheme="majorBidi" w:hAnsiTheme="majorBidi" w:cstheme="majorBidi"/>
        </w:rPr>
        <w:t>, r</w:t>
      </w:r>
      <w:r w:rsidRPr="001E24FD">
        <w:rPr>
          <w:rFonts w:asciiTheme="majorBidi" w:hAnsiTheme="majorBidi" w:cstheme="majorBidi"/>
        </w:rPr>
        <w:t xml:space="preserve">ulers should not foster contempt toward scholars and place them on an equal level with the common folk. Similarly, it is required for scholars to </w:t>
      </w:r>
      <w:r w:rsidR="00CB3A41">
        <w:rPr>
          <w:rFonts w:asciiTheme="majorBidi" w:hAnsiTheme="majorBidi" w:cstheme="majorBidi"/>
        </w:rPr>
        <w:t>appreciate</w:t>
      </w:r>
      <w:r w:rsidRPr="001E24FD">
        <w:rPr>
          <w:rFonts w:asciiTheme="majorBidi" w:hAnsiTheme="majorBidi" w:cstheme="majorBidi"/>
        </w:rPr>
        <w:t xml:space="preserve"> the </w:t>
      </w:r>
      <w:r w:rsidR="00CB3A41">
        <w:rPr>
          <w:rFonts w:asciiTheme="majorBidi" w:hAnsiTheme="majorBidi" w:cstheme="majorBidi"/>
        </w:rPr>
        <w:t>role</w:t>
      </w:r>
      <w:r w:rsidRPr="001E24FD">
        <w:rPr>
          <w:rFonts w:asciiTheme="majorBidi" w:hAnsiTheme="majorBidi" w:cstheme="majorBidi"/>
        </w:rPr>
        <w:t xml:space="preserve"> of the ruler and not </w:t>
      </w:r>
      <w:r w:rsidR="00F87173">
        <w:rPr>
          <w:rFonts w:asciiTheme="majorBidi" w:hAnsiTheme="majorBidi" w:cstheme="majorBidi"/>
        </w:rPr>
        <w:t xml:space="preserve">shun him </w:t>
      </w:r>
      <w:r w:rsidRPr="001E24FD">
        <w:rPr>
          <w:rFonts w:asciiTheme="majorBidi" w:hAnsiTheme="majorBidi" w:cstheme="majorBidi"/>
        </w:rPr>
        <w:t xml:space="preserve">because </w:t>
      </w:r>
      <w:r w:rsidR="00BF73FA" w:rsidRPr="001E24FD">
        <w:rPr>
          <w:rFonts w:asciiTheme="majorBidi" w:hAnsiTheme="majorBidi" w:cstheme="majorBidi"/>
        </w:rPr>
        <w:t>they would not be able to pursue knowledge safely</w:t>
      </w:r>
      <w:r w:rsidR="00BF73FA">
        <w:rPr>
          <w:rFonts w:asciiTheme="majorBidi" w:hAnsiTheme="majorBidi" w:cstheme="majorBidi"/>
        </w:rPr>
        <w:t xml:space="preserve"> </w:t>
      </w:r>
      <w:r w:rsidRPr="001E24FD">
        <w:rPr>
          <w:rFonts w:asciiTheme="majorBidi" w:hAnsiTheme="majorBidi" w:cstheme="majorBidi"/>
        </w:rPr>
        <w:t xml:space="preserve">if it were not for his supervision of </w:t>
      </w:r>
      <w:r w:rsidR="00F87173">
        <w:rPr>
          <w:rFonts w:asciiTheme="majorBidi" w:hAnsiTheme="majorBidi" w:cstheme="majorBidi"/>
        </w:rPr>
        <w:t>worldly</w:t>
      </w:r>
      <w:r w:rsidRPr="001E24FD">
        <w:rPr>
          <w:rFonts w:asciiTheme="majorBidi" w:hAnsiTheme="majorBidi" w:cstheme="majorBidi"/>
        </w:rPr>
        <w:t xml:space="preserve"> affairs and his guardianship of the community.</w:t>
      </w:r>
      <w:r w:rsidRPr="001E24FD">
        <w:rPr>
          <w:rStyle w:val="FootnoteReference"/>
          <w:rFonts w:asciiTheme="majorBidi" w:hAnsiTheme="majorBidi" w:cstheme="majorBidi"/>
        </w:rPr>
        <w:footnoteReference w:id="88"/>
      </w:r>
    </w:p>
    <w:p w14:paraId="611E3993" w14:textId="0E7D3780" w:rsidR="000131AF" w:rsidRDefault="00863A21" w:rsidP="0037533B">
      <w:pPr>
        <w:spacing w:line="360" w:lineRule="auto"/>
        <w:rPr>
          <w:rFonts w:asciiTheme="majorBidi" w:hAnsiTheme="majorBidi" w:cstheme="majorBidi"/>
          <w:color w:val="000000" w:themeColor="text1"/>
        </w:rPr>
      </w:pPr>
      <w:r>
        <w:rPr>
          <w:rFonts w:asciiTheme="majorBidi" w:hAnsiTheme="majorBidi" w:cstheme="majorBidi"/>
        </w:rPr>
        <w:tab/>
      </w:r>
      <w:r w:rsidR="00F208AA">
        <w:rPr>
          <w:rFonts w:asciiTheme="majorBidi" w:hAnsiTheme="majorBidi" w:cstheme="majorBidi"/>
        </w:rPr>
        <w:t xml:space="preserve">Having </w:t>
      </w:r>
      <w:r w:rsidR="005950A5">
        <w:rPr>
          <w:rFonts w:asciiTheme="majorBidi" w:hAnsiTheme="majorBidi" w:cstheme="majorBidi"/>
        </w:rPr>
        <w:t>examined</w:t>
      </w:r>
      <w:r w:rsidR="00F208AA">
        <w:rPr>
          <w:rFonts w:asciiTheme="majorBidi" w:hAnsiTheme="majorBidi" w:cstheme="majorBidi"/>
        </w:rPr>
        <w:t xml:space="preserve"> </w:t>
      </w:r>
      <w:r w:rsidR="009972C5">
        <w:rPr>
          <w:rFonts w:asciiTheme="majorBidi" w:hAnsiTheme="majorBidi" w:cstheme="majorBidi"/>
        </w:rPr>
        <w:t>Ibn al-</w:t>
      </w:r>
      <w:proofErr w:type="spellStart"/>
      <w:r w:rsidR="009972C5">
        <w:rPr>
          <w:rFonts w:asciiTheme="majorBidi" w:hAnsiTheme="majorBidi" w:cstheme="majorBidi"/>
        </w:rPr>
        <w:t>Jawzī’s</w:t>
      </w:r>
      <w:proofErr w:type="spellEnd"/>
      <w:r w:rsidR="009972C5">
        <w:rPr>
          <w:rFonts w:asciiTheme="majorBidi" w:hAnsiTheme="majorBidi" w:cstheme="majorBidi"/>
        </w:rPr>
        <w:t xml:space="preserve"> reconceptualization of ruler-scholar relations</w:t>
      </w:r>
      <w:r w:rsidR="00F208AA">
        <w:rPr>
          <w:rFonts w:asciiTheme="majorBidi" w:hAnsiTheme="majorBidi" w:cstheme="majorBidi"/>
        </w:rPr>
        <w:t xml:space="preserve">, we can now </w:t>
      </w:r>
      <w:r w:rsidR="00DA3D7B">
        <w:rPr>
          <w:rFonts w:asciiTheme="majorBidi" w:hAnsiTheme="majorBidi" w:cstheme="majorBidi"/>
        </w:rPr>
        <w:t>relate it to</w:t>
      </w:r>
      <w:r w:rsidR="00F208AA">
        <w:rPr>
          <w:rFonts w:asciiTheme="majorBidi" w:hAnsiTheme="majorBidi" w:cstheme="majorBidi"/>
        </w:rPr>
        <w:t xml:space="preserve"> the </w:t>
      </w:r>
      <w:r w:rsidR="009972C5">
        <w:rPr>
          <w:rFonts w:asciiTheme="majorBidi" w:hAnsiTheme="majorBidi" w:cstheme="majorBidi"/>
        </w:rPr>
        <w:t xml:space="preserve">debates surrounding </w:t>
      </w:r>
      <w:proofErr w:type="spellStart"/>
      <w:r w:rsidR="009972C5">
        <w:rPr>
          <w:rFonts w:asciiTheme="majorBidi" w:hAnsiTheme="majorBidi" w:cstheme="majorBidi"/>
          <w:i/>
          <w:iCs/>
        </w:rPr>
        <w:t>siyāsa</w:t>
      </w:r>
      <w:proofErr w:type="spellEnd"/>
      <w:r w:rsidR="009972C5">
        <w:rPr>
          <w:rFonts w:asciiTheme="majorBidi" w:hAnsiTheme="majorBidi" w:cstheme="majorBidi"/>
        </w:rPr>
        <w:t xml:space="preserve">, </w:t>
      </w:r>
      <w:proofErr w:type="spellStart"/>
      <w:r w:rsidR="009972C5">
        <w:rPr>
          <w:rFonts w:asciiTheme="majorBidi" w:hAnsiTheme="majorBidi" w:cstheme="majorBidi"/>
          <w:i/>
          <w:iCs/>
        </w:rPr>
        <w:t>sharīʿa</w:t>
      </w:r>
      <w:proofErr w:type="spellEnd"/>
      <w:r w:rsidR="009972C5">
        <w:rPr>
          <w:rFonts w:asciiTheme="majorBidi" w:hAnsiTheme="majorBidi" w:cstheme="majorBidi"/>
        </w:rPr>
        <w:t xml:space="preserve">, and </w:t>
      </w:r>
      <w:proofErr w:type="spellStart"/>
      <w:r w:rsidR="009972C5">
        <w:rPr>
          <w:rFonts w:asciiTheme="majorBidi" w:hAnsiTheme="majorBidi" w:cstheme="majorBidi"/>
          <w:i/>
          <w:iCs/>
        </w:rPr>
        <w:t>taʿzīr</w:t>
      </w:r>
      <w:proofErr w:type="spellEnd"/>
      <w:r w:rsidR="009972C5">
        <w:rPr>
          <w:rFonts w:asciiTheme="majorBidi" w:hAnsiTheme="majorBidi" w:cstheme="majorBidi"/>
        </w:rPr>
        <w:t>. To do so, l</w:t>
      </w:r>
      <w:r w:rsidR="009F6CA5">
        <w:rPr>
          <w:rFonts w:asciiTheme="majorBidi" w:hAnsiTheme="majorBidi" w:cstheme="majorBidi"/>
        </w:rPr>
        <w:t xml:space="preserve">et us return to </w:t>
      </w:r>
      <w:r w:rsidR="009972C5">
        <w:rPr>
          <w:rFonts w:asciiTheme="majorBidi" w:hAnsiTheme="majorBidi" w:cstheme="majorBidi"/>
        </w:rPr>
        <w:t>hi</w:t>
      </w:r>
      <w:r w:rsidR="009F6CA5">
        <w:rPr>
          <w:rFonts w:asciiTheme="majorBidi" w:hAnsiTheme="majorBidi" w:cstheme="majorBidi"/>
        </w:rPr>
        <w:t>s critique of</w:t>
      </w:r>
      <w:r w:rsidR="009972C5">
        <w:rPr>
          <w:rFonts w:asciiTheme="majorBidi" w:hAnsiTheme="majorBidi" w:cstheme="majorBidi"/>
        </w:rPr>
        <w:t xml:space="preserve"> </w:t>
      </w:r>
      <w:proofErr w:type="spellStart"/>
      <w:r w:rsidR="00EE084E">
        <w:rPr>
          <w:rFonts w:asciiTheme="majorBidi" w:hAnsiTheme="majorBidi" w:cstheme="majorBidi"/>
          <w:i/>
          <w:iCs/>
        </w:rPr>
        <w:t>siyās</w:t>
      </w:r>
      <w:r w:rsidR="009F6CA5">
        <w:rPr>
          <w:rFonts w:asciiTheme="majorBidi" w:hAnsiTheme="majorBidi" w:cstheme="majorBidi"/>
          <w:i/>
          <w:iCs/>
        </w:rPr>
        <w:t>a</w:t>
      </w:r>
      <w:proofErr w:type="spellEnd"/>
      <w:r w:rsidR="00D7294A">
        <w:rPr>
          <w:rFonts w:asciiTheme="majorBidi" w:hAnsiTheme="majorBidi" w:cstheme="majorBidi"/>
        </w:rPr>
        <w:t xml:space="preserve"> in the </w:t>
      </w:r>
      <w:proofErr w:type="spellStart"/>
      <w:r w:rsidR="00D7294A">
        <w:rPr>
          <w:rFonts w:asciiTheme="majorBidi" w:hAnsiTheme="majorBidi" w:cstheme="majorBidi"/>
          <w:i/>
          <w:iCs/>
        </w:rPr>
        <w:t>Muntaẓam</w:t>
      </w:r>
      <w:proofErr w:type="spellEnd"/>
      <w:r w:rsidR="00D7294A">
        <w:rPr>
          <w:rFonts w:asciiTheme="majorBidi" w:hAnsiTheme="majorBidi" w:cstheme="majorBidi"/>
        </w:rPr>
        <w:t>. Recall that</w:t>
      </w:r>
      <w:r w:rsidR="00D7294A">
        <w:rPr>
          <w:rFonts w:asciiTheme="majorBidi" w:hAnsiTheme="majorBidi" w:cstheme="majorBidi"/>
          <w:i/>
          <w:iCs/>
        </w:rPr>
        <w:t xml:space="preserve"> </w:t>
      </w:r>
      <w:r w:rsidR="009F6CA5">
        <w:rPr>
          <w:rFonts w:asciiTheme="majorBidi" w:hAnsiTheme="majorBidi" w:cstheme="majorBidi"/>
          <w:color w:val="000000" w:themeColor="text1"/>
        </w:rPr>
        <w:t>he</w:t>
      </w:r>
      <w:r w:rsidR="009F6CA5" w:rsidRPr="001E24FD">
        <w:rPr>
          <w:rFonts w:asciiTheme="majorBidi" w:hAnsiTheme="majorBidi" w:cstheme="majorBidi"/>
          <w:color w:val="000000" w:themeColor="text1"/>
        </w:rPr>
        <w:t xml:space="preserve"> </w:t>
      </w:r>
      <w:r w:rsidR="009972C5" w:rsidRPr="001E24FD">
        <w:rPr>
          <w:rFonts w:asciiTheme="majorBidi" w:hAnsiTheme="majorBidi" w:cstheme="majorBidi"/>
          <w:color w:val="000000" w:themeColor="text1"/>
        </w:rPr>
        <w:t>c</w:t>
      </w:r>
      <w:r w:rsidR="009972C5">
        <w:rPr>
          <w:rFonts w:asciiTheme="majorBidi" w:hAnsiTheme="majorBidi" w:cstheme="majorBidi"/>
          <w:color w:val="000000" w:themeColor="text1"/>
        </w:rPr>
        <w:t>ondemns</w:t>
      </w:r>
      <w:r w:rsidR="009F6CA5" w:rsidRPr="001E24FD">
        <w:rPr>
          <w:rFonts w:asciiTheme="majorBidi" w:hAnsiTheme="majorBidi" w:cstheme="majorBidi"/>
          <w:color w:val="000000" w:themeColor="text1"/>
        </w:rPr>
        <w:t xml:space="preserve"> rulers who </w:t>
      </w:r>
      <w:r w:rsidR="009F6CA5">
        <w:rPr>
          <w:rFonts w:asciiTheme="majorBidi" w:hAnsiTheme="majorBidi" w:cstheme="majorBidi"/>
          <w:color w:val="000000" w:themeColor="text1"/>
        </w:rPr>
        <w:t>we</w:t>
      </w:r>
      <w:r w:rsidR="009F6CA5" w:rsidRPr="001E24FD">
        <w:rPr>
          <w:rFonts w:asciiTheme="majorBidi" w:hAnsiTheme="majorBidi" w:cstheme="majorBidi"/>
          <w:color w:val="000000" w:themeColor="text1"/>
        </w:rPr>
        <w:t xml:space="preserve">re quick to justify their arbitrary </w:t>
      </w:r>
      <w:r w:rsidR="009972C5">
        <w:rPr>
          <w:rFonts w:asciiTheme="majorBidi" w:hAnsiTheme="majorBidi" w:cstheme="majorBidi"/>
          <w:color w:val="000000" w:themeColor="text1"/>
        </w:rPr>
        <w:t xml:space="preserve">punishments </w:t>
      </w:r>
      <w:r w:rsidR="009F6CA5" w:rsidRPr="001E24FD">
        <w:rPr>
          <w:rFonts w:asciiTheme="majorBidi" w:hAnsiTheme="majorBidi" w:cstheme="majorBidi"/>
          <w:color w:val="000000" w:themeColor="text1"/>
        </w:rPr>
        <w:t xml:space="preserve">by simply labeling them </w:t>
      </w:r>
      <w:proofErr w:type="spellStart"/>
      <w:r w:rsidR="009F6CA5" w:rsidRPr="001E24FD">
        <w:rPr>
          <w:rFonts w:asciiTheme="majorBidi" w:hAnsiTheme="majorBidi" w:cstheme="majorBidi"/>
          <w:i/>
          <w:iCs/>
          <w:color w:val="000000" w:themeColor="text1"/>
        </w:rPr>
        <w:t>siyāsa</w:t>
      </w:r>
      <w:proofErr w:type="spellEnd"/>
      <w:r w:rsidR="009F6CA5" w:rsidRPr="001E24FD">
        <w:rPr>
          <w:rFonts w:asciiTheme="majorBidi" w:hAnsiTheme="majorBidi" w:cstheme="majorBidi"/>
          <w:color w:val="000000" w:themeColor="text1"/>
        </w:rPr>
        <w:t xml:space="preserve"> and, in so</w:t>
      </w:r>
      <w:r w:rsidR="00D0669C">
        <w:rPr>
          <w:rFonts w:asciiTheme="majorBidi" w:hAnsiTheme="majorBidi" w:cstheme="majorBidi"/>
          <w:color w:val="000000" w:themeColor="text1"/>
        </w:rPr>
        <w:t xml:space="preserve"> doing</w:t>
      </w:r>
      <w:r w:rsidR="009F6CA5" w:rsidRPr="001E24FD">
        <w:rPr>
          <w:rFonts w:asciiTheme="majorBidi" w:hAnsiTheme="majorBidi" w:cstheme="majorBidi"/>
          <w:color w:val="000000" w:themeColor="text1"/>
        </w:rPr>
        <w:t xml:space="preserve">, accuse the </w:t>
      </w:r>
      <w:proofErr w:type="spellStart"/>
      <w:r w:rsidR="009F6CA5" w:rsidRPr="001E24FD">
        <w:rPr>
          <w:rFonts w:asciiTheme="majorBidi" w:hAnsiTheme="majorBidi" w:cstheme="majorBidi"/>
          <w:i/>
          <w:iCs/>
          <w:color w:val="000000" w:themeColor="text1"/>
        </w:rPr>
        <w:t>sharīʿa</w:t>
      </w:r>
      <w:proofErr w:type="spellEnd"/>
      <w:r w:rsidR="009F6CA5" w:rsidRPr="001E24FD">
        <w:rPr>
          <w:rFonts w:asciiTheme="majorBidi" w:hAnsiTheme="majorBidi" w:cstheme="majorBidi"/>
          <w:color w:val="000000" w:themeColor="text1"/>
        </w:rPr>
        <w:t xml:space="preserve"> of being deficient in dealing with </w:t>
      </w:r>
      <w:r w:rsidR="005058C7">
        <w:rPr>
          <w:rFonts w:asciiTheme="majorBidi" w:hAnsiTheme="majorBidi" w:cstheme="majorBidi"/>
          <w:color w:val="000000" w:themeColor="text1"/>
        </w:rPr>
        <w:t xml:space="preserve">political </w:t>
      </w:r>
      <w:r w:rsidR="009F6CA5">
        <w:rPr>
          <w:rFonts w:asciiTheme="majorBidi" w:hAnsiTheme="majorBidi" w:cstheme="majorBidi"/>
          <w:color w:val="000000" w:themeColor="text1"/>
        </w:rPr>
        <w:t>matters</w:t>
      </w:r>
      <w:r w:rsidR="009F6CA5" w:rsidRPr="001E24FD">
        <w:rPr>
          <w:rFonts w:asciiTheme="majorBidi" w:hAnsiTheme="majorBidi" w:cstheme="majorBidi"/>
          <w:color w:val="000000" w:themeColor="text1"/>
        </w:rPr>
        <w:t>.</w:t>
      </w:r>
      <w:r w:rsidR="00E83626">
        <w:rPr>
          <w:rFonts w:asciiTheme="majorBidi" w:hAnsiTheme="majorBidi" w:cstheme="majorBidi"/>
          <w:color w:val="000000" w:themeColor="text1"/>
        </w:rPr>
        <w:t xml:space="preserve"> His pessimistic evaluation of the relationship between </w:t>
      </w:r>
      <w:proofErr w:type="spellStart"/>
      <w:r w:rsidR="00E83626">
        <w:rPr>
          <w:rFonts w:asciiTheme="majorBidi" w:hAnsiTheme="majorBidi" w:cstheme="majorBidi"/>
          <w:i/>
          <w:iCs/>
          <w:color w:val="000000" w:themeColor="text1"/>
        </w:rPr>
        <w:t>siyāsa</w:t>
      </w:r>
      <w:proofErr w:type="spellEnd"/>
      <w:r w:rsidR="00E83626">
        <w:rPr>
          <w:rFonts w:asciiTheme="majorBidi" w:hAnsiTheme="majorBidi" w:cstheme="majorBidi"/>
          <w:color w:val="000000" w:themeColor="text1"/>
        </w:rPr>
        <w:t xml:space="preserve"> and </w:t>
      </w:r>
      <w:proofErr w:type="spellStart"/>
      <w:r w:rsidR="00E83626">
        <w:rPr>
          <w:rFonts w:asciiTheme="majorBidi" w:hAnsiTheme="majorBidi" w:cstheme="majorBidi"/>
          <w:i/>
          <w:iCs/>
          <w:color w:val="000000" w:themeColor="text1"/>
        </w:rPr>
        <w:t>sharīʿa</w:t>
      </w:r>
      <w:proofErr w:type="spellEnd"/>
      <w:r w:rsidR="00E83626">
        <w:rPr>
          <w:rFonts w:asciiTheme="majorBidi" w:hAnsiTheme="majorBidi" w:cstheme="majorBidi"/>
          <w:color w:val="000000" w:themeColor="text1"/>
        </w:rPr>
        <w:t xml:space="preserve"> </w:t>
      </w:r>
      <w:r w:rsidR="00154B7C">
        <w:rPr>
          <w:rFonts w:asciiTheme="majorBidi" w:hAnsiTheme="majorBidi" w:cstheme="majorBidi"/>
          <w:color w:val="000000" w:themeColor="text1"/>
        </w:rPr>
        <w:t xml:space="preserve">was very </w:t>
      </w:r>
      <w:r w:rsidR="00E83626">
        <w:rPr>
          <w:rFonts w:asciiTheme="majorBidi" w:hAnsiTheme="majorBidi" w:cstheme="majorBidi"/>
          <w:color w:val="000000" w:themeColor="text1"/>
        </w:rPr>
        <w:t xml:space="preserve">likely colored </w:t>
      </w:r>
      <w:r w:rsidR="00154B7C">
        <w:rPr>
          <w:rFonts w:asciiTheme="majorBidi" w:hAnsiTheme="majorBidi" w:cstheme="majorBidi"/>
          <w:color w:val="000000" w:themeColor="text1"/>
        </w:rPr>
        <w:t xml:space="preserve">by the increasing intrusion of </w:t>
      </w:r>
      <w:r w:rsidR="00D7294A">
        <w:rPr>
          <w:rFonts w:asciiTheme="majorBidi" w:hAnsiTheme="majorBidi" w:cstheme="majorBidi"/>
          <w:color w:val="000000" w:themeColor="text1"/>
        </w:rPr>
        <w:t>rulers</w:t>
      </w:r>
      <w:r w:rsidR="00154B7C">
        <w:rPr>
          <w:rFonts w:asciiTheme="majorBidi" w:hAnsiTheme="majorBidi" w:cstheme="majorBidi"/>
          <w:color w:val="000000" w:themeColor="text1"/>
        </w:rPr>
        <w:t xml:space="preserve"> into the religious sphere, especially with regard to the </w:t>
      </w:r>
      <w:proofErr w:type="spellStart"/>
      <w:r w:rsidR="00154B7C">
        <w:rPr>
          <w:rFonts w:asciiTheme="majorBidi" w:hAnsiTheme="majorBidi" w:cstheme="majorBidi"/>
          <w:i/>
          <w:iCs/>
          <w:color w:val="000000" w:themeColor="text1"/>
        </w:rPr>
        <w:t>ʿulamāʾ</w:t>
      </w:r>
      <w:r w:rsidR="00D7294A">
        <w:rPr>
          <w:rFonts w:asciiTheme="majorBidi" w:hAnsiTheme="majorBidi" w:cstheme="majorBidi"/>
          <w:color w:val="000000" w:themeColor="text1"/>
        </w:rPr>
        <w:t>’s</w:t>
      </w:r>
      <w:proofErr w:type="spellEnd"/>
      <w:r w:rsidR="00D7294A">
        <w:rPr>
          <w:rFonts w:asciiTheme="majorBidi" w:hAnsiTheme="majorBidi" w:cstheme="majorBidi"/>
          <w:color w:val="000000" w:themeColor="text1"/>
        </w:rPr>
        <w:t xml:space="preserve"> prerogatives over criminal punishments</w:t>
      </w:r>
      <w:r w:rsidR="00154B7C">
        <w:rPr>
          <w:rFonts w:asciiTheme="majorBidi" w:hAnsiTheme="majorBidi" w:cstheme="majorBidi"/>
          <w:color w:val="000000" w:themeColor="text1"/>
        </w:rPr>
        <w:t xml:space="preserve">. </w:t>
      </w:r>
    </w:p>
    <w:p w14:paraId="0C7F306C" w14:textId="08FCACFC" w:rsidR="00F2734B" w:rsidRDefault="000131AF" w:rsidP="0037533B">
      <w:pPr>
        <w:spacing w:line="360" w:lineRule="auto"/>
        <w:ind w:firstLine="720"/>
        <w:rPr>
          <w:rFonts w:asciiTheme="majorBidi" w:hAnsiTheme="majorBidi" w:cstheme="majorBidi"/>
          <w:color w:val="000000" w:themeColor="text1"/>
        </w:rPr>
      </w:pPr>
      <w:r>
        <w:rPr>
          <w:rFonts w:asciiTheme="majorBidi" w:hAnsiTheme="majorBidi" w:cstheme="majorBidi"/>
          <w:color w:val="000000" w:themeColor="text1"/>
        </w:rPr>
        <w:lastRenderedPageBreak/>
        <w:t>Over time, Sunni s</w:t>
      </w:r>
      <w:r w:rsidR="00DA3D7B">
        <w:rPr>
          <w:rFonts w:asciiTheme="majorBidi" w:hAnsiTheme="majorBidi" w:cstheme="majorBidi"/>
          <w:color w:val="000000" w:themeColor="text1"/>
        </w:rPr>
        <w:t xml:space="preserve">cholars devised different solutions to deal with the </w:t>
      </w:r>
      <w:proofErr w:type="spellStart"/>
      <w:r w:rsidR="00DA3D7B">
        <w:rPr>
          <w:rFonts w:asciiTheme="majorBidi" w:hAnsiTheme="majorBidi" w:cstheme="majorBidi"/>
          <w:i/>
          <w:iCs/>
          <w:color w:val="000000" w:themeColor="text1"/>
        </w:rPr>
        <w:t>siyāsa</w:t>
      </w:r>
      <w:r w:rsidR="00DA3D7B">
        <w:rPr>
          <w:rFonts w:asciiTheme="majorBidi" w:hAnsiTheme="majorBidi" w:cstheme="majorBidi"/>
          <w:color w:val="000000" w:themeColor="text1"/>
        </w:rPr>
        <w:t>-</w:t>
      </w:r>
      <w:r w:rsidR="00DA3D7B">
        <w:rPr>
          <w:rFonts w:asciiTheme="majorBidi" w:hAnsiTheme="majorBidi" w:cstheme="majorBidi"/>
          <w:i/>
          <w:iCs/>
          <w:color w:val="000000" w:themeColor="text1"/>
        </w:rPr>
        <w:t>sharīʿa</w:t>
      </w:r>
      <w:proofErr w:type="spellEnd"/>
      <w:r w:rsidR="00DA3D7B">
        <w:rPr>
          <w:rFonts w:asciiTheme="majorBidi" w:hAnsiTheme="majorBidi" w:cstheme="majorBidi"/>
          <w:color w:val="000000" w:themeColor="text1"/>
        </w:rPr>
        <w:t xml:space="preserve"> conundrum. </w:t>
      </w:r>
      <w:r w:rsidR="00104589">
        <w:rPr>
          <w:rFonts w:asciiTheme="majorBidi" w:hAnsiTheme="majorBidi" w:cstheme="majorBidi"/>
          <w:color w:val="000000" w:themeColor="text1"/>
        </w:rPr>
        <w:t>Those</w:t>
      </w:r>
      <w:r w:rsidR="00DA3D7B" w:rsidRPr="001E24FD">
        <w:rPr>
          <w:rFonts w:asciiTheme="majorBidi" w:hAnsiTheme="majorBidi" w:cstheme="majorBidi"/>
          <w:color w:val="000000" w:themeColor="text1"/>
        </w:rPr>
        <w:t xml:space="preserve"> like al-</w:t>
      </w:r>
      <w:proofErr w:type="spellStart"/>
      <w:r w:rsidR="00DA3D7B" w:rsidRPr="001E24FD">
        <w:rPr>
          <w:rFonts w:asciiTheme="majorBidi" w:hAnsiTheme="majorBidi" w:cstheme="majorBidi"/>
          <w:color w:val="000000" w:themeColor="text1"/>
        </w:rPr>
        <w:t>Ṭurṭūshī</w:t>
      </w:r>
      <w:proofErr w:type="spellEnd"/>
      <w:r w:rsidR="00DA3D7B" w:rsidRPr="001E24FD">
        <w:rPr>
          <w:rFonts w:asciiTheme="majorBidi" w:hAnsiTheme="majorBidi" w:cstheme="majorBidi"/>
          <w:color w:val="000000" w:themeColor="text1"/>
        </w:rPr>
        <w:t xml:space="preserve"> </w:t>
      </w:r>
      <w:r w:rsidR="00DA3D7B">
        <w:rPr>
          <w:rFonts w:asciiTheme="majorBidi" w:hAnsiTheme="majorBidi" w:cstheme="majorBidi"/>
          <w:color w:val="000000" w:themeColor="text1"/>
        </w:rPr>
        <w:t>and al-</w:t>
      </w:r>
      <w:proofErr w:type="spellStart"/>
      <w:r w:rsidR="00DA3D7B">
        <w:rPr>
          <w:rFonts w:asciiTheme="majorBidi" w:hAnsiTheme="majorBidi" w:cstheme="majorBidi"/>
          <w:color w:val="000000" w:themeColor="text1"/>
        </w:rPr>
        <w:t>Tawḥīdī</w:t>
      </w:r>
      <w:proofErr w:type="spellEnd"/>
      <w:r w:rsidR="00DA3D7B">
        <w:rPr>
          <w:rFonts w:asciiTheme="majorBidi" w:hAnsiTheme="majorBidi" w:cstheme="majorBidi"/>
          <w:color w:val="000000" w:themeColor="text1"/>
        </w:rPr>
        <w:t xml:space="preserve"> </w:t>
      </w:r>
      <w:r w:rsidR="00DA3D7B" w:rsidRPr="001E24FD">
        <w:rPr>
          <w:rFonts w:asciiTheme="majorBidi" w:hAnsiTheme="majorBidi" w:cstheme="majorBidi"/>
          <w:color w:val="000000" w:themeColor="text1"/>
        </w:rPr>
        <w:t xml:space="preserve">saw </w:t>
      </w:r>
      <w:proofErr w:type="spellStart"/>
      <w:r w:rsidR="00DA3D7B" w:rsidRPr="001E24FD">
        <w:rPr>
          <w:rFonts w:asciiTheme="majorBidi" w:hAnsiTheme="majorBidi" w:cstheme="majorBidi"/>
          <w:i/>
          <w:iCs/>
          <w:color w:val="000000" w:themeColor="text1"/>
        </w:rPr>
        <w:t>siyāsa</w:t>
      </w:r>
      <w:proofErr w:type="spellEnd"/>
      <w:r w:rsidR="00DA3D7B" w:rsidRPr="001E24FD">
        <w:rPr>
          <w:rFonts w:asciiTheme="majorBidi" w:hAnsiTheme="majorBidi" w:cstheme="majorBidi"/>
          <w:color w:val="000000" w:themeColor="text1"/>
        </w:rPr>
        <w:t xml:space="preserve"> and </w:t>
      </w:r>
      <w:proofErr w:type="spellStart"/>
      <w:r w:rsidR="00DA3D7B" w:rsidRPr="001E24FD">
        <w:rPr>
          <w:rFonts w:asciiTheme="majorBidi" w:hAnsiTheme="majorBidi" w:cstheme="majorBidi"/>
          <w:i/>
          <w:iCs/>
          <w:color w:val="000000" w:themeColor="text1"/>
        </w:rPr>
        <w:t>sharīʿa</w:t>
      </w:r>
      <w:proofErr w:type="spellEnd"/>
      <w:r w:rsidR="00DA3D7B" w:rsidRPr="001E24FD">
        <w:rPr>
          <w:rFonts w:asciiTheme="majorBidi" w:hAnsiTheme="majorBidi" w:cstheme="majorBidi"/>
          <w:color w:val="000000" w:themeColor="text1"/>
        </w:rPr>
        <w:t xml:space="preserve"> </w:t>
      </w:r>
      <w:r w:rsidR="00DA3D7B">
        <w:rPr>
          <w:rFonts w:asciiTheme="majorBidi" w:hAnsiTheme="majorBidi" w:cstheme="majorBidi"/>
          <w:color w:val="000000" w:themeColor="text1"/>
        </w:rPr>
        <w:t xml:space="preserve">as </w:t>
      </w:r>
      <w:r w:rsidR="00DA3D7B" w:rsidRPr="001E24FD">
        <w:rPr>
          <w:rFonts w:asciiTheme="majorBidi" w:hAnsiTheme="majorBidi" w:cstheme="majorBidi"/>
          <w:color w:val="000000" w:themeColor="text1"/>
        </w:rPr>
        <w:t xml:space="preserve">independent spheres </w:t>
      </w:r>
      <w:r w:rsidR="00104589">
        <w:rPr>
          <w:rFonts w:asciiTheme="majorBidi" w:hAnsiTheme="majorBidi" w:cstheme="majorBidi"/>
          <w:color w:val="000000" w:themeColor="text1"/>
        </w:rPr>
        <w:t xml:space="preserve">but in need of each other in the realization of </w:t>
      </w:r>
      <w:r w:rsidR="00DA3D7B" w:rsidRPr="001E24FD">
        <w:rPr>
          <w:rFonts w:asciiTheme="majorBidi" w:hAnsiTheme="majorBidi" w:cstheme="majorBidi"/>
          <w:color w:val="000000" w:themeColor="text1"/>
        </w:rPr>
        <w:t>an ideal socio-political order.</w:t>
      </w:r>
      <w:r w:rsidR="00104589">
        <w:rPr>
          <w:rFonts w:asciiTheme="majorBidi" w:hAnsiTheme="majorBidi" w:cstheme="majorBidi"/>
          <w:color w:val="000000" w:themeColor="text1"/>
        </w:rPr>
        <w:t xml:space="preserve"> </w:t>
      </w:r>
      <w:r w:rsidR="00104589" w:rsidRPr="001E24FD">
        <w:rPr>
          <w:rFonts w:asciiTheme="majorBidi" w:hAnsiTheme="majorBidi" w:cstheme="majorBidi"/>
          <w:color w:val="000000" w:themeColor="text1"/>
        </w:rPr>
        <w:t>Other</w:t>
      </w:r>
      <w:r>
        <w:rPr>
          <w:rFonts w:asciiTheme="majorBidi" w:hAnsiTheme="majorBidi" w:cstheme="majorBidi"/>
          <w:color w:val="000000" w:themeColor="text1"/>
        </w:rPr>
        <w:t xml:space="preserve">s </w:t>
      </w:r>
      <w:r w:rsidR="00104589" w:rsidRPr="001E24FD">
        <w:rPr>
          <w:rFonts w:asciiTheme="majorBidi" w:hAnsiTheme="majorBidi" w:cstheme="majorBidi"/>
          <w:color w:val="000000" w:themeColor="text1"/>
        </w:rPr>
        <w:t xml:space="preserve">were less generous to the ruling authorities and advocated for the primacy of juridical doctrines. </w:t>
      </w:r>
      <w:r w:rsidR="006614F5">
        <w:rPr>
          <w:rFonts w:asciiTheme="majorBidi" w:hAnsiTheme="majorBidi" w:cstheme="majorBidi"/>
          <w:color w:val="000000" w:themeColor="text1"/>
        </w:rPr>
        <w:t xml:space="preserve">One way to </w:t>
      </w:r>
      <w:r w:rsidR="00CD2D30">
        <w:rPr>
          <w:rFonts w:asciiTheme="majorBidi" w:hAnsiTheme="majorBidi" w:cstheme="majorBidi"/>
          <w:color w:val="000000" w:themeColor="text1"/>
        </w:rPr>
        <w:t>ensure the prima</w:t>
      </w:r>
      <w:r w:rsidR="00BF73FA">
        <w:rPr>
          <w:rFonts w:asciiTheme="majorBidi" w:hAnsiTheme="majorBidi" w:cstheme="majorBidi"/>
          <w:color w:val="000000" w:themeColor="text1"/>
        </w:rPr>
        <w:t>c</w:t>
      </w:r>
      <w:r w:rsidR="00CD2D30">
        <w:rPr>
          <w:rFonts w:asciiTheme="majorBidi" w:hAnsiTheme="majorBidi" w:cstheme="majorBidi"/>
          <w:color w:val="000000" w:themeColor="text1"/>
        </w:rPr>
        <w:t>y of religious scholars over rulers</w:t>
      </w:r>
      <w:r w:rsidR="006614F5">
        <w:rPr>
          <w:rFonts w:asciiTheme="majorBidi" w:hAnsiTheme="majorBidi" w:cstheme="majorBidi"/>
          <w:color w:val="000000" w:themeColor="text1"/>
        </w:rPr>
        <w:t xml:space="preserve"> was for scholars to act as guides to the ruler</w:t>
      </w:r>
      <w:r w:rsidR="00CD2D30">
        <w:rPr>
          <w:rFonts w:asciiTheme="majorBidi" w:hAnsiTheme="majorBidi" w:cstheme="majorBidi"/>
          <w:color w:val="000000" w:themeColor="text1"/>
        </w:rPr>
        <w:t>s</w:t>
      </w:r>
      <w:r w:rsidR="00F2734B">
        <w:rPr>
          <w:rFonts w:asciiTheme="majorBidi" w:hAnsiTheme="majorBidi" w:cstheme="majorBidi"/>
          <w:color w:val="000000" w:themeColor="text1"/>
        </w:rPr>
        <w:t>, as proposed by al-</w:t>
      </w:r>
      <w:proofErr w:type="spellStart"/>
      <w:r w:rsidR="00F2734B">
        <w:rPr>
          <w:rFonts w:asciiTheme="majorBidi" w:hAnsiTheme="majorBidi" w:cstheme="majorBidi"/>
          <w:color w:val="000000" w:themeColor="text1"/>
        </w:rPr>
        <w:t>Ghazālī</w:t>
      </w:r>
      <w:proofErr w:type="spellEnd"/>
      <w:r w:rsidR="00F2734B">
        <w:rPr>
          <w:rFonts w:asciiTheme="majorBidi" w:hAnsiTheme="majorBidi" w:cstheme="majorBidi"/>
          <w:color w:val="000000" w:themeColor="text1"/>
        </w:rPr>
        <w:t xml:space="preserve"> i</w:t>
      </w:r>
      <w:r w:rsidR="006614F5">
        <w:rPr>
          <w:rFonts w:asciiTheme="majorBidi" w:hAnsiTheme="majorBidi" w:cstheme="majorBidi"/>
          <w:color w:val="000000" w:themeColor="text1"/>
        </w:rPr>
        <w:t xml:space="preserve">n </w:t>
      </w:r>
      <w:r w:rsidR="00F2734B">
        <w:rPr>
          <w:rFonts w:asciiTheme="majorBidi" w:hAnsiTheme="majorBidi" w:cstheme="majorBidi"/>
          <w:color w:val="000000" w:themeColor="text1"/>
        </w:rPr>
        <w:t>a</w:t>
      </w:r>
      <w:r w:rsidR="006614F5">
        <w:rPr>
          <w:rFonts w:asciiTheme="majorBidi" w:hAnsiTheme="majorBidi" w:cstheme="majorBidi"/>
          <w:color w:val="000000" w:themeColor="text1"/>
        </w:rPr>
        <w:t xml:space="preserve"> rare instance in the </w:t>
      </w:r>
      <w:proofErr w:type="spellStart"/>
      <w:r w:rsidR="006614F5">
        <w:rPr>
          <w:rFonts w:asciiTheme="majorBidi" w:hAnsiTheme="majorBidi" w:cstheme="majorBidi"/>
          <w:i/>
          <w:iCs/>
          <w:color w:val="000000" w:themeColor="text1"/>
        </w:rPr>
        <w:t>Iḥyāʾ</w:t>
      </w:r>
      <w:proofErr w:type="spellEnd"/>
      <w:r w:rsidR="006614F5">
        <w:rPr>
          <w:rFonts w:asciiTheme="majorBidi" w:hAnsiTheme="majorBidi" w:cstheme="majorBidi"/>
          <w:color w:val="000000" w:themeColor="text1"/>
        </w:rPr>
        <w:t xml:space="preserve"> where </w:t>
      </w:r>
      <w:r w:rsidR="00F2734B">
        <w:rPr>
          <w:rFonts w:asciiTheme="majorBidi" w:hAnsiTheme="majorBidi" w:cstheme="majorBidi"/>
          <w:color w:val="000000" w:themeColor="text1"/>
        </w:rPr>
        <w:t>he</w:t>
      </w:r>
      <w:r w:rsidR="006614F5">
        <w:rPr>
          <w:rFonts w:asciiTheme="majorBidi" w:hAnsiTheme="majorBidi" w:cstheme="majorBidi"/>
          <w:color w:val="000000" w:themeColor="text1"/>
        </w:rPr>
        <w:t xml:space="preserve"> </w:t>
      </w:r>
      <w:r w:rsidR="006614F5">
        <w:rPr>
          <w:rFonts w:asciiTheme="majorBidi" w:hAnsiTheme="majorBidi" w:cstheme="majorBidi"/>
        </w:rPr>
        <w:t>displays a more friendly attitude toward ruler-scholar relations</w:t>
      </w:r>
      <w:r w:rsidR="006614F5">
        <w:rPr>
          <w:rFonts w:asciiTheme="majorBidi" w:hAnsiTheme="majorBidi" w:cstheme="majorBidi"/>
          <w:color w:val="000000" w:themeColor="text1"/>
        </w:rPr>
        <w:t>:</w:t>
      </w:r>
      <w:r w:rsidR="00104589" w:rsidRPr="001E24FD">
        <w:rPr>
          <w:rFonts w:asciiTheme="majorBidi" w:hAnsiTheme="majorBidi" w:cstheme="majorBidi"/>
          <w:color w:val="000000" w:themeColor="text1"/>
        </w:rPr>
        <w:t xml:space="preserve"> </w:t>
      </w:r>
    </w:p>
    <w:p w14:paraId="5B52DC01" w14:textId="77777777" w:rsidR="00A55608" w:rsidRDefault="00A55608" w:rsidP="0037533B">
      <w:pPr>
        <w:spacing w:line="360" w:lineRule="auto"/>
        <w:ind w:firstLine="720"/>
        <w:rPr>
          <w:rFonts w:asciiTheme="majorBidi" w:hAnsiTheme="majorBidi" w:cstheme="majorBidi"/>
          <w:color w:val="000000" w:themeColor="text1"/>
        </w:rPr>
      </w:pPr>
    </w:p>
    <w:p w14:paraId="449BA07F" w14:textId="7A6BD5A8" w:rsidR="00F2734B" w:rsidRDefault="00F2734B" w:rsidP="00A55608">
      <w:pPr>
        <w:rPr>
          <w:rFonts w:asciiTheme="majorBidi" w:hAnsiTheme="majorBidi" w:cstheme="majorBidi"/>
          <w:sz w:val="20"/>
          <w:szCs w:val="20"/>
        </w:rPr>
      </w:pPr>
      <w:r>
        <w:rPr>
          <w:rFonts w:asciiTheme="majorBidi" w:hAnsiTheme="majorBidi" w:cstheme="majorBidi"/>
          <w:sz w:val="20"/>
          <w:szCs w:val="20"/>
        </w:rPr>
        <w:t>Men are overwhelmed by undisciplined desires leading to mutual rivalries, hence there is a need for a Sultan to manage them, and the Sultan needs a law (</w:t>
      </w:r>
      <w:proofErr w:type="spellStart"/>
      <w:r>
        <w:rPr>
          <w:rFonts w:asciiTheme="majorBidi" w:hAnsiTheme="majorBidi" w:cstheme="majorBidi"/>
          <w:i/>
          <w:iCs/>
          <w:sz w:val="20"/>
          <w:szCs w:val="20"/>
        </w:rPr>
        <w:t>qānūn</w:t>
      </w:r>
      <w:proofErr w:type="spellEnd"/>
      <w:r>
        <w:rPr>
          <w:rFonts w:asciiTheme="majorBidi" w:hAnsiTheme="majorBidi" w:cstheme="majorBidi"/>
          <w:sz w:val="20"/>
          <w:szCs w:val="20"/>
        </w:rPr>
        <w:t xml:space="preserve">) by which to administer. A </w:t>
      </w:r>
      <w:proofErr w:type="spellStart"/>
      <w:r>
        <w:rPr>
          <w:rFonts w:asciiTheme="majorBidi" w:hAnsiTheme="majorBidi" w:cstheme="majorBidi"/>
          <w:i/>
          <w:iCs/>
          <w:sz w:val="20"/>
          <w:szCs w:val="20"/>
        </w:rPr>
        <w:t>faqīh</w:t>
      </w:r>
      <w:proofErr w:type="spellEnd"/>
      <w:r>
        <w:rPr>
          <w:rFonts w:asciiTheme="majorBidi" w:hAnsiTheme="majorBidi" w:cstheme="majorBidi"/>
          <w:sz w:val="20"/>
          <w:szCs w:val="20"/>
        </w:rPr>
        <w:t xml:space="preserve"> is the scholar of the law of politics (</w:t>
      </w:r>
      <w:r>
        <w:rPr>
          <w:rFonts w:asciiTheme="majorBidi" w:hAnsiTheme="majorBidi" w:cstheme="majorBidi"/>
          <w:i/>
          <w:iCs/>
          <w:sz w:val="20"/>
          <w:szCs w:val="20"/>
        </w:rPr>
        <w:t>al-</w:t>
      </w:r>
      <w:proofErr w:type="spellStart"/>
      <w:r>
        <w:rPr>
          <w:rFonts w:asciiTheme="majorBidi" w:hAnsiTheme="majorBidi" w:cstheme="majorBidi"/>
          <w:i/>
          <w:iCs/>
          <w:sz w:val="20"/>
          <w:szCs w:val="20"/>
        </w:rPr>
        <w:t>faqīh</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huwa</w:t>
      </w:r>
      <w:proofErr w:type="spellEnd"/>
      <w:r>
        <w:rPr>
          <w:rFonts w:asciiTheme="majorBidi" w:hAnsiTheme="majorBidi" w:cstheme="majorBidi"/>
          <w:i/>
          <w:iCs/>
          <w:sz w:val="20"/>
          <w:szCs w:val="20"/>
        </w:rPr>
        <w:t xml:space="preserve"> al-</w:t>
      </w:r>
      <w:proofErr w:type="spellStart"/>
      <w:r>
        <w:rPr>
          <w:rFonts w:asciiTheme="majorBidi" w:hAnsiTheme="majorBidi" w:cstheme="majorBidi"/>
          <w:i/>
          <w:iCs/>
          <w:sz w:val="20"/>
          <w:szCs w:val="20"/>
        </w:rPr>
        <w:t>ʿālim</w:t>
      </w:r>
      <w:proofErr w:type="spellEnd"/>
      <w:r>
        <w:rPr>
          <w:rFonts w:asciiTheme="majorBidi" w:hAnsiTheme="majorBidi" w:cstheme="majorBidi"/>
          <w:i/>
          <w:iCs/>
          <w:sz w:val="20"/>
          <w:szCs w:val="20"/>
        </w:rPr>
        <w:t xml:space="preserve"> bi-</w:t>
      </w:r>
      <w:proofErr w:type="spellStart"/>
      <w:r>
        <w:rPr>
          <w:rFonts w:asciiTheme="majorBidi" w:hAnsiTheme="majorBidi" w:cstheme="majorBidi"/>
          <w:i/>
          <w:iCs/>
          <w:sz w:val="20"/>
          <w:szCs w:val="20"/>
        </w:rPr>
        <w:t>qānūn</w:t>
      </w:r>
      <w:proofErr w:type="spellEnd"/>
      <w:r>
        <w:rPr>
          <w:rFonts w:asciiTheme="majorBidi" w:hAnsiTheme="majorBidi" w:cstheme="majorBidi"/>
          <w:i/>
          <w:iCs/>
          <w:sz w:val="20"/>
          <w:szCs w:val="20"/>
        </w:rPr>
        <w:t xml:space="preserve"> al-</w:t>
      </w:r>
      <w:proofErr w:type="spellStart"/>
      <w:r>
        <w:rPr>
          <w:rFonts w:asciiTheme="majorBidi" w:hAnsiTheme="majorBidi" w:cstheme="majorBidi"/>
          <w:i/>
          <w:iCs/>
          <w:sz w:val="20"/>
          <w:szCs w:val="20"/>
        </w:rPr>
        <w:t>siyāsa</w:t>
      </w:r>
      <w:proofErr w:type="spellEnd"/>
      <w:r>
        <w:rPr>
          <w:rFonts w:asciiTheme="majorBidi" w:hAnsiTheme="majorBidi" w:cstheme="majorBidi"/>
          <w:sz w:val="20"/>
          <w:szCs w:val="20"/>
        </w:rPr>
        <w:t>)</w:t>
      </w:r>
      <w:r>
        <w:rPr>
          <w:rFonts w:asciiTheme="majorBidi" w:hAnsiTheme="majorBidi" w:cstheme="majorBidi"/>
          <w:i/>
          <w:iCs/>
          <w:sz w:val="20"/>
          <w:szCs w:val="20"/>
        </w:rPr>
        <w:t xml:space="preserve"> </w:t>
      </w:r>
      <w:r>
        <w:rPr>
          <w:rFonts w:asciiTheme="majorBidi" w:hAnsiTheme="majorBidi" w:cstheme="majorBidi"/>
          <w:sz w:val="20"/>
          <w:szCs w:val="20"/>
        </w:rPr>
        <w:t xml:space="preserve">and the way to mediate between men if they disagree owing to their undisciplined interests. Thus, a </w:t>
      </w:r>
      <w:proofErr w:type="spellStart"/>
      <w:r>
        <w:rPr>
          <w:rFonts w:asciiTheme="majorBidi" w:hAnsiTheme="majorBidi" w:cstheme="majorBidi"/>
          <w:i/>
          <w:iCs/>
          <w:sz w:val="20"/>
          <w:szCs w:val="20"/>
        </w:rPr>
        <w:t>faqīh</w:t>
      </w:r>
      <w:proofErr w:type="spellEnd"/>
      <w:r>
        <w:rPr>
          <w:rFonts w:asciiTheme="majorBidi" w:hAnsiTheme="majorBidi" w:cstheme="majorBidi"/>
          <w:sz w:val="20"/>
          <w:szCs w:val="20"/>
        </w:rPr>
        <w:t xml:space="preserve"> is the teacher and guide of the Sultan (</w:t>
      </w:r>
      <w:r>
        <w:rPr>
          <w:rFonts w:asciiTheme="majorBidi" w:hAnsiTheme="majorBidi" w:cstheme="majorBidi"/>
          <w:i/>
          <w:iCs/>
          <w:sz w:val="20"/>
          <w:szCs w:val="20"/>
        </w:rPr>
        <w:t>fa-</w:t>
      </w:r>
      <w:proofErr w:type="spellStart"/>
      <w:r>
        <w:rPr>
          <w:rFonts w:asciiTheme="majorBidi" w:hAnsiTheme="majorBidi" w:cstheme="majorBidi"/>
          <w:i/>
          <w:iCs/>
          <w:sz w:val="20"/>
          <w:szCs w:val="20"/>
        </w:rPr>
        <w:t>kāna</w:t>
      </w:r>
      <w:proofErr w:type="spellEnd"/>
      <w:r>
        <w:rPr>
          <w:rFonts w:asciiTheme="majorBidi" w:hAnsiTheme="majorBidi" w:cstheme="majorBidi"/>
          <w:i/>
          <w:iCs/>
          <w:sz w:val="20"/>
          <w:szCs w:val="20"/>
        </w:rPr>
        <w:t xml:space="preserve"> al-</w:t>
      </w:r>
      <w:proofErr w:type="spellStart"/>
      <w:r>
        <w:rPr>
          <w:rFonts w:asciiTheme="majorBidi" w:hAnsiTheme="majorBidi" w:cstheme="majorBidi"/>
          <w:i/>
          <w:iCs/>
          <w:sz w:val="20"/>
          <w:szCs w:val="20"/>
        </w:rPr>
        <w:t>faqīh</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muʿallim</w:t>
      </w:r>
      <w:proofErr w:type="spellEnd"/>
      <w:r>
        <w:rPr>
          <w:rFonts w:asciiTheme="majorBidi" w:hAnsiTheme="majorBidi" w:cstheme="majorBidi"/>
          <w:i/>
          <w:iCs/>
          <w:sz w:val="20"/>
          <w:szCs w:val="20"/>
        </w:rPr>
        <w:t xml:space="preserve"> al-</w:t>
      </w:r>
      <w:proofErr w:type="spellStart"/>
      <w:r>
        <w:rPr>
          <w:rFonts w:asciiTheme="majorBidi" w:hAnsiTheme="majorBidi" w:cstheme="majorBidi"/>
          <w:i/>
          <w:iCs/>
          <w:sz w:val="20"/>
          <w:szCs w:val="20"/>
        </w:rPr>
        <w:t>sulṭān</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wa-murshidahu</w:t>
      </w:r>
      <w:proofErr w:type="spellEnd"/>
      <w:r>
        <w:rPr>
          <w:rFonts w:asciiTheme="majorBidi" w:hAnsiTheme="majorBidi" w:cstheme="majorBidi"/>
          <w:sz w:val="20"/>
          <w:szCs w:val="20"/>
        </w:rPr>
        <w:t>)</w:t>
      </w:r>
      <w:r>
        <w:rPr>
          <w:rFonts w:asciiTheme="majorBidi" w:hAnsiTheme="majorBidi" w:cstheme="majorBidi"/>
          <w:i/>
          <w:iCs/>
          <w:sz w:val="20"/>
          <w:szCs w:val="20"/>
        </w:rPr>
        <w:t xml:space="preserve"> </w:t>
      </w:r>
      <w:r>
        <w:rPr>
          <w:rFonts w:asciiTheme="majorBidi" w:hAnsiTheme="majorBidi" w:cstheme="majorBidi"/>
          <w:sz w:val="20"/>
          <w:szCs w:val="20"/>
        </w:rPr>
        <w:t>in ways of administering and controlling men.</w:t>
      </w:r>
      <w:r>
        <w:rPr>
          <w:rStyle w:val="FootnoteReference"/>
          <w:rFonts w:asciiTheme="majorBidi" w:hAnsiTheme="majorBidi" w:cstheme="majorBidi"/>
          <w:sz w:val="20"/>
          <w:szCs w:val="20"/>
        </w:rPr>
        <w:footnoteReference w:id="89"/>
      </w:r>
    </w:p>
    <w:p w14:paraId="09755A04" w14:textId="760AF2DD" w:rsidR="00F2734B" w:rsidRDefault="00F2734B" w:rsidP="0037533B">
      <w:pPr>
        <w:spacing w:line="360" w:lineRule="auto"/>
        <w:rPr>
          <w:rFonts w:asciiTheme="majorBidi" w:hAnsiTheme="majorBidi" w:cstheme="majorBidi"/>
          <w:color w:val="000000" w:themeColor="text1"/>
        </w:rPr>
      </w:pPr>
    </w:p>
    <w:p w14:paraId="433E43D3" w14:textId="24B9F8D4" w:rsidR="00863A21" w:rsidRDefault="00F2734B" w:rsidP="0037533B">
      <w:pPr>
        <w:spacing w:line="360" w:lineRule="auto"/>
        <w:rPr>
          <w:rFonts w:asciiTheme="majorBidi" w:hAnsiTheme="majorBidi" w:cstheme="majorBidi"/>
          <w:color w:val="000000" w:themeColor="text1"/>
        </w:rPr>
      </w:pPr>
      <w:r>
        <w:rPr>
          <w:rFonts w:asciiTheme="majorBidi" w:hAnsiTheme="majorBidi" w:cstheme="majorBidi"/>
          <w:color w:val="000000" w:themeColor="text1"/>
        </w:rPr>
        <w:t>For al-</w:t>
      </w:r>
      <w:proofErr w:type="spellStart"/>
      <w:r>
        <w:rPr>
          <w:rFonts w:asciiTheme="majorBidi" w:hAnsiTheme="majorBidi" w:cstheme="majorBidi"/>
          <w:color w:val="000000" w:themeColor="text1"/>
        </w:rPr>
        <w:t>Ghazālī</w:t>
      </w:r>
      <w:proofErr w:type="spellEnd"/>
      <w:r>
        <w:rPr>
          <w:rFonts w:asciiTheme="majorBidi" w:hAnsiTheme="majorBidi" w:cstheme="majorBidi"/>
          <w:color w:val="000000" w:themeColor="text1"/>
        </w:rPr>
        <w:t xml:space="preserve">, </w:t>
      </w:r>
      <w:proofErr w:type="spellStart"/>
      <w:r>
        <w:rPr>
          <w:rFonts w:asciiTheme="majorBidi" w:hAnsiTheme="majorBidi" w:cstheme="majorBidi"/>
          <w:i/>
          <w:iCs/>
          <w:color w:val="000000" w:themeColor="text1"/>
        </w:rPr>
        <w:t>s</w:t>
      </w:r>
      <w:r w:rsidRPr="001E24FD">
        <w:rPr>
          <w:rFonts w:asciiTheme="majorBidi" w:hAnsiTheme="majorBidi" w:cstheme="majorBidi"/>
          <w:i/>
          <w:iCs/>
          <w:color w:val="000000" w:themeColor="text1"/>
        </w:rPr>
        <w:t>iyāsa</w:t>
      </w:r>
      <w:proofErr w:type="spellEnd"/>
      <w:r w:rsidRPr="001E24FD">
        <w:rPr>
          <w:rFonts w:asciiTheme="majorBidi" w:hAnsiTheme="majorBidi" w:cstheme="majorBidi"/>
          <w:color w:val="000000" w:themeColor="text1"/>
        </w:rPr>
        <w:t xml:space="preserve"> </w:t>
      </w:r>
      <w:r>
        <w:rPr>
          <w:rFonts w:asciiTheme="majorBidi" w:hAnsiTheme="majorBidi" w:cstheme="majorBidi"/>
          <w:color w:val="000000" w:themeColor="text1"/>
        </w:rPr>
        <w:t>ha</w:t>
      </w:r>
      <w:r w:rsidR="00AD036C">
        <w:rPr>
          <w:rFonts w:asciiTheme="majorBidi" w:hAnsiTheme="majorBidi" w:cstheme="majorBidi"/>
          <w:color w:val="000000" w:themeColor="text1"/>
        </w:rPr>
        <w:t>s</w:t>
      </w:r>
      <w:r>
        <w:rPr>
          <w:rFonts w:asciiTheme="majorBidi" w:hAnsiTheme="majorBidi" w:cstheme="majorBidi"/>
          <w:color w:val="000000" w:themeColor="text1"/>
        </w:rPr>
        <w:t xml:space="preserve"> no </w:t>
      </w:r>
      <w:r w:rsidR="00FA642C">
        <w:rPr>
          <w:rFonts w:asciiTheme="majorBidi" w:hAnsiTheme="majorBidi" w:cstheme="majorBidi"/>
          <w:color w:val="000000" w:themeColor="text1"/>
        </w:rPr>
        <w:t xml:space="preserve">independent existence </w:t>
      </w:r>
      <w:r w:rsidRPr="001E24FD">
        <w:rPr>
          <w:rFonts w:asciiTheme="majorBidi" w:hAnsiTheme="majorBidi" w:cstheme="majorBidi"/>
          <w:color w:val="000000" w:themeColor="text1"/>
        </w:rPr>
        <w:t>beyond the laws formulated by</w:t>
      </w:r>
      <w:r w:rsidR="00FA642C">
        <w:rPr>
          <w:rFonts w:asciiTheme="majorBidi" w:hAnsiTheme="majorBidi" w:cstheme="majorBidi"/>
          <w:color w:val="000000" w:themeColor="text1"/>
        </w:rPr>
        <w:t xml:space="preserve"> the jurist (</w:t>
      </w:r>
      <w:proofErr w:type="spellStart"/>
      <w:r w:rsidR="00FA642C">
        <w:rPr>
          <w:rFonts w:asciiTheme="majorBidi" w:hAnsiTheme="majorBidi" w:cstheme="majorBidi"/>
          <w:i/>
          <w:iCs/>
          <w:color w:val="000000" w:themeColor="text1"/>
        </w:rPr>
        <w:t>faqīh</w:t>
      </w:r>
      <w:proofErr w:type="spellEnd"/>
      <w:r w:rsidR="00FA642C">
        <w:rPr>
          <w:rFonts w:asciiTheme="majorBidi" w:hAnsiTheme="majorBidi" w:cstheme="majorBidi"/>
          <w:color w:val="000000" w:themeColor="text1"/>
        </w:rPr>
        <w:t>).</w:t>
      </w:r>
      <w:r w:rsidR="00AD036C">
        <w:rPr>
          <w:rFonts w:asciiTheme="majorBidi" w:hAnsiTheme="majorBidi" w:cstheme="majorBidi"/>
          <w:color w:val="000000" w:themeColor="text1"/>
        </w:rPr>
        <w:t xml:space="preserve"> It then comes down to the jurist to ensure that the ruler governs according to these laws for his rule to be considered legitimate. These sentiments found resonance with the Mamluk-era scholar </w:t>
      </w:r>
      <w:proofErr w:type="spellStart"/>
      <w:r w:rsidR="00AD036C">
        <w:rPr>
          <w:rFonts w:asciiTheme="majorBidi" w:hAnsiTheme="majorBidi" w:cstheme="majorBidi"/>
          <w:color w:val="000000" w:themeColor="text1"/>
        </w:rPr>
        <w:t>Tāj</w:t>
      </w:r>
      <w:proofErr w:type="spellEnd"/>
      <w:r w:rsidR="00AD036C">
        <w:rPr>
          <w:rFonts w:asciiTheme="majorBidi" w:hAnsiTheme="majorBidi" w:cstheme="majorBidi"/>
          <w:color w:val="000000" w:themeColor="text1"/>
        </w:rPr>
        <w:t xml:space="preserve"> al-</w:t>
      </w:r>
      <w:proofErr w:type="spellStart"/>
      <w:r w:rsidR="00AD036C">
        <w:rPr>
          <w:rFonts w:asciiTheme="majorBidi" w:hAnsiTheme="majorBidi" w:cstheme="majorBidi"/>
          <w:color w:val="000000" w:themeColor="text1"/>
        </w:rPr>
        <w:t>Dīn</w:t>
      </w:r>
      <w:proofErr w:type="spellEnd"/>
      <w:r w:rsidR="00AD036C">
        <w:rPr>
          <w:rFonts w:asciiTheme="majorBidi" w:hAnsiTheme="majorBidi" w:cstheme="majorBidi"/>
          <w:color w:val="000000" w:themeColor="text1"/>
        </w:rPr>
        <w:t xml:space="preserve"> al-</w:t>
      </w:r>
      <w:proofErr w:type="spellStart"/>
      <w:r w:rsidR="00AD036C">
        <w:rPr>
          <w:rFonts w:asciiTheme="majorBidi" w:hAnsiTheme="majorBidi" w:cstheme="majorBidi"/>
          <w:color w:val="000000" w:themeColor="text1"/>
        </w:rPr>
        <w:t>Subkī</w:t>
      </w:r>
      <w:proofErr w:type="spellEnd"/>
      <w:r w:rsidR="00AD036C">
        <w:rPr>
          <w:rFonts w:asciiTheme="majorBidi" w:hAnsiTheme="majorBidi" w:cstheme="majorBidi"/>
          <w:color w:val="000000" w:themeColor="text1"/>
        </w:rPr>
        <w:t xml:space="preserve"> (d. 771/1370), who </w:t>
      </w:r>
      <w:r w:rsidR="00231F33">
        <w:rPr>
          <w:rFonts w:asciiTheme="majorBidi" w:hAnsiTheme="majorBidi" w:cstheme="majorBidi"/>
          <w:color w:val="000000" w:themeColor="text1"/>
        </w:rPr>
        <w:t xml:space="preserve">warns rulers against ruling “through the exercise of personal opinion and </w:t>
      </w:r>
      <w:proofErr w:type="spellStart"/>
      <w:r w:rsidR="00231F33">
        <w:rPr>
          <w:rFonts w:asciiTheme="majorBidi" w:hAnsiTheme="majorBidi" w:cstheme="majorBidi"/>
          <w:i/>
          <w:iCs/>
          <w:color w:val="000000" w:themeColor="text1"/>
        </w:rPr>
        <w:t>siyāsah</w:t>
      </w:r>
      <w:proofErr w:type="spellEnd"/>
      <w:r w:rsidR="00231F33">
        <w:rPr>
          <w:rFonts w:asciiTheme="majorBidi" w:hAnsiTheme="majorBidi" w:cstheme="majorBidi"/>
          <w:color w:val="000000" w:themeColor="text1"/>
        </w:rPr>
        <w:t xml:space="preserve"> (</w:t>
      </w:r>
      <w:r w:rsidR="00231F33">
        <w:rPr>
          <w:rFonts w:asciiTheme="majorBidi" w:hAnsiTheme="majorBidi" w:cstheme="majorBidi"/>
          <w:i/>
          <w:iCs/>
          <w:color w:val="000000" w:themeColor="text1"/>
        </w:rPr>
        <w:t>bi-</w:t>
      </w:r>
      <w:proofErr w:type="spellStart"/>
      <w:r w:rsidR="00231F33">
        <w:rPr>
          <w:rFonts w:asciiTheme="majorBidi" w:hAnsiTheme="majorBidi" w:cstheme="majorBidi"/>
          <w:i/>
          <w:iCs/>
          <w:color w:val="000000" w:themeColor="text1"/>
        </w:rPr>
        <w:t>rayihi</w:t>
      </w:r>
      <w:proofErr w:type="spellEnd"/>
      <w:r w:rsidR="00231F33">
        <w:rPr>
          <w:rFonts w:asciiTheme="majorBidi" w:hAnsiTheme="majorBidi" w:cstheme="majorBidi"/>
          <w:i/>
          <w:iCs/>
          <w:color w:val="000000" w:themeColor="text1"/>
        </w:rPr>
        <w:t xml:space="preserve"> </w:t>
      </w:r>
      <w:proofErr w:type="spellStart"/>
      <w:r w:rsidR="00231F33">
        <w:rPr>
          <w:rFonts w:asciiTheme="majorBidi" w:hAnsiTheme="majorBidi" w:cstheme="majorBidi"/>
          <w:i/>
          <w:iCs/>
          <w:color w:val="000000" w:themeColor="text1"/>
        </w:rPr>
        <w:t>wa-siyāsatihi</w:t>
      </w:r>
      <w:proofErr w:type="spellEnd"/>
      <w:r w:rsidR="00231F33">
        <w:rPr>
          <w:rFonts w:asciiTheme="majorBidi" w:hAnsiTheme="majorBidi" w:cstheme="majorBidi"/>
          <w:color w:val="000000" w:themeColor="text1"/>
        </w:rPr>
        <w:t>)” and</w:t>
      </w:r>
      <w:r w:rsidR="00231F33">
        <w:rPr>
          <w:rFonts w:asciiTheme="majorBidi" w:hAnsiTheme="majorBidi" w:cstheme="majorBidi"/>
          <w:i/>
          <w:iCs/>
          <w:color w:val="000000" w:themeColor="text1"/>
        </w:rPr>
        <w:t xml:space="preserve"> </w:t>
      </w:r>
      <w:r w:rsidR="00231F33">
        <w:rPr>
          <w:rFonts w:asciiTheme="majorBidi" w:hAnsiTheme="majorBidi" w:cstheme="majorBidi"/>
          <w:color w:val="000000" w:themeColor="text1"/>
        </w:rPr>
        <w:t>going beyond the limits of “the doctrines set by the schools of law.”</w:t>
      </w:r>
      <w:r w:rsidR="00231F33">
        <w:rPr>
          <w:rStyle w:val="FootnoteReference"/>
          <w:rFonts w:asciiTheme="majorBidi" w:hAnsiTheme="majorBidi" w:cstheme="majorBidi"/>
          <w:color w:val="000000" w:themeColor="text1"/>
        </w:rPr>
        <w:footnoteReference w:id="90"/>
      </w:r>
      <w:r w:rsidR="00231F33">
        <w:rPr>
          <w:rFonts w:asciiTheme="majorBidi" w:hAnsiTheme="majorBidi" w:cstheme="majorBidi"/>
          <w:color w:val="000000" w:themeColor="text1"/>
        </w:rPr>
        <w:t xml:space="preserve"> </w:t>
      </w:r>
      <w:r w:rsidR="00900965">
        <w:rPr>
          <w:rFonts w:asciiTheme="majorBidi" w:hAnsiTheme="majorBidi" w:cstheme="majorBidi"/>
          <w:color w:val="000000" w:themeColor="text1"/>
        </w:rPr>
        <w:t xml:space="preserve">Not all rulers were willing to fall in line, however; in fact, most of them did not. </w:t>
      </w:r>
      <w:r w:rsidR="00FC2980">
        <w:rPr>
          <w:rFonts w:asciiTheme="majorBidi" w:hAnsiTheme="majorBidi" w:cstheme="majorBidi"/>
          <w:color w:val="000000" w:themeColor="text1"/>
        </w:rPr>
        <w:t>When rulers came up short</w:t>
      </w:r>
      <w:r w:rsidR="00900965">
        <w:rPr>
          <w:rFonts w:asciiTheme="majorBidi" w:hAnsiTheme="majorBidi" w:cstheme="majorBidi"/>
          <w:color w:val="000000" w:themeColor="text1"/>
        </w:rPr>
        <w:t xml:space="preserve">, most scholars </w:t>
      </w:r>
      <w:r w:rsidR="00104589" w:rsidRPr="001E24FD">
        <w:rPr>
          <w:rFonts w:asciiTheme="majorBidi" w:hAnsiTheme="majorBidi" w:cstheme="majorBidi"/>
          <w:color w:val="000000" w:themeColor="text1"/>
        </w:rPr>
        <w:t xml:space="preserve">sought relief in texts by </w:t>
      </w:r>
      <w:r w:rsidR="00900965">
        <w:rPr>
          <w:rFonts w:asciiTheme="majorBidi" w:hAnsiTheme="majorBidi" w:cstheme="majorBidi"/>
          <w:color w:val="000000" w:themeColor="text1"/>
        </w:rPr>
        <w:t>circumscribing criminal justice</w:t>
      </w:r>
      <w:r w:rsidR="005A432C">
        <w:rPr>
          <w:rFonts w:asciiTheme="majorBidi" w:hAnsiTheme="majorBidi" w:cstheme="majorBidi"/>
          <w:color w:val="000000" w:themeColor="text1"/>
        </w:rPr>
        <w:t>—</w:t>
      </w:r>
      <w:r w:rsidR="00900965">
        <w:rPr>
          <w:rFonts w:asciiTheme="majorBidi" w:hAnsiTheme="majorBidi" w:cstheme="majorBidi"/>
          <w:color w:val="000000" w:themeColor="text1"/>
        </w:rPr>
        <w:t xml:space="preserve">especially </w:t>
      </w:r>
      <w:proofErr w:type="spellStart"/>
      <w:r w:rsidR="00900965">
        <w:rPr>
          <w:rFonts w:asciiTheme="majorBidi" w:hAnsiTheme="majorBidi" w:cstheme="majorBidi"/>
          <w:i/>
          <w:iCs/>
          <w:color w:val="000000" w:themeColor="text1"/>
        </w:rPr>
        <w:t>taʿzīr</w:t>
      </w:r>
      <w:proofErr w:type="spellEnd"/>
      <w:r w:rsidR="00900965">
        <w:rPr>
          <w:rFonts w:asciiTheme="majorBidi" w:hAnsiTheme="majorBidi" w:cstheme="majorBidi"/>
          <w:color w:val="000000" w:themeColor="text1"/>
        </w:rPr>
        <w:t xml:space="preserve"> and </w:t>
      </w:r>
      <w:proofErr w:type="spellStart"/>
      <w:r w:rsidR="00900965">
        <w:rPr>
          <w:rFonts w:asciiTheme="majorBidi" w:hAnsiTheme="majorBidi" w:cstheme="majorBidi"/>
          <w:i/>
          <w:iCs/>
          <w:color w:val="000000" w:themeColor="text1"/>
        </w:rPr>
        <w:t>ḥadd</w:t>
      </w:r>
      <w:proofErr w:type="spellEnd"/>
      <w:r w:rsidR="00900965">
        <w:rPr>
          <w:rFonts w:asciiTheme="majorBidi" w:hAnsiTheme="majorBidi" w:cstheme="majorBidi"/>
          <w:color w:val="000000" w:themeColor="text1"/>
        </w:rPr>
        <w:t xml:space="preserve"> punishments</w:t>
      </w:r>
      <w:r w:rsidR="005A432C">
        <w:rPr>
          <w:rFonts w:asciiTheme="majorBidi" w:hAnsiTheme="majorBidi" w:cstheme="majorBidi"/>
          <w:color w:val="000000" w:themeColor="text1"/>
        </w:rPr>
        <w:t>, as discussed above—</w:t>
      </w:r>
      <w:r w:rsidR="00104589" w:rsidRPr="001E24FD">
        <w:rPr>
          <w:rFonts w:asciiTheme="majorBidi" w:hAnsiTheme="majorBidi" w:cstheme="majorBidi"/>
          <w:color w:val="000000" w:themeColor="text1"/>
        </w:rPr>
        <w:t xml:space="preserve">in </w:t>
      </w:r>
      <w:r w:rsidR="00CD2D30">
        <w:rPr>
          <w:rFonts w:asciiTheme="majorBidi" w:hAnsiTheme="majorBidi" w:cstheme="majorBidi"/>
          <w:color w:val="000000" w:themeColor="text1"/>
        </w:rPr>
        <w:t xml:space="preserve">the </w:t>
      </w:r>
      <w:r w:rsidR="00104589" w:rsidRPr="001E24FD">
        <w:rPr>
          <w:rFonts w:asciiTheme="majorBidi" w:hAnsiTheme="majorBidi" w:cstheme="majorBidi"/>
          <w:color w:val="000000" w:themeColor="text1"/>
        </w:rPr>
        <w:t xml:space="preserve">hope of protecting </w:t>
      </w:r>
      <w:r w:rsidR="00900965">
        <w:rPr>
          <w:rFonts w:asciiTheme="majorBidi" w:hAnsiTheme="majorBidi" w:cstheme="majorBidi"/>
          <w:color w:val="000000" w:themeColor="text1"/>
        </w:rPr>
        <w:t xml:space="preserve">the </w:t>
      </w:r>
      <w:r w:rsidR="00104589" w:rsidRPr="001E24FD">
        <w:rPr>
          <w:rFonts w:asciiTheme="majorBidi" w:hAnsiTheme="majorBidi" w:cstheme="majorBidi"/>
          <w:color w:val="000000" w:themeColor="text1"/>
        </w:rPr>
        <w:t xml:space="preserve">legal ordinances from </w:t>
      </w:r>
      <w:r w:rsidR="00FC2980">
        <w:rPr>
          <w:rFonts w:asciiTheme="majorBidi" w:hAnsiTheme="majorBidi" w:cstheme="majorBidi"/>
          <w:color w:val="000000" w:themeColor="text1"/>
        </w:rPr>
        <w:t xml:space="preserve">political </w:t>
      </w:r>
      <w:r w:rsidR="00322B59">
        <w:rPr>
          <w:rFonts w:asciiTheme="majorBidi" w:hAnsiTheme="majorBidi" w:cstheme="majorBidi"/>
          <w:color w:val="000000" w:themeColor="text1"/>
        </w:rPr>
        <w:t>encroachment</w:t>
      </w:r>
      <w:r w:rsidR="00900965">
        <w:rPr>
          <w:rFonts w:asciiTheme="majorBidi" w:hAnsiTheme="majorBidi" w:cstheme="majorBidi"/>
          <w:color w:val="000000" w:themeColor="text1"/>
        </w:rPr>
        <w:t>.</w:t>
      </w:r>
    </w:p>
    <w:p w14:paraId="1ABA3D93" w14:textId="7A5F4300" w:rsidR="00900965" w:rsidRDefault="00900965" w:rsidP="0037533B">
      <w:pPr>
        <w:spacing w:line="360" w:lineRule="auto"/>
        <w:rPr>
          <w:rFonts w:asciiTheme="majorBidi" w:hAnsiTheme="majorBidi" w:cstheme="majorBidi"/>
          <w:color w:val="000000" w:themeColor="text1"/>
        </w:rPr>
      </w:pPr>
      <w:r>
        <w:rPr>
          <w:rFonts w:asciiTheme="majorBidi" w:hAnsiTheme="majorBidi" w:cstheme="majorBidi"/>
          <w:color w:val="000000" w:themeColor="text1"/>
        </w:rPr>
        <w:tab/>
      </w:r>
      <w:r w:rsidR="00BD0FAC">
        <w:rPr>
          <w:rFonts w:asciiTheme="majorBidi" w:hAnsiTheme="majorBidi" w:cstheme="majorBidi"/>
          <w:color w:val="000000" w:themeColor="text1"/>
        </w:rPr>
        <w:t>A</w:t>
      </w:r>
      <w:r w:rsidR="004E271A">
        <w:rPr>
          <w:rFonts w:asciiTheme="majorBidi" w:hAnsiTheme="majorBidi" w:cstheme="majorBidi"/>
          <w:color w:val="000000" w:themeColor="text1"/>
        </w:rPr>
        <w:t>n effort</w:t>
      </w:r>
      <w:r>
        <w:rPr>
          <w:rFonts w:asciiTheme="majorBidi" w:hAnsiTheme="majorBidi" w:cstheme="majorBidi"/>
          <w:color w:val="000000" w:themeColor="text1"/>
        </w:rPr>
        <w:t xml:space="preserve"> to harmonize </w:t>
      </w:r>
      <w:proofErr w:type="spellStart"/>
      <w:r w:rsidR="00A542D8">
        <w:rPr>
          <w:rFonts w:asciiTheme="majorBidi" w:hAnsiTheme="majorBidi" w:cstheme="majorBidi"/>
          <w:i/>
          <w:iCs/>
          <w:color w:val="000000" w:themeColor="text1"/>
        </w:rPr>
        <w:t>siyāsa</w:t>
      </w:r>
      <w:proofErr w:type="spellEnd"/>
      <w:r w:rsidR="00A542D8">
        <w:rPr>
          <w:rFonts w:asciiTheme="majorBidi" w:hAnsiTheme="majorBidi" w:cstheme="majorBidi"/>
          <w:color w:val="000000" w:themeColor="text1"/>
        </w:rPr>
        <w:t xml:space="preserve"> and </w:t>
      </w:r>
      <w:proofErr w:type="spellStart"/>
      <w:r w:rsidR="00A542D8">
        <w:rPr>
          <w:rFonts w:asciiTheme="majorBidi" w:hAnsiTheme="majorBidi" w:cstheme="majorBidi"/>
          <w:i/>
          <w:iCs/>
          <w:color w:val="000000" w:themeColor="text1"/>
        </w:rPr>
        <w:t>sharīʿa</w:t>
      </w:r>
      <w:proofErr w:type="spellEnd"/>
      <w:r w:rsidR="00A542D8">
        <w:rPr>
          <w:rFonts w:asciiTheme="majorBidi" w:hAnsiTheme="majorBidi" w:cstheme="majorBidi"/>
          <w:color w:val="000000" w:themeColor="text1"/>
        </w:rPr>
        <w:t xml:space="preserve"> came </w:t>
      </w:r>
      <w:r w:rsidR="004E271A">
        <w:rPr>
          <w:rFonts w:asciiTheme="majorBidi" w:hAnsiTheme="majorBidi" w:cstheme="majorBidi"/>
          <w:color w:val="000000" w:themeColor="text1"/>
        </w:rPr>
        <w:t xml:space="preserve">in the </w:t>
      </w:r>
      <w:r w:rsidR="004A1D9C" w:rsidRPr="001E24FD">
        <w:rPr>
          <w:rFonts w:asciiTheme="majorBidi" w:hAnsiTheme="majorBidi" w:cstheme="majorBidi"/>
          <w:color w:val="000000" w:themeColor="text1"/>
        </w:rPr>
        <w:t>Mamluk</w:t>
      </w:r>
      <w:r w:rsidR="004E271A">
        <w:rPr>
          <w:rFonts w:asciiTheme="majorBidi" w:hAnsiTheme="majorBidi" w:cstheme="majorBidi"/>
          <w:color w:val="000000" w:themeColor="text1"/>
        </w:rPr>
        <w:t xml:space="preserve"> period with the</w:t>
      </w:r>
      <w:r w:rsidR="004A1D9C" w:rsidRPr="001E24FD">
        <w:rPr>
          <w:rFonts w:asciiTheme="majorBidi" w:hAnsiTheme="majorBidi" w:cstheme="majorBidi"/>
          <w:color w:val="000000" w:themeColor="text1"/>
        </w:rPr>
        <w:t xml:space="preserve"> </w:t>
      </w:r>
      <w:proofErr w:type="spellStart"/>
      <w:r w:rsidR="004A1D9C" w:rsidRPr="001E24FD">
        <w:rPr>
          <w:rFonts w:asciiTheme="majorBidi" w:hAnsiTheme="majorBidi" w:cstheme="majorBidi"/>
          <w:color w:val="000000" w:themeColor="text1"/>
        </w:rPr>
        <w:t>Ḥanbalī</w:t>
      </w:r>
      <w:proofErr w:type="spellEnd"/>
      <w:r w:rsidR="004A1D9C" w:rsidRPr="001E24FD">
        <w:rPr>
          <w:rFonts w:asciiTheme="majorBidi" w:hAnsiTheme="majorBidi" w:cstheme="majorBidi"/>
          <w:color w:val="000000" w:themeColor="text1"/>
        </w:rPr>
        <w:t xml:space="preserve"> scholar Ibn </w:t>
      </w:r>
      <w:proofErr w:type="spellStart"/>
      <w:r w:rsidR="004A1D9C" w:rsidRPr="001E24FD">
        <w:rPr>
          <w:rFonts w:asciiTheme="majorBidi" w:hAnsiTheme="majorBidi" w:cstheme="majorBidi"/>
          <w:color w:val="000000" w:themeColor="text1"/>
        </w:rPr>
        <w:t>Taymiyya</w:t>
      </w:r>
      <w:proofErr w:type="spellEnd"/>
      <w:r w:rsidR="004A1D9C" w:rsidRPr="001E24FD">
        <w:rPr>
          <w:rFonts w:asciiTheme="majorBidi" w:hAnsiTheme="majorBidi" w:cstheme="majorBidi"/>
          <w:color w:val="000000" w:themeColor="text1"/>
        </w:rPr>
        <w:t xml:space="preserve"> (d. 728/1328)</w:t>
      </w:r>
      <w:r w:rsidR="004E271A">
        <w:rPr>
          <w:rFonts w:asciiTheme="majorBidi" w:hAnsiTheme="majorBidi" w:cstheme="majorBidi"/>
          <w:color w:val="000000" w:themeColor="text1"/>
        </w:rPr>
        <w:t xml:space="preserve">. </w:t>
      </w:r>
      <w:r w:rsidR="00FA6FA0">
        <w:rPr>
          <w:rFonts w:asciiTheme="majorBidi" w:hAnsiTheme="majorBidi" w:cstheme="majorBidi"/>
          <w:color w:val="000000" w:themeColor="text1"/>
        </w:rPr>
        <w:t>Finding</w:t>
      </w:r>
      <w:r w:rsidR="006F0132">
        <w:rPr>
          <w:rFonts w:asciiTheme="majorBidi" w:hAnsiTheme="majorBidi" w:cstheme="majorBidi"/>
          <w:color w:val="000000" w:themeColor="text1"/>
        </w:rPr>
        <w:t xml:space="preserve"> the </w:t>
      </w:r>
      <w:proofErr w:type="spellStart"/>
      <w:r w:rsidR="006F0132">
        <w:rPr>
          <w:rFonts w:asciiTheme="majorBidi" w:hAnsiTheme="majorBidi" w:cstheme="majorBidi"/>
          <w:i/>
          <w:iCs/>
          <w:color w:val="000000" w:themeColor="text1"/>
        </w:rPr>
        <w:t>qāḍī</w:t>
      </w:r>
      <w:proofErr w:type="spellEnd"/>
      <w:r w:rsidR="006F0132">
        <w:rPr>
          <w:rFonts w:asciiTheme="majorBidi" w:hAnsiTheme="majorBidi" w:cstheme="majorBidi"/>
          <w:i/>
          <w:iCs/>
          <w:color w:val="000000" w:themeColor="text1"/>
        </w:rPr>
        <w:t xml:space="preserve"> </w:t>
      </w:r>
      <w:r w:rsidR="006F0132">
        <w:rPr>
          <w:rFonts w:asciiTheme="majorBidi" w:hAnsiTheme="majorBidi" w:cstheme="majorBidi"/>
          <w:color w:val="000000" w:themeColor="text1"/>
        </w:rPr>
        <w:t xml:space="preserve">courts to be too weak due to its focus on </w:t>
      </w:r>
      <w:r w:rsidR="00E80D20">
        <w:rPr>
          <w:rFonts w:asciiTheme="majorBidi" w:hAnsiTheme="majorBidi" w:cstheme="majorBidi"/>
          <w:color w:val="000000" w:themeColor="text1"/>
        </w:rPr>
        <w:t xml:space="preserve">legal </w:t>
      </w:r>
      <w:r w:rsidR="006F0132">
        <w:rPr>
          <w:rFonts w:asciiTheme="majorBidi" w:hAnsiTheme="majorBidi" w:cstheme="majorBidi"/>
          <w:color w:val="000000" w:themeColor="text1"/>
        </w:rPr>
        <w:t>formalities</w:t>
      </w:r>
      <w:r w:rsidR="00E80D20">
        <w:rPr>
          <w:rFonts w:asciiTheme="majorBidi" w:hAnsiTheme="majorBidi" w:cstheme="majorBidi"/>
          <w:color w:val="000000" w:themeColor="text1"/>
        </w:rPr>
        <w:t xml:space="preserve"> </w:t>
      </w:r>
      <w:r w:rsidR="006F0132">
        <w:rPr>
          <w:rFonts w:asciiTheme="majorBidi" w:hAnsiTheme="majorBidi" w:cstheme="majorBidi"/>
          <w:color w:val="000000" w:themeColor="text1"/>
        </w:rPr>
        <w:t xml:space="preserve">and the ruling authorities too arbitrary </w:t>
      </w:r>
      <w:r w:rsidR="00E80D20">
        <w:rPr>
          <w:rFonts w:asciiTheme="majorBidi" w:hAnsiTheme="majorBidi" w:cstheme="majorBidi"/>
          <w:color w:val="000000" w:themeColor="text1"/>
        </w:rPr>
        <w:t>given</w:t>
      </w:r>
      <w:r w:rsidR="006F0132">
        <w:rPr>
          <w:rFonts w:asciiTheme="majorBidi" w:hAnsiTheme="majorBidi" w:cstheme="majorBidi"/>
          <w:color w:val="000000" w:themeColor="text1"/>
        </w:rPr>
        <w:t xml:space="preserve"> their </w:t>
      </w:r>
      <w:r w:rsidR="00FF4C2C">
        <w:rPr>
          <w:rFonts w:asciiTheme="majorBidi" w:hAnsiTheme="majorBidi" w:cstheme="majorBidi"/>
          <w:color w:val="000000" w:themeColor="text1"/>
        </w:rPr>
        <w:t xml:space="preserve">frequent </w:t>
      </w:r>
      <w:r w:rsidR="006F0132">
        <w:rPr>
          <w:rFonts w:asciiTheme="majorBidi" w:hAnsiTheme="majorBidi" w:cstheme="majorBidi"/>
          <w:color w:val="000000" w:themeColor="text1"/>
        </w:rPr>
        <w:t>re</w:t>
      </w:r>
      <w:r w:rsidR="00070368">
        <w:rPr>
          <w:rFonts w:asciiTheme="majorBidi" w:hAnsiTheme="majorBidi" w:cstheme="majorBidi"/>
          <w:color w:val="000000" w:themeColor="text1"/>
        </w:rPr>
        <w:t>course to</w:t>
      </w:r>
      <w:r w:rsidR="006F0132">
        <w:rPr>
          <w:rFonts w:asciiTheme="majorBidi" w:hAnsiTheme="majorBidi" w:cstheme="majorBidi"/>
          <w:color w:val="000000" w:themeColor="text1"/>
        </w:rPr>
        <w:t xml:space="preserve"> personal opinion in persecuting criminal cases, </w:t>
      </w:r>
      <w:r w:rsidR="004E271A">
        <w:rPr>
          <w:rFonts w:asciiTheme="majorBidi" w:hAnsiTheme="majorBidi" w:cstheme="majorBidi"/>
          <w:color w:val="000000" w:themeColor="text1"/>
        </w:rPr>
        <w:t xml:space="preserve">Ibn </w:t>
      </w:r>
      <w:proofErr w:type="spellStart"/>
      <w:r w:rsidR="004E271A">
        <w:rPr>
          <w:rFonts w:asciiTheme="majorBidi" w:hAnsiTheme="majorBidi" w:cstheme="majorBidi"/>
          <w:color w:val="000000" w:themeColor="text1"/>
        </w:rPr>
        <w:t>Taymiyya</w:t>
      </w:r>
      <w:proofErr w:type="spellEnd"/>
      <w:r w:rsidR="004A1D9C" w:rsidRPr="001E24FD">
        <w:rPr>
          <w:rFonts w:asciiTheme="majorBidi" w:hAnsiTheme="majorBidi" w:cstheme="majorBidi"/>
          <w:color w:val="000000" w:themeColor="text1"/>
        </w:rPr>
        <w:t xml:space="preserve"> </w:t>
      </w:r>
      <w:r w:rsidR="00FA6FA0">
        <w:rPr>
          <w:rFonts w:asciiTheme="majorBidi" w:hAnsiTheme="majorBidi" w:cstheme="majorBidi"/>
          <w:color w:val="000000" w:themeColor="text1"/>
        </w:rPr>
        <w:t>did not believe in</w:t>
      </w:r>
      <w:r w:rsidR="007434DD">
        <w:rPr>
          <w:rFonts w:asciiTheme="majorBidi" w:hAnsiTheme="majorBidi" w:cstheme="majorBidi"/>
          <w:color w:val="000000" w:themeColor="text1"/>
        </w:rPr>
        <w:t xml:space="preserve"> reducing </w:t>
      </w:r>
      <w:proofErr w:type="spellStart"/>
      <w:r w:rsidR="007434DD">
        <w:rPr>
          <w:rFonts w:asciiTheme="majorBidi" w:hAnsiTheme="majorBidi" w:cstheme="majorBidi"/>
          <w:i/>
          <w:iCs/>
          <w:color w:val="000000" w:themeColor="text1"/>
        </w:rPr>
        <w:t>siyāsa</w:t>
      </w:r>
      <w:proofErr w:type="spellEnd"/>
      <w:r w:rsidR="007434DD">
        <w:rPr>
          <w:rFonts w:asciiTheme="majorBidi" w:hAnsiTheme="majorBidi" w:cstheme="majorBidi"/>
          <w:i/>
          <w:iCs/>
          <w:color w:val="000000" w:themeColor="text1"/>
        </w:rPr>
        <w:t xml:space="preserve"> </w:t>
      </w:r>
      <w:r w:rsidR="007434DD">
        <w:rPr>
          <w:rFonts w:asciiTheme="majorBidi" w:hAnsiTheme="majorBidi" w:cstheme="majorBidi"/>
          <w:color w:val="000000" w:themeColor="text1"/>
        </w:rPr>
        <w:t xml:space="preserve">to a </w:t>
      </w:r>
      <w:proofErr w:type="spellStart"/>
      <w:r w:rsidR="007434DD">
        <w:rPr>
          <w:rFonts w:asciiTheme="majorBidi" w:hAnsiTheme="majorBidi" w:cstheme="majorBidi"/>
          <w:i/>
          <w:iCs/>
          <w:color w:val="000000" w:themeColor="text1"/>
        </w:rPr>
        <w:t>fiqh</w:t>
      </w:r>
      <w:proofErr w:type="spellEnd"/>
      <w:r w:rsidR="007434DD">
        <w:rPr>
          <w:rFonts w:asciiTheme="majorBidi" w:hAnsiTheme="majorBidi" w:cstheme="majorBidi"/>
          <w:color w:val="000000" w:themeColor="text1"/>
        </w:rPr>
        <w:t xml:space="preserve">-based </w:t>
      </w:r>
      <w:proofErr w:type="spellStart"/>
      <w:r w:rsidR="007434DD">
        <w:rPr>
          <w:rFonts w:asciiTheme="majorBidi" w:hAnsiTheme="majorBidi" w:cstheme="majorBidi"/>
          <w:i/>
          <w:iCs/>
          <w:color w:val="000000" w:themeColor="text1"/>
        </w:rPr>
        <w:t>sharīʿa</w:t>
      </w:r>
      <w:proofErr w:type="spellEnd"/>
      <w:r w:rsidR="007434DD">
        <w:rPr>
          <w:rFonts w:asciiTheme="majorBidi" w:hAnsiTheme="majorBidi" w:cstheme="majorBidi"/>
          <w:color w:val="000000" w:themeColor="text1"/>
        </w:rPr>
        <w:t xml:space="preserve"> articulated by the jurists. Rather, </w:t>
      </w:r>
      <w:r w:rsidR="00692D6E">
        <w:rPr>
          <w:rFonts w:asciiTheme="majorBidi" w:hAnsiTheme="majorBidi" w:cstheme="majorBidi"/>
          <w:color w:val="000000" w:themeColor="text1"/>
        </w:rPr>
        <w:t xml:space="preserve">observes </w:t>
      </w:r>
      <w:r w:rsidR="0033740D">
        <w:rPr>
          <w:rFonts w:asciiTheme="majorBidi" w:hAnsiTheme="majorBidi" w:cstheme="majorBidi"/>
          <w:color w:val="000000" w:themeColor="text1"/>
        </w:rPr>
        <w:t xml:space="preserve">Anjum, </w:t>
      </w:r>
      <w:r w:rsidR="007434DD">
        <w:rPr>
          <w:rFonts w:asciiTheme="majorBidi" w:hAnsiTheme="majorBidi" w:cstheme="majorBidi"/>
          <w:color w:val="000000" w:themeColor="text1"/>
        </w:rPr>
        <w:t xml:space="preserve">he made the </w:t>
      </w:r>
      <w:proofErr w:type="spellStart"/>
      <w:r w:rsidR="000D4BFE">
        <w:rPr>
          <w:rFonts w:asciiTheme="majorBidi" w:hAnsiTheme="majorBidi" w:cstheme="majorBidi"/>
          <w:i/>
          <w:iCs/>
          <w:color w:val="000000" w:themeColor="text1"/>
        </w:rPr>
        <w:t>sharīʿa</w:t>
      </w:r>
      <w:proofErr w:type="spellEnd"/>
      <w:r w:rsidR="000D4BFE">
        <w:rPr>
          <w:rFonts w:asciiTheme="majorBidi" w:hAnsiTheme="majorBidi" w:cstheme="majorBidi"/>
          <w:i/>
          <w:iCs/>
          <w:color w:val="000000" w:themeColor="text1"/>
        </w:rPr>
        <w:t xml:space="preserve"> </w:t>
      </w:r>
      <w:r w:rsidR="000D4BFE">
        <w:rPr>
          <w:rFonts w:asciiTheme="majorBidi" w:hAnsiTheme="majorBidi" w:cstheme="majorBidi"/>
          <w:color w:val="000000" w:themeColor="text1"/>
        </w:rPr>
        <w:t xml:space="preserve">more inclusive </w:t>
      </w:r>
      <w:r w:rsidR="007434DD">
        <w:rPr>
          <w:rFonts w:asciiTheme="majorBidi" w:hAnsiTheme="majorBidi" w:cstheme="majorBidi"/>
          <w:color w:val="000000" w:themeColor="text1"/>
        </w:rPr>
        <w:t>by</w:t>
      </w:r>
      <w:r w:rsidR="000D4BFE">
        <w:rPr>
          <w:rFonts w:asciiTheme="majorBidi" w:hAnsiTheme="majorBidi" w:cstheme="majorBidi"/>
          <w:color w:val="000000" w:themeColor="text1"/>
        </w:rPr>
        <w:t xml:space="preserve"> reconceptualizing it as “not merely a law limited to jurisprudence (</w:t>
      </w:r>
      <w:proofErr w:type="spellStart"/>
      <w:r w:rsidR="000D4BFE">
        <w:rPr>
          <w:rFonts w:asciiTheme="majorBidi" w:hAnsiTheme="majorBidi" w:cstheme="majorBidi"/>
          <w:i/>
          <w:iCs/>
          <w:color w:val="000000" w:themeColor="text1"/>
        </w:rPr>
        <w:t>fiqh</w:t>
      </w:r>
      <w:proofErr w:type="spellEnd"/>
      <w:r w:rsidR="000D4BFE">
        <w:rPr>
          <w:rFonts w:asciiTheme="majorBidi" w:hAnsiTheme="majorBidi" w:cstheme="majorBidi"/>
          <w:color w:val="000000" w:themeColor="text1"/>
        </w:rPr>
        <w:t>)</w:t>
      </w:r>
      <w:r w:rsidR="000D4BFE" w:rsidRPr="000D4BFE">
        <w:rPr>
          <w:rFonts w:asciiTheme="majorBidi" w:hAnsiTheme="majorBidi" w:cstheme="majorBidi"/>
          <w:color w:val="000000" w:themeColor="text1"/>
        </w:rPr>
        <w:t xml:space="preserve"> </w:t>
      </w:r>
      <w:r w:rsidR="00BD0FAC">
        <w:rPr>
          <w:rFonts w:asciiTheme="majorBidi" w:hAnsiTheme="majorBidi" w:cstheme="majorBidi"/>
          <w:color w:val="000000" w:themeColor="text1"/>
        </w:rPr>
        <w:t xml:space="preserve">that the ulama preserve and pass on as </w:t>
      </w:r>
      <w:r w:rsidR="00BD0FAC">
        <w:rPr>
          <w:rFonts w:asciiTheme="majorBidi" w:hAnsiTheme="majorBidi" w:cstheme="majorBidi"/>
          <w:i/>
          <w:iCs/>
          <w:color w:val="000000" w:themeColor="text1"/>
        </w:rPr>
        <w:t>madhhab</w:t>
      </w:r>
      <w:r w:rsidR="00BD0FAC">
        <w:rPr>
          <w:rFonts w:asciiTheme="majorBidi" w:hAnsiTheme="majorBidi" w:cstheme="majorBidi"/>
          <w:color w:val="000000" w:themeColor="text1"/>
        </w:rPr>
        <w:t xml:space="preserve"> doctrines</w:t>
      </w:r>
      <w:r w:rsidR="000D4BFE">
        <w:rPr>
          <w:rFonts w:asciiTheme="majorBidi" w:hAnsiTheme="majorBidi" w:cstheme="majorBidi"/>
          <w:color w:val="000000" w:themeColor="text1"/>
        </w:rPr>
        <w:t xml:space="preserve">, </w:t>
      </w:r>
      <w:r w:rsidR="00BD0FAC">
        <w:rPr>
          <w:rFonts w:asciiTheme="majorBidi" w:hAnsiTheme="majorBidi" w:cstheme="majorBidi"/>
          <w:color w:val="000000" w:themeColor="text1"/>
        </w:rPr>
        <w:t xml:space="preserve">but inclusive of </w:t>
      </w:r>
      <w:r w:rsidR="007434DD">
        <w:rPr>
          <w:rFonts w:asciiTheme="majorBidi" w:hAnsiTheme="majorBidi" w:cstheme="majorBidi"/>
          <w:color w:val="000000" w:themeColor="text1"/>
        </w:rPr>
        <w:t xml:space="preserve">just policies of rulers as well as fair judgments of </w:t>
      </w:r>
      <w:proofErr w:type="spellStart"/>
      <w:r w:rsidR="007434DD">
        <w:rPr>
          <w:rFonts w:asciiTheme="majorBidi" w:hAnsiTheme="majorBidi" w:cstheme="majorBidi"/>
          <w:i/>
          <w:iCs/>
          <w:color w:val="000000" w:themeColor="text1"/>
        </w:rPr>
        <w:t>qāḍī</w:t>
      </w:r>
      <w:r w:rsidR="007434DD">
        <w:rPr>
          <w:rFonts w:asciiTheme="majorBidi" w:hAnsiTheme="majorBidi" w:cstheme="majorBidi"/>
          <w:color w:val="000000" w:themeColor="text1"/>
        </w:rPr>
        <w:t>s</w:t>
      </w:r>
      <w:proofErr w:type="spellEnd"/>
      <w:r w:rsidR="0065051A">
        <w:rPr>
          <w:rFonts w:asciiTheme="majorBidi" w:hAnsiTheme="majorBidi" w:cstheme="majorBidi"/>
          <w:color w:val="000000" w:themeColor="text1"/>
        </w:rPr>
        <w:t>.</w:t>
      </w:r>
      <w:r w:rsidR="007434DD">
        <w:rPr>
          <w:rFonts w:asciiTheme="majorBidi" w:hAnsiTheme="majorBidi" w:cstheme="majorBidi"/>
          <w:color w:val="000000" w:themeColor="text1"/>
        </w:rPr>
        <w:t>”</w:t>
      </w:r>
      <w:r w:rsidR="0065051A" w:rsidRPr="0065051A">
        <w:rPr>
          <w:rFonts w:asciiTheme="majorBidi" w:hAnsiTheme="majorBidi" w:cstheme="majorBidi"/>
          <w:color w:val="000000" w:themeColor="text1"/>
        </w:rPr>
        <w:t xml:space="preserve"> </w:t>
      </w:r>
      <w:r w:rsidR="00FA6FA0">
        <w:rPr>
          <w:rFonts w:asciiTheme="majorBidi" w:hAnsiTheme="majorBidi" w:cstheme="majorBidi"/>
          <w:color w:val="000000" w:themeColor="text1"/>
        </w:rPr>
        <w:t xml:space="preserve">Furthermore, </w:t>
      </w:r>
      <w:r w:rsidR="00F91B18">
        <w:rPr>
          <w:rFonts w:asciiTheme="majorBidi" w:hAnsiTheme="majorBidi" w:cstheme="majorBidi"/>
          <w:color w:val="000000" w:themeColor="text1"/>
        </w:rPr>
        <w:t>he</w:t>
      </w:r>
      <w:r w:rsidR="00FA6FA0">
        <w:rPr>
          <w:rFonts w:asciiTheme="majorBidi" w:hAnsiTheme="majorBidi" w:cstheme="majorBidi"/>
          <w:color w:val="000000" w:themeColor="text1"/>
        </w:rPr>
        <w:t xml:space="preserve"> framed </w:t>
      </w:r>
      <w:r w:rsidR="0033740D">
        <w:rPr>
          <w:rFonts w:asciiTheme="majorBidi" w:hAnsiTheme="majorBidi" w:cstheme="majorBidi"/>
          <w:color w:val="000000" w:themeColor="text1"/>
        </w:rPr>
        <w:t xml:space="preserve">justice </w:t>
      </w:r>
      <w:r w:rsidR="00FA6FA0">
        <w:rPr>
          <w:rFonts w:asciiTheme="majorBidi" w:hAnsiTheme="majorBidi" w:cstheme="majorBidi"/>
          <w:color w:val="000000" w:themeColor="text1"/>
        </w:rPr>
        <w:t xml:space="preserve">as “the spirit of the specific laws of </w:t>
      </w:r>
      <w:r w:rsidR="00FA6FA0">
        <w:rPr>
          <w:rFonts w:asciiTheme="majorBidi" w:hAnsiTheme="majorBidi" w:cstheme="majorBidi"/>
          <w:color w:val="000000" w:themeColor="text1"/>
        </w:rPr>
        <w:lastRenderedPageBreak/>
        <w:t xml:space="preserve">the </w:t>
      </w:r>
      <w:proofErr w:type="spellStart"/>
      <w:r w:rsidR="00FA6FA0">
        <w:rPr>
          <w:rFonts w:asciiTheme="majorBidi" w:hAnsiTheme="majorBidi" w:cstheme="majorBidi"/>
          <w:i/>
          <w:iCs/>
          <w:color w:val="000000" w:themeColor="text1"/>
        </w:rPr>
        <w:t>Sharīʿa</w:t>
      </w:r>
      <w:proofErr w:type="spellEnd"/>
      <w:r w:rsidR="00FA6FA0">
        <w:rPr>
          <w:rFonts w:asciiTheme="majorBidi" w:hAnsiTheme="majorBidi" w:cstheme="majorBidi"/>
          <w:color w:val="000000" w:themeColor="text1"/>
        </w:rPr>
        <w:t>,” so as</w:t>
      </w:r>
      <w:r w:rsidR="00FA6FA0">
        <w:rPr>
          <w:rFonts w:asciiTheme="majorBidi" w:hAnsiTheme="majorBidi" w:cstheme="majorBidi"/>
          <w:i/>
          <w:iCs/>
          <w:color w:val="000000" w:themeColor="text1"/>
        </w:rPr>
        <w:t xml:space="preserve"> </w:t>
      </w:r>
      <w:r w:rsidR="00FA6FA0">
        <w:rPr>
          <w:rFonts w:asciiTheme="majorBidi" w:hAnsiTheme="majorBidi" w:cstheme="majorBidi"/>
          <w:color w:val="000000" w:themeColor="text1"/>
        </w:rPr>
        <w:t xml:space="preserve">long as the ruler’s policies were just they were considered part of the </w:t>
      </w:r>
      <w:proofErr w:type="spellStart"/>
      <w:r w:rsidR="00FA6FA0">
        <w:rPr>
          <w:rFonts w:asciiTheme="majorBidi" w:hAnsiTheme="majorBidi" w:cstheme="majorBidi"/>
          <w:i/>
          <w:iCs/>
          <w:color w:val="000000" w:themeColor="text1"/>
        </w:rPr>
        <w:t>sharīʿa</w:t>
      </w:r>
      <w:proofErr w:type="spellEnd"/>
      <w:r w:rsidR="00E552FE">
        <w:rPr>
          <w:rFonts w:asciiTheme="majorBidi" w:hAnsiTheme="majorBidi" w:cstheme="majorBidi"/>
          <w:color w:val="000000" w:themeColor="text1"/>
        </w:rPr>
        <w:t>; h</w:t>
      </w:r>
      <w:r w:rsidR="0082342A">
        <w:rPr>
          <w:rFonts w:asciiTheme="majorBidi" w:hAnsiTheme="majorBidi" w:cstheme="majorBidi"/>
          <w:color w:val="000000" w:themeColor="text1"/>
        </w:rPr>
        <w:t xml:space="preserve">ence the title of his famous treatise on governance, </w:t>
      </w:r>
      <w:r w:rsidR="0082342A" w:rsidRPr="001E24FD">
        <w:rPr>
          <w:rFonts w:asciiTheme="majorBidi" w:hAnsiTheme="majorBidi" w:cstheme="majorBidi"/>
          <w:i/>
          <w:iCs/>
          <w:color w:val="000000" w:themeColor="text1"/>
        </w:rPr>
        <w:t>al-</w:t>
      </w:r>
      <w:proofErr w:type="spellStart"/>
      <w:r w:rsidR="0082342A" w:rsidRPr="001E24FD">
        <w:rPr>
          <w:rFonts w:asciiTheme="majorBidi" w:hAnsiTheme="majorBidi" w:cstheme="majorBidi"/>
          <w:i/>
          <w:iCs/>
          <w:color w:val="000000" w:themeColor="text1"/>
        </w:rPr>
        <w:t>Siyāsa</w:t>
      </w:r>
      <w:proofErr w:type="spellEnd"/>
      <w:r w:rsidR="0082342A" w:rsidRPr="001E24FD">
        <w:rPr>
          <w:rFonts w:asciiTheme="majorBidi" w:hAnsiTheme="majorBidi" w:cstheme="majorBidi"/>
          <w:i/>
          <w:iCs/>
          <w:color w:val="000000" w:themeColor="text1"/>
        </w:rPr>
        <w:t xml:space="preserve"> al-</w:t>
      </w:r>
      <w:proofErr w:type="spellStart"/>
      <w:r w:rsidR="0082342A" w:rsidRPr="001E24FD">
        <w:rPr>
          <w:rFonts w:asciiTheme="majorBidi" w:hAnsiTheme="majorBidi" w:cstheme="majorBidi"/>
          <w:i/>
          <w:iCs/>
          <w:color w:val="000000" w:themeColor="text1"/>
        </w:rPr>
        <w:t>sharʿiyya</w:t>
      </w:r>
      <w:proofErr w:type="spellEnd"/>
      <w:r w:rsidR="007320DA">
        <w:rPr>
          <w:rFonts w:asciiTheme="majorBidi" w:hAnsiTheme="majorBidi" w:cstheme="majorBidi"/>
          <w:color w:val="000000" w:themeColor="text1"/>
        </w:rPr>
        <w:t xml:space="preserve"> (</w:t>
      </w:r>
      <w:r w:rsidR="007320DA" w:rsidRPr="007320DA">
        <w:rPr>
          <w:rFonts w:asciiTheme="majorBidi" w:hAnsiTheme="majorBidi" w:cstheme="majorBidi"/>
          <w:i/>
          <w:iCs/>
          <w:color w:val="000000" w:themeColor="text1"/>
        </w:rPr>
        <w:t xml:space="preserve">Governance Based on the </w:t>
      </w:r>
      <w:proofErr w:type="spellStart"/>
      <w:r w:rsidR="007320DA">
        <w:rPr>
          <w:rFonts w:asciiTheme="majorBidi" w:hAnsiTheme="majorBidi" w:cstheme="majorBidi"/>
          <w:i/>
          <w:iCs/>
          <w:color w:val="000000" w:themeColor="text1"/>
        </w:rPr>
        <w:t>Sharīʿa</w:t>
      </w:r>
      <w:proofErr w:type="spellEnd"/>
      <w:r w:rsidR="007320DA">
        <w:rPr>
          <w:rFonts w:asciiTheme="majorBidi" w:hAnsiTheme="majorBidi" w:cstheme="majorBidi"/>
          <w:color w:val="000000" w:themeColor="text1"/>
        </w:rPr>
        <w:t>)</w:t>
      </w:r>
      <w:r w:rsidR="0082342A">
        <w:rPr>
          <w:rFonts w:asciiTheme="majorBidi" w:hAnsiTheme="majorBidi" w:cstheme="majorBidi"/>
          <w:color w:val="000000" w:themeColor="text1"/>
        </w:rPr>
        <w:t>.</w:t>
      </w:r>
      <w:r w:rsidR="00E552FE">
        <w:rPr>
          <w:rStyle w:val="FootnoteReference"/>
          <w:rFonts w:asciiTheme="majorBidi" w:hAnsiTheme="majorBidi" w:cstheme="majorBidi"/>
          <w:color w:val="000000" w:themeColor="text1"/>
        </w:rPr>
        <w:footnoteReference w:id="91"/>
      </w:r>
      <w:r w:rsidR="0082342A">
        <w:rPr>
          <w:rFonts w:asciiTheme="majorBidi" w:hAnsiTheme="majorBidi" w:cstheme="majorBidi"/>
          <w:color w:val="000000" w:themeColor="text1"/>
        </w:rPr>
        <w:t xml:space="preserve"> </w:t>
      </w:r>
      <w:r w:rsidR="00B1432C">
        <w:rPr>
          <w:rFonts w:asciiTheme="majorBidi" w:hAnsiTheme="majorBidi" w:cstheme="majorBidi"/>
          <w:color w:val="000000" w:themeColor="text1"/>
        </w:rPr>
        <w:t xml:space="preserve">Justice could </w:t>
      </w:r>
      <w:r w:rsidR="00EA6EFD">
        <w:rPr>
          <w:rFonts w:asciiTheme="majorBidi" w:hAnsiTheme="majorBidi" w:cstheme="majorBidi"/>
          <w:color w:val="000000" w:themeColor="text1"/>
        </w:rPr>
        <w:t xml:space="preserve">in turn </w:t>
      </w:r>
      <w:r w:rsidR="00B1432C">
        <w:rPr>
          <w:rFonts w:asciiTheme="majorBidi" w:hAnsiTheme="majorBidi" w:cstheme="majorBidi"/>
          <w:color w:val="000000" w:themeColor="text1"/>
        </w:rPr>
        <w:t xml:space="preserve">be ensured </w:t>
      </w:r>
      <w:r w:rsidR="00EA6EFD">
        <w:rPr>
          <w:rFonts w:asciiTheme="majorBidi" w:hAnsiTheme="majorBidi" w:cstheme="majorBidi"/>
          <w:color w:val="000000" w:themeColor="text1"/>
        </w:rPr>
        <w:t xml:space="preserve">if </w:t>
      </w:r>
      <w:r w:rsidR="00FE3834">
        <w:rPr>
          <w:rFonts w:asciiTheme="majorBidi" w:hAnsiTheme="majorBidi" w:cstheme="majorBidi"/>
          <w:color w:val="000000" w:themeColor="text1"/>
        </w:rPr>
        <w:t xml:space="preserve">the </w:t>
      </w:r>
      <w:r w:rsidR="00EA6EFD">
        <w:rPr>
          <w:rFonts w:asciiTheme="majorBidi" w:hAnsiTheme="majorBidi" w:cstheme="majorBidi"/>
          <w:color w:val="000000" w:themeColor="text1"/>
        </w:rPr>
        <w:t>r</w:t>
      </w:r>
      <w:r w:rsidR="004A1D9C" w:rsidRPr="001E24FD">
        <w:rPr>
          <w:rFonts w:asciiTheme="majorBidi" w:hAnsiTheme="majorBidi" w:cstheme="majorBidi"/>
          <w:color w:val="000000" w:themeColor="text1"/>
        </w:rPr>
        <w:t xml:space="preserve">ulers, religious scholars, and </w:t>
      </w:r>
      <w:r w:rsidR="00FE3834">
        <w:rPr>
          <w:rFonts w:asciiTheme="majorBidi" w:hAnsiTheme="majorBidi" w:cstheme="majorBidi"/>
          <w:color w:val="000000" w:themeColor="text1"/>
        </w:rPr>
        <w:t>commoners</w:t>
      </w:r>
      <w:r w:rsidR="00EA6EFD">
        <w:rPr>
          <w:rFonts w:asciiTheme="majorBidi" w:hAnsiTheme="majorBidi" w:cstheme="majorBidi"/>
          <w:color w:val="000000" w:themeColor="text1"/>
        </w:rPr>
        <w:t xml:space="preserve"> </w:t>
      </w:r>
      <w:r w:rsidR="00807583">
        <w:rPr>
          <w:rFonts w:asciiTheme="majorBidi" w:hAnsiTheme="majorBidi" w:cstheme="majorBidi"/>
          <w:color w:val="000000" w:themeColor="text1"/>
        </w:rPr>
        <w:t>maintained a cooperative relationship (</w:t>
      </w:r>
      <w:proofErr w:type="spellStart"/>
      <w:r w:rsidR="00807583">
        <w:rPr>
          <w:rFonts w:asciiTheme="majorBidi" w:hAnsiTheme="majorBidi" w:cstheme="majorBidi"/>
          <w:i/>
          <w:iCs/>
          <w:color w:val="000000" w:themeColor="text1"/>
        </w:rPr>
        <w:t>taʿāwun</w:t>
      </w:r>
      <w:proofErr w:type="spellEnd"/>
      <w:r w:rsidR="00807583">
        <w:rPr>
          <w:rFonts w:asciiTheme="majorBidi" w:hAnsiTheme="majorBidi" w:cstheme="majorBidi"/>
          <w:color w:val="000000" w:themeColor="text1"/>
        </w:rPr>
        <w:t>), which entailed</w:t>
      </w:r>
      <w:r w:rsidR="00807583">
        <w:rPr>
          <w:rFonts w:asciiTheme="majorBidi" w:hAnsiTheme="majorBidi" w:cstheme="majorBidi"/>
          <w:i/>
          <w:iCs/>
          <w:color w:val="000000" w:themeColor="text1"/>
        </w:rPr>
        <w:t xml:space="preserve"> </w:t>
      </w:r>
      <w:r w:rsidR="00EA6EFD">
        <w:rPr>
          <w:rFonts w:asciiTheme="majorBidi" w:hAnsiTheme="majorBidi" w:cstheme="majorBidi"/>
          <w:color w:val="000000" w:themeColor="text1"/>
        </w:rPr>
        <w:t>consult</w:t>
      </w:r>
      <w:r w:rsidR="00807583">
        <w:rPr>
          <w:rFonts w:asciiTheme="majorBidi" w:hAnsiTheme="majorBidi" w:cstheme="majorBidi"/>
          <w:color w:val="000000" w:themeColor="text1"/>
        </w:rPr>
        <w:t>ing</w:t>
      </w:r>
      <w:r w:rsidR="00EA6EFD">
        <w:rPr>
          <w:rFonts w:asciiTheme="majorBidi" w:hAnsiTheme="majorBidi" w:cstheme="majorBidi"/>
          <w:color w:val="000000" w:themeColor="text1"/>
        </w:rPr>
        <w:t xml:space="preserve"> with each other and offer</w:t>
      </w:r>
      <w:r w:rsidR="00807583">
        <w:rPr>
          <w:rFonts w:asciiTheme="majorBidi" w:hAnsiTheme="majorBidi" w:cstheme="majorBidi"/>
          <w:color w:val="000000" w:themeColor="text1"/>
        </w:rPr>
        <w:t>ing</w:t>
      </w:r>
      <w:r w:rsidR="00EA6EFD">
        <w:rPr>
          <w:rFonts w:asciiTheme="majorBidi" w:hAnsiTheme="majorBidi" w:cstheme="majorBidi"/>
          <w:color w:val="000000" w:themeColor="text1"/>
        </w:rPr>
        <w:t xml:space="preserve"> mutual advice and criticism for the sake of the common good</w:t>
      </w:r>
      <w:r w:rsidR="004A1D9C" w:rsidRPr="001E24FD">
        <w:rPr>
          <w:rFonts w:asciiTheme="majorBidi" w:hAnsiTheme="majorBidi" w:cstheme="majorBidi"/>
          <w:color w:val="000000" w:themeColor="text1"/>
        </w:rPr>
        <w:t>.</w:t>
      </w:r>
      <w:r w:rsidR="004A1D9C" w:rsidRPr="001E24FD">
        <w:rPr>
          <w:rStyle w:val="FootnoteReference"/>
          <w:rFonts w:asciiTheme="majorBidi" w:hAnsiTheme="majorBidi" w:cstheme="majorBidi"/>
          <w:color w:val="000000" w:themeColor="text1"/>
        </w:rPr>
        <w:footnoteReference w:id="92"/>
      </w:r>
      <w:r w:rsidR="004A1D9C" w:rsidRPr="001E24FD">
        <w:rPr>
          <w:rFonts w:asciiTheme="majorBidi" w:hAnsiTheme="majorBidi" w:cstheme="majorBidi"/>
          <w:color w:val="000000" w:themeColor="text1"/>
        </w:rPr>
        <w:t xml:space="preserve"> </w:t>
      </w:r>
      <w:r w:rsidR="0082342A">
        <w:rPr>
          <w:rFonts w:asciiTheme="majorBidi" w:hAnsiTheme="majorBidi" w:cstheme="majorBidi"/>
          <w:color w:val="000000" w:themeColor="text1"/>
        </w:rPr>
        <w:t xml:space="preserve">Anjum argues that </w:t>
      </w:r>
      <w:r w:rsidR="007C5FD6">
        <w:rPr>
          <w:rFonts w:asciiTheme="majorBidi" w:hAnsiTheme="majorBidi" w:cstheme="majorBidi"/>
          <w:color w:val="000000" w:themeColor="text1"/>
        </w:rPr>
        <w:t xml:space="preserve">Ibn </w:t>
      </w:r>
      <w:proofErr w:type="spellStart"/>
      <w:r w:rsidR="007C5FD6">
        <w:rPr>
          <w:rFonts w:asciiTheme="majorBidi" w:hAnsiTheme="majorBidi" w:cstheme="majorBidi"/>
          <w:color w:val="000000" w:themeColor="text1"/>
        </w:rPr>
        <w:t>Taymiyya’s</w:t>
      </w:r>
      <w:proofErr w:type="spellEnd"/>
      <w:r w:rsidR="007C5FD6">
        <w:rPr>
          <w:rFonts w:asciiTheme="majorBidi" w:hAnsiTheme="majorBidi" w:cstheme="majorBidi"/>
          <w:color w:val="000000" w:themeColor="text1"/>
        </w:rPr>
        <w:t xml:space="preserve"> reformulation of </w:t>
      </w:r>
      <w:proofErr w:type="spellStart"/>
      <w:r w:rsidR="007C5FD6">
        <w:rPr>
          <w:rFonts w:asciiTheme="majorBidi" w:hAnsiTheme="majorBidi" w:cstheme="majorBidi"/>
          <w:i/>
          <w:iCs/>
          <w:color w:val="000000" w:themeColor="text1"/>
        </w:rPr>
        <w:t>siyāsa</w:t>
      </w:r>
      <w:proofErr w:type="spellEnd"/>
      <w:r w:rsidR="007C5FD6">
        <w:rPr>
          <w:rFonts w:asciiTheme="majorBidi" w:hAnsiTheme="majorBidi" w:cstheme="majorBidi"/>
          <w:color w:val="000000" w:themeColor="text1"/>
        </w:rPr>
        <w:t xml:space="preserve"> and </w:t>
      </w:r>
      <w:proofErr w:type="spellStart"/>
      <w:r w:rsidR="007C5FD6">
        <w:rPr>
          <w:rFonts w:asciiTheme="majorBidi" w:hAnsiTheme="majorBidi" w:cstheme="majorBidi"/>
          <w:i/>
          <w:iCs/>
          <w:color w:val="000000" w:themeColor="text1"/>
        </w:rPr>
        <w:t>sharīʿa</w:t>
      </w:r>
      <w:proofErr w:type="spellEnd"/>
      <w:r w:rsidR="0082342A">
        <w:rPr>
          <w:rFonts w:asciiTheme="majorBidi" w:hAnsiTheme="majorBidi" w:cstheme="majorBidi"/>
          <w:color w:val="000000" w:themeColor="text1"/>
        </w:rPr>
        <w:t xml:space="preserve"> </w:t>
      </w:r>
      <w:r w:rsidR="00FE3834">
        <w:rPr>
          <w:rFonts w:asciiTheme="majorBidi" w:hAnsiTheme="majorBidi" w:cstheme="majorBidi"/>
          <w:color w:val="000000" w:themeColor="text1"/>
        </w:rPr>
        <w:t xml:space="preserve">had the effect of </w:t>
      </w:r>
      <w:r w:rsidR="007C5FD6">
        <w:rPr>
          <w:rFonts w:asciiTheme="majorBidi" w:hAnsiTheme="majorBidi" w:cstheme="majorBidi"/>
          <w:color w:val="000000" w:themeColor="text1"/>
        </w:rPr>
        <w:t>not only reimagin</w:t>
      </w:r>
      <w:r w:rsidR="00FE3834">
        <w:rPr>
          <w:rFonts w:asciiTheme="majorBidi" w:hAnsiTheme="majorBidi" w:cstheme="majorBidi"/>
          <w:color w:val="000000" w:themeColor="text1"/>
        </w:rPr>
        <w:t>ing</w:t>
      </w:r>
      <w:r w:rsidR="007C5FD6">
        <w:rPr>
          <w:rFonts w:asciiTheme="majorBidi" w:hAnsiTheme="majorBidi" w:cstheme="majorBidi"/>
          <w:color w:val="000000" w:themeColor="text1"/>
        </w:rPr>
        <w:t xml:space="preserve"> politics as</w:t>
      </w:r>
      <w:r w:rsidR="00FE3834">
        <w:rPr>
          <w:rFonts w:asciiTheme="majorBidi" w:hAnsiTheme="majorBidi" w:cstheme="majorBidi"/>
          <w:color w:val="000000" w:themeColor="text1"/>
        </w:rPr>
        <w:t xml:space="preserve"> a morally and religiously legitimate realm, </w:t>
      </w:r>
      <w:r w:rsidR="007C5FD6">
        <w:rPr>
          <w:rFonts w:asciiTheme="majorBidi" w:hAnsiTheme="majorBidi" w:cstheme="majorBidi"/>
          <w:color w:val="000000" w:themeColor="text1"/>
        </w:rPr>
        <w:t xml:space="preserve">but </w:t>
      </w:r>
      <w:r w:rsidR="00FE3834">
        <w:rPr>
          <w:rFonts w:asciiTheme="majorBidi" w:hAnsiTheme="majorBidi" w:cstheme="majorBidi"/>
          <w:color w:val="000000" w:themeColor="text1"/>
        </w:rPr>
        <w:t xml:space="preserve">it </w:t>
      </w:r>
      <w:r w:rsidR="007C5FD6">
        <w:rPr>
          <w:rFonts w:asciiTheme="majorBidi" w:hAnsiTheme="majorBidi" w:cstheme="majorBidi"/>
          <w:color w:val="000000" w:themeColor="text1"/>
        </w:rPr>
        <w:t>also accord</w:t>
      </w:r>
      <w:r w:rsidR="00FE3834">
        <w:rPr>
          <w:rFonts w:asciiTheme="majorBidi" w:hAnsiTheme="majorBidi" w:cstheme="majorBidi"/>
          <w:color w:val="000000" w:themeColor="text1"/>
        </w:rPr>
        <w:t>ed</w:t>
      </w:r>
      <w:r w:rsidR="007C5FD6">
        <w:rPr>
          <w:rFonts w:asciiTheme="majorBidi" w:hAnsiTheme="majorBidi" w:cstheme="majorBidi"/>
          <w:color w:val="000000" w:themeColor="text1"/>
        </w:rPr>
        <w:t xml:space="preserve"> a political role to the scholars and the </w:t>
      </w:r>
      <w:r w:rsidR="00FE3834">
        <w:rPr>
          <w:rFonts w:asciiTheme="majorBidi" w:hAnsiTheme="majorBidi" w:cstheme="majorBidi"/>
          <w:color w:val="000000" w:themeColor="text1"/>
        </w:rPr>
        <w:t>lay community</w:t>
      </w:r>
      <w:r w:rsidR="007C5FD6">
        <w:rPr>
          <w:rFonts w:asciiTheme="majorBidi" w:hAnsiTheme="majorBidi" w:cstheme="majorBidi"/>
          <w:color w:val="000000" w:themeColor="text1"/>
        </w:rPr>
        <w:t xml:space="preserve">, </w:t>
      </w:r>
      <w:r w:rsidR="00FE3834">
        <w:rPr>
          <w:rFonts w:asciiTheme="majorBidi" w:hAnsiTheme="majorBidi" w:cstheme="majorBidi"/>
          <w:color w:val="000000" w:themeColor="text1"/>
        </w:rPr>
        <w:t xml:space="preserve">thus </w:t>
      </w:r>
      <w:r w:rsidR="007C5FD6">
        <w:rPr>
          <w:rFonts w:asciiTheme="majorBidi" w:hAnsiTheme="majorBidi" w:cstheme="majorBidi"/>
          <w:color w:val="000000" w:themeColor="text1"/>
        </w:rPr>
        <w:t>going against the</w:t>
      </w:r>
      <w:r w:rsidR="00FE3834">
        <w:rPr>
          <w:rFonts w:asciiTheme="majorBidi" w:hAnsiTheme="majorBidi" w:cstheme="majorBidi"/>
          <w:color w:val="000000" w:themeColor="text1"/>
        </w:rPr>
        <w:t xml:space="preserve"> </w:t>
      </w:r>
      <w:r w:rsidR="00E552FE">
        <w:rPr>
          <w:rFonts w:asciiTheme="majorBidi" w:hAnsiTheme="majorBidi" w:cstheme="majorBidi"/>
          <w:color w:val="000000" w:themeColor="text1"/>
        </w:rPr>
        <w:t xml:space="preserve">current of the </w:t>
      </w:r>
      <w:proofErr w:type="spellStart"/>
      <w:r w:rsidR="00FE3834">
        <w:rPr>
          <w:rFonts w:asciiTheme="majorBidi" w:hAnsiTheme="majorBidi" w:cstheme="majorBidi"/>
          <w:i/>
          <w:iCs/>
          <w:color w:val="000000" w:themeColor="text1"/>
        </w:rPr>
        <w:t>ʿulamāʾ</w:t>
      </w:r>
      <w:r w:rsidR="00FE3834">
        <w:rPr>
          <w:rFonts w:asciiTheme="majorBidi" w:hAnsiTheme="majorBidi" w:cstheme="majorBidi"/>
          <w:color w:val="000000" w:themeColor="text1"/>
        </w:rPr>
        <w:t>’s</w:t>
      </w:r>
      <w:proofErr w:type="spellEnd"/>
      <w:r w:rsidR="00FE3834">
        <w:rPr>
          <w:rFonts w:asciiTheme="majorBidi" w:hAnsiTheme="majorBidi" w:cstheme="majorBidi"/>
          <w:color w:val="000000" w:themeColor="text1"/>
        </w:rPr>
        <w:t xml:space="preserve"> flight from politics.</w:t>
      </w:r>
      <w:r w:rsidR="00FE3834">
        <w:rPr>
          <w:rStyle w:val="FootnoteReference"/>
          <w:rFonts w:asciiTheme="majorBidi" w:hAnsiTheme="majorBidi" w:cstheme="majorBidi"/>
          <w:color w:val="000000" w:themeColor="text1"/>
        </w:rPr>
        <w:footnoteReference w:id="93"/>
      </w:r>
    </w:p>
    <w:p w14:paraId="61008742" w14:textId="77777777" w:rsidR="00A55608" w:rsidRDefault="00436059" w:rsidP="0037533B">
      <w:pPr>
        <w:spacing w:line="360" w:lineRule="auto"/>
        <w:rPr>
          <w:rFonts w:asciiTheme="majorBidi" w:hAnsiTheme="majorBidi" w:cstheme="majorBidi"/>
        </w:rPr>
      </w:pPr>
      <w:r>
        <w:rPr>
          <w:rFonts w:asciiTheme="majorBidi" w:hAnsiTheme="majorBidi" w:cstheme="majorBidi"/>
          <w:color w:val="000000" w:themeColor="text1"/>
        </w:rPr>
        <w:tab/>
        <w:t>Ibn al-</w:t>
      </w:r>
      <w:proofErr w:type="spellStart"/>
      <w:r>
        <w:rPr>
          <w:rFonts w:asciiTheme="majorBidi" w:hAnsiTheme="majorBidi" w:cstheme="majorBidi"/>
          <w:color w:val="000000" w:themeColor="text1"/>
        </w:rPr>
        <w:t>Jawzī</w:t>
      </w:r>
      <w:proofErr w:type="spellEnd"/>
      <w:r>
        <w:rPr>
          <w:rFonts w:asciiTheme="majorBidi" w:hAnsiTheme="majorBidi" w:cstheme="majorBidi"/>
          <w:color w:val="000000" w:themeColor="text1"/>
        </w:rPr>
        <w:t xml:space="preserve"> leans closer to al-</w:t>
      </w:r>
      <w:proofErr w:type="spellStart"/>
      <w:r>
        <w:rPr>
          <w:rFonts w:asciiTheme="majorBidi" w:hAnsiTheme="majorBidi" w:cstheme="majorBidi"/>
          <w:color w:val="000000" w:themeColor="text1"/>
        </w:rPr>
        <w:t>Ghazālī</w:t>
      </w:r>
      <w:proofErr w:type="spellEnd"/>
      <w:r>
        <w:rPr>
          <w:rFonts w:asciiTheme="majorBidi" w:hAnsiTheme="majorBidi" w:cstheme="majorBidi"/>
          <w:color w:val="000000" w:themeColor="text1"/>
        </w:rPr>
        <w:t xml:space="preserve"> in his approach </w:t>
      </w:r>
      <w:r w:rsidR="00624DED">
        <w:rPr>
          <w:rFonts w:asciiTheme="majorBidi" w:hAnsiTheme="majorBidi" w:cstheme="majorBidi"/>
          <w:color w:val="000000" w:themeColor="text1"/>
        </w:rPr>
        <w:t xml:space="preserve">to </w:t>
      </w:r>
      <w:r>
        <w:rPr>
          <w:rFonts w:asciiTheme="majorBidi" w:hAnsiTheme="majorBidi" w:cstheme="majorBidi"/>
          <w:color w:val="000000" w:themeColor="text1"/>
        </w:rPr>
        <w:t xml:space="preserve">ruler-scholar relations. </w:t>
      </w:r>
      <w:r w:rsidR="008842D0">
        <w:rPr>
          <w:rFonts w:asciiTheme="majorBidi" w:hAnsiTheme="majorBidi" w:cstheme="majorBidi"/>
          <w:color w:val="000000" w:themeColor="text1"/>
        </w:rPr>
        <w:t>He</w:t>
      </w:r>
      <w:r w:rsidR="00B425A8">
        <w:rPr>
          <w:rFonts w:asciiTheme="majorBidi" w:hAnsiTheme="majorBidi" w:cstheme="majorBidi"/>
          <w:color w:val="000000" w:themeColor="text1"/>
        </w:rPr>
        <w:t xml:space="preserve"> was not a harmonizer like Ibn </w:t>
      </w:r>
      <w:proofErr w:type="spellStart"/>
      <w:r w:rsidR="00B425A8">
        <w:rPr>
          <w:rFonts w:asciiTheme="majorBidi" w:hAnsiTheme="majorBidi" w:cstheme="majorBidi"/>
          <w:color w:val="000000" w:themeColor="text1"/>
        </w:rPr>
        <w:t>Taymiyya</w:t>
      </w:r>
      <w:proofErr w:type="spellEnd"/>
      <w:r w:rsidR="008842D0">
        <w:rPr>
          <w:rFonts w:asciiTheme="majorBidi" w:hAnsiTheme="majorBidi" w:cstheme="majorBidi"/>
          <w:color w:val="000000" w:themeColor="text1"/>
        </w:rPr>
        <w:t xml:space="preserve"> given his </w:t>
      </w:r>
      <w:r w:rsidR="00A838E9">
        <w:rPr>
          <w:rFonts w:asciiTheme="majorBidi" w:hAnsiTheme="majorBidi" w:cstheme="majorBidi"/>
          <w:color w:val="000000" w:themeColor="text1"/>
        </w:rPr>
        <w:t xml:space="preserve">negative views of </w:t>
      </w:r>
      <w:proofErr w:type="spellStart"/>
      <w:r w:rsidR="00A838E9">
        <w:rPr>
          <w:rFonts w:asciiTheme="majorBidi" w:hAnsiTheme="majorBidi" w:cstheme="majorBidi"/>
          <w:i/>
          <w:iCs/>
          <w:color w:val="000000" w:themeColor="text1"/>
        </w:rPr>
        <w:t>siyāsa</w:t>
      </w:r>
      <w:proofErr w:type="spellEnd"/>
      <w:r w:rsidR="00A838E9">
        <w:rPr>
          <w:rFonts w:asciiTheme="majorBidi" w:hAnsiTheme="majorBidi" w:cstheme="majorBidi"/>
          <w:i/>
          <w:iCs/>
          <w:color w:val="000000" w:themeColor="text1"/>
        </w:rPr>
        <w:t xml:space="preserve"> </w:t>
      </w:r>
      <w:r w:rsidR="00A838E9">
        <w:rPr>
          <w:rFonts w:asciiTheme="majorBidi" w:hAnsiTheme="majorBidi" w:cstheme="majorBidi"/>
          <w:color w:val="000000" w:themeColor="text1"/>
        </w:rPr>
        <w:t xml:space="preserve">and his </w:t>
      </w:r>
      <w:r w:rsidR="008842D0">
        <w:rPr>
          <w:rFonts w:asciiTheme="majorBidi" w:hAnsiTheme="majorBidi" w:cstheme="majorBidi"/>
          <w:color w:val="000000" w:themeColor="text1"/>
        </w:rPr>
        <w:t xml:space="preserve">insistence on the </w:t>
      </w:r>
      <w:r w:rsidR="00A838E9">
        <w:rPr>
          <w:rFonts w:asciiTheme="majorBidi" w:hAnsiTheme="majorBidi" w:cstheme="majorBidi"/>
          <w:color w:val="000000" w:themeColor="text1"/>
        </w:rPr>
        <w:t xml:space="preserve">completeness </w:t>
      </w:r>
      <w:r w:rsidR="00474B58">
        <w:rPr>
          <w:rFonts w:asciiTheme="majorBidi" w:hAnsiTheme="majorBidi" w:cstheme="majorBidi"/>
          <w:color w:val="000000" w:themeColor="text1"/>
        </w:rPr>
        <w:t xml:space="preserve">of </w:t>
      </w:r>
      <w:r w:rsidR="00A838E9">
        <w:rPr>
          <w:rFonts w:asciiTheme="majorBidi" w:hAnsiTheme="majorBidi" w:cstheme="majorBidi"/>
          <w:color w:val="000000" w:themeColor="text1"/>
        </w:rPr>
        <w:t xml:space="preserve">the </w:t>
      </w:r>
      <w:proofErr w:type="spellStart"/>
      <w:r w:rsidR="00A838E9">
        <w:rPr>
          <w:rFonts w:asciiTheme="majorBidi" w:hAnsiTheme="majorBidi" w:cstheme="majorBidi"/>
          <w:i/>
          <w:iCs/>
          <w:color w:val="000000" w:themeColor="text1"/>
        </w:rPr>
        <w:t>sharīʿa</w:t>
      </w:r>
      <w:proofErr w:type="spellEnd"/>
      <w:r w:rsidR="00947E38">
        <w:rPr>
          <w:rFonts w:asciiTheme="majorBidi" w:hAnsiTheme="majorBidi" w:cstheme="majorBidi"/>
          <w:color w:val="000000" w:themeColor="text1"/>
        </w:rPr>
        <w:t xml:space="preserve">. </w:t>
      </w:r>
      <w:r w:rsidR="00474B58">
        <w:rPr>
          <w:rFonts w:asciiTheme="majorBidi" w:hAnsiTheme="majorBidi" w:cstheme="majorBidi"/>
          <w:color w:val="000000" w:themeColor="text1"/>
        </w:rPr>
        <w:t xml:space="preserve">The </w:t>
      </w:r>
      <w:proofErr w:type="spellStart"/>
      <w:r w:rsidR="00474B58">
        <w:rPr>
          <w:rFonts w:asciiTheme="majorBidi" w:hAnsiTheme="majorBidi" w:cstheme="majorBidi"/>
          <w:i/>
          <w:iCs/>
          <w:color w:val="000000" w:themeColor="text1"/>
        </w:rPr>
        <w:t>sharīʿa</w:t>
      </w:r>
      <w:proofErr w:type="spellEnd"/>
      <w:r w:rsidR="00E85890">
        <w:rPr>
          <w:rFonts w:asciiTheme="majorBidi" w:hAnsiTheme="majorBidi" w:cstheme="majorBidi"/>
          <w:color w:val="000000" w:themeColor="text1"/>
        </w:rPr>
        <w:t xml:space="preserve"> as interpreted by the religious scholars</w:t>
      </w:r>
      <w:r w:rsidR="00DC3ACD">
        <w:rPr>
          <w:rFonts w:asciiTheme="majorBidi" w:hAnsiTheme="majorBidi" w:cstheme="majorBidi"/>
          <w:color w:val="000000" w:themeColor="text1"/>
        </w:rPr>
        <w:t>, in his view,</w:t>
      </w:r>
      <w:r w:rsidR="00474B58">
        <w:rPr>
          <w:rFonts w:asciiTheme="majorBidi" w:hAnsiTheme="majorBidi" w:cstheme="majorBidi"/>
          <w:i/>
          <w:iCs/>
          <w:color w:val="000000" w:themeColor="text1"/>
        </w:rPr>
        <w:t xml:space="preserve"> </w:t>
      </w:r>
      <w:r w:rsidR="00474B58">
        <w:rPr>
          <w:rFonts w:asciiTheme="majorBidi" w:hAnsiTheme="majorBidi" w:cstheme="majorBidi"/>
          <w:color w:val="000000" w:themeColor="text1"/>
        </w:rPr>
        <w:t xml:space="preserve">is </w:t>
      </w:r>
      <w:r w:rsidR="00DC3ACD">
        <w:rPr>
          <w:rFonts w:asciiTheme="majorBidi" w:hAnsiTheme="majorBidi" w:cstheme="majorBidi"/>
          <w:color w:val="000000" w:themeColor="text1"/>
        </w:rPr>
        <w:t xml:space="preserve">already </w:t>
      </w:r>
      <w:r w:rsidR="00474B58">
        <w:rPr>
          <w:rFonts w:asciiTheme="majorBidi" w:hAnsiTheme="majorBidi" w:cstheme="majorBidi"/>
          <w:color w:val="000000" w:themeColor="text1"/>
        </w:rPr>
        <w:t xml:space="preserve">self-sufficient and stands in no need of </w:t>
      </w:r>
      <w:proofErr w:type="spellStart"/>
      <w:r w:rsidR="00474B58">
        <w:rPr>
          <w:rFonts w:asciiTheme="majorBidi" w:hAnsiTheme="majorBidi" w:cstheme="majorBidi"/>
          <w:i/>
          <w:iCs/>
          <w:color w:val="000000" w:themeColor="text1"/>
        </w:rPr>
        <w:t>siyāsa</w:t>
      </w:r>
      <w:proofErr w:type="spellEnd"/>
      <w:r w:rsidR="00474B58">
        <w:rPr>
          <w:rFonts w:asciiTheme="majorBidi" w:hAnsiTheme="majorBidi" w:cstheme="majorBidi"/>
          <w:i/>
          <w:iCs/>
          <w:color w:val="000000" w:themeColor="text1"/>
        </w:rPr>
        <w:t xml:space="preserve"> </w:t>
      </w:r>
      <w:r w:rsidR="00474B58">
        <w:rPr>
          <w:rFonts w:asciiTheme="majorBidi" w:hAnsiTheme="majorBidi" w:cstheme="majorBidi"/>
          <w:color w:val="000000" w:themeColor="text1"/>
        </w:rPr>
        <w:t xml:space="preserve">to deal with matters of political expediency. </w:t>
      </w:r>
      <w:r w:rsidR="00947E38" w:rsidRPr="001E24FD">
        <w:rPr>
          <w:rFonts w:asciiTheme="majorBidi" w:hAnsiTheme="majorBidi" w:cstheme="majorBidi"/>
        </w:rPr>
        <w:t>After all</w:t>
      </w:r>
      <w:r w:rsidR="00947E38">
        <w:rPr>
          <w:rFonts w:asciiTheme="majorBidi" w:hAnsiTheme="majorBidi" w:cstheme="majorBidi"/>
        </w:rPr>
        <w:t>,</w:t>
      </w:r>
      <w:r w:rsidR="00474B58">
        <w:rPr>
          <w:rFonts w:asciiTheme="majorBidi" w:hAnsiTheme="majorBidi" w:cstheme="majorBidi"/>
        </w:rPr>
        <w:t xml:space="preserve"> the </w:t>
      </w:r>
      <w:proofErr w:type="spellStart"/>
      <w:r w:rsidR="00474B58">
        <w:rPr>
          <w:rFonts w:asciiTheme="majorBidi" w:hAnsiTheme="majorBidi" w:cstheme="majorBidi"/>
        </w:rPr>
        <w:t>Qurʾān</w:t>
      </w:r>
      <w:proofErr w:type="spellEnd"/>
      <w:r w:rsidR="00474B58">
        <w:rPr>
          <w:rFonts w:asciiTheme="majorBidi" w:hAnsiTheme="majorBidi" w:cstheme="majorBidi"/>
        </w:rPr>
        <w:t xml:space="preserve"> states clearly that</w:t>
      </w:r>
      <w:r w:rsidR="00947E38" w:rsidRPr="001E24FD">
        <w:rPr>
          <w:rFonts w:asciiTheme="majorBidi" w:hAnsiTheme="majorBidi" w:cstheme="majorBidi"/>
        </w:rPr>
        <w:t xml:space="preserve"> “We have ne</w:t>
      </w:r>
      <w:r w:rsidR="00947E38">
        <w:rPr>
          <w:rFonts w:asciiTheme="majorBidi" w:hAnsiTheme="majorBidi" w:cstheme="majorBidi"/>
        </w:rPr>
        <w:t>glected nothing in the Book” (</w:t>
      </w:r>
      <w:r w:rsidR="00947E38" w:rsidRPr="001E24FD">
        <w:rPr>
          <w:rFonts w:asciiTheme="majorBidi" w:hAnsiTheme="majorBidi" w:cstheme="majorBidi"/>
        </w:rPr>
        <w:t>6:38) and “</w:t>
      </w:r>
      <w:r w:rsidR="00474B58">
        <w:rPr>
          <w:rFonts w:asciiTheme="majorBidi" w:hAnsiTheme="majorBidi" w:cstheme="majorBidi"/>
        </w:rPr>
        <w:t>N</w:t>
      </w:r>
      <w:r w:rsidR="00947E38" w:rsidRPr="001E24FD">
        <w:rPr>
          <w:rFonts w:asciiTheme="majorBidi" w:hAnsiTheme="majorBidi" w:cstheme="majorBidi"/>
        </w:rPr>
        <w:t>one</w:t>
      </w:r>
      <w:r w:rsidR="00947E38">
        <w:rPr>
          <w:rFonts w:asciiTheme="majorBidi" w:hAnsiTheme="majorBidi" w:cstheme="majorBidi"/>
        </w:rPr>
        <w:t xml:space="preserve"> </w:t>
      </w:r>
      <w:r w:rsidR="00474B58">
        <w:rPr>
          <w:rFonts w:asciiTheme="majorBidi" w:hAnsiTheme="majorBidi" w:cstheme="majorBidi"/>
        </w:rPr>
        <w:t>repeals</w:t>
      </w:r>
      <w:r w:rsidR="00947E38">
        <w:rPr>
          <w:rFonts w:asciiTheme="majorBidi" w:hAnsiTheme="majorBidi" w:cstheme="majorBidi"/>
        </w:rPr>
        <w:t xml:space="preserve"> His </w:t>
      </w:r>
      <w:r w:rsidR="00474B58">
        <w:rPr>
          <w:rFonts w:asciiTheme="majorBidi" w:hAnsiTheme="majorBidi" w:cstheme="majorBidi"/>
        </w:rPr>
        <w:t>judgment</w:t>
      </w:r>
      <w:r w:rsidR="00947E38">
        <w:rPr>
          <w:rFonts w:asciiTheme="majorBidi" w:hAnsiTheme="majorBidi" w:cstheme="majorBidi"/>
        </w:rPr>
        <w:t>”</w:t>
      </w:r>
      <w:r w:rsidR="00474B58">
        <w:rPr>
          <w:rFonts w:asciiTheme="majorBidi" w:hAnsiTheme="majorBidi" w:cstheme="majorBidi"/>
        </w:rPr>
        <w:t xml:space="preserve"> (</w:t>
      </w:r>
      <w:r w:rsidR="00947E38" w:rsidRPr="001E24FD">
        <w:rPr>
          <w:rFonts w:asciiTheme="majorBidi" w:hAnsiTheme="majorBidi" w:cstheme="majorBidi"/>
        </w:rPr>
        <w:t>13:41).</w:t>
      </w:r>
      <w:r w:rsidR="00947E38" w:rsidRPr="001E24FD">
        <w:rPr>
          <w:rStyle w:val="FootnoteReference"/>
          <w:rFonts w:asciiTheme="majorBidi" w:hAnsiTheme="majorBidi" w:cstheme="majorBidi"/>
        </w:rPr>
        <w:footnoteReference w:id="94"/>
      </w:r>
      <w:r w:rsidR="00E85890">
        <w:rPr>
          <w:rFonts w:asciiTheme="majorBidi" w:hAnsiTheme="majorBidi" w:cstheme="majorBidi"/>
        </w:rPr>
        <w:t xml:space="preserve"> </w:t>
      </w:r>
      <w:r w:rsidR="000F06B6">
        <w:rPr>
          <w:rFonts w:asciiTheme="majorBidi" w:hAnsiTheme="majorBidi" w:cstheme="majorBidi"/>
        </w:rPr>
        <w:t>Yet although scholars like al-</w:t>
      </w:r>
      <w:proofErr w:type="spellStart"/>
      <w:r w:rsidR="000F06B6">
        <w:rPr>
          <w:rFonts w:asciiTheme="majorBidi" w:hAnsiTheme="majorBidi" w:cstheme="majorBidi"/>
        </w:rPr>
        <w:t>Ghazālī</w:t>
      </w:r>
      <w:proofErr w:type="spellEnd"/>
      <w:r w:rsidR="000F06B6">
        <w:rPr>
          <w:rFonts w:asciiTheme="majorBidi" w:hAnsiTheme="majorBidi" w:cstheme="majorBidi"/>
        </w:rPr>
        <w:t xml:space="preserve"> would extrapolate from this framework of </w:t>
      </w:r>
      <w:proofErr w:type="spellStart"/>
      <w:r w:rsidR="000F06B6">
        <w:rPr>
          <w:rFonts w:asciiTheme="majorBidi" w:hAnsiTheme="majorBidi" w:cstheme="majorBidi"/>
          <w:i/>
          <w:iCs/>
        </w:rPr>
        <w:t>siyāsa</w:t>
      </w:r>
      <w:proofErr w:type="spellEnd"/>
      <w:r w:rsidR="000F06B6">
        <w:rPr>
          <w:rFonts w:asciiTheme="majorBidi" w:hAnsiTheme="majorBidi" w:cstheme="majorBidi"/>
          <w:i/>
          <w:iCs/>
        </w:rPr>
        <w:t xml:space="preserve"> </w:t>
      </w:r>
      <w:r w:rsidR="000F06B6">
        <w:rPr>
          <w:rFonts w:asciiTheme="majorBidi" w:hAnsiTheme="majorBidi" w:cstheme="majorBidi"/>
        </w:rPr>
        <w:t xml:space="preserve">and </w:t>
      </w:r>
      <w:proofErr w:type="spellStart"/>
      <w:r w:rsidR="000F06B6">
        <w:rPr>
          <w:rFonts w:asciiTheme="majorBidi" w:hAnsiTheme="majorBidi" w:cstheme="majorBidi"/>
          <w:i/>
          <w:iCs/>
        </w:rPr>
        <w:t>sharīʿa</w:t>
      </w:r>
      <w:proofErr w:type="spellEnd"/>
      <w:r w:rsidR="000F06B6">
        <w:rPr>
          <w:rFonts w:asciiTheme="majorBidi" w:hAnsiTheme="majorBidi" w:cstheme="majorBidi"/>
          <w:i/>
          <w:iCs/>
        </w:rPr>
        <w:t xml:space="preserve"> </w:t>
      </w:r>
      <w:r w:rsidR="000F06B6">
        <w:rPr>
          <w:rFonts w:asciiTheme="majorBidi" w:hAnsiTheme="majorBidi" w:cstheme="majorBidi"/>
        </w:rPr>
        <w:t>the view that s</w:t>
      </w:r>
      <w:r w:rsidR="00E85890">
        <w:rPr>
          <w:rFonts w:asciiTheme="majorBidi" w:hAnsiTheme="majorBidi" w:cstheme="majorBidi"/>
        </w:rPr>
        <w:t>cholars have a duty to admonish rulers and guide them to the path of righteous rule</w:t>
      </w:r>
      <w:r w:rsidR="009D30DC">
        <w:rPr>
          <w:rFonts w:asciiTheme="majorBidi" w:hAnsiTheme="majorBidi" w:cstheme="majorBidi"/>
        </w:rPr>
        <w:t xml:space="preserve">, they pay lip service to it </w:t>
      </w:r>
      <w:r w:rsidR="00DC3ACD">
        <w:rPr>
          <w:rFonts w:asciiTheme="majorBidi" w:hAnsiTheme="majorBidi" w:cstheme="majorBidi"/>
        </w:rPr>
        <w:t xml:space="preserve">at most </w:t>
      </w:r>
      <w:r w:rsidR="000F06B6">
        <w:rPr>
          <w:rFonts w:asciiTheme="majorBidi" w:hAnsiTheme="majorBidi" w:cstheme="majorBidi"/>
        </w:rPr>
        <w:t>due to their</w:t>
      </w:r>
      <w:r w:rsidR="009D30DC">
        <w:rPr>
          <w:rFonts w:asciiTheme="majorBidi" w:hAnsiTheme="majorBidi" w:cstheme="majorBidi"/>
        </w:rPr>
        <w:t xml:space="preserve"> </w:t>
      </w:r>
      <w:r w:rsidR="000F06B6">
        <w:rPr>
          <w:rFonts w:asciiTheme="majorBidi" w:hAnsiTheme="majorBidi" w:cstheme="majorBidi"/>
        </w:rPr>
        <w:t>harsh condemnation</w:t>
      </w:r>
      <w:r w:rsidR="009D30DC">
        <w:rPr>
          <w:rFonts w:asciiTheme="majorBidi" w:hAnsiTheme="majorBidi" w:cstheme="majorBidi"/>
        </w:rPr>
        <w:t xml:space="preserve"> of scholars </w:t>
      </w:r>
      <w:r w:rsidR="000F06B6">
        <w:rPr>
          <w:rFonts w:asciiTheme="majorBidi" w:hAnsiTheme="majorBidi" w:cstheme="majorBidi"/>
        </w:rPr>
        <w:t xml:space="preserve">who </w:t>
      </w:r>
      <w:r w:rsidR="009D30DC">
        <w:rPr>
          <w:rFonts w:asciiTheme="majorBidi" w:hAnsiTheme="majorBidi" w:cstheme="majorBidi"/>
        </w:rPr>
        <w:t>associat</w:t>
      </w:r>
      <w:r w:rsidR="000F06B6">
        <w:rPr>
          <w:rFonts w:asciiTheme="majorBidi" w:hAnsiTheme="majorBidi" w:cstheme="majorBidi"/>
        </w:rPr>
        <w:t>e</w:t>
      </w:r>
      <w:r w:rsidR="009D30DC">
        <w:rPr>
          <w:rFonts w:asciiTheme="majorBidi" w:hAnsiTheme="majorBidi" w:cstheme="majorBidi"/>
        </w:rPr>
        <w:t xml:space="preserve"> with rulers. </w:t>
      </w:r>
    </w:p>
    <w:p w14:paraId="194EC447" w14:textId="54F10BC0" w:rsidR="00E73C2E" w:rsidRDefault="00DC3ACD" w:rsidP="00A55608">
      <w:pPr>
        <w:spacing w:line="360" w:lineRule="auto"/>
        <w:ind w:firstLine="720"/>
        <w:rPr>
          <w:rFonts w:asciiTheme="majorBidi" w:hAnsiTheme="majorBidi" w:cstheme="majorBidi"/>
        </w:rPr>
      </w:pPr>
      <w:r>
        <w:rPr>
          <w:rFonts w:asciiTheme="majorBidi" w:hAnsiTheme="majorBidi" w:cstheme="majorBidi"/>
        </w:rPr>
        <w:t xml:space="preserve">With </w:t>
      </w:r>
      <w:r w:rsidR="009D30DC">
        <w:rPr>
          <w:rFonts w:asciiTheme="majorBidi" w:hAnsiTheme="majorBidi" w:cstheme="majorBidi"/>
        </w:rPr>
        <w:t>Ibn al-</w:t>
      </w:r>
      <w:proofErr w:type="spellStart"/>
      <w:r w:rsidR="009D30DC">
        <w:rPr>
          <w:rFonts w:asciiTheme="majorBidi" w:hAnsiTheme="majorBidi" w:cstheme="majorBidi"/>
        </w:rPr>
        <w:t>Jawzī</w:t>
      </w:r>
      <w:r>
        <w:rPr>
          <w:rFonts w:asciiTheme="majorBidi" w:hAnsiTheme="majorBidi" w:cstheme="majorBidi"/>
        </w:rPr>
        <w:t>’s</w:t>
      </w:r>
      <w:proofErr w:type="spellEnd"/>
      <w:r>
        <w:rPr>
          <w:rFonts w:asciiTheme="majorBidi" w:hAnsiTheme="majorBidi" w:cstheme="majorBidi"/>
        </w:rPr>
        <w:t xml:space="preserve"> ameliorative approach to politics</w:t>
      </w:r>
      <w:r w:rsidR="009D30DC">
        <w:rPr>
          <w:rFonts w:asciiTheme="majorBidi" w:hAnsiTheme="majorBidi" w:cstheme="majorBidi"/>
        </w:rPr>
        <w:t xml:space="preserve">, </w:t>
      </w:r>
      <w:r>
        <w:rPr>
          <w:rFonts w:asciiTheme="majorBidi" w:hAnsiTheme="majorBidi" w:cstheme="majorBidi"/>
        </w:rPr>
        <w:t xml:space="preserve">we can discern a strand of </w:t>
      </w:r>
      <w:r w:rsidR="00C365F7">
        <w:rPr>
          <w:rFonts w:asciiTheme="majorBidi" w:hAnsiTheme="majorBidi" w:cstheme="majorBidi"/>
        </w:rPr>
        <w:t xml:space="preserve">Islamic </w:t>
      </w:r>
      <w:r>
        <w:rPr>
          <w:rFonts w:asciiTheme="majorBidi" w:hAnsiTheme="majorBidi" w:cstheme="majorBidi"/>
        </w:rPr>
        <w:t xml:space="preserve">political discourse that </w:t>
      </w:r>
      <w:r w:rsidR="00FC62AC">
        <w:rPr>
          <w:rFonts w:asciiTheme="majorBidi" w:hAnsiTheme="majorBidi" w:cstheme="majorBidi"/>
        </w:rPr>
        <w:t xml:space="preserve">upholds a more </w:t>
      </w:r>
      <w:r w:rsidR="00807583">
        <w:rPr>
          <w:rFonts w:asciiTheme="majorBidi" w:hAnsiTheme="majorBidi" w:cstheme="majorBidi"/>
        </w:rPr>
        <w:t>moderate</w:t>
      </w:r>
      <w:r w:rsidR="00FC62AC">
        <w:rPr>
          <w:rFonts w:asciiTheme="majorBidi" w:hAnsiTheme="majorBidi" w:cstheme="majorBidi"/>
        </w:rPr>
        <w:t xml:space="preserve"> view of </w:t>
      </w:r>
      <w:r>
        <w:rPr>
          <w:rFonts w:asciiTheme="majorBidi" w:hAnsiTheme="majorBidi" w:cstheme="majorBidi"/>
        </w:rPr>
        <w:t xml:space="preserve">the political sphere and </w:t>
      </w:r>
      <w:r w:rsidR="00FC62AC">
        <w:rPr>
          <w:rFonts w:asciiTheme="majorBidi" w:hAnsiTheme="majorBidi" w:cstheme="majorBidi"/>
        </w:rPr>
        <w:t>ruler-scholar relations</w:t>
      </w:r>
      <w:r>
        <w:rPr>
          <w:rFonts w:asciiTheme="majorBidi" w:hAnsiTheme="majorBidi" w:cstheme="majorBidi"/>
        </w:rPr>
        <w:t xml:space="preserve"> while still maintaining a cautious stance </w:t>
      </w:r>
      <w:r w:rsidR="000202F5">
        <w:rPr>
          <w:rFonts w:asciiTheme="majorBidi" w:hAnsiTheme="majorBidi" w:cstheme="majorBidi"/>
        </w:rPr>
        <w:t>toward</w:t>
      </w:r>
      <w:r>
        <w:rPr>
          <w:rFonts w:asciiTheme="majorBidi" w:hAnsiTheme="majorBidi" w:cstheme="majorBidi"/>
        </w:rPr>
        <w:t xml:space="preserve"> the ruler’s court</w:t>
      </w:r>
      <w:r w:rsidR="00FC62AC">
        <w:rPr>
          <w:rFonts w:asciiTheme="majorBidi" w:hAnsiTheme="majorBidi" w:cstheme="majorBidi"/>
        </w:rPr>
        <w:t>.</w:t>
      </w:r>
      <w:r>
        <w:rPr>
          <w:rFonts w:asciiTheme="majorBidi" w:hAnsiTheme="majorBidi" w:cstheme="majorBidi"/>
        </w:rPr>
        <w:t xml:space="preserve"> Moreover, his statements in the </w:t>
      </w:r>
      <w:proofErr w:type="spellStart"/>
      <w:r>
        <w:rPr>
          <w:rFonts w:asciiTheme="majorBidi" w:hAnsiTheme="majorBidi" w:cstheme="majorBidi"/>
          <w:i/>
          <w:iCs/>
        </w:rPr>
        <w:t>ʿAṭf</w:t>
      </w:r>
      <w:proofErr w:type="spellEnd"/>
      <w:r>
        <w:rPr>
          <w:rFonts w:asciiTheme="majorBidi" w:hAnsiTheme="majorBidi" w:cstheme="majorBidi"/>
        </w:rPr>
        <w:t xml:space="preserve"> </w:t>
      </w:r>
      <w:r w:rsidR="00C365F7">
        <w:rPr>
          <w:rFonts w:asciiTheme="majorBidi" w:hAnsiTheme="majorBidi" w:cstheme="majorBidi"/>
        </w:rPr>
        <w:t>give the sense</w:t>
      </w:r>
      <w:r>
        <w:rPr>
          <w:rFonts w:asciiTheme="majorBidi" w:hAnsiTheme="majorBidi" w:cstheme="majorBidi"/>
        </w:rPr>
        <w:t xml:space="preserve"> that scholars </w:t>
      </w:r>
      <w:r w:rsidR="00C365F7">
        <w:rPr>
          <w:rFonts w:asciiTheme="majorBidi" w:hAnsiTheme="majorBidi" w:cstheme="majorBidi"/>
        </w:rPr>
        <w:t xml:space="preserve">could </w:t>
      </w:r>
      <w:r w:rsidR="000202F5">
        <w:rPr>
          <w:rFonts w:asciiTheme="majorBidi" w:hAnsiTheme="majorBidi" w:cstheme="majorBidi"/>
        </w:rPr>
        <w:t xml:space="preserve">also </w:t>
      </w:r>
      <w:r w:rsidR="00C365F7">
        <w:rPr>
          <w:rFonts w:asciiTheme="majorBidi" w:hAnsiTheme="majorBidi" w:cstheme="majorBidi"/>
        </w:rPr>
        <w:t xml:space="preserve">have </w:t>
      </w:r>
      <w:r w:rsidR="00807583">
        <w:rPr>
          <w:rFonts w:asciiTheme="majorBidi" w:hAnsiTheme="majorBidi" w:cstheme="majorBidi"/>
        </w:rPr>
        <w:t xml:space="preserve">mediatory </w:t>
      </w:r>
      <w:r w:rsidR="00C365F7" w:rsidRPr="00751ABF">
        <w:rPr>
          <w:rFonts w:asciiTheme="majorBidi" w:hAnsiTheme="majorBidi" w:cstheme="majorBidi"/>
        </w:rPr>
        <w:t>political roles</w:t>
      </w:r>
      <w:r w:rsidR="00C365F7">
        <w:rPr>
          <w:rFonts w:asciiTheme="majorBidi" w:hAnsiTheme="majorBidi" w:cstheme="majorBidi"/>
        </w:rPr>
        <w:t xml:space="preserve"> in addition to acting as arbiters of legality</w:t>
      </w:r>
      <w:r w:rsidR="000202F5">
        <w:rPr>
          <w:rFonts w:asciiTheme="majorBidi" w:hAnsiTheme="majorBidi" w:cstheme="majorBidi"/>
        </w:rPr>
        <w:t xml:space="preserve">. He </w:t>
      </w:r>
      <w:r w:rsidR="00751ABF">
        <w:rPr>
          <w:rFonts w:asciiTheme="majorBidi" w:hAnsiTheme="majorBidi" w:cstheme="majorBidi"/>
        </w:rPr>
        <w:t>even suggest</w:t>
      </w:r>
      <w:r w:rsidR="000202F5">
        <w:rPr>
          <w:rFonts w:asciiTheme="majorBidi" w:hAnsiTheme="majorBidi" w:cstheme="majorBidi"/>
        </w:rPr>
        <w:t>s</w:t>
      </w:r>
      <w:r w:rsidR="00751ABF">
        <w:rPr>
          <w:rFonts w:asciiTheme="majorBidi" w:hAnsiTheme="majorBidi" w:cstheme="majorBidi"/>
        </w:rPr>
        <w:t xml:space="preserve"> that t</w:t>
      </w:r>
      <w:r w:rsidR="00C365F7">
        <w:rPr>
          <w:rFonts w:asciiTheme="majorBidi" w:hAnsiTheme="majorBidi" w:cstheme="majorBidi"/>
        </w:rPr>
        <w:t>hey could dictate the punitive policies of the ruler.</w:t>
      </w:r>
      <w:r w:rsidR="00AE2C15">
        <w:rPr>
          <w:rStyle w:val="FootnoteReference"/>
          <w:rFonts w:asciiTheme="majorBidi" w:hAnsiTheme="majorBidi" w:cstheme="majorBidi"/>
        </w:rPr>
        <w:footnoteReference w:id="95"/>
      </w:r>
      <w:r w:rsidR="00C365F7">
        <w:rPr>
          <w:rFonts w:asciiTheme="majorBidi" w:hAnsiTheme="majorBidi" w:cstheme="majorBidi"/>
        </w:rPr>
        <w:t xml:space="preserve"> Or </w:t>
      </w:r>
      <w:r w:rsidR="00751ABF">
        <w:rPr>
          <w:rFonts w:asciiTheme="majorBidi" w:hAnsiTheme="majorBidi" w:cstheme="majorBidi"/>
        </w:rPr>
        <w:t>he</w:t>
      </w:r>
      <w:r w:rsidR="00C365F7" w:rsidRPr="001E24FD">
        <w:rPr>
          <w:rFonts w:asciiTheme="majorBidi" w:hAnsiTheme="majorBidi" w:cstheme="majorBidi"/>
        </w:rPr>
        <w:t xml:space="preserve"> might be hinting at a</w:t>
      </w:r>
      <w:r w:rsidR="00751ABF">
        <w:rPr>
          <w:rFonts w:asciiTheme="majorBidi" w:hAnsiTheme="majorBidi" w:cstheme="majorBidi"/>
        </w:rPr>
        <w:t>n</w:t>
      </w:r>
      <w:r w:rsidR="00C365F7" w:rsidRPr="001E24FD">
        <w:rPr>
          <w:rFonts w:asciiTheme="majorBidi" w:hAnsiTheme="majorBidi" w:cstheme="majorBidi"/>
        </w:rPr>
        <w:t xml:space="preserve"> </w:t>
      </w:r>
      <w:r w:rsidR="00751ABF">
        <w:rPr>
          <w:rFonts w:asciiTheme="majorBidi" w:hAnsiTheme="majorBidi" w:cstheme="majorBidi"/>
        </w:rPr>
        <w:t>arrangement</w:t>
      </w:r>
      <w:r w:rsidR="00C365F7" w:rsidRPr="001E24FD">
        <w:rPr>
          <w:rFonts w:asciiTheme="majorBidi" w:hAnsiTheme="majorBidi" w:cstheme="majorBidi"/>
        </w:rPr>
        <w:t xml:space="preserve"> whereby the authority to </w:t>
      </w:r>
      <w:r w:rsidR="00C365F7" w:rsidRPr="001E24FD">
        <w:rPr>
          <w:rFonts w:asciiTheme="majorBidi" w:hAnsiTheme="majorBidi" w:cstheme="majorBidi"/>
        </w:rPr>
        <w:lastRenderedPageBreak/>
        <w:t xml:space="preserve">implement </w:t>
      </w:r>
      <w:r w:rsidR="00807583">
        <w:rPr>
          <w:rFonts w:asciiTheme="majorBidi" w:hAnsiTheme="majorBidi" w:cstheme="majorBidi"/>
        </w:rPr>
        <w:t>criminal</w:t>
      </w:r>
      <w:r w:rsidR="00C365F7" w:rsidRPr="001E24FD">
        <w:rPr>
          <w:rFonts w:asciiTheme="majorBidi" w:hAnsiTheme="majorBidi" w:cstheme="majorBidi"/>
        </w:rPr>
        <w:t xml:space="preserve"> punishments </w:t>
      </w:r>
      <w:r w:rsidR="0098098C">
        <w:rPr>
          <w:rFonts w:asciiTheme="majorBidi" w:hAnsiTheme="majorBidi" w:cstheme="majorBidi"/>
        </w:rPr>
        <w:t>i</w:t>
      </w:r>
      <w:r w:rsidR="00C365F7" w:rsidRPr="001E24FD">
        <w:rPr>
          <w:rFonts w:asciiTheme="majorBidi" w:hAnsiTheme="majorBidi" w:cstheme="majorBidi"/>
        </w:rPr>
        <w:t xml:space="preserve">s restored to the </w:t>
      </w:r>
      <w:proofErr w:type="spellStart"/>
      <w:r w:rsidR="00C365F7" w:rsidRPr="001E24FD">
        <w:rPr>
          <w:rFonts w:asciiTheme="majorBidi" w:hAnsiTheme="majorBidi" w:cstheme="majorBidi"/>
          <w:i/>
          <w:iCs/>
        </w:rPr>
        <w:t>qāḍī</w:t>
      </w:r>
      <w:proofErr w:type="spellEnd"/>
      <w:r w:rsidR="00751ABF">
        <w:rPr>
          <w:rFonts w:asciiTheme="majorBidi" w:hAnsiTheme="majorBidi" w:cstheme="majorBidi"/>
        </w:rPr>
        <w:t xml:space="preserve"> not as an agent of the ruler but of the </w:t>
      </w:r>
      <w:proofErr w:type="spellStart"/>
      <w:r w:rsidR="00751ABF">
        <w:rPr>
          <w:rFonts w:asciiTheme="majorBidi" w:hAnsiTheme="majorBidi" w:cstheme="majorBidi"/>
          <w:i/>
          <w:iCs/>
        </w:rPr>
        <w:t>sharīʿa</w:t>
      </w:r>
      <w:proofErr w:type="spellEnd"/>
      <w:r w:rsidR="00C365F7" w:rsidRPr="001E24FD">
        <w:rPr>
          <w:rFonts w:asciiTheme="majorBidi" w:hAnsiTheme="majorBidi" w:cstheme="majorBidi"/>
        </w:rPr>
        <w:t>.</w:t>
      </w:r>
    </w:p>
    <w:p w14:paraId="43207282" w14:textId="58848916" w:rsidR="00436059" w:rsidRPr="00172D71" w:rsidRDefault="00E73C2E" w:rsidP="0037533B">
      <w:pPr>
        <w:spacing w:line="360" w:lineRule="auto"/>
        <w:ind w:firstLine="720"/>
        <w:rPr>
          <w:rFonts w:asciiTheme="majorBidi" w:hAnsiTheme="majorBidi" w:cstheme="majorBidi"/>
        </w:rPr>
      </w:pPr>
      <w:r>
        <w:rPr>
          <w:rFonts w:asciiTheme="majorBidi" w:hAnsiTheme="majorBidi" w:cstheme="majorBidi"/>
        </w:rPr>
        <w:t>That said</w:t>
      </w:r>
      <w:r w:rsidR="00751ABF">
        <w:rPr>
          <w:rFonts w:asciiTheme="majorBidi" w:hAnsiTheme="majorBidi" w:cstheme="majorBidi"/>
        </w:rPr>
        <w:t>, Ibn al-</w:t>
      </w:r>
      <w:proofErr w:type="spellStart"/>
      <w:r w:rsidR="00751ABF">
        <w:rPr>
          <w:rFonts w:asciiTheme="majorBidi" w:hAnsiTheme="majorBidi" w:cstheme="majorBidi"/>
        </w:rPr>
        <w:t>Jawzī</w:t>
      </w:r>
      <w:proofErr w:type="spellEnd"/>
      <w:r w:rsidR="00751ABF">
        <w:rPr>
          <w:rFonts w:asciiTheme="majorBidi" w:hAnsiTheme="majorBidi" w:cstheme="majorBidi"/>
        </w:rPr>
        <w:t xml:space="preserve"> </w:t>
      </w:r>
      <w:r w:rsidR="00BF73FA">
        <w:rPr>
          <w:rFonts w:asciiTheme="majorBidi" w:hAnsiTheme="majorBidi" w:cstheme="majorBidi"/>
        </w:rPr>
        <w:t>arguably</w:t>
      </w:r>
      <w:r w:rsidR="005E6C55">
        <w:rPr>
          <w:rFonts w:asciiTheme="majorBidi" w:hAnsiTheme="majorBidi" w:cstheme="majorBidi"/>
        </w:rPr>
        <w:t xml:space="preserve"> contributed to what Anjum calls the “revival of the political sphere in Islam” which he attributes to Ibn </w:t>
      </w:r>
      <w:proofErr w:type="spellStart"/>
      <w:r w:rsidR="005E6C55">
        <w:rPr>
          <w:rFonts w:asciiTheme="majorBidi" w:hAnsiTheme="majorBidi" w:cstheme="majorBidi"/>
        </w:rPr>
        <w:t>Taymiyya</w:t>
      </w:r>
      <w:proofErr w:type="spellEnd"/>
      <w:r w:rsidR="005E6C55">
        <w:rPr>
          <w:rFonts w:asciiTheme="majorBidi" w:hAnsiTheme="majorBidi" w:cstheme="majorBidi"/>
        </w:rPr>
        <w:t xml:space="preserve"> more than a century later.</w:t>
      </w:r>
      <w:r w:rsidR="005E6C55">
        <w:rPr>
          <w:rStyle w:val="FootnoteReference"/>
          <w:rFonts w:asciiTheme="majorBidi" w:hAnsiTheme="majorBidi" w:cstheme="majorBidi"/>
        </w:rPr>
        <w:footnoteReference w:id="96"/>
      </w:r>
      <w:r w:rsidR="005E6C55">
        <w:rPr>
          <w:rFonts w:asciiTheme="majorBidi" w:hAnsiTheme="majorBidi" w:cstheme="majorBidi"/>
        </w:rPr>
        <w:t xml:space="preserve"> </w:t>
      </w:r>
      <w:r w:rsidR="00807583">
        <w:rPr>
          <w:rFonts w:asciiTheme="majorBidi" w:hAnsiTheme="majorBidi" w:cstheme="majorBidi"/>
        </w:rPr>
        <w:t xml:space="preserve">This chapter has demonstrated that </w:t>
      </w:r>
      <w:r>
        <w:rPr>
          <w:rFonts w:asciiTheme="majorBidi" w:hAnsiTheme="majorBidi" w:cstheme="majorBidi"/>
        </w:rPr>
        <w:t xml:space="preserve">Islamic political thought did not have to wait </w:t>
      </w:r>
      <w:r w:rsidR="00BF73FA">
        <w:rPr>
          <w:rFonts w:asciiTheme="majorBidi" w:hAnsiTheme="majorBidi" w:cstheme="majorBidi"/>
        </w:rPr>
        <w:t>until</w:t>
      </w:r>
      <w:r>
        <w:rPr>
          <w:rFonts w:asciiTheme="majorBidi" w:hAnsiTheme="majorBidi" w:cstheme="majorBidi"/>
        </w:rPr>
        <w:t xml:space="preserve"> Ibn </w:t>
      </w:r>
      <w:proofErr w:type="spellStart"/>
      <w:r>
        <w:rPr>
          <w:rFonts w:asciiTheme="majorBidi" w:hAnsiTheme="majorBidi" w:cstheme="majorBidi"/>
        </w:rPr>
        <w:t>Taymiyya</w:t>
      </w:r>
      <w:proofErr w:type="spellEnd"/>
      <w:r>
        <w:rPr>
          <w:rFonts w:asciiTheme="majorBidi" w:hAnsiTheme="majorBidi" w:cstheme="majorBidi"/>
        </w:rPr>
        <w:t xml:space="preserve"> to </w:t>
      </w:r>
      <w:r w:rsidR="00BF73FA">
        <w:rPr>
          <w:rFonts w:asciiTheme="majorBidi" w:hAnsiTheme="majorBidi" w:cstheme="majorBidi"/>
        </w:rPr>
        <w:t xml:space="preserve">start </w:t>
      </w:r>
      <w:r>
        <w:rPr>
          <w:rFonts w:asciiTheme="majorBidi" w:hAnsiTheme="majorBidi" w:cstheme="majorBidi"/>
        </w:rPr>
        <w:t>call</w:t>
      </w:r>
      <w:r w:rsidR="00BF73FA">
        <w:rPr>
          <w:rFonts w:asciiTheme="majorBidi" w:hAnsiTheme="majorBidi" w:cstheme="majorBidi"/>
        </w:rPr>
        <w:t>ing</w:t>
      </w:r>
      <w:r>
        <w:rPr>
          <w:rFonts w:asciiTheme="majorBidi" w:hAnsiTheme="majorBidi" w:cstheme="majorBidi"/>
        </w:rPr>
        <w:t xml:space="preserve"> into question and challeng</w:t>
      </w:r>
      <w:r w:rsidR="00BF73FA">
        <w:rPr>
          <w:rFonts w:asciiTheme="majorBidi" w:hAnsiTheme="majorBidi" w:cstheme="majorBidi"/>
        </w:rPr>
        <w:t>ing</w:t>
      </w:r>
      <w:r>
        <w:rPr>
          <w:rFonts w:asciiTheme="majorBidi" w:hAnsiTheme="majorBidi" w:cstheme="majorBidi"/>
        </w:rPr>
        <w:t xml:space="preserve"> the </w:t>
      </w:r>
      <w:proofErr w:type="spellStart"/>
      <w:r w:rsidR="00807583">
        <w:rPr>
          <w:rFonts w:asciiTheme="majorBidi" w:hAnsiTheme="majorBidi" w:cstheme="majorBidi"/>
          <w:i/>
          <w:iCs/>
        </w:rPr>
        <w:t>ʿulamāʾ</w:t>
      </w:r>
      <w:r w:rsidR="00807583">
        <w:rPr>
          <w:rFonts w:asciiTheme="majorBidi" w:hAnsiTheme="majorBidi" w:cstheme="majorBidi"/>
        </w:rPr>
        <w:t>’s</w:t>
      </w:r>
      <w:proofErr w:type="spellEnd"/>
      <w:r w:rsidR="00807583">
        <w:rPr>
          <w:rFonts w:asciiTheme="majorBidi" w:hAnsiTheme="majorBidi" w:cstheme="majorBidi"/>
          <w:i/>
          <w:iCs/>
        </w:rPr>
        <w:t xml:space="preserve"> </w:t>
      </w:r>
      <w:r>
        <w:rPr>
          <w:rFonts w:asciiTheme="majorBidi" w:hAnsiTheme="majorBidi" w:cstheme="majorBidi"/>
        </w:rPr>
        <w:t>flight</w:t>
      </w:r>
      <w:r w:rsidR="00807583">
        <w:rPr>
          <w:rFonts w:asciiTheme="majorBidi" w:hAnsiTheme="majorBidi" w:cstheme="majorBidi"/>
        </w:rPr>
        <w:t xml:space="preserve"> </w:t>
      </w:r>
      <w:r>
        <w:rPr>
          <w:rFonts w:asciiTheme="majorBidi" w:hAnsiTheme="majorBidi" w:cstheme="majorBidi"/>
        </w:rPr>
        <w:t xml:space="preserve">from politics. </w:t>
      </w:r>
      <w:r w:rsidR="00807583">
        <w:rPr>
          <w:rFonts w:asciiTheme="majorBidi" w:hAnsiTheme="majorBidi" w:cstheme="majorBidi"/>
        </w:rPr>
        <w:t>Nevertheless, it is important to note that Ibn al-</w:t>
      </w:r>
      <w:proofErr w:type="spellStart"/>
      <w:r w:rsidR="00807583">
        <w:rPr>
          <w:rFonts w:asciiTheme="majorBidi" w:hAnsiTheme="majorBidi" w:cstheme="majorBidi"/>
        </w:rPr>
        <w:t>Jawzī</w:t>
      </w:r>
      <w:proofErr w:type="spellEnd"/>
      <w:r w:rsidR="00807583">
        <w:rPr>
          <w:rFonts w:asciiTheme="majorBidi" w:hAnsiTheme="majorBidi" w:cstheme="majorBidi"/>
        </w:rPr>
        <w:t xml:space="preserve"> d</w:t>
      </w:r>
      <w:r w:rsidR="00172D71">
        <w:rPr>
          <w:rFonts w:asciiTheme="majorBidi" w:hAnsiTheme="majorBidi" w:cstheme="majorBidi"/>
        </w:rPr>
        <w:t>oes</w:t>
      </w:r>
      <w:r w:rsidR="00807583">
        <w:rPr>
          <w:rFonts w:asciiTheme="majorBidi" w:hAnsiTheme="majorBidi" w:cstheme="majorBidi"/>
        </w:rPr>
        <w:t xml:space="preserve"> not go as far as Ibn </w:t>
      </w:r>
      <w:proofErr w:type="spellStart"/>
      <w:r w:rsidR="00807583">
        <w:rPr>
          <w:rFonts w:asciiTheme="majorBidi" w:hAnsiTheme="majorBidi" w:cstheme="majorBidi"/>
        </w:rPr>
        <w:t>Taymiyya</w:t>
      </w:r>
      <w:proofErr w:type="spellEnd"/>
      <w:r w:rsidR="00807583">
        <w:rPr>
          <w:rFonts w:asciiTheme="majorBidi" w:hAnsiTheme="majorBidi" w:cstheme="majorBidi"/>
        </w:rPr>
        <w:t xml:space="preserve"> in calling for mutual cooperation between rulers, scholars, and commoners. </w:t>
      </w:r>
      <w:r w:rsidR="00172D71">
        <w:rPr>
          <w:rFonts w:asciiTheme="majorBidi" w:hAnsiTheme="majorBidi" w:cstheme="majorBidi"/>
        </w:rPr>
        <w:t>Considering the harsh and arbitrary politics of his time, rulers c</w:t>
      </w:r>
      <w:r w:rsidR="00E72854">
        <w:rPr>
          <w:rFonts w:asciiTheme="majorBidi" w:hAnsiTheme="majorBidi" w:cstheme="majorBidi"/>
        </w:rPr>
        <w:t>annot</w:t>
      </w:r>
      <w:r w:rsidR="00172D71">
        <w:rPr>
          <w:rFonts w:asciiTheme="majorBidi" w:hAnsiTheme="majorBidi" w:cstheme="majorBidi"/>
        </w:rPr>
        <w:t xml:space="preserve"> </w:t>
      </w:r>
      <w:r w:rsidR="000202F5">
        <w:rPr>
          <w:rFonts w:asciiTheme="majorBidi" w:hAnsiTheme="majorBidi" w:cstheme="majorBidi"/>
        </w:rPr>
        <w:t xml:space="preserve">seem </w:t>
      </w:r>
      <w:r w:rsidR="00172D71">
        <w:rPr>
          <w:rFonts w:asciiTheme="majorBidi" w:hAnsiTheme="majorBidi" w:cstheme="majorBidi"/>
        </w:rPr>
        <w:t xml:space="preserve">be trusted to uphold a cooperative relationship with the ruled; if at all, they need to be tamed. In that respect, </w:t>
      </w:r>
      <w:r w:rsidR="00E72854">
        <w:rPr>
          <w:rFonts w:asciiTheme="majorBidi" w:hAnsiTheme="majorBidi" w:cstheme="majorBidi"/>
        </w:rPr>
        <w:t>Ibn al-</w:t>
      </w:r>
      <w:proofErr w:type="spellStart"/>
      <w:r w:rsidR="00E72854">
        <w:rPr>
          <w:rFonts w:asciiTheme="majorBidi" w:hAnsiTheme="majorBidi" w:cstheme="majorBidi"/>
        </w:rPr>
        <w:t>Jawzī’s</w:t>
      </w:r>
      <w:proofErr w:type="spellEnd"/>
      <w:r w:rsidR="00172D71">
        <w:rPr>
          <w:rFonts w:asciiTheme="majorBidi" w:hAnsiTheme="majorBidi" w:cstheme="majorBidi"/>
        </w:rPr>
        <w:t xml:space="preserve"> ameliorative approach to politics is still one that prioritizes </w:t>
      </w:r>
      <w:proofErr w:type="spellStart"/>
      <w:r w:rsidR="00172D71">
        <w:rPr>
          <w:rFonts w:asciiTheme="majorBidi" w:hAnsiTheme="majorBidi" w:cstheme="majorBidi"/>
          <w:i/>
          <w:iCs/>
        </w:rPr>
        <w:t>sharīʿa</w:t>
      </w:r>
      <w:proofErr w:type="spellEnd"/>
      <w:r w:rsidR="00172D71">
        <w:rPr>
          <w:rFonts w:asciiTheme="majorBidi" w:hAnsiTheme="majorBidi" w:cstheme="majorBidi"/>
          <w:i/>
          <w:iCs/>
        </w:rPr>
        <w:t xml:space="preserve"> </w:t>
      </w:r>
      <w:r w:rsidR="00172D71">
        <w:rPr>
          <w:rFonts w:asciiTheme="majorBidi" w:hAnsiTheme="majorBidi" w:cstheme="majorBidi"/>
        </w:rPr>
        <w:t xml:space="preserve">over </w:t>
      </w:r>
      <w:proofErr w:type="spellStart"/>
      <w:r w:rsidR="00172D71">
        <w:rPr>
          <w:rFonts w:asciiTheme="majorBidi" w:hAnsiTheme="majorBidi" w:cstheme="majorBidi"/>
          <w:i/>
          <w:iCs/>
        </w:rPr>
        <w:t>siyāsa</w:t>
      </w:r>
      <w:proofErr w:type="spellEnd"/>
      <w:r w:rsidR="00172D71">
        <w:rPr>
          <w:rFonts w:asciiTheme="majorBidi" w:hAnsiTheme="majorBidi" w:cstheme="majorBidi"/>
        </w:rPr>
        <w:t xml:space="preserve"> and scholars over rulers. </w:t>
      </w:r>
      <w:r w:rsidR="00E577E3">
        <w:rPr>
          <w:rFonts w:asciiTheme="majorBidi" w:hAnsiTheme="majorBidi" w:cstheme="majorBidi"/>
        </w:rPr>
        <w:t xml:space="preserve">As for the commoners, </w:t>
      </w:r>
      <w:r w:rsidR="000202F5">
        <w:rPr>
          <w:rFonts w:asciiTheme="majorBidi" w:hAnsiTheme="majorBidi" w:cstheme="majorBidi"/>
        </w:rPr>
        <w:t>Ibn al-</w:t>
      </w:r>
      <w:proofErr w:type="spellStart"/>
      <w:r w:rsidR="000202F5">
        <w:rPr>
          <w:rFonts w:asciiTheme="majorBidi" w:hAnsiTheme="majorBidi" w:cstheme="majorBidi"/>
        </w:rPr>
        <w:t>Jawzī</w:t>
      </w:r>
      <w:proofErr w:type="spellEnd"/>
      <w:r w:rsidR="00E577E3">
        <w:rPr>
          <w:rFonts w:asciiTheme="majorBidi" w:hAnsiTheme="majorBidi" w:cstheme="majorBidi"/>
        </w:rPr>
        <w:t xml:space="preserve"> d</w:t>
      </w:r>
      <w:r w:rsidR="00E72854">
        <w:rPr>
          <w:rFonts w:asciiTheme="majorBidi" w:hAnsiTheme="majorBidi" w:cstheme="majorBidi"/>
        </w:rPr>
        <w:t>oes</w:t>
      </w:r>
      <w:r w:rsidR="00E577E3">
        <w:rPr>
          <w:rFonts w:asciiTheme="majorBidi" w:hAnsiTheme="majorBidi" w:cstheme="majorBidi"/>
        </w:rPr>
        <w:t xml:space="preserve"> not </w:t>
      </w:r>
      <w:r w:rsidR="00AE44A6">
        <w:rPr>
          <w:rFonts w:asciiTheme="majorBidi" w:hAnsiTheme="majorBidi" w:cstheme="majorBidi"/>
        </w:rPr>
        <w:t>have a</w:t>
      </w:r>
      <w:r w:rsidR="00E577E3">
        <w:rPr>
          <w:rFonts w:asciiTheme="majorBidi" w:hAnsiTheme="majorBidi" w:cstheme="majorBidi"/>
        </w:rPr>
        <w:t xml:space="preserve"> high enough regard </w:t>
      </w:r>
      <w:r w:rsidR="00AE44A6">
        <w:rPr>
          <w:rFonts w:asciiTheme="majorBidi" w:hAnsiTheme="majorBidi" w:cstheme="majorBidi"/>
        </w:rPr>
        <w:t xml:space="preserve">for them </w:t>
      </w:r>
      <w:r w:rsidR="00E577E3">
        <w:rPr>
          <w:rFonts w:asciiTheme="majorBidi" w:hAnsiTheme="majorBidi" w:cstheme="majorBidi"/>
        </w:rPr>
        <w:t xml:space="preserve">to place them in a consultative capacity </w:t>
      </w:r>
      <w:r w:rsidR="00AE44A6">
        <w:rPr>
          <w:rFonts w:asciiTheme="majorBidi" w:hAnsiTheme="majorBidi" w:cstheme="majorBidi"/>
        </w:rPr>
        <w:t>in relation to</w:t>
      </w:r>
      <w:r w:rsidR="00E577E3">
        <w:rPr>
          <w:rFonts w:asciiTheme="majorBidi" w:hAnsiTheme="majorBidi" w:cstheme="majorBidi"/>
        </w:rPr>
        <w:t xml:space="preserve"> rulers and scholars</w:t>
      </w:r>
      <w:r w:rsidR="00AE44A6">
        <w:rPr>
          <w:rFonts w:asciiTheme="majorBidi" w:hAnsiTheme="majorBidi" w:cstheme="majorBidi"/>
        </w:rPr>
        <w:t xml:space="preserve">; they </w:t>
      </w:r>
      <w:r w:rsidR="00E72854">
        <w:rPr>
          <w:rFonts w:asciiTheme="majorBidi" w:hAnsiTheme="majorBidi" w:cstheme="majorBidi"/>
        </w:rPr>
        <w:t>are</w:t>
      </w:r>
      <w:r w:rsidR="00AE44A6">
        <w:rPr>
          <w:rFonts w:asciiTheme="majorBidi" w:hAnsiTheme="majorBidi" w:cstheme="majorBidi"/>
        </w:rPr>
        <w:t xml:space="preserve"> better left out of the equation</w:t>
      </w:r>
      <w:r w:rsidR="000202F5">
        <w:rPr>
          <w:rFonts w:asciiTheme="majorBidi" w:hAnsiTheme="majorBidi" w:cstheme="majorBidi"/>
        </w:rPr>
        <w:t xml:space="preserve"> altogether</w:t>
      </w:r>
      <w:r w:rsidR="00E577E3">
        <w:rPr>
          <w:rFonts w:asciiTheme="majorBidi" w:hAnsiTheme="majorBidi" w:cstheme="majorBidi"/>
        </w:rPr>
        <w:t>.</w:t>
      </w:r>
      <w:r w:rsidR="00AE44A6">
        <w:rPr>
          <w:rStyle w:val="FootnoteReference"/>
          <w:rFonts w:asciiTheme="majorBidi" w:hAnsiTheme="majorBidi" w:cstheme="majorBidi"/>
        </w:rPr>
        <w:footnoteReference w:id="97"/>
      </w:r>
      <w:r w:rsidR="00AE44A6">
        <w:rPr>
          <w:rFonts w:asciiTheme="majorBidi" w:hAnsiTheme="majorBidi" w:cstheme="majorBidi"/>
        </w:rPr>
        <w:t xml:space="preserve"> </w:t>
      </w:r>
      <w:r w:rsidR="000202F5">
        <w:rPr>
          <w:rFonts w:asciiTheme="majorBidi" w:hAnsiTheme="majorBidi" w:cstheme="majorBidi"/>
        </w:rPr>
        <w:t>T</w:t>
      </w:r>
      <w:r w:rsidR="00E72854">
        <w:rPr>
          <w:rFonts w:asciiTheme="majorBidi" w:hAnsiTheme="majorBidi" w:cstheme="majorBidi"/>
        </w:rPr>
        <w:t xml:space="preserve">hese </w:t>
      </w:r>
      <w:r w:rsidR="000202F5">
        <w:rPr>
          <w:rFonts w:asciiTheme="majorBidi" w:hAnsiTheme="majorBidi" w:cstheme="majorBidi"/>
        </w:rPr>
        <w:t>caveats</w:t>
      </w:r>
      <w:r w:rsidR="00D92068">
        <w:rPr>
          <w:rFonts w:asciiTheme="majorBidi" w:hAnsiTheme="majorBidi" w:cstheme="majorBidi"/>
        </w:rPr>
        <w:t xml:space="preserve"> notwithstanding</w:t>
      </w:r>
      <w:r w:rsidR="00E72854">
        <w:rPr>
          <w:rFonts w:asciiTheme="majorBidi" w:hAnsiTheme="majorBidi" w:cstheme="majorBidi"/>
        </w:rPr>
        <w:t>, Ibn al-</w:t>
      </w:r>
      <w:proofErr w:type="spellStart"/>
      <w:r w:rsidR="00E72854">
        <w:rPr>
          <w:rFonts w:asciiTheme="majorBidi" w:hAnsiTheme="majorBidi" w:cstheme="majorBidi"/>
        </w:rPr>
        <w:t>Jawzī’s</w:t>
      </w:r>
      <w:proofErr w:type="spellEnd"/>
      <w:r w:rsidR="00E72854">
        <w:rPr>
          <w:rFonts w:asciiTheme="majorBidi" w:hAnsiTheme="majorBidi" w:cstheme="majorBidi"/>
        </w:rPr>
        <w:t xml:space="preserve"> effort to reimagine the political sphere as a site of reform instead of corruption and to grant religious scholars a political role </w:t>
      </w:r>
      <w:r w:rsidR="00172D71">
        <w:rPr>
          <w:rFonts w:asciiTheme="majorBidi" w:hAnsiTheme="majorBidi" w:cstheme="majorBidi"/>
        </w:rPr>
        <w:t>already constitute</w:t>
      </w:r>
      <w:r w:rsidR="007320DA">
        <w:rPr>
          <w:rFonts w:asciiTheme="majorBidi" w:hAnsiTheme="majorBidi" w:cstheme="majorBidi"/>
        </w:rPr>
        <w:t>s</w:t>
      </w:r>
      <w:r w:rsidR="00172D71">
        <w:rPr>
          <w:rFonts w:asciiTheme="majorBidi" w:hAnsiTheme="majorBidi" w:cstheme="majorBidi"/>
        </w:rPr>
        <w:t xml:space="preserve"> a </w:t>
      </w:r>
      <w:r w:rsidR="00D92068">
        <w:rPr>
          <w:rFonts w:asciiTheme="majorBidi" w:hAnsiTheme="majorBidi" w:cstheme="majorBidi"/>
        </w:rPr>
        <w:t xml:space="preserve">noteworthy </w:t>
      </w:r>
      <w:r w:rsidR="00172D71">
        <w:rPr>
          <w:rFonts w:asciiTheme="majorBidi" w:hAnsiTheme="majorBidi" w:cstheme="majorBidi"/>
        </w:rPr>
        <w:t xml:space="preserve">step </w:t>
      </w:r>
      <w:r w:rsidR="007320DA">
        <w:rPr>
          <w:rFonts w:asciiTheme="majorBidi" w:hAnsiTheme="majorBidi" w:cstheme="majorBidi"/>
        </w:rPr>
        <w:t>in</w:t>
      </w:r>
      <w:r w:rsidR="00172D71">
        <w:rPr>
          <w:rFonts w:asciiTheme="majorBidi" w:hAnsiTheme="majorBidi" w:cstheme="majorBidi"/>
        </w:rPr>
        <w:t xml:space="preserve"> the direction of Ibn </w:t>
      </w:r>
      <w:proofErr w:type="spellStart"/>
      <w:r w:rsidR="00172D71">
        <w:rPr>
          <w:rFonts w:asciiTheme="majorBidi" w:hAnsiTheme="majorBidi" w:cstheme="majorBidi"/>
        </w:rPr>
        <w:t>Taymiyya’s</w:t>
      </w:r>
      <w:proofErr w:type="spellEnd"/>
      <w:r w:rsidR="00172D71">
        <w:rPr>
          <w:rFonts w:asciiTheme="majorBidi" w:hAnsiTheme="majorBidi" w:cstheme="majorBidi"/>
        </w:rPr>
        <w:t xml:space="preserve"> model of </w:t>
      </w:r>
      <w:r w:rsidR="00172D71">
        <w:rPr>
          <w:rFonts w:asciiTheme="majorBidi" w:hAnsiTheme="majorBidi" w:cstheme="majorBidi"/>
          <w:i/>
          <w:iCs/>
        </w:rPr>
        <w:t>al-</w:t>
      </w:r>
      <w:proofErr w:type="spellStart"/>
      <w:r w:rsidR="00172D71">
        <w:rPr>
          <w:rFonts w:asciiTheme="majorBidi" w:hAnsiTheme="majorBidi" w:cstheme="majorBidi"/>
          <w:i/>
          <w:iCs/>
        </w:rPr>
        <w:t>siyāsa</w:t>
      </w:r>
      <w:proofErr w:type="spellEnd"/>
      <w:r w:rsidR="00172D71">
        <w:rPr>
          <w:rFonts w:asciiTheme="majorBidi" w:hAnsiTheme="majorBidi" w:cstheme="majorBidi"/>
          <w:i/>
          <w:iCs/>
        </w:rPr>
        <w:t xml:space="preserve"> al-</w:t>
      </w:r>
      <w:proofErr w:type="spellStart"/>
      <w:r w:rsidR="00172D71">
        <w:rPr>
          <w:rFonts w:asciiTheme="majorBidi" w:hAnsiTheme="majorBidi" w:cstheme="majorBidi"/>
          <w:i/>
          <w:iCs/>
        </w:rPr>
        <w:t>sharʿiyya</w:t>
      </w:r>
      <w:proofErr w:type="spellEnd"/>
      <w:r w:rsidR="00172D71">
        <w:rPr>
          <w:rFonts w:asciiTheme="majorBidi" w:hAnsiTheme="majorBidi" w:cstheme="majorBidi"/>
        </w:rPr>
        <w:t>.</w:t>
      </w:r>
      <w:r w:rsidR="00E72854">
        <w:rPr>
          <w:rStyle w:val="FootnoteReference"/>
          <w:rFonts w:asciiTheme="majorBidi" w:hAnsiTheme="majorBidi" w:cstheme="majorBidi"/>
        </w:rPr>
        <w:footnoteReference w:id="98"/>
      </w:r>
    </w:p>
    <w:p w14:paraId="7433A309" w14:textId="1FA3D02C" w:rsidR="00104589" w:rsidRDefault="00104589" w:rsidP="0037533B">
      <w:pPr>
        <w:spacing w:line="360" w:lineRule="auto"/>
        <w:rPr>
          <w:rFonts w:asciiTheme="majorBidi" w:hAnsiTheme="majorBidi" w:cstheme="majorBidi"/>
          <w:color w:val="000000" w:themeColor="text1"/>
        </w:rPr>
      </w:pPr>
    </w:p>
    <w:p w14:paraId="4E811D56" w14:textId="16D8ADF3" w:rsidR="00845A7F" w:rsidRDefault="00845A7F" w:rsidP="0037533B">
      <w:pPr>
        <w:spacing w:line="360" w:lineRule="auto"/>
        <w:jc w:val="both"/>
        <w:rPr>
          <w:rFonts w:asciiTheme="majorBidi" w:hAnsiTheme="majorBidi" w:cstheme="majorBidi"/>
          <w:color w:val="000000" w:themeColor="text1"/>
          <w:u w:val="single"/>
        </w:rPr>
      </w:pPr>
      <w:r>
        <w:rPr>
          <w:rFonts w:asciiTheme="majorBidi" w:hAnsiTheme="majorBidi" w:cstheme="majorBidi"/>
          <w:color w:val="000000" w:themeColor="text1"/>
          <w:u w:val="single"/>
        </w:rPr>
        <w:t>Conclusion</w:t>
      </w:r>
    </w:p>
    <w:p w14:paraId="11960405" w14:textId="77777777" w:rsidR="005F65C2" w:rsidRDefault="005F65C2" w:rsidP="0037533B">
      <w:pPr>
        <w:spacing w:line="360" w:lineRule="auto"/>
        <w:jc w:val="both"/>
        <w:rPr>
          <w:rFonts w:asciiTheme="majorBidi" w:hAnsiTheme="majorBidi" w:cstheme="majorBidi"/>
          <w:color w:val="000000" w:themeColor="text1"/>
        </w:rPr>
      </w:pPr>
    </w:p>
    <w:p w14:paraId="368A924B" w14:textId="06582E15" w:rsidR="00845A7F" w:rsidRDefault="00C06248" w:rsidP="0037533B">
      <w:pPr>
        <w:spacing w:line="360" w:lineRule="auto"/>
        <w:rPr>
          <w:rFonts w:asciiTheme="majorBidi" w:hAnsiTheme="majorBidi" w:cstheme="majorBidi"/>
          <w:color w:val="000000" w:themeColor="text1"/>
        </w:rPr>
      </w:pPr>
      <w:r>
        <w:rPr>
          <w:rFonts w:asciiTheme="majorBidi" w:hAnsiTheme="majorBidi" w:cstheme="majorBidi"/>
          <w:color w:val="000000" w:themeColor="text1"/>
        </w:rPr>
        <w:tab/>
      </w:r>
      <w:r w:rsidR="00A03824">
        <w:rPr>
          <w:rFonts w:asciiTheme="majorBidi" w:hAnsiTheme="majorBidi" w:cstheme="majorBidi"/>
          <w:color w:val="000000" w:themeColor="text1"/>
        </w:rPr>
        <w:t>The late Abbasid period was</w:t>
      </w:r>
      <w:r w:rsidR="00C5225B">
        <w:rPr>
          <w:rFonts w:asciiTheme="majorBidi" w:hAnsiTheme="majorBidi" w:cstheme="majorBidi"/>
          <w:color w:val="000000" w:themeColor="text1"/>
        </w:rPr>
        <w:t xml:space="preserve"> a </w:t>
      </w:r>
      <w:r w:rsidR="00A03824">
        <w:rPr>
          <w:rFonts w:asciiTheme="majorBidi" w:hAnsiTheme="majorBidi" w:cstheme="majorBidi"/>
          <w:color w:val="000000" w:themeColor="text1"/>
        </w:rPr>
        <w:t>period</w:t>
      </w:r>
      <w:r w:rsidR="00C5225B">
        <w:rPr>
          <w:rFonts w:asciiTheme="majorBidi" w:hAnsiTheme="majorBidi" w:cstheme="majorBidi"/>
          <w:color w:val="000000" w:themeColor="text1"/>
        </w:rPr>
        <w:t xml:space="preserve"> of great political flux compounded by </w:t>
      </w:r>
      <w:r w:rsidR="00A03824">
        <w:rPr>
          <w:rFonts w:asciiTheme="majorBidi" w:hAnsiTheme="majorBidi" w:cstheme="majorBidi"/>
          <w:color w:val="000000" w:themeColor="text1"/>
        </w:rPr>
        <w:t>a</w:t>
      </w:r>
      <w:r w:rsidR="00C5225B">
        <w:rPr>
          <w:rFonts w:asciiTheme="majorBidi" w:hAnsiTheme="majorBidi" w:cstheme="majorBidi"/>
          <w:color w:val="000000" w:themeColor="text1"/>
        </w:rPr>
        <w:t xml:space="preserve"> crisis of political and religious authority</w:t>
      </w:r>
      <w:r w:rsidR="00A03824">
        <w:rPr>
          <w:rFonts w:asciiTheme="majorBidi" w:hAnsiTheme="majorBidi" w:cstheme="majorBidi"/>
          <w:color w:val="000000" w:themeColor="text1"/>
        </w:rPr>
        <w:t>. This crisis was</w:t>
      </w:r>
      <w:r w:rsidR="00C5225B">
        <w:rPr>
          <w:rFonts w:asciiTheme="majorBidi" w:hAnsiTheme="majorBidi" w:cstheme="majorBidi"/>
          <w:color w:val="000000" w:themeColor="text1"/>
        </w:rPr>
        <w:t xml:space="preserve"> engendered by the increasing encroachment of rulers into the religious sphere</w:t>
      </w:r>
      <w:r w:rsidR="00A03824">
        <w:rPr>
          <w:rFonts w:asciiTheme="majorBidi" w:hAnsiTheme="majorBidi" w:cstheme="majorBidi"/>
          <w:color w:val="000000" w:themeColor="text1"/>
        </w:rPr>
        <w:t xml:space="preserve"> and revolved around the issue of punishments and the role of the religious scholars in politics</w:t>
      </w:r>
      <w:r w:rsidR="00C5225B">
        <w:rPr>
          <w:rFonts w:asciiTheme="majorBidi" w:hAnsiTheme="majorBidi" w:cstheme="majorBidi"/>
          <w:color w:val="000000" w:themeColor="text1"/>
        </w:rPr>
        <w:t xml:space="preserve">. </w:t>
      </w:r>
      <w:r w:rsidR="00480A27">
        <w:rPr>
          <w:rFonts w:asciiTheme="majorBidi" w:hAnsiTheme="majorBidi" w:cstheme="majorBidi"/>
          <w:color w:val="000000" w:themeColor="text1"/>
        </w:rPr>
        <w:t xml:space="preserve">As harsh and arbitrary politics became more entrenched in late Abbasid society, </w:t>
      </w:r>
      <w:r w:rsidR="000A7A9B">
        <w:rPr>
          <w:rFonts w:asciiTheme="majorBidi" w:hAnsiTheme="majorBidi" w:cstheme="majorBidi"/>
          <w:color w:val="000000" w:themeColor="text1"/>
        </w:rPr>
        <w:t xml:space="preserve">scholars </w:t>
      </w:r>
      <w:r w:rsidR="00480A27">
        <w:rPr>
          <w:rFonts w:asciiTheme="majorBidi" w:hAnsiTheme="majorBidi" w:cstheme="majorBidi"/>
          <w:color w:val="000000" w:themeColor="text1"/>
        </w:rPr>
        <w:t>pursued</w:t>
      </w:r>
      <w:r w:rsidR="000A7A9B">
        <w:rPr>
          <w:rFonts w:asciiTheme="majorBidi" w:hAnsiTheme="majorBidi" w:cstheme="majorBidi"/>
          <w:color w:val="000000" w:themeColor="text1"/>
        </w:rPr>
        <w:t xml:space="preserve"> different </w:t>
      </w:r>
      <w:r w:rsidR="00480A27">
        <w:rPr>
          <w:rFonts w:asciiTheme="majorBidi" w:hAnsiTheme="majorBidi" w:cstheme="majorBidi"/>
          <w:color w:val="000000" w:themeColor="text1"/>
        </w:rPr>
        <w:t>solutions</w:t>
      </w:r>
      <w:r w:rsidR="000A7A9B">
        <w:rPr>
          <w:rFonts w:asciiTheme="majorBidi" w:hAnsiTheme="majorBidi" w:cstheme="majorBidi"/>
          <w:color w:val="000000" w:themeColor="text1"/>
        </w:rPr>
        <w:t xml:space="preserve"> to deal with </w:t>
      </w:r>
      <w:r w:rsidR="006447F6">
        <w:rPr>
          <w:rFonts w:asciiTheme="majorBidi" w:hAnsiTheme="majorBidi" w:cstheme="majorBidi"/>
          <w:color w:val="000000" w:themeColor="text1"/>
        </w:rPr>
        <w:t>th</w:t>
      </w:r>
      <w:r w:rsidR="00480A27">
        <w:rPr>
          <w:rFonts w:asciiTheme="majorBidi" w:hAnsiTheme="majorBidi" w:cstheme="majorBidi"/>
          <w:color w:val="000000" w:themeColor="text1"/>
        </w:rPr>
        <w:t>is</w:t>
      </w:r>
      <w:r w:rsidR="006447F6">
        <w:rPr>
          <w:rFonts w:asciiTheme="majorBidi" w:hAnsiTheme="majorBidi" w:cstheme="majorBidi"/>
          <w:color w:val="000000" w:themeColor="text1"/>
        </w:rPr>
        <w:t xml:space="preserve"> cris</w:t>
      </w:r>
      <w:r w:rsidR="00480A27">
        <w:rPr>
          <w:rFonts w:asciiTheme="majorBidi" w:hAnsiTheme="majorBidi" w:cstheme="majorBidi"/>
          <w:color w:val="000000" w:themeColor="text1"/>
        </w:rPr>
        <w:t>is</w:t>
      </w:r>
      <w:r w:rsidR="000A7A9B">
        <w:rPr>
          <w:rFonts w:asciiTheme="majorBidi" w:hAnsiTheme="majorBidi" w:cstheme="majorBidi"/>
          <w:color w:val="000000" w:themeColor="text1"/>
        </w:rPr>
        <w:t xml:space="preserve">. </w:t>
      </w:r>
      <w:r w:rsidR="00480A27">
        <w:rPr>
          <w:rFonts w:asciiTheme="majorBidi" w:hAnsiTheme="majorBidi" w:cstheme="majorBidi"/>
          <w:color w:val="000000" w:themeColor="text1"/>
        </w:rPr>
        <w:t xml:space="preserve">With respect to </w:t>
      </w:r>
      <w:r w:rsidR="00480A27">
        <w:rPr>
          <w:rFonts w:asciiTheme="majorBidi" w:hAnsiTheme="majorBidi" w:cstheme="majorBidi"/>
          <w:color w:val="000000" w:themeColor="text1"/>
        </w:rPr>
        <w:lastRenderedPageBreak/>
        <w:t xml:space="preserve">criminal punishments, some legitimized the ruler’s prerogatives in administering the criminal punishments traditionally reserved for the </w:t>
      </w:r>
      <w:proofErr w:type="spellStart"/>
      <w:r w:rsidR="00480A27">
        <w:rPr>
          <w:rFonts w:asciiTheme="majorBidi" w:hAnsiTheme="majorBidi" w:cstheme="majorBidi"/>
          <w:i/>
          <w:iCs/>
          <w:color w:val="000000" w:themeColor="text1"/>
        </w:rPr>
        <w:t>qāḍī</w:t>
      </w:r>
      <w:proofErr w:type="spellEnd"/>
      <w:r w:rsidR="00480A27">
        <w:rPr>
          <w:rFonts w:asciiTheme="majorBidi" w:hAnsiTheme="majorBidi" w:cstheme="majorBidi"/>
          <w:color w:val="000000" w:themeColor="text1"/>
        </w:rPr>
        <w:t xml:space="preserve">. Those who refused to do so acknowledged that it was futile to challenge the rulers on this front and </w:t>
      </w:r>
      <w:r w:rsidR="00685A60">
        <w:rPr>
          <w:rFonts w:asciiTheme="majorBidi" w:hAnsiTheme="majorBidi" w:cstheme="majorBidi"/>
          <w:color w:val="000000" w:themeColor="text1"/>
        </w:rPr>
        <w:t xml:space="preserve">proceeded instead to limit the ruler’s punitive authority in juridical doctrines. As scholars escaped from the realm of politics to the realm of doctrine and discourse, </w:t>
      </w:r>
      <w:r w:rsidR="00D92068">
        <w:rPr>
          <w:rFonts w:asciiTheme="majorBidi" w:hAnsiTheme="majorBidi" w:cstheme="majorBidi"/>
          <w:color w:val="000000" w:themeColor="text1"/>
        </w:rPr>
        <w:t>politics</w:t>
      </w:r>
      <w:r w:rsidR="00685A60">
        <w:rPr>
          <w:rFonts w:asciiTheme="majorBidi" w:hAnsiTheme="majorBidi" w:cstheme="majorBidi"/>
          <w:color w:val="000000" w:themeColor="text1"/>
        </w:rPr>
        <w:t xml:space="preserve"> was increasingly viewed with suspicion as corrupting and intoxicating, resulting in a widening gap between rulers and scholars.</w:t>
      </w:r>
    </w:p>
    <w:p w14:paraId="659F861D" w14:textId="4ADBA29E" w:rsidR="00485B76" w:rsidRPr="00233F17" w:rsidRDefault="00685A60" w:rsidP="0037533B">
      <w:pPr>
        <w:spacing w:line="360" w:lineRule="auto"/>
        <w:rPr>
          <w:rFonts w:asciiTheme="majorBidi" w:hAnsiTheme="majorBidi" w:cstheme="majorBidi"/>
          <w:color w:val="000000" w:themeColor="text1"/>
        </w:rPr>
      </w:pPr>
      <w:r>
        <w:rPr>
          <w:rFonts w:asciiTheme="majorBidi" w:hAnsiTheme="majorBidi" w:cstheme="majorBidi"/>
          <w:color w:val="000000" w:themeColor="text1"/>
        </w:rPr>
        <w:tab/>
        <w:t>Ibn al-</w:t>
      </w:r>
      <w:proofErr w:type="spellStart"/>
      <w:r>
        <w:rPr>
          <w:rFonts w:asciiTheme="majorBidi" w:hAnsiTheme="majorBidi" w:cstheme="majorBidi"/>
          <w:color w:val="000000" w:themeColor="text1"/>
        </w:rPr>
        <w:t>Jawzī’s</w:t>
      </w:r>
      <w:proofErr w:type="spellEnd"/>
      <w:r>
        <w:rPr>
          <w:rFonts w:asciiTheme="majorBidi" w:hAnsiTheme="majorBidi" w:cstheme="majorBidi"/>
          <w:color w:val="000000" w:themeColor="text1"/>
        </w:rPr>
        <w:t xml:space="preserve"> ameliorative politics </w:t>
      </w:r>
      <w:r w:rsidR="00D92068">
        <w:rPr>
          <w:rFonts w:asciiTheme="majorBidi" w:hAnsiTheme="majorBidi" w:cstheme="majorBidi"/>
          <w:color w:val="000000" w:themeColor="text1"/>
        </w:rPr>
        <w:t>wa</w:t>
      </w:r>
      <w:r>
        <w:rPr>
          <w:rFonts w:asciiTheme="majorBidi" w:hAnsiTheme="majorBidi" w:cstheme="majorBidi"/>
          <w:color w:val="000000" w:themeColor="text1"/>
        </w:rPr>
        <w:t>s an attempt to</w:t>
      </w:r>
      <w:r w:rsidR="00AE651A">
        <w:rPr>
          <w:rFonts w:asciiTheme="majorBidi" w:hAnsiTheme="majorBidi" w:cstheme="majorBidi"/>
          <w:color w:val="000000" w:themeColor="text1"/>
        </w:rPr>
        <w:t xml:space="preserve"> bridge this gap. This chapter has introduced the moderate and mediatory aspects of the ameliorative approach to politics by focusing on his reassessment of ruler-scholar relations. In the </w:t>
      </w:r>
      <w:proofErr w:type="spellStart"/>
      <w:r w:rsidR="00AE651A">
        <w:rPr>
          <w:rFonts w:asciiTheme="majorBidi" w:hAnsiTheme="majorBidi" w:cstheme="majorBidi"/>
          <w:i/>
          <w:iCs/>
          <w:color w:val="000000" w:themeColor="text1"/>
        </w:rPr>
        <w:t>ʿAṭf</w:t>
      </w:r>
      <w:proofErr w:type="spellEnd"/>
      <w:r w:rsidR="00AE651A">
        <w:rPr>
          <w:rFonts w:asciiTheme="majorBidi" w:hAnsiTheme="majorBidi" w:cstheme="majorBidi"/>
          <w:color w:val="000000" w:themeColor="text1"/>
        </w:rPr>
        <w:t>, Ibn al-</w:t>
      </w:r>
      <w:proofErr w:type="spellStart"/>
      <w:r w:rsidR="00AE651A">
        <w:rPr>
          <w:rFonts w:asciiTheme="majorBidi" w:hAnsiTheme="majorBidi" w:cstheme="majorBidi"/>
          <w:color w:val="000000" w:themeColor="text1"/>
        </w:rPr>
        <w:t>Jawzī</w:t>
      </w:r>
      <w:proofErr w:type="spellEnd"/>
      <w:r w:rsidR="00AE651A">
        <w:rPr>
          <w:rFonts w:asciiTheme="majorBidi" w:hAnsiTheme="majorBidi" w:cstheme="majorBidi"/>
          <w:color w:val="000000" w:themeColor="text1"/>
        </w:rPr>
        <w:t xml:space="preserve"> posits the scholars as mediators between rulers and their subjects and redefines the political sphere as a site of moral reform</w:t>
      </w:r>
      <w:r w:rsidR="009A6741">
        <w:rPr>
          <w:rFonts w:asciiTheme="majorBidi" w:hAnsiTheme="majorBidi" w:cstheme="majorBidi"/>
          <w:color w:val="000000" w:themeColor="text1"/>
        </w:rPr>
        <w:t xml:space="preserve"> with which scholars can legitimately engage</w:t>
      </w:r>
      <w:r w:rsidR="00AE651A">
        <w:rPr>
          <w:rFonts w:asciiTheme="majorBidi" w:hAnsiTheme="majorBidi" w:cstheme="majorBidi"/>
          <w:color w:val="000000" w:themeColor="text1"/>
        </w:rPr>
        <w:t>.</w:t>
      </w:r>
      <w:r w:rsidR="00261953">
        <w:rPr>
          <w:rFonts w:asciiTheme="majorBidi" w:hAnsiTheme="majorBidi" w:cstheme="majorBidi"/>
          <w:color w:val="000000" w:themeColor="text1"/>
        </w:rPr>
        <w:t xml:space="preserve"> His view of the political sphere is moderate when compared </w:t>
      </w:r>
      <w:r w:rsidR="00BF73FA">
        <w:rPr>
          <w:rFonts w:asciiTheme="majorBidi" w:hAnsiTheme="majorBidi" w:cstheme="majorBidi"/>
          <w:color w:val="000000" w:themeColor="text1"/>
        </w:rPr>
        <w:t>with that of</w:t>
      </w:r>
      <w:r w:rsidR="00261953">
        <w:rPr>
          <w:rFonts w:asciiTheme="majorBidi" w:hAnsiTheme="majorBidi" w:cstheme="majorBidi"/>
          <w:color w:val="000000" w:themeColor="text1"/>
        </w:rPr>
        <w:t xml:space="preserve"> scholars who would rather avoid it altogether and </w:t>
      </w:r>
      <w:r w:rsidR="00BF73FA">
        <w:rPr>
          <w:rFonts w:asciiTheme="majorBidi" w:hAnsiTheme="majorBidi" w:cstheme="majorBidi"/>
          <w:color w:val="000000" w:themeColor="text1"/>
        </w:rPr>
        <w:t xml:space="preserve">of </w:t>
      </w:r>
      <w:r w:rsidR="00261953">
        <w:rPr>
          <w:rFonts w:asciiTheme="majorBidi" w:hAnsiTheme="majorBidi" w:cstheme="majorBidi"/>
          <w:color w:val="000000" w:themeColor="text1"/>
        </w:rPr>
        <w:t xml:space="preserve">scholars who </w:t>
      </w:r>
      <w:r w:rsidR="00524230">
        <w:rPr>
          <w:rFonts w:asciiTheme="majorBidi" w:hAnsiTheme="majorBidi" w:cstheme="majorBidi"/>
          <w:color w:val="000000" w:themeColor="text1"/>
        </w:rPr>
        <w:t>viewed</w:t>
      </w:r>
      <w:r w:rsidR="00261953">
        <w:rPr>
          <w:rFonts w:asciiTheme="majorBidi" w:hAnsiTheme="majorBidi" w:cstheme="majorBidi"/>
          <w:color w:val="000000" w:themeColor="text1"/>
        </w:rPr>
        <w:t xml:space="preserve"> it as a platform of revolutionary action against the state.</w:t>
      </w:r>
      <w:r w:rsidR="00D37311">
        <w:rPr>
          <w:rFonts w:asciiTheme="majorBidi" w:hAnsiTheme="majorBidi" w:cstheme="majorBidi"/>
          <w:color w:val="000000" w:themeColor="text1"/>
        </w:rPr>
        <w:t xml:space="preserve"> If scholars attend rulers with a sincere heart and admonish them to rule righteously, the well</w:t>
      </w:r>
      <w:r w:rsidR="00470320">
        <w:rPr>
          <w:rFonts w:asciiTheme="majorBidi" w:hAnsiTheme="majorBidi" w:cstheme="majorBidi"/>
          <w:color w:val="000000" w:themeColor="text1"/>
        </w:rPr>
        <w:t>-</w:t>
      </w:r>
      <w:r w:rsidR="00D37311">
        <w:rPr>
          <w:rFonts w:asciiTheme="majorBidi" w:hAnsiTheme="majorBidi" w:cstheme="majorBidi"/>
          <w:color w:val="000000" w:themeColor="text1"/>
        </w:rPr>
        <w:t xml:space="preserve">being of the community </w:t>
      </w:r>
      <w:r w:rsidR="009432F7">
        <w:rPr>
          <w:rFonts w:asciiTheme="majorBidi" w:hAnsiTheme="majorBidi" w:cstheme="majorBidi"/>
          <w:color w:val="000000" w:themeColor="text1"/>
        </w:rPr>
        <w:t>can be</w:t>
      </w:r>
      <w:r w:rsidR="00D37311">
        <w:rPr>
          <w:rFonts w:asciiTheme="majorBidi" w:hAnsiTheme="majorBidi" w:cstheme="majorBidi"/>
          <w:color w:val="000000" w:themeColor="text1"/>
        </w:rPr>
        <w:t xml:space="preserve"> ensured.</w:t>
      </w:r>
      <w:r w:rsidR="00233F17">
        <w:rPr>
          <w:rFonts w:asciiTheme="majorBidi" w:hAnsiTheme="majorBidi" w:cstheme="majorBidi"/>
          <w:color w:val="000000" w:themeColor="text1"/>
        </w:rPr>
        <w:t xml:space="preserve"> </w:t>
      </w:r>
      <w:r w:rsidR="0002039C">
        <w:rPr>
          <w:rFonts w:asciiTheme="majorBidi" w:hAnsiTheme="majorBidi" w:cstheme="majorBidi"/>
          <w:color w:val="000000" w:themeColor="text1"/>
        </w:rPr>
        <w:t>But h</w:t>
      </w:r>
      <w:r w:rsidR="00233F17">
        <w:rPr>
          <w:rFonts w:asciiTheme="majorBidi" w:hAnsiTheme="majorBidi" w:cstheme="majorBidi"/>
          <w:color w:val="000000" w:themeColor="text1"/>
        </w:rPr>
        <w:t xml:space="preserve">ow </w:t>
      </w:r>
      <w:r w:rsidR="0002039C">
        <w:rPr>
          <w:rFonts w:asciiTheme="majorBidi" w:hAnsiTheme="majorBidi" w:cstheme="majorBidi"/>
          <w:color w:val="000000" w:themeColor="text1"/>
        </w:rPr>
        <w:t xml:space="preserve">should scholars go about admonishing rulers? </w:t>
      </w:r>
      <w:r w:rsidR="009432F7">
        <w:rPr>
          <w:rFonts w:asciiTheme="majorBidi" w:hAnsiTheme="majorBidi" w:cstheme="majorBidi"/>
          <w:color w:val="000000" w:themeColor="text1"/>
        </w:rPr>
        <w:t xml:space="preserve">As we shall see in the </w:t>
      </w:r>
      <w:r w:rsidR="002A239D">
        <w:rPr>
          <w:rFonts w:asciiTheme="majorBidi" w:hAnsiTheme="majorBidi" w:cstheme="majorBidi"/>
          <w:color w:val="000000" w:themeColor="text1"/>
        </w:rPr>
        <w:t>following</w:t>
      </w:r>
      <w:r w:rsidR="009432F7">
        <w:rPr>
          <w:rFonts w:asciiTheme="majorBidi" w:hAnsiTheme="majorBidi" w:cstheme="majorBidi"/>
          <w:color w:val="000000" w:themeColor="text1"/>
        </w:rPr>
        <w:t xml:space="preserve"> chapter, </w:t>
      </w:r>
      <w:r w:rsidR="0002039C">
        <w:rPr>
          <w:rFonts w:asciiTheme="majorBidi" w:hAnsiTheme="majorBidi" w:cstheme="majorBidi"/>
          <w:color w:val="000000" w:themeColor="text1"/>
        </w:rPr>
        <w:t>Ibn al-</w:t>
      </w:r>
      <w:proofErr w:type="spellStart"/>
      <w:r w:rsidR="0002039C">
        <w:rPr>
          <w:rFonts w:asciiTheme="majorBidi" w:hAnsiTheme="majorBidi" w:cstheme="majorBidi"/>
          <w:color w:val="000000" w:themeColor="text1"/>
        </w:rPr>
        <w:t>Jawzī’s</w:t>
      </w:r>
      <w:proofErr w:type="spellEnd"/>
      <w:r w:rsidR="0002039C">
        <w:rPr>
          <w:rFonts w:asciiTheme="majorBidi" w:hAnsiTheme="majorBidi" w:cstheme="majorBidi"/>
          <w:color w:val="000000" w:themeColor="text1"/>
        </w:rPr>
        <w:t xml:space="preserve"> response to this question is </w:t>
      </w:r>
      <w:r w:rsidR="00233F17">
        <w:rPr>
          <w:rFonts w:asciiTheme="majorBidi" w:hAnsiTheme="majorBidi" w:cstheme="majorBidi"/>
          <w:color w:val="000000" w:themeColor="text1"/>
        </w:rPr>
        <w:t xml:space="preserve">illustrative of the pragmatic and affective aspects of </w:t>
      </w:r>
      <w:r w:rsidR="0002039C">
        <w:rPr>
          <w:rFonts w:asciiTheme="majorBidi" w:hAnsiTheme="majorBidi" w:cstheme="majorBidi"/>
          <w:color w:val="000000" w:themeColor="text1"/>
        </w:rPr>
        <w:t>his</w:t>
      </w:r>
      <w:r w:rsidR="00233F17">
        <w:rPr>
          <w:rFonts w:asciiTheme="majorBidi" w:hAnsiTheme="majorBidi" w:cstheme="majorBidi"/>
          <w:color w:val="000000" w:themeColor="text1"/>
        </w:rPr>
        <w:t xml:space="preserve"> ameliorative politics</w:t>
      </w:r>
      <w:r w:rsidR="00524230">
        <w:rPr>
          <w:rFonts w:asciiTheme="majorBidi" w:hAnsiTheme="majorBidi" w:cstheme="majorBidi"/>
          <w:color w:val="000000" w:themeColor="text1"/>
        </w:rPr>
        <w:t xml:space="preserve">. It also </w:t>
      </w:r>
      <w:r w:rsidR="009432F7">
        <w:rPr>
          <w:rFonts w:asciiTheme="majorBidi" w:hAnsiTheme="majorBidi" w:cstheme="majorBidi"/>
          <w:color w:val="000000" w:themeColor="text1"/>
        </w:rPr>
        <w:t>bring</w:t>
      </w:r>
      <w:r w:rsidR="002A239D">
        <w:rPr>
          <w:rFonts w:asciiTheme="majorBidi" w:hAnsiTheme="majorBidi" w:cstheme="majorBidi"/>
          <w:color w:val="000000" w:themeColor="text1"/>
        </w:rPr>
        <w:t>s</w:t>
      </w:r>
      <w:r w:rsidR="009432F7">
        <w:rPr>
          <w:rFonts w:asciiTheme="majorBidi" w:hAnsiTheme="majorBidi" w:cstheme="majorBidi"/>
          <w:color w:val="000000" w:themeColor="text1"/>
        </w:rPr>
        <w:t xml:space="preserve"> to fore the </w:t>
      </w:r>
      <w:r w:rsidR="00132654">
        <w:rPr>
          <w:rFonts w:asciiTheme="majorBidi" w:hAnsiTheme="majorBidi" w:cstheme="majorBidi"/>
          <w:color w:val="000000" w:themeColor="text1"/>
        </w:rPr>
        <w:t xml:space="preserve">crucial </w:t>
      </w:r>
      <w:r w:rsidR="009432F7">
        <w:rPr>
          <w:rFonts w:asciiTheme="majorBidi" w:hAnsiTheme="majorBidi" w:cstheme="majorBidi"/>
          <w:color w:val="000000" w:themeColor="text1"/>
        </w:rPr>
        <w:t>role of the scholar-preacher</w:t>
      </w:r>
      <w:r w:rsidR="00132654">
        <w:rPr>
          <w:rFonts w:asciiTheme="majorBidi" w:hAnsiTheme="majorBidi" w:cstheme="majorBidi"/>
          <w:color w:val="000000" w:themeColor="text1"/>
        </w:rPr>
        <w:t xml:space="preserve"> in </w:t>
      </w:r>
      <w:r w:rsidR="00524230">
        <w:rPr>
          <w:rFonts w:asciiTheme="majorBidi" w:hAnsiTheme="majorBidi" w:cstheme="majorBidi"/>
          <w:color w:val="000000" w:themeColor="text1"/>
        </w:rPr>
        <w:t xml:space="preserve">the project of </w:t>
      </w:r>
      <w:r w:rsidR="00132654">
        <w:rPr>
          <w:rFonts w:asciiTheme="majorBidi" w:hAnsiTheme="majorBidi" w:cstheme="majorBidi"/>
          <w:color w:val="000000" w:themeColor="text1"/>
        </w:rPr>
        <w:t>political reform</w:t>
      </w:r>
      <w:r w:rsidR="009432F7">
        <w:rPr>
          <w:rFonts w:asciiTheme="majorBidi" w:hAnsiTheme="majorBidi" w:cstheme="majorBidi"/>
          <w:color w:val="000000" w:themeColor="text1"/>
        </w:rPr>
        <w:t>.</w:t>
      </w:r>
    </w:p>
    <w:sectPr w:rsidR="00485B76" w:rsidRPr="00233F17" w:rsidSect="00857040">
      <w:footerReference w:type="even" r:id="rId7"/>
      <w:foot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650CA" w14:textId="77777777" w:rsidR="001E0328" w:rsidRDefault="001E0328" w:rsidP="00F718CE">
      <w:r>
        <w:separator/>
      </w:r>
    </w:p>
  </w:endnote>
  <w:endnote w:type="continuationSeparator" w:id="0">
    <w:p w14:paraId="1ABFB4C2" w14:textId="77777777" w:rsidR="001E0328" w:rsidRDefault="001E0328" w:rsidP="00F7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2654815"/>
      <w:docPartObj>
        <w:docPartGallery w:val="Page Numbers (Bottom of Page)"/>
        <w:docPartUnique/>
      </w:docPartObj>
    </w:sdtPr>
    <w:sdtEndPr>
      <w:rPr>
        <w:rStyle w:val="PageNumber"/>
      </w:rPr>
    </w:sdtEndPr>
    <w:sdtContent>
      <w:p w14:paraId="1ACA625E" w14:textId="77777777" w:rsidR="00CD2D30" w:rsidRDefault="00CD2D30" w:rsidP="00F427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C6C8A" w14:textId="77777777" w:rsidR="00CD2D30" w:rsidRDefault="00CD2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ajorBidi" w:hAnsiTheme="majorBidi" w:cstheme="majorBidi"/>
      </w:rPr>
      <w:id w:val="135159258"/>
      <w:docPartObj>
        <w:docPartGallery w:val="Page Numbers (Bottom of Page)"/>
        <w:docPartUnique/>
      </w:docPartObj>
    </w:sdtPr>
    <w:sdtEndPr>
      <w:rPr>
        <w:rStyle w:val="PageNumber"/>
      </w:rPr>
    </w:sdtEndPr>
    <w:sdtContent>
      <w:p w14:paraId="1E571E7D" w14:textId="77777777" w:rsidR="00CD2D30" w:rsidRPr="00147CCE" w:rsidRDefault="00CD2D30" w:rsidP="00F42757">
        <w:pPr>
          <w:pStyle w:val="Footer"/>
          <w:framePr w:wrap="none" w:vAnchor="text" w:hAnchor="margin" w:xAlign="center" w:y="1"/>
          <w:rPr>
            <w:rStyle w:val="PageNumber"/>
            <w:rFonts w:asciiTheme="majorBidi" w:hAnsiTheme="majorBidi" w:cstheme="majorBidi"/>
          </w:rPr>
        </w:pPr>
        <w:r w:rsidRPr="00147CCE">
          <w:rPr>
            <w:rStyle w:val="PageNumber"/>
            <w:rFonts w:asciiTheme="majorBidi" w:hAnsiTheme="majorBidi" w:cstheme="majorBidi"/>
          </w:rPr>
          <w:fldChar w:fldCharType="begin"/>
        </w:r>
        <w:r w:rsidRPr="00147CCE">
          <w:rPr>
            <w:rStyle w:val="PageNumber"/>
            <w:rFonts w:asciiTheme="majorBidi" w:hAnsiTheme="majorBidi" w:cstheme="majorBidi"/>
          </w:rPr>
          <w:instrText xml:space="preserve"> PAGE </w:instrText>
        </w:r>
        <w:r w:rsidRPr="00147CCE">
          <w:rPr>
            <w:rStyle w:val="PageNumber"/>
            <w:rFonts w:asciiTheme="majorBidi" w:hAnsiTheme="majorBidi" w:cstheme="majorBidi"/>
          </w:rPr>
          <w:fldChar w:fldCharType="separate"/>
        </w:r>
        <w:r w:rsidRPr="00147CCE">
          <w:rPr>
            <w:rStyle w:val="PageNumber"/>
            <w:rFonts w:asciiTheme="majorBidi" w:hAnsiTheme="majorBidi" w:cstheme="majorBidi"/>
            <w:noProof/>
          </w:rPr>
          <w:t>1</w:t>
        </w:r>
        <w:r w:rsidRPr="00147CCE">
          <w:rPr>
            <w:rStyle w:val="PageNumber"/>
            <w:rFonts w:asciiTheme="majorBidi" w:hAnsiTheme="majorBidi" w:cstheme="majorBidi"/>
          </w:rPr>
          <w:fldChar w:fldCharType="end"/>
        </w:r>
      </w:p>
    </w:sdtContent>
  </w:sdt>
  <w:p w14:paraId="0F3975DC" w14:textId="77777777" w:rsidR="00CD2D30" w:rsidRDefault="00CD2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01252" w14:textId="77777777" w:rsidR="001E0328" w:rsidRDefault="001E0328" w:rsidP="00F718CE">
      <w:r>
        <w:separator/>
      </w:r>
    </w:p>
  </w:footnote>
  <w:footnote w:type="continuationSeparator" w:id="0">
    <w:p w14:paraId="476945B6" w14:textId="77777777" w:rsidR="001E0328" w:rsidRDefault="001E0328" w:rsidP="00F718CE">
      <w:r>
        <w:continuationSeparator/>
      </w:r>
    </w:p>
  </w:footnote>
  <w:footnote w:id="1">
    <w:p w14:paraId="1DF3C236" w14:textId="0AF51E82"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For a more detailed account of the developments outlined in this paragraph, as well as references, see Chapter 1.</w:t>
      </w:r>
    </w:p>
  </w:footnote>
  <w:footnote w:id="2">
    <w:p w14:paraId="4C47EE09" w14:textId="77777777"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See Chapter 3.</w:t>
      </w:r>
    </w:p>
  </w:footnote>
  <w:footnote w:id="3">
    <w:p w14:paraId="688CD1FB" w14:textId="1AF5FA7B"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George </w:t>
      </w:r>
      <w:proofErr w:type="spellStart"/>
      <w:r w:rsidRPr="00AE2C15">
        <w:rPr>
          <w:rFonts w:asciiTheme="majorBidi" w:hAnsiTheme="majorBidi" w:cstheme="majorBidi"/>
          <w:color w:val="000000" w:themeColor="text1"/>
          <w:sz w:val="20"/>
          <w:szCs w:val="20"/>
        </w:rPr>
        <w:t>Makdisi</w:t>
      </w:r>
      <w:proofErr w:type="spellEnd"/>
      <w:r w:rsidRPr="00AE2C15">
        <w:rPr>
          <w:rFonts w:asciiTheme="majorBidi" w:hAnsiTheme="majorBidi" w:cstheme="majorBidi"/>
          <w:color w:val="000000" w:themeColor="text1"/>
          <w:sz w:val="20"/>
          <w:szCs w:val="20"/>
        </w:rPr>
        <w:t xml:space="preserve">, “Muslim Institutions of Learning in Eleventh-Century Baghdad,” </w:t>
      </w:r>
      <w:r w:rsidRPr="00AE2C15">
        <w:rPr>
          <w:rFonts w:asciiTheme="majorBidi" w:hAnsiTheme="majorBidi" w:cstheme="majorBidi"/>
          <w:i/>
          <w:iCs/>
          <w:color w:val="000000" w:themeColor="text1"/>
          <w:sz w:val="20"/>
          <w:szCs w:val="20"/>
        </w:rPr>
        <w:t>Bulletin of the School of Oriental and African Studies</w:t>
      </w:r>
      <w:r w:rsidRPr="00AE2C15">
        <w:rPr>
          <w:rFonts w:asciiTheme="majorBidi" w:hAnsiTheme="majorBidi" w:cstheme="majorBidi"/>
          <w:color w:val="000000" w:themeColor="text1"/>
          <w:sz w:val="20"/>
          <w:szCs w:val="20"/>
        </w:rPr>
        <w:t xml:space="preserve"> 24, no. 1 (1961): 1–56; Daphna </w:t>
      </w:r>
      <w:proofErr w:type="spellStart"/>
      <w:r w:rsidRPr="00AE2C15">
        <w:rPr>
          <w:rFonts w:asciiTheme="majorBidi" w:hAnsiTheme="majorBidi" w:cstheme="majorBidi"/>
          <w:color w:val="000000" w:themeColor="text1"/>
          <w:sz w:val="20"/>
          <w:szCs w:val="20"/>
        </w:rPr>
        <w:t>Ephrat</w:t>
      </w:r>
      <w:proofErr w:type="spellEnd"/>
      <w:r w:rsidRPr="00AE2C15">
        <w:rPr>
          <w:rFonts w:asciiTheme="majorBidi" w:hAnsiTheme="majorBidi" w:cstheme="majorBidi"/>
          <w:color w:val="000000" w:themeColor="text1"/>
          <w:sz w:val="20"/>
          <w:szCs w:val="20"/>
        </w:rPr>
        <w:t xml:space="preserve">, “The Seljuqs and the Public Sphere in the Period of Sunni Revivalism: The View from Baghdad,” in </w:t>
      </w:r>
      <w:r w:rsidRPr="00AE2C15">
        <w:rPr>
          <w:rFonts w:asciiTheme="majorBidi" w:hAnsiTheme="majorBidi" w:cstheme="majorBidi"/>
          <w:i/>
          <w:iCs/>
          <w:color w:val="000000" w:themeColor="text1"/>
          <w:sz w:val="20"/>
          <w:szCs w:val="20"/>
        </w:rPr>
        <w:t>The Seljuqs: Politics, Society and Culture</w:t>
      </w:r>
      <w:r w:rsidRPr="00AE2C15">
        <w:rPr>
          <w:rFonts w:asciiTheme="majorBidi" w:hAnsiTheme="majorBidi" w:cstheme="majorBidi"/>
          <w:color w:val="000000" w:themeColor="text1"/>
          <w:sz w:val="20"/>
          <w:szCs w:val="20"/>
        </w:rPr>
        <w:t xml:space="preserve">, ed. Christian Lange and </w:t>
      </w:r>
      <w:proofErr w:type="spellStart"/>
      <w:r w:rsidRPr="00AE2C15">
        <w:rPr>
          <w:rFonts w:asciiTheme="majorBidi" w:hAnsiTheme="majorBidi" w:cstheme="majorBidi"/>
          <w:color w:val="000000" w:themeColor="text1"/>
          <w:sz w:val="20"/>
          <w:szCs w:val="20"/>
        </w:rPr>
        <w:t>Songül</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Mecit</w:t>
      </w:r>
      <w:proofErr w:type="spellEnd"/>
      <w:r w:rsidRPr="00AE2C15">
        <w:rPr>
          <w:rFonts w:asciiTheme="majorBidi" w:hAnsiTheme="majorBidi" w:cstheme="majorBidi"/>
          <w:color w:val="000000" w:themeColor="text1"/>
          <w:sz w:val="20"/>
          <w:szCs w:val="20"/>
        </w:rPr>
        <w:t xml:space="preserve"> (Edinburgh: Edinburgh University Press, 2011), 139–56; Omid Safi, </w:t>
      </w:r>
      <w:r w:rsidRPr="00AE2C15">
        <w:rPr>
          <w:rFonts w:asciiTheme="majorBidi" w:hAnsiTheme="majorBidi" w:cstheme="majorBidi"/>
          <w:i/>
          <w:iCs/>
          <w:color w:val="000000" w:themeColor="text1"/>
          <w:sz w:val="20"/>
          <w:szCs w:val="20"/>
        </w:rPr>
        <w:t>The Politics of Knowledge in Premodern Islam: Negotiating Ideology and Religious Inquiry</w:t>
      </w:r>
      <w:r w:rsidRPr="00AE2C15">
        <w:rPr>
          <w:rFonts w:asciiTheme="majorBidi" w:hAnsiTheme="majorBidi" w:cstheme="majorBidi"/>
          <w:color w:val="000000" w:themeColor="text1"/>
          <w:sz w:val="20"/>
          <w:szCs w:val="20"/>
        </w:rPr>
        <w:t xml:space="preserve"> (Chapel Hill: University of North Carolina Press, 2006), 90–100, 125–57; D. G. Tor, “‘Sovereign and Pious’: The Religious Life of the Great Seljuq Sultans,” in Lange and </w:t>
      </w:r>
      <w:proofErr w:type="spellStart"/>
      <w:r w:rsidRPr="00AE2C15">
        <w:rPr>
          <w:rFonts w:asciiTheme="majorBidi" w:hAnsiTheme="majorBidi" w:cstheme="majorBidi"/>
          <w:color w:val="000000" w:themeColor="text1"/>
          <w:sz w:val="20"/>
          <w:szCs w:val="20"/>
        </w:rPr>
        <w:t>Mecit</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The Seljuqs</w:t>
      </w:r>
      <w:r w:rsidRPr="00AE2C15">
        <w:rPr>
          <w:rFonts w:asciiTheme="majorBidi" w:hAnsiTheme="majorBidi" w:cstheme="majorBidi"/>
          <w:color w:val="000000" w:themeColor="text1"/>
          <w:sz w:val="20"/>
          <w:szCs w:val="20"/>
        </w:rPr>
        <w:t>,</w:t>
      </w:r>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 xml:space="preserve">39–62; A. C. S. Peacock, </w:t>
      </w:r>
      <w:r w:rsidRPr="00AE2C15">
        <w:rPr>
          <w:rFonts w:asciiTheme="majorBidi" w:hAnsiTheme="majorBidi" w:cstheme="majorBidi"/>
          <w:i/>
          <w:iCs/>
          <w:color w:val="000000" w:themeColor="text1"/>
          <w:sz w:val="20"/>
          <w:szCs w:val="20"/>
        </w:rPr>
        <w:t>The Great Seljuk Empire</w:t>
      </w:r>
      <w:r w:rsidRPr="00AE2C15">
        <w:rPr>
          <w:rFonts w:asciiTheme="majorBidi" w:hAnsiTheme="majorBidi" w:cstheme="majorBidi"/>
          <w:color w:val="000000" w:themeColor="text1"/>
          <w:sz w:val="20"/>
          <w:szCs w:val="20"/>
        </w:rPr>
        <w:t xml:space="preserve"> (Edinburgh: Edinburgh University Press, 2015), 211–15, 250–56.</w:t>
      </w:r>
    </w:p>
  </w:footnote>
  <w:footnote w:id="4">
    <w:p w14:paraId="5359CBFE" w14:textId="046B8D8D"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Christian Lange, </w:t>
      </w:r>
      <w:r w:rsidRPr="00AE2C15">
        <w:rPr>
          <w:rFonts w:asciiTheme="majorBidi" w:hAnsiTheme="majorBidi" w:cstheme="majorBidi"/>
          <w:i/>
          <w:iCs/>
          <w:color w:val="000000" w:themeColor="text1"/>
          <w:sz w:val="20"/>
          <w:szCs w:val="20"/>
        </w:rPr>
        <w:t>Justice, Punishment, and the Medieval Muslim Imagination</w:t>
      </w:r>
      <w:r w:rsidRPr="00AE2C15">
        <w:rPr>
          <w:rFonts w:asciiTheme="majorBidi" w:hAnsiTheme="majorBidi" w:cstheme="majorBidi"/>
          <w:color w:val="000000" w:themeColor="text1"/>
          <w:sz w:val="20"/>
          <w:szCs w:val="20"/>
        </w:rPr>
        <w:t xml:space="preserve"> (New York: Cambridge University Press, 2008), 179–243; Felicitas </w:t>
      </w:r>
      <w:proofErr w:type="spellStart"/>
      <w:r w:rsidRPr="00AE2C15">
        <w:rPr>
          <w:rFonts w:asciiTheme="majorBidi" w:hAnsiTheme="majorBidi" w:cstheme="majorBidi"/>
          <w:color w:val="000000" w:themeColor="text1"/>
          <w:sz w:val="20"/>
          <w:szCs w:val="20"/>
        </w:rPr>
        <w:t>Opwis</w:t>
      </w:r>
      <w:proofErr w:type="spellEnd"/>
      <w:r w:rsidRPr="00AE2C15">
        <w:rPr>
          <w:rFonts w:asciiTheme="majorBidi" w:hAnsiTheme="majorBidi" w:cstheme="majorBidi"/>
          <w:color w:val="000000" w:themeColor="text1"/>
          <w:sz w:val="20"/>
          <w:szCs w:val="20"/>
        </w:rPr>
        <w:t xml:space="preserve">, “Shifting Legal Authority from the Ruler to the </w:t>
      </w:r>
      <w:proofErr w:type="spellStart"/>
      <w:r w:rsidRPr="00AE2C15">
        <w:rPr>
          <w:rFonts w:asciiTheme="majorBidi" w:hAnsiTheme="majorBidi" w:cstheme="majorBidi"/>
          <w:i/>
          <w:iCs/>
          <w:color w:val="000000" w:themeColor="text1"/>
          <w:sz w:val="20"/>
          <w:szCs w:val="20"/>
        </w:rPr>
        <w:t>ʿUlamāʾ</w:t>
      </w:r>
      <w:proofErr w:type="spellEnd"/>
      <w:r w:rsidRPr="00AE2C15">
        <w:rPr>
          <w:rFonts w:asciiTheme="majorBidi" w:hAnsiTheme="majorBidi" w:cstheme="majorBidi"/>
          <w:color w:val="000000" w:themeColor="text1"/>
          <w:sz w:val="20"/>
          <w:szCs w:val="20"/>
        </w:rPr>
        <w:t xml:space="preserve">: Rationalizing the Punishment for Drinking Wine during the </w:t>
      </w:r>
      <w:proofErr w:type="spellStart"/>
      <w:r w:rsidRPr="00AE2C15">
        <w:rPr>
          <w:rFonts w:asciiTheme="majorBidi" w:hAnsiTheme="majorBidi" w:cstheme="majorBidi"/>
          <w:color w:val="000000" w:themeColor="text1"/>
          <w:sz w:val="20"/>
          <w:szCs w:val="20"/>
        </w:rPr>
        <w:t>Saljūq</w:t>
      </w:r>
      <w:proofErr w:type="spellEnd"/>
      <w:r w:rsidRPr="00AE2C15">
        <w:rPr>
          <w:rFonts w:asciiTheme="majorBidi" w:hAnsiTheme="majorBidi" w:cstheme="majorBidi"/>
          <w:color w:val="000000" w:themeColor="text1"/>
          <w:sz w:val="20"/>
          <w:szCs w:val="20"/>
        </w:rPr>
        <w:t xml:space="preserve"> Period,” </w:t>
      </w:r>
      <w:r w:rsidRPr="00AE2C15">
        <w:rPr>
          <w:rFonts w:asciiTheme="majorBidi" w:hAnsiTheme="majorBidi" w:cstheme="majorBidi"/>
          <w:i/>
          <w:iCs/>
          <w:color w:val="000000" w:themeColor="text1"/>
          <w:sz w:val="20"/>
          <w:szCs w:val="20"/>
        </w:rPr>
        <w:t>Der Islam</w:t>
      </w:r>
      <w:r w:rsidRPr="00AE2C15">
        <w:rPr>
          <w:rFonts w:asciiTheme="majorBidi" w:hAnsiTheme="majorBidi" w:cstheme="majorBidi"/>
          <w:color w:val="000000" w:themeColor="text1"/>
          <w:sz w:val="20"/>
          <w:szCs w:val="20"/>
        </w:rPr>
        <w:t xml:space="preserve"> 86 (2011): 65–92.</w:t>
      </w:r>
    </w:p>
  </w:footnote>
  <w:footnote w:id="5">
    <w:p w14:paraId="110475F4" w14:textId="556B2DE5"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Daphna </w:t>
      </w:r>
      <w:proofErr w:type="spellStart"/>
      <w:r w:rsidRPr="00AE2C15">
        <w:rPr>
          <w:rFonts w:asciiTheme="majorBidi" w:hAnsiTheme="majorBidi" w:cstheme="majorBidi"/>
          <w:color w:val="000000" w:themeColor="text1"/>
          <w:sz w:val="20"/>
          <w:szCs w:val="20"/>
        </w:rPr>
        <w:t>Ephrat</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 xml:space="preserve">A Learned Society in a Period of Transition: The Sunni </w:t>
      </w:r>
      <w:proofErr w:type="spellStart"/>
      <w:r w:rsidRPr="00AE2C15">
        <w:rPr>
          <w:rFonts w:asciiTheme="majorBidi" w:hAnsiTheme="majorBidi" w:cstheme="majorBidi"/>
          <w:i/>
          <w:iCs/>
          <w:color w:val="000000" w:themeColor="text1"/>
          <w:sz w:val="20"/>
          <w:szCs w:val="20"/>
        </w:rPr>
        <w:t>ʿUlamāʾ</w:t>
      </w:r>
      <w:proofErr w:type="spellEnd"/>
      <w:r w:rsidRPr="00AE2C15">
        <w:rPr>
          <w:rFonts w:asciiTheme="majorBidi" w:hAnsiTheme="majorBidi" w:cstheme="majorBidi"/>
          <w:i/>
          <w:iCs/>
          <w:color w:val="000000" w:themeColor="text1"/>
          <w:sz w:val="20"/>
          <w:szCs w:val="20"/>
        </w:rPr>
        <w:t xml:space="preserve"> of Eleventh-Century Baghdad</w:t>
      </w:r>
      <w:r w:rsidRPr="00AE2C15">
        <w:rPr>
          <w:rFonts w:asciiTheme="majorBidi" w:hAnsiTheme="majorBidi" w:cstheme="majorBidi"/>
          <w:color w:val="000000" w:themeColor="text1"/>
          <w:sz w:val="20"/>
          <w:szCs w:val="20"/>
        </w:rPr>
        <w:t xml:space="preserve"> (Albany: State University of New York Press, 2000), 127. See also Ann K. S. Lambton, “The Internal Structure of the </w:t>
      </w:r>
      <w:proofErr w:type="spellStart"/>
      <w:r w:rsidRPr="00AE2C15">
        <w:rPr>
          <w:rFonts w:asciiTheme="majorBidi" w:hAnsiTheme="majorBidi" w:cstheme="majorBidi"/>
          <w:color w:val="000000" w:themeColor="text1"/>
          <w:sz w:val="20"/>
          <w:szCs w:val="20"/>
        </w:rPr>
        <w:t>Saljuq</w:t>
      </w:r>
      <w:proofErr w:type="spellEnd"/>
      <w:r w:rsidRPr="00AE2C15">
        <w:rPr>
          <w:rFonts w:asciiTheme="majorBidi" w:hAnsiTheme="majorBidi" w:cstheme="majorBidi"/>
          <w:color w:val="000000" w:themeColor="text1"/>
          <w:sz w:val="20"/>
          <w:szCs w:val="20"/>
        </w:rPr>
        <w:t xml:space="preserve"> Empire,” in </w:t>
      </w:r>
      <w:r w:rsidRPr="00AE2C15">
        <w:rPr>
          <w:rFonts w:asciiTheme="majorBidi" w:hAnsiTheme="majorBidi" w:cstheme="majorBidi"/>
          <w:i/>
          <w:iCs/>
          <w:color w:val="000000" w:themeColor="text1"/>
          <w:sz w:val="20"/>
          <w:szCs w:val="20"/>
        </w:rPr>
        <w:t xml:space="preserve">The Cambridge History of Iran, Vol. 5: The </w:t>
      </w:r>
      <w:proofErr w:type="spellStart"/>
      <w:r w:rsidRPr="00AE2C15">
        <w:rPr>
          <w:rFonts w:asciiTheme="majorBidi" w:hAnsiTheme="majorBidi" w:cstheme="majorBidi"/>
          <w:i/>
          <w:iCs/>
          <w:color w:val="000000" w:themeColor="text1"/>
          <w:sz w:val="20"/>
          <w:szCs w:val="20"/>
        </w:rPr>
        <w:t>Saljuq</w:t>
      </w:r>
      <w:proofErr w:type="spellEnd"/>
      <w:r w:rsidRPr="00AE2C15">
        <w:rPr>
          <w:rFonts w:asciiTheme="majorBidi" w:hAnsiTheme="majorBidi" w:cstheme="majorBidi"/>
          <w:i/>
          <w:iCs/>
          <w:color w:val="000000" w:themeColor="text1"/>
          <w:sz w:val="20"/>
          <w:szCs w:val="20"/>
        </w:rPr>
        <w:t xml:space="preserve"> and Mongol Periods</w:t>
      </w:r>
      <w:r w:rsidRPr="00AE2C15">
        <w:rPr>
          <w:rFonts w:asciiTheme="majorBidi" w:hAnsiTheme="majorBidi" w:cstheme="majorBidi"/>
          <w:color w:val="000000" w:themeColor="text1"/>
          <w:sz w:val="20"/>
          <w:szCs w:val="20"/>
        </w:rPr>
        <w:t xml:space="preserve">, ed. J. A. Boyle (Cambridge: Cambridge University Press, 1968), 269–70; Lange, </w:t>
      </w:r>
      <w:r w:rsidRPr="00AE2C15">
        <w:rPr>
          <w:rFonts w:asciiTheme="majorBidi" w:hAnsiTheme="majorBidi" w:cstheme="majorBidi"/>
          <w:i/>
          <w:iCs/>
          <w:color w:val="000000" w:themeColor="text1"/>
          <w:sz w:val="20"/>
          <w:szCs w:val="20"/>
        </w:rPr>
        <w:t>Justice</w:t>
      </w:r>
      <w:r w:rsidRPr="00AE2C15">
        <w:rPr>
          <w:rFonts w:asciiTheme="majorBidi" w:hAnsiTheme="majorBidi" w:cstheme="majorBidi"/>
          <w:color w:val="000000" w:themeColor="text1"/>
          <w:sz w:val="20"/>
          <w:szCs w:val="20"/>
        </w:rPr>
        <w:t xml:space="preserve">, 40; and </w:t>
      </w:r>
      <w:proofErr w:type="spellStart"/>
      <w:r w:rsidRPr="00AE2C15">
        <w:rPr>
          <w:rFonts w:asciiTheme="majorBidi" w:hAnsiTheme="majorBidi" w:cstheme="majorBidi"/>
          <w:color w:val="000000" w:themeColor="text1"/>
          <w:sz w:val="20"/>
          <w:szCs w:val="20"/>
        </w:rPr>
        <w:t>Opwis</w:t>
      </w:r>
      <w:proofErr w:type="spellEnd"/>
      <w:r w:rsidRPr="00AE2C15">
        <w:rPr>
          <w:rFonts w:asciiTheme="majorBidi" w:hAnsiTheme="majorBidi" w:cstheme="majorBidi"/>
          <w:color w:val="000000" w:themeColor="text1"/>
          <w:sz w:val="20"/>
          <w:szCs w:val="20"/>
        </w:rPr>
        <w:t xml:space="preserve">, “Shifting Legal Authority,” 73. On the </w:t>
      </w:r>
      <w:proofErr w:type="spellStart"/>
      <w:r w:rsidRPr="00AE2C15">
        <w:rPr>
          <w:rFonts w:asciiTheme="majorBidi" w:hAnsiTheme="majorBidi" w:cstheme="majorBidi"/>
          <w:i/>
          <w:iCs/>
          <w:color w:val="000000" w:themeColor="text1"/>
          <w:sz w:val="20"/>
          <w:szCs w:val="20"/>
        </w:rPr>
        <w:t>maẓālim</w:t>
      </w:r>
      <w:proofErr w:type="spellEnd"/>
      <w:r w:rsidRPr="00AE2C15">
        <w:rPr>
          <w:rFonts w:asciiTheme="majorBidi" w:hAnsiTheme="majorBidi" w:cstheme="majorBidi"/>
          <w:color w:val="000000" w:themeColor="text1"/>
          <w:sz w:val="20"/>
          <w:szCs w:val="20"/>
        </w:rPr>
        <w:t xml:space="preserve"> courts, see J. S. Nielsen, “</w:t>
      </w:r>
      <w:proofErr w:type="spellStart"/>
      <w:r w:rsidRPr="00AE2C15">
        <w:rPr>
          <w:rFonts w:asciiTheme="majorBidi" w:hAnsiTheme="majorBidi" w:cstheme="majorBidi"/>
          <w:color w:val="000000" w:themeColor="text1"/>
          <w:sz w:val="20"/>
          <w:szCs w:val="20"/>
        </w:rPr>
        <w:t>Maẓālim</w:t>
      </w:r>
      <w:proofErr w:type="spellEnd"/>
      <w:r w:rsidRPr="00AE2C15">
        <w:rPr>
          <w:rFonts w:asciiTheme="majorBidi" w:hAnsiTheme="majorBidi" w:cstheme="majorBidi"/>
          <w:color w:val="000000" w:themeColor="text1"/>
          <w:sz w:val="20"/>
          <w:szCs w:val="20"/>
        </w:rPr>
        <w:t xml:space="preserve">,” in </w:t>
      </w:r>
      <w:proofErr w:type="spellStart"/>
      <w:r w:rsidRPr="00AE2C15">
        <w:rPr>
          <w:rFonts w:asciiTheme="majorBidi" w:hAnsiTheme="majorBidi" w:cstheme="majorBidi"/>
          <w:i/>
          <w:iCs/>
          <w:color w:val="000000" w:themeColor="text1"/>
          <w:sz w:val="20"/>
          <w:szCs w:val="20"/>
        </w:rPr>
        <w:t>Encyclopaedia</w:t>
      </w:r>
      <w:proofErr w:type="spellEnd"/>
      <w:r w:rsidRPr="00AE2C15">
        <w:rPr>
          <w:rFonts w:asciiTheme="majorBidi" w:hAnsiTheme="majorBidi" w:cstheme="majorBidi"/>
          <w:i/>
          <w:iCs/>
          <w:color w:val="000000" w:themeColor="text1"/>
          <w:sz w:val="20"/>
          <w:szCs w:val="20"/>
        </w:rPr>
        <w:t xml:space="preserve"> of Islam</w:t>
      </w:r>
      <w:r w:rsidRPr="00AE2C15">
        <w:rPr>
          <w:rFonts w:asciiTheme="majorBidi" w:hAnsiTheme="majorBidi" w:cstheme="majorBidi"/>
          <w:color w:val="000000" w:themeColor="text1"/>
          <w:sz w:val="20"/>
          <w:szCs w:val="20"/>
        </w:rPr>
        <w:t>, 2</w:t>
      </w:r>
      <w:r w:rsidRPr="00AE2C15">
        <w:rPr>
          <w:rFonts w:asciiTheme="majorBidi" w:hAnsiTheme="majorBidi" w:cstheme="majorBidi"/>
          <w:color w:val="000000" w:themeColor="text1"/>
          <w:sz w:val="20"/>
          <w:szCs w:val="20"/>
          <w:vertAlign w:val="superscript"/>
        </w:rPr>
        <w:t>nd</w:t>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edn</w:t>
      </w:r>
      <w:proofErr w:type="spellEnd"/>
      <w:r w:rsidRPr="00AE2C15">
        <w:rPr>
          <w:rFonts w:asciiTheme="majorBidi" w:hAnsiTheme="majorBidi" w:cstheme="majorBidi"/>
          <w:color w:val="000000" w:themeColor="text1"/>
          <w:sz w:val="20"/>
          <w:szCs w:val="20"/>
        </w:rPr>
        <w:t xml:space="preserve">.; and Mathieu </w:t>
      </w:r>
      <w:proofErr w:type="spellStart"/>
      <w:r w:rsidRPr="00AE2C15">
        <w:rPr>
          <w:rFonts w:asciiTheme="majorBidi" w:hAnsiTheme="majorBidi" w:cstheme="majorBidi"/>
          <w:color w:val="000000" w:themeColor="text1"/>
          <w:sz w:val="20"/>
          <w:szCs w:val="20"/>
        </w:rPr>
        <w:t>Tillier</w:t>
      </w:r>
      <w:proofErr w:type="spellEnd"/>
      <w:r w:rsidRPr="00AE2C15">
        <w:rPr>
          <w:rFonts w:asciiTheme="majorBidi" w:hAnsiTheme="majorBidi" w:cstheme="majorBidi"/>
          <w:color w:val="000000" w:themeColor="text1"/>
          <w:sz w:val="20"/>
          <w:szCs w:val="20"/>
        </w:rPr>
        <w:t xml:space="preserve">, “Courts of law, historical,” in </w:t>
      </w:r>
      <w:proofErr w:type="spellStart"/>
      <w:r w:rsidRPr="00AE2C15">
        <w:rPr>
          <w:rFonts w:asciiTheme="majorBidi" w:hAnsiTheme="majorBidi" w:cstheme="majorBidi"/>
          <w:i/>
          <w:iCs/>
          <w:color w:val="000000" w:themeColor="text1"/>
          <w:sz w:val="20"/>
          <w:szCs w:val="20"/>
        </w:rPr>
        <w:t>Encyclopaedia</w:t>
      </w:r>
      <w:proofErr w:type="spellEnd"/>
      <w:r w:rsidRPr="00AE2C15">
        <w:rPr>
          <w:rFonts w:asciiTheme="majorBidi" w:hAnsiTheme="majorBidi" w:cstheme="majorBidi"/>
          <w:i/>
          <w:iCs/>
          <w:color w:val="000000" w:themeColor="text1"/>
          <w:sz w:val="20"/>
          <w:szCs w:val="20"/>
        </w:rPr>
        <w:t xml:space="preserve"> of Islam</w:t>
      </w:r>
      <w:r w:rsidRPr="00AE2C15">
        <w:rPr>
          <w:rFonts w:asciiTheme="majorBidi" w:hAnsiTheme="majorBidi" w:cstheme="majorBidi"/>
          <w:color w:val="000000" w:themeColor="text1"/>
          <w:sz w:val="20"/>
          <w:szCs w:val="20"/>
        </w:rPr>
        <w:t>, 3</w:t>
      </w:r>
      <w:r w:rsidRPr="00AE2C15">
        <w:rPr>
          <w:rFonts w:asciiTheme="majorBidi" w:hAnsiTheme="majorBidi" w:cstheme="majorBidi"/>
          <w:color w:val="000000" w:themeColor="text1"/>
          <w:sz w:val="20"/>
          <w:szCs w:val="20"/>
          <w:vertAlign w:val="superscript"/>
        </w:rPr>
        <w:t>rd</w:t>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edn</w:t>
      </w:r>
      <w:proofErr w:type="spellEnd"/>
      <w:r w:rsidRPr="00AE2C15">
        <w:rPr>
          <w:rFonts w:asciiTheme="majorBidi" w:hAnsiTheme="majorBidi" w:cstheme="majorBidi"/>
          <w:color w:val="000000" w:themeColor="text1"/>
          <w:sz w:val="20"/>
          <w:szCs w:val="20"/>
        </w:rPr>
        <w:t>.</w:t>
      </w:r>
    </w:p>
  </w:footnote>
  <w:footnote w:id="6">
    <w:p w14:paraId="7699527B" w14:textId="025A949A"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The literature on </w:t>
      </w:r>
      <w:proofErr w:type="spellStart"/>
      <w:r w:rsidRPr="00AE2C15">
        <w:rPr>
          <w:rFonts w:asciiTheme="majorBidi" w:hAnsiTheme="majorBidi" w:cstheme="majorBidi"/>
          <w:i/>
          <w:iCs/>
          <w:color w:val="000000" w:themeColor="text1"/>
          <w:sz w:val="20"/>
          <w:szCs w:val="20"/>
        </w:rPr>
        <w:t>siyāsa</w:t>
      </w:r>
      <w:proofErr w:type="spellEnd"/>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is quite extensive. See</w:t>
      </w:r>
      <w:r>
        <w:rPr>
          <w:rFonts w:asciiTheme="majorBidi" w:hAnsiTheme="majorBidi" w:cstheme="majorBidi"/>
          <w:color w:val="000000" w:themeColor="text1"/>
          <w:sz w:val="20"/>
          <w:szCs w:val="20"/>
        </w:rPr>
        <w:t xml:space="preserve"> </w:t>
      </w:r>
      <w:r w:rsidRPr="00AE2C15">
        <w:rPr>
          <w:rFonts w:asciiTheme="majorBidi" w:hAnsiTheme="majorBidi" w:cstheme="majorBidi"/>
          <w:iCs/>
          <w:color w:val="000000" w:themeColor="text1"/>
          <w:sz w:val="20"/>
          <w:szCs w:val="20"/>
        </w:rPr>
        <w:t xml:space="preserve">C. E. Bosworth, I. R. </w:t>
      </w:r>
      <w:proofErr w:type="spellStart"/>
      <w:r w:rsidRPr="00AE2C15">
        <w:rPr>
          <w:rFonts w:asciiTheme="majorBidi" w:hAnsiTheme="majorBidi" w:cstheme="majorBidi"/>
          <w:iCs/>
          <w:color w:val="000000" w:themeColor="text1"/>
          <w:sz w:val="20"/>
          <w:szCs w:val="20"/>
        </w:rPr>
        <w:t>Netton</w:t>
      </w:r>
      <w:proofErr w:type="spellEnd"/>
      <w:r w:rsidRPr="00AE2C15">
        <w:rPr>
          <w:rFonts w:asciiTheme="majorBidi" w:hAnsiTheme="majorBidi" w:cstheme="majorBidi"/>
          <w:iCs/>
          <w:color w:val="000000" w:themeColor="text1"/>
          <w:sz w:val="20"/>
          <w:szCs w:val="20"/>
        </w:rPr>
        <w:t>, and F. E. Vogel, “</w:t>
      </w:r>
      <w:proofErr w:type="spellStart"/>
      <w:r w:rsidRPr="00AE2C15">
        <w:rPr>
          <w:rFonts w:asciiTheme="majorBidi" w:hAnsiTheme="majorBidi" w:cstheme="majorBidi"/>
          <w:iCs/>
          <w:color w:val="000000" w:themeColor="text1"/>
          <w:sz w:val="20"/>
          <w:szCs w:val="20"/>
        </w:rPr>
        <w:t>Siyāsa</w:t>
      </w:r>
      <w:proofErr w:type="spellEnd"/>
      <w:r w:rsidRPr="00AE2C15">
        <w:rPr>
          <w:rFonts w:asciiTheme="majorBidi" w:hAnsiTheme="majorBidi" w:cstheme="majorBidi"/>
          <w:iCs/>
          <w:color w:val="000000" w:themeColor="text1"/>
          <w:sz w:val="20"/>
          <w:szCs w:val="20"/>
        </w:rPr>
        <w:t xml:space="preserve">,” in </w:t>
      </w:r>
      <w:proofErr w:type="spellStart"/>
      <w:r w:rsidRPr="00AE2C15">
        <w:rPr>
          <w:rFonts w:asciiTheme="majorBidi" w:hAnsiTheme="majorBidi" w:cstheme="majorBidi"/>
          <w:i/>
          <w:color w:val="000000" w:themeColor="text1"/>
          <w:sz w:val="20"/>
          <w:szCs w:val="20"/>
        </w:rPr>
        <w:t>Encyclopaedia</w:t>
      </w:r>
      <w:proofErr w:type="spellEnd"/>
      <w:r w:rsidRPr="00AE2C15">
        <w:rPr>
          <w:rFonts w:asciiTheme="majorBidi" w:hAnsiTheme="majorBidi" w:cstheme="majorBidi"/>
          <w:i/>
          <w:color w:val="000000" w:themeColor="text1"/>
          <w:sz w:val="20"/>
          <w:szCs w:val="20"/>
        </w:rPr>
        <w:t xml:space="preserve"> of Islam</w:t>
      </w:r>
      <w:r w:rsidRPr="00AE2C15">
        <w:rPr>
          <w:rFonts w:asciiTheme="majorBidi" w:hAnsiTheme="majorBidi" w:cstheme="majorBidi"/>
          <w:iCs/>
          <w:color w:val="000000" w:themeColor="text1"/>
          <w:sz w:val="20"/>
          <w:szCs w:val="20"/>
        </w:rPr>
        <w:t>, 2</w:t>
      </w:r>
      <w:r w:rsidRPr="00AE2C15">
        <w:rPr>
          <w:rFonts w:asciiTheme="majorBidi" w:hAnsiTheme="majorBidi" w:cstheme="majorBidi"/>
          <w:iCs/>
          <w:color w:val="000000" w:themeColor="text1"/>
          <w:sz w:val="20"/>
          <w:szCs w:val="20"/>
          <w:vertAlign w:val="superscript"/>
        </w:rPr>
        <w:t>nd</w:t>
      </w:r>
      <w:r w:rsidRPr="00AE2C15">
        <w:rPr>
          <w:rFonts w:asciiTheme="majorBidi" w:hAnsiTheme="majorBidi" w:cstheme="majorBidi"/>
          <w:iCs/>
          <w:color w:val="000000" w:themeColor="text1"/>
          <w:sz w:val="20"/>
          <w:szCs w:val="20"/>
        </w:rPr>
        <w:t xml:space="preserve"> </w:t>
      </w:r>
      <w:proofErr w:type="spellStart"/>
      <w:r w:rsidRPr="00AE2C15">
        <w:rPr>
          <w:rFonts w:asciiTheme="majorBidi" w:hAnsiTheme="majorBidi" w:cstheme="majorBidi"/>
          <w:iCs/>
          <w:color w:val="000000" w:themeColor="text1"/>
          <w:sz w:val="20"/>
          <w:szCs w:val="20"/>
        </w:rPr>
        <w:t>edn</w:t>
      </w:r>
      <w:proofErr w:type="spellEnd"/>
      <w:r w:rsidRPr="00AE2C15">
        <w:rPr>
          <w:rFonts w:asciiTheme="majorBidi" w:hAnsiTheme="majorBidi" w:cstheme="majorBidi"/>
          <w:iCs/>
          <w:color w:val="000000" w:themeColor="text1"/>
          <w:sz w:val="20"/>
          <w:szCs w:val="20"/>
        </w:rPr>
        <w:t xml:space="preserve">.; </w:t>
      </w:r>
      <w:proofErr w:type="spellStart"/>
      <w:r w:rsidRPr="00AE2C15">
        <w:rPr>
          <w:rFonts w:asciiTheme="majorBidi" w:hAnsiTheme="majorBidi" w:cstheme="majorBidi"/>
          <w:iCs/>
          <w:color w:val="000000" w:themeColor="text1"/>
          <w:sz w:val="20"/>
          <w:szCs w:val="20"/>
        </w:rPr>
        <w:t>Fauzi</w:t>
      </w:r>
      <w:proofErr w:type="spellEnd"/>
      <w:r w:rsidRPr="00AE2C15">
        <w:rPr>
          <w:rFonts w:asciiTheme="majorBidi" w:hAnsiTheme="majorBidi" w:cstheme="majorBidi"/>
          <w:iCs/>
          <w:color w:val="000000" w:themeColor="text1"/>
          <w:sz w:val="20"/>
          <w:szCs w:val="20"/>
        </w:rPr>
        <w:t xml:space="preserve"> M. Najjar, “</w:t>
      </w:r>
      <w:proofErr w:type="spellStart"/>
      <w:r w:rsidRPr="00AE2C15">
        <w:rPr>
          <w:rFonts w:asciiTheme="majorBidi" w:hAnsiTheme="majorBidi" w:cstheme="majorBidi"/>
          <w:i/>
          <w:color w:val="000000" w:themeColor="text1"/>
          <w:sz w:val="20"/>
          <w:szCs w:val="20"/>
        </w:rPr>
        <w:t>Siyasa</w:t>
      </w:r>
      <w:proofErr w:type="spellEnd"/>
      <w:r w:rsidRPr="00AE2C15">
        <w:rPr>
          <w:rFonts w:asciiTheme="majorBidi" w:hAnsiTheme="majorBidi" w:cstheme="majorBidi"/>
          <w:iCs/>
          <w:color w:val="000000" w:themeColor="text1"/>
          <w:sz w:val="20"/>
          <w:szCs w:val="20"/>
        </w:rPr>
        <w:t xml:space="preserve"> in Islamic Political Philosophy,” in </w:t>
      </w:r>
      <w:r w:rsidRPr="00AE2C15">
        <w:rPr>
          <w:rFonts w:asciiTheme="majorBidi" w:hAnsiTheme="majorBidi" w:cstheme="majorBidi"/>
          <w:i/>
          <w:color w:val="000000" w:themeColor="text1"/>
          <w:sz w:val="20"/>
          <w:szCs w:val="20"/>
        </w:rPr>
        <w:t>Islamic Theology and Philosophy: Studies in Honor of George F. Hourani</w:t>
      </w:r>
      <w:r w:rsidRPr="00AE2C15">
        <w:rPr>
          <w:rFonts w:asciiTheme="majorBidi" w:hAnsiTheme="majorBidi" w:cstheme="majorBidi"/>
          <w:iCs/>
          <w:color w:val="000000" w:themeColor="text1"/>
          <w:sz w:val="20"/>
          <w:szCs w:val="20"/>
        </w:rPr>
        <w:t xml:space="preserve">, ed. Michael E. </w:t>
      </w:r>
      <w:proofErr w:type="spellStart"/>
      <w:r w:rsidRPr="00AE2C15">
        <w:rPr>
          <w:rFonts w:asciiTheme="majorBidi" w:hAnsiTheme="majorBidi" w:cstheme="majorBidi"/>
          <w:iCs/>
          <w:color w:val="000000" w:themeColor="text1"/>
          <w:sz w:val="20"/>
          <w:szCs w:val="20"/>
        </w:rPr>
        <w:t>Marmura</w:t>
      </w:r>
      <w:proofErr w:type="spellEnd"/>
      <w:r w:rsidRPr="00AE2C15">
        <w:rPr>
          <w:rFonts w:asciiTheme="majorBidi" w:hAnsiTheme="majorBidi" w:cstheme="majorBidi"/>
          <w:iCs/>
          <w:color w:val="000000" w:themeColor="text1"/>
          <w:sz w:val="20"/>
          <w:szCs w:val="20"/>
        </w:rPr>
        <w:t xml:space="preserve"> (Albany: State University of New York Press, 1984), 92–110; Bernard Lewis, “</w:t>
      </w:r>
      <w:proofErr w:type="spellStart"/>
      <w:r w:rsidRPr="00AE2C15">
        <w:rPr>
          <w:rFonts w:asciiTheme="majorBidi" w:hAnsiTheme="majorBidi" w:cstheme="majorBidi"/>
          <w:iCs/>
          <w:color w:val="000000" w:themeColor="text1"/>
          <w:sz w:val="20"/>
          <w:szCs w:val="20"/>
        </w:rPr>
        <w:t>Siyāsa</w:t>
      </w:r>
      <w:proofErr w:type="spellEnd"/>
      <w:r w:rsidRPr="00AE2C15">
        <w:rPr>
          <w:rFonts w:asciiTheme="majorBidi" w:hAnsiTheme="majorBidi" w:cstheme="majorBidi"/>
          <w:iCs/>
          <w:color w:val="000000" w:themeColor="text1"/>
          <w:sz w:val="20"/>
          <w:szCs w:val="20"/>
        </w:rPr>
        <w:t xml:space="preserve">,” in </w:t>
      </w:r>
      <w:r w:rsidRPr="00AE2C15">
        <w:rPr>
          <w:rFonts w:asciiTheme="majorBidi" w:hAnsiTheme="majorBidi" w:cstheme="majorBidi"/>
          <w:i/>
          <w:color w:val="000000" w:themeColor="text1"/>
          <w:sz w:val="20"/>
          <w:szCs w:val="20"/>
        </w:rPr>
        <w:t>In Quest of an Islamic Humanism: Arabic and Islamic Studies in Memory of Mohamed al-</w:t>
      </w:r>
      <w:proofErr w:type="spellStart"/>
      <w:r w:rsidRPr="00AE2C15">
        <w:rPr>
          <w:rFonts w:asciiTheme="majorBidi" w:hAnsiTheme="majorBidi" w:cstheme="majorBidi"/>
          <w:i/>
          <w:color w:val="000000" w:themeColor="text1"/>
          <w:sz w:val="20"/>
          <w:szCs w:val="20"/>
        </w:rPr>
        <w:t>Nowaihi</w:t>
      </w:r>
      <w:proofErr w:type="spellEnd"/>
      <w:r w:rsidRPr="00AE2C15">
        <w:rPr>
          <w:rFonts w:asciiTheme="majorBidi" w:hAnsiTheme="majorBidi" w:cstheme="majorBidi"/>
          <w:iCs/>
          <w:color w:val="000000" w:themeColor="text1"/>
          <w:sz w:val="20"/>
          <w:szCs w:val="20"/>
        </w:rPr>
        <w:t>, ed. A. H. Green (Cairo: The American University in Cairo Press, 1986), 3–14</w:t>
      </w:r>
      <w:r w:rsidRPr="00AE2C15">
        <w:rPr>
          <w:rFonts w:asciiTheme="majorBidi" w:hAnsiTheme="majorBidi" w:cstheme="majorBidi"/>
          <w:color w:val="000000" w:themeColor="text1"/>
          <w:sz w:val="20"/>
          <w:szCs w:val="20"/>
        </w:rPr>
        <w:t xml:space="preserve">; Muhammad Khalid </w:t>
      </w:r>
      <w:proofErr w:type="spellStart"/>
      <w:r w:rsidRPr="00AE2C15">
        <w:rPr>
          <w:rFonts w:asciiTheme="majorBidi" w:hAnsiTheme="majorBidi" w:cstheme="majorBidi"/>
          <w:color w:val="000000" w:themeColor="text1"/>
          <w:sz w:val="20"/>
          <w:szCs w:val="20"/>
        </w:rPr>
        <w:t>Masud</w:t>
      </w:r>
      <w:proofErr w:type="spellEnd"/>
      <w:r w:rsidRPr="00AE2C15">
        <w:rPr>
          <w:rFonts w:asciiTheme="majorBidi" w:hAnsiTheme="majorBidi" w:cstheme="majorBidi"/>
          <w:color w:val="000000" w:themeColor="text1"/>
          <w:sz w:val="20"/>
          <w:szCs w:val="20"/>
        </w:rPr>
        <w:t xml:space="preserve">, “The Doctrine of </w:t>
      </w:r>
      <w:proofErr w:type="spellStart"/>
      <w:r w:rsidRPr="00AE2C15">
        <w:rPr>
          <w:rFonts w:asciiTheme="majorBidi" w:hAnsiTheme="majorBidi" w:cstheme="majorBidi"/>
          <w:i/>
          <w:iCs/>
          <w:color w:val="000000" w:themeColor="text1"/>
          <w:sz w:val="20"/>
          <w:szCs w:val="20"/>
        </w:rPr>
        <w:t>Siyāsa</w:t>
      </w:r>
      <w:proofErr w:type="spellEnd"/>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 xml:space="preserve">in Islamic Law,” </w:t>
      </w:r>
      <w:proofErr w:type="spellStart"/>
      <w:r w:rsidRPr="00AE2C15">
        <w:rPr>
          <w:rFonts w:asciiTheme="majorBidi" w:hAnsiTheme="majorBidi" w:cstheme="majorBidi"/>
          <w:i/>
          <w:iCs/>
          <w:color w:val="000000" w:themeColor="text1"/>
          <w:sz w:val="20"/>
          <w:szCs w:val="20"/>
        </w:rPr>
        <w:t>Recht</w:t>
      </w:r>
      <w:proofErr w:type="spellEnd"/>
      <w:r w:rsidRPr="00AE2C15">
        <w:rPr>
          <w:rFonts w:asciiTheme="majorBidi" w:hAnsiTheme="majorBidi" w:cstheme="majorBidi"/>
          <w:i/>
          <w:iCs/>
          <w:color w:val="000000" w:themeColor="text1"/>
          <w:sz w:val="20"/>
          <w:szCs w:val="20"/>
        </w:rPr>
        <w:t xml:space="preserve"> van de Islam </w:t>
      </w:r>
      <w:r w:rsidRPr="00AE2C15">
        <w:rPr>
          <w:rFonts w:asciiTheme="majorBidi" w:hAnsiTheme="majorBidi" w:cstheme="majorBidi"/>
          <w:color w:val="000000" w:themeColor="text1"/>
          <w:sz w:val="20"/>
          <w:szCs w:val="20"/>
        </w:rPr>
        <w:t xml:space="preserve">18 (2001): 1–29; Lange, </w:t>
      </w:r>
      <w:r w:rsidRPr="00AE2C15">
        <w:rPr>
          <w:rFonts w:asciiTheme="majorBidi" w:hAnsiTheme="majorBidi" w:cstheme="majorBidi"/>
          <w:i/>
          <w:iCs/>
          <w:color w:val="000000" w:themeColor="text1"/>
          <w:sz w:val="20"/>
          <w:szCs w:val="20"/>
        </w:rPr>
        <w:t>Justice</w:t>
      </w:r>
      <w:r w:rsidRPr="00AE2C15">
        <w:rPr>
          <w:rFonts w:asciiTheme="majorBidi" w:hAnsiTheme="majorBidi" w:cstheme="majorBidi"/>
          <w:color w:val="000000" w:themeColor="text1"/>
          <w:sz w:val="20"/>
          <w:szCs w:val="20"/>
        </w:rPr>
        <w:t xml:space="preserve">, 42–44, 180–81; </w:t>
      </w:r>
      <w:r>
        <w:rPr>
          <w:rFonts w:asciiTheme="majorBidi" w:hAnsiTheme="majorBidi" w:cstheme="majorBidi"/>
          <w:color w:val="000000" w:themeColor="text1"/>
          <w:sz w:val="20"/>
          <w:szCs w:val="20"/>
        </w:rPr>
        <w:t xml:space="preserve">Kristen Stilt, </w:t>
      </w:r>
      <w:r>
        <w:rPr>
          <w:rFonts w:asciiTheme="majorBidi" w:hAnsiTheme="majorBidi" w:cstheme="majorBidi"/>
          <w:i/>
          <w:iCs/>
          <w:color w:val="000000" w:themeColor="text1"/>
          <w:sz w:val="20"/>
          <w:szCs w:val="20"/>
        </w:rPr>
        <w:t xml:space="preserve">Islamic Law in Action: Authority, Discretion, and Everyday Experiences in Mamluk Egypt </w:t>
      </w:r>
      <w:r>
        <w:rPr>
          <w:rFonts w:asciiTheme="majorBidi" w:hAnsiTheme="majorBidi" w:cstheme="majorBidi"/>
          <w:color w:val="000000" w:themeColor="text1"/>
          <w:sz w:val="20"/>
          <w:szCs w:val="20"/>
        </w:rPr>
        <w:t xml:space="preserve">(Oxford: Oxford University Press, 2011); </w:t>
      </w:r>
      <w:proofErr w:type="spellStart"/>
      <w:r w:rsidRPr="00AE2C15">
        <w:rPr>
          <w:rFonts w:asciiTheme="majorBidi" w:hAnsiTheme="majorBidi" w:cstheme="majorBidi"/>
          <w:iCs/>
          <w:color w:val="000000" w:themeColor="text1"/>
          <w:sz w:val="20"/>
          <w:szCs w:val="20"/>
        </w:rPr>
        <w:t>Yossef</w:t>
      </w:r>
      <w:proofErr w:type="spellEnd"/>
      <w:r w:rsidRPr="00AE2C15">
        <w:rPr>
          <w:rFonts w:asciiTheme="majorBidi" w:hAnsiTheme="majorBidi" w:cstheme="majorBidi"/>
          <w:iCs/>
          <w:color w:val="000000" w:themeColor="text1"/>
          <w:sz w:val="20"/>
          <w:szCs w:val="20"/>
        </w:rPr>
        <w:t xml:space="preserve"> Rapoport, “Royal Justice and Religious Law: </w:t>
      </w:r>
      <w:proofErr w:type="spellStart"/>
      <w:r w:rsidRPr="00AE2C15">
        <w:rPr>
          <w:rFonts w:asciiTheme="majorBidi" w:hAnsiTheme="majorBidi" w:cstheme="majorBidi"/>
          <w:i/>
          <w:color w:val="000000" w:themeColor="text1"/>
          <w:sz w:val="20"/>
          <w:szCs w:val="20"/>
        </w:rPr>
        <w:t>Siyāsah</w:t>
      </w:r>
      <w:proofErr w:type="spellEnd"/>
      <w:r w:rsidRPr="00AE2C15">
        <w:rPr>
          <w:rFonts w:asciiTheme="majorBidi" w:hAnsiTheme="majorBidi" w:cstheme="majorBidi"/>
          <w:i/>
          <w:color w:val="000000" w:themeColor="text1"/>
          <w:sz w:val="20"/>
          <w:szCs w:val="20"/>
        </w:rPr>
        <w:t xml:space="preserve"> </w:t>
      </w:r>
      <w:r w:rsidRPr="00AE2C15">
        <w:rPr>
          <w:rFonts w:asciiTheme="majorBidi" w:hAnsiTheme="majorBidi" w:cstheme="majorBidi"/>
          <w:iCs/>
          <w:color w:val="000000" w:themeColor="text1"/>
          <w:sz w:val="20"/>
          <w:szCs w:val="20"/>
        </w:rPr>
        <w:t xml:space="preserve">and </w:t>
      </w:r>
      <w:proofErr w:type="spellStart"/>
      <w:r w:rsidRPr="00AE2C15">
        <w:rPr>
          <w:rFonts w:asciiTheme="majorBidi" w:hAnsiTheme="majorBidi" w:cstheme="majorBidi"/>
          <w:iCs/>
          <w:color w:val="000000" w:themeColor="text1"/>
          <w:sz w:val="20"/>
          <w:szCs w:val="20"/>
        </w:rPr>
        <w:t>Shariʿah</w:t>
      </w:r>
      <w:proofErr w:type="spellEnd"/>
      <w:r w:rsidRPr="00AE2C15">
        <w:rPr>
          <w:rFonts w:asciiTheme="majorBidi" w:hAnsiTheme="majorBidi" w:cstheme="majorBidi"/>
          <w:iCs/>
          <w:color w:val="000000" w:themeColor="text1"/>
          <w:sz w:val="20"/>
          <w:szCs w:val="20"/>
        </w:rPr>
        <w:t xml:space="preserve"> under the Mamluks,” </w:t>
      </w:r>
      <w:r w:rsidRPr="00AE2C15">
        <w:rPr>
          <w:rFonts w:asciiTheme="majorBidi" w:hAnsiTheme="majorBidi" w:cstheme="majorBidi"/>
          <w:i/>
          <w:color w:val="000000" w:themeColor="text1"/>
          <w:sz w:val="20"/>
          <w:szCs w:val="20"/>
        </w:rPr>
        <w:t>Mamluk Studies Review</w:t>
      </w:r>
      <w:r w:rsidRPr="00AE2C15">
        <w:rPr>
          <w:rFonts w:asciiTheme="majorBidi" w:hAnsiTheme="majorBidi" w:cstheme="majorBidi"/>
          <w:iCs/>
          <w:color w:val="000000" w:themeColor="text1"/>
          <w:sz w:val="20"/>
          <w:szCs w:val="20"/>
        </w:rPr>
        <w:t xml:space="preserve"> 16 (2012): 71–102; </w:t>
      </w:r>
      <w:proofErr w:type="spellStart"/>
      <w:r w:rsidRPr="00AE2C15">
        <w:rPr>
          <w:rFonts w:asciiTheme="majorBidi" w:hAnsiTheme="majorBidi" w:cstheme="majorBidi"/>
          <w:iCs/>
          <w:color w:val="000000" w:themeColor="text1"/>
          <w:sz w:val="20"/>
          <w:szCs w:val="20"/>
        </w:rPr>
        <w:t>Ovamir</w:t>
      </w:r>
      <w:proofErr w:type="spellEnd"/>
      <w:r w:rsidRPr="00AE2C15">
        <w:rPr>
          <w:rFonts w:asciiTheme="majorBidi" w:hAnsiTheme="majorBidi" w:cstheme="majorBidi"/>
          <w:iCs/>
          <w:color w:val="000000" w:themeColor="text1"/>
          <w:sz w:val="20"/>
          <w:szCs w:val="20"/>
        </w:rPr>
        <w:t xml:space="preserve"> Anjum, </w:t>
      </w:r>
      <w:r w:rsidRPr="00AE2C15">
        <w:rPr>
          <w:rFonts w:asciiTheme="majorBidi" w:hAnsiTheme="majorBidi" w:cstheme="majorBidi"/>
          <w:i/>
          <w:color w:val="000000" w:themeColor="text1"/>
          <w:sz w:val="20"/>
          <w:szCs w:val="20"/>
        </w:rPr>
        <w:t xml:space="preserve">Politics, Law, and Community in Islamic Thought: The </w:t>
      </w:r>
      <w:proofErr w:type="spellStart"/>
      <w:r w:rsidRPr="00AE2C15">
        <w:rPr>
          <w:rFonts w:asciiTheme="majorBidi" w:hAnsiTheme="majorBidi" w:cstheme="majorBidi"/>
          <w:i/>
          <w:color w:val="000000" w:themeColor="text1"/>
          <w:sz w:val="20"/>
          <w:szCs w:val="20"/>
        </w:rPr>
        <w:t>Taymiyyan</w:t>
      </w:r>
      <w:proofErr w:type="spellEnd"/>
      <w:r w:rsidRPr="00AE2C15">
        <w:rPr>
          <w:rFonts w:asciiTheme="majorBidi" w:hAnsiTheme="majorBidi" w:cstheme="majorBidi"/>
          <w:i/>
          <w:color w:val="000000" w:themeColor="text1"/>
          <w:sz w:val="20"/>
          <w:szCs w:val="20"/>
        </w:rPr>
        <w:t xml:space="preserve"> Moment</w:t>
      </w:r>
      <w:r w:rsidRPr="00AE2C15">
        <w:rPr>
          <w:rFonts w:asciiTheme="majorBidi" w:hAnsiTheme="majorBidi" w:cstheme="majorBidi"/>
          <w:iCs/>
          <w:color w:val="000000" w:themeColor="text1"/>
          <w:sz w:val="20"/>
          <w:szCs w:val="20"/>
        </w:rPr>
        <w:t xml:space="preserve"> (New York: Cambridge University Press, 2012), 59–60, 95–107</w:t>
      </w:r>
      <w:r w:rsidRPr="00AE2C15">
        <w:rPr>
          <w:rFonts w:asciiTheme="majorBidi" w:hAnsiTheme="majorBidi" w:cstheme="majorBidi"/>
          <w:color w:val="000000" w:themeColor="text1"/>
          <w:sz w:val="20"/>
          <w:szCs w:val="20"/>
        </w:rPr>
        <w:t xml:space="preserve">; Tengku Ahmad Hazri, “Conceptions of the Political in Islamic Thought: Reconciling Legal and Philosophic Approaches to </w:t>
      </w:r>
      <w:proofErr w:type="spellStart"/>
      <w:r w:rsidRPr="00AE2C15">
        <w:rPr>
          <w:rFonts w:asciiTheme="majorBidi" w:hAnsiTheme="majorBidi" w:cstheme="majorBidi"/>
          <w:i/>
          <w:iCs/>
          <w:color w:val="000000" w:themeColor="text1"/>
          <w:sz w:val="20"/>
          <w:szCs w:val="20"/>
        </w:rPr>
        <w:t>Siyāsah</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 xml:space="preserve">Islam and </w:t>
      </w:r>
      <w:proofErr w:type="spellStart"/>
      <w:r w:rsidRPr="00AE2C15">
        <w:rPr>
          <w:rFonts w:asciiTheme="majorBidi" w:hAnsiTheme="majorBidi" w:cstheme="majorBidi"/>
          <w:i/>
          <w:iCs/>
          <w:color w:val="000000" w:themeColor="text1"/>
          <w:sz w:val="20"/>
          <w:szCs w:val="20"/>
        </w:rPr>
        <w:t>Civilisational</w:t>
      </w:r>
      <w:proofErr w:type="spellEnd"/>
      <w:r w:rsidRPr="00AE2C15">
        <w:rPr>
          <w:rFonts w:asciiTheme="majorBidi" w:hAnsiTheme="majorBidi" w:cstheme="majorBidi"/>
          <w:i/>
          <w:iCs/>
          <w:color w:val="000000" w:themeColor="text1"/>
          <w:sz w:val="20"/>
          <w:szCs w:val="20"/>
        </w:rPr>
        <w:t xml:space="preserve"> Revival</w:t>
      </w:r>
      <w:r w:rsidRPr="00AE2C15">
        <w:rPr>
          <w:rFonts w:asciiTheme="majorBidi" w:hAnsiTheme="majorBidi" w:cstheme="majorBidi"/>
          <w:color w:val="000000" w:themeColor="text1"/>
          <w:sz w:val="20"/>
          <w:szCs w:val="20"/>
        </w:rPr>
        <w:t xml:space="preserve"> 5, no. 2 (2014): 162–82; Shahab Ahmed, </w:t>
      </w:r>
      <w:r w:rsidRPr="00AE2C15">
        <w:rPr>
          <w:rFonts w:asciiTheme="majorBidi" w:hAnsiTheme="majorBidi" w:cstheme="majorBidi"/>
          <w:i/>
          <w:iCs/>
          <w:color w:val="000000" w:themeColor="text1"/>
          <w:sz w:val="20"/>
          <w:szCs w:val="20"/>
        </w:rPr>
        <w:t>What is Islam? The Importance of Being Islamic</w:t>
      </w:r>
      <w:r w:rsidRPr="00AE2C15">
        <w:rPr>
          <w:rFonts w:asciiTheme="majorBidi" w:hAnsiTheme="majorBidi" w:cstheme="majorBidi"/>
          <w:color w:val="000000" w:themeColor="text1"/>
          <w:sz w:val="20"/>
          <w:szCs w:val="20"/>
        </w:rPr>
        <w:t xml:space="preserve"> (Princeton: Princeton University Press, 2016), 456–82.</w:t>
      </w:r>
    </w:p>
  </w:footnote>
  <w:footnote w:id="7">
    <w:p w14:paraId="214A0122" w14:textId="7C5B1CBB" w:rsidR="00CD2D30" w:rsidRPr="00AE2C15" w:rsidRDefault="00CD2D30" w:rsidP="00AE2C15">
      <w:pPr>
        <w:pStyle w:val="FootnoteText"/>
        <w:contextualSpacing/>
        <w:rPr>
          <w:rFonts w:asciiTheme="majorBidi" w:hAnsiTheme="majorBidi" w:cstheme="majorBidi"/>
          <w:iCs/>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w:t>
      </w:r>
      <w:r w:rsidRPr="00AE2C15">
        <w:rPr>
          <w:rFonts w:asciiTheme="majorBidi" w:hAnsiTheme="majorBidi" w:cstheme="majorBidi"/>
          <w:iCs/>
          <w:color w:val="000000" w:themeColor="text1"/>
          <w:sz w:val="20"/>
          <w:szCs w:val="20"/>
        </w:rPr>
        <w:t xml:space="preserve">Anjum, </w:t>
      </w:r>
      <w:r w:rsidRPr="00AE2C15">
        <w:rPr>
          <w:rFonts w:asciiTheme="majorBidi" w:hAnsiTheme="majorBidi" w:cstheme="majorBidi"/>
          <w:i/>
          <w:color w:val="000000" w:themeColor="text1"/>
          <w:sz w:val="20"/>
          <w:szCs w:val="20"/>
        </w:rPr>
        <w:t>Politics, Law, and Community</w:t>
      </w:r>
      <w:r w:rsidRPr="00AE2C15">
        <w:rPr>
          <w:rFonts w:asciiTheme="majorBidi" w:hAnsiTheme="majorBidi" w:cstheme="majorBidi"/>
          <w:iCs/>
          <w:color w:val="000000" w:themeColor="text1"/>
          <w:sz w:val="20"/>
          <w:szCs w:val="20"/>
        </w:rPr>
        <w:t>, 98–107. See also T</w:t>
      </w:r>
      <w:r w:rsidRPr="00AE2C15">
        <w:rPr>
          <w:rFonts w:asciiTheme="majorBidi" w:hAnsiTheme="majorBidi" w:cstheme="majorBidi"/>
          <w:color w:val="000000" w:themeColor="text1"/>
          <w:sz w:val="20"/>
          <w:szCs w:val="20"/>
        </w:rPr>
        <w:t xml:space="preserve">arif </w:t>
      </w:r>
      <w:proofErr w:type="spellStart"/>
      <w:r w:rsidRPr="00AE2C15">
        <w:rPr>
          <w:rFonts w:asciiTheme="majorBidi" w:hAnsiTheme="majorBidi" w:cstheme="majorBidi"/>
          <w:color w:val="000000" w:themeColor="text1"/>
          <w:sz w:val="20"/>
          <w:szCs w:val="20"/>
        </w:rPr>
        <w:t>Khalidi</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Arabic Historical Thought in the Classical Period</w:t>
      </w:r>
      <w:r w:rsidRPr="00AE2C15">
        <w:rPr>
          <w:rFonts w:asciiTheme="majorBidi" w:hAnsiTheme="majorBidi" w:cstheme="majorBidi"/>
          <w:color w:val="000000" w:themeColor="text1"/>
          <w:sz w:val="20"/>
          <w:szCs w:val="20"/>
        </w:rPr>
        <w:t xml:space="preserve"> (Cambridge: Cambridge University Press, 1994), 193–231.</w:t>
      </w:r>
    </w:p>
  </w:footnote>
  <w:footnote w:id="8">
    <w:p w14:paraId="2F1A3FAF" w14:textId="4C714A8B"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Abū</w:t>
      </w:r>
      <w:proofErr w:type="spellEnd"/>
      <w:r w:rsidRPr="00AE2C15">
        <w:rPr>
          <w:rFonts w:asciiTheme="majorBidi" w:hAnsiTheme="majorBidi" w:cstheme="majorBidi"/>
          <w:color w:val="000000" w:themeColor="text1"/>
          <w:sz w:val="20"/>
          <w:szCs w:val="20"/>
        </w:rPr>
        <w:t xml:space="preserve"> Bakr </w:t>
      </w:r>
      <w:proofErr w:type="spellStart"/>
      <w:r w:rsidRPr="00AE2C15">
        <w:rPr>
          <w:rFonts w:asciiTheme="majorBidi" w:hAnsiTheme="majorBidi" w:cstheme="majorBidi"/>
          <w:color w:val="000000" w:themeColor="text1"/>
          <w:sz w:val="20"/>
          <w:szCs w:val="20"/>
        </w:rPr>
        <w:t>Muḥammad</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Ṭurṭūshī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Sirāj</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mulūk</w:t>
      </w:r>
      <w:proofErr w:type="spellEnd"/>
      <w:r w:rsidRPr="00AE2C15">
        <w:rPr>
          <w:rFonts w:asciiTheme="majorBidi" w:hAnsiTheme="majorBidi" w:cstheme="majorBidi"/>
          <w:color w:val="000000" w:themeColor="text1"/>
          <w:sz w:val="20"/>
          <w:szCs w:val="20"/>
        </w:rPr>
        <w:t xml:space="preserve">, ed. </w:t>
      </w:r>
      <w:proofErr w:type="spellStart"/>
      <w:r w:rsidRPr="00AE2C15">
        <w:rPr>
          <w:rFonts w:asciiTheme="majorBidi" w:hAnsiTheme="majorBidi" w:cstheme="majorBidi"/>
          <w:color w:val="000000" w:themeColor="text1"/>
          <w:sz w:val="20"/>
          <w:szCs w:val="20"/>
        </w:rPr>
        <w:t>Muḥammad</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Fatḥī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Abū</w:t>
      </w:r>
      <w:proofErr w:type="spellEnd"/>
      <w:r w:rsidRPr="00AE2C15">
        <w:rPr>
          <w:rFonts w:asciiTheme="majorBidi" w:hAnsiTheme="majorBidi" w:cstheme="majorBidi"/>
          <w:color w:val="000000" w:themeColor="text1"/>
          <w:sz w:val="20"/>
          <w:szCs w:val="20"/>
        </w:rPr>
        <w:t xml:space="preserve"> Bakr (Cairo: al-</w:t>
      </w:r>
      <w:proofErr w:type="spellStart"/>
      <w:r w:rsidRPr="00AE2C15">
        <w:rPr>
          <w:rFonts w:asciiTheme="majorBidi" w:hAnsiTheme="majorBidi" w:cstheme="majorBidi"/>
          <w:color w:val="000000" w:themeColor="text1"/>
          <w:sz w:val="20"/>
          <w:szCs w:val="20"/>
        </w:rPr>
        <w:t>Dār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Miṣriyya</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Lubnāniyya</w:t>
      </w:r>
      <w:proofErr w:type="spellEnd"/>
      <w:r w:rsidRPr="00AE2C15">
        <w:rPr>
          <w:rFonts w:asciiTheme="majorBidi" w:hAnsiTheme="majorBidi" w:cstheme="majorBidi"/>
          <w:color w:val="000000" w:themeColor="text1"/>
          <w:sz w:val="20"/>
          <w:szCs w:val="20"/>
        </w:rPr>
        <w:t xml:space="preserve">, 1994), 1:8. See also Anjum, </w:t>
      </w:r>
      <w:r w:rsidRPr="00AE2C15">
        <w:rPr>
          <w:rFonts w:asciiTheme="majorBidi" w:hAnsiTheme="majorBidi" w:cstheme="majorBidi"/>
          <w:i/>
          <w:color w:val="000000" w:themeColor="text1"/>
          <w:sz w:val="20"/>
          <w:szCs w:val="20"/>
        </w:rPr>
        <w:t>Politics, Law, and Community</w:t>
      </w:r>
      <w:r w:rsidRPr="00AE2C15">
        <w:rPr>
          <w:rFonts w:asciiTheme="majorBidi" w:hAnsiTheme="majorBidi" w:cstheme="majorBidi"/>
          <w:iCs/>
          <w:color w:val="000000" w:themeColor="text1"/>
          <w:sz w:val="20"/>
          <w:szCs w:val="20"/>
        </w:rPr>
        <w:t xml:space="preserve">, 99–102, where he refutes Tarif </w:t>
      </w:r>
      <w:proofErr w:type="spellStart"/>
      <w:r w:rsidRPr="00AE2C15">
        <w:rPr>
          <w:rFonts w:asciiTheme="majorBidi" w:hAnsiTheme="majorBidi" w:cstheme="majorBidi"/>
          <w:iCs/>
          <w:color w:val="000000" w:themeColor="text1"/>
          <w:sz w:val="20"/>
          <w:szCs w:val="20"/>
        </w:rPr>
        <w:t>Khalidi’s</w:t>
      </w:r>
      <w:proofErr w:type="spellEnd"/>
      <w:r w:rsidRPr="00AE2C15">
        <w:rPr>
          <w:rFonts w:asciiTheme="majorBidi" w:hAnsiTheme="majorBidi" w:cstheme="majorBidi"/>
          <w:iCs/>
          <w:color w:val="000000" w:themeColor="text1"/>
          <w:sz w:val="20"/>
          <w:szCs w:val="20"/>
        </w:rPr>
        <w:t xml:space="preserve"> argument (</w:t>
      </w:r>
      <w:r w:rsidRPr="00AE2C15">
        <w:rPr>
          <w:rFonts w:asciiTheme="majorBidi" w:hAnsiTheme="majorBidi" w:cstheme="majorBidi"/>
          <w:i/>
          <w:iCs/>
          <w:color w:val="000000" w:themeColor="text1"/>
          <w:sz w:val="20"/>
          <w:szCs w:val="20"/>
        </w:rPr>
        <w:t>Arabic Historical Thought</w:t>
      </w:r>
      <w:r w:rsidRPr="00AE2C15">
        <w:rPr>
          <w:rFonts w:asciiTheme="majorBidi" w:hAnsiTheme="majorBidi" w:cstheme="majorBidi"/>
          <w:color w:val="000000" w:themeColor="text1"/>
          <w:sz w:val="20"/>
          <w:szCs w:val="20"/>
        </w:rPr>
        <w:t>, 193–95)</w:t>
      </w:r>
      <w:r>
        <w:rPr>
          <w:rFonts w:asciiTheme="majorBidi" w:hAnsiTheme="majorBidi" w:cstheme="majorBidi"/>
          <w:color w:val="000000" w:themeColor="text1"/>
          <w:sz w:val="20"/>
          <w:szCs w:val="20"/>
        </w:rPr>
        <w:t xml:space="preserve"> </w:t>
      </w:r>
      <w:r w:rsidRPr="00AE2C15">
        <w:rPr>
          <w:rFonts w:asciiTheme="majorBidi" w:hAnsiTheme="majorBidi" w:cstheme="majorBidi"/>
          <w:color w:val="000000" w:themeColor="text1"/>
          <w:sz w:val="20"/>
          <w:szCs w:val="20"/>
        </w:rPr>
        <w:t>that al-</w:t>
      </w:r>
      <w:proofErr w:type="spellStart"/>
      <w:r w:rsidRPr="00AE2C15">
        <w:rPr>
          <w:rFonts w:asciiTheme="majorBidi" w:hAnsiTheme="majorBidi" w:cstheme="majorBidi"/>
          <w:color w:val="000000" w:themeColor="text1"/>
          <w:sz w:val="20"/>
          <w:szCs w:val="20"/>
        </w:rPr>
        <w:t>Ṭurṭūshī</w:t>
      </w:r>
      <w:proofErr w:type="spellEnd"/>
      <w:r w:rsidRPr="00AE2C15">
        <w:rPr>
          <w:rFonts w:asciiTheme="majorBidi" w:hAnsiTheme="majorBidi" w:cstheme="majorBidi"/>
          <w:color w:val="000000" w:themeColor="text1"/>
          <w:sz w:val="20"/>
          <w:szCs w:val="20"/>
        </w:rPr>
        <w:t xml:space="preserve"> made the case for a “secular state” in suggesting a contradiction between </w:t>
      </w:r>
      <w:proofErr w:type="spellStart"/>
      <w:r w:rsidRPr="00AE2C15">
        <w:rPr>
          <w:rFonts w:asciiTheme="majorBidi" w:hAnsiTheme="majorBidi" w:cstheme="majorBidi"/>
          <w:i/>
          <w:iCs/>
          <w:color w:val="000000" w:themeColor="text1"/>
          <w:sz w:val="20"/>
          <w:szCs w:val="20"/>
        </w:rPr>
        <w:t>siyāsa</w:t>
      </w:r>
      <w:proofErr w:type="spellEnd"/>
      <w:r w:rsidRPr="00AE2C15">
        <w:rPr>
          <w:rFonts w:asciiTheme="majorBidi" w:hAnsiTheme="majorBidi" w:cstheme="majorBidi"/>
          <w:color w:val="000000" w:themeColor="text1"/>
          <w:sz w:val="20"/>
          <w:szCs w:val="20"/>
        </w:rPr>
        <w:t xml:space="preserve"> and </w:t>
      </w:r>
      <w:proofErr w:type="spellStart"/>
      <w:r w:rsidRPr="00AE2C15">
        <w:rPr>
          <w:rFonts w:asciiTheme="majorBidi" w:hAnsiTheme="majorBidi" w:cstheme="majorBidi"/>
          <w:i/>
          <w:iCs/>
          <w:color w:val="000000" w:themeColor="text1"/>
          <w:sz w:val="20"/>
          <w:szCs w:val="20"/>
        </w:rPr>
        <w:t>sharīʿa</w:t>
      </w:r>
      <w:proofErr w:type="spellEnd"/>
      <w:r w:rsidRPr="00AE2C15">
        <w:rPr>
          <w:rFonts w:asciiTheme="majorBidi" w:hAnsiTheme="majorBidi" w:cstheme="majorBidi"/>
          <w:color w:val="000000" w:themeColor="text1"/>
          <w:sz w:val="20"/>
          <w:szCs w:val="20"/>
        </w:rPr>
        <w:t>.</w:t>
      </w:r>
    </w:p>
  </w:footnote>
  <w:footnote w:id="9">
    <w:p w14:paraId="1D09D73F" w14:textId="20BADE9D" w:rsidR="00CD2D30" w:rsidRPr="00AE2C15" w:rsidRDefault="00CD2D30" w:rsidP="00AE2C15">
      <w:pPr>
        <w:pStyle w:val="FootnoteText"/>
        <w:contextualSpacing/>
        <w:rPr>
          <w:rFonts w:asciiTheme="majorBidi" w:hAnsiTheme="majorBidi" w:cstheme="majorBidi"/>
          <w:iCs/>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Abū</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Ḥasan</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Māwardī</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al-</w:t>
      </w:r>
      <w:proofErr w:type="spellStart"/>
      <w:r w:rsidRPr="00AE2C15">
        <w:rPr>
          <w:rFonts w:asciiTheme="majorBidi" w:hAnsiTheme="majorBidi" w:cstheme="majorBidi"/>
          <w:i/>
          <w:iCs/>
          <w:color w:val="000000" w:themeColor="text1"/>
          <w:sz w:val="20"/>
          <w:szCs w:val="20"/>
        </w:rPr>
        <w:t>Aḥkām</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sulṭāniyya</w:t>
      </w:r>
      <w:proofErr w:type="spellEnd"/>
      <w:r w:rsidRPr="00AE2C15">
        <w:rPr>
          <w:rFonts w:asciiTheme="majorBidi" w:hAnsiTheme="majorBidi" w:cstheme="majorBidi"/>
          <w:color w:val="000000" w:themeColor="text1"/>
          <w:sz w:val="20"/>
          <w:szCs w:val="20"/>
        </w:rPr>
        <w:t xml:space="preserve">, ed. </w:t>
      </w:r>
      <w:proofErr w:type="spellStart"/>
      <w:r w:rsidRPr="00AE2C15">
        <w:rPr>
          <w:rFonts w:asciiTheme="majorBidi" w:hAnsiTheme="majorBidi" w:cstheme="majorBidi"/>
          <w:color w:val="000000" w:themeColor="text1"/>
          <w:sz w:val="20"/>
          <w:szCs w:val="20"/>
        </w:rPr>
        <w:t>Aḥmad</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Jād</w:t>
      </w:r>
      <w:proofErr w:type="spellEnd"/>
      <w:r w:rsidRPr="00AE2C15">
        <w:rPr>
          <w:rFonts w:asciiTheme="majorBidi" w:hAnsiTheme="majorBidi" w:cstheme="majorBidi"/>
          <w:color w:val="000000" w:themeColor="text1"/>
          <w:sz w:val="20"/>
          <w:szCs w:val="20"/>
        </w:rPr>
        <w:t xml:space="preserve"> (Cairo: </w:t>
      </w:r>
      <w:proofErr w:type="spellStart"/>
      <w:r w:rsidRPr="00AE2C15">
        <w:rPr>
          <w:rFonts w:asciiTheme="majorBidi" w:hAnsiTheme="majorBidi" w:cstheme="majorBidi"/>
          <w:color w:val="000000" w:themeColor="text1"/>
          <w:sz w:val="20"/>
          <w:szCs w:val="20"/>
        </w:rPr>
        <w:t>Dār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Ḥadīth</w:t>
      </w:r>
      <w:proofErr w:type="spellEnd"/>
      <w:r w:rsidRPr="00AE2C15">
        <w:rPr>
          <w:rFonts w:asciiTheme="majorBidi" w:hAnsiTheme="majorBidi" w:cstheme="majorBidi"/>
          <w:color w:val="000000" w:themeColor="text1"/>
          <w:sz w:val="20"/>
          <w:szCs w:val="20"/>
        </w:rPr>
        <w:t xml:space="preserve">, 2006), 15; Anjum, </w:t>
      </w:r>
      <w:r w:rsidRPr="00AE2C15">
        <w:rPr>
          <w:rFonts w:asciiTheme="majorBidi" w:hAnsiTheme="majorBidi" w:cstheme="majorBidi"/>
          <w:i/>
          <w:color w:val="000000" w:themeColor="text1"/>
          <w:sz w:val="20"/>
          <w:szCs w:val="20"/>
        </w:rPr>
        <w:t>Politics, Law, and Community</w:t>
      </w:r>
      <w:r w:rsidRPr="00AE2C15">
        <w:rPr>
          <w:rFonts w:asciiTheme="majorBidi" w:hAnsiTheme="majorBidi" w:cstheme="majorBidi"/>
          <w:iCs/>
          <w:color w:val="000000" w:themeColor="text1"/>
          <w:sz w:val="20"/>
          <w:szCs w:val="20"/>
        </w:rPr>
        <w:t>, 102. On al-</w:t>
      </w:r>
      <w:proofErr w:type="spellStart"/>
      <w:r w:rsidRPr="00AE2C15">
        <w:rPr>
          <w:rFonts w:asciiTheme="majorBidi" w:hAnsiTheme="majorBidi" w:cstheme="majorBidi"/>
          <w:iCs/>
          <w:color w:val="000000" w:themeColor="text1"/>
          <w:sz w:val="20"/>
          <w:szCs w:val="20"/>
        </w:rPr>
        <w:t>Māwardī’s</w:t>
      </w:r>
      <w:proofErr w:type="spellEnd"/>
      <w:r w:rsidRPr="00AE2C15">
        <w:rPr>
          <w:rFonts w:asciiTheme="majorBidi" w:hAnsiTheme="majorBidi" w:cstheme="majorBidi"/>
          <w:iCs/>
          <w:color w:val="000000" w:themeColor="text1"/>
          <w:sz w:val="20"/>
          <w:szCs w:val="20"/>
        </w:rPr>
        <w:t xml:space="preserve"> distinction between </w:t>
      </w:r>
      <w:proofErr w:type="spellStart"/>
      <w:r w:rsidRPr="00AE2C15">
        <w:rPr>
          <w:rFonts w:asciiTheme="majorBidi" w:hAnsiTheme="majorBidi" w:cstheme="majorBidi"/>
          <w:i/>
          <w:color w:val="000000" w:themeColor="text1"/>
          <w:sz w:val="20"/>
          <w:szCs w:val="20"/>
        </w:rPr>
        <w:t>siyāsa</w:t>
      </w:r>
      <w:proofErr w:type="spellEnd"/>
      <w:r w:rsidRPr="00AE2C15">
        <w:rPr>
          <w:rFonts w:asciiTheme="majorBidi" w:hAnsiTheme="majorBidi" w:cstheme="majorBidi"/>
          <w:iCs/>
          <w:color w:val="000000" w:themeColor="text1"/>
          <w:sz w:val="20"/>
          <w:szCs w:val="20"/>
        </w:rPr>
        <w:t xml:space="preserve"> and </w:t>
      </w:r>
      <w:proofErr w:type="spellStart"/>
      <w:r w:rsidRPr="00AE2C15">
        <w:rPr>
          <w:rFonts w:asciiTheme="majorBidi" w:hAnsiTheme="majorBidi" w:cstheme="majorBidi"/>
          <w:i/>
          <w:color w:val="000000" w:themeColor="text1"/>
          <w:sz w:val="20"/>
          <w:szCs w:val="20"/>
        </w:rPr>
        <w:t>sharīʿa</w:t>
      </w:r>
      <w:proofErr w:type="spellEnd"/>
      <w:r w:rsidRPr="00AE2C15">
        <w:rPr>
          <w:rFonts w:asciiTheme="majorBidi" w:hAnsiTheme="majorBidi" w:cstheme="majorBidi"/>
          <w:iCs/>
          <w:color w:val="000000" w:themeColor="text1"/>
          <w:sz w:val="20"/>
          <w:szCs w:val="20"/>
        </w:rPr>
        <w:t xml:space="preserve"> in his other work, </w:t>
      </w:r>
      <w:proofErr w:type="spellStart"/>
      <w:r w:rsidRPr="00AE2C15">
        <w:rPr>
          <w:rFonts w:asciiTheme="majorBidi" w:hAnsiTheme="majorBidi" w:cstheme="majorBidi"/>
          <w:i/>
          <w:color w:val="000000" w:themeColor="text1"/>
          <w:sz w:val="20"/>
          <w:szCs w:val="20"/>
        </w:rPr>
        <w:t>Adab</w:t>
      </w:r>
      <w:proofErr w:type="spellEnd"/>
      <w:r w:rsidRPr="00AE2C15">
        <w:rPr>
          <w:rFonts w:asciiTheme="majorBidi" w:hAnsiTheme="majorBidi" w:cstheme="majorBidi"/>
          <w:i/>
          <w:color w:val="000000" w:themeColor="text1"/>
          <w:sz w:val="20"/>
          <w:szCs w:val="20"/>
        </w:rPr>
        <w:t xml:space="preserve"> al-</w:t>
      </w:r>
      <w:proofErr w:type="spellStart"/>
      <w:r w:rsidRPr="00AE2C15">
        <w:rPr>
          <w:rFonts w:asciiTheme="majorBidi" w:hAnsiTheme="majorBidi" w:cstheme="majorBidi"/>
          <w:i/>
          <w:color w:val="000000" w:themeColor="text1"/>
          <w:sz w:val="20"/>
          <w:szCs w:val="20"/>
        </w:rPr>
        <w:t>dunyā</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wa</w:t>
      </w:r>
      <w:proofErr w:type="spellEnd"/>
      <w:r w:rsidRPr="00AE2C15">
        <w:rPr>
          <w:rFonts w:asciiTheme="majorBidi" w:hAnsiTheme="majorBidi" w:cstheme="majorBidi"/>
          <w:i/>
          <w:color w:val="000000" w:themeColor="text1"/>
          <w:sz w:val="20"/>
          <w:szCs w:val="20"/>
        </w:rPr>
        <w:t>-l-</w:t>
      </w:r>
      <w:proofErr w:type="spellStart"/>
      <w:r w:rsidRPr="00AE2C15">
        <w:rPr>
          <w:rFonts w:asciiTheme="majorBidi" w:hAnsiTheme="majorBidi" w:cstheme="majorBidi"/>
          <w:i/>
          <w:color w:val="000000" w:themeColor="text1"/>
          <w:sz w:val="20"/>
          <w:szCs w:val="20"/>
        </w:rPr>
        <w:t>dīn</w:t>
      </w:r>
      <w:proofErr w:type="spellEnd"/>
      <w:r w:rsidRPr="00AE2C15">
        <w:rPr>
          <w:rFonts w:asciiTheme="majorBidi" w:hAnsiTheme="majorBidi" w:cstheme="majorBidi"/>
          <w:iCs/>
          <w:color w:val="000000" w:themeColor="text1"/>
          <w:sz w:val="20"/>
          <w:szCs w:val="20"/>
        </w:rPr>
        <w:t xml:space="preserve">, see </w:t>
      </w:r>
      <w:proofErr w:type="spellStart"/>
      <w:r w:rsidRPr="00AE2C15">
        <w:rPr>
          <w:rFonts w:asciiTheme="majorBidi" w:hAnsiTheme="majorBidi" w:cstheme="majorBidi"/>
          <w:iCs/>
          <w:color w:val="000000" w:themeColor="text1"/>
          <w:sz w:val="20"/>
          <w:szCs w:val="20"/>
        </w:rPr>
        <w:t>Rushain</w:t>
      </w:r>
      <w:proofErr w:type="spellEnd"/>
      <w:r w:rsidRPr="00AE2C15">
        <w:rPr>
          <w:rFonts w:asciiTheme="majorBidi" w:hAnsiTheme="majorBidi" w:cstheme="majorBidi"/>
          <w:iCs/>
          <w:color w:val="000000" w:themeColor="text1"/>
          <w:sz w:val="20"/>
          <w:szCs w:val="20"/>
        </w:rPr>
        <w:t xml:space="preserve"> Abbasi, “Did Premodern Muslims Distinguish the Religious and the Secular? The </w:t>
      </w:r>
      <w:proofErr w:type="spellStart"/>
      <w:r w:rsidRPr="00AE2C15">
        <w:rPr>
          <w:rFonts w:asciiTheme="majorBidi" w:hAnsiTheme="majorBidi" w:cstheme="majorBidi"/>
          <w:i/>
          <w:color w:val="000000" w:themeColor="text1"/>
          <w:sz w:val="20"/>
          <w:szCs w:val="20"/>
        </w:rPr>
        <w:t>Dīn-Dunyā</w:t>
      </w:r>
      <w:proofErr w:type="spellEnd"/>
      <w:r w:rsidRPr="00AE2C15">
        <w:rPr>
          <w:rFonts w:asciiTheme="majorBidi" w:hAnsiTheme="majorBidi" w:cstheme="majorBidi"/>
          <w:iCs/>
          <w:color w:val="000000" w:themeColor="text1"/>
          <w:sz w:val="20"/>
          <w:szCs w:val="20"/>
        </w:rPr>
        <w:t xml:space="preserve"> Binary in Medieval Islamic Thought,” </w:t>
      </w:r>
      <w:r w:rsidRPr="00AE2C15">
        <w:rPr>
          <w:rFonts w:asciiTheme="majorBidi" w:hAnsiTheme="majorBidi" w:cstheme="majorBidi"/>
          <w:i/>
          <w:color w:val="000000" w:themeColor="text1"/>
          <w:sz w:val="20"/>
          <w:szCs w:val="20"/>
        </w:rPr>
        <w:t>Journal of Islamic Studies</w:t>
      </w:r>
      <w:r w:rsidRPr="00AE2C15">
        <w:rPr>
          <w:rFonts w:asciiTheme="majorBidi" w:hAnsiTheme="majorBidi" w:cstheme="majorBidi"/>
          <w:iCs/>
          <w:color w:val="000000" w:themeColor="text1"/>
          <w:sz w:val="20"/>
          <w:szCs w:val="20"/>
        </w:rPr>
        <w:t xml:space="preserve"> 31, no. 2 (2020): 218.</w:t>
      </w:r>
    </w:p>
  </w:footnote>
  <w:footnote w:id="10">
    <w:p w14:paraId="1D9347FB" w14:textId="5D85E14E" w:rsidR="00CD2D30" w:rsidRPr="00AE2C15" w:rsidRDefault="00CD2D30" w:rsidP="00AE2C15">
      <w:pPr>
        <w:pStyle w:val="FootnoteText"/>
        <w:contextualSpacing/>
        <w:rPr>
          <w:rFonts w:asciiTheme="majorBidi" w:hAnsiTheme="majorBidi" w:cstheme="majorBidi"/>
          <w:iCs/>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Cs/>
          <w:color w:val="000000" w:themeColor="text1"/>
          <w:sz w:val="20"/>
          <w:szCs w:val="20"/>
        </w:rPr>
        <w:t>Abū</w:t>
      </w:r>
      <w:proofErr w:type="spellEnd"/>
      <w:r w:rsidRPr="00AE2C15">
        <w:rPr>
          <w:rFonts w:asciiTheme="majorBidi" w:hAnsiTheme="majorBidi" w:cstheme="majorBidi"/>
          <w:iCs/>
          <w:color w:val="000000" w:themeColor="text1"/>
          <w:sz w:val="20"/>
          <w:szCs w:val="20"/>
        </w:rPr>
        <w:t xml:space="preserve"> </w:t>
      </w:r>
      <w:proofErr w:type="spellStart"/>
      <w:r w:rsidRPr="00AE2C15">
        <w:rPr>
          <w:rFonts w:asciiTheme="majorBidi" w:hAnsiTheme="majorBidi" w:cstheme="majorBidi"/>
          <w:iCs/>
          <w:color w:val="000000" w:themeColor="text1"/>
          <w:sz w:val="20"/>
          <w:szCs w:val="20"/>
        </w:rPr>
        <w:t>Ḥayyān</w:t>
      </w:r>
      <w:proofErr w:type="spellEnd"/>
      <w:r w:rsidRPr="00AE2C15">
        <w:rPr>
          <w:rFonts w:asciiTheme="majorBidi" w:hAnsiTheme="majorBidi" w:cstheme="majorBidi"/>
          <w:iCs/>
          <w:color w:val="000000" w:themeColor="text1"/>
          <w:sz w:val="20"/>
          <w:szCs w:val="20"/>
        </w:rPr>
        <w:t xml:space="preserve"> al-</w:t>
      </w:r>
      <w:proofErr w:type="spellStart"/>
      <w:r w:rsidRPr="00AE2C15">
        <w:rPr>
          <w:rFonts w:asciiTheme="majorBidi" w:hAnsiTheme="majorBidi" w:cstheme="majorBidi"/>
          <w:iCs/>
          <w:color w:val="000000" w:themeColor="text1"/>
          <w:sz w:val="20"/>
          <w:szCs w:val="20"/>
        </w:rPr>
        <w:t>Tawḥīdī</w:t>
      </w:r>
      <w:proofErr w:type="spellEnd"/>
      <w:r w:rsidRPr="00AE2C15">
        <w:rPr>
          <w:rFonts w:asciiTheme="majorBidi" w:hAnsiTheme="majorBidi" w:cstheme="majorBidi"/>
          <w:iCs/>
          <w:color w:val="000000" w:themeColor="text1"/>
          <w:sz w:val="20"/>
          <w:szCs w:val="20"/>
        </w:rPr>
        <w:t>,</w:t>
      </w:r>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color w:val="000000" w:themeColor="text1"/>
          <w:sz w:val="20"/>
          <w:szCs w:val="20"/>
        </w:rPr>
        <w:t>al-</w:t>
      </w:r>
      <w:proofErr w:type="spellStart"/>
      <w:r w:rsidRPr="00AE2C15">
        <w:rPr>
          <w:rFonts w:asciiTheme="majorBidi" w:hAnsiTheme="majorBidi" w:cstheme="majorBidi"/>
          <w:i/>
          <w:color w:val="000000" w:themeColor="text1"/>
          <w:sz w:val="20"/>
          <w:szCs w:val="20"/>
        </w:rPr>
        <w:t>Imtāʿ</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wa</w:t>
      </w:r>
      <w:proofErr w:type="spellEnd"/>
      <w:r w:rsidRPr="00AE2C15">
        <w:rPr>
          <w:rFonts w:asciiTheme="majorBidi" w:hAnsiTheme="majorBidi" w:cstheme="majorBidi"/>
          <w:i/>
          <w:color w:val="000000" w:themeColor="text1"/>
          <w:sz w:val="20"/>
          <w:szCs w:val="20"/>
        </w:rPr>
        <w:t>-l-</w:t>
      </w:r>
      <w:proofErr w:type="spellStart"/>
      <w:r w:rsidRPr="00AE2C15">
        <w:rPr>
          <w:rFonts w:asciiTheme="majorBidi" w:hAnsiTheme="majorBidi" w:cstheme="majorBidi"/>
          <w:i/>
          <w:color w:val="000000" w:themeColor="text1"/>
          <w:sz w:val="20"/>
          <w:szCs w:val="20"/>
        </w:rPr>
        <w:t>muʾāsana</w:t>
      </w:r>
      <w:proofErr w:type="spellEnd"/>
      <w:r w:rsidRPr="00AE2C15">
        <w:rPr>
          <w:rFonts w:asciiTheme="majorBidi" w:hAnsiTheme="majorBidi" w:cstheme="majorBidi"/>
          <w:iCs/>
          <w:color w:val="000000" w:themeColor="text1"/>
          <w:sz w:val="20"/>
          <w:szCs w:val="20"/>
        </w:rPr>
        <w:t xml:space="preserve">, ed. Haytham </w:t>
      </w:r>
      <w:proofErr w:type="spellStart"/>
      <w:r w:rsidRPr="00AE2C15">
        <w:rPr>
          <w:rFonts w:asciiTheme="majorBidi" w:hAnsiTheme="majorBidi" w:cstheme="majorBidi"/>
          <w:iCs/>
          <w:color w:val="000000" w:themeColor="text1"/>
          <w:sz w:val="20"/>
          <w:szCs w:val="20"/>
        </w:rPr>
        <w:t>Khalīfa</w:t>
      </w:r>
      <w:proofErr w:type="spellEnd"/>
      <w:r w:rsidRPr="00AE2C15">
        <w:rPr>
          <w:rFonts w:asciiTheme="majorBidi" w:hAnsiTheme="majorBidi" w:cstheme="majorBidi"/>
          <w:iCs/>
          <w:color w:val="000000" w:themeColor="text1"/>
          <w:sz w:val="20"/>
          <w:szCs w:val="20"/>
        </w:rPr>
        <w:t xml:space="preserve"> al-</w:t>
      </w:r>
      <w:proofErr w:type="spellStart"/>
      <w:r w:rsidRPr="00AE2C15">
        <w:rPr>
          <w:rFonts w:asciiTheme="majorBidi" w:hAnsiTheme="majorBidi" w:cstheme="majorBidi"/>
          <w:iCs/>
          <w:color w:val="000000" w:themeColor="text1"/>
          <w:sz w:val="20"/>
          <w:szCs w:val="20"/>
        </w:rPr>
        <w:t>Ṭaʿīmī</w:t>
      </w:r>
      <w:proofErr w:type="spellEnd"/>
      <w:r w:rsidRPr="00AE2C15">
        <w:rPr>
          <w:rFonts w:asciiTheme="majorBidi" w:hAnsiTheme="majorBidi" w:cstheme="majorBidi"/>
          <w:iCs/>
          <w:color w:val="000000" w:themeColor="text1"/>
          <w:sz w:val="20"/>
          <w:szCs w:val="20"/>
        </w:rPr>
        <w:t xml:space="preserve"> (Beirut: al-</w:t>
      </w:r>
      <w:proofErr w:type="spellStart"/>
      <w:r w:rsidRPr="00AE2C15">
        <w:rPr>
          <w:rFonts w:asciiTheme="majorBidi" w:hAnsiTheme="majorBidi" w:cstheme="majorBidi"/>
          <w:iCs/>
          <w:color w:val="000000" w:themeColor="text1"/>
          <w:sz w:val="20"/>
          <w:szCs w:val="20"/>
        </w:rPr>
        <w:t>Maktaba</w:t>
      </w:r>
      <w:proofErr w:type="spellEnd"/>
      <w:r w:rsidRPr="00AE2C15">
        <w:rPr>
          <w:rFonts w:asciiTheme="majorBidi" w:hAnsiTheme="majorBidi" w:cstheme="majorBidi"/>
          <w:iCs/>
          <w:color w:val="000000" w:themeColor="text1"/>
          <w:sz w:val="20"/>
          <w:szCs w:val="20"/>
        </w:rPr>
        <w:t xml:space="preserve"> al-</w:t>
      </w:r>
      <w:proofErr w:type="spellStart"/>
      <w:r w:rsidRPr="00AE2C15">
        <w:rPr>
          <w:rFonts w:asciiTheme="majorBidi" w:hAnsiTheme="majorBidi" w:cstheme="majorBidi"/>
          <w:iCs/>
          <w:color w:val="000000" w:themeColor="text1"/>
          <w:sz w:val="20"/>
          <w:szCs w:val="20"/>
        </w:rPr>
        <w:t>ʿAsriyya</w:t>
      </w:r>
      <w:proofErr w:type="spellEnd"/>
      <w:r w:rsidRPr="00AE2C15">
        <w:rPr>
          <w:rFonts w:asciiTheme="majorBidi" w:hAnsiTheme="majorBidi" w:cstheme="majorBidi"/>
          <w:iCs/>
          <w:color w:val="000000" w:themeColor="text1"/>
          <w:sz w:val="20"/>
          <w:szCs w:val="20"/>
        </w:rPr>
        <w:t>, 2011), 2:180. See also Lewis, “</w:t>
      </w:r>
      <w:proofErr w:type="spellStart"/>
      <w:r w:rsidRPr="00AE2C15">
        <w:rPr>
          <w:rFonts w:asciiTheme="majorBidi" w:hAnsiTheme="majorBidi" w:cstheme="majorBidi"/>
          <w:iCs/>
          <w:color w:val="000000" w:themeColor="text1"/>
          <w:sz w:val="20"/>
          <w:szCs w:val="20"/>
        </w:rPr>
        <w:t>Siyāsa</w:t>
      </w:r>
      <w:proofErr w:type="spellEnd"/>
      <w:r w:rsidRPr="00AE2C15">
        <w:rPr>
          <w:rFonts w:asciiTheme="majorBidi" w:hAnsiTheme="majorBidi" w:cstheme="majorBidi"/>
          <w:iCs/>
          <w:color w:val="000000" w:themeColor="text1"/>
          <w:sz w:val="20"/>
          <w:szCs w:val="20"/>
        </w:rPr>
        <w:t>,” 7.</w:t>
      </w:r>
    </w:p>
  </w:footnote>
  <w:footnote w:id="11">
    <w:p w14:paraId="17C652CB" w14:textId="09CBA707" w:rsidR="001A67DE" w:rsidRDefault="001A67DE">
      <w:pPr>
        <w:pStyle w:val="FootnoteText"/>
      </w:pPr>
      <w:r w:rsidRPr="001A67DE">
        <w:rPr>
          <w:rStyle w:val="FootnoteReference"/>
          <w:rFonts w:asciiTheme="majorBidi" w:hAnsiTheme="majorBidi" w:cstheme="majorBidi"/>
          <w:sz w:val="20"/>
          <w:szCs w:val="20"/>
        </w:rPr>
        <w:footnoteRef/>
      </w:r>
      <w:r w:rsidRPr="001A67DE">
        <w:rPr>
          <w:sz w:val="20"/>
          <w:szCs w:val="20"/>
        </w:rPr>
        <w:t xml:space="preserve"> </w:t>
      </w:r>
      <w:r w:rsidRPr="001A67DE">
        <w:rPr>
          <w:rFonts w:asciiTheme="majorBidi" w:hAnsiTheme="majorBidi" w:cstheme="majorBidi"/>
          <w:color w:val="000000" w:themeColor="text1"/>
          <w:sz w:val="20"/>
          <w:szCs w:val="20"/>
        </w:rPr>
        <w:t>In Ibn al-</w:t>
      </w:r>
      <w:proofErr w:type="spellStart"/>
      <w:r w:rsidRPr="001A67DE">
        <w:rPr>
          <w:rFonts w:asciiTheme="majorBidi" w:hAnsiTheme="majorBidi" w:cstheme="majorBidi"/>
          <w:color w:val="000000" w:themeColor="text1"/>
          <w:sz w:val="20"/>
          <w:szCs w:val="20"/>
        </w:rPr>
        <w:t>Jawzī’s</w:t>
      </w:r>
      <w:proofErr w:type="spellEnd"/>
      <w:r w:rsidRPr="001A67DE">
        <w:rPr>
          <w:rFonts w:asciiTheme="majorBidi" w:hAnsiTheme="majorBidi" w:cstheme="majorBidi"/>
          <w:color w:val="000000" w:themeColor="text1"/>
          <w:sz w:val="20"/>
          <w:szCs w:val="20"/>
        </w:rPr>
        <w:t xml:space="preserve"> writings, the term commonly used to refer to the ruler is </w:t>
      </w:r>
      <w:proofErr w:type="spellStart"/>
      <w:r w:rsidRPr="001A67DE">
        <w:rPr>
          <w:rFonts w:asciiTheme="majorBidi" w:hAnsiTheme="majorBidi" w:cstheme="majorBidi"/>
          <w:i/>
          <w:iCs/>
          <w:color w:val="000000" w:themeColor="text1"/>
          <w:sz w:val="20"/>
          <w:szCs w:val="20"/>
        </w:rPr>
        <w:t>sulṭān</w:t>
      </w:r>
      <w:proofErr w:type="spellEnd"/>
      <w:r w:rsidRPr="001A67DE">
        <w:rPr>
          <w:rFonts w:asciiTheme="majorBidi" w:hAnsiTheme="majorBidi" w:cstheme="majorBidi"/>
          <w:color w:val="000000" w:themeColor="text1"/>
          <w:sz w:val="20"/>
          <w:szCs w:val="20"/>
        </w:rPr>
        <w:t xml:space="preserve">, followed by </w:t>
      </w:r>
      <w:proofErr w:type="spellStart"/>
      <w:r w:rsidRPr="001A67DE">
        <w:rPr>
          <w:rFonts w:asciiTheme="majorBidi" w:hAnsiTheme="majorBidi" w:cstheme="majorBidi"/>
          <w:i/>
          <w:iCs/>
          <w:color w:val="000000" w:themeColor="text1"/>
          <w:sz w:val="20"/>
          <w:szCs w:val="20"/>
        </w:rPr>
        <w:t>amīr</w:t>
      </w:r>
      <w:proofErr w:type="spellEnd"/>
      <w:r w:rsidRPr="001A67DE">
        <w:rPr>
          <w:rFonts w:asciiTheme="majorBidi" w:hAnsiTheme="majorBidi" w:cstheme="majorBidi"/>
          <w:color w:val="000000" w:themeColor="text1"/>
          <w:sz w:val="20"/>
          <w:szCs w:val="20"/>
        </w:rPr>
        <w:t xml:space="preserve">. By itself, </w:t>
      </w:r>
      <w:proofErr w:type="spellStart"/>
      <w:r w:rsidRPr="001A67DE">
        <w:rPr>
          <w:rFonts w:asciiTheme="majorBidi" w:hAnsiTheme="majorBidi" w:cstheme="majorBidi"/>
          <w:i/>
          <w:iCs/>
          <w:color w:val="000000" w:themeColor="text1"/>
          <w:sz w:val="20"/>
          <w:szCs w:val="20"/>
        </w:rPr>
        <w:t>sulṭān</w:t>
      </w:r>
      <w:proofErr w:type="spellEnd"/>
      <w:r w:rsidRPr="001A67DE">
        <w:rPr>
          <w:rFonts w:asciiTheme="majorBidi" w:hAnsiTheme="majorBidi" w:cstheme="majorBidi"/>
          <w:color w:val="000000" w:themeColor="text1"/>
          <w:sz w:val="20"/>
          <w:szCs w:val="20"/>
        </w:rPr>
        <w:t xml:space="preserve"> originally meant “power” or “authority” in an abstract sense. Beginning in the fourth/tenth century, it came to denote the holder of power or authority and was often used to refer to the caliph. The term was used as a title beginning with the Seljuq Turks in the fifth/eleventh century and eventually passed on to petty rulers and chieftains who had assumed </w:t>
      </w:r>
      <w:r w:rsidRPr="001A67DE">
        <w:rPr>
          <w:rFonts w:asciiTheme="majorBidi" w:hAnsiTheme="majorBidi" w:cstheme="majorBidi"/>
          <w:i/>
          <w:iCs/>
          <w:color w:val="000000" w:themeColor="text1"/>
          <w:sz w:val="20"/>
          <w:szCs w:val="20"/>
        </w:rPr>
        <w:t xml:space="preserve">de facto </w:t>
      </w:r>
      <w:r w:rsidRPr="001A67DE">
        <w:rPr>
          <w:rFonts w:asciiTheme="majorBidi" w:hAnsiTheme="majorBidi" w:cstheme="majorBidi"/>
          <w:color w:val="000000" w:themeColor="text1"/>
          <w:sz w:val="20"/>
          <w:szCs w:val="20"/>
        </w:rPr>
        <w:t xml:space="preserve">power alongside the caliph in the central Islamic lands. </w:t>
      </w:r>
      <w:proofErr w:type="spellStart"/>
      <w:r w:rsidRPr="001A67DE">
        <w:rPr>
          <w:rFonts w:asciiTheme="majorBidi" w:hAnsiTheme="majorBidi" w:cstheme="majorBidi"/>
          <w:i/>
          <w:iCs/>
          <w:color w:val="000000" w:themeColor="text1"/>
          <w:sz w:val="20"/>
          <w:szCs w:val="20"/>
        </w:rPr>
        <w:t>Amīr</w:t>
      </w:r>
      <w:proofErr w:type="spellEnd"/>
      <w:r w:rsidRPr="001A67DE">
        <w:rPr>
          <w:rFonts w:asciiTheme="majorBidi" w:hAnsiTheme="majorBidi" w:cstheme="majorBidi"/>
          <w:color w:val="000000" w:themeColor="text1"/>
          <w:sz w:val="20"/>
          <w:szCs w:val="20"/>
        </w:rPr>
        <w:t xml:space="preserve"> often referred to military commanders or governors who represented the caliph or sultan in a specific region and were usually tasked with organizing the army, maintaining peace and order in a city through appointed agents, and issuing instructions on financial policy. See J. H. </w:t>
      </w:r>
      <w:proofErr w:type="spellStart"/>
      <w:r w:rsidRPr="001A67DE">
        <w:rPr>
          <w:rFonts w:asciiTheme="majorBidi" w:hAnsiTheme="majorBidi" w:cstheme="majorBidi"/>
          <w:color w:val="000000" w:themeColor="text1"/>
          <w:sz w:val="20"/>
          <w:szCs w:val="20"/>
        </w:rPr>
        <w:t>Kramers</w:t>
      </w:r>
      <w:proofErr w:type="spellEnd"/>
      <w:r w:rsidRPr="001A67DE">
        <w:rPr>
          <w:rFonts w:asciiTheme="majorBidi" w:hAnsiTheme="majorBidi" w:cstheme="majorBidi"/>
          <w:color w:val="000000" w:themeColor="text1"/>
          <w:sz w:val="20"/>
          <w:szCs w:val="20"/>
        </w:rPr>
        <w:t xml:space="preserve"> and C. E. Bosworth, “</w:t>
      </w:r>
      <w:proofErr w:type="spellStart"/>
      <w:r w:rsidRPr="001A67DE">
        <w:rPr>
          <w:rFonts w:asciiTheme="majorBidi" w:hAnsiTheme="majorBidi" w:cstheme="majorBidi"/>
          <w:color w:val="000000" w:themeColor="text1"/>
          <w:sz w:val="20"/>
          <w:szCs w:val="20"/>
        </w:rPr>
        <w:t>Sulṭān</w:t>
      </w:r>
      <w:proofErr w:type="spellEnd"/>
      <w:r w:rsidRPr="001A67DE">
        <w:rPr>
          <w:rFonts w:asciiTheme="majorBidi" w:hAnsiTheme="majorBidi" w:cstheme="majorBidi"/>
          <w:color w:val="000000" w:themeColor="text1"/>
          <w:sz w:val="20"/>
          <w:szCs w:val="20"/>
        </w:rPr>
        <w:t xml:space="preserve">,” in </w:t>
      </w:r>
      <w:proofErr w:type="spellStart"/>
      <w:r w:rsidRPr="001A67DE">
        <w:rPr>
          <w:rFonts w:asciiTheme="majorBidi" w:hAnsiTheme="majorBidi" w:cstheme="majorBidi"/>
          <w:i/>
          <w:iCs/>
          <w:color w:val="000000" w:themeColor="text1"/>
          <w:sz w:val="20"/>
          <w:szCs w:val="20"/>
        </w:rPr>
        <w:t>Encyclopaedia</w:t>
      </w:r>
      <w:proofErr w:type="spellEnd"/>
      <w:r w:rsidRPr="001A67DE">
        <w:rPr>
          <w:rFonts w:asciiTheme="majorBidi" w:hAnsiTheme="majorBidi" w:cstheme="majorBidi"/>
          <w:i/>
          <w:iCs/>
          <w:color w:val="000000" w:themeColor="text1"/>
          <w:sz w:val="20"/>
          <w:szCs w:val="20"/>
        </w:rPr>
        <w:t xml:space="preserve"> of Islam</w:t>
      </w:r>
      <w:r w:rsidRPr="001A67DE">
        <w:rPr>
          <w:rFonts w:asciiTheme="majorBidi" w:hAnsiTheme="majorBidi" w:cstheme="majorBidi"/>
          <w:color w:val="000000" w:themeColor="text1"/>
          <w:sz w:val="20"/>
          <w:szCs w:val="20"/>
        </w:rPr>
        <w:t>, 2</w:t>
      </w:r>
      <w:r w:rsidRPr="001A67DE">
        <w:rPr>
          <w:rFonts w:asciiTheme="majorBidi" w:hAnsiTheme="majorBidi" w:cstheme="majorBidi"/>
          <w:color w:val="000000" w:themeColor="text1"/>
          <w:sz w:val="20"/>
          <w:szCs w:val="20"/>
          <w:vertAlign w:val="superscript"/>
        </w:rPr>
        <w:t>nd</w:t>
      </w:r>
      <w:r w:rsidRPr="001A67DE">
        <w:rPr>
          <w:rFonts w:asciiTheme="majorBidi" w:hAnsiTheme="majorBidi" w:cstheme="majorBidi"/>
          <w:color w:val="000000" w:themeColor="text1"/>
          <w:sz w:val="20"/>
          <w:szCs w:val="20"/>
        </w:rPr>
        <w:t xml:space="preserve"> </w:t>
      </w:r>
      <w:proofErr w:type="spellStart"/>
      <w:r w:rsidRPr="001A67DE">
        <w:rPr>
          <w:rFonts w:asciiTheme="majorBidi" w:hAnsiTheme="majorBidi" w:cstheme="majorBidi"/>
          <w:color w:val="000000" w:themeColor="text1"/>
          <w:sz w:val="20"/>
          <w:szCs w:val="20"/>
        </w:rPr>
        <w:t>edn</w:t>
      </w:r>
      <w:proofErr w:type="spellEnd"/>
      <w:r w:rsidRPr="001A67DE">
        <w:rPr>
          <w:rFonts w:asciiTheme="majorBidi" w:hAnsiTheme="majorBidi" w:cstheme="majorBidi"/>
          <w:color w:val="000000" w:themeColor="text1"/>
          <w:sz w:val="20"/>
          <w:szCs w:val="20"/>
        </w:rPr>
        <w:t xml:space="preserve">.; A. A. </w:t>
      </w:r>
      <w:proofErr w:type="spellStart"/>
      <w:r w:rsidRPr="001A67DE">
        <w:rPr>
          <w:rFonts w:asciiTheme="majorBidi" w:hAnsiTheme="majorBidi" w:cstheme="majorBidi"/>
          <w:color w:val="000000" w:themeColor="text1"/>
          <w:sz w:val="20"/>
          <w:szCs w:val="20"/>
        </w:rPr>
        <w:t>Duri</w:t>
      </w:r>
      <w:proofErr w:type="spellEnd"/>
      <w:r w:rsidRPr="001A67DE">
        <w:rPr>
          <w:rFonts w:asciiTheme="majorBidi" w:hAnsiTheme="majorBidi" w:cstheme="majorBidi"/>
          <w:color w:val="000000" w:themeColor="text1"/>
          <w:sz w:val="20"/>
          <w:szCs w:val="20"/>
        </w:rPr>
        <w:t>, “</w:t>
      </w:r>
      <w:proofErr w:type="spellStart"/>
      <w:r w:rsidRPr="001A67DE">
        <w:rPr>
          <w:rFonts w:asciiTheme="majorBidi" w:hAnsiTheme="majorBidi" w:cstheme="majorBidi"/>
          <w:color w:val="000000" w:themeColor="text1"/>
          <w:sz w:val="20"/>
          <w:szCs w:val="20"/>
        </w:rPr>
        <w:t>Amīr</w:t>
      </w:r>
      <w:proofErr w:type="spellEnd"/>
      <w:r w:rsidRPr="001A67DE">
        <w:rPr>
          <w:rFonts w:asciiTheme="majorBidi" w:hAnsiTheme="majorBidi" w:cstheme="majorBidi"/>
          <w:color w:val="000000" w:themeColor="text1"/>
          <w:sz w:val="20"/>
          <w:szCs w:val="20"/>
        </w:rPr>
        <w:t xml:space="preserve">,” in </w:t>
      </w:r>
      <w:proofErr w:type="spellStart"/>
      <w:r w:rsidRPr="001A67DE">
        <w:rPr>
          <w:rFonts w:asciiTheme="majorBidi" w:hAnsiTheme="majorBidi" w:cstheme="majorBidi"/>
          <w:i/>
          <w:iCs/>
          <w:color w:val="000000" w:themeColor="text1"/>
          <w:sz w:val="20"/>
          <w:szCs w:val="20"/>
        </w:rPr>
        <w:t>Encyclopaedia</w:t>
      </w:r>
      <w:proofErr w:type="spellEnd"/>
      <w:r w:rsidRPr="001A67DE">
        <w:rPr>
          <w:rFonts w:asciiTheme="majorBidi" w:hAnsiTheme="majorBidi" w:cstheme="majorBidi"/>
          <w:i/>
          <w:iCs/>
          <w:color w:val="000000" w:themeColor="text1"/>
          <w:sz w:val="20"/>
          <w:szCs w:val="20"/>
        </w:rPr>
        <w:t xml:space="preserve"> of Islam</w:t>
      </w:r>
      <w:r w:rsidRPr="001A67DE">
        <w:rPr>
          <w:rFonts w:asciiTheme="majorBidi" w:hAnsiTheme="majorBidi" w:cstheme="majorBidi"/>
          <w:color w:val="000000" w:themeColor="text1"/>
          <w:sz w:val="20"/>
          <w:szCs w:val="20"/>
        </w:rPr>
        <w:t>, 2</w:t>
      </w:r>
      <w:r w:rsidRPr="001A67DE">
        <w:rPr>
          <w:rFonts w:asciiTheme="majorBidi" w:hAnsiTheme="majorBidi" w:cstheme="majorBidi"/>
          <w:color w:val="000000" w:themeColor="text1"/>
          <w:sz w:val="20"/>
          <w:szCs w:val="20"/>
          <w:vertAlign w:val="superscript"/>
        </w:rPr>
        <w:t>nd</w:t>
      </w:r>
      <w:r w:rsidRPr="001A67DE">
        <w:rPr>
          <w:rFonts w:asciiTheme="majorBidi" w:hAnsiTheme="majorBidi" w:cstheme="majorBidi"/>
          <w:color w:val="000000" w:themeColor="text1"/>
          <w:sz w:val="20"/>
          <w:szCs w:val="20"/>
        </w:rPr>
        <w:t xml:space="preserve"> </w:t>
      </w:r>
      <w:proofErr w:type="spellStart"/>
      <w:r w:rsidRPr="001A67DE">
        <w:rPr>
          <w:rFonts w:asciiTheme="majorBidi" w:hAnsiTheme="majorBidi" w:cstheme="majorBidi"/>
          <w:color w:val="000000" w:themeColor="text1"/>
          <w:sz w:val="20"/>
          <w:szCs w:val="20"/>
        </w:rPr>
        <w:t>edn</w:t>
      </w:r>
      <w:proofErr w:type="spellEnd"/>
      <w:r w:rsidRPr="001A67DE">
        <w:rPr>
          <w:rFonts w:asciiTheme="majorBidi" w:hAnsiTheme="majorBidi" w:cstheme="majorBidi"/>
          <w:color w:val="000000" w:themeColor="text1"/>
          <w:sz w:val="20"/>
          <w:szCs w:val="20"/>
        </w:rPr>
        <w:t>. It is often vague to whom specifically Ibn al-</w:t>
      </w:r>
      <w:proofErr w:type="spellStart"/>
      <w:r w:rsidRPr="001A67DE">
        <w:rPr>
          <w:rFonts w:asciiTheme="majorBidi" w:hAnsiTheme="majorBidi" w:cstheme="majorBidi"/>
          <w:color w:val="000000" w:themeColor="text1"/>
          <w:sz w:val="20"/>
          <w:szCs w:val="20"/>
        </w:rPr>
        <w:t>Jawzī</w:t>
      </w:r>
      <w:proofErr w:type="spellEnd"/>
      <w:r w:rsidRPr="001A67DE">
        <w:rPr>
          <w:rFonts w:asciiTheme="majorBidi" w:hAnsiTheme="majorBidi" w:cstheme="majorBidi"/>
          <w:color w:val="000000" w:themeColor="text1"/>
          <w:sz w:val="20"/>
          <w:szCs w:val="20"/>
        </w:rPr>
        <w:t xml:space="preserve"> is referring when these terms appear in his writings as he uses them interchangeably, but there is no doubt that he had in mind individuals who held some degree of political, military, and punitive power. For the sake of prose and convenience, I shall translate these terms, as they arise, collectively as “rulers” or “ruling authorities.”</w:t>
      </w:r>
    </w:p>
  </w:footnote>
  <w:footnote w:id="12">
    <w:p w14:paraId="6A7A6080" w14:textId="595896A3" w:rsidR="00CD2D30" w:rsidRPr="00AE2C15" w:rsidRDefault="00CD2D30" w:rsidP="00A6289B">
      <w:pPr>
        <w:autoSpaceDE w:val="0"/>
        <w:autoSpaceDN w:val="0"/>
        <w:adjustRightInd w:val="0"/>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Cs/>
          <w:color w:val="000000" w:themeColor="text1"/>
          <w:sz w:val="20"/>
          <w:szCs w:val="20"/>
        </w:rPr>
        <w:t>Abū</w:t>
      </w:r>
      <w:proofErr w:type="spellEnd"/>
      <w:r w:rsidRPr="00AE2C15">
        <w:rPr>
          <w:rFonts w:asciiTheme="majorBidi" w:hAnsiTheme="majorBidi" w:cstheme="majorBidi"/>
          <w:iCs/>
          <w:color w:val="000000" w:themeColor="text1"/>
          <w:sz w:val="20"/>
          <w:szCs w:val="20"/>
        </w:rPr>
        <w:t xml:space="preserve"> al-Faraj </w:t>
      </w:r>
      <w:proofErr w:type="spellStart"/>
      <w:r w:rsidRPr="00AE2C15">
        <w:rPr>
          <w:rFonts w:asciiTheme="majorBidi" w:hAnsiTheme="majorBidi" w:cstheme="majorBidi"/>
          <w:iCs/>
          <w:color w:val="000000" w:themeColor="text1"/>
          <w:sz w:val="20"/>
          <w:szCs w:val="20"/>
        </w:rPr>
        <w:t>ʿAbd</w:t>
      </w:r>
      <w:proofErr w:type="spellEnd"/>
      <w:r w:rsidRPr="00AE2C15">
        <w:rPr>
          <w:rFonts w:asciiTheme="majorBidi" w:hAnsiTheme="majorBidi" w:cstheme="majorBidi"/>
          <w:iCs/>
          <w:color w:val="000000" w:themeColor="text1"/>
          <w:sz w:val="20"/>
          <w:szCs w:val="20"/>
        </w:rPr>
        <w:t xml:space="preserve"> al-</w:t>
      </w:r>
      <w:proofErr w:type="spellStart"/>
      <w:r w:rsidRPr="00AE2C15">
        <w:rPr>
          <w:rFonts w:asciiTheme="majorBidi" w:hAnsiTheme="majorBidi" w:cstheme="majorBidi"/>
          <w:iCs/>
          <w:color w:val="000000" w:themeColor="text1"/>
          <w:sz w:val="20"/>
          <w:szCs w:val="20"/>
        </w:rPr>
        <w:t>Raḥmān</w:t>
      </w:r>
      <w:proofErr w:type="spellEnd"/>
      <w:r w:rsidRPr="00AE2C15">
        <w:rPr>
          <w:rFonts w:asciiTheme="majorBidi" w:hAnsiTheme="majorBidi" w:cstheme="majorBidi"/>
          <w:iCs/>
          <w:color w:val="000000" w:themeColor="text1"/>
          <w:sz w:val="20"/>
          <w:szCs w:val="20"/>
        </w:rPr>
        <w:t xml:space="preserve"> Ibn al-</w:t>
      </w:r>
      <w:proofErr w:type="spellStart"/>
      <w:r w:rsidRPr="00AE2C15">
        <w:rPr>
          <w:rFonts w:asciiTheme="majorBidi" w:hAnsiTheme="majorBidi" w:cstheme="majorBidi"/>
          <w:iCs/>
          <w:color w:val="000000" w:themeColor="text1"/>
          <w:sz w:val="20"/>
          <w:szCs w:val="20"/>
        </w:rPr>
        <w:t>Jawzī</w:t>
      </w:r>
      <w:proofErr w:type="spellEnd"/>
      <w:r w:rsidRPr="00AE2C15">
        <w:rPr>
          <w:rFonts w:asciiTheme="majorBidi" w:hAnsiTheme="majorBidi" w:cstheme="majorBidi"/>
          <w:iCs/>
          <w:color w:val="000000" w:themeColor="text1"/>
          <w:sz w:val="20"/>
          <w:szCs w:val="20"/>
        </w:rPr>
        <w:t xml:space="preserve">, </w:t>
      </w:r>
      <w:r w:rsidRPr="00AE2C15">
        <w:rPr>
          <w:rFonts w:asciiTheme="majorBidi" w:hAnsiTheme="majorBidi" w:cstheme="majorBidi"/>
          <w:i/>
          <w:color w:val="000000" w:themeColor="text1"/>
          <w:sz w:val="20"/>
          <w:szCs w:val="20"/>
        </w:rPr>
        <w:t>al-</w:t>
      </w:r>
      <w:proofErr w:type="spellStart"/>
      <w:r w:rsidRPr="00AE2C15">
        <w:rPr>
          <w:rFonts w:asciiTheme="majorBidi" w:hAnsiTheme="majorBidi" w:cstheme="majorBidi"/>
          <w:i/>
          <w:color w:val="000000" w:themeColor="text1"/>
          <w:sz w:val="20"/>
          <w:szCs w:val="20"/>
        </w:rPr>
        <w:t>Muntaẓam</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fī</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tārīkh</w:t>
      </w:r>
      <w:proofErr w:type="spellEnd"/>
      <w:r w:rsidRPr="00AE2C15">
        <w:rPr>
          <w:rFonts w:asciiTheme="majorBidi" w:hAnsiTheme="majorBidi" w:cstheme="majorBidi"/>
          <w:i/>
          <w:color w:val="000000" w:themeColor="text1"/>
          <w:sz w:val="20"/>
          <w:szCs w:val="20"/>
        </w:rPr>
        <w:t xml:space="preserve"> al-</w:t>
      </w:r>
      <w:proofErr w:type="spellStart"/>
      <w:r w:rsidRPr="00AE2C15">
        <w:rPr>
          <w:rFonts w:asciiTheme="majorBidi" w:hAnsiTheme="majorBidi" w:cstheme="majorBidi"/>
          <w:i/>
          <w:color w:val="000000" w:themeColor="text1"/>
          <w:sz w:val="20"/>
          <w:szCs w:val="20"/>
        </w:rPr>
        <w:t>mulūk</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wa</w:t>
      </w:r>
      <w:proofErr w:type="spellEnd"/>
      <w:r w:rsidRPr="00AE2C15">
        <w:rPr>
          <w:rFonts w:asciiTheme="majorBidi" w:hAnsiTheme="majorBidi" w:cstheme="majorBidi"/>
          <w:i/>
          <w:color w:val="000000" w:themeColor="text1"/>
          <w:sz w:val="20"/>
          <w:szCs w:val="20"/>
        </w:rPr>
        <w:t>-l-</w:t>
      </w:r>
      <w:proofErr w:type="spellStart"/>
      <w:r w:rsidRPr="00AE2C15">
        <w:rPr>
          <w:rFonts w:asciiTheme="majorBidi" w:hAnsiTheme="majorBidi" w:cstheme="majorBidi"/>
          <w:i/>
          <w:color w:val="000000" w:themeColor="text1"/>
          <w:sz w:val="20"/>
          <w:szCs w:val="20"/>
        </w:rPr>
        <w:t>umam</w:t>
      </w:r>
      <w:proofErr w:type="spellEnd"/>
      <w:r w:rsidRPr="00AE2C15">
        <w:rPr>
          <w:rFonts w:asciiTheme="majorBidi" w:hAnsiTheme="majorBidi" w:cstheme="majorBidi"/>
          <w:color w:val="000000" w:themeColor="text1"/>
          <w:sz w:val="20"/>
          <w:szCs w:val="20"/>
        </w:rPr>
        <w:t xml:space="preserve">, ed. </w:t>
      </w:r>
      <w:proofErr w:type="spellStart"/>
      <w:r w:rsidRPr="00AE2C15">
        <w:rPr>
          <w:rFonts w:asciiTheme="majorBidi" w:hAnsiTheme="majorBidi" w:cstheme="majorBidi"/>
          <w:color w:val="000000" w:themeColor="text1"/>
          <w:sz w:val="20"/>
          <w:szCs w:val="20"/>
        </w:rPr>
        <w:t>Muḥammad</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ʿAbd</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Qādir</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ʿAṭā</w:t>
      </w:r>
      <w:proofErr w:type="spellEnd"/>
      <w:r w:rsidRPr="00AE2C15">
        <w:rPr>
          <w:rFonts w:asciiTheme="majorBidi" w:hAnsiTheme="majorBidi" w:cstheme="majorBidi"/>
          <w:color w:val="000000" w:themeColor="text1"/>
          <w:sz w:val="20"/>
          <w:szCs w:val="20"/>
        </w:rPr>
        <w:t xml:space="preserve"> and</w:t>
      </w:r>
      <w:r>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Muṣṭafā</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ʿAbd</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Qādir</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ʿAṭā</w:t>
      </w:r>
      <w:proofErr w:type="spellEnd"/>
      <w:r w:rsidRPr="00AE2C15">
        <w:rPr>
          <w:rFonts w:asciiTheme="majorBidi" w:hAnsiTheme="majorBidi" w:cstheme="majorBidi"/>
          <w:color w:val="000000" w:themeColor="text1"/>
          <w:sz w:val="20"/>
          <w:szCs w:val="20"/>
        </w:rPr>
        <w:t xml:space="preserve"> (Beirut: </w:t>
      </w:r>
      <w:proofErr w:type="spellStart"/>
      <w:r w:rsidRPr="00AE2C15">
        <w:rPr>
          <w:rFonts w:asciiTheme="majorBidi" w:hAnsiTheme="majorBidi" w:cstheme="majorBidi"/>
          <w:color w:val="000000" w:themeColor="text1"/>
          <w:sz w:val="20"/>
          <w:szCs w:val="20"/>
        </w:rPr>
        <w:t>Dār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Kutub</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ʿIlmiyya</w:t>
      </w:r>
      <w:proofErr w:type="spellEnd"/>
      <w:r w:rsidRPr="00AE2C15">
        <w:rPr>
          <w:rFonts w:asciiTheme="majorBidi" w:hAnsiTheme="majorBidi" w:cstheme="majorBidi"/>
          <w:color w:val="000000" w:themeColor="text1"/>
          <w:sz w:val="20"/>
          <w:szCs w:val="20"/>
        </w:rPr>
        <w:t xml:space="preserve">, 1992), 1:117. In his </w:t>
      </w:r>
      <w:proofErr w:type="spellStart"/>
      <w:r w:rsidRPr="00AE2C15">
        <w:rPr>
          <w:rFonts w:asciiTheme="majorBidi" w:hAnsiTheme="majorBidi" w:cstheme="majorBidi"/>
          <w:i/>
          <w:iCs/>
          <w:color w:val="000000" w:themeColor="text1"/>
          <w:sz w:val="20"/>
          <w:szCs w:val="20"/>
        </w:rPr>
        <w:t>Talbīs</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Iblīs</w:t>
      </w:r>
      <w:proofErr w:type="spellEnd"/>
      <w:r w:rsidRPr="00AE2C15">
        <w:rPr>
          <w:rFonts w:asciiTheme="majorBidi" w:hAnsiTheme="majorBidi" w:cstheme="majorBidi"/>
          <w:color w:val="000000" w:themeColor="text1"/>
          <w:sz w:val="20"/>
          <w:szCs w:val="20"/>
        </w:rPr>
        <w:t>, a polemical work attacking various groups he perceived to have been misled by Satan, this situation is framed as one of Satan’s wiles leading rulers to believe that they could met</w:t>
      </w:r>
      <w:r w:rsidR="004F3AF2">
        <w:rPr>
          <w:rFonts w:asciiTheme="majorBidi" w:hAnsiTheme="majorBidi" w:cstheme="majorBidi"/>
          <w:color w:val="000000" w:themeColor="text1"/>
          <w:sz w:val="20"/>
          <w:szCs w:val="20"/>
        </w:rPr>
        <w:t>e</w:t>
      </w:r>
      <w:r w:rsidRPr="00AE2C15">
        <w:rPr>
          <w:rFonts w:asciiTheme="majorBidi" w:hAnsiTheme="majorBidi" w:cstheme="majorBidi"/>
          <w:color w:val="000000" w:themeColor="text1"/>
          <w:sz w:val="20"/>
          <w:szCs w:val="20"/>
        </w:rPr>
        <w:t xml:space="preserve"> out arbitrary punishments under the pretext of </w:t>
      </w:r>
      <w:proofErr w:type="spellStart"/>
      <w:r w:rsidRPr="00AE2C15">
        <w:rPr>
          <w:rFonts w:asciiTheme="majorBidi" w:hAnsiTheme="majorBidi" w:cstheme="majorBidi"/>
          <w:i/>
          <w:iCs/>
          <w:color w:val="000000" w:themeColor="text1"/>
          <w:sz w:val="20"/>
          <w:szCs w:val="20"/>
        </w:rPr>
        <w:t>siyāsa</w:t>
      </w:r>
      <w:proofErr w:type="spellEnd"/>
      <w:r w:rsidRPr="00AE2C15">
        <w:rPr>
          <w:rFonts w:asciiTheme="majorBidi" w:hAnsiTheme="majorBidi" w:cstheme="majorBidi"/>
          <w:color w:val="000000" w:themeColor="text1"/>
          <w:sz w:val="20"/>
          <w:szCs w:val="20"/>
        </w:rPr>
        <w:t>. To illustrate his point, 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supplies an anecdote in which the Buyid </w:t>
      </w:r>
      <w:proofErr w:type="spellStart"/>
      <w:r w:rsidRPr="00AE2C15">
        <w:rPr>
          <w:rFonts w:asciiTheme="majorBidi" w:hAnsiTheme="majorBidi" w:cstheme="majorBidi"/>
          <w:i/>
          <w:iCs/>
          <w:color w:val="000000" w:themeColor="text1"/>
          <w:sz w:val="20"/>
          <w:szCs w:val="20"/>
        </w:rPr>
        <w:t>amīr</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color w:val="000000" w:themeColor="text1"/>
          <w:sz w:val="20"/>
          <w:szCs w:val="20"/>
        </w:rPr>
        <w:t>ʿAḍud</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Dawla</w:t>
      </w:r>
      <w:proofErr w:type="spellEnd"/>
      <w:r w:rsidRPr="00AE2C15">
        <w:rPr>
          <w:rFonts w:asciiTheme="majorBidi" w:hAnsiTheme="majorBidi" w:cstheme="majorBidi"/>
          <w:color w:val="000000" w:themeColor="text1"/>
          <w:sz w:val="20"/>
          <w:szCs w:val="20"/>
        </w:rPr>
        <w:t xml:space="preserve"> (d. 372/983) ordered the drowning of a slave girl </w:t>
      </w:r>
      <w:r w:rsidR="004F3AF2">
        <w:rPr>
          <w:rFonts w:asciiTheme="majorBidi" w:hAnsiTheme="majorBidi" w:cstheme="majorBidi"/>
          <w:color w:val="000000" w:themeColor="text1"/>
          <w:sz w:val="20"/>
          <w:szCs w:val="20"/>
        </w:rPr>
        <w:t xml:space="preserve">with whom </w:t>
      </w:r>
      <w:r w:rsidRPr="00AE2C15">
        <w:rPr>
          <w:rFonts w:asciiTheme="majorBidi" w:hAnsiTheme="majorBidi" w:cstheme="majorBidi"/>
          <w:color w:val="000000" w:themeColor="text1"/>
          <w:sz w:val="20"/>
          <w:szCs w:val="20"/>
        </w:rPr>
        <w:t>he was infatuated, lest this infatuation distracted him from political affairs. See 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Talbīs</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Iblīs</w:t>
      </w:r>
      <w:proofErr w:type="spellEnd"/>
      <w:r w:rsidRPr="00AE2C15">
        <w:rPr>
          <w:rFonts w:asciiTheme="majorBidi" w:hAnsiTheme="majorBidi" w:cstheme="majorBidi"/>
          <w:iCs/>
          <w:color w:val="000000" w:themeColor="text1"/>
          <w:sz w:val="20"/>
          <w:szCs w:val="20"/>
        </w:rPr>
        <w:t xml:space="preserve">, ed. Zayd b. </w:t>
      </w:r>
      <w:proofErr w:type="spellStart"/>
      <w:r w:rsidRPr="00AE2C15">
        <w:rPr>
          <w:rFonts w:asciiTheme="majorBidi" w:hAnsiTheme="majorBidi" w:cstheme="majorBidi"/>
          <w:iCs/>
          <w:color w:val="000000" w:themeColor="text1"/>
          <w:sz w:val="20"/>
          <w:szCs w:val="20"/>
        </w:rPr>
        <w:t>Muḥammad</w:t>
      </w:r>
      <w:proofErr w:type="spellEnd"/>
      <w:r w:rsidRPr="00AE2C15">
        <w:rPr>
          <w:rFonts w:asciiTheme="majorBidi" w:hAnsiTheme="majorBidi" w:cstheme="majorBidi"/>
          <w:iCs/>
          <w:color w:val="000000" w:themeColor="text1"/>
          <w:sz w:val="20"/>
          <w:szCs w:val="20"/>
        </w:rPr>
        <w:t xml:space="preserve"> b. </w:t>
      </w:r>
      <w:proofErr w:type="spellStart"/>
      <w:r w:rsidRPr="00AE2C15">
        <w:rPr>
          <w:rFonts w:asciiTheme="majorBidi" w:hAnsiTheme="majorBidi" w:cstheme="majorBidi"/>
          <w:iCs/>
          <w:color w:val="000000" w:themeColor="text1"/>
          <w:sz w:val="20"/>
          <w:szCs w:val="20"/>
        </w:rPr>
        <w:t>Hādī</w:t>
      </w:r>
      <w:proofErr w:type="spellEnd"/>
      <w:r w:rsidRPr="00AE2C15">
        <w:rPr>
          <w:rFonts w:asciiTheme="majorBidi" w:hAnsiTheme="majorBidi" w:cstheme="majorBidi"/>
          <w:iCs/>
          <w:color w:val="000000" w:themeColor="text1"/>
          <w:sz w:val="20"/>
          <w:szCs w:val="20"/>
        </w:rPr>
        <w:t xml:space="preserve"> al-</w:t>
      </w:r>
      <w:proofErr w:type="spellStart"/>
      <w:r w:rsidRPr="00AE2C15">
        <w:rPr>
          <w:rFonts w:asciiTheme="majorBidi" w:hAnsiTheme="majorBidi" w:cstheme="majorBidi"/>
          <w:iCs/>
          <w:color w:val="000000" w:themeColor="text1"/>
          <w:sz w:val="20"/>
          <w:szCs w:val="20"/>
        </w:rPr>
        <w:t>Madkhalī</w:t>
      </w:r>
      <w:proofErr w:type="spellEnd"/>
      <w:r w:rsidRPr="00AE2C15">
        <w:rPr>
          <w:rFonts w:asciiTheme="majorBidi" w:hAnsiTheme="majorBidi" w:cstheme="majorBidi"/>
          <w:iCs/>
          <w:color w:val="000000" w:themeColor="text1"/>
          <w:sz w:val="20"/>
          <w:szCs w:val="20"/>
        </w:rPr>
        <w:t xml:space="preserve"> (Jeddah: </w:t>
      </w:r>
      <w:proofErr w:type="spellStart"/>
      <w:r w:rsidRPr="00AE2C15">
        <w:rPr>
          <w:rFonts w:asciiTheme="majorBidi" w:hAnsiTheme="majorBidi" w:cstheme="majorBidi"/>
          <w:iCs/>
          <w:color w:val="000000" w:themeColor="text1"/>
          <w:sz w:val="20"/>
          <w:szCs w:val="20"/>
        </w:rPr>
        <w:t>Dār</w:t>
      </w:r>
      <w:proofErr w:type="spellEnd"/>
      <w:r w:rsidRPr="00AE2C15">
        <w:rPr>
          <w:rFonts w:asciiTheme="majorBidi" w:hAnsiTheme="majorBidi" w:cstheme="majorBidi"/>
          <w:iCs/>
          <w:color w:val="000000" w:themeColor="text1"/>
          <w:sz w:val="20"/>
          <w:szCs w:val="20"/>
        </w:rPr>
        <w:t xml:space="preserve"> al-</w:t>
      </w:r>
      <w:proofErr w:type="spellStart"/>
      <w:r w:rsidRPr="00AE2C15">
        <w:rPr>
          <w:rFonts w:asciiTheme="majorBidi" w:hAnsiTheme="majorBidi" w:cstheme="majorBidi"/>
          <w:iCs/>
          <w:color w:val="000000" w:themeColor="text1"/>
          <w:sz w:val="20"/>
          <w:szCs w:val="20"/>
        </w:rPr>
        <w:t>Minhāj</w:t>
      </w:r>
      <w:proofErr w:type="spellEnd"/>
      <w:r w:rsidRPr="00AE2C15">
        <w:rPr>
          <w:rFonts w:asciiTheme="majorBidi" w:hAnsiTheme="majorBidi" w:cstheme="majorBidi"/>
          <w:iCs/>
          <w:color w:val="000000" w:themeColor="text1"/>
          <w:sz w:val="20"/>
          <w:szCs w:val="20"/>
        </w:rPr>
        <w:t>, 2010), 191, 508.</w:t>
      </w:r>
    </w:p>
  </w:footnote>
  <w:footnote w:id="13">
    <w:p w14:paraId="2E79145F" w14:textId="678DC9B7" w:rsidR="00CD2D30" w:rsidRPr="00AE2C15" w:rsidRDefault="00CD2D30" w:rsidP="00CA0374">
      <w:pPr>
        <w:autoSpaceDE w:val="0"/>
        <w:autoSpaceDN w:val="0"/>
        <w:adjustRightInd w:val="0"/>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Cs/>
          <w:color w:val="000000" w:themeColor="text1"/>
          <w:sz w:val="20"/>
          <w:szCs w:val="20"/>
        </w:rPr>
        <w:t>Sibṭ</w:t>
      </w:r>
      <w:proofErr w:type="spellEnd"/>
      <w:r w:rsidRPr="00AE2C15">
        <w:rPr>
          <w:rFonts w:asciiTheme="majorBidi" w:hAnsiTheme="majorBidi" w:cstheme="majorBidi"/>
          <w:iCs/>
          <w:color w:val="000000" w:themeColor="text1"/>
          <w:sz w:val="20"/>
          <w:szCs w:val="20"/>
        </w:rPr>
        <w:t xml:space="preserve"> b. al-</w:t>
      </w:r>
      <w:proofErr w:type="spellStart"/>
      <w:r w:rsidRPr="00AE2C15">
        <w:rPr>
          <w:rFonts w:asciiTheme="majorBidi" w:hAnsiTheme="majorBidi" w:cstheme="majorBidi"/>
          <w:iCs/>
          <w:color w:val="000000" w:themeColor="text1"/>
          <w:sz w:val="20"/>
          <w:szCs w:val="20"/>
        </w:rPr>
        <w:t>Jawzī</w:t>
      </w:r>
      <w:proofErr w:type="spellEnd"/>
      <w:r w:rsidRPr="00AE2C15">
        <w:rPr>
          <w:rFonts w:asciiTheme="majorBidi" w:hAnsiTheme="majorBidi" w:cstheme="majorBidi"/>
          <w:iCs/>
          <w:color w:val="000000" w:themeColor="text1"/>
          <w:sz w:val="20"/>
          <w:szCs w:val="20"/>
        </w:rPr>
        <w:t xml:space="preserve">, </w:t>
      </w:r>
      <w:r w:rsidRPr="00AE2C15">
        <w:rPr>
          <w:rFonts w:asciiTheme="majorBidi" w:hAnsiTheme="majorBidi" w:cstheme="majorBidi"/>
          <w:i/>
          <w:iCs/>
          <w:color w:val="000000" w:themeColor="text1"/>
          <w:sz w:val="20"/>
          <w:szCs w:val="20"/>
        </w:rPr>
        <w:t>al-</w:t>
      </w:r>
      <w:proofErr w:type="spellStart"/>
      <w:r w:rsidRPr="00AE2C15">
        <w:rPr>
          <w:rFonts w:asciiTheme="majorBidi" w:hAnsiTheme="majorBidi" w:cstheme="majorBidi"/>
          <w:i/>
          <w:iCs/>
          <w:color w:val="000000" w:themeColor="text1"/>
          <w:sz w:val="20"/>
          <w:szCs w:val="20"/>
        </w:rPr>
        <w:t>Jalīs</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ṣāliḥ</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wa</w:t>
      </w:r>
      <w:proofErr w:type="spellEnd"/>
      <w:r w:rsidRPr="00AE2C15">
        <w:rPr>
          <w:rFonts w:asciiTheme="majorBidi" w:hAnsiTheme="majorBidi" w:cstheme="majorBidi"/>
          <w:i/>
          <w:iCs/>
          <w:color w:val="000000" w:themeColor="text1"/>
          <w:sz w:val="20"/>
          <w:szCs w:val="20"/>
        </w:rPr>
        <w:t>-l-</w:t>
      </w:r>
      <w:proofErr w:type="spellStart"/>
      <w:r w:rsidRPr="00AE2C15">
        <w:rPr>
          <w:rFonts w:asciiTheme="majorBidi" w:hAnsiTheme="majorBidi" w:cstheme="majorBidi"/>
          <w:i/>
          <w:iCs/>
          <w:color w:val="000000" w:themeColor="text1"/>
          <w:sz w:val="20"/>
          <w:szCs w:val="20"/>
        </w:rPr>
        <w:t>anīs</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nāṣiḥ</w:t>
      </w:r>
      <w:proofErr w:type="spellEnd"/>
      <w:r w:rsidRPr="00AE2C15">
        <w:rPr>
          <w:rFonts w:asciiTheme="majorBidi" w:hAnsiTheme="majorBidi" w:cstheme="majorBidi"/>
          <w:color w:val="000000" w:themeColor="text1"/>
          <w:sz w:val="20"/>
          <w:szCs w:val="20"/>
        </w:rPr>
        <w:t xml:space="preserve">, ed. </w:t>
      </w:r>
      <w:proofErr w:type="spellStart"/>
      <w:r w:rsidRPr="00AE2C15">
        <w:rPr>
          <w:rFonts w:asciiTheme="majorBidi" w:hAnsiTheme="majorBidi" w:cstheme="majorBidi"/>
          <w:color w:val="000000" w:themeColor="text1"/>
          <w:sz w:val="20"/>
          <w:szCs w:val="20"/>
        </w:rPr>
        <w:t>Fawwās</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Ṣāliḥ</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Fawwāz</w:t>
      </w:r>
      <w:proofErr w:type="spellEnd"/>
      <w:r w:rsidRPr="00AE2C15">
        <w:rPr>
          <w:rFonts w:asciiTheme="majorBidi" w:hAnsiTheme="majorBidi" w:cstheme="majorBidi"/>
          <w:color w:val="000000" w:themeColor="text1"/>
          <w:sz w:val="20"/>
          <w:szCs w:val="20"/>
        </w:rPr>
        <w:t xml:space="preserve"> (London: Riad El-</w:t>
      </w:r>
      <w:proofErr w:type="spellStart"/>
      <w:r w:rsidRPr="00AE2C15">
        <w:rPr>
          <w:rFonts w:asciiTheme="majorBidi" w:hAnsiTheme="majorBidi" w:cstheme="majorBidi"/>
          <w:color w:val="000000" w:themeColor="text1"/>
          <w:sz w:val="20"/>
          <w:szCs w:val="20"/>
        </w:rPr>
        <w:t>Rayyes</w:t>
      </w:r>
      <w:proofErr w:type="spellEnd"/>
      <w:r w:rsidRPr="00AE2C15">
        <w:rPr>
          <w:rFonts w:asciiTheme="majorBidi" w:hAnsiTheme="majorBidi" w:cstheme="majorBidi"/>
          <w:color w:val="000000" w:themeColor="text1"/>
          <w:sz w:val="20"/>
          <w:szCs w:val="20"/>
        </w:rPr>
        <w:t xml:space="preserve"> Books, 1989), 55; translated in </w:t>
      </w:r>
      <w:proofErr w:type="spellStart"/>
      <w:r w:rsidRPr="00AE2C15">
        <w:rPr>
          <w:rFonts w:asciiTheme="majorBidi" w:hAnsiTheme="majorBidi" w:cstheme="majorBidi"/>
          <w:color w:val="000000" w:themeColor="text1"/>
          <w:sz w:val="20"/>
          <w:szCs w:val="20"/>
        </w:rPr>
        <w:t>Khalidi</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Arabic Historical Thought</w:t>
      </w:r>
      <w:r w:rsidRPr="00AE2C15">
        <w:rPr>
          <w:rFonts w:asciiTheme="majorBidi" w:hAnsiTheme="majorBidi" w:cstheme="majorBidi"/>
          <w:color w:val="000000" w:themeColor="text1"/>
          <w:sz w:val="20"/>
          <w:szCs w:val="20"/>
        </w:rPr>
        <w:t xml:space="preserve">, 195–96 n. 33: “What many rulers neglect to observe is that they order what the </w:t>
      </w:r>
      <w:proofErr w:type="spellStart"/>
      <w:r w:rsidRPr="00AE2C15">
        <w:rPr>
          <w:rFonts w:asciiTheme="majorBidi" w:hAnsiTheme="majorBidi" w:cstheme="majorBidi"/>
          <w:i/>
          <w:iCs/>
          <w:color w:val="000000" w:themeColor="text1"/>
          <w:sz w:val="20"/>
          <w:szCs w:val="20"/>
        </w:rPr>
        <w:t>shariʿa</w:t>
      </w:r>
      <w:proofErr w:type="spellEnd"/>
      <w:r w:rsidRPr="00AE2C15">
        <w:rPr>
          <w:rFonts w:asciiTheme="majorBidi" w:hAnsiTheme="majorBidi" w:cstheme="majorBidi"/>
          <w:color w:val="000000" w:themeColor="text1"/>
          <w:sz w:val="20"/>
          <w:szCs w:val="20"/>
        </w:rPr>
        <w:t xml:space="preserve"> does not permit such as the execution of one who should not be executed or the cutting off of the limbs of another who should not be so punished, calling this </w:t>
      </w:r>
      <w:proofErr w:type="spellStart"/>
      <w:r w:rsidRPr="00AE2C15">
        <w:rPr>
          <w:rFonts w:asciiTheme="majorBidi" w:hAnsiTheme="majorBidi" w:cstheme="majorBidi"/>
          <w:i/>
          <w:iCs/>
          <w:color w:val="000000" w:themeColor="text1"/>
          <w:sz w:val="20"/>
          <w:szCs w:val="20"/>
        </w:rPr>
        <w:t>siyasa</w:t>
      </w:r>
      <w:proofErr w:type="spellEnd"/>
      <w:r w:rsidRPr="00AE2C15">
        <w:rPr>
          <w:rFonts w:asciiTheme="majorBidi" w:hAnsiTheme="majorBidi" w:cstheme="majorBidi"/>
          <w:color w:val="000000" w:themeColor="text1"/>
          <w:sz w:val="20"/>
          <w:szCs w:val="20"/>
        </w:rPr>
        <w:t xml:space="preserve">. But this is the height of error. For in saying that this is </w:t>
      </w:r>
      <w:proofErr w:type="spellStart"/>
      <w:r w:rsidRPr="00AE2C15">
        <w:rPr>
          <w:rFonts w:asciiTheme="majorBidi" w:hAnsiTheme="majorBidi" w:cstheme="majorBidi"/>
          <w:i/>
          <w:iCs/>
          <w:color w:val="000000" w:themeColor="text1"/>
          <w:sz w:val="20"/>
          <w:szCs w:val="20"/>
        </w:rPr>
        <w:t>siyasa</w:t>
      </w:r>
      <w:proofErr w:type="spellEnd"/>
      <w:r w:rsidRPr="00AE2C15">
        <w:rPr>
          <w:rFonts w:asciiTheme="majorBidi" w:hAnsiTheme="majorBidi" w:cstheme="majorBidi"/>
          <w:color w:val="000000" w:themeColor="text1"/>
          <w:sz w:val="20"/>
          <w:szCs w:val="20"/>
        </w:rPr>
        <w:t xml:space="preserve"> they are in effect asserting that the </w:t>
      </w:r>
      <w:proofErr w:type="spellStart"/>
      <w:r w:rsidRPr="00AE2C15">
        <w:rPr>
          <w:rFonts w:asciiTheme="majorBidi" w:hAnsiTheme="majorBidi" w:cstheme="majorBidi"/>
          <w:i/>
          <w:iCs/>
          <w:color w:val="000000" w:themeColor="text1"/>
          <w:sz w:val="20"/>
          <w:szCs w:val="20"/>
        </w:rPr>
        <w:t>shariʿa</w:t>
      </w:r>
      <w:proofErr w:type="spellEnd"/>
      <w:r w:rsidRPr="00AE2C15">
        <w:rPr>
          <w:rFonts w:asciiTheme="majorBidi" w:hAnsiTheme="majorBidi" w:cstheme="majorBidi"/>
          <w:color w:val="000000" w:themeColor="text1"/>
          <w:sz w:val="20"/>
          <w:szCs w:val="20"/>
        </w:rPr>
        <w:t xml:space="preserve"> is incomplete and needs to be supplemented with our own opinion. This is the root of the error, for the </w:t>
      </w:r>
      <w:proofErr w:type="spellStart"/>
      <w:r w:rsidRPr="00AE2C15">
        <w:rPr>
          <w:rFonts w:asciiTheme="majorBidi" w:hAnsiTheme="majorBidi" w:cstheme="majorBidi"/>
          <w:i/>
          <w:iCs/>
          <w:color w:val="000000" w:themeColor="text1"/>
          <w:sz w:val="20"/>
          <w:szCs w:val="20"/>
        </w:rPr>
        <w:t>shariʿa</w:t>
      </w:r>
      <w:proofErr w:type="spellEnd"/>
      <w:r w:rsidRPr="00AE2C15">
        <w:rPr>
          <w:rFonts w:asciiTheme="majorBidi" w:hAnsiTheme="majorBidi" w:cstheme="majorBidi"/>
          <w:color w:val="000000" w:themeColor="text1"/>
          <w:sz w:val="20"/>
          <w:szCs w:val="20"/>
        </w:rPr>
        <w:t xml:space="preserve"> is perfect </w:t>
      </w:r>
      <w:proofErr w:type="spellStart"/>
      <w:r w:rsidRPr="00AE2C15">
        <w:rPr>
          <w:rFonts w:asciiTheme="majorBidi" w:hAnsiTheme="majorBidi" w:cstheme="majorBidi"/>
          <w:i/>
          <w:iCs/>
          <w:color w:val="000000" w:themeColor="text1"/>
          <w:sz w:val="20"/>
          <w:szCs w:val="20"/>
        </w:rPr>
        <w:t>siyasa</w:t>
      </w:r>
      <w:proofErr w:type="spellEnd"/>
      <w:r w:rsidRPr="00AE2C15">
        <w:rPr>
          <w:rFonts w:asciiTheme="majorBidi" w:hAnsiTheme="majorBidi" w:cstheme="majorBidi"/>
          <w:color w:val="000000" w:themeColor="text1"/>
          <w:sz w:val="20"/>
          <w:szCs w:val="20"/>
        </w:rPr>
        <w:t xml:space="preserve">.” See also Stefan </w:t>
      </w:r>
      <w:proofErr w:type="spellStart"/>
      <w:r w:rsidRPr="00AE2C15">
        <w:rPr>
          <w:rFonts w:asciiTheme="majorBidi" w:hAnsiTheme="majorBidi" w:cstheme="majorBidi"/>
          <w:color w:val="000000" w:themeColor="text1"/>
          <w:sz w:val="20"/>
          <w:szCs w:val="20"/>
        </w:rPr>
        <w:t>Leder</w:t>
      </w:r>
      <w:proofErr w:type="spellEnd"/>
      <w:r w:rsidRPr="00AE2C15">
        <w:rPr>
          <w:rFonts w:asciiTheme="majorBidi" w:hAnsiTheme="majorBidi" w:cstheme="majorBidi"/>
          <w:color w:val="000000" w:themeColor="text1"/>
          <w:sz w:val="20"/>
          <w:szCs w:val="20"/>
        </w:rPr>
        <w:t xml:space="preserve">, “Sultanic Rule in the Mirror of Medieval Political Literature,” In </w:t>
      </w:r>
      <w:r w:rsidRPr="00AE2C15">
        <w:rPr>
          <w:rFonts w:asciiTheme="majorBidi" w:hAnsiTheme="majorBidi" w:cstheme="majorBidi"/>
          <w:i/>
          <w:iCs/>
          <w:color w:val="000000" w:themeColor="text1"/>
          <w:sz w:val="20"/>
          <w:szCs w:val="20"/>
        </w:rPr>
        <w:t>Global Medieval: Mirrors for Princes Reconsidered</w:t>
      </w:r>
      <w:r w:rsidRPr="00AE2C15">
        <w:rPr>
          <w:rFonts w:asciiTheme="majorBidi" w:hAnsiTheme="majorBidi" w:cstheme="majorBidi"/>
          <w:color w:val="000000" w:themeColor="text1"/>
          <w:sz w:val="20"/>
          <w:szCs w:val="20"/>
        </w:rPr>
        <w:t xml:space="preserve">, ed. Regula Forster and </w:t>
      </w:r>
      <w:proofErr w:type="spellStart"/>
      <w:r w:rsidRPr="00AE2C15">
        <w:rPr>
          <w:rFonts w:asciiTheme="majorBidi" w:hAnsiTheme="majorBidi" w:cstheme="majorBidi"/>
          <w:color w:val="000000" w:themeColor="text1"/>
          <w:sz w:val="20"/>
          <w:szCs w:val="20"/>
        </w:rPr>
        <w:t>Neguin</w:t>
      </w:r>
      <w:proofErr w:type="spellEnd"/>
      <w:r w:rsidRPr="00AE2C15">
        <w:rPr>
          <w:rFonts w:asciiTheme="majorBidi" w:hAnsiTheme="majorBidi" w:cstheme="majorBidi"/>
          <w:color w:val="000000" w:themeColor="text1"/>
          <w:sz w:val="20"/>
          <w:szCs w:val="20"/>
        </w:rPr>
        <w:t xml:space="preserve"> Yavari (Boston: Ilex Foundation, 2015), 105–6.</w:t>
      </w:r>
    </w:p>
  </w:footnote>
  <w:footnote w:id="14">
    <w:p w14:paraId="72BE8270" w14:textId="70F9014A" w:rsidR="00CD2D30" w:rsidRPr="00AE2C15" w:rsidRDefault="00CD2D30" w:rsidP="00AE2C15">
      <w:pPr>
        <w:autoSpaceDE w:val="0"/>
        <w:autoSpaceDN w:val="0"/>
        <w:adjustRightInd w:val="0"/>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Anjum, </w:t>
      </w:r>
      <w:r w:rsidRPr="00AE2C15">
        <w:rPr>
          <w:rFonts w:asciiTheme="majorBidi" w:hAnsiTheme="majorBidi" w:cstheme="majorBidi"/>
          <w:i/>
          <w:color w:val="000000" w:themeColor="text1"/>
          <w:sz w:val="20"/>
          <w:szCs w:val="20"/>
        </w:rPr>
        <w:t>Politics, Law, and Community</w:t>
      </w:r>
      <w:r w:rsidRPr="00AE2C15">
        <w:rPr>
          <w:rFonts w:asciiTheme="majorBidi" w:hAnsiTheme="majorBidi" w:cstheme="majorBidi"/>
          <w:iCs/>
          <w:color w:val="000000" w:themeColor="text1"/>
          <w:sz w:val="20"/>
          <w:szCs w:val="20"/>
        </w:rPr>
        <w:t xml:space="preserve">, 105–6; </w:t>
      </w:r>
      <w:r w:rsidRPr="00AE2C15">
        <w:rPr>
          <w:rFonts w:asciiTheme="majorBidi" w:hAnsiTheme="majorBidi" w:cstheme="majorBidi"/>
          <w:color w:val="000000" w:themeColor="text1"/>
          <w:sz w:val="20"/>
          <w:szCs w:val="20"/>
        </w:rPr>
        <w:t xml:space="preserve">Frank E. Vogel, “Tracing Nuance in </w:t>
      </w:r>
      <w:proofErr w:type="spellStart"/>
      <w:r w:rsidRPr="00AE2C15">
        <w:rPr>
          <w:rFonts w:asciiTheme="majorBidi" w:hAnsiTheme="majorBidi" w:cstheme="majorBidi"/>
          <w:color w:val="000000" w:themeColor="text1"/>
          <w:sz w:val="20"/>
          <w:szCs w:val="20"/>
        </w:rPr>
        <w:t>Māwardī’s</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al-</w:t>
      </w:r>
      <w:proofErr w:type="spellStart"/>
      <w:r w:rsidRPr="00AE2C15">
        <w:rPr>
          <w:rFonts w:asciiTheme="majorBidi" w:hAnsiTheme="majorBidi" w:cstheme="majorBidi"/>
          <w:i/>
          <w:iCs/>
          <w:color w:val="000000" w:themeColor="text1"/>
          <w:sz w:val="20"/>
          <w:szCs w:val="20"/>
        </w:rPr>
        <w:t>Aḥkām</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sulṭāniyyah</w:t>
      </w:r>
      <w:proofErr w:type="spellEnd"/>
      <w:r w:rsidRPr="00AE2C15">
        <w:rPr>
          <w:rFonts w:asciiTheme="majorBidi" w:hAnsiTheme="majorBidi" w:cstheme="majorBidi"/>
          <w:color w:val="000000" w:themeColor="text1"/>
          <w:sz w:val="20"/>
          <w:szCs w:val="20"/>
        </w:rPr>
        <w:t xml:space="preserve">: Implicit Framing of Constitutional Authority,” in </w:t>
      </w:r>
      <w:r w:rsidRPr="00AE2C15">
        <w:rPr>
          <w:rFonts w:asciiTheme="majorBidi" w:hAnsiTheme="majorBidi" w:cstheme="majorBidi"/>
          <w:i/>
          <w:iCs/>
          <w:color w:val="000000" w:themeColor="text1"/>
          <w:sz w:val="20"/>
          <w:szCs w:val="20"/>
        </w:rPr>
        <w:t>Islamic Law in Theory: Studies on Jurisprudence in Honor of Bernard Weiss</w:t>
      </w:r>
      <w:r w:rsidRPr="00AE2C15">
        <w:rPr>
          <w:rFonts w:asciiTheme="majorBidi" w:hAnsiTheme="majorBidi" w:cstheme="majorBidi"/>
          <w:color w:val="000000" w:themeColor="text1"/>
          <w:sz w:val="20"/>
          <w:szCs w:val="20"/>
        </w:rPr>
        <w:t xml:space="preserve">, ed. Kevin Reinhart and Robert </w:t>
      </w:r>
      <w:proofErr w:type="spellStart"/>
      <w:r w:rsidRPr="00AE2C15">
        <w:rPr>
          <w:rFonts w:asciiTheme="majorBidi" w:hAnsiTheme="majorBidi" w:cstheme="majorBidi"/>
          <w:color w:val="000000" w:themeColor="text1"/>
          <w:sz w:val="20"/>
          <w:szCs w:val="20"/>
        </w:rPr>
        <w:t>Gleave</w:t>
      </w:r>
      <w:proofErr w:type="spellEnd"/>
      <w:r w:rsidRPr="00AE2C15">
        <w:rPr>
          <w:rFonts w:asciiTheme="majorBidi" w:hAnsiTheme="majorBidi" w:cstheme="majorBidi"/>
          <w:color w:val="000000" w:themeColor="text1"/>
          <w:sz w:val="20"/>
          <w:szCs w:val="20"/>
        </w:rPr>
        <w:t xml:space="preserve"> (Leiden: Brill, 2014), </w:t>
      </w:r>
      <w:r w:rsidRPr="00AE2C15">
        <w:rPr>
          <w:rFonts w:asciiTheme="majorBidi" w:hAnsiTheme="majorBidi" w:cstheme="majorBidi"/>
          <w:iCs/>
          <w:color w:val="000000" w:themeColor="text1"/>
          <w:sz w:val="20"/>
          <w:szCs w:val="20"/>
        </w:rPr>
        <w:t xml:space="preserve">345–46. </w:t>
      </w:r>
      <w:r w:rsidRPr="00AE2C15">
        <w:rPr>
          <w:rFonts w:asciiTheme="majorBidi" w:hAnsiTheme="majorBidi" w:cstheme="majorBidi"/>
          <w:color w:val="000000" w:themeColor="text1"/>
          <w:sz w:val="20"/>
          <w:szCs w:val="20"/>
        </w:rPr>
        <w:t xml:space="preserve">The idea of </w:t>
      </w:r>
      <w:proofErr w:type="spellStart"/>
      <w:r w:rsidRPr="00AE2C15">
        <w:rPr>
          <w:rFonts w:asciiTheme="majorBidi" w:hAnsiTheme="majorBidi" w:cstheme="majorBidi"/>
          <w:i/>
          <w:iCs/>
          <w:color w:val="000000" w:themeColor="text1"/>
          <w:sz w:val="20"/>
          <w:szCs w:val="20"/>
        </w:rPr>
        <w:t>fiqh</w:t>
      </w:r>
      <w:proofErr w:type="spellEnd"/>
      <w:r w:rsidRPr="00AE2C15">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being</w:t>
      </w:r>
      <w:r w:rsidRPr="00AE2C15">
        <w:rPr>
          <w:rFonts w:asciiTheme="majorBidi" w:hAnsiTheme="majorBidi" w:cstheme="majorBidi"/>
          <w:color w:val="000000" w:themeColor="text1"/>
          <w:sz w:val="20"/>
          <w:szCs w:val="20"/>
        </w:rPr>
        <w:t xml:space="preserve"> the most important of the Islamic religious sciences is a recurring theme in Ibn al-</w:t>
      </w:r>
      <w:proofErr w:type="spellStart"/>
      <w:r w:rsidRPr="00AE2C15">
        <w:rPr>
          <w:rFonts w:asciiTheme="majorBidi" w:hAnsiTheme="majorBidi" w:cstheme="majorBidi"/>
          <w:color w:val="000000" w:themeColor="text1"/>
          <w:sz w:val="20"/>
          <w:szCs w:val="20"/>
        </w:rPr>
        <w:t>Jawzī’s</w:t>
      </w:r>
      <w:proofErr w:type="spellEnd"/>
      <w:r w:rsidRPr="00AE2C15">
        <w:rPr>
          <w:rFonts w:asciiTheme="majorBidi" w:hAnsiTheme="majorBidi" w:cstheme="majorBidi"/>
          <w:color w:val="000000" w:themeColor="text1"/>
          <w:sz w:val="20"/>
          <w:szCs w:val="20"/>
        </w:rPr>
        <w:t xml:space="preserve"> writings. In several instances, he castigates ascetics and Sufis, as well as al-</w:t>
      </w:r>
      <w:proofErr w:type="spellStart"/>
      <w:r w:rsidRPr="00AE2C15">
        <w:rPr>
          <w:rFonts w:asciiTheme="majorBidi" w:hAnsiTheme="majorBidi" w:cstheme="majorBidi"/>
          <w:color w:val="000000" w:themeColor="text1"/>
          <w:sz w:val="20"/>
          <w:szCs w:val="20"/>
        </w:rPr>
        <w:t>Ghazālī</w:t>
      </w:r>
      <w:proofErr w:type="spellEnd"/>
      <w:r w:rsidRPr="00AE2C15">
        <w:rPr>
          <w:rFonts w:asciiTheme="majorBidi" w:hAnsiTheme="majorBidi" w:cstheme="majorBidi"/>
          <w:color w:val="000000" w:themeColor="text1"/>
          <w:sz w:val="20"/>
          <w:szCs w:val="20"/>
        </w:rPr>
        <w:t xml:space="preserve">, for privileging excessive </w:t>
      </w:r>
      <w:r>
        <w:rPr>
          <w:rFonts w:asciiTheme="majorBidi" w:hAnsiTheme="majorBidi" w:cstheme="majorBidi"/>
          <w:color w:val="000000" w:themeColor="text1"/>
          <w:sz w:val="20"/>
          <w:szCs w:val="20"/>
        </w:rPr>
        <w:t xml:space="preserve">Sufi </w:t>
      </w:r>
      <w:r w:rsidRPr="00AE2C15">
        <w:rPr>
          <w:rFonts w:asciiTheme="majorBidi" w:hAnsiTheme="majorBidi" w:cstheme="majorBidi"/>
          <w:color w:val="000000" w:themeColor="text1"/>
          <w:sz w:val="20"/>
          <w:szCs w:val="20"/>
        </w:rPr>
        <w:t xml:space="preserve">practices over the teachings and knowledge of </w:t>
      </w:r>
      <w:proofErr w:type="spellStart"/>
      <w:r w:rsidRPr="00AE2C15">
        <w:rPr>
          <w:rFonts w:asciiTheme="majorBidi" w:hAnsiTheme="majorBidi" w:cstheme="majorBidi"/>
          <w:i/>
          <w:iCs/>
          <w:color w:val="000000" w:themeColor="text1"/>
          <w:sz w:val="20"/>
          <w:szCs w:val="20"/>
        </w:rPr>
        <w:t>fiqh</w:t>
      </w:r>
      <w:proofErr w:type="spellEnd"/>
      <w:r w:rsidRPr="00AE2C15">
        <w:rPr>
          <w:rFonts w:asciiTheme="majorBidi" w:hAnsiTheme="majorBidi" w:cstheme="majorBidi"/>
          <w:color w:val="000000" w:themeColor="text1"/>
          <w:sz w:val="20"/>
          <w:szCs w:val="20"/>
        </w:rPr>
        <w:t>. See 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Ṣayd</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khāṭir</w:t>
      </w:r>
      <w:proofErr w:type="spellEnd"/>
      <w:r w:rsidRPr="00AE2C15">
        <w:rPr>
          <w:rFonts w:asciiTheme="majorBidi" w:hAnsiTheme="majorBidi" w:cstheme="majorBidi"/>
          <w:color w:val="000000" w:themeColor="text1"/>
          <w:sz w:val="20"/>
          <w:szCs w:val="20"/>
        </w:rPr>
        <w:t xml:space="preserve">, ed. </w:t>
      </w:r>
      <w:proofErr w:type="spellStart"/>
      <w:r w:rsidRPr="00AE2C15">
        <w:rPr>
          <w:rFonts w:asciiTheme="majorBidi" w:hAnsiTheme="majorBidi" w:cstheme="majorBidi"/>
          <w:color w:val="000000" w:themeColor="text1"/>
          <w:sz w:val="20"/>
          <w:szCs w:val="20"/>
        </w:rPr>
        <w:t>ʿAbd</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Qādir</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Aḥmad</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ʿAṭā</w:t>
      </w:r>
      <w:proofErr w:type="spellEnd"/>
      <w:r w:rsidRPr="00AE2C15">
        <w:rPr>
          <w:rFonts w:asciiTheme="majorBidi" w:hAnsiTheme="majorBidi" w:cstheme="majorBidi"/>
          <w:color w:val="000000" w:themeColor="text1"/>
          <w:sz w:val="20"/>
          <w:szCs w:val="20"/>
        </w:rPr>
        <w:t xml:space="preserve"> (Beirut: </w:t>
      </w:r>
      <w:proofErr w:type="spellStart"/>
      <w:r w:rsidRPr="00AE2C15">
        <w:rPr>
          <w:rFonts w:asciiTheme="majorBidi" w:hAnsiTheme="majorBidi" w:cstheme="majorBidi"/>
          <w:color w:val="000000" w:themeColor="text1"/>
          <w:sz w:val="20"/>
          <w:szCs w:val="20"/>
        </w:rPr>
        <w:t>Dār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Kutub</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ʿIlmiyya</w:t>
      </w:r>
      <w:proofErr w:type="spellEnd"/>
      <w:r w:rsidRPr="00AE2C15">
        <w:rPr>
          <w:rFonts w:asciiTheme="majorBidi" w:hAnsiTheme="majorBidi" w:cstheme="majorBidi"/>
          <w:color w:val="000000" w:themeColor="text1"/>
          <w:sz w:val="20"/>
          <w:szCs w:val="20"/>
        </w:rPr>
        <w:t xml:space="preserve">, 1992), 97–99, 166–67, 220–25, 347, 438; </w:t>
      </w:r>
      <w:proofErr w:type="spellStart"/>
      <w:r w:rsidRPr="00AE2C15">
        <w:rPr>
          <w:rFonts w:asciiTheme="majorBidi" w:hAnsiTheme="majorBidi" w:cstheme="majorBidi"/>
          <w:i/>
          <w:iCs/>
          <w:color w:val="000000" w:themeColor="text1"/>
          <w:sz w:val="20"/>
          <w:szCs w:val="20"/>
        </w:rPr>
        <w:t>Laftat</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kabid</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ilā</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naṣīḥat</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walad</w:t>
      </w:r>
      <w:proofErr w:type="spellEnd"/>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w:t>
      </w:r>
      <w:proofErr w:type="spellStart"/>
      <w:r w:rsidRPr="00AE2C15">
        <w:rPr>
          <w:rFonts w:asciiTheme="majorBidi" w:hAnsiTheme="majorBidi" w:cstheme="majorBidi"/>
          <w:color w:val="000000" w:themeColor="text1"/>
          <w:sz w:val="20"/>
          <w:szCs w:val="20"/>
        </w:rPr>
        <w:t>Ḥamāh</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Dār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ʿAwda</w:t>
      </w:r>
      <w:proofErr w:type="spellEnd"/>
      <w:r w:rsidRPr="00AE2C15">
        <w:rPr>
          <w:rFonts w:asciiTheme="majorBidi" w:hAnsiTheme="majorBidi" w:cstheme="majorBidi"/>
          <w:color w:val="000000" w:themeColor="text1"/>
          <w:sz w:val="20"/>
          <w:szCs w:val="20"/>
        </w:rPr>
        <w:t xml:space="preserve">, 1971), 11; </w:t>
      </w:r>
      <w:proofErr w:type="spellStart"/>
      <w:r w:rsidRPr="00AE2C15">
        <w:rPr>
          <w:rFonts w:asciiTheme="majorBidi" w:hAnsiTheme="majorBidi" w:cstheme="majorBidi"/>
          <w:i/>
          <w:iCs/>
          <w:color w:val="000000" w:themeColor="text1"/>
          <w:sz w:val="20"/>
          <w:szCs w:val="20"/>
        </w:rPr>
        <w:t>Talbīs</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Iblīs</w:t>
      </w:r>
      <w:proofErr w:type="spellEnd"/>
      <w:r w:rsidRPr="00AE2C15">
        <w:rPr>
          <w:rFonts w:asciiTheme="majorBidi" w:hAnsiTheme="majorBidi" w:cstheme="majorBidi"/>
          <w:color w:val="000000" w:themeColor="text1"/>
          <w:sz w:val="20"/>
          <w:szCs w:val="20"/>
        </w:rPr>
        <w:t>, 376, 456–63.</w:t>
      </w:r>
    </w:p>
  </w:footnote>
  <w:footnote w:id="15">
    <w:p w14:paraId="5595516E" w14:textId="32CD69F6"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Aziz al-</w:t>
      </w:r>
      <w:proofErr w:type="spellStart"/>
      <w:r w:rsidRPr="00AE2C15">
        <w:rPr>
          <w:rFonts w:asciiTheme="majorBidi" w:hAnsiTheme="majorBidi" w:cstheme="majorBidi"/>
          <w:color w:val="000000" w:themeColor="text1"/>
          <w:sz w:val="20"/>
          <w:szCs w:val="20"/>
        </w:rPr>
        <w:t>Azmeh</w:t>
      </w:r>
      <w:proofErr w:type="spellEnd"/>
      <w:r w:rsidRPr="00AE2C15">
        <w:rPr>
          <w:rFonts w:asciiTheme="majorBidi" w:hAnsiTheme="majorBidi" w:cstheme="majorBidi"/>
          <w:color w:val="000000" w:themeColor="text1"/>
          <w:sz w:val="20"/>
          <w:szCs w:val="20"/>
        </w:rPr>
        <w:t xml:space="preserve">, “Islamic Legal Theory and the Appropriation of Reality,” in </w:t>
      </w:r>
      <w:r w:rsidRPr="00AE2C15">
        <w:rPr>
          <w:rFonts w:asciiTheme="majorBidi" w:hAnsiTheme="majorBidi" w:cstheme="majorBidi"/>
          <w:i/>
          <w:iCs/>
          <w:color w:val="000000" w:themeColor="text1"/>
          <w:sz w:val="20"/>
          <w:szCs w:val="20"/>
        </w:rPr>
        <w:t>Islamic Law: Social and Historical Contexts</w:t>
      </w:r>
      <w:r w:rsidRPr="00AE2C15">
        <w:rPr>
          <w:rFonts w:asciiTheme="majorBidi" w:hAnsiTheme="majorBidi" w:cstheme="majorBidi"/>
          <w:color w:val="000000" w:themeColor="text1"/>
          <w:sz w:val="20"/>
          <w:szCs w:val="20"/>
        </w:rPr>
        <w:t>, ed. Aziz al-</w:t>
      </w:r>
      <w:proofErr w:type="spellStart"/>
      <w:r w:rsidRPr="00AE2C15">
        <w:rPr>
          <w:rFonts w:asciiTheme="majorBidi" w:hAnsiTheme="majorBidi" w:cstheme="majorBidi"/>
          <w:color w:val="000000" w:themeColor="text1"/>
          <w:sz w:val="20"/>
          <w:szCs w:val="20"/>
        </w:rPr>
        <w:t>Azmeh</w:t>
      </w:r>
      <w:proofErr w:type="spellEnd"/>
      <w:r w:rsidRPr="00AE2C15">
        <w:rPr>
          <w:rFonts w:asciiTheme="majorBidi" w:hAnsiTheme="majorBidi" w:cstheme="majorBidi"/>
          <w:color w:val="000000" w:themeColor="text1"/>
          <w:sz w:val="20"/>
          <w:szCs w:val="20"/>
        </w:rPr>
        <w:t xml:space="preserve"> (London: Routledge, 1988), 250–65; idem, “</w:t>
      </w:r>
      <w:proofErr w:type="spellStart"/>
      <w:r w:rsidRPr="00AE2C15">
        <w:rPr>
          <w:rFonts w:asciiTheme="majorBidi" w:hAnsiTheme="majorBidi" w:cstheme="majorBidi"/>
          <w:color w:val="000000" w:themeColor="text1"/>
          <w:sz w:val="20"/>
          <w:szCs w:val="20"/>
        </w:rPr>
        <w:t>Chronophagous</w:t>
      </w:r>
      <w:proofErr w:type="spellEnd"/>
      <w:r w:rsidRPr="00AE2C15">
        <w:rPr>
          <w:rFonts w:asciiTheme="majorBidi" w:hAnsiTheme="majorBidi" w:cstheme="majorBidi"/>
          <w:color w:val="000000" w:themeColor="text1"/>
          <w:sz w:val="20"/>
          <w:szCs w:val="20"/>
        </w:rPr>
        <w:t xml:space="preserve"> Discourse: A Study of the </w:t>
      </w:r>
      <w:proofErr w:type="spellStart"/>
      <w:r w:rsidRPr="00AE2C15">
        <w:rPr>
          <w:rFonts w:asciiTheme="majorBidi" w:hAnsiTheme="majorBidi" w:cstheme="majorBidi"/>
          <w:color w:val="000000" w:themeColor="text1"/>
          <w:sz w:val="20"/>
          <w:szCs w:val="20"/>
        </w:rPr>
        <w:t>Clerico</w:t>
      </w:r>
      <w:proofErr w:type="spellEnd"/>
      <w:r w:rsidRPr="00AE2C15">
        <w:rPr>
          <w:rFonts w:asciiTheme="majorBidi" w:hAnsiTheme="majorBidi" w:cstheme="majorBidi"/>
          <w:color w:val="000000" w:themeColor="text1"/>
          <w:sz w:val="20"/>
          <w:szCs w:val="20"/>
        </w:rPr>
        <w:t xml:space="preserve">-Legal Appropriation of the World in an Islamic Tradition,” reprinted in idem, </w:t>
      </w:r>
      <w:r w:rsidRPr="00AE2C15">
        <w:rPr>
          <w:rFonts w:asciiTheme="majorBidi" w:hAnsiTheme="majorBidi" w:cstheme="majorBidi"/>
          <w:i/>
          <w:iCs/>
          <w:color w:val="000000" w:themeColor="text1"/>
          <w:sz w:val="20"/>
          <w:szCs w:val="20"/>
        </w:rPr>
        <w:t>The Times of History: Universal Topics in Islamic Historiography</w:t>
      </w:r>
      <w:r w:rsidRPr="00AE2C15">
        <w:rPr>
          <w:rFonts w:asciiTheme="majorBidi" w:hAnsiTheme="majorBidi" w:cstheme="majorBidi"/>
          <w:color w:val="000000" w:themeColor="text1"/>
          <w:sz w:val="20"/>
          <w:szCs w:val="20"/>
        </w:rPr>
        <w:t xml:space="preserve"> (Budapest: Central European University Press, 2007), 67–100.</w:t>
      </w:r>
    </w:p>
  </w:footnote>
  <w:footnote w:id="16">
    <w:p w14:paraId="1403159C" w14:textId="05934CE5"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Christian Lange, “Public Order,” in </w:t>
      </w:r>
      <w:r w:rsidRPr="00AE2C15">
        <w:rPr>
          <w:rFonts w:asciiTheme="majorBidi" w:hAnsiTheme="majorBidi" w:cstheme="majorBidi"/>
          <w:i/>
          <w:iCs/>
          <w:color w:val="000000" w:themeColor="text1"/>
          <w:sz w:val="20"/>
          <w:szCs w:val="20"/>
        </w:rPr>
        <w:t>The Ashgate Research Companion to Islamic Law</w:t>
      </w:r>
      <w:r w:rsidRPr="00AE2C15">
        <w:rPr>
          <w:rFonts w:asciiTheme="majorBidi" w:hAnsiTheme="majorBidi" w:cstheme="majorBidi"/>
          <w:color w:val="000000" w:themeColor="text1"/>
          <w:sz w:val="20"/>
          <w:szCs w:val="20"/>
        </w:rPr>
        <w:t xml:space="preserve">, ed. Peri Bearman and Rudolph Peters (Farnham: Ashgate, 2014), 170. See also M. Y. </w:t>
      </w:r>
      <w:proofErr w:type="spellStart"/>
      <w:r w:rsidRPr="00AE2C15">
        <w:rPr>
          <w:rFonts w:asciiTheme="majorBidi" w:hAnsiTheme="majorBidi" w:cstheme="majorBidi"/>
          <w:color w:val="000000" w:themeColor="text1"/>
          <w:sz w:val="20"/>
          <w:szCs w:val="20"/>
        </w:rPr>
        <w:t>Izzi</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Dien</w:t>
      </w:r>
      <w:proofErr w:type="spellEnd"/>
      <w:r w:rsidRPr="00AE2C15">
        <w:rPr>
          <w:rFonts w:asciiTheme="majorBidi" w:hAnsiTheme="majorBidi" w:cstheme="majorBidi"/>
          <w:color w:val="000000" w:themeColor="text1"/>
          <w:sz w:val="20"/>
          <w:szCs w:val="20"/>
        </w:rPr>
        <w:t>, “</w:t>
      </w:r>
      <w:proofErr w:type="spellStart"/>
      <w:r w:rsidRPr="00AE2C15">
        <w:rPr>
          <w:rFonts w:asciiTheme="majorBidi" w:hAnsiTheme="majorBidi" w:cstheme="majorBidi"/>
          <w:color w:val="000000" w:themeColor="text1"/>
          <w:sz w:val="20"/>
          <w:szCs w:val="20"/>
        </w:rPr>
        <w:t>Taʿzīr</w:t>
      </w:r>
      <w:proofErr w:type="spellEnd"/>
      <w:r w:rsidRPr="00AE2C15">
        <w:rPr>
          <w:rFonts w:asciiTheme="majorBidi" w:hAnsiTheme="majorBidi" w:cstheme="majorBidi"/>
          <w:color w:val="000000" w:themeColor="text1"/>
          <w:sz w:val="20"/>
          <w:szCs w:val="20"/>
        </w:rPr>
        <w:t xml:space="preserve">,” in </w:t>
      </w:r>
      <w:proofErr w:type="spellStart"/>
      <w:r w:rsidRPr="00AE2C15">
        <w:rPr>
          <w:rFonts w:asciiTheme="majorBidi" w:hAnsiTheme="majorBidi" w:cstheme="majorBidi"/>
          <w:i/>
          <w:iCs/>
          <w:color w:val="000000" w:themeColor="text1"/>
          <w:sz w:val="20"/>
          <w:szCs w:val="20"/>
        </w:rPr>
        <w:t>Encyclopaedia</w:t>
      </w:r>
      <w:proofErr w:type="spellEnd"/>
      <w:r w:rsidRPr="00AE2C15">
        <w:rPr>
          <w:rFonts w:asciiTheme="majorBidi" w:hAnsiTheme="majorBidi" w:cstheme="majorBidi"/>
          <w:i/>
          <w:iCs/>
          <w:color w:val="000000" w:themeColor="text1"/>
          <w:sz w:val="20"/>
          <w:szCs w:val="20"/>
        </w:rPr>
        <w:t xml:space="preserve"> of Islam</w:t>
      </w:r>
      <w:r w:rsidRPr="00AE2C15">
        <w:rPr>
          <w:rFonts w:asciiTheme="majorBidi" w:hAnsiTheme="majorBidi" w:cstheme="majorBidi"/>
          <w:color w:val="000000" w:themeColor="text1"/>
          <w:sz w:val="20"/>
          <w:szCs w:val="20"/>
        </w:rPr>
        <w:t>, 2</w:t>
      </w:r>
      <w:r w:rsidRPr="00AE2C15">
        <w:rPr>
          <w:rFonts w:asciiTheme="majorBidi" w:hAnsiTheme="majorBidi" w:cstheme="majorBidi"/>
          <w:color w:val="000000" w:themeColor="text1"/>
          <w:sz w:val="20"/>
          <w:szCs w:val="20"/>
          <w:vertAlign w:val="superscript"/>
        </w:rPr>
        <w:t>nd</w:t>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edn</w:t>
      </w:r>
      <w:proofErr w:type="spellEnd"/>
      <w:r w:rsidRPr="00AE2C15">
        <w:rPr>
          <w:rFonts w:asciiTheme="majorBidi" w:hAnsiTheme="majorBidi" w:cstheme="majorBidi"/>
          <w:color w:val="000000" w:themeColor="text1"/>
          <w:sz w:val="20"/>
          <w:szCs w:val="20"/>
        </w:rPr>
        <w:t xml:space="preserve">.; Wael </w:t>
      </w:r>
      <w:proofErr w:type="spellStart"/>
      <w:r w:rsidRPr="00AE2C15">
        <w:rPr>
          <w:rFonts w:asciiTheme="majorBidi" w:hAnsiTheme="majorBidi" w:cstheme="majorBidi"/>
          <w:color w:val="000000" w:themeColor="text1"/>
          <w:sz w:val="20"/>
          <w:szCs w:val="20"/>
        </w:rPr>
        <w:t>Hallaq</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Sharīʿa</w:t>
      </w:r>
      <w:proofErr w:type="spellEnd"/>
      <w:r w:rsidRPr="00AE2C15">
        <w:rPr>
          <w:rFonts w:asciiTheme="majorBidi" w:hAnsiTheme="majorBidi" w:cstheme="majorBidi"/>
          <w:i/>
          <w:iCs/>
          <w:color w:val="000000" w:themeColor="text1"/>
          <w:sz w:val="20"/>
          <w:szCs w:val="20"/>
        </w:rPr>
        <w:t>: Theory, Practice, Transformations</w:t>
      </w:r>
      <w:r w:rsidRPr="00AE2C15">
        <w:rPr>
          <w:rFonts w:asciiTheme="majorBidi" w:hAnsiTheme="majorBidi" w:cstheme="majorBidi"/>
          <w:color w:val="000000" w:themeColor="text1"/>
          <w:sz w:val="20"/>
          <w:szCs w:val="20"/>
        </w:rPr>
        <w:t xml:space="preserve"> (Cambridge: Cambridge University Press, 2009), 322–23.</w:t>
      </w:r>
    </w:p>
  </w:footnote>
  <w:footnote w:id="17">
    <w:p w14:paraId="791B0F98" w14:textId="25860FEC"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Lange, “Public Order,” 170. This is not to say that </w:t>
      </w:r>
      <w:proofErr w:type="spellStart"/>
      <w:r w:rsidRPr="00AE2C15">
        <w:rPr>
          <w:rFonts w:asciiTheme="majorBidi" w:hAnsiTheme="majorBidi" w:cstheme="majorBidi"/>
          <w:i/>
          <w:iCs/>
          <w:color w:val="000000" w:themeColor="text1"/>
          <w:sz w:val="20"/>
          <w:szCs w:val="20"/>
        </w:rPr>
        <w:t>qāḍī</w:t>
      </w:r>
      <w:r w:rsidRPr="00AE2C15">
        <w:rPr>
          <w:rFonts w:asciiTheme="majorBidi" w:hAnsiTheme="majorBidi" w:cstheme="majorBidi"/>
          <w:color w:val="000000" w:themeColor="text1"/>
          <w:sz w:val="20"/>
          <w:szCs w:val="20"/>
        </w:rPr>
        <w:t>s</w:t>
      </w:r>
      <w:proofErr w:type="spellEnd"/>
      <w:r w:rsidRPr="00AE2C15">
        <w:rPr>
          <w:rFonts w:asciiTheme="majorBidi" w:hAnsiTheme="majorBidi" w:cstheme="majorBidi"/>
          <w:color w:val="000000" w:themeColor="text1"/>
          <w:sz w:val="20"/>
          <w:szCs w:val="20"/>
        </w:rPr>
        <w:t xml:space="preserve"> did not have any role in criminal punishment. They still retained their right to </w:t>
      </w:r>
      <w:proofErr w:type="spellStart"/>
      <w:r w:rsidRPr="00AE2C15">
        <w:rPr>
          <w:rFonts w:asciiTheme="majorBidi" w:hAnsiTheme="majorBidi" w:cstheme="majorBidi"/>
          <w:i/>
          <w:iCs/>
          <w:color w:val="000000" w:themeColor="text1"/>
          <w:sz w:val="20"/>
          <w:szCs w:val="20"/>
        </w:rPr>
        <w:t>ḥudūd</w:t>
      </w:r>
      <w:proofErr w:type="spellEnd"/>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 xml:space="preserve">(divinely sanctioned punishments) and </w:t>
      </w:r>
      <w:proofErr w:type="spellStart"/>
      <w:r w:rsidRPr="00AE2C15">
        <w:rPr>
          <w:rFonts w:asciiTheme="majorBidi" w:hAnsiTheme="majorBidi" w:cstheme="majorBidi"/>
          <w:i/>
          <w:iCs/>
          <w:color w:val="000000" w:themeColor="text1"/>
          <w:sz w:val="20"/>
          <w:szCs w:val="20"/>
        </w:rPr>
        <w:t>qiṣāṣ</w:t>
      </w:r>
      <w:proofErr w:type="spellEnd"/>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 xml:space="preserve">(retaliatory punishments). However, as Lange notes, the fact that </w:t>
      </w:r>
      <w:proofErr w:type="spellStart"/>
      <w:r w:rsidRPr="00AE2C15">
        <w:rPr>
          <w:rFonts w:asciiTheme="majorBidi" w:hAnsiTheme="majorBidi" w:cstheme="majorBidi"/>
          <w:i/>
          <w:iCs/>
          <w:color w:val="000000" w:themeColor="text1"/>
          <w:sz w:val="20"/>
          <w:szCs w:val="20"/>
        </w:rPr>
        <w:t>qāḍī</w:t>
      </w:r>
      <w:r w:rsidRPr="00AE2C15">
        <w:rPr>
          <w:rFonts w:asciiTheme="majorBidi" w:hAnsiTheme="majorBidi" w:cstheme="majorBidi"/>
          <w:color w:val="000000" w:themeColor="text1"/>
          <w:sz w:val="20"/>
          <w:szCs w:val="20"/>
        </w:rPr>
        <w:t>s</w:t>
      </w:r>
      <w:proofErr w:type="spellEnd"/>
      <w:r w:rsidRPr="00AE2C15">
        <w:rPr>
          <w:rFonts w:asciiTheme="majorBidi" w:hAnsiTheme="majorBidi" w:cstheme="majorBidi"/>
          <w:color w:val="000000" w:themeColor="text1"/>
          <w:sz w:val="20"/>
          <w:szCs w:val="20"/>
        </w:rPr>
        <w:t xml:space="preserve"> were appointed by and beholden to the sultan renders questionable their</w:t>
      </w:r>
      <w:r>
        <w:rPr>
          <w:rFonts w:asciiTheme="majorBidi" w:hAnsiTheme="majorBidi" w:cstheme="majorBidi"/>
          <w:color w:val="000000" w:themeColor="text1"/>
          <w:sz w:val="20"/>
          <w:szCs w:val="20"/>
        </w:rPr>
        <w:t xml:space="preserve"> </w:t>
      </w:r>
      <w:r w:rsidRPr="00AE2C15">
        <w:rPr>
          <w:rFonts w:asciiTheme="majorBidi" w:hAnsiTheme="majorBidi" w:cstheme="majorBidi"/>
          <w:color w:val="000000" w:themeColor="text1"/>
          <w:sz w:val="20"/>
          <w:szCs w:val="20"/>
        </w:rPr>
        <w:t>independence even in these two fields.</w:t>
      </w:r>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 xml:space="preserve">See Lange, </w:t>
      </w:r>
      <w:r w:rsidRPr="00AE2C15">
        <w:rPr>
          <w:rFonts w:asciiTheme="majorBidi" w:hAnsiTheme="majorBidi" w:cstheme="majorBidi"/>
          <w:i/>
          <w:iCs/>
          <w:color w:val="000000" w:themeColor="text1"/>
          <w:sz w:val="20"/>
          <w:szCs w:val="20"/>
        </w:rPr>
        <w:t>Justice,</w:t>
      </w:r>
      <w:r w:rsidRPr="00AE2C15">
        <w:rPr>
          <w:rFonts w:asciiTheme="majorBidi" w:hAnsiTheme="majorBidi" w:cstheme="majorBidi"/>
          <w:color w:val="000000" w:themeColor="text1"/>
          <w:sz w:val="20"/>
          <w:szCs w:val="20"/>
        </w:rPr>
        <w:t xml:space="preserve"> 44–48.</w:t>
      </w:r>
    </w:p>
  </w:footnote>
  <w:footnote w:id="18">
    <w:p w14:paraId="3B699F98" w14:textId="2D38E9FC"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Talbīs</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Iblīs</w:t>
      </w:r>
      <w:proofErr w:type="spellEnd"/>
      <w:r w:rsidRPr="00AE2C15">
        <w:rPr>
          <w:rFonts w:asciiTheme="majorBidi" w:hAnsiTheme="majorBidi" w:cstheme="majorBidi"/>
          <w:iCs/>
          <w:color w:val="000000" w:themeColor="text1"/>
          <w:sz w:val="20"/>
          <w:szCs w:val="20"/>
        </w:rPr>
        <w:t>, 191.</w:t>
      </w:r>
    </w:p>
  </w:footnote>
  <w:footnote w:id="19">
    <w:p w14:paraId="29F46951" w14:textId="3D7C7095"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Lange, </w:t>
      </w:r>
      <w:r w:rsidRPr="00AE2C15">
        <w:rPr>
          <w:rFonts w:asciiTheme="majorBidi" w:hAnsiTheme="majorBidi" w:cstheme="majorBidi"/>
          <w:i/>
          <w:iCs/>
          <w:color w:val="000000" w:themeColor="text1"/>
          <w:sz w:val="20"/>
          <w:szCs w:val="20"/>
        </w:rPr>
        <w:t>Justice</w:t>
      </w:r>
      <w:r w:rsidRPr="00AE2C15">
        <w:rPr>
          <w:rFonts w:asciiTheme="majorBidi" w:hAnsiTheme="majorBidi" w:cstheme="majorBidi"/>
          <w:color w:val="000000" w:themeColor="text1"/>
          <w:sz w:val="20"/>
          <w:szCs w:val="20"/>
        </w:rPr>
        <w:t>,</w:t>
      </w:r>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217.</w:t>
      </w:r>
    </w:p>
  </w:footnote>
  <w:footnote w:id="20">
    <w:p w14:paraId="4C0BA90F" w14:textId="6ABF6370"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Ibid., 47.</w:t>
      </w:r>
    </w:p>
  </w:footnote>
  <w:footnote w:id="21">
    <w:p w14:paraId="5097C9FD" w14:textId="291FF615"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For more details about Abbasid and Seljuq treatment of religious scholars, see Chapter 1.</w:t>
      </w:r>
    </w:p>
  </w:footnote>
  <w:footnote w:id="22">
    <w:p w14:paraId="63FD6C95" w14:textId="3EEDC59A"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Lange, </w:t>
      </w:r>
      <w:r w:rsidRPr="00AE2C15">
        <w:rPr>
          <w:rFonts w:asciiTheme="majorBidi" w:hAnsiTheme="majorBidi" w:cstheme="majorBidi"/>
          <w:i/>
          <w:iCs/>
          <w:color w:val="000000" w:themeColor="text1"/>
          <w:sz w:val="20"/>
          <w:szCs w:val="20"/>
        </w:rPr>
        <w:t>Justice</w:t>
      </w:r>
      <w:r w:rsidRPr="00AE2C15">
        <w:rPr>
          <w:rFonts w:asciiTheme="majorBidi" w:hAnsiTheme="majorBidi" w:cstheme="majorBidi"/>
          <w:color w:val="000000" w:themeColor="text1"/>
          <w:sz w:val="20"/>
          <w:szCs w:val="20"/>
        </w:rPr>
        <w:t>, 10</w:t>
      </w:r>
      <w:r>
        <w:rPr>
          <w:rFonts w:asciiTheme="majorBidi" w:hAnsiTheme="majorBidi" w:cstheme="majorBidi"/>
          <w:color w:val="000000" w:themeColor="text1"/>
          <w:sz w:val="20"/>
          <w:szCs w:val="20"/>
        </w:rPr>
        <w:t xml:space="preserve"> and</w:t>
      </w:r>
      <w:r w:rsidRPr="00AE2C15">
        <w:rPr>
          <w:rFonts w:asciiTheme="majorBidi" w:hAnsiTheme="majorBidi" w:cstheme="majorBidi"/>
          <w:color w:val="000000" w:themeColor="text1"/>
          <w:sz w:val="20"/>
          <w:szCs w:val="20"/>
        </w:rPr>
        <w:t xml:space="preserve"> 218.</w:t>
      </w:r>
    </w:p>
  </w:footnote>
  <w:footnote w:id="23">
    <w:p w14:paraId="4ED24A04" w14:textId="6DD49E5D"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Ibid., 19–20, 179–243.</w:t>
      </w:r>
    </w:p>
  </w:footnote>
  <w:footnote w:id="24">
    <w:p w14:paraId="38476599" w14:textId="38AD032D"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Opwis</w:t>
      </w:r>
      <w:proofErr w:type="spellEnd"/>
      <w:r w:rsidRPr="00AE2C15">
        <w:rPr>
          <w:rFonts w:asciiTheme="majorBidi" w:hAnsiTheme="majorBidi" w:cstheme="majorBidi"/>
          <w:color w:val="000000" w:themeColor="text1"/>
          <w:sz w:val="20"/>
          <w:szCs w:val="20"/>
        </w:rPr>
        <w:t>, “Shifting Legal Authority,” 85–88.</w:t>
      </w:r>
    </w:p>
  </w:footnote>
  <w:footnote w:id="25">
    <w:p w14:paraId="11AC6204" w14:textId="1C554A61"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Ibid., 90–92. For a more in-depth study of </w:t>
      </w:r>
      <w:proofErr w:type="spellStart"/>
      <w:r w:rsidRPr="00AE2C15">
        <w:rPr>
          <w:rFonts w:asciiTheme="majorBidi" w:hAnsiTheme="majorBidi" w:cstheme="majorBidi"/>
          <w:i/>
          <w:iCs/>
          <w:color w:val="000000" w:themeColor="text1"/>
          <w:sz w:val="20"/>
          <w:szCs w:val="20"/>
        </w:rPr>
        <w:t>maṣlaḥa</w:t>
      </w:r>
      <w:proofErr w:type="spellEnd"/>
      <w:r w:rsidRPr="00AE2C15">
        <w:rPr>
          <w:rFonts w:asciiTheme="majorBidi" w:hAnsiTheme="majorBidi" w:cstheme="majorBidi"/>
          <w:color w:val="000000" w:themeColor="text1"/>
          <w:sz w:val="20"/>
          <w:szCs w:val="20"/>
        </w:rPr>
        <w:t xml:space="preserve">, see idem, </w:t>
      </w:r>
      <w:proofErr w:type="spellStart"/>
      <w:r w:rsidRPr="00AE2C15">
        <w:rPr>
          <w:rFonts w:asciiTheme="majorBidi" w:hAnsiTheme="majorBidi" w:cstheme="majorBidi"/>
          <w:i/>
          <w:iCs/>
          <w:color w:val="000000" w:themeColor="text1"/>
          <w:sz w:val="20"/>
          <w:szCs w:val="20"/>
        </w:rPr>
        <w:t>Maṣlaḥa</w:t>
      </w:r>
      <w:proofErr w:type="spellEnd"/>
      <w:r w:rsidRPr="00AE2C15">
        <w:rPr>
          <w:rFonts w:asciiTheme="majorBidi" w:hAnsiTheme="majorBidi" w:cstheme="majorBidi"/>
          <w:i/>
          <w:iCs/>
          <w:color w:val="000000" w:themeColor="text1"/>
          <w:sz w:val="20"/>
          <w:szCs w:val="20"/>
        </w:rPr>
        <w:t xml:space="preserve"> and the Purpose of the Law: Islamic Discourse on Legal Change from the 4</w:t>
      </w:r>
      <w:r w:rsidRPr="00AE2C15">
        <w:rPr>
          <w:rFonts w:asciiTheme="majorBidi" w:hAnsiTheme="majorBidi" w:cstheme="majorBidi"/>
          <w:i/>
          <w:iCs/>
          <w:color w:val="000000" w:themeColor="text1"/>
          <w:sz w:val="20"/>
          <w:szCs w:val="20"/>
          <w:vertAlign w:val="superscript"/>
        </w:rPr>
        <w:t>th</w:t>
      </w:r>
      <w:r w:rsidRPr="00AE2C15">
        <w:rPr>
          <w:rFonts w:asciiTheme="majorBidi" w:hAnsiTheme="majorBidi" w:cstheme="majorBidi"/>
          <w:i/>
          <w:iCs/>
          <w:color w:val="000000" w:themeColor="text1"/>
          <w:sz w:val="20"/>
          <w:szCs w:val="20"/>
        </w:rPr>
        <w:t>/10</w:t>
      </w:r>
      <w:r w:rsidRPr="00AE2C15">
        <w:rPr>
          <w:rFonts w:asciiTheme="majorBidi" w:hAnsiTheme="majorBidi" w:cstheme="majorBidi"/>
          <w:i/>
          <w:iCs/>
          <w:color w:val="000000" w:themeColor="text1"/>
          <w:sz w:val="20"/>
          <w:szCs w:val="20"/>
          <w:vertAlign w:val="superscript"/>
        </w:rPr>
        <w:t>th</w:t>
      </w:r>
      <w:r w:rsidRPr="00AE2C15">
        <w:rPr>
          <w:rFonts w:asciiTheme="majorBidi" w:hAnsiTheme="majorBidi" w:cstheme="majorBidi"/>
          <w:i/>
          <w:iCs/>
          <w:color w:val="000000" w:themeColor="text1"/>
          <w:sz w:val="20"/>
          <w:szCs w:val="20"/>
        </w:rPr>
        <w:t xml:space="preserve"> to 8</w:t>
      </w:r>
      <w:r w:rsidRPr="00AE2C15">
        <w:rPr>
          <w:rFonts w:asciiTheme="majorBidi" w:hAnsiTheme="majorBidi" w:cstheme="majorBidi"/>
          <w:i/>
          <w:iCs/>
          <w:color w:val="000000" w:themeColor="text1"/>
          <w:sz w:val="20"/>
          <w:szCs w:val="20"/>
          <w:vertAlign w:val="superscript"/>
        </w:rPr>
        <w:t>th</w:t>
      </w:r>
      <w:r w:rsidRPr="00AE2C15">
        <w:rPr>
          <w:rFonts w:asciiTheme="majorBidi" w:hAnsiTheme="majorBidi" w:cstheme="majorBidi"/>
          <w:i/>
          <w:iCs/>
          <w:color w:val="000000" w:themeColor="text1"/>
          <w:sz w:val="20"/>
          <w:szCs w:val="20"/>
        </w:rPr>
        <w:t>/14</w:t>
      </w:r>
      <w:r w:rsidRPr="00AE2C15">
        <w:rPr>
          <w:rFonts w:asciiTheme="majorBidi" w:hAnsiTheme="majorBidi" w:cstheme="majorBidi"/>
          <w:i/>
          <w:iCs/>
          <w:color w:val="000000" w:themeColor="text1"/>
          <w:sz w:val="20"/>
          <w:szCs w:val="20"/>
          <w:vertAlign w:val="superscript"/>
        </w:rPr>
        <w:t>th</w:t>
      </w:r>
      <w:r w:rsidRPr="00AE2C15">
        <w:rPr>
          <w:rFonts w:asciiTheme="majorBidi" w:hAnsiTheme="majorBidi" w:cstheme="majorBidi"/>
          <w:i/>
          <w:iCs/>
          <w:color w:val="000000" w:themeColor="text1"/>
          <w:sz w:val="20"/>
          <w:szCs w:val="20"/>
        </w:rPr>
        <w:t xml:space="preserve"> Century</w:t>
      </w:r>
      <w:r w:rsidRPr="00AE2C15">
        <w:rPr>
          <w:rFonts w:asciiTheme="majorBidi" w:hAnsiTheme="majorBidi" w:cstheme="majorBidi"/>
          <w:color w:val="000000" w:themeColor="text1"/>
          <w:sz w:val="20"/>
          <w:szCs w:val="20"/>
        </w:rPr>
        <w:t xml:space="preserve"> (Leiden: Brill, 2010).</w:t>
      </w:r>
    </w:p>
  </w:footnote>
  <w:footnote w:id="26">
    <w:p w14:paraId="582D5CD3" w14:textId="0ED5FAA5"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Anjum, </w:t>
      </w:r>
      <w:r w:rsidRPr="00AE2C15">
        <w:rPr>
          <w:rFonts w:asciiTheme="majorBidi" w:hAnsiTheme="majorBidi" w:cstheme="majorBidi"/>
          <w:i/>
          <w:color w:val="000000" w:themeColor="text1"/>
          <w:sz w:val="20"/>
          <w:szCs w:val="20"/>
        </w:rPr>
        <w:t>Politics, Law, and Community</w:t>
      </w:r>
      <w:r w:rsidRPr="00AE2C15">
        <w:rPr>
          <w:rFonts w:asciiTheme="majorBidi" w:hAnsiTheme="majorBidi" w:cstheme="majorBidi"/>
          <w:iCs/>
          <w:color w:val="000000" w:themeColor="text1"/>
          <w:sz w:val="20"/>
          <w:szCs w:val="20"/>
        </w:rPr>
        <w:t>, 135.</w:t>
      </w:r>
    </w:p>
  </w:footnote>
  <w:footnote w:id="27">
    <w:p w14:paraId="52D12EA5" w14:textId="1627D425"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In Anjum’s account of the history of Islamic political thought, the depoliticization of Islam was already underway long before the advent of the Seljuqs. Beginning in the Umayyad period, the community-centered vision of Islam, based on the egalitarian, activist, and consultative ethic of the </w:t>
      </w:r>
      <w:proofErr w:type="spellStart"/>
      <w:r w:rsidRPr="00AE2C15">
        <w:rPr>
          <w:rFonts w:asciiTheme="majorBidi" w:hAnsiTheme="majorBidi" w:cstheme="majorBidi"/>
          <w:color w:val="000000" w:themeColor="text1"/>
          <w:sz w:val="20"/>
          <w:szCs w:val="20"/>
        </w:rPr>
        <w:t>Qurʾān</w:t>
      </w:r>
      <w:proofErr w:type="spellEnd"/>
      <w:r w:rsidRPr="00AE2C15">
        <w:rPr>
          <w:rFonts w:asciiTheme="majorBidi" w:hAnsiTheme="majorBidi" w:cstheme="majorBidi"/>
          <w:color w:val="000000" w:themeColor="text1"/>
          <w:sz w:val="20"/>
          <w:szCs w:val="20"/>
        </w:rPr>
        <w:t xml:space="preserve">, had to contend with the ruler-centered vision, which emphasized the God-sanctioned absolute power of the ruler (ibid., 50–74). As the Islamic empire expanded and came into contact with Near Eastern models of kingship, the ruler-centered vision took precedence over the community-centered vision because it “had the decisive advantage of being practical and of interest to the wielders of power” (ibid., 74). The expansion of the </w:t>
      </w:r>
      <w:r w:rsidRPr="00AE2C15">
        <w:rPr>
          <w:rFonts w:asciiTheme="majorBidi" w:hAnsiTheme="majorBidi" w:cstheme="majorBidi"/>
          <w:i/>
          <w:iCs/>
          <w:color w:val="000000" w:themeColor="text1"/>
          <w:sz w:val="20"/>
          <w:szCs w:val="20"/>
        </w:rPr>
        <w:t>umma</w:t>
      </w:r>
      <w:r w:rsidRPr="00AE2C15">
        <w:rPr>
          <w:rFonts w:asciiTheme="majorBidi" w:hAnsiTheme="majorBidi" w:cstheme="majorBidi"/>
          <w:color w:val="000000" w:themeColor="text1"/>
          <w:sz w:val="20"/>
          <w:szCs w:val="20"/>
        </w:rPr>
        <w:t xml:space="preserve"> also meant that it could no longer function as a unified body, further contributing to the erosion of the community-centered vision. Hereon, the task of maintaining doctrinal coherence lay with the emerging class of scholars who championed the Sunna of the Prophet as the crucial building block of Islamic law and jurisprudence (</w:t>
      </w:r>
      <w:proofErr w:type="spellStart"/>
      <w:r w:rsidRPr="00AE2C15">
        <w:rPr>
          <w:rFonts w:asciiTheme="majorBidi" w:hAnsiTheme="majorBidi" w:cstheme="majorBidi"/>
          <w:i/>
          <w:iCs/>
          <w:color w:val="000000" w:themeColor="text1"/>
          <w:sz w:val="20"/>
          <w:szCs w:val="20"/>
        </w:rPr>
        <w:t>fiqh</w:t>
      </w:r>
      <w:proofErr w:type="spellEnd"/>
      <w:r w:rsidRPr="00AE2C15">
        <w:rPr>
          <w:rFonts w:asciiTheme="majorBidi" w:hAnsiTheme="majorBidi" w:cstheme="majorBidi"/>
          <w:color w:val="000000" w:themeColor="text1"/>
          <w:sz w:val="20"/>
          <w:szCs w:val="20"/>
        </w:rPr>
        <w:t>). In this “Sunna-centered vision,” authority was vested not in the community at large but in scriptural texts and “great models of the past” (ibid., 85), giving rise to the early trappings of legal formalism in Islamic thought. Legal formalism was further entrenched in later centuries when Sunni dialectical theology (</w:t>
      </w:r>
      <w:proofErr w:type="spellStart"/>
      <w:r w:rsidRPr="00AE2C15">
        <w:rPr>
          <w:rFonts w:asciiTheme="majorBidi" w:hAnsiTheme="majorBidi" w:cstheme="majorBidi"/>
          <w:i/>
          <w:iCs/>
          <w:color w:val="000000" w:themeColor="text1"/>
          <w:sz w:val="20"/>
          <w:szCs w:val="20"/>
        </w:rPr>
        <w:t>kalām</w:t>
      </w:r>
      <w:proofErr w:type="spellEnd"/>
      <w:r w:rsidRPr="00AE2C15">
        <w:rPr>
          <w:rFonts w:asciiTheme="majorBidi" w:hAnsiTheme="majorBidi" w:cstheme="majorBidi"/>
          <w:color w:val="000000" w:themeColor="text1"/>
          <w:sz w:val="20"/>
          <w:szCs w:val="20"/>
        </w:rPr>
        <w:t>) adopted an elitist principle of interpretation (</w:t>
      </w:r>
      <w:proofErr w:type="spellStart"/>
      <w:r w:rsidRPr="00AE2C15">
        <w:rPr>
          <w:rFonts w:asciiTheme="majorBidi" w:hAnsiTheme="majorBidi" w:cstheme="majorBidi"/>
          <w:i/>
          <w:iCs/>
          <w:color w:val="000000" w:themeColor="text1"/>
          <w:sz w:val="20"/>
          <w:szCs w:val="20"/>
        </w:rPr>
        <w:t>qānūn</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taʾwīl</w:t>
      </w:r>
      <w:proofErr w:type="spellEnd"/>
      <w:r w:rsidRPr="00AE2C15">
        <w:rPr>
          <w:rFonts w:asciiTheme="majorBidi" w:hAnsiTheme="majorBidi" w:cstheme="majorBidi"/>
          <w:color w:val="000000" w:themeColor="text1"/>
          <w:sz w:val="20"/>
          <w:szCs w:val="20"/>
        </w:rPr>
        <w:t>) which “undermined, even abhorred, the commonsense and practical reasoning of ordinary people” (ibid., 166).</w:t>
      </w:r>
    </w:p>
  </w:footnote>
  <w:footnote w:id="28">
    <w:p w14:paraId="432EDAFC" w14:textId="02C3FDAB"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Anjum, </w:t>
      </w:r>
      <w:r w:rsidRPr="00AE2C15">
        <w:rPr>
          <w:rFonts w:asciiTheme="majorBidi" w:hAnsiTheme="majorBidi" w:cstheme="majorBidi"/>
          <w:i/>
          <w:color w:val="000000" w:themeColor="text1"/>
          <w:sz w:val="20"/>
          <w:szCs w:val="20"/>
        </w:rPr>
        <w:t>Politics, Law, and Community</w:t>
      </w:r>
      <w:r w:rsidRPr="00AE2C15">
        <w:rPr>
          <w:rFonts w:asciiTheme="majorBidi" w:hAnsiTheme="majorBidi" w:cstheme="majorBidi"/>
          <w:color w:val="000000" w:themeColor="text1"/>
          <w:sz w:val="20"/>
          <w:szCs w:val="20"/>
        </w:rPr>
        <w:t>, 228–65.</w:t>
      </w:r>
    </w:p>
  </w:footnote>
  <w:footnote w:id="29">
    <w:p w14:paraId="5D8DE51A" w14:textId="290A8F03" w:rsidR="00CD2D30" w:rsidRPr="00AE2C15" w:rsidRDefault="00CD2D30" w:rsidP="00AE2C15">
      <w:pPr>
        <w:pStyle w:val="Heading2"/>
        <w:shd w:val="clear" w:color="auto" w:fill="FFFFFF"/>
        <w:spacing w:before="0" w:beforeAutospacing="0" w:after="0" w:afterAutospacing="0"/>
        <w:contextualSpacing/>
        <w:rPr>
          <w:rFonts w:asciiTheme="majorBidi" w:hAnsiTheme="majorBidi" w:cstheme="majorBidi"/>
          <w:b w:val="0"/>
          <w:bCs w:val="0"/>
          <w:color w:val="000000" w:themeColor="text1"/>
          <w:spacing w:val="5"/>
          <w:sz w:val="20"/>
          <w:szCs w:val="20"/>
        </w:rPr>
      </w:pPr>
      <w:r w:rsidRPr="00AE2C15">
        <w:rPr>
          <w:rStyle w:val="FootnoteReference"/>
          <w:rFonts w:asciiTheme="majorBidi" w:hAnsiTheme="majorBidi" w:cstheme="majorBidi"/>
          <w:b w:val="0"/>
          <w:bCs w:val="0"/>
          <w:color w:val="000000" w:themeColor="text1"/>
          <w:sz w:val="20"/>
          <w:szCs w:val="20"/>
        </w:rPr>
        <w:footnoteRef/>
      </w:r>
      <w:r w:rsidRPr="00AE2C15">
        <w:rPr>
          <w:rFonts w:asciiTheme="majorBidi" w:hAnsiTheme="majorBidi" w:cstheme="majorBidi"/>
          <w:b w:val="0"/>
          <w:bCs w:val="0"/>
          <w:color w:val="000000" w:themeColor="text1"/>
          <w:sz w:val="20"/>
          <w:szCs w:val="20"/>
        </w:rPr>
        <w:t xml:space="preserve"> Maribel Fierro, “Spiritual Alienation and Political Activism: The </w:t>
      </w:r>
      <w:proofErr w:type="spellStart"/>
      <w:r w:rsidRPr="00AE2C15">
        <w:rPr>
          <w:rFonts w:asciiTheme="majorBidi" w:hAnsiTheme="majorBidi" w:cstheme="majorBidi"/>
          <w:b w:val="0"/>
          <w:bCs w:val="0"/>
          <w:i/>
          <w:iCs/>
          <w:color w:val="000000" w:themeColor="text1"/>
          <w:spacing w:val="5"/>
          <w:sz w:val="20"/>
          <w:szCs w:val="20"/>
        </w:rPr>
        <w:t>Ġurabāʾ</w:t>
      </w:r>
      <w:proofErr w:type="spellEnd"/>
      <w:r w:rsidRPr="00AE2C15">
        <w:rPr>
          <w:rFonts w:asciiTheme="majorBidi" w:hAnsiTheme="majorBidi" w:cstheme="majorBidi"/>
          <w:b w:val="0"/>
          <w:bCs w:val="0"/>
          <w:color w:val="000000" w:themeColor="text1"/>
          <w:spacing w:val="5"/>
          <w:sz w:val="20"/>
          <w:szCs w:val="20"/>
        </w:rPr>
        <w:t xml:space="preserve"> in </w:t>
      </w:r>
      <w:proofErr w:type="spellStart"/>
      <w:r w:rsidRPr="00AE2C15">
        <w:rPr>
          <w:rFonts w:asciiTheme="majorBidi" w:hAnsiTheme="majorBidi" w:cstheme="majorBidi"/>
          <w:b w:val="0"/>
          <w:bCs w:val="0"/>
          <w:color w:val="000000" w:themeColor="text1"/>
          <w:spacing w:val="5"/>
          <w:sz w:val="20"/>
          <w:szCs w:val="20"/>
        </w:rPr>
        <w:t>Andalusī</w:t>
      </w:r>
      <w:proofErr w:type="spellEnd"/>
      <w:r w:rsidRPr="00AE2C15">
        <w:rPr>
          <w:rFonts w:asciiTheme="majorBidi" w:hAnsiTheme="majorBidi" w:cstheme="majorBidi"/>
          <w:b w:val="0"/>
          <w:bCs w:val="0"/>
          <w:color w:val="000000" w:themeColor="text1"/>
          <w:spacing w:val="5"/>
          <w:sz w:val="20"/>
          <w:szCs w:val="20"/>
        </w:rPr>
        <w:t xml:space="preserve"> Spain during the Sixth/Twelfth Century,” </w:t>
      </w:r>
      <w:r w:rsidRPr="00AE2C15">
        <w:rPr>
          <w:rFonts w:asciiTheme="majorBidi" w:hAnsiTheme="majorBidi" w:cstheme="majorBidi"/>
          <w:b w:val="0"/>
          <w:bCs w:val="0"/>
          <w:i/>
          <w:iCs/>
          <w:color w:val="000000" w:themeColor="text1"/>
          <w:spacing w:val="5"/>
          <w:sz w:val="20"/>
          <w:szCs w:val="20"/>
        </w:rPr>
        <w:t>Arabica</w:t>
      </w:r>
      <w:r w:rsidRPr="00AE2C15">
        <w:rPr>
          <w:rFonts w:asciiTheme="majorBidi" w:hAnsiTheme="majorBidi" w:cstheme="majorBidi"/>
          <w:b w:val="0"/>
          <w:bCs w:val="0"/>
          <w:color w:val="000000" w:themeColor="text1"/>
          <w:spacing w:val="5"/>
          <w:sz w:val="20"/>
          <w:szCs w:val="20"/>
        </w:rPr>
        <w:t xml:space="preserve"> 47, no. 2 (2000): 230–60; Ali Humayun Akhtar, </w:t>
      </w:r>
      <w:r w:rsidRPr="00AE2C15">
        <w:rPr>
          <w:rFonts w:asciiTheme="majorBidi" w:hAnsiTheme="majorBidi" w:cstheme="majorBidi"/>
          <w:b w:val="0"/>
          <w:bCs w:val="0"/>
          <w:i/>
          <w:iCs/>
          <w:color w:val="000000" w:themeColor="text1"/>
          <w:spacing w:val="5"/>
          <w:sz w:val="20"/>
          <w:szCs w:val="20"/>
        </w:rPr>
        <w:t>Philosophers, Sufis, and Caliphs: Politics and Authority from Cordoba to Cairo and Baghdad</w:t>
      </w:r>
      <w:r w:rsidRPr="00AE2C15">
        <w:rPr>
          <w:rFonts w:asciiTheme="majorBidi" w:hAnsiTheme="majorBidi" w:cstheme="majorBidi"/>
          <w:b w:val="0"/>
          <w:bCs w:val="0"/>
          <w:color w:val="000000" w:themeColor="text1"/>
          <w:spacing w:val="5"/>
          <w:sz w:val="20"/>
          <w:szCs w:val="20"/>
        </w:rPr>
        <w:t xml:space="preserve"> (New York: Cambridge University Press, 2017), 178–237. See also Michael Cook, </w:t>
      </w:r>
      <w:r w:rsidRPr="00AE2C15">
        <w:rPr>
          <w:rFonts w:asciiTheme="majorBidi" w:hAnsiTheme="majorBidi" w:cstheme="majorBidi"/>
          <w:b w:val="0"/>
          <w:bCs w:val="0"/>
          <w:i/>
          <w:iCs/>
          <w:color w:val="000000" w:themeColor="text1"/>
          <w:spacing w:val="5"/>
          <w:sz w:val="20"/>
          <w:szCs w:val="20"/>
        </w:rPr>
        <w:t>Commanding Right and Forbidding Wrong in Islamic Thought</w:t>
      </w:r>
      <w:r w:rsidRPr="00AE2C15">
        <w:rPr>
          <w:rFonts w:asciiTheme="majorBidi" w:hAnsiTheme="majorBidi" w:cstheme="majorBidi"/>
          <w:b w:val="0"/>
          <w:bCs w:val="0"/>
          <w:color w:val="000000" w:themeColor="text1"/>
          <w:spacing w:val="5"/>
          <w:sz w:val="20"/>
          <w:szCs w:val="20"/>
        </w:rPr>
        <w:t xml:space="preserve"> (Cambridge: Cambridge University Press, 2000), 385–90.</w:t>
      </w:r>
    </w:p>
  </w:footnote>
  <w:footnote w:id="30">
    <w:p w14:paraId="0DFB438F" w14:textId="5B3FB019"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Safi, </w:t>
      </w:r>
      <w:r w:rsidRPr="00AE2C15">
        <w:rPr>
          <w:rFonts w:asciiTheme="majorBidi" w:hAnsiTheme="majorBidi" w:cstheme="majorBidi"/>
          <w:i/>
          <w:iCs/>
          <w:color w:val="000000" w:themeColor="text1"/>
          <w:sz w:val="20"/>
          <w:szCs w:val="20"/>
        </w:rPr>
        <w:t>Politics of Knowledge</w:t>
      </w:r>
      <w:r w:rsidRPr="00AE2C15">
        <w:rPr>
          <w:rFonts w:asciiTheme="majorBidi" w:hAnsiTheme="majorBidi" w:cstheme="majorBidi"/>
          <w:color w:val="000000" w:themeColor="text1"/>
          <w:sz w:val="20"/>
          <w:szCs w:val="20"/>
        </w:rPr>
        <w:t>, 158–200.</w:t>
      </w:r>
    </w:p>
  </w:footnote>
  <w:footnote w:id="31">
    <w:p w14:paraId="7AD0C2E0" w14:textId="763C2CA3"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Ibid., 185, 188–89.</w:t>
      </w:r>
    </w:p>
  </w:footnote>
  <w:footnote w:id="32">
    <w:p w14:paraId="760D94EB" w14:textId="269332E2"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The </w:t>
      </w:r>
      <w:proofErr w:type="spellStart"/>
      <w:r w:rsidRPr="00AE2C15">
        <w:rPr>
          <w:rFonts w:asciiTheme="majorBidi" w:hAnsiTheme="majorBidi" w:cstheme="majorBidi"/>
          <w:i/>
          <w:iCs/>
          <w:color w:val="000000" w:themeColor="text1"/>
          <w:sz w:val="20"/>
          <w:szCs w:val="20"/>
        </w:rPr>
        <w:t>iqṭāʿ</w:t>
      </w:r>
      <w:proofErr w:type="spellEnd"/>
      <w:r w:rsidRPr="00AE2C15">
        <w:rPr>
          <w:rFonts w:asciiTheme="majorBidi" w:hAnsiTheme="majorBidi" w:cstheme="majorBidi"/>
          <w:color w:val="000000" w:themeColor="text1"/>
          <w:sz w:val="20"/>
          <w:szCs w:val="20"/>
        </w:rPr>
        <w:t xml:space="preserve"> was a system of payment to military officials when money was in short supply. It came in the form of land, over which officials were granted rights to collect taxes. The </w:t>
      </w:r>
      <w:proofErr w:type="spellStart"/>
      <w:r w:rsidRPr="00AE2C15">
        <w:rPr>
          <w:rFonts w:asciiTheme="majorBidi" w:hAnsiTheme="majorBidi" w:cstheme="majorBidi"/>
          <w:i/>
          <w:iCs/>
          <w:color w:val="000000" w:themeColor="text1"/>
          <w:sz w:val="20"/>
          <w:szCs w:val="20"/>
        </w:rPr>
        <w:t>iqṭāʿ</w:t>
      </w:r>
      <w:proofErr w:type="spellEnd"/>
      <w:r w:rsidRPr="00AE2C15">
        <w:rPr>
          <w:rFonts w:asciiTheme="majorBidi" w:hAnsiTheme="majorBidi" w:cstheme="majorBidi"/>
          <w:color w:val="000000" w:themeColor="text1"/>
          <w:sz w:val="20"/>
          <w:szCs w:val="20"/>
        </w:rPr>
        <w:t xml:space="preserve"> system had already been in existence during the Buyid period, but </w:t>
      </w:r>
      <w:r>
        <w:rPr>
          <w:rFonts w:asciiTheme="majorBidi" w:hAnsiTheme="majorBidi" w:cstheme="majorBidi"/>
          <w:color w:val="000000" w:themeColor="text1"/>
          <w:sz w:val="20"/>
          <w:szCs w:val="20"/>
        </w:rPr>
        <w:t xml:space="preserve">it </w:t>
      </w:r>
      <w:r w:rsidRPr="00AE2C15">
        <w:rPr>
          <w:rFonts w:asciiTheme="majorBidi" w:hAnsiTheme="majorBidi" w:cstheme="majorBidi"/>
          <w:color w:val="000000" w:themeColor="text1"/>
          <w:sz w:val="20"/>
          <w:szCs w:val="20"/>
        </w:rPr>
        <w:t xml:space="preserve">was greatly expanded under the Seljuqs and became the basis of their power. For a concise sketch of the Seljuq </w:t>
      </w:r>
      <w:proofErr w:type="spellStart"/>
      <w:r w:rsidRPr="00AE2C15">
        <w:rPr>
          <w:rFonts w:asciiTheme="majorBidi" w:hAnsiTheme="majorBidi" w:cstheme="majorBidi"/>
          <w:i/>
          <w:iCs/>
          <w:color w:val="000000" w:themeColor="text1"/>
          <w:sz w:val="20"/>
          <w:szCs w:val="20"/>
        </w:rPr>
        <w:t>iqṭāʿ</w:t>
      </w:r>
      <w:proofErr w:type="spellEnd"/>
      <w:r w:rsidRPr="00AE2C15">
        <w:rPr>
          <w:rFonts w:asciiTheme="majorBidi" w:hAnsiTheme="majorBidi" w:cstheme="majorBidi"/>
          <w:color w:val="000000" w:themeColor="text1"/>
          <w:sz w:val="20"/>
          <w:szCs w:val="20"/>
        </w:rPr>
        <w:t xml:space="preserve"> system, see Peacock, </w:t>
      </w:r>
      <w:r w:rsidRPr="00AE2C15">
        <w:rPr>
          <w:rFonts w:asciiTheme="majorBidi" w:hAnsiTheme="majorBidi" w:cstheme="majorBidi"/>
          <w:i/>
          <w:iCs/>
          <w:color w:val="000000" w:themeColor="text1"/>
          <w:sz w:val="20"/>
          <w:szCs w:val="20"/>
        </w:rPr>
        <w:t>The Great Seljuk Empire</w:t>
      </w:r>
      <w:r w:rsidRPr="00AE2C15">
        <w:rPr>
          <w:rFonts w:asciiTheme="majorBidi" w:hAnsiTheme="majorBidi" w:cstheme="majorBidi"/>
          <w:color w:val="000000" w:themeColor="text1"/>
          <w:sz w:val="20"/>
          <w:szCs w:val="20"/>
        </w:rPr>
        <w:t>, 79–80.</w:t>
      </w:r>
    </w:p>
  </w:footnote>
  <w:footnote w:id="33">
    <w:p w14:paraId="13D7C550" w14:textId="453A3E67"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Safi, </w:t>
      </w:r>
      <w:r w:rsidRPr="00AE2C15">
        <w:rPr>
          <w:rFonts w:asciiTheme="majorBidi" w:hAnsiTheme="majorBidi" w:cstheme="majorBidi"/>
          <w:i/>
          <w:iCs/>
          <w:color w:val="000000" w:themeColor="text1"/>
          <w:sz w:val="20"/>
          <w:szCs w:val="20"/>
        </w:rPr>
        <w:t>Politics of Knowledge</w:t>
      </w:r>
      <w:r w:rsidRPr="00AE2C15">
        <w:rPr>
          <w:rFonts w:asciiTheme="majorBidi" w:hAnsiTheme="majorBidi" w:cstheme="majorBidi"/>
          <w:color w:val="000000" w:themeColor="text1"/>
          <w:sz w:val="20"/>
          <w:szCs w:val="20"/>
        </w:rPr>
        <w:t>, 183–84.</w:t>
      </w:r>
    </w:p>
  </w:footnote>
  <w:footnote w:id="34">
    <w:p w14:paraId="184DD26F" w14:textId="11A01F1A" w:rsidR="00CD2D30" w:rsidRPr="00AE2C15" w:rsidRDefault="00CD2D30" w:rsidP="00AE2C15">
      <w:pPr>
        <w:autoSpaceDE w:val="0"/>
        <w:autoSpaceDN w:val="0"/>
        <w:adjustRightInd w:val="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For examples from the first two centuries of Islam, see Muhammad </w:t>
      </w:r>
      <w:proofErr w:type="spellStart"/>
      <w:r w:rsidRPr="00AE2C15">
        <w:rPr>
          <w:rFonts w:asciiTheme="majorBidi" w:hAnsiTheme="majorBidi" w:cstheme="majorBidi"/>
          <w:color w:val="000000" w:themeColor="text1"/>
          <w:sz w:val="20"/>
          <w:szCs w:val="20"/>
        </w:rPr>
        <w:t>Qasim</w:t>
      </w:r>
      <w:proofErr w:type="spellEnd"/>
      <w:r w:rsidRPr="00AE2C15">
        <w:rPr>
          <w:rFonts w:asciiTheme="majorBidi" w:hAnsiTheme="majorBidi" w:cstheme="majorBidi"/>
          <w:color w:val="000000" w:themeColor="text1"/>
          <w:sz w:val="20"/>
          <w:szCs w:val="20"/>
        </w:rPr>
        <w:t xml:space="preserve"> Zaman, </w:t>
      </w:r>
      <w:r w:rsidRPr="00AE2C15">
        <w:rPr>
          <w:rFonts w:asciiTheme="majorBidi" w:hAnsiTheme="majorBidi" w:cstheme="majorBidi"/>
          <w:i/>
          <w:iCs/>
          <w:color w:val="000000" w:themeColor="text1"/>
          <w:sz w:val="20"/>
          <w:szCs w:val="20"/>
        </w:rPr>
        <w:t xml:space="preserve">Religion and Politics under the Early </w:t>
      </w:r>
      <w:proofErr w:type="spellStart"/>
      <w:r w:rsidRPr="00AE2C15">
        <w:rPr>
          <w:rFonts w:asciiTheme="majorBidi" w:hAnsiTheme="majorBidi" w:cstheme="majorBidi"/>
          <w:i/>
          <w:iCs/>
          <w:color w:val="000000" w:themeColor="text1"/>
          <w:sz w:val="20"/>
          <w:szCs w:val="20"/>
        </w:rPr>
        <w:t>ʿAbbāsids</w:t>
      </w:r>
      <w:proofErr w:type="spellEnd"/>
      <w:r w:rsidRPr="00AE2C15">
        <w:rPr>
          <w:rFonts w:asciiTheme="majorBidi" w:hAnsiTheme="majorBidi" w:cstheme="majorBidi"/>
          <w:i/>
          <w:iCs/>
          <w:color w:val="000000" w:themeColor="text1"/>
          <w:sz w:val="20"/>
          <w:szCs w:val="20"/>
        </w:rPr>
        <w:t>: The Emergence of the Proto-</w:t>
      </w:r>
      <w:proofErr w:type="spellStart"/>
      <w:r w:rsidRPr="00AE2C15">
        <w:rPr>
          <w:rFonts w:asciiTheme="majorBidi" w:hAnsiTheme="majorBidi" w:cstheme="majorBidi"/>
          <w:i/>
          <w:iCs/>
          <w:color w:val="000000" w:themeColor="text1"/>
          <w:sz w:val="20"/>
          <w:szCs w:val="20"/>
        </w:rPr>
        <w:t>Sunnī</w:t>
      </w:r>
      <w:proofErr w:type="spellEnd"/>
      <w:r w:rsidRPr="00AE2C15">
        <w:rPr>
          <w:rFonts w:asciiTheme="majorBidi" w:hAnsiTheme="majorBidi" w:cstheme="majorBidi"/>
          <w:i/>
          <w:iCs/>
          <w:color w:val="000000" w:themeColor="text1"/>
          <w:sz w:val="20"/>
          <w:szCs w:val="20"/>
        </w:rPr>
        <w:t xml:space="preserve"> Elite</w:t>
      </w:r>
      <w:r w:rsidRPr="00AE2C15">
        <w:rPr>
          <w:rFonts w:asciiTheme="majorBidi" w:hAnsiTheme="majorBidi" w:cstheme="majorBidi"/>
          <w:color w:val="000000" w:themeColor="text1"/>
          <w:sz w:val="20"/>
          <w:szCs w:val="20"/>
        </w:rPr>
        <w:t xml:space="preserve"> (Leiden: Brill, 1997), 79–80; Christopher </w:t>
      </w:r>
      <w:proofErr w:type="spellStart"/>
      <w:r w:rsidRPr="00AE2C15">
        <w:rPr>
          <w:rFonts w:asciiTheme="majorBidi" w:hAnsiTheme="majorBidi" w:cstheme="majorBidi"/>
          <w:color w:val="000000" w:themeColor="text1"/>
          <w:sz w:val="20"/>
          <w:szCs w:val="20"/>
        </w:rPr>
        <w:t>Melchert</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Before Sufism: Early Islamic Renunciant Piety</w:t>
      </w:r>
      <w:r w:rsidRPr="00AE2C15">
        <w:rPr>
          <w:rFonts w:asciiTheme="majorBidi" w:hAnsiTheme="majorBidi" w:cstheme="majorBidi"/>
          <w:color w:val="000000" w:themeColor="text1"/>
          <w:sz w:val="20"/>
          <w:szCs w:val="20"/>
        </w:rPr>
        <w:t xml:space="preserve"> (Berlin; Boston: Walter De Gruyter: 2020), 134–39. For examples closer to and during Ibn al-</w:t>
      </w:r>
      <w:proofErr w:type="spellStart"/>
      <w:r w:rsidRPr="00AE2C15">
        <w:rPr>
          <w:rFonts w:asciiTheme="majorBidi" w:hAnsiTheme="majorBidi" w:cstheme="majorBidi"/>
          <w:color w:val="000000" w:themeColor="text1"/>
          <w:sz w:val="20"/>
          <w:szCs w:val="20"/>
        </w:rPr>
        <w:t>Jawzī’s</w:t>
      </w:r>
      <w:proofErr w:type="spellEnd"/>
      <w:r w:rsidRPr="00AE2C15">
        <w:rPr>
          <w:rFonts w:asciiTheme="majorBidi" w:hAnsiTheme="majorBidi" w:cstheme="majorBidi"/>
          <w:color w:val="000000" w:themeColor="text1"/>
          <w:sz w:val="20"/>
          <w:szCs w:val="20"/>
        </w:rPr>
        <w:t xml:space="preserve"> time, see </w:t>
      </w:r>
      <w:r w:rsidRPr="00AE2C15">
        <w:rPr>
          <w:rFonts w:asciiTheme="majorBidi" w:hAnsiTheme="majorBidi" w:cstheme="majorBidi"/>
          <w:sz w:val="20"/>
          <w:szCs w:val="20"/>
        </w:rPr>
        <w:t xml:space="preserve">Yaacov Lev, “Piety and Political Activism in Twelfth Century Egypt,” </w:t>
      </w:r>
      <w:r w:rsidRPr="00AE2C15">
        <w:rPr>
          <w:rFonts w:asciiTheme="majorBidi" w:hAnsiTheme="majorBidi" w:cstheme="majorBidi"/>
          <w:i/>
          <w:iCs/>
          <w:sz w:val="20"/>
          <w:szCs w:val="20"/>
        </w:rPr>
        <w:t>Jerusalem Studies in Arabic and Islam</w:t>
      </w:r>
      <w:r w:rsidRPr="00AE2C15">
        <w:rPr>
          <w:rFonts w:asciiTheme="majorBidi" w:hAnsiTheme="majorBidi" w:cstheme="majorBidi"/>
          <w:sz w:val="20"/>
          <w:szCs w:val="20"/>
        </w:rPr>
        <w:t xml:space="preserve"> 31 (2006): 293–94; Daniella </w:t>
      </w:r>
      <w:proofErr w:type="spellStart"/>
      <w:r w:rsidRPr="00AE2C15">
        <w:rPr>
          <w:rFonts w:asciiTheme="majorBidi" w:hAnsiTheme="majorBidi" w:cstheme="majorBidi"/>
          <w:sz w:val="20"/>
          <w:szCs w:val="20"/>
        </w:rPr>
        <w:t>Talmon</w:t>
      </w:r>
      <w:proofErr w:type="spellEnd"/>
      <w:r w:rsidRPr="00AE2C15">
        <w:rPr>
          <w:rFonts w:asciiTheme="majorBidi" w:hAnsiTheme="majorBidi" w:cstheme="majorBidi"/>
          <w:sz w:val="20"/>
          <w:szCs w:val="20"/>
        </w:rPr>
        <w:t xml:space="preserve">-Heller, </w:t>
      </w:r>
      <w:r w:rsidRPr="00AE2C15">
        <w:rPr>
          <w:rFonts w:asciiTheme="majorBidi" w:hAnsiTheme="majorBidi" w:cstheme="majorBidi"/>
          <w:i/>
          <w:iCs/>
          <w:color w:val="000000" w:themeColor="text1"/>
          <w:sz w:val="20"/>
          <w:szCs w:val="20"/>
        </w:rPr>
        <w:t xml:space="preserve">Islamic Piety in Medieval Syria: Mosques, Cemeteries and Sermons under the </w:t>
      </w:r>
      <w:proofErr w:type="spellStart"/>
      <w:r w:rsidRPr="00AE2C15">
        <w:rPr>
          <w:rFonts w:asciiTheme="majorBidi" w:hAnsiTheme="majorBidi" w:cstheme="majorBidi"/>
          <w:i/>
          <w:iCs/>
          <w:color w:val="000000" w:themeColor="text1"/>
          <w:sz w:val="20"/>
          <w:szCs w:val="20"/>
        </w:rPr>
        <w:t>Zangids</w:t>
      </w:r>
      <w:proofErr w:type="spellEnd"/>
      <w:r w:rsidRPr="00AE2C15">
        <w:rPr>
          <w:rFonts w:asciiTheme="majorBidi" w:hAnsiTheme="majorBidi" w:cstheme="majorBidi"/>
          <w:i/>
          <w:iCs/>
          <w:color w:val="000000" w:themeColor="text1"/>
          <w:sz w:val="20"/>
          <w:szCs w:val="20"/>
        </w:rPr>
        <w:t xml:space="preserve"> and </w:t>
      </w:r>
      <w:proofErr w:type="spellStart"/>
      <w:r w:rsidRPr="00AE2C15">
        <w:rPr>
          <w:rFonts w:asciiTheme="majorBidi" w:hAnsiTheme="majorBidi" w:cstheme="majorBidi"/>
          <w:i/>
          <w:iCs/>
          <w:color w:val="000000" w:themeColor="text1"/>
          <w:sz w:val="20"/>
          <w:szCs w:val="20"/>
        </w:rPr>
        <w:t>Ayyūbids</w:t>
      </w:r>
      <w:proofErr w:type="spellEnd"/>
      <w:r w:rsidRPr="00AE2C15">
        <w:rPr>
          <w:rFonts w:asciiTheme="majorBidi" w:hAnsiTheme="majorBidi" w:cstheme="majorBidi"/>
          <w:i/>
          <w:iCs/>
          <w:color w:val="000000" w:themeColor="text1"/>
          <w:sz w:val="20"/>
          <w:szCs w:val="20"/>
        </w:rPr>
        <w:t xml:space="preserve"> (1146–1260)</w:t>
      </w:r>
      <w:r w:rsidRPr="00AE2C15">
        <w:rPr>
          <w:rFonts w:asciiTheme="majorBidi" w:hAnsiTheme="majorBidi" w:cstheme="majorBidi"/>
          <w:color w:val="000000" w:themeColor="text1"/>
          <w:sz w:val="20"/>
          <w:szCs w:val="20"/>
        </w:rPr>
        <w:t xml:space="preserve"> (Leiden: Brill, 2007), 79</w:t>
      </w:r>
      <w:r>
        <w:rPr>
          <w:rFonts w:asciiTheme="majorBidi" w:hAnsiTheme="majorBidi" w:cstheme="majorBidi"/>
          <w:color w:val="000000" w:themeColor="text1"/>
          <w:sz w:val="20"/>
          <w:szCs w:val="20"/>
        </w:rPr>
        <w:t xml:space="preserve"> and</w:t>
      </w:r>
      <w:r w:rsidRPr="00AE2C15">
        <w:rPr>
          <w:rFonts w:asciiTheme="majorBidi" w:hAnsiTheme="majorBidi" w:cstheme="majorBidi"/>
          <w:color w:val="000000" w:themeColor="text1"/>
          <w:sz w:val="20"/>
          <w:szCs w:val="20"/>
        </w:rPr>
        <w:t xml:space="preserve"> 82; Vanessa Van </w:t>
      </w:r>
      <w:proofErr w:type="spellStart"/>
      <w:r w:rsidRPr="00AE2C15">
        <w:rPr>
          <w:rFonts w:asciiTheme="majorBidi" w:hAnsiTheme="majorBidi" w:cstheme="majorBidi"/>
          <w:color w:val="000000" w:themeColor="text1"/>
          <w:sz w:val="20"/>
          <w:szCs w:val="20"/>
        </w:rPr>
        <w:t>Renterghem</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sz w:val="20"/>
          <w:szCs w:val="20"/>
        </w:rPr>
        <w:t xml:space="preserve">Les élites </w:t>
      </w:r>
      <w:proofErr w:type="spellStart"/>
      <w:r w:rsidRPr="00AE2C15">
        <w:rPr>
          <w:rFonts w:asciiTheme="majorBidi" w:hAnsiTheme="majorBidi" w:cstheme="majorBidi"/>
          <w:i/>
          <w:iCs/>
          <w:sz w:val="20"/>
          <w:szCs w:val="20"/>
        </w:rPr>
        <w:t>bagdadiennes</w:t>
      </w:r>
      <w:proofErr w:type="spellEnd"/>
      <w:r w:rsidRPr="00AE2C15">
        <w:rPr>
          <w:rFonts w:asciiTheme="majorBidi" w:hAnsiTheme="majorBidi" w:cstheme="majorBidi"/>
          <w:i/>
          <w:iCs/>
          <w:sz w:val="20"/>
          <w:szCs w:val="20"/>
        </w:rPr>
        <w:t xml:space="preserve"> au temps des </w:t>
      </w:r>
      <w:proofErr w:type="spellStart"/>
      <w:r w:rsidRPr="00AE2C15">
        <w:rPr>
          <w:rFonts w:asciiTheme="majorBidi" w:hAnsiTheme="majorBidi" w:cstheme="majorBidi"/>
          <w:i/>
          <w:iCs/>
          <w:sz w:val="20"/>
          <w:szCs w:val="20"/>
        </w:rPr>
        <w:t>Seldjoukides</w:t>
      </w:r>
      <w:proofErr w:type="spellEnd"/>
      <w:r w:rsidRPr="00AE2C15">
        <w:rPr>
          <w:rFonts w:asciiTheme="majorBidi" w:hAnsiTheme="majorBidi" w:cstheme="majorBidi"/>
          <w:i/>
          <w:iCs/>
          <w:sz w:val="20"/>
          <w:szCs w:val="20"/>
        </w:rPr>
        <w:t xml:space="preserve">: Étude </w:t>
      </w:r>
      <w:proofErr w:type="spellStart"/>
      <w:r w:rsidRPr="00AE2C15">
        <w:rPr>
          <w:rFonts w:asciiTheme="majorBidi" w:hAnsiTheme="majorBidi" w:cstheme="majorBidi"/>
          <w:i/>
          <w:iCs/>
          <w:sz w:val="20"/>
          <w:szCs w:val="20"/>
        </w:rPr>
        <w:t>d’histoire</w:t>
      </w:r>
      <w:proofErr w:type="spellEnd"/>
      <w:r w:rsidRPr="00AE2C15">
        <w:rPr>
          <w:rFonts w:asciiTheme="majorBidi" w:hAnsiTheme="majorBidi" w:cstheme="majorBidi"/>
          <w:i/>
          <w:iCs/>
          <w:sz w:val="20"/>
          <w:szCs w:val="20"/>
        </w:rPr>
        <w:t xml:space="preserve"> </w:t>
      </w:r>
      <w:proofErr w:type="spellStart"/>
      <w:r w:rsidRPr="00AE2C15">
        <w:rPr>
          <w:rFonts w:asciiTheme="majorBidi" w:hAnsiTheme="majorBidi" w:cstheme="majorBidi"/>
          <w:i/>
          <w:iCs/>
          <w:sz w:val="20"/>
          <w:szCs w:val="20"/>
        </w:rPr>
        <w:t>sociale</w:t>
      </w:r>
      <w:proofErr w:type="spellEnd"/>
      <w:r w:rsidRPr="00AE2C15">
        <w:rPr>
          <w:rFonts w:asciiTheme="majorBidi" w:hAnsiTheme="majorBidi" w:cstheme="majorBidi"/>
          <w:sz w:val="20"/>
          <w:szCs w:val="20"/>
        </w:rPr>
        <w:t xml:space="preserve"> (Beirut: Presses de </w:t>
      </w:r>
      <w:proofErr w:type="spellStart"/>
      <w:r w:rsidRPr="00AE2C15">
        <w:rPr>
          <w:rFonts w:asciiTheme="majorBidi" w:hAnsiTheme="majorBidi" w:cstheme="majorBidi"/>
          <w:sz w:val="20"/>
          <w:szCs w:val="20"/>
        </w:rPr>
        <w:t>l’IFPO</w:t>
      </w:r>
      <w:proofErr w:type="spellEnd"/>
      <w:r w:rsidRPr="00AE2C15">
        <w:rPr>
          <w:rFonts w:asciiTheme="majorBidi" w:hAnsiTheme="majorBidi" w:cstheme="majorBidi"/>
          <w:sz w:val="20"/>
          <w:szCs w:val="20"/>
        </w:rPr>
        <w:t>, 2015), 1:107</w:t>
      </w:r>
      <w:r w:rsidRPr="00AE2C15">
        <w:rPr>
          <w:rFonts w:asciiTheme="majorBidi" w:hAnsiTheme="majorBidi" w:cstheme="majorBidi"/>
          <w:color w:val="000000" w:themeColor="text1"/>
          <w:sz w:val="20"/>
          <w:szCs w:val="20"/>
        </w:rPr>
        <w:t>.</w:t>
      </w:r>
    </w:p>
  </w:footnote>
  <w:footnote w:id="35">
    <w:p w14:paraId="79F9EC39" w14:textId="5DD41411"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Cook, </w:t>
      </w:r>
      <w:r w:rsidRPr="00AE2C15">
        <w:rPr>
          <w:rFonts w:asciiTheme="majorBidi" w:hAnsiTheme="majorBidi" w:cstheme="majorBidi"/>
          <w:i/>
          <w:iCs/>
          <w:color w:val="000000" w:themeColor="text1"/>
          <w:sz w:val="20"/>
          <w:szCs w:val="20"/>
        </w:rPr>
        <w:t>Commanding</w:t>
      </w:r>
      <w:r w:rsidRPr="00AE2C15">
        <w:rPr>
          <w:rFonts w:asciiTheme="majorBidi" w:hAnsiTheme="majorBidi" w:cstheme="majorBidi"/>
          <w:color w:val="000000" w:themeColor="text1"/>
          <w:sz w:val="20"/>
          <w:szCs w:val="20"/>
        </w:rPr>
        <w:t>, 101–13; Saud al-</w:t>
      </w:r>
      <w:proofErr w:type="spellStart"/>
      <w:r w:rsidRPr="00AE2C15">
        <w:rPr>
          <w:rFonts w:asciiTheme="majorBidi" w:hAnsiTheme="majorBidi" w:cstheme="majorBidi"/>
          <w:color w:val="000000" w:themeColor="text1"/>
          <w:sz w:val="20"/>
          <w:szCs w:val="20"/>
        </w:rPr>
        <w:t>Sarhan</w:t>
      </w:r>
      <w:proofErr w:type="spellEnd"/>
      <w:r w:rsidRPr="00AE2C15">
        <w:rPr>
          <w:rFonts w:asciiTheme="majorBidi" w:hAnsiTheme="majorBidi" w:cstheme="majorBidi"/>
          <w:color w:val="000000" w:themeColor="text1"/>
          <w:sz w:val="20"/>
          <w:szCs w:val="20"/>
        </w:rPr>
        <w:t xml:space="preserve">, “Early Muslim Traditionalism: A Critical Study of the Works and Political Theology of </w:t>
      </w:r>
      <w:proofErr w:type="spellStart"/>
      <w:r w:rsidRPr="00AE2C15">
        <w:rPr>
          <w:rFonts w:asciiTheme="majorBidi" w:hAnsiTheme="majorBidi" w:cstheme="majorBidi"/>
          <w:color w:val="000000" w:themeColor="text1"/>
          <w:sz w:val="20"/>
          <w:szCs w:val="20"/>
        </w:rPr>
        <w:t>Aḥmad</w:t>
      </w:r>
      <w:proofErr w:type="spellEnd"/>
      <w:r w:rsidRPr="00AE2C15">
        <w:rPr>
          <w:rFonts w:asciiTheme="majorBidi" w:hAnsiTheme="majorBidi" w:cstheme="majorBidi"/>
          <w:color w:val="000000" w:themeColor="text1"/>
          <w:sz w:val="20"/>
          <w:szCs w:val="20"/>
        </w:rPr>
        <w:t xml:space="preserve"> b. </w:t>
      </w:r>
      <w:proofErr w:type="spellStart"/>
      <w:r w:rsidRPr="00AE2C15">
        <w:rPr>
          <w:rFonts w:asciiTheme="majorBidi" w:hAnsiTheme="majorBidi" w:cstheme="majorBidi"/>
          <w:color w:val="000000" w:themeColor="text1"/>
          <w:sz w:val="20"/>
          <w:szCs w:val="20"/>
        </w:rPr>
        <w:t>Ḥanbal</w:t>
      </w:r>
      <w:proofErr w:type="spellEnd"/>
      <w:r w:rsidRPr="00AE2C15">
        <w:rPr>
          <w:rFonts w:asciiTheme="majorBidi" w:hAnsiTheme="majorBidi" w:cstheme="majorBidi"/>
          <w:color w:val="000000" w:themeColor="text1"/>
          <w:sz w:val="20"/>
          <w:szCs w:val="20"/>
        </w:rPr>
        <w:t>” (PhD diss., University of Exeter, 2011), 194–217.</w:t>
      </w:r>
    </w:p>
  </w:footnote>
  <w:footnote w:id="36">
    <w:p w14:paraId="625DA5A3" w14:textId="72B6E240"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For instance, </w:t>
      </w:r>
      <w:proofErr w:type="spellStart"/>
      <w:r w:rsidRPr="00AE2C15">
        <w:rPr>
          <w:rFonts w:asciiTheme="majorBidi" w:hAnsiTheme="majorBidi" w:cstheme="majorBidi"/>
          <w:color w:val="000000" w:themeColor="text1"/>
          <w:sz w:val="20"/>
          <w:szCs w:val="20"/>
        </w:rPr>
        <w:t>Abū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Ḥāmid</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Ghazālī</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al-</w:t>
      </w:r>
      <w:proofErr w:type="spellStart"/>
      <w:r w:rsidRPr="00AE2C15">
        <w:rPr>
          <w:rFonts w:asciiTheme="majorBidi" w:hAnsiTheme="majorBidi" w:cstheme="majorBidi"/>
          <w:i/>
          <w:iCs/>
          <w:color w:val="000000" w:themeColor="text1"/>
          <w:sz w:val="20"/>
          <w:szCs w:val="20"/>
        </w:rPr>
        <w:t>Iqtiṣād</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fī</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iʿtiqād</w:t>
      </w:r>
      <w:proofErr w:type="spellEnd"/>
      <w:r w:rsidRPr="00AE2C15">
        <w:rPr>
          <w:rFonts w:asciiTheme="majorBidi" w:hAnsiTheme="majorBidi" w:cstheme="majorBidi"/>
          <w:color w:val="000000" w:themeColor="text1"/>
          <w:sz w:val="20"/>
          <w:szCs w:val="20"/>
        </w:rPr>
        <w:t xml:space="preserve">, ed. </w:t>
      </w:r>
      <w:proofErr w:type="spellStart"/>
      <w:r w:rsidRPr="00AE2C15">
        <w:rPr>
          <w:rFonts w:asciiTheme="majorBidi" w:hAnsiTheme="majorBidi" w:cstheme="majorBidi"/>
          <w:color w:val="000000" w:themeColor="text1"/>
          <w:sz w:val="20"/>
          <w:szCs w:val="20"/>
        </w:rPr>
        <w:t>Muṣṭafā</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ʿUmrān</w:t>
      </w:r>
      <w:proofErr w:type="spellEnd"/>
      <w:r w:rsidRPr="00AE2C15">
        <w:rPr>
          <w:rFonts w:asciiTheme="majorBidi" w:hAnsiTheme="majorBidi" w:cstheme="majorBidi"/>
          <w:color w:val="000000" w:themeColor="text1"/>
          <w:sz w:val="20"/>
          <w:szCs w:val="20"/>
        </w:rPr>
        <w:t xml:space="preserve"> (Cairo: </w:t>
      </w:r>
      <w:proofErr w:type="spellStart"/>
      <w:r w:rsidRPr="00AE2C15">
        <w:rPr>
          <w:rFonts w:asciiTheme="majorBidi" w:hAnsiTheme="majorBidi" w:cstheme="majorBidi"/>
          <w:color w:val="000000" w:themeColor="text1"/>
          <w:sz w:val="20"/>
          <w:szCs w:val="20"/>
        </w:rPr>
        <w:t>Dār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Baṣāʾir</w:t>
      </w:r>
      <w:proofErr w:type="spellEnd"/>
      <w:r w:rsidRPr="00AE2C15">
        <w:rPr>
          <w:rFonts w:asciiTheme="majorBidi" w:hAnsiTheme="majorBidi" w:cstheme="majorBidi"/>
          <w:color w:val="000000" w:themeColor="text1"/>
          <w:sz w:val="20"/>
          <w:szCs w:val="20"/>
        </w:rPr>
        <w:t xml:space="preserve">, 2009), 504–6; translated by Aladdin M. </w:t>
      </w:r>
      <w:proofErr w:type="spellStart"/>
      <w:r w:rsidRPr="00AE2C15">
        <w:rPr>
          <w:rFonts w:asciiTheme="majorBidi" w:hAnsiTheme="majorBidi" w:cstheme="majorBidi"/>
          <w:color w:val="000000" w:themeColor="text1"/>
          <w:sz w:val="20"/>
          <w:szCs w:val="20"/>
        </w:rPr>
        <w:t>Yaqub</w:t>
      </w:r>
      <w:proofErr w:type="spellEnd"/>
      <w:r w:rsidRPr="00AE2C15">
        <w:rPr>
          <w:rFonts w:asciiTheme="majorBidi" w:hAnsiTheme="majorBidi" w:cstheme="majorBidi"/>
          <w:color w:val="000000" w:themeColor="text1"/>
          <w:sz w:val="20"/>
          <w:szCs w:val="20"/>
        </w:rPr>
        <w:t xml:space="preserve"> as </w:t>
      </w:r>
      <w:r w:rsidRPr="00AE2C15">
        <w:rPr>
          <w:rFonts w:asciiTheme="majorBidi" w:hAnsiTheme="majorBidi" w:cstheme="majorBidi"/>
          <w:i/>
          <w:iCs/>
          <w:color w:val="000000" w:themeColor="text1"/>
          <w:sz w:val="20"/>
          <w:szCs w:val="20"/>
        </w:rPr>
        <w:t>Al-</w:t>
      </w:r>
      <w:proofErr w:type="spellStart"/>
      <w:r w:rsidRPr="00AE2C15">
        <w:rPr>
          <w:rFonts w:asciiTheme="majorBidi" w:hAnsiTheme="majorBidi" w:cstheme="majorBidi"/>
          <w:i/>
          <w:iCs/>
          <w:color w:val="000000" w:themeColor="text1"/>
          <w:sz w:val="20"/>
          <w:szCs w:val="20"/>
        </w:rPr>
        <w:t>Ghazālī’s</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color w:val="000000" w:themeColor="text1"/>
          <w:sz w:val="20"/>
          <w:szCs w:val="20"/>
        </w:rPr>
        <w:t>Moderation in Belief</w:t>
      </w:r>
      <w:r w:rsidRPr="00AE2C15">
        <w:rPr>
          <w:rFonts w:asciiTheme="majorBidi" w:hAnsiTheme="majorBidi" w:cstheme="majorBidi"/>
          <w:color w:val="000000" w:themeColor="text1"/>
          <w:sz w:val="20"/>
          <w:szCs w:val="20"/>
        </w:rPr>
        <w:t xml:space="preserve"> (Chicago: University of Chicago Press, 2013), 229–31. See also idem, </w:t>
      </w:r>
      <w:proofErr w:type="spellStart"/>
      <w:r w:rsidRPr="00AE2C15">
        <w:rPr>
          <w:rFonts w:asciiTheme="majorBidi" w:hAnsiTheme="majorBidi" w:cstheme="majorBidi"/>
          <w:i/>
          <w:iCs/>
          <w:color w:val="000000" w:themeColor="text1"/>
          <w:sz w:val="20"/>
          <w:szCs w:val="20"/>
        </w:rPr>
        <w:t>Iḥyāʾ</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ʿulūm</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dīn</w:t>
      </w:r>
      <w:proofErr w:type="spellEnd"/>
      <w:r w:rsidRPr="00AE2C15">
        <w:rPr>
          <w:rFonts w:asciiTheme="majorBidi" w:hAnsiTheme="majorBidi" w:cstheme="majorBidi"/>
          <w:color w:val="000000" w:themeColor="text1"/>
          <w:sz w:val="20"/>
          <w:szCs w:val="20"/>
        </w:rPr>
        <w:t xml:space="preserve"> (Jeddah: </w:t>
      </w:r>
      <w:proofErr w:type="spellStart"/>
      <w:r w:rsidRPr="00AE2C15">
        <w:rPr>
          <w:rFonts w:asciiTheme="majorBidi" w:hAnsiTheme="majorBidi" w:cstheme="majorBidi"/>
          <w:color w:val="000000" w:themeColor="text1"/>
          <w:sz w:val="20"/>
          <w:szCs w:val="20"/>
        </w:rPr>
        <w:t>Dār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Minhāj</w:t>
      </w:r>
      <w:proofErr w:type="spellEnd"/>
      <w:r w:rsidRPr="00AE2C15">
        <w:rPr>
          <w:rFonts w:asciiTheme="majorBidi" w:hAnsiTheme="majorBidi" w:cstheme="majorBidi"/>
          <w:color w:val="000000" w:themeColor="text1"/>
          <w:sz w:val="20"/>
          <w:szCs w:val="20"/>
        </w:rPr>
        <w:t>, 2011), 1:66–68.</w:t>
      </w:r>
    </w:p>
  </w:footnote>
  <w:footnote w:id="37">
    <w:p w14:paraId="1B53DC76" w14:textId="312B0E1E"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F. R. C. Bagley</w:t>
      </w:r>
      <w:r w:rsidRPr="00AE2C15">
        <w:rPr>
          <w:rFonts w:asciiTheme="majorBidi" w:hAnsiTheme="majorBidi" w:cstheme="majorBidi"/>
          <w:sz w:val="20"/>
          <w:szCs w:val="20"/>
        </w:rPr>
        <w:t xml:space="preserve">, trans., </w:t>
      </w:r>
      <w:proofErr w:type="spellStart"/>
      <w:r w:rsidRPr="00AE2C15">
        <w:rPr>
          <w:rFonts w:asciiTheme="majorBidi" w:hAnsiTheme="majorBidi" w:cstheme="majorBidi"/>
          <w:i/>
          <w:iCs/>
          <w:color w:val="000000" w:themeColor="text1"/>
          <w:sz w:val="20"/>
          <w:szCs w:val="20"/>
        </w:rPr>
        <w:t>Ghazālī’s</w:t>
      </w:r>
      <w:proofErr w:type="spellEnd"/>
      <w:r w:rsidRPr="00AE2C15">
        <w:rPr>
          <w:rFonts w:asciiTheme="majorBidi" w:hAnsiTheme="majorBidi" w:cstheme="majorBidi"/>
          <w:i/>
          <w:iCs/>
          <w:color w:val="000000" w:themeColor="text1"/>
          <w:sz w:val="20"/>
          <w:szCs w:val="20"/>
        </w:rPr>
        <w:t xml:space="preserve"> Book of Counsel for Kings (</w:t>
      </w:r>
      <w:proofErr w:type="spellStart"/>
      <w:r w:rsidRPr="00AE2C15">
        <w:rPr>
          <w:rFonts w:asciiTheme="majorBidi" w:hAnsiTheme="majorBidi" w:cstheme="majorBidi"/>
          <w:i/>
          <w:iCs/>
          <w:color w:val="000000" w:themeColor="text1"/>
          <w:sz w:val="20"/>
          <w:szCs w:val="20"/>
        </w:rPr>
        <w:t>Naṣīḥat</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mulūk</w:t>
      </w:r>
      <w:proofErr w:type="spellEnd"/>
      <w:r w:rsidRPr="00AE2C15">
        <w:rPr>
          <w:rFonts w:asciiTheme="majorBidi" w:hAnsiTheme="majorBidi" w:cstheme="majorBidi"/>
          <w:i/>
          <w:iCs/>
          <w:color w:val="000000" w:themeColor="text1"/>
          <w:sz w:val="20"/>
          <w:szCs w:val="20"/>
        </w:rPr>
        <w:t>)</w:t>
      </w:r>
      <w:r w:rsidRPr="00AE2C15">
        <w:rPr>
          <w:rFonts w:asciiTheme="majorBidi" w:hAnsiTheme="majorBidi" w:cstheme="majorBidi"/>
          <w:color w:val="000000" w:themeColor="text1"/>
          <w:sz w:val="20"/>
          <w:szCs w:val="20"/>
        </w:rPr>
        <w:t xml:space="preserve"> (London: Oxford University Press, 1964), 19.</w:t>
      </w:r>
    </w:p>
  </w:footnote>
  <w:footnote w:id="38">
    <w:p w14:paraId="7B3D620C" w14:textId="3D95135A"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Al-</w:t>
      </w:r>
      <w:proofErr w:type="spellStart"/>
      <w:r w:rsidRPr="00AE2C15">
        <w:rPr>
          <w:rFonts w:asciiTheme="majorBidi" w:hAnsiTheme="majorBidi" w:cstheme="majorBidi"/>
          <w:color w:val="000000" w:themeColor="text1"/>
          <w:sz w:val="20"/>
          <w:szCs w:val="20"/>
        </w:rPr>
        <w:t>Ghazālī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Faḍāʾiḥ</w:t>
      </w:r>
      <w:proofErr w:type="spellEnd"/>
      <w:r w:rsidRPr="00AE2C15">
        <w:rPr>
          <w:rFonts w:asciiTheme="majorBidi" w:hAnsiTheme="majorBidi" w:cstheme="majorBidi"/>
          <w:i/>
          <w:color w:val="000000" w:themeColor="text1"/>
          <w:sz w:val="20"/>
          <w:szCs w:val="20"/>
        </w:rPr>
        <w:t xml:space="preserve"> al-</w:t>
      </w:r>
      <w:proofErr w:type="spellStart"/>
      <w:r w:rsidRPr="00AE2C15">
        <w:rPr>
          <w:rFonts w:asciiTheme="majorBidi" w:hAnsiTheme="majorBidi" w:cstheme="majorBidi"/>
          <w:i/>
          <w:color w:val="000000" w:themeColor="text1"/>
          <w:sz w:val="20"/>
          <w:szCs w:val="20"/>
        </w:rPr>
        <w:t>bāṭiniyya</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wa-faḍāʾil</w:t>
      </w:r>
      <w:proofErr w:type="spellEnd"/>
      <w:r w:rsidRPr="00AE2C15">
        <w:rPr>
          <w:rFonts w:asciiTheme="majorBidi" w:hAnsiTheme="majorBidi" w:cstheme="majorBidi"/>
          <w:i/>
          <w:color w:val="000000" w:themeColor="text1"/>
          <w:sz w:val="20"/>
          <w:szCs w:val="20"/>
        </w:rPr>
        <w:t xml:space="preserve"> al-</w:t>
      </w:r>
      <w:proofErr w:type="spellStart"/>
      <w:r w:rsidRPr="00AE2C15">
        <w:rPr>
          <w:rFonts w:asciiTheme="majorBidi" w:hAnsiTheme="majorBidi" w:cstheme="majorBidi"/>
          <w:i/>
          <w:color w:val="000000" w:themeColor="text1"/>
          <w:sz w:val="20"/>
          <w:szCs w:val="20"/>
        </w:rPr>
        <w:t>Mustaẓhiriyya</w:t>
      </w:r>
      <w:proofErr w:type="spellEnd"/>
      <w:r w:rsidRPr="00AE2C15">
        <w:rPr>
          <w:rFonts w:asciiTheme="majorBidi" w:hAnsiTheme="majorBidi" w:cstheme="majorBidi"/>
          <w:color w:val="000000" w:themeColor="text1"/>
          <w:sz w:val="20"/>
          <w:szCs w:val="20"/>
        </w:rPr>
        <w:t xml:space="preserve">, ed. </w:t>
      </w:r>
      <w:proofErr w:type="spellStart"/>
      <w:r w:rsidRPr="00AE2C15">
        <w:rPr>
          <w:rFonts w:asciiTheme="majorBidi" w:hAnsiTheme="majorBidi" w:cstheme="majorBidi"/>
          <w:color w:val="000000" w:themeColor="text1"/>
          <w:sz w:val="20"/>
          <w:szCs w:val="20"/>
        </w:rPr>
        <w:t>Muḥammad</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ʿAlī</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Quṭb</w:t>
      </w:r>
      <w:proofErr w:type="spellEnd"/>
      <w:r w:rsidRPr="00AE2C15">
        <w:rPr>
          <w:rFonts w:asciiTheme="majorBidi" w:hAnsiTheme="majorBidi" w:cstheme="majorBidi"/>
          <w:color w:val="000000" w:themeColor="text1"/>
          <w:sz w:val="20"/>
          <w:szCs w:val="20"/>
        </w:rPr>
        <w:t xml:space="preserve"> (Beirut: al-</w:t>
      </w:r>
      <w:proofErr w:type="spellStart"/>
      <w:r w:rsidRPr="00AE2C15">
        <w:rPr>
          <w:rFonts w:asciiTheme="majorBidi" w:hAnsiTheme="majorBidi" w:cstheme="majorBidi"/>
          <w:color w:val="000000" w:themeColor="text1"/>
          <w:sz w:val="20"/>
          <w:szCs w:val="20"/>
        </w:rPr>
        <w:t>Maktaba</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ʿAṣriyya</w:t>
      </w:r>
      <w:proofErr w:type="spellEnd"/>
      <w:r w:rsidRPr="00AE2C15">
        <w:rPr>
          <w:rFonts w:asciiTheme="majorBidi" w:hAnsiTheme="majorBidi" w:cstheme="majorBidi"/>
          <w:color w:val="000000" w:themeColor="text1"/>
          <w:sz w:val="20"/>
          <w:szCs w:val="20"/>
        </w:rPr>
        <w:t>, 2009), 172–73.</w:t>
      </w:r>
    </w:p>
  </w:footnote>
  <w:footnote w:id="39">
    <w:p w14:paraId="15ABF40F" w14:textId="14315778"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Ghazālī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Iḥyāʾ</w:t>
      </w:r>
      <w:proofErr w:type="spellEnd"/>
      <w:r w:rsidRPr="00AE2C15">
        <w:rPr>
          <w:rFonts w:asciiTheme="majorBidi" w:hAnsiTheme="majorBidi" w:cstheme="majorBidi"/>
          <w:color w:val="000000" w:themeColor="text1"/>
          <w:sz w:val="20"/>
          <w:szCs w:val="20"/>
        </w:rPr>
        <w:t>, 1:66–68, 250–56.</w:t>
      </w:r>
    </w:p>
  </w:footnote>
  <w:footnote w:id="40">
    <w:p w14:paraId="2D0A5A4A" w14:textId="24F14073"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Ibid., 3:541–80. This is the sixth chapter of “</w:t>
      </w:r>
      <w:proofErr w:type="spellStart"/>
      <w:r w:rsidRPr="00AE2C15">
        <w:rPr>
          <w:rFonts w:asciiTheme="majorBidi" w:hAnsiTheme="majorBidi" w:cstheme="majorBidi"/>
          <w:color w:val="000000" w:themeColor="text1"/>
          <w:sz w:val="20"/>
          <w:szCs w:val="20"/>
        </w:rPr>
        <w:t>Kitāb</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Ḥalāl</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wa</w:t>
      </w:r>
      <w:proofErr w:type="spellEnd"/>
      <w:r w:rsidRPr="00AE2C15">
        <w:rPr>
          <w:rFonts w:asciiTheme="majorBidi" w:hAnsiTheme="majorBidi" w:cstheme="majorBidi"/>
          <w:color w:val="000000" w:themeColor="text1"/>
          <w:sz w:val="20"/>
          <w:szCs w:val="20"/>
        </w:rPr>
        <w:t>-l-</w:t>
      </w:r>
      <w:proofErr w:type="spellStart"/>
      <w:r w:rsidRPr="00AE2C15">
        <w:rPr>
          <w:rFonts w:asciiTheme="majorBidi" w:hAnsiTheme="majorBidi" w:cstheme="majorBidi"/>
          <w:color w:val="000000" w:themeColor="text1"/>
          <w:sz w:val="20"/>
          <w:szCs w:val="20"/>
        </w:rPr>
        <w:t>Ḥarām</w:t>
      </w:r>
      <w:proofErr w:type="spellEnd"/>
      <w:r w:rsidRPr="00AE2C15">
        <w:rPr>
          <w:rFonts w:asciiTheme="majorBidi" w:hAnsiTheme="majorBidi" w:cstheme="majorBidi"/>
          <w:color w:val="000000" w:themeColor="text1"/>
          <w:sz w:val="20"/>
          <w:szCs w:val="20"/>
        </w:rPr>
        <w:t>” (“The Book of the Lawful and Unlawful”) titled “What is Lawful and Unlawful Regarding Socializing with Despotic Rulers, and Opinions on Attending Their Councils, Visiting Them, and Honoring Them.”</w:t>
      </w:r>
    </w:p>
  </w:footnote>
  <w:footnote w:id="41">
    <w:p w14:paraId="5AA818C2" w14:textId="1909ACA7"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Ibid., 3:541.</w:t>
      </w:r>
    </w:p>
  </w:footnote>
  <w:footnote w:id="42">
    <w:p w14:paraId="3DA315CE" w14:textId="6F73EFBB"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Ibid., 3:542–45. The recurring mentions of </w:t>
      </w:r>
      <w:proofErr w:type="spellStart"/>
      <w:r w:rsidRPr="00AE2C15">
        <w:rPr>
          <w:rFonts w:asciiTheme="majorBidi" w:hAnsiTheme="majorBidi" w:cstheme="majorBidi"/>
          <w:color w:val="000000" w:themeColor="text1"/>
          <w:sz w:val="20"/>
          <w:szCs w:val="20"/>
        </w:rPr>
        <w:t>Qurʾān</w:t>
      </w:r>
      <w:proofErr w:type="spellEnd"/>
      <w:r w:rsidRPr="00AE2C15">
        <w:rPr>
          <w:rFonts w:asciiTheme="majorBidi" w:hAnsiTheme="majorBidi" w:cstheme="majorBidi"/>
          <w:color w:val="000000" w:themeColor="text1"/>
          <w:sz w:val="20"/>
          <w:szCs w:val="20"/>
        </w:rPr>
        <w:t xml:space="preserve"> reciters (</w:t>
      </w:r>
      <w:proofErr w:type="spellStart"/>
      <w:r w:rsidRPr="00AE2C15">
        <w:rPr>
          <w:rFonts w:asciiTheme="majorBidi" w:hAnsiTheme="majorBidi" w:cstheme="majorBidi"/>
          <w:i/>
          <w:iCs/>
          <w:color w:val="000000" w:themeColor="text1"/>
          <w:sz w:val="20"/>
          <w:szCs w:val="20"/>
        </w:rPr>
        <w:t>qurrāʾ</w:t>
      </w:r>
      <w:proofErr w:type="spellEnd"/>
      <w:r w:rsidRPr="00AE2C15">
        <w:rPr>
          <w:rFonts w:asciiTheme="majorBidi" w:hAnsiTheme="majorBidi" w:cstheme="majorBidi"/>
          <w:color w:val="000000" w:themeColor="text1"/>
          <w:sz w:val="20"/>
          <w:szCs w:val="20"/>
        </w:rPr>
        <w:t xml:space="preserve">) likely alludes to the fact that many rulers in early Islam sought scholars to recite the </w:t>
      </w:r>
      <w:proofErr w:type="spellStart"/>
      <w:r w:rsidRPr="00AE2C15">
        <w:rPr>
          <w:rFonts w:asciiTheme="majorBidi" w:hAnsiTheme="majorBidi" w:cstheme="majorBidi"/>
          <w:color w:val="000000" w:themeColor="text1"/>
          <w:sz w:val="20"/>
          <w:szCs w:val="20"/>
        </w:rPr>
        <w:t>Qurʾān</w:t>
      </w:r>
      <w:proofErr w:type="spellEnd"/>
      <w:r w:rsidRPr="00AE2C15">
        <w:rPr>
          <w:rFonts w:asciiTheme="majorBidi" w:hAnsiTheme="majorBidi" w:cstheme="majorBidi"/>
          <w:color w:val="000000" w:themeColor="text1"/>
          <w:sz w:val="20"/>
          <w:szCs w:val="20"/>
        </w:rPr>
        <w:t xml:space="preserve"> to them. According to Christopher </w:t>
      </w:r>
      <w:proofErr w:type="spellStart"/>
      <w:r w:rsidRPr="00AE2C15">
        <w:rPr>
          <w:rFonts w:asciiTheme="majorBidi" w:hAnsiTheme="majorBidi" w:cstheme="majorBidi"/>
          <w:color w:val="000000" w:themeColor="text1"/>
          <w:sz w:val="20"/>
          <w:szCs w:val="20"/>
        </w:rPr>
        <w:t>Melchert</w:t>
      </w:r>
      <w:proofErr w:type="spellEnd"/>
      <w:r w:rsidRPr="00AE2C15">
        <w:rPr>
          <w:rFonts w:asciiTheme="majorBidi" w:hAnsiTheme="majorBidi" w:cstheme="majorBidi"/>
          <w:color w:val="000000" w:themeColor="text1"/>
          <w:sz w:val="20"/>
          <w:szCs w:val="20"/>
        </w:rPr>
        <w:t xml:space="preserve">, “Perhaps it was precisely the preponderance of Qur’an recitation among services performed for rulers by men of religion that made </w:t>
      </w:r>
      <w:proofErr w:type="spellStart"/>
      <w:r w:rsidRPr="00AE2C15">
        <w:rPr>
          <w:rFonts w:asciiTheme="majorBidi" w:hAnsiTheme="majorBidi" w:cstheme="majorBidi"/>
          <w:i/>
          <w:iCs/>
          <w:color w:val="000000" w:themeColor="text1"/>
          <w:sz w:val="20"/>
          <w:szCs w:val="20"/>
        </w:rPr>
        <w:t>qāriʾ</w:t>
      </w:r>
      <w:proofErr w:type="spellEnd"/>
      <w:r w:rsidRPr="00AE2C15">
        <w:rPr>
          <w:rFonts w:asciiTheme="majorBidi" w:hAnsiTheme="majorBidi" w:cstheme="majorBidi"/>
          <w:color w:val="000000" w:themeColor="text1"/>
          <w:sz w:val="20"/>
          <w:szCs w:val="20"/>
        </w:rPr>
        <w:t xml:space="preserve"> a pejorative term, by contrast with </w:t>
      </w:r>
      <w:proofErr w:type="spellStart"/>
      <w:r w:rsidRPr="00AE2C15">
        <w:rPr>
          <w:rFonts w:asciiTheme="majorBidi" w:hAnsiTheme="majorBidi" w:cstheme="majorBidi"/>
          <w:i/>
          <w:iCs/>
          <w:color w:val="000000" w:themeColor="text1"/>
          <w:sz w:val="20"/>
          <w:szCs w:val="20"/>
        </w:rPr>
        <w:t>zāhid</w:t>
      </w:r>
      <w:proofErr w:type="spellEnd"/>
      <w:r w:rsidRPr="00AE2C15">
        <w:rPr>
          <w:rFonts w:asciiTheme="majorBidi" w:hAnsiTheme="majorBidi" w:cstheme="majorBidi"/>
          <w:color w:val="000000" w:themeColor="text1"/>
          <w:sz w:val="20"/>
          <w:szCs w:val="20"/>
        </w:rPr>
        <w:t xml:space="preserve"> and </w:t>
      </w:r>
      <w:proofErr w:type="spellStart"/>
      <w:r w:rsidRPr="00AE2C15">
        <w:rPr>
          <w:rFonts w:asciiTheme="majorBidi" w:hAnsiTheme="majorBidi" w:cstheme="majorBidi"/>
          <w:i/>
          <w:iCs/>
          <w:color w:val="000000" w:themeColor="text1"/>
          <w:sz w:val="20"/>
          <w:szCs w:val="20"/>
        </w:rPr>
        <w:t>nāsik</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Melchert</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Before Sufism</w:t>
      </w:r>
      <w:r w:rsidRPr="00AE2C15">
        <w:rPr>
          <w:rFonts w:asciiTheme="majorBidi" w:hAnsiTheme="majorBidi" w:cstheme="majorBidi"/>
          <w:color w:val="000000" w:themeColor="text1"/>
          <w:sz w:val="20"/>
          <w:szCs w:val="20"/>
        </w:rPr>
        <w:t>, 137.</w:t>
      </w:r>
    </w:p>
  </w:footnote>
  <w:footnote w:id="43">
    <w:p w14:paraId="070F3019" w14:textId="37AF2BBF"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Al-</w:t>
      </w:r>
      <w:proofErr w:type="spellStart"/>
      <w:r w:rsidRPr="00AE2C15">
        <w:rPr>
          <w:rFonts w:asciiTheme="majorBidi" w:hAnsiTheme="majorBidi" w:cstheme="majorBidi"/>
          <w:color w:val="000000" w:themeColor="text1"/>
          <w:sz w:val="20"/>
          <w:szCs w:val="20"/>
        </w:rPr>
        <w:t>Ghazālī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Iḥyāʾ</w:t>
      </w:r>
      <w:proofErr w:type="spellEnd"/>
      <w:r w:rsidRPr="00AE2C15">
        <w:rPr>
          <w:rFonts w:asciiTheme="majorBidi" w:hAnsiTheme="majorBidi" w:cstheme="majorBidi"/>
          <w:color w:val="000000" w:themeColor="text1"/>
          <w:sz w:val="20"/>
          <w:szCs w:val="20"/>
        </w:rPr>
        <w:t>, 3:542–44.</w:t>
      </w:r>
    </w:p>
  </w:footnote>
  <w:footnote w:id="44">
    <w:p w14:paraId="45A08A38" w14:textId="65F5FE32"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Ibid., 3:544–80.</w:t>
      </w:r>
    </w:p>
  </w:footnote>
  <w:footnote w:id="45">
    <w:p w14:paraId="7774AEEC" w14:textId="47CD6595"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The “problem of counsel” was not exclusive to medieval Islam. It figured prominently in Renaissance humanist political discourse among those who believed that wise and learned men would only face ridicule and mockery at the court and, as such, should not waste their time counseling princes. Rather than seek public office, they would do better to direct their wise counsel to private men (</w:t>
      </w:r>
      <w:proofErr w:type="spellStart"/>
      <w:r w:rsidRPr="00AE2C15">
        <w:rPr>
          <w:rFonts w:asciiTheme="majorBidi" w:hAnsiTheme="majorBidi" w:cstheme="majorBidi"/>
          <w:i/>
          <w:iCs/>
          <w:color w:val="000000" w:themeColor="text1"/>
          <w:sz w:val="20"/>
          <w:szCs w:val="20"/>
        </w:rPr>
        <w:t>privati</w:t>
      </w:r>
      <w:proofErr w:type="spellEnd"/>
      <w:r w:rsidRPr="00AE2C15">
        <w:rPr>
          <w:rFonts w:asciiTheme="majorBidi" w:hAnsiTheme="majorBidi" w:cstheme="majorBidi"/>
          <w:color w:val="000000" w:themeColor="text1"/>
          <w:sz w:val="20"/>
          <w:szCs w:val="20"/>
        </w:rPr>
        <w:t>)</w:t>
      </w:r>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 xml:space="preserve">who appreciated moral philosophy and humanistic study. See Quentin Skinner, </w:t>
      </w:r>
      <w:r w:rsidRPr="00AE2C15">
        <w:rPr>
          <w:rFonts w:asciiTheme="majorBidi" w:hAnsiTheme="majorBidi" w:cstheme="majorBidi"/>
          <w:i/>
          <w:iCs/>
          <w:color w:val="000000" w:themeColor="text1"/>
          <w:sz w:val="20"/>
          <w:szCs w:val="20"/>
        </w:rPr>
        <w:t>The Foundations of Modern Political Thought, Vol. 1: The Renaissance</w:t>
      </w:r>
      <w:r w:rsidRPr="00AE2C15">
        <w:rPr>
          <w:rFonts w:asciiTheme="majorBidi" w:hAnsiTheme="majorBidi" w:cstheme="majorBidi"/>
          <w:color w:val="000000" w:themeColor="text1"/>
          <w:sz w:val="20"/>
          <w:szCs w:val="20"/>
        </w:rPr>
        <w:t xml:space="preserve"> (Cambridge: Cambridge University Press, 1978), 216–17; James Hankins, </w:t>
      </w:r>
      <w:r w:rsidRPr="00AE2C15">
        <w:rPr>
          <w:rFonts w:asciiTheme="majorBidi" w:hAnsiTheme="majorBidi" w:cstheme="majorBidi"/>
          <w:i/>
          <w:iCs/>
          <w:color w:val="000000" w:themeColor="text1"/>
          <w:sz w:val="20"/>
          <w:szCs w:val="20"/>
        </w:rPr>
        <w:t xml:space="preserve">Virtue Politics: </w:t>
      </w:r>
      <w:proofErr w:type="spellStart"/>
      <w:r w:rsidRPr="00AE2C15">
        <w:rPr>
          <w:rFonts w:asciiTheme="majorBidi" w:hAnsiTheme="majorBidi" w:cstheme="majorBidi"/>
          <w:i/>
          <w:iCs/>
          <w:color w:val="000000" w:themeColor="text1"/>
          <w:sz w:val="20"/>
          <w:szCs w:val="20"/>
        </w:rPr>
        <w:t>Soulcraft</w:t>
      </w:r>
      <w:proofErr w:type="spellEnd"/>
      <w:r w:rsidRPr="00AE2C15">
        <w:rPr>
          <w:rFonts w:asciiTheme="majorBidi" w:hAnsiTheme="majorBidi" w:cstheme="majorBidi"/>
          <w:i/>
          <w:iCs/>
          <w:color w:val="000000" w:themeColor="text1"/>
          <w:sz w:val="20"/>
          <w:szCs w:val="20"/>
        </w:rPr>
        <w:t xml:space="preserve"> and Statecraft in Renaissance Italy</w:t>
      </w:r>
      <w:r w:rsidRPr="00AE2C15">
        <w:rPr>
          <w:rFonts w:asciiTheme="majorBidi" w:hAnsiTheme="majorBidi" w:cstheme="majorBidi"/>
          <w:color w:val="000000" w:themeColor="text1"/>
          <w:sz w:val="20"/>
          <w:szCs w:val="20"/>
        </w:rPr>
        <w:t xml:space="preserve"> (Cambridge, MA: The Belknap Press of Harvard University Press, 2019), 138–41.</w:t>
      </w:r>
    </w:p>
  </w:footnote>
  <w:footnote w:id="46">
    <w:p w14:paraId="50D5C84F" w14:textId="69B08513" w:rsidR="00CD2D30" w:rsidRPr="00AE2C15" w:rsidRDefault="00CD2D30" w:rsidP="00AE2C15">
      <w:pPr>
        <w:autoSpaceDE w:val="0"/>
        <w:autoSpaceDN w:val="0"/>
        <w:adjustRightInd w:val="0"/>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Hiroyuki </w:t>
      </w:r>
      <w:proofErr w:type="spellStart"/>
      <w:r w:rsidRPr="00AE2C15">
        <w:rPr>
          <w:rFonts w:asciiTheme="majorBidi" w:hAnsiTheme="majorBidi" w:cstheme="majorBidi"/>
          <w:color w:val="000000" w:themeColor="text1"/>
          <w:sz w:val="20"/>
          <w:szCs w:val="20"/>
        </w:rPr>
        <w:t>Yanagihashi</w:t>
      </w:r>
      <w:proofErr w:type="spellEnd"/>
      <w:r w:rsidRPr="00AE2C15">
        <w:rPr>
          <w:rFonts w:asciiTheme="majorBidi" w:hAnsiTheme="majorBidi" w:cstheme="majorBidi"/>
          <w:color w:val="000000" w:themeColor="text1"/>
          <w:sz w:val="20"/>
          <w:szCs w:val="20"/>
        </w:rPr>
        <w:t>, “</w:t>
      </w:r>
      <w:proofErr w:type="spellStart"/>
      <w:r w:rsidRPr="00AE2C15">
        <w:rPr>
          <w:rFonts w:asciiTheme="majorBidi" w:hAnsiTheme="majorBidi" w:cstheme="majorBidi"/>
          <w:color w:val="000000" w:themeColor="text1"/>
          <w:sz w:val="20"/>
          <w:szCs w:val="20"/>
        </w:rPr>
        <w:t>Abū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Ḥanīfa</w:t>
      </w:r>
      <w:proofErr w:type="spellEnd"/>
      <w:r w:rsidRPr="00AE2C15">
        <w:rPr>
          <w:rFonts w:asciiTheme="majorBidi" w:hAnsiTheme="majorBidi" w:cstheme="majorBidi"/>
          <w:color w:val="000000" w:themeColor="text1"/>
          <w:sz w:val="20"/>
          <w:szCs w:val="20"/>
        </w:rPr>
        <w:t xml:space="preserve">,” in </w:t>
      </w:r>
      <w:proofErr w:type="spellStart"/>
      <w:r w:rsidRPr="00AE2C15">
        <w:rPr>
          <w:rFonts w:asciiTheme="majorBidi" w:hAnsiTheme="majorBidi" w:cstheme="majorBidi"/>
          <w:i/>
          <w:iCs/>
          <w:color w:val="000000" w:themeColor="text1"/>
          <w:sz w:val="20"/>
          <w:szCs w:val="20"/>
        </w:rPr>
        <w:t>Encyclopaedia</w:t>
      </w:r>
      <w:proofErr w:type="spellEnd"/>
      <w:r w:rsidRPr="00AE2C15">
        <w:rPr>
          <w:rFonts w:asciiTheme="majorBidi" w:hAnsiTheme="majorBidi" w:cstheme="majorBidi"/>
          <w:i/>
          <w:iCs/>
          <w:color w:val="000000" w:themeColor="text1"/>
          <w:sz w:val="20"/>
          <w:szCs w:val="20"/>
        </w:rPr>
        <w:t xml:space="preserve"> of Islam</w:t>
      </w:r>
      <w:r w:rsidRPr="00AE2C15">
        <w:rPr>
          <w:rFonts w:asciiTheme="majorBidi" w:hAnsiTheme="majorBidi" w:cstheme="majorBidi"/>
          <w:color w:val="000000" w:themeColor="text1"/>
          <w:sz w:val="20"/>
          <w:szCs w:val="20"/>
        </w:rPr>
        <w:t>, 3</w:t>
      </w:r>
      <w:r w:rsidRPr="00AE2C15">
        <w:rPr>
          <w:rFonts w:asciiTheme="majorBidi" w:hAnsiTheme="majorBidi" w:cstheme="majorBidi"/>
          <w:color w:val="000000" w:themeColor="text1"/>
          <w:sz w:val="20"/>
          <w:szCs w:val="20"/>
          <w:vertAlign w:val="superscript"/>
        </w:rPr>
        <w:t>rd</w:t>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edn</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Livnat</w:t>
      </w:r>
      <w:proofErr w:type="spellEnd"/>
      <w:r w:rsidRPr="00AE2C15">
        <w:rPr>
          <w:rFonts w:asciiTheme="majorBidi" w:hAnsiTheme="majorBidi" w:cstheme="majorBidi"/>
          <w:color w:val="000000" w:themeColor="text1"/>
          <w:sz w:val="20"/>
          <w:szCs w:val="20"/>
        </w:rPr>
        <w:t xml:space="preserve"> Holtzman, “</w:t>
      </w:r>
      <w:proofErr w:type="spellStart"/>
      <w:r w:rsidRPr="00AE2C15">
        <w:rPr>
          <w:rFonts w:asciiTheme="majorBidi" w:hAnsiTheme="majorBidi" w:cstheme="majorBidi"/>
          <w:color w:val="000000" w:themeColor="text1"/>
          <w:sz w:val="20"/>
          <w:szCs w:val="20"/>
        </w:rPr>
        <w:t>Aḥmad</w:t>
      </w:r>
      <w:proofErr w:type="spellEnd"/>
      <w:r w:rsidRPr="00AE2C15">
        <w:rPr>
          <w:rFonts w:asciiTheme="majorBidi" w:hAnsiTheme="majorBidi" w:cstheme="majorBidi"/>
          <w:color w:val="000000" w:themeColor="text1"/>
          <w:sz w:val="20"/>
          <w:szCs w:val="20"/>
        </w:rPr>
        <w:t xml:space="preserve"> b. </w:t>
      </w:r>
      <w:proofErr w:type="spellStart"/>
      <w:r w:rsidRPr="00AE2C15">
        <w:rPr>
          <w:rFonts w:asciiTheme="majorBidi" w:hAnsiTheme="majorBidi" w:cstheme="majorBidi"/>
          <w:color w:val="000000" w:themeColor="text1"/>
          <w:sz w:val="20"/>
          <w:szCs w:val="20"/>
        </w:rPr>
        <w:t>Ḥanbal</w:t>
      </w:r>
      <w:proofErr w:type="spellEnd"/>
      <w:r w:rsidRPr="00AE2C15">
        <w:rPr>
          <w:rFonts w:asciiTheme="majorBidi" w:hAnsiTheme="majorBidi" w:cstheme="majorBidi"/>
          <w:color w:val="000000" w:themeColor="text1"/>
          <w:sz w:val="20"/>
          <w:szCs w:val="20"/>
        </w:rPr>
        <w:t xml:space="preserve">,” in </w:t>
      </w:r>
      <w:proofErr w:type="spellStart"/>
      <w:r w:rsidRPr="00AE2C15">
        <w:rPr>
          <w:rFonts w:asciiTheme="majorBidi" w:hAnsiTheme="majorBidi" w:cstheme="majorBidi"/>
          <w:i/>
          <w:iCs/>
          <w:color w:val="000000" w:themeColor="text1"/>
          <w:sz w:val="20"/>
          <w:szCs w:val="20"/>
        </w:rPr>
        <w:t>Encyclopaedia</w:t>
      </w:r>
      <w:proofErr w:type="spellEnd"/>
      <w:r w:rsidRPr="00AE2C15">
        <w:rPr>
          <w:rFonts w:asciiTheme="majorBidi" w:hAnsiTheme="majorBidi" w:cstheme="majorBidi"/>
          <w:i/>
          <w:iCs/>
          <w:color w:val="000000" w:themeColor="text1"/>
          <w:sz w:val="20"/>
          <w:szCs w:val="20"/>
        </w:rPr>
        <w:t xml:space="preserve"> of Islam</w:t>
      </w:r>
      <w:r w:rsidRPr="00AE2C15">
        <w:rPr>
          <w:rFonts w:asciiTheme="majorBidi" w:hAnsiTheme="majorBidi" w:cstheme="majorBidi"/>
          <w:color w:val="000000" w:themeColor="text1"/>
          <w:sz w:val="20"/>
          <w:szCs w:val="20"/>
        </w:rPr>
        <w:t>, 3</w:t>
      </w:r>
      <w:r w:rsidRPr="00AE2C15">
        <w:rPr>
          <w:rFonts w:asciiTheme="majorBidi" w:hAnsiTheme="majorBidi" w:cstheme="majorBidi"/>
          <w:color w:val="000000" w:themeColor="text1"/>
          <w:sz w:val="20"/>
          <w:szCs w:val="20"/>
          <w:vertAlign w:val="superscript"/>
        </w:rPr>
        <w:t>rd</w:t>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edn</w:t>
      </w:r>
      <w:proofErr w:type="spellEnd"/>
      <w:r w:rsidRPr="00AE2C15">
        <w:rPr>
          <w:rFonts w:asciiTheme="majorBidi" w:hAnsiTheme="majorBidi" w:cstheme="majorBidi"/>
          <w:color w:val="000000" w:themeColor="text1"/>
          <w:sz w:val="20"/>
          <w:szCs w:val="20"/>
        </w:rPr>
        <w:t xml:space="preserve">. On the refusal of government appointments, especially judgeships, in general, see A. J. </w:t>
      </w:r>
      <w:proofErr w:type="spellStart"/>
      <w:r w:rsidRPr="00AE2C15">
        <w:rPr>
          <w:rFonts w:asciiTheme="majorBidi" w:hAnsiTheme="majorBidi" w:cstheme="majorBidi"/>
          <w:color w:val="000000" w:themeColor="text1"/>
          <w:sz w:val="20"/>
          <w:szCs w:val="20"/>
        </w:rPr>
        <w:t>Wensinck</w:t>
      </w:r>
      <w:proofErr w:type="spellEnd"/>
      <w:r w:rsidRPr="00AE2C15">
        <w:rPr>
          <w:rFonts w:asciiTheme="majorBidi" w:hAnsiTheme="majorBidi" w:cstheme="majorBidi"/>
          <w:color w:val="000000" w:themeColor="text1"/>
          <w:sz w:val="20"/>
          <w:szCs w:val="20"/>
        </w:rPr>
        <w:t xml:space="preserve">, “The Refused Dignity,” in </w:t>
      </w:r>
      <w:r w:rsidRPr="00AE2C15">
        <w:rPr>
          <w:rFonts w:asciiTheme="majorBidi" w:hAnsiTheme="majorBidi" w:cstheme="majorBidi"/>
          <w:i/>
          <w:iCs/>
          <w:color w:val="000000" w:themeColor="text1"/>
          <w:sz w:val="20"/>
          <w:szCs w:val="20"/>
        </w:rPr>
        <w:t>A Volume of Oriental Studies Presented to Edward G. Browne on His 60th Birthday</w:t>
      </w:r>
      <w:r w:rsidRPr="00AE2C15">
        <w:rPr>
          <w:rFonts w:asciiTheme="majorBidi" w:hAnsiTheme="majorBidi" w:cstheme="majorBidi"/>
          <w:color w:val="000000" w:themeColor="text1"/>
          <w:sz w:val="20"/>
          <w:szCs w:val="20"/>
        </w:rPr>
        <w:t xml:space="preserve">, ed. T. W. Arnold and R. A. Nicholson (Cambridge: Cambridge University Press, 1922), 491–99; S. D. </w:t>
      </w:r>
      <w:proofErr w:type="spellStart"/>
      <w:r w:rsidRPr="00AE2C15">
        <w:rPr>
          <w:rFonts w:asciiTheme="majorBidi" w:hAnsiTheme="majorBidi" w:cstheme="majorBidi"/>
          <w:color w:val="000000" w:themeColor="text1"/>
          <w:sz w:val="20"/>
          <w:szCs w:val="20"/>
        </w:rPr>
        <w:t>Goitein</w:t>
      </w:r>
      <w:proofErr w:type="spellEnd"/>
      <w:r w:rsidRPr="00AE2C15">
        <w:rPr>
          <w:rFonts w:asciiTheme="majorBidi" w:hAnsiTheme="majorBidi" w:cstheme="majorBidi"/>
          <w:color w:val="000000" w:themeColor="text1"/>
          <w:sz w:val="20"/>
          <w:szCs w:val="20"/>
        </w:rPr>
        <w:t xml:space="preserve">, “Attitudes Towards Government in Islam and Judaism,” in S.D. </w:t>
      </w:r>
      <w:proofErr w:type="spellStart"/>
      <w:r w:rsidRPr="00AE2C15">
        <w:rPr>
          <w:rFonts w:asciiTheme="majorBidi" w:hAnsiTheme="majorBidi" w:cstheme="majorBidi"/>
          <w:color w:val="000000" w:themeColor="text1"/>
          <w:sz w:val="20"/>
          <w:szCs w:val="20"/>
        </w:rPr>
        <w:t>Goitein</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Studies in Islamic History and Institutions</w:t>
      </w:r>
      <w:r w:rsidRPr="00AE2C15">
        <w:rPr>
          <w:rFonts w:asciiTheme="majorBidi" w:hAnsiTheme="majorBidi" w:cstheme="majorBidi"/>
          <w:color w:val="000000" w:themeColor="text1"/>
          <w:sz w:val="20"/>
          <w:szCs w:val="20"/>
        </w:rPr>
        <w:t xml:space="preserve"> (Leiden: Brill, 1966), 197–213; Zaman, </w:t>
      </w:r>
      <w:r w:rsidRPr="00AE2C15">
        <w:rPr>
          <w:rFonts w:asciiTheme="majorBidi" w:hAnsiTheme="majorBidi" w:cstheme="majorBidi"/>
          <w:i/>
          <w:iCs/>
          <w:color w:val="000000" w:themeColor="text1"/>
          <w:sz w:val="20"/>
          <w:szCs w:val="20"/>
        </w:rPr>
        <w:t>Religion and Politics</w:t>
      </w:r>
      <w:r w:rsidRPr="00AE2C15">
        <w:rPr>
          <w:rFonts w:asciiTheme="majorBidi" w:hAnsiTheme="majorBidi" w:cstheme="majorBidi"/>
          <w:color w:val="000000" w:themeColor="text1"/>
          <w:sz w:val="20"/>
          <w:szCs w:val="20"/>
        </w:rPr>
        <w:t>, 78–80, 153–59.</w:t>
      </w:r>
    </w:p>
  </w:footnote>
  <w:footnote w:id="47">
    <w:p w14:paraId="347257F1" w14:textId="5B619007" w:rsidR="00CD2D30" w:rsidRPr="00AE2C15" w:rsidRDefault="00CD2D30" w:rsidP="00AE2C15">
      <w:pPr>
        <w:pStyle w:val="FootnoteText"/>
        <w:contextualSpacing/>
        <w:rPr>
          <w:rFonts w:asciiTheme="majorBidi" w:hAnsiTheme="majorBidi" w:cstheme="majorBidi"/>
          <w:color w:val="000000" w:themeColor="text1"/>
          <w:sz w:val="20"/>
          <w:szCs w:val="20"/>
        </w:rPr>
      </w:pPr>
      <w:r w:rsidRPr="00AE2C15">
        <w:rPr>
          <w:rStyle w:val="FootnoteReference"/>
          <w:rFonts w:asciiTheme="majorBidi" w:hAnsiTheme="majorBidi" w:cstheme="majorBidi"/>
          <w:color w:val="000000" w:themeColor="text1"/>
          <w:sz w:val="20"/>
          <w:szCs w:val="20"/>
        </w:rPr>
        <w:footnoteRef/>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Ephrat</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A Learned Society</w:t>
      </w:r>
      <w:r w:rsidRPr="00AE2C15">
        <w:rPr>
          <w:rFonts w:asciiTheme="majorBidi" w:hAnsiTheme="majorBidi" w:cstheme="majorBidi"/>
          <w:color w:val="000000" w:themeColor="text1"/>
          <w:sz w:val="20"/>
          <w:szCs w:val="20"/>
        </w:rPr>
        <w:t xml:space="preserve">, 126–36, 138–39; Peacock, </w:t>
      </w:r>
      <w:r w:rsidRPr="00AE2C15">
        <w:rPr>
          <w:rFonts w:asciiTheme="majorBidi" w:hAnsiTheme="majorBidi" w:cstheme="majorBidi"/>
          <w:i/>
          <w:iCs/>
          <w:color w:val="000000" w:themeColor="text1"/>
          <w:sz w:val="20"/>
          <w:szCs w:val="20"/>
        </w:rPr>
        <w:t>The Great Seljuk Empire</w:t>
      </w:r>
      <w:r w:rsidRPr="00AE2C15">
        <w:rPr>
          <w:rFonts w:asciiTheme="majorBidi" w:hAnsiTheme="majorBidi" w:cstheme="majorBidi"/>
          <w:color w:val="000000" w:themeColor="text1"/>
          <w:sz w:val="20"/>
          <w:szCs w:val="20"/>
        </w:rPr>
        <w:t>, 256–58.</w:t>
      </w:r>
    </w:p>
  </w:footnote>
  <w:footnote w:id="48">
    <w:p w14:paraId="067C8D26" w14:textId="015103F7"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Van </w:t>
      </w:r>
      <w:proofErr w:type="spellStart"/>
      <w:r w:rsidRPr="00AE2C15">
        <w:rPr>
          <w:rFonts w:asciiTheme="majorBidi" w:hAnsiTheme="majorBidi" w:cstheme="majorBidi"/>
          <w:color w:val="000000" w:themeColor="text1"/>
          <w:sz w:val="20"/>
          <w:szCs w:val="20"/>
        </w:rPr>
        <w:t>Renterghem</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sz w:val="20"/>
          <w:szCs w:val="20"/>
        </w:rPr>
        <w:t xml:space="preserve">Les élites </w:t>
      </w:r>
      <w:proofErr w:type="spellStart"/>
      <w:r w:rsidRPr="00AE2C15">
        <w:rPr>
          <w:rFonts w:asciiTheme="majorBidi" w:hAnsiTheme="majorBidi" w:cstheme="majorBidi"/>
          <w:i/>
          <w:iCs/>
          <w:sz w:val="20"/>
          <w:szCs w:val="20"/>
        </w:rPr>
        <w:t>bagdadiennes</w:t>
      </w:r>
      <w:proofErr w:type="spellEnd"/>
      <w:r w:rsidRPr="00AE2C15">
        <w:rPr>
          <w:rFonts w:asciiTheme="majorBidi" w:hAnsiTheme="majorBidi" w:cstheme="majorBidi"/>
          <w:sz w:val="20"/>
          <w:szCs w:val="20"/>
        </w:rPr>
        <w:t>, 1:297.</w:t>
      </w:r>
    </w:p>
  </w:footnote>
  <w:footnote w:id="49">
    <w:p w14:paraId="762A7686" w14:textId="77777777"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The term “humanist” here refers strictly to a cultural movement that emerged in thirteenth-century Italy promoting the </w:t>
      </w:r>
      <w:proofErr w:type="spellStart"/>
      <w:r w:rsidRPr="00AE2C15">
        <w:rPr>
          <w:rFonts w:asciiTheme="majorBidi" w:hAnsiTheme="majorBidi" w:cstheme="majorBidi"/>
          <w:i/>
          <w:iCs/>
          <w:color w:val="000000" w:themeColor="text1"/>
          <w:sz w:val="20"/>
          <w:szCs w:val="20"/>
        </w:rPr>
        <w:t>studia</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humanitatis</w:t>
      </w:r>
      <w:proofErr w:type="spellEnd"/>
      <w:r w:rsidRPr="00AE2C15">
        <w:rPr>
          <w:rFonts w:asciiTheme="majorBidi" w:hAnsiTheme="majorBidi" w:cstheme="majorBidi"/>
          <w:color w:val="000000" w:themeColor="text1"/>
          <w:sz w:val="20"/>
          <w:szCs w:val="20"/>
        </w:rPr>
        <w:t xml:space="preserve"> (the humanities). See James Hankins, “Humanism, Scholasticism, and Renaissance Philosophy,” in </w:t>
      </w:r>
      <w:r w:rsidRPr="00AE2C15">
        <w:rPr>
          <w:rFonts w:asciiTheme="majorBidi" w:hAnsiTheme="majorBidi" w:cstheme="majorBidi"/>
          <w:i/>
          <w:iCs/>
          <w:color w:val="000000" w:themeColor="text1"/>
          <w:sz w:val="20"/>
          <w:szCs w:val="20"/>
        </w:rPr>
        <w:t>The Cambridge Companion to Renaissance Philosophy</w:t>
      </w:r>
      <w:r w:rsidRPr="00AE2C15">
        <w:rPr>
          <w:rFonts w:asciiTheme="majorBidi" w:hAnsiTheme="majorBidi" w:cstheme="majorBidi"/>
          <w:color w:val="000000" w:themeColor="text1"/>
          <w:sz w:val="20"/>
          <w:szCs w:val="20"/>
        </w:rPr>
        <w:t>, ed. James Hankins (New York: Cambridge University Press, 2007), 30–48.</w:t>
      </w:r>
    </w:p>
  </w:footnote>
  <w:footnote w:id="50">
    <w:p w14:paraId="7216D3BB" w14:textId="2796687B"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Hankins, </w:t>
      </w:r>
      <w:r w:rsidRPr="00AE2C15">
        <w:rPr>
          <w:rFonts w:asciiTheme="majorBidi" w:hAnsiTheme="majorBidi" w:cstheme="majorBidi"/>
          <w:i/>
          <w:iCs/>
          <w:color w:val="000000" w:themeColor="text1"/>
          <w:sz w:val="20"/>
          <w:szCs w:val="20"/>
        </w:rPr>
        <w:t>Virtue Politics</w:t>
      </w:r>
      <w:r w:rsidRPr="00AE2C15">
        <w:rPr>
          <w:rFonts w:asciiTheme="majorBidi" w:hAnsiTheme="majorBidi" w:cstheme="majorBidi"/>
          <w:color w:val="000000" w:themeColor="text1"/>
          <w:sz w:val="20"/>
          <w:szCs w:val="20"/>
        </w:rPr>
        <w:t>, 37. The contours of virtue politics are outlined in ibid., 31–62.</w:t>
      </w:r>
    </w:p>
  </w:footnote>
  <w:footnote w:id="51">
    <w:p w14:paraId="67E9798F" w14:textId="7A36B5FE"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On the role of eloquence in humanist political thought, see ibid., 21–23, 47–52.</w:t>
      </w:r>
    </w:p>
  </w:footnote>
  <w:footnote w:id="52">
    <w:p w14:paraId="45335E8F" w14:textId="15368511"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Ibid., 495–514. On the role of the scholars or literati in Chinese political thought, see </w:t>
      </w:r>
      <w:proofErr w:type="spellStart"/>
      <w:r w:rsidRPr="00AE2C15">
        <w:rPr>
          <w:rFonts w:asciiTheme="majorBidi" w:hAnsiTheme="majorBidi" w:cstheme="majorBidi"/>
          <w:color w:val="000000" w:themeColor="text1"/>
          <w:sz w:val="20"/>
          <w:szCs w:val="20"/>
        </w:rPr>
        <w:t>Youngmin</w:t>
      </w:r>
      <w:proofErr w:type="spellEnd"/>
      <w:r w:rsidRPr="00AE2C15">
        <w:rPr>
          <w:rFonts w:asciiTheme="majorBidi" w:hAnsiTheme="majorBidi" w:cstheme="majorBidi"/>
          <w:color w:val="000000" w:themeColor="text1"/>
          <w:sz w:val="20"/>
          <w:szCs w:val="20"/>
        </w:rPr>
        <w:t xml:space="preserve"> Kim, </w:t>
      </w:r>
      <w:r w:rsidRPr="00AE2C15">
        <w:rPr>
          <w:rFonts w:asciiTheme="majorBidi" w:hAnsiTheme="majorBidi" w:cstheme="majorBidi"/>
          <w:i/>
          <w:iCs/>
          <w:color w:val="000000" w:themeColor="text1"/>
          <w:sz w:val="20"/>
          <w:szCs w:val="20"/>
        </w:rPr>
        <w:t>A History of Chinese Political Thought</w:t>
      </w:r>
      <w:r w:rsidRPr="00AE2C15">
        <w:rPr>
          <w:rFonts w:asciiTheme="majorBidi" w:hAnsiTheme="majorBidi" w:cstheme="majorBidi"/>
          <w:color w:val="000000" w:themeColor="text1"/>
          <w:sz w:val="20"/>
          <w:szCs w:val="20"/>
        </w:rPr>
        <w:t xml:space="preserve"> (Cambridge: Polity Press, 2018), 37–41, 63–65, 118–24, 165–67.</w:t>
      </w:r>
    </w:p>
  </w:footnote>
  <w:footnote w:id="53">
    <w:p w14:paraId="436C5746" w14:textId="3F3850A4"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Merlin Swartz has argued that the term “humanist” can be applied to Ibn al-</w:t>
      </w:r>
      <w:proofErr w:type="spellStart"/>
      <w:r w:rsidRPr="00AE2C15">
        <w:rPr>
          <w:rFonts w:asciiTheme="majorBidi" w:hAnsiTheme="majorBidi" w:cstheme="majorBidi"/>
          <w:sz w:val="20"/>
          <w:szCs w:val="20"/>
        </w:rPr>
        <w:t>Jawzī</w:t>
      </w:r>
      <w:proofErr w:type="spellEnd"/>
      <w:r w:rsidRPr="00AE2C15">
        <w:rPr>
          <w:rFonts w:asciiTheme="majorBidi" w:hAnsiTheme="majorBidi" w:cstheme="majorBidi"/>
          <w:sz w:val="20"/>
          <w:szCs w:val="20"/>
        </w:rPr>
        <w:t xml:space="preserve"> on the basis of the “multidisciplinary perspective” displayed in his homilies and the fact that the disciplines he drew from—religion, literature, grammar, moral philosophy, and history—overlapped significantly with the subjects of the </w:t>
      </w:r>
      <w:proofErr w:type="spellStart"/>
      <w:r w:rsidRPr="00AE2C15">
        <w:rPr>
          <w:rFonts w:asciiTheme="majorBidi" w:hAnsiTheme="majorBidi" w:cstheme="majorBidi"/>
          <w:i/>
          <w:iCs/>
          <w:sz w:val="20"/>
          <w:szCs w:val="20"/>
        </w:rPr>
        <w:t>studia</w:t>
      </w:r>
      <w:proofErr w:type="spellEnd"/>
      <w:r w:rsidRPr="00AE2C15">
        <w:rPr>
          <w:rFonts w:asciiTheme="majorBidi" w:hAnsiTheme="majorBidi" w:cstheme="majorBidi"/>
          <w:i/>
          <w:iCs/>
          <w:sz w:val="20"/>
          <w:szCs w:val="20"/>
        </w:rPr>
        <w:t xml:space="preserve"> </w:t>
      </w:r>
      <w:proofErr w:type="spellStart"/>
      <w:r w:rsidRPr="00AE2C15">
        <w:rPr>
          <w:rFonts w:asciiTheme="majorBidi" w:hAnsiTheme="majorBidi" w:cstheme="majorBidi"/>
          <w:i/>
          <w:iCs/>
          <w:sz w:val="20"/>
          <w:szCs w:val="20"/>
        </w:rPr>
        <w:t>humanitatis</w:t>
      </w:r>
      <w:proofErr w:type="spellEnd"/>
      <w:r w:rsidRPr="00AE2C15">
        <w:rPr>
          <w:rFonts w:asciiTheme="majorBidi" w:hAnsiTheme="majorBidi" w:cstheme="majorBidi"/>
          <w:sz w:val="20"/>
          <w:szCs w:val="20"/>
        </w:rPr>
        <w:t xml:space="preserve">. See </w:t>
      </w:r>
      <w:r w:rsidRPr="00AE2C15">
        <w:rPr>
          <w:rFonts w:asciiTheme="majorBidi" w:hAnsiTheme="majorBidi" w:cstheme="majorBidi"/>
          <w:color w:val="000000" w:themeColor="text1"/>
          <w:sz w:val="20"/>
          <w:szCs w:val="20"/>
        </w:rPr>
        <w:t xml:space="preserve">Merlin Swartz, “Arabic Rhetoric and the Art of the Homily in Medieval Islam,” in </w:t>
      </w:r>
      <w:r w:rsidRPr="00AE2C15">
        <w:rPr>
          <w:rFonts w:asciiTheme="majorBidi" w:hAnsiTheme="majorBidi" w:cstheme="majorBidi"/>
          <w:i/>
          <w:iCs/>
          <w:color w:val="000000" w:themeColor="text1"/>
          <w:sz w:val="20"/>
          <w:szCs w:val="20"/>
        </w:rPr>
        <w:t>Religion and Culture in Medieval Islam</w:t>
      </w:r>
      <w:r w:rsidRPr="00AE2C15">
        <w:rPr>
          <w:rFonts w:asciiTheme="majorBidi" w:hAnsiTheme="majorBidi" w:cstheme="majorBidi"/>
          <w:color w:val="000000" w:themeColor="text1"/>
          <w:sz w:val="20"/>
          <w:szCs w:val="20"/>
        </w:rPr>
        <w:t xml:space="preserve">, ed. Richard Hovannisian and Georges </w:t>
      </w:r>
      <w:proofErr w:type="spellStart"/>
      <w:r w:rsidRPr="00AE2C15">
        <w:rPr>
          <w:rFonts w:asciiTheme="majorBidi" w:hAnsiTheme="majorBidi" w:cstheme="majorBidi"/>
          <w:color w:val="000000" w:themeColor="text1"/>
          <w:sz w:val="20"/>
          <w:szCs w:val="20"/>
        </w:rPr>
        <w:t>Sabagh</w:t>
      </w:r>
      <w:proofErr w:type="spellEnd"/>
      <w:r w:rsidRPr="00AE2C15">
        <w:rPr>
          <w:rFonts w:asciiTheme="majorBidi" w:hAnsiTheme="majorBidi" w:cstheme="majorBidi"/>
          <w:color w:val="000000" w:themeColor="text1"/>
          <w:sz w:val="20"/>
          <w:szCs w:val="20"/>
        </w:rPr>
        <w:t xml:space="preserve"> (Cambridge: Cambridge University Press, 1999), 39–40, 57 n. 29, and 58 n. 33. </w:t>
      </w:r>
      <w:r>
        <w:rPr>
          <w:rFonts w:asciiTheme="majorBidi" w:hAnsiTheme="majorBidi" w:cstheme="majorBidi"/>
          <w:color w:val="000000" w:themeColor="text1"/>
          <w:sz w:val="20"/>
          <w:szCs w:val="20"/>
        </w:rPr>
        <w:t xml:space="preserve">On this subject, </w:t>
      </w:r>
      <w:r w:rsidRPr="00AE2C15">
        <w:rPr>
          <w:rFonts w:asciiTheme="majorBidi" w:hAnsiTheme="majorBidi" w:cstheme="majorBidi"/>
          <w:color w:val="000000" w:themeColor="text1"/>
          <w:sz w:val="20"/>
          <w:szCs w:val="20"/>
        </w:rPr>
        <w:t xml:space="preserve">Swartz </w:t>
      </w:r>
      <w:r>
        <w:rPr>
          <w:rFonts w:asciiTheme="majorBidi" w:hAnsiTheme="majorBidi" w:cstheme="majorBidi"/>
          <w:color w:val="000000" w:themeColor="text1"/>
          <w:sz w:val="20"/>
          <w:szCs w:val="20"/>
        </w:rPr>
        <w:t>takes his</w:t>
      </w:r>
      <w:r w:rsidRPr="00AE2C15">
        <w:rPr>
          <w:rFonts w:asciiTheme="majorBidi" w:hAnsiTheme="majorBidi" w:cstheme="majorBidi"/>
          <w:color w:val="000000" w:themeColor="text1"/>
          <w:sz w:val="20"/>
          <w:szCs w:val="20"/>
        </w:rPr>
        <w:t xml:space="preserve"> cue from George </w:t>
      </w:r>
      <w:proofErr w:type="spellStart"/>
      <w:r w:rsidRPr="00AE2C15">
        <w:rPr>
          <w:rFonts w:asciiTheme="majorBidi" w:hAnsiTheme="majorBidi" w:cstheme="majorBidi"/>
          <w:color w:val="000000" w:themeColor="text1"/>
          <w:sz w:val="20"/>
          <w:szCs w:val="20"/>
        </w:rPr>
        <w:t>Makdisi’s</w:t>
      </w:r>
      <w:proofErr w:type="spellEnd"/>
      <w:r w:rsidRPr="00AE2C15">
        <w:rPr>
          <w:rFonts w:asciiTheme="majorBidi" w:hAnsiTheme="majorBidi" w:cstheme="majorBidi"/>
          <w:color w:val="000000" w:themeColor="text1"/>
          <w:sz w:val="20"/>
          <w:szCs w:val="20"/>
        </w:rPr>
        <w:t xml:space="preserve"> scholarship </w:t>
      </w:r>
      <w:r>
        <w:rPr>
          <w:rFonts w:asciiTheme="majorBidi" w:hAnsiTheme="majorBidi" w:cstheme="majorBidi"/>
          <w:color w:val="000000" w:themeColor="text1"/>
          <w:sz w:val="20"/>
          <w:szCs w:val="20"/>
        </w:rPr>
        <w:t>which argues that</w:t>
      </w:r>
      <w:r w:rsidRPr="00AE2C15">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 xml:space="preserve">the intellectual trends of </w:t>
      </w:r>
      <w:r w:rsidRPr="00AE2C15">
        <w:rPr>
          <w:rFonts w:asciiTheme="majorBidi" w:hAnsiTheme="majorBidi" w:cstheme="majorBidi"/>
          <w:color w:val="000000" w:themeColor="text1"/>
          <w:sz w:val="20"/>
          <w:szCs w:val="20"/>
        </w:rPr>
        <w:t>scholasticism and humanism</w:t>
      </w:r>
      <w:r>
        <w:rPr>
          <w:rFonts w:asciiTheme="majorBidi" w:hAnsiTheme="majorBidi" w:cstheme="majorBidi"/>
          <w:color w:val="000000" w:themeColor="text1"/>
          <w:sz w:val="20"/>
          <w:szCs w:val="20"/>
        </w:rPr>
        <w:t xml:space="preserve"> in Europe can actually trace their origins to the medieval Islamic Middle East</w:t>
      </w:r>
      <w:r w:rsidRPr="00AE2C15">
        <w:rPr>
          <w:rFonts w:asciiTheme="majorBidi" w:hAnsiTheme="majorBidi" w:cstheme="majorBidi"/>
          <w:color w:val="000000" w:themeColor="text1"/>
          <w:sz w:val="20"/>
          <w:szCs w:val="20"/>
        </w:rPr>
        <w:t xml:space="preserve">. See George </w:t>
      </w:r>
      <w:proofErr w:type="spellStart"/>
      <w:r w:rsidRPr="00AE2C15">
        <w:rPr>
          <w:rFonts w:asciiTheme="majorBidi" w:hAnsiTheme="majorBidi" w:cstheme="majorBidi"/>
          <w:color w:val="000000" w:themeColor="text1"/>
          <w:sz w:val="20"/>
          <w:szCs w:val="20"/>
        </w:rPr>
        <w:t>Makdisi</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The Rise of Humanism in Classical Islam and the Christian West, with Special Reference to Scholasticism</w:t>
      </w:r>
      <w:r w:rsidRPr="00AE2C15">
        <w:rPr>
          <w:rFonts w:asciiTheme="majorBidi" w:hAnsiTheme="majorBidi" w:cstheme="majorBidi"/>
          <w:color w:val="000000" w:themeColor="text1"/>
          <w:sz w:val="20"/>
          <w:szCs w:val="20"/>
        </w:rPr>
        <w:t xml:space="preserve"> (Edinburgh: Edinburgh University Press, 1990), especially 173–93 on </w:t>
      </w:r>
      <w:proofErr w:type="spellStart"/>
      <w:r w:rsidRPr="00AE2C15">
        <w:rPr>
          <w:rFonts w:asciiTheme="majorBidi" w:hAnsiTheme="majorBidi" w:cstheme="majorBidi"/>
          <w:i/>
          <w:iCs/>
          <w:color w:val="000000" w:themeColor="text1"/>
          <w:sz w:val="20"/>
          <w:szCs w:val="20"/>
        </w:rPr>
        <w:t>waʿẓ</w:t>
      </w:r>
      <w:proofErr w:type="spellEnd"/>
      <w:r w:rsidRPr="00AE2C15">
        <w:rPr>
          <w:rFonts w:asciiTheme="majorBidi" w:hAnsiTheme="majorBidi" w:cstheme="majorBidi"/>
          <w:color w:val="000000" w:themeColor="text1"/>
          <w:sz w:val="20"/>
          <w:szCs w:val="20"/>
        </w:rPr>
        <w:t xml:space="preserve"> (rendered as “academic sermon”) as a genre of Muslim moral philosophy; idem, “Scholasticism and Humanism in Classical Islam and the Christian West,” </w:t>
      </w:r>
      <w:r w:rsidRPr="00AE2C15">
        <w:rPr>
          <w:rFonts w:asciiTheme="majorBidi" w:hAnsiTheme="majorBidi" w:cstheme="majorBidi"/>
          <w:i/>
          <w:iCs/>
          <w:color w:val="000000" w:themeColor="text1"/>
          <w:sz w:val="20"/>
          <w:szCs w:val="20"/>
        </w:rPr>
        <w:t>Journal of the American Oriental Society</w:t>
      </w:r>
      <w:r w:rsidRPr="00AE2C15">
        <w:rPr>
          <w:rFonts w:asciiTheme="majorBidi" w:hAnsiTheme="majorBidi" w:cstheme="majorBidi"/>
          <w:color w:val="000000" w:themeColor="text1"/>
          <w:sz w:val="20"/>
          <w:szCs w:val="20"/>
        </w:rPr>
        <w:t xml:space="preserve"> 109, no. 2 (1989): 175–82.</w:t>
      </w:r>
    </w:p>
  </w:footnote>
  <w:footnote w:id="54">
    <w:p w14:paraId="0F653ECF" w14:textId="7E28478C"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Hankins, </w:t>
      </w:r>
      <w:r w:rsidRPr="00AE2C15">
        <w:rPr>
          <w:rFonts w:asciiTheme="majorBidi" w:hAnsiTheme="majorBidi" w:cstheme="majorBidi"/>
          <w:i/>
          <w:iCs/>
          <w:color w:val="000000" w:themeColor="text1"/>
          <w:sz w:val="20"/>
          <w:szCs w:val="20"/>
        </w:rPr>
        <w:t>Virtue Politics</w:t>
      </w:r>
      <w:r w:rsidRPr="00AE2C15">
        <w:rPr>
          <w:rFonts w:asciiTheme="majorBidi" w:hAnsiTheme="majorBidi" w:cstheme="majorBidi"/>
          <w:color w:val="000000" w:themeColor="text1"/>
          <w:sz w:val="20"/>
          <w:szCs w:val="20"/>
        </w:rPr>
        <w:t>, 536 n. 52.</w:t>
      </w:r>
    </w:p>
  </w:footnote>
  <w:footnote w:id="55">
    <w:p w14:paraId="61CA8CA4" w14:textId="1B53C541"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Swartz, “Arabic Rhetoric and the Art of the Homily,” 40 and 56 n. 26. See also Chapter 4.</w:t>
      </w:r>
    </w:p>
  </w:footnote>
  <w:footnote w:id="56">
    <w:p w14:paraId="4CE032C7" w14:textId="4481E055"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sz w:val="20"/>
          <w:szCs w:val="20"/>
        </w:rPr>
        <w:t>ʿAṭf</w:t>
      </w:r>
      <w:proofErr w:type="spellEnd"/>
      <w:r w:rsidRPr="00AE2C15">
        <w:rPr>
          <w:rFonts w:asciiTheme="majorBidi" w:hAnsiTheme="majorBidi" w:cstheme="majorBidi"/>
          <w:i/>
          <w:iCs/>
          <w:sz w:val="20"/>
          <w:szCs w:val="20"/>
        </w:rPr>
        <w:t xml:space="preserve"> al-</w:t>
      </w:r>
      <w:proofErr w:type="spellStart"/>
      <w:r w:rsidRPr="00AE2C15">
        <w:rPr>
          <w:rFonts w:asciiTheme="majorBidi" w:hAnsiTheme="majorBidi" w:cstheme="majorBidi"/>
          <w:i/>
          <w:iCs/>
          <w:sz w:val="20"/>
          <w:szCs w:val="20"/>
        </w:rPr>
        <w:t>ʿulamāʾ</w:t>
      </w:r>
      <w:proofErr w:type="spellEnd"/>
      <w:r w:rsidRPr="00AE2C15">
        <w:rPr>
          <w:rFonts w:asciiTheme="majorBidi" w:hAnsiTheme="majorBidi" w:cstheme="majorBidi"/>
          <w:i/>
          <w:iCs/>
          <w:sz w:val="20"/>
          <w:szCs w:val="20"/>
        </w:rPr>
        <w:t xml:space="preserve"> </w:t>
      </w:r>
      <w:proofErr w:type="spellStart"/>
      <w:r w:rsidRPr="00AE2C15">
        <w:rPr>
          <w:rFonts w:asciiTheme="majorBidi" w:hAnsiTheme="majorBidi" w:cstheme="majorBidi"/>
          <w:i/>
          <w:iCs/>
          <w:sz w:val="20"/>
          <w:szCs w:val="20"/>
        </w:rPr>
        <w:t>ʿalā</w:t>
      </w:r>
      <w:proofErr w:type="spellEnd"/>
      <w:r w:rsidRPr="00AE2C15">
        <w:rPr>
          <w:rFonts w:asciiTheme="majorBidi" w:hAnsiTheme="majorBidi" w:cstheme="majorBidi"/>
          <w:i/>
          <w:iCs/>
          <w:sz w:val="20"/>
          <w:szCs w:val="20"/>
        </w:rPr>
        <w:t xml:space="preserve"> al-</w:t>
      </w:r>
      <w:proofErr w:type="spellStart"/>
      <w:r w:rsidRPr="00AE2C15">
        <w:rPr>
          <w:rFonts w:asciiTheme="majorBidi" w:hAnsiTheme="majorBidi" w:cstheme="majorBidi"/>
          <w:i/>
          <w:iCs/>
          <w:sz w:val="20"/>
          <w:szCs w:val="20"/>
        </w:rPr>
        <w:t>umarāʾ</w:t>
      </w:r>
      <w:proofErr w:type="spellEnd"/>
      <w:r w:rsidRPr="00AE2C15">
        <w:rPr>
          <w:rFonts w:asciiTheme="majorBidi" w:hAnsiTheme="majorBidi" w:cstheme="majorBidi"/>
          <w:i/>
          <w:iCs/>
          <w:sz w:val="20"/>
          <w:szCs w:val="20"/>
        </w:rPr>
        <w:t xml:space="preserve"> </w:t>
      </w:r>
      <w:proofErr w:type="spellStart"/>
      <w:r w:rsidRPr="00AE2C15">
        <w:rPr>
          <w:rFonts w:asciiTheme="majorBidi" w:hAnsiTheme="majorBidi" w:cstheme="majorBidi"/>
          <w:i/>
          <w:iCs/>
          <w:sz w:val="20"/>
          <w:szCs w:val="20"/>
        </w:rPr>
        <w:t>wa</w:t>
      </w:r>
      <w:proofErr w:type="spellEnd"/>
      <w:r w:rsidRPr="00AE2C15">
        <w:rPr>
          <w:rFonts w:asciiTheme="majorBidi" w:hAnsiTheme="majorBidi" w:cstheme="majorBidi"/>
          <w:i/>
          <w:iCs/>
          <w:sz w:val="20"/>
          <w:szCs w:val="20"/>
        </w:rPr>
        <w:t>-l-</w:t>
      </w:r>
      <w:proofErr w:type="spellStart"/>
      <w:r w:rsidRPr="00AE2C15">
        <w:rPr>
          <w:rFonts w:asciiTheme="majorBidi" w:hAnsiTheme="majorBidi" w:cstheme="majorBidi"/>
          <w:i/>
          <w:iCs/>
          <w:sz w:val="20"/>
          <w:szCs w:val="20"/>
        </w:rPr>
        <w:t>umarāʾ</w:t>
      </w:r>
      <w:proofErr w:type="spellEnd"/>
      <w:r w:rsidRPr="00AE2C15">
        <w:rPr>
          <w:rFonts w:asciiTheme="majorBidi" w:hAnsiTheme="majorBidi" w:cstheme="majorBidi"/>
          <w:i/>
          <w:iCs/>
          <w:sz w:val="20"/>
          <w:szCs w:val="20"/>
        </w:rPr>
        <w:t xml:space="preserve"> </w:t>
      </w:r>
      <w:proofErr w:type="spellStart"/>
      <w:r w:rsidRPr="00AE2C15">
        <w:rPr>
          <w:rFonts w:asciiTheme="majorBidi" w:hAnsiTheme="majorBidi" w:cstheme="majorBidi"/>
          <w:i/>
          <w:iCs/>
          <w:sz w:val="20"/>
          <w:szCs w:val="20"/>
        </w:rPr>
        <w:t>ʿalā</w:t>
      </w:r>
      <w:proofErr w:type="spellEnd"/>
      <w:r w:rsidRPr="00AE2C15">
        <w:rPr>
          <w:rFonts w:asciiTheme="majorBidi" w:hAnsiTheme="majorBidi" w:cstheme="majorBidi"/>
          <w:i/>
          <w:iCs/>
          <w:sz w:val="20"/>
          <w:szCs w:val="20"/>
        </w:rPr>
        <w:t xml:space="preserve"> al-</w:t>
      </w:r>
      <w:proofErr w:type="spellStart"/>
      <w:r w:rsidRPr="00AE2C15">
        <w:rPr>
          <w:rFonts w:asciiTheme="majorBidi" w:hAnsiTheme="majorBidi" w:cstheme="majorBidi"/>
          <w:i/>
          <w:iCs/>
          <w:sz w:val="20"/>
          <w:szCs w:val="20"/>
        </w:rPr>
        <w:t>ʿulamāʾ</w:t>
      </w:r>
      <w:proofErr w:type="spellEnd"/>
      <w:r w:rsidRPr="00AE2C15">
        <w:rPr>
          <w:rFonts w:asciiTheme="majorBidi" w:hAnsiTheme="majorBidi" w:cstheme="majorBidi"/>
          <w:sz w:val="20"/>
          <w:szCs w:val="20"/>
        </w:rPr>
        <w:t xml:space="preserve">, ed. </w:t>
      </w:r>
      <w:proofErr w:type="spellStart"/>
      <w:r w:rsidRPr="00AE2C15">
        <w:rPr>
          <w:rFonts w:asciiTheme="majorBidi" w:hAnsiTheme="majorBidi" w:cstheme="majorBidi"/>
          <w:sz w:val="20"/>
          <w:szCs w:val="20"/>
        </w:rPr>
        <w:t>Ibrāhīm</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sz w:val="20"/>
          <w:szCs w:val="20"/>
        </w:rPr>
        <w:t>Bājis</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sz w:val="20"/>
          <w:szCs w:val="20"/>
        </w:rPr>
        <w:t>ʿAbd</w:t>
      </w:r>
      <w:proofErr w:type="spellEnd"/>
      <w:r w:rsidRPr="00AE2C15">
        <w:rPr>
          <w:rFonts w:asciiTheme="majorBidi" w:hAnsiTheme="majorBidi" w:cstheme="majorBidi"/>
          <w:sz w:val="20"/>
          <w:szCs w:val="20"/>
        </w:rPr>
        <w:t xml:space="preserve"> al-</w:t>
      </w:r>
      <w:proofErr w:type="spellStart"/>
      <w:r w:rsidRPr="00AE2C15">
        <w:rPr>
          <w:rFonts w:asciiTheme="majorBidi" w:hAnsiTheme="majorBidi" w:cstheme="majorBidi"/>
          <w:sz w:val="20"/>
          <w:szCs w:val="20"/>
        </w:rPr>
        <w:t>Majīd</w:t>
      </w:r>
      <w:proofErr w:type="spellEnd"/>
      <w:r w:rsidRPr="00AE2C15">
        <w:rPr>
          <w:rFonts w:asciiTheme="majorBidi" w:hAnsiTheme="majorBidi" w:cstheme="majorBidi"/>
          <w:sz w:val="20"/>
          <w:szCs w:val="20"/>
        </w:rPr>
        <w:t xml:space="preserve"> (Riyadh: </w:t>
      </w:r>
      <w:proofErr w:type="spellStart"/>
      <w:r w:rsidRPr="00AE2C15">
        <w:rPr>
          <w:rFonts w:asciiTheme="majorBidi" w:hAnsiTheme="majorBidi" w:cstheme="majorBidi"/>
          <w:sz w:val="20"/>
          <w:szCs w:val="20"/>
        </w:rPr>
        <w:t>Ibrāhīm</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sz w:val="20"/>
          <w:szCs w:val="20"/>
        </w:rPr>
        <w:t>Bājis</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sz w:val="20"/>
          <w:szCs w:val="20"/>
        </w:rPr>
        <w:t>ʿAbd</w:t>
      </w:r>
      <w:proofErr w:type="spellEnd"/>
      <w:r w:rsidRPr="00AE2C15">
        <w:rPr>
          <w:rFonts w:asciiTheme="majorBidi" w:hAnsiTheme="majorBidi" w:cstheme="majorBidi"/>
          <w:sz w:val="20"/>
          <w:szCs w:val="20"/>
        </w:rPr>
        <w:t xml:space="preserve"> al-</w:t>
      </w:r>
      <w:proofErr w:type="spellStart"/>
      <w:r w:rsidRPr="00AE2C15">
        <w:rPr>
          <w:rFonts w:asciiTheme="majorBidi" w:hAnsiTheme="majorBidi" w:cstheme="majorBidi"/>
          <w:sz w:val="20"/>
          <w:szCs w:val="20"/>
        </w:rPr>
        <w:t>Majīd</w:t>
      </w:r>
      <w:proofErr w:type="spellEnd"/>
      <w:r w:rsidRPr="00AE2C15">
        <w:rPr>
          <w:rFonts w:asciiTheme="majorBidi" w:hAnsiTheme="majorBidi" w:cstheme="majorBidi"/>
          <w:sz w:val="20"/>
          <w:szCs w:val="20"/>
        </w:rPr>
        <w:t>, 2006), 29.</w:t>
      </w:r>
    </w:p>
  </w:footnote>
  <w:footnote w:id="57">
    <w:p w14:paraId="65F5B217" w14:textId="46F1170F"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See Chapter 3.</w:t>
      </w:r>
    </w:p>
  </w:footnote>
  <w:footnote w:id="58">
    <w:p w14:paraId="2841DF0B" w14:textId="108D5DB6"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proofErr w:type="spellStart"/>
      <w:r w:rsidRPr="00AE2C15">
        <w:rPr>
          <w:rFonts w:asciiTheme="majorBidi" w:hAnsiTheme="majorBidi" w:cstheme="majorBidi"/>
          <w:color w:val="000000" w:themeColor="text1"/>
          <w:sz w:val="20"/>
          <w:szCs w:val="20"/>
        </w:rPr>
        <w:t>Ovamir</w:t>
      </w:r>
      <w:proofErr w:type="spellEnd"/>
      <w:r w:rsidRPr="00AE2C15">
        <w:rPr>
          <w:rFonts w:asciiTheme="majorBidi" w:hAnsiTheme="majorBidi" w:cstheme="majorBidi"/>
          <w:color w:val="000000" w:themeColor="text1"/>
          <w:sz w:val="20"/>
          <w:szCs w:val="20"/>
        </w:rPr>
        <w:t xml:space="preserve"> Anjum, “Political Metaphors and Concepts in the Writings of an Eleventh-Century Sunni Scholar, </w:t>
      </w:r>
      <w:proofErr w:type="spellStart"/>
      <w:r w:rsidRPr="00AE2C15">
        <w:rPr>
          <w:rFonts w:asciiTheme="majorBidi" w:hAnsiTheme="majorBidi" w:cstheme="majorBidi"/>
          <w:color w:val="000000" w:themeColor="text1"/>
          <w:sz w:val="20"/>
          <w:szCs w:val="20"/>
        </w:rPr>
        <w:t>Abū</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Maʿālī</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Juwaynī</w:t>
      </w:r>
      <w:proofErr w:type="spellEnd"/>
      <w:r w:rsidRPr="00AE2C15">
        <w:rPr>
          <w:rFonts w:asciiTheme="majorBidi" w:hAnsiTheme="majorBidi" w:cstheme="majorBidi"/>
          <w:color w:val="000000" w:themeColor="text1"/>
          <w:sz w:val="20"/>
          <w:szCs w:val="20"/>
        </w:rPr>
        <w:t xml:space="preserve"> (419–478/1028–1085),” </w:t>
      </w:r>
      <w:r w:rsidRPr="00AE2C15">
        <w:rPr>
          <w:rFonts w:asciiTheme="majorBidi" w:hAnsiTheme="majorBidi" w:cstheme="majorBidi"/>
          <w:i/>
          <w:color w:val="000000" w:themeColor="text1"/>
          <w:sz w:val="20"/>
          <w:szCs w:val="20"/>
        </w:rPr>
        <w:t>Journal of the Royal Asiatic Society</w:t>
      </w:r>
      <w:r w:rsidRPr="00AE2C15">
        <w:rPr>
          <w:rFonts w:asciiTheme="majorBidi" w:hAnsiTheme="majorBidi" w:cstheme="majorBidi"/>
          <w:color w:val="000000" w:themeColor="text1"/>
          <w:sz w:val="20"/>
          <w:szCs w:val="20"/>
        </w:rPr>
        <w:t xml:space="preserve"> 26, no. 1–2 (2016): 15.</w:t>
      </w:r>
    </w:p>
  </w:footnote>
  <w:footnote w:id="59">
    <w:p w14:paraId="77BE2585" w14:textId="6C6B9781"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For a similar skeptical view of the court among certain circles of humanists, see Hankins, </w:t>
      </w:r>
      <w:r w:rsidRPr="00AE2C15">
        <w:rPr>
          <w:rFonts w:asciiTheme="majorBidi" w:hAnsiTheme="majorBidi" w:cstheme="majorBidi"/>
          <w:i/>
          <w:iCs/>
          <w:color w:val="000000" w:themeColor="text1"/>
          <w:sz w:val="20"/>
          <w:szCs w:val="20"/>
        </w:rPr>
        <w:t>Virtue Politics</w:t>
      </w:r>
      <w:r w:rsidRPr="00AE2C15">
        <w:rPr>
          <w:rFonts w:asciiTheme="majorBidi" w:hAnsiTheme="majorBidi" w:cstheme="majorBidi"/>
          <w:color w:val="000000" w:themeColor="text1"/>
          <w:sz w:val="20"/>
          <w:szCs w:val="20"/>
        </w:rPr>
        <w:t>, 138–41.</w:t>
      </w:r>
    </w:p>
  </w:footnote>
  <w:footnote w:id="60">
    <w:p w14:paraId="3BB8EA16" w14:textId="5177E03C"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Talbīs</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Iblīs</w:t>
      </w:r>
      <w:proofErr w:type="spellEnd"/>
      <w:r w:rsidRPr="00AE2C15">
        <w:rPr>
          <w:rFonts w:asciiTheme="majorBidi" w:hAnsiTheme="majorBidi" w:cstheme="majorBidi"/>
          <w:color w:val="000000" w:themeColor="text1"/>
          <w:sz w:val="20"/>
          <w:szCs w:val="20"/>
        </w:rPr>
        <w:t>, 175.</w:t>
      </w:r>
    </w:p>
  </w:footnote>
  <w:footnote w:id="61">
    <w:p w14:paraId="7FCF6F98" w14:textId="6EA969E4"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Ṣayd</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khāṭir</w:t>
      </w:r>
      <w:proofErr w:type="spellEnd"/>
      <w:r w:rsidRPr="00AE2C15">
        <w:rPr>
          <w:rFonts w:asciiTheme="majorBidi" w:hAnsiTheme="majorBidi" w:cstheme="majorBidi"/>
          <w:color w:val="000000" w:themeColor="text1"/>
          <w:sz w:val="20"/>
          <w:szCs w:val="20"/>
        </w:rPr>
        <w:t xml:space="preserve">, 80, 166, 218, 286–88, 340, 345, 350, 378, 394–96, 462, 464, 468, 480. See also Van </w:t>
      </w:r>
      <w:proofErr w:type="spellStart"/>
      <w:r w:rsidRPr="00AE2C15">
        <w:rPr>
          <w:rFonts w:asciiTheme="majorBidi" w:hAnsiTheme="majorBidi" w:cstheme="majorBidi"/>
          <w:color w:val="000000" w:themeColor="text1"/>
          <w:sz w:val="20"/>
          <w:szCs w:val="20"/>
        </w:rPr>
        <w:t>Renterghem</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sz w:val="20"/>
          <w:szCs w:val="20"/>
        </w:rPr>
        <w:t xml:space="preserve">Les élites </w:t>
      </w:r>
      <w:proofErr w:type="spellStart"/>
      <w:r w:rsidRPr="00AE2C15">
        <w:rPr>
          <w:rFonts w:asciiTheme="majorBidi" w:hAnsiTheme="majorBidi" w:cstheme="majorBidi"/>
          <w:i/>
          <w:iCs/>
          <w:sz w:val="20"/>
          <w:szCs w:val="20"/>
        </w:rPr>
        <w:t>bagdadiennes</w:t>
      </w:r>
      <w:proofErr w:type="spellEnd"/>
      <w:r w:rsidRPr="00AE2C15">
        <w:rPr>
          <w:rFonts w:asciiTheme="majorBidi" w:hAnsiTheme="majorBidi" w:cstheme="majorBidi"/>
          <w:sz w:val="20"/>
          <w:szCs w:val="20"/>
        </w:rPr>
        <w:t>, 1:298.</w:t>
      </w:r>
    </w:p>
  </w:footnote>
  <w:footnote w:id="62">
    <w:p w14:paraId="37B4BB15" w14:textId="33F47CD2"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For example, ibid., 1:298–301, and </w:t>
      </w:r>
      <w:proofErr w:type="spellStart"/>
      <w:r w:rsidRPr="00AE2C15">
        <w:rPr>
          <w:rFonts w:asciiTheme="majorBidi" w:hAnsiTheme="majorBidi" w:cstheme="majorBidi"/>
          <w:color w:val="000000" w:themeColor="text1"/>
          <w:sz w:val="20"/>
          <w:szCs w:val="20"/>
        </w:rPr>
        <w:t>Aḥmad</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Sirrī</w:t>
      </w:r>
      <w:proofErr w:type="spellEnd"/>
      <w:r w:rsidRPr="00AE2C15">
        <w:rPr>
          <w:rFonts w:asciiTheme="majorBidi" w:hAnsiTheme="majorBidi" w:cstheme="majorBidi"/>
          <w:color w:val="000000" w:themeColor="text1"/>
          <w:sz w:val="20"/>
          <w:szCs w:val="20"/>
        </w:rPr>
        <w:t>, “Ibn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wa</w:t>
      </w:r>
      <w:proofErr w:type="spellEnd"/>
      <w:r w:rsidRPr="00AE2C15">
        <w:rPr>
          <w:rFonts w:asciiTheme="majorBidi" w:hAnsiTheme="majorBidi" w:cstheme="majorBidi"/>
          <w:color w:val="000000" w:themeColor="text1"/>
          <w:sz w:val="20"/>
          <w:szCs w:val="20"/>
        </w:rPr>
        <w:t>-l-</w:t>
      </w:r>
      <w:proofErr w:type="spellStart"/>
      <w:r w:rsidRPr="00AE2C15">
        <w:rPr>
          <w:rFonts w:asciiTheme="majorBidi" w:hAnsiTheme="majorBidi" w:cstheme="majorBidi"/>
          <w:color w:val="000000" w:themeColor="text1"/>
          <w:sz w:val="20"/>
          <w:szCs w:val="20"/>
        </w:rPr>
        <w:t>waʿẓ</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siyāsī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Kān</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tārīkhiyya</w:t>
      </w:r>
      <w:proofErr w:type="spellEnd"/>
      <w:r w:rsidRPr="00AE2C15">
        <w:rPr>
          <w:rFonts w:asciiTheme="majorBidi" w:hAnsiTheme="majorBidi" w:cstheme="majorBidi"/>
          <w:color w:val="000000" w:themeColor="text1"/>
          <w:sz w:val="20"/>
          <w:szCs w:val="20"/>
        </w:rPr>
        <w:t xml:space="preserve"> 7, no. 25 (2014): 181–97.</w:t>
      </w:r>
    </w:p>
  </w:footnote>
  <w:footnote w:id="63">
    <w:p w14:paraId="505610F5" w14:textId="16C69996"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Talbīs</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Iblīs</w:t>
      </w:r>
      <w:proofErr w:type="spellEnd"/>
      <w:r w:rsidRPr="00AE2C15">
        <w:rPr>
          <w:rFonts w:asciiTheme="majorBidi" w:hAnsiTheme="majorBidi" w:cstheme="majorBidi"/>
          <w:color w:val="000000" w:themeColor="text1"/>
          <w:sz w:val="20"/>
          <w:szCs w:val="20"/>
        </w:rPr>
        <w:t>, 176.</w:t>
      </w:r>
    </w:p>
  </w:footnote>
  <w:footnote w:id="64">
    <w:p w14:paraId="236E70E0" w14:textId="58CDF2FF"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 employ the term “scholar-preacher” in the sense of a preacher who possesse</w:t>
      </w:r>
      <w:r>
        <w:rPr>
          <w:rFonts w:asciiTheme="majorBidi" w:hAnsiTheme="majorBidi" w:cstheme="majorBidi"/>
          <w:color w:val="000000" w:themeColor="text1"/>
          <w:sz w:val="20"/>
          <w:szCs w:val="20"/>
        </w:rPr>
        <w:t>d</w:t>
      </w:r>
      <w:r w:rsidRPr="00AE2C15">
        <w:rPr>
          <w:rFonts w:asciiTheme="majorBidi" w:hAnsiTheme="majorBidi" w:cstheme="majorBidi"/>
          <w:color w:val="000000" w:themeColor="text1"/>
          <w:sz w:val="20"/>
          <w:szCs w:val="20"/>
        </w:rPr>
        <w:t xml:space="preserve"> enormous </w:t>
      </w:r>
      <w:r>
        <w:rPr>
          <w:rFonts w:asciiTheme="majorBidi" w:hAnsiTheme="majorBidi" w:cstheme="majorBidi"/>
          <w:color w:val="000000" w:themeColor="text1"/>
          <w:sz w:val="20"/>
          <w:szCs w:val="20"/>
        </w:rPr>
        <w:t xml:space="preserve">intellectual </w:t>
      </w:r>
      <w:r w:rsidRPr="00AE2C15">
        <w:rPr>
          <w:rFonts w:asciiTheme="majorBidi" w:hAnsiTheme="majorBidi" w:cstheme="majorBidi"/>
          <w:color w:val="000000" w:themeColor="text1"/>
          <w:sz w:val="20"/>
          <w:szCs w:val="20"/>
        </w:rPr>
        <w:t xml:space="preserve">breadth and </w:t>
      </w:r>
      <w:r>
        <w:rPr>
          <w:rFonts w:asciiTheme="majorBidi" w:hAnsiTheme="majorBidi" w:cstheme="majorBidi"/>
          <w:color w:val="000000" w:themeColor="text1"/>
          <w:sz w:val="20"/>
          <w:szCs w:val="20"/>
        </w:rPr>
        <w:t>wa</w:t>
      </w:r>
      <w:r w:rsidRPr="00AE2C15">
        <w:rPr>
          <w:rFonts w:asciiTheme="majorBidi" w:hAnsiTheme="majorBidi" w:cstheme="majorBidi"/>
          <w:color w:val="000000" w:themeColor="text1"/>
          <w:sz w:val="20"/>
          <w:szCs w:val="20"/>
        </w:rPr>
        <w:t xml:space="preserve">s firmly grounded in the fields of </w:t>
      </w:r>
      <w:proofErr w:type="spellStart"/>
      <w:r w:rsidRPr="00AE2C15">
        <w:rPr>
          <w:rFonts w:asciiTheme="majorBidi" w:hAnsiTheme="majorBidi" w:cstheme="majorBidi"/>
          <w:color w:val="000000" w:themeColor="text1"/>
          <w:sz w:val="20"/>
          <w:szCs w:val="20"/>
        </w:rPr>
        <w:t>Qurʾān</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ḥadīth</w:t>
      </w:r>
      <w:proofErr w:type="spellEnd"/>
      <w:r w:rsidRPr="00AE2C15">
        <w:rPr>
          <w:rFonts w:asciiTheme="majorBidi" w:hAnsiTheme="majorBidi" w:cstheme="majorBidi"/>
          <w:color w:val="000000" w:themeColor="text1"/>
          <w:sz w:val="20"/>
          <w:szCs w:val="20"/>
        </w:rPr>
        <w:t xml:space="preserve">, and </w:t>
      </w:r>
      <w:proofErr w:type="spellStart"/>
      <w:r w:rsidRPr="00AE2C15">
        <w:rPr>
          <w:rFonts w:asciiTheme="majorBidi" w:hAnsiTheme="majorBidi" w:cstheme="majorBidi"/>
          <w:i/>
          <w:iCs/>
          <w:color w:val="000000" w:themeColor="text1"/>
          <w:sz w:val="20"/>
          <w:szCs w:val="20"/>
        </w:rPr>
        <w:t>fiqh</w:t>
      </w:r>
      <w:proofErr w:type="spellEnd"/>
      <w:r w:rsidRPr="00AE2C15">
        <w:rPr>
          <w:rFonts w:asciiTheme="majorBidi" w:hAnsiTheme="majorBidi" w:cstheme="majorBidi"/>
          <w:color w:val="000000" w:themeColor="text1"/>
          <w:sz w:val="20"/>
          <w:szCs w:val="20"/>
        </w:rPr>
        <w:t>. Additionally, 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deems</w:t>
      </w:r>
      <w:r w:rsidRPr="00AE2C15">
        <w:rPr>
          <w:rFonts w:asciiTheme="majorBidi" w:hAnsiTheme="majorBidi" w:cstheme="majorBidi"/>
          <w:color w:val="000000" w:themeColor="text1"/>
          <w:sz w:val="20"/>
          <w:szCs w:val="20"/>
        </w:rPr>
        <w:t xml:space="preserve"> knowledge of history (</w:t>
      </w:r>
      <w:proofErr w:type="spellStart"/>
      <w:r w:rsidRPr="00AE2C15">
        <w:rPr>
          <w:rFonts w:asciiTheme="majorBidi" w:hAnsiTheme="majorBidi" w:cstheme="majorBidi"/>
          <w:i/>
          <w:iCs/>
          <w:color w:val="000000" w:themeColor="text1"/>
          <w:sz w:val="20"/>
          <w:szCs w:val="20"/>
        </w:rPr>
        <w:t>tāwarīkh</w:t>
      </w:r>
      <w:proofErr w:type="spellEnd"/>
      <w:r w:rsidRPr="00AE2C15">
        <w:rPr>
          <w:rFonts w:asciiTheme="majorBidi" w:hAnsiTheme="majorBidi" w:cstheme="majorBidi"/>
          <w:color w:val="000000" w:themeColor="text1"/>
          <w:sz w:val="20"/>
          <w:szCs w:val="20"/>
        </w:rPr>
        <w:t>), pious biographies (</w:t>
      </w:r>
      <w:proofErr w:type="spellStart"/>
      <w:r w:rsidRPr="00AE2C15">
        <w:rPr>
          <w:rFonts w:asciiTheme="majorBidi" w:hAnsiTheme="majorBidi" w:cstheme="majorBidi"/>
          <w:i/>
          <w:iCs/>
          <w:color w:val="000000" w:themeColor="text1"/>
          <w:sz w:val="20"/>
          <w:szCs w:val="20"/>
        </w:rPr>
        <w:t>siyar</w:t>
      </w:r>
      <w:proofErr w:type="spellEnd"/>
      <w:r w:rsidRPr="00AE2C15">
        <w:rPr>
          <w:rFonts w:asciiTheme="majorBidi" w:hAnsiTheme="majorBidi" w:cstheme="majorBidi"/>
          <w:color w:val="000000" w:themeColor="text1"/>
          <w:sz w:val="20"/>
          <w:szCs w:val="20"/>
        </w:rPr>
        <w:t>), Arabic grammar (</w:t>
      </w:r>
      <w:proofErr w:type="spellStart"/>
      <w:r w:rsidRPr="00AE2C15">
        <w:rPr>
          <w:rFonts w:asciiTheme="majorBidi" w:hAnsiTheme="majorBidi" w:cstheme="majorBidi"/>
          <w:i/>
          <w:iCs/>
          <w:color w:val="000000" w:themeColor="text1"/>
          <w:sz w:val="20"/>
          <w:szCs w:val="20"/>
        </w:rPr>
        <w:t>ʿarabiyya</w:t>
      </w:r>
      <w:proofErr w:type="spellEnd"/>
      <w:r w:rsidRPr="00AE2C15">
        <w:rPr>
          <w:rFonts w:asciiTheme="majorBidi" w:hAnsiTheme="majorBidi" w:cstheme="majorBidi"/>
          <w:color w:val="000000" w:themeColor="text1"/>
          <w:sz w:val="20"/>
          <w:szCs w:val="20"/>
        </w:rPr>
        <w:t>), and philology (</w:t>
      </w:r>
      <w:proofErr w:type="spellStart"/>
      <w:r w:rsidRPr="00AE2C15">
        <w:rPr>
          <w:rFonts w:asciiTheme="majorBidi" w:hAnsiTheme="majorBidi" w:cstheme="majorBidi"/>
          <w:i/>
          <w:iCs/>
          <w:color w:val="000000" w:themeColor="text1"/>
          <w:sz w:val="20"/>
          <w:szCs w:val="20"/>
        </w:rPr>
        <w:t>lugha</w:t>
      </w:r>
      <w:proofErr w:type="spellEnd"/>
      <w:r w:rsidRPr="00AE2C15">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 xml:space="preserve"> to be necessary</w:t>
      </w:r>
      <w:r w:rsidRPr="00AE2C15">
        <w:rPr>
          <w:rFonts w:asciiTheme="majorBidi" w:hAnsiTheme="majorBidi" w:cstheme="majorBidi"/>
          <w:color w:val="000000" w:themeColor="text1"/>
          <w:sz w:val="20"/>
          <w:szCs w:val="20"/>
        </w:rPr>
        <w:t xml:space="preserve">. See Merlin Swartz, ed. and trans., </w:t>
      </w:r>
      <w:r w:rsidRPr="00AE2C15">
        <w:rPr>
          <w:rFonts w:asciiTheme="majorBidi" w:hAnsiTheme="majorBidi" w:cstheme="majorBidi"/>
          <w:i/>
          <w:iCs/>
          <w:color w:val="000000" w:themeColor="text1"/>
          <w:sz w:val="20"/>
          <w:szCs w:val="20"/>
        </w:rPr>
        <w:t>Ibn al-</w:t>
      </w:r>
      <w:proofErr w:type="spellStart"/>
      <w:r w:rsidRPr="00AE2C15">
        <w:rPr>
          <w:rFonts w:asciiTheme="majorBidi" w:hAnsiTheme="majorBidi" w:cstheme="majorBidi"/>
          <w:i/>
          <w:iCs/>
          <w:color w:val="000000" w:themeColor="text1"/>
          <w:sz w:val="20"/>
          <w:szCs w:val="20"/>
        </w:rPr>
        <w:t>Jawzī’s</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Kitāb</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Quṣṣāṣ</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wa’l-mudhakkirīn</w:t>
      </w:r>
      <w:proofErr w:type="spellEnd"/>
      <w:r w:rsidRPr="00AE2C15">
        <w:rPr>
          <w:rFonts w:asciiTheme="majorBidi" w:hAnsiTheme="majorBidi" w:cstheme="majorBidi"/>
          <w:color w:val="000000" w:themeColor="text1"/>
          <w:sz w:val="20"/>
          <w:szCs w:val="20"/>
        </w:rPr>
        <w:t xml:space="preserve"> (Beirut: </w:t>
      </w:r>
      <w:proofErr w:type="spellStart"/>
      <w:r w:rsidRPr="00AE2C15">
        <w:rPr>
          <w:rFonts w:asciiTheme="majorBidi" w:hAnsiTheme="majorBidi" w:cstheme="majorBidi"/>
          <w:color w:val="000000" w:themeColor="text1"/>
          <w:sz w:val="20"/>
          <w:szCs w:val="20"/>
        </w:rPr>
        <w:t>Dār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Mashriq</w:t>
      </w:r>
      <w:proofErr w:type="spellEnd"/>
      <w:r w:rsidRPr="00AE2C15">
        <w:rPr>
          <w:rFonts w:asciiTheme="majorBidi" w:hAnsiTheme="majorBidi" w:cstheme="majorBidi"/>
          <w:color w:val="000000" w:themeColor="text1"/>
          <w:sz w:val="20"/>
          <w:szCs w:val="20"/>
        </w:rPr>
        <w:t xml:space="preserve">, 1971), 24, 109–10 (English translation). For a treatment of audience responses to sermons, see Linda Jones, </w:t>
      </w:r>
      <w:r w:rsidRPr="00AE2C15">
        <w:rPr>
          <w:rFonts w:asciiTheme="majorBidi" w:hAnsiTheme="majorBidi" w:cstheme="majorBidi"/>
          <w:i/>
          <w:iCs/>
          <w:color w:val="000000" w:themeColor="text1"/>
          <w:sz w:val="20"/>
          <w:szCs w:val="20"/>
        </w:rPr>
        <w:t>The Power of Oratory in the Medieval Muslim World</w:t>
      </w:r>
      <w:r w:rsidRPr="00AE2C15">
        <w:rPr>
          <w:rFonts w:asciiTheme="majorBidi" w:hAnsiTheme="majorBidi" w:cstheme="majorBidi"/>
          <w:color w:val="000000" w:themeColor="text1"/>
          <w:sz w:val="20"/>
          <w:szCs w:val="20"/>
        </w:rPr>
        <w:t xml:space="preserve"> (New York: Cambridge University Press, 2012), chapter 8.</w:t>
      </w:r>
    </w:p>
  </w:footnote>
  <w:footnote w:id="65">
    <w:p w14:paraId="11B66605" w14:textId="372E4E54"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Ibid., 89–106. </w:t>
      </w:r>
    </w:p>
  </w:footnote>
  <w:footnote w:id="66">
    <w:p w14:paraId="3D5E2FD9" w14:textId="00B8D110"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On the importance of combining “heart-softening narrations” (</w:t>
      </w:r>
      <w:proofErr w:type="spellStart"/>
      <w:r w:rsidRPr="00AE2C15">
        <w:rPr>
          <w:rFonts w:asciiTheme="majorBidi" w:hAnsiTheme="majorBidi" w:cstheme="majorBidi"/>
          <w:i/>
          <w:iCs/>
          <w:color w:val="000000" w:themeColor="text1"/>
          <w:sz w:val="20"/>
          <w:szCs w:val="20"/>
        </w:rPr>
        <w:t>raqāʾiq</w:t>
      </w:r>
      <w:proofErr w:type="spellEnd"/>
      <w:r w:rsidRPr="00AE2C15">
        <w:rPr>
          <w:rFonts w:asciiTheme="majorBidi" w:hAnsiTheme="majorBidi" w:cstheme="majorBidi"/>
          <w:color w:val="000000" w:themeColor="text1"/>
          <w:sz w:val="20"/>
          <w:szCs w:val="20"/>
        </w:rPr>
        <w:t xml:space="preserve">) with one’s study of </w:t>
      </w:r>
      <w:proofErr w:type="spellStart"/>
      <w:r w:rsidRPr="00AE2C15">
        <w:rPr>
          <w:rFonts w:asciiTheme="majorBidi" w:hAnsiTheme="majorBidi" w:cstheme="majorBidi"/>
          <w:i/>
          <w:iCs/>
          <w:color w:val="000000" w:themeColor="text1"/>
          <w:sz w:val="20"/>
          <w:szCs w:val="20"/>
        </w:rPr>
        <w:t>ḥadīth</w:t>
      </w:r>
      <w:proofErr w:type="spellEnd"/>
      <w:r w:rsidRPr="00AE2C15">
        <w:rPr>
          <w:rFonts w:asciiTheme="majorBidi" w:hAnsiTheme="majorBidi" w:cstheme="majorBidi"/>
          <w:color w:val="000000" w:themeColor="text1"/>
          <w:sz w:val="20"/>
          <w:szCs w:val="20"/>
        </w:rPr>
        <w:t xml:space="preserve"> and </w:t>
      </w:r>
      <w:proofErr w:type="spellStart"/>
      <w:r w:rsidRPr="00AE2C15">
        <w:rPr>
          <w:rFonts w:asciiTheme="majorBidi" w:hAnsiTheme="majorBidi" w:cstheme="majorBidi"/>
          <w:i/>
          <w:iCs/>
          <w:color w:val="000000" w:themeColor="text1"/>
          <w:sz w:val="20"/>
          <w:szCs w:val="20"/>
        </w:rPr>
        <w:t>fiqh</w:t>
      </w:r>
      <w:proofErr w:type="spellEnd"/>
      <w:r w:rsidRPr="00AE2C15">
        <w:rPr>
          <w:rFonts w:asciiTheme="majorBidi" w:hAnsiTheme="majorBidi" w:cstheme="majorBidi"/>
          <w:color w:val="000000" w:themeColor="text1"/>
          <w:sz w:val="20"/>
          <w:szCs w:val="20"/>
        </w:rPr>
        <w:t>, see 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Ṣayd</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khāṭir</w:t>
      </w:r>
      <w:proofErr w:type="spellEnd"/>
      <w:r w:rsidRPr="00AE2C15">
        <w:rPr>
          <w:rFonts w:asciiTheme="majorBidi" w:hAnsiTheme="majorBidi" w:cstheme="majorBidi"/>
          <w:color w:val="000000" w:themeColor="text1"/>
          <w:sz w:val="20"/>
          <w:szCs w:val="20"/>
        </w:rPr>
        <w:t>, 214–15.</w:t>
      </w:r>
    </w:p>
  </w:footnote>
  <w:footnote w:id="67">
    <w:p w14:paraId="608FD577" w14:textId="35AB6A4A"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His critique of al-</w:t>
      </w:r>
      <w:proofErr w:type="spellStart"/>
      <w:r w:rsidRPr="00AE2C15">
        <w:rPr>
          <w:rFonts w:asciiTheme="majorBidi" w:hAnsiTheme="majorBidi" w:cstheme="majorBidi"/>
          <w:color w:val="000000" w:themeColor="text1"/>
          <w:sz w:val="20"/>
          <w:szCs w:val="20"/>
        </w:rPr>
        <w:t>Ghazālī’s</w:t>
      </w:r>
      <w:proofErr w:type="spellEnd"/>
      <w:r w:rsidRPr="00AE2C15">
        <w:rPr>
          <w:rFonts w:asciiTheme="majorBidi" w:hAnsiTheme="majorBidi" w:cstheme="majorBidi"/>
          <w:color w:val="000000" w:themeColor="text1"/>
          <w:sz w:val="20"/>
          <w:szCs w:val="20"/>
        </w:rPr>
        <w:t xml:space="preserve"> Sufi leanings did not imply a total rejection of Sufism. As a number of studies have shown, 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was inclined to Sufism and asceticism. See </w:t>
      </w:r>
      <w:r w:rsidRPr="00AE2C15">
        <w:rPr>
          <w:rFonts w:asciiTheme="majorBidi" w:hAnsiTheme="majorBidi" w:cstheme="majorBidi"/>
          <w:iCs/>
          <w:color w:val="000000" w:themeColor="text1"/>
          <w:sz w:val="20"/>
          <w:szCs w:val="20"/>
        </w:rPr>
        <w:t xml:space="preserve">George </w:t>
      </w:r>
      <w:proofErr w:type="spellStart"/>
      <w:r w:rsidRPr="00AE2C15">
        <w:rPr>
          <w:rFonts w:asciiTheme="majorBidi" w:hAnsiTheme="majorBidi" w:cstheme="majorBidi"/>
          <w:iCs/>
          <w:color w:val="000000" w:themeColor="text1"/>
          <w:sz w:val="20"/>
          <w:szCs w:val="20"/>
        </w:rPr>
        <w:t>Makdisi</w:t>
      </w:r>
      <w:proofErr w:type="spellEnd"/>
      <w:r w:rsidRPr="00AE2C15">
        <w:rPr>
          <w:rFonts w:asciiTheme="majorBidi" w:hAnsiTheme="majorBidi" w:cstheme="majorBidi"/>
          <w:iCs/>
          <w:color w:val="000000" w:themeColor="text1"/>
          <w:sz w:val="20"/>
          <w:szCs w:val="20"/>
        </w:rPr>
        <w:t xml:space="preserve">, “The Hanbali School and Sufism,” </w:t>
      </w:r>
      <w:proofErr w:type="spellStart"/>
      <w:r w:rsidRPr="00AE2C15">
        <w:rPr>
          <w:rFonts w:asciiTheme="majorBidi" w:hAnsiTheme="majorBidi" w:cstheme="majorBidi"/>
          <w:i/>
          <w:color w:val="000000" w:themeColor="text1"/>
          <w:sz w:val="20"/>
          <w:szCs w:val="20"/>
        </w:rPr>
        <w:t>Biblos</w:t>
      </w:r>
      <w:proofErr w:type="spellEnd"/>
      <w:r w:rsidRPr="00AE2C15">
        <w:rPr>
          <w:rFonts w:asciiTheme="majorBidi" w:hAnsiTheme="majorBidi" w:cstheme="majorBidi"/>
          <w:i/>
          <w:color w:val="000000" w:themeColor="text1"/>
          <w:sz w:val="20"/>
          <w:szCs w:val="20"/>
        </w:rPr>
        <w:t xml:space="preserve"> (Coimbra)</w:t>
      </w:r>
      <w:r w:rsidRPr="00AE2C15">
        <w:rPr>
          <w:rFonts w:asciiTheme="majorBidi" w:hAnsiTheme="majorBidi" w:cstheme="majorBidi"/>
          <w:iCs/>
          <w:color w:val="000000" w:themeColor="text1"/>
          <w:sz w:val="20"/>
          <w:szCs w:val="20"/>
        </w:rPr>
        <w:t xml:space="preserve">, 46 (1970): 71–84; </w:t>
      </w:r>
      <w:proofErr w:type="spellStart"/>
      <w:r w:rsidRPr="00AE2C15">
        <w:rPr>
          <w:rFonts w:asciiTheme="majorBidi" w:hAnsiTheme="majorBidi" w:cstheme="majorBidi"/>
          <w:color w:val="000000" w:themeColor="text1"/>
          <w:sz w:val="20"/>
          <w:szCs w:val="20"/>
        </w:rPr>
        <w:t>Āmina</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Muḥammad</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Naṣīr</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Abū</w:t>
      </w:r>
      <w:proofErr w:type="spellEnd"/>
      <w:r w:rsidRPr="00AE2C15">
        <w:rPr>
          <w:rFonts w:asciiTheme="majorBidi" w:hAnsiTheme="majorBidi" w:cstheme="majorBidi"/>
          <w:i/>
          <w:iCs/>
          <w:color w:val="000000" w:themeColor="text1"/>
          <w:sz w:val="20"/>
          <w:szCs w:val="20"/>
        </w:rPr>
        <w:t xml:space="preserve"> al-Faraj b. al-</w:t>
      </w:r>
      <w:proofErr w:type="spellStart"/>
      <w:r w:rsidRPr="00AE2C15">
        <w:rPr>
          <w:rFonts w:asciiTheme="majorBidi" w:hAnsiTheme="majorBidi" w:cstheme="majorBidi"/>
          <w:i/>
          <w:iCs/>
          <w:color w:val="000000" w:themeColor="text1"/>
          <w:sz w:val="20"/>
          <w:szCs w:val="20"/>
        </w:rPr>
        <w:t>Jawzī</w:t>
      </w:r>
      <w:proofErr w:type="spellEnd"/>
      <w:r w:rsidRPr="00AE2C15">
        <w:rPr>
          <w:rFonts w:asciiTheme="majorBidi" w:hAnsiTheme="majorBidi" w:cstheme="majorBidi"/>
          <w:i/>
          <w:iCs/>
          <w:color w:val="000000" w:themeColor="text1"/>
          <w:sz w:val="20"/>
          <w:szCs w:val="20"/>
        </w:rPr>
        <w:t xml:space="preserve">, 510-597 A.H.: </w:t>
      </w:r>
      <w:proofErr w:type="spellStart"/>
      <w:r w:rsidRPr="00AE2C15">
        <w:rPr>
          <w:rFonts w:asciiTheme="majorBidi" w:hAnsiTheme="majorBidi" w:cstheme="majorBidi"/>
          <w:i/>
          <w:iCs/>
          <w:color w:val="000000" w:themeColor="text1"/>
          <w:sz w:val="20"/>
          <w:szCs w:val="20"/>
        </w:rPr>
        <w:t>ārāʾuhu</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kalāmiyya</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wa</w:t>
      </w:r>
      <w:proofErr w:type="spellEnd"/>
      <w:r w:rsidRPr="00AE2C15">
        <w:rPr>
          <w:rFonts w:asciiTheme="majorBidi" w:hAnsiTheme="majorBidi" w:cstheme="majorBidi"/>
          <w:i/>
          <w:iCs/>
          <w:color w:val="000000" w:themeColor="text1"/>
          <w:sz w:val="20"/>
          <w:szCs w:val="20"/>
        </w:rPr>
        <w:t>-l-</w:t>
      </w:r>
      <w:proofErr w:type="spellStart"/>
      <w:r w:rsidRPr="00AE2C15">
        <w:rPr>
          <w:rFonts w:asciiTheme="majorBidi" w:hAnsiTheme="majorBidi" w:cstheme="majorBidi"/>
          <w:i/>
          <w:iCs/>
          <w:color w:val="000000" w:themeColor="text1"/>
          <w:sz w:val="20"/>
          <w:szCs w:val="20"/>
        </w:rPr>
        <w:t>akhlāqiyya</w:t>
      </w:r>
      <w:proofErr w:type="spellEnd"/>
      <w:r w:rsidRPr="00AE2C15">
        <w:rPr>
          <w:rFonts w:asciiTheme="majorBidi" w:hAnsiTheme="majorBidi" w:cstheme="majorBidi"/>
          <w:color w:val="000000" w:themeColor="text1"/>
          <w:sz w:val="20"/>
          <w:szCs w:val="20"/>
        </w:rPr>
        <w:t xml:space="preserve"> (Cairo: </w:t>
      </w:r>
      <w:proofErr w:type="spellStart"/>
      <w:r w:rsidRPr="00AE2C15">
        <w:rPr>
          <w:rFonts w:asciiTheme="majorBidi" w:hAnsiTheme="majorBidi" w:cstheme="majorBidi"/>
          <w:color w:val="000000" w:themeColor="text1"/>
          <w:sz w:val="20"/>
          <w:szCs w:val="20"/>
        </w:rPr>
        <w:t>Dār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Shurūq</w:t>
      </w:r>
      <w:proofErr w:type="spellEnd"/>
      <w:r w:rsidRPr="00AE2C15">
        <w:rPr>
          <w:rFonts w:asciiTheme="majorBidi" w:hAnsiTheme="majorBidi" w:cstheme="majorBidi"/>
          <w:color w:val="000000" w:themeColor="text1"/>
          <w:sz w:val="20"/>
          <w:szCs w:val="20"/>
        </w:rPr>
        <w:t xml:space="preserve">, 1987), 193–272; </w:t>
      </w:r>
      <w:r w:rsidRPr="00AE2C15">
        <w:rPr>
          <w:rFonts w:asciiTheme="majorBidi" w:hAnsiTheme="majorBidi" w:cstheme="majorBidi"/>
          <w:iCs/>
          <w:color w:val="000000" w:themeColor="text1"/>
          <w:sz w:val="20"/>
          <w:szCs w:val="20"/>
        </w:rPr>
        <w:t xml:space="preserve">Merlin Swartz, ed. and trans., </w:t>
      </w:r>
      <w:r w:rsidRPr="00AE2C15">
        <w:rPr>
          <w:rFonts w:asciiTheme="majorBidi" w:hAnsiTheme="majorBidi" w:cstheme="majorBidi"/>
          <w:i/>
          <w:color w:val="000000" w:themeColor="text1"/>
          <w:sz w:val="20"/>
          <w:szCs w:val="20"/>
        </w:rPr>
        <w:t>A Medieval Critique of Anthropomorphism: Ibn al-</w:t>
      </w:r>
      <w:proofErr w:type="spellStart"/>
      <w:r w:rsidRPr="00AE2C15">
        <w:rPr>
          <w:rFonts w:asciiTheme="majorBidi" w:hAnsiTheme="majorBidi" w:cstheme="majorBidi"/>
          <w:i/>
          <w:color w:val="000000" w:themeColor="text1"/>
          <w:sz w:val="20"/>
          <w:szCs w:val="20"/>
        </w:rPr>
        <w:t>Jawzī’s</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Kitāb</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Akhbār</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aṣ-Ṣifāt</w:t>
      </w:r>
      <w:proofErr w:type="spellEnd"/>
      <w:r w:rsidRPr="00AE2C15">
        <w:rPr>
          <w:rFonts w:asciiTheme="majorBidi" w:hAnsiTheme="majorBidi" w:cstheme="majorBidi"/>
          <w:i/>
          <w:color w:val="000000" w:themeColor="text1"/>
          <w:sz w:val="20"/>
          <w:szCs w:val="20"/>
        </w:rPr>
        <w:t>: A Critical Edition of the Arabic Text with Translation, Introduction and Notes</w:t>
      </w:r>
      <w:r w:rsidRPr="00AE2C15">
        <w:rPr>
          <w:rFonts w:asciiTheme="majorBidi" w:hAnsiTheme="majorBidi" w:cstheme="majorBidi"/>
          <w:color w:val="000000" w:themeColor="text1"/>
          <w:sz w:val="20"/>
          <w:szCs w:val="20"/>
        </w:rPr>
        <w:t xml:space="preserve"> (Leiden: Brill, 2002), 14–16; Pascal Held, “Traces of Mysticism in Ibn al-</w:t>
      </w:r>
      <w:proofErr w:type="spellStart"/>
      <w:r w:rsidRPr="00AE2C15">
        <w:rPr>
          <w:rFonts w:asciiTheme="majorBidi" w:hAnsiTheme="majorBidi" w:cstheme="majorBidi"/>
          <w:color w:val="000000" w:themeColor="text1"/>
          <w:sz w:val="20"/>
          <w:szCs w:val="20"/>
        </w:rPr>
        <w:t>Jawzī’s</w:t>
      </w:r>
      <w:proofErr w:type="spellEnd"/>
      <w:r w:rsidRPr="00AE2C15">
        <w:rPr>
          <w:rFonts w:asciiTheme="majorBidi" w:hAnsiTheme="majorBidi" w:cstheme="majorBidi"/>
          <w:color w:val="000000" w:themeColor="text1"/>
          <w:sz w:val="20"/>
          <w:szCs w:val="20"/>
        </w:rPr>
        <w:t xml:space="preserve"> Thought; an Examination of His </w:t>
      </w:r>
      <w:proofErr w:type="spellStart"/>
      <w:r w:rsidRPr="00AE2C15">
        <w:rPr>
          <w:rFonts w:asciiTheme="majorBidi" w:hAnsiTheme="majorBidi" w:cstheme="majorBidi"/>
          <w:i/>
          <w:iCs/>
          <w:color w:val="000000" w:themeColor="text1"/>
          <w:sz w:val="20"/>
          <w:szCs w:val="20"/>
        </w:rPr>
        <w:t>Baḥr</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dumūʿ</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Journal of Islamic Studies</w:t>
      </w:r>
      <w:r w:rsidRPr="00AE2C15">
        <w:rPr>
          <w:rFonts w:asciiTheme="majorBidi" w:hAnsiTheme="majorBidi" w:cstheme="majorBidi"/>
          <w:color w:val="000000" w:themeColor="text1"/>
          <w:sz w:val="20"/>
          <w:szCs w:val="20"/>
        </w:rPr>
        <w:t xml:space="preserve"> 31, no. 2 (2020): 141–72.</w:t>
      </w:r>
    </w:p>
  </w:footnote>
  <w:footnote w:id="68">
    <w:p w14:paraId="31A0FC96" w14:textId="11D32DD9"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sz w:val="20"/>
          <w:szCs w:val="20"/>
        </w:rPr>
        <w:t>Minhāj</w:t>
      </w:r>
      <w:proofErr w:type="spellEnd"/>
      <w:r w:rsidRPr="00AE2C15">
        <w:rPr>
          <w:rFonts w:asciiTheme="majorBidi" w:hAnsiTheme="majorBidi" w:cstheme="majorBidi"/>
          <w:i/>
          <w:iCs/>
          <w:sz w:val="20"/>
          <w:szCs w:val="20"/>
        </w:rPr>
        <w:t xml:space="preserve"> al-</w:t>
      </w:r>
      <w:proofErr w:type="spellStart"/>
      <w:r w:rsidRPr="00AE2C15">
        <w:rPr>
          <w:rFonts w:asciiTheme="majorBidi" w:hAnsiTheme="majorBidi" w:cstheme="majorBidi"/>
          <w:i/>
          <w:iCs/>
          <w:sz w:val="20"/>
          <w:szCs w:val="20"/>
        </w:rPr>
        <w:t>qāṣidīn</w:t>
      </w:r>
      <w:proofErr w:type="spellEnd"/>
      <w:r w:rsidRPr="00AE2C15">
        <w:rPr>
          <w:rFonts w:asciiTheme="majorBidi" w:hAnsiTheme="majorBidi" w:cstheme="majorBidi"/>
          <w:i/>
          <w:iCs/>
          <w:sz w:val="20"/>
          <w:szCs w:val="20"/>
        </w:rPr>
        <w:t xml:space="preserve"> </w:t>
      </w:r>
      <w:proofErr w:type="spellStart"/>
      <w:r w:rsidRPr="00AE2C15">
        <w:rPr>
          <w:rFonts w:asciiTheme="majorBidi" w:hAnsiTheme="majorBidi" w:cstheme="majorBidi"/>
          <w:i/>
          <w:iCs/>
          <w:sz w:val="20"/>
          <w:szCs w:val="20"/>
        </w:rPr>
        <w:t>wa-mufīd</w:t>
      </w:r>
      <w:proofErr w:type="spellEnd"/>
      <w:r w:rsidRPr="00AE2C15">
        <w:rPr>
          <w:rFonts w:asciiTheme="majorBidi" w:hAnsiTheme="majorBidi" w:cstheme="majorBidi"/>
          <w:i/>
          <w:iCs/>
          <w:sz w:val="20"/>
          <w:szCs w:val="20"/>
        </w:rPr>
        <w:t xml:space="preserve"> al-</w:t>
      </w:r>
      <w:proofErr w:type="spellStart"/>
      <w:r w:rsidRPr="00AE2C15">
        <w:rPr>
          <w:rFonts w:asciiTheme="majorBidi" w:hAnsiTheme="majorBidi" w:cstheme="majorBidi"/>
          <w:i/>
          <w:iCs/>
          <w:sz w:val="20"/>
          <w:szCs w:val="20"/>
        </w:rPr>
        <w:t>ṣādiqīn</w:t>
      </w:r>
      <w:proofErr w:type="spellEnd"/>
      <w:r w:rsidRPr="00AE2C15">
        <w:rPr>
          <w:rFonts w:asciiTheme="majorBidi" w:hAnsiTheme="majorBidi" w:cstheme="majorBidi"/>
          <w:sz w:val="20"/>
          <w:szCs w:val="20"/>
        </w:rPr>
        <w:t xml:space="preserve">, ed. </w:t>
      </w:r>
      <w:proofErr w:type="spellStart"/>
      <w:r w:rsidRPr="00AE2C15">
        <w:rPr>
          <w:rFonts w:asciiTheme="majorBidi" w:hAnsiTheme="majorBidi" w:cstheme="majorBidi"/>
          <w:sz w:val="20"/>
          <w:szCs w:val="20"/>
        </w:rPr>
        <w:t>Kāmil</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sz w:val="20"/>
          <w:szCs w:val="20"/>
        </w:rPr>
        <w:t>Muḥammad</w:t>
      </w:r>
      <w:proofErr w:type="spellEnd"/>
      <w:r w:rsidRPr="00AE2C15">
        <w:rPr>
          <w:rFonts w:asciiTheme="majorBidi" w:hAnsiTheme="majorBidi" w:cstheme="majorBidi"/>
          <w:sz w:val="20"/>
          <w:szCs w:val="20"/>
        </w:rPr>
        <w:t xml:space="preserve"> al-</w:t>
      </w:r>
      <w:proofErr w:type="spellStart"/>
      <w:r w:rsidRPr="00AE2C15">
        <w:rPr>
          <w:rFonts w:asciiTheme="majorBidi" w:hAnsiTheme="majorBidi" w:cstheme="majorBidi"/>
          <w:sz w:val="20"/>
          <w:szCs w:val="20"/>
        </w:rPr>
        <w:t>Kharrāṭ</w:t>
      </w:r>
      <w:proofErr w:type="spellEnd"/>
      <w:r w:rsidRPr="00AE2C15">
        <w:rPr>
          <w:rFonts w:asciiTheme="majorBidi" w:hAnsiTheme="majorBidi" w:cstheme="majorBidi"/>
          <w:sz w:val="20"/>
          <w:szCs w:val="20"/>
        </w:rPr>
        <w:t xml:space="preserve"> (Damascus: </w:t>
      </w:r>
      <w:proofErr w:type="spellStart"/>
      <w:r w:rsidRPr="00AE2C15">
        <w:rPr>
          <w:rFonts w:asciiTheme="majorBidi" w:hAnsiTheme="majorBidi" w:cstheme="majorBidi"/>
          <w:sz w:val="20"/>
          <w:szCs w:val="20"/>
        </w:rPr>
        <w:t>Dār</w:t>
      </w:r>
      <w:proofErr w:type="spellEnd"/>
      <w:r w:rsidRPr="00AE2C15">
        <w:rPr>
          <w:rFonts w:asciiTheme="majorBidi" w:hAnsiTheme="majorBidi" w:cstheme="majorBidi"/>
          <w:sz w:val="20"/>
          <w:szCs w:val="20"/>
        </w:rPr>
        <w:t xml:space="preserve"> al-</w:t>
      </w:r>
      <w:proofErr w:type="spellStart"/>
      <w:r w:rsidRPr="00AE2C15">
        <w:rPr>
          <w:rFonts w:asciiTheme="majorBidi" w:hAnsiTheme="majorBidi" w:cstheme="majorBidi"/>
          <w:sz w:val="20"/>
          <w:szCs w:val="20"/>
        </w:rPr>
        <w:t>Tawfīq</w:t>
      </w:r>
      <w:proofErr w:type="spellEnd"/>
      <w:r w:rsidRPr="00AE2C15">
        <w:rPr>
          <w:rFonts w:asciiTheme="majorBidi" w:hAnsiTheme="majorBidi" w:cstheme="majorBidi"/>
          <w:sz w:val="20"/>
          <w:szCs w:val="20"/>
        </w:rPr>
        <w:t xml:space="preserve"> li-l-</w:t>
      </w:r>
      <w:proofErr w:type="spellStart"/>
      <w:r w:rsidRPr="00AE2C15">
        <w:rPr>
          <w:rFonts w:asciiTheme="majorBidi" w:hAnsiTheme="majorBidi" w:cstheme="majorBidi"/>
          <w:sz w:val="20"/>
          <w:szCs w:val="20"/>
        </w:rPr>
        <w:t>Ṭibāʿa</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sz w:val="20"/>
          <w:szCs w:val="20"/>
        </w:rPr>
        <w:t>wa</w:t>
      </w:r>
      <w:proofErr w:type="spellEnd"/>
      <w:r w:rsidRPr="00AE2C15">
        <w:rPr>
          <w:rFonts w:asciiTheme="majorBidi" w:hAnsiTheme="majorBidi" w:cstheme="majorBidi"/>
          <w:sz w:val="20"/>
          <w:szCs w:val="20"/>
        </w:rPr>
        <w:t>-l-</w:t>
      </w:r>
      <w:proofErr w:type="spellStart"/>
      <w:r w:rsidRPr="00AE2C15">
        <w:rPr>
          <w:rFonts w:asciiTheme="majorBidi" w:hAnsiTheme="majorBidi" w:cstheme="majorBidi"/>
          <w:sz w:val="20"/>
          <w:szCs w:val="20"/>
        </w:rPr>
        <w:t>Nashr</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sz w:val="20"/>
          <w:szCs w:val="20"/>
        </w:rPr>
        <w:t>wa</w:t>
      </w:r>
      <w:proofErr w:type="spellEnd"/>
      <w:r w:rsidRPr="00AE2C15">
        <w:rPr>
          <w:rFonts w:asciiTheme="majorBidi" w:hAnsiTheme="majorBidi" w:cstheme="majorBidi"/>
          <w:sz w:val="20"/>
          <w:szCs w:val="20"/>
        </w:rPr>
        <w:t>-l-</w:t>
      </w:r>
      <w:proofErr w:type="spellStart"/>
      <w:r w:rsidRPr="00AE2C15">
        <w:rPr>
          <w:rFonts w:asciiTheme="majorBidi" w:hAnsiTheme="majorBidi" w:cstheme="majorBidi"/>
          <w:sz w:val="20"/>
          <w:szCs w:val="20"/>
        </w:rPr>
        <w:t>Tawzīʿ</w:t>
      </w:r>
      <w:proofErr w:type="spellEnd"/>
      <w:r w:rsidRPr="00AE2C15">
        <w:rPr>
          <w:rFonts w:asciiTheme="majorBidi" w:hAnsiTheme="majorBidi" w:cstheme="majorBidi"/>
          <w:sz w:val="20"/>
          <w:szCs w:val="20"/>
        </w:rPr>
        <w:t>, 2010), 1:6–9.</w:t>
      </w:r>
    </w:p>
  </w:footnote>
  <w:footnote w:id="69">
    <w:p w14:paraId="3FEFDFC4" w14:textId="7091C843"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In the introductory chapter of the </w:t>
      </w:r>
      <w:proofErr w:type="spellStart"/>
      <w:r w:rsidRPr="00AE2C15">
        <w:rPr>
          <w:rFonts w:asciiTheme="majorBidi" w:hAnsiTheme="majorBidi" w:cstheme="majorBidi"/>
          <w:i/>
          <w:iCs/>
          <w:color w:val="000000" w:themeColor="text1"/>
          <w:sz w:val="20"/>
          <w:szCs w:val="20"/>
        </w:rPr>
        <w:t>Minhāj</w:t>
      </w:r>
      <w:proofErr w:type="spellEnd"/>
      <w:r w:rsidRPr="00AE2C15">
        <w:rPr>
          <w:rFonts w:asciiTheme="majorBidi" w:hAnsiTheme="majorBidi" w:cstheme="majorBidi"/>
          <w:color w:val="000000" w:themeColor="text1"/>
          <w:sz w:val="20"/>
          <w:szCs w:val="20"/>
        </w:rPr>
        <w:t>, 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gives three reasons for his omission of certain material from the </w:t>
      </w:r>
      <w:proofErr w:type="spellStart"/>
      <w:r w:rsidRPr="00AE2C15">
        <w:rPr>
          <w:rFonts w:asciiTheme="majorBidi" w:hAnsiTheme="majorBidi" w:cstheme="majorBidi"/>
          <w:i/>
          <w:iCs/>
          <w:color w:val="000000" w:themeColor="text1"/>
          <w:sz w:val="20"/>
          <w:szCs w:val="20"/>
        </w:rPr>
        <w:t>Iḥyāʾ</w:t>
      </w:r>
      <w:proofErr w:type="spellEnd"/>
      <w:r w:rsidRPr="00AE2C15">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 xml:space="preserve">either </w:t>
      </w:r>
      <w:r w:rsidRPr="00AE2C15">
        <w:rPr>
          <w:rFonts w:asciiTheme="majorBidi" w:hAnsiTheme="majorBidi" w:cstheme="majorBidi"/>
          <w:color w:val="000000" w:themeColor="text1"/>
          <w:sz w:val="20"/>
          <w:szCs w:val="20"/>
        </w:rPr>
        <w:t xml:space="preserve">(1) they consist of dubious </w:t>
      </w:r>
      <w:proofErr w:type="spellStart"/>
      <w:r w:rsidRPr="00AE2C15">
        <w:rPr>
          <w:rFonts w:asciiTheme="majorBidi" w:hAnsiTheme="majorBidi" w:cstheme="majorBidi"/>
          <w:i/>
          <w:iCs/>
          <w:color w:val="000000" w:themeColor="text1"/>
          <w:sz w:val="20"/>
          <w:szCs w:val="20"/>
        </w:rPr>
        <w:t>ḥadīth</w:t>
      </w:r>
      <w:r w:rsidRPr="00AE2C15">
        <w:rPr>
          <w:rFonts w:asciiTheme="majorBidi" w:hAnsiTheme="majorBidi" w:cstheme="majorBidi"/>
          <w:color w:val="000000" w:themeColor="text1"/>
          <w:sz w:val="20"/>
          <w:szCs w:val="20"/>
        </w:rPr>
        <w:t>s</w:t>
      </w:r>
      <w:proofErr w:type="spellEnd"/>
      <w:r w:rsidRPr="00AE2C15">
        <w:rPr>
          <w:rFonts w:asciiTheme="majorBidi" w:hAnsiTheme="majorBidi" w:cstheme="majorBidi"/>
          <w:color w:val="000000" w:themeColor="text1"/>
          <w:sz w:val="20"/>
          <w:szCs w:val="20"/>
        </w:rPr>
        <w:t xml:space="preserve"> and reports; (2) are of little benefit to the reader; or (3)</w:t>
      </w:r>
      <w:r>
        <w:rPr>
          <w:rFonts w:asciiTheme="majorBidi" w:hAnsiTheme="majorBidi" w:cstheme="majorBidi"/>
          <w:color w:val="000000" w:themeColor="text1"/>
          <w:sz w:val="20"/>
          <w:szCs w:val="20"/>
        </w:rPr>
        <w:t xml:space="preserve"> </w:t>
      </w:r>
      <w:r w:rsidRPr="00AE2C15">
        <w:rPr>
          <w:rFonts w:asciiTheme="majorBidi" w:hAnsiTheme="majorBidi" w:cstheme="majorBidi"/>
          <w:color w:val="000000" w:themeColor="text1"/>
          <w:sz w:val="20"/>
          <w:szCs w:val="20"/>
        </w:rPr>
        <w:t>have already been mentioned in a previous section. See ibid., 1:7–8. Given Ibn al-</w:t>
      </w:r>
      <w:proofErr w:type="spellStart"/>
      <w:r w:rsidRPr="00AE2C15">
        <w:rPr>
          <w:rFonts w:asciiTheme="majorBidi" w:hAnsiTheme="majorBidi" w:cstheme="majorBidi"/>
          <w:color w:val="000000" w:themeColor="text1"/>
          <w:sz w:val="20"/>
          <w:szCs w:val="20"/>
        </w:rPr>
        <w:t>Jawzī’s</w:t>
      </w:r>
      <w:proofErr w:type="spellEnd"/>
      <w:r w:rsidRPr="00AE2C15">
        <w:rPr>
          <w:rFonts w:asciiTheme="majorBidi" w:hAnsiTheme="majorBidi" w:cstheme="majorBidi"/>
          <w:color w:val="000000" w:themeColor="text1"/>
          <w:sz w:val="20"/>
          <w:szCs w:val="20"/>
        </w:rPr>
        <w:t xml:space="preserve"> strict criteria of verifying </w:t>
      </w:r>
      <w:proofErr w:type="spellStart"/>
      <w:r w:rsidRPr="00AE2C15">
        <w:rPr>
          <w:rFonts w:asciiTheme="majorBidi" w:hAnsiTheme="majorBidi" w:cstheme="majorBidi"/>
          <w:i/>
          <w:iCs/>
          <w:color w:val="000000" w:themeColor="text1"/>
          <w:sz w:val="20"/>
          <w:szCs w:val="20"/>
        </w:rPr>
        <w:t>ḥadīth</w:t>
      </w:r>
      <w:r w:rsidRPr="00AE2C15">
        <w:rPr>
          <w:rFonts w:asciiTheme="majorBidi" w:hAnsiTheme="majorBidi" w:cstheme="majorBidi"/>
          <w:color w:val="000000" w:themeColor="text1"/>
          <w:sz w:val="20"/>
          <w:szCs w:val="20"/>
        </w:rPr>
        <w:t>s</w:t>
      </w:r>
      <w:proofErr w:type="spellEnd"/>
      <w:r w:rsidRPr="00AE2C15">
        <w:rPr>
          <w:rFonts w:asciiTheme="majorBidi" w:hAnsiTheme="majorBidi" w:cstheme="majorBidi"/>
          <w:color w:val="000000" w:themeColor="text1"/>
          <w:sz w:val="20"/>
          <w:szCs w:val="20"/>
        </w:rPr>
        <w:t xml:space="preserve">, one might argue that he omitted these </w:t>
      </w:r>
      <w:proofErr w:type="spellStart"/>
      <w:r w:rsidRPr="00AE2C15">
        <w:rPr>
          <w:rFonts w:asciiTheme="majorBidi" w:hAnsiTheme="majorBidi" w:cstheme="majorBidi"/>
          <w:i/>
          <w:iCs/>
          <w:color w:val="000000" w:themeColor="text1"/>
          <w:sz w:val="20"/>
          <w:szCs w:val="20"/>
        </w:rPr>
        <w:t>ḥadīth</w:t>
      </w:r>
      <w:r w:rsidRPr="00AE2C15">
        <w:rPr>
          <w:rFonts w:asciiTheme="majorBidi" w:hAnsiTheme="majorBidi" w:cstheme="majorBidi"/>
          <w:color w:val="000000" w:themeColor="text1"/>
          <w:sz w:val="20"/>
          <w:szCs w:val="20"/>
        </w:rPr>
        <w:t>s</w:t>
      </w:r>
      <w:proofErr w:type="spellEnd"/>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 xml:space="preserve">due to their dubious origins. </w:t>
      </w:r>
      <w:r w:rsidRPr="00AE2C15">
        <w:rPr>
          <w:rFonts w:asciiTheme="majorBidi" w:hAnsiTheme="majorBidi" w:cstheme="majorBidi"/>
          <w:color w:val="000000" w:themeColor="text1"/>
          <w:sz w:val="20"/>
          <w:szCs w:val="20"/>
        </w:rPr>
        <w:t xml:space="preserve">However, in his compilation of fabricated </w:t>
      </w:r>
      <w:proofErr w:type="spellStart"/>
      <w:r w:rsidRPr="00AE2C15">
        <w:rPr>
          <w:rFonts w:asciiTheme="majorBidi" w:hAnsiTheme="majorBidi" w:cstheme="majorBidi"/>
          <w:i/>
          <w:iCs/>
          <w:color w:val="000000" w:themeColor="text1"/>
          <w:sz w:val="20"/>
          <w:szCs w:val="20"/>
        </w:rPr>
        <w:t>ḥadīth</w:t>
      </w:r>
      <w:r w:rsidRPr="00AE2C15">
        <w:rPr>
          <w:rFonts w:asciiTheme="majorBidi" w:hAnsiTheme="majorBidi" w:cstheme="majorBidi"/>
          <w:color w:val="000000" w:themeColor="text1"/>
          <w:sz w:val="20"/>
          <w:szCs w:val="20"/>
        </w:rPr>
        <w:t>s</w:t>
      </w:r>
      <w:proofErr w:type="spellEnd"/>
      <w:r w:rsidRPr="00AE2C15">
        <w:rPr>
          <w:rFonts w:asciiTheme="majorBidi" w:hAnsiTheme="majorBidi" w:cstheme="majorBidi"/>
          <w:color w:val="000000" w:themeColor="text1"/>
          <w:sz w:val="20"/>
          <w:szCs w:val="20"/>
        </w:rPr>
        <w:t xml:space="preserve">, the </w:t>
      </w:r>
      <w:proofErr w:type="spellStart"/>
      <w:r w:rsidRPr="00AE2C15">
        <w:rPr>
          <w:rFonts w:asciiTheme="majorBidi" w:hAnsiTheme="majorBidi" w:cstheme="majorBidi"/>
          <w:i/>
          <w:iCs/>
          <w:color w:val="000000" w:themeColor="text1"/>
          <w:sz w:val="20"/>
          <w:szCs w:val="20"/>
        </w:rPr>
        <w:t>Kitāb</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Mawḍūʿāt</w:t>
      </w:r>
      <w:proofErr w:type="spellEnd"/>
      <w:r w:rsidRPr="00AE2C15">
        <w:rPr>
          <w:rFonts w:asciiTheme="majorBidi" w:hAnsiTheme="majorBidi" w:cstheme="majorBidi"/>
          <w:color w:val="000000" w:themeColor="text1"/>
          <w:sz w:val="20"/>
          <w:szCs w:val="20"/>
        </w:rPr>
        <w:t xml:space="preserve">, </w:t>
      </w:r>
      <w:r w:rsidR="00D2343E">
        <w:rPr>
          <w:rFonts w:asciiTheme="majorBidi" w:hAnsiTheme="majorBidi" w:cstheme="majorBidi"/>
          <w:color w:val="000000" w:themeColor="text1"/>
          <w:sz w:val="20"/>
          <w:szCs w:val="20"/>
        </w:rPr>
        <w:t xml:space="preserve">written after the </w:t>
      </w:r>
      <w:proofErr w:type="spellStart"/>
      <w:r w:rsidR="00D2343E">
        <w:rPr>
          <w:rFonts w:asciiTheme="majorBidi" w:hAnsiTheme="majorBidi" w:cstheme="majorBidi"/>
          <w:i/>
          <w:iCs/>
          <w:color w:val="000000" w:themeColor="text1"/>
          <w:sz w:val="20"/>
          <w:szCs w:val="20"/>
        </w:rPr>
        <w:t>Iḥyāʾ</w:t>
      </w:r>
      <w:proofErr w:type="spellEnd"/>
      <w:r w:rsidR="00D2343E">
        <w:rPr>
          <w:rFonts w:asciiTheme="majorBidi" w:hAnsiTheme="majorBidi" w:cstheme="majorBidi"/>
          <w:color w:val="000000" w:themeColor="text1"/>
          <w:sz w:val="20"/>
          <w:szCs w:val="20"/>
        </w:rPr>
        <w:t xml:space="preserve">, </w:t>
      </w:r>
      <w:r w:rsidRPr="00AE2C15">
        <w:rPr>
          <w:rFonts w:asciiTheme="majorBidi" w:hAnsiTheme="majorBidi" w:cstheme="majorBidi"/>
          <w:color w:val="000000" w:themeColor="text1"/>
          <w:sz w:val="20"/>
          <w:szCs w:val="20"/>
        </w:rPr>
        <w:t xml:space="preserve">only one of the omitted </w:t>
      </w:r>
      <w:proofErr w:type="spellStart"/>
      <w:r w:rsidRPr="00AE2C15">
        <w:rPr>
          <w:rFonts w:asciiTheme="majorBidi" w:hAnsiTheme="majorBidi" w:cstheme="majorBidi"/>
          <w:i/>
          <w:iCs/>
          <w:color w:val="000000" w:themeColor="text1"/>
          <w:sz w:val="20"/>
          <w:szCs w:val="20"/>
        </w:rPr>
        <w:t>ḥadīth</w:t>
      </w:r>
      <w:r w:rsidRPr="00AE2C15">
        <w:rPr>
          <w:rFonts w:asciiTheme="majorBidi" w:hAnsiTheme="majorBidi" w:cstheme="majorBidi"/>
          <w:color w:val="000000" w:themeColor="text1"/>
          <w:sz w:val="20"/>
          <w:szCs w:val="20"/>
        </w:rPr>
        <w:t>s</w:t>
      </w:r>
      <w:proofErr w:type="spellEnd"/>
      <w:r w:rsidRPr="00AE2C15">
        <w:rPr>
          <w:rFonts w:asciiTheme="majorBidi" w:hAnsiTheme="majorBidi" w:cstheme="majorBidi"/>
          <w:color w:val="000000" w:themeColor="text1"/>
          <w:sz w:val="20"/>
          <w:szCs w:val="20"/>
        </w:rPr>
        <w:t xml:space="preserve"> is listed,</w:t>
      </w:r>
      <w:r>
        <w:rPr>
          <w:rFonts w:asciiTheme="majorBidi" w:hAnsiTheme="majorBidi" w:cstheme="majorBidi"/>
          <w:color w:val="000000" w:themeColor="text1"/>
          <w:sz w:val="20"/>
          <w:szCs w:val="20"/>
        </w:rPr>
        <w:t xml:space="preserve"> that</w:t>
      </w:r>
      <w:r w:rsidRPr="00AE2C15">
        <w:rPr>
          <w:rFonts w:asciiTheme="majorBidi" w:hAnsiTheme="majorBidi" w:cstheme="majorBidi"/>
          <w:color w:val="000000" w:themeColor="text1"/>
          <w:sz w:val="20"/>
          <w:szCs w:val="20"/>
        </w:rPr>
        <w:t xml:space="preserve"> is</w:t>
      </w:r>
      <w:r>
        <w:rPr>
          <w:rFonts w:asciiTheme="majorBidi" w:hAnsiTheme="majorBidi" w:cstheme="majorBidi"/>
          <w:color w:val="000000" w:themeColor="text1"/>
          <w:sz w:val="20"/>
          <w:szCs w:val="20"/>
        </w:rPr>
        <w:t>,</w:t>
      </w:r>
      <w:r w:rsidRPr="00AE2C15">
        <w:rPr>
          <w:rFonts w:asciiTheme="majorBidi" w:hAnsiTheme="majorBidi" w:cstheme="majorBidi"/>
          <w:color w:val="000000" w:themeColor="text1"/>
          <w:sz w:val="20"/>
          <w:szCs w:val="20"/>
        </w:rPr>
        <w:t xml:space="preserve"> the one related on the authority of Anas b. </w:t>
      </w:r>
      <w:proofErr w:type="spellStart"/>
      <w:r w:rsidRPr="00AE2C15">
        <w:rPr>
          <w:rFonts w:asciiTheme="majorBidi" w:hAnsiTheme="majorBidi" w:cstheme="majorBidi"/>
          <w:color w:val="000000" w:themeColor="text1"/>
          <w:sz w:val="20"/>
          <w:szCs w:val="20"/>
        </w:rPr>
        <w:t>Mālik</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sz w:val="20"/>
          <w:szCs w:val="20"/>
        </w:rPr>
        <w:t>“Scholars are the trustees (</w:t>
      </w:r>
      <w:proofErr w:type="spellStart"/>
      <w:r w:rsidRPr="00AE2C15">
        <w:rPr>
          <w:rFonts w:asciiTheme="majorBidi" w:hAnsiTheme="majorBidi" w:cstheme="majorBidi"/>
          <w:i/>
          <w:iCs/>
          <w:sz w:val="20"/>
          <w:szCs w:val="20"/>
        </w:rPr>
        <w:t>umanāʾ</w:t>
      </w:r>
      <w:proofErr w:type="spellEnd"/>
      <w:r w:rsidRPr="00AE2C15">
        <w:rPr>
          <w:rFonts w:asciiTheme="majorBidi" w:hAnsiTheme="majorBidi" w:cstheme="majorBidi"/>
          <w:sz w:val="20"/>
          <w:szCs w:val="20"/>
        </w:rPr>
        <w:t xml:space="preserve">) of the messengers over those who worship God, as long as they do not mix with rulers. If they do so, they would have betrayed [the trust of] the messengers. Beware of [such scholars] and keep away from them.” See </w:t>
      </w:r>
      <w:proofErr w:type="spellStart"/>
      <w:r w:rsidRPr="00AE2C15">
        <w:rPr>
          <w:rFonts w:asciiTheme="majorBidi" w:hAnsiTheme="majorBidi" w:cstheme="majorBidi"/>
          <w:i/>
          <w:iCs/>
          <w:sz w:val="20"/>
          <w:szCs w:val="20"/>
        </w:rPr>
        <w:t>Kitāb</w:t>
      </w:r>
      <w:proofErr w:type="spellEnd"/>
      <w:r w:rsidRPr="00AE2C15">
        <w:rPr>
          <w:rFonts w:asciiTheme="majorBidi" w:hAnsiTheme="majorBidi" w:cstheme="majorBidi"/>
          <w:i/>
          <w:iCs/>
          <w:sz w:val="20"/>
          <w:szCs w:val="20"/>
        </w:rPr>
        <w:t xml:space="preserve"> al-</w:t>
      </w:r>
      <w:proofErr w:type="spellStart"/>
      <w:r w:rsidRPr="00AE2C15">
        <w:rPr>
          <w:rFonts w:asciiTheme="majorBidi" w:hAnsiTheme="majorBidi" w:cstheme="majorBidi"/>
          <w:i/>
          <w:iCs/>
          <w:sz w:val="20"/>
          <w:szCs w:val="20"/>
        </w:rPr>
        <w:t>Mawḍūʿāt</w:t>
      </w:r>
      <w:proofErr w:type="spellEnd"/>
      <w:r w:rsidRPr="00AE2C15">
        <w:rPr>
          <w:rFonts w:asciiTheme="majorBidi" w:hAnsiTheme="majorBidi" w:cstheme="majorBidi"/>
          <w:sz w:val="20"/>
          <w:szCs w:val="20"/>
        </w:rPr>
        <w:t xml:space="preserve">, ed. </w:t>
      </w:r>
      <w:proofErr w:type="spellStart"/>
      <w:r w:rsidRPr="00AE2C15">
        <w:rPr>
          <w:rFonts w:asciiTheme="majorBidi" w:hAnsiTheme="majorBidi" w:cstheme="majorBidi"/>
          <w:sz w:val="20"/>
          <w:szCs w:val="20"/>
        </w:rPr>
        <w:t>ʿAbd</w:t>
      </w:r>
      <w:proofErr w:type="spellEnd"/>
      <w:r w:rsidRPr="00AE2C15">
        <w:rPr>
          <w:rFonts w:asciiTheme="majorBidi" w:hAnsiTheme="majorBidi" w:cstheme="majorBidi"/>
          <w:sz w:val="20"/>
          <w:szCs w:val="20"/>
        </w:rPr>
        <w:t xml:space="preserve"> al-</w:t>
      </w:r>
      <w:proofErr w:type="spellStart"/>
      <w:r w:rsidRPr="00AE2C15">
        <w:rPr>
          <w:rFonts w:asciiTheme="majorBidi" w:hAnsiTheme="majorBidi" w:cstheme="majorBidi"/>
          <w:sz w:val="20"/>
          <w:szCs w:val="20"/>
        </w:rPr>
        <w:t>Raḥmān</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sz w:val="20"/>
          <w:szCs w:val="20"/>
        </w:rPr>
        <w:t>Muḥammad</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sz w:val="20"/>
          <w:szCs w:val="20"/>
        </w:rPr>
        <w:t>ʿUthmān</w:t>
      </w:r>
      <w:proofErr w:type="spellEnd"/>
      <w:r w:rsidRPr="00AE2C15">
        <w:rPr>
          <w:rFonts w:asciiTheme="majorBidi" w:hAnsiTheme="majorBidi" w:cstheme="majorBidi"/>
          <w:sz w:val="20"/>
          <w:szCs w:val="20"/>
        </w:rPr>
        <w:t xml:space="preserve"> (Medina: al-</w:t>
      </w:r>
      <w:proofErr w:type="spellStart"/>
      <w:r w:rsidRPr="00AE2C15">
        <w:rPr>
          <w:rFonts w:asciiTheme="majorBidi" w:hAnsiTheme="majorBidi" w:cstheme="majorBidi"/>
          <w:sz w:val="20"/>
          <w:szCs w:val="20"/>
        </w:rPr>
        <w:t>Maktaba</w:t>
      </w:r>
      <w:proofErr w:type="spellEnd"/>
      <w:r w:rsidRPr="00AE2C15">
        <w:rPr>
          <w:rFonts w:asciiTheme="majorBidi" w:hAnsiTheme="majorBidi" w:cstheme="majorBidi"/>
          <w:sz w:val="20"/>
          <w:szCs w:val="20"/>
        </w:rPr>
        <w:t xml:space="preserve"> al-</w:t>
      </w:r>
      <w:proofErr w:type="spellStart"/>
      <w:r w:rsidRPr="00AE2C15">
        <w:rPr>
          <w:rFonts w:asciiTheme="majorBidi" w:hAnsiTheme="majorBidi" w:cstheme="majorBidi"/>
          <w:sz w:val="20"/>
          <w:szCs w:val="20"/>
        </w:rPr>
        <w:t>Salafiyya</w:t>
      </w:r>
      <w:proofErr w:type="spellEnd"/>
      <w:r w:rsidRPr="00AE2C15">
        <w:rPr>
          <w:rFonts w:asciiTheme="majorBidi" w:hAnsiTheme="majorBidi" w:cstheme="majorBidi"/>
          <w:sz w:val="20"/>
          <w:szCs w:val="20"/>
        </w:rPr>
        <w:t xml:space="preserve">, 1966): 1:262–63. It is thus reasonable to conclude that he omitted the others because he found no benefit in them </w:t>
      </w:r>
      <w:r>
        <w:rPr>
          <w:rFonts w:asciiTheme="majorBidi" w:hAnsiTheme="majorBidi" w:cstheme="majorBidi"/>
          <w:sz w:val="20"/>
          <w:szCs w:val="20"/>
        </w:rPr>
        <w:t xml:space="preserve">for the reader </w:t>
      </w:r>
      <w:r w:rsidRPr="00AE2C15">
        <w:rPr>
          <w:rFonts w:asciiTheme="majorBidi" w:hAnsiTheme="majorBidi" w:cstheme="majorBidi"/>
          <w:sz w:val="20"/>
          <w:szCs w:val="20"/>
        </w:rPr>
        <w:t>or that he disagreed with the message they conveyed.</w:t>
      </w:r>
    </w:p>
  </w:footnote>
  <w:footnote w:id="70">
    <w:p w14:paraId="4DAE59C2" w14:textId="5EB8FFF2"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Note that the second half of this </w:t>
      </w:r>
      <w:proofErr w:type="spellStart"/>
      <w:r w:rsidRPr="00AE2C15">
        <w:rPr>
          <w:rFonts w:asciiTheme="majorBidi" w:hAnsiTheme="majorBidi" w:cstheme="majorBidi"/>
          <w:i/>
          <w:iCs/>
          <w:color w:val="000000" w:themeColor="text1"/>
          <w:sz w:val="20"/>
          <w:szCs w:val="20"/>
        </w:rPr>
        <w:t>ḥadīth</w:t>
      </w:r>
      <w:proofErr w:type="spellEnd"/>
      <w:r w:rsidRPr="00AE2C15">
        <w:rPr>
          <w:rFonts w:asciiTheme="majorBidi" w:hAnsiTheme="majorBidi" w:cstheme="majorBidi"/>
          <w:color w:val="000000" w:themeColor="text1"/>
          <w:sz w:val="20"/>
          <w:szCs w:val="20"/>
        </w:rPr>
        <w:t xml:space="preserve"> is </w:t>
      </w:r>
      <w:r>
        <w:rPr>
          <w:rFonts w:asciiTheme="majorBidi" w:hAnsiTheme="majorBidi" w:cstheme="majorBidi"/>
          <w:color w:val="000000" w:themeColor="text1"/>
          <w:sz w:val="20"/>
          <w:szCs w:val="20"/>
        </w:rPr>
        <w:t xml:space="preserve">mostly </w:t>
      </w:r>
      <w:r w:rsidRPr="00AE2C15">
        <w:rPr>
          <w:rFonts w:asciiTheme="majorBidi" w:hAnsiTheme="majorBidi" w:cstheme="majorBidi"/>
          <w:color w:val="000000" w:themeColor="text1"/>
          <w:sz w:val="20"/>
          <w:szCs w:val="20"/>
        </w:rPr>
        <w:t xml:space="preserve">similar in wording with the </w:t>
      </w:r>
      <w:proofErr w:type="spellStart"/>
      <w:r w:rsidRPr="00AE2C15">
        <w:rPr>
          <w:rFonts w:asciiTheme="majorBidi" w:hAnsiTheme="majorBidi" w:cstheme="majorBidi"/>
          <w:i/>
          <w:iCs/>
          <w:color w:val="000000" w:themeColor="text1"/>
          <w:sz w:val="20"/>
          <w:szCs w:val="20"/>
        </w:rPr>
        <w:t>ḥadīth</w:t>
      </w:r>
      <w:proofErr w:type="spellEnd"/>
      <w:r w:rsidRPr="00AE2C15">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related by</w:t>
      </w:r>
      <w:r w:rsidRPr="00AE2C15">
        <w:rPr>
          <w:rFonts w:asciiTheme="majorBidi" w:hAnsiTheme="majorBidi" w:cstheme="majorBidi"/>
          <w:color w:val="000000" w:themeColor="text1"/>
          <w:sz w:val="20"/>
          <w:szCs w:val="20"/>
        </w:rPr>
        <w:t xml:space="preserve"> </w:t>
      </w:r>
      <w:r w:rsidRPr="00AE2C15">
        <w:rPr>
          <w:rFonts w:asciiTheme="majorBidi" w:hAnsiTheme="majorBidi" w:cstheme="majorBidi"/>
          <w:sz w:val="20"/>
          <w:szCs w:val="20"/>
        </w:rPr>
        <w:t>al-</w:t>
      </w:r>
      <w:proofErr w:type="spellStart"/>
      <w:r w:rsidRPr="00AE2C15">
        <w:rPr>
          <w:rFonts w:asciiTheme="majorBidi" w:hAnsiTheme="majorBidi" w:cstheme="majorBidi"/>
          <w:sz w:val="20"/>
          <w:szCs w:val="20"/>
        </w:rPr>
        <w:t>Fuḍayl</w:t>
      </w:r>
      <w:proofErr w:type="spellEnd"/>
      <w:r w:rsidRPr="00AE2C15">
        <w:rPr>
          <w:rFonts w:asciiTheme="majorBidi" w:hAnsiTheme="majorBidi" w:cstheme="majorBidi"/>
          <w:sz w:val="20"/>
          <w:szCs w:val="20"/>
        </w:rPr>
        <w:t xml:space="preserve"> b. </w:t>
      </w:r>
      <w:proofErr w:type="spellStart"/>
      <w:r w:rsidRPr="00AE2C15">
        <w:rPr>
          <w:rFonts w:asciiTheme="majorBidi" w:hAnsiTheme="majorBidi" w:cstheme="majorBidi"/>
          <w:sz w:val="20"/>
          <w:szCs w:val="20"/>
        </w:rPr>
        <w:t>ʿIyāḍ</w:t>
      </w:r>
      <w:proofErr w:type="spellEnd"/>
      <w:r>
        <w:rPr>
          <w:rFonts w:asciiTheme="majorBidi" w:hAnsiTheme="majorBidi" w:cstheme="majorBidi"/>
          <w:sz w:val="20"/>
          <w:szCs w:val="20"/>
        </w:rPr>
        <w:t xml:space="preserve">, </w:t>
      </w:r>
      <w:r w:rsidRPr="00AE2C15">
        <w:rPr>
          <w:rFonts w:asciiTheme="majorBidi" w:hAnsiTheme="majorBidi" w:cstheme="majorBidi"/>
          <w:sz w:val="20"/>
          <w:szCs w:val="20"/>
        </w:rPr>
        <w:t xml:space="preserve">mentioned in the </w:t>
      </w:r>
      <w:proofErr w:type="spellStart"/>
      <w:r w:rsidRPr="00AE2C15">
        <w:rPr>
          <w:rFonts w:asciiTheme="majorBidi" w:hAnsiTheme="majorBidi" w:cstheme="majorBidi"/>
          <w:i/>
          <w:iCs/>
          <w:sz w:val="20"/>
          <w:szCs w:val="20"/>
        </w:rPr>
        <w:t>Iḥyāʾ</w:t>
      </w:r>
      <w:proofErr w:type="spellEnd"/>
      <w:r w:rsidRPr="00AE2C15">
        <w:rPr>
          <w:rFonts w:asciiTheme="majorBidi" w:hAnsiTheme="majorBidi" w:cstheme="majorBidi"/>
          <w:sz w:val="20"/>
          <w:szCs w:val="20"/>
        </w:rPr>
        <w:t>: “No man draws closer to a holder of power (</w:t>
      </w:r>
      <w:proofErr w:type="spellStart"/>
      <w:r w:rsidRPr="00AE2C15">
        <w:rPr>
          <w:rFonts w:asciiTheme="majorBidi" w:hAnsiTheme="majorBidi" w:cstheme="majorBidi"/>
          <w:i/>
          <w:iCs/>
          <w:sz w:val="20"/>
          <w:szCs w:val="20"/>
        </w:rPr>
        <w:t>dhū</w:t>
      </w:r>
      <w:proofErr w:type="spellEnd"/>
      <w:r w:rsidRPr="00AE2C15">
        <w:rPr>
          <w:rFonts w:asciiTheme="majorBidi" w:hAnsiTheme="majorBidi" w:cstheme="majorBidi"/>
          <w:i/>
          <w:iCs/>
          <w:sz w:val="20"/>
          <w:szCs w:val="20"/>
        </w:rPr>
        <w:t xml:space="preserve"> </w:t>
      </w:r>
      <w:proofErr w:type="spellStart"/>
      <w:r w:rsidRPr="00AE2C15">
        <w:rPr>
          <w:rFonts w:asciiTheme="majorBidi" w:hAnsiTheme="majorBidi" w:cstheme="majorBidi"/>
          <w:i/>
          <w:iCs/>
          <w:sz w:val="20"/>
          <w:szCs w:val="20"/>
        </w:rPr>
        <w:t>sulṭān</w:t>
      </w:r>
      <w:proofErr w:type="spellEnd"/>
      <w:r w:rsidRPr="00AE2C15">
        <w:rPr>
          <w:rFonts w:asciiTheme="majorBidi" w:hAnsiTheme="majorBidi" w:cstheme="majorBidi"/>
          <w:sz w:val="20"/>
          <w:szCs w:val="20"/>
        </w:rPr>
        <w:t>) without becoming more distant from God.”</w:t>
      </w:r>
    </w:p>
  </w:footnote>
  <w:footnote w:id="71">
    <w:p w14:paraId="41D804E7" w14:textId="44E6EB9A"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sz w:val="20"/>
          <w:szCs w:val="20"/>
        </w:rPr>
        <w:t>Minhāj</w:t>
      </w:r>
      <w:proofErr w:type="spellEnd"/>
      <w:r w:rsidRPr="00AE2C15">
        <w:rPr>
          <w:rFonts w:asciiTheme="majorBidi" w:hAnsiTheme="majorBidi" w:cstheme="majorBidi"/>
          <w:color w:val="000000" w:themeColor="text1"/>
          <w:sz w:val="20"/>
          <w:szCs w:val="20"/>
        </w:rPr>
        <w:t>, 1:404–5.</w:t>
      </w:r>
    </w:p>
  </w:footnote>
  <w:footnote w:id="72">
    <w:p w14:paraId="48CEC563" w14:textId="75C88B70"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Other </w:t>
      </w:r>
      <w:r>
        <w:rPr>
          <w:rFonts w:asciiTheme="majorBidi" w:hAnsiTheme="majorBidi" w:cstheme="majorBidi"/>
          <w:color w:val="000000" w:themeColor="text1"/>
          <w:sz w:val="20"/>
          <w:szCs w:val="20"/>
        </w:rPr>
        <w:t xml:space="preserve">examples of </w:t>
      </w:r>
      <w:r w:rsidRPr="00AE2C15">
        <w:rPr>
          <w:rFonts w:asciiTheme="majorBidi" w:hAnsiTheme="majorBidi" w:cstheme="majorBidi"/>
          <w:color w:val="000000" w:themeColor="text1"/>
          <w:sz w:val="20"/>
          <w:szCs w:val="20"/>
        </w:rPr>
        <w:t>works in this genre include al-</w:t>
      </w:r>
      <w:proofErr w:type="spellStart"/>
      <w:r w:rsidRPr="00AE2C15">
        <w:rPr>
          <w:rFonts w:asciiTheme="majorBidi" w:hAnsiTheme="majorBidi" w:cstheme="majorBidi"/>
          <w:color w:val="000000" w:themeColor="text1"/>
          <w:sz w:val="20"/>
          <w:szCs w:val="20"/>
        </w:rPr>
        <w:t>Suyūṭī’s</w:t>
      </w:r>
      <w:proofErr w:type="spellEnd"/>
      <w:r w:rsidRPr="00AE2C15">
        <w:rPr>
          <w:rFonts w:asciiTheme="majorBidi" w:hAnsiTheme="majorBidi" w:cstheme="majorBidi"/>
          <w:color w:val="000000" w:themeColor="text1"/>
          <w:sz w:val="20"/>
          <w:szCs w:val="20"/>
        </w:rPr>
        <w:t xml:space="preserve"> (d. 911/1505) </w:t>
      </w:r>
      <w:proofErr w:type="spellStart"/>
      <w:r w:rsidRPr="00AE2C15">
        <w:rPr>
          <w:rFonts w:asciiTheme="majorBidi" w:hAnsiTheme="majorBidi" w:cstheme="majorBidi"/>
          <w:i/>
          <w:iCs/>
          <w:color w:val="000000" w:themeColor="text1"/>
          <w:sz w:val="20"/>
          <w:szCs w:val="20"/>
        </w:rPr>
        <w:t>Mā</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rawāhu</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asāṭīn</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fī</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ʿadm</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majīʾ</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ilā’l-salāṭīn</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What the Notables Have Transmitted about Not Going to the Rulers</w:t>
      </w:r>
      <w:r w:rsidRPr="00AE2C15">
        <w:rPr>
          <w:rFonts w:asciiTheme="majorBidi" w:hAnsiTheme="majorBidi" w:cstheme="majorBidi"/>
          <w:color w:val="000000" w:themeColor="text1"/>
          <w:sz w:val="20"/>
          <w:szCs w:val="20"/>
        </w:rPr>
        <w:t xml:space="preserve">) and </w:t>
      </w:r>
      <w:proofErr w:type="spellStart"/>
      <w:r w:rsidRPr="00AE2C15">
        <w:rPr>
          <w:rFonts w:asciiTheme="majorBidi" w:hAnsiTheme="majorBidi" w:cstheme="majorBidi"/>
          <w:color w:val="000000" w:themeColor="text1"/>
          <w:sz w:val="20"/>
          <w:szCs w:val="20"/>
        </w:rPr>
        <w:t>ʿAlī</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Qārī’s</w:t>
      </w:r>
      <w:proofErr w:type="spellEnd"/>
      <w:r w:rsidRPr="00AE2C15">
        <w:rPr>
          <w:rFonts w:asciiTheme="majorBidi" w:hAnsiTheme="majorBidi" w:cstheme="majorBidi"/>
          <w:color w:val="000000" w:themeColor="text1"/>
          <w:sz w:val="20"/>
          <w:szCs w:val="20"/>
        </w:rPr>
        <w:t xml:space="preserve"> (d. 1014/1606) </w:t>
      </w:r>
      <w:proofErr w:type="spellStart"/>
      <w:r w:rsidRPr="00AE2C15">
        <w:rPr>
          <w:rFonts w:asciiTheme="majorBidi" w:hAnsiTheme="majorBidi" w:cstheme="majorBidi"/>
          <w:i/>
          <w:iCs/>
          <w:color w:val="000000" w:themeColor="text1"/>
          <w:sz w:val="20"/>
          <w:szCs w:val="20"/>
        </w:rPr>
        <w:t>Tabʿīd</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ʿulamāʾ</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ʿan</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taqrīb</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umarāʾ</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color w:val="000000" w:themeColor="text1"/>
          <w:sz w:val="20"/>
          <w:szCs w:val="20"/>
        </w:rPr>
        <w:t>The Distancing of the Scholars from Proximity to the Rulers</w:t>
      </w:r>
      <w:r w:rsidRPr="00AE2C15">
        <w:rPr>
          <w:rFonts w:asciiTheme="majorBidi" w:hAnsiTheme="majorBidi" w:cstheme="majorBidi"/>
          <w:color w:val="000000" w:themeColor="text1"/>
          <w:sz w:val="20"/>
          <w:szCs w:val="20"/>
        </w:rPr>
        <w:t>). For an analysis of al-</w:t>
      </w:r>
      <w:proofErr w:type="spellStart"/>
      <w:r w:rsidRPr="00AE2C15">
        <w:rPr>
          <w:rFonts w:asciiTheme="majorBidi" w:hAnsiTheme="majorBidi" w:cstheme="majorBidi"/>
          <w:color w:val="000000" w:themeColor="text1"/>
          <w:sz w:val="20"/>
          <w:szCs w:val="20"/>
        </w:rPr>
        <w:t>Suyūṭī’s</w:t>
      </w:r>
      <w:proofErr w:type="spellEnd"/>
      <w:r w:rsidRPr="00AE2C15">
        <w:rPr>
          <w:rFonts w:asciiTheme="majorBidi" w:hAnsiTheme="majorBidi" w:cstheme="majorBidi"/>
          <w:color w:val="000000" w:themeColor="text1"/>
          <w:sz w:val="20"/>
          <w:szCs w:val="20"/>
        </w:rPr>
        <w:t xml:space="preserve"> treatise, see Christian </w:t>
      </w:r>
      <w:proofErr w:type="spellStart"/>
      <w:r w:rsidRPr="00AE2C15">
        <w:rPr>
          <w:rFonts w:asciiTheme="majorBidi" w:hAnsiTheme="majorBidi" w:cstheme="majorBidi"/>
          <w:color w:val="000000" w:themeColor="text1"/>
          <w:sz w:val="20"/>
          <w:szCs w:val="20"/>
        </w:rPr>
        <w:t>Mauder</w:t>
      </w:r>
      <w:proofErr w:type="spellEnd"/>
      <w:r w:rsidRPr="00AE2C15">
        <w:rPr>
          <w:rFonts w:asciiTheme="majorBidi" w:hAnsiTheme="majorBidi" w:cstheme="majorBidi"/>
          <w:color w:val="000000" w:themeColor="text1"/>
          <w:sz w:val="20"/>
          <w:szCs w:val="20"/>
        </w:rPr>
        <w:t>, “Al-</w:t>
      </w:r>
      <w:proofErr w:type="spellStart"/>
      <w:r w:rsidRPr="00AE2C15">
        <w:rPr>
          <w:rFonts w:asciiTheme="majorBidi" w:hAnsiTheme="majorBidi" w:cstheme="majorBidi"/>
          <w:color w:val="000000" w:themeColor="text1"/>
          <w:sz w:val="20"/>
          <w:szCs w:val="20"/>
        </w:rPr>
        <w:t>Suyūṭī’s</w:t>
      </w:r>
      <w:proofErr w:type="spellEnd"/>
      <w:r w:rsidRPr="00AE2C15">
        <w:rPr>
          <w:rFonts w:asciiTheme="majorBidi" w:hAnsiTheme="majorBidi" w:cstheme="majorBidi"/>
          <w:color w:val="000000" w:themeColor="text1"/>
          <w:sz w:val="20"/>
          <w:szCs w:val="20"/>
        </w:rPr>
        <w:t xml:space="preserve"> Stance Toward Worldly Power: A Reexamination Based on Unpublished and Understudied Sources,” in </w:t>
      </w:r>
      <w:r w:rsidRPr="00AE2C15">
        <w:rPr>
          <w:rFonts w:asciiTheme="majorBidi" w:hAnsiTheme="majorBidi" w:cstheme="majorBidi"/>
          <w:i/>
          <w:iCs/>
          <w:color w:val="000000" w:themeColor="text1"/>
          <w:sz w:val="20"/>
          <w:szCs w:val="20"/>
        </w:rPr>
        <w:t>Al-</w:t>
      </w:r>
      <w:proofErr w:type="spellStart"/>
      <w:r w:rsidRPr="00AE2C15">
        <w:rPr>
          <w:rFonts w:asciiTheme="majorBidi" w:hAnsiTheme="majorBidi" w:cstheme="majorBidi"/>
          <w:i/>
          <w:iCs/>
          <w:color w:val="000000" w:themeColor="text1"/>
          <w:sz w:val="20"/>
          <w:szCs w:val="20"/>
        </w:rPr>
        <w:t>Suyūṭī</w:t>
      </w:r>
      <w:proofErr w:type="spellEnd"/>
      <w:r w:rsidRPr="00AE2C15">
        <w:rPr>
          <w:rFonts w:asciiTheme="majorBidi" w:hAnsiTheme="majorBidi" w:cstheme="majorBidi"/>
          <w:i/>
          <w:iCs/>
          <w:color w:val="000000" w:themeColor="text1"/>
          <w:sz w:val="20"/>
          <w:szCs w:val="20"/>
        </w:rPr>
        <w:t xml:space="preserve">, a Polymath of the </w:t>
      </w:r>
      <w:proofErr w:type="spellStart"/>
      <w:r w:rsidRPr="00AE2C15">
        <w:rPr>
          <w:rFonts w:asciiTheme="majorBidi" w:hAnsiTheme="majorBidi" w:cstheme="majorBidi"/>
          <w:i/>
          <w:iCs/>
          <w:color w:val="000000" w:themeColor="text1"/>
          <w:sz w:val="20"/>
          <w:szCs w:val="20"/>
        </w:rPr>
        <w:t>Mamlūk</w:t>
      </w:r>
      <w:proofErr w:type="spellEnd"/>
      <w:r w:rsidRPr="00AE2C15">
        <w:rPr>
          <w:rFonts w:asciiTheme="majorBidi" w:hAnsiTheme="majorBidi" w:cstheme="majorBidi"/>
          <w:i/>
          <w:iCs/>
          <w:color w:val="000000" w:themeColor="text1"/>
          <w:sz w:val="20"/>
          <w:szCs w:val="20"/>
        </w:rPr>
        <w:t xml:space="preserve"> Period</w:t>
      </w:r>
      <w:r w:rsidRPr="00AE2C15">
        <w:rPr>
          <w:rFonts w:asciiTheme="majorBidi" w:hAnsiTheme="majorBidi" w:cstheme="majorBidi"/>
          <w:color w:val="000000" w:themeColor="text1"/>
          <w:sz w:val="20"/>
          <w:szCs w:val="20"/>
        </w:rPr>
        <w:t xml:space="preserve">, ed. Antonella </w:t>
      </w:r>
      <w:proofErr w:type="spellStart"/>
      <w:r w:rsidRPr="00AE2C15">
        <w:rPr>
          <w:rFonts w:asciiTheme="majorBidi" w:hAnsiTheme="majorBidi" w:cstheme="majorBidi"/>
          <w:color w:val="000000" w:themeColor="text1"/>
          <w:sz w:val="20"/>
          <w:szCs w:val="20"/>
        </w:rPr>
        <w:t>Ghersetti</w:t>
      </w:r>
      <w:proofErr w:type="spellEnd"/>
      <w:r w:rsidRPr="00AE2C15">
        <w:rPr>
          <w:rFonts w:asciiTheme="majorBidi" w:hAnsiTheme="majorBidi" w:cstheme="majorBidi"/>
          <w:color w:val="000000" w:themeColor="text1"/>
          <w:sz w:val="20"/>
          <w:szCs w:val="20"/>
        </w:rPr>
        <w:t xml:space="preserve"> (Leiden: Brill, 2017), 81–97.</w:t>
      </w:r>
    </w:p>
  </w:footnote>
  <w:footnote w:id="73">
    <w:p w14:paraId="7BE55D80" w14:textId="4187AECD"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It would have been written after the completion of </w:t>
      </w:r>
      <w:r w:rsidRPr="00AE2C15">
        <w:rPr>
          <w:rFonts w:asciiTheme="majorBidi" w:hAnsiTheme="majorBidi" w:cstheme="majorBidi"/>
          <w:i/>
          <w:iCs/>
          <w:color w:val="000000" w:themeColor="text1"/>
          <w:sz w:val="20"/>
          <w:szCs w:val="20"/>
        </w:rPr>
        <w:t>al-</w:t>
      </w:r>
      <w:proofErr w:type="spellStart"/>
      <w:r w:rsidRPr="00AE2C15">
        <w:rPr>
          <w:rFonts w:asciiTheme="majorBidi" w:hAnsiTheme="majorBidi" w:cstheme="majorBidi"/>
          <w:i/>
          <w:iCs/>
          <w:color w:val="000000" w:themeColor="text1"/>
          <w:sz w:val="20"/>
          <w:szCs w:val="20"/>
        </w:rPr>
        <w:t>Miṣbāḥ</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muḍīʾ</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fī</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khilāfat</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Mustaḍīʾ</w:t>
      </w:r>
      <w:proofErr w:type="spellEnd"/>
      <w:r w:rsidRPr="00AE2C15">
        <w:rPr>
          <w:rFonts w:asciiTheme="majorBidi" w:hAnsiTheme="majorBidi" w:cstheme="majorBidi"/>
          <w:color w:val="000000" w:themeColor="text1"/>
          <w:sz w:val="20"/>
          <w:szCs w:val="20"/>
        </w:rPr>
        <w:t>, a mirror for princes dedicated to al-</w:t>
      </w:r>
      <w:proofErr w:type="spellStart"/>
      <w:r w:rsidRPr="00AE2C15">
        <w:rPr>
          <w:rFonts w:asciiTheme="majorBidi" w:hAnsiTheme="majorBidi" w:cstheme="majorBidi"/>
          <w:color w:val="000000" w:themeColor="text1"/>
          <w:sz w:val="20"/>
          <w:szCs w:val="20"/>
        </w:rPr>
        <w:t>Mustaḍīʾ</w:t>
      </w:r>
      <w:proofErr w:type="spellEnd"/>
      <w:r w:rsidRPr="00AE2C15">
        <w:rPr>
          <w:rFonts w:asciiTheme="majorBidi" w:hAnsiTheme="majorBidi" w:cstheme="majorBidi"/>
          <w:color w:val="000000" w:themeColor="text1"/>
          <w:sz w:val="20"/>
          <w:szCs w:val="20"/>
        </w:rPr>
        <w:t xml:space="preserve">, since it specifically mentions the </w:t>
      </w:r>
      <w:proofErr w:type="spellStart"/>
      <w:r w:rsidRPr="00AE2C15">
        <w:rPr>
          <w:rFonts w:asciiTheme="majorBidi" w:hAnsiTheme="majorBidi" w:cstheme="majorBidi"/>
          <w:i/>
          <w:iCs/>
          <w:color w:val="000000" w:themeColor="text1"/>
          <w:sz w:val="20"/>
          <w:szCs w:val="20"/>
        </w:rPr>
        <w:t>Miṣbāḥ</w:t>
      </w:r>
      <w:proofErr w:type="spellEnd"/>
      <w:r w:rsidRPr="00AE2C15">
        <w:rPr>
          <w:rFonts w:asciiTheme="majorBidi" w:hAnsiTheme="majorBidi" w:cstheme="majorBidi"/>
          <w:color w:val="000000" w:themeColor="text1"/>
          <w:sz w:val="20"/>
          <w:szCs w:val="20"/>
        </w:rPr>
        <w:t xml:space="preserve"> in one instance. </w:t>
      </w:r>
      <w:proofErr w:type="spellStart"/>
      <w:r w:rsidRPr="00AE2C15">
        <w:rPr>
          <w:rFonts w:asciiTheme="majorBidi" w:hAnsiTheme="majorBidi" w:cstheme="majorBidi"/>
          <w:color w:val="000000" w:themeColor="text1"/>
          <w:sz w:val="20"/>
          <w:szCs w:val="20"/>
        </w:rPr>
        <w:t>Nājiya</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Ibrāhīm</w:t>
      </w:r>
      <w:proofErr w:type="spellEnd"/>
      <w:r w:rsidRPr="00AE2C15">
        <w:rPr>
          <w:rFonts w:asciiTheme="majorBidi" w:hAnsiTheme="majorBidi" w:cstheme="majorBidi"/>
          <w:color w:val="000000" w:themeColor="text1"/>
          <w:sz w:val="20"/>
          <w:szCs w:val="20"/>
        </w:rPr>
        <w:t xml:space="preserve"> claims that the </w:t>
      </w:r>
      <w:proofErr w:type="spellStart"/>
      <w:r w:rsidRPr="00AE2C15">
        <w:rPr>
          <w:rFonts w:asciiTheme="majorBidi" w:hAnsiTheme="majorBidi" w:cstheme="majorBidi"/>
          <w:i/>
          <w:iCs/>
          <w:color w:val="000000" w:themeColor="text1"/>
          <w:sz w:val="20"/>
          <w:szCs w:val="20"/>
        </w:rPr>
        <w:t>Miṣbāḥ</w:t>
      </w:r>
      <w:proofErr w:type="spellEnd"/>
      <w:r w:rsidRPr="00AE2C15">
        <w:rPr>
          <w:rFonts w:asciiTheme="majorBidi" w:hAnsiTheme="majorBidi" w:cstheme="majorBidi"/>
          <w:color w:val="000000" w:themeColor="text1"/>
          <w:sz w:val="20"/>
          <w:szCs w:val="20"/>
        </w:rPr>
        <w:t xml:space="preserve"> was completed shortly after the oath of allegiance (</w:t>
      </w:r>
      <w:proofErr w:type="spellStart"/>
      <w:r w:rsidRPr="00AE2C15">
        <w:rPr>
          <w:rFonts w:asciiTheme="majorBidi" w:hAnsiTheme="majorBidi" w:cstheme="majorBidi"/>
          <w:i/>
          <w:iCs/>
          <w:color w:val="000000" w:themeColor="text1"/>
          <w:sz w:val="20"/>
          <w:szCs w:val="20"/>
        </w:rPr>
        <w:t>bayʿa</w:t>
      </w:r>
      <w:proofErr w:type="spellEnd"/>
      <w:r w:rsidRPr="00AE2C15">
        <w:rPr>
          <w:rFonts w:asciiTheme="majorBidi" w:hAnsiTheme="majorBidi" w:cstheme="majorBidi"/>
          <w:color w:val="000000" w:themeColor="text1"/>
          <w:sz w:val="20"/>
          <w:szCs w:val="20"/>
        </w:rPr>
        <w:t>) was offered to al-</w:t>
      </w:r>
      <w:proofErr w:type="spellStart"/>
      <w:r w:rsidRPr="00AE2C15">
        <w:rPr>
          <w:rFonts w:asciiTheme="majorBidi" w:hAnsiTheme="majorBidi" w:cstheme="majorBidi"/>
          <w:color w:val="000000" w:themeColor="text1"/>
          <w:sz w:val="20"/>
          <w:szCs w:val="20"/>
        </w:rPr>
        <w:t>Mustaḍīʾ</w:t>
      </w:r>
      <w:proofErr w:type="spellEnd"/>
      <w:r w:rsidRPr="00AE2C15">
        <w:rPr>
          <w:rFonts w:asciiTheme="majorBidi" w:hAnsiTheme="majorBidi" w:cstheme="majorBidi"/>
          <w:color w:val="000000" w:themeColor="text1"/>
          <w:sz w:val="20"/>
          <w:szCs w:val="20"/>
        </w:rPr>
        <w:t xml:space="preserve"> in 566/1070, though the textual evidence she offers is quite sparse and inconclusive. The </w:t>
      </w:r>
      <w:r w:rsidRPr="00AE2C15">
        <w:rPr>
          <w:rFonts w:asciiTheme="majorBidi" w:hAnsiTheme="majorBidi" w:cstheme="majorBidi"/>
          <w:i/>
          <w:iCs/>
          <w:color w:val="000000" w:themeColor="text1"/>
          <w:sz w:val="20"/>
          <w:szCs w:val="20"/>
        </w:rPr>
        <w:t xml:space="preserve">terminus ante </w:t>
      </w:r>
      <w:proofErr w:type="spellStart"/>
      <w:r w:rsidRPr="00AE2C15">
        <w:rPr>
          <w:rFonts w:asciiTheme="majorBidi" w:hAnsiTheme="majorBidi" w:cstheme="majorBidi"/>
          <w:i/>
          <w:iCs/>
          <w:color w:val="000000" w:themeColor="text1"/>
          <w:sz w:val="20"/>
          <w:szCs w:val="20"/>
        </w:rPr>
        <w:t>quem</w:t>
      </w:r>
      <w:proofErr w:type="spellEnd"/>
      <w:r w:rsidRPr="00AE2C15">
        <w:rPr>
          <w:rFonts w:asciiTheme="majorBidi" w:hAnsiTheme="majorBidi" w:cstheme="majorBidi"/>
          <w:color w:val="000000" w:themeColor="text1"/>
          <w:sz w:val="20"/>
          <w:szCs w:val="20"/>
        </w:rPr>
        <w:t xml:space="preserve"> of the </w:t>
      </w:r>
      <w:proofErr w:type="spellStart"/>
      <w:r w:rsidRPr="00AE2C15">
        <w:rPr>
          <w:rFonts w:asciiTheme="majorBidi" w:hAnsiTheme="majorBidi" w:cstheme="majorBidi"/>
          <w:i/>
          <w:iCs/>
          <w:color w:val="000000" w:themeColor="text1"/>
          <w:sz w:val="20"/>
          <w:szCs w:val="20"/>
        </w:rPr>
        <w:t>ʿAṭf</w:t>
      </w:r>
      <w:proofErr w:type="spellEnd"/>
      <w:r w:rsidRPr="00AE2C15">
        <w:rPr>
          <w:rFonts w:asciiTheme="majorBidi" w:hAnsiTheme="majorBidi" w:cstheme="majorBidi"/>
          <w:color w:val="000000" w:themeColor="text1"/>
          <w:sz w:val="20"/>
          <w:szCs w:val="20"/>
        </w:rPr>
        <w:t xml:space="preserve"> is easier to determine. The earliest certificate of transmission (</w:t>
      </w:r>
      <w:proofErr w:type="spellStart"/>
      <w:r w:rsidRPr="00AE2C15">
        <w:rPr>
          <w:rFonts w:asciiTheme="majorBidi" w:hAnsiTheme="majorBidi" w:cstheme="majorBidi"/>
          <w:i/>
          <w:iCs/>
          <w:color w:val="000000" w:themeColor="text1"/>
          <w:sz w:val="20"/>
          <w:szCs w:val="20"/>
        </w:rPr>
        <w:t>ijāza</w:t>
      </w:r>
      <w:proofErr w:type="spellEnd"/>
      <w:r w:rsidRPr="00AE2C15">
        <w:rPr>
          <w:rFonts w:asciiTheme="majorBidi" w:hAnsiTheme="majorBidi" w:cstheme="majorBidi"/>
          <w:color w:val="000000" w:themeColor="text1"/>
          <w:sz w:val="20"/>
          <w:szCs w:val="20"/>
        </w:rPr>
        <w:t xml:space="preserve">) listed by the editor is dated the second day of </w:t>
      </w:r>
      <w:proofErr w:type="spellStart"/>
      <w:r w:rsidRPr="00AE2C15">
        <w:rPr>
          <w:rFonts w:asciiTheme="majorBidi" w:hAnsiTheme="majorBidi" w:cstheme="majorBidi"/>
          <w:color w:val="000000" w:themeColor="text1"/>
          <w:sz w:val="20"/>
          <w:szCs w:val="20"/>
        </w:rPr>
        <w:t>Muḥarram</w:t>
      </w:r>
      <w:proofErr w:type="spellEnd"/>
      <w:r w:rsidRPr="00AE2C15">
        <w:rPr>
          <w:rFonts w:asciiTheme="majorBidi" w:hAnsiTheme="majorBidi" w:cstheme="majorBidi"/>
          <w:color w:val="000000" w:themeColor="text1"/>
          <w:sz w:val="20"/>
          <w:szCs w:val="20"/>
        </w:rPr>
        <w:t xml:space="preserve"> in 577/1181, about a year after al-</w:t>
      </w:r>
      <w:proofErr w:type="spellStart"/>
      <w:r w:rsidRPr="00AE2C15">
        <w:rPr>
          <w:rFonts w:asciiTheme="majorBidi" w:hAnsiTheme="majorBidi" w:cstheme="majorBidi"/>
          <w:color w:val="000000" w:themeColor="text1"/>
          <w:sz w:val="20"/>
          <w:szCs w:val="20"/>
        </w:rPr>
        <w:t>Mustaḍīʾ’s</w:t>
      </w:r>
      <w:proofErr w:type="spellEnd"/>
      <w:r w:rsidRPr="00AE2C15">
        <w:rPr>
          <w:rFonts w:asciiTheme="majorBidi" w:hAnsiTheme="majorBidi" w:cstheme="majorBidi"/>
          <w:color w:val="000000" w:themeColor="text1"/>
          <w:sz w:val="20"/>
          <w:szCs w:val="20"/>
        </w:rPr>
        <w:t xml:space="preserve"> death. Even if the exact date of the </w:t>
      </w:r>
      <w:proofErr w:type="spellStart"/>
      <w:r w:rsidRPr="00AE2C15">
        <w:rPr>
          <w:rFonts w:asciiTheme="majorBidi" w:hAnsiTheme="majorBidi" w:cstheme="majorBidi"/>
          <w:i/>
          <w:iCs/>
          <w:color w:val="000000" w:themeColor="text1"/>
          <w:sz w:val="20"/>
          <w:szCs w:val="20"/>
        </w:rPr>
        <w:t>Miṣbāḥ</w:t>
      </w:r>
      <w:r w:rsidRPr="00AE2C15">
        <w:rPr>
          <w:rFonts w:asciiTheme="majorBidi" w:hAnsiTheme="majorBidi" w:cstheme="majorBidi"/>
          <w:color w:val="000000" w:themeColor="text1"/>
          <w:sz w:val="20"/>
          <w:szCs w:val="20"/>
        </w:rPr>
        <w:t>’s</w:t>
      </w:r>
      <w:proofErr w:type="spellEnd"/>
      <w:r w:rsidRPr="00AE2C15">
        <w:rPr>
          <w:rFonts w:asciiTheme="majorBidi" w:hAnsiTheme="majorBidi" w:cstheme="majorBidi"/>
          <w:color w:val="000000" w:themeColor="text1"/>
          <w:sz w:val="20"/>
          <w:szCs w:val="20"/>
        </w:rPr>
        <w:t xml:space="preserve"> completion remains uncertain, this still leaves us with a ten-year time range corresponding to the period of al-</w:t>
      </w:r>
      <w:proofErr w:type="spellStart"/>
      <w:r w:rsidRPr="00AE2C15">
        <w:rPr>
          <w:rFonts w:asciiTheme="majorBidi" w:hAnsiTheme="majorBidi" w:cstheme="majorBidi"/>
          <w:color w:val="000000" w:themeColor="text1"/>
          <w:sz w:val="20"/>
          <w:szCs w:val="20"/>
        </w:rPr>
        <w:t>Mustaḍīʾ’s</w:t>
      </w:r>
      <w:proofErr w:type="spellEnd"/>
      <w:r w:rsidRPr="00AE2C15">
        <w:rPr>
          <w:rFonts w:asciiTheme="majorBidi" w:hAnsiTheme="majorBidi" w:cstheme="majorBidi"/>
          <w:color w:val="000000" w:themeColor="text1"/>
          <w:sz w:val="20"/>
          <w:szCs w:val="20"/>
        </w:rPr>
        <w:t xml:space="preserve"> reign. </w:t>
      </w:r>
    </w:p>
  </w:footnote>
  <w:footnote w:id="74">
    <w:p w14:paraId="26EF3512" w14:textId="124864B1"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sz w:val="20"/>
          <w:szCs w:val="20"/>
        </w:rPr>
        <w:t>ʿAṭf</w:t>
      </w:r>
      <w:proofErr w:type="spellEnd"/>
      <w:r w:rsidRPr="00AE2C15">
        <w:rPr>
          <w:rFonts w:asciiTheme="majorBidi" w:hAnsiTheme="majorBidi" w:cstheme="majorBidi"/>
          <w:sz w:val="20"/>
          <w:szCs w:val="20"/>
        </w:rPr>
        <w:t>, 27.</w:t>
      </w:r>
    </w:p>
  </w:footnote>
  <w:footnote w:id="75">
    <w:p w14:paraId="254B8C54" w14:textId="6C5FAB30"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Ibid., 29.</w:t>
      </w:r>
    </w:p>
  </w:footnote>
  <w:footnote w:id="76">
    <w:p w14:paraId="70E861FF" w14:textId="77777777"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Ibid., 27–28.</w:t>
      </w:r>
    </w:p>
  </w:footnote>
  <w:footnote w:id="77">
    <w:p w14:paraId="254E9480" w14:textId="2C35E6C0"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D. </w:t>
      </w:r>
      <w:proofErr w:type="spellStart"/>
      <w:r w:rsidRPr="00AE2C15">
        <w:rPr>
          <w:rFonts w:asciiTheme="majorBidi" w:hAnsiTheme="majorBidi" w:cstheme="majorBidi"/>
          <w:color w:val="000000" w:themeColor="text1"/>
          <w:sz w:val="20"/>
          <w:szCs w:val="20"/>
        </w:rPr>
        <w:t>Sourdel</w:t>
      </w:r>
      <w:proofErr w:type="spellEnd"/>
      <w:r w:rsidRPr="00AE2C15">
        <w:rPr>
          <w:rFonts w:asciiTheme="majorBidi" w:hAnsiTheme="majorBidi" w:cstheme="majorBidi"/>
          <w:color w:val="000000" w:themeColor="text1"/>
          <w:sz w:val="20"/>
          <w:szCs w:val="20"/>
        </w:rPr>
        <w:t>, C. E. Bosworth, and A. K. S. Lambton, “</w:t>
      </w:r>
      <w:proofErr w:type="spellStart"/>
      <w:r w:rsidRPr="00AE2C15">
        <w:rPr>
          <w:rFonts w:asciiTheme="majorBidi" w:hAnsiTheme="majorBidi" w:cstheme="majorBidi"/>
          <w:color w:val="000000" w:themeColor="text1"/>
          <w:sz w:val="20"/>
          <w:szCs w:val="20"/>
        </w:rPr>
        <w:t>Ḥādjib</w:t>
      </w:r>
      <w:proofErr w:type="spellEnd"/>
      <w:r w:rsidRPr="00AE2C15">
        <w:rPr>
          <w:rFonts w:asciiTheme="majorBidi" w:hAnsiTheme="majorBidi" w:cstheme="majorBidi"/>
          <w:color w:val="000000" w:themeColor="text1"/>
          <w:sz w:val="20"/>
          <w:szCs w:val="20"/>
        </w:rPr>
        <w:t xml:space="preserve">,” in </w:t>
      </w:r>
      <w:proofErr w:type="spellStart"/>
      <w:r w:rsidRPr="00AE2C15">
        <w:rPr>
          <w:rFonts w:asciiTheme="majorBidi" w:hAnsiTheme="majorBidi" w:cstheme="majorBidi"/>
          <w:i/>
          <w:iCs/>
          <w:color w:val="000000" w:themeColor="text1"/>
          <w:sz w:val="20"/>
          <w:szCs w:val="20"/>
        </w:rPr>
        <w:t>Encyclopaedia</w:t>
      </w:r>
      <w:proofErr w:type="spellEnd"/>
      <w:r w:rsidRPr="00AE2C15">
        <w:rPr>
          <w:rFonts w:asciiTheme="majorBidi" w:hAnsiTheme="majorBidi" w:cstheme="majorBidi"/>
          <w:i/>
          <w:iCs/>
          <w:color w:val="000000" w:themeColor="text1"/>
          <w:sz w:val="20"/>
          <w:szCs w:val="20"/>
        </w:rPr>
        <w:t xml:space="preserve"> of Islam</w:t>
      </w:r>
      <w:r w:rsidRPr="00AE2C15">
        <w:rPr>
          <w:rFonts w:asciiTheme="majorBidi" w:hAnsiTheme="majorBidi" w:cstheme="majorBidi"/>
          <w:color w:val="000000" w:themeColor="text1"/>
          <w:sz w:val="20"/>
          <w:szCs w:val="20"/>
        </w:rPr>
        <w:t>, 2</w:t>
      </w:r>
      <w:r w:rsidRPr="00AE2C15">
        <w:rPr>
          <w:rFonts w:asciiTheme="majorBidi" w:hAnsiTheme="majorBidi" w:cstheme="majorBidi"/>
          <w:color w:val="000000" w:themeColor="text1"/>
          <w:sz w:val="20"/>
          <w:szCs w:val="20"/>
          <w:vertAlign w:val="superscript"/>
        </w:rPr>
        <w:t>nd</w:t>
      </w:r>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edn</w:t>
      </w:r>
      <w:proofErr w:type="spellEnd"/>
      <w:r w:rsidRPr="00AE2C15">
        <w:rPr>
          <w:rFonts w:asciiTheme="majorBidi" w:hAnsiTheme="majorBidi" w:cstheme="majorBidi"/>
          <w:color w:val="000000" w:themeColor="text1"/>
          <w:sz w:val="20"/>
          <w:szCs w:val="20"/>
        </w:rPr>
        <w:t xml:space="preserve">. For the role of the </w:t>
      </w:r>
      <w:proofErr w:type="spellStart"/>
      <w:r w:rsidRPr="00AE2C15">
        <w:rPr>
          <w:rFonts w:asciiTheme="majorBidi" w:hAnsiTheme="majorBidi" w:cstheme="majorBidi"/>
          <w:i/>
          <w:iCs/>
          <w:color w:val="000000" w:themeColor="text1"/>
          <w:sz w:val="20"/>
          <w:szCs w:val="20"/>
        </w:rPr>
        <w:t>ḥujjāb</w:t>
      </w:r>
      <w:proofErr w:type="spellEnd"/>
      <w:r w:rsidRPr="00AE2C15">
        <w:rPr>
          <w:rFonts w:asciiTheme="majorBidi" w:hAnsiTheme="majorBidi" w:cstheme="majorBidi"/>
          <w:color w:val="000000" w:themeColor="text1"/>
          <w:sz w:val="20"/>
          <w:szCs w:val="20"/>
        </w:rPr>
        <w:t xml:space="preserve"> in late Abbasid Baghdad, see Van </w:t>
      </w:r>
      <w:proofErr w:type="spellStart"/>
      <w:r w:rsidRPr="00AE2C15">
        <w:rPr>
          <w:rFonts w:asciiTheme="majorBidi" w:hAnsiTheme="majorBidi" w:cstheme="majorBidi"/>
          <w:color w:val="000000" w:themeColor="text1"/>
          <w:sz w:val="20"/>
          <w:szCs w:val="20"/>
        </w:rPr>
        <w:t>Renterghem</w:t>
      </w:r>
      <w:proofErr w:type="spellEnd"/>
      <w:r w:rsidRPr="00AE2C15">
        <w:rPr>
          <w:rFonts w:asciiTheme="majorBidi" w:hAnsiTheme="majorBidi" w:cstheme="majorBidi"/>
          <w:color w:val="000000" w:themeColor="text1"/>
          <w:sz w:val="20"/>
          <w:szCs w:val="20"/>
        </w:rPr>
        <w:t xml:space="preserve">, </w:t>
      </w:r>
      <w:r w:rsidRPr="00AE2C15">
        <w:rPr>
          <w:rFonts w:asciiTheme="majorBidi" w:hAnsiTheme="majorBidi" w:cstheme="majorBidi"/>
          <w:i/>
          <w:iCs/>
          <w:sz w:val="20"/>
          <w:szCs w:val="20"/>
        </w:rPr>
        <w:t xml:space="preserve">Les élites </w:t>
      </w:r>
      <w:proofErr w:type="spellStart"/>
      <w:r w:rsidRPr="00AE2C15">
        <w:rPr>
          <w:rFonts w:asciiTheme="majorBidi" w:hAnsiTheme="majorBidi" w:cstheme="majorBidi"/>
          <w:i/>
          <w:iCs/>
          <w:sz w:val="20"/>
          <w:szCs w:val="20"/>
        </w:rPr>
        <w:t>bagdadiennes</w:t>
      </w:r>
      <w:proofErr w:type="spellEnd"/>
      <w:r w:rsidRPr="00AE2C15">
        <w:rPr>
          <w:rFonts w:asciiTheme="majorBidi" w:hAnsiTheme="majorBidi" w:cstheme="majorBidi"/>
          <w:sz w:val="20"/>
          <w:szCs w:val="20"/>
        </w:rPr>
        <w:t>, 1:220–22, 468</w:t>
      </w:r>
      <w:r w:rsidRPr="00AE2C15">
        <w:rPr>
          <w:rFonts w:asciiTheme="majorBidi" w:hAnsiTheme="majorBidi" w:cstheme="majorBidi"/>
          <w:color w:val="000000" w:themeColor="text1"/>
          <w:sz w:val="20"/>
          <w:szCs w:val="20"/>
        </w:rPr>
        <w:t>.</w:t>
      </w:r>
    </w:p>
  </w:footnote>
  <w:footnote w:id="78">
    <w:p w14:paraId="52A3B9C2" w14:textId="6F445B2E"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sz w:val="20"/>
          <w:szCs w:val="20"/>
        </w:rPr>
        <w:t>ʿAṭf</w:t>
      </w:r>
      <w:proofErr w:type="spellEnd"/>
      <w:r w:rsidRPr="00AE2C15">
        <w:rPr>
          <w:rFonts w:asciiTheme="majorBidi" w:hAnsiTheme="majorBidi" w:cstheme="majorBidi"/>
          <w:sz w:val="20"/>
          <w:szCs w:val="20"/>
        </w:rPr>
        <w:t>, 29.</w:t>
      </w:r>
    </w:p>
  </w:footnote>
  <w:footnote w:id="79">
    <w:p w14:paraId="116B27F8" w14:textId="6BAAA070"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(1) “Whoever resides in the desert becomes ignorant. Whoever follows the hunt becomes heedless. Whoever comes to the door of the ruler is tested. </w:t>
      </w:r>
      <w:r w:rsidRPr="00AE2C15">
        <w:rPr>
          <w:rFonts w:asciiTheme="majorBidi" w:hAnsiTheme="majorBidi" w:cstheme="majorBidi"/>
          <w:sz w:val="20"/>
          <w:szCs w:val="20"/>
        </w:rPr>
        <w:t>No worshipper draws closer to the ruler without becoming more distant from God.</w:t>
      </w:r>
      <w:r w:rsidRPr="00AE2C15">
        <w:rPr>
          <w:rFonts w:asciiTheme="majorBidi" w:hAnsiTheme="majorBidi" w:cstheme="majorBidi"/>
          <w:color w:val="000000" w:themeColor="text1"/>
          <w:sz w:val="20"/>
          <w:szCs w:val="20"/>
        </w:rPr>
        <w:t>” (2) “</w:t>
      </w:r>
      <w:r w:rsidRPr="00AE2C15">
        <w:rPr>
          <w:rFonts w:asciiTheme="majorBidi" w:hAnsiTheme="majorBidi" w:cstheme="majorBidi"/>
          <w:sz w:val="20"/>
          <w:szCs w:val="20"/>
        </w:rPr>
        <w:t>Scholars are the trustees of the messengers over those who worship God, as long as they do not mix with rulers. If they do so, they would have betrayed [the trust of] the messengers. Beware of [such scholars] and keep away from them</w:t>
      </w:r>
      <w:r w:rsidRPr="00AE2C15">
        <w:rPr>
          <w:rFonts w:asciiTheme="majorBidi" w:hAnsiTheme="majorBidi" w:cstheme="majorBidi"/>
          <w:color w:val="000000" w:themeColor="text1"/>
          <w:sz w:val="20"/>
          <w:szCs w:val="20"/>
        </w:rPr>
        <w:t>.” Ib</w:t>
      </w:r>
      <w:r>
        <w:rPr>
          <w:rFonts w:asciiTheme="majorBidi" w:hAnsiTheme="majorBidi" w:cstheme="majorBidi"/>
          <w:color w:val="000000" w:themeColor="text1"/>
          <w:sz w:val="20"/>
          <w:szCs w:val="20"/>
        </w:rPr>
        <w:t>id.</w:t>
      </w:r>
      <w:r w:rsidRPr="00AE2C15">
        <w:rPr>
          <w:rFonts w:asciiTheme="majorBidi" w:hAnsiTheme="majorBidi" w:cstheme="majorBidi"/>
          <w:color w:val="000000" w:themeColor="text1"/>
          <w:sz w:val="20"/>
          <w:szCs w:val="20"/>
        </w:rPr>
        <w:t>,</w:t>
      </w:r>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 xml:space="preserve">29–30. None of these </w:t>
      </w:r>
      <w:proofErr w:type="spellStart"/>
      <w:r w:rsidRPr="00AE2C15">
        <w:rPr>
          <w:rFonts w:asciiTheme="majorBidi" w:hAnsiTheme="majorBidi" w:cstheme="majorBidi"/>
          <w:i/>
          <w:iCs/>
          <w:color w:val="000000" w:themeColor="text1"/>
          <w:sz w:val="20"/>
          <w:szCs w:val="20"/>
        </w:rPr>
        <w:t>ḥadīth</w:t>
      </w:r>
      <w:r w:rsidRPr="00AE2C15">
        <w:rPr>
          <w:rFonts w:asciiTheme="majorBidi" w:hAnsiTheme="majorBidi" w:cstheme="majorBidi"/>
          <w:color w:val="000000" w:themeColor="text1"/>
          <w:sz w:val="20"/>
          <w:szCs w:val="20"/>
        </w:rPr>
        <w:t>s</w:t>
      </w:r>
      <w:proofErr w:type="spellEnd"/>
      <w:r w:rsidRPr="00AE2C15">
        <w:rPr>
          <w:rFonts w:asciiTheme="majorBidi" w:hAnsiTheme="majorBidi" w:cstheme="majorBidi"/>
          <w:color w:val="000000" w:themeColor="text1"/>
          <w:sz w:val="20"/>
          <w:szCs w:val="20"/>
        </w:rPr>
        <w:t xml:space="preserve"> can be found in the </w:t>
      </w:r>
      <w:proofErr w:type="spellStart"/>
      <w:r w:rsidRPr="00AE2C15">
        <w:rPr>
          <w:rFonts w:asciiTheme="majorBidi" w:hAnsiTheme="majorBidi" w:cstheme="majorBidi"/>
          <w:i/>
          <w:iCs/>
          <w:color w:val="000000" w:themeColor="text1"/>
          <w:sz w:val="20"/>
          <w:szCs w:val="20"/>
        </w:rPr>
        <w:t>Kitāb</w:t>
      </w:r>
      <w:proofErr w:type="spellEnd"/>
      <w:r w:rsidRPr="00AE2C15">
        <w:rPr>
          <w:rFonts w:asciiTheme="majorBidi" w:hAnsiTheme="majorBidi" w:cstheme="majorBidi"/>
          <w:i/>
          <w:iCs/>
          <w:color w:val="000000" w:themeColor="text1"/>
          <w:sz w:val="20"/>
          <w:szCs w:val="20"/>
        </w:rPr>
        <w:t xml:space="preserve"> al-</w:t>
      </w:r>
      <w:proofErr w:type="spellStart"/>
      <w:r w:rsidRPr="00AE2C15">
        <w:rPr>
          <w:rFonts w:asciiTheme="majorBidi" w:hAnsiTheme="majorBidi" w:cstheme="majorBidi"/>
          <w:i/>
          <w:iCs/>
          <w:color w:val="000000" w:themeColor="text1"/>
          <w:sz w:val="20"/>
          <w:szCs w:val="20"/>
        </w:rPr>
        <w:t>Mawḍūʿāt</w:t>
      </w:r>
      <w:proofErr w:type="spellEnd"/>
      <w:r w:rsidRPr="00AE2C15">
        <w:rPr>
          <w:rFonts w:asciiTheme="majorBidi" w:hAnsiTheme="majorBidi" w:cstheme="majorBidi"/>
          <w:color w:val="000000" w:themeColor="text1"/>
          <w:sz w:val="20"/>
          <w:szCs w:val="20"/>
        </w:rPr>
        <w:t>.</w:t>
      </w:r>
    </w:p>
  </w:footnote>
  <w:footnote w:id="80">
    <w:p w14:paraId="489DF0CF" w14:textId="772AF5CC"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Ibid., 32–33.</w:t>
      </w:r>
    </w:p>
  </w:footnote>
  <w:footnote w:id="81">
    <w:p w14:paraId="6E2C1614" w14:textId="31EF371B"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Ibid., 45 and 50.</w:t>
      </w:r>
    </w:p>
  </w:footnote>
  <w:footnote w:id="82">
    <w:p w14:paraId="2C57F826" w14:textId="2752A699"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 xml:space="preserve">Ibid., 48. See also idem, </w:t>
      </w:r>
      <w:proofErr w:type="spellStart"/>
      <w:r w:rsidRPr="00AE2C15">
        <w:rPr>
          <w:rFonts w:asciiTheme="majorBidi" w:hAnsiTheme="majorBidi" w:cstheme="majorBidi"/>
          <w:i/>
          <w:iCs/>
          <w:color w:val="000000" w:themeColor="text1"/>
          <w:sz w:val="20"/>
          <w:szCs w:val="20"/>
        </w:rPr>
        <w:t>Minhāj</w:t>
      </w:r>
      <w:proofErr w:type="spellEnd"/>
      <w:r w:rsidRPr="00AE2C15">
        <w:rPr>
          <w:rFonts w:asciiTheme="majorBidi" w:hAnsiTheme="majorBidi" w:cstheme="majorBidi"/>
          <w:color w:val="000000" w:themeColor="text1"/>
          <w:sz w:val="20"/>
          <w:szCs w:val="20"/>
        </w:rPr>
        <w:t>, 1:405–7; al-</w:t>
      </w:r>
      <w:proofErr w:type="spellStart"/>
      <w:r w:rsidRPr="00AE2C15">
        <w:rPr>
          <w:rFonts w:asciiTheme="majorBidi" w:hAnsiTheme="majorBidi" w:cstheme="majorBidi"/>
          <w:color w:val="000000" w:themeColor="text1"/>
          <w:sz w:val="20"/>
          <w:szCs w:val="20"/>
        </w:rPr>
        <w:t>Ghazālī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Iḥyāʾ</w:t>
      </w:r>
      <w:proofErr w:type="spellEnd"/>
      <w:r w:rsidRPr="00AE2C15">
        <w:rPr>
          <w:rFonts w:asciiTheme="majorBidi" w:hAnsiTheme="majorBidi" w:cstheme="majorBidi"/>
          <w:color w:val="000000" w:themeColor="text1"/>
          <w:sz w:val="20"/>
          <w:szCs w:val="20"/>
        </w:rPr>
        <w:t>, 3:547–51.</w:t>
      </w:r>
    </w:p>
  </w:footnote>
  <w:footnote w:id="83">
    <w:p w14:paraId="45D79F73" w14:textId="5B1B6E15"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sz w:val="20"/>
          <w:szCs w:val="20"/>
        </w:rPr>
        <w:t>ʿAṭf</w:t>
      </w:r>
      <w:proofErr w:type="spellEnd"/>
      <w:r w:rsidRPr="00AE2C15">
        <w:rPr>
          <w:rFonts w:asciiTheme="majorBidi" w:hAnsiTheme="majorBidi" w:cstheme="majorBidi"/>
          <w:color w:val="000000" w:themeColor="text1"/>
          <w:sz w:val="20"/>
          <w:szCs w:val="20"/>
        </w:rPr>
        <w:t>, 54.</w:t>
      </w:r>
    </w:p>
  </w:footnote>
  <w:footnote w:id="84">
    <w:p w14:paraId="119EAA1B" w14:textId="1AB4BAF4" w:rsidR="00CD2D30" w:rsidRPr="00AE2C15" w:rsidRDefault="00CD2D30" w:rsidP="00AE2C15">
      <w:pPr>
        <w:pStyle w:val="FootnoteText"/>
        <w:spacing w:after="200"/>
        <w:contextualSpacing/>
        <w:rPr>
          <w:rFonts w:asciiTheme="majorBidi" w:hAnsiTheme="majorBidi" w:cstheme="majorBidi"/>
          <w:iCs/>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iCs/>
          <w:color w:val="000000" w:themeColor="text1"/>
          <w:sz w:val="20"/>
          <w:szCs w:val="20"/>
        </w:rPr>
        <w:t>Ibn al-</w:t>
      </w:r>
      <w:proofErr w:type="spellStart"/>
      <w:r w:rsidRPr="00AE2C15">
        <w:rPr>
          <w:rFonts w:asciiTheme="majorBidi" w:hAnsiTheme="majorBidi" w:cstheme="majorBidi"/>
          <w:iCs/>
          <w:color w:val="000000" w:themeColor="text1"/>
          <w:sz w:val="20"/>
          <w:szCs w:val="20"/>
        </w:rPr>
        <w:t>Jawzī</w:t>
      </w:r>
      <w:proofErr w:type="spellEnd"/>
      <w:r w:rsidRPr="00AE2C15">
        <w:rPr>
          <w:rFonts w:asciiTheme="majorBidi" w:hAnsiTheme="majorBidi" w:cstheme="majorBidi"/>
          <w:iCs/>
          <w:color w:val="000000" w:themeColor="text1"/>
          <w:sz w:val="20"/>
          <w:szCs w:val="20"/>
        </w:rPr>
        <w:t xml:space="preserve">, </w:t>
      </w:r>
      <w:proofErr w:type="spellStart"/>
      <w:r w:rsidRPr="00AE2C15">
        <w:rPr>
          <w:rFonts w:asciiTheme="majorBidi" w:hAnsiTheme="majorBidi" w:cstheme="majorBidi"/>
          <w:i/>
          <w:color w:val="000000" w:themeColor="text1"/>
          <w:sz w:val="20"/>
          <w:szCs w:val="20"/>
        </w:rPr>
        <w:t>ʿAṭf</w:t>
      </w:r>
      <w:proofErr w:type="spellEnd"/>
      <w:r w:rsidRPr="00AE2C15">
        <w:rPr>
          <w:rFonts w:asciiTheme="majorBidi" w:hAnsiTheme="majorBidi" w:cstheme="majorBidi"/>
          <w:iCs/>
          <w:color w:val="000000" w:themeColor="text1"/>
          <w:sz w:val="20"/>
          <w:szCs w:val="20"/>
        </w:rPr>
        <w:t xml:space="preserve">, 57. This statement echoes the Persian adage attributed to the Sasanian king </w:t>
      </w:r>
      <w:proofErr w:type="spellStart"/>
      <w:r w:rsidRPr="00AE2C15">
        <w:rPr>
          <w:rFonts w:asciiTheme="majorBidi" w:hAnsiTheme="majorBidi" w:cstheme="majorBidi"/>
          <w:iCs/>
          <w:color w:val="000000" w:themeColor="text1"/>
          <w:sz w:val="20"/>
          <w:szCs w:val="20"/>
        </w:rPr>
        <w:t>Ardashīr</w:t>
      </w:r>
      <w:proofErr w:type="spellEnd"/>
      <w:r w:rsidRPr="00AE2C15">
        <w:rPr>
          <w:rFonts w:asciiTheme="majorBidi" w:hAnsiTheme="majorBidi" w:cstheme="majorBidi"/>
          <w:iCs/>
          <w:color w:val="000000" w:themeColor="text1"/>
          <w:sz w:val="20"/>
          <w:szCs w:val="20"/>
        </w:rPr>
        <w:t>, who is believed to have said to his son, “Know that kingship (</w:t>
      </w:r>
      <w:proofErr w:type="spellStart"/>
      <w:r w:rsidRPr="00AE2C15">
        <w:rPr>
          <w:rFonts w:asciiTheme="majorBidi" w:hAnsiTheme="majorBidi" w:cstheme="majorBidi"/>
          <w:i/>
          <w:color w:val="000000" w:themeColor="text1"/>
          <w:sz w:val="20"/>
          <w:szCs w:val="20"/>
        </w:rPr>
        <w:t>mulk</w:t>
      </w:r>
      <w:proofErr w:type="spellEnd"/>
      <w:r w:rsidRPr="00AE2C15">
        <w:rPr>
          <w:rFonts w:asciiTheme="majorBidi" w:hAnsiTheme="majorBidi" w:cstheme="majorBidi"/>
          <w:iCs/>
          <w:color w:val="000000" w:themeColor="text1"/>
          <w:sz w:val="20"/>
          <w:szCs w:val="20"/>
        </w:rPr>
        <w:t>) and religion (</w:t>
      </w:r>
      <w:proofErr w:type="spellStart"/>
      <w:r w:rsidRPr="00AE2C15">
        <w:rPr>
          <w:rFonts w:asciiTheme="majorBidi" w:hAnsiTheme="majorBidi" w:cstheme="majorBidi"/>
          <w:i/>
          <w:color w:val="000000" w:themeColor="text1"/>
          <w:sz w:val="20"/>
          <w:szCs w:val="20"/>
        </w:rPr>
        <w:t>dīn</w:t>
      </w:r>
      <w:proofErr w:type="spellEnd"/>
      <w:r w:rsidRPr="00AE2C15">
        <w:rPr>
          <w:rFonts w:asciiTheme="majorBidi" w:hAnsiTheme="majorBidi" w:cstheme="majorBidi"/>
          <w:iCs/>
          <w:color w:val="000000" w:themeColor="text1"/>
          <w:sz w:val="20"/>
          <w:szCs w:val="20"/>
        </w:rPr>
        <w:t>) are two brothers, the one cannot do without the other. For religion is the basis (</w:t>
      </w:r>
      <w:r w:rsidRPr="00AE2C15">
        <w:rPr>
          <w:rFonts w:asciiTheme="majorBidi" w:hAnsiTheme="majorBidi" w:cstheme="majorBidi"/>
          <w:i/>
          <w:color w:val="000000" w:themeColor="text1"/>
          <w:sz w:val="20"/>
          <w:szCs w:val="20"/>
        </w:rPr>
        <w:t>ass</w:t>
      </w:r>
      <w:r w:rsidRPr="00AE2C15">
        <w:rPr>
          <w:rFonts w:asciiTheme="majorBidi" w:hAnsiTheme="majorBidi" w:cstheme="majorBidi"/>
          <w:iCs/>
          <w:color w:val="000000" w:themeColor="text1"/>
          <w:sz w:val="20"/>
          <w:szCs w:val="20"/>
        </w:rPr>
        <w:t>) and kingship the guard (</w:t>
      </w:r>
      <w:proofErr w:type="spellStart"/>
      <w:r w:rsidRPr="00AE2C15">
        <w:rPr>
          <w:rFonts w:asciiTheme="majorBidi" w:hAnsiTheme="majorBidi" w:cstheme="majorBidi"/>
          <w:i/>
          <w:color w:val="000000" w:themeColor="text1"/>
          <w:sz w:val="20"/>
          <w:szCs w:val="20"/>
        </w:rPr>
        <w:t>ḥāris</w:t>
      </w:r>
      <w:proofErr w:type="spellEnd"/>
      <w:r w:rsidRPr="00AE2C15">
        <w:rPr>
          <w:rFonts w:asciiTheme="majorBidi" w:hAnsiTheme="majorBidi" w:cstheme="majorBidi"/>
          <w:iCs/>
          <w:color w:val="000000" w:themeColor="text1"/>
          <w:sz w:val="20"/>
          <w:szCs w:val="20"/>
        </w:rPr>
        <w:t xml:space="preserve">). That which has no basis falls to pieces, that which is not guarded perishes.” See Noah Feldman, </w:t>
      </w:r>
      <w:r w:rsidRPr="00AE2C15">
        <w:rPr>
          <w:rFonts w:asciiTheme="majorBidi" w:hAnsiTheme="majorBidi" w:cstheme="majorBidi"/>
          <w:color w:val="000000" w:themeColor="text1"/>
          <w:sz w:val="20"/>
          <w:szCs w:val="20"/>
        </w:rPr>
        <w:t xml:space="preserve">“The Ethical Literature: Religion and Political Authority as Brothers,” </w:t>
      </w:r>
      <w:r w:rsidRPr="00AE2C15">
        <w:rPr>
          <w:rFonts w:asciiTheme="majorBidi" w:hAnsiTheme="majorBidi" w:cstheme="majorBidi"/>
          <w:i/>
          <w:iCs/>
          <w:color w:val="000000" w:themeColor="text1"/>
          <w:sz w:val="20"/>
          <w:szCs w:val="20"/>
        </w:rPr>
        <w:t>Journal of Persianate Studies</w:t>
      </w:r>
      <w:r w:rsidRPr="00AE2C15">
        <w:rPr>
          <w:rFonts w:asciiTheme="majorBidi" w:hAnsiTheme="majorBidi" w:cstheme="majorBidi"/>
          <w:color w:val="000000" w:themeColor="text1"/>
          <w:sz w:val="20"/>
          <w:szCs w:val="20"/>
        </w:rPr>
        <w:t xml:space="preserve"> 5 (2012): 95–127.</w:t>
      </w:r>
    </w:p>
  </w:footnote>
  <w:footnote w:id="85">
    <w:p w14:paraId="0EF094FE" w14:textId="77777777"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iCs/>
          <w:color w:val="000000" w:themeColor="text1"/>
          <w:sz w:val="20"/>
          <w:szCs w:val="20"/>
        </w:rPr>
        <w:t>Ibn al-</w:t>
      </w:r>
      <w:proofErr w:type="spellStart"/>
      <w:r w:rsidRPr="00AE2C15">
        <w:rPr>
          <w:rFonts w:asciiTheme="majorBidi" w:hAnsiTheme="majorBidi" w:cstheme="majorBidi"/>
          <w:iCs/>
          <w:color w:val="000000" w:themeColor="text1"/>
          <w:sz w:val="20"/>
          <w:szCs w:val="20"/>
        </w:rPr>
        <w:t>Jawzī</w:t>
      </w:r>
      <w:proofErr w:type="spellEnd"/>
      <w:r w:rsidRPr="00AE2C15">
        <w:rPr>
          <w:rFonts w:asciiTheme="majorBidi" w:hAnsiTheme="majorBidi" w:cstheme="majorBidi"/>
          <w:iCs/>
          <w:color w:val="000000" w:themeColor="text1"/>
          <w:sz w:val="20"/>
          <w:szCs w:val="20"/>
        </w:rPr>
        <w:t xml:space="preserve">, </w:t>
      </w:r>
      <w:proofErr w:type="spellStart"/>
      <w:r w:rsidRPr="00AE2C15">
        <w:rPr>
          <w:rFonts w:asciiTheme="majorBidi" w:hAnsiTheme="majorBidi" w:cstheme="majorBidi"/>
          <w:i/>
          <w:color w:val="000000" w:themeColor="text1"/>
          <w:sz w:val="20"/>
          <w:szCs w:val="20"/>
        </w:rPr>
        <w:t>ʿAṭf</w:t>
      </w:r>
      <w:proofErr w:type="spellEnd"/>
      <w:r w:rsidRPr="00AE2C15">
        <w:rPr>
          <w:rFonts w:asciiTheme="majorBidi" w:hAnsiTheme="majorBidi" w:cstheme="majorBidi"/>
          <w:iCs/>
          <w:color w:val="000000" w:themeColor="text1"/>
          <w:sz w:val="20"/>
          <w:szCs w:val="20"/>
        </w:rPr>
        <w:t>, p. 57.</w:t>
      </w:r>
    </w:p>
  </w:footnote>
  <w:footnote w:id="86">
    <w:p w14:paraId="3E909D2E" w14:textId="3947D393" w:rsidR="00CD2D30" w:rsidRPr="00AE2C15" w:rsidRDefault="00CD2D30" w:rsidP="00AE2C15">
      <w:pPr>
        <w:pStyle w:val="FootnoteText"/>
        <w:spacing w:after="200"/>
        <w:contextualSpacing/>
        <w:rPr>
          <w:rFonts w:asciiTheme="majorBidi" w:hAnsiTheme="majorBidi" w:cstheme="majorBidi"/>
          <w:i/>
          <w:iCs/>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iCs/>
          <w:color w:val="000000" w:themeColor="text1"/>
          <w:sz w:val="20"/>
          <w:szCs w:val="20"/>
        </w:rPr>
        <w:t>Ibid. A different interpretation of the verse is obtained in Ibn al-</w:t>
      </w:r>
      <w:proofErr w:type="spellStart"/>
      <w:r w:rsidRPr="00AE2C15">
        <w:rPr>
          <w:rFonts w:asciiTheme="majorBidi" w:hAnsiTheme="majorBidi" w:cstheme="majorBidi"/>
          <w:iCs/>
          <w:color w:val="000000" w:themeColor="text1"/>
          <w:sz w:val="20"/>
          <w:szCs w:val="20"/>
        </w:rPr>
        <w:t>Jawzī’s</w:t>
      </w:r>
      <w:proofErr w:type="spellEnd"/>
      <w:r w:rsidRPr="00AE2C15">
        <w:rPr>
          <w:rFonts w:asciiTheme="majorBidi" w:hAnsiTheme="majorBidi" w:cstheme="majorBidi"/>
          <w:iCs/>
          <w:color w:val="000000" w:themeColor="text1"/>
          <w:sz w:val="20"/>
          <w:szCs w:val="20"/>
        </w:rPr>
        <w:t xml:space="preserve"> work of </w:t>
      </w:r>
      <w:proofErr w:type="spellStart"/>
      <w:r w:rsidRPr="00AE2C15">
        <w:rPr>
          <w:rFonts w:asciiTheme="majorBidi" w:hAnsiTheme="majorBidi" w:cstheme="majorBidi"/>
          <w:iCs/>
          <w:color w:val="000000" w:themeColor="text1"/>
          <w:sz w:val="20"/>
          <w:szCs w:val="20"/>
        </w:rPr>
        <w:t>Qurʾānic</w:t>
      </w:r>
      <w:proofErr w:type="spellEnd"/>
      <w:r w:rsidRPr="00AE2C15">
        <w:rPr>
          <w:rFonts w:asciiTheme="majorBidi" w:hAnsiTheme="majorBidi" w:cstheme="majorBidi"/>
          <w:iCs/>
          <w:color w:val="000000" w:themeColor="text1"/>
          <w:sz w:val="20"/>
          <w:szCs w:val="20"/>
        </w:rPr>
        <w:t xml:space="preserve"> exegesis, </w:t>
      </w:r>
      <w:proofErr w:type="spellStart"/>
      <w:r w:rsidRPr="00AE2C15">
        <w:rPr>
          <w:rFonts w:asciiTheme="majorBidi" w:hAnsiTheme="majorBidi" w:cstheme="majorBidi"/>
          <w:i/>
          <w:color w:val="000000" w:themeColor="text1"/>
          <w:sz w:val="20"/>
          <w:szCs w:val="20"/>
        </w:rPr>
        <w:t>Zād</w:t>
      </w:r>
      <w:proofErr w:type="spellEnd"/>
      <w:r w:rsidRPr="00AE2C15">
        <w:rPr>
          <w:rFonts w:asciiTheme="majorBidi" w:hAnsiTheme="majorBidi" w:cstheme="majorBidi"/>
          <w:i/>
          <w:color w:val="000000" w:themeColor="text1"/>
          <w:sz w:val="20"/>
          <w:szCs w:val="20"/>
        </w:rPr>
        <w:t xml:space="preserve"> al-</w:t>
      </w:r>
      <w:proofErr w:type="spellStart"/>
      <w:r w:rsidRPr="00AE2C15">
        <w:rPr>
          <w:rFonts w:asciiTheme="majorBidi" w:hAnsiTheme="majorBidi" w:cstheme="majorBidi"/>
          <w:i/>
          <w:color w:val="000000" w:themeColor="text1"/>
          <w:sz w:val="20"/>
          <w:szCs w:val="20"/>
        </w:rPr>
        <w:t>masīr</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fī</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ʿilm</w:t>
      </w:r>
      <w:proofErr w:type="spellEnd"/>
      <w:r w:rsidRPr="00AE2C15">
        <w:rPr>
          <w:rFonts w:asciiTheme="majorBidi" w:hAnsiTheme="majorBidi" w:cstheme="majorBidi"/>
          <w:i/>
          <w:color w:val="000000" w:themeColor="text1"/>
          <w:sz w:val="20"/>
          <w:szCs w:val="20"/>
        </w:rPr>
        <w:t xml:space="preserve"> al-</w:t>
      </w:r>
      <w:proofErr w:type="spellStart"/>
      <w:r w:rsidRPr="00AE2C15">
        <w:rPr>
          <w:rFonts w:asciiTheme="majorBidi" w:hAnsiTheme="majorBidi" w:cstheme="majorBidi"/>
          <w:i/>
          <w:color w:val="000000" w:themeColor="text1"/>
          <w:sz w:val="20"/>
          <w:szCs w:val="20"/>
        </w:rPr>
        <w:t>tafsīr</w:t>
      </w:r>
      <w:proofErr w:type="spellEnd"/>
      <w:r w:rsidRPr="00AE2C15">
        <w:rPr>
          <w:rFonts w:asciiTheme="majorBidi" w:hAnsiTheme="majorBidi" w:cstheme="majorBidi"/>
          <w:iCs/>
          <w:color w:val="000000" w:themeColor="text1"/>
          <w:sz w:val="20"/>
          <w:szCs w:val="20"/>
        </w:rPr>
        <w:t>, where “iron (</w:t>
      </w:r>
      <w:r w:rsidRPr="00AE2C15">
        <w:rPr>
          <w:rFonts w:asciiTheme="majorBidi" w:hAnsiTheme="majorBidi" w:cstheme="majorBidi"/>
          <w:i/>
          <w:color w:val="000000" w:themeColor="text1"/>
          <w:sz w:val="20"/>
          <w:szCs w:val="20"/>
        </w:rPr>
        <w:t>al-</w:t>
      </w:r>
      <w:proofErr w:type="spellStart"/>
      <w:r w:rsidRPr="00AE2C15">
        <w:rPr>
          <w:rFonts w:asciiTheme="majorBidi" w:hAnsiTheme="majorBidi" w:cstheme="majorBidi"/>
          <w:i/>
          <w:color w:val="000000" w:themeColor="text1"/>
          <w:sz w:val="20"/>
          <w:szCs w:val="20"/>
        </w:rPr>
        <w:t>ḥadīd</w:t>
      </w:r>
      <w:proofErr w:type="spellEnd"/>
      <w:r w:rsidRPr="00AE2C15">
        <w:rPr>
          <w:rFonts w:asciiTheme="majorBidi" w:hAnsiTheme="majorBidi" w:cstheme="majorBidi"/>
          <w:iCs/>
          <w:color w:val="000000" w:themeColor="text1"/>
          <w:sz w:val="20"/>
          <w:szCs w:val="20"/>
        </w:rPr>
        <w:t>)” is understood in a non-political sense as the anvil (</w:t>
      </w:r>
      <w:proofErr w:type="spellStart"/>
      <w:r w:rsidRPr="00AE2C15">
        <w:rPr>
          <w:rFonts w:asciiTheme="majorBidi" w:hAnsiTheme="majorBidi" w:cstheme="majorBidi"/>
          <w:i/>
          <w:color w:val="000000" w:themeColor="text1"/>
          <w:sz w:val="20"/>
          <w:szCs w:val="20"/>
        </w:rPr>
        <w:t>sindān</w:t>
      </w:r>
      <w:proofErr w:type="spellEnd"/>
      <w:r w:rsidRPr="00AE2C15">
        <w:rPr>
          <w:rFonts w:asciiTheme="majorBidi" w:hAnsiTheme="majorBidi" w:cstheme="majorBidi"/>
          <w:iCs/>
          <w:color w:val="000000" w:themeColor="text1"/>
          <w:sz w:val="20"/>
          <w:szCs w:val="20"/>
        </w:rPr>
        <w:t>), pair of tongs (</w:t>
      </w:r>
      <w:proofErr w:type="spellStart"/>
      <w:r w:rsidRPr="00AE2C15">
        <w:rPr>
          <w:rFonts w:asciiTheme="majorBidi" w:hAnsiTheme="majorBidi" w:cstheme="majorBidi"/>
          <w:i/>
          <w:color w:val="000000" w:themeColor="text1"/>
          <w:sz w:val="20"/>
          <w:szCs w:val="20"/>
        </w:rPr>
        <w:t>kalbatayn</w:t>
      </w:r>
      <w:proofErr w:type="spellEnd"/>
      <w:r w:rsidRPr="00AE2C15">
        <w:rPr>
          <w:rFonts w:asciiTheme="majorBidi" w:hAnsiTheme="majorBidi" w:cstheme="majorBidi"/>
          <w:iCs/>
          <w:color w:val="000000" w:themeColor="text1"/>
          <w:sz w:val="20"/>
          <w:szCs w:val="20"/>
        </w:rPr>
        <w:t>), and hammer (</w:t>
      </w:r>
      <w:proofErr w:type="spellStart"/>
      <w:r w:rsidRPr="00AE2C15">
        <w:rPr>
          <w:rFonts w:asciiTheme="majorBidi" w:hAnsiTheme="majorBidi" w:cstheme="majorBidi"/>
          <w:i/>
          <w:color w:val="000000" w:themeColor="text1"/>
          <w:sz w:val="20"/>
          <w:szCs w:val="20"/>
        </w:rPr>
        <w:t>miṭraqa</w:t>
      </w:r>
      <w:proofErr w:type="spellEnd"/>
      <w:r w:rsidRPr="00AE2C15">
        <w:rPr>
          <w:rFonts w:asciiTheme="majorBidi" w:hAnsiTheme="majorBidi" w:cstheme="majorBidi"/>
          <w:iCs/>
          <w:color w:val="000000" w:themeColor="text1"/>
          <w:sz w:val="20"/>
          <w:szCs w:val="20"/>
        </w:rPr>
        <w:t xml:space="preserve">) with which God had sent Adam down to earth in order to facilitate his life there. See </w:t>
      </w:r>
      <w:proofErr w:type="spellStart"/>
      <w:r w:rsidRPr="00AE2C15">
        <w:rPr>
          <w:rFonts w:asciiTheme="majorBidi" w:hAnsiTheme="majorBidi" w:cstheme="majorBidi"/>
          <w:i/>
          <w:color w:val="000000" w:themeColor="text1"/>
          <w:sz w:val="20"/>
          <w:szCs w:val="20"/>
        </w:rPr>
        <w:t>Zād</w:t>
      </w:r>
      <w:proofErr w:type="spellEnd"/>
      <w:r w:rsidRPr="00AE2C15">
        <w:rPr>
          <w:rFonts w:asciiTheme="majorBidi" w:hAnsiTheme="majorBidi" w:cstheme="majorBidi"/>
          <w:i/>
          <w:color w:val="000000" w:themeColor="text1"/>
          <w:sz w:val="20"/>
          <w:szCs w:val="20"/>
        </w:rPr>
        <w:t xml:space="preserve"> al-</w:t>
      </w:r>
      <w:proofErr w:type="spellStart"/>
      <w:r w:rsidRPr="00AE2C15">
        <w:rPr>
          <w:rFonts w:asciiTheme="majorBidi" w:hAnsiTheme="majorBidi" w:cstheme="majorBidi"/>
          <w:i/>
          <w:color w:val="000000" w:themeColor="text1"/>
          <w:sz w:val="20"/>
          <w:szCs w:val="20"/>
        </w:rPr>
        <w:t>masīr</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fī</w:t>
      </w:r>
      <w:proofErr w:type="spellEnd"/>
      <w:r w:rsidRPr="00AE2C15">
        <w:rPr>
          <w:rFonts w:asciiTheme="majorBidi" w:hAnsiTheme="majorBidi" w:cstheme="majorBidi"/>
          <w:i/>
          <w:color w:val="000000" w:themeColor="text1"/>
          <w:sz w:val="20"/>
          <w:szCs w:val="20"/>
        </w:rPr>
        <w:t xml:space="preserve"> </w:t>
      </w:r>
      <w:proofErr w:type="spellStart"/>
      <w:r w:rsidRPr="00AE2C15">
        <w:rPr>
          <w:rFonts w:asciiTheme="majorBidi" w:hAnsiTheme="majorBidi" w:cstheme="majorBidi"/>
          <w:i/>
          <w:color w:val="000000" w:themeColor="text1"/>
          <w:sz w:val="20"/>
          <w:szCs w:val="20"/>
        </w:rPr>
        <w:t>ʿilm</w:t>
      </w:r>
      <w:proofErr w:type="spellEnd"/>
      <w:r w:rsidRPr="00AE2C15">
        <w:rPr>
          <w:rFonts w:asciiTheme="majorBidi" w:hAnsiTheme="majorBidi" w:cstheme="majorBidi"/>
          <w:i/>
          <w:color w:val="000000" w:themeColor="text1"/>
          <w:sz w:val="20"/>
          <w:szCs w:val="20"/>
        </w:rPr>
        <w:t xml:space="preserve"> al-</w:t>
      </w:r>
      <w:proofErr w:type="spellStart"/>
      <w:r w:rsidRPr="00AE2C15">
        <w:rPr>
          <w:rFonts w:asciiTheme="majorBidi" w:hAnsiTheme="majorBidi" w:cstheme="majorBidi"/>
          <w:i/>
          <w:color w:val="000000" w:themeColor="text1"/>
          <w:sz w:val="20"/>
          <w:szCs w:val="20"/>
        </w:rPr>
        <w:t>tafsīr</w:t>
      </w:r>
      <w:proofErr w:type="spellEnd"/>
      <w:r w:rsidRPr="00AE2C15">
        <w:rPr>
          <w:rFonts w:asciiTheme="majorBidi" w:hAnsiTheme="majorBidi" w:cstheme="majorBidi"/>
          <w:iCs/>
          <w:color w:val="000000" w:themeColor="text1"/>
          <w:sz w:val="20"/>
          <w:szCs w:val="20"/>
        </w:rPr>
        <w:t xml:space="preserve">, ed. </w:t>
      </w:r>
      <w:proofErr w:type="spellStart"/>
      <w:r w:rsidRPr="00AE2C15">
        <w:rPr>
          <w:rFonts w:asciiTheme="majorBidi" w:hAnsiTheme="majorBidi" w:cstheme="majorBidi"/>
          <w:color w:val="000000" w:themeColor="text1"/>
          <w:sz w:val="20"/>
          <w:szCs w:val="20"/>
        </w:rPr>
        <w:t>Muḥammad</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color w:val="000000" w:themeColor="text1"/>
          <w:sz w:val="20"/>
          <w:szCs w:val="20"/>
        </w:rPr>
        <w:t>Zuhayr</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Shāwīsh</w:t>
      </w:r>
      <w:proofErr w:type="spellEnd"/>
      <w:r w:rsidRPr="00AE2C15">
        <w:rPr>
          <w:rFonts w:asciiTheme="majorBidi" w:hAnsiTheme="majorBidi" w:cstheme="majorBidi"/>
          <w:color w:val="000000" w:themeColor="text1"/>
          <w:sz w:val="20"/>
          <w:szCs w:val="20"/>
        </w:rPr>
        <w:t xml:space="preserve"> (Beirut: al-</w:t>
      </w:r>
      <w:proofErr w:type="spellStart"/>
      <w:r w:rsidRPr="00AE2C15">
        <w:rPr>
          <w:rFonts w:asciiTheme="majorBidi" w:hAnsiTheme="majorBidi" w:cstheme="majorBidi"/>
          <w:color w:val="000000" w:themeColor="text1"/>
          <w:sz w:val="20"/>
          <w:szCs w:val="20"/>
        </w:rPr>
        <w:t>Maktab</w:t>
      </w:r>
      <w:proofErr w:type="spellEnd"/>
      <w:r w:rsidRPr="00AE2C15">
        <w:rPr>
          <w:rFonts w:asciiTheme="majorBidi" w:hAnsiTheme="majorBidi" w:cstheme="majorBidi"/>
          <w:color w:val="000000" w:themeColor="text1"/>
          <w:sz w:val="20"/>
          <w:szCs w:val="20"/>
        </w:rPr>
        <w:t xml:space="preserve"> al-</w:t>
      </w:r>
      <w:proofErr w:type="spellStart"/>
      <w:r w:rsidRPr="00AE2C15">
        <w:rPr>
          <w:rFonts w:asciiTheme="majorBidi" w:hAnsiTheme="majorBidi" w:cstheme="majorBidi"/>
          <w:color w:val="000000" w:themeColor="text1"/>
          <w:sz w:val="20"/>
          <w:szCs w:val="20"/>
        </w:rPr>
        <w:t>Islāmī</w:t>
      </w:r>
      <w:proofErr w:type="spellEnd"/>
      <w:r w:rsidRPr="00AE2C15">
        <w:rPr>
          <w:rFonts w:asciiTheme="majorBidi" w:hAnsiTheme="majorBidi" w:cstheme="majorBidi"/>
          <w:color w:val="000000" w:themeColor="text1"/>
          <w:sz w:val="20"/>
          <w:szCs w:val="20"/>
        </w:rPr>
        <w:t>, 1984), 8:174. Ibn al-</w:t>
      </w:r>
      <w:proofErr w:type="spellStart"/>
      <w:r w:rsidRPr="00AE2C15">
        <w:rPr>
          <w:rFonts w:asciiTheme="majorBidi" w:hAnsiTheme="majorBidi" w:cstheme="majorBidi"/>
          <w:color w:val="000000" w:themeColor="text1"/>
          <w:sz w:val="20"/>
          <w:szCs w:val="20"/>
        </w:rPr>
        <w:t>Jawzī’s</w:t>
      </w:r>
      <w:proofErr w:type="spellEnd"/>
      <w:r w:rsidRPr="00AE2C15">
        <w:rPr>
          <w:rFonts w:asciiTheme="majorBidi" w:hAnsiTheme="majorBidi" w:cstheme="majorBidi"/>
          <w:color w:val="000000" w:themeColor="text1"/>
          <w:sz w:val="20"/>
          <w:szCs w:val="20"/>
        </w:rPr>
        <w:t xml:space="preserve"> political reading of </w:t>
      </w:r>
      <w:r w:rsidRPr="00AE2C15">
        <w:rPr>
          <w:rFonts w:asciiTheme="majorBidi" w:hAnsiTheme="majorBidi" w:cstheme="majorBidi"/>
          <w:i/>
          <w:iCs/>
          <w:color w:val="000000" w:themeColor="text1"/>
          <w:sz w:val="20"/>
          <w:szCs w:val="20"/>
        </w:rPr>
        <w:t>al-</w:t>
      </w:r>
      <w:proofErr w:type="spellStart"/>
      <w:r w:rsidRPr="00AE2C15">
        <w:rPr>
          <w:rFonts w:asciiTheme="majorBidi" w:hAnsiTheme="majorBidi" w:cstheme="majorBidi"/>
          <w:i/>
          <w:iCs/>
          <w:color w:val="000000" w:themeColor="text1"/>
          <w:sz w:val="20"/>
          <w:szCs w:val="20"/>
        </w:rPr>
        <w:t>ḥadīd</w:t>
      </w:r>
      <w:proofErr w:type="spellEnd"/>
      <w:r w:rsidRPr="00AE2C15">
        <w:rPr>
          <w:rFonts w:asciiTheme="majorBidi" w:hAnsiTheme="majorBidi" w:cstheme="majorBidi"/>
          <w:color w:val="000000" w:themeColor="text1"/>
          <w:sz w:val="20"/>
          <w:szCs w:val="20"/>
        </w:rPr>
        <w:t xml:space="preserve"> as </w:t>
      </w:r>
      <w:r w:rsidRPr="00AE2C15">
        <w:rPr>
          <w:rFonts w:asciiTheme="majorBidi" w:hAnsiTheme="majorBidi" w:cstheme="majorBidi"/>
          <w:i/>
          <w:iCs/>
          <w:color w:val="000000" w:themeColor="text1"/>
          <w:sz w:val="20"/>
          <w:szCs w:val="20"/>
        </w:rPr>
        <w:t>al-</w:t>
      </w:r>
      <w:proofErr w:type="spellStart"/>
      <w:r w:rsidRPr="00AE2C15">
        <w:rPr>
          <w:rFonts w:asciiTheme="majorBidi" w:hAnsiTheme="majorBidi" w:cstheme="majorBidi"/>
          <w:i/>
          <w:iCs/>
          <w:color w:val="000000" w:themeColor="text1"/>
          <w:sz w:val="20"/>
          <w:szCs w:val="20"/>
        </w:rPr>
        <w:t>sayf</w:t>
      </w:r>
      <w:proofErr w:type="spellEnd"/>
      <w:r w:rsidRPr="00AE2C15">
        <w:rPr>
          <w:rFonts w:asciiTheme="majorBidi" w:hAnsiTheme="majorBidi" w:cstheme="majorBidi"/>
          <w:i/>
          <w:iCs/>
          <w:color w:val="000000" w:themeColor="text1"/>
          <w:sz w:val="20"/>
          <w:szCs w:val="20"/>
        </w:rPr>
        <w:t xml:space="preserve"> </w:t>
      </w:r>
      <w:r w:rsidRPr="00AE2C15">
        <w:rPr>
          <w:rFonts w:asciiTheme="majorBidi" w:hAnsiTheme="majorBidi" w:cstheme="majorBidi"/>
          <w:color w:val="000000" w:themeColor="text1"/>
          <w:sz w:val="20"/>
          <w:szCs w:val="20"/>
        </w:rPr>
        <w:t xml:space="preserve">in the </w:t>
      </w:r>
      <w:proofErr w:type="spellStart"/>
      <w:r w:rsidRPr="00AE2C15">
        <w:rPr>
          <w:rFonts w:asciiTheme="majorBidi" w:hAnsiTheme="majorBidi" w:cstheme="majorBidi"/>
          <w:i/>
          <w:iCs/>
          <w:color w:val="000000" w:themeColor="text1"/>
          <w:sz w:val="20"/>
          <w:szCs w:val="20"/>
        </w:rPr>
        <w:t>ʿAṭf</w:t>
      </w:r>
      <w:proofErr w:type="spellEnd"/>
      <w:r w:rsidRPr="00AE2C15">
        <w:rPr>
          <w:rFonts w:asciiTheme="majorBidi" w:hAnsiTheme="majorBidi" w:cstheme="majorBidi"/>
          <w:color w:val="000000" w:themeColor="text1"/>
          <w:sz w:val="20"/>
          <w:szCs w:val="20"/>
        </w:rPr>
        <w:t xml:space="preserve"> serves to underscore the two distinct spheres of political authority and religious authority. However, this political-religious distinction </w:t>
      </w:r>
      <w:r w:rsidR="00BF73FA">
        <w:rPr>
          <w:rFonts w:asciiTheme="majorBidi" w:hAnsiTheme="majorBidi" w:cstheme="majorBidi"/>
          <w:color w:val="000000" w:themeColor="text1"/>
          <w:sz w:val="20"/>
          <w:szCs w:val="20"/>
        </w:rPr>
        <w:t xml:space="preserve">does </w:t>
      </w:r>
      <w:r w:rsidRPr="00AE2C15">
        <w:rPr>
          <w:rFonts w:asciiTheme="majorBidi" w:hAnsiTheme="majorBidi" w:cstheme="majorBidi"/>
          <w:color w:val="000000" w:themeColor="text1"/>
          <w:sz w:val="20"/>
          <w:szCs w:val="20"/>
        </w:rPr>
        <w:t xml:space="preserve">not connote the modern Western understanding of the separation of church and state. As </w:t>
      </w:r>
      <w:proofErr w:type="spellStart"/>
      <w:r w:rsidRPr="00AE2C15">
        <w:rPr>
          <w:rFonts w:asciiTheme="majorBidi" w:hAnsiTheme="majorBidi" w:cstheme="majorBidi"/>
          <w:color w:val="000000" w:themeColor="text1"/>
          <w:sz w:val="20"/>
          <w:szCs w:val="20"/>
        </w:rPr>
        <w:t>Rushain</w:t>
      </w:r>
      <w:proofErr w:type="spellEnd"/>
      <w:r w:rsidRPr="00AE2C15">
        <w:rPr>
          <w:rFonts w:asciiTheme="majorBidi" w:hAnsiTheme="majorBidi" w:cstheme="majorBidi"/>
          <w:color w:val="000000" w:themeColor="text1"/>
          <w:sz w:val="20"/>
          <w:szCs w:val="20"/>
        </w:rPr>
        <w:t xml:space="preserve"> Abbasi argues, “it was a matter of differentiation rather than opposition.” For more on the differentiation between political and religious authority, see Abbasi, “</w:t>
      </w:r>
      <w:r w:rsidRPr="00AE2C15">
        <w:rPr>
          <w:rFonts w:asciiTheme="majorBidi" w:hAnsiTheme="majorBidi" w:cstheme="majorBidi"/>
          <w:iCs/>
          <w:color w:val="000000" w:themeColor="text1"/>
          <w:sz w:val="20"/>
          <w:szCs w:val="20"/>
        </w:rPr>
        <w:t>Did Premodern Muslims Distinguish the Religious and the Secular?,” 214–20; quote at 221.</w:t>
      </w:r>
    </w:p>
  </w:footnote>
  <w:footnote w:id="87">
    <w:p w14:paraId="64722F5A" w14:textId="267AA00B"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iCs/>
          <w:color w:val="000000" w:themeColor="text1"/>
          <w:sz w:val="20"/>
          <w:szCs w:val="20"/>
        </w:rPr>
        <w:t>Ibn al-</w:t>
      </w:r>
      <w:proofErr w:type="spellStart"/>
      <w:r w:rsidRPr="00AE2C15">
        <w:rPr>
          <w:rFonts w:asciiTheme="majorBidi" w:hAnsiTheme="majorBidi" w:cstheme="majorBidi"/>
          <w:iCs/>
          <w:color w:val="000000" w:themeColor="text1"/>
          <w:sz w:val="20"/>
          <w:szCs w:val="20"/>
        </w:rPr>
        <w:t>Jawzī</w:t>
      </w:r>
      <w:proofErr w:type="spellEnd"/>
      <w:r w:rsidRPr="00AE2C15">
        <w:rPr>
          <w:rFonts w:asciiTheme="majorBidi" w:hAnsiTheme="majorBidi" w:cstheme="majorBidi"/>
          <w:iCs/>
          <w:color w:val="000000" w:themeColor="text1"/>
          <w:sz w:val="20"/>
          <w:szCs w:val="20"/>
        </w:rPr>
        <w:t xml:space="preserve">, </w:t>
      </w:r>
      <w:proofErr w:type="spellStart"/>
      <w:r w:rsidRPr="00AE2C15">
        <w:rPr>
          <w:rFonts w:asciiTheme="majorBidi" w:hAnsiTheme="majorBidi" w:cstheme="majorBidi"/>
          <w:i/>
          <w:color w:val="000000" w:themeColor="text1"/>
          <w:sz w:val="20"/>
          <w:szCs w:val="20"/>
        </w:rPr>
        <w:t>ʿAṭf</w:t>
      </w:r>
      <w:proofErr w:type="spellEnd"/>
      <w:r w:rsidRPr="00AE2C15">
        <w:rPr>
          <w:rFonts w:asciiTheme="majorBidi" w:hAnsiTheme="majorBidi" w:cstheme="majorBidi"/>
          <w:iCs/>
          <w:color w:val="000000" w:themeColor="text1"/>
          <w:sz w:val="20"/>
          <w:szCs w:val="20"/>
        </w:rPr>
        <w:t>, 57.</w:t>
      </w:r>
    </w:p>
  </w:footnote>
  <w:footnote w:id="88">
    <w:p w14:paraId="1AA1FDFC" w14:textId="0D96D04C"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iCs/>
          <w:color w:val="000000" w:themeColor="text1"/>
          <w:sz w:val="20"/>
          <w:szCs w:val="20"/>
        </w:rPr>
        <w:t>Ibid., 57–58.</w:t>
      </w:r>
    </w:p>
  </w:footnote>
  <w:footnote w:id="89">
    <w:p w14:paraId="792BF7D6" w14:textId="77777777" w:rsidR="00CD2D30" w:rsidRPr="00AE2C15" w:rsidRDefault="00CD2D30" w:rsidP="00AE2C15">
      <w:pPr>
        <w:pStyle w:val="FootnoteText"/>
        <w:contextualSpacing/>
        <w:rPr>
          <w:rFonts w:asciiTheme="majorBidi" w:hAnsiTheme="majorBidi" w:cstheme="majorBidi"/>
          <w:iCs/>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Al-</w:t>
      </w:r>
      <w:proofErr w:type="spellStart"/>
      <w:r w:rsidRPr="00AE2C15">
        <w:rPr>
          <w:rFonts w:asciiTheme="majorBidi" w:hAnsiTheme="majorBidi" w:cstheme="majorBidi"/>
          <w:color w:val="000000" w:themeColor="text1"/>
          <w:sz w:val="20"/>
          <w:szCs w:val="20"/>
        </w:rPr>
        <w:t>Ghazālī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Iḥyāʾ</w:t>
      </w:r>
      <w:proofErr w:type="spellEnd"/>
      <w:r w:rsidRPr="00AE2C15">
        <w:rPr>
          <w:rFonts w:asciiTheme="majorBidi" w:hAnsiTheme="majorBidi" w:cstheme="majorBidi"/>
          <w:color w:val="000000" w:themeColor="text1"/>
          <w:sz w:val="20"/>
          <w:szCs w:val="20"/>
        </w:rPr>
        <w:t xml:space="preserve">, 1:66–67; translated in </w:t>
      </w:r>
      <w:r w:rsidRPr="00AE2C15">
        <w:rPr>
          <w:rFonts w:asciiTheme="majorBidi" w:hAnsiTheme="majorBidi" w:cstheme="majorBidi"/>
          <w:iCs/>
          <w:color w:val="000000" w:themeColor="text1"/>
          <w:sz w:val="20"/>
          <w:szCs w:val="20"/>
        </w:rPr>
        <w:t xml:space="preserve">Anjum, </w:t>
      </w:r>
      <w:r w:rsidRPr="00AE2C15">
        <w:rPr>
          <w:rFonts w:asciiTheme="majorBidi" w:hAnsiTheme="majorBidi" w:cstheme="majorBidi"/>
          <w:i/>
          <w:color w:val="000000" w:themeColor="text1"/>
          <w:sz w:val="20"/>
          <w:szCs w:val="20"/>
        </w:rPr>
        <w:t>Politics, Law, and Community</w:t>
      </w:r>
      <w:r w:rsidRPr="00AE2C15">
        <w:rPr>
          <w:rFonts w:asciiTheme="majorBidi" w:hAnsiTheme="majorBidi" w:cstheme="majorBidi"/>
          <w:iCs/>
          <w:color w:val="000000" w:themeColor="text1"/>
          <w:sz w:val="20"/>
          <w:szCs w:val="20"/>
        </w:rPr>
        <w:t>, 106.</w:t>
      </w:r>
    </w:p>
  </w:footnote>
  <w:footnote w:id="90">
    <w:p w14:paraId="2BB936DD" w14:textId="3DA82CE0"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Rapoport, “</w:t>
      </w:r>
      <w:r w:rsidRPr="00AE2C15">
        <w:rPr>
          <w:rFonts w:asciiTheme="majorBidi" w:hAnsiTheme="majorBidi" w:cstheme="majorBidi"/>
          <w:iCs/>
          <w:color w:val="000000" w:themeColor="text1"/>
          <w:sz w:val="20"/>
          <w:szCs w:val="20"/>
        </w:rPr>
        <w:t>Royal Justice and Religious Law,” 94–95.</w:t>
      </w:r>
    </w:p>
  </w:footnote>
  <w:footnote w:id="91">
    <w:p w14:paraId="1F6F714B" w14:textId="3316EB9A"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iCs/>
          <w:color w:val="000000" w:themeColor="text1"/>
          <w:sz w:val="20"/>
          <w:szCs w:val="20"/>
        </w:rPr>
        <w:t xml:space="preserve">Anjum, </w:t>
      </w:r>
      <w:r w:rsidRPr="00AE2C15">
        <w:rPr>
          <w:rFonts w:asciiTheme="majorBidi" w:hAnsiTheme="majorBidi" w:cstheme="majorBidi"/>
          <w:i/>
          <w:color w:val="000000" w:themeColor="text1"/>
          <w:sz w:val="20"/>
          <w:szCs w:val="20"/>
        </w:rPr>
        <w:t>Politics, Law, and Community</w:t>
      </w:r>
      <w:r w:rsidRPr="00AE2C15">
        <w:rPr>
          <w:rFonts w:asciiTheme="majorBidi" w:hAnsiTheme="majorBidi" w:cstheme="majorBidi"/>
          <w:iCs/>
          <w:color w:val="000000" w:themeColor="text1"/>
          <w:sz w:val="20"/>
          <w:szCs w:val="20"/>
        </w:rPr>
        <w:t>, 30, 242–43.</w:t>
      </w:r>
    </w:p>
  </w:footnote>
  <w:footnote w:id="92">
    <w:p w14:paraId="47D64E7A" w14:textId="75D30A6E"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Ibid., 248–49.</w:t>
      </w:r>
    </w:p>
  </w:footnote>
  <w:footnote w:id="93">
    <w:p w14:paraId="64B7E1DD" w14:textId="79614C83"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Ibid., 268–71.</w:t>
      </w:r>
    </w:p>
  </w:footnote>
  <w:footnote w:id="94">
    <w:p w14:paraId="753A26C7" w14:textId="2B42C810" w:rsidR="00CD2D30" w:rsidRPr="00AE2C15" w:rsidRDefault="00CD2D30" w:rsidP="00AE2C15">
      <w:pPr>
        <w:pStyle w:val="FootnoteText"/>
        <w:spacing w:after="200"/>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color w:val="000000" w:themeColor="text1"/>
          <w:sz w:val="20"/>
          <w:szCs w:val="20"/>
        </w:rPr>
        <w:t>Ibn al-</w:t>
      </w:r>
      <w:proofErr w:type="spellStart"/>
      <w:r w:rsidRPr="00AE2C15">
        <w:rPr>
          <w:rFonts w:asciiTheme="majorBidi" w:hAnsiTheme="majorBidi" w:cstheme="majorBidi"/>
          <w:color w:val="000000" w:themeColor="text1"/>
          <w:sz w:val="20"/>
          <w:szCs w:val="20"/>
        </w:rPr>
        <w:t>Jawzī</w:t>
      </w:r>
      <w:proofErr w:type="spellEnd"/>
      <w:r w:rsidRPr="00AE2C15">
        <w:rPr>
          <w:rFonts w:asciiTheme="majorBidi" w:hAnsiTheme="majorBidi" w:cstheme="majorBidi"/>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Talbīs</w:t>
      </w:r>
      <w:proofErr w:type="spellEnd"/>
      <w:r w:rsidRPr="00AE2C15">
        <w:rPr>
          <w:rFonts w:asciiTheme="majorBidi" w:hAnsiTheme="majorBidi" w:cstheme="majorBidi"/>
          <w:i/>
          <w:iCs/>
          <w:color w:val="000000" w:themeColor="text1"/>
          <w:sz w:val="20"/>
          <w:szCs w:val="20"/>
        </w:rPr>
        <w:t xml:space="preserve"> </w:t>
      </w:r>
      <w:proofErr w:type="spellStart"/>
      <w:r w:rsidRPr="00AE2C15">
        <w:rPr>
          <w:rFonts w:asciiTheme="majorBidi" w:hAnsiTheme="majorBidi" w:cstheme="majorBidi"/>
          <w:i/>
          <w:iCs/>
          <w:color w:val="000000" w:themeColor="text1"/>
          <w:sz w:val="20"/>
          <w:szCs w:val="20"/>
        </w:rPr>
        <w:t>Iblīs</w:t>
      </w:r>
      <w:proofErr w:type="spellEnd"/>
      <w:r w:rsidRPr="00AE2C15">
        <w:rPr>
          <w:rFonts w:asciiTheme="majorBidi" w:hAnsiTheme="majorBidi" w:cstheme="majorBidi"/>
          <w:color w:val="000000" w:themeColor="text1"/>
          <w:sz w:val="20"/>
          <w:szCs w:val="20"/>
        </w:rPr>
        <w:t>, 191.</w:t>
      </w:r>
    </w:p>
  </w:footnote>
  <w:footnote w:id="95">
    <w:p w14:paraId="1F03F8A5" w14:textId="63B08ABB" w:rsidR="00CD2D30" w:rsidRPr="00C66CE9"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Pr>
          <w:rFonts w:asciiTheme="majorBidi" w:hAnsiTheme="majorBidi" w:cstheme="majorBidi"/>
          <w:sz w:val="20"/>
          <w:szCs w:val="20"/>
        </w:rPr>
        <w:t>Writing a century before Ibn al-</w:t>
      </w:r>
      <w:proofErr w:type="spellStart"/>
      <w:r>
        <w:rPr>
          <w:rFonts w:asciiTheme="majorBidi" w:hAnsiTheme="majorBidi" w:cstheme="majorBidi"/>
          <w:sz w:val="20"/>
          <w:szCs w:val="20"/>
        </w:rPr>
        <w:t>Jawzī</w:t>
      </w:r>
      <w:proofErr w:type="spellEnd"/>
      <w:r>
        <w:rPr>
          <w:rFonts w:asciiTheme="majorBidi" w:hAnsiTheme="majorBidi" w:cstheme="majorBidi"/>
          <w:sz w:val="20"/>
          <w:szCs w:val="20"/>
        </w:rPr>
        <w:t>, al-</w:t>
      </w:r>
      <w:proofErr w:type="spellStart"/>
      <w:r>
        <w:rPr>
          <w:rFonts w:asciiTheme="majorBidi" w:hAnsiTheme="majorBidi" w:cstheme="majorBidi"/>
          <w:sz w:val="20"/>
          <w:szCs w:val="20"/>
        </w:rPr>
        <w:t>Juwaynī</w:t>
      </w:r>
      <w:proofErr w:type="spellEnd"/>
      <w:r>
        <w:rPr>
          <w:rFonts w:asciiTheme="majorBidi" w:hAnsiTheme="majorBidi" w:cstheme="majorBidi"/>
          <w:sz w:val="20"/>
          <w:szCs w:val="20"/>
        </w:rPr>
        <w:t xml:space="preserve"> also envisioned a political role for scholars. But in al-</w:t>
      </w:r>
      <w:proofErr w:type="spellStart"/>
      <w:r>
        <w:rPr>
          <w:rFonts w:asciiTheme="majorBidi" w:hAnsiTheme="majorBidi" w:cstheme="majorBidi"/>
          <w:sz w:val="20"/>
          <w:szCs w:val="20"/>
        </w:rPr>
        <w:t>Juwaynī’s</w:t>
      </w:r>
      <w:proofErr w:type="spellEnd"/>
      <w:r>
        <w:rPr>
          <w:rFonts w:asciiTheme="majorBidi" w:hAnsiTheme="majorBidi" w:cstheme="majorBidi"/>
          <w:sz w:val="20"/>
          <w:szCs w:val="20"/>
        </w:rPr>
        <w:t xml:space="preserve"> political thought, the scholars’ political role only comes into the picture when no minimally qualified imam can be found. When a qualified imam is in power, the scholars should play a consultative role. Even then, al-</w:t>
      </w:r>
      <w:proofErr w:type="spellStart"/>
      <w:r>
        <w:rPr>
          <w:rFonts w:asciiTheme="majorBidi" w:hAnsiTheme="majorBidi" w:cstheme="majorBidi"/>
          <w:sz w:val="20"/>
          <w:szCs w:val="20"/>
        </w:rPr>
        <w:t>Juwaynī’s</w:t>
      </w:r>
      <w:proofErr w:type="spellEnd"/>
      <w:r>
        <w:rPr>
          <w:rFonts w:asciiTheme="majorBidi" w:hAnsiTheme="majorBidi" w:cstheme="majorBidi"/>
          <w:sz w:val="20"/>
          <w:szCs w:val="20"/>
        </w:rPr>
        <w:t xml:space="preserve"> ideal political arrangement is one in which the imam is self-sufficient and independent in discharging his duties rather than relying on others. See </w:t>
      </w:r>
      <w:proofErr w:type="spellStart"/>
      <w:r>
        <w:rPr>
          <w:rFonts w:asciiTheme="majorBidi" w:hAnsiTheme="majorBidi" w:cstheme="majorBidi"/>
          <w:sz w:val="20"/>
          <w:szCs w:val="20"/>
        </w:rPr>
        <w:t>Sohaira</w:t>
      </w:r>
      <w:proofErr w:type="spellEnd"/>
      <w:r>
        <w:rPr>
          <w:rFonts w:asciiTheme="majorBidi" w:hAnsiTheme="majorBidi" w:cstheme="majorBidi"/>
          <w:sz w:val="20"/>
          <w:szCs w:val="20"/>
        </w:rPr>
        <w:t xml:space="preserve"> Z. M. Siddiqui, </w:t>
      </w:r>
      <w:r>
        <w:rPr>
          <w:rFonts w:asciiTheme="majorBidi" w:hAnsiTheme="majorBidi" w:cstheme="majorBidi"/>
          <w:i/>
          <w:iCs/>
          <w:sz w:val="20"/>
          <w:szCs w:val="20"/>
        </w:rPr>
        <w:t>Law and Politics under the Abbasids: An Intellectual Portrait of al-</w:t>
      </w:r>
      <w:proofErr w:type="spellStart"/>
      <w:r>
        <w:rPr>
          <w:rFonts w:asciiTheme="majorBidi" w:hAnsiTheme="majorBidi" w:cstheme="majorBidi"/>
          <w:i/>
          <w:iCs/>
          <w:sz w:val="20"/>
          <w:szCs w:val="20"/>
        </w:rPr>
        <w:t>Juwayni</w:t>
      </w:r>
      <w:proofErr w:type="spellEnd"/>
      <w:r>
        <w:rPr>
          <w:rFonts w:asciiTheme="majorBidi" w:hAnsiTheme="majorBidi" w:cstheme="majorBidi"/>
          <w:sz w:val="20"/>
          <w:szCs w:val="20"/>
        </w:rPr>
        <w:t xml:space="preserve"> (New York: Cambridge University Press, 2019), 247–48, 257–62.</w:t>
      </w:r>
    </w:p>
  </w:footnote>
  <w:footnote w:id="96">
    <w:p w14:paraId="3263057B" w14:textId="3A615A27"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w:t>
      </w:r>
      <w:r w:rsidRPr="00AE2C15">
        <w:rPr>
          <w:rFonts w:asciiTheme="majorBidi" w:hAnsiTheme="majorBidi" w:cstheme="majorBidi"/>
          <w:iCs/>
          <w:color w:val="000000" w:themeColor="text1"/>
          <w:sz w:val="20"/>
          <w:szCs w:val="20"/>
        </w:rPr>
        <w:t xml:space="preserve">Anjum, </w:t>
      </w:r>
      <w:r w:rsidRPr="00AE2C15">
        <w:rPr>
          <w:rFonts w:asciiTheme="majorBidi" w:hAnsiTheme="majorBidi" w:cstheme="majorBidi"/>
          <w:i/>
          <w:color w:val="000000" w:themeColor="text1"/>
          <w:sz w:val="20"/>
          <w:szCs w:val="20"/>
        </w:rPr>
        <w:t>Politics, Law, and Community</w:t>
      </w:r>
      <w:r w:rsidRPr="00AE2C15">
        <w:rPr>
          <w:rFonts w:asciiTheme="majorBidi" w:hAnsiTheme="majorBidi" w:cstheme="majorBidi"/>
          <w:iCs/>
          <w:color w:val="000000" w:themeColor="text1"/>
          <w:sz w:val="20"/>
          <w:szCs w:val="20"/>
        </w:rPr>
        <w:t>, 9.</w:t>
      </w:r>
    </w:p>
  </w:footnote>
  <w:footnote w:id="97">
    <w:p w14:paraId="5F6BDE10" w14:textId="52C7C634"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See Ibn al-</w:t>
      </w:r>
      <w:proofErr w:type="spellStart"/>
      <w:r w:rsidRPr="00AE2C15">
        <w:rPr>
          <w:rFonts w:asciiTheme="majorBidi" w:hAnsiTheme="majorBidi" w:cstheme="majorBidi"/>
          <w:sz w:val="20"/>
          <w:szCs w:val="20"/>
        </w:rPr>
        <w:t>Jawzī</w:t>
      </w:r>
      <w:proofErr w:type="spellEnd"/>
      <w:r w:rsidRPr="00AE2C15">
        <w:rPr>
          <w:rFonts w:asciiTheme="majorBidi" w:hAnsiTheme="majorBidi" w:cstheme="majorBidi"/>
          <w:sz w:val="20"/>
          <w:szCs w:val="20"/>
        </w:rPr>
        <w:t xml:space="preserve">, </w:t>
      </w:r>
      <w:proofErr w:type="spellStart"/>
      <w:r w:rsidRPr="00AE2C15">
        <w:rPr>
          <w:rFonts w:asciiTheme="majorBidi" w:hAnsiTheme="majorBidi" w:cstheme="majorBidi"/>
          <w:i/>
          <w:iCs/>
          <w:sz w:val="20"/>
          <w:szCs w:val="20"/>
        </w:rPr>
        <w:t>Ṣayd</w:t>
      </w:r>
      <w:proofErr w:type="spellEnd"/>
      <w:r w:rsidRPr="00AE2C15">
        <w:rPr>
          <w:rFonts w:asciiTheme="majorBidi" w:hAnsiTheme="majorBidi" w:cstheme="majorBidi"/>
          <w:i/>
          <w:iCs/>
          <w:sz w:val="20"/>
          <w:szCs w:val="20"/>
        </w:rPr>
        <w:t xml:space="preserve"> al-</w:t>
      </w:r>
      <w:proofErr w:type="spellStart"/>
      <w:r w:rsidRPr="00AE2C15">
        <w:rPr>
          <w:rFonts w:asciiTheme="majorBidi" w:hAnsiTheme="majorBidi" w:cstheme="majorBidi"/>
          <w:i/>
          <w:iCs/>
          <w:sz w:val="20"/>
          <w:szCs w:val="20"/>
        </w:rPr>
        <w:t>khāṭir</w:t>
      </w:r>
      <w:proofErr w:type="spellEnd"/>
      <w:r w:rsidRPr="00AE2C15">
        <w:rPr>
          <w:rFonts w:asciiTheme="majorBidi" w:hAnsiTheme="majorBidi" w:cstheme="majorBidi"/>
          <w:sz w:val="20"/>
          <w:szCs w:val="20"/>
        </w:rPr>
        <w:t xml:space="preserve">, 339–40, where he encourages scholars to mix with those who are above them in terms of knowledge and action but advises them against mixing with laypeople unless the goal is to educate and admonish them. For a discussion of his elitism in theological matters, see </w:t>
      </w:r>
      <w:proofErr w:type="spellStart"/>
      <w:r w:rsidRPr="00AE2C15">
        <w:rPr>
          <w:rFonts w:asciiTheme="majorBidi" w:hAnsiTheme="majorBidi" w:cstheme="majorBidi"/>
          <w:sz w:val="20"/>
          <w:szCs w:val="20"/>
        </w:rPr>
        <w:t>Livnat</w:t>
      </w:r>
      <w:proofErr w:type="spellEnd"/>
      <w:r w:rsidRPr="00AE2C15">
        <w:rPr>
          <w:rFonts w:asciiTheme="majorBidi" w:hAnsiTheme="majorBidi" w:cstheme="majorBidi"/>
          <w:sz w:val="20"/>
          <w:szCs w:val="20"/>
        </w:rPr>
        <w:t xml:space="preserve"> Holtzman, </w:t>
      </w:r>
      <w:r w:rsidRPr="00AE2C15">
        <w:rPr>
          <w:rFonts w:asciiTheme="majorBidi" w:hAnsiTheme="majorBidi" w:cstheme="majorBidi"/>
          <w:i/>
          <w:iCs/>
          <w:sz w:val="20"/>
          <w:szCs w:val="20"/>
        </w:rPr>
        <w:t>Anthropomorphism in Islam: The Challenge of Traditionalism (700–1350)</w:t>
      </w:r>
      <w:r w:rsidRPr="00AE2C15">
        <w:rPr>
          <w:rFonts w:asciiTheme="majorBidi" w:hAnsiTheme="majorBidi" w:cstheme="majorBidi"/>
          <w:sz w:val="20"/>
          <w:szCs w:val="20"/>
        </w:rPr>
        <w:t xml:space="preserve"> (Edinburgh: Edinburgh University Press, 2018), 166–69.</w:t>
      </w:r>
    </w:p>
  </w:footnote>
  <w:footnote w:id="98">
    <w:p w14:paraId="61C733A3" w14:textId="1E902816" w:rsidR="00CD2D30" w:rsidRPr="00AE2C15" w:rsidRDefault="00CD2D30" w:rsidP="00AE2C15">
      <w:pPr>
        <w:pStyle w:val="FootnoteText"/>
        <w:contextualSpacing/>
        <w:rPr>
          <w:rFonts w:asciiTheme="majorBidi" w:hAnsiTheme="majorBidi" w:cstheme="majorBidi"/>
          <w:sz w:val="20"/>
          <w:szCs w:val="20"/>
        </w:rPr>
      </w:pPr>
      <w:r w:rsidRPr="00AE2C15">
        <w:rPr>
          <w:rStyle w:val="FootnoteReference"/>
          <w:rFonts w:asciiTheme="majorBidi" w:hAnsiTheme="majorBidi" w:cstheme="majorBidi"/>
          <w:sz w:val="20"/>
          <w:szCs w:val="20"/>
        </w:rPr>
        <w:footnoteRef/>
      </w:r>
      <w:r w:rsidRPr="00AE2C15">
        <w:rPr>
          <w:rFonts w:asciiTheme="majorBidi" w:hAnsiTheme="majorBidi" w:cstheme="majorBidi"/>
          <w:sz w:val="20"/>
          <w:szCs w:val="20"/>
        </w:rPr>
        <w:t xml:space="preserve"> Although Ibn </w:t>
      </w:r>
      <w:proofErr w:type="spellStart"/>
      <w:r w:rsidRPr="00AE2C15">
        <w:rPr>
          <w:rFonts w:asciiTheme="majorBidi" w:hAnsiTheme="majorBidi" w:cstheme="majorBidi"/>
          <w:sz w:val="20"/>
          <w:szCs w:val="20"/>
        </w:rPr>
        <w:t>Taymiyya</w:t>
      </w:r>
      <w:proofErr w:type="spellEnd"/>
      <w:r w:rsidRPr="00AE2C15">
        <w:rPr>
          <w:rFonts w:asciiTheme="majorBidi" w:hAnsiTheme="majorBidi" w:cstheme="majorBidi"/>
          <w:sz w:val="20"/>
          <w:szCs w:val="20"/>
        </w:rPr>
        <w:t xml:space="preserve"> was well acquainted with Ibn al-</w:t>
      </w:r>
      <w:proofErr w:type="spellStart"/>
      <w:r w:rsidRPr="00AE2C15">
        <w:rPr>
          <w:rFonts w:asciiTheme="majorBidi" w:hAnsiTheme="majorBidi" w:cstheme="majorBidi"/>
          <w:sz w:val="20"/>
          <w:szCs w:val="20"/>
        </w:rPr>
        <w:t>Jawzī’s</w:t>
      </w:r>
      <w:proofErr w:type="spellEnd"/>
      <w:r w:rsidRPr="00AE2C15">
        <w:rPr>
          <w:rFonts w:asciiTheme="majorBidi" w:hAnsiTheme="majorBidi" w:cstheme="majorBidi"/>
          <w:sz w:val="20"/>
          <w:szCs w:val="20"/>
        </w:rPr>
        <w:t xml:space="preserve"> works, there is hardly any evidence of him drawing from Ibn al-</w:t>
      </w:r>
      <w:proofErr w:type="spellStart"/>
      <w:r w:rsidRPr="00AE2C15">
        <w:rPr>
          <w:rFonts w:asciiTheme="majorBidi" w:hAnsiTheme="majorBidi" w:cstheme="majorBidi"/>
          <w:sz w:val="20"/>
          <w:szCs w:val="20"/>
        </w:rPr>
        <w:t>Jawzī’s</w:t>
      </w:r>
      <w:proofErr w:type="spellEnd"/>
      <w:r w:rsidRPr="00AE2C15">
        <w:rPr>
          <w:rFonts w:asciiTheme="majorBidi" w:hAnsiTheme="majorBidi" w:cstheme="majorBidi"/>
          <w:sz w:val="20"/>
          <w:szCs w:val="20"/>
        </w:rPr>
        <w:t xml:space="preserve"> political discourses. Therefore, rather than claiming that Ibn </w:t>
      </w:r>
      <w:proofErr w:type="spellStart"/>
      <w:r w:rsidRPr="00AE2C15">
        <w:rPr>
          <w:rFonts w:asciiTheme="majorBidi" w:hAnsiTheme="majorBidi" w:cstheme="majorBidi"/>
          <w:sz w:val="20"/>
          <w:szCs w:val="20"/>
        </w:rPr>
        <w:t>Taymiyya’s</w:t>
      </w:r>
      <w:proofErr w:type="spellEnd"/>
      <w:r w:rsidRPr="00AE2C15">
        <w:rPr>
          <w:rFonts w:asciiTheme="majorBidi" w:hAnsiTheme="majorBidi" w:cstheme="majorBidi"/>
          <w:sz w:val="20"/>
          <w:szCs w:val="20"/>
        </w:rPr>
        <w:t xml:space="preserve"> </w:t>
      </w:r>
      <w:r w:rsidRPr="00AE2C15">
        <w:rPr>
          <w:rFonts w:asciiTheme="majorBidi" w:hAnsiTheme="majorBidi" w:cstheme="majorBidi"/>
          <w:i/>
          <w:iCs/>
          <w:sz w:val="20"/>
          <w:szCs w:val="20"/>
        </w:rPr>
        <w:t>al-</w:t>
      </w:r>
      <w:proofErr w:type="spellStart"/>
      <w:r w:rsidRPr="00AE2C15">
        <w:rPr>
          <w:rFonts w:asciiTheme="majorBidi" w:hAnsiTheme="majorBidi" w:cstheme="majorBidi"/>
          <w:i/>
          <w:iCs/>
          <w:sz w:val="20"/>
          <w:szCs w:val="20"/>
        </w:rPr>
        <w:t>siyāsa</w:t>
      </w:r>
      <w:proofErr w:type="spellEnd"/>
      <w:r w:rsidRPr="00AE2C15">
        <w:rPr>
          <w:rFonts w:asciiTheme="majorBidi" w:hAnsiTheme="majorBidi" w:cstheme="majorBidi"/>
          <w:i/>
          <w:iCs/>
          <w:sz w:val="20"/>
          <w:szCs w:val="20"/>
        </w:rPr>
        <w:t xml:space="preserve"> al-</w:t>
      </w:r>
      <w:proofErr w:type="spellStart"/>
      <w:r w:rsidRPr="00AE2C15">
        <w:rPr>
          <w:rFonts w:asciiTheme="majorBidi" w:hAnsiTheme="majorBidi" w:cstheme="majorBidi"/>
          <w:i/>
          <w:iCs/>
          <w:sz w:val="20"/>
          <w:szCs w:val="20"/>
        </w:rPr>
        <w:t>sharʿiyya</w:t>
      </w:r>
      <w:proofErr w:type="spellEnd"/>
      <w:r w:rsidRPr="00AE2C15">
        <w:rPr>
          <w:rFonts w:asciiTheme="majorBidi" w:hAnsiTheme="majorBidi" w:cstheme="majorBidi"/>
          <w:i/>
          <w:iCs/>
          <w:sz w:val="20"/>
          <w:szCs w:val="20"/>
        </w:rPr>
        <w:t xml:space="preserve"> </w:t>
      </w:r>
      <w:r w:rsidRPr="00AE2C15">
        <w:rPr>
          <w:rFonts w:asciiTheme="majorBidi" w:hAnsiTheme="majorBidi" w:cstheme="majorBidi"/>
          <w:sz w:val="20"/>
          <w:szCs w:val="20"/>
        </w:rPr>
        <w:t>approach to politics was influenced by Ibn al-</w:t>
      </w:r>
      <w:proofErr w:type="spellStart"/>
      <w:r w:rsidRPr="00AE2C15">
        <w:rPr>
          <w:rFonts w:asciiTheme="majorBidi" w:hAnsiTheme="majorBidi" w:cstheme="majorBidi"/>
          <w:sz w:val="20"/>
          <w:szCs w:val="20"/>
        </w:rPr>
        <w:t>Jawzī</w:t>
      </w:r>
      <w:proofErr w:type="spellEnd"/>
      <w:r w:rsidRPr="00AE2C15">
        <w:rPr>
          <w:rFonts w:asciiTheme="majorBidi" w:hAnsiTheme="majorBidi" w:cstheme="majorBidi"/>
          <w:sz w:val="20"/>
          <w:szCs w:val="20"/>
        </w:rPr>
        <w:t>, we can only conclude that he was perhaps drawing on a cluster of political discourses of which Ibn al-</w:t>
      </w:r>
      <w:proofErr w:type="spellStart"/>
      <w:r w:rsidRPr="00AE2C15">
        <w:rPr>
          <w:rFonts w:asciiTheme="majorBidi" w:hAnsiTheme="majorBidi" w:cstheme="majorBidi"/>
          <w:sz w:val="20"/>
          <w:szCs w:val="20"/>
        </w:rPr>
        <w:t>Jawzī</w:t>
      </w:r>
      <w:proofErr w:type="spellEnd"/>
      <w:r w:rsidRPr="00AE2C15">
        <w:rPr>
          <w:rFonts w:asciiTheme="majorBidi" w:hAnsiTheme="majorBidi" w:cstheme="majorBidi"/>
          <w:sz w:val="20"/>
          <w:szCs w:val="20"/>
        </w:rPr>
        <w:t xml:space="preserve"> was but one representative.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53832"/>
    <w:multiLevelType w:val="hybridMultilevel"/>
    <w:tmpl w:val="8AB0F530"/>
    <w:lvl w:ilvl="0" w:tplc="F99EC0B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A11BB"/>
    <w:multiLevelType w:val="hybridMultilevel"/>
    <w:tmpl w:val="ED6283F8"/>
    <w:lvl w:ilvl="0" w:tplc="F99EC0B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07463"/>
    <w:multiLevelType w:val="hybridMultilevel"/>
    <w:tmpl w:val="ABD46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CE"/>
    <w:rsid w:val="0000021F"/>
    <w:rsid w:val="000018BC"/>
    <w:rsid w:val="00002B24"/>
    <w:rsid w:val="00003C5E"/>
    <w:rsid w:val="00010470"/>
    <w:rsid w:val="000131AF"/>
    <w:rsid w:val="0001394D"/>
    <w:rsid w:val="0001498E"/>
    <w:rsid w:val="00014BF0"/>
    <w:rsid w:val="0001665F"/>
    <w:rsid w:val="00016D4D"/>
    <w:rsid w:val="00020248"/>
    <w:rsid w:val="000202F5"/>
    <w:rsid w:val="0002039C"/>
    <w:rsid w:val="0002339F"/>
    <w:rsid w:val="000241E2"/>
    <w:rsid w:val="0002492D"/>
    <w:rsid w:val="0002712A"/>
    <w:rsid w:val="00031789"/>
    <w:rsid w:val="00032AAD"/>
    <w:rsid w:val="0003393E"/>
    <w:rsid w:val="000343E3"/>
    <w:rsid w:val="00040002"/>
    <w:rsid w:val="0004200E"/>
    <w:rsid w:val="00042AA7"/>
    <w:rsid w:val="000432BB"/>
    <w:rsid w:val="0004533A"/>
    <w:rsid w:val="000457F3"/>
    <w:rsid w:val="00050F83"/>
    <w:rsid w:val="00054CCA"/>
    <w:rsid w:val="00055C61"/>
    <w:rsid w:val="00055E33"/>
    <w:rsid w:val="0005753A"/>
    <w:rsid w:val="0006231C"/>
    <w:rsid w:val="000626D3"/>
    <w:rsid w:val="000627C6"/>
    <w:rsid w:val="00063B9D"/>
    <w:rsid w:val="00063BD8"/>
    <w:rsid w:val="00065362"/>
    <w:rsid w:val="000662CF"/>
    <w:rsid w:val="00066FD1"/>
    <w:rsid w:val="0006734E"/>
    <w:rsid w:val="000676D6"/>
    <w:rsid w:val="00070368"/>
    <w:rsid w:val="00073325"/>
    <w:rsid w:val="00075966"/>
    <w:rsid w:val="00075D5E"/>
    <w:rsid w:val="00081AC6"/>
    <w:rsid w:val="00081ACC"/>
    <w:rsid w:val="0008306F"/>
    <w:rsid w:val="00083385"/>
    <w:rsid w:val="00083889"/>
    <w:rsid w:val="00084463"/>
    <w:rsid w:val="000849A1"/>
    <w:rsid w:val="00085A50"/>
    <w:rsid w:val="0008671C"/>
    <w:rsid w:val="00090101"/>
    <w:rsid w:val="0009079C"/>
    <w:rsid w:val="00091592"/>
    <w:rsid w:val="00092187"/>
    <w:rsid w:val="00093205"/>
    <w:rsid w:val="00093E2B"/>
    <w:rsid w:val="00096BAF"/>
    <w:rsid w:val="000A16CE"/>
    <w:rsid w:val="000A2BC4"/>
    <w:rsid w:val="000A49CB"/>
    <w:rsid w:val="000A55F9"/>
    <w:rsid w:val="000A6837"/>
    <w:rsid w:val="000A79E8"/>
    <w:rsid w:val="000A7A9B"/>
    <w:rsid w:val="000B0189"/>
    <w:rsid w:val="000B2825"/>
    <w:rsid w:val="000B2D61"/>
    <w:rsid w:val="000B376E"/>
    <w:rsid w:val="000B3DB9"/>
    <w:rsid w:val="000B4708"/>
    <w:rsid w:val="000B4D46"/>
    <w:rsid w:val="000B6F7B"/>
    <w:rsid w:val="000B7476"/>
    <w:rsid w:val="000C0943"/>
    <w:rsid w:val="000C3CC7"/>
    <w:rsid w:val="000D04A8"/>
    <w:rsid w:val="000D3DAE"/>
    <w:rsid w:val="000D3FA9"/>
    <w:rsid w:val="000D4BFE"/>
    <w:rsid w:val="000D5F6A"/>
    <w:rsid w:val="000E0F92"/>
    <w:rsid w:val="000E1904"/>
    <w:rsid w:val="000E2A13"/>
    <w:rsid w:val="000E36F8"/>
    <w:rsid w:val="000E3C5C"/>
    <w:rsid w:val="000E5AAD"/>
    <w:rsid w:val="000E5DE9"/>
    <w:rsid w:val="000F0157"/>
    <w:rsid w:val="000F06B6"/>
    <w:rsid w:val="000F0C41"/>
    <w:rsid w:val="000F1D4D"/>
    <w:rsid w:val="000F3F8F"/>
    <w:rsid w:val="000F46FF"/>
    <w:rsid w:val="000F55A2"/>
    <w:rsid w:val="000F69F7"/>
    <w:rsid w:val="00101418"/>
    <w:rsid w:val="00104589"/>
    <w:rsid w:val="00105BED"/>
    <w:rsid w:val="001076CC"/>
    <w:rsid w:val="00107FE2"/>
    <w:rsid w:val="00112AC5"/>
    <w:rsid w:val="00113253"/>
    <w:rsid w:val="00114278"/>
    <w:rsid w:val="00114531"/>
    <w:rsid w:val="001147A0"/>
    <w:rsid w:val="00116D10"/>
    <w:rsid w:val="00116FB3"/>
    <w:rsid w:val="001172E5"/>
    <w:rsid w:val="001245B1"/>
    <w:rsid w:val="00124783"/>
    <w:rsid w:val="00124EB3"/>
    <w:rsid w:val="001256D1"/>
    <w:rsid w:val="00125E53"/>
    <w:rsid w:val="001263B7"/>
    <w:rsid w:val="00126430"/>
    <w:rsid w:val="00126AD9"/>
    <w:rsid w:val="00130415"/>
    <w:rsid w:val="00130496"/>
    <w:rsid w:val="001318DE"/>
    <w:rsid w:val="00131F8F"/>
    <w:rsid w:val="00132654"/>
    <w:rsid w:val="00136B24"/>
    <w:rsid w:val="00136F2F"/>
    <w:rsid w:val="001373E2"/>
    <w:rsid w:val="0014562B"/>
    <w:rsid w:val="00150086"/>
    <w:rsid w:val="00151EAA"/>
    <w:rsid w:val="001521F2"/>
    <w:rsid w:val="00154B7C"/>
    <w:rsid w:val="00157486"/>
    <w:rsid w:val="0016017A"/>
    <w:rsid w:val="001613A7"/>
    <w:rsid w:val="0016312E"/>
    <w:rsid w:val="00163E84"/>
    <w:rsid w:val="0016409C"/>
    <w:rsid w:val="001650BC"/>
    <w:rsid w:val="0016542A"/>
    <w:rsid w:val="001662FD"/>
    <w:rsid w:val="00166BBA"/>
    <w:rsid w:val="00167F48"/>
    <w:rsid w:val="0017006F"/>
    <w:rsid w:val="001727A7"/>
    <w:rsid w:val="001727B9"/>
    <w:rsid w:val="00172C1F"/>
    <w:rsid w:val="00172D71"/>
    <w:rsid w:val="001736C0"/>
    <w:rsid w:val="00174626"/>
    <w:rsid w:val="00177E4B"/>
    <w:rsid w:val="001844B8"/>
    <w:rsid w:val="00185C3A"/>
    <w:rsid w:val="00185F7C"/>
    <w:rsid w:val="0019021D"/>
    <w:rsid w:val="001915C5"/>
    <w:rsid w:val="00192B8B"/>
    <w:rsid w:val="001946A7"/>
    <w:rsid w:val="001951E1"/>
    <w:rsid w:val="00196067"/>
    <w:rsid w:val="001A3E24"/>
    <w:rsid w:val="001A4A08"/>
    <w:rsid w:val="001A4E68"/>
    <w:rsid w:val="001A5269"/>
    <w:rsid w:val="001A5CAE"/>
    <w:rsid w:val="001A67DE"/>
    <w:rsid w:val="001A7487"/>
    <w:rsid w:val="001A7724"/>
    <w:rsid w:val="001B02B6"/>
    <w:rsid w:val="001B2C11"/>
    <w:rsid w:val="001B4788"/>
    <w:rsid w:val="001B5188"/>
    <w:rsid w:val="001B6B68"/>
    <w:rsid w:val="001B70BE"/>
    <w:rsid w:val="001B728A"/>
    <w:rsid w:val="001C1DF0"/>
    <w:rsid w:val="001C3C6B"/>
    <w:rsid w:val="001C448B"/>
    <w:rsid w:val="001C53EA"/>
    <w:rsid w:val="001C7F0F"/>
    <w:rsid w:val="001D13D8"/>
    <w:rsid w:val="001D1B01"/>
    <w:rsid w:val="001D3854"/>
    <w:rsid w:val="001D40C1"/>
    <w:rsid w:val="001D4537"/>
    <w:rsid w:val="001D5E52"/>
    <w:rsid w:val="001D768A"/>
    <w:rsid w:val="001D7D8C"/>
    <w:rsid w:val="001E0244"/>
    <w:rsid w:val="001E0328"/>
    <w:rsid w:val="001E4D3E"/>
    <w:rsid w:val="001E5187"/>
    <w:rsid w:val="001E5257"/>
    <w:rsid w:val="001E6021"/>
    <w:rsid w:val="001E6E7A"/>
    <w:rsid w:val="001E70A2"/>
    <w:rsid w:val="001E77DF"/>
    <w:rsid w:val="001E7D3D"/>
    <w:rsid w:val="001F2024"/>
    <w:rsid w:val="001F34E5"/>
    <w:rsid w:val="001F7BF3"/>
    <w:rsid w:val="00200185"/>
    <w:rsid w:val="0020027A"/>
    <w:rsid w:val="002015E9"/>
    <w:rsid w:val="002029D1"/>
    <w:rsid w:val="00203C2A"/>
    <w:rsid w:val="00204A30"/>
    <w:rsid w:val="002059E5"/>
    <w:rsid w:val="0021263A"/>
    <w:rsid w:val="002141D3"/>
    <w:rsid w:val="00215BED"/>
    <w:rsid w:val="0021624E"/>
    <w:rsid w:val="0022016D"/>
    <w:rsid w:val="002208D7"/>
    <w:rsid w:val="00220F22"/>
    <w:rsid w:val="00221907"/>
    <w:rsid w:val="00222F7B"/>
    <w:rsid w:val="0022406B"/>
    <w:rsid w:val="00224B87"/>
    <w:rsid w:val="002251BA"/>
    <w:rsid w:val="00225CDF"/>
    <w:rsid w:val="002268CB"/>
    <w:rsid w:val="00231F33"/>
    <w:rsid w:val="00232AA9"/>
    <w:rsid w:val="00232F9B"/>
    <w:rsid w:val="00233F17"/>
    <w:rsid w:val="00234BA9"/>
    <w:rsid w:val="0024255F"/>
    <w:rsid w:val="002429E5"/>
    <w:rsid w:val="00242BF2"/>
    <w:rsid w:val="00242ED9"/>
    <w:rsid w:val="002467BA"/>
    <w:rsid w:val="0025037B"/>
    <w:rsid w:val="00251958"/>
    <w:rsid w:val="002520F3"/>
    <w:rsid w:val="00253650"/>
    <w:rsid w:val="00254901"/>
    <w:rsid w:val="00254E6C"/>
    <w:rsid w:val="00255926"/>
    <w:rsid w:val="00256E33"/>
    <w:rsid w:val="00260154"/>
    <w:rsid w:val="00260722"/>
    <w:rsid w:val="00260B37"/>
    <w:rsid w:val="00261073"/>
    <w:rsid w:val="00261953"/>
    <w:rsid w:val="002619BB"/>
    <w:rsid w:val="00263D96"/>
    <w:rsid w:val="002651E5"/>
    <w:rsid w:val="00271FD5"/>
    <w:rsid w:val="002749F3"/>
    <w:rsid w:val="002767D3"/>
    <w:rsid w:val="00276947"/>
    <w:rsid w:val="0027695F"/>
    <w:rsid w:val="00280838"/>
    <w:rsid w:val="002819E5"/>
    <w:rsid w:val="002827A7"/>
    <w:rsid w:val="00284EF3"/>
    <w:rsid w:val="002876DD"/>
    <w:rsid w:val="002A239D"/>
    <w:rsid w:val="002A42B9"/>
    <w:rsid w:val="002A4A9E"/>
    <w:rsid w:val="002A552C"/>
    <w:rsid w:val="002A644B"/>
    <w:rsid w:val="002B127C"/>
    <w:rsid w:val="002B2805"/>
    <w:rsid w:val="002B3064"/>
    <w:rsid w:val="002B3133"/>
    <w:rsid w:val="002B3904"/>
    <w:rsid w:val="002B558A"/>
    <w:rsid w:val="002B5D4C"/>
    <w:rsid w:val="002B5D6C"/>
    <w:rsid w:val="002B659C"/>
    <w:rsid w:val="002B69E6"/>
    <w:rsid w:val="002B6B5C"/>
    <w:rsid w:val="002C1519"/>
    <w:rsid w:val="002C4F43"/>
    <w:rsid w:val="002C749F"/>
    <w:rsid w:val="002D0FE1"/>
    <w:rsid w:val="002D132E"/>
    <w:rsid w:val="002D1AA4"/>
    <w:rsid w:val="002D2DAF"/>
    <w:rsid w:val="002D51C3"/>
    <w:rsid w:val="002D6F76"/>
    <w:rsid w:val="002D73FC"/>
    <w:rsid w:val="002E2D29"/>
    <w:rsid w:val="002E35F5"/>
    <w:rsid w:val="002E36FF"/>
    <w:rsid w:val="002E6654"/>
    <w:rsid w:val="002E7180"/>
    <w:rsid w:val="002E76DD"/>
    <w:rsid w:val="002F0B1E"/>
    <w:rsid w:val="002F0DCA"/>
    <w:rsid w:val="002F3841"/>
    <w:rsid w:val="002F46B6"/>
    <w:rsid w:val="002F4EE5"/>
    <w:rsid w:val="0030010D"/>
    <w:rsid w:val="00301207"/>
    <w:rsid w:val="00303096"/>
    <w:rsid w:val="00303646"/>
    <w:rsid w:val="00303D8C"/>
    <w:rsid w:val="00304CF1"/>
    <w:rsid w:val="00305888"/>
    <w:rsid w:val="00305E40"/>
    <w:rsid w:val="00306AA4"/>
    <w:rsid w:val="003071B0"/>
    <w:rsid w:val="003144B5"/>
    <w:rsid w:val="00317D97"/>
    <w:rsid w:val="00322B30"/>
    <w:rsid w:val="00322B59"/>
    <w:rsid w:val="00324FE2"/>
    <w:rsid w:val="003258B4"/>
    <w:rsid w:val="00326261"/>
    <w:rsid w:val="00326B5C"/>
    <w:rsid w:val="0033177E"/>
    <w:rsid w:val="00331786"/>
    <w:rsid w:val="00333037"/>
    <w:rsid w:val="00334B33"/>
    <w:rsid w:val="00336E69"/>
    <w:rsid w:val="0033740D"/>
    <w:rsid w:val="00341470"/>
    <w:rsid w:val="00341CE8"/>
    <w:rsid w:val="00345819"/>
    <w:rsid w:val="00347F40"/>
    <w:rsid w:val="0035067A"/>
    <w:rsid w:val="00356AD0"/>
    <w:rsid w:val="00356F63"/>
    <w:rsid w:val="00357BC0"/>
    <w:rsid w:val="003624C2"/>
    <w:rsid w:val="00362FA8"/>
    <w:rsid w:val="00363A26"/>
    <w:rsid w:val="003656D8"/>
    <w:rsid w:val="0036584B"/>
    <w:rsid w:val="00366707"/>
    <w:rsid w:val="00367D6F"/>
    <w:rsid w:val="0037009C"/>
    <w:rsid w:val="003701AD"/>
    <w:rsid w:val="00370DE8"/>
    <w:rsid w:val="00371CE9"/>
    <w:rsid w:val="003727DF"/>
    <w:rsid w:val="00374507"/>
    <w:rsid w:val="00374C95"/>
    <w:rsid w:val="0037533B"/>
    <w:rsid w:val="00376776"/>
    <w:rsid w:val="00376FFD"/>
    <w:rsid w:val="00377702"/>
    <w:rsid w:val="00380B84"/>
    <w:rsid w:val="0038217B"/>
    <w:rsid w:val="00383826"/>
    <w:rsid w:val="0038393E"/>
    <w:rsid w:val="00386411"/>
    <w:rsid w:val="00387140"/>
    <w:rsid w:val="0038715B"/>
    <w:rsid w:val="00390CBD"/>
    <w:rsid w:val="00390FDA"/>
    <w:rsid w:val="00392230"/>
    <w:rsid w:val="00393AEC"/>
    <w:rsid w:val="0039699A"/>
    <w:rsid w:val="00397B75"/>
    <w:rsid w:val="003A07BF"/>
    <w:rsid w:val="003A0906"/>
    <w:rsid w:val="003A10C7"/>
    <w:rsid w:val="003A14D5"/>
    <w:rsid w:val="003A287A"/>
    <w:rsid w:val="003A6098"/>
    <w:rsid w:val="003A6387"/>
    <w:rsid w:val="003A682C"/>
    <w:rsid w:val="003B0665"/>
    <w:rsid w:val="003B1018"/>
    <w:rsid w:val="003B122F"/>
    <w:rsid w:val="003B3055"/>
    <w:rsid w:val="003B3DD9"/>
    <w:rsid w:val="003B6266"/>
    <w:rsid w:val="003B683C"/>
    <w:rsid w:val="003C1321"/>
    <w:rsid w:val="003C3029"/>
    <w:rsid w:val="003C5066"/>
    <w:rsid w:val="003C6483"/>
    <w:rsid w:val="003C7B27"/>
    <w:rsid w:val="003D0A5C"/>
    <w:rsid w:val="003D16E9"/>
    <w:rsid w:val="003D2B76"/>
    <w:rsid w:val="003D3075"/>
    <w:rsid w:val="003D3319"/>
    <w:rsid w:val="003D4917"/>
    <w:rsid w:val="003D4E8F"/>
    <w:rsid w:val="003D5279"/>
    <w:rsid w:val="003D56C3"/>
    <w:rsid w:val="003D5BF8"/>
    <w:rsid w:val="003D6C75"/>
    <w:rsid w:val="003D71DB"/>
    <w:rsid w:val="003D72E6"/>
    <w:rsid w:val="003E0851"/>
    <w:rsid w:val="003E14B9"/>
    <w:rsid w:val="003E2EC0"/>
    <w:rsid w:val="003E62C7"/>
    <w:rsid w:val="003F3DFC"/>
    <w:rsid w:val="003F5FDB"/>
    <w:rsid w:val="00403205"/>
    <w:rsid w:val="00403407"/>
    <w:rsid w:val="00403C64"/>
    <w:rsid w:val="0040423A"/>
    <w:rsid w:val="004042AF"/>
    <w:rsid w:val="00404320"/>
    <w:rsid w:val="00405FF9"/>
    <w:rsid w:val="00406297"/>
    <w:rsid w:val="00406474"/>
    <w:rsid w:val="004067C5"/>
    <w:rsid w:val="004071D5"/>
    <w:rsid w:val="0041070E"/>
    <w:rsid w:val="00411623"/>
    <w:rsid w:val="004119DE"/>
    <w:rsid w:val="00411F86"/>
    <w:rsid w:val="004121DE"/>
    <w:rsid w:val="0041278A"/>
    <w:rsid w:val="00416EA6"/>
    <w:rsid w:val="0041738E"/>
    <w:rsid w:val="00417DFA"/>
    <w:rsid w:val="00421901"/>
    <w:rsid w:val="00421967"/>
    <w:rsid w:val="00421D44"/>
    <w:rsid w:val="00423DD6"/>
    <w:rsid w:val="0042420D"/>
    <w:rsid w:val="00424645"/>
    <w:rsid w:val="004259C8"/>
    <w:rsid w:val="00426772"/>
    <w:rsid w:val="00426DD5"/>
    <w:rsid w:val="00433E3C"/>
    <w:rsid w:val="004340CC"/>
    <w:rsid w:val="00434FB3"/>
    <w:rsid w:val="00435910"/>
    <w:rsid w:val="00435BB5"/>
    <w:rsid w:val="00435EAF"/>
    <w:rsid w:val="00435FAC"/>
    <w:rsid w:val="00436059"/>
    <w:rsid w:val="004375B3"/>
    <w:rsid w:val="004404D3"/>
    <w:rsid w:val="004404F1"/>
    <w:rsid w:val="00442A0B"/>
    <w:rsid w:val="00445D6F"/>
    <w:rsid w:val="0045041A"/>
    <w:rsid w:val="00452024"/>
    <w:rsid w:val="00453685"/>
    <w:rsid w:val="004539E3"/>
    <w:rsid w:val="0045434E"/>
    <w:rsid w:val="0045446B"/>
    <w:rsid w:val="004552BC"/>
    <w:rsid w:val="00456ABD"/>
    <w:rsid w:val="00457E09"/>
    <w:rsid w:val="00463A81"/>
    <w:rsid w:val="00464C01"/>
    <w:rsid w:val="00464D04"/>
    <w:rsid w:val="004677D0"/>
    <w:rsid w:val="00470320"/>
    <w:rsid w:val="00472E10"/>
    <w:rsid w:val="004746E1"/>
    <w:rsid w:val="00474B58"/>
    <w:rsid w:val="00475082"/>
    <w:rsid w:val="004750CF"/>
    <w:rsid w:val="00475400"/>
    <w:rsid w:val="00476A9B"/>
    <w:rsid w:val="00480073"/>
    <w:rsid w:val="00480A27"/>
    <w:rsid w:val="0048108A"/>
    <w:rsid w:val="00481EB3"/>
    <w:rsid w:val="00484217"/>
    <w:rsid w:val="00484D40"/>
    <w:rsid w:val="0048524A"/>
    <w:rsid w:val="00485B76"/>
    <w:rsid w:val="00485DC3"/>
    <w:rsid w:val="0048633E"/>
    <w:rsid w:val="004914A5"/>
    <w:rsid w:val="00493BB8"/>
    <w:rsid w:val="00493C67"/>
    <w:rsid w:val="00495853"/>
    <w:rsid w:val="004972DE"/>
    <w:rsid w:val="004A17DA"/>
    <w:rsid w:val="004A1D9C"/>
    <w:rsid w:val="004A3A56"/>
    <w:rsid w:val="004A4AB9"/>
    <w:rsid w:val="004A4BD8"/>
    <w:rsid w:val="004A6147"/>
    <w:rsid w:val="004B090A"/>
    <w:rsid w:val="004B1C03"/>
    <w:rsid w:val="004B4739"/>
    <w:rsid w:val="004B7256"/>
    <w:rsid w:val="004C0B24"/>
    <w:rsid w:val="004C0CC4"/>
    <w:rsid w:val="004C1B5F"/>
    <w:rsid w:val="004C29A5"/>
    <w:rsid w:val="004C3195"/>
    <w:rsid w:val="004C41D8"/>
    <w:rsid w:val="004C4B04"/>
    <w:rsid w:val="004C4DCC"/>
    <w:rsid w:val="004C4FDB"/>
    <w:rsid w:val="004C59F4"/>
    <w:rsid w:val="004C72E7"/>
    <w:rsid w:val="004C741F"/>
    <w:rsid w:val="004D41BB"/>
    <w:rsid w:val="004E00A4"/>
    <w:rsid w:val="004E1315"/>
    <w:rsid w:val="004E1BDD"/>
    <w:rsid w:val="004E2239"/>
    <w:rsid w:val="004E271A"/>
    <w:rsid w:val="004E478E"/>
    <w:rsid w:val="004E7B7F"/>
    <w:rsid w:val="004F17E1"/>
    <w:rsid w:val="004F1EF8"/>
    <w:rsid w:val="004F3AF2"/>
    <w:rsid w:val="004F5097"/>
    <w:rsid w:val="004F5320"/>
    <w:rsid w:val="004F6E5B"/>
    <w:rsid w:val="004F7C32"/>
    <w:rsid w:val="0050016E"/>
    <w:rsid w:val="00501488"/>
    <w:rsid w:val="00502842"/>
    <w:rsid w:val="00503C68"/>
    <w:rsid w:val="00503D69"/>
    <w:rsid w:val="00503EAD"/>
    <w:rsid w:val="00504108"/>
    <w:rsid w:val="005052E7"/>
    <w:rsid w:val="005053F2"/>
    <w:rsid w:val="0050541E"/>
    <w:rsid w:val="005056BA"/>
    <w:rsid w:val="005058C7"/>
    <w:rsid w:val="0050664D"/>
    <w:rsid w:val="00510DC9"/>
    <w:rsid w:val="00510F83"/>
    <w:rsid w:val="00511044"/>
    <w:rsid w:val="005124E8"/>
    <w:rsid w:val="005129DB"/>
    <w:rsid w:val="0051666F"/>
    <w:rsid w:val="0051676C"/>
    <w:rsid w:val="00520240"/>
    <w:rsid w:val="00522193"/>
    <w:rsid w:val="00522A17"/>
    <w:rsid w:val="00524230"/>
    <w:rsid w:val="00527EBB"/>
    <w:rsid w:val="00532060"/>
    <w:rsid w:val="00532F44"/>
    <w:rsid w:val="005334A6"/>
    <w:rsid w:val="00533656"/>
    <w:rsid w:val="0053431F"/>
    <w:rsid w:val="005402AE"/>
    <w:rsid w:val="005415E9"/>
    <w:rsid w:val="00541B8E"/>
    <w:rsid w:val="005430AF"/>
    <w:rsid w:val="00543EF5"/>
    <w:rsid w:val="00545004"/>
    <w:rsid w:val="00545E76"/>
    <w:rsid w:val="00546834"/>
    <w:rsid w:val="00550CAE"/>
    <w:rsid w:val="00554730"/>
    <w:rsid w:val="00557025"/>
    <w:rsid w:val="00562144"/>
    <w:rsid w:val="005623F9"/>
    <w:rsid w:val="005630F7"/>
    <w:rsid w:val="00564ADE"/>
    <w:rsid w:val="00565E75"/>
    <w:rsid w:val="005669A7"/>
    <w:rsid w:val="005733E2"/>
    <w:rsid w:val="00574FD0"/>
    <w:rsid w:val="00576619"/>
    <w:rsid w:val="00577449"/>
    <w:rsid w:val="0057791E"/>
    <w:rsid w:val="00581429"/>
    <w:rsid w:val="00581DD4"/>
    <w:rsid w:val="00582E71"/>
    <w:rsid w:val="0058326E"/>
    <w:rsid w:val="005835EA"/>
    <w:rsid w:val="00583B44"/>
    <w:rsid w:val="00583D66"/>
    <w:rsid w:val="00585586"/>
    <w:rsid w:val="0058593E"/>
    <w:rsid w:val="00585B4A"/>
    <w:rsid w:val="00587DA7"/>
    <w:rsid w:val="00587DCF"/>
    <w:rsid w:val="005909B2"/>
    <w:rsid w:val="005950A5"/>
    <w:rsid w:val="005976AE"/>
    <w:rsid w:val="005A3E0D"/>
    <w:rsid w:val="005A432C"/>
    <w:rsid w:val="005A4EE5"/>
    <w:rsid w:val="005A6072"/>
    <w:rsid w:val="005A78E6"/>
    <w:rsid w:val="005B0F3A"/>
    <w:rsid w:val="005B1CF7"/>
    <w:rsid w:val="005B62E2"/>
    <w:rsid w:val="005C02E3"/>
    <w:rsid w:val="005C160C"/>
    <w:rsid w:val="005C2C1D"/>
    <w:rsid w:val="005C2E3C"/>
    <w:rsid w:val="005C3FB6"/>
    <w:rsid w:val="005C71BE"/>
    <w:rsid w:val="005C7571"/>
    <w:rsid w:val="005C7802"/>
    <w:rsid w:val="005D1782"/>
    <w:rsid w:val="005D1F4E"/>
    <w:rsid w:val="005D2BBF"/>
    <w:rsid w:val="005D404B"/>
    <w:rsid w:val="005D4679"/>
    <w:rsid w:val="005E0396"/>
    <w:rsid w:val="005E0519"/>
    <w:rsid w:val="005E1480"/>
    <w:rsid w:val="005E30D2"/>
    <w:rsid w:val="005E3568"/>
    <w:rsid w:val="005E3B33"/>
    <w:rsid w:val="005E3F34"/>
    <w:rsid w:val="005E4A59"/>
    <w:rsid w:val="005E56A0"/>
    <w:rsid w:val="005E6C55"/>
    <w:rsid w:val="005F06B4"/>
    <w:rsid w:val="005F0A8F"/>
    <w:rsid w:val="005F129D"/>
    <w:rsid w:val="005F3A5E"/>
    <w:rsid w:val="005F65C2"/>
    <w:rsid w:val="005F6AD7"/>
    <w:rsid w:val="00600077"/>
    <w:rsid w:val="00600A15"/>
    <w:rsid w:val="00602A48"/>
    <w:rsid w:val="0060331D"/>
    <w:rsid w:val="006055FE"/>
    <w:rsid w:val="00606100"/>
    <w:rsid w:val="006063BE"/>
    <w:rsid w:val="00607B71"/>
    <w:rsid w:val="00612D97"/>
    <w:rsid w:val="0061346B"/>
    <w:rsid w:val="00613CFE"/>
    <w:rsid w:val="00614D5D"/>
    <w:rsid w:val="0061775D"/>
    <w:rsid w:val="00617D8C"/>
    <w:rsid w:val="006203F9"/>
    <w:rsid w:val="00620C19"/>
    <w:rsid w:val="006224BF"/>
    <w:rsid w:val="00623872"/>
    <w:rsid w:val="00624DED"/>
    <w:rsid w:val="00625BA7"/>
    <w:rsid w:val="0062746B"/>
    <w:rsid w:val="00631D8A"/>
    <w:rsid w:val="00632134"/>
    <w:rsid w:val="00636098"/>
    <w:rsid w:val="00641475"/>
    <w:rsid w:val="00642015"/>
    <w:rsid w:val="006447F6"/>
    <w:rsid w:val="006475F9"/>
    <w:rsid w:val="0065051A"/>
    <w:rsid w:val="006511C5"/>
    <w:rsid w:val="00651543"/>
    <w:rsid w:val="00652246"/>
    <w:rsid w:val="0065303F"/>
    <w:rsid w:val="006561BF"/>
    <w:rsid w:val="00656E1B"/>
    <w:rsid w:val="006603A7"/>
    <w:rsid w:val="00660C52"/>
    <w:rsid w:val="006614F5"/>
    <w:rsid w:val="006637C8"/>
    <w:rsid w:val="00664558"/>
    <w:rsid w:val="0067273E"/>
    <w:rsid w:val="006734CB"/>
    <w:rsid w:val="006735B0"/>
    <w:rsid w:val="006740EE"/>
    <w:rsid w:val="00675349"/>
    <w:rsid w:val="00676D06"/>
    <w:rsid w:val="006803DA"/>
    <w:rsid w:val="00682A6C"/>
    <w:rsid w:val="00683C41"/>
    <w:rsid w:val="00684CA4"/>
    <w:rsid w:val="00685A60"/>
    <w:rsid w:val="00686ABD"/>
    <w:rsid w:val="00690959"/>
    <w:rsid w:val="00692D6E"/>
    <w:rsid w:val="00694FC4"/>
    <w:rsid w:val="00695162"/>
    <w:rsid w:val="00695169"/>
    <w:rsid w:val="006A14C1"/>
    <w:rsid w:val="006A168C"/>
    <w:rsid w:val="006A1A0C"/>
    <w:rsid w:val="006A29F9"/>
    <w:rsid w:val="006A3151"/>
    <w:rsid w:val="006A55B3"/>
    <w:rsid w:val="006A602F"/>
    <w:rsid w:val="006A62AF"/>
    <w:rsid w:val="006B116F"/>
    <w:rsid w:val="006B16DB"/>
    <w:rsid w:val="006B30D6"/>
    <w:rsid w:val="006B53C1"/>
    <w:rsid w:val="006B7924"/>
    <w:rsid w:val="006B7CC2"/>
    <w:rsid w:val="006C0619"/>
    <w:rsid w:val="006C1FE3"/>
    <w:rsid w:val="006D1887"/>
    <w:rsid w:val="006D483C"/>
    <w:rsid w:val="006D55FE"/>
    <w:rsid w:val="006D58A1"/>
    <w:rsid w:val="006D6F69"/>
    <w:rsid w:val="006E0467"/>
    <w:rsid w:val="006E0B7F"/>
    <w:rsid w:val="006E0E81"/>
    <w:rsid w:val="006E12FC"/>
    <w:rsid w:val="006E4A35"/>
    <w:rsid w:val="006E524C"/>
    <w:rsid w:val="006E7297"/>
    <w:rsid w:val="006E7357"/>
    <w:rsid w:val="006F0132"/>
    <w:rsid w:val="006F05B9"/>
    <w:rsid w:val="006F09F3"/>
    <w:rsid w:val="006F1544"/>
    <w:rsid w:val="006F364D"/>
    <w:rsid w:val="006F5E4C"/>
    <w:rsid w:val="0070158E"/>
    <w:rsid w:val="00702CB4"/>
    <w:rsid w:val="00705978"/>
    <w:rsid w:val="00707E8B"/>
    <w:rsid w:val="00713E77"/>
    <w:rsid w:val="00714858"/>
    <w:rsid w:val="00714CC8"/>
    <w:rsid w:val="00717EC2"/>
    <w:rsid w:val="0072211C"/>
    <w:rsid w:val="00722D8B"/>
    <w:rsid w:val="0072503E"/>
    <w:rsid w:val="007265B0"/>
    <w:rsid w:val="00726DCB"/>
    <w:rsid w:val="00727E28"/>
    <w:rsid w:val="007320DA"/>
    <w:rsid w:val="00733610"/>
    <w:rsid w:val="00733DC3"/>
    <w:rsid w:val="0073420A"/>
    <w:rsid w:val="00734F93"/>
    <w:rsid w:val="00736FA9"/>
    <w:rsid w:val="00737034"/>
    <w:rsid w:val="007376D6"/>
    <w:rsid w:val="0074164E"/>
    <w:rsid w:val="00741937"/>
    <w:rsid w:val="00743002"/>
    <w:rsid w:val="007434DD"/>
    <w:rsid w:val="0074366D"/>
    <w:rsid w:val="00746C71"/>
    <w:rsid w:val="00750A1C"/>
    <w:rsid w:val="00750FEB"/>
    <w:rsid w:val="00751AA0"/>
    <w:rsid w:val="00751ABF"/>
    <w:rsid w:val="0075693A"/>
    <w:rsid w:val="007569E1"/>
    <w:rsid w:val="00757A04"/>
    <w:rsid w:val="00760736"/>
    <w:rsid w:val="00761E7A"/>
    <w:rsid w:val="00765342"/>
    <w:rsid w:val="007655CA"/>
    <w:rsid w:val="007656B7"/>
    <w:rsid w:val="00765931"/>
    <w:rsid w:val="00766B45"/>
    <w:rsid w:val="007702DE"/>
    <w:rsid w:val="0077134F"/>
    <w:rsid w:val="00771F5A"/>
    <w:rsid w:val="00773052"/>
    <w:rsid w:val="00774E0A"/>
    <w:rsid w:val="00775496"/>
    <w:rsid w:val="007768C2"/>
    <w:rsid w:val="007775FC"/>
    <w:rsid w:val="007778DB"/>
    <w:rsid w:val="00780F2A"/>
    <w:rsid w:val="0078210B"/>
    <w:rsid w:val="007851BE"/>
    <w:rsid w:val="00785761"/>
    <w:rsid w:val="00785932"/>
    <w:rsid w:val="00785E17"/>
    <w:rsid w:val="00786FBB"/>
    <w:rsid w:val="00787880"/>
    <w:rsid w:val="00791655"/>
    <w:rsid w:val="00791F29"/>
    <w:rsid w:val="00793909"/>
    <w:rsid w:val="007947A3"/>
    <w:rsid w:val="00794932"/>
    <w:rsid w:val="00794971"/>
    <w:rsid w:val="00794D52"/>
    <w:rsid w:val="00794F8B"/>
    <w:rsid w:val="007970A2"/>
    <w:rsid w:val="007977EF"/>
    <w:rsid w:val="007A17DE"/>
    <w:rsid w:val="007A1AA4"/>
    <w:rsid w:val="007A2911"/>
    <w:rsid w:val="007A4B0F"/>
    <w:rsid w:val="007A63CD"/>
    <w:rsid w:val="007A6767"/>
    <w:rsid w:val="007A7860"/>
    <w:rsid w:val="007B1154"/>
    <w:rsid w:val="007B1981"/>
    <w:rsid w:val="007B2F19"/>
    <w:rsid w:val="007B44DA"/>
    <w:rsid w:val="007B5005"/>
    <w:rsid w:val="007B695E"/>
    <w:rsid w:val="007B6DCA"/>
    <w:rsid w:val="007C0186"/>
    <w:rsid w:val="007C1A20"/>
    <w:rsid w:val="007C39A2"/>
    <w:rsid w:val="007C3EED"/>
    <w:rsid w:val="007C4CD2"/>
    <w:rsid w:val="007C589D"/>
    <w:rsid w:val="007C5928"/>
    <w:rsid w:val="007C59B5"/>
    <w:rsid w:val="007C5FD6"/>
    <w:rsid w:val="007C74BA"/>
    <w:rsid w:val="007D258F"/>
    <w:rsid w:val="007D73EB"/>
    <w:rsid w:val="007E03A2"/>
    <w:rsid w:val="007E2ABB"/>
    <w:rsid w:val="007E3B24"/>
    <w:rsid w:val="007E442F"/>
    <w:rsid w:val="007E579F"/>
    <w:rsid w:val="007E5C8D"/>
    <w:rsid w:val="007E7D0B"/>
    <w:rsid w:val="007E7FF3"/>
    <w:rsid w:val="007F0099"/>
    <w:rsid w:val="007F0A0D"/>
    <w:rsid w:val="007F0B4F"/>
    <w:rsid w:val="007F2F45"/>
    <w:rsid w:val="007F3091"/>
    <w:rsid w:val="007F4B5A"/>
    <w:rsid w:val="007F57DE"/>
    <w:rsid w:val="007F6467"/>
    <w:rsid w:val="00801975"/>
    <w:rsid w:val="00801A60"/>
    <w:rsid w:val="008021AF"/>
    <w:rsid w:val="00802BF6"/>
    <w:rsid w:val="00804DD6"/>
    <w:rsid w:val="00805015"/>
    <w:rsid w:val="0080511B"/>
    <w:rsid w:val="008053FA"/>
    <w:rsid w:val="008054A2"/>
    <w:rsid w:val="008067CC"/>
    <w:rsid w:val="00806D39"/>
    <w:rsid w:val="00807583"/>
    <w:rsid w:val="00810107"/>
    <w:rsid w:val="00811073"/>
    <w:rsid w:val="00811E3E"/>
    <w:rsid w:val="00814736"/>
    <w:rsid w:val="0081795C"/>
    <w:rsid w:val="008205B8"/>
    <w:rsid w:val="00820658"/>
    <w:rsid w:val="00820B38"/>
    <w:rsid w:val="008210D2"/>
    <w:rsid w:val="0082170C"/>
    <w:rsid w:val="0082342A"/>
    <w:rsid w:val="008237B9"/>
    <w:rsid w:val="00837AAC"/>
    <w:rsid w:val="0084008B"/>
    <w:rsid w:val="00842A93"/>
    <w:rsid w:val="00844B75"/>
    <w:rsid w:val="00844BCC"/>
    <w:rsid w:val="0084525A"/>
    <w:rsid w:val="0084599B"/>
    <w:rsid w:val="00845A7F"/>
    <w:rsid w:val="00847094"/>
    <w:rsid w:val="00852F1B"/>
    <w:rsid w:val="00853D5C"/>
    <w:rsid w:val="008549BC"/>
    <w:rsid w:val="00857040"/>
    <w:rsid w:val="008604F4"/>
    <w:rsid w:val="00863A21"/>
    <w:rsid w:val="008715DE"/>
    <w:rsid w:val="008723BA"/>
    <w:rsid w:val="008727E2"/>
    <w:rsid w:val="00874B4F"/>
    <w:rsid w:val="00876E62"/>
    <w:rsid w:val="008811F3"/>
    <w:rsid w:val="0088307D"/>
    <w:rsid w:val="00883F0E"/>
    <w:rsid w:val="008841CE"/>
    <w:rsid w:val="008842D0"/>
    <w:rsid w:val="00885626"/>
    <w:rsid w:val="00891D31"/>
    <w:rsid w:val="00891EBD"/>
    <w:rsid w:val="008931D6"/>
    <w:rsid w:val="008955F7"/>
    <w:rsid w:val="0089577D"/>
    <w:rsid w:val="00895D13"/>
    <w:rsid w:val="00895E29"/>
    <w:rsid w:val="00897AAE"/>
    <w:rsid w:val="00897EE9"/>
    <w:rsid w:val="008A2E98"/>
    <w:rsid w:val="008A69E6"/>
    <w:rsid w:val="008B2702"/>
    <w:rsid w:val="008B2D08"/>
    <w:rsid w:val="008B4215"/>
    <w:rsid w:val="008C37F0"/>
    <w:rsid w:val="008C3F7E"/>
    <w:rsid w:val="008C4BF9"/>
    <w:rsid w:val="008C528D"/>
    <w:rsid w:val="008C63B8"/>
    <w:rsid w:val="008C6771"/>
    <w:rsid w:val="008C7595"/>
    <w:rsid w:val="008D04E9"/>
    <w:rsid w:val="008D0F9C"/>
    <w:rsid w:val="008D1707"/>
    <w:rsid w:val="008D19A0"/>
    <w:rsid w:val="008D4C62"/>
    <w:rsid w:val="008D5C91"/>
    <w:rsid w:val="008D62F3"/>
    <w:rsid w:val="008E0886"/>
    <w:rsid w:val="008E5437"/>
    <w:rsid w:val="008F2BD2"/>
    <w:rsid w:val="00900965"/>
    <w:rsid w:val="009009F2"/>
    <w:rsid w:val="00901CB3"/>
    <w:rsid w:val="009034DD"/>
    <w:rsid w:val="00903FD3"/>
    <w:rsid w:val="009044AE"/>
    <w:rsid w:val="009053E8"/>
    <w:rsid w:val="00907D9E"/>
    <w:rsid w:val="0091276A"/>
    <w:rsid w:val="0091652A"/>
    <w:rsid w:val="009209F5"/>
    <w:rsid w:val="00922FC7"/>
    <w:rsid w:val="00923246"/>
    <w:rsid w:val="00923F82"/>
    <w:rsid w:val="0092401C"/>
    <w:rsid w:val="00925186"/>
    <w:rsid w:val="00926156"/>
    <w:rsid w:val="00930828"/>
    <w:rsid w:val="00932926"/>
    <w:rsid w:val="009371D2"/>
    <w:rsid w:val="00941A1B"/>
    <w:rsid w:val="009432F7"/>
    <w:rsid w:val="0094362B"/>
    <w:rsid w:val="0094480C"/>
    <w:rsid w:val="009477B1"/>
    <w:rsid w:val="0094789E"/>
    <w:rsid w:val="00947E38"/>
    <w:rsid w:val="00952DC4"/>
    <w:rsid w:val="00953D3E"/>
    <w:rsid w:val="00955B1E"/>
    <w:rsid w:val="00957C6D"/>
    <w:rsid w:val="00962C0A"/>
    <w:rsid w:val="00962F83"/>
    <w:rsid w:val="00963B82"/>
    <w:rsid w:val="00963EE6"/>
    <w:rsid w:val="009648C3"/>
    <w:rsid w:val="00966350"/>
    <w:rsid w:val="00966897"/>
    <w:rsid w:val="0097128D"/>
    <w:rsid w:val="009741BD"/>
    <w:rsid w:val="00975CB8"/>
    <w:rsid w:val="0098098C"/>
    <w:rsid w:val="0098479F"/>
    <w:rsid w:val="0098480E"/>
    <w:rsid w:val="009919B4"/>
    <w:rsid w:val="00994752"/>
    <w:rsid w:val="00996738"/>
    <w:rsid w:val="009972C5"/>
    <w:rsid w:val="009A4959"/>
    <w:rsid w:val="009A66CC"/>
    <w:rsid w:val="009A6741"/>
    <w:rsid w:val="009B5744"/>
    <w:rsid w:val="009B6249"/>
    <w:rsid w:val="009B68DA"/>
    <w:rsid w:val="009B6B66"/>
    <w:rsid w:val="009B75D4"/>
    <w:rsid w:val="009C02DA"/>
    <w:rsid w:val="009C031B"/>
    <w:rsid w:val="009C0638"/>
    <w:rsid w:val="009C0641"/>
    <w:rsid w:val="009C0821"/>
    <w:rsid w:val="009C1562"/>
    <w:rsid w:val="009C3FB4"/>
    <w:rsid w:val="009C600D"/>
    <w:rsid w:val="009C63BA"/>
    <w:rsid w:val="009D24F4"/>
    <w:rsid w:val="009D2C31"/>
    <w:rsid w:val="009D30DC"/>
    <w:rsid w:val="009D58FC"/>
    <w:rsid w:val="009E0373"/>
    <w:rsid w:val="009E1B73"/>
    <w:rsid w:val="009E1BA7"/>
    <w:rsid w:val="009E2FDA"/>
    <w:rsid w:val="009E380D"/>
    <w:rsid w:val="009E56B5"/>
    <w:rsid w:val="009E5C08"/>
    <w:rsid w:val="009E60FD"/>
    <w:rsid w:val="009E76FD"/>
    <w:rsid w:val="009E7C55"/>
    <w:rsid w:val="009F1A35"/>
    <w:rsid w:val="009F278A"/>
    <w:rsid w:val="009F3E0E"/>
    <w:rsid w:val="009F4201"/>
    <w:rsid w:val="009F4389"/>
    <w:rsid w:val="009F43F2"/>
    <w:rsid w:val="009F683C"/>
    <w:rsid w:val="009F6CA5"/>
    <w:rsid w:val="00A03824"/>
    <w:rsid w:val="00A03A49"/>
    <w:rsid w:val="00A03C13"/>
    <w:rsid w:val="00A0501C"/>
    <w:rsid w:val="00A051B2"/>
    <w:rsid w:val="00A051DB"/>
    <w:rsid w:val="00A0601A"/>
    <w:rsid w:val="00A06A2E"/>
    <w:rsid w:val="00A2088D"/>
    <w:rsid w:val="00A2097D"/>
    <w:rsid w:val="00A20EFB"/>
    <w:rsid w:val="00A230FC"/>
    <w:rsid w:val="00A23742"/>
    <w:rsid w:val="00A23F13"/>
    <w:rsid w:val="00A25636"/>
    <w:rsid w:val="00A26117"/>
    <w:rsid w:val="00A262DE"/>
    <w:rsid w:val="00A27430"/>
    <w:rsid w:val="00A307B0"/>
    <w:rsid w:val="00A3184E"/>
    <w:rsid w:val="00A320DC"/>
    <w:rsid w:val="00A324CA"/>
    <w:rsid w:val="00A32666"/>
    <w:rsid w:val="00A32C4D"/>
    <w:rsid w:val="00A3455E"/>
    <w:rsid w:val="00A347EE"/>
    <w:rsid w:val="00A357A7"/>
    <w:rsid w:val="00A37D5F"/>
    <w:rsid w:val="00A41628"/>
    <w:rsid w:val="00A4178F"/>
    <w:rsid w:val="00A45D32"/>
    <w:rsid w:val="00A51A15"/>
    <w:rsid w:val="00A52147"/>
    <w:rsid w:val="00A531D1"/>
    <w:rsid w:val="00A542D8"/>
    <w:rsid w:val="00A55608"/>
    <w:rsid w:val="00A56713"/>
    <w:rsid w:val="00A5761C"/>
    <w:rsid w:val="00A57985"/>
    <w:rsid w:val="00A57E27"/>
    <w:rsid w:val="00A61B5E"/>
    <w:rsid w:val="00A6289B"/>
    <w:rsid w:val="00A629EB"/>
    <w:rsid w:val="00A66DE8"/>
    <w:rsid w:val="00A73712"/>
    <w:rsid w:val="00A739F1"/>
    <w:rsid w:val="00A74440"/>
    <w:rsid w:val="00A74FB7"/>
    <w:rsid w:val="00A7784B"/>
    <w:rsid w:val="00A80488"/>
    <w:rsid w:val="00A81FA3"/>
    <w:rsid w:val="00A8236C"/>
    <w:rsid w:val="00A82837"/>
    <w:rsid w:val="00A82998"/>
    <w:rsid w:val="00A838E9"/>
    <w:rsid w:val="00A86BCA"/>
    <w:rsid w:val="00A873C8"/>
    <w:rsid w:val="00A91A9F"/>
    <w:rsid w:val="00A9485F"/>
    <w:rsid w:val="00A979AC"/>
    <w:rsid w:val="00A97A92"/>
    <w:rsid w:val="00AA07F8"/>
    <w:rsid w:val="00AA3ECE"/>
    <w:rsid w:val="00AA4019"/>
    <w:rsid w:val="00AA65CA"/>
    <w:rsid w:val="00AA7DD3"/>
    <w:rsid w:val="00AB17D0"/>
    <w:rsid w:val="00AB2D05"/>
    <w:rsid w:val="00AB2E0D"/>
    <w:rsid w:val="00AB3D39"/>
    <w:rsid w:val="00AB53A9"/>
    <w:rsid w:val="00AB5BBD"/>
    <w:rsid w:val="00AB5F6C"/>
    <w:rsid w:val="00AB6446"/>
    <w:rsid w:val="00AC12A5"/>
    <w:rsid w:val="00AC264B"/>
    <w:rsid w:val="00AC3685"/>
    <w:rsid w:val="00AC5062"/>
    <w:rsid w:val="00AC7214"/>
    <w:rsid w:val="00AC7518"/>
    <w:rsid w:val="00AC7D6C"/>
    <w:rsid w:val="00AD036C"/>
    <w:rsid w:val="00AD207A"/>
    <w:rsid w:val="00AD2349"/>
    <w:rsid w:val="00AD45E8"/>
    <w:rsid w:val="00AE09B1"/>
    <w:rsid w:val="00AE1EAF"/>
    <w:rsid w:val="00AE2C15"/>
    <w:rsid w:val="00AE32D5"/>
    <w:rsid w:val="00AE3597"/>
    <w:rsid w:val="00AE44A6"/>
    <w:rsid w:val="00AE4947"/>
    <w:rsid w:val="00AE651A"/>
    <w:rsid w:val="00AE7659"/>
    <w:rsid w:val="00AE7C27"/>
    <w:rsid w:val="00AE7EB1"/>
    <w:rsid w:val="00AF13CD"/>
    <w:rsid w:val="00AF27E8"/>
    <w:rsid w:val="00AF3FC9"/>
    <w:rsid w:val="00AF42E1"/>
    <w:rsid w:val="00AF5894"/>
    <w:rsid w:val="00AF6AD0"/>
    <w:rsid w:val="00B00B1A"/>
    <w:rsid w:val="00B020BD"/>
    <w:rsid w:val="00B026FA"/>
    <w:rsid w:val="00B02F22"/>
    <w:rsid w:val="00B03DC3"/>
    <w:rsid w:val="00B07F55"/>
    <w:rsid w:val="00B136F1"/>
    <w:rsid w:val="00B1432C"/>
    <w:rsid w:val="00B15741"/>
    <w:rsid w:val="00B21FA2"/>
    <w:rsid w:val="00B220AE"/>
    <w:rsid w:val="00B22FCF"/>
    <w:rsid w:val="00B257FD"/>
    <w:rsid w:val="00B32215"/>
    <w:rsid w:val="00B32C95"/>
    <w:rsid w:val="00B3566F"/>
    <w:rsid w:val="00B3610D"/>
    <w:rsid w:val="00B3613A"/>
    <w:rsid w:val="00B36210"/>
    <w:rsid w:val="00B3629E"/>
    <w:rsid w:val="00B363F6"/>
    <w:rsid w:val="00B37863"/>
    <w:rsid w:val="00B37B39"/>
    <w:rsid w:val="00B37CCB"/>
    <w:rsid w:val="00B37E69"/>
    <w:rsid w:val="00B408E7"/>
    <w:rsid w:val="00B40AF0"/>
    <w:rsid w:val="00B41A50"/>
    <w:rsid w:val="00B425A8"/>
    <w:rsid w:val="00B42E37"/>
    <w:rsid w:val="00B4465F"/>
    <w:rsid w:val="00B452D1"/>
    <w:rsid w:val="00B46703"/>
    <w:rsid w:val="00B50BA2"/>
    <w:rsid w:val="00B50C2D"/>
    <w:rsid w:val="00B51AF6"/>
    <w:rsid w:val="00B51B30"/>
    <w:rsid w:val="00B527FA"/>
    <w:rsid w:val="00B54E9A"/>
    <w:rsid w:val="00B57E00"/>
    <w:rsid w:val="00B61223"/>
    <w:rsid w:val="00B618D1"/>
    <w:rsid w:val="00B62291"/>
    <w:rsid w:val="00B62542"/>
    <w:rsid w:val="00B62867"/>
    <w:rsid w:val="00B62CFF"/>
    <w:rsid w:val="00B64741"/>
    <w:rsid w:val="00B65C62"/>
    <w:rsid w:val="00B65F0B"/>
    <w:rsid w:val="00B70F11"/>
    <w:rsid w:val="00B721B4"/>
    <w:rsid w:val="00B726D4"/>
    <w:rsid w:val="00B7357F"/>
    <w:rsid w:val="00B735C8"/>
    <w:rsid w:val="00B76AD7"/>
    <w:rsid w:val="00B816C3"/>
    <w:rsid w:val="00B84AE5"/>
    <w:rsid w:val="00B85FFD"/>
    <w:rsid w:val="00B86314"/>
    <w:rsid w:val="00B916F0"/>
    <w:rsid w:val="00B91CC7"/>
    <w:rsid w:val="00B93DD4"/>
    <w:rsid w:val="00B961A1"/>
    <w:rsid w:val="00B9667E"/>
    <w:rsid w:val="00B97C4E"/>
    <w:rsid w:val="00BA037D"/>
    <w:rsid w:val="00BA0B46"/>
    <w:rsid w:val="00BA15AF"/>
    <w:rsid w:val="00BA20AC"/>
    <w:rsid w:val="00BA27C5"/>
    <w:rsid w:val="00BA3756"/>
    <w:rsid w:val="00BA38A4"/>
    <w:rsid w:val="00BA6146"/>
    <w:rsid w:val="00BA6716"/>
    <w:rsid w:val="00BB0565"/>
    <w:rsid w:val="00BB4BE8"/>
    <w:rsid w:val="00BB63FE"/>
    <w:rsid w:val="00BB70C3"/>
    <w:rsid w:val="00BC1943"/>
    <w:rsid w:val="00BC24CD"/>
    <w:rsid w:val="00BC2767"/>
    <w:rsid w:val="00BC3B87"/>
    <w:rsid w:val="00BC6BD1"/>
    <w:rsid w:val="00BD02A7"/>
    <w:rsid w:val="00BD0818"/>
    <w:rsid w:val="00BD0E1A"/>
    <w:rsid w:val="00BD0FAC"/>
    <w:rsid w:val="00BD10F0"/>
    <w:rsid w:val="00BD1345"/>
    <w:rsid w:val="00BD1FBE"/>
    <w:rsid w:val="00BD2C60"/>
    <w:rsid w:val="00BD347A"/>
    <w:rsid w:val="00BD578E"/>
    <w:rsid w:val="00BD67F4"/>
    <w:rsid w:val="00BD6C97"/>
    <w:rsid w:val="00BD7E14"/>
    <w:rsid w:val="00BE04AC"/>
    <w:rsid w:val="00BE0ABB"/>
    <w:rsid w:val="00BE12DE"/>
    <w:rsid w:val="00BE208E"/>
    <w:rsid w:val="00BE4084"/>
    <w:rsid w:val="00BE437C"/>
    <w:rsid w:val="00BE79F7"/>
    <w:rsid w:val="00BE7C76"/>
    <w:rsid w:val="00BF0396"/>
    <w:rsid w:val="00BF10FA"/>
    <w:rsid w:val="00BF17FC"/>
    <w:rsid w:val="00BF180E"/>
    <w:rsid w:val="00BF255B"/>
    <w:rsid w:val="00BF2609"/>
    <w:rsid w:val="00BF385B"/>
    <w:rsid w:val="00BF3BD9"/>
    <w:rsid w:val="00BF51DD"/>
    <w:rsid w:val="00BF69AB"/>
    <w:rsid w:val="00BF73FA"/>
    <w:rsid w:val="00BF7B5B"/>
    <w:rsid w:val="00C0068B"/>
    <w:rsid w:val="00C039FC"/>
    <w:rsid w:val="00C048C5"/>
    <w:rsid w:val="00C058FD"/>
    <w:rsid w:val="00C06248"/>
    <w:rsid w:val="00C0693A"/>
    <w:rsid w:val="00C0739D"/>
    <w:rsid w:val="00C07924"/>
    <w:rsid w:val="00C07ED7"/>
    <w:rsid w:val="00C1252D"/>
    <w:rsid w:val="00C13156"/>
    <w:rsid w:val="00C134D2"/>
    <w:rsid w:val="00C15B78"/>
    <w:rsid w:val="00C217D8"/>
    <w:rsid w:val="00C21D2D"/>
    <w:rsid w:val="00C2315D"/>
    <w:rsid w:val="00C245CF"/>
    <w:rsid w:val="00C25201"/>
    <w:rsid w:val="00C25668"/>
    <w:rsid w:val="00C25B96"/>
    <w:rsid w:val="00C263A2"/>
    <w:rsid w:val="00C269DE"/>
    <w:rsid w:val="00C26DA6"/>
    <w:rsid w:val="00C279E5"/>
    <w:rsid w:val="00C30705"/>
    <w:rsid w:val="00C30D31"/>
    <w:rsid w:val="00C36074"/>
    <w:rsid w:val="00C365F7"/>
    <w:rsid w:val="00C36674"/>
    <w:rsid w:val="00C366DC"/>
    <w:rsid w:val="00C36D19"/>
    <w:rsid w:val="00C411E1"/>
    <w:rsid w:val="00C44314"/>
    <w:rsid w:val="00C45964"/>
    <w:rsid w:val="00C45B7B"/>
    <w:rsid w:val="00C47910"/>
    <w:rsid w:val="00C5225B"/>
    <w:rsid w:val="00C53301"/>
    <w:rsid w:val="00C56B70"/>
    <w:rsid w:val="00C61B03"/>
    <w:rsid w:val="00C62181"/>
    <w:rsid w:val="00C66059"/>
    <w:rsid w:val="00C66CE9"/>
    <w:rsid w:val="00C66E53"/>
    <w:rsid w:val="00C6753A"/>
    <w:rsid w:val="00C67BFD"/>
    <w:rsid w:val="00C7561A"/>
    <w:rsid w:val="00C76348"/>
    <w:rsid w:val="00C7686C"/>
    <w:rsid w:val="00C807E0"/>
    <w:rsid w:val="00C817F2"/>
    <w:rsid w:val="00C90255"/>
    <w:rsid w:val="00C9129F"/>
    <w:rsid w:val="00C93EC7"/>
    <w:rsid w:val="00C95781"/>
    <w:rsid w:val="00C96CFD"/>
    <w:rsid w:val="00CA0374"/>
    <w:rsid w:val="00CA1234"/>
    <w:rsid w:val="00CA27C3"/>
    <w:rsid w:val="00CA365F"/>
    <w:rsid w:val="00CA4163"/>
    <w:rsid w:val="00CA64C3"/>
    <w:rsid w:val="00CA68D5"/>
    <w:rsid w:val="00CA75EF"/>
    <w:rsid w:val="00CB0FAA"/>
    <w:rsid w:val="00CB1400"/>
    <w:rsid w:val="00CB2BEE"/>
    <w:rsid w:val="00CB3A41"/>
    <w:rsid w:val="00CB548D"/>
    <w:rsid w:val="00CB5E58"/>
    <w:rsid w:val="00CB610F"/>
    <w:rsid w:val="00CB6BBC"/>
    <w:rsid w:val="00CC0425"/>
    <w:rsid w:val="00CC254F"/>
    <w:rsid w:val="00CC384B"/>
    <w:rsid w:val="00CC3EB4"/>
    <w:rsid w:val="00CC4FE0"/>
    <w:rsid w:val="00CC7383"/>
    <w:rsid w:val="00CD1BA0"/>
    <w:rsid w:val="00CD2D30"/>
    <w:rsid w:val="00CD37D0"/>
    <w:rsid w:val="00CD5F50"/>
    <w:rsid w:val="00CE49BF"/>
    <w:rsid w:val="00CE594F"/>
    <w:rsid w:val="00CE63DE"/>
    <w:rsid w:val="00CF05FE"/>
    <w:rsid w:val="00CF1123"/>
    <w:rsid w:val="00CF1220"/>
    <w:rsid w:val="00CF20BF"/>
    <w:rsid w:val="00CF350D"/>
    <w:rsid w:val="00CF498B"/>
    <w:rsid w:val="00CF4D98"/>
    <w:rsid w:val="00CF51DE"/>
    <w:rsid w:val="00D004A5"/>
    <w:rsid w:val="00D024DE"/>
    <w:rsid w:val="00D0321C"/>
    <w:rsid w:val="00D05073"/>
    <w:rsid w:val="00D0669C"/>
    <w:rsid w:val="00D10782"/>
    <w:rsid w:val="00D11A5A"/>
    <w:rsid w:val="00D14124"/>
    <w:rsid w:val="00D14149"/>
    <w:rsid w:val="00D14728"/>
    <w:rsid w:val="00D14CAE"/>
    <w:rsid w:val="00D171F1"/>
    <w:rsid w:val="00D21F7F"/>
    <w:rsid w:val="00D2244E"/>
    <w:rsid w:val="00D2343E"/>
    <w:rsid w:val="00D24D59"/>
    <w:rsid w:val="00D24FBA"/>
    <w:rsid w:val="00D26494"/>
    <w:rsid w:val="00D26D2E"/>
    <w:rsid w:val="00D26FC1"/>
    <w:rsid w:val="00D3112D"/>
    <w:rsid w:val="00D364A7"/>
    <w:rsid w:val="00D36A28"/>
    <w:rsid w:val="00D36F8B"/>
    <w:rsid w:val="00D37311"/>
    <w:rsid w:val="00D37EF9"/>
    <w:rsid w:val="00D4017F"/>
    <w:rsid w:val="00D419E7"/>
    <w:rsid w:val="00D41E87"/>
    <w:rsid w:val="00D429B4"/>
    <w:rsid w:val="00D43A55"/>
    <w:rsid w:val="00D43C47"/>
    <w:rsid w:val="00D44C6F"/>
    <w:rsid w:val="00D45101"/>
    <w:rsid w:val="00D45950"/>
    <w:rsid w:val="00D46322"/>
    <w:rsid w:val="00D46EEB"/>
    <w:rsid w:val="00D47D0C"/>
    <w:rsid w:val="00D51CF9"/>
    <w:rsid w:val="00D538E7"/>
    <w:rsid w:val="00D54BB5"/>
    <w:rsid w:val="00D55336"/>
    <w:rsid w:val="00D56271"/>
    <w:rsid w:val="00D601F8"/>
    <w:rsid w:val="00D61699"/>
    <w:rsid w:val="00D63D4E"/>
    <w:rsid w:val="00D641EE"/>
    <w:rsid w:val="00D6569B"/>
    <w:rsid w:val="00D66A14"/>
    <w:rsid w:val="00D67BE8"/>
    <w:rsid w:val="00D70066"/>
    <w:rsid w:val="00D72106"/>
    <w:rsid w:val="00D7294A"/>
    <w:rsid w:val="00D7312E"/>
    <w:rsid w:val="00D73372"/>
    <w:rsid w:val="00D76A3A"/>
    <w:rsid w:val="00D77F07"/>
    <w:rsid w:val="00D818A9"/>
    <w:rsid w:val="00D828C4"/>
    <w:rsid w:val="00D82C2D"/>
    <w:rsid w:val="00D84312"/>
    <w:rsid w:val="00D848A0"/>
    <w:rsid w:val="00D84A32"/>
    <w:rsid w:val="00D873D4"/>
    <w:rsid w:val="00D9040B"/>
    <w:rsid w:val="00D90825"/>
    <w:rsid w:val="00D90ACC"/>
    <w:rsid w:val="00D912F0"/>
    <w:rsid w:val="00D91435"/>
    <w:rsid w:val="00D92068"/>
    <w:rsid w:val="00D93AFB"/>
    <w:rsid w:val="00D942DF"/>
    <w:rsid w:val="00D97FC4"/>
    <w:rsid w:val="00DA2287"/>
    <w:rsid w:val="00DA30F6"/>
    <w:rsid w:val="00DA3525"/>
    <w:rsid w:val="00DA3D7B"/>
    <w:rsid w:val="00DA4DE3"/>
    <w:rsid w:val="00DA5772"/>
    <w:rsid w:val="00DA585C"/>
    <w:rsid w:val="00DA5903"/>
    <w:rsid w:val="00DA5904"/>
    <w:rsid w:val="00DA6970"/>
    <w:rsid w:val="00DB387B"/>
    <w:rsid w:val="00DB521C"/>
    <w:rsid w:val="00DB7419"/>
    <w:rsid w:val="00DB79FC"/>
    <w:rsid w:val="00DB7D97"/>
    <w:rsid w:val="00DC3ACD"/>
    <w:rsid w:val="00DC53A8"/>
    <w:rsid w:val="00DC5F95"/>
    <w:rsid w:val="00DC6236"/>
    <w:rsid w:val="00DD0492"/>
    <w:rsid w:val="00DD233D"/>
    <w:rsid w:val="00DD4231"/>
    <w:rsid w:val="00DD5AB5"/>
    <w:rsid w:val="00DD6D07"/>
    <w:rsid w:val="00DD7D3D"/>
    <w:rsid w:val="00DE4779"/>
    <w:rsid w:val="00DE4A19"/>
    <w:rsid w:val="00DE6CE2"/>
    <w:rsid w:val="00DE7A06"/>
    <w:rsid w:val="00DF3067"/>
    <w:rsid w:val="00DF4BA5"/>
    <w:rsid w:val="00DF51D8"/>
    <w:rsid w:val="00DF64D9"/>
    <w:rsid w:val="00DF7541"/>
    <w:rsid w:val="00DF78C2"/>
    <w:rsid w:val="00E00B15"/>
    <w:rsid w:val="00E00B87"/>
    <w:rsid w:val="00E03B2C"/>
    <w:rsid w:val="00E05888"/>
    <w:rsid w:val="00E077EE"/>
    <w:rsid w:val="00E12976"/>
    <w:rsid w:val="00E14139"/>
    <w:rsid w:val="00E146CC"/>
    <w:rsid w:val="00E14968"/>
    <w:rsid w:val="00E2030D"/>
    <w:rsid w:val="00E213FA"/>
    <w:rsid w:val="00E21D6C"/>
    <w:rsid w:val="00E2318A"/>
    <w:rsid w:val="00E23400"/>
    <w:rsid w:val="00E24347"/>
    <w:rsid w:val="00E26137"/>
    <w:rsid w:val="00E262FC"/>
    <w:rsid w:val="00E271B7"/>
    <w:rsid w:val="00E2737D"/>
    <w:rsid w:val="00E27417"/>
    <w:rsid w:val="00E27974"/>
    <w:rsid w:val="00E31288"/>
    <w:rsid w:val="00E33379"/>
    <w:rsid w:val="00E33AAA"/>
    <w:rsid w:val="00E34138"/>
    <w:rsid w:val="00E40FF8"/>
    <w:rsid w:val="00E4340F"/>
    <w:rsid w:val="00E43491"/>
    <w:rsid w:val="00E46BD6"/>
    <w:rsid w:val="00E50B14"/>
    <w:rsid w:val="00E5223D"/>
    <w:rsid w:val="00E52927"/>
    <w:rsid w:val="00E52C0B"/>
    <w:rsid w:val="00E54D42"/>
    <w:rsid w:val="00E552FE"/>
    <w:rsid w:val="00E577E3"/>
    <w:rsid w:val="00E61367"/>
    <w:rsid w:val="00E61406"/>
    <w:rsid w:val="00E6508C"/>
    <w:rsid w:val="00E65BA1"/>
    <w:rsid w:val="00E7127F"/>
    <w:rsid w:val="00E713DD"/>
    <w:rsid w:val="00E71607"/>
    <w:rsid w:val="00E71821"/>
    <w:rsid w:val="00E7211C"/>
    <w:rsid w:val="00E72854"/>
    <w:rsid w:val="00E73C2E"/>
    <w:rsid w:val="00E74FB9"/>
    <w:rsid w:val="00E76057"/>
    <w:rsid w:val="00E76939"/>
    <w:rsid w:val="00E771D4"/>
    <w:rsid w:val="00E80D20"/>
    <w:rsid w:val="00E81590"/>
    <w:rsid w:val="00E829BD"/>
    <w:rsid w:val="00E83626"/>
    <w:rsid w:val="00E83AE7"/>
    <w:rsid w:val="00E84848"/>
    <w:rsid w:val="00E85815"/>
    <w:rsid w:val="00E85890"/>
    <w:rsid w:val="00E87A31"/>
    <w:rsid w:val="00E9019E"/>
    <w:rsid w:val="00E92226"/>
    <w:rsid w:val="00E933B7"/>
    <w:rsid w:val="00E9380C"/>
    <w:rsid w:val="00E950E4"/>
    <w:rsid w:val="00E95470"/>
    <w:rsid w:val="00E97C98"/>
    <w:rsid w:val="00EA12C7"/>
    <w:rsid w:val="00EA18D2"/>
    <w:rsid w:val="00EA194D"/>
    <w:rsid w:val="00EA2859"/>
    <w:rsid w:val="00EA409B"/>
    <w:rsid w:val="00EA4F9B"/>
    <w:rsid w:val="00EA6D40"/>
    <w:rsid w:val="00EA6EFD"/>
    <w:rsid w:val="00EB0EDC"/>
    <w:rsid w:val="00EB1FF0"/>
    <w:rsid w:val="00EB2320"/>
    <w:rsid w:val="00EB32B2"/>
    <w:rsid w:val="00EB5641"/>
    <w:rsid w:val="00EC1E02"/>
    <w:rsid w:val="00EC3C91"/>
    <w:rsid w:val="00EC497B"/>
    <w:rsid w:val="00ED4EED"/>
    <w:rsid w:val="00ED5AA4"/>
    <w:rsid w:val="00ED5FFE"/>
    <w:rsid w:val="00ED7D57"/>
    <w:rsid w:val="00EE084E"/>
    <w:rsid w:val="00EE0A38"/>
    <w:rsid w:val="00EE2B47"/>
    <w:rsid w:val="00EE3F14"/>
    <w:rsid w:val="00EE4286"/>
    <w:rsid w:val="00EE487A"/>
    <w:rsid w:val="00EE48F2"/>
    <w:rsid w:val="00EF1B7A"/>
    <w:rsid w:val="00EF4ABF"/>
    <w:rsid w:val="00EF4E92"/>
    <w:rsid w:val="00F002CC"/>
    <w:rsid w:val="00F00DCA"/>
    <w:rsid w:val="00F0122C"/>
    <w:rsid w:val="00F01F1B"/>
    <w:rsid w:val="00F0541A"/>
    <w:rsid w:val="00F0578A"/>
    <w:rsid w:val="00F06053"/>
    <w:rsid w:val="00F06F23"/>
    <w:rsid w:val="00F1029B"/>
    <w:rsid w:val="00F11067"/>
    <w:rsid w:val="00F112DE"/>
    <w:rsid w:val="00F1167C"/>
    <w:rsid w:val="00F122DC"/>
    <w:rsid w:val="00F139F5"/>
    <w:rsid w:val="00F160CE"/>
    <w:rsid w:val="00F208AA"/>
    <w:rsid w:val="00F2232E"/>
    <w:rsid w:val="00F22369"/>
    <w:rsid w:val="00F23220"/>
    <w:rsid w:val="00F2734B"/>
    <w:rsid w:val="00F31828"/>
    <w:rsid w:val="00F3382C"/>
    <w:rsid w:val="00F33A3B"/>
    <w:rsid w:val="00F36248"/>
    <w:rsid w:val="00F3671F"/>
    <w:rsid w:val="00F4022F"/>
    <w:rsid w:val="00F42757"/>
    <w:rsid w:val="00F4640A"/>
    <w:rsid w:val="00F47E47"/>
    <w:rsid w:val="00F47F25"/>
    <w:rsid w:val="00F50507"/>
    <w:rsid w:val="00F50A38"/>
    <w:rsid w:val="00F5170D"/>
    <w:rsid w:val="00F52016"/>
    <w:rsid w:val="00F52A45"/>
    <w:rsid w:val="00F56CEC"/>
    <w:rsid w:val="00F6044E"/>
    <w:rsid w:val="00F64399"/>
    <w:rsid w:val="00F648D3"/>
    <w:rsid w:val="00F64F11"/>
    <w:rsid w:val="00F64FAD"/>
    <w:rsid w:val="00F67DAC"/>
    <w:rsid w:val="00F67E4C"/>
    <w:rsid w:val="00F713D7"/>
    <w:rsid w:val="00F71549"/>
    <w:rsid w:val="00F718CE"/>
    <w:rsid w:val="00F74925"/>
    <w:rsid w:val="00F751B7"/>
    <w:rsid w:val="00F75C1A"/>
    <w:rsid w:val="00F808BD"/>
    <w:rsid w:val="00F831B3"/>
    <w:rsid w:val="00F84730"/>
    <w:rsid w:val="00F86CFD"/>
    <w:rsid w:val="00F87173"/>
    <w:rsid w:val="00F87C2C"/>
    <w:rsid w:val="00F901DE"/>
    <w:rsid w:val="00F91705"/>
    <w:rsid w:val="00F91B18"/>
    <w:rsid w:val="00F92A2E"/>
    <w:rsid w:val="00F94322"/>
    <w:rsid w:val="00F94537"/>
    <w:rsid w:val="00F97F9E"/>
    <w:rsid w:val="00FA0994"/>
    <w:rsid w:val="00FA2573"/>
    <w:rsid w:val="00FA46C8"/>
    <w:rsid w:val="00FA5067"/>
    <w:rsid w:val="00FA5CA5"/>
    <w:rsid w:val="00FA5D5F"/>
    <w:rsid w:val="00FA642C"/>
    <w:rsid w:val="00FA6FA0"/>
    <w:rsid w:val="00FB1850"/>
    <w:rsid w:val="00FB2BDC"/>
    <w:rsid w:val="00FB319F"/>
    <w:rsid w:val="00FB3389"/>
    <w:rsid w:val="00FB3796"/>
    <w:rsid w:val="00FB393F"/>
    <w:rsid w:val="00FB45FC"/>
    <w:rsid w:val="00FB488E"/>
    <w:rsid w:val="00FC093E"/>
    <w:rsid w:val="00FC1299"/>
    <w:rsid w:val="00FC1DD2"/>
    <w:rsid w:val="00FC2755"/>
    <w:rsid w:val="00FC2980"/>
    <w:rsid w:val="00FC3817"/>
    <w:rsid w:val="00FC3A57"/>
    <w:rsid w:val="00FC3C7F"/>
    <w:rsid w:val="00FC458B"/>
    <w:rsid w:val="00FC62AC"/>
    <w:rsid w:val="00FC6956"/>
    <w:rsid w:val="00FC7C7A"/>
    <w:rsid w:val="00FC7EBD"/>
    <w:rsid w:val="00FD0B51"/>
    <w:rsid w:val="00FD2E35"/>
    <w:rsid w:val="00FD3383"/>
    <w:rsid w:val="00FD4807"/>
    <w:rsid w:val="00FD62A4"/>
    <w:rsid w:val="00FD72E6"/>
    <w:rsid w:val="00FE1945"/>
    <w:rsid w:val="00FE2278"/>
    <w:rsid w:val="00FE307C"/>
    <w:rsid w:val="00FE3834"/>
    <w:rsid w:val="00FE424F"/>
    <w:rsid w:val="00FE5CC1"/>
    <w:rsid w:val="00FF203C"/>
    <w:rsid w:val="00FF3274"/>
    <w:rsid w:val="00FF4C14"/>
    <w:rsid w:val="00FF4C2C"/>
    <w:rsid w:val="00FF5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BAF6D3F"/>
  <w14:defaultImageDpi w14:val="32767"/>
  <w15:chartTrackingRefBased/>
  <w15:docId w15:val="{BD193B61-692C-8B47-9137-3F7D1C4D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19A0"/>
  </w:style>
  <w:style w:type="paragraph" w:styleId="Heading2">
    <w:name w:val="heading 2"/>
    <w:basedOn w:val="Normal"/>
    <w:link w:val="Heading2Char"/>
    <w:uiPriority w:val="9"/>
    <w:qFormat/>
    <w:rsid w:val="003B066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18CE"/>
    <w:pPr>
      <w:tabs>
        <w:tab w:val="center" w:pos="4680"/>
        <w:tab w:val="right" w:pos="9360"/>
      </w:tabs>
    </w:pPr>
  </w:style>
  <w:style w:type="character" w:customStyle="1" w:styleId="FooterChar">
    <w:name w:val="Footer Char"/>
    <w:basedOn w:val="DefaultParagraphFont"/>
    <w:link w:val="Footer"/>
    <w:uiPriority w:val="99"/>
    <w:rsid w:val="00F718CE"/>
  </w:style>
  <w:style w:type="character" w:styleId="PageNumber">
    <w:name w:val="page number"/>
    <w:basedOn w:val="DefaultParagraphFont"/>
    <w:uiPriority w:val="99"/>
    <w:semiHidden/>
    <w:unhideWhenUsed/>
    <w:rsid w:val="00F718CE"/>
  </w:style>
  <w:style w:type="paragraph" w:styleId="FootnoteText">
    <w:name w:val="footnote text"/>
    <w:basedOn w:val="Normal"/>
    <w:link w:val="FootnoteTextChar"/>
    <w:uiPriority w:val="99"/>
    <w:unhideWhenUsed/>
    <w:rsid w:val="00F718CE"/>
  </w:style>
  <w:style w:type="character" w:customStyle="1" w:styleId="FootnoteTextChar">
    <w:name w:val="Footnote Text Char"/>
    <w:basedOn w:val="DefaultParagraphFont"/>
    <w:link w:val="FootnoteText"/>
    <w:uiPriority w:val="99"/>
    <w:rsid w:val="00F718CE"/>
  </w:style>
  <w:style w:type="character" w:styleId="FootnoteReference">
    <w:name w:val="footnote reference"/>
    <w:basedOn w:val="DefaultParagraphFont"/>
    <w:uiPriority w:val="99"/>
    <w:unhideWhenUsed/>
    <w:rsid w:val="00F718CE"/>
    <w:rPr>
      <w:vertAlign w:val="superscript"/>
    </w:rPr>
  </w:style>
  <w:style w:type="paragraph" w:styleId="ListParagraph">
    <w:name w:val="List Paragraph"/>
    <w:basedOn w:val="Normal"/>
    <w:uiPriority w:val="34"/>
    <w:qFormat/>
    <w:rsid w:val="00F718CE"/>
    <w:pPr>
      <w:ind w:left="720"/>
      <w:contextualSpacing/>
    </w:pPr>
    <w:rPr>
      <w:rFonts w:ascii="Times New Roman" w:hAnsi="Times New Roman" w:cs="Times New Roman"/>
      <w:lang w:eastAsia="en-US"/>
    </w:rPr>
  </w:style>
  <w:style w:type="paragraph" w:styleId="BalloonText">
    <w:name w:val="Balloon Text"/>
    <w:basedOn w:val="Normal"/>
    <w:link w:val="BalloonTextChar"/>
    <w:uiPriority w:val="99"/>
    <w:semiHidden/>
    <w:unhideWhenUsed/>
    <w:rsid w:val="00126A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6AD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B3904"/>
    <w:rPr>
      <w:sz w:val="16"/>
      <w:szCs w:val="16"/>
    </w:rPr>
  </w:style>
  <w:style w:type="paragraph" w:styleId="CommentText">
    <w:name w:val="annotation text"/>
    <w:basedOn w:val="Normal"/>
    <w:link w:val="CommentTextChar"/>
    <w:uiPriority w:val="99"/>
    <w:semiHidden/>
    <w:unhideWhenUsed/>
    <w:rsid w:val="002B3904"/>
    <w:rPr>
      <w:sz w:val="20"/>
      <w:szCs w:val="20"/>
    </w:rPr>
  </w:style>
  <w:style w:type="character" w:customStyle="1" w:styleId="CommentTextChar">
    <w:name w:val="Comment Text Char"/>
    <w:basedOn w:val="DefaultParagraphFont"/>
    <w:link w:val="CommentText"/>
    <w:uiPriority w:val="99"/>
    <w:semiHidden/>
    <w:rsid w:val="002B3904"/>
    <w:rPr>
      <w:sz w:val="20"/>
      <w:szCs w:val="20"/>
    </w:rPr>
  </w:style>
  <w:style w:type="paragraph" w:styleId="CommentSubject">
    <w:name w:val="annotation subject"/>
    <w:basedOn w:val="CommentText"/>
    <w:next w:val="CommentText"/>
    <w:link w:val="CommentSubjectChar"/>
    <w:uiPriority w:val="99"/>
    <w:semiHidden/>
    <w:unhideWhenUsed/>
    <w:rsid w:val="002B3904"/>
    <w:rPr>
      <w:b/>
      <w:bCs/>
    </w:rPr>
  </w:style>
  <w:style w:type="character" w:customStyle="1" w:styleId="CommentSubjectChar">
    <w:name w:val="Comment Subject Char"/>
    <w:basedOn w:val="CommentTextChar"/>
    <w:link w:val="CommentSubject"/>
    <w:uiPriority w:val="99"/>
    <w:semiHidden/>
    <w:rsid w:val="002B3904"/>
    <w:rPr>
      <w:b/>
      <w:bCs/>
      <w:sz w:val="20"/>
      <w:szCs w:val="20"/>
    </w:rPr>
  </w:style>
  <w:style w:type="paragraph" w:styleId="Header">
    <w:name w:val="header"/>
    <w:basedOn w:val="Normal"/>
    <w:link w:val="HeaderChar"/>
    <w:uiPriority w:val="99"/>
    <w:unhideWhenUsed/>
    <w:rsid w:val="003B0665"/>
    <w:pPr>
      <w:tabs>
        <w:tab w:val="center" w:pos="4680"/>
        <w:tab w:val="right" w:pos="9360"/>
      </w:tabs>
    </w:pPr>
  </w:style>
  <w:style w:type="character" w:customStyle="1" w:styleId="HeaderChar">
    <w:name w:val="Header Char"/>
    <w:basedOn w:val="DefaultParagraphFont"/>
    <w:link w:val="Header"/>
    <w:uiPriority w:val="99"/>
    <w:rsid w:val="003B0665"/>
  </w:style>
  <w:style w:type="character" w:customStyle="1" w:styleId="Heading2Char">
    <w:name w:val="Heading 2 Char"/>
    <w:basedOn w:val="DefaultParagraphFont"/>
    <w:link w:val="Heading2"/>
    <w:uiPriority w:val="9"/>
    <w:rsid w:val="003B066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2984">
      <w:bodyDiv w:val="1"/>
      <w:marLeft w:val="0"/>
      <w:marRight w:val="0"/>
      <w:marTop w:val="0"/>
      <w:marBottom w:val="0"/>
      <w:divBdr>
        <w:top w:val="none" w:sz="0" w:space="0" w:color="auto"/>
        <w:left w:val="none" w:sz="0" w:space="0" w:color="auto"/>
        <w:bottom w:val="none" w:sz="0" w:space="0" w:color="auto"/>
        <w:right w:val="none" w:sz="0" w:space="0" w:color="auto"/>
      </w:divBdr>
    </w:div>
    <w:div w:id="2094083671">
      <w:bodyDiv w:val="1"/>
      <w:marLeft w:val="0"/>
      <w:marRight w:val="0"/>
      <w:marTop w:val="0"/>
      <w:marBottom w:val="0"/>
      <w:divBdr>
        <w:top w:val="none" w:sz="0" w:space="0" w:color="auto"/>
        <w:left w:val="none" w:sz="0" w:space="0" w:color="auto"/>
        <w:bottom w:val="none" w:sz="0" w:space="0" w:color="auto"/>
        <w:right w:val="none" w:sz="0" w:space="0" w:color="auto"/>
      </w:divBdr>
    </w:div>
    <w:div w:id="21322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29</Pages>
  <Words>9421</Words>
  <Characters>51913</Characters>
  <Application>Microsoft Office Word</Application>
  <DocSecurity>0</DocSecurity>
  <Lines>895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Hsien Liew</dc:creator>
  <cp:keywords/>
  <dc:description/>
  <cp:lastModifiedBy>Han Hsien Liew</cp:lastModifiedBy>
  <cp:revision>18</cp:revision>
  <dcterms:created xsi:type="dcterms:W3CDTF">2021-02-27T06:05:00Z</dcterms:created>
  <dcterms:modified xsi:type="dcterms:W3CDTF">2021-02-27T15:47:00Z</dcterms:modified>
</cp:coreProperties>
</file>