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BA3F2" w14:textId="77777777" w:rsidR="00F744DD" w:rsidRPr="00D053A9" w:rsidRDefault="00F744DD" w:rsidP="00D053A9">
      <w:pPr>
        <w:pStyle w:val="NoSpacing"/>
        <w:bidi w:val="0"/>
        <w:spacing w:line="360" w:lineRule="auto"/>
        <w:ind w:right="-1759" w:firstLine="363"/>
        <w:rPr>
          <w:rFonts w:ascii="Times New Roman" w:hAnsi="Times New Roman" w:cs="Times New Roman"/>
          <w:sz w:val="24"/>
          <w:szCs w:val="24"/>
        </w:rPr>
      </w:pPr>
      <w:r w:rsidRPr="00D053A9">
        <w:rPr>
          <w:rFonts w:ascii="Times New Roman" w:hAnsi="Times New Roman" w:cs="Times New Roman"/>
          <w:sz w:val="24"/>
          <w:szCs w:val="24"/>
        </w:rPr>
        <w:t xml:space="preserve">Dr. </w:t>
      </w:r>
      <w:proofErr w:type="spellStart"/>
      <w:r w:rsidRPr="00D053A9">
        <w:rPr>
          <w:rFonts w:ascii="Times New Roman" w:hAnsi="Times New Roman" w:cs="Times New Roman"/>
          <w:sz w:val="24"/>
          <w:szCs w:val="24"/>
        </w:rPr>
        <w:t>Irit</w:t>
      </w:r>
      <w:proofErr w:type="spellEnd"/>
      <w:r w:rsidRPr="00D053A9">
        <w:rPr>
          <w:rFonts w:ascii="Times New Roman" w:hAnsi="Times New Roman" w:cs="Times New Roman"/>
          <w:sz w:val="24"/>
          <w:szCs w:val="24"/>
        </w:rPr>
        <w:t xml:space="preserve"> </w:t>
      </w:r>
      <w:proofErr w:type="spellStart"/>
      <w:r w:rsidRPr="00D053A9">
        <w:rPr>
          <w:rFonts w:ascii="Times New Roman" w:hAnsi="Times New Roman" w:cs="Times New Roman"/>
          <w:sz w:val="24"/>
          <w:szCs w:val="24"/>
        </w:rPr>
        <w:t>Cherniavski</w:t>
      </w:r>
      <w:proofErr w:type="spellEnd"/>
    </w:p>
    <w:p w14:paraId="5ECD6A7B" w14:textId="77777777" w:rsidR="00F744DD" w:rsidRPr="00D053A9" w:rsidRDefault="00F744DD" w:rsidP="00D053A9">
      <w:pPr>
        <w:pStyle w:val="NoSpacing"/>
        <w:bidi w:val="0"/>
        <w:spacing w:line="360" w:lineRule="auto"/>
        <w:jc w:val="center"/>
        <w:rPr>
          <w:rFonts w:ascii="Times New Roman" w:hAnsi="Times New Roman" w:cs="Times New Roman"/>
          <w:sz w:val="24"/>
          <w:szCs w:val="24"/>
        </w:rPr>
      </w:pPr>
      <w:r w:rsidRPr="00D053A9">
        <w:rPr>
          <w:rFonts w:ascii="Times New Roman" w:hAnsi="Times New Roman" w:cs="Times New Roman"/>
          <w:sz w:val="24"/>
          <w:szCs w:val="24"/>
        </w:rPr>
        <w:t xml:space="preserve">16 </w:t>
      </w:r>
      <w:proofErr w:type="spellStart"/>
      <w:r w:rsidRPr="00D053A9">
        <w:rPr>
          <w:rFonts w:ascii="Times New Roman" w:hAnsi="Times New Roman" w:cs="Times New Roman"/>
          <w:sz w:val="24"/>
          <w:szCs w:val="24"/>
        </w:rPr>
        <w:t>Mish'ol</w:t>
      </w:r>
      <w:proofErr w:type="spellEnd"/>
      <w:r w:rsidRPr="00D053A9">
        <w:rPr>
          <w:rFonts w:ascii="Times New Roman" w:hAnsi="Times New Roman" w:cs="Times New Roman"/>
          <w:sz w:val="24"/>
          <w:szCs w:val="24"/>
        </w:rPr>
        <w:t xml:space="preserve"> Moran, Jerusalem 97282</w:t>
      </w:r>
    </w:p>
    <w:p w14:paraId="097AE7C0" w14:textId="77777777" w:rsidR="00F744DD" w:rsidRPr="00D053A9" w:rsidRDefault="00F744DD" w:rsidP="00D053A9">
      <w:pPr>
        <w:pStyle w:val="NoSpacing"/>
        <w:bidi w:val="0"/>
        <w:spacing w:line="360" w:lineRule="auto"/>
        <w:jc w:val="center"/>
        <w:rPr>
          <w:rFonts w:ascii="Times New Roman" w:hAnsi="Times New Roman" w:cs="Times New Roman"/>
          <w:sz w:val="24"/>
          <w:szCs w:val="24"/>
        </w:rPr>
      </w:pPr>
      <w:r w:rsidRPr="00D053A9">
        <w:rPr>
          <w:rFonts w:ascii="Times New Roman" w:hAnsi="Times New Roman" w:cs="Times New Roman"/>
          <w:sz w:val="24"/>
          <w:szCs w:val="24"/>
        </w:rPr>
        <w:t>Tel. 02-5865820, Mobile: 0528-684749, Fax: 02-5862474</w:t>
      </w:r>
    </w:p>
    <w:p w14:paraId="4B1955EA" w14:textId="77777777" w:rsidR="00F744DD" w:rsidRPr="00D053A9" w:rsidRDefault="00716D17" w:rsidP="00D053A9">
      <w:pPr>
        <w:bidi w:val="0"/>
        <w:spacing w:line="360" w:lineRule="auto"/>
        <w:ind w:left="0"/>
        <w:jc w:val="center"/>
        <w:rPr>
          <w:rFonts w:ascii="Times New Roman" w:hAnsi="Times New Roman" w:cs="Times New Roman"/>
          <w:b/>
          <w:bCs/>
          <w:sz w:val="24"/>
          <w:szCs w:val="24"/>
        </w:rPr>
      </w:pPr>
      <w:hyperlink r:id="rId6" w:history="1">
        <w:r w:rsidR="00F744DD" w:rsidRPr="00D053A9">
          <w:rPr>
            <w:rStyle w:val="Hyperlink"/>
            <w:rFonts w:ascii="Times New Roman" w:hAnsi="Times New Roman" w:cs="Times New Roman"/>
            <w:b/>
            <w:bCs/>
            <w:sz w:val="24"/>
            <w:szCs w:val="24"/>
          </w:rPr>
          <w:t>cheirit@gmail.com</w:t>
        </w:r>
      </w:hyperlink>
    </w:p>
    <w:p w14:paraId="2601CF72" w14:textId="77777777" w:rsidR="00F744DD" w:rsidRPr="00D053A9" w:rsidRDefault="00F744DD" w:rsidP="00D053A9">
      <w:pPr>
        <w:bidi w:val="0"/>
        <w:spacing w:line="360" w:lineRule="auto"/>
        <w:ind w:left="0"/>
        <w:jc w:val="center"/>
        <w:rPr>
          <w:rFonts w:ascii="Times New Roman" w:hAnsi="Times New Roman" w:cs="Times New Roman"/>
          <w:b/>
          <w:bCs/>
          <w:sz w:val="24"/>
          <w:szCs w:val="24"/>
        </w:rPr>
      </w:pPr>
    </w:p>
    <w:p w14:paraId="2E800F4C" w14:textId="77777777" w:rsidR="00F744DD" w:rsidRPr="00D053A9" w:rsidRDefault="00F744DD" w:rsidP="00D053A9">
      <w:pPr>
        <w:bidi w:val="0"/>
        <w:spacing w:line="360" w:lineRule="auto"/>
        <w:ind w:left="0"/>
        <w:jc w:val="center"/>
        <w:rPr>
          <w:rFonts w:ascii="Times New Roman" w:hAnsi="Times New Roman" w:cs="Times New Roman"/>
          <w:b/>
          <w:bCs/>
          <w:sz w:val="24"/>
          <w:szCs w:val="24"/>
        </w:rPr>
      </w:pPr>
      <w:bookmarkStart w:id="0" w:name="_Hlk76920912"/>
      <w:r w:rsidRPr="00D053A9">
        <w:rPr>
          <w:rFonts w:ascii="Times New Roman" w:hAnsi="Times New Roman" w:cs="Times New Roman"/>
          <w:b/>
          <w:bCs/>
          <w:sz w:val="24"/>
          <w:szCs w:val="24"/>
        </w:rPr>
        <w:t>Jewish Daily Life in Warsaw between the Two World Wars</w:t>
      </w:r>
    </w:p>
    <w:bookmarkEnd w:id="0"/>
    <w:p w14:paraId="410D468B" w14:textId="355808DB" w:rsidR="00ED7B6C" w:rsidRDefault="00ED7B6C" w:rsidP="00D053A9">
      <w:pPr>
        <w:bidi w:val="0"/>
        <w:spacing w:line="360" w:lineRule="auto"/>
        <w:ind w:left="0"/>
        <w:rPr>
          <w:rFonts w:ascii="Times New Roman" w:hAnsi="Times New Roman" w:cs="Times New Roman"/>
          <w:sz w:val="24"/>
          <w:szCs w:val="24"/>
        </w:rPr>
      </w:pPr>
      <w:r>
        <w:rPr>
          <w:rFonts w:ascii="Times New Roman" w:hAnsi="Times New Roman" w:cs="Times New Roman"/>
          <w:sz w:val="24"/>
          <w:szCs w:val="24"/>
        </w:rPr>
        <w:t>Abstract</w:t>
      </w:r>
    </w:p>
    <w:p w14:paraId="01D7AA02" w14:textId="64B64F4E" w:rsidR="00F744DD" w:rsidRDefault="00F744DD" w:rsidP="00ED7B6C">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t>In 1931, the Jews living in Warsaw numbered approximately 350,000, or about a third of the city's population. Warsaw had the largest concentration of Jews in Europe, and second largest worldwide, after New York.</w:t>
      </w:r>
      <w:r w:rsidRPr="00D053A9">
        <w:rPr>
          <w:rStyle w:val="FootnoteReference"/>
          <w:rFonts w:ascii="Times New Roman" w:hAnsi="Times New Roman" w:cs="Times New Roman"/>
          <w:sz w:val="24"/>
          <w:szCs w:val="24"/>
        </w:rPr>
        <w:footnoteReference w:id="1"/>
      </w:r>
      <w:r w:rsidRPr="00D053A9">
        <w:rPr>
          <w:rFonts w:ascii="Times New Roman" w:hAnsi="Times New Roman" w:cs="Times New Roman"/>
          <w:sz w:val="24"/>
          <w:szCs w:val="24"/>
        </w:rPr>
        <w:t xml:space="preserve"> Yet the importance of this Jewish center was not a matter of size alone: the interbellum Warsaw Jewry formed a thriving social, cultural and political center, characterized by its profound impact on world Jewry.</w:t>
      </w:r>
    </w:p>
    <w:p w14:paraId="6BC9418E" w14:textId="2760EDB8" w:rsidR="004C6ADD" w:rsidRDefault="004C6ADD" w:rsidP="00D053A9">
      <w:pPr>
        <w:spacing w:after="0" w:line="360" w:lineRule="auto"/>
        <w:ind w:left="0" w:firstLine="363"/>
        <w:jc w:val="right"/>
        <w:rPr>
          <w:rFonts w:asciiTheme="majorBidi" w:hAnsiTheme="majorBidi" w:cstheme="majorBidi"/>
          <w:sz w:val="24"/>
          <w:szCs w:val="24"/>
        </w:rPr>
      </w:pPr>
      <w:r w:rsidRPr="00D053A9">
        <w:rPr>
          <w:rFonts w:asciiTheme="majorBidi" w:hAnsiTheme="majorBidi" w:cstheme="majorBidi"/>
          <w:sz w:val="24"/>
          <w:szCs w:val="24"/>
        </w:rPr>
        <w:t>One of the aims of this book is clarification of issues concerning the Jews of Warsaw within the context of a comprehensive examination of the city and the daily life of all its inhabitants. This include</w:t>
      </w:r>
      <w:r>
        <w:rPr>
          <w:rFonts w:asciiTheme="majorBidi" w:hAnsiTheme="majorBidi" w:cstheme="majorBidi"/>
          <w:sz w:val="24"/>
          <w:szCs w:val="24"/>
        </w:rPr>
        <w:t>s</w:t>
      </w:r>
      <w:r w:rsidRPr="00D053A9">
        <w:rPr>
          <w:rFonts w:asciiTheme="majorBidi" w:hAnsiTheme="majorBidi" w:cstheme="majorBidi"/>
          <w:sz w:val="24"/>
          <w:szCs w:val="24"/>
        </w:rPr>
        <w:t>: cultural and economic activity, the nature of urban construction, and infrastructure, transportation and trade. In addition, this work illuminate</w:t>
      </w:r>
      <w:r w:rsidR="00ED7B6C">
        <w:rPr>
          <w:rFonts w:asciiTheme="majorBidi" w:hAnsiTheme="majorBidi" w:cstheme="majorBidi"/>
          <w:sz w:val="24"/>
          <w:szCs w:val="24"/>
        </w:rPr>
        <w:t>s</w:t>
      </w:r>
      <w:r w:rsidRPr="00D053A9">
        <w:rPr>
          <w:rFonts w:asciiTheme="majorBidi" w:hAnsiTheme="majorBidi" w:cstheme="majorBidi"/>
          <w:sz w:val="24"/>
          <w:szCs w:val="24"/>
        </w:rPr>
        <w:t xml:space="preserve"> an element that has received little attention in the historiography of the Jews of Warsaw – the daily life of the Jews of the city. At the same time, this work endeavor</w:t>
      </w:r>
      <w:r w:rsidR="00ED7B6C">
        <w:rPr>
          <w:rFonts w:asciiTheme="majorBidi" w:hAnsiTheme="majorBidi" w:cstheme="majorBidi"/>
          <w:sz w:val="24"/>
          <w:szCs w:val="24"/>
        </w:rPr>
        <w:t>s</w:t>
      </w:r>
      <w:r w:rsidRPr="00D053A9">
        <w:rPr>
          <w:rFonts w:asciiTheme="majorBidi" w:hAnsiTheme="majorBidi" w:cstheme="majorBidi"/>
          <w:sz w:val="24"/>
          <w:szCs w:val="24"/>
        </w:rPr>
        <w:t xml:space="preserve"> to restore the physical and human image of the Jewish neighborhood that was wiped off the face of the earth – its inhabitants, houses and streets.</w:t>
      </w:r>
    </w:p>
    <w:p w14:paraId="3C001F0C" w14:textId="6BB3EDC4" w:rsidR="004C6ADD" w:rsidRDefault="004C6ADD" w:rsidP="00D053A9">
      <w:pPr>
        <w:spacing w:after="0" w:line="360" w:lineRule="auto"/>
        <w:ind w:left="0" w:firstLine="363"/>
        <w:jc w:val="right"/>
        <w:rPr>
          <w:rFonts w:asciiTheme="majorBidi" w:hAnsiTheme="majorBidi" w:cstheme="majorBidi"/>
          <w:sz w:val="24"/>
          <w:szCs w:val="24"/>
        </w:rPr>
      </w:pPr>
    </w:p>
    <w:p w14:paraId="7C158852" w14:textId="68618E5A" w:rsidR="004C6ADD" w:rsidRDefault="004C6ADD" w:rsidP="00D053A9">
      <w:pPr>
        <w:bidi w:val="0"/>
        <w:spacing w:line="360" w:lineRule="auto"/>
        <w:ind w:left="0"/>
        <w:rPr>
          <w:rFonts w:asciiTheme="majorBidi" w:hAnsiTheme="majorBidi" w:cstheme="majorBidi"/>
          <w:sz w:val="24"/>
          <w:szCs w:val="24"/>
        </w:rPr>
      </w:pPr>
      <w:r w:rsidRPr="00B340FF">
        <w:rPr>
          <w:rFonts w:asciiTheme="majorBidi" w:hAnsiTheme="majorBidi" w:cstheme="majorBidi"/>
          <w:sz w:val="24"/>
          <w:szCs w:val="24"/>
        </w:rPr>
        <w:t>It is particularly important to note the significance of the book in the context of the study of the life of Jews in Poland prior to the Holocaust, their complexity and cultural wealth. For the sake of historical memory, it is important to study and understand not only how the Jews of Europe were murdered but also how they actually lived their lives previous to that event.</w:t>
      </w:r>
    </w:p>
    <w:p w14:paraId="4EA4D33A" w14:textId="337DEB8A" w:rsidR="004C6ADD" w:rsidRPr="00B340FF" w:rsidRDefault="004C6ADD" w:rsidP="00D053A9">
      <w:pPr>
        <w:bidi w:val="0"/>
        <w:spacing w:line="360" w:lineRule="auto"/>
        <w:ind w:left="0"/>
        <w:rPr>
          <w:rFonts w:ascii="Times New Roman" w:hAnsi="Times New Roman" w:cs="Times New Roman"/>
          <w:sz w:val="24"/>
          <w:szCs w:val="24"/>
        </w:rPr>
      </w:pPr>
      <w:r w:rsidRPr="00B340FF">
        <w:rPr>
          <w:rFonts w:ascii="Times New Roman" w:hAnsi="Times New Roman" w:cs="Times New Roman"/>
          <w:sz w:val="24"/>
          <w:szCs w:val="24"/>
        </w:rPr>
        <w:t xml:space="preserve">Contrary to the commonly held stereotype of an eastern European Jewry that is mostly religious-Hassidic and resides in 'Shtetls' – the small provincial towns of </w:t>
      </w:r>
      <w:r w:rsidRPr="00B340FF">
        <w:rPr>
          <w:rFonts w:ascii="Times New Roman" w:hAnsi="Times New Roman" w:cs="Times New Roman"/>
          <w:sz w:val="24"/>
          <w:szCs w:val="24"/>
        </w:rPr>
        <w:lastRenderedPageBreak/>
        <w:t>eastern Europe - this book portrays the life of Jews in a large city – Poland</w:t>
      </w:r>
      <w:r w:rsidR="00ED7B6C">
        <w:rPr>
          <w:rFonts w:ascii="Times New Roman" w:hAnsi="Times New Roman" w:cs="Times New Roman"/>
          <w:sz w:val="24"/>
          <w:szCs w:val="24"/>
        </w:rPr>
        <w:t>’</w:t>
      </w:r>
      <w:r w:rsidRPr="00B340FF">
        <w:rPr>
          <w:rFonts w:ascii="Times New Roman" w:hAnsi="Times New Roman" w:cs="Times New Roman"/>
          <w:sz w:val="24"/>
          <w:szCs w:val="24"/>
        </w:rPr>
        <w:t>s capital. The book also highlights the richly varied nature of the secular Jewish public, which at the time formed a significant part of the Jewish public in Warsaw.</w:t>
      </w:r>
    </w:p>
    <w:p w14:paraId="49A1C892" w14:textId="0987E4E4" w:rsidR="00F744DD" w:rsidRPr="00D053A9" w:rsidRDefault="00CA5549" w:rsidP="00D053A9">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t>T</w:t>
      </w:r>
      <w:r w:rsidR="00F744DD" w:rsidRPr="00D053A9">
        <w:rPr>
          <w:rFonts w:ascii="Times New Roman" w:hAnsi="Times New Roman" w:cs="Times New Roman"/>
          <w:sz w:val="24"/>
          <w:szCs w:val="24"/>
        </w:rPr>
        <w:t>h</w:t>
      </w:r>
      <w:r w:rsidRPr="00D053A9">
        <w:rPr>
          <w:rFonts w:ascii="Times New Roman" w:hAnsi="Times New Roman" w:cs="Times New Roman"/>
          <w:sz w:val="24"/>
          <w:szCs w:val="24"/>
        </w:rPr>
        <w:t>is</w:t>
      </w:r>
      <w:r w:rsidR="00F744DD" w:rsidRPr="00D053A9">
        <w:rPr>
          <w:rFonts w:ascii="Times New Roman" w:hAnsi="Times New Roman" w:cs="Times New Roman"/>
          <w:sz w:val="24"/>
          <w:szCs w:val="24"/>
        </w:rPr>
        <w:t xml:space="preserve"> book provides an overall, comprehensive depiction of daily life in the Warsaw Jewish street</w:t>
      </w:r>
      <w:r w:rsidRPr="00D053A9">
        <w:rPr>
          <w:rFonts w:ascii="Times New Roman" w:hAnsi="Times New Roman" w:cs="Times New Roman"/>
          <w:sz w:val="24"/>
          <w:szCs w:val="24"/>
        </w:rPr>
        <w:t>.</w:t>
      </w:r>
      <w:r w:rsidR="00F744DD" w:rsidRPr="00D053A9">
        <w:rPr>
          <w:rFonts w:ascii="Times New Roman" w:hAnsi="Times New Roman" w:cs="Times New Roman"/>
          <w:sz w:val="24"/>
          <w:szCs w:val="24"/>
        </w:rPr>
        <w:t xml:space="preserve"> What were the living conditions and how did they affect relations between the various neighborhoods and the sense of community? What role did the hundreds of </w:t>
      </w:r>
      <w:proofErr w:type="gramStart"/>
      <w:r w:rsidR="00F744DD" w:rsidRPr="00D053A9">
        <w:rPr>
          <w:rFonts w:ascii="Times New Roman" w:hAnsi="Times New Roman" w:cs="Times New Roman"/>
          <w:sz w:val="24"/>
          <w:szCs w:val="24"/>
        </w:rPr>
        <w:t>trade</w:t>
      </w:r>
      <w:proofErr w:type="gramEnd"/>
      <w:r w:rsidR="00F744DD" w:rsidRPr="00D053A9">
        <w:rPr>
          <w:rFonts w:ascii="Times New Roman" w:hAnsi="Times New Roman" w:cs="Times New Roman"/>
          <w:sz w:val="24"/>
          <w:szCs w:val="24"/>
        </w:rPr>
        <w:t>, social</w:t>
      </w:r>
      <w:r w:rsidRPr="00D053A9">
        <w:rPr>
          <w:rFonts w:ascii="Times New Roman" w:hAnsi="Times New Roman" w:cs="Times New Roman"/>
          <w:sz w:val="24"/>
          <w:szCs w:val="24"/>
        </w:rPr>
        <w:t>,</w:t>
      </w:r>
      <w:r w:rsidR="00F744DD" w:rsidRPr="00D053A9">
        <w:rPr>
          <w:rFonts w:ascii="Times New Roman" w:hAnsi="Times New Roman" w:cs="Times New Roman"/>
          <w:sz w:val="24"/>
          <w:szCs w:val="24"/>
        </w:rPr>
        <w:t xml:space="preserve"> and religious organizations play in public life? What was the nature of relations between Jews and non-Jews? What </w:t>
      </w:r>
      <w:r w:rsidRPr="00D053A9">
        <w:rPr>
          <w:rFonts w:ascii="Times New Roman" w:hAnsi="Times New Roman" w:cs="Times New Roman"/>
          <w:sz w:val="24"/>
          <w:szCs w:val="24"/>
        </w:rPr>
        <w:t>did</w:t>
      </w:r>
      <w:r w:rsidR="00F744DD" w:rsidRPr="00D053A9">
        <w:rPr>
          <w:rFonts w:ascii="Times New Roman" w:hAnsi="Times New Roman" w:cs="Times New Roman"/>
          <w:sz w:val="24"/>
          <w:szCs w:val="24"/>
        </w:rPr>
        <w:t xml:space="preserve"> apartments, courtyards, workshops and stores </w:t>
      </w:r>
      <w:proofErr w:type="gramStart"/>
      <w:r w:rsidR="00F744DD" w:rsidRPr="00D053A9">
        <w:rPr>
          <w:rFonts w:ascii="Times New Roman" w:hAnsi="Times New Roman" w:cs="Times New Roman"/>
          <w:sz w:val="24"/>
          <w:szCs w:val="24"/>
        </w:rPr>
        <w:t>looked</w:t>
      </w:r>
      <w:proofErr w:type="gramEnd"/>
      <w:r w:rsidR="00F744DD" w:rsidRPr="00D053A9">
        <w:rPr>
          <w:rFonts w:ascii="Times New Roman" w:hAnsi="Times New Roman" w:cs="Times New Roman"/>
          <w:sz w:val="24"/>
          <w:szCs w:val="24"/>
        </w:rPr>
        <w:t xml:space="preserve"> like? What languages and music were heard throughout the Warsaw courtyards, streets and houses of prayer? What was family life like?</w:t>
      </w:r>
    </w:p>
    <w:p w14:paraId="5E986B92" w14:textId="598F5DB9" w:rsidR="00F744DD" w:rsidRPr="00D053A9" w:rsidRDefault="00F744DD" w:rsidP="00D053A9">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t xml:space="preserve">The book brings to light these and other aspects of the daily life of this prominent community, obliterated almost completely during the </w:t>
      </w:r>
      <w:r w:rsidR="00CA5549" w:rsidRPr="00D053A9">
        <w:rPr>
          <w:rFonts w:ascii="Times New Roman" w:hAnsi="Times New Roman" w:cs="Times New Roman"/>
          <w:sz w:val="24"/>
          <w:szCs w:val="24"/>
        </w:rPr>
        <w:t>H</w:t>
      </w:r>
      <w:r w:rsidRPr="00D053A9">
        <w:rPr>
          <w:rFonts w:ascii="Times New Roman" w:hAnsi="Times New Roman" w:cs="Times New Roman"/>
          <w:sz w:val="24"/>
          <w:szCs w:val="24"/>
        </w:rPr>
        <w:t>olocaust.</w:t>
      </w:r>
      <w:r w:rsidR="00CA5549" w:rsidRPr="00D053A9">
        <w:rPr>
          <w:rFonts w:ascii="Times New Roman" w:hAnsi="Times New Roman" w:cs="Times New Roman"/>
          <w:sz w:val="24"/>
          <w:szCs w:val="24"/>
        </w:rPr>
        <w:t xml:space="preserve"> This book is based on detailed statistical data on the distribution and nature of the housing of the Jews in Warsaw in the context of the housing of all of Warsaw’s residents. The book also makes extensive use of qualitative sources: contemporary literature, fiction and non-fiction, diaries and memoires, as well academic literature from the period. </w:t>
      </w:r>
    </w:p>
    <w:p w14:paraId="04DF45F4" w14:textId="3FBAB010" w:rsidR="00F744DD" w:rsidRPr="00D053A9" w:rsidRDefault="00F744DD" w:rsidP="00D053A9">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t>Using the</w:t>
      </w:r>
      <w:r w:rsidR="00E2645C">
        <w:rPr>
          <w:rFonts w:ascii="Times New Roman" w:hAnsi="Times New Roman" w:cs="Times New Roman"/>
          <w:sz w:val="24"/>
          <w:szCs w:val="24"/>
        </w:rPr>
        <w:t>se</w:t>
      </w:r>
      <w:bookmarkStart w:id="1" w:name="_GoBack"/>
      <w:bookmarkEnd w:id="1"/>
      <w:r w:rsidRPr="00D053A9">
        <w:rPr>
          <w:rFonts w:ascii="Times New Roman" w:hAnsi="Times New Roman" w:cs="Times New Roman"/>
          <w:sz w:val="24"/>
          <w:szCs w:val="24"/>
        </w:rPr>
        <w:t xml:space="preserve"> sources, </w:t>
      </w:r>
      <w:r w:rsidR="00CA5549" w:rsidRPr="00D053A9">
        <w:rPr>
          <w:rFonts w:ascii="Times New Roman" w:hAnsi="Times New Roman" w:cs="Times New Roman"/>
          <w:sz w:val="24"/>
          <w:szCs w:val="24"/>
        </w:rPr>
        <w:t>this book casts</w:t>
      </w:r>
      <w:r w:rsidRPr="00D053A9">
        <w:rPr>
          <w:rFonts w:ascii="Times New Roman" w:hAnsi="Times New Roman" w:cs="Times New Roman"/>
          <w:sz w:val="24"/>
          <w:szCs w:val="24"/>
        </w:rPr>
        <w:t xml:space="preserve"> on </w:t>
      </w:r>
      <w:r w:rsidR="00CA5549" w:rsidRPr="00D053A9">
        <w:rPr>
          <w:rFonts w:ascii="Times New Roman" w:hAnsi="Times New Roman" w:cs="Times New Roman"/>
          <w:sz w:val="24"/>
          <w:szCs w:val="24"/>
        </w:rPr>
        <w:t xml:space="preserve">a number of </w:t>
      </w:r>
      <w:r w:rsidRPr="00D053A9">
        <w:rPr>
          <w:rFonts w:ascii="Times New Roman" w:hAnsi="Times New Roman" w:cs="Times New Roman"/>
          <w:sz w:val="24"/>
          <w:szCs w:val="24"/>
        </w:rPr>
        <w:t>topics</w:t>
      </w:r>
      <w:r w:rsidRPr="00D053A9">
        <w:rPr>
          <w:rFonts w:ascii="Times New Roman" w:hAnsi="Times New Roman" w:cs="Times New Roman"/>
          <w:b/>
          <w:bCs/>
          <w:sz w:val="24"/>
          <w:szCs w:val="24"/>
        </w:rPr>
        <w:t xml:space="preserve"> </w:t>
      </w:r>
      <w:r w:rsidRPr="00D053A9">
        <w:rPr>
          <w:rFonts w:ascii="Times New Roman" w:hAnsi="Times New Roman" w:cs="Times New Roman"/>
          <w:sz w:val="24"/>
          <w:szCs w:val="24"/>
        </w:rPr>
        <w:t>relating to this large and important pre-war center of Jewry that have received little attention</w:t>
      </w:r>
      <w:r w:rsidR="00CA5549" w:rsidRPr="00D053A9">
        <w:rPr>
          <w:rFonts w:ascii="Times New Roman" w:hAnsi="Times New Roman" w:cs="Times New Roman"/>
          <w:sz w:val="24"/>
          <w:szCs w:val="24"/>
        </w:rPr>
        <w:t xml:space="preserve"> to this date, notwithstanding the considerable research that has been done on this community. These issues involve</w:t>
      </w:r>
      <w:r w:rsidRPr="00D053A9">
        <w:rPr>
          <w:rFonts w:ascii="Times New Roman" w:hAnsi="Times New Roman" w:cs="Times New Roman"/>
          <w:sz w:val="24"/>
          <w:szCs w:val="24"/>
        </w:rPr>
        <w:t>:</w:t>
      </w:r>
    </w:p>
    <w:p w14:paraId="703352BB" w14:textId="77777777" w:rsidR="00F744DD" w:rsidRPr="00D053A9" w:rsidRDefault="00F744DD" w:rsidP="00ED7B6C">
      <w:pPr>
        <w:bidi w:val="0"/>
        <w:spacing w:line="240" w:lineRule="auto"/>
        <w:ind w:left="0"/>
        <w:rPr>
          <w:rFonts w:ascii="Times New Roman" w:hAnsi="Times New Roman" w:cs="Times New Roman"/>
          <w:sz w:val="24"/>
          <w:szCs w:val="24"/>
        </w:rPr>
      </w:pPr>
      <w:r w:rsidRPr="00D053A9">
        <w:rPr>
          <w:rFonts w:ascii="Times New Roman" w:hAnsi="Times New Roman" w:cs="Times New Roman"/>
          <w:sz w:val="24"/>
          <w:szCs w:val="24"/>
        </w:rPr>
        <w:t>-</w:t>
      </w:r>
      <w:r w:rsidRPr="00D053A9">
        <w:rPr>
          <w:rFonts w:ascii="Times New Roman" w:hAnsi="Times New Roman" w:cs="Times New Roman"/>
          <w:sz w:val="24"/>
          <w:szCs w:val="24"/>
        </w:rPr>
        <w:tab/>
        <w:t>The social and societal implications of the geographic distribution of the Warsaw Jews' residential and business quarters.</w:t>
      </w:r>
    </w:p>
    <w:p w14:paraId="7BF9CE69" w14:textId="77777777" w:rsidR="00F744DD" w:rsidRPr="00D053A9" w:rsidRDefault="00F744DD" w:rsidP="00ED7B6C">
      <w:pPr>
        <w:bidi w:val="0"/>
        <w:spacing w:line="240" w:lineRule="auto"/>
        <w:ind w:left="0"/>
        <w:rPr>
          <w:rFonts w:ascii="Times New Roman" w:hAnsi="Times New Roman" w:cs="Times New Roman"/>
          <w:sz w:val="24"/>
          <w:szCs w:val="24"/>
        </w:rPr>
      </w:pPr>
      <w:r w:rsidRPr="00D053A9">
        <w:rPr>
          <w:rFonts w:ascii="Times New Roman" w:hAnsi="Times New Roman" w:cs="Times New Roman"/>
          <w:sz w:val="24"/>
          <w:szCs w:val="24"/>
        </w:rPr>
        <w:t>-</w:t>
      </w:r>
      <w:r w:rsidRPr="00D053A9">
        <w:rPr>
          <w:rFonts w:ascii="Times New Roman" w:hAnsi="Times New Roman" w:cs="Times New Roman"/>
          <w:sz w:val="24"/>
          <w:szCs w:val="24"/>
        </w:rPr>
        <w:tab/>
        <w:t>The impact of the city's urban structure, such as multi-storied apartment houses built around inner courtyards, on neighborly relations and community life.</w:t>
      </w:r>
    </w:p>
    <w:p w14:paraId="3970835D" w14:textId="52602B04" w:rsidR="00F744DD" w:rsidRPr="00D053A9" w:rsidRDefault="00F744DD" w:rsidP="00ED7B6C">
      <w:pPr>
        <w:bidi w:val="0"/>
        <w:spacing w:line="240" w:lineRule="auto"/>
        <w:ind w:left="0"/>
        <w:rPr>
          <w:rFonts w:ascii="Times New Roman" w:hAnsi="Times New Roman" w:cs="Times New Roman"/>
          <w:sz w:val="24"/>
          <w:szCs w:val="24"/>
        </w:rPr>
      </w:pPr>
      <w:r w:rsidRPr="00D053A9">
        <w:rPr>
          <w:rFonts w:ascii="Times New Roman" w:hAnsi="Times New Roman" w:cs="Times New Roman"/>
          <w:sz w:val="24"/>
          <w:szCs w:val="24"/>
        </w:rPr>
        <w:t>-</w:t>
      </w:r>
      <w:r w:rsidRPr="00D053A9">
        <w:rPr>
          <w:rFonts w:ascii="Times New Roman" w:hAnsi="Times New Roman" w:cs="Times New Roman"/>
          <w:sz w:val="24"/>
          <w:szCs w:val="24"/>
        </w:rPr>
        <w:tab/>
        <w:t xml:space="preserve">The impact of the extensive array of dozens of Jewish organizations, ranging from the professional, occupational and religious to the political and social, on the life of Warsaw's Jewish residents. </w:t>
      </w:r>
    </w:p>
    <w:p w14:paraId="2C6C4BF2" w14:textId="0A06A94A" w:rsidR="00F744DD" w:rsidRPr="00D053A9" w:rsidRDefault="00F744DD" w:rsidP="00ED7B6C">
      <w:pPr>
        <w:bidi w:val="0"/>
        <w:spacing w:line="240" w:lineRule="auto"/>
        <w:ind w:left="0"/>
        <w:rPr>
          <w:rFonts w:ascii="Times New Roman" w:hAnsi="Times New Roman" w:cs="Times New Roman"/>
          <w:sz w:val="24"/>
          <w:szCs w:val="24"/>
        </w:rPr>
      </w:pPr>
      <w:r w:rsidRPr="00D053A9">
        <w:rPr>
          <w:rFonts w:ascii="Times New Roman" w:hAnsi="Times New Roman" w:cs="Times New Roman"/>
          <w:sz w:val="24"/>
          <w:szCs w:val="24"/>
        </w:rPr>
        <w:t>-</w:t>
      </w:r>
      <w:r w:rsidRPr="00D053A9">
        <w:rPr>
          <w:rFonts w:ascii="Times New Roman" w:hAnsi="Times New Roman" w:cs="Times New Roman"/>
          <w:sz w:val="24"/>
          <w:szCs w:val="24"/>
        </w:rPr>
        <w:tab/>
        <w:t xml:space="preserve">The implications of the residential concentration of Warsaw's Jews next to the city's main commercial center on Polish-Jewish relations and on the daily life of the city's Jewish </w:t>
      </w:r>
      <w:r w:rsidR="0050320B" w:rsidRPr="00D053A9">
        <w:rPr>
          <w:rFonts w:ascii="Times New Roman" w:hAnsi="Times New Roman" w:cs="Times New Roman"/>
          <w:sz w:val="24"/>
          <w:szCs w:val="24"/>
        </w:rPr>
        <w:t>residents</w:t>
      </w:r>
      <w:r w:rsidRPr="00D053A9">
        <w:rPr>
          <w:rFonts w:ascii="Times New Roman" w:hAnsi="Times New Roman" w:cs="Times New Roman"/>
          <w:sz w:val="24"/>
          <w:szCs w:val="24"/>
        </w:rPr>
        <w:t xml:space="preserve">. </w:t>
      </w:r>
    </w:p>
    <w:p w14:paraId="51AA4F7D" w14:textId="77777777" w:rsidR="00F744DD" w:rsidRPr="00D053A9" w:rsidRDefault="00F744DD" w:rsidP="00D053A9">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t>-</w:t>
      </w:r>
      <w:r w:rsidRPr="00D053A9">
        <w:rPr>
          <w:rFonts w:ascii="Times New Roman" w:hAnsi="Times New Roman" w:cs="Times New Roman"/>
          <w:sz w:val="24"/>
          <w:szCs w:val="24"/>
        </w:rPr>
        <w:tab/>
        <w:t>The underworld, margins of society and criminality among Warsaw Jews.</w:t>
      </w:r>
    </w:p>
    <w:p w14:paraId="57E71EF6" w14:textId="77777777" w:rsidR="00ED7B6C" w:rsidRPr="00ED7B6C" w:rsidRDefault="00ED7B6C" w:rsidP="00ED7B6C">
      <w:pPr>
        <w:bidi w:val="0"/>
        <w:spacing w:line="360" w:lineRule="auto"/>
        <w:ind w:left="0"/>
        <w:rPr>
          <w:rFonts w:ascii="Times New Roman" w:hAnsi="Times New Roman" w:cs="Times New Roman"/>
          <w:b/>
          <w:bCs/>
          <w:sz w:val="24"/>
          <w:szCs w:val="24"/>
        </w:rPr>
      </w:pPr>
      <w:r w:rsidRPr="00ED7B6C">
        <w:rPr>
          <w:rFonts w:ascii="Times New Roman" w:hAnsi="Times New Roman" w:cs="Times New Roman"/>
          <w:b/>
          <w:bCs/>
          <w:sz w:val="24"/>
          <w:szCs w:val="24"/>
        </w:rPr>
        <w:t>Target Audience</w:t>
      </w:r>
    </w:p>
    <w:p w14:paraId="7561A6C2" w14:textId="358C06A1" w:rsidR="00F744DD" w:rsidRPr="00D053A9" w:rsidRDefault="00F744DD" w:rsidP="00ED7B6C">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lastRenderedPageBreak/>
        <w:t xml:space="preserve">Although the study on which the book is based is academic in nature the book is written so as to be accessible to the wider public, both Jewish and non-Jewish, in Israel and abroad. </w:t>
      </w:r>
      <w:r w:rsidR="008865B7" w:rsidRPr="00D053A9">
        <w:rPr>
          <w:rFonts w:asciiTheme="majorBidi" w:hAnsiTheme="majorBidi" w:cstheme="majorBidi"/>
          <w:sz w:val="24"/>
          <w:szCs w:val="24"/>
        </w:rPr>
        <w:t>This book is intended for both historians and the general public. Therefore, it will probably be purchased by academic libraries around the world together with the scholarly community researching the subject. In addition, it should be of interest to descendants of people with Polish backgrounds and anyone interested in Holocaust studies and also the interested in the lives of national minorities within the majority population.</w:t>
      </w:r>
      <w:r w:rsidR="00ED7B6C">
        <w:rPr>
          <w:rFonts w:asciiTheme="majorBidi" w:hAnsiTheme="majorBidi" w:cstheme="majorBidi"/>
          <w:sz w:val="24"/>
          <w:szCs w:val="24"/>
        </w:rPr>
        <w:t xml:space="preserve"> It will also</w:t>
      </w:r>
      <w:r w:rsidR="0050320B" w:rsidRPr="00D053A9">
        <w:rPr>
          <w:rFonts w:ascii="Times New Roman" w:hAnsi="Times New Roman" w:cs="Times New Roman"/>
          <w:sz w:val="24"/>
          <w:szCs w:val="24"/>
        </w:rPr>
        <w:t xml:space="preserve"> appeal to those interested not only in the history of inter-war Europe, particularly the lives of the Jewish community in Poland, but also those interested in urban development, demographics, and their interrelationships with social and communal organization.</w:t>
      </w:r>
    </w:p>
    <w:p w14:paraId="5844BB54" w14:textId="28A69CD4" w:rsidR="009D02E6" w:rsidRPr="00E2645C" w:rsidRDefault="00ED7B6C" w:rsidP="00D053A9">
      <w:pPr>
        <w:bidi w:val="0"/>
        <w:spacing w:line="360" w:lineRule="auto"/>
        <w:ind w:left="0"/>
        <w:rPr>
          <w:rFonts w:ascii="Times New Roman" w:hAnsi="Times New Roman" w:cs="Times New Roman"/>
          <w:b/>
          <w:bCs/>
          <w:sz w:val="24"/>
          <w:szCs w:val="24"/>
        </w:rPr>
      </w:pPr>
      <w:r w:rsidRPr="00E2645C">
        <w:rPr>
          <w:rFonts w:ascii="Times New Roman" w:hAnsi="Times New Roman" w:cs="Times New Roman"/>
          <w:b/>
          <w:bCs/>
          <w:sz w:val="24"/>
          <w:szCs w:val="24"/>
        </w:rPr>
        <w:t>Other Work in the Field</w:t>
      </w:r>
    </w:p>
    <w:p w14:paraId="7A46AD00" w14:textId="2DC02D65" w:rsidR="004C6ADD" w:rsidRPr="00D053A9" w:rsidRDefault="004C6ADD" w:rsidP="00D053A9">
      <w:pPr>
        <w:spacing w:line="360" w:lineRule="auto"/>
        <w:ind w:left="0"/>
        <w:jc w:val="right"/>
        <w:rPr>
          <w:rFonts w:asciiTheme="majorBidi" w:hAnsiTheme="majorBidi" w:cstheme="majorBidi"/>
          <w:sz w:val="24"/>
          <w:szCs w:val="24"/>
        </w:rPr>
      </w:pPr>
      <w:r w:rsidRPr="00D053A9">
        <w:rPr>
          <w:rFonts w:asciiTheme="majorBidi" w:hAnsiTheme="majorBidi" w:cstheme="majorBidi"/>
          <w:sz w:val="24"/>
          <w:szCs w:val="24"/>
        </w:rPr>
        <w:t xml:space="preserve">Despite the importance of the Jewish community in Warsaw in the inter-war period, little research has appeared in Hebrew on that center of Jewish life. Yitzhak </w:t>
      </w:r>
      <w:proofErr w:type="spellStart"/>
      <w:r w:rsidRPr="00D053A9">
        <w:rPr>
          <w:rFonts w:asciiTheme="majorBidi" w:hAnsiTheme="majorBidi" w:cstheme="majorBidi"/>
          <w:sz w:val="24"/>
          <w:szCs w:val="24"/>
        </w:rPr>
        <w:t>Gruenbaum</w:t>
      </w:r>
      <w:proofErr w:type="spellEnd"/>
      <w:r w:rsidRPr="00D053A9">
        <w:rPr>
          <w:rFonts w:asciiTheme="majorBidi" w:hAnsiTheme="majorBidi" w:cstheme="majorBidi"/>
          <w:sz w:val="24"/>
          <w:szCs w:val="24"/>
        </w:rPr>
        <w:t xml:space="preserve"> published a volume focusing on Warsaw Jewry in the context of “The Encyclopedia of the Diaspora”</w:t>
      </w:r>
      <w:r w:rsidR="00ED7B6C">
        <w:rPr>
          <w:rFonts w:asciiTheme="majorBidi" w:hAnsiTheme="majorBidi" w:cstheme="majorBidi"/>
          <w:sz w:val="24"/>
          <w:szCs w:val="24"/>
        </w:rPr>
        <w:t xml:space="preserve"> in 1953. In the 1990s, Alexander </w:t>
      </w:r>
      <w:proofErr w:type="spellStart"/>
      <w:r w:rsidR="00ED7B6C">
        <w:rPr>
          <w:rFonts w:asciiTheme="majorBidi" w:hAnsiTheme="majorBidi" w:cstheme="majorBidi"/>
          <w:sz w:val="24"/>
          <w:szCs w:val="24"/>
        </w:rPr>
        <w:t>Guterman</w:t>
      </w:r>
      <w:proofErr w:type="spellEnd"/>
      <w:r w:rsidR="00ED7B6C">
        <w:rPr>
          <w:rFonts w:asciiTheme="majorBidi" w:hAnsiTheme="majorBidi" w:cstheme="majorBidi"/>
          <w:sz w:val="24"/>
          <w:szCs w:val="24"/>
        </w:rPr>
        <w:t xml:space="preserve"> wrote a </w:t>
      </w:r>
      <w:r w:rsidRPr="00D053A9">
        <w:rPr>
          <w:rFonts w:asciiTheme="majorBidi" w:hAnsiTheme="majorBidi" w:cstheme="majorBidi"/>
          <w:sz w:val="24"/>
          <w:szCs w:val="24"/>
        </w:rPr>
        <w:t>“A History of the Jews of Warsaw”</w:t>
      </w:r>
      <w:r w:rsidR="00ED7B6C">
        <w:rPr>
          <w:rFonts w:asciiTheme="majorBidi" w:hAnsiTheme="majorBidi" w:cstheme="majorBidi"/>
          <w:sz w:val="24"/>
          <w:szCs w:val="24"/>
        </w:rPr>
        <w:t xml:space="preserve"> and</w:t>
      </w:r>
      <w:r w:rsidRPr="00D053A9">
        <w:rPr>
          <w:rFonts w:asciiTheme="majorBidi" w:hAnsiTheme="majorBidi" w:cstheme="majorBidi"/>
          <w:sz w:val="24"/>
          <w:szCs w:val="24"/>
        </w:rPr>
        <w:t xml:space="preserve"> Alexander </w:t>
      </w:r>
      <w:proofErr w:type="spellStart"/>
      <w:r w:rsidRPr="00D053A9">
        <w:rPr>
          <w:rFonts w:asciiTheme="majorBidi" w:hAnsiTheme="majorBidi" w:cstheme="majorBidi"/>
          <w:sz w:val="24"/>
          <w:szCs w:val="24"/>
        </w:rPr>
        <w:t>Guterman</w:t>
      </w:r>
      <w:proofErr w:type="spellEnd"/>
      <w:r w:rsidRPr="00D053A9">
        <w:rPr>
          <w:rFonts w:asciiTheme="majorBidi" w:hAnsiTheme="majorBidi" w:cstheme="majorBidi"/>
          <w:sz w:val="24"/>
          <w:szCs w:val="24"/>
        </w:rPr>
        <w:t xml:space="preserve"> published his research on Warsaw’s Great Synagogue on the Jewish community in Warsaw in the inter-war period</w:t>
      </w:r>
      <w:r w:rsidR="00ED7B6C">
        <w:rPr>
          <w:rFonts w:asciiTheme="majorBidi" w:hAnsiTheme="majorBidi" w:cstheme="majorBidi"/>
          <w:sz w:val="24"/>
          <w:szCs w:val="24"/>
        </w:rPr>
        <w:t xml:space="preserve">. Recently </w:t>
      </w:r>
      <w:r w:rsidRPr="00D053A9">
        <w:rPr>
          <w:rFonts w:asciiTheme="majorBidi" w:hAnsiTheme="majorBidi" w:cstheme="majorBidi"/>
          <w:sz w:val="24"/>
          <w:szCs w:val="24"/>
        </w:rPr>
        <w:t xml:space="preserve">Benny Mer’s book, </w:t>
      </w:r>
      <w:proofErr w:type="spellStart"/>
      <w:r w:rsidRPr="00D053A9">
        <w:rPr>
          <w:rFonts w:asciiTheme="majorBidi" w:hAnsiTheme="majorBidi" w:cstheme="majorBidi"/>
          <w:i/>
          <w:iCs/>
          <w:sz w:val="24"/>
          <w:szCs w:val="24"/>
        </w:rPr>
        <w:t>Smocza</w:t>
      </w:r>
      <w:proofErr w:type="spellEnd"/>
      <w:r w:rsidRPr="00D053A9">
        <w:rPr>
          <w:rFonts w:asciiTheme="majorBidi" w:hAnsiTheme="majorBidi" w:cstheme="majorBidi"/>
          <w:i/>
          <w:iCs/>
          <w:sz w:val="24"/>
          <w:szCs w:val="24"/>
        </w:rPr>
        <w:t>: Biography of a Jewish Street in Warsaw</w:t>
      </w:r>
      <w:r w:rsidRPr="00D053A9">
        <w:rPr>
          <w:rFonts w:asciiTheme="majorBidi" w:hAnsiTheme="majorBidi" w:cstheme="majorBidi"/>
          <w:sz w:val="24"/>
          <w:szCs w:val="24"/>
        </w:rPr>
        <w:t xml:space="preserve"> was published in Israel in 2018. </w:t>
      </w:r>
    </w:p>
    <w:p w14:paraId="1E85F755" w14:textId="7FAA5957" w:rsidR="004C6ADD" w:rsidRPr="00D053A9" w:rsidRDefault="004C6ADD" w:rsidP="00ED7B6C">
      <w:pPr>
        <w:spacing w:line="360" w:lineRule="auto"/>
        <w:ind w:left="0"/>
        <w:jc w:val="right"/>
        <w:rPr>
          <w:rFonts w:asciiTheme="majorBidi" w:hAnsiTheme="majorBidi" w:cstheme="majorBidi"/>
          <w:sz w:val="24"/>
          <w:szCs w:val="24"/>
        </w:rPr>
      </w:pPr>
      <w:r w:rsidRPr="00D053A9">
        <w:rPr>
          <w:rFonts w:asciiTheme="majorBidi" w:hAnsiTheme="majorBidi" w:cstheme="majorBidi"/>
          <w:sz w:val="24"/>
          <w:szCs w:val="24"/>
        </w:rPr>
        <w:t>A larger number of</w:t>
      </w:r>
      <w:r w:rsidR="00ED7B6C">
        <w:rPr>
          <w:rFonts w:asciiTheme="majorBidi" w:hAnsiTheme="majorBidi" w:cstheme="majorBidi"/>
          <w:sz w:val="24"/>
          <w:szCs w:val="24"/>
        </w:rPr>
        <w:t xml:space="preserve"> comprehensive</w:t>
      </w:r>
      <w:r w:rsidRPr="00D053A9">
        <w:rPr>
          <w:rFonts w:asciiTheme="majorBidi" w:hAnsiTheme="majorBidi" w:cstheme="majorBidi"/>
          <w:sz w:val="24"/>
          <w:szCs w:val="24"/>
        </w:rPr>
        <w:t xml:space="preserve"> studies dedicated to the Jews of Warsaw have appeared in </w:t>
      </w:r>
      <w:proofErr w:type="spellStart"/>
      <w:r w:rsidRPr="00D053A9">
        <w:rPr>
          <w:rFonts w:asciiTheme="majorBidi" w:hAnsiTheme="majorBidi" w:cstheme="majorBidi"/>
          <w:sz w:val="24"/>
          <w:szCs w:val="24"/>
        </w:rPr>
        <w:t>Polandk</w:t>
      </w:r>
      <w:proofErr w:type="spellEnd"/>
      <w:r w:rsidRPr="00D053A9">
        <w:rPr>
          <w:rFonts w:asciiTheme="majorBidi" w:hAnsiTheme="majorBidi" w:cstheme="majorBidi"/>
          <w:sz w:val="24"/>
          <w:szCs w:val="24"/>
        </w:rPr>
        <w:t xml:space="preserve"> by J. </w:t>
      </w:r>
      <w:proofErr w:type="spellStart"/>
      <w:r w:rsidRPr="00D053A9">
        <w:rPr>
          <w:rFonts w:asciiTheme="majorBidi" w:hAnsiTheme="majorBidi" w:cstheme="majorBidi"/>
          <w:sz w:val="24"/>
          <w:szCs w:val="24"/>
        </w:rPr>
        <w:t>Kasprzychi</w:t>
      </w:r>
      <w:proofErr w:type="spellEnd"/>
      <w:r w:rsidRPr="00D053A9">
        <w:rPr>
          <w:rFonts w:asciiTheme="majorBidi" w:hAnsiTheme="majorBidi" w:cstheme="majorBidi"/>
          <w:sz w:val="24"/>
          <w:szCs w:val="24"/>
        </w:rPr>
        <w:t xml:space="preserve">, </w:t>
      </w:r>
      <w:proofErr w:type="spellStart"/>
      <w:r w:rsidRPr="00D053A9">
        <w:rPr>
          <w:rFonts w:asciiTheme="majorBidi" w:hAnsiTheme="majorBidi" w:cstheme="majorBidi"/>
          <w:i/>
          <w:iCs/>
          <w:sz w:val="24"/>
          <w:szCs w:val="24"/>
        </w:rPr>
        <w:t>Zydzi</w:t>
      </w:r>
      <w:proofErr w:type="spellEnd"/>
      <w:r w:rsidRPr="00D053A9">
        <w:rPr>
          <w:rFonts w:asciiTheme="majorBidi" w:hAnsiTheme="majorBidi" w:cstheme="majorBidi"/>
          <w:i/>
          <w:iCs/>
          <w:sz w:val="24"/>
          <w:szCs w:val="24"/>
        </w:rPr>
        <w:t xml:space="preserve"> </w:t>
      </w:r>
      <w:proofErr w:type="spellStart"/>
      <w:r w:rsidRPr="00D053A9">
        <w:rPr>
          <w:rFonts w:asciiTheme="majorBidi" w:hAnsiTheme="majorBidi" w:cstheme="majorBidi"/>
          <w:i/>
          <w:iCs/>
          <w:sz w:val="24"/>
          <w:szCs w:val="24"/>
        </w:rPr>
        <w:t>Warszawy</w:t>
      </w:r>
      <w:proofErr w:type="spellEnd"/>
      <w:r w:rsidRPr="00D053A9">
        <w:rPr>
          <w:rFonts w:asciiTheme="majorBidi" w:hAnsiTheme="majorBidi" w:cstheme="majorBidi"/>
          <w:i/>
          <w:iCs/>
          <w:sz w:val="24"/>
          <w:szCs w:val="24"/>
        </w:rPr>
        <w:t>.</w:t>
      </w:r>
      <w:r w:rsidR="00ED7B6C">
        <w:rPr>
          <w:rFonts w:asciiTheme="majorBidi" w:hAnsiTheme="majorBidi" w:cstheme="majorBidi"/>
          <w:sz w:val="24"/>
          <w:szCs w:val="24"/>
        </w:rPr>
        <w:t xml:space="preserve"> </w:t>
      </w:r>
      <w:r w:rsidRPr="00D053A9">
        <w:rPr>
          <w:rFonts w:asciiTheme="majorBidi" w:hAnsiTheme="majorBidi" w:cstheme="majorBidi"/>
          <w:sz w:val="24"/>
          <w:szCs w:val="24"/>
        </w:rPr>
        <w:t xml:space="preserve">K. </w:t>
      </w:r>
      <w:proofErr w:type="spellStart"/>
      <w:r w:rsidRPr="00D053A9">
        <w:rPr>
          <w:rFonts w:asciiTheme="majorBidi" w:hAnsiTheme="majorBidi" w:cstheme="majorBidi"/>
          <w:sz w:val="24"/>
          <w:szCs w:val="24"/>
        </w:rPr>
        <w:t>Morawski</w:t>
      </w:r>
      <w:proofErr w:type="spellEnd"/>
      <w:r w:rsidR="00ED7B6C">
        <w:rPr>
          <w:rFonts w:asciiTheme="majorBidi" w:hAnsiTheme="majorBidi" w:cstheme="majorBidi"/>
          <w:sz w:val="24"/>
          <w:szCs w:val="24"/>
        </w:rPr>
        <w:t>, and</w:t>
      </w:r>
      <w:r w:rsidRPr="00D053A9">
        <w:rPr>
          <w:rFonts w:asciiTheme="majorBidi" w:hAnsiTheme="majorBidi" w:cstheme="majorBidi"/>
          <w:sz w:val="24"/>
          <w:szCs w:val="24"/>
        </w:rPr>
        <w:t xml:space="preserve"> B. Singer-</w:t>
      </w:r>
      <w:proofErr w:type="spellStart"/>
      <w:r w:rsidRPr="00D053A9">
        <w:rPr>
          <w:rFonts w:asciiTheme="majorBidi" w:hAnsiTheme="majorBidi" w:cstheme="majorBidi"/>
          <w:sz w:val="24"/>
          <w:szCs w:val="24"/>
        </w:rPr>
        <w:t>Regnis</w:t>
      </w:r>
      <w:proofErr w:type="spellEnd"/>
      <w:r w:rsidR="00ED7B6C">
        <w:rPr>
          <w:rFonts w:asciiTheme="majorBidi" w:hAnsiTheme="majorBidi" w:cstheme="majorBidi"/>
          <w:sz w:val="24"/>
          <w:szCs w:val="24"/>
        </w:rPr>
        <w:t>.</w:t>
      </w:r>
      <w:r w:rsidRPr="00D053A9">
        <w:rPr>
          <w:rFonts w:asciiTheme="majorBidi" w:hAnsiTheme="majorBidi" w:cstheme="majorBidi"/>
          <w:b/>
          <w:bCs/>
          <w:sz w:val="24"/>
          <w:szCs w:val="24"/>
        </w:rPr>
        <w:t xml:space="preserve">  </w:t>
      </w:r>
      <w:r w:rsidRPr="00D053A9">
        <w:rPr>
          <w:rFonts w:asciiTheme="majorBidi" w:hAnsiTheme="majorBidi" w:cstheme="majorBidi"/>
          <w:sz w:val="24"/>
          <w:szCs w:val="24"/>
        </w:rPr>
        <w:t>A comprehensive study of Warsaw Jewry appeared in Poland in 1996, authored by G.</w:t>
      </w:r>
      <w:r w:rsidRPr="00D053A9">
        <w:rPr>
          <w:rFonts w:asciiTheme="majorBidi" w:hAnsiTheme="majorBidi" w:cstheme="majorBidi"/>
          <w:b/>
          <w:bCs/>
          <w:sz w:val="24"/>
          <w:szCs w:val="24"/>
        </w:rPr>
        <w:t xml:space="preserve"> </w:t>
      </w:r>
      <w:proofErr w:type="spellStart"/>
      <w:r w:rsidRPr="00D053A9">
        <w:rPr>
          <w:rFonts w:asciiTheme="majorBidi" w:hAnsiTheme="majorBidi" w:cstheme="majorBidi"/>
          <w:sz w:val="24"/>
          <w:szCs w:val="24"/>
        </w:rPr>
        <w:t>Zalewska</w:t>
      </w:r>
      <w:proofErr w:type="spellEnd"/>
      <w:r w:rsidRPr="00D053A9">
        <w:rPr>
          <w:rFonts w:asciiTheme="majorBidi" w:hAnsiTheme="majorBidi" w:cstheme="majorBidi"/>
          <w:sz w:val="24"/>
          <w:szCs w:val="24"/>
        </w:rPr>
        <w:t xml:space="preserve">, </w:t>
      </w:r>
      <w:r w:rsidR="00ED7B6C">
        <w:rPr>
          <w:rFonts w:asciiTheme="majorBidi" w:hAnsiTheme="majorBidi" w:cstheme="majorBidi"/>
          <w:sz w:val="24"/>
          <w:szCs w:val="24"/>
        </w:rPr>
        <w:t>with</w:t>
      </w:r>
      <w:r w:rsidRPr="00D053A9">
        <w:rPr>
          <w:rFonts w:asciiTheme="majorBidi" w:hAnsiTheme="majorBidi" w:cstheme="majorBidi"/>
          <w:sz w:val="24"/>
          <w:szCs w:val="24"/>
        </w:rPr>
        <w:t xml:space="preserve"> an in-depth analysis based on the population census that was carried out in Poland in 1921 and 1931.</w:t>
      </w:r>
      <w:r w:rsidR="00ED7B6C">
        <w:rPr>
          <w:rFonts w:asciiTheme="majorBidi" w:hAnsiTheme="majorBidi" w:cstheme="majorBidi"/>
          <w:sz w:val="24"/>
          <w:szCs w:val="24"/>
        </w:rPr>
        <w:t xml:space="preserve"> Other works in Polish have focused </w:t>
      </w:r>
      <w:r w:rsidRPr="00D053A9">
        <w:rPr>
          <w:rFonts w:asciiTheme="majorBidi" w:hAnsiTheme="majorBidi" w:cstheme="majorBidi"/>
          <w:sz w:val="24"/>
          <w:szCs w:val="24"/>
        </w:rPr>
        <w:t xml:space="preserve">on the </w:t>
      </w:r>
      <w:r w:rsidRPr="00D053A9">
        <w:rPr>
          <w:rFonts w:asciiTheme="majorBidi" w:hAnsiTheme="majorBidi" w:cstheme="majorBidi"/>
          <w:i/>
          <w:iCs/>
          <w:sz w:val="24"/>
          <w:szCs w:val="24"/>
        </w:rPr>
        <w:t xml:space="preserve">numerus </w:t>
      </w:r>
      <w:proofErr w:type="spellStart"/>
      <w:r w:rsidRPr="00D053A9">
        <w:rPr>
          <w:rFonts w:asciiTheme="majorBidi" w:hAnsiTheme="majorBidi" w:cstheme="majorBidi"/>
          <w:i/>
          <w:iCs/>
          <w:sz w:val="24"/>
          <w:szCs w:val="24"/>
        </w:rPr>
        <w:t>clausus</w:t>
      </w:r>
      <w:proofErr w:type="spellEnd"/>
      <w:r w:rsidRPr="00D053A9">
        <w:rPr>
          <w:rFonts w:asciiTheme="majorBidi" w:hAnsiTheme="majorBidi" w:cstheme="majorBidi"/>
          <w:sz w:val="24"/>
          <w:szCs w:val="24"/>
        </w:rPr>
        <w:t xml:space="preserve"> limitations imposed on Jewish students at the University of Warsaw</w:t>
      </w:r>
      <w:r w:rsidR="00ED7B6C">
        <w:rPr>
          <w:rFonts w:asciiTheme="majorBidi" w:hAnsiTheme="majorBidi" w:cstheme="majorBidi"/>
          <w:sz w:val="24"/>
          <w:szCs w:val="24"/>
        </w:rPr>
        <w:t xml:space="preserve">, </w:t>
      </w:r>
      <w:r w:rsidRPr="00D053A9">
        <w:rPr>
          <w:rFonts w:asciiTheme="majorBidi" w:hAnsiTheme="majorBidi" w:cstheme="majorBidi"/>
          <w:sz w:val="24"/>
          <w:szCs w:val="24"/>
        </w:rPr>
        <w:t xml:space="preserve">on the history of </w:t>
      </w:r>
      <w:proofErr w:type="spellStart"/>
      <w:r w:rsidRPr="00D053A9">
        <w:rPr>
          <w:rFonts w:asciiTheme="majorBidi" w:hAnsiTheme="majorBidi" w:cstheme="majorBidi"/>
          <w:sz w:val="24"/>
          <w:szCs w:val="24"/>
        </w:rPr>
        <w:t>Nalewki</w:t>
      </w:r>
      <w:proofErr w:type="spellEnd"/>
      <w:r w:rsidRPr="00D053A9">
        <w:rPr>
          <w:rFonts w:asciiTheme="majorBidi" w:hAnsiTheme="majorBidi" w:cstheme="majorBidi"/>
          <w:sz w:val="24"/>
          <w:szCs w:val="24"/>
        </w:rPr>
        <w:t xml:space="preserve"> Street</w:t>
      </w:r>
      <w:r w:rsidR="00ED7B6C">
        <w:rPr>
          <w:rFonts w:asciiTheme="majorBidi" w:hAnsiTheme="majorBidi" w:cstheme="majorBidi"/>
          <w:sz w:val="24"/>
          <w:szCs w:val="24"/>
        </w:rPr>
        <w:t xml:space="preserve"> and on Warsaw’s synagogues. Other works include J. Hen’s description of a Jewish neighborhood and </w:t>
      </w:r>
      <w:proofErr w:type="spellStart"/>
      <w:proofErr w:type="gramStart"/>
      <w:r w:rsidRPr="00D053A9">
        <w:rPr>
          <w:rFonts w:asciiTheme="majorBidi" w:hAnsiTheme="majorBidi" w:cstheme="majorBidi"/>
          <w:sz w:val="24"/>
          <w:szCs w:val="24"/>
        </w:rPr>
        <w:t>J.Zielinski</w:t>
      </w:r>
      <w:proofErr w:type="spellEnd"/>
      <w:proofErr w:type="gramEnd"/>
      <w:r w:rsidRPr="00D053A9">
        <w:rPr>
          <w:rFonts w:asciiTheme="majorBidi" w:hAnsiTheme="majorBidi" w:cstheme="majorBidi"/>
          <w:sz w:val="24"/>
          <w:szCs w:val="24"/>
        </w:rPr>
        <w:t xml:space="preserve"> and </w:t>
      </w:r>
      <w:proofErr w:type="spellStart"/>
      <w:r w:rsidRPr="00D053A9">
        <w:rPr>
          <w:rFonts w:asciiTheme="majorBidi" w:hAnsiTheme="majorBidi" w:cstheme="majorBidi"/>
          <w:sz w:val="24"/>
          <w:szCs w:val="24"/>
        </w:rPr>
        <w:t>J.Majewski</w:t>
      </w:r>
      <w:proofErr w:type="spellEnd"/>
      <w:r w:rsidRPr="00D053A9">
        <w:rPr>
          <w:rFonts w:asciiTheme="majorBidi" w:hAnsiTheme="majorBidi" w:cstheme="majorBidi"/>
          <w:sz w:val="24"/>
          <w:szCs w:val="24"/>
        </w:rPr>
        <w:t xml:space="preserve"> </w:t>
      </w:r>
      <w:r w:rsidR="00ED7B6C">
        <w:rPr>
          <w:rFonts w:asciiTheme="majorBidi" w:hAnsiTheme="majorBidi" w:cstheme="majorBidi"/>
          <w:sz w:val="24"/>
          <w:szCs w:val="24"/>
        </w:rPr>
        <w:t>2014</w:t>
      </w:r>
      <w:r w:rsidRPr="00D053A9">
        <w:rPr>
          <w:rFonts w:asciiTheme="majorBidi" w:hAnsiTheme="majorBidi" w:cstheme="majorBidi"/>
          <w:sz w:val="24"/>
          <w:szCs w:val="24"/>
        </w:rPr>
        <w:t xml:space="preserve"> a “Guide to Jewish Warsaw,” and J. </w:t>
      </w:r>
      <w:proofErr w:type="spellStart"/>
      <w:r w:rsidRPr="00D053A9">
        <w:rPr>
          <w:rFonts w:asciiTheme="majorBidi" w:hAnsiTheme="majorBidi" w:cstheme="majorBidi"/>
          <w:sz w:val="24"/>
          <w:szCs w:val="24"/>
        </w:rPr>
        <w:t>Leociak’s</w:t>
      </w:r>
      <w:proofErr w:type="spellEnd"/>
      <w:r w:rsidR="00E2645C">
        <w:rPr>
          <w:rFonts w:asciiTheme="majorBidi" w:hAnsiTheme="majorBidi" w:cstheme="majorBidi"/>
          <w:sz w:val="24"/>
          <w:szCs w:val="24"/>
        </w:rPr>
        <w:t xml:space="preserve"> 2017</w:t>
      </w:r>
      <w:r w:rsidRPr="00D053A9">
        <w:rPr>
          <w:rFonts w:asciiTheme="majorBidi" w:hAnsiTheme="majorBidi" w:cstheme="majorBidi"/>
          <w:sz w:val="24"/>
          <w:szCs w:val="24"/>
        </w:rPr>
        <w:t xml:space="preserve"> “Biography of Jewish streets in Warsaw</w:t>
      </w:r>
      <w:r w:rsidR="00E2645C">
        <w:rPr>
          <w:rFonts w:asciiTheme="majorBidi" w:hAnsiTheme="majorBidi" w:cstheme="majorBidi"/>
          <w:sz w:val="24"/>
          <w:szCs w:val="24"/>
        </w:rPr>
        <w:t>.</w:t>
      </w:r>
      <w:r w:rsidRPr="00D053A9">
        <w:rPr>
          <w:rFonts w:asciiTheme="majorBidi" w:hAnsiTheme="majorBidi" w:cstheme="majorBidi"/>
          <w:sz w:val="24"/>
          <w:szCs w:val="24"/>
        </w:rPr>
        <w:t xml:space="preserve">” </w:t>
      </w:r>
    </w:p>
    <w:p w14:paraId="146E2763" w14:textId="77777777" w:rsidR="004C6ADD" w:rsidRPr="00D053A9" w:rsidRDefault="004C6ADD" w:rsidP="00D053A9">
      <w:pPr>
        <w:spacing w:line="360" w:lineRule="auto"/>
        <w:ind w:left="0"/>
        <w:jc w:val="right"/>
        <w:rPr>
          <w:rFonts w:asciiTheme="majorBidi" w:hAnsiTheme="majorBidi" w:cstheme="majorBidi"/>
          <w:sz w:val="24"/>
          <w:szCs w:val="24"/>
        </w:rPr>
      </w:pPr>
      <w:r w:rsidRPr="00D053A9">
        <w:rPr>
          <w:rFonts w:asciiTheme="majorBidi" w:hAnsiTheme="majorBidi" w:cstheme="majorBidi"/>
          <w:sz w:val="24"/>
          <w:szCs w:val="24"/>
        </w:rPr>
        <w:t xml:space="preserve">In 2015, Gershon Bacon published an article in English whose focus was the Warsaw rabbinate in the inter-war period, which appeared in a </w:t>
      </w:r>
      <w:r w:rsidRPr="00D053A9">
        <w:rPr>
          <w:rFonts w:asciiTheme="majorBidi" w:hAnsiTheme="majorBidi" w:cstheme="majorBidi"/>
          <w:i/>
          <w:iCs/>
          <w:sz w:val="24"/>
          <w:szCs w:val="24"/>
        </w:rPr>
        <w:t>festschrift,</w:t>
      </w:r>
      <w:r w:rsidRPr="00D053A9">
        <w:rPr>
          <w:rFonts w:asciiTheme="majorBidi" w:hAnsiTheme="majorBidi" w:cstheme="majorBidi"/>
          <w:sz w:val="24"/>
          <w:szCs w:val="24"/>
        </w:rPr>
        <w:t xml:space="preserve"> “Warsaw. The </w:t>
      </w:r>
      <w:r w:rsidRPr="00D053A9">
        <w:rPr>
          <w:rFonts w:asciiTheme="majorBidi" w:hAnsiTheme="majorBidi" w:cstheme="majorBidi"/>
          <w:sz w:val="24"/>
          <w:szCs w:val="24"/>
        </w:rPr>
        <w:lastRenderedPageBreak/>
        <w:t xml:space="preserve">Jewish Metropolis,” edited by Glenn </w:t>
      </w:r>
      <w:proofErr w:type="spellStart"/>
      <w:r w:rsidRPr="00D053A9">
        <w:rPr>
          <w:rFonts w:asciiTheme="majorBidi" w:hAnsiTheme="majorBidi" w:cstheme="majorBidi"/>
          <w:sz w:val="24"/>
          <w:szCs w:val="24"/>
        </w:rPr>
        <w:t>Dynner</w:t>
      </w:r>
      <w:proofErr w:type="spellEnd"/>
      <w:r w:rsidRPr="00D053A9">
        <w:rPr>
          <w:rFonts w:asciiTheme="majorBidi" w:hAnsiTheme="majorBidi" w:cstheme="majorBidi"/>
          <w:sz w:val="24"/>
          <w:szCs w:val="24"/>
        </w:rPr>
        <w:t xml:space="preserve"> and François </w:t>
      </w:r>
      <w:proofErr w:type="spellStart"/>
      <w:r w:rsidRPr="00D053A9">
        <w:rPr>
          <w:rFonts w:asciiTheme="majorBidi" w:hAnsiTheme="majorBidi" w:cstheme="majorBidi"/>
          <w:sz w:val="24"/>
          <w:szCs w:val="24"/>
        </w:rPr>
        <w:t>Guesnet</w:t>
      </w:r>
      <w:proofErr w:type="spellEnd"/>
      <w:r w:rsidRPr="00D053A9">
        <w:rPr>
          <w:rFonts w:asciiTheme="majorBidi" w:hAnsiTheme="majorBidi" w:cstheme="majorBidi"/>
          <w:sz w:val="24"/>
          <w:szCs w:val="24"/>
        </w:rPr>
        <w:t xml:space="preserve"> in honor of Antony Polonsky’s 75</w:t>
      </w:r>
      <w:r w:rsidRPr="00D053A9">
        <w:rPr>
          <w:rFonts w:asciiTheme="majorBidi" w:hAnsiTheme="majorBidi" w:cstheme="majorBidi"/>
          <w:sz w:val="24"/>
          <w:szCs w:val="24"/>
          <w:vertAlign w:val="superscript"/>
        </w:rPr>
        <w:t>th</w:t>
      </w:r>
      <w:r w:rsidRPr="00D053A9">
        <w:rPr>
          <w:rFonts w:asciiTheme="majorBidi" w:hAnsiTheme="majorBidi" w:cstheme="majorBidi"/>
          <w:sz w:val="24"/>
          <w:szCs w:val="24"/>
        </w:rPr>
        <w:t xml:space="preserve"> birthday. This collection of essays also included an article by Kenneth B. Moss entitled “Negotiating Jewish Nationalism in Interwar Warsaw.” </w:t>
      </w:r>
    </w:p>
    <w:p w14:paraId="60E9BA95" w14:textId="77777777" w:rsidR="004C6ADD" w:rsidRPr="00D053A9" w:rsidRDefault="004C6ADD" w:rsidP="00D053A9">
      <w:pPr>
        <w:spacing w:line="360" w:lineRule="auto"/>
        <w:ind w:left="0"/>
        <w:jc w:val="right"/>
        <w:rPr>
          <w:rFonts w:asciiTheme="majorBidi" w:hAnsiTheme="majorBidi" w:cstheme="majorBidi"/>
          <w:sz w:val="24"/>
          <w:szCs w:val="24"/>
        </w:rPr>
      </w:pPr>
      <w:r w:rsidRPr="00D053A9">
        <w:rPr>
          <w:rFonts w:asciiTheme="majorBidi" w:hAnsiTheme="majorBidi" w:cstheme="majorBidi"/>
          <w:sz w:val="24"/>
          <w:szCs w:val="24"/>
        </w:rPr>
        <w:t xml:space="preserve">We also find chapters devoted to the Jews of Warsaw and the Jewish neighborhoods in the city in many general publications, both those dealing with the whole of Polish Jewry and those dealing with the general population of Warsaw. For example, the geographical guide by </w:t>
      </w:r>
      <w:proofErr w:type="spellStart"/>
      <w:r w:rsidRPr="00D053A9">
        <w:rPr>
          <w:rFonts w:asciiTheme="majorBidi" w:hAnsiTheme="majorBidi" w:cstheme="majorBidi"/>
          <w:sz w:val="24"/>
          <w:szCs w:val="24"/>
        </w:rPr>
        <w:t>Orlowicz</w:t>
      </w:r>
      <w:proofErr w:type="spellEnd"/>
      <w:r w:rsidRPr="00D053A9">
        <w:rPr>
          <w:rFonts w:asciiTheme="majorBidi" w:hAnsiTheme="majorBidi" w:cstheme="majorBidi"/>
          <w:sz w:val="24"/>
          <w:szCs w:val="24"/>
        </w:rPr>
        <w:t xml:space="preserve"> (1922) that describes the city, includes a chapter on the Jewish neighborhoods. Other examples include: </w:t>
      </w:r>
      <w:proofErr w:type="spellStart"/>
      <w:r w:rsidRPr="00D053A9">
        <w:rPr>
          <w:rFonts w:asciiTheme="majorBidi" w:hAnsiTheme="majorBidi" w:cstheme="majorBidi"/>
          <w:sz w:val="24"/>
          <w:szCs w:val="24"/>
        </w:rPr>
        <w:t>S.</w:t>
      </w:r>
      <w:proofErr w:type="gramStart"/>
      <w:r w:rsidRPr="00D053A9">
        <w:rPr>
          <w:rFonts w:asciiTheme="majorBidi" w:hAnsiTheme="majorBidi" w:cstheme="majorBidi"/>
          <w:sz w:val="24"/>
          <w:szCs w:val="24"/>
        </w:rPr>
        <w:t>R.Dobrowolski</w:t>
      </w:r>
      <w:proofErr w:type="gramEnd"/>
      <w:r w:rsidRPr="00D053A9">
        <w:rPr>
          <w:rFonts w:asciiTheme="majorBidi" w:hAnsiTheme="majorBidi" w:cstheme="majorBidi"/>
          <w:sz w:val="24"/>
          <w:szCs w:val="24"/>
        </w:rPr>
        <w:t>-M.Berman’s</w:t>
      </w:r>
      <w:proofErr w:type="spellEnd"/>
      <w:r w:rsidRPr="00D053A9">
        <w:rPr>
          <w:rFonts w:asciiTheme="majorBidi" w:hAnsiTheme="majorBidi" w:cstheme="majorBidi"/>
          <w:sz w:val="24"/>
          <w:szCs w:val="24"/>
        </w:rPr>
        <w:t xml:space="preserve"> </w:t>
      </w:r>
      <w:proofErr w:type="spellStart"/>
      <w:r w:rsidRPr="00D053A9">
        <w:rPr>
          <w:rFonts w:asciiTheme="majorBidi" w:hAnsiTheme="majorBidi" w:cstheme="majorBidi"/>
          <w:i/>
          <w:iCs/>
          <w:sz w:val="24"/>
          <w:szCs w:val="24"/>
        </w:rPr>
        <w:t>Bruki</w:t>
      </w:r>
      <w:proofErr w:type="spellEnd"/>
      <w:r w:rsidRPr="00D053A9">
        <w:rPr>
          <w:rFonts w:asciiTheme="majorBidi" w:hAnsiTheme="majorBidi" w:cstheme="majorBidi"/>
          <w:i/>
          <w:iCs/>
          <w:sz w:val="24"/>
          <w:szCs w:val="24"/>
          <w:rtl/>
        </w:rPr>
        <w:t xml:space="preserve"> </w:t>
      </w:r>
      <w:proofErr w:type="spellStart"/>
      <w:r w:rsidRPr="00D053A9">
        <w:rPr>
          <w:rFonts w:asciiTheme="majorBidi" w:hAnsiTheme="majorBidi" w:cstheme="majorBidi"/>
          <w:i/>
          <w:iCs/>
          <w:sz w:val="24"/>
          <w:szCs w:val="24"/>
        </w:rPr>
        <w:t>Warszawy</w:t>
      </w:r>
      <w:proofErr w:type="spellEnd"/>
      <w:r w:rsidRPr="00D053A9">
        <w:rPr>
          <w:rFonts w:asciiTheme="majorBidi" w:hAnsiTheme="majorBidi" w:cstheme="majorBidi"/>
          <w:sz w:val="24"/>
          <w:szCs w:val="24"/>
        </w:rPr>
        <w:t xml:space="preserve"> published in 1964, </w:t>
      </w:r>
      <w:proofErr w:type="spellStart"/>
      <w:r w:rsidRPr="00D053A9">
        <w:rPr>
          <w:rFonts w:asciiTheme="majorBidi" w:hAnsiTheme="majorBidi" w:cstheme="majorBidi"/>
          <w:sz w:val="24"/>
          <w:szCs w:val="24"/>
        </w:rPr>
        <w:t>B.Poznanska’s</w:t>
      </w:r>
      <w:proofErr w:type="spellEnd"/>
      <w:r w:rsidRPr="00D053A9">
        <w:rPr>
          <w:rFonts w:asciiTheme="majorBidi" w:hAnsiTheme="majorBidi" w:cstheme="majorBidi"/>
          <w:sz w:val="24"/>
          <w:szCs w:val="24"/>
        </w:rPr>
        <w:t xml:space="preserve"> 1993 book on the Warsaw bourgeoisie,</w:t>
      </w:r>
      <w:r w:rsidRPr="00D053A9">
        <w:rPr>
          <w:rFonts w:asciiTheme="majorBidi" w:hAnsiTheme="majorBidi" w:cstheme="majorBidi"/>
          <w:b/>
          <w:bCs/>
          <w:sz w:val="24"/>
          <w:szCs w:val="24"/>
        </w:rPr>
        <w:t xml:space="preserve"> </w:t>
      </w:r>
      <w:proofErr w:type="spellStart"/>
      <w:r w:rsidRPr="00D053A9">
        <w:rPr>
          <w:rFonts w:asciiTheme="majorBidi" w:hAnsiTheme="majorBidi" w:cstheme="majorBidi"/>
          <w:sz w:val="24"/>
          <w:szCs w:val="24"/>
        </w:rPr>
        <w:t>M.Drozdowski’s</w:t>
      </w:r>
      <w:proofErr w:type="spellEnd"/>
      <w:r w:rsidRPr="00D053A9">
        <w:rPr>
          <w:rFonts w:asciiTheme="majorBidi" w:hAnsiTheme="majorBidi" w:cstheme="majorBidi"/>
          <w:sz w:val="24"/>
          <w:szCs w:val="24"/>
        </w:rPr>
        <w:t xml:space="preserve"> books on inter-war Warsaw (1973, 1976, 1968, 1990), M. </w:t>
      </w:r>
      <w:proofErr w:type="spellStart"/>
      <w:r w:rsidRPr="00D053A9">
        <w:rPr>
          <w:rFonts w:asciiTheme="majorBidi" w:hAnsiTheme="majorBidi" w:cstheme="majorBidi"/>
          <w:sz w:val="24"/>
          <w:szCs w:val="24"/>
        </w:rPr>
        <w:t>Barbasiewicz’s</w:t>
      </w:r>
      <w:proofErr w:type="spellEnd"/>
      <w:r w:rsidRPr="00D053A9">
        <w:rPr>
          <w:rFonts w:asciiTheme="majorBidi" w:hAnsiTheme="majorBidi" w:cstheme="majorBidi"/>
          <w:sz w:val="24"/>
          <w:szCs w:val="24"/>
        </w:rPr>
        <w:t xml:space="preserve"> </w:t>
      </w:r>
      <w:r w:rsidRPr="00D053A9">
        <w:rPr>
          <w:rFonts w:asciiTheme="majorBidi" w:hAnsiTheme="majorBidi" w:cstheme="majorBidi"/>
          <w:i/>
          <w:iCs/>
          <w:sz w:val="24"/>
          <w:szCs w:val="24"/>
        </w:rPr>
        <w:t xml:space="preserve">Warszawa. </w:t>
      </w:r>
      <w:proofErr w:type="spellStart"/>
      <w:r w:rsidRPr="00D053A9">
        <w:rPr>
          <w:rFonts w:asciiTheme="majorBidi" w:hAnsiTheme="majorBidi" w:cstheme="majorBidi"/>
          <w:i/>
          <w:iCs/>
          <w:sz w:val="24"/>
          <w:szCs w:val="24"/>
        </w:rPr>
        <w:t>Perła</w:t>
      </w:r>
      <w:proofErr w:type="spellEnd"/>
      <w:r w:rsidRPr="00D053A9">
        <w:rPr>
          <w:rFonts w:asciiTheme="majorBidi" w:hAnsiTheme="majorBidi" w:cstheme="majorBidi"/>
          <w:i/>
          <w:iCs/>
          <w:sz w:val="24"/>
          <w:szCs w:val="24"/>
        </w:rPr>
        <w:t xml:space="preserve"> </w:t>
      </w:r>
      <w:proofErr w:type="spellStart"/>
      <w:r w:rsidRPr="00D053A9">
        <w:rPr>
          <w:rFonts w:asciiTheme="majorBidi" w:hAnsiTheme="majorBidi" w:cstheme="majorBidi"/>
          <w:i/>
          <w:iCs/>
          <w:sz w:val="24"/>
          <w:szCs w:val="24"/>
        </w:rPr>
        <w:t>Północy</w:t>
      </w:r>
      <w:proofErr w:type="spellEnd"/>
      <w:r w:rsidRPr="00D053A9">
        <w:rPr>
          <w:rFonts w:asciiTheme="majorBidi" w:hAnsiTheme="majorBidi" w:cstheme="majorBidi"/>
          <w:sz w:val="24"/>
          <w:szCs w:val="24"/>
        </w:rPr>
        <w:t xml:space="preserve"> published in 2014, among others.</w:t>
      </w:r>
    </w:p>
    <w:p w14:paraId="01A7DA1F" w14:textId="51643A3F" w:rsidR="004C6ADD" w:rsidRPr="00D053A9" w:rsidRDefault="004C6ADD" w:rsidP="00D053A9">
      <w:pPr>
        <w:spacing w:line="360" w:lineRule="auto"/>
        <w:ind w:left="0"/>
        <w:jc w:val="right"/>
        <w:rPr>
          <w:rFonts w:asciiTheme="majorBidi" w:hAnsiTheme="majorBidi" w:cstheme="majorBidi"/>
          <w:sz w:val="24"/>
          <w:szCs w:val="24"/>
        </w:rPr>
      </w:pPr>
      <w:r w:rsidRPr="00D053A9">
        <w:rPr>
          <w:rFonts w:asciiTheme="majorBidi" w:hAnsiTheme="majorBidi" w:cstheme="majorBidi"/>
          <w:sz w:val="24"/>
          <w:szCs w:val="24"/>
        </w:rPr>
        <w:t xml:space="preserve">The scholarly literature written by Jewish academics </w:t>
      </w:r>
      <w:r>
        <w:rPr>
          <w:rFonts w:asciiTheme="majorBidi" w:hAnsiTheme="majorBidi" w:cstheme="majorBidi"/>
          <w:sz w:val="24"/>
          <w:szCs w:val="24"/>
        </w:rPr>
        <w:t xml:space="preserve">has </w:t>
      </w:r>
      <w:r w:rsidRPr="00D053A9">
        <w:rPr>
          <w:rFonts w:asciiTheme="majorBidi" w:hAnsiTheme="majorBidi" w:cstheme="majorBidi"/>
          <w:sz w:val="24"/>
          <w:szCs w:val="24"/>
        </w:rPr>
        <w:t>dealt with the internal politics of the Jewish street, the crystallization of Jewish nationalism, community institutions, the Jewish press and literature, the ultra-Orthodox currents operating in Warsaw, assimilation and acculturation, all of this concentrating almost exclusively on the Jewish aspect of these issues. Other works – almost all of them by Polish scholars – dealt with the Jews of Warsaw inter alia,</w:t>
      </w:r>
      <w:r w:rsidRPr="00D053A9">
        <w:rPr>
          <w:rFonts w:asciiTheme="majorBidi" w:hAnsiTheme="majorBidi" w:cstheme="majorBidi"/>
          <w:b/>
          <w:bCs/>
          <w:sz w:val="24"/>
          <w:szCs w:val="24"/>
        </w:rPr>
        <w:t xml:space="preserve"> </w:t>
      </w:r>
      <w:r w:rsidRPr="00D053A9">
        <w:rPr>
          <w:rFonts w:asciiTheme="majorBidi" w:hAnsiTheme="majorBidi" w:cstheme="majorBidi"/>
          <w:sz w:val="24"/>
          <w:szCs w:val="24"/>
        </w:rPr>
        <w:t xml:space="preserve">while exploring the entire city. Ezra Mendelsohn and Antony Polonsky have noted that the historiography of Jewish Warsaw written by Jewish scholars was largely ethnocentric and ignored the Polish, non-Jewish context. </w:t>
      </w:r>
      <w:r w:rsidR="00E2645C">
        <w:rPr>
          <w:rFonts w:asciiTheme="majorBidi" w:hAnsiTheme="majorBidi" w:cstheme="majorBidi"/>
          <w:sz w:val="24"/>
          <w:szCs w:val="24"/>
        </w:rPr>
        <w:t>However, none of these works has examined the details of the make-up and demographics of the city together with the daily life of the Jews.</w:t>
      </w:r>
    </w:p>
    <w:p w14:paraId="1A2C7804" w14:textId="77777777" w:rsidR="00E2645C" w:rsidRPr="00E2645C" w:rsidRDefault="00E2645C" w:rsidP="00D053A9">
      <w:pPr>
        <w:bidi w:val="0"/>
        <w:spacing w:line="360" w:lineRule="auto"/>
        <w:ind w:left="0"/>
        <w:rPr>
          <w:rFonts w:ascii="Times New Roman" w:hAnsi="Times New Roman" w:cs="Times New Roman"/>
          <w:b/>
          <w:bCs/>
          <w:sz w:val="24"/>
          <w:szCs w:val="24"/>
        </w:rPr>
      </w:pPr>
      <w:r w:rsidRPr="00E2645C">
        <w:rPr>
          <w:rFonts w:ascii="Times New Roman" w:hAnsi="Times New Roman" w:cs="Times New Roman"/>
          <w:b/>
          <w:bCs/>
          <w:sz w:val="24"/>
          <w:szCs w:val="24"/>
        </w:rPr>
        <w:t>Materials</w:t>
      </w:r>
    </w:p>
    <w:p w14:paraId="77AA555F" w14:textId="68F500CC" w:rsidR="009D02E6" w:rsidRDefault="009D02E6" w:rsidP="00E2645C">
      <w:pPr>
        <w:bidi w:val="0"/>
        <w:spacing w:line="360" w:lineRule="auto"/>
        <w:ind w:left="0"/>
        <w:rPr>
          <w:rFonts w:ascii="Times New Roman" w:hAnsi="Times New Roman" w:cs="Times New Roman"/>
          <w:sz w:val="24"/>
          <w:szCs w:val="24"/>
        </w:rPr>
      </w:pPr>
      <w:r w:rsidRPr="00D053A9">
        <w:rPr>
          <w:rFonts w:ascii="Times New Roman" w:hAnsi="Times New Roman" w:cs="Times New Roman"/>
          <w:sz w:val="24"/>
          <w:szCs w:val="24"/>
        </w:rPr>
        <w:t>Attached please find the book’s Table of Contents, excerpts from two of its chapters: one chapter based on demographic research, and the second chapter drawing the larger social and cultural conclusions based on this data.</w:t>
      </w:r>
    </w:p>
    <w:p w14:paraId="2C8A4A8B" w14:textId="505A7510" w:rsidR="004C6ADD" w:rsidRDefault="004C6ADD" w:rsidP="00D053A9">
      <w:pPr>
        <w:bidi w:val="0"/>
        <w:spacing w:line="360" w:lineRule="auto"/>
        <w:ind w:left="0"/>
        <w:rPr>
          <w:rFonts w:ascii="Times New Roman" w:hAnsi="Times New Roman" w:cs="Times New Roman"/>
          <w:sz w:val="24"/>
          <w:szCs w:val="24"/>
        </w:rPr>
      </w:pPr>
    </w:p>
    <w:p w14:paraId="3949B3FD" w14:textId="77777777" w:rsidR="004C6ADD" w:rsidRPr="00D053A9" w:rsidRDefault="004C6ADD" w:rsidP="00D053A9">
      <w:pPr>
        <w:bidi w:val="0"/>
        <w:spacing w:line="360" w:lineRule="auto"/>
        <w:ind w:left="0"/>
        <w:rPr>
          <w:rFonts w:ascii="Times New Roman" w:hAnsi="Times New Roman" w:cs="Times New Roman"/>
          <w:sz w:val="24"/>
          <w:szCs w:val="24"/>
        </w:rPr>
      </w:pPr>
    </w:p>
    <w:p w14:paraId="55CC4B85" w14:textId="77777777" w:rsidR="001B3C2C" w:rsidRPr="00D053A9" w:rsidRDefault="001B3C2C" w:rsidP="00D053A9">
      <w:pPr>
        <w:spacing w:line="360" w:lineRule="auto"/>
        <w:ind w:left="0"/>
        <w:rPr>
          <w:rFonts w:ascii="Times New Roman" w:hAnsi="Times New Roman" w:cs="Times New Roman"/>
          <w:sz w:val="24"/>
          <w:szCs w:val="24"/>
        </w:rPr>
      </w:pPr>
    </w:p>
    <w:sectPr w:rsidR="001B3C2C" w:rsidRPr="00D053A9" w:rsidSect="00B73DF6">
      <w:pgSz w:w="11906" w:h="16838"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C1DFC" w14:textId="77777777" w:rsidR="00530AC7" w:rsidRDefault="00530AC7" w:rsidP="00F744DD">
      <w:pPr>
        <w:spacing w:after="0" w:line="240" w:lineRule="auto"/>
      </w:pPr>
      <w:r>
        <w:separator/>
      </w:r>
    </w:p>
  </w:endnote>
  <w:endnote w:type="continuationSeparator" w:id="0">
    <w:p w14:paraId="0C220E03" w14:textId="77777777" w:rsidR="00530AC7" w:rsidRDefault="00530AC7" w:rsidP="00F7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5AAA" w14:textId="77777777" w:rsidR="00530AC7" w:rsidRDefault="00530AC7" w:rsidP="00F744DD">
      <w:pPr>
        <w:spacing w:after="0" w:line="240" w:lineRule="auto"/>
      </w:pPr>
      <w:r>
        <w:separator/>
      </w:r>
    </w:p>
  </w:footnote>
  <w:footnote w:type="continuationSeparator" w:id="0">
    <w:p w14:paraId="53D9A712" w14:textId="77777777" w:rsidR="00530AC7" w:rsidRDefault="00530AC7" w:rsidP="00F744DD">
      <w:pPr>
        <w:spacing w:after="0" w:line="240" w:lineRule="auto"/>
      </w:pPr>
      <w:r>
        <w:continuationSeparator/>
      </w:r>
    </w:p>
  </w:footnote>
  <w:footnote w:id="1">
    <w:p w14:paraId="3E475F7B" w14:textId="5D3D2D7C" w:rsidR="00F744DD" w:rsidRPr="00D053A9" w:rsidRDefault="00F744DD" w:rsidP="00F744DD">
      <w:pPr>
        <w:pStyle w:val="FootnoteText"/>
        <w:bidi w:val="0"/>
        <w:rPr>
          <w:rFonts w:asciiTheme="majorBidi" w:hAnsiTheme="majorBidi" w:cstheme="majorBidi"/>
        </w:rPr>
      </w:pPr>
      <w:r w:rsidRPr="00D053A9">
        <w:rPr>
          <w:rStyle w:val="FootnoteReference"/>
          <w:rFonts w:asciiTheme="majorBidi" w:hAnsiTheme="majorBidi" w:cstheme="majorBidi"/>
        </w:rPr>
        <w:footnoteRef/>
      </w:r>
      <w:r w:rsidRPr="00D053A9">
        <w:rPr>
          <w:rFonts w:asciiTheme="majorBidi" w:hAnsiTheme="majorBidi" w:cstheme="majorBidi"/>
          <w:rtl/>
        </w:rPr>
        <w:t xml:space="preserve"> </w:t>
      </w:r>
      <w:r w:rsidRPr="00D053A9">
        <w:rPr>
          <w:rFonts w:asciiTheme="majorBidi" w:hAnsiTheme="majorBidi" w:cstheme="majorBidi"/>
        </w:rPr>
        <w:t xml:space="preserve"> At the time, nearly 2 million Jews resided in </w:t>
      </w:r>
      <w:r w:rsidR="00F66217">
        <w:rPr>
          <w:rFonts w:asciiTheme="majorBidi" w:hAnsiTheme="majorBidi" w:cstheme="majorBidi"/>
        </w:rPr>
        <w:t>New York City</w:t>
      </w:r>
      <w:r w:rsidRPr="00D053A9">
        <w:rPr>
          <w:rFonts w:asciiTheme="majorBidi" w:hAnsiTheme="majorBidi" w:cstheme="majorBidi"/>
        </w:rPr>
        <w:t>, while the population of Palestine numbered only 175,000 Jews.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03"/>
    <w:rsid w:val="001B3C2C"/>
    <w:rsid w:val="003F0A14"/>
    <w:rsid w:val="004318B7"/>
    <w:rsid w:val="004C6ADD"/>
    <w:rsid w:val="0050320B"/>
    <w:rsid w:val="00503A4B"/>
    <w:rsid w:val="00530AC7"/>
    <w:rsid w:val="006C7950"/>
    <w:rsid w:val="00716D17"/>
    <w:rsid w:val="00797903"/>
    <w:rsid w:val="008865B7"/>
    <w:rsid w:val="009D02E6"/>
    <w:rsid w:val="00C20B38"/>
    <w:rsid w:val="00CA5549"/>
    <w:rsid w:val="00D053A9"/>
    <w:rsid w:val="00DD19E2"/>
    <w:rsid w:val="00E2645C"/>
    <w:rsid w:val="00E87152"/>
    <w:rsid w:val="00ED7B6C"/>
    <w:rsid w:val="00F66217"/>
    <w:rsid w:val="00F74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0F80"/>
  <w15:chartTrackingRefBased/>
  <w15:docId w15:val="{621AF728-FFFB-4A36-8E27-DDA7A79F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4DD"/>
    <w:pPr>
      <w:bidi/>
      <w:spacing w:after="200" w:line="276" w:lineRule="auto"/>
      <w:ind w:left="357"/>
    </w:pPr>
    <w:rPr>
      <w:rFonts w:ascii="Calibri" w:eastAsia="Calibri" w:hAnsi="Calibri" w:cs="Arial"/>
    </w:rPr>
  </w:style>
  <w:style w:type="paragraph" w:styleId="Heading2">
    <w:name w:val="heading 2"/>
    <w:basedOn w:val="Normal"/>
    <w:link w:val="Heading2Char"/>
    <w:uiPriority w:val="9"/>
    <w:qFormat/>
    <w:rsid w:val="00503A4B"/>
    <w:pPr>
      <w:bidi w:val="0"/>
      <w:spacing w:before="100" w:beforeAutospacing="1" w:after="100" w:afterAutospacing="1" w:line="240" w:lineRule="auto"/>
      <w:ind w:left="0"/>
      <w:outlineLvl w:val="1"/>
    </w:pPr>
    <w:rPr>
      <w:rFonts w:ascii="Times New Roman" w:eastAsiaTheme="minorHAnsi" w:hAnsi="Times New Roman" w:cs="Times New Roman"/>
      <w:b/>
      <w:bCs/>
      <w:sz w:val="36"/>
      <w:szCs w:val="36"/>
    </w:rPr>
  </w:style>
  <w:style w:type="paragraph" w:styleId="Heading3">
    <w:name w:val="heading 3"/>
    <w:basedOn w:val="Normal"/>
    <w:next w:val="Normal"/>
    <w:link w:val="Heading3Char"/>
    <w:uiPriority w:val="9"/>
    <w:semiHidden/>
    <w:unhideWhenUsed/>
    <w:qFormat/>
    <w:rsid w:val="00503A4B"/>
    <w:pPr>
      <w:keepNext/>
      <w:spacing w:before="240" w:after="60" w:line="259" w:lineRule="auto"/>
      <w:ind w:left="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503A4B"/>
    <w:pPr>
      <w:keepNext/>
      <w:spacing w:before="240" w:after="60" w:line="259" w:lineRule="auto"/>
      <w:ind w:left="0"/>
      <w:outlineLvl w:val="3"/>
    </w:pPr>
    <w:rPr>
      <w:rFonts w:asciiTheme="minorHAnsi" w:eastAsia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A4B"/>
    <w:rPr>
      <w:rFonts w:ascii="Times New Roman" w:hAnsi="Times New Roman"/>
      <w:b/>
      <w:bCs/>
      <w:sz w:val="36"/>
      <w:szCs w:val="36"/>
    </w:rPr>
  </w:style>
  <w:style w:type="character" w:customStyle="1" w:styleId="Heading3Char">
    <w:name w:val="Heading 3 Char"/>
    <w:basedOn w:val="DefaultParagraphFont"/>
    <w:link w:val="Heading3"/>
    <w:uiPriority w:val="9"/>
    <w:semiHidden/>
    <w:rsid w:val="00503A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03A4B"/>
    <w:rPr>
      <w:rFonts w:cs="Arial"/>
      <w:b/>
      <w:bCs/>
      <w:sz w:val="28"/>
      <w:szCs w:val="28"/>
    </w:rPr>
  </w:style>
  <w:style w:type="paragraph" w:styleId="NoSpacing">
    <w:name w:val="No Spacing"/>
    <w:uiPriority w:val="1"/>
    <w:qFormat/>
    <w:rsid w:val="00503A4B"/>
    <w:pPr>
      <w:bidi/>
      <w:spacing w:after="0" w:line="240" w:lineRule="auto"/>
    </w:pPr>
    <w:rPr>
      <w:rFonts w:cs="Arial"/>
    </w:rPr>
  </w:style>
  <w:style w:type="paragraph" w:styleId="ListParagraph">
    <w:name w:val="List Paragraph"/>
    <w:basedOn w:val="Normal"/>
    <w:uiPriority w:val="34"/>
    <w:qFormat/>
    <w:rsid w:val="00503A4B"/>
    <w:pPr>
      <w:ind w:left="720"/>
      <w:contextualSpacing/>
    </w:pPr>
    <w:rPr>
      <w:rFonts w:eastAsiaTheme="minorHAnsi"/>
    </w:rPr>
  </w:style>
  <w:style w:type="character" w:styleId="Hyperlink">
    <w:name w:val="Hyperlink"/>
    <w:uiPriority w:val="99"/>
    <w:unhideWhenUsed/>
    <w:rsid w:val="00F744DD"/>
    <w:rPr>
      <w:color w:val="0000FF"/>
      <w:u w:val="single"/>
    </w:rPr>
  </w:style>
  <w:style w:type="paragraph" w:styleId="FootnoteText">
    <w:name w:val="footnote text"/>
    <w:basedOn w:val="Normal"/>
    <w:link w:val="FootnoteTextChar"/>
    <w:uiPriority w:val="99"/>
    <w:semiHidden/>
    <w:unhideWhenUsed/>
    <w:rsid w:val="00F744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4DD"/>
    <w:rPr>
      <w:rFonts w:ascii="Calibri" w:eastAsia="Calibri" w:hAnsi="Calibri" w:cs="Arial"/>
      <w:sz w:val="20"/>
      <w:szCs w:val="20"/>
    </w:rPr>
  </w:style>
  <w:style w:type="character" w:styleId="FootnoteReference">
    <w:name w:val="footnote reference"/>
    <w:uiPriority w:val="99"/>
    <w:semiHidden/>
    <w:unhideWhenUsed/>
    <w:rsid w:val="00F744DD"/>
    <w:rPr>
      <w:vertAlign w:val="superscript"/>
    </w:rPr>
  </w:style>
  <w:style w:type="paragraph" w:styleId="BalloonText">
    <w:name w:val="Balloon Text"/>
    <w:basedOn w:val="Normal"/>
    <w:link w:val="BalloonTextChar"/>
    <w:uiPriority w:val="99"/>
    <w:semiHidden/>
    <w:unhideWhenUsed/>
    <w:rsid w:val="00CA5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5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irit@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1424</Words>
  <Characters>7152</Characters>
  <Application>Microsoft Office Word</Application>
  <DocSecurity>0</DocSecurity>
  <Lines>113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אירית צ'רניאבסקי</dc:creator>
  <cp:keywords/>
  <dc:description/>
  <cp:lastModifiedBy>Susan</cp:lastModifiedBy>
  <cp:revision>3</cp:revision>
  <dcterms:created xsi:type="dcterms:W3CDTF">2021-07-24T23:38:00Z</dcterms:created>
  <dcterms:modified xsi:type="dcterms:W3CDTF">2021-07-24T23:52:00Z</dcterms:modified>
</cp:coreProperties>
</file>