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BFAFA" w14:textId="4AE8486C" w:rsidR="00FC4F0B" w:rsidRDefault="00FC4F0B">
      <w:pPr>
        <w:rPr>
          <w:rFonts w:hint="cs"/>
          <w:rtl/>
        </w:rPr>
      </w:pPr>
      <w:bookmarkStart w:id="0" w:name="_GoBack"/>
      <w:bookmarkEnd w:id="0"/>
      <w:r>
        <w:rPr>
          <w:rFonts w:ascii="Segoe UI" w:hAnsi="Segoe UI" w:cs="Segoe UI"/>
          <w:sz w:val="21"/>
          <w:szCs w:val="21"/>
          <w:shd w:val="clear" w:color="auto" w:fill="FFFFFF"/>
        </w:rPr>
        <w:t>MYOR uses skin-surface noninvasive monitoring technologies to adjust nutrition and enable health. Multidisciplinary by nature, our team approaches medical challenges with innovative and cutting-edge techniques including microbiome analytics, machine-learning and AI. We create end-to-end solutions for consumers which includes advanced monitoring devices and proprietary nutritional interventions to provide an all-encompassing pipeline for attaining maximum health.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MYOR’s initial product line includes an AI-Empowered Infant Care product to predict and prevent infantile atopic dermatitis, a Personalized Infant Formula product to prevent, monitor and treat iron deficiency in infants and Precision Diabetic foods to extend diabetic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healthspan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. </w:t>
      </w:r>
    </w:p>
    <w:sectPr w:rsidR="00FC4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0B"/>
    <w:rsid w:val="001565DC"/>
    <w:rsid w:val="003675C6"/>
    <w:rsid w:val="00896381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AA1A"/>
  <w15:chartTrackingRefBased/>
  <w15:docId w15:val="{5C1EAB16-E04B-442D-8A63-A650B09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Brandwein</dc:creator>
  <cp:keywords/>
  <dc:description/>
  <cp:lastModifiedBy>Michael Brandwein</cp:lastModifiedBy>
  <cp:revision>3</cp:revision>
  <dcterms:created xsi:type="dcterms:W3CDTF">2019-02-13T14:01:00Z</dcterms:created>
  <dcterms:modified xsi:type="dcterms:W3CDTF">2019-02-13T14:10:00Z</dcterms:modified>
</cp:coreProperties>
</file>