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7E173" w14:textId="77777777" w:rsidR="009A2CE0" w:rsidRDefault="009A2CE0" w:rsidP="00F849DF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February 2018</w:t>
      </w:r>
      <w:bookmarkStart w:id="0" w:name="_GoBack"/>
      <w:bookmarkEnd w:id="0"/>
    </w:p>
    <w:p w14:paraId="0140D29F" w14:textId="77777777" w:rsidR="009A2CE0" w:rsidRDefault="009A2CE0" w:rsidP="009A2CE0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2EDCC912" w14:textId="77777777" w:rsidR="00F849DF" w:rsidRDefault="00F849DF" w:rsidP="009A2CE0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Dear Editor,</w:t>
      </w:r>
    </w:p>
    <w:p w14:paraId="671A90ED" w14:textId="77777777" w:rsidR="009A2CE0" w:rsidRDefault="00F849DF" w:rsidP="009A2CE0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Please see enclosed our Essay, </w:t>
      </w:r>
      <w:r w:rsidRPr="00F849DF">
        <w:rPr>
          <w:rFonts w:asciiTheme="majorBidi" w:hAnsiTheme="majorBidi" w:cstheme="majorBidi"/>
          <w:i/>
          <w:iCs/>
          <w:sz w:val="24"/>
          <w:szCs w:val="24"/>
        </w:rPr>
        <w:t>Differentiated Regulation across People and Situations: A Behavioral</w:t>
      </w:r>
      <w:r w:rsidRPr="00F849DF">
        <w:rPr>
          <w:rFonts w:asciiTheme="majorBidi" w:hAnsiTheme="majorBidi" w:cstheme="majorBidi" w:hint="cs"/>
          <w:i/>
          <w:iCs/>
          <w:sz w:val="24"/>
          <w:szCs w:val="24"/>
          <w:rtl/>
        </w:rPr>
        <w:t xml:space="preserve"> </w:t>
      </w:r>
      <w:r w:rsidRPr="00F849DF">
        <w:rPr>
          <w:rFonts w:asciiTheme="majorBidi" w:hAnsiTheme="majorBidi" w:cstheme="majorBidi" w:hint="cs"/>
          <w:i/>
          <w:iCs/>
          <w:sz w:val="24"/>
          <w:szCs w:val="24"/>
        </w:rPr>
        <w:t>E</w:t>
      </w:r>
      <w:r w:rsidRPr="00F849DF">
        <w:rPr>
          <w:rFonts w:asciiTheme="majorBidi" w:hAnsiTheme="majorBidi" w:cstheme="majorBidi"/>
          <w:i/>
          <w:iCs/>
          <w:sz w:val="24"/>
          <w:szCs w:val="24"/>
        </w:rPr>
        <w:t>thics Perspective</w:t>
      </w:r>
      <w:r w:rsidRPr="00F849DF">
        <w:rPr>
          <w:rFonts w:asciiTheme="majorBidi" w:hAnsiTheme="majorBidi" w:cstheme="majorBidi" w:hint="cs"/>
          <w:i/>
          <w:iCs/>
          <w:sz w:val="24"/>
          <w:szCs w:val="24"/>
          <w:rtl/>
        </w:rPr>
        <w:t xml:space="preserve"> </w:t>
      </w:r>
      <w:r w:rsidRPr="00F849DF">
        <w:rPr>
          <w:rFonts w:asciiTheme="majorBidi" w:hAnsiTheme="majorBidi" w:cstheme="majorBidi"/>
          <w:i/>
          <w:iCs/>
          <w:sz w:val="24"/>
          <w:szCs w:val="24"/>
        </w:rPr>
        <w:t>to Personalized Law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849DF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17,320 words including footnotes</w:t>
      </w:r>
      <w:r w:rsidR="009A2CE0">
        <w:rPr>
          <w:rFonts w:asciiTheme="majorBidi" w:hAnsiTheme="majorBidi" w:cstheme="majorBidi"/>
          <w:sz w:val="24"/>
          <w:szCs w:val="24"/>
        </w:rPr>
        <w:t>).</w:t>
      </w:r>
    </w:p>
    <w:p w14:paraId="0136D431" w14:textId="77777777" w:rsidR="00996E47" w:rsidRDefault="009A2CE0" w:rsidP="007C3E38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paper is the first to bring together two recent strands of study: the research on behavioral ethics and the personalized law approach. The paper proposes a novel regulatory scheme, utilizing Big Data </w:t>
      </w:r>
      <w:r w:rsidR="007C3E38">
        <w:rPr>
          <w:rFonts w:asciiTheme="majorBidi" w:hAnsiTheme="majorBidi" w:cstheme="majorBidi"/>
          <w:sz w:val="24"/>
          <w:szCs w:val="24"/>
        </w:rPr>
        <w:t>analysis</w:t>
      </w:r>
      <w:r>
        <w:rPr>
          <w:rFonts w:asciiTheme="majorBidi" w:hAnsiTheme="majorBidi" w:cstheme="majorBidi"/>
          <w:sz w:val="24"/>
          <w:szCs w:val="24"/>
        </w:rPr>
        <w:t xml:space="preserve"> in order to tailor regulation to specific scenarios. The proposed system is designed to combat the problem of unaware misconduct, highlighted by behavioral ethics research.</w:t>
      </w:r>
      <w:r w:rsidR="007C3E38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     </w:t>
      </w:r>
    </w:p>
    <w:p w14:paraId="2F770FCD" w14:textId="77777777" w:rsidR="00F849DF" w:rsidRPr="00F849DF" w:rsidRDefault="009A2CE0" w:rsidP="007C3E38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Drawing on the expertise of its two others, this paper brings the insights of behavioral ethics into</w:t>
      </w:r>
      <w:r w:rsidR="00CE7FA6">
        <w:rPr>
          <w:rFonts w:asciiTheme="majorBidi" w:hAnsiTheme="majorBidi" w:cstheme="majorBidi"/>
          <w:sz w:val="24"/>
          <w:szCs w:val="24"/>
        </w:rPr>
        <w:t xml:space="preserve"> the area of private law, particularly</w:t>
      </w:r>
      <w:r>
        <w:rPr>
          <w:rFonts w:asciiTheme="majorBidi" w:hAnsiTheme="majorBidi" w:cstheme="majorBidi"/>
          <w:sz w:val="24"/>
          <w:szCs w:val="24"/>
        </w:rPr>
        <w:t xml:space="preserve"> contract law, fiduciary law, consumer law and employment law. </w:t>
      </w:r>
    </w:p>
    <w:p w14:paraId="05A60791" w14:textId="77777777" w:rsidR="0005031C" w:rsidRDefault="00F849DF" w:rsidP="00BF637C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Yuval Feldman is the leading figure in the area of behavioral ethics and the law</w:t>
      </w:r>
      <w:r w:rsidR="009A2CE0">
        <w:rPr>
          <w:rFonts w:asciiTheme="majorBidi" w:hAnsiTheme="majorBidi" w:cstheme="majorBidi"/>
          <w:sz w:val="24"/>
          <w:szCs w:val="24"/>
        </w:rPr>
        <w:t>,</w:t>
      </w:r>
      <w:r w:rsidR="00BF637C">
        <w:rPr>
          <w:rFonts w:asciiTheme="majorBidi" w:hAnsiTheme="majorBidi" w:cstheme="majorBidi"/>
          <w:sz w:val="24"/>
          <w:szCs w:val="24"/>
        </w:rPr>
        <w:t xml:space="preserve"> and has published more than 40 scholarly papers on </w:t>
      </w:r>
      <w:r w:rsidR="00BF637C">
        <w:rPr>
          <w:rFonts w:asciiTheme="majorBidi" w:hAnsiTheme="majorBidi" w:cstheme="majorBidi"/>
          <w:sz w:val="24"/>
          <w:szCs w:val="24"/>
        </w:rPr>
        <w:t>the behavioral analysis of law, ethical decision-making,</w:t>
      </w:r>
      <w:r w:rsidR="00BF637C" w:rsidRPr="00996E47">
        <w:rPr>
          <w:rFonts w:asciiTheme="majorBidi" w:hAnsiTheme="majorBidi" w:cstheme="majorBidi"/>
          <w:sz w:val="24"/>
          <w:szCs w:val="24"/>
        </w:rPr>
        <w:t xml:space="preserve"> r</w:t>
      </w:r>
      <w:r w:rsidR="00BF637C">
        <w:rPr>
          <w:rFonts w:asciiTheme="majorBidi" w:hAnsiTheme="majorBidi" w:cstheme="majorBidi"/>
          <w:sz w:val="24"/>
          <w:szCs w:val="24"/>
        </w:rPr>
        <w:t>egulatory impact and compliance, empirical legal studies</w:t>
      </w:r>
      <w:r w:rsidR="00CE7FA6">
        <w:rPr>
          <w:rFonts w:asciiTheme="majorBidi" w:hAnsiTheme="majorBidi" w:cstheme="majorBidi"/>
          <w:sz w:val="24"/>
          <w:szCs w:val="24"/>
        </w:rPr>
        <w:t>,</w:t>
      </w:r>
      <w:r w:rsidR="00BF637C">
        <w:rPr>
          <w:rFonts w:asciiTheme="majorBidi" w:hAnsiTheme="majorBidi" w:cstheme="majorBidi"/>
          <w:sz w:val="24"/>
          <w:szCs w:val="24"/>
        </w:rPr>
        <w:t xml:space="preserve"> and</w:t>
      </w:r>
      <w:r w:rsidR="00BF637C" w:rsidRPr="00996E47">
        <w:rPr>
          <w:rFonts w:asciiTheme="majorBidi" w:hAnsiTheme="majorBidi" w:cstheme="majorBidi"/>
          <w:sz w:val="24"/>
          <w:szCs w:val="24"/>
        </w:rPr>
        <w:t xml:space="preserve"> enforcemen</w:t>
      </w:r>
      <w:r w:rsidR="00BF637C">
        <w:rPr>
          <w:rFonts w:asciiTheme="majorBidi" w:hAnsiTheme="majorBidi" w:cstheme="majorBidi"/>
          <w:sz w:val="24"/>
          <w:szCs w:val="24"/>
        </w:rPr>
        <w:t>t and social norms</w:t>
      </w:r>
      <w:r w:rsidR="00BF637C">
        <w:rPr>
          <w:rFonts w:asciiTheme="majorBidi" w:hAnsiTheme="majorBidi" w:cstheme="majorBidi"/>
          <w:sz w:val="24"/>
          <w:szCs w:val="24"/>
        </w:rPr>
        <w:t>.</w:t>
      </w:r>
      <w:r w:rsidR="00BF637C">
        <w:rPr>
          <w:rFonts w:asciiTheme="majorBidi" w:hAnsiTheme="majorBidi" w:cstheme="majorBidi"/>
          <w:sz w:val="24"/>
          <w:szCs w:val="24"/>
        </w:rPr>
        <w:t xml:space="preserve"> His works on these subjects </w:t>
      </w:r>
      <w:r w:rsidR="00996E47">
        <w:rPr>
          <w:rFonts w:asciiTheme="majorBidi" w:hAnsiTheme="majorBidi" w:cstheme="majorBidi"/>
          <w:sz w:val="24"/>
          <w:szCs w:val="24"/>
        </w:rPr>
        <w:t>have</w:t>
      </w:r>
      <w:r>
        <w:rPr>
          <w:rFonts w:asciiTheme="majorBidi" w:hAnsiTheme="majorBidi" w:cstheme="majorBidi"/>
          <w:sz w:val="24"/>
          <w:szCs w:val="24"/>
        </w:rPr>
        <w:t xml:space="preserve"> been published in </w:t>
      </w:r>
      <w:r w:rsidRPr="00F849DF">
        <w:rPr>
          <w:rFonts w:asciiTheme="majorBidi" w:hAnsiTheme="majorBidi" w:cstheme="majorBidi"/>
          <w:i/>
          <w:iCs/>
          <w:sz w:val="24"/>
          <w:szCs w:val="24"/>
        </w:rPr>
        <w:t>N.Y.U Law Review</w:t>
      </w:r>
      <w:r>
        <w:rPr>
          <w:rFonts w:asciiTheme="majorBidi" w:hAnsiTheme="majorBidi" w:cstheme="majorBidi"/>
          <w:sz w:val="24"/>
          <w:szCs w:val="24"/>
        </w:rPr>
        <w:t>, </w:t>
      </w:r>
      <w:r w:rsidRPr="00F849DF">
        <w:rPr>
          <w:rFonts w:asciiTheme="majorBidi" w:hAnsiTheme="majorBidi" w:cstheme="majorBidi"/>
          <w:i/>
          <w:iCs/>
          <w:sz w:val="24"/>
          <w:szCs w:val="24"/>
        </w:rPr>
        <w:t>Northwestern Law Review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F849DF">
        <w:rPr>
          <w:rFonts w:asciiTheme="majorBidi" w:hAnsiTheme="majorBidi" w:cstheme="majorBidi"/>
          <w:i/>
          <w:iCs/>
          <w:sz w:val="24"/>
          <w:szCs w:val="24"/>
        </w:rPr>
        <w:t>The Georgetown Law Journal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F849DF">
        <w:rPr>
          <w:rFonts w:asciiTheme="majorBidi" w:hAnsiTheme="majorBidi" w:cstheme="majorBidi"/>
          <w:i/>
          <w:iCs/>
          <w:sz w:val="24"/>
          <w:szCs w:val="24"/>
        </w:rPr>
        <w:t>Texas Law Review</w:t>
      </w:r>
      <w:r>
        <w:rPr>
          <w:rFonts w:asciiTheme="majorBidi" w:hAnsiTheme="majorBidi" w:cstheme="majorBidi"/>
          <w:sz w:val="24"/>
          <w:szCs w:val="24"/>
        </w:rPr>
        <w:t xml:space="preserve"> and</w:t>
      </w:r>
      <w:r w:rsidRPr="00F849DF">
        <w:rPr>
          <w:rFonts w:asciiTheme="majorBidi" w:hAnsiTheme="majorBidi" w:cstheme="majorBidi"/>
          <w:sz w:val="24"/>
          <w:szCs w:val="24"/>
        </w:rPr>
        <w:t xml:space="preserve"> </w:t>
      </w:r>
      <w:r w:rsidRPr="00F849DF">
        <w:rPr>
          <w:rFonts w:asciiTheme="majorBidi" w:hAnsiTheme="majorBidi" w:cstheme="majorBidi"/>
          <w:i/>
          <w:iCs/>
          <w:sz w:val="24"/>
          <w:szCs w:val="24"/>
        </w:rPr>
        <w:t>Cardozo Law Review</w:t>
      </w:r>
      <w:r>
        <w:rPr>
          <w:rFonts w:asciiTheme="majorBidi" w:hAnsiTheme="majorBidi" w:cstheme="majorBidi"/>
          <w:sz w:val="24"/>
          <w:szCs w:val="24"/>
        </w:rPr>
        <w:t>, among many others.</w:t>
      </w:r>
      <w:r w:rsidR="00BF637C">
        <w:rPr>
          <w:rFonts w:asciiTheme="majorBidi" w:hAnsiTheme="majorBidi" w:cstheme="majorBidi"/>
          <w:sz w:val="24"/>
          <w:szCs w:val="24"/>
        </w:rPr>
        <w:t xml:space="preserve"> </w:t>
      </w:r>
      <w:r w:rsidRPr="00F849DF">
        <w:rPr>
          <w:rFonts w:asciiTheme="majorBidi" w:hAnsiTheme="majorBidi" w:cstheme="majorBidi"/>
          <w:sz w:val="24"/>
          <w:szCs w:val="24"/>
        </w:rPr>
        <w:t>He has a forthcoming book (in preparation) from Cambridge University Press 201</w:t>
      </w:r>
      <w:r>
        <w:rPr>
          <w:rFonts w:asciiTheme="majorBidi" w:hAnsiTheme="majorBidi" w:cstheme="majorBidi"/>
          <w:sz w:val="24"/>
          <w:szCs w:val="24"/>
        </w:rPr>
        <w:t>8</w:t>
      </w:r>
      <w:r w:rsidRPr="00F849DF">
        <w:rPr>
          <w:rFonts w:asciiTheme="majorBidi" w:hAnsiTheme="majorBidi" w:cstheme="majorBidi"/>
          <w:sz w:val="24"/>
          <w:szCs w:val="24"/>
        </w:rPr>
        <w:t xml:space="preserve"> on The Law of Good People: Challenging State Ability to Regulate Human Behavior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D7CE75B" w14:textId="77777777" w:rsidR="00F849DF" w:rsidRDefault="00F849DF" w:rsidP="00BF637C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Yotam Kaplan in an expert in the fields of private law theory, contract law, and the law of remedies. His most recent work on apologies </w:t>
      </w:r>
      <w:r w:rsidR="00BF637C">
        <w:rPr>
          <w:rFonts w:asciiTheme="majorBidi" w:hAnsiTheme="majorBidi" w:cstheme="majorBidi"/>
          <w:sz w:val="24"/>
          <w:szCs w:val="24"/>
        </w:rPr>
        <w:t xml:space="preserve">by wrongdoers and repeat litigants </w:t>
      </w:r>
      <w:r w:rsidR="00996E47">
        <w:rPr>
          <w:rFonts w:asciiTheme="majorBidi" w:hAnsiTheme="majorBidi" w:cstheme="majorBidi"/>
          <w:sz w:val="24"/>
          <w:szCs w:val="24"/>
        </w:rPr>
        <w:t>was</w:t>
      </w:r>
      <w:r>
        <w:rPr>
          <w:rFonts w:asciiTheme="majorBidi" w:hAnsiTheme="majorBidi" w:cstheme="majorBidi"/>
          <w:sz w:val="24"/>
          <w:szCs w:val="24"/>
        </w:rPr>
        <w:t xml:space="preserve"> published in the </w:t>
      </w:r>
      <w:r w:rsidRPr="00F849DF">
        <w:rPr>
          <w:rFonts w:asciiTheme="majorBidi" w:hAnsiTheme="majorBidi" w:cstheme="majorBidi"/>
          <w:i/>
          <w:iCs/>
          <w:sz w:val="24"/>
          <w:szCs w:val="24"/>
        </w:rPr>
        <w:t>Southern California Law Review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BC46D8E" w14:textId="77777777" w:rsidR="009A2CE0" w:rsidRDefault="007C3E38" w:rsidP="007C3E38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Additional summary information appears in the abstract and introduction to the paper.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A2CE0">
        <w:rPr>
          <w:rFonts w:asciiTheme="majorBidi" w:hAnsiTheme="majorBidi" w:cstheme="majorBidi"/>
          <w:sz w:val="24"/>
          <w:szCs w:val="24"/>
        </w:rPr>
        <w:t xml:space="preserve">We hope you find interest in this work, and look forward to hearing from you. </w:t>
      </w:r>
    </w:p>
    <w:p w14:paraId="49ABBA80" w14:textId="77777777" w:rsidR="009A2CE0" w:rsidRDefault="009A2CE0" w:rsidP="009A2CE0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5C1E9924" w14:textId="77777777" w:rsidR="009A2CE0" w:rsidRDefault="009A2CE0" w:rsidP="009A2CE0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Sincerely,</w:t>
      </w:r>
    </w:p>
    <w:p w14:paraId="1CE5CF59" w14:textId="77777777" w:rsidR="009A2CE0" w:rsidRDefault="009A2CE0" w:rsidP="009A2CE0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375057EF" w14:textId="77777777" w:rsidR="009A2CE0" w:rsidRDefault="009A2CE0" w:rsidP="009A2CE0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Yuval Feldman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Yotam Kaplan </w:t>
      </w:r>
    </w:p>
    <w:p w14:paraId="204A340F" w14:textId="77777777" w:rsidR="009A2CE0" w:rsidRDefault="009A2CE0" w:rsidP="009A2CE0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PhD UC Berkeley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SJD Harvard Law School</w:t>
      </w:r>
    </w:p>
    <w:p w14:paraId="59BBDAD2" w14:textId="77777777" w:rsidR="009A2CE0" w:rsidRPr="00F849DF" w:rsidRDefault="009A2CE0" w:rsidP="00CE7FA6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hyperlink r:id="rId4" w:history="1">
        <w:r w:rsidRPr="00343753">
          <w:rPr>
            <w:rStyle w:val="Hyperlink"/>
            <w:rFonts w:asciiTheme="majorBidi" w:hAnsiTheme="majorBidi" w:cstheme="majorBidi"/>
            <w:sz w:val="24"/>
            <w:szCs w:val="24"/>
          </w:rPr>
          <w:t>ykaplan@sjd.law.harvard.edu</w:t>
        </w:r>
      </w:hyperlink>
    </w:p>
    <w:sectPr w:rsidR="009A2CE0" w:rsidRPr="00F849DF" w:rsidSect="00BE49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2E"/>
    <w:rsid w:val="006F6C2E"/>
    <w:rsid w:val="007C3E38"/>
    <w:rsid w:val="00996E47"/>
    <w:rsid w:val="009A2CE0"/>
    <w:rsid w:val="00BE494D"/>
    <w:rsid w:val="00BF637C"/>
    <w:rsid w:val="00CE7FA6"/>
    <w:rsid w:val="00F75E96"/>
    <w:rsid w:val="00F8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03BFD"/>
  <w15:chartTrackingRefBased/>
  <w15:docId w15:val="{D2902BCA-A5A2-4FFA-860E-078B0A25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49D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2C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kaplan@sjd.law.harvar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299</Words>
  <Characters>1692</Characters>
  <Application>Microsoft Office Word</Application>
  <DocSecurity>0</DocSecurity>
  <Lines>30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Yotam Kaplan</dc:creator>
  <cp:keywords/>
  <dc:description/>
  <cp:lastModifiedBy>Yotam Kaplan</cp:lastModifiedBy>
  <cp:revision>2</cp:revision>
  <dcterms:created xsi:type="dcterms:W3CDTF">2018-02-09T07:46:00Z</dcterms:created>
  <dcterms:modified xsi:type="dcterms:W3CDTF">2018-02-09T08:51:00Z</dcterms:modified>
</cp:coreProperties>
</file>