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13" w:rsidRPr="00277A13" w:rsidRDefault="00277A13" w:rsidP="00277A13">
      <w:pPr>
        <w:spacing w:after="330" w:line="240" w:lineRule="auto"/>
        <w:textAlignment w:val="baseline"/>
        <w:rPr>
          <w:rFonts w:ascii="Arial" w:eastAsia="Times New Roman" w:hAnsi="Arial" w:cs="Arial"/>
          <w:b/>
          <w:bCs/>
          <w:color w:val="4B4B4B"/>
          <w:sz w:val="27"/>
          <w:szCs w:val="27"/>
        </w:rPr>
      </w:pPr>
      <w:r w:rsidRPr="00277A13">
        <w:rPr>
          <w:rFonts w:ascii="Arial" w:eastAsia="Times New Roman" w:hAnsi="Arial" w:cs="Arial"/>
          <w:b/>
          <w:bCs/>
          <w:color w:val="4B4B4B"/>
          <w:sz w:val="27"/>
          <w:szCs w:val="27"/>
        </w:rPr>
        <w:t>COVID-19: DOES YOUR TRANSFER PRICING REFLECT REALITY?</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bookmarkStart w:id="0" w:name="_GoBack"/>
      <w:bookmarkEnd w:id="0"/>
      <w:r w:rsidRPr="00277A13">
        <w:rPr>
          <w:rFonts w:ascii="Arial" w:eastAsia="Times New Roman" w:hAnsi="Arial" w:cs="Arial"/>
          <w:color w:val="4B4B4B"/>
          <w:sz w:val="27"/>
          <w:szCs w:val="27"/>
        </w:rPr>
        <w:t xml:space="preserve">COVID-19 has brought about many changes to our economic environment, causing consumers, businesses, and governments at every level to reassess prevalent economic truths. In times like this, it is imperative that companies perform an overall analysis of their structure and target opportunities to cut costs. In this context, one of the areas that </w:t>
      </w:r>
      <w:proofErr w:type="gramStart"/>
      <w:r w:rsidRPr="00277A13">
        <w:rPr>
          <w:rFonts w:ascii="Arial" w:eastAsia="Times New Roman" w:hAnsi="Arial" w:cs="Arial"/>
          <w:color w:val="4B4B4B"/>
          <w:sz w:val="27"/>
          <w:szCs w:val="27"/>
        </w:rPr>
        <w:t>should be analyzed</w:t>
      </w:r>
      <w:proofErr w:type="gramEnd"/>
      <w:r w:rsidRPr="00277A13">
        <w:rPr>
          <w:rFonts w:ascii="Arial" w:eastAsia="Times New Roman" w:hAnsi="Arial" w:cs="Arial"/>
          <w:color w:val="4B4B4B"/>
          <w:sz w:val="27"/>
          <w:szCs w:val="27"/>
        </w:rPr>
        <w:t xml:space="preserve"> is the company’s transfer pricing model.</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In this article, we will walk you through how transfer pricing works and show you how to evaluate if it would be advantageous for your company to consider changing its current model.</w:t>
      </w:r>
    </w:p>
    <w:p w:rsidR="00277A13" w:rsidRPr="00277A13" w:rsidRDefault="00277A13" w:rsidP="00277A13">
      <w:pPr>
        <w:spacing w:after="0" w:line="330" w:lineRule="atLeast"/>
        <w:textAlignment w:val="baseline"/>
        <w:outlineLvl w:val="3"/>
        <w:rPr>
          <w:rFonts w:ascii="Arial" w:eastAsia="Times New Roman" w:hAnsi="Arial" w:cs="Arial"/>
          <w:caps/>
          <w:color w:val="6FB53F"/>
          <w:spacing w:val="48"/>
          <w:sz w:val="29"/>
          <w:szCs w:val="29"/>
        </w:rPr>
      </w:pPr>
      <w:r w:rsidRPr="00277A13">
        <w:rPr>
          <w:rFonts w:ascii="Arial" w:eastAsia="Times New Roman" w:hAnsi="Arial" w:cs="Arial"/>
          <w:caps/>
          <w:color w:val="6FB53F"/>
          <w:spacing w:val="48"/>
          <w:sz w:val="29"/>
          <w:szCs w:val="29"/>
        </w:rPr>
        <w:t>SOME BACKGROUND</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The rationale behind transfer pricing is to allocate revenue between related parties, based on the risks borne by each entity, using the “arm’s length” method. This method determines the margin that </w:t>
      </w:r>
      <w:proofErr w:type="gramStart"/>
      <w:r w:rsidRPr="00277A13">
        <w:rPr>
          <w:rFonts w:ascii="Arial" w:eastAsia="Times New Roman" w:hAnsi="Arial" w:cs="Arial"/>
          <w:color w:val="4B4B4B"/>
          <w:sz w:val="27"/>
          <w:szCs w:val="27"/>
        </w:rPr>
        <w:t>would be earned</w:t>
      </w:r>
      <w:proofErr w:type="gramEnd"/>
      <w:r w:rsidRPr="00277A13">
        <w:rPr>
          <w:rFonts w:ascii="Arial" w:eastAsia="Times New Roman" w:hAnsi="Arial" w:cs="Arial"/>
          <w:color w:val="4B4B4B"/>
          <w:sz w:val="27"/>
          <w:szCs w:val="27"/>
        </w:rPr>
        <w:t xml:space="preserve"> by an unrelated comparable party to perform the same function as the “tested” entity.</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As such, it has become common practice for both tax practitioners and tax authorities to define certain entities performing limited and/or routine activities, and more importantly, bearing low levels of risk, as low-risk distributors (“LRD”) or low-risk service providers (“LRSP”). They contend that such entities can never lose money.  This contention may be too broad.</w:t>
      </w:r>
    </w:p>
    <w:p w:rsidR="00277A13" w:rsidRPr="00277A13" w:rsidRDefault="00277A13" w:rsidP="00277A13">
      <w:pPr>
        <w:spacing w:after="0" w:line="330" w:lineRule="atLeast"/>
        <w:textAlignment w:val="baseline"/>
        <w:outlineLvl w:val="3"/>
        <w:rPr>
          <w:rFonts w:ascii="Arial" w:eastAsia="Times New Roman" w:hAnsi="Arial" w:cs="Arial"/>
          <w:caps/>
          <w:color w:val="6FB53F"/>
          <w:spacing w:val="48"/>
          <w:sz w:val="29"/>
          <w:szCs w:val="29"/>
        </w:rPr>
      </w:pPr>
      <w:r w:rsidRPr="00277A13">
        <w:rPr>
          <w:rFonts w:ascii="Arial" w:eastAsia="Times New Roman" w:hAnsi="Arial" w:cs="Arial"/>
          <w:caps/>
          <w:color w:val="6FB53F"/>
          <w:spacing w:val="48"/>
          <w:sz w:val="29"/>
          <w:szCs w:val="29"/>
        </w:rPr>
        <w:t>COVID-19 IMPACT</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COVID-19 and the current economic downturn have brought this contention to the forefront. With many companies hard-hit economically, does it still make sense for a group member to be showing profit and paying tax, even as the effects of the pandemic financially cripple the rest of the group?</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Many companies have requested to reevaluate their existing </w:t>
      </w:r>
      <w:proofErr w:type="gramStart"/>
      <w:r w:rsidRPr="00277A13">
        <w:rPr>
          <w:rFonts w:ascii="Arial" w:eastAsia="Times New Roman" w:hAnsi="Arial" w:cs="Arial"/>
          <w:color w:val="4B4B4B"/>
          <w:sz w:val="27"/>
          <w:szCs w:val="27"/>
        </w:rPr>
        <w:t>transfer pricing</w:t>
      </w:r>
      <w:proofErr w:type="gramEnd"/>
      <w:r w:rsidRPr="00277A13">
        <w:rPr>
          <w:rFonts w:ascii="Arial" w:eastAsia="Times New Roman" w:hAnsi="Arial" w:cs="Arial"/>
          <w:color w:val="4B4B4B"/>
          <w:sz w:val="27"/>
          <w:szCs w:val="27"/>
        </w:rPr>
        <w:t xml:space="preserve"> model, and assess what the “arm’s length” method would bring </w:t>
      </w:r>
      <w:r w:rsidRPr="00277A13">
        <w:rPr>
          <w:rFonts w:ascii="Arial" w:eastAsia="Times New Roman" w:hAnsi="Arial" w:cs="Arial"/>
          <w:color w:val="4B4B4B"/>
          <w:sz w:val="27"/>
          <w:szCs w:val="27"/>
        </w:rPr>
        <w:lastRenderedPageBreak/>
        <w:t>to comparable entities who have lost money during this period of economic distress.</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In addition, if the comparable entities used in an existing transfer pricing study bear normative risks, and the study did not adjust for the market risk borne by the low risk “tested party”, this entity could potentially have earned returns in prior years above what it should have earned. This additional profit </w:t>
      </w:r>
      <w:proofErr w:type="gramStart"/>
      <w:r w:rsidRPr="00277A13">
        <w:rPr>
          <w:rFonts w:ascii="Arial" w:eastAsia="Times New Roman" w:hAnsi="Arial" w:cs="Arial"/>
          <w:color w:val="4B4B4B"/>
          <w:sz w:val="27"/>
          <w:szCs w:val="27"/>
        </w:rPr>
        <w:t>could, therefore, possibly validate</w:t>
      </w:r>
      <w:proofErr w:type="gramEnd"/>
      <w:r w:rsidRPr="00277A13">
        <w:rPr>
          <w:rFonts w:ascii="Arial" w:eastAsia="Times New Roman" w:hAnsi="Arial" w:cs="Arial"/>
          <w:color w:val="4B4B4B"/>
          <w:sz w:val="27"/>
          <w:szCs w:val="27"/>
        </w:rPr>
        <w:t xml:space="preserve"> a zero gain or loss during the current economic environment.</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To support a change in the </w:t>
      </w:r>
      <w:proofErr w:type="gramStart"/>
      <w:r w:rsidRPr="00277A13">
        <w:rPr>
          <w:rFonts w:ascii="Arial" w:eastAsia="Times New Roman" w:hAnsi="Arial" w:cs="Arial"/>
          <w:color w:val="4B4B4B"/>
          <w:sz w:val="27"/>
          <w:szCs w:val="27"/>
        </w:rPr>
        <w:t>transfer pricing</w:t>
      </w:r>
      <w:proofErr w:type="gramEnd"/>
      <w:r w:rsidRPr="00277A13">
        <w:rPr>
          <w:rFonts w:ascii="Arial" w:eastAsia="Times New Roman" w:hAnsi="Arial" w:cs="Arial"/>
          <w:color w:val="4B4B4B"/>
          <w:sz w:val="27"/>
          <w:szCs w:val="27"/>
        </w:rPr>
        <w:t xml:space="preserve"> model, timely and robust documentation must be prepared, including external benchmarks pertaining to industry metrics or market information. For example, declines in industry metrics (revenues, sales, values, etc.) or in specific companies who </w:t>
      </w:r>
      <w:proofErr w:type="gramStart"/>
      <w:r w:rsidRPr="00277A13">
        <w:rPr>
          <w:rFonts w:ascii="Arial" w:eastAsia="Times New Roman" w:hAnsi="Arial" w:cs="Arial"/>
          <w:color w:val="4B4B4B"/>
          <w:sz w:val="27"/>
          <w:szCs w:val="27"/>
        </w:rPr>
        <w:t>are deemed</w:t>
      </w:r>
      <w:proofErr w:type="gramEnd"/>
      <w:r w:rsidRPr="00277A13">
        <w:rPr>
          <w:rFonts w:ascii="Arial" w:eastAsia="Times New Roman" w:hAnsi="Arial" w:cs="Arial"/>
          <w:color w:val="4B4B4B"/>
          <w:sz w:val="27"/>
          <w:szCs w:val="27"/>
        </w:rPr>
        <w:t xml:space="preserve"> competitors should be highlighted to provide validation of the change.</w:t>
      </w:r>
    </w:p>
    <w:p w:rsidR="00277A13" w:rsidRPr="00277A13" w:rsidRDefault="00277A13" w:rsidP="00277A13">
      <w:pPr>
        <w:spacing w:after="0" w:line="330" w:lineRule="atLeast"/>
        <w:textAlignment w:val="baseline"/>
        <w:outlineLvl w:val="3"/>
        <w:rPr>
          <w:rFonts w:ascii="Arial" w:eastAsia="Times New Roman" w:hAnsi="Arial" w:cs="Arial"/>
          <w:caps/>
          <w:color w:val="6FB53F"/>
          <w:spacing w:val="48"/>
          <w:sz w:val="29"/>
          <w:szCs w:val="29"/>
        </w:rPr>
      </w:pPr>
      <w:r w:rsidRPr="00277A13">
        <w:rPr>
          <w:rFonts w:ascii="Arial" w:eastAsia="Times New Roman" w:hAnsi="Arial" w:cs="Arial"/>
          <w:caps/>
          <w:color w:val="6FB53F"/>
          <w:spacing w:val="48"/>
          <w:sz w:val="29"/>
          <w:szCs w:val="29"/>
        </w:rPr>
        <w:t>ITEMS TO CONSIDER</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w:t>
      </w:r>
    </w:p>
    <w:p w:rsidR="00277A13" w:rsidRPr="00277A13" w:rsidRDefault="00277A13" w:rsidP="00277A13">
      <w:pPr>
        <w:numPr>
          <w:ilvl w:val="0"/>
          <w:numId w:val="1"/>
        </w:numPr>
        <w:spacing w:after="0" w:line="240" w:lineRule="auto"/>
        <w:ind w:left="0"/>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Determine which entity is requesting the transfer pricing change: parent company, subsidiary, or both;</w:t>
      </w:r>
    </w:p>
    <w:p w:rsidR="00277A13" w:rsidRPr="00277A13" w:rsidRDefault="00277A13" w:rsidP="00277A13">
      <w:pPr>
        <w:numPr>
          <w:ilvl w:val="0"/>
          <w:numId w:val="1"/>
        </w:numPr>
        <w:spacing w:after="0" w:line="240" w:lineRule="auto"/>
        <w:ind w:left="0"/>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Determine and measure quantitatively the </w:t>
      </w:r>
      <w:proofErr w:type="gramStart"/>
      <w:r w:rsidRPr="00277A13">
        <w:rPr>
          <w:rFonts w:ascii="Arial" w:eastAsia="Times New Roman" w:hAnsi="Arial" w:cs="Arial"/>
          <w:color w:val="4B4B4B"/>
          <w:sz w:val="27"/>
          <w:szCs w:val="27"/>
        </w:rPr>
        <w:t>factors which</w:t>
      </w:r>
      <w:proofErr w:type="gramEnd"/>
      <w:r w:rsidRPr="00277A13">
        <w:rPr>
          <w:rFonts w:ascii="Arial" w:eastAsia="Times New Roman" w:hAnsi="Arial" w:cs="Arial"/>
          <w:color w:val="4B4B4B"/>
          <w:sz w:val="27"/>
          <w:szCs w:val="27"/>
        </w:rPr>
        <w:t xml:space="preserve"> are causing the pricing change. Factors could be (a) a decline in sales or sales forecasts, (b) costs associated with releasing or firing workers, and/or (c) costs related to unused office space, etc. Note that the cost elements noted herein will not be part of the transfer pricing analysis when determining the appropriate arm’s length return. These costs will be classified as extemporaneous or one-time expenses and will be recorded after the transfer pricing benchmark is established;</w:t>
      </w:r>
    </w:p>
    <w:p w:rsidR="00277A13" w:rsidRPr="00277A13" w:rsidRDefault="00277A13" w:rsidP="00277A13">
      <w:pPr>
        <w:numPr>
          <w:ilvl w:val="0"/>
          <w:numId w:val="1"/>
        </w:numPr>
        <w:spacing w:after="0" w:line="240" w:lineRule="auto"/>
        <w:ind w:left="0"/>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Stock options included in the cost base of a “cost-plus” entity, </w:t>
      </w:r>
      <w:proofErr w:type="gramStart"/>
      <w:r w:rsidRPr="00277A13">
        <w:rPr>
          <w:rFonts w:ascii="Arial" w:eastAsia="Times New Roman" w:hAnsi="Arial" w:cs="Arial"/>
          <w:color w:val="4B4B4B"/>
          <w:sz w:val="27"/>
          <w:szCs w:val="27"/>
        </w:rPr>
        <w:t>should likely be repriced</w:t>
      </w:r>
      <w:proofErr w:type="gramEnd"/>
      <w:r w:rsidRPr="00277A13">
        <w:rPr>
          <w:rFonts w:ascii="Arial" w:eastAsia="Times New Roman" w:hAnsi="Arial" w:cs="Arial"/>
          <w:color w:val="4B4B4B"/>
          <w:sz w:val="27"/>
          <w:szCs w:val="27"/>
        </w:rPr>
        <w:t xml:space="preserve"> in the transfer pricing analysis, based on the present conditions in the appropriate stock market, or the economy at large. The difference between the previous price and the current price would be an expense that would not be incorporated into the cost base for the cost-plus markup;</w:t>
      </w:r>
    </w:p>
    <w:p w:rsidR="00277A13" w:rsidRPr="00277A13" w:rsidRDefault="00277A13" w:rsidP="00277A13">
      <w:pPr>
        <w:numPr>
          <w:ilvl w:val="0"/>
          <w:numId w:val="1"/>
        </w:numPr>
        <w:spacing w:after="0" w:line="240" w:lineRule="auto"/>
        <w:ind w:left="0"/>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Assess whether the intercompany contract allows for renegotiation of pricing terms. We note that some intercompany contracts expressly state a numeric return, which </w:t>
      </w:r>
      <w:proofErr w:type="gramStart"/>
      <w:r w:rsidRPr="00277A13">
        <w:rPr>
          <w:rFonts w:ascii="Arial" w:eastAsia="Times New Roman" w:hAnsi="Arial" w:cs="Arial"/>
          <w:color w:val="4B4B4B"/>
          <w:sz w:val="27"/>
          <w:szCs w:val="27"/>
        </w:rPr>
        <w:t>should be earned</w:t>
      </w:r>
      <w:proofErr w:type="gramEnd"/>
      <w:r w:rsidRPr="00277A13">
        <w:rPr>
          <w:rFonts w:ascii="Arial" w:eastAsia="Times New Roman" w:hAnsi="Arial" w:cs="Arial"/>
          <w:color w:val="4B4B4B"/>
          <w:sz w:val="27"/>
          <w:szCs w:val="27"/>
        </w:rPr>
        <w:t>, while others state merely that the return should be arm’s length.  The latter is preferable;</w:t>
      </w:r>
    </w:p>
    <w:p w:rsidR="00277A13" w:rsidRPr="00277A13" w:rsidRDefault="00277A13" w:rsidP="00277A13">
      <w:pPr>
        <w:numPr>
          <w:ilvl w:val="0"/>
          <w:numId w:val="1"/>
        </w:numPr>
        <w:spacing w:after="0" w:line="240" w:lineRule="auto"/>
        <w:ind w:left="0"/>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lastRenderedPageBreak/>
        <w:t xml:space="preserve">If possible, redo the intercompany contract. In revising the legal contract, consider including a force majeure clause. Force majeure is a clause that includes unforeseen events like natural disasters such as earthquakes or </w:t>
      </w:r>
      <w:proofErr w:type="gramStart"/>
      <w:r w:rsidRPr="00277A13">
        <w:rPr>
          <w:rFonts w:ascii="Arial" w:eastAsia="Times New Roman" w:hAnsi="Arial" w:cs="Arial"/>
          <w:color w:val="4B4B4B"/>
          <w:sz w:val="27"/>
          <w:szCs w:val="27"/>
        </w:rPr>
        <w:t>man-made</w:t>
      </w:r>
      <w:proofErr w:type="gramEnd"/>
      <w:r w:rsidRPr="00277A13">
        <w:rPr>
          <w:rFonts w:ascii="Arial" w:eastAsia="Times New Roman" w:hAnsi="Arial" w:cs="Arial"/>
          <w:color w:val="4B4B4B"/>
          <w:sz w:val="27"/>
          <w:szCs w:val="27"/>
        </w:rPr>
        <w:t xml:space="preserve"> disasters such as a war or nuclear incident. This clause usually </w:t>
      </w:r>
      <w:proofErr w:type="gramStart"/>
      <w:r w:rsidRPr="00277A13">
        <w:rPr>
          <w:rFonts w:ascii="Arial" w:eastAsia="Times New Roman" w:hAnsi="Arial" w:cs="Arial"/>
          <w:color w:val="4B4B4B"/>
          <w:sz w:val="27"/>
          <w:szCs w:val="27"/>
        </w:rPr>
        <w:t>is used</w:t>
      </w:r>
      <w:proofErr w:type="gramEnd"/>
      <w:r w:rsidRPr="00277A13">
        <w:rPr>
          <w:rFonts w:ascii="Arial" w:eastAsia="Times New Roman" w:hAnsi="Arial" w:cs="Arial"/>
          <w:color w:val="4B4B4B"/>
          <w:sz w:val="27"/>
          <w:szCs w:val="27"/>
        </w:rPr>
        <w:t xml:space="preserve"> to invalidate a contract or, at a minimum, force a renegotiation.</w:t>
      </w:r>
    </w:p>
    <w:p w:rsidR="00277A13" w:rsidRPr="00277A13" w:rsidRDefault="00277A13" w:rsidP="00277A13">
      <w:pPr>
        <w:spacing w:after="33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w:t>
      </w:r>
    </w:p>
    <w:p w:rsidR="00277A13" w:rsidRPr="00277A13" w:rsidRDefault="00277A13" w:rsidP="00277A13">
      <w:pPr>
        <w:spacing w:after="0" w:line="240" w:lineRule="auto"/>
        <w:textAlignment w:val="baseline"/>
        <w:rPr>
          <w:rFonts w:ascii="Arial" w:eastAsia="Times New Roman" w:hAnsi="Arial" w:cs="Arial"/>
          <w:color w:val="4B4B4B"/>
          <w:sz w:val="27"/>
          <w:szCs w:val="27"/>
        </w:rPr>
      </w:pPr>
      <w:r w:rsidRPr="00277A13">
        <w:rPr>
          <w:rFonts w:ascii="Arial" w:eastAsia="Times New Roman" w:hAnsi="Arial" w:cs="Arial"/>
          <w:color w:val="4B4B4B"/>
          <w:sz w:val="27"/>
          <w:szCs w:val="27"/>
        </w:rPr>
        <w:t xml:space="preserve">In short, it is likely that by reassessing the existing transfer pricing and or/adapting the model to reflect the current reality, the company will be able to record a zero profit or loss for 2020. However, such a change </w:t>
      </w:r>
      <w:proofErr w:type="gramStart"/>
      <w:r w:rsidRPr="00277A13">
        <w:rPr>
          <w:rFonts w:ascii="Arial" w:eastAsia="Times New Roman" w:hAnsi="Arial" w:cs="Arial"/>
          <w:color w:val="4B4B4B"/>
          <w:sz w:val="27"/>
          <w:szCs w:val="27"/>
        </w:rPr>
        <w:t>MUST be backed up</w:t>
      </w:r>
      <w:proofErr w:type="gramEnd"/>
      <w:r w:rsidRPr="00277A13">
        <w:rPr>
          <w:rFonts w:ascii="Arial" w:eastAsia="Times New Roman" w:hAnsi="Arial" w:cs="Arial"/>
          <w:color w:val="4B4B4B"/>
          <w:sz w:val="27"/>
          <w:szCs w:val="27"/>
        </w:rPr>
        <w:t xml:space="preserve"> by adequate documentation and analysis to defend against aggressive tax examinations in the future.</w:t>
      </w:r>
    </w:p>
    <w:p w:rsidR="00D40956" w:rsidRDefault="00D40956"/>
    <w:sectPr w:rsidR="00D409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90ACE"/>
    <w:multiLevelType w:val="multilevel"/>
    <w:tmpl w:val="4C82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0tTQ0tjA2Mjc2MDNT0lEKTi0uzszPAykwrAUAY0sMriwAAAA="/>
  </w:docVars>
  <w:rsids>
    <w:rsidRoot w:val="00277A13"/>
    <w:rsid w:val="00277A13"/>
    <w:rsid w:val="00D40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D189"/>
  <w15:chartTrackingRefBased/>
  <w15:docId w15:val="{929A9C88-4321-49EC-932F-8C72A18B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16617">
      <w:bodyDiv w:val="1"/>
      <w:marLeft w:val="0"/>
      <w:marRight w:val="0"/>
      <w:marTop w:val="0"/>
      <w:marBottom w:val="0"/>
      <w:divBdr>
        <w:top w:val="none" w:sz="0" w:space="0" w:color="auto"/>
        <w:left w:val="none" w:sz="0" w:space="0" w:color="auto"/>
        <w:bottom w:val="none" w:sz="0" w:space="0" w:color="auto"/>
        <w:right w:val="none" w:sz="0" w:space="0" w:color="auto"/>
      </w:divBdr>
    </w:div>
    <w:div w:id="1384988526">
      <w:bodyDiv w:val="1"/>
      <w:marLeft w:val="0"/>
      <w:marRight w:val="0"/>
      <w:marTop w:val="0"/>
      <w:marBottom w:val="0"/>
      <w:divBdr>
        <w:top w:val="none" w:sz="0" w:space="0" w:color="auto"/>
        <w:left w:val="none" w:sz="0" w:space="0" w:color="auto"/>
        <w:bottom w:val="none" w:sz="0" w:space="0" w:color="auto"/>
        <w:right w:val="none" w:sz="0" w:space="0" w:color="auto"/>
      </w:divBdr>
      <w:divsChild>
        <w:div w:id="545609336">
          <w:marLeft w:val="0"/>
          <w:marRight w:val="0"/>
          <w:marTop w:val="0"/>
          <w:marBottom w:val="0"/>
          <w:divBdr>
            <w:top w:val="none" w:sz="0" w:space="0" w:color="auto"/>
            <w:left w:val="none" w:sz="0" w:space="0" w:color="auto"/>
            <w:bottom w:val="none" w:sz="0" w:space="0" w:color="auto"/>
            <w:right w:val="none" w:sz="0" w:space="0" w:color="auto"/>
          </w:divBdr>
          <w:divsChild>
            <w:div w:id="2032487533">
              <w:marLeft w:val="0"/>
              <w:marRight w:val="0"/>
              <w:marTop w:val="0"/>
              <w:marBottom w:val="0"/>
              <w:divBdr>
                <w:top w:val="none" w:sz="0" w:space="0" w:color="auto"/>
                <w:left w:val="none" w:sz="0" w:space="0" w:color="auto"/>
                <w:bottom w:val="none" w:sz="0" w:space="0" w:color="auto"/>
                <w:right w:val="none" w:sz="0" w:space="0" w:color="auto"/>
              </w:divBdr>
              <w:divsChild>
                <w:div w:id="442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2020-06-09T06:52:00Z</dcterms:created>
  <dcterms:modified xsi:type="dcterms:W3CDTF">2020-06-09T06:53:00Z</dcterms:modified>
</cp:coreProperties>
</file>