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8A67" w14:textId="77777777" w:rsidR="00901CC1" w:rsidRPr="00901CC1" w:rsidRDefault="00310A2B" w:rsidP="00901CC1">
      <w:pPr>
        <w:spacing w:after="120" w:line="300" w:lineRule="auto"/>
        <w:jc w:val="both"/>
        <w:rPr>
          <w:b/>
          <w:color w:val="000000" w:themeColor="text1"/>
          <w:sz w:val="28"/>
        </w:rPr>
      </w:pPr>
      <w:proofErr w:type="spellStart"/>
      <w:r w:rsidRPr="00901CC1">
        <w:rPr>
          <w:b/>
          <w:color w:val="000000" w:themeColor="text1"/>
          <w:sz w:val="28"/>
        </w:rPr>
        <w:t>Veturius</w:t>
      </w:r>
      <w:proofErr w:type="spellEnd"/>
      <w:r w:rsidRPr="00901CC1">
        <w:rPr>
          <w:b/>
          <w:color w:val="000000" w:themeColor="text1"/>
          <w:sz w:val="28"/>
        </w:rPr>
        <w:t xml:space="preserve"> und die Chance</w:t>
      </w:r>
      <w:r w:rsidR="009F5008" w:rsidRPr="00901CC1">
        <w:rPr>
          <w:b/>
          <w:color w:val="000000" w:themeColor="text1"/>
          <w:sz w:val="28"/>
        </w:rPr>
        <w:t>n</w:t>
      </w:r>
      <w:r w:rsidRPr="00901CC1">
        <w:rPr>
          <w:b/>
          <w:color w:val="000000" w:themeColor="text1"/>
          <w:sz w:val="28"/>
        </w:rPr>
        <w:t xml:space="preserve"> der Niederlage </w:t>
      </w:r>
    </w:p>
    <w:p w14:paraId="7D403BAF" w14:textId="512AC7DA" w:rsidR="00310A2B" w:rsidRPr="00901CC1" w:rsidRDefault="00310A2B" w:rsidP="00901CC1">
      <w:pPr>
        <w:spacing w:after="240" w:line="300" w:lineRule="auto"/>
        <w:jc w:val="both"/>
        <w:rPr>
          <w:color w:val="000000" w:themeColor="text1"/>
          <w:sz w:val="28"/>
        </w:rPr>
      </w:pPr>
      <w:r w:rsidRPr="00901CC1">
        <w:rPr>
          <w:color w:val="000000" w:themeColor="text1"/>
          <w:sz w:val="28"/>
        </w:rPr>
        <w:t>Überlegungen zu</w:t>
      </w:r>
      <w:r w:rsidR="00BE68D4" w:rsidRPr="00901CC1">
        <w:rPr>
          <w:color w:val="000000" w:themeColor="text1"/>
          <w:sz w:val="28"/>
        </w:rPr>
        <w:t xml:space="preserve"> </w:t>
      </w:r>
      <w:r w:rsidRPr="00901CC1">
        <w:rPr>
          <w:color w:val="000000" w:themeColor="text1"/>
          <w:sz w:val="28"/>
        </w:rPr>
        <w:t>RRC 234</w:t>
      </w:r>
      <w:r w:rsidR="00CF0625" w:rsidRPr="00901CC1">
        <w:rPr>
          <w:color w:val="000000" w:themeColor="text1"/>
          <w:sz w:val="28"/>
        </w:rPr>
        <w:t>/1</w:t>
      </w:r>
    </w:p>
    <w:p w14:paraId="18C5E534" w14:textId="1BD223CC" w:rsidR="00C4254E" w:rsidRPr="00C4254E" w:rsidRDefault="00CF0625" w:rsidP="00901CC1">
      <w:pPr>
        <w:spacing w:after="120" w:line="300" w:lineRule="auto"/>
        <w:jc w:val="both"/>
        <w:rPr>
          <w:color w:val="00B050"/>
        </w:rPr>
      </w:pPr>
      <w:r w:rsidRPr="00901CC1">
        <w:rPr>
          <w:color w:val="000000" w:themeColor="text1"/>
        </w:rPr>
        <w:t>Der Denar</w:t>
      </w:r>
      <w:r w:rsidR="00D05366" w:rsidRPr="00901CC1">
        <w:rPr>
          <w:color w:val="000000" w:themeColor="text1"/>
        </w:rPr>
        <w:t xml:space="preserve">, den </w:t>
      </w:r>
      <w:r w:rsidRPr="00901CC1">
        <w:rPr>
          <w:color w:val="000000" w:themeColor="text1"/>
        </w:rPr>
        <w:t xml:space="preserve">der </w:t>
      </w:r>
      <w:r w:rsidR="00D05366" w:rsidRPr="00901CC1">
        <w:rPr>
          <w:color w:val="000000" w:themeColor="text1"/>
        </w:rPr>
        <w:t xml:space="preserve">Münzmeister </w:t>
      </w:r>
      <w:proofErr w:type="spellStart"/>
      <w:r w:rsidR="00D05366" w:rsidRPr="00901CC1">
        <w:rPr>
          <w:color w:val="000000" w:themeColor="text1"/>
        </w:rPr>
        <w:t>Ti</w:t>
      </w:r>
      <w:proofErr w:type="spellEnd"/>
      <w:r w:rsidRPr="00901CC1">
        <w:rPr>
          <w:color w:val="000000" w:themeColor="text1"/>
        </w:rPr>
        <w:t>(</w:t>
      </w:r>
      <w:proofErr w:type="spellStart"/>
      <w:r w:rsidRPr="00901CC1">
        <w:rPr>
          <w:color w:val="000000" w:themeColor="text1"/>
        </w:rPr>
        <w:t>berius</w:t>
      </w:r>
      <w:proofErr w:type="spellEnd"/>
      <w:r w:rsidRPr="00901CC1">
        <w:rPr>
          <w:color w:val="000000" w:themeColor="text1"/>
        </w:rPr>
        <w:t>)</w:t>
      </w:r>
      <w:r w:rsidR="00D05366" w:rsidRPr="00901CC1">
        <w:rPr>
          <w:color w:val="000000" w:themeColor="text1"/>
        </w:rPr>
        <w:t xml:space="preserve"> </w:t>
      </w:r>
      <w:proofErr w:type="spellStart"/>
      <w:r w:rsidR="00D05366" w:rsidRPr="00901CC1">
        <w:rPr>
          <w:color w:val="000000" w:themeColor="text1"/>
        </w:rPr>
        <w:t>Vet</w:t>
      </w:r>
      <w:proofErr w:type="spellEnd"/>
      <w:r w:rsidRPr="00901CC1">
        <w:rPr>
          <w:color w:val="000000" w:themeColor="text1"/>
        </w:rPr>
        <w:t>(</w:t>
      </w:r>
      <w:proofErr w:type="spellStart"/>
      <w:r w:rsidR="00D05366" w:rsidRPr="00901CC1">
        <w:rPr>
          <w:color w:val="000000" w:themeColor="text1"/>
        </w:rPr>
        <w:t>urius</w:t>
      </w:r>
      <w:proofErr w:type="spellEnd"/>
      <w:r w:rsidRPr="00901CC1">
        <w:rPr>
          <w:color w:val="000000" w:themeColor="text1"/>
        </w:rPr>
        <w:t>)</w:t>
      </w:r>
      <w:r w:rsidR="00D05366" w:rsidRPr="00901CC1">
        <w:rPr>
          <w:color w:val="000000" w:themeColor="text1"/>
        </w:rPr>
        <w:t xml:space="preserve"> in der zweiten Hälfte des </w:t>
      </w:r>
      <w:r w:rsidRPr="00901CC1">
        <w:rPr>
          <w:color w:val="000000" w:themeColor="text1"/>
        </w:rPr>
        <w:t xml:space="preserve">2. </w:t>
      </w:r>
      <w:proofErr w:type="spellStart"/>
      <w:r w:rsidRPr="00901CC1">
        <w:rPr>
          <w:color w:val="000000" w:themeColor="text1"/>
        </w:rPr>
        <w:t>Jhs</w:t>
      </w:r>
      <w:proofErr w:type="spellEnd"/>
      <w:r w:rsidRPr="00901CC1">
        <w:rPr>
          <w:color w:val="000000" w:themeColor="text1"/>
        </w:rPr>
        <w:t>.</w:t>
      </w:r>
      <w:r w:rsidR="00D05366" w:rsidRPr="00901CC1">
        <w:rPr>
          <w:color w:val="000000" w:themeColor="text1"/>
        </w:rPr>
        <w:t xml:space="preserve"> </w:t>
      </w:r>
      <w:proofErr w:type="spellStart"/>
      <w:r w:rsidRPr="00901CC1">
        <w:rPr>
          <w:color w:val="000000" w:themeColor="text1"/>
        </w:rPr>
        <w:t>vChr</w:t>
      </w:r>
      <w:proofErr w:type="spellEnd"/>
      <w:r w:rsidRPr="00901CC1">
        <w:rPr>
          <w:color w:val="000000" w:themeColor="text1"/>
        </w:rPr>
        <w:t xml:space="preserve">. </w:t>
      </w:r>
      <w:r w:rsidR="00D05366" w:rsidRPr="00901CC1">
        <w:rPr>
          <w:color w:val="000000" w:themeColor="text1"/>
        </w:rPr>
        <w:t xml:space="preserve">hat prägen lassen und der auf </w:t>
      </w:r>
      <w:r w:rsidR="005837E8" w:rsidRPr="00901CC1">
        <w:rPr>
          <w:color w:val="000000" w:themeColor="text1"/>
        </w:rPr>
        <w:t>dem</w:t>
      </w:r>
      <w:r w:rsidR="00D05366" w:rsidRPr="00901CC1">
        <w:rPr>
          <w:color w:val="000000" w:themeColor="text1"/>
        </w:rPr>
        <w:t xml:space="preserve"> Revers eine Schwurszene </w:t>
      </w:r>
      <w:r w:rsidR="00FC180C" w:rsidRPr="00901CC1">
        <w:rPr>
          <w:color w:val="000000" w:themeColor="text1"/>
        </w:rPr>
        <w:t>zeigt</w:t>
      </w:r>
      <w:r w:rsidRPr="00901CC1">
        <w:rPr>
          <w:color w:val="000000" w:themeColor="text1"/>
        </w:rPr>
        <w:t>,</w:t>
      </w:r>
      <w:r w:rsidR="00901CC1" w:rsidRPr="00901CC1">
        <w:rPr>
          <w:rStyle w:val="Funotenzeichen"/>
          <w:color w:val="000000" w:themeColor="text1"/>
        </w:rPr>
        <w:footnoteReference w:id="1"/>
      </w:r>
      <w:r w:rsidRPr="00901CC1">
        <w:rPr>
          <w:color w:val="000000" w:themeColor="text1"/>
        </w:rPr>
        <w:t xml:space="preserve"> ist eine der bekannteren Münzen der mittleren </w:t>
      </w:r>
      <w:r w:rsidR="00901CC1">
        <w:rPr>
          <w:color w:val="000000" w:themeColor="text1"/>
        </w:rPr>
        <w:t>r</w:t>
      </w:r>
      <w:r w:rsidRPr="00901CC1">
        <w:rPr>
          <w:color w:val="000000" w:themeColor="text1"/>
        </w:rPr>
        <w:t>ömischen Republik.</w:t>
      </w:r>
      <w:r w:rsidR="00D05366" w:rsidRPr="00901CC1">
        <w:rPr>
          <w:color w:val="000000" w:themeColor="text1"/>
        </w:rPr>
        <w:t xml:space="preserve"> </w:t>
      </w:r>
      <w:r w:rsidRPr="00901CC1">
        <w:rPr>
          <w:color w:val="000000" w:themeColor="text1"/>
        </w:rPr>
        <w:t xml:space="preserve">In </w:t>
      </w:r>
      <w:r w:rsidR="00901CC1" w:rsidRPr="00901CC1">
        <w:rPr>
          <w:color w:val="000000" w:themeColor="text1"/>
        </w:rPr>
        <w:t>der</w:t>
      </w:r>
      <w:r w:rsidRPr="00901CC1">
        <w:rPr>
          <w:color w:val="000000" w:themeColor="text1"/>
        </w:rPr>
        <w:t xml:space="preserve"> von Michael Crawford vorgeschlagenen </w:t>
      </w:r>
      <w:r w:rsidR="003B7AC6" w:rsidRPr="00901CC1">
        <w:rPr>
          <w:color w:val="000000" w:themeColor="text1"/>
        </w:rPr>
        <w:t>(</w:t>
      </w:r>
      <w:r w:rsidRPr="00901CC1">
        <w:rPr>
          <w:color w:val="000000" w:themeColor="text1"/>
        </w:rPr>
        <w:t xml:space="preserve">und mittlerweile zur </w:t>
      </w:r>
      <w:proofErr w:type="spellStart"/>
      <w:r w:rsidRPr="00901CC1">
        <w:rPr>
          <w:i/>
          <w:color w:val="000000" w:themeColor="text1"/>
        </w:rPr>
        <w:t>Communis</w:t>
      </w:r>
      <w:proofErr w:type="spellEnd"/>
      <w:r w:rsidRPr="00901CC1">
        <w:rPr>
          <w:i/>
          <w:color w:val="000000" w:themeColor="text1"/>
        </w:rPr>
        <w:t xml:space="preserve"> </w:t>
      </w:r>
      <w:proofErr w:type="spellStart"/>
      <w:r w:rsidRPr="00901CC1">
        <w:rPr>
          <w:i/>
          <w:color w:val="000000" w:themeColor="text1"/>
        </w:rPr>
        <w:t>opinio</w:t>
      </w:r>
      <w:proofErr w:type="spellEnd"/>
      <w:r w:rsidRPr="00901CC1">
        <w:rPr>
          <w:color w:val="000000" w:themeColor="text1"/>
        </w:rPr>
        <w:t xml:space="preserve"> gewordenen</w:t>
      </w:r>
      <w:r w:rsidR="003B7AC6" w:rsidRPr="00901CC1">
        <w:rPr>
          <w:color w:val="000000" w:themeColor="text1"/>
        </w:rPr>
        <w:t>)</w:t>
      </w:r>
      <w:r w:rsidRPr="00901CC1">
        <w:rPr>
          <w:color w:val="000000" w:themeColor="text1"/>
        </w:rPr>
        <w:t xml:space="preserve"> Datierung ins Jahr 137 steht </w:t>
      </w:r>
      <w:r w:rsidR="00901CC1" w:rsidRPr="00901CC1">
        <w:rPr>
          <w:color w:val="000000" w:themeColor="text1"/>
        </w:rPr>
        <w:t xml:space="preserve">RRC 234/1 </w:t>
      </w:r>
      <w:r w:rsidRPr="00901CC1">
        <w:rPr>
          <w:color w:val="000000" w:themeColor="text1"/>
        </w:rPr>
        <w:t>am Beginn der Verwendung individueller Motive in der Münzprägung</w:t>
      </w:r>
      <w:r w:rsidR="00901CC1" w:rsidRPr="00901CC1">
        <w:rPr>
          <w:color w:val="000000" w:themeColor="text1"/>
        </w:rPr>
        <w:t xml:space="preserve"> Roms</w:t>
      </w:r>
      <w:r w:rsidRPr="00901CC1">
        <w:rPr>
          <w:color w:val="000000" w:themeColor="text1"/>
        </w:rPr>
        <w:t>.</w:t>
      </w:r>
      <w:r w:rsidR="00754554" w:rsidRPr="00901CC1">
        <w:rPr>
          <w:rStyle w:val="Funotenzeichen"/>
          <w:color w:val="000000" w:themeColor="text1"/>
        </w:rPr>
        <w:footnoteReference w:id="2"/>
      </w:r>
      <w:r w:rsidR="004E4F9B" w:rsidRPr="00901CC1">
        <w:rPr>
          <w:color w:val="000000" w:themeColor="text1"/>
        </w:rPr>
        <w:t xml:space="preserve"> </w:t>
      </w:r>
      <w:r w:rsidR="00C4254E" w:rsidRPr="00901CC1">
        <w:rPr>
          <w:color w:val="000000" w:themeColor="text1"/>
        </w:rPr>
        <w:t xml:space="preserve">Hatten römische Prägungen, um im ‚internationalen‘ Verkehr identifizierbar zu sein, bis dahin im Großen und Ganzen auf stets die gleichen Motive zurückgegriffen, so war Roms Dominanz im Mittelmeerraum </w:t>
      </w:r>
      <w:r w:rsidR="00901CC1">
        <w:rPr>
          <w:color w:val="000000" w:themeColor="text1"/>
        </w:rPr>
        <w:t xml:space="preserve">zur </w:t>
      </w:r>
      <w:r w:rsidR="00C4254E" w:rsidRPr="00901CC1">
        <w:rPr>
          <w:color w:val="000000" w:themeColor="text1"/>
        </w:rPr>
        <w:t>Mitte des zweiten Jahrhunderts –</w:t>
      </w:r>
      <w:r w:rsidR="00C5754D">
        <w:rPr>
          <w:color w:val="000000" w:themeColor="text1"/>
        </w:rPr>
        <w:t xml:space="preserve"> </w:t>
      </w:r>
      <w:r w:rsidR="00C4254E" w:rsidRPr="00901CC1">
        <w:rPr>
          <w:color w:val="000000" w:themeColor="text1"/>
        </w:rPr>
        <w:t xml:space="preserve">spätestens mit der Zerstörung Karthagos und Korinths 146 </w:t>
      </w:r>
      <w:proofErr w:type="spellStart"/>
      <w:r w:rsidR="00C4254E" w:rsidRPr="00901CC1">
        <w:rPr>
          <w:color w:val="000000" w:themeColor="text1"/>
        </w:rPr>
        <w:t>vChr</w:t>
      </w:r>
      <w:proofErr w:type="spellEnd"/>
      <w:r w:rsidR="00C4254E" w:rsidRPr="00901CC1">
        <w:rPr>
          <w:color w:val="000000" w:themeColor="text1"/>
        </w:rPr>
        <w:t>.</w:t>
      </w:r>
      <w:r w:rsidR="00C5754D">
        <w:rPr>
          <w:color w:val="000000" w:themeColor="text1"/>
        </w:rPr>
        <w:t xml:space="preserve"> </w:t>
      </w:r>
      <w:r w:rsidR="00C4254E" w:rsidRPr="00901CC1">
        <w:rPr>
          <w:color w:val="000000" w:themeColor="text1"/>
        </w:rPr>
        <w:t xml:space="preserve">– so gefestigt, dass diese unterscheidende Funktion verzichtbar wurde. </w:t>
      </w:r>
      <w:r w:rsidR="004E4F9B" w:rsidRPr="00901CC1">
        <w:rPr>
          <w:color w:val="000000" w:themeColor="text1"/>
        </w:rPr>
        <w:t xml:space="preserve">In dem Maße, in dem der </w:t>
      </w:r>
      <w:proofErr w:type="spellStart"/>
      <w:r w:rsidR="004E4F9B" w:rsidRPr="00901CC1">
        <w:rPr>
          <w:i/>
          <w:color w:val="000000" w:themeColor="text1"/>
        </w:rPr>
        <w:t>orbis</w:t>
      </w:r>
      <w:proofErr w:type="spellEnd"/>
      <w:r w:rsidR="004E4F9B" w:rsidRPr="00901CC1">
        <w:rPr>
          <w:i/>
          <w:color w:val="000000" w:themeColor="text1"/>
        </w:rPr>
        <w:t xml:space="preserve"> Roma</w:t>
      </w:r>
      <w:r w:rsidR="006F555E" w:rsidRPr="00901CC1">
        <w:rPr>
          <w:i/>
          <w:color w:val="000000" w:themeColor="text1"/>
        </w:rPr>
        <w:t>nus</w:t>
      </w:r>
      <w:r w:rsidR="004E4F9B" w:rsidRPr="00901CC1">
        <w:rPr>
          <w:color w:val="000000" w:themeColor="text1"/>
        </w:rPr>
        <w:t xml:space="preserve"> zum </w:t>
      </w:r>
      <w:proofErr w:type="spellStart"/>
      <w:r w:rsidR="004E4F9B" w:rsidRPr="00901CC1">
        <w:rPr>
          <w:i/>
          <w:color w:val="000000" w:themeColor="text1"/>
        </w:rPr>
        <w:t>orbis</w:t>
      </w:r>
      <w:proofErr w:type="spellEnd"/>
      <w:r w:rsidR="004E4F9B" w:rsidRPr="00901CC1">
        <w:rPr>
          <w:i/>
          <w:color w:val="000000" w:themeColor="text1"/>
        </w:rPr>
        <w:t xml:space="preserve"> </w:t>
      </w:r>
      <w:proofErr w:type="spellStart"/>
      <w:r w:rsidR="004E4F9B" w:rsidRPr="00901CC1">
        <w:rPr>
          <w:i/>
          <w:color w:val="000000" w:themeColor="text1"/>
        </w:rPr>
        <w:t>terrarum</w:t>
      </w:r>
      <w:proofErr w:type="spellEnd"/>
      <w:r w:rsidR="004E4F9B" w:rsidRPr="00901CC1">
        <w:rPr>
          <w:color w:val="000000" w:themeColor="text1"/>
        </w:rPr>
        <w:t xml:space="preserve"> </w:t>
      </w:r>
      <w:r w:rsidR="005837E8" w:rsidRPr="00901CC1">
        <w:rPr>
          <w:color w:val="000000" w:themeColor="text1"/>
        </w:rPr>
        <w:t>w</w:t>
      </w:r>
      <w:r w:rsidR="00901CC1" w:rsidRPr="00901CC1">
        <w:rPr>
          <w:color w:val="000000" w:themeColor="text1"/>
        </w:rPr>
        <w:t>u</w:t>
      </w:r>
      <w:r w:rsidR="005837E8" w:rsidRPr="00901CC1">
        <w:rPr>
          <w:color w:val="000000" w:themeColor="text1"/>
        </w:rPr>
        <w:t>rde</w:t>
      </w:r>
      <w:r w:rsidR="004E4F9B" w:rsidRPr="00901CC1">
        <w:rPr>
          <w:color w:val="000000" w:themeColor="text1"/>
        </w:rPr>
        <w:t xml:space="preserve">, </w:t>
      </w:r>
      <w:r w:rsidR="00C27AEE" w:rsidRPr="00901CC1">
        <w:rPr>
          <w:color w:val="000000" w:themeColor="text1"/>
        </w:rPr>
        <w:t xml:space="preserve">wurden Münzen zunehmend als Medium </w:t>
      </w:r>
      <w:r w:rsidR="00E3494C" w:rsidRPr="00901CC1">
        <w:rPr>
          <w:color w:val="000000" w:themeColor="text1"/>
        </w:rPr>
        <w:t xml:space="preserve">der </w:t>
      </w:r>
      <w:r w:rsidR="00C27AEE" w:rsidRPr="00901CC1">
        <w:rPr>
          <w:color w:val="000000" w:themeColor="text1"/>
        </w:rPr>
        <w:t>interne</w:t>
      </w:r>
      <w:r w:rsidR="00E3494C" w:rsidRPr="00901CC1">
        <w:rPr>
          <w:color w:val="000000" w:themeColor="text1"/>
        </w:rPr>
        <w:t>n</w:t>
      </w:r>
      <w:r w:rsidR="00C27AEE" w:rsidRPr="00901CC1">
        <w:rPr>
          <w:color w:val="000000" w:themeColor="text1"/>
        </w:rPr>
        <w:t xml:space="preserve"> </w:t>
      </w:r>
      <w:r w:rsidR="00C27AEE" w:rsidRPr="00334887">
        <w:rPr>
          <w:color w:val="000000" w:themeColor="text1"/>
        </w:rPr>
        <w:t>Kommunikation im politischen Betrieb der Stadt entdeckt.</w:t>
      </w:r>
      <w:r w:rsidR="005358EC" w:rsidRPr="00334887">
        <w:rPr>
          <w:color w:val="000000" w:themeColor="text1"/>
        </w:rPr>
        <w:t xml:space="preserve"> </w:t>
      </w:r>
      <w:r w:rsidR="00C4254E" w:rsidRPr="00334887">
        <w:rPr>
          <w:color w:val="000000" w:themeColor="text1"/>
        </w:rPr>
        <w:t>Dies führte, nach verschiedenen, eher tastenden</w:t>
      </w:r>
      <w:r w:rsidR="00901CC1" w:rsidRPr="00334887">
        <w:rPr>
          <w:color w:val="000000" w:themeColor="text1"/>
        </w:rPr>
        <w:t xml:space="preserve"> </w:t>
      </w:r>
      <w:r w:rsidR="00C4254E" w:rsidRPr="00334887">
        <w:rPr>
          <w:color w:val="000000" w:themeColor="text1"/>
        </w:rPr>
        <w:t>Vorstufen, schließlich zur Aufgabe der</w:t>
      </w:r>
      <w:r w:rsidR="00901CC1" w:rsidRPr="00334887">
        <w:rPr>
          <w:color w:val="000000" w:themeColor="text1"/>
        </w:rPr>
        <w:t xml:space="preserve"> </w:t>
      </w:r>
      <w:r w:rsidR="00901CC1">
        <w:rPr>
          <w:color w:val="000000" w:themeColor="text1"/>
        </w:rPr>
        <w:t>traditionellen</w:t>
      </w:r>
      <w:r w:rsidR="00C4254E" w:rsidRPr="00901CC1">
        <w:rPr>
          <w:color w:val="000000" w:themeColor="text1"/>
        </w:rPr>
        <w:t xml:space="preserve"> Motivbindung.</w:t>
      </w:r>
      <w:r w:rsidR="00C4254E" w:rsidRPr="00901CC1">
        <w:rPr>
          <w:rStyle w:val="Funotenzeichen"/>
          <w:color w:val="000000" w:themeColor="text1"/>
        </w:rPr>
        <w:footnoteReference w:id="3"/>
      </w:r>
      <w:r w:rsidR="00C4254E" w:rsidRPr="00901CC1">
        <w:rPr>
          <w:color w:val="000000" w:themeColor="text1"/>
        </w:rPr>
        <w:t xml:space="preserve"> </w:t>
      </w:r>
      <w:r w:rsidR="00901CC1" w:rsidRPr="00901CC1">
        <w:rPr>
          <w:color w:val="000000" w:themeColor="text1"/>
        </w:rPr>
        <w:t>A</w:t>
      </w:r>
      <w:r w:rsidR="00C4254E" w:rsidRPr="00901CC1">
        <w:rPr>
          <w:color w:val="000000" w:themeColor="text1"/>
        </w:rPr>
        <w:t xml:space="preserve">ls konkreter Anlass für die Prägung </w:t>
      </w:r>
      <w:r w:rsidR="00901CC1" w:rsidRPr="00901CC1">
        <w:rPr>
          <w:color w:val="000000" w:themeColor="text1"/>
        </w:rPr>
        <w:t>d</w:t>
      </w:r>
      <w:r w:rsidR="00C4254E" w:rsidRPr="00901CC1">
        <w:rPr>
          <w:color w:val="000000" w:themeColor="text1"/>
        </w:rPr>
        <w:t xml:space="preserve">er </w:t>
      </w:r>
      <w:proofErr w:type="spellStart"/>
      <w:r w:rsidR="00C4254E" w:rsidRPr="00901CC1">
        <w:rPr>
          <w:color w:val="000000" w:themeColor="text1"/>
        </w:rPr>
        <w:t>Eidszene</w:t>
      </w:r>
      <w:proofErr w:type="spellEnd"/>
      <w:r w:rsidR="00C4254E" w:rsidRPr="00901CC1">
        <w:rPr>
          <w:color w:val="000000" w:themeColor="text1"/>
        </w:rPr>
        <w:t xml:space="preserve"> auf dem </w:t>
      </w:r>
      <w:proofErr w:type="spellStart"/>
      <w:r w:rsidR="00C4254E" w:rsidRPr="00901CC1">
        <w:rPr>
          <w:color w:val="000000" w:themeColor="text1"/>
        </w:rPr>
        <w:t>Veturius</w:t>
      </w:r>
      <w:proofErr w:type="spellEnd"/>
      <w:r w:rsidR="00C4254E" w:rsidRPr="00901CC1">
        <w:rPr>
          <w:color w:val="000000" w:themeColor="text1"/>
        </w:rPr>
        <w:t xml:space="preserve">-Denar </w:t>
      </w:r>
      <w:r w:rsidR="00901CC1" w:rsidRPr="00901CC1">
        <w:rPr>
          <w:color w:val="000000" w:themeColor="text1"/>
        </w:rPr>
        <w:t xml:space="preserve">wird dabei </w:t>
      </w:r>
      <w:r w:rsidR="00C4254E" w:rsidRPr="00901CC1">
        <w:rPr>
          <w:color w:val="000000" w:themeColor="text1"/>
        </w:rPr>
        <w:t xml:space="preserve">meist die Diskussion um die Gültigkeit </w:t>
      </w:r>
      <w:r w:rsidR="00901CC1">
        <w:rPr>
          <w:color w:val="000000" w:themeColor="text1"/>
        </w:rPr>
        <w:t>eines</w:t>
      </w:r>
      <w:r w:rsidR="00C4254E" w:rsidRPr="00901CC1">
        <w:rPr>
          <w:color w:val="000000" w:themeColor="text1"/>
        </w:rPr>
        <w:t xml:space="preserve"> </w:t>
      </w:r>
      <w:r w:rsidR="00901CC1">
        <w:rPr>
          <w:color w:val="000000" w:themeColor="text1"/>
        </w:rPr>
        <w:t xml:space="preserve">vom Konsul C. </w:t>
      </w:r>
      <w:proofErr w:type="spellStart"/>
      <w:r w:rsidR="00901CC1">
        <w:rPr>
          <w:color w:val="000000" w:themeColor="text1"/>
        </w:rPr>
        <w:t>Hostilius</w:t>
      </w:r>
      <w:proofErr w:type="spellEnd"/>
      <w:r w:rsidR="00901CC1">
        <w:rPr>
          <w:color w:val="000000" w:themeColor="text1"/>
        </w:rPr>
        <w:t xml:space="preserve"> </w:t>
      </w:r>
      <w:proofErr w:type="spellStart"/>
      <w:r w:rsidR="00901CC1">
        <w:rPr>
          <w:color w:val="000000" w:themeColor="text1"/>
        </w:rPr>
        <w:t>Mancinus</w:t>
      </w:r>
      <w:proofErr w:type="spellEnd"/>
      <w:r w:rsidR="00901CC1">
        <w:rPr>
          <w:color w:val="000000" w:themeColor="text1"/>
        </w:rPr>
        <w:t xml:space="preserve"> 137 mit der spanischen Stadt </w:t>
      </w:r>
      <w:proofErr w:type="spellStart"/>
      <w:r w:rsidR="00901CC1">
        <w:rPr>
          <w:color w:val="000000" w:themeColor="text1"/>
        </w:rPr>
        <w:t>Numantia</w:t>
      </w:r>
      <w:proofErr w:type="spellEnd"/>
      <w:r w:rsidR="00901CC1">
        <w:rPr>
          <w:color w:val="000000" w:themeColor="text1"/>
        </w:rPr>
        <w:t xml:space="preserve"> geschlossenen </w:t>
      </w:r>
      <w:r w:rsidR="00901CC1" w:rsidRPr="00901CC1">
        <w:rPr>
          <w:color w:val="000000" w:themeColor="text1"/>
        </w:rPr>
        <w:t>V</w:t>
      </w:r>
      <w:r w:rsidR="00C4254E" w:rsidRPr="00901CC1">
        <w:rPr>
          <w:color w:val="000000" w:themeColor="text1"/>
        </w:rPr>
        <w:t xml:space="preserve">ertrages </w:t>
      </w:r>
      <w:r w:rsidR="00901CC1">
        <w:rPr>
          <w:color w:val="000000" w:themeColor="text1"/>
        </w:rPr>
        <w:t xml:space="preserve">genannt </w:t>
      </w:r>
      <w:r w:rsidR="00C4254E" w:rsidRPr="00901CC1">
        <w:rPr>
          <w:color w:val="000000" w:themeColor="text1"/>
        </w:rPr>
        <w:t xml:space="preserve">– ein Kontext, </w:t>
      </w:r>
      <w:r w:rsidR="00901CC1">
        <w:rPr>
          <w:color w:val="000000" w:themeColor="text1"/>
        </w:rPr>
        <w:t xml:space="preserve">der auch Eingang in die </w:t>
      </w:r>
      <w:r w:rsidR="00C4254E" w:rsidRPr="00901CC1">
        <w:rPr>
          <w:color w:val="000000" w:themeColor="text1"/>
        </w:rPr>
        <w:t>Datierung der Münze bei Crawford</w:t>
      </w:r>
      <w:r w:rsidR="00901CC1">
        <w:rPr>
          <w:color w:val="000000" w:themeColor="text1"/>
        </w:rPr>
        <w:t xml:space="preserve"> fand. </w:t>
      </w:r>
    </w:p>
    <w:p w14:paraId="750923AC" w14:textId="6065F1D9" w:rsidR="00901CC1" w:rsidRPr="00901CC1" w:rsidRDefault="00E3494C" w:rsidP="00901CC1">
      <w:pPr>
        <w:spacing w:after="120" w:line="300" w:lineRule="auto"/>
        <w:jc w:val="both"/>
        <w:rPr>
          <w:color w:val="000000" w:themeColor="text1"/>
        </w:rPr>
      </w:pPr>
      <w:r w:rsidRPr="00901CC1">
        <w:rPr>
          <w:color w:val="000000" w:themeColor="text1"/>
        </w:rPr>
        <w:t>D</w:t>
      </w:r>
      <w:r w:rsidR="00901CC1" w:rsidRPr="00901CC1">
        <w:rPr>
          <w:color w:val="000000" w:themeColor="text1"/>
        </w:rPr>
        <w:t>ies</w:t>
      </w:r>
      <w:r w:rsidR="00274E29" w:rsidRPr="00901CC1">
        <w:rPr>
          <w:color w:val="000000" w:themeColor="text1"/>
        </w:rPr>
        <w:t xml:space="preserve">er </w:t>
      </w:r>
      <w:r w:rsidRPr="00901CC1">
        <w:rPr>
          <w:color w:val="000000" w:themeColor="text1"/>
        </w:rPr>
        <w:t xml:space="preserve">Aufsatz </w:t>
      </w:r>
      <w:r w:rsidR="00274E29" w:rsidRPr="00901CC1">
        <w:rPr>
          <w:color w:val="000000" w:themeColor="text1"/>
        </w:rPr>
        <w:t xml:space="preserve">hat nicht das Ziel, den Denar grundsätzlich aus diesem historischen </w:t>
      </w:r>
      <w:r w:rsidR="00901CC1" w:rsidRPr="00901CC1">
        <w:rPr>
          <w:color w:val="000000" w:themeColor="text1"/>
        </w:rPr>
        <w:t>Kontext</w:t>
      </w:r>
      <w:r w:rsidR="00274E29" w:rsidRPr="00901CC1">
        <w:rPr>
          <w:color w:val="000000" w:themeColor="text1"/>
        </w:rPr>
        <w:t xml:space="preserve"> zu lösen, </w:t>
      </w:r>
      <w:r w:rsidR="009F5008" w:rsidRPr="00901CC1">
        <w:rPr>
          <w:color w:val="000000" w:themeColor="text1"/>
        </w:rPr>
        <w:t xml:space="preserve">sondern </w:t>
      </w:r>
      <w:r w:rsidR="00274E29" w:rsidRPr="00901CC1">
        <w:rPr>
          <w:color w:val="000000" w:themeColor="text1"/>
        </w:rPr>
        <w:t xml:space="preserve">möchte </w:t>
      </w:r>
      <w:r w:rsidR="00901CC1" w:rsidRPr="00901CC1">
        <w:rPr>
          <w:color w:val="000000" w:themeColor="text1"/>
        </w:rPr>
        <w:t>lediglich auf einige problematische Axiome einer gängigen ‚</w:t>
      </w:r>
      <w:proofErr w:type="spellStart"/>
      <w:r w:rsidR="00901CC1" w:rsidRPr="00901CC1">
        <w:rPr>
          <w:color w:val="000000" w:themeColor="text1"/>
        </w:rPr>
        <w:t>faktionalen</w:t>
      </w:r>
      <w:proofErr w:type="spellEnd"/>
      <w:r w:rsidR="00901CC1" w:rsidRPr="00901CC1">
        <w:rPr>
          <w:color w:val="000000" w:themeColor="text1"/>
        </w:rPr>
        <w:t xml:space="preserve">‘ Deutung hinweisen und darauf aufbauend </w:t>
      </w:r>
      <w:r w:rsidR="00274E29" w:rsidRPr="00901CC1">
        <w:rPr>
          <w:color w:val="000000" w:themeColor="text1"/>
        </w:rPr>
        <w:t>eine bisher nicht diskutierte Deutung</w:t>
      </w:r>
      <w:r w:rsidR="00901CC1" w:rsidRPr="00901CC1">
        <w:rPr>
          <w:color w:val="000000" w:themeColor="text1"/>
        </w:rPr>
        <w:t>smöglichkeit</w:t>
      </w:r>
      <w:r w:rsidR="00274E29" w:rsidRPr="00901CC1">
        <w:rPr>
          <w:color w:val="000000" w:themeColor="text1"/>
        </w:rPr>
        <w:t xml:space="preserve"> aufzeigen</w:t>
      </w:r>
      <w:r w:rsidR="00901CC1" w:rsidRPr="00901CC1">
        <w:rPr>
          <w:color w:val="000000" w:themeColor="text1"/>
        </w:rPr>
        <w:t xml:space="preserve">, die auf eben diese Axiome verzichten kann, RRC 234/1 dabei aber gleichzeitig nicht aus dem generellen Interpretationskontext des </w:t>
      </w:r>
      <w:proofErr w:type="spellStart"/>
      <w:r w:rsidR="00901CC1" w:rsidRPr="00901CC1">
        <w:rPr>
          <w:color w:val="000000" w:themeColor="text1"/>
        </w:rPr>
        <w:t>Mancinus</w:t>
      </w:r>
      <w:proofErr w:type="spellEnd"/>
      <w:r w:rsidR="00901CC1" w:rsidRPr="00901CC1">
        <w:rPr>
          <w:color w:val="000000" w:themeColor="text1"/>
        </w:rPr>
        <w:t>-Vertrages löst.</w:t>
      </w:r>
      <w:r w:rsidR="00274E29" w:rsidRPr="00901CC1">
        <w:rPr>
          <w:color w:val="000000" w:themeColor="text1"/>
        </w:rPr>
        <w:t xml:space="preserve"> </w:t>
      </w:r>
      <w:r w:rsidR="00901CC1" w:rsidRPr="00901CC1">
        <w:rPr>
          <w:color w:val="000000" w:themeColor="text1"/>
        </w:rPr>
        <w:t xml:space="preserve">Die Grundidee dabei ist, dass </w:t>
      </w:r>
      <w:r w:rsidR="00274E29" w:rsidRPr="00901CC1">
        <w:rPr>
          <w:color w:val="000000" w:themeColor="text1"/>
        </w:rPr>
        <w:t xml:space="preserve">die Motivwahl </w:t>
      </w:r>
      <w:r w:rsidR="00901CC1" w:rsidRPr="00901CC1">
        <w:rPr>
          <w:color w:val="000000" w:themeColor="text1"/>
        </w:rPr>
        <w:t xml:space="preserve">des </w:t>
      </w:r>
      <w:proofErr w:type="spellStart"/>
      <w:r w:rsidR="00901CC1" w:rsidRPr="00901CC1">
        <w:rPr>
          <w:color w:val="000000" w:themeColor="text1"/>
        </w:rPr>
        <w:t>Veturius</w:t>
      </w:r>
      <w:proofErr w:type="spellEnd"/>
      <w:r w:rsidR="00901CC1" w:rsidRPr="00901CC1">
        <w:rPr>
          <w:color w:val="000000" w:themeColor="text1"/>
        </w:rPr>
        <w:t xml:space="preserve"> möglicherweise </w:t>
      </w:r>
      <w:r w:rsidR="00274E29" w:rsidRPr="00901CC1">
        <w:rPr>
          <w:color w:val="000000" w:themeColor="text1"/>
        </w:rPr>
        <w:t>gar keine</w:t>
      </w:r>
      <w:r w:rsidR="00901CC1" w:rsidRPr="00901CC1">
        <w:rPr>
          <w:color w:val="000000" w:themeColor="text1"/>
        </w:rPr>
        <w:t>r</w:t>
      </w:r>
      <w:r w:rsidR="00274E29" w:rsidRPr="00901CC1">
        <w:rPr>
          <w:color w:val="000000" w:themeColor="text1"/>
        </w:rPr>
        <w:t xml:space="preserve"> direkte</w:t>
      </w:r>
      <w:r w:rsidR="00901CC1" w:rsidRPr="00901CC1">
        <w:rPr>
          <w:color w:val="000000" w:themeColor="text1"/>
        </w:rPr>
        <w:t>n</w:t>
      </w:r>
      <w:r w:rsidR="00274E29" w:rsidRPr="00901CC1">
        <w:rPr>
          <w:color w:val="000000" w:themeColor="text1"/>
        </w:rPr>
        <w:t xml:space="preserve"> Stellungnahme in </w:t>
      </w:r>
      <w:r w:rsidR="009F5008" w:rsidRPr="00901CC1">
        <w:rPr>
          <w:color w:val="000000" w:themeColor="text1"/>
        </w:rPr>
        <w:t>einer</w:t>
      </w:r>
      <w:r w:rsidR="00274E29" w:rsidRPr="00901CC1">
        <w:rPr>
          <w:color w:val="000000" w:themeColor="text1"/>
        </w:rPr>
        <w:t xml:space="preserve"> laufende</w:t>
      </w:r>
      <w:r w:rsidR="00901CC1">
        <w:rPr>
          <w:color w:val="000000" w:themeColor="text1"/>
        </w:rPr>
        <w:t>n</w:t>
      </w:r>
      <w:r w:rsidR="00274E29" w:rsidRPr="00901CC1">
        <w:rPr>
          <w:color w:val="000000" w:themeColor="text1"/>
        </w:rPr>
        <w:t xml:space="preserve"> Debatte</w:t>
      </w:r>
      <w:r w:rsidR="00901CC1" w:rsidRPr="00901CC1">
        <w:rPr>
          <w:color w:val="000000" w:themeColor="text1"/>
        </w:rPr>
        <w:t xml:space="preserve"> geschuldet war</w:t>
      </w:r>
      <w:r w:rsidR="00274E29" w:rsidRPr="00901CC1">
        <w:rPr>
          <w:color w:val="000000" w:themeColor="text1"/>
        </w:rPr>
        <w:t xml:space="preserve">, sondern erst </w:t>
      </w:r>
      <w:r w:rsidR="00901CC1" w:rsidRPr="00901CC1">
        <w:rPr>
          <w:color w:val="000000" w:themeColor="text1"/>
        </w:rPr>
        <w:t xml:space="preserve">nach Abschluss der </w:t>
      </w:r>
      <w:proofErr w:type="spellStart"/>
      <w:r w:rsidR="00901CC1">
        <w:rPr>
          <w:color w:val="000000" w:themeColor="text1"/>
        </w:rPr>
        <w:t>Mancinus</w:t>
      </w:r>
      <w:proofErr w:type="spellEnd"/>
      <w:r w:rsidR="00901CC1">
        <w:rPr>
          <w:color w:val="000000" w:themeColor="text1"/>
        </w:rPr>
        <w:t>-</w:t>
      </w:r>
      <w:r w:rsidR="00901CC1" w:rsidRPr="00901CC1">
        <w:rPr>
          <w:color w:val="000000" w:themeColor="text1"/>
        </w:rPr>
        <w:t>Affäre</w:t>
      </w:r>
      <w:r w:rsidR="00274E29" w:rsidRPr="00901CC1">
        <w:rPr>
          <w:color w:val="000000" w:themeColor="text1"/>
        </w:rPr>
        <w:t xml:space="preserve"> </w:t>
      </w:r>
      <w:r w:rsidR="00901CC1">
        <w:rPr>
          <w:color w:val="000000" w:themeColor="text1"/>
        </w:rPr>
        <w:t xml:space="preserve">einen eher indirekten </w:t>
      </w:r>
      <w:r w:rsidR="00274E29" w:rsidRPr="00901CC1">
        <w:rPr>
          <w:color w:val="000000" w:themeColor="text1"/>
        </w:rPr>
        <w:t xml:space="preserve">Bezug auf das bemerkenswerte (und in Rom sicherlich ‚bemerkte‘) weitere Schicksal des </w:t>
      </w:r>
      <w:r w:rsidR="00901CC1">
        <w:rPr>
          <w:color w:val="000000" w:themeColor="text1"/>
        </w:rPr>
        <w:t>Konsuls von 137</w:t>
      </w:r>
      <w:r w:rsidR="00274E29" w:rsidRPr="00901CC1">
        <w:rPr>
          <w:color w:val="000000" w:themeColor="text1"/>
        </w:rPr>
        <w:t xml:space="preserve"> </w:t>
      </w:r>
      <w:r w:rsidR="00901CC1">
        <w:rPr>
          <w:color w:val="000000" w:themeColor="text1"/>
        </w:rPr>
        <w:t xml:space="preserve">herstellte. Hierdurch wird der Denar wieder stärker als Medium </w:t>
      </w:r>
      <w:proofErr w:type="spellStart"/>
      <w:r w:rsidR="00901CC1">
        <w:rPr>
          <w:color w:val="000000" w:themeColor="text1"/>
        </w:rPr>
        <w:t>familiarer</w:t>
      </w:r>
      <w:proofErr w:type="spellEnd"/>
      <w:r w:rsidR="00901CC1">
        <w:rPr>
          <w:color w:val="000000" w:themeColor="text1"/>
        </w:rPr>
        <w:t xml:space="preserve"> </w:t>
      </w:r>
      <w:r w:rsidR="00901CC1">
        <w:rPr>
          <w:color w:val="000000" w:themeColor="text1"/>
        </w:rPr>
        <w:lastRenderedPageBreak/>
        <w:t xml:space="preserve">Repräsentation verortet, eine Funktion, die angesichts der herrschenden </w:t>
      </w:r>
      <w:proofErr w:type="spellStart"/>
      <w:r w:rsidR="00901CC1">
        <w:rPr>
          <w:color w:val="000000" w:themeColor="text1"/>
        </w:rPr>
        <w:t>faktionalen</w:t>
      </w:r>
      <w:proofErr w:type="spellEnd"/>
      <w:r w:rsidR="00901CC1">
        <w:rPr>
          <w:color w:val="000000" w:themeColor="text1"/>
        </w:rPr>
        <w:t xml:space="preserve"> Deutung häufig in den Hintergrund rückt, die sich aber nichtsdestoweniger pl</w:t>
      </w:r>
      <w:r w:rsidR="00901CC1" w:rsidRPr="00901CC1">
        <w:rPr>
          <w:color w:val="000000" w:themeColor="text1"/>
        </w:rPr>
        <w:t>ausibel in den allgemeinen historischen Trend der betrachteten Zeit einordnen lässt.</w:t>
      </w:r>
      <w:r w:rsidR="00901CC1" w:rsidRPr="00901CC1">
        <w:rPr>
          <w:rStyle w:val="Funotenzeichen"/>
          <w:color w:val="000000" w:themeColor="text1"/>
        </w:rPr>
        <w:footnoteReference w:id="4"/>
      </w:r>
    </w:p>
    <w:p w14:paraId="16396747" w14:textId="2BBBE361" w:rsidR="009535C8" w:rsidRPr="00F5112F" w:rsidRDefault="00274E29" w:rsidP="00901CC1">
      <w:pPr>
        <w:spacing w:after="120" w:line="300" w:lineRule="auto"/>
        <w:jc w:val="both"/>
        <w:rPr>
          <w:color w:val="000000" w:themeColor="text1"/>
        </w:rPr>
      </w:pPr>
      <w:r w:rsidRPr="00901CC1">
        <w:rPr>
          <w:color w:val="000000" w:themeColor="text1"/>
        </w:rPr>
        <w:t xml:space="preserve">Nach </w:t>
      </w:r>
      <w:r w:rsidR="00901CC1" w:rsidRPr="00901CC1">
        <w:rPr>
          <w:color w:val="000000" w:themeColor="text1"/>
        </w:rPr>
        <w:t>einer kurzen</w:t>
      </w:r>
      <w:r w:rsidRPr="00901CC1">
        <w:rPr>
          <w:color w:val="000000" w:themeColor="text1"/>
        </w:rPr>
        <w:t xml:space="preserve"> Skizzierung der </w:t>
      </w:r>
      <w:r w:rsidR="00901CC1" w:rsidRPr="00901CC1">
        <w:rPr>
          <w:color w:val="000000" w:themeColor="text1"/>
        </w:rPr>
        <w:t>momentan vor</w:t>
      </w:r>
      <w:r w:rsidRPr="00901CC1">
        <w:rPr>
          <w:color w:val="000000" w:themeColor="text1"/>
        </w:rPr>
        <w:t xml:space="preserve">herrschenden </w:t>
      </w:r>
      <w:proofErr w:type="spellStart"/>
      <w:r w:rsidRPr="00901CC1">
        <w:rPr>
          <w:color w:val="000000" w:themeColor="text1"/>
        </w:rPr>
        <w:t>faktionalen</w:t>
      </w:r>
      <w:proofErr w:type="spellEnd"/>
      <w:r w:rsidRPr="00901CC1">
        <w:rPr>
          <w:color w:val="000000" w:themeColor="text1"/>
        </w:rPr>
        <w:t xml:space="preserve"> Deutung des Denars in der Folge von Crawford (I) möchte</w:t>
      </w:r>
      <w:r w:rsidR="009F5008" w:rsidRPr="00901CC1">
        <w:rPr>
          <w:color w:val="000000" w:themeColor="text1"/>
        </w:rPr>
        <w:t xml:space="preserve"> ich </w:t>
      </w:r>
      <w:r w:rsidRPr="00901CC1">
        <w:rPr>
          <w:color w:val="000000" w:themeColor="text1"/>
        </w:rPr>
        <w:t xml:space="preserve">zunächst einige Kritikpunkte an den </w:t>
      </w:r>
      <w:r w:rsidR="00901CC1" w:rsidRPr="00901CC1">
        <w:rPr>
          <w:color w:val="000000" w:themeColor="text1"/>
        </w:rPr>
        <w:t xml:space="preserve">impliziten und expliziten </w:t>
      </w:r>
      <w:r w:rsidRPr="00901CC1">
        <w:rPr>
          <w:color w:val="000000" w:themeColor="text1"/>
        </w:rPr>
        <w:t>Grundlagen dieser Interpretation anbringen (II), um daraufhin einen neuen Kontext für die un</w:t>
      </w:r>
      <w:r w:rsidRPr="00F5112F">
        <w:rPr>
          <w:color w:val="000000" w:themeColor="text1"/>
        </w:rPr>
        <w:t xml:space="preserve">gewöhnliche Motivwahl </w:t>
      </w:r>
      <w:r w:rsidR="00901CC1" w:rsidRPr="00F5112F">
        <w:rPr>
          <w:color w:val="000000" w:themeColor="text1"/>
        </w:rPr>
        <w:t xml:space="preserve">des </w:t>
      </w:r>
      <w:proofErr w:type="spellStart"/>
      <w:r w:rsidR="00901CC1" w:rsidRPr="00F5112F">
        <w:rPr>
          <w:color w:val="000000" w:themeColor="text1"/>
        </w:rPr>
        <w:t>Veturius</w:t>
      </w:r>
      <w:proofErr w:type="spellEnd"/>
      <w:r w:rsidR="00901CC1" w:rsidRPr="00F5112F">
        <w:rPr>
          <w:color w:val="000000" w:themeColor="text1"/>
        </w:rPr>
        <w:t xml:space="preserve"> </w:t>
      </w:r>
      <w:r w:rsidRPr="00F5112F">
        <w:rPr>
          <w:color w:val="000000" w:themeColor="text1"/>
        </w:rPr>
        <w:t xml:space="preserve">vorzuschlagen (III). </w:t>
      </w:r>
    </w:p>
    <w:p w14:paraId="0C8A9DA0" w14:textId="3F6CBDBA" w:rsidR="00116C9D" w:rsidRPr="00F5112F" w:rsidRDefault="00116C9D" w:rsidP="00901CC1">
      <w:pPr>
        <w:spacing w:after="120" w:line="300" w:lineRule="auto"/>
        <w:jc w:val="both"/>
        <w:rPr>
          <w:color w:val="000000" w:themeColor="text1"/>
        </w:rPr>
      </w:pPr>
      <w:r w:rsidRPr="00F5112F">
        <w:rPr>
          <w:color w:val="000000" w:themeColor="text1"/>
        </w:rPr>
        <w:t>I</w:t>
      </w:r>
    </w:p>
    <w:p w14:paraId="1EBBB364" w14:textId="1ABF0AFD" w:rsidR="00FC7C8D" w:rsidRPr="009A0D2E" w:rsidRDefault="00B055FD" w:rsidP="00901CC1">
      <w:pPr>
        <w:spacing w:after="120" w:line="300" w:lineRule="auto"/>
        <w:jc w:val="both"/>
        <w:rPr>
          <w:color w:val="000000" w:themeColor="text1"/>
          <w:lang w:val="en-US"/>
        </w:rPr>
      </w:pPr>
      <w:r w:rsidRPr="009A0D2E">
        <w:rPr>
          <w:color w:val="000000" w:themeColor="text1"/>
        </w:rPr>
        <w:t xml:space="preserve">Die herrschende Deutung des Denars wurde </w:t>
      </w:r>
      <w:r w:rsidR="00F5112F" w:rsidRPr="009A0D2E">
        <w:rPr>
          <w:color w:val="000000" w:themeColor="text1"/>
        </w:rPr>
        <w:t xml:space="preserve">1974 </w:t>
      </w:r>
      <w:r w:rsidRPr="009A0D2E">
        <w:rPr>
          <w:color w:val="000000" w:themeColor="text1"/>
        </w:rPr>
        <w:t xml:space="preserve">von Crawford </w:t>
      </w:r>
      <w:r w:rsidR="00FC7C8D" w:rsidRPr="009A0D2E">
        <w:rPr>
          <w:color w:val="000000" w:themeColor="text1"/>
        </w:rPr>
        <w:t xml:space="preserve">in seinem grundlegenden Werk ‚Roman </w:t>
      </w:r>
      <w:proofErr w:type="spellStart"/>
      <w:r w:rsidR="00FC7C8D" w:rsidRPr="009A0D2E">
        <w:rPr>
          <w:color w:val="000000" w:themeColor="text1"/>
        </w:rPr>
        <w:t>Republican</w:t>
      </w:r>
      <w:proofErr w:type="spellEnd"/>
      <w:r w:rsidR="00FC7C8D" w:rsidRPr="009A0D2E">
        <w:rPr>
          <w:color w:val="000000" w:themeColor="text1"/>
        </w:rPr>
        <w:t xml:space="preserve"> </w:t>
      </w:r>
      <w:proofErr w:type="spellStart"/>
      <w:r w:rsidR="00FC7C8D" w:rsidRPr="009A0D2E">
        <w:rPr>
          <w:color w:val="000000" w:themeColor="text1"/>
        </w:rPr>
        <w:t>Coinage</w:t>
      </w:r>
      <w:proofErr w:type="spellEnd"/>
      <w:r w:rsidR="00FC7C8D" w:rsidRPr="009A0D2E">
        <w:rPr>
          <w:color w:val="000000" w:themeColor="text1"/>
        </w:rPr>
        <w:t xml:space="preserve">‘ </w:t>
      </w:r>
      <w:r w:rsidRPr="009A0D2E">
        <w:rPr>
          <w:color w:val="000000" w:themeColor="text1"/>
        </w:rPr>
        <w:t>vorgelegt</w:t>
      </w:r>
      <w:r w:rsidR="00F5112F" w:rsidRPr="009A0D2E">
        <w:rPr>
          <w:color w:val="000000" w:themeColor="text1"/>
        </w:rPr>
        <w:t xml:space="preserve"> und ist</w:t>
      </w:r>
      <w:r w:rsidR="00FC7C8D" w:rsidRPr="009A0D2E">
        <w:rPr>
          <w:color w:val="000000" w:themeColor="text1"/>
        </w:rPr>
        <w:t xml:space="preserve"> seitdem allenfalls in</w:t>
      </w:r>
      <w:r w:rsidR="00F5112F" w:rsidRPr="009A0D2E">
        <w:rPr>
          <w:color w:val="000000" w:themeColor="text1"/>
        </w:rPr>
        <w:t xml:space="preserve"> </w:t>
      </w:r>
      <w:r w:rsidR="00FC7C8D" w:rsidRPr="009A0D2E">
        <w:rPr>
          <w:color w:val="000000" w:themeColor="text1"/>
        </w:rPr>
        <w:t>Details modifiziert</w:t>
      </w:r>
      <w:r w:rsidR="00F5112F" w:rsidRPr="009A0D2E">
        <w:rPr>
          <w:color w:val="000000" w:themeColor="text1"/>
        </w:rPr>
        <w:t xml:space="preserve"> worden</w:t>
      </w:r>
      <w:r w:rsidRPr="009A0D2E">
        <w:rPr>
          <w:color w:val="000000" w:themeColor="text1"/>
        </w:rPr>
        <w:t>.</w:t>
      </w:r>
      <w:r w:rsidR="00FC7C8D" w:rsidRPr="009A0D2E">
        <w:rPr>
          <w:rStyle w:val="Funotenzeichen"/>
          <w:color w:val="000000" w:themeColor="text1"/>
        </w:rPr>
        <w:footnoteReference w:id="5"/>
      </w:r>
      <w:r w:rsidRPr="009A0D2E">
        <w:rPr>
          <w:color w:val="000000" w:themeColor="text1"/>
        </w:rPr>
        <w:t xml:space="preserve"> </w:t>
      </w:r>
      <w:r w:rsidR="00F5112F" w:rsidRPr="009A0D2E">
        <w:rPr>
          <w:color w:val="000000" w:themeColor="text1"/>
        </w:rPr>
        <w:t>N</w:t>
      </w:r>
      <w:r w:rsidR="00FC7C8D" w:rsidRPr="009A0D2E">
        <w:rPr>
          <w:color w:val="000000" w:themeColor="text1"/>
        </w:rPr>
        <w:t xml:space="preserve">ach </w:t>
      </w:r>
      <w:r w:rsidR="00F5112F" w:rsidRPr="009A0D2E">
        <w:rPr>
          <w:color w:val="000000" w:themeColor="text1"/>
        </w:rPr>
        <w:t xml:space="preserve">Crawford </w:t>
      </w:r>
      <w:r w:rsidR="00334887">
        <w:rPr>
          <w:color w:val="000000" w:themeColor="text1"/>
        </w:rPr>
        <w:t>nimmt</w:t>
      </w:r>
      <w:r w:rsidR="00FC7C8D" w:rsidRPr="009A0D2E">
        <w:rPr>
          <w:color w:val="000000" w:themeColor="text1"/>
        </w:rPr>
        <w:t xml:space="preserve"> die Schwurszene </w:t>
      </w:r>
      <w:r w:rsidR="00F5112F" w:rsidRPr="009A0D2E">
        <w:rPr>
          <w:color w:val="000000" w:themeColor="text1"/>
        </w:rPr>
        <w:t xml:space="preserve">im Revers von RRC 234/1 </w:t>
      </w:r>
      <w:r w:rsidR="00FC7C8D" w:rsidRPr="009A0D2E">
        <w:rPr>
          <w:color w:val="000000" w:themeColor="text1"/>
        </w:rPr>
        <w:t xml:space="preserve">Bezug auf den Vertrag, den die Römer 321 nach ihrer Kapitulation an den </w:t>
      </w:r>
      <w:proofErr w:type="spellStart"/>
      <w:r w:rsidR="00FC7C8D" w:rsidRPr="009A0D2E">
        <w:rPr>
          <w:color w:val="000000" w:themeColor="text1"/>
        </w:rPr>
        <w:t>Caudinischen</w:t>
      </w:r>
      <w:proofErr w:type="spellEnd"/>
      <w:r w:rsidR="00FC7C8D" w:rsidRPr="009A0D2E">
        <w:rPr>
          <w:color w:val="000000" w:themeColor="text1"/>
        </w:rPr>
        <w:t xml:space="preserve"> Pässen mit den Samniten abschließen mussten. Als römische Befehlshaber dienten hierbei die Konsuln </w:t>
      </w:r>
      <w:proofErr w:type="spellStart"/>
      <w:r w:rsidR="00FC7C8D" w:rsidRPr="009A0D2E">
        <w:rPr>
          <w:color w:val="000000" w:themeColor="text1"/>
        </w:rPr>
        <w:t>Sp</w:t>
      </w:r>
      <w:proofErr w:type="spellEnd"/>
      <w:r w:rsidR="00FC7C8D" w:rsidRPr="009A0D2E">
        <w:rPr>
          <w:color w:val="000000" w:themeColor="text1"/>
        </w:rPr>
        <w:t xml:space="preserve">. </w:t>
      </w:r>
      <w:proofErr w:type="spellStart"/>
      <w:r w:rsidR="00FC7C8D" w:rsidRPr="009A0D2E">
        <w:rPr>
          <w:color w:val="000000" w:themeColor="text1"/>
        </w:rPr>
        <w:t>Postumius</w:t>
      </w:r>
      <w:proofErr w:type="spellEnd"/>
      <w:r w:rsidR="00FC7C8D" w:rsidRPr="009A0D2E">
        <w:rPr>
          <w:color w:val="000000" w:themeColor="text1"/>
        </w:rPr>
        <w:t xml:space="preserve"> Albinus und T. </w:t>
      </w:r>
      <w:proofErr w:type="spellStart"/>
      <w:r w:rsidR="00FC7C8D" w:rsidRPr="009A0D2E">
        <w:rPr>
          <w:color w:val="000000" w:themeColor="text1"/>
        </w:rPr>
        <w:t>Veturius</w:t>
      </w:r>
      <w:proofErr w:type="spellEnd"/>
      <w:r w:rsidR="00FC7C8D" w:rsidRPr="009A0D2E">
        <w:rPr>
          <w:color w:val="000000" w:themeColor="text1"/>
        </w:rPr>
        <w:t xml:space="preserve"> </w:t>
      </w:r>
      <w:proofErr w:type="spellStart"/>
      <w:r w:rsidR="00FC7C8D" w:rsidRPr="009A0D2E">
        <w:rPr>
          <w:color w:val="000000" w:themeColor="text1"/>
        </w:rPr>
        <w:t>Calvinus</w:t>
      </w:r>
      <w:proofErr w:type="spellEnd"/>
      <w:r w:rsidR="00FC7C8D" w:rsidRPr="009A0D2E">
        <w:rPr>
          <w:color w:val="000000" w:themeColor="text1"/>
        </w:rPr>
        <w:t xml:space="preserve">, letzterer ein Ahn des Münzmeisters von 137, woraus sich </w:t>
      </w:r>
      <w:r w:rsidR="009A0D2E" w:rsidRPr="009A0D2E">
        <w:rPr>
          <w:color w:val="000000" w:themeColor="text1"/>
        </w:rPr>
        <w:t xml:space="preserve">letztlich auch </w:t>
      </w:r>
      <w:r w:rsidR="00FC7C8D" w:rsidRPr="009A0D2E">
        <w:rPr>
          <w:color w:val="000000" w:themeColor="text1"/>
        </w:rPr>
        <w:t xml:space="preserve">die vorgeschlagene Bezugnahme der Münze </w:t>
      </w:r>
      <w:r w:rsidR="009A0D2E" w:rsidRPr="009A0D2E">
        <w:rPr>
          <w:color w:val="000000" w:themeColor="text1"/>
        </w:rPr>
        <w:t xml:space="preserve">auf diese historische Situation </w:t>
      </w:r>
      <w:r w:rsidR="00FC7C8D" w:rsidRPr="009A0D2E">
        <w:rPr>
          <w:color w:val="000000" w:themeColor="text1"/>
        </w:rPr>
        <w:t>ergibt.</w:t>
      </w:r>
      <w:r w:rsidR="001A1D00" w:rsidRPr="009A0D2E">
        <w:rPr>
          <w:rStyle w:val="Funotenzeichen"/>
          <w:color w:val="000000" w:themeColor="text1"/>
        </w:rPr>
        <w:footnoteReference w:id="6"/>
      </w:r>
      <w:r w:rsidR="00A5749D" w:rsidRPr="009A0D2E">
        <w:rPr>
          <w:color w:val="000000" w:themeColor="text1"/>
        </w:rPr>
        <w:t xml:space="preserve"> </w:t>
      </w:r>
      <w:r w:rsidR="00472489" w:rsidRPr="009A0D2E">
        <w:rPr>
          <w:color w:val="000000" w:themeColor="text1"/>
        </w:rPr>
        <w:t>Laut des Berichts bei Livius war der als schmählich empfundene Vertrag vom römischen Senat zurückgewiesen und die Konsuln den Samniten zur Sühnung ausgeliefert worden, die diese jedoch nicht annahmen.</w:t>
      </w:r>
      <w:r w:rsidR="009A0D2E" w:rsidRPr="009A0D2E">
        <w:rPr>
          <w:rStyle w:val="Funotenzeichen"/>
          <w:color w:val="000000" w:themeColor="text1"/>
        </w:rPr>
        <w:footnoteReference w:id="7"/>
      </w:r>
      <w:r w:rsidR="00472489" w:rsidRPr="009A0D2E">
        <w:rPr>
          <w:color w:val="000000" w:themeColor="text1"/>
        </w:rPr>
        <w:t xml:space="preserve"> Crawford hält diese Version des zurückgewiesenen Vertrags für eine sekundäre Tradition: Ursprünglich sei </w:t>
      </w:r>
      <w:r w:rsidR="009A0D2E">
        <w:rPr>
          <w:color w:val="000000" w:themeColor="text1"/>
        </w:rPr>
        <w:t>die Übereinkunft</w:t>
      </w:r>
      <w:r w:rsidR="00472489" w:rsidRPr="009A0D2E">
        <w:rPr>
          <w:color w:val="000000" w:themeColor="text1"/>
        </w:rPr>
        <w:t xml:space="preserve"> </w:t>
      </w:r>
      <w:r w:rsidR="009A0D2E">
        <w:rPr>
          <w:color w:val="000000" w:themeColor="text1"/>
        </w:rPr>
        <w:t xml:space="preserve">von 321 </w:t>
      </w:r>
      <w:r w:rsidR="00472489" w:rsidRPr="009A0D2E">
        <w:rPr>
          <w:color w:val="000000" w:themeColor="text1"/>
        </w:rPr>
        <w:t xml:space="preserve">sehr wohl gültig geblieben, die Tradition der Zurückweisung habe sich erst später durchgesetzt, </w:t>
      </w:r>
      <w:r w:rsidR="00F429BA" w:rsidRPr="009A0D2E">
        <w:rPr>
          <w:color w:val="000000" w:themeColor="text1"/>
        </w:rPr>
        <w:t xml:space="preserve">und </w:t>
      </w:r>
      <w:r w:rsidR="00472489" w:rsidRPr="009A0D2E">
        <w:rPr>
          <w:color w:val="000000" w:themeColor="text1"/>
        </w:rPr>
        <w:t xml:space="preserve">zwar infolge der Debatten um den </w:t>
      </w:r>
      <w:proofErr w:type="spellStart"/>
      <w:r w:rsidR="00472489" w:rsidRPr="009A0D2E">
        <w:rPr>
          <w:color w:val="000000" w:themeColor="text1"/>
        </w:rPr>
        <w:t>Mancinus</w:t>
      </w:r>
      <w:proofErr w:type="spellEnd"/>
      <w:r w:rsidR="00472489" w:rsidRPr="009A0D2E">
        <w:rPr>
          <w:color w:val="000000" w:themeColor="text1"/>
        </w:rPr>
        <w:t xml:space="preserve">-Vertrag 137. </w:t>
      </w:r>
      <w:r w:rsidR="00E23ED1" w:rsidRPr="009A0D2E">
        <w:rPr>
          <w:color w:val="000000" w:themeColor="text1"/>
          <w:lang w:val="en-US"/>
        </w:rPr>
        <w:t xml:space="preserve">Der </w:t>
      </w:r>
      <w:proofErr w:type="spellStart"/>
      <w:r w:rsidR="00E23ED1" w:rsidRPr="009A0D2E">
        <w:rPr>
          <w:color w:val="000000" w:themeColor="text1"/>
          <w:lang w:val="en-US"/>
        </w:rPr>
        <w:t>Veturius-Denar</w:t>
      </w:r>
      <w:proofErr w:type="spellEnd"/>
      <w:r w:rsidR="00E23ED1" w:rsidRPr="009A0D2E">
        <w:rPr>
          <w:color w:val="000000" w:themeColor="text1"/>
          <w:lang w:val="en-US"/>
        </w:rPr>
        <w:t xml:space="preserve"> </w:t>
      </w:r>
      <w:proofErr w:type="spellStart"/>
      <w:r w:rsidR="00F429BA" w:rsidRPr="009A0D2E">
        <w:rPr>
          <w:color w:val="000000" w:themeColor="text1"/>
          <w:lang w:val="en-US"/>
        </w:rPr>
        <w:t>selbst</w:t>
      </w:r>
      <w:proofErr w:type="spellEnd"/>
      <w:r w:rsidR="00F429BA" w:rsidRPr="009A0D2E">
        <w:rPr>
          <w:color w:val="000000" w:themeColor="text1"/>
          <w:lang w:val="en-US"/>
        </w:rPr>
        <w:t xml:space="preserve"> </w:t>
      </w:r>
      <w:proofErr w:type="spellStart"/>
      <w:r w:rsidR="00E23ED1" w:rsidRPr="009A0D2E">
        <w:rPr>
          <w:color w:val="000000" w:themeColor="text1"/>
          <w:lang w:val="en-US"/>
        </w:rPr>
        <w:t>sei</w:t>
      </w:r>
      <w:proofErr w:type="spellEnd"/>
      <w:r w:rsidR="00E23ED1" w:rsidRPr="009A0D2E">
        <w:rPr>
          <w:color w:val="000000" w:themeColor="text1"/>
          <w:lang w:val="en-US"/>
        </w:rPr>
        <w:t xml:space="preserve"> </w:t>
      </w:r>
      <w:proofErr w:type="spellStart"/>
      <w:r w:rsidR="00E23ED1" w:rsidRPr="009A0D2E">
        <w:rPr>
          <w:color w:val="000000" w:themeColor="text1"/>
          <w:lang w:val="en-US"/>
        </w:rPr>
        <w:t>ein</w:t>
      </w:r>
      <w:proofErr w:type="spellEnd"/>
      <w:r w:rsidR="00E23ED1" w:rsidRPr="009A0D2E">
        <w:rPr>
          <w:color w:val="000000" w:themeColor="text1"/>
          <w:lang w:val="en-US"/>
        </w:rPr>
        <w:t xml:space="preserve"> </w:t>
      </w:r>
      <w:proofErr w:type="spellStart"/>
      <w:r w:rsidR="009A0D2E" w:rsidRPr="009A0D2E">
        <w:rPr>
          <w:color w:val="000000" w:themeColor="text1"/>
          <w:lang w:val="en-US"/>
        </w:rPr>
        <w:t>Hinweis</w:t>
      </w:r>
      <w:proofErr w:type="spellEnd"/>
      <w:r w:rsidR="009A0D2E" w:rsidRPr="009A0D2E">
        <w:rPr>
          <w:color w:val="000000" w:themeColor="text1"/>
          <w:lang w:val="en-US"/>
        </w:rPr>
        <w:t xml:space="preserve"> auf </w:t>
      </w:r>
      <w:proofErr w:type="spellStart"/>
      <w:r w:rsidR="00F429BA" w:rsidRPr="009A0D2E">
        <w:rPr>
          <w:color w:val="000000" w:themeColor="text1"/>
          <w:lang w:val="en-US"/>
        </w:rPr>
        <w:t>die</w:t>
      </w:r>
      <w:r w:rsidR="009A0D2E">
        <w:rPr>
          <w:color w:val="000000" w:themeColor="text1"/>
          <w:lang w:val="en-US"/>
        </w:rPr>
        <w:t>se</w:t>
      </w:r>
      <w:proofErr w:type="spellEnd"/>
      <w:r w:rsidR="00F429BA" w:rsidRPr="009A0D2E">
        <w:rPr>
          <w:color w:val="000000" w:themeColor="text1"/>
          <w:lang w:val="en-US"/>
        </w:rPr>
        <w:t xml:space="preserve"> </w:t>
      </w:r>
      <w:proofErr w:type="spellStart"/>
      <w:r w:rsidR="00F429BA" w:rsidRPr="009A0D2E">
        <w:rPr>
          <w:color w:val="000000" w:themeColor="text1"/>
          <w:lang w:val="en-US"/>
        </w:rPr>
        <w:t>ältere</w:t>
      </w:r>
      <w:proofErr w:type="spellEnd"/>
      <w:r w:rsidR="00F429BA" w:rsidRPr="009A0D2E">
        <w:rPr>
          <w:color w:val="000000" w:themeColor="text1"/>
          <w:lang w:val="en-US"/>
        </w:rPr>
        <w:t xml:space="preserve"> Tradition des </w:t>
      </w:r>
      <w:proofErr w:type="spellStart"/>
      <w:r w:rsidR="00F429BA" w:rsidRPr="009A0D2E">
        <w:rPr>
          <w:color w:val="000000" w:themeColor="text1"/>
          <w:lang w:val="en-US"/>
        </w:rPr>
        <w:t>gültigen</w:t>
      </w:r>
      <w:proofErr w:type="spellEnd"/>
      <w:r w:rsidR="00F429BA" w:rsidRPr="009A0D2E">
        <w:rPr>
          <w:color w:val="000000" w:themeColor="text1"/>
          <w:lang w:val="en-US"/>
        </w:rPr>
        <w:t xml:space="preserve"> </w:t>
      </w:r>
      <w:proofErr w:type="spellStart"/>
      <w:r w:rsidR="00F429BA" w:rsidRPr="009A0D2E">
        <w:rPr>
          <w:color w:val="000000" w:themeColor="text1"/>
          <w:lang w:val="en-US"/>
        </w:rPr>
        <w:t>Vertrags</w:t>
      </w:r>
      <w:proofErr w:type="spellEnd"/>
      <w:r w:rsidR="00E23ED1" w:rsidRPr="009A0D2E">
        <w:rPr>
          <w:color w:val="000000" w:themeColor="text1"/>
          <w:lang w:val="en-US"/>
        </w:rPr>
        <w:t xml:space="preserve">, da Crawford </w:t>
      </w:r>
      <w:proofErr w:type="spellStart"/>
      <w:r w:rsidR="00E23ED1" w:rsidRPr="009A0D2E">
        <w:rPr>
          <w:color w:val="000000" w:themeColor="text1"/>
          <w:lang w:val="en-US"/>
        </w:rPr>
        <w:t>meint</w:t>
      </w:r>
      <w:proofErr w:type="spellEnd"/>
      <w:r w:rsidR="00F429BA" w:rsidRPr="009A0D2E">
        <w:rPr>
          <w:color w:val="000000" w:themeColor="text1"/>
          <w:lang w:val="en-US"/>
        </w:rPr>
        <w:t xml:space="preserve">, das </w:t>
      </w:r>
      <w:proofErr w:type="spellStart"/>
      <w:r w:rsidR="00F429BA" w:rsidRPr="009A0D2E">
        <w:rPr>
          <w:color w:val="000000" w:themeColor="text1"/>
          <w:lang w:val="en-US"/>
        </w:rPr>
        <w:t>Motiv</w:t>
      </w:r>
      <w:proofErr w:type="spellEnd"/>
      <w:r w:rsidR="00F429BA" w:rsidRPr="009A0D2E">
        <w:rPr>
          <w:color w:val="000000" w:themeColor="text1"/>
          <w:lang w:val="en-US"/>
        </w:rPr>
        <w:t xml:space="preserve"> „could hardly have been produced if the story of the repudiation of the agreement of the </w:t>
      </w:r>
      <w:proofErr w:type="spellStart"/>
      <w:r w:rsidR="00F429BA" w:rsidRPr="009A0D2E">
        <w:rPr>
          <w:color w:val="000000" w:themeColor="text1"/>
          <w:lang w:val="en-US"/>
        </w:rPr>
        <w:t>Caudine</w:t>
      </w:r>
      <w:proofErr w:type="spellEnd"/>
      <w:r w:rsidR="00F429BA" w:rsidRPr="009A0D2E">
        <w:rPr>
          <w:color w:val="000000" w:themeColor="text1"/>
          <w:lang w:val="en-US"/>
        </w:rPr>
        <w:t xml:space="preserve"> Forks was already established as orthodoxy”.</w:t>
      </w:r>
      <w:r w:rsidR="00F429BA" w:rsidRPr="009A0D2E">
        <w:rPr>
          <w:rStyle w:val="Funotenzeichen"/>
          <w:color w:val="000000" w:themeColor="text1"/>
          <w:lang w:val="en-US"/>
        </w:rPr>
        <w:footnoteReference w:id="8"/>
      </w:r>
    </w:p>
    <w:p w14:paraId="7301131D" w14:textId="0E7AE816" w:rsidR="001A65CA" w:rsidRDefault="00F429BA" w:rsidP="00901CC1">
      <w:pPr>
        <w:spacing w:after="120" w:line="300" w:lineRule="auto"/>
        <w:jc w:val="both"/>
        <w:rPr>
          <w:color w:val="000000" w:themeColor="text1"/>
        </w:rPr>
      </w:pPr>
      <w:r w:rsidRPr="009A0D2E">
        <w:rPr>
          <w:color w:val="000000" w:themeColor="text1"/>
        </w:rPr>
        <w:lastRenderedPageBreak/>
        <w:t xml:space="preserve">Die Bezugnahme </w:t>
      </w:r>
      <w:r w:rsidR="009A0D2E" w:rsidRPr="009A0D2E">
        <w:rPr>
          <w:color w:val="000000" w:themeColor="text1"/>
        </w:rPr>
        <w:t xml:space="preserve">der Münze </w:t>
      </w:r>
      <w:r w:rsidRPr="009A0D2E">
        <w:rPr>
          <w:color w:val="000000" w:themeColor="text1"/>
        </w:rPr>
        <w:t xml:space="preserve">auf </w:t>
      </w:r>
      <w:proofErr w:type="spellStart"/>
      <w:r w:rsidRPr="009A0D2E">
        <w:rPr>
          <w:color w:val="000000" w:themeColor="text1"/>
        </w:rPr>
        <w:t>Caudium</w:t>
      </w:r>
      <w:proofErr w:type="spellEnd"/>
      <w:r w:rsidRPr="009A0D2E">
        <w:rPr>
          <w:color w:val="000000" w:themeColor="text1"/>
        </w:rPr>
        <w:t xml:space="preserve"> und T. </w:t>
      </w:r>
      <w:proofErr w:type="spellStart"/>
      <w:r w:rsidRPr="009A0D2E">
        <w:rPr>
          <w:color w:val="000000" w:themeColor="text1"/>
        </w:rPr>
        <w:t>Veturius</w:t>
      </w:r>
      <w:proofErr w:type="spellEnd"/>
      <w:r w:rsidRPr="009A0D2E">
        <w:rPr>
          <w:color w:val="000000" w:themeColor="text1"/>
        </w:rPr>
        <w:t xml:space="preserve"> </w:t>
      </w:r>
      <w:proofErr w:type="spellStart"/>
      <w:r w:rsidRPr="009A0D2E">
        <w:rPr>
          <w:color w:val="000000" w:themeColor="text1"/>
        </w:rPr>
        <w:t>Calvinus</w:t>
      </w:r>
      <w:proofErr w:type="spellEnd"/>
      <w:r w:rsidRPr="009A0D2E">
        <w:rPr>
          <w:color w:val="000000" w:themeColor="text1"/>
        </w:rPr>
        <w:t xml:space="preserve"> war aber nur eine Seite der Medaille. Hinter dieser vordergründigen Referenz habe, so Crawford, ein mithin sehr aktuelles Interesse gestanden:</w:t>
      </w:r>
      <w:r w:rsidRPr="009A0D2E">
        <w:rPr>
          <w:rStyle w:val="Funotenzeichen"/>
          <w:color w:val="000000" w:themeColor="text1"/>
        </w:rPr>
        <w:footnoteReference w:id="9"/>
      </w:r>
      <w:r w:rsidRPr="009A0D2E">
        <w:rPr>
          <w:color w:val="000000" w:themeColor="text1"/>
        </w:rPr>
        <w:t xml:space="preserve"> Der </w:t>
      </w:r>
      <w:r w:rsidR="009A0D2E" w:rsidRPr="009A0D2E">
        <w:rPr>
          <w:color w:val="000000" w:themeColor="text1"/>
        </w:rPr>
        <w:t>Münzmeister</w:t>
      </w:r>
      <w:r w:rsidRPr="009A0D2E">
        <w:rPr>
          <w:color w:val="000000" w:themeColor="text1"/>
        </w:rPr>
        <w:t xml:space="preserve"> </w:t>
      </w:r>
      <w:r w:rsidR="008629F6">
        <w:rPr>
          <w:color w:val="000000" w:themeColor="text1"/>
        </w:rPr>
        <w:t>klinkte sich</w:t>
      </w:r>
      <w:r w:rsidRPr="009A0D2E">
        <w:rPr>
          <w:color w:val="000000" w:themeColor="text1"/>
        </w:rPr>
        <w:t xml:space="preserve"> mit der Darstellung </w:t>
      </w:r>
      <w:r w:rsidR="008629F6">
        <w:rPr>
          <w:color w:val="000000" w:themeColor="text1"/>
        </w:rPr>
        <w:t>des</w:t>
      </w:r>
      <w:r w:rsidRPr="009A0D2E">
        <w:rPr>
          <w:color w:val="000000" w:themeColor="text1"/>
        </w:rPr>
        <w:t xml:space="preserve"> eidlich bekräftigten </w:t>
      </w:r>
      <w:r w:rsidR="009A0D2E" w:rsidRPr="009A0D2E">
        <w:rPr>
          <w:color w:val="000000" w:themeColor="text1"/>
        </w:rPr>
        <w:t>(</w:t>
      </w:r>
      <w:r w:rsidRPr="009A0D2E">
        <w:rPr>
          <w:color w:val="000000" w:themeColor="text1"/>
        </w:rPr>
        <w:t xml:space="preserve">und </w:t>
      </w:r>
      <w:r w:rsidR="009A0D2E" w:rsidRPr="009A0D2E">
        <w:rPr>
          <w:color w:val="000000" w:themeColor="text1"/>
        </w:rPr>
        <w:t>historisch wohl</w:t>
      </w:r>
      <w:r w:rsidRPr="009A0D2E">
        <w:rPr>
          <w:color w:val="000000" w:themeColor="text1"/>
        </w:rPr>
        <w:t xml:space="preserve"> gültigen</w:t>
      </w:r>
      <w:r w:rsidR="009A0D2E" w:rsidRPr="009A0D2E">
        <w:rPr>
          <w:color w:val="000000" w:themeColor="text1"/>
        </w:rPr>
        <w:t>)</w:t>
      </w:r>
      <w:r w:rsidRPr="009A0D2E">
        <w:rPr>
          <w:color w:val="000000" w:themeColor="text1"/>
        </w:rPr>
        <w:t xml:space="preserve"> Friedensschlusses </w:t>
      </w:r>
      <w:r w:rsidR="008629F6">
        <w:rPr>
          <w:color w:val="000000" w:themeColor="text1"/>
        </w:rPr>
        <w:t>in die Diskussion um den</w:t>
      </w:r>
      <w:r w:rsidRPr="009A0D2E">
        <w:rPr>
          <w:color w:val="000000" w:themeColor="text1"/>
        </w:rPr>
        <w:t xml:space="preserve"> umstrittenen </w:t>
      </w:r>
      <w:proofErr w:type="spellStart"/>
      <w:r w:rsidRPr="009A0D2E">
        <w:rPr>
          <w:color w:val="000000" w:themeColor="text1"/>
        </w:rPr>
        <w:t>Mancinus</w:t>
      </w:r>
      <w:proofErr w:type="spellEnd"/>
      <w:r w:rsidRPr="009A0D2E">
        <w:rPr>
          <w:color w:val="000000" w:themeColor="text1"/>
        </w:rPr>
        <w:t xml:space="preserve">-Vertrag von 137 </w:t>
      </w:r>
      <w:r w:rsidR="008629F6">
        <w:rPr>
          <w:color w:val="000000" w:themeColor="text1"/>
        </w:rPr>
        <w:t>ein</w:t>
      </w:r>
      <w:r w:rsidRPr="009A0D2E">
        <w:rPr>
          <w:color w:val="000000" w:themeColor="text1"/>
        </w:rPr>
        <w:t xml:space="preserve">. Der Konsul </w:t>
      </w:r>
      <w:proofErr w:type="spellStart"/>
      <w:r w:rsidR="004653EB" w:rsidRPr="009A0D2E">
        <w:rPr>
          <w:color w:val="000000" w:themeColor="text1"/>
        </w:rPr>
        <w:t>Mancinus</w:t>
      </w:r>
      <w:proofErr w:type="spellEnd"/>
      <w:r w:rsidR="004653EB" w:rsidRPr="009A0D2E">
        <w:rPr>
          <w:color w:val="000000" w:themeColor="text1"/>
        </w:rPr>
        <w:t xml:space="preserve"> hatte sich im Krieg gegen </w:t>
      </w:r>
      <w:r w:rsidR="00FC2B1B" w:rsidRPr="009A0D2E">
        <w:rPr>
          <w:color w:val="000000" w:themeColor="text1"/>
        </w:rPr>
        <w:t>das</w:t>
      </w:r>
      <w:r w:rsidR="004653EB" w:rsidRPr="009A0D2E">
        <w:rPr>
          <w:color w:val="000000" w:themeColor="text1"/>
        </w:rPr>
        <w:t xml:space="preserve"> spanische </w:t>
      </w:r>
      <w:proofErr w:type="spellStart"/>
      <w:r w:rsidR="004653EB" w:rsidRPr="009A0D2E">
        <w:rPr>
          <w:color w:val="000000" w:themeColor="text1"/>
        </w:rPr>
        <w:t>Numantia</w:t>
      </w:r>
      <w:proofErr w:type="spellEnd"/>
      <w:r w:rsidR="004653EB" w:rsidRPr="009A0D2E">
        <w:rPr>
          <w:color w:val="000000" w:themeColor="text1"/>
        </w:rPr>
        <w:t xml:space="preserve"> in eine ausweglose Situation manövriert. Um </w:t>
      </w:r>
      <w:r w:rsidR="00936F5A" w:rsidRPr="009A0D2E">
        <w:rPr>
          <w:color w:val="000000" w:themeColor="text1"/>
        </w:rPr>
        <w:t>der</w:t>
      </w:r>
      <w:r w:rsidR="004653EB" w:rsidRPr="009A0D2E">
        <w:rPr>
          <w:color w:val="000000" w:themeColor="text1"/>
        </w:rPr>
        <w:t xml:space="preserve"> Vernichtung zu entgehen, </w:t>
      </w:r>
      <w:r w:rsidR="00936F5A" w:rsidRPr="009A0D2E">
        <w:rPr>
          <w:color w:val="000000" w:themeColor="text1"/>
        </w:rPr>
        <w:t xml:space="preserve">bot er </w:t>
      </w:r>
      <w:r w:rsidRPr="009A0D2E">
        <w:rPr>
          <w:color w:val="000000" w:themeColor="text1"/>
        </w:rPr>
        <w:t>den</w:t>
      </w:r>
      <w:r w:rsidR="00936F5A" w:rsidRPr="009A0D2E">
        <w:rPr>
          <w:color w:val="000000" w:themeColor="text1"/>
        </w:rPr>
        <w:t xml:space="preserve"> Gegnern Verhandlungen an, die von seinem </w:t>
      </w:r>
      <w:proofErr w:type="spellStart"/>
      <w:r w:rsidR="00936F5A" w:rsidRPr="009A0D2E">
        <w:rPr>
          <w:color w:val="000000" w:themeColor="text1"/>
        </w:rPr>
        <w:t>Quaestor</w:t>
      </w:r>
      <w:proofErr w:type="spellEnd"/>
      <w:r w:rsidR="00936F5A" w:rsidRPr="009A0D2E">
        <w:rPr>
          <w:color w:val="000000" w:themeColor="text1"/>
        </w:rPr>
        <w:t xml:space="preserve"> </w:t>
      </w:r>
      <w:proofErr w:type="spellStart"/>
      <w:r w:rsidR="00936F5A" w:rsidRPr="009A0D2E">
        <w:rPr>
          <w:color w:val="000000" w:themeColor="text1"/>
        </w:rPr>
        <w:t>Ti</w:t>
      </w:r>
      <w:proofErr w:type="spellEnd"/>
      <w:r w:rsidR="00936F5A" w:rsidRPr="009A0D2E">
        <w:rPr>
          <w:color w:val="000000" w:themeColor="text1"/>
        </w:rPr>
        <w:t xml:space="preserve">. </w:t>
      </w:r>
      <w:proofErr w:type="spellStart"/>
      <w:r w:rsidR="00936F5A" w:rsidRPr="009A0D2E">
        <w:rPr>
          <w:color w:val="000000" w:themeColor="text1"/>
        </w:rPr>
        <w:t>Sempronius</w:t>
      </w:r>
      <w:proofErr w:type="spellEnd"/>
      <w:r w:rsidR="00936F5A" w:rsidRPr="009A0D2E">
        <w:rPr>
          <w:color w:val="000000" w:themeColor="text1"/>
        </w:rPr>
        <w:t xml:space="preserve"> Gracchus geführt</w:t>
      </w:r>
      <w:r w:rsidR="009A0D2E" w:rsidRPr="009A0D2E">
        <w:rPr>
          <w:color w:val="000000" w:themeColor="text1"/>
        </w:rPr>
        <w:t xml:space="preserve"> </w:t>
      </w:r>
      <w:r w:rsidR="00936F5A" w:rsidRPr="009A0D2E">
        <w:rPr>
          <w:color w:val="000000" w:themeColor="text1"/>
        </w:rPr>
        <w:t xml:space="preserve">wurden und zum Abschluss eines Vertrags führten. </w:t>
      </w:r>
      <w:r w:rsidRPr="009A0D2E">
        <w:rPr>
          <w:color w:val="000000" w:themeColor="text1"/>
        </w:rPr>
        <w:t>In Rom fassten gewichtige Kreise die</w:t>
      </w:r>
      <w:r w:rsidR="009A0D2E" w:rsidRPr="009A0D2E">
        <w:rPr>
          <w:color w:val="000000" w:themeColor="text1"/>
        </w:rPr>
        <w:t>se</w:t>
      </w:r>
      <w:r w:rsidRPr="009A0D2E">
        <w:rPr>
          <w:color w:val="000000" w:themeColor="text1"/>
        </w:rPr>
        <w:t xml:space="preserve"> Ereignisse jedoch als Schmach auf: </w:t>
      </w:r>
      <w:proofErr w:type="spellStart"/>
      <w:r w:rsidRPr="009A0D2E">
        <w:rPr>
          <w:color w:val="000000" w:themeColor="text1"/>
        </w:rPr>
        <w:t>Mancinus</w:t>
      </w:r>
      <w:proofErr w:type="spellEnd"/>
      <w:r w:rsidRPr="009A0D2E">
        <w:rPr>
          <w:color w:val="000000" w:themeColor="text1"/>
        </w:rPr>
        <w:t xml:space="preserve"> wurde abberufen</w:t>
      </w:r>
      <w:r w:rsidR="00B00E5F">
        <w:rPr>
          <w:color w:val="000000" w:themeColor="text1"/>
        </w:rPr>
        <w:t xml:space="preserve">, </w:t>
      </w:r>
      <w:r w:rsidRPr="009A0D2E">
        <w:rPr>
          <w:color w:val="000000" w:themeColor="text1"/>
        </w:rPr>
        <w:t xml:space="preserve">im Senat begann eine Debatte über Ratifizierung oder Zurückweisung des Vertrags, den der erfolglose Konsul zu allem Überfluss </w:t>
      </w:r>
      <w:r w:rsidR="009A0D2E" w:rsidRPr="001A65CA">
        <w:rPr>
          <w:color w:val="000000" w:themeColor="text1"/>
        </w:rPr>
        <w:t xml:space="preserve">auch noch </w:t>
      </w:r>
      <w:r w:rsidRPr="001A65CA">
        <w:rPr>
          <w:color w:val="000000" w:themeColor="text1"/>
        </w:rPr>
        <w:t>beeidet hatte.</w:t>
      </w:r>
      <w:r w:rsidR="009A0D2E" w:rsidRPr="001A65CA">
        <w:rPr>
          <w:rStyle w:val="Funotenzeichen"/>
          <w:color w:val="000000" w:themeColor="text1"/>
        </w:rPr>
        <w:footnoteReference w:id="10"/>
      </w:r>
      <w:r w:rsidRPr="001A65CA">
        <w:rPr>
          <w:color w:val="000000" w:themeColor="text1"/>
        </w:rPr>
        <w:t xml:space="preserve"> Die Parallelen zur Geschichte über die Niederlage Roms bei </w:t>
      </w:r>
      <w:proofErr w:type="spellStart"/>
      <w:r w:rsidRPr="001A65CA">
        <w:rPr>
          <w:color w:val="000000" w:themeColor="text1"/>
        </w:rPr>
        <w:t>Caudium</w:t>
      </w:r>
      <w:proofErr w:type="spellEnd"/>
      <w:r w:rsidRPr="001A65CA">
        <w:rPr>
          <w:color w:val="000000" w:themeColor="text1"/>
        </w:rPr>
        <w:t xml:space="preserve"> fast 200 Jahre zuvor waren </w:t>
      </w:r>
      <w:r w:rsidR="001A65CA" w:rsidRPr="001A65CA">
        <w:rPr>
          <w:color w:val="000000" w:themeColor="text1"/>
        </w:rPr>
        <w:t>deutlich</w:t>
      </w:r>
      <w:r w:rsidRPr="001A65CA">
        <w:rPr>
          <w:color w:val="000000" w:themeColor="text1"/>
        </w:rPr>
        <w:t xml:space="preserve">, weshalb der </w:t>
      </w:r>
      <w:proofErr w:type="spellStart"/>
      <w:r w:rsidRPr="001A65CA">
        <w:rPr>
          <w:color w:val="000000" w:themeColor="text1"/>
        </w:rPr>
        <w:t>Samintenvertrag</w:t>
      </w:r>
      <w:proofErr w:type="spellEnd"/>
      <w:r w:rsidRPr="001A65CA">
        <w:rPr>
          <w:color w:val="000000" w:themeColor="text1"/>
        </w:rPr>
        <w:t xml:space="preserve"> </w:t>
      </w:r>
      <w:r w:rsidR="001A65CA" w:rsidRPr="001A65CA">
        <w:rPr>
          <w:color w:val="000000" w:themeColor="text1"/>
        </w:rPr>
        <w:t xml:space="preserve">offenbar </w:t>
      </w:r>
      <w:r w:rsidRPr="001A65CA">
        <w:rPr>
          <w:color w:val="000000" w:themeColor="text1"/>
        </w:rPr>
        <w:t xml:space="preserve">eine </w:t>
      </w:r>
      <w:r w:rsidR="001A65CA" w:rsidRPr="001A65CA">
        <w:rPr>
          <w:color w:val="000000" w:themeColor="text1"/>
        </w:rPr>
        <w:t xml:space="preserve">gewisse </w:t>
      </w:r>
      <w:r w:rsidRPr="001A65CA">
        <w:rPr>
          <w:color w:val="000000" w:themeColor="text1"/>
        </w:rPr>
        <w:t xml:space="preserve">Rolle in der Debatte um den </w:t>
      </w:r>
      <w:proofErr w:type="spellStart"/>
      <w:r w:rsidRPr="001A65CA">
        <w:rPr>
          <w:color w:val="000000" w:themeColor="text1"/>
        </w:rPr>
        <w:t>Numantiavertrag</w:t>
      </w:r>
      <w:proofErr w:type="spellEnd"/>
      <w:r w:rsidRPr="001A65CA">
        <w:rPr>
          <w:color w:val="000000" w:themeColor="text1"/>
        </w:rPr>
        <w:t xml:space="preserve"> spielte, und zwar</w:t>
      </w:r>
      <w:r w:rsidR="00C5754D">
        <w:rPr>
          <w:color w:val="000000" w:themeColor="text1"/>
        </w:rPr>
        <w:t>,</w:t>
      </w:r>
      <w:r w:rsidRPr="001A65CA">
        <w:rPr>
          <w:color w:val="000000" w:themeColor="text1"/>
        </w:rPr>
        <w:t xml:space="preserve"> angesichts der mutmaßlich historischen Gültigkeit des Vertrags von 321</w:t>
      </w:r>
      <w:r w:rsidR="00C5754D">
        <w:rPr>
          <w:color w:val="000000" w:themeColor="text1"/>
        </w:rPr>
        <w:t>,</w:t>
      </w:r>
      <w:r w:rsidRPr="001A65CA">
        <w:rPr>
          <w:color w:val="000000" w:themeColor="text1"/>
        </w:rPr>
        <w:t xml:space="preserve"> zunächst zugunsten </w:t>
      </w:r>
      <w:r w:rsidR="00FC2B1B" w:rsidRPr="001A65CA">
        <w:rPr>
          <w:color w:val="000000" w:themeColor="text1"/>
        </w:rPr>
        <w:t>s</w:t>
      </w:r>
      <w:r w:rsidRPr="001A65CA">
        <w:rPr>
          <w:color w:val="000000" w:themeColor="text1"/>
        </w:rPr>
        <w:t>einer Annahme.</w:t>
      </w:r>
      <w:r w:rsidR="001A65CA" w:rsidRPr="001A65CA">
        <w:rPr>
          <w:rStyle w:val="Funotenzeichen"/>
          <w:color w:val="000000" w:themeColor="text1"/>
        </w:rPr>
        <w:footnoteReference w:id="11"/>
      </w:r>
      <w:r w:rsidRPr="001A65CA">
        <w:rPr>
          <w:color w:val="000000" w:themeColor="text1"/>
        </w:rPr>
        <w:t xml:space="preserve"> In diesen Kontext gehöre </w:t>
      </w:r>
      <w:r w:rsidR="009A0D2E" w:rsidRPr="001A65CA">
        <w:rPr>
          <w:color w:val="000000" w:themeColor="text1"/>
        </w:rPr>
        <w:t xml:space="preserve">laut Crawford </w:t>
      </w:r>
      <w:r w:rsidRPr="001A65CA">
        <w:rPr>
          <w:color w:val="000000" w:themeColor="text1"/>
        </w:rPr>
        <w:t xml:space="preserve">auch der </w:t>
      </w:r>
      <w:proofErr w:type="spellStart"/>
      <w:r w:rsidRPr="001A65CA">
        <w:rPr>
          <w:color w:val="000000" w:themeColor="text1"/>
        </w:rPr>
        <w:t>Veturius</w:t>
      </w:r>
      <w:proofErr w:type="spellEnd"/>
      <w:r w:rsidRPr="001A65CA">
        <w:rPr>
          <w:color w:val="000000" w:themeColor="text1"/>
        </w:rPr>
        <w:t>-Denar</w:t>
      </w:r>
      <w:r w:rsidR="0040525D" w:rsidRPr="001A65CA">
        <w:rPr>
          <w:color w:val="000000" w:themeColor="text1"/>
        </w:rPr>
        <w:t>:</w:t>
      </w:r>
      <w:r w:rsidRPr="001A65CA">
        <w:rPr>
          <w:color w:val="000000" w:themeColor="text1"/>
        </w:rPr>
        <w:t xml:space="preserve"> </w:t>
      </w:r>
      <w:r w:rsidR="00FC2B1B" w:rsidRPr="001A65CA">
        <w:rPr>
          <w:color w:val="000000" w:themeColor="text1"/>
        </w:rPr>
        <w:t xml:space="preserve">Die Darstellung der sakralen Verbindlichkeit </w:t>
      </w:r>
      <w:r w:rsidR="009A0D2E" w:rsidRPr="001A65CA">
        <w:rPr>
          <w:color w:val="000000" w:themeColor="text1"/>
        </w:rPr>
        <w:t>e</w:t>
      </w:r>
      <w:r w:rsidR="009A0D2E" w:rsidRPr="009A0D2E">
        <w:rPr>
          <w:color w:val="000000" w:themeColor="text1"/>
        </w:rPr>
        <w:t>in</w:t>
      </w:r>
      <w:r w:rsidR="00FC2B1B" w:rsidRPr="009A0D2E">
        <w:rPr>
          <w:color w:val="000000" w:themeColor="text1"/>
        </w:rPr>
        <w:t xml:space="preserve">es Vertrags (vordergründig desjenigen mit den Samniten, in Wahrheit aber desjenigen mit den </w:t>
      </w:r>
      <w:proofErr w:type="spellStart"/>
      <w:r w:rsidR="00FC2B1B" w:rsidRPr="009A0D2E">
        <w:rPr>
          <w:color w:val="000000" w:themeColor="text1"/>
        </w:rPr>
        <w:t>Numantinern</w:t>
      </w:r>
      <w:proofErr w:type="spellEnd"/>
      <w:r w:rsidR="00FC2B1B" w:rsidRPr="009A0D2E">
        <w:rPr>
          <w:color w:val="000000" w:themeColor="text1"/>
        </w:rPr>
        <w:t xml:space="preserve">) </w:t>
      </w:r>
      <w:r w:rsidR="009A0D2E" w:rsidRPr="009A0D2E">
        <w:rPr>
          <w:color w:val="000000" w:themeColor="text1"/>
        </w:rPr>
        <w:t>brachte</w:t>
      </w:r>
      <w:r w:rsidR="00FC2B1B" w:rsidRPr="009A0D2E">
        <w:rPr>
          <w:color w:val="000000" w:themeColor="text1"/>
        </w:rPr>
        <w:t xml:space="preserve"> im Angesicht </w:t>
      </w:r>
      <w:r w:rsidR="009A0D2E" w:rsidRPr="009A0D2E">
        <w:rPr>
          <w:color w:val="000000" w:themeColor="text1"/>
        </w:rPr>
        <w:t>d</w:t>
      </w:r>
      <w:r w:rsidR="00FC2B1B" w:rsidRPr="009A0D2E">
        <w:rPr>
          <w:color w:val="000000" w:themeColor="text1"/>
        </w:rPr>
        <w:t xml:space="preserve">es geforderten Vertragsbruches den bedrohten Wert der </w:t>
      </w:r>
      <w:proofErr w:type="spellStart"/>
      <w:r w:rsidR="00FC2B1B" w:rsidRPr="009A0D2E">
        <w:rPr>
          <w:i/>
          <w:color w:val="000000" w:themeColor="text1"/>
        </w:rPr>
        <w:t>fides</w:t>
      </w:r>
      <w:proofErr w:type="spellEnd"/>
      <w:r w:rsidR="00FC2B1B" w:rsidRPr="009A0D2E">
        <w:rPr>
          <w:i/>
          <w:color w:val="000000" w:themeColor="text1"/>
        </w:rPr>
        <w:t xml:space="preserve"> Romana</w:t>
      </w:r>
      <w:r w:rsidR="00FC2B1B" w:rsidRPr="009A0D2E">
        <w:rPr>
          <w:color w:val="000000" w:themeColor="text1"/>
        </w:rPr>
        <w:t xml:space="preserve"> zum Ausdruck und </w:t>
      </w:r>
      <w:r w:rsidR="009A0D2E" w:rsidRPr="009A0D2E">
        <w:rPr>
          <w:color w:val="000000" w:themeColor="text1"/>
        </w:rPr>
        <w:t xml:space="preserve">setzte </w:t>
      </w:r>
      <w:r w:rsidR="00FC2B1B" w:rsidRPr="009A0D2E">
        <w:rPr>
          <w:color w:val="000000" w:themeColor="text1"/>
        </w:rPr>
        <w:t xml:space="preserve">sich damit für die Ratifizierung der von </w:t>
      </w:r>
      <w:proofErr w:type="spellStart"/>
      <w:r w:rsidR="00FC2B1B" w:rsidRPr="009A0D2E">
        <w:rPr>
          <w:color w:val="000000" w:themeColor="text1"/>
        </w:rPr>
        <w:t>Mancinus</w:t>
      </w:r>
      <w:proofErr w:type="spellEnd"/>
      <w:r w:rsidR="00FC2B1B" w:rsidRPr="009A0D2E">
        <w:rPr>
          <w:color w:val="000000" w:themeColor="text1"/>
        </w:rPr>
        <w:t xml:space="preserve"> getroffenen Regelung </w:t>
      </w:r>
      <w:r w:rsidR="009A0D2E" w:rsidRPr="009A0D2E">
        <w:rPr>
          <w:color w:val="000000" w:themeColor="text1"/>
        </w:rPr>
        <w:t>ein</w:t>
      </w:r>
      <w:r w:rsidR="00FC2B1B" w:rsidRPr="009A0D2E">
        <w:rPr>
          <w:color w:val="000000" w:themeColor="text1"/>
        </w:rPr>
        <w:t>.</w:t>
      </w:r>
      <w:r w:rsidR="0040525D" w:rsidRPr="009A0D2E">
        <w:rPr>
          <w:rStyle w:val="Funotenzeichen"/>
          <w:color w:val="000000" w:themeColor="text1"/>
        </w:rPr>
        <w:footnoteReference w:id="12"/>
      </w:r>
      <w:r w:rsidR="00FC2B1B" w:rsidRPr="009A0D2E">
        <w:rPr>
          <w:color w:val="000000" w:themeColor="text1"/>
        </w:rPr>
        <w:t xml:space="preserve"> </w:t>
      </w:r>
    </w:p>
    <w:p w14:paraId="78D620B7" w14:textId="27FB693D" w:rsidR="00957F4F" w:rsidRPr="004A7CAF" w:rsidRDefault="00957F4F" w:rsidP="00901CC1">
      <w:pPr>
        <w:spacing w:after="120" w:line="300" w:lineRule="auto"/>
        <w:jc w:val="both"/>
        <w:rPr>
          <w:color w:val="000000" w:themeColor="text1"/>
        </w:rPr>
      </w:pPr>
      <w:r w:rsidRPr="009A0D2E">
        <w:rPr>
          <w:color w:val="000000" w:themeColor="text1"/>
        </w:rPr>
        <w:t>I</w:t>
      </w:r>
      <w:r w:rsidRPr="000264EE">
        <w:rPr>
          <w:color w:val="000000" w:themeColor="text1"/>
        </w:rPr>
        <w:t>I</w:t>
      </w:r>
    </w:p>
    <w:p w14:paraId="09C28084" w14:textId="74D36D63" w:rsidR="00863A43" w:rsidRPr="00FC06CD" w:rsidRDefault="006131E8" w:rsidP="00FC06CD">
      <w:pPr>
        <w:spacing w:after="120" w:line="300" w:lineRule="auto"/>
        <w:jc w:val="both"/>
        <w:rPr>
          <w:color w:val="000000" w:themeColor="text1"/>
        </w:rPr>
      </w:pPr>
      <w:r w:rsidRPr="00FC06CD">
        <w:rPr>
          <w:color w:val="000000" w:themeColor="text1"/>
        </w:rPr>
        <w:t xml:space="preserve">Der einzige neuere Versuch einer grundlegenden Neuverortung der Münze </w:t>
      </w:r>
      <w:r w:rsidR="004A7CAF" w:rsidRPr="00FC06CD">
        <w:rPr>
          <w:color w:val="000000" w:themeColor="text1"/>
        </w:rPr>
        <w:t>durch</w:t>
      </w:r>
      <w:r w:rsidRPr="00FC06CD">
        <w:rPr>
          <w:color w:val="000000" w:themeColor="text1"/>
        </w:rPr>
        <w:t xml:space="preserve"> </w:t>
      </w:r>
      <w:proofErr w:type="spellStart"/>
      <w:r w:rsidRPr="00FC06CD">
        <w:rPr>
          <w:color w:val="000000" w:themeColor="text1"/>
        </w:rPr>
        <w:t>Stannard</w:t>
      </w:r>
      <w:proofErr w:type="spellEnd"/>
      <w:r w:rsidRPr="00FC06CD">
        <w:rPr>
          <w:color w:val="000000" w:themeColor="text1"/>
        </w:rPr>
        <w:t xml:space="preserve"> </w:t>
      </w:r>
      <w:r w:rsidR="00E450CE" w:rsidRPr="00FC06CD">
        <w:rPr>
          <w:color w:val="000000" w:themeColor="text1"/>
        </w:rPr>
        <w:t>zieht</w:t>
      </w:r>
      <w:r w:rsidRPr="00FC06CD">
        <w:rPr>
          <w:color w:val="000000" w:themeColor="text1"/>
        </w:rPr>
        <w:t xml:space="preserve"> die Bezugnahme des Denars auf den </w:t>
      </w:r>
      <w:proofErr w:type="spellStart"/>
      <w:r w:rsidRPr="00FC06CD">
        <w:rPr>
          <w:color w:val="000000" w:themeColor="text1"/>
        </w:rPr>
        <w:t>Caudinischen</w:t>
      </w:r>
      <w:proofErr w:type="spellEnd"/>
      <w:r w:rsidRPr="00FC06CD">
        <w:rPr>
          <w:color w:val="000000" w:themeColor="text1"/>
        </w:rPr>
        <w:t xml:space="preserve"> Vertrag in Zweifel. </w:t>
      </w:r>
      <w:proofErr w:type="spellStart"/>
      <w:r w:rsidRPr="00FC06CD">
        <w:rPr>
          <w:color w:val="000000" w:themeColor="text1"/>
        </w:rPr>
        <w:t>Stannard</w:t>
      </w:r>
      <w:proofErr w:type="spellEnd"/>
      <w:r w:rsidRPr="00FC06CD">
        <w:rPr>
          <w:color w:val="000000" w:themeColor="text1"/>
        </w:rPr>
        <w:t xml:space="preserve"> weist auf den </w:t>
      </w:r>
      <w:r w:rsidR="00E450CE" w:rsidRPr="00FC06CD">
        <w:rPr>
          <w:color w:val="000000" w:themeColor="text1"/>
        </w:rPr>
        <w:t>(</w:t>
      </w:r>
      <w:r w:rsidRPr="00FC06CD">
        <w:rPr>
          <w:color w:val="000000" w:themeColor="text1"/>
        </w:rPr>
        <w:t>wohlbekannten</w:t>
      </w:r>
      <w:r w:rsidR="00E450CE" w:rsidRPr="00FC06CD">
        <w:rPr>
          <w:color w:val="000000" w:themeColor="text1"/>
        </w:rPr>
        <w:t>)</w:t>
      </w:r>
      <w:r w:rsidRPr="00FC06CD">
        <w:rPr>
          <w:color w:val="000000" w:themeColor="text1"/>
        </w:rPr>
        <w:t xml:space="preserve"> Umstand hin, dass </w:t>
      </w:r>
      <w:r w:rsidR="00E450CE" w:rsidRPr="00FC06CD">
        <w:rPr>
          <w:color w:val="000000" w:themeColor="text1"/>
        </w:rPr>
        <w:t xml:space="preserve">das </w:t>
      </w:r>
      <w:r w:rsidR="004A7CAF" w:rsidRPr="00FC06CD">
        <w:rPr>
          <w:color w:val="000000" w:themeColor="text1"/>
        </w:rPr>
        <w:t>Motiv von 137</w:t>
      </w:r>
      <w:r w:rsidRPr="00FC06CD">
        <w:rPr>
          <w:color w:val="000000" w:themeColor="text1"/>
        </w:rPr>
        <w:t xml:space="preserve"> </w:t>
      </w:r>
      <w:r w:rsidR="004A7CAF" w:rsidRPr="00FC06CD">
        <w:rPr>
          <w:color w:val="000000" w:themeColor="text1"/>
        </w:rPr>
        <w:t xml:space="preserve">das sog. </w:t>
      </w:r>
      <w:r w:rsidRPr="00FC06CD">
        <w:rPr>
          <w:color w:val="000000" w:themeColor="text1"/>
        </w:rPr>
        <w:t>‚Eidszenengold‘</w:t>
      </w:r>
      <w:r w:rsidR="004A7CAF" w:rsidRPr="00FC06CD">
        <w:rPr>
          <w:color w:val="000000" w:themeColor="text1"/>
        </w:rPr>
        <w:t xml:space="preserve"> des späten 3. </w:t>
      </w:r>
      <w:proofErr w:type="spellStart"/>
      <w:r w:rsidR="004A7CAF" w:rsidRPr="00FC06CD">
        <w:rPr>
          <w:color w:val="000000" w:themeColor="text1"/>
        </w:rPr>
        <w:t>Jh.s</w:t>
      </w:r>
      <w:proofErr w:type="spellEnd"/>
      <w:r w:rsidRPr="00FC06CD">
        <w:rPr>
          <w:color w:val="000000" w:themeColor="text1"/>
        </w:rPr>
        <w:t xml:space="preserve"> kopiere, die</w:t>
      </w:r>
      <w:r w:rsidR="004A7CAF" w:rsidRPr="00FC06CD">
        <w:rPr>
          <w:color w:val="000000" w:themeColor="text1"/>
        </w:rPr>
        <w:t xml:space="preserve"> entsprechenden</w:t>
      </w:r>
      <w:r w:rsidR="00E450CE" w:rsidRPr="00FC06CD">
        <w:rPr>
          <w:color w:val="000000" w:themeColor="text1"/>
        </w:rPr>
        <w:t xml:space="preserve"> </w:t>
      </w:r>
      <w:r w:rsidR="004A7CAF" w:rsidRPr="00FC06CD">
        <w:rPr>
          <w:color w:val="000000" w:themeColor="text1"/>
        </w:rPr>
        <w:t xml:space="preserve">älteren </w:t>
      </w:r>
      <w:r w:rsidR="00E450CE" w:rsidRPr="00FC06CD">
        <w:rPr>
          <w:color w:val="000000" w:themeColor="text1"/>
        </w:rPr>
        <w:t>Prägung</w:t>
      </w:r>
      <w:r w:rsidR="004A7CAF" w:rsidRPr="00FC06CD">
        <w:rPr>
          <w:color w:val="000000" w:themeColor="text1"/>
        </w:rPr>
        <w:t>en</w:t>
      </w:r>
      <w:r w:rsidRPr="00FC06CD">
        <w:rPr>
          <w:color w:val="000000" w:themeColor="text1"/>
        </w:rPr>
        <w:t xml:space="preserve"> aber </w:t>
      </w:r>
      <w:r w:rsidR="00E450CE" w:rsidRPr="00FC06CD">
        <w:rPr>
          <w:color w:val="000000" w:themeColor="text1"/>
        </w:rPr>
        <w:t xml:space="preserve">eben </w:t>
      </w:r>
      <w:r w:rsidRPr="00FC06CD">
        <w:rPr>
          <w:color w:val="000000" w:themeColor="text1"/>
        </w:rPr>
        <w:t xml:space="preserve">nicht mit </w:t>
      </w:r>
      <w:r w:rsidR="004A7CAF" w:rsidRPr="00FC06CD">
        <w:rPr>
          <w:color w:val="000000" w:themeColor="text1"/>
        </w:rPr>
        <w:t xml:space="preserve">dem </w:t>
      </w:r>
      <w:proofErr w:type="spellStart"/>
      <w:r w:rsidRPr="00FC06CD">
        <w:rPr>
          <w:color w:val="000000" w:themeColor="text1"/>
        </w:rPr>
        <w:t>Caudi</w:t>
      </w:r>
      <w:r w:rsidR="00334887">
        <w:rPr>
          <w:color w:val="000000" w:themeColor="text1"/>
        </w:rPr>
        <w:t>ni</w:t>
      </w:r>
      <w:r w:rsidR="004A7CAF" w:rsidRPr="00FC06CD">
        <w:rPr>
          <w:color w:val="000000" w:themeColor="text1"/>
        </w:rPr>
        <w:t>schen</w:t>
      </w:r>
      <w:proofErr w:type="spellEnd"/>
      <w:r w:rsidR="004A7CAF" w:rsidRPr="00FC06CD">
        <w:rPr>
          <w:color w:val="000000" w:themeColor="text1"/>
        </w:rPr>
        <w:t xml:space="preserve"> Vertrag</w:t>
      </w:r>
      <w:r w:rsidRPr="00FC06CD">
        <w:rPr>
          <w:color w:val="000000" w:themeColor="text1"/>
        </w:rPr>
        <w:t xml:space="preserve"> in Verbindung gebracht werden könne</w:t>
      </w:r>
      <w:r w:rsidR="004A7CAF" w:rsidRPr="00FC06CD">
        <w:rPr>
          <w:color w:val="000000" w:themeColor="text1"/>
        </w:rPr>
        <w:t>n</w:t>
      </w:r>
      <w:r w:rsidRPr="00FC06CD">
        <w:rPr>
          <w:color w:val="000000" w:themeColor="text1"/>
        </w:rPr>
        <w:t>. Gleiche</w:t>
      </w:r>
      <w:r w:rsidR="00E450CE" w:rsidRPr="00FC06CD">
        <w:rPr>
          <w:color w:val="000000" w:themeColor="text1"/>
        </w:rPr>
        <w:t>s</w:t>
      </w:r>
      <w:r w:rsidRPr="00FC06CD">
        <w:rPr>
          <w:color w:val="000000" w:themeColor="text1"/>
        </w:rPr>
        <w:t xml:space="preserve"> gelte für die Aufnahme des Motivs </w:t>
      </w:r>
      <w:r w:rsidR="00E450CE" w:rsidRPr="00FC06CD">
        <w:rPr>
          <w:color w:val="000000" w:themeColor="text1"/>
        </w:rPr>
        <w:lastRenderedPageBreak/>
        <w:t xml:space="preserve">durch die Prägungen </w:t>
      </w:r>
      <w:r w:rsidRPr="00FC06CD">
        <w:rPr>
          <w:color w:val="000000" w:themeColor="text1"/>
        </w:rPr>
        <w:t>aufständische</w:t>
      </w:r>
      <w:r w:rsidR="004A7CAF" w:rsidRPr="00FC06CD">
        <w:rPr>
          <w:color w:val="000000" w:themeColor="text1"/>
        </w:rPr>
        <w:t>r</w:t>
      </w:r>
      <w:r w:rsidRPr="00FC06CD">
        <w:rPr>
          <w:color w:val="000000" w:themeColor="text1"/>
        </w:rPr>
        <w:t xml:space="preserve"> </w:t>
      </w:r>
      <w:proofErr w:type="spellStart"/>
      <w:r w:rsidR="00E450CE" w:rsidRPr="00FC06CD">
        <w:rPr>
          <w:i/>
          <w:color w:val="000000" w:themeColor="text1"/>
        </w:rPr>
        <w:t>socii</w:t>
      </w:r>
      <w:proofErr w:type="spellEnd"/>
      <w:r w:rsidRPr="00FC06CD">
        <w:rPr>
          <w:color w:val="000000" w:themeColor="text1"/>
        </w:rPr>
        <w:t xml:space="preserve"> im </w:t>
      </w:r>
      <w:proofErr w:type="spellStart"/>
      <w:r w:rsidRPr="00FC06CD">
        <w:rPr>
          <w:color w:val="000000" w:themeColor="text1"/>
        </w:rPr>
        <w:t>Bundesgenossenkrieg</w:t>
      </w:r>
      <w:proofErr w:type="spellEnd"/>
      <w:r w:rsidRPr="00FC06CD">
        <w:rPr>
          <w:color w:val="000000" w:themeColor="text1"/>
        </w:rPr>
        <w:t>.</w:t>
      </w:r>
      <w:r w:rsidR="00863A43" w:rsidRPr="00FC06CD">
        <w:rPr>
          <w:rStyle w:val="Funotenzeichen"/>
          <w:color w:val="000000" w:themeColor="text1"/>
        </w:rPr>
        <w:footnoteReference w:id="13"/>
      </w:r>
      <w:r w:rsidRPr="00FC06CD">
        <w:rPr>
          <w:color w:val="000000" w:themeColor="text1"/>
        </w:rPr>
        <w:t xml:space="preserve"> </w:t>
      </w:r>
      <w:r w:rsidR="00E450CE" w:rsidRPr="00FC06CD">
        <w:rPr>
          <w:color w:val="000000" w:themeColor="text1"/>
        </w:rPr>
        <w:t xml:space="preserve">Die </w:t>
      </w:r>
      <w:r w:rsidR="004A7CAF" w:rsidRPr="00FC06CD">
        <w:rPr>
          <w:color w:val="000000" w:themeColor="text1"/>
        </w:rPr>
        <w:t xml:space="preserve">allgemein </w:t>
      </w:r>
      <w:r w:rsidR="00E450CE" w:rsidRPr="00FC06CD">
        <w:rPr>
          <w:color w:val="000000" w:themeColor="text1"/>
        </w:rPr>
        <w:t xml:space="preserve">häufige Verwendung des Motivs lasse es daher nicht zu, die Szene auf eine bestimmte Situation zu beziehen, sie stelle </w:t>
      </w:r>
      <w:r w:rsidR="004A7CAF" w:rsidRPr="00FC06CD">
        <w:rPr>
          <w:color w:val="000000" w:themeColor="text1"/>
        </w:rPr>
        <w:t xml:space="preserve">vielmehr </w:t>
      </w:r>
      <w:r w:rsidR="00E450CE" w:rsidRPr="00FC06CD">
        <w:rPr>
          <w:color w:val="000000" w:themeColor="text1"/>
        </w:rPr>
        <w:t xml:space="preserve">den Abschluss eines Vertrags an sich dar, genauer: </w:t>
      </w:r>
      <w:r w:rsidR="004A7CAF" w:rsidRPr="00FC06CD">
        <w:rPr>
          <w:color w:val="000000" w:themeColor="text1"/>
        </w:rPr>
        <w:t xml:space="preserve">den Abschluss </w:t>
      </w:r>
      <w:r w:rsidR="00E450CE" w:rsidRPr="00FC06CD">
        <w:rPr>
          <w:color w:val="000000" w:themeColor="text1"/>
        </w:rPr>
        <w:t xml:space="preserve">eines Pakts </w:t>
      </w:r>
      <w:r w:rsidR="004A7CAF" w:rsidRPr="00FC06CD">
        <w:rPr>
          <w:color w:val="000000" w:themeColor="text1"/>
        </w:rPr>
        <w:t xml:space="preserve">der Römer </w:t>
      </w:r>
      <w:r w:rsidR="00E450CE" w:rsidRPr="00FC06CD">
        <w:rPr>
          <w:color w:val="000000" w:themeColor="text1"/>
        </w:rPr>
        <w:t>mit den Bundesgenossen.</w:t>
      </w:r>
      <w:r w:rsidR="00863A43" w:rsidRPr="00FC06CD">
        <w:rPr>
          <w:rStyle w:val="Funotenzeichen"/>
          <w:color w:val="000000" w:themeColor="text1"/>
        </w:rPr>
        <w:footnoteReference w:id="14"/>
      </w:r>
      <w:r w:rsidR="00E450CE" w:rsidRPr="00FC06CD">
        <w:rPr>
          <w:color w:val="000000" w:themeColor="text1"/>
        </w:rPr>
        <w:t xml:space="preserve"> Diese Umdeutung ist </w:t>
      </w:r>
      <w:r w:rsidR="004A7CAF" w:rsidRPr="00FC06CD">
        <w:rPr>
          <w:color w:val="000000" w:themeColor="text1"/>
        </w:rPr>
        <w:t xml:space="preserve">aber </w:t>
      </w:r>
      <w:r w:rsidR="00E450CE" w:rsidRPr="00FC06CD">
        <w:rPr>
          <w:color w:val="000000" w:themeColor="text1"/>
        </w:rPr>
        <w:t xml:space="preserve">nicht zwingend: Abgesehen davon, dass </w:t>
      </w:r>
      <w:proofErr w:type="spellStart"/>
      <w:r w:rsidR="007C7DD8">
        <w:rPr>
          <w:color w:val="000000" w:themeColor="text1"/>
        </w:rPr>
        <w:t>Stannards</w:t>
      </w:r>
      <w:proofErr w:type="spellEnd"/>
      <w:r w:rsidR="00E450CE" w:rsidRPr="00FC06CD">
        <w:rPr>
          <w:color w:val="000000" w:themeColor="text1"/>
        </w:rPr>
        <w:t xml:space="preserve"> auf Basis </w:t>
      </w:r>
      <w:r w:rsidR="004A7CAF" w:rsidRPr="00FC06CD">
        <w:rPr>
          <w:color w:val="000000" w:themeColor="text1"/>
        </w:rPr>
        <w:t>d</w:t>
      </w:r>
      <w:r w:rsidR="00E450CE" w:rsidRPr="00FC06CD">
        <w:rPr>
          <w:color w:val="000000" w:themeColor="text1"/>
        </w:rPr>
        <w:t xml:space="preserve">er Beobachtung vorgenommene </w:t>
      </w:r>
      <w:r w:rsidR="004A7CAF" w:rsidRPr="00FC06CD">
        <w:rPr>
          <w:color w:val="000000" w:themeColor="text1"/>
        </w:rPr>
        <w:t>Neu</w:t>
      </w:r>
      <w:r w:rsidR="00E450CE" w:rsidRPr="00FC06CD">
        <w:rPr>
          <w:color w:val="000000" w:themeColor="text1"/>
        </w:rPr>
        <w:t xml:space="preserve">datierung </w:t>
      </w:r>
      <w:r w:rsidR="004A7CAF" w:rsidRPr="00FC06CD">
        <w:rPr>
          <w:color w:val="000000" w:themeColor="text1"/>
        </w:rPr>
        <w:t>von RRC 234/1</w:t>
      </w:r>
      <w:r w:rsidR="00E450CE" w:rsidRPr="00FC06CD">
        <w:rPr>
          <w:color w:val="000000" w:themeColor="text1"/>
        </w:rPr>
        <w:t xml:space="preserve"> in die </w:t>
      </w:r>
      <w:r w:rsidR="004A7CAF" w:rsidRPr="00FC06CD">
        <w:rPr>
          <w:color w:val="000000" w:themeColor="text1"/>
        </w:rPr>
        <w:t>Jahre</w:t>
      </w:r>
      <w:r w:rsidR="00E450CE" w:rsidRPr="00FC06CD">
        <w:rPr>
          <w:color w:val="000000" w:themeColor="text1"/>
        </w:rPr>
        <w:t xml:space="preserve"> 123</w:t>
      </w:r>
      <w:r w:rsidR="007C7DD8">
        <w:rPr>
          <w:color w:val="000000" w:themeColor="text1"/>
        </w:rPr>
        <w:t>/</w:t>
      </w:r>
      <w:r w:rsidR="00E450CE" w:rsidRPr="00FC06CD">
        <w:rPr>
          <w:color w:val="000000" w:themeColor="text1"/>
        </w:rPr>
        <w:t>21 zu weitgehend ist,</w:t>
      </w:r>
      <w:r w:rsidR="00E450CE" w:rsidRPr="00FC06CD">
        <w:rPr>
          <w:rStyle w:val="Funotenzeichen"/>
          <w:color w:val="000000" w:themeColor="text1"/>
        </w:rPr>
        <w:footnoteReference w:id="15"/>
      </w:r>
      <w:r w:rsidR="00E450CE" w:rsidRPr="00FC06CD">
        <w:rPr>
          <w:color w:val="000000" w:themeColor="text1"/>
        </w:rPr>
        <w:t xml:space="preserve"> ist es </w:t>
      </w:r>
      <w:r w:rsidR="004A7CAF" w:rsidRPr="00FC06CD">
        <w:rPr>
          <w:color w:val="000000" w:themeColor="text1"/>
        </w:rPr>
        <w:t>keineswegs</w:t>
      </w:r>
      <w:r w:rsidR="00E450CE" w:rsidRPr="00FC06CD">
        <w:rPr>
          <w:color w:val="000000" w:themeColor="text1"/>
        </w:rPr>
        <w:t xml:space="preserve"> ausgemacht, dass alle </w:t>
      </w:r>
      <w:r w:rsidR="00F001C0" w:rsidRPr="00FC06CD">
        <w:rPr>
          <w:color w:val="000000" w:themeColor="text1"/>
        </w:rPr>
        <w:t xml:space="preserve">dargestellten Eidszenen </w:t>
      </w:r>
      <w:r w:rsidR="004A7CAF" w:rsidRPr="00FC06CD">
        <w:rPr>
          <w:color w:val="000000" w:themeColor="text1"/>
        </w:rPr>
        <w:t xml:space="preserve">entweder </w:t>
      </w:r>
      <w:r w:rsidR="00F001C0" w:rsidRPr="00FC06CD">
        <w:rPr>
          <w:color w:val="000000" w:themeColor="text1"/>
        </w:rPr>
        <w:t xml:space="preserve">auf die </w:t>
      </w:r>
      <w:r w:rsidR="004A7CAF" w:rsidRPr="00FC06CD">
        <w:rPr>
          <w:color w:val="000000" w:themeColor="text1"/>
        </w:rPr>
        <w:t xml:space="preserve">jeweils </w:t>
      </w:r>
      <w:r w:rsidR="00F001C0" w:rsidRPr="00FC06CD">
        <w:rPr>
          <w:color w:val="000000" w:themeColor="text1"/>
        </w:rPr>
        <w:t>gleiche Situation Bezug nehmen müss</w:t>
      </w:r>
      <w:r w:rsidR="004A7CAF" w:rsidRPr="00FC06CD">
        <w:rPr>
          <w:color w:val="000000" w:themeColor="text1"/>
        </w:rPr>
        <w:t>t</w:t>
      </w:r>
      <w:r w:rsidR="00F001C0" w:rsidRPr="00FC06CD">
        <w:rPr>
          <w:color w:val="000000" w:themeColor="text1"/>
        </w:rPr>
        <w:t>en</w:t>
      </w:r>
      <w:r w:rsidR="004A7CAF" w:rsidRPr="00FC06CD">
        <w:rPr>
          <w:color w:val="000000" w:themeColor="text1"/>
        </w:rPr>
        <w:t xml:space="preserve"> oder aber allesamt auf überhaupt kein konkretes </w:t>
      </w:r>
      <w:r w:rsidR="00FC06CD" w:rsidRPr="00FC06CD">
        <w:rPr>
          <w:color w:val="000000" w:themeColor="text1"/>
        </w:rPr>
        <w:t>E</w:t>
      </w:r>
      <w:r w:rsidR="004A7CAF" w:rsidRPr="00FC06CD">
        <w:rPr>
          <w:color w:val="000000" w:themeColor="text1"/>
        </w:rPr>
        <w:t>reignis anspielen dürften</w:t>
      </w:r>
      <w:r w:rsidR="00F001C0" w:rsidRPr="00FC06CD">
        <w:rPr>
          <w:color w:val="000000" w:themeColor="text1"/>
        </w:rPr>
        <w:t>.</w:t>
      </w:r>
      <w:r w:rsidR="00863A43" w:rsidRPr="00FC06CD">
        <w:rPr>
          <w:rStyle w:val="Funotenzeichen"/>
          <w:color w:val="000000" w:themeColor="text1"/>
        </w:rPr>
        <w:footnoteReference w:id="16"/>
      </w:r>
      <w:r w:rsidR="004A7CAF" w:rsidRPr="00FC06CD">
        <w:rPr>
          <w:color w:val="000000" w:themeColor="text1"/>
        </w:rPr>
        <w:t xml:space="preserve"> Richtig ist, dass das </w:t>
      </w:r>
      <w:r w:rsidR="00FC06CD" w:rsidRPr="00FC06CD">
        <w:rPr>
          <w:color w:val="000000" w:themeColor="text1"/>
        </w:rPr>
        <w:t>Eidszenenm</w:t>
      </w:r>
      <w:r w:rsidR="004A7CAF" w:rsidRPr="00FC06CD">
        <w:rPr>
          <w:color w:val="000000" w:themeColor="text1"/>
        </w:rPr>
        <w:t xml:space="preserve">otiv </w:t>
      </w:r>
      <w:r w:rsidR="00E450CE" w:rsidRPr="00FC06CD">
        <w:rPr>
          <w:color w:val="000000" w:themeColor="text1"/>
        </w:rPr>
        <w:t xml:space="preserve">zunächst einmal </w:t>
      </w:r>
      <w:r w:rsidR="004A7CAF" w:rsidRPr="00FC06CD">
        <w:rPr>
          <w:color w:val="000000" w:themeColor="text1"/>
        </w:rPr>
        <w:t xml:space="preserve">nur </w:t>
      </w:r>
      <w:r w:rsidR="00E450CE" w:rsidRPr="00FC06CD">
        <w:rPr>
          <w:color w:val="000000" w:themeColor="text1"/>
        </w:rPr>
        <w:t xml:space="preserve">einen </w:t>
      </w:r>
      <w:r w:rsidR="00FC06CD" w:rsidRPr="00FC06CD">
        <w:rPr>
          <w:color w:val="000000" w:themeColor="text1"/>
        </w:rPr>
        <w:t xml:space="preserve">nicht näher spezifizierten </w:t>
      </w:r>
      <w:r w:rsidR="00E450CE" w:rsidRPr="00FC06CD">
        <w:rPr>
          <w:color w:val="000000" w:themeColor="text1"/>
        </w:rPr>
        <w:t xml:space="preserve">Vertragsschluss </w:t>
      </w:r>
      <w:r w:rsidR="00FC06CD" w:rsidRPr="00FC06CD">
        <w:rPr>
          <w:color w:val="000000" w:themeColor="text1"/>
        </w:rPr>
        <w:t xml:space="preserve">an sich darstellt; genauso richtig ist aber auch, dass der historisch bewanderte Betrachter des Denars von 137 dessen spezifische Kombination von </w:t>
      </w:r>
      <w:proofErr w:type="spellStart"/>
      <w:r w:rsidR="00FC06CD" w:rsidRPr="00FC06CD">
        <w:rPr>
          <w:color w:val="000000" w:themeColor="text1"/>
        </w:rPr>
        <w:t>Eidszene</w:t>
      </w:r>
      <w:proofErr w:type="spellEnd"/>
      <w:r w:rsidR="00FC06CD" w:rsidRPr="00FC06CD">
        <w:rPr>
          <w:color w:val="000000" w:themeColor="text1"/>
        </w:rPr>
        <w:t xml:space="preserve"> und Monogramm TI VET kaum auf ein anderes Ereignis als auf den Abschluss des </w:t>
      </w:r>
      <w:proofErr w:type="spellStart"/>
      <w:r w:rsidR="00FC06CD" w:rsidRPr="00FC06CD">
        <w:rPr>
          <w:color w:val="000000" w:themeColor="text1"/>
        </w:rPr>
        <w:t>Caudinischen</w:t>
      </w:r>
      <w:proofErr w:type="spellEnd"/>
      <w:r w:rsidR="00FC06CD" w:rsidRPr="00FC06CD">
        <w:rPr>
          <w:color w:val="000000" w:themeColor="text1"/>
        </w:rPr>
        <w:t xml:space="preserve"> Friedens beziehen konnte, zumal dieses im Zuge der </w:t>
      </w:r>
      <w:proofErr w:type="spellStart"/>
      <w:r w:rsidR="00FC06CD" w:rsidRPr="00FC06CD">
        <w:rPr>
          <w:color w:val="000000" w:themeColor="text1"/>
        </w:rPr>
        <w:t>Mancinus</w:t>
      </w:r>
      <w:proofErr w:type="spellEnd"/>
      <w:r w:rsidR="00FC06CD" w:rsidRPr="00FC06CD">
        <w:rPr>
          <w:color w:val="000000" w:themeColor="text1"/>
        </w:rPr>
        <w:t>-Affäre aktuell recht präsent war</w:t>
      </w:r>
      <w:r w:rsidR="00E450CE" w:rsidRPr="00FC06CD">
        <w:rPr>
          <w:color w:val="000000" w:themeColor="text1"/>
        </w:rPr>
        <w:t>.</w:t>
      </w:r>
      <w:r w:rsidR="006F6982" w:rsidRPr="00FC06CD">
        <w:rPr>
          <w:rStyle w:val="Funotenzeichen"/>
          <w:color w:val="000000" w:themeColor="text1"/>
        </w:rPr>
        <w:footnoteReference w:id="17"/>
      </w:r>
      <w:r w:rsidR="00E450CE" w:rsidRPr="00FC06CD">
        <w:rPr>
          <w:color w:val="000000" w:themeColor="text1"/>
        </w:rPr>
        <w:t xml:space="preserve"> </w:t>
      </w:r>
      <w:r w:rsidR="00F001C0" w:rsidRPr="00FC06CD">
        <w:rPr>
          <w:color w:val="000000" w:themeColor="text1"/>
        </w:rPr>
        <w:t xml:space="preserve">Dass </w:t>
      </w:r>
      <w:proofErr w:type="spellStart"/>
      <w:r w:rsidR="00F001C0" w:rsidRPr="00FC06CD">
        <w:rPr>
          <w:color w:val="000000" w:themeColor="text1"/>
        </w:rPr>
        <w:t>Veturius</w:t>
      </w:r>
      <w:proofErr w:type="spellEnd"/>
      <w:r w:rsidR="00F001C0" w:rsidRPr="00FC06CD">
        <w:rPr>
          <w:color w:val="000000" w:themeColor="text1"/>
        </w:rPr>
        <w:t xml:space="preserve"> ein a priori neutrales Motiv verwendete, spricht </w:t>
      </w:r>
      <w:r w:rsidR="00FC06CD" w:rsidRPr="00FC06CD">
        <w:rPr>
          <w:color w:val="000000" w:themeColor="text1"/>
        </w:rPr>
        <w:t xml:space="preserve">also </w:t>
      </w:r>
      <w:r w:rsidR="00F001C0" w:rsidRPr="00FC06CD">
        <w:rPr>
          <w:color w:val="000000" w:themeColor="text1"/>
        </w:rPr>
        <w:t>nicht gegen</w:t>
      </w:r>
      <w:r w:rsidR="00FC06CD" w:rsidRPr="00FC06CD">
        <w:rPr>
          <w:color w:val="000000" w:themeColor="text1"/>
        </w:rPr>
        <w:t xml:space="preserve"> eine Deutung im Sinne Crawfords;</w:t>
      </w:r>
      <w:r w:rsidR="007C7DD8">
        <w:rPr>
          <w:color w:val="000000" w:themeColor="text1"/>
        </w:rPr>
        <w:t xml:space="preserve"> im Gegenteil: D</w:t>
      </w:r>
      <w:r w:rsidR="00F001C0" w:rsidRPr="00FC06CD">
        <w:rPr>
          <w:color w:val="000000" w:themeColor="text1"/>
        </w:rPr>
        <w:t>ie Wiederaufnahme eines</w:t>
      </w:r>
      <w:r w:rsidR="00FC06CD" w:rsidRPr="00FC06CD">
        <w:rPr>
          <w:color w:val="000000" w:themeColor="text1"/>
        </w:rPr>
        <w:t xml:space="preserve"> bereits</w:t>
      </w:r>
      <w:r w:rsidR="00F001C0" w:rsidRPr="00FC06CD">
        <w:rPr>
          <w:color w:val="000000" w:themeColor="text1"/>
        </w:rPr>
        <w:t xml:space="preserve"> bekannten Motivs dürfte </w:t>
      </w:r>
      <w:r w:rsidR="00FC06CD" w:rsidRPr="00FC06CD">
        <w:rPr>
          <w:color w:val="000000" w:themeColor="text1"/>
        </w:rPr>
        <w:t xml:space="preserve">sogar </w:t>
      </w:r>
      <w:r w:rsidR="00F001C0" w:rsidRPr="00FC06CD">
        <w:rPr>
          <w:color w:val="000000" w:themeColor="text1"/>
        </w:rPr>
        <w:t xml:space="preserve">die Akzeptanz </w:t>
      </w:r>
      <w:r w:rsidR="00FC06CD" w:rsidRPr="00FC06CD">
        <w:rPr>
          <w:color w:val="000000" w:themeColor="text1"/>
        </w:rPr>
        <w:t>(oder zumindest: Akzeptierbarkeit) der</w:t>
      </w:r>
      <w:r w:rsidR="00F001C0" w:rsidRPr="00FC06CD">
        <w:rPr>
          <w:color w:val="000000" w:themeColor="text1"/>
        </w:rPr>
        <w:t xml:space="preserve"> Abkehr von der typischen</w:t>
      </w:r>
      <w:r w:rsidR="00FC06CD" w:rsidRPr="00FC06CD">
        <w:rPr>
          <w:color w:val="000000" w:themeColor="text1"/>
        </w:rPr>
        <w:t xml:space="preserve"> </w:t>
      </w:r>
      <w:r w:rsidR="00F001C0" w:rsidRPr="00FC06CD">
        <w:rPr>
          <w:color w:val="000000" w:themeColor="text1"/>
        </w:rPr>
        <w:t>Motivik gesteigert haben.</w:t>
      </w:r>
    </w:p>
    <w:p w14:paraId="664DD35C" w14:textId="0A9F14A9" w:rsidR="002E603D" w:rsidRPr="00FC06CD" w:rsidRDefault="00FC06CD" w:rsidP="00901CC1">
      <w:pPr>
        <w:spacing w:after="120" w:line="300" w:lineRule="auto"/>
        <w:jc w:val="both"/>
        <w:rPr>
          <w:color w:val="000000" w:themeColor="text1"/>
        </w:rPr>
      </w:pPr>
      <w:r w:rsidRPr="00FC06CD">
        <w:rPr>
          <w:color w:val="000000" w:themeColor="text1"/>
        </w:rPr>
        <w:t xml:space="preserve">Die </w:t>
      </w:r>
      <w:r w:rsidR="00A87C2E" w:rsidRPr="00FC06CD">
        <w:rPr>
          <w:color w:val="000000" w:themeColor="text1"/>
        </w:rPr>
        <w:t xml:space="preserve">Kritik an Crawfords Deutung kann sich also nicht gegen </w:t>
      </w:r>
      <w:r w:rsidRPr="00FC06CD">
        <w:rPr>
          <w:color w:val="000000" w:themeColor="text1"/>
        </w:rPr>
        <w:t>die</w:t>
      </w:r>
      <w:r w:rsidR="00A87C2E" w:rsidRPr="00FC06CD">
        <w:rPr>
          <w:color w:val="000000" w:themeColor="text1"/>
        </w:rPr>
        <w:t xml:space="preserve"> Bezugnahme des Denars auf die </w:t>
      </w:r>
      <w:proofErr w:type="spellStart"/>
      <w:r w:rsidR="00A87C2E" w:rsidRPr="00FC06CD">
        <w:rPr>
          <w:color w:val="000000" w:themeColor="text1"/>
        </w:rPr>
        <w:t>Caudinischen</w:t>
      </w:r>
      <w:proofErr w:type="spellEnd"/>
      <w:r w:rsidR="00A87C2E" w:rsidRPr="00FC06CD">
        <w:rPr>
          <w:color w:val="000000" w:themeColor="text1"/>
        </w:rPr>
        <w:t xml:space="preserve"> Pässe richten; auch dass die Münze in irgendeiner Weise auf den </w:t>
      </w:r>
      <w:proofErr w:type="spellStart"/>
      <w:r w:rsidR="00A87C2E" w:rsidRPr="00FC06CD">
        <w:rPr>
          <w:color w:val="000000" w:themeColor="text1"/>
        </w:rPr>
        <w:t>Mancinus</w:t>
      </w:r>
      <w:proofErr w:type="spellEnd"/>
      <w:r w:rsidR="00A87C2E" w:rsidRPr="00FC06CD">
        <w:rPr>
          <w:color w:val="000000" w:themeColor="text1"/>
        </w:rPr>
        <w:t xml:space="preserve">-Frieden reagierte, liegt auf der Hand, weil sich beide Situationen durch die Debatten von 137 </w:t>
      </w:r>
      <w:r w:rsidRPr="00FC06CD">
        <w:rPr>
          <w:color w:val="000000" w:themeColor="text1"/>
        </w:rPr>
        <w:t>kaum</w:t>
      </w:r>
      <w:r w:rsidR="00A87C2E" w:rsidRPr="00FC06CD">
        <w:rPr>
          <w:color w:val="000000" w:themeColor="text1"/>
        </w:rPr>
        <w:t xml:space="preserve"> voneinander trennen ließen</w:t>
      </w:r>
      <w:r w:rsidR="00C53DB2" w:rsidRPr="00FC06CD">
        <w:rPr>
          <w:color w:val="000000" w:themeColor="text1"/>
        </w:rPr>
        <w:t xml:space="preserve"> und man </w:t>
      </w:r>
      <w:r w:rsidRPr="00FC06CD">
        <w:rPr>
          <w:color w:val="000000" w:themeColor="text1"/>
        </w:rPr>
        <w:t xml:space="preserve">wohl auch </w:t>
      </w:r>
      <w:r w:rsidR="00C53DB2" w:rsidRPr="00FC06CD">
        <w:rPr>
          <w:color w:val="000000" w:themeColor="text1"/>
        </w:rPr>
        <w:t xml:space="preserve">schwerlich argumentieren möchte, dass der Münzmeister ohne jeglichen äußeren Anlass ausgerechnet jetzt auf die Idee kam, </w:t>
      </w:r>
      <w:r w:rsidR="00460625">
        <w:rPr>
          <w:color w:val="000000" w:themeColor="text1"/>
        </w:rPr>
        <w:t>durch die</w:t>
      </w:r>
      <w:r w:rsidR="00C53DB2" w:rsidRPr="00FC06CD">
        <w:rPr>
          <w:color w:val="000000" w:themeColor="text1"/>
        </w:rPr>
        <w:t xml:space="preserve"> </w:t>
      </w:r>
      <w:r w:rsidR="00460625">
        <w:rPr>
          <w:color w:val="000000" w:themeColor="text1"/>
        </w:rPr>
        <w:t>P</w:t>
      </w:r>
      <w:r w:rsidR="00C53DB2" w:rsidRPr="00FC06CD">
        <w:rPr>
          <w:color w:val="000000" w:themeColor="text1"/>
        </w:rPr>
        <w:t xml:space="preserve">rägung der </w:t>
      </w:r>
      <w:proofErr w:type="spellStart"/>
      <w:r w:rsidR="00C53DB2" w:rsidRPr="00FC06CD">
        <w:rPr>
          <w:color w:val="000000" w:themeColor="text1"/>
        </w:rPr>
        <w:t>Eidszene</w:t>
      </w:r>
      <w:proofErr w:type="spellEnd"/>
      <w:r w:rsidR="00C53DB2" w:rsidRPr="00FC06CD">
        <w:rPr>
          <w:color w:val="000000" w:themeColor="text1"/>
        </w:rPr>
        <w:t xml:space="preserve"> die Motivtradition </w:t>
      </w:r>
      <w:r w:rsidR="00854245">
        <w:rPr>
          <w:color w:val="000000" w:themeColor="text1"/>
        </w:rPr>
        <w:t xml:space="preserve">für Denare </w:t>
      </w:r>
      <w:r w:rsidR="00C53DB2" w:rsidRPr="00FC06CD">
        <w:rPr>
          <w:color w:val="000000" w:themeColor="text1"/>
        </w:rPr>
        <w:t xml:space="preserve">zu brechen. </w:t>
      </w:r>
      <w:r w:rsidR="00A87C2E" w:rsidRPr="00FC06CD">
        <w:rPr>
          <w:color w:val="000000" w:themeColor="text1"/>
        </w:rPr>
        <w:t xml:space="preserve">Probleme bereitet eher die Auffassung, der Denar </w:t>
      </w:r>
      <w:r w:rsidRPr="00FC06CD">
        <w:rPr>
          <w:color w:val="000000" w:themeColor="text1"/>
        </w:rPr>
        <w:t>hätte in diesem Kontext</w:t>
      </w:r>
      <w:r w:rsidR="00A87C2E" w:rsidRPr="00FC06CD">
        <w:rPr>
          <w:color w:val="000000" w:themeColor="text1"/>
        </w:rPr>
        <w:t xml:space="preserve"> unmittelbar </w:t>
      </w:r>
      <w:r w:rsidR="00854245">
        <w:rPr>
          <w:color w:val="000000" w:themeColor="text1"/>
        </w:rPr>
        <w:t xml:space="preserve">und parteiisch </w:t>
      </w:r>
      <w:r w:rsidR="00A87C2E" w:rsidRPr="00FC06CD">
        <w:rPr>
          <w:color w:val="000000" w:themeColor="text1"/>
        </w:rPr>
        <w:t xml:space="preserve">Stellung in der tagesaktuellen Diskussion um den Vertrag des </w:t>
      </w:r>
      <w:proofErr w:type="spellStart"/>
      <w:r w:rsidR="00A87C2E" w:rsidRPr="00FC06CD">
        <w:rPr>
          <w:color w:val="000000" w:themeColor="text1"/>
        </w:rPr>
        <w:t>Mancinus</w:t>
      </w:r>
      <w:proofErr w:type="spellEnd"/>
      <w:r w:rsidR="00A87C2E" w:rsidRPr="00FC06CD">
        <w:rPr>
          <w:color w:val="000000" w:themeColor="text1"/>
        </w:rPr>
        <w:t xml:space="preserve"> </w:t>
      </w:r>
      <w:r w:rsidRPr="00FC06CD">
        <w:rPr>
          <w:color w:val="000000" w:themeColor="text1"/>
        </w:rPr>
        <w:t>bezogen</w:t>
      </w:r>
      <w:r w:rsidR="00A87C2E" w:rsidRPr="00FC06CD">
        <w:rPr>
          <w:color w:val="000000" w:themeColor="text1"/>
        </w:rPr>
        <w:t xml:space="preserve">. </w:t>
      </w:r>
      <w:r w:rsidRPr="00FC06CD">
        <w:rPr>
          <w:color w:val="000000" w:themeColor="text1"/>
        </w:rPr>
        <w:t>Diese</w:t>
      </w:r>
      <w:r w:rsidR="00A87C2E" w:rsidRPr="00FC06CD">
        <w:rPr>
          <w:color w:val="000000" w:themeColor="text1"/>
        </w:rPr>
        <w:t xml:space="preserve"> </w:t>
      </w:r>
      <w:proofErr w:type="spellStart"/>
      <w:r w:rsidR="00A87C2E" w:rsidRPr="00FC06CD">
        <w:rPr>
          <w:color w:val="000000" w:themeColor="text1"/>
        </w:rPr>
        <w:t>faktionale</w:t>
      </w:r>
      <w:proofErr w:type="spellEnd"/>
      <w:r w:rsidR="00A87C2E" w:rsidRPr="00FC06CD">
        <w:rPr>
          <w:color w:val="000000" w:themeColor="text1"/>
        </w:rPr>
        <w:t xml:space="preserve"> Deutung </w:t>
      </w:r>
      <w:r w:rsidR="00A87C2E" w:rsidRPr="00FC06CD">
        <w:rPr>
          <w:color w:val="000000" w:themeColor="text1"/>
        </w:rPr>
        <w:lastRenderedPageBreak/>
        <w:t xml:space="preserve">wird auf den ersten Blick freilich durch ein </w:t>
      </w:r>
      <w:proofErr w:type="spellStart"/>
      <w:r w:rsidR="00A87C2E" w:rsidRPr="00FC06CD">
        <w:rPr>
          <w:color w:val="000000" w:themeColor="text1"/>
        </w:rPr>
        <w:t>prosopographisches</w:t>
      </w:r>
      <w:proofErr w:type="spellEnd"/>
      <w:r w:rsidR="00A87C2E" w:rsidRPr="00FC06CD">
        <w:rPr>
          <w:color w:val="000000" w:themeColor="text1"/>
        </w:rPr>
        <w:t xml:space="preserve"> Detail untermauert: Crawford </w:t>
      </w:r>
      <w:r w:rsidRPr="00FC06CD">
        <w:rPr>
          <w:color w:val="000000" w:themeColor="text1"/>
        </w:rPr>
        <w:t>geht davon aus</w:t>
      </w:r>
      <w:r w:rsidR="00A87C2E" w:rsidRPr="00FC06CD">
        <w:rPr>
          <w:color w:val="000000" w:themeColor="text1"/>
        </w:rPr>
        <w:t xml:space="preserve">, dass der Münzmeister ein </w:t>
      </w:r>
      <w:r w:rsidR="00A87C2E" w:rsidRPr="00342A3B">
        <w:rPr>
          <w:color w:val="000000" w:themeColor="text1"/>
        </w:rPr>
        <w:t xml:space="preserve">Sohn </w:t>
      </w:r>
      <w:r w:rsidR="00460625">
        <w:rPr>
          <w:color w:val="000000" w:themeColor="text1"/>
        </w:rPr>
        <w:t>eines</w:t>
      </w:r>
      <w:r w:rsidR="00A87C2E" w:rsidRPr="00342A3B">
        <w:rPr>
          <w:color w:val="000000" w:themeColor="text1"/>
        </w:rPr>
        <w:t xml:space="preserve"> T. </w:t>
      </w:r>
      <w:proofErr w:type="spellStart"/>
      <w:r w:rsidR="00A87C2E" w:rsidRPr="00342A3B">
        <w:rPr>
          <w:color w:val="000000" w:themeColor="text1"/>
        </w:rPr>
        <w:t>Veturius</w:t>
      </w:r>
      <w:proofErr w:type="spellEnd"/>
      <w:r w:rsidR="00A87C2E" w:rsidRPr="00342A3B">
        <w:rPr>
          <w:color w:val="000000" w:themeColor="text1"/>
        </w:rPr>
        <w:t xml:space="preserve"> Gracchi f. </w:t>
      </w:r>
      <w:proofErr w:type="spellStart"/>
      <w:r w:rsidR="00A87C2E" w:rsidRPr="00342A3B">
        <w:rPr>
          <w:color w:val="000000" w:themeColor="text1"/>
        </w:rPr>
        <w:t>Sempronianus</w:t>
      </w:r>
      <w:proofErr w:type="spellEnd"/>
      <w:r w:rsidR="00A87C2E" w:rsidRPr="00342A3B">
        <w:rPr>
          <w:color w:val="000000" w:themeColor="text1"/>
        </w:rPr>
        <w:t xml:space="preserve"> </w:t>
      </w:r>
      <w:r w:rsidR="003F76B7" w:rsidRPr="00342A3B">
        <w:rPr>
          <w:color w:val="000000" w:themeColor="text1"/>
        </w:rPr>
        <w:t xml:space="preserve">(Augur 174) </w:t>
      </w:r>
      <w:r w:rsidR="00A87C2E" w:rsidRPr="00342A3B">
        <w:rPr>
          <w:color w:val="000000" w:themeColor="text1"/>
        </w:rPr>
        <w:t>gewesen sei und damit ein Ver</w:t>
      </w:r>
      <w:r w:rsidR="00A87C2E" w:rsidRPr="00FC06CD">
        <w:rPr>
          <w:color w:val="000000" w:themeColor="text1"/>
        </w:rPr>
        <w:t xml:space="preserve">wandter des </w:t>
      </w:r>
      <w:proofErr w:type="spellStart"/>
      <w:r w:rsidR="00A87C2E" w:rsidRPr="00FC06CD">
        <w:rPr>
          <w:color w:val="000000" w:themeColor="text1"/>
        </w:rPr>
        <w:t>Ti</w:t>
      </w:r>
      <w:proofErr w:type="spellEnd"/>
      <w:r w:rsidR="00A87C2E" w:rsidRPr="00FC06CD">
        <w:rPr>
          <w:color w:val="000000" w:themeColor="text1"/>
        </w:rPr>
        <w:t xml:space="preserve">. </w:t>
      </w:r>
      <w:proofErr w:type="spellStart"/>
      <w:r w:rsidR="00A87C2E" w:rsidRPr="00FC06CD">
        <w:rPr>
          <w:color w:val="000000" w:themeColor="text1"/>
        </w:rPr>
        <w:t>Sempronius</w:t>
      </w:r>
      <w:proofErr w:type="spellEnd"/>
      <w:r w:rsidR="00A87C2E" w:rsidRPr="00FC06CD">
        <w:rPr>
          <w:color w:val="000000" w:themeColor="text1"/>
        </w:rPr>
        <w:t xml:space="preserve"> Gracchus, der als </w:t>
      </w:r>
      <w:proofErr w:type="spellStart"/>
      <w:r w:rsidR="00A87C2E" w:rsidRPr="00FC06CD">
        <w:rPr>
          <w:color w:val="000000" w:themeColor="text1"/>
        </w:rPr>
        <w:t>Quaestor</w:t>
      </w:r>
      <w:proofErr w:type="spellEnd"/>
      <w:r w:rsidR="00A87C2E" w:rsidRPr="00FC06CD">
        <w:rPr>
          <w:color w:val="000000" w:themeColor="text1"/>
        </w:rPr>
        <w:t xml:space="preserve"> </w:t>
      </w:r>
      <w:r w:rsidRPr="00FC06CD">
        <w:rPr>
          <w:color w:val="000000" w:themeColor="text1"/>
        </w:rPr>
        <w:t xml:space="preserve">des </w:t>
      </w:r>
      <w:proofErr w:type="spellStart"/>
      <w:r w:rsidRPr="00FC06CD">
        <w:rPr>
          <w:color w:val="000000" w:themeColor="text1"/>
        </w:rPr>
        <w:t>Mancinus</w:t>
      </w:r>
      <w:proofErr w:type="spellEnd"/>
      <w:r w:rsidRPr="00FC06CD">
        <w:rPr>
          <w:color w:val="000000" w:themeColor="text1"/>
        </w:rPr>
        <w:t xml:space="preserve"> </w:t>
      </w:r>
      <w:r w:rsidR="00A87C2E" w:rsidRPr="00FC06CD">
        <w:rPr>
          <w:color w:val="000000" w:themeColor="text1"/>
        </w:rPr>
        <w:t xml:space="preserve">die Übereinkunft mit den </w:t>
      </w:r>
      <w:proofErr w:type="spellStart"/>
      <w:r w:rsidR="00A87C2E" w:rsidRPr="00FC06CD">
        <w:rPr>
          <w:color w:val="000000" w:themeColor="text1"/>
        </w:rPr>
        <w:t>Numantinern</w:t>
      </w:r>
      <w:proofErr w:type="spellEnd"/>
      <w:r w:rsidR="00A87C2E" w:rsidRPr="00FC06CD">
        <w:rPr>
          <w:color w:val="000000" w:themeColor="text1"/>
        </w:rPr>
        <w:t xml:space="preserve"> ausgehandelt hatte.</w:t>
      </w:r>
      <w:r w:rsidR="00A87C2E" w:rsidRPr="00FC06CD">
        <w:rPr>
          <w:rStyle w:val="Funotenzeichen"/>
          <w:color w:val="000000" w:themeColor="text1"/>
        </w:rPr>
        <w:footnoteReference w:id="18"/>
      </w:r>
      <w:r w:rsidR="00A87C2E" w:rsidRPr="00FC06CD">
        <w:rPr>
          <w:color w:val="000000" w:themeColor="text1"/>
        </w:rPr>
        <w:t xml:space="preserve"> Aufgrund </w:t>
      </w:r>
      <w:r w:rsidRPr="00FC06CD">
        <w:rPr>
          <w:color w:val="000000" w:themeColor="text1"/>
        </w:rPr>
        <w:t xml:space="preserve">ihrer Verwandtschaft </w:t>
      </w:r>
      <w:r w:rsidR="00A87C2E" w:rsidRPr="00FC06CD">
        <w:rPr>
          <w:color w:val="000000" w:themeColor="text1"/>
        </w:rPr>
        <w:t xml:space="preserve">hätte sich </w:t>
      </w:r>
      <w:proofErr w:type="spellStart"/>
      <w:r w:rsidR="00A87C2E" w:rsidRPr="00FC06CD">
        <w:rPr>
          <w:color w:val="000000" w:themeColor="text1"/>
        </w:rPr>
        <w:t>Veturius</w:t>
      </w:r>
      <w:proofErr w:type="spellEnd"/>
      <w:r w:rsidR="00A87C2E" w:rsidRPr="00FC06CD">
        <w:rPr>
          <w:color w:val="000000" w:themeColor="text1"/>
        </w:rPr>
        <w:t xml:space="preserve"> für die Gültigkeit des Vertrags eingesetzt</w:t>
      </w:r>
      <w:r w:rsidR="003F76B7" w:rsidRPr="00FC06CD">
        <w:rPr>
          <w:color w:val="000000" w:themeColor="text1"/>
        </w:rPr>
        <w:t xml:space="preserve">, oder, darauf läuft das </w:t>
      </w:r>
      <w:proofErr w:type="spellStart"/>
      <w:r w:rsidR="003F76B7" w:rsidRPr="00FC06CD">
        <w:rPr>
          <w:color w:val="000000" w:themeColor="text1"/>
        </w:rPr>
        <w:t>faktionale</w:t>
      </w:r>
      <w:proofErr w:type="spellEnd"/>
      <w:r w:rsidR="003F76B7" w:rsidRPr="00FC06CD">
        <w:rPr>
          <w:color w:val="000000" w:themeColor="text1"/>
        </w:rPr>
        <w:t xml:space="preserve"> Argument </w:t>
      </w:r>
      <w:r w:rsidRPr="00FC06CD">
        <w:rPr>
          <w:color w:val="000000" w:themeColor="text1"/>
        </w:rPr>
        <w:t xml:space="preserve">in letzter Konsequenz </w:t>
      </w:r>
      <w:r w:rsidR="003F76B7" w:rsidRPr="00FC06CD">
        <w:rPr>
          <w:color w:val="000000" w:themeColor="text1"/>
        </w:rPr>
        <w:t>hinaus: sich geradezu einsetzen müssen.</w:t>
      </w:r>
      <w:r w:rsidR="005C3624" w:rsidRPr="00FC06CD">
        <w:rPr>
          <w:rStyle w:val="Funotenzeichen"/>
          <w:color w:val="000000" w:themeColor="text1"/>
        </w:rPr>
        <w:footnoteReference w:id="19"/>
      </w:r>
      <w:r w:rsidRPr="00FC06CD">
        <w:rPr>
          <w:color w:val="000000" w:themeColor="text1"/>
        </w:rPr>
        <w:t xml:space="preserve"> </w:t>
      </w:r>
      <w:r w:rsidR="002E603D" w:rsidRPr="00FC06CD">
        <w:rPr>
          <w:color w:val="000000" w:themeColor="text1"/>
        </w:rPr>
        <w:t>Dieser Schluss ist m</w:t>
      </w:r>
      <w:r w:rsidR="00F8533C" w:rsidRPr="00FC06CD">
        <w:rPr>
          <w:color w:val="000000" w:themeColor="text1"/>
        </w:rPr>
        <w:t>ethodisch</w:t>
      </w:r>
      <w:r w:rsidR="002E603D" w:rsidRPr="00FC06CD">
        <w:rPr>
          <w:color w:val="000000" w:themeColor="text1"/>
        </w:rPr>
        <w:t xml:space="preserve"> </w:t>
      </w:r>
      <w:r w:rsidR="003F76B7" w:rsidRPr="00FC06CD">
        <w:rPr>
          <w:color w:val="000000" w:themeColor="text1"/>
        </w:rPr>
        <w:t xml:space="preserve">jedoch </w:t>
      </w:r>
      <w:r w:rsidR="002E603D" w:rsidRPr="00FC06CD">
        <w:rPr>
          <w:color w:val="000000" w:themeColor="text1"/>
        </w:rPr>
        <w:t xml:space="preserve">nicht haltbar: </w:t>
      </w:r>
      <w:r w:rsidR="00F8533C" w:rsidRPr="00FC06CD">
        <w:rPr>
          <w:color w:val="000000" w:themeColor="text1"/>
        </w:rPr>
        <w:t xml:space="preserve">Zum einen war </w:t>
      </w:r>
      <w:r w:rsidR="002E603D" w:rsidRPr="00FC06CD">
        <w:rPr>
          <w:color w:val="000000" w:themeColor="text1"/>
        </w:rPr>
        <w:t>d</w:t>
      </w:r>
      <w:r w:rsidR="003F76B7" w:rsidRPr="00FC06CD">
        <w:rPr>
          <w:color w:val="000000" w:themeColor="text1"/>
        </w:rPr>
        <w:t>ie</w:t>
      </w:r>
      <w:r w:rsidR="002E603D" w:rsidRPr="00FC06CD">
        <w:rPr>
          <w:color w:val="000000" w:themeColor="text1"/>
        </w:rPr>
        <w:t xml:space="preserve"> Verwandtschaft</w:t>
      </w:r>
      <w:r w:rsidR="003F76B7" w:rsidRPr="00FC06CD">
        <w:rPr>
          <w:color w:val="000000" w:themeColor="text1"/>
        </w:rPr>
        <w:t xml:space="preserve"> von</w:t>
      </w:r>
      <w:r w:rsidR="002E603D" w:rsidRPr="00FC06CD">
        <w:rPr>
          <w:color w:val="000000" w:themeColor="text1"/>
        </w:rPr>
        <w:t xml:space="preserve"> Münzmeister</w:t>
      </w:r>
      <w:r w:rsidR="003F76B7" w:rsidRPr="00FC06CD">
        <w:rPr>
          <w:color w:val="000000" w:themeColor="text1"/>
        </w:rPr>
        <w:t xml:space="preserve"> und</w:t>
      </w:r>
      <w:r w:rsidR="002E603D" w:rsidRPr="00FC06CD">
        <w:rPr>
          <w:color w:val="000000" w:themeColor="text1"/>
        </w:rPr>
        <w:t xml:space="preserve"> </w:t>
      </w:r>
      <w:proofErr w:type="spellStart"/>
      <w:r w:rsidR="002E603D" w:rsidRPr="00FC06CD">
        <w:rPr>
          <w:color w:val="000000" w:themeColor="text1"/>
        </w:rPr>
        <w:t>Quaestor</w:t>
      </w:r>
      <w:proofErr w:type="spellEnd"/>
      <w:r w:rsidR="002E603D" w:rsidRPr="00FC06CD">
        <w:rPr>
          <w:color w:val="000000" w:themeColor="text1"/>
        </w:rPr>
        <w:t xml:space="preserve"> </w:t>
      </w:r>
      <w:r w:rsidR="00CF5913">
        <w:rPr>
          <w:color w:val="000000" w:themeColor="text1"/>
        </w:rPr>
        <w:t>weitläufiger</w:t>
      </w:r>
      <w:r w:rsidR="00B00E5F">
        <w:rPr>
          <w:color w:val="000000" w:themeColor="text1"/>
        </w:rPr>
        <w:t xml:space="preserve"> </w:t>
      </w:r>
      <w:r w:rsidRPr="00FC06CD">
        <w:rPr>
          <w:color w:val="000000" w:themeColor="text1"/>
        </w:rPr>
        <w:t>als Crawford meint</w:t>
      </w:r>
      <w:r w:rsidR="003F76B7" w:rsidRPr="00FC06CD">
        <w:rPr>
          <w:color w:val="000000" w:themeColor="text1"/>
        </w:rPr>
        <w:t>;</w:t>
      </w:r>
      <w:r w:rsidR="00DF4411" w:rsidRPr="00FC06CD">
        <w:rPr>
          <w:rStyle w:val="Funotenzeichen"/>
          <w:color w:val="000000" w:themeColor="text1"/>
        </w:rPr>
        <w:footnoteReference w:id="20"/>
      </w:r>
      <w:r w:rsidR="003F76B7" w:rsidRPr="00FC06CD">
        <w:rPr>
          <w:color w:val="000000" w:themeColor="text1"/>
        </w:rPr>
        <w:t xml:space="preserve"> </w:t>
      </w:r>
      <w:r w:rsidR="00DF4411" w:rsidRPr="00FC06CD">
        <w:rPr>
          <w:color w:val="000000" w:themeColor="text1"/>
        </w:rPr>
        <w:t xml:space="preserve">zum anderen </w:t>
      </w:r>
      <w:r w:rsidRPr="00FC06CD">
        <w:rPr>
          <w:color w:val="000000" w:themeColor="text1"/>
        </w:rPr>
        <w:t>ist</w:t>
      </w:r>
      <w:r w:rsidR="00DF4411" w:rsidRPr="00FC06CD">
        <w:rPr>
          <w:color w:val="000000" w:themeColor="text1"/>
        </w:rPr>
        <w:t xml:space="preserve"> </w:t>
      </w:r>
      <w:r w:rsidRPr="00FC06CD">
        <w:rPr>
          <w:color w:val="000000" w:themeColor="text1"/>
        </w:rPr>
        <w:t>evident</w:t>
      </w:r>
      <w:r w:rsidR="00DF4411" w:rsidRPr="00FC06CD">
        <w:rPr>
          <w:color w:val="000000" w:themeColor="text1"/>
        </w:rPr>
        <w:t xml:space="preserve">, dass sogar engere Verwandtschaftsbeziehungen niemals eine Garantie für politische Kooperation </w:t>
      </w:r>
      <w:r w:rsidRPr="00FC06CD">
        <w:rPr>
          <w:color w:val="000000" w:themeColor="text1"/>
        </w:rPr>
        <w:t>darstellten</w:t>
      </w:r>
      <w:r w:rsidR="00DF4411" w:rsidRPr="00FC06CD">
        <w:rPr>
          <w:color w:val="000000" w:themeColor="text1"/>
        </w:rPr>
        <w:t>. Dies g</w:t>
      </w:r>
      <w:r w:rsidRPr="00FC06CD">
        <w:rPr>
          <w:color w:val="000000" w:themeColor="text1"/>
        </w:rPr>
        <w:t>i</w:t>
      </w:r>
      <w:r w:rsidR="00DF4411" w:rsidRPr="00FC06CD">
        <w:rPr>
          <w:color w:val="000000" w:themeColor="text1"/>
        </w:rPr>
        <w:t>lt gerade</w:t>
      </w:r>
      <w:r w:rsidR="00BA4B7B" w:rsidRPr="00FC06CD">
        <w:rPr>
          <w:color w:val="000000" w:themeColor="text1"/>
        </w:rPr>
        <w:t xml:space="preserve"> </w:t>
      </w:r>
      <w:r w:rsidRPr="00FC06CD">
        <w:rPr>
          <w:color w:val="000000" w:themeColor="text1"/>
        </w:rPr>
        <w:t xml:space="preserve">auch </w:t>
      </w:r>
      <w:r w:rsidR="00DF4411" w:rsidRPr="00FC06CD">
        <w:rPr>
          <w:color w:val="000000" w:themeColor="text1"/>
        </w:rPr>
        <w:t>für</w:t>
      </w:r>
      <w:r w:rsidRPr="00FC06CD">
        <w:rPr>
          <w:color w:val="000000" w:themeColor="text1"/>
        </w:rPr>
        <w:t xml:space="preserve"> </w:t>
      </w:r>
      <w:proofErr w:type="spellStart"/>
      <w:r w:rsidR="00DF4411" w:rsidRPr="00FC06CD">
        <w:rPr>
          <w:color w:val="000000" w:themeColor="text1"/>
        </w:rPr>
        <w:t>Ti</w:t>
      </w:r>
      <w:proofErr w:type="spellEnd"/>
      <w:r w:rsidR="00DF4411" w:rsidRPr="00FC06CD">
        <w:rPr>
          <w:color w:val="000000" w:themeColor="text1"/>
        </w:rPr>
        <w:t xml:space="preserve">. Gracchus im Fall der </w:t>
      </w:r>
      <w:proofErr w:type="spellStart"/>
      <w:r w:rsidR="00DF4411" w:rsidRPr="00FC06CD">
        <w:rPr>
          <w:color w:val="000000" w:themeColor="text1"/>
        </w:rPr>
        <w:t>Mancinus</w:t>
      </w:r>
      <w:proofErr w:type="spellEnd"/>
      <w:r w:rsidR="00DF4411" w:rsidRPr="00FC06CD">
        <w:rPr>
          <w:color w:val="000000" w:themeColor="text1"/>
        </w:rPr>
        <w:t xml:space="preserve">-Debatte: So setzte sich </w:t>
      </w:r>
      <w:r w:rsidRPr="00FC06CD">
        <w:rPr>
          <w:color w:val="000000" w:themeColor="text1"/>
        </w:rPr>
        <w:t xml:space="preserve">sein Cousin und Schwager </w:t>
      </w:r>
      <w:r w:rsidR="00DF4411" w:rsidRPr="00FC06CD">
        <w:rPr>
          <w:color w:val="000000" w:themeColor="text1"/>
        </w:rPr>
        <w:t xml:space="preserve">P. Cornelius Scipio </w:t>
      </w:r>
      <w:proofErr w:type="spellStart"/>
      <w:r w:rsidR="00DF4411" w:rsidRPr="00FC06CD">
        <w:rPr>
          <w:color w:val="000000" w:themeColor="text1"/>
        </w:rPr>
        <w:t>Aemilianus</w:t>
      </w:r>
      <w:proofErr w:type="spellEnd"/>
      <w:r w:rsidR="00DF4411" w:rsidRPr="00FC06CD">
        <w:rPr>
          <w:color w:val="000000" w:themeColor="text1"/>
        </w:rPr>
        <w:t xml:space="preserve"> (cos. 147 u. 134) zwar dafür ein, dass Gracchus, anders als </w:t>
      </w:r>
      <w:proofErr w:type="spellStart"/>
      <w:r w:rsidR="00DF4411" w:rsidRPr="00FC06CD">
        <w:rPr>
          <w:color w:val="000000" w:themeColor="text1"/>
        </w:rPr>
        <w:t>Mancinus</w:t>
      </w:r>
      <w:proofErr w:type="spellEnd"/>
      <w:r w:rsidR="00DF4411" w:rsidRPr="00FC06CD">
        <w:rPr>
          <w:color w:val="000000" w:themeColor="text1"/>
        </w:rPr>
        <w:t xml:space="preserve">, nicht an die </w:t>
      </w:r>
      <w:proofErr w:type="spellStart"/>
      <w:r w:rsidR="00DF4411" w:rsidRPr="00FC06CD">
        <w:rPr>
          <w:color w:val="000000" w:themeColor="text1"/>
        </w:rPr>
        <w:t>Numantiner</w:t>
      </w:r>
      <w:proofErr w:type="spellEnd"/>
      <w:r w:rsidR="00DF4411" w:rsidRPr="00FC06CD">
        <w:rPr>
          <w:color w:val="000000" w:themeColor="text1"/>
        </w:rPr>
        <w:t xml:space="preserve"> ausgeliefert wurde, rührte für den Vertrag an sich aber keinen Finger, was </w:t>
      </w:r>
      <w:r w:rsidR="00DF4411" w:rsidRPr="00CB3642">
        <w:rPr>
          <w:color w:val="000000" w:themeColor="text1"/>
        </w:rPr>
        <w:t xml:space="preserve">ihm laut Plutarch </w:t>
      </w:r>
      <w:r w:rsidR="0051257C">
        <w:rPr>
          <w:color w:val="000000" w:themeColor="text1"/>
        </w:rPr>
        <w:t>Kritik</w:t>
      </w:r>
      <w:r w:rsidR="00ED6E94">
        <w:rPr>
          <w:color w:val="000000" w:themeColor="text1"/>
        </w:rPr>
        <w:t xml:space="preserve"> eingebracht habe, wohl nicht zuletzt durch seinen </w:t>
      </w:r>
      <w:r w:rsidR="00DF4411" w:rsidRPr="00FC06CD">
        <w:rPr>
          <w:color w:val="000000" w:themeColor="text1"/>
        </w:rPr>
        <w:t>Vetter.</w:t>
      </w:r>
      <w:r w:rsidR="002E603D" w:rsidRPr="00FC06CD">
        <w:rPr>
          <w:rStyle w:val="Funotenzeichen"/>
          <w:color w:val="000000" w:themeColor="text1"/>
        </w:rPr>
        <w:footnoteReference w:id="21"/>
      </w:r>
    </w:p>
    <w:p w14:paraId="2361DA78" w14:textId="03E0D900" w:rsidR="00A627C4" w:rsidRPr="00FC06CD" w:rsidRDefault="00A627C4" w:rsidP="00901CC1">
      <w:pPr>
        <w:spacing w:after="120" w:line="300" w:lineRule="auto"/>
        <w:jc w:val="both"/>
        <w:rPr>
          <w:color w:val="000000" w:themeColor="text1"/>
        </w:rPr>
      </w:pPr>
      <w:r w:rsidRPr="00FC06CD">
        <w:rPr>
          <w:color w:val="000000" w:themeColor="text1"/>
        </w:rPr>
        <w:t>Damit ist natürlich nicht zugleich auch behauptet, dass Verwandtschaft politische Kooperation aus</w:t>
      </w:r>
      <w:r w:rsidR="0056236D" w:rsidRPr="00FC06CD">
        <w:rPr>
          <w:color w:val="000000" w:themeColor="text1"/>
        </w:rPr>
        <w:t>ge</w:t>
      </w:r>
      <w:r w:rsidRPr="00FC06CD">
        <w:rPr>
          <w:color w:val="000000" w:themeColor="text1"/>
        </w:rPr>
        <w:t>schl</w:t>
      </w:r>
      <w:r w:rsidR="0056236D" w:rsidRPr="00FC06CD">
        <w:rPr>
          <w:color w:val="000000" w:themeColor="text1"/>
        </w:rPr>
        <w:t>oss</w:t>
      </w:r>
      <w:r w:rsidRPr="00FC06CD">
        <w:rPr>
          <w:color w:val="000000" w:themeColor="text1"/>
        </w:rPr>
        <w:t xml:space="preserve">en </w:t>
      </w:r>
      <w:r w:rsidR="0056236D" w:rsidRPr="00FC06CD">
        <w:rPr>
          <w:color w:val="000000" w:themeColor="text1"/>
        </w:rPr>
        <w:t>hätte</w:t>
      </w:r>
      <w:r w:rsidRPr="00FC06CD">
        <w:rPr>
          <w:color w:val="000000" w:themeColor="text1"/>
        </w:rPr>
        <w:t xml:space="preserve">, das wäre </w:t>
      </w:r>
      <w:r w:rsidR="00D96D1B">
        <w:rPr>
          <w:color w:val="000000" w:themeColor="text1"/>
        </w:rPr>
        <w:t>ein</w:t>
      </w:r>
      <w:r w:rsidRPr="00FC06CD">
        <w:rPr>
          <w:color w:val="000000" w:themeColor="text1"/>
        </w:rPr>
        <w:t xml:space="preserve"> absurd</w:t>
      </w:r>
      <w:r w:rsidR="00D96D1B">
        <w:rPr>
          <w:color w:val="000000" w:themeColor="text1"/>
        </w:rPr>
        <w:t>er und ebenso unzulässiger Umkehrschluss</w:t>
      </w:r>
      <w:r w:rsidRPr="00FC06CD">
        <w:rPr>
          <w:color w:val="000000" w:themeColor="text1"/>
        </w:rPr>
        <w:t>. Es gab aber eben niemals einen Automatismus, durch den sich aus Verwandtschaft zwangsläufig Kooperation ergeben musste. Ohnehin ließe sich im Angesicht der Viel</w:t>
      </w:r>
      <w:r w:rsidR="00FC06CD" w:rsidRPr="00FC06CD">
        <w:rPr>
          <w:color w:val="000000" w:themeColor="text1"/>
        </w:rPr>
        <w:t>zahl</w:t>
      </w:r>
      <w:r w:rsidRPr="00FC06CD">
        <w:rPr>
          <w:color w:val="000000" w:themeColor="text1"/>
        </w:rPr>
        <w:t xml:space="preserve"> verschiedener –</w:t>
      </w:r>
      <w:r w:rsidR="00C5754D">
        <w:rPr>
          <w:color w:val="000000" w:themeColor="text1"/>
        </w:rPr>
        <w:t xml:space="preserve"> </w:t>
      </w:r>
      <w:r w:rsidRPr="00FC06CD">
        <w:rPr>
          <w:color w:val="000000" w:themeColor="text1"/>
        </w:rPr>
        <w:t xml:space="preserve">und </w:t>
      </w:r>
      <w:r w:rsidR="00FC06CD" w:rsidRPr="00FC06CD">
        <w:rPr>
          <w:color w:val="000000" w:themeColor="text1"/>
        </w:rPr>
        <w:t>teilweise</w:t>
      </w:r>
      <w:r w:rsidRPr="00FC06CD">
        <w:rPr>
          <w:color w:val="000000" w:themeColor="text1"/>
        </w:rPr>
        <w:t xml:space="preserve"> </w:t>
      </w:r>
      <w:r w:rsidR="00FC06CD" w:rsidRPr="00FC06CD">
        <w:rPr>
          <w:color w:val="000000" w:themeColor="text1"/>
        </w:rPr>
        <w:t xml:space="preserve">auch </w:t>
      </w:r>
      <w:r w:rsidRPr="00FC06CD">
        <w:rPr>
          <w:color w:val="000000" w:themeColor="text1"/>
        </w:rPr>
        <w:t>konkurrierender</w:t>
      </w:r>
      <w:r w:rsidR="00C5754D">
        <w:rPr>
          <w:color w:val="000000" w:themeColor="text1"/>
        </w:rPr>
        <w:t xml:space="preserve"> </w:t>
      </w:r>
      <w:r w:rsidRPr="00FC06CD">
        <w:rPr>
          <w:color w:val="000000" w:themeColor="text1"/>
        </w:rPr>
        <w:t xml:space="preserve">– Bindungen in der römischen Aristokratie eine a priori handlungsleitende Nähe zwischen den Familien der </w:t>
      </w:r>
      <w:proofErr w:type="spellStart"/>
      <w:r w:rsidRPr="00FC06CD">
        <w:rPr>
          <w:color w:val="000000" w:themeColor="text1"/>
        </w:rPr>
        <w:t>Veturier</w:t>
      </w:r>
      <w:proofErr w:type="spellEnd"/>
      <w:r w:rsidRPr="00FC06CD">
        <w:rPr>
          <w:color w:val="000000" w:themeColor="text1"/>
        </w:rPr>
        <w:t xml:space="preserve"> und der </w:t>
      </w:r>
      <w:proofErr w:type="spellStart"/>
      <w:r w:rsidRPr="00FC06CD">
        <w:rPr>
          <w:color w:val="000000" w:themeColor="text1"/>
        </w:rPr>
        <w:t>Sempronier</w:t>
      </w:r>
      <w:proofErr w:type="spellEnd"/>
      <w:r w:rsidRPr="00FC06CD">
        <w:rPr>
          <w:color w:val="000000" w:themeColor="text1"/>
        </w:rPr>
        <w:t xml:space="preserve"> höchstens für den unmittelbaren Zeitpunkt ihrer Verknüpfung in der Generation des o. g. </w:t>
      </w:r>
      <w:proofErr w:type="spellStart"/>
      <w:r w:rsidRPr="00FC06CD">
        <w:rPr>
          <w:color w:val="000000" w:themeColor="text1"/>
        </w:rPr>
        <w:t>Augurs</w:t>
      </w:r>
      <w:proofErr w:type="spellEnd"/>
      <w:r w:rsidRPr="00FC06CD">
        <w:rPr>
          <w:color w:val="000000" w:themeColor="text1"/>
        </w:rPr>
        <w:t xml:space="preserve"> annehmen, für einen Zeitpunkt also, der </w:t>
      </w:r>
      <w:r w:rsidR="00C12C9C">
        <w:rPr>
          <w:color w:val="000000" w:themeColor="text1"/>
        </w:rPr>
        <w:t xml:space="preserve">gut </w:t>
      </w:r>
      <w:r w:rsidRPr="00FC06CD">
        <w:rPr>
          <w:color w:val="000000" w:themeColor="text1"/>
        </w:rPr>
        <w:t xml:space="preserve">40 Jahre vor den Geschehnissen </w:t>
      </w:r>
      <w:r w:rsidR="00FC06CD" w:rsidRPr="00FC06CD">
        <w:rPr>
          <w:color w:val="000000" w:themeColor="text1"/>
        </w:rPr>
        <w:t xml:space="preserve">um </w:t>
      </w:r>
      <w:proofErr w:type="spellStart"/>
      <w:r w:rsidR="00FC06CD" w:rsidRPr="00FC06CD">
        <w:rPr>
          <w:color w:val="000000" w:themeColor="text1"/>
        </w:rPr>
        <w:t>Mancinus</w:t>
      </w:r>
      <w:proofErr w:type="spellEnd"/>
      <w:r w:rsidR="00FC06CD" w:rsidRPr="00FC06CD">
        <w:rPr>
          <w:color w:val="000000" w:themeColor="text1"/>
        </w:rPr>
        <w:t xml:space="preserve"> und </w:t>
      </w:r>
      <w:proofErr w:type="spellStart"/>
      <w:r w:rsidR="00FC06CD" w:rsidRPr="00FC06CD">
        <w:rPr>
          <w:color w:val="000000" w:themeColor="text1"/>
        </w:rPr>
        <w:t>Numantia</w:t>
      </w:r>
      <w:proofErr w:type="spellEnd"/>
      <w:r w:rsidR="00FC06CD" w:rsidRPr="00FC06CD">
        <w:rPr>
          <w:color w:val="000000" w:themeColor="text1"/>
        </w:rPr>
        <w:t xml:space="preserve"> </w:t>
      </w:r>
      <w:r w:rsidRPr="00FC06CD">
        <w:rPr>
          <w:color w:val="000000" w:themeColor="text1"/>
        </w:rPr>
        <w:t>lag.</w:t>
      </w:r>
      <w:r w:rsidR="00FC06CD" w:rsidRPr="00FC06CD">
        <w:rPr>
          <w:color w:val="000000" w:themeColor="text1"/>
        </w:rPr>
        <w:t xml:space="preserve"> </w:t>
      </w:r>
      <w:r w:rsidR="001B79FF">
        <w:rPr>
          <w:color w:val="000000" w:themeColor="text1"/>
        </w:rPr>
        <w:t>Aus verständlichen Gründen begegnet die Republikforschung solchen</w:t>
      </w:r>
      <w:r w:rsidR="00C12C9C">
        <w:rPr>
          <w:color w:val="000000" w:themeColor="text1"/>
        </w:rPr>
        <w:t xml:space="preserve"> a</w:t>
      </w:r>
      <w:r w:rsidRPr="00FC06CD">
        <w:rPr>
          <w:color w:val="000000" w:themeColor="text1"/>
        </w:rPr>
        <w:t>uf Verwandtschaft aufbauende</w:t>
      </w:r>
      <w:r w:rsidR="00FC06CD" w:rsidRPr="00FC06CD">
        <w:rPr>
          <w:color w:val="000000" w:themeColor="text1"/>
        </w:rPr>
        <w:t>n</w:t>
      </w:r>
      <w:r w:rsidRPr="00FC06CD">
        <w:rPr>
          <w:color w:val="000000" w:themeColor="text1"/>
        </w:rPr>
        <w:t xml:space="preserve"> </w:t>
      </w:r>
      <w:proofErr w:type="spellStart"/>
      <w:r w:rsidRPr="00FC06CD">
        <w:rPr>
          <w:color w:val="000000" w:themeColor="text1"/>
        </w:rPr>
        <w:t>faktionale</w:t>
      </w:r>
      <w:r w:rsidR="00FC06CD" w:rsidRPr="00FC06CD">
        <w:rPr>
          <w:color w:val="000000" w:themeColor="text1"/>
        </w:rPr>
        <w:t>n</w:t>
      </w:r>
      <w:proofErr w:type="spellEnd"/>
      <w:r w:rsidRPr="00FC06CD">
        <w:rPr>
          <w:color w:val="000000" w:themeColor="text1"/>
        </w:rPr>
        <w:t xml:space="preserve"> Deutungen </w:t>
      </w:r>
      <w:r w:rsidR="001B79FF">
        <w:rPr>
          <w:color w:val="000000" w:themeColor="text1"/>
        </w:rPr>
        <w:t xml:space="preserve">also </w:t>
      </w:r>
      <w:r w:rsidR="00FC06CD" w:rsidRPr="00FC06CD">
        <w:rPr>
          <w:color w:val="000000" w:themeColor="text1"/>
        </w:rPr>
        <w:t xml:space="preserve">mit </w:t>
      </w:r>
      <w:r w:rsidR="00C12C9C">
        <w:rPr>
          <w:color w:val="000000" w:themeColor="text1"/>
        </w:rPr>
        <w:t>Skepsis</w:t>
      </w:r>
      <w:r w:rsidRPr="00FC06CD">
        <w:rPr>
          <w:color w:val="000000" w:themeColor="text1"/>
        </w:rPr>
        <w:t>.</w:t>
      </w:r>
      <w:r w:rsidR="00F8533C" w:rsidRPr="00FC06CD">
        <w:rPr>
          <w:rStyle w:val="Funotenzeichen"/>
          <w:color w:val="000000" w:themeColor="text1"/>
        </w:rPr>
        <w:footnoteReference w:id="22"/>
      </w:r>
      <w:r w:rsidR="00FC06CD" w:rsidRPr="00FC06CD">
        <w:rPr>
          <w:color w:val="000000" w:themeColor="text1"/>
        </w:rPr>
        <w:t xml:space="preserve"> </w:t>
      </w:r>
      <w:r w:rsidR="00DA6EAD" w:rsidRPr="00FC06CD">
        <w:rPr>
          <w:color w:val="000000" w:themeColor="text1"/>
        </w:rPr>
        <w:t xml:space="preserve">Damit schwächt sich </w:t>
      </w:r>
      <w:r w:rsidR="001B79FF">
        <w:rPr>
          <w:color w:val="000000" w:themeColor="text1"/>
        </w:rPr>
        <w:t xml:space="preserve">aber </w:t>
      </w:r>
      <w:r w:rsidR="00DA6EAD" w:rsidRPr="00FC06CD">
        <w:rPr>
          <w:color w:val="000000" w:themeColor="text1"/>
        </w:rPr>
        <w:t xml:space="preserve">ein nicht </w:t>
      </w:r>
      <w:r w:rsidR="00DA6EAD" w:rsidRPr="00FC06CD">
        <w:rPr>
          <w:color w:val="000000" w:themeColor="text1"/>
        </w:rPr>
        <w:lastRenderedPageBreak/>
        <w:t xml:space="preserve">unerhebliches Argument für die klassische Deutung des </w:t>
      </w:r>
      <w:proofErr w:type="spellStart"/>
      <w:r w:rsidR="00FC06CD" w:rsidRPr="00FC06CD">
        <w:rPr>
          <w:color w:val="000000" w:themeColor="text1"/>
        </w:rPr>
        <w:t>Veturius</w:t>
      </w:r>
      <w:proofErr w:type="spellEnd"/>
      <w:r w:rsidR="00FC06CD" w:rsidRPr="00FC06CD">
        <w:rPr>
          <w:color w:val="000000" w:themeColor="text1"/>
        </w:rPr>
        <w:t>-</w:t>
      </w:r>
      <w:r w:rsidR="00DA6EAD" w:rsidRPr="00FC06CD">
        <w:rPr>
          <w:color w:val="000000" w:themeColor="text1"/>
        </w:rPr>
        <w:t>Denars</w:t>
      </w:r>
      <w:r w:rsidR="00C5754D">
        <w:rPr>
          <w:color w:val="000000" w:themeColor="text1"/>
        </w:rPr>
        <w:t xml:space="preserve"> </w:t>
      </w:r>
      <w:r w:rsidR="00DA6EAD" w:rsidRPr="00FC06CD">
        <w:rPr>
          <w:color w:val="000000" w:themeColor="text1"/>
        </w:rPr>
        <w:t>deutlich ab</w:t>
      </w:r>
      <w:r w:rsidR="00C5754D">
        <w:rPr>
          <w:color w:val="000000" w:themeColor="text1"/>
        </w:rPr>
        <w:t xml:space="preserve">, zumindest in seiner automatischen Zwangsläufigkeit. </w:t>
      </w:r>
    </w:p>
    <w:p w14:paraId="57EEAF20" w14:textId="00F4FC10" w:rsidR="00D34C44" w:rsidRDefault="002D1E80" w:rsidP="00D94F29">
      <w:pPr>
        <w:spacing w:after="120" w:line="300" w:lineRule="auto"/>
        <w:jc w:val="both"/>
        <w:rPr>
          <w:color w:val="00B050"/>
        </w:rPr>
      </w:pPr>
      <w:r w:rsidRPr="00D94F29">
        <w:rPr>
          <w:color w:val="000000" w:themeColor="text1"/>
        </w:rPr>
        <w:t>Die</w:t>
      </w:r>
      <w:r w:rsidR="00FC06CD" w:rsidRPr="00D94F29">
        <w:rPr>
          <w:color w:val="000000" w:themeColor="text1"/>
        </w:rPr>
        <w:t xml:space="preserve"> gängige</w:t>
      </w:r>
      <w:r w:rsidRPr="00D94F29">
        <w:rPr>
          <w:color w:val="000000" w:themeColor="text1"/>
        </w:rPr>
        <w:t xml:space="preserve"> Auffassung, </w:t>
      </w:r>
      <w:proofErr w:type="spellStart"/>
      <w:r w:rsidRPr="00D94F29">
        <w:rPr>
          <w:color w:val="000000" w:themeColor="text1"/>
        </w:rPr>
        <w:t>Veturius</w:t>
      </w:r>
      <w:proofErr w:type="spellEnd"/>
      <w:r w:rsidRPr="00D94F29">
        <w:rPr>
          <w:color w:val="000000" w:themeColor="text1"/>
        </w:rPr>
        <w:t xml:space="preserve"> hätte sich mit seiner Münze direkt in die Debatte</w:t>
      </w:r>
      <w:r w:rsidR="00FC06CD" w:rsidRPr="00D94F29">
        <w:rPr>
          <w:color w:val="000000" w:themeColor="text1"/>
        </w:rPr>
        <w:t>n</w:t>
      </w:r>
      <w:r w:rsidRPr="00D94F29">
        <w:rPr>
          <w:color w:val="000000" w:themeColor="text1"/>
        </w:rPr>
        <w:t xml:space="preserve"> um den </w:t>
      </w:r>
      <w:proofErr w:type="spellStart"/>
      <w:r w:rsidRPr="00D94F29">
        <w:rPr>
          <w:color w:val="000000" w:themeColor="text1"/>
        </w:rPr>
        <w:t>Mancinus</w:t>
      </w:r>
      <w:proofErr w:type="spellEnd"/>
      <w:r w:rsidRPr="00D94F29">
        <w:rPr>
          <w:color w:val="000000" w:themeColor="text1"/>
        </w:rPr>
        <w:t>-</w:t>
      </w:r>
      <w:r w:rsidR="00FC06CD" w:rsidRPr="00D94F29">
        <w:rPr>
          <w:color w:val="000000" w:themeColor="text1"/>
        </w:rPr>
        <w:t>Vertrag</w:t>
      </w:r>
      <w:r w:rsidRPr="00D94F29">
        <w:rPr>
          <w:color w:val="000000" w:themeColor="text1"/>
        </w:rPr>
        <w:t xml:space="preserve"> </w:t>
      </w:r>
      <w:r w:rsidR="00FC06CD" w:rsidRPr="00D94F29">
        <w:rPr>
          <w:color w:val="000000" w:themeColor="text1"/>
        </w:rPr>
        <w:t>eingeschaltet</w:t>
      </w:r>
      <w:r w:rsidRPr="00D94F29">
        <w:rPr>
          <w:color w:val="000000" w:themeColor="text1"/>
        </w:rPr>
        <w:t xml:space="preserve">, hängt </w:t>
      </w:r>
      <w:r w:rsidR="001B79FF" w:rsidRPr="00D94F29">
        <w:rPr>
          <w:color w:val="000000" w:themeColor="text1"/>
        </w:rPr>
        <w:t xml:space="preserve">offensichtlich aber </w:t>
      </w:r>
      <w:r w:rsidRPr="00D94F29">
        <w:rPr>
          <w:color w:val="000000" w:themeColor="text1"/>
        </w:rPr>
        <w:t xml:space="preserve">noch </w:t>
      </w:r>
      <w:r w:rsidR="00FC06CD" w:rsidRPr="00D94F29">
        <w:rPr>
          <w:color w:val="000000" w:themeColor="text1"/>
        </w:rPr>
        <w:t xml:space="preserve">an </w:t>
      </w:r>
      <w:r w:rsidRPr="00D94F29">
        <w:rPr>
          <w:color w:val="000000" w:themeColor="text1"/>
        </w:rPr>
        <w:t xml:space="preserve">einer </w:t>
      </w:r>
      <w:r w:rsidR="00FC06CD" w:rsidRPr="00D94F29">
        <w:rPr>
          <w:color w:val="000000" w:themeColor="text1"/>
        </w:rPr>
        <w:t>weitere</w:t>
      </w:r>
      <w:r w:rsidRPr="00D94F29">
        <w:rPr>
          <w:color w:val="000000" w:themeColor="text1"/>
        </w:rPr>
        <w:t>n Vorannahme, nämlich der, dass die</w:t>
      </w:r>
      <w:r w:rsidR="00FC06CD" w:rsidRPr="00D94F29">
        <w:rPr>
          <w:color w:val="000000" w:themeColor="text1"/>
        </w:rPr>
        <w:t xml:space="preserve"> Frage nach</w:t>
      </w:r>
      <w:r w:rsidRPr="00D94F29">
        <w:rPr>
          <w:color w:val="000000" w:themeColor="text1"/>
        </w:rPr>
        <w:t xml:space="preserve"> Ratifizierung oder Zurückweisung des Vertrags </w:t>
      </w:r>
      <w:r w:rsidR="00FC06CD" w:rsidRPr="00D94F29">
        <w:rPr>
          <w:color w:val="000000" w:themeColor="text1"/>
        </w:rPr>
        <w:t xml:space="preserve">wirklich </w:t>
      </w:r>
      <w:r w:rsidRPr="00D94F29">
        <w:rPr>
          <w:color w:val="000000" w:themeColor="text1"/>
        </w:rPr>
        <w:t>offen</w:t>
      </w:r>
      <w:r w:rsidR="00FC06CD" w:rsidRPr="00D94F29">
        <w:rPr>
          <w:color w:val="000000" w:themeColor="text1"/>
        </w:rPr>
        <w:t xml:space="preserve"> </w:t>
      </w:r>
      <w:r w:rsidRPr="00D94F29">
        <w:rPr>
          <w:color w:val="000000" w:themeColor="text1"/>
        </w:rPr>
        <w:t xml:space="preserve">war, </w:t>
      </w:r>
      <w:r w:rsidR="00FC06CD" w:rsidRPr="00D94F29">
        <w:rPr>
          <w:color w:val="000000" w:themeColor="text1"/>
        </w:rPr>
        <w:t xml:space="preserve">dass </w:t>
      </w:r>
      <w:r w:rsidRPr="00D94F29">
        <w:rPr>
          <w:color w:val="000000" w:themeColor="text1"/>
        </w:rPr>
        <w:t xml:space="preserve">die Vereinbarung mit </w:t>
      </w:r>
      <w:proofErr w:type="spellStart"/>
      <w:r w:rsidRPr="00D94F29">
        <w:rPr>
          <w:color w:val="000000" w:themeColor="text1"/>
        </w:rPr>
        <w:t>Numant</w:t>
      </w:r>
      <w:r w:rsidR="00682CFE">
        <w:rPr>
          <w:color w:val="000000" w:themeColor="text1"/>
        </w:rPr>
        <w:t>i</w:t>
      </w:r>
      <w:r w:rsidRPr="00D94F29">
        <w:rPr>
          <w:color w:val="000000" w:themeColor="text1"/>
        </w:rPr>
        <w:t>a</w:t>
      </w:r>
      <w:proofErr w:type="spellEnd"/>
      <w:r w:rsidRPr="00D94F29">
        <w:rPr>
          <w:color w:val="000000" w:themeColor="text1"/>
        </w:rPr>
        <w:t xml:space="preserve"> </w:t>
      </w:r>
      <w:r w:rsidR="00FC06CD" w:rsidRPr="00D94F29">
        <w:rPr>
          <w:color w:val="000000" w:themeColor="text1"/>
        </w:rPr>
        <w:t>also überhaupt</w:t>
      </w:r>
      <w:r w:rsidRPr="00D94F29">
        <w:rPr>
          <w:color w:val="000000" w:themeColor="text1"/>
        </w:rPr>
        <w:t xml:space="preserve"> </w:t>
      </w:r>
      <w:r w:rsidR="00FC06CD" w:rsidRPr="00D94F29">
        <w:rPr>
          <w:color w:val="000000" w:themeColor="text1"/>
        </w:rPr>
        <w:t>realistische</w:t>
      </w:r>
      <w:r w:rsidRPr="00D94F29">
        <w:rPr>
          <w:color w:val="000000" w:themeColor="text1"/>
        </w:rPr>
        <w:t xml:space="preserve"> Chance</w:t>
      </w:r>
      <w:r w:rsidR="001B79FF" w:rsidRPr="00D94F29">
        <w:rPr>
          <w:color w:val="000000" w:themeColor="text1"/>
        </w:rPr>
        <w:t>n</w:t>
      </w:r>
      <w:r w:rsidRPr="00D94F29">
        <w:rPr>
          <w:color w:val="000000" w:themeColor="text1"/>
        </w:rPr>
        <w:t xml:space="preserve"> auf Durchsetzung hatte. Das </w:t>
      </w:r>
      <w:r w:rsidR="00FC06CD" w:rsidRPr="00D94F29">
        <w:rPr>
          <w:color w:val="000000" w:themeColor="text1"/>
        </w:rPr>
        <w:t>scheint mir</w:t>
      </w:r>
      <w:r w:rsidRPr="00D94F29">
        <w:rPr>
          <w:color w:val="000000" w:themeColor="text1"/>
        </w:rPr>
        <w:t xml:space="preserve"> </w:t>
      </w:r>
      <w:r w:rsidR="001B79FF" w:rsidRPr="00D94F29">
        <w:rPr>
          <w:color w:val="000000" w:themeColor="text1"/>
        </w:rPr>
        <w:t xml:space="preserve">aber </w:t>
      </w:r>
      <w:r w:rsidRPr="00D94F29">
        <w:rPr>
          <w:color w:val="000000" w:themeColor="text1"/>
        </w:rPr>
        <w:t xml:space="preserve">zumindest fraglich. </w:t>
      </w:r>
      <w:r w:rsidR="00C85B21" w:rsidRPr="00D94F29">
        <w:rPr>
          <w:color w:val="000000" w:themeColor="text1"/>
        </w:rPr>
        <w:t xml:space="preserve">Zwar sind wir über die Vorgänge </w:t>
      </w:r>
      <w:r w:rsidR="00FA12A7" w:rsidRPr="00D94F29">
        <w:rPr>
          <w:color w:val="000000" w:themeColor="text1"/>
        </w:rPr>
        <w:t xml:space="preserve">zu lückenhaft </w:t>
      </w:r>
      <w:r w:rsidR="00C85B21" w:rsidRPr="00D94F29">
        <w:rPr>
          <w:color w:val="000000" w:themeColor="text1"/>
        </w:rPr>
        <w:t xml:space="preserve">informiert, </w:t>
      </w:r>
      <w:r w:rsidR="001B79FF" w:rsidRPr="00D94F29">
        <w:rPr>
          <w:color w:val="000000" w:themeColor="text1"/>
        </w:rPr>
        <w:t>als dass wir gänzlich sichere Aussagen treffen könnten</w:t>
      </w:r>
      <w:r w:rsidR="00682CFE">
        <w:rPr>
          <w:color w:val="000000" w:themeColor="text1"/>
        </w:rPr>
        <w:t xml:space="preserve">. </w:t>
      </w:r>
      <w:r w:rsidR="00C85B21" w:rsidRPr="00D94F29">
        <w:rPr>
          <w:color w:val="000000" w:themeColor="text1"/>
        </w:rPr>
        <w:t>A</w:t>
      </w:r>
      <w:r w:rsidR="001B79FF" w:rsidRPr="00D94F29">
        <w:rPr>
          <w:color w:val="000000" w:themeColor="text1"/>
        </w:rPr>
        <w:t>lan</w:t>
      </w:r>
      <w:r w:rsidR="00C85B21" w:rsidRPr="00D94F29">
        <w:rPr>
          <w:color w:val="000000" w:themeColor="text1"/>
        </w:rPr>
        <w:t xml:space="preserve"> E. </w:t>
      </w:r>
      <w:proofErr w:type="spellStart"/>
      <w:r w:rsidR="00C85B21" w:rsidRPr="00D94F29">
        <w:rPr>
          <w:color w:val="000000" w:themeColor="text1"/>
        </w:rPr>
        <w:t>Astin</w:t>
      </w:r>
      <w:proofErr w:type="spellEnd"/>
      <w:r w:rsidR="00C85B21" w:rsidRPr="00D94F29">
        <w:rPr>
          <w:color w:val="000000" w:themeColor="text1"/>
        </w:rPr>
        <w:t xml:space="preserve"> hat aber schon vor gut fünfzig Jahren überzeugend dafür plädiert, dass in Rom Einigkeit darüber herrschte, dass </w:t>
      </w:r>
      <w:r w:rsidR="00FA12A7" w:rsidRPr="00D94F29">
        <w:rPr>
          <w:color w:val="000000" w:themeColor="text1"/>
        </w:rPr>
        <w:t>die</w:t>
      </w:r>
      <w:r w:rsidR="00C85B21" w:rsidRPr="00D94F29">
        <w:rPr>
          <w:color w:val="000000" w:themeColor="text1"/>
        </w:rPr>
        <w:t xml:space="preserve"> Beendigung des Kriegs gegen </w:t>
      </w:r>
      <w:proofErr w:type="spellStart"/>
      <w:r w:rsidR="00C85B21" w:rsidRPr="00D94F29">
        <w:rPr>
          <w:color w:val="000000" w:themeColor="text1"/>
        </w:rPr>
        <w:t>Numantia</w:t>
      </w:r>
      <w:proofErr w:type="spellEnd"/>
      <w:r w:rsidR="00C85B21" w:rsidRPr="00D94F29">
        <w:rPr>
          <w:color w:val="000000" w:themeColor="text1"/>
        </w:rPr>
        <w:t xml:space="preserve"> ohne die Erfüllung der Voraussetzung einer </w:t>
      </w:r>
      <w:proofErr w:type="spellStart"/>
      <w:r w:rsidR="00C85B21" w:rsidRPr="00D94F29">
        <w:rPr>
          <w:i/>
          <w:color w:val="000000" w:themeColor="text1"/>
        </w:rPr>
        <w:t>deditio</w:t>
      </w:r>
      <w:proofErr w:type="spellEnd"/>
      <w:r w:rsidR="00C85B21" w:rsidRPr="00D94F29">
        <w:rPr>
          <w:color w:val="000000" w:themeColor="text1"/>
        </w:rPr>
        <w:t xml:space="preserve"> </w:t>
      </w:r>
      <w:r w:rsidR="00785E0E" w:rsidRPr="00D94F29">
        <w:rPr>
          <w:color w:val="000000" w:themeColor="text1"/>
        </w:rPr>
        <w:t xml:space="preserve">letztlich </w:t>
      </w:r>
      <w:r w:rsidR="00FA12A7" w:rsidRPr="00D94F29">
        <w:rPr>
          <w:color w:val="000000" w:themeColor="text1"/>
        </w:rPr>
        <w:t>in</w:t>
      </w:r>
      <w:r w:rsidR="00C85B21" w:rsidRPr="00D94F29">
        <w:rPr>
          <w:color w:val="000000" w:themeColor="text1"/>
        </w:rPr>
        <w:t>akzeptabel war.</w:t>
      </w:r>
      <w:r w:rsidR="00FA12A7" w:rsidRPr="00D94F29">
        <w:rPr>
          <w:rStyle w:val="Funotenzeichen"/>
          <w:color w:val="000000" w:themeColor="text1"/>
        </w:rPr>
        <w:footnoteReference w:id="23"/>
      </w:r>
      <w:r w:rsidR="001B79FF" w:rsidRPr="00D94F29">
        <w:rPr>
          <w:color w:val="000000" w:themeColor="text1"/>
        </w:rPr>
        <w:t xml:space="preserve"> </w:t>
      </w:r>
      <w:r w:rsidR="00785E0E" w:rsidRPr="00D94F29">
        <w:rPr>
          <w:color w:val="000000" w:themeColor="text1"/>
        </w:rPr>
        <w:t>S</w:t>
      </w:r>
      <w:r w:rsidR="00FA12A7" w:rsidRPr="00D94F29">
        <w:rPr>
          <w:color w:val="000000" w:themeColor="text1"/>
        </w:rPr>
        <w:t xml:space="preserve">chon die unmittelbare Abberufung des </w:t>
      </w:r>
      <w:proofErr w:type="spellStart"/>
      <w:r w:rsidR="00FA12A7" w:rsidRPr="00D94F29">
        <w:rPr>
          <w:color w:val="000000" w:themeColor="text1"/>
        </w:rPr>
        <w:t>Mancinus</w:t>
      </w:r>
      <w:proofErr w:type="spellEnd"/>
      <w:r w:rsidR="00FA12A7" w:rsidRPr="00D94F29">
        <w:rPr>
          <w:color w:val="000000" w:themeColor="text1"/>
        </w:rPr>
        <w:t xml:space="preserve"> vom Kriegsschauplatz </w:t>
      </w:r>
      <w:r w:rsidR="000D0B59" w:rsidRPr="00D94F29">
        <w:rPr>
          <w:color w:val="000000" w:themeColor="text1"/>
        </w:rPr>
        <w:t>nach</w:t>
      </w:r>
      <w:r w:rsidR="00FA12A7" w:rsidRPr="00D94F29">
        <w:rPr>
          <w:color w:val="000000" w:themeColor="text1"/>
        </w:rPr>
        <w:t xml:space="preserve"> </w:t>
      </w:r>
      <w:r w:rsidR="000D0B59" w:rsidRPr="00D94F29">
        <w:rPr>
          <w:color w:val="000000" w:themeColor="text1"/>
        </w:rPr>
        <w:t>Bekanntwerden</w:t>
      </w:r>
      <w:r w:rsidR="00FA12A7" w:rsidRPr="00D94F29">
        <w:rPr>
          <w:color w:val="000000" w:themeColor="text1"/>
        </w:rPr>
        <w:t xml:space="preserve"> der Vorkommnisse </w:t>
      </w:r>
      <w:r w:rsidR="00EB7F3D">
        <w:rPr>
          <w:color w:val="000000" w:themeColor="text1"/>
        </w:rPr>
        <w:t>sprach</w:t>
      </w:r>
      <w:r w:rsidR="00FA12A7" w:rsidRPr="00D94F29">
        <w:rPr>
          <w:color w:val="000000" w:themeColor="text1"/>
        </w:rPr>
        <w:t xml:space="preserve"> kaum für eine ergebnisoffene Erörterung der Gültigkeitsfrage</w:t>
      </w:r>
      <w:r w:rsidR="000D0B59" w:rsidRPr="00D94F29">
        <w:rPr>
          <w:color w:val="000000" w:themeColor="text1"/>
        </w:rPr>
        <w:t>; un</w:t>
      </w:r>
      <w:r w:rsidR="00FA12A7" w:rsidRPr="00D94F29">
        <w:rPr>
          <w:color w:val="000000" w:themeColor="text1"/>
        </w:rPr>
        <w:t xml:space="preserve">d </w:t>
      </w:r>
      <w:r w:rsidR="00EB7F3D">
        <w:rPr>
          <w:color w:val="000000" w:themeColor="text1"/>
        </w:rPr>
        <w:t>als</w:t>
      </w:r>
      <w:r w:rsidR="00C45BCD" w:rsidRPr="00D94F29">
        <w:rPr>
          <w:color w:val="000000" w:themeColor="text1"/>
        </w:rPr>
        <w:t xml:space="preserve"> </w:t>
      </w:r>
      <w:proofErr w:type="spellStart"/>
      <w:r w:rsidR="00C45BCD" w:rsidRPr="00D94F29">
        <w:rPr>
          <w:color w:val="000000" w:themeColor="text1"/>
        </w:rPr>
        <w:t>Mancinus</w:t>
      </w:r>
      <w:proofErr w:type="spellEnd"/>
      <w:r w:rsidR="00C45BCD" w:rsidRPr="00D94F29">
        <w:rPr>
          <w:color w:val="000000" w:themeColor="text1"/>
        </w:rPr>
        <w:t xml:space="preserve"> und Gracchus ihren Vertrag</w:t>
      </w:r>
      <w:r w:rsidR="000D0B59" w:rsidRPr="00D94F29">
        <w:rPr>
          <w:color w:val="000000" w:themeColor="text1"/>
        </w:rPr>
        <w:t xml:space="preserve"> </w:t>
      </w:r>
      <w:r w:rsidR="00C45BCD" w:rsidRPr="00D94F29">
        <w:rPr>
          <w:color w:val="000000" w:themeColor="text1"/>
        </w:rPr>
        <w:t xml:space="preserve">verteidigten, </w:t>
      </w:r>
      <w:r w:rsidR="00EB7F3D">
        <w:rPr>
          <w:color w:val="000000" w:themeColor="text1"/>
        </w:rPr>
        <w:t>hatte</w:t>
      </w:r>
      <w:r w:rsidR="000D0B59" w:rsidRPr="00D94F29">
        <w:rPr>
          <w:color w:val="000000" w:themeColor="text1"/>
        </w:rPr>
        <w:t xml:space="preserve"> diese Verteidigung vor allem </w:t>
      </w:r>
      <w:r w:rsidR="00C45BCD" w:rsidRPr="00D94F29">
        <w:rPr>
          <w:color w:val="000000" w:themeColor="text1"/>
        </w:rPr>
        <w:t>apologetischen Charakter</w:t>
      </w:r>
      <w:r w:rsidR="00FA12A7" w:rsidRPr="00D94F29">
        <w:rPr>
          <w:color w:val="000000" w:themeColor="text1"/>
        </w:rPr>
        <w:t xml:space="preserve">. </w:t>
      </w:r>
      <w:r w:rsidR="00EB7F3D">
        <w:rPr>
          <w:color w:val="000000" w:themeColor="text1"/>
        </w:rPr>
        <w:t xml:space="preserve">Ihre </w:t>
      </w:r>
      <w:r w:rsidR="000D0B59" w:rsidRPr="00D94F29">
        <w:rPr>
          <w:color w:val="000000" w:themeColor="text1"/>
        </w:rPr>
        <w:t>Argumente</w:t>
      </w:r>
      <w:r w:rsidR="00EB7F3D">
        <w:rPr>
          <w:color w:val="000000" w:themeColor="text1"/>
        </w:rPr>
        <w:t>, sofern sie noch greifbar sind,</w:t>
      </w:r>
      <w:r w:rsidR="000D0B59" w:rsidRPr="00D94F29">
        <w:rPr>
          <w:color w:val="000000" w:themeColor="text1"/>
        </w:rPr>
        <w:t xml:space="preserve"> l</w:t>
      </w:r>
      <w:r w:rsidR="00EB7F3D">
        <w:rPr>
          <w:color w:val="000000" w:themeColor="text1"/>
        </w:rPr>
        <w:t>iefen</w:t>
      </w:r>
      <w:r w:rsidR="000D0B59" w:rsidRPr="00D94F29">
        <w:rPr>
          <w:color w:val="000000" w:themeColor="text1"/>
        </w:rPr>
        <w:t xml:space="preserve"> jedenfalls auf Entschuldigungen hinaus: Konsul und </w:t>
      </w:r>
      <w:proofErr w:type="spellStart"/>
      <w:r w:rsidR="000D0B59" w:rsidRPr="00D94F29">
        <w:rPr>
          <w:color w:val="000000" w:themeColor="text1"/>
        </w:rPr>
        <w:t>Quaestor</w:t>
      </w:r>
      <w:proofErr w:type="spellEnd"/>
      <w:r w:rsidR="000D0B59" w:rsidRPr="00D94F29">
        <w:rPr>
          <w:color w:val="000000" w:themeColor="text1"/>
        </w:rPr>
        <w:t xml:space="preserve"> führten ins Feld, dass durch </w:t>
      </w:r>
      <w:r w:rsidR="00EB7F3D">
        <w:rPr>
          <w:color w:val="000000" w:themeColor="text1"/>
        </w:rPr>
        <w:t>ihr</w:t>
      </w:r>
      <w:r w:rsidR="000D0B59" w:rsidRPr="00D94F29">
        <w:rPr>
          <w:color w:val="000000" w:themeColor="text1"/>
        </w:rPr>
        <w:t xml:space="preserve">en Vertrag 20.000 römische Soldaten vor dem Tod bewahrt worden waren, und verwiesen darüber hinaus auf die </w:t>
      </w:r>
      <w:r w:rsidR="000D0B59" w:rsidRPr="009C3ABC">
        <w:rPr>
          <w:color w:val="000000" w:themeColor="text1"/>
        </w:rPr>
        <w:t>unrühmliche Rolle</w:t>
      </w:r>
      <w:r w:rsidR="00D94F29" w:rsidRPr="009C3ABC">
        <w:rPr>
          <w:color w:val="000000" w:themeColor="text1"/>
        </w:rPr>
        <w:t xml:space="preserve"> des Q. </w:t>
      </w:r>
      <w:proofErr w:type="spellStart"/>
      <w:r w:rsidR="00D94F29" w:rsidRPr="009C3ABC">
        <w:rPr>
          <w:color w:val="000000" w:themeColor="text1"/>
        </w:rPr>
        <w:t>Pompeius</w:t>
      </w:r>
      <w:proofErr w:type="spellEnd"/>
      <w:r w:rsidR="00D94F29" w:rsidRPr="009C3ABC">
        <w:rPr>
          <w:color w:val="000000" w:themeColor="text1"/>
        </w:rPr>
        <w:t>, der als Prokonsul 14</w:t>
      </w:r>
      <w:r w:rsidR="00400A61">
        <w:rPr>
          <w:color w:val="000000" w:themeColor="text1"/>
        </w:rPr>
        <w:t>0</w:t>
      </w:r>
      <w:r w:rsidR="00D94F29" w:rsidRPr="009C3ABC">
        <w:rPr>
          <w:color w:val="000000" w:themeColor="text1"/>
        </w:rPr>
        <w:t>/</w:t>
      </w:r>
      <w:r w:rsidR="00400A61">
        <w:rPr>
          <w:color w:val="000000" w:themeColor="text1"/>
        </w:rPr>
        <w:t>39</w:t>
      </w:r>
      <w:r w:rsidR="00D94F29" w:rsidRPr="009C3ABC">
        <w:rPr>
          <w:color w:val="000000" w:themeColor="text1"/>
        </w:rPr>
        <w:t xml:space="preserve"> ebenfalls gegen </w:t>
      </w:r>
      <w:proofErr w:type="spellStart"/>
      <w:r w:rsidR="00D94F29" w:rsidRPr="009C3ABC">
        <w:rPr>
          <w:color w:val="000000" w:themeColor="text1"/>
        </w:rPr>
        <w:t>Numantia</w:t>
      </w:r>
      <w:proofErr w:type="spellEnd"/>
      <w:r w:rsidR="00D94F29" w:rsidRPr="009C3ABC">
        <w:rPr>
          <w:color w:val="000000" w:themeColor="text1"/>
        </w:rPr>
        <w:t xml:space="preserve"> gekämpft und ebenfalls einen Vertrag geschlossen hatte, den er in der Folge aber ableugnete, was sich für </w:t>
      </w:r>
      <w:proofErr w:type="spellStart"/>
      <w:r w:rsidR="00D94F29" w:rsidRPr="009C3ABC">
        <w:rPr>
          <w:color w:val="000000" w:themeColor="text1"/>
        </w:rPr>
        <w:t>Mancinus</w:t>
      </w:r>
      <w:proofErr w:type="spellEnd"/>
      <w:r w:rsidR="00D94F29" w:rsidRPr="009C3ABC">
        <w:rPr>
          <w:color w:val="000000" w:themeColor="text1"/>
        </w:rPr>
        <w:t xml:space="preserve"> als Handicap in seiner eigenen Kampagne herausgestellt hätte.</w:t>
      </w:r>
      <w:r w:rsidR="00BA4B7B" w:rsidRPr="009C3ABC">
        <w:rPr>
          <w:rStyle w:val="Funotenzeichen"/>
          <w:color w:val="000000" w:themeColor="text1"/>
        </w:rPr>
        <w:footnoteReference w:id="24"/>
      </w:r>
      <w:r w:rsidR="00BA4B7B" w:rsidRPr="009C3ABC">
        <w:rPr>
          <w:color w:val="000000" w:themeColor="text1"/>
        </w:rPr>
        <w:t xml:space="preserve"> </w:t>
      </w:r>
      <w:r w:rsidR="00D94F29" w:rsidRPr="009C3ABC">
        <w:rPr>
          <w:color w:val="000000" w:themeColor="text1"/>
        </w:rPr>
        <w:t>Dass e</w:t>
      </w:r>
      <w:r w:rsidR="00FA12A7" w:rsidRPr="009C3ABC">
        <w:rPr>
          <w:color w:val="000000" w:themeColor="text1"/>
        </w:rPr>
        <w:t xml:space="preserve">in Großteil der Debatte darüber hinaus eher den Modalitäten </w:t>
      </w:r>
      <w:r w:rsidR="00BA4B7B" w:rsidRPr="009C3ABC">
        <w:rPr>
          <w:color w:val="000000" w:themeColor="text1"/>
        </w:rPr>
        <w:t>einer möglichen</w:t>
      </w:r>
      <w:r w:rsidR="00FA12A7" w:rsidRPr="009C3ABC">
        <w:rPr>
          <w:color w:val="000000" w:themeColor="text1"/>
        </w:rPr>
        <w:t xml:space="preserve"> Vertragsrückweisung als der Frage nach de</w:t>
      </w:r>
      <w:r w:rsidR="00BA4B7B" w:rsidRPr="009C3ABC">
        <w:rPr>
          <w:color w:val="000000" w:themeColor="text1"/>
        </w:rPr>
        <w:t>r</w:t>
      </w:r>
      <w:r w:rsidR="00FA12A7" w:rsidRPr="009C3ABC">
        <w:rPr>
          <w:color w:val="000000" w:themeColor="text1"/>
        </w:rPr>
        <w:t xml:space="preserve"> </w:t>
      </w:r>
      <w:r w:rsidR="00BA4B7B" w:rsidRPr="009C3ABC">
        <w:rPr>
          <w:color w:val="000000" w:themeColor="text1"/>
        </w:rPr>
        <w:t xml:space="preserve">Gültigkeit der Vereinbarung </w:t>
      </w:r>
      <w:r w:rsidR="00FA12A7" w:rsidRPr="009C3ABC">
        <w:rPr>
          <w:color w:val="000000" w:themeColor="text1"/>
        </w:rPr>
        <w:t>an sich</w:t>
      </w:r>
      <w:r w:rsidR="00D94F29" w:rsidRPr="009C3ABC">
        <w:rPr>
          <w:color w:val="000000" w:themeColor="text1"/>
        </w:rPr>
        <w:t xml:space="preserve"> galt,</w:t>
      </w:r>
      <w:r w:rsidR="00662E0B" w:rsidRPr="009C3ABC">
        <w:rPr>
          <w:rStyle w:val="Funotenzeichen"/>
          <w:color w:val="000000" w:themeColor="text1"/>
        </w:rPr>
        <w:footnoteReference w:id="25"/>
      </w:r>
      <w:r w:rsidR="00D94F29" w:rsidRPr="009C3ABC">
        <w:rPr>
          <w:color w:val="000000" w:themeColor="text1"/>
        </w:rPr>
        <w:t xml:space="preserve"> </w:t>
      </w:r>
      <w:r w:rsidR="00662E0B">
        <w:rPr>
          <w:color w:val="000000" w:themeColor="text1"/>
        </w:rPr>
        <w:t xml:space="preserve">deutet in eine ähnliche Richtung: Die Annahme des </w:t>
      </w:r>
      <w:proofErr w:type="spellStart"/>
      <w:r w:rsidR="00662E0B">
        <w:rPr>
          <w:color w:val="000000" w:themeColor="text1"/>
        </w:rPr>
        <w:t>Mancinus</w:t>
      </w:r>
      <w:proofErr w:type="spellEnd"/>
      <w:r w:rsidR="00662E0B">
        <w:rPr>
          <w:color w:val="000000" w:themeColor="text1"/>
        </w:rPr>
        <w:t>-Vertrags war von vornherein unwahrscheinlich</w:t>
      </w:r>
      <w:r w:rsidR="00FA12A7" w:rsidRPr="009C3ABC">
        <w:rPr>
          <w:color w:val="000000" w:themeColor="text1"/>
        </w:rPr>
        <w:t xml:space="preserve">. </w:t>
      </w:r>
    </w:p>
    <w:p w14:paraId="4106A8B2" w14:textId="42C010FE" w:rsidR="000B7672" w:rsidRDefault="00EB7F3D" w:rsidP="00EB7F3D">
      <w:pPr>
        <w:spacing w:after="120" w:line="300" w:lineRule="auto"/>
        <w:jc w:val="both"/>
      </w:pPr>
      <w:r w:rsidRPr="000B7672">
        <w:t xml:space="preserve">Es mag angesichts dessen tatsächlich die Grenze des Möglichen markiert haben, wenn Scipio </w:t>
      </w:r>
      <w:proofErr w:type="spellStart"/>
      <w:r w:rsidRPr="000B7672">
        <w:t>Aemilianus</w:t>
      </w:r>
      <w:proofErr w:type="spellEnd"/>
      <w:r w:rsidRPr="000B7672">
        <w:t xml:space="preserve"> seinen Cousin immerhin davor bewahrte, zusammen mit </w:t>
      </w:r>
      <w:proofErr w:type="spellStart"/>
      <w:r w:rsidRPr="000B7672">
        <w:t>Mancinus</w:t>
      </w:r>
      <w:proofErr w:type="spellEnd"/>
      <w:r w:rsidRPr="000B7672">
        <w:t xml:space="preserve"> an den durch die Zurückweisung des Vertrages düpierten Kriegsgegner ausgeliefert zu werden; eine Anerkennung des Vertrags stand hingegen wohl niemals ernsthaft zur Debatte. Wenn nun aber die Sache des </w:t>
      </w:r>
      <w:proofErr w:type="spellStart"/>
      <w:r w:rsidRPr="000B7672">
        <w:t>Mancinus</w:t>
      </w:r>
      <w:proofErr w:type="spellEnd"/>
      <w:r w:rsidRPr="000B7672">
        <w:t xml:space="preserve"> und des Gracchus von vornherein ein ‚lost </w:t>
      </w:r>
      <w:proofErr w:type="spellStart"/>
      <w:r w:rsidRPr="000B7672">
        <w:t>case</w:t>
      </w:r>
      <w:proofErr w:type="spellEnd"/>
      <w:r w:rsidRPr="000B7672">
        <w:t xml:space="preserve">‘ war, dann ist kaum plausibel, dass sich der Münzmeister </w:t>
      </w:r>
      <w:proofErr w:type="spellStart"/>
      <w:r w:rsidRPr="000B7672">
        <w:t>Veturius</w:t>
      </w:r>
      <w:proofErr w:type="spellEnd"/>
      <w:r w:rsidRPr="000B7672">
        <w:t xml:space="preserve"> –</w:t>
      </w:r>
      <w:r w:rsidR="00C5754D">
        <w:t xml:space="preserve"> </w:t>
      </w:r>
      <w:r w:rsidRPr="000B7672">
        <w:t>Verwandtschaft hin oder her</w:t>
      </w:r>
      <w:r w:rsidR="00C5754D">
        <w:t xml:space="preserve"> </w:t>
      </w:r>
      <w:r w:rsidRPr="000B7672">
        <w:t xml:space="preserve">– mit einem für </w:t>
      </w:r>
      <w:r w:rsidRPr="000B7672">
        <w:lastRenderedPageBreak/>
        <w:t xml:space="preserve">die </w:t>
      </w:r>
      <w:proofErr w:type="spellStart"/>
      <w:r w:rsidRPr="000B7672">
        <w:t>Denarprägung</w:t>
      </w:r>
      <w:proofErr w:type="spellEnd"/>
      <w:r w:rsidRPr="000B7672">
        <w:t xml:space="preserve"> derart revolutionären Motiv ausgerechnet hierfür exponiert haben soll. Natürlich stand er als </w:t>
      </w:r>
      <w:proofErr w:type="spellStart"/>
      <w:r w:rsidRPr="000B7672">
        <w:rPr>
          <w:i/>
        </w:rPr>
        <w:t>magistratus</w:t>
      </w:r>
      <w:proofErr w:type="spellEnd"/>
      <w:r w:rsidRPr="000B7672">
        <w:rPr>
          <w:i/>
        </w:rPr>
        <w:t xml:space="preserve"> minor</w:t>
      </w:r>
      <w:r w:rsidRPr="000B7672">
        <w:t xml:space="preserve"> in einer gewissen Abhängigkeit von </w:t>
      </w:r>
      <w:proofErr w:type="spellStart"/>
      <w:r w:rsidRPr="000B7672">
        <w:t>Quaestor</w:t>
      </w:r>
      <w:proofErr w:type="spellEnd"/>
      <w:r w:rsidRPr="000B7672">
        <w:t xml:space="preserve"> und Konsul</w:t>
      </w:r>
      <w:r w:rsidR="00D34C44" w:rsidRPr="000B7672">
        <w:t xml:space="preserve">; </w:t>
      </w:r>
      <w:r w:rsidR="000B7672" w:rsidRPr="000B7672">
        <w:t xml:space="preserve">nichtsdestoweniger war er als Münzmeister </w:t>
      </w:r>
      <w:r w:rsidR="00DA34E9">
        <w:t xml:space="preserve">aber </w:t>
      </w:r>
      <w:r w:rsidR="000B7672" w:rsidRPr="000B7672">
        <w:t>letztlich verantwortlich für die Auswahl seiner Motive, und gerade in der vorliegenden Situation wäre er mit einem neutralen Motiv sicherlich besser beraten gewesen.</w:t>
      </w:r>
      <w:r w:rsidR="00180EE0" w:rsidRPr="000B7672">
        <w:rPr>
          <w:rStyle w:val="Funotenzeichen"/>
        </w:rPr>
        <w:footnoteReference w:id="26"/>
      </w:r>
      <w:r w:rsidR="000B7672" w:rsidRPr="000B7672">
        <w:t xml:space="preserve"> </w:t>
      </w:r>
    </w:p>
    <w:p w14:paraId="394B328F" w14:textId="42B4E250" w:rsidR="00CE4C57" w:rsidRDefault="00705B37" w:rsidP="00EB7F3D">
      <w:pPr>
        <w:spacing w:after="120" w:line="300" w:lineRule="auto"/>
        <w:jc w:val="both"/>
      </w:pPr>
      <w:r>
        <w:t xml:space="preserve">Alles in allem ist die </w:t>
      </w:r>
      <w:proofErr w:type="spellStart"/>
      <w:r>
        <w:t>faktionale</w:t>
      </w:r>
      <w:proofErr w:type="spellEnd"/>
      <w:r>
        <w:t xml:space="preserve"> Deutung des Denars also weniger sicher, als sie auf den ersten Blick scheinen mag, da sie auf zwei zumindest problematischen Axiomen aufbaut, zum einen auf der politisch unmittelbar wirksamen verwandtschaftlichen Nähe des </w:t>
      </w:r>
      <w:proofErr w:type="spellStart"/>
      <w:r>
        <w:t>Veturius</w:t>
      </w:r>
      <w:proofErr w:type="spellEnd"/>
      <w:r>
        <w:t xml:space="preserve"> zu Gracchus, zum anderen auf der Ergebnisoffenheit der Debatte um Annahme oder Rückweisung des </w:t>
      </w:r>
      <w:proofErr w:type="spellStart"/>
      <w:r>
        <w:t>Mancinus</w:t>
      </w:r>
      <w:proofErr w:type="spellEnd"/>
      <w:r>
        <w:t xml:space="preserve">-Vertrags. </w:t>
      </w:r>
      <w:r w:rsidR="00CE4C57">
        <w:t xml:space="preserve">Wenn nun aber nicht ausgemacht ist, dass sich </w:t>
      </w:r>
      <w:proofErr w:type="spellStart"/>
      <w:r w:rsidR="00CE4C57">
        <w:t>Veturius</w:t>
      </w:r>
      <w:proofErr w:type="spellEnd"/>
      <w:r w:rsidR="00CE4C57">
        <w:t xml:space="preserve"> mit seiner Münze zugunsten seines Vetters unmittelbar in eine laufende Senatsdebatte einklinkte, so ist es auch nicht notwendig, das Münzmotiv als Repräsentanz einer älteren Tradition der Geschichte vom </w:t>
      </w:r>
      <w:proofErr w:type="spellStart"/>
      <w:r w:rsidR="00CE4C57">
        <w:t>Caudinischen</w:t>
      </w:r>
      <w:proofErr w:type="spellEnd"/>
      <w:r w:rsidR="00CE4C57">
        <w:t xml:space="preserve"> Frieden zu sehen, in welcher der von den Konsuln </w:t>
      </w:r>
      <w:proofErr w:type="spellStart"/>
      <w:r w:rsidR="00CE4C57">
        <w:t>Postumius</w:t>
      </w:r>
      <w:proofErr w:type="spellEnd"/>
      <w:r w:rsidR="00CE4C57">
        <w:t xml:space="preserve"> und </w:t>
      </w:r>
      <w:proofErr w:type="spellStart"/>
      <w:r w:rsidR="00CE4C57">
        <w:t>Veturius</w:t>
      </w:r>
      <w:proofErr w:type="spellEnd"/>
      <w:r w:rsidR="00CE4C57">
        <w:t xml:space="preserve"> </w:t>
      </w:r>
      <w:r w:rsidR="00CE63C2">
        <w:t xml:space="preserve">321 mit den Samniten </w:t>
      </w:r>
      <w:r w:rsidR="00CE4C57">
        <w:t>geschl</w:t>
      </w:r>
      <w:r w:rsidR="00CE63C2">
        <w:t xml:space="preserve">ossene Vertrag in seiner Gültigkeit nicht angetastet worden sei, wie Crawford es annimmt (s. o.). Vom Münzmotiv </w:t>
      </w:r>
      <w:r w:rsidR="00A93C80">
        <w:t>selbst</w:t>
      </w:r>
      <w:r w:rsidR="00CE63C2">
        <w:t xml:space="preserve"> ausgehend, lässt sich </w:t>
      </w:r>
      <w:r w:rsidR="00A93C80">
        <w:t>nicht</w:t>
      </w:r>
      <w:r w:rsidR="00CE63C2">
        <w:t xml:space="preserve"> entscheiden, ob der Denar von der Anerkennung oder der späteren Auflösung des </w:t>
      </w:r>
      <w:proofErr w:type="spellStart"/>
      <w:r w:rsidR="00A93C80">
        <w:t>Caudinischen</w:t>
      </w:r>
      <w:proofErr w:type="spellEnd"/>
      <w:r w:rsidR="00A93C80">
        <w:t xml:space="preserve"> Vertrags</w:t>
      </w:r>
      <w:r w:rsidR="00CE63C2">
        <w:t xml:space="preserve"> ausging, da dieser ja </w:t>
      </w:r>
      <w:r w:rsidR="00DA34E9">
        <w:t>in beiden Fällen</w:t>
      </w:r>
      <w:r w:rsidR="00CE63C2">
        <w:t xml:space="preserve"> zunächst beeidet worden war, und nur diese initiale Beeidung </w:t>
      </w:r>
      <w:r w:rsidR="00A93C80">
        <w:t>abgebildet ist.</w:t>
      </w:r>
      <w:r w:rsidR="00DA34E9">
        <w:rPr>
          <w:rStyle w:val="Funotenzeichen"/>
        </w:rPr>
        <w:footnoteReference w:id="27"/>
      </w:r>
      <w:r w:rsidR="00CE63C2">
        <w:t xml:space="preserve"> </w:t>
      </w:r>
      <w:r w:rsidR="00173FE5">
        <w:t>Es besteht also durchaus die Möglichkeit, dass RRC 234/1 anders auf d</w:t>
      </w:r>
      <w:r w:rsidR="00DA34E9">
        <w:t>ie</w:t>
      </w:r>
      <w:r w:rsidR="00173FE5">
        <w:t xml:space="preserve"> </w:t>
      </w:r>
      <w:proofErr w:type="spellStart"/>
      <w:r w:rsidR="00173FE5">
        <w:t>Mancinus</w:t>
      </w:r>
      <w:proofErr w:type="spellEnd"/>
      <w:r w:rsidR="00173FE5">
        <w:t>-</w:t>
      </w:r>
      <w:r w:rsidR="00DA34E9">
        <w:t>Causa</w:t>
      </w:r>
      <w:r w:rsidR="00173FE5">
        <w:t xml:space="preserve"> zu beziehen ist als bislang angenommen. </w:t>
      </w:r>
    </w:p>
    <w:p w14:paraId="38405E47" w14:textId="2588DBD7" w:rsidR="00B055FD" w:rsidRPr="00626966" w:rsidRDefault="00B055FD" w:rsidP="00901CC1">
      <w:pPr>
        <w:spacing w:after="120" w:line="300" w:lineRule="auto"/>
        <w:jc w:val="both"/>
        <w:rPr>
          <w:color w:val="000000" w:themeColor="text1"/>
        </w:rPr>
      </w:pPr>
      <w:r w:rsidRPr="00626966">
        <w:rPr>
          <w:color w:val="000000" w:themeColor="text1"/>
        </w:rPr>
        <w:t>III</w:t>
      </w:r>
    </w:p>
    <w:p w14:paraId="294F711A" w14:textId="492AF4B1" w:rsidR="00CD4013" w:rsidRPr="00CD4013" w:rsidRDefault="00126586" w:rsidP="00486F25">
      <w:pPr>
        <w:spacing w:after="120" w:line="300" w:lineRule="auto"/>
        <w:jc w:val="both"/>
        <w:rPr>
          <w:color w:val="000000" w:themeColor="text1"/>
        </w:rPr>
      </w:pPr>
      <w:r w:rsidRPr="00CD4013">
        <w:rPr>
          <w:color w:val="000000" w:themeColor="text1"/>
        </w:rPr>
        <w:t xml:space="preserve">Zusätzlich zum bisher Festgestellten sollte beachtet werden, dass die </w:t>
      </w:r>
      <w:proofErr w:type="spellStart"/>
      <w:r w:rsidRPr="00CD4013">
        <w:rPr>
          <w:color w:val="000000" w:themeColor="text1"/>
        </w:rPr>
        <w:t>faktionale</w:t>
      </w:r>
      <w:proofErr w:type="spellEnd"/>
      <w:r w:rsidRPr="00CD4013">
        <w:rPr>
          <w:color w:val="000000" w:themeColor="text1"/>
        </w:rPr>
        <w:t xml:space="preserve"> Deutung des Denars überdeckt, dass dieser möglicherweise mehr Familienmünze war, als es bspw. Wolters ihm zugestehen möchte.</w:t>
      </w:r>
      <w:r w:rsidR="00883B12" w:rsidRPr="00CD4013">
        <w:rPr>
          <w:rStyle w:val="Funotenzeichen"/>
          <w:color w:val="000000" w:themeColor="text1"/>
        </w:rPr>
        <w:footnoteReference w:id="28"/>
      </w:r>
      <w:r w:rsidRPr="00CD4013">
        <w:rPr>
          <w:color w:val="000000" w:themeColor="text1"/>
        </w:rPr>
        <w:t xml:space="preserve"> Auf dem Avers </w:t>
      </w:r>
      <w:r w:rsidR="00CB6433" w:rsidRPr="00CD4013">
        <w:rPr>
          <w:color w:val="000000" w:themeColor="text1"/>
        </w:rPr>
        <w:t>ist ein</w:t>
      </w:r>
      <w:r w:rsidRPr="00CD4013">
        <w:rPr>
          <w:color w:val="000000" w:themeColor="text1"/>
        </w:rPr>
        <w:t xml:space="preserve"> Aspekt familiäre</w:t>
      </w:r>
      <w:r w:rsidR="00CB6433" w:rsidRPr="00CD4013">
        <w:rPr>
          <w:color w:val="000000" w:themeColor="text1"/>
        </w:rPr>
        <w:t>r</w:t>
      </w:r>
      <w:r w:rsidRPr="00CD4013">
        <w:rPr>
          <w:color w:val="000000" w:themeColor="text1"/>
        </w:rPr>
        <w:t xml:space="preserve"> Repräsentation der </w:t>
      </w:r>
      <w:proofErr w:type="spellStart"/>
      <w:r w:rsidRPr="00CD4013">
        <w:rPr>
          <w:color w:val="000000" w:themeColor="text1"/>
        </w:rPr>
        <w:t>Veturii</w:t>
      </w:r>
      <w:proofErr w:type="spellEnd"/>
      <w:r w:rsidRPr="00CD4013">
        <w:rPr>
          <w:color w:val="000000" w:themeColor="text1"/>
        </w:rPr>
        <w:t xml:space="preserve"> jedenfalls durchaus gegeben, auch wenn d</w:t>
      </w:r>
      <w:r w:rsidR="00CB6433" w:rsidRPr="00CD4013">
        <w:rPr>
          <w:color w:val="000000" w:themeColor="text1"/>
        </w:rPr>
        <w:t>as</w:t>
      </w:r>
      <w:r w:rsidRPr="00CD4013">
        <w:rPr>
          <w:color w:val="000000" w:themeColor="text1"/>
        </w:rPr>
        <w:t xml:space="preserve"> mitunter in Abrede gestellt w</w:t>
      </w:r>
      <w:r w:rsidR="00EB69C2" w:rsidRPr="00CD4013">
        <w:rPr>
          <w:color w:val="000000" w:themeColor="text1"/>
        </w:rPr>
        <w:t>i</w:t>
      </w:r>
      <w:r w:rsidRPr="00CD4013">
        <w:rPr>
          <w:color w:val="000000" w:themeColor="text1"/>
        </w:rPr>
        <w:t>rd</w:t>
      </w:r>
      <w:r w:rsidR="00CD4013" w:rsidRPr="00CD4013">
        <w:rPr>
          <w:color w:val="000000" w:themeColor="text1"/>
        </w:rPr>
        <w:t>:</w:t>
      </w:r>
      <w:r w:rsidR="006C4196" w:rsidRPr="00CD4013">
        <w:rPr>
          <w:color w:val="000000" w:themeColor="text1"/>
        </w:rPr>
        <w:t xml:space="preserve"> </w:t>
      </w:r>
      <w:r w:rsidR="00CB6433" w:rsidRPr="00CD4013">
        <w:rPr>
          <w:color w:val="000000" w:themeColor="text1"/>
        </w:rPr>
        <w:t xml:space="preserve">Die </w:t>
      </w:r>
      <w:r w:rsidRPr="00CD4013">
        <w:rPr>
          <w:color w:val="000000" w:themeColor="text1"/>
        </w:rPr>
        <w:t xml:space="preserve">abgebildete Mars-Büste, exponiert durch </w:t>
      </w:r>
      <w:r w:rsidR="00EB69C2" w:rsidRPr="00CD4013">
        <w:rPr>
          <w:color w:val="000000" w:themeColor="text1"/>
        </w:rPr>
        <w:t>ihre</w:t>
      </w:r>
      <w:r w:rsidRPr="00CD4013">
        <w:rPr>
          <w:color w:val="000000" w:themeColor="text1"/>
        </w:rPr>
        <w:t xml:space="preserve"> ungewöhnliche Blickrichtung nach rechts, nimmt </w:t>
      </w:r>
      <w:r w:rsidR="00CD4013" w:rsidRPr="00CD4013">
        <w:rPr>
          <w:color w:val="000000" w:themeColor="text1"/>
        </w:rPr>
        <w:t xml:space="preserve">vielleicht </w:t>
      </w:r>
      <w:r w:rsidR="00CB6433" w:rsidRPr="00CD4013">
        <w:rPr>
          <w:color w:val="000000" w:themeColor="text1"/>
        </w:rPr>
        <w:t xml:space="preserve">Bezug </w:t>
      </w:r>
      <w:r w:rsidRPr="00CD4013">
        <w:rPr>
          <w:color w:val="000000" w:themeColor="text1"/>
        </w:rPr>
        <w:t xml:space="preserve">auf den mythischen Schmied </w:t>
      </w:r>
      <w:r w:rsidR="00386C15" w:rsidRPr="00CD4013">
        <w:rPr>
          <w:color w:val="000000" w:themeColor="text1"/>
        </w:rPr>
        <w:t xml:space="preserve">des </w:t>
      </w:r>
      <w:proofErr w:type="spellStart"/>
      <w:r w:rsidR="00386C15" w:rsidRPr="00CD4013">
        <w:rPr>
          <w:color w:val="000000" w:themeColor="text1"/>
        </w:rPr>
        <w:t>Numa</w:t>
      </w:r>
      <w:proofErr w:type="spellEnd"/>
      <w:r w:rsidR="00386C15" w:rsidRPr="00CD4013">
        <w:rPr>
          <w:color w:val="000000" w:themeColor="text1"/>
        </w:rPr>
        <w:t xml:space="preserve"> </w:t>
      </w:r>
      <w:proofErr w:type="spellStart"/>
      <w:r w:rsidR="00386C15" w:rsidRPr="00CD4013">
        <w:rPr>
          <w:color w:val="000000" w:themeColor="text1"/>
        </w:rPr>
        <w:t>Popilius</w:t>
      </w:r>
      <w:proofErr w:type="spellEnd"/>
      <w:r w:rsidR="00386C15" w:rsidRPr="00CD4013">
        <w:rPr>
          <w:color w:val="000000" w:themeColor="text1"/>
        </w:rPr>
        <w:t xml:space="preserve">, </w:t>
      </w:r>
      <w:proofErr w:type="spellStart"/>
      <w:r w:rsidRPr="00CD4013">
        <w:rPr>
          <w:color w:val="000000" w:themeColor="text1"/>
        </w:rPr>
        <w:t>Mamurius</w:t>
      </w:r>
      <w:proofErr w:type="spellEnd"/>
      <w:r w:rsidRPr="00CD4013">
        <w:rPr>
          <w:color w:val="000000" w:themeColor="text1"/>
        </w:rPr>
        <w:t xml:space="preserve"> </w:t>
      </w:r>
      <w:proofErr w:type="spellStart"/>
      <w:r w:rsidRPr="00CD4013">
        <w:rPr>
          <w:color w:val="000000" w:themeColor="text1"/>
        </w:rPr>
        <w:t>Veturius</w:t>
      </w:r>
      <w:proofErr w:type="spellEnd"/>
      <w:r w:rsidR="00386C15" w:rsidRPr="00CD4013">
        <w:rPr>
          <w:color w:val="000000" w:themeColor="text1"/>
        </w:rPr>
        <w:t>,</w:t>
      </w:r>
      <w:r w:rsidR="00CB6433" w:rsidRPr="00CD4013">
        <w:rPr>
          <w:color w:val="000000" w:themeColor="text1"/>
        </w:rPr>
        <w:t xml:space="preserve"> oder </w:t>
      </w:r>
      <w:r w:rsidR="00CD4013" w:rsidRPr="00CD4013">
        <w:rPr>
          <w:color w:val="000000" w:themeColor="text1"/>
        </w:rPr>
        <w:t xml:space="preserve">aber </w:t>
      </w:r>
      <w:r w:rsidR="00CB6433" w:rsidRPr="00CD4013">
        <w:rPr>
          <w:color w:val="000000" w:themeColor="text1"/>
        </w:rPr>
        <w:t xml:space="preserve">auf </w:t>
      </w:r>
      <w:proofErr w:type="spellStart"/>
      <w:r w:rsidR="00CB6433" w:rsidRPr="00CD4013">
        <w:rPr>
          <w:color w:val="000000" w:themeColor="text1"/>
        </w:rPr>
        <w:t>Ti</w:t>
      </w:r>
      <w:proofErr w:type="spellEnd"/>
      <w:r w:rsidR="00CB6433" w:rsidRPr="00CD4013">
        <w:rPr>
          <w:color w:val="000000" w:themeColor="text1"/>
        </w:rPr>
        <w:t xml:space="preserve">. </w:t>
      </w:r>
      <w:proofErr w:type="spellStart"/>
      <w:r w:rsidR="00CB6433" w:rsidRPr="00CD4013">
        <w:rPr>
          <w:color w:val="000000" w:themeColor="text1"/>
        </w:rPr>
        <w:t>Veturius</w:t>
      </w:r>
      <w:proofErr w:type="spellEnd"/>
      <w:r w:rsidR="00CB6433" w:rsidRPr="00CD4013">
        <w:rPr>
          <w:color w:val="000000" w:themeColor="text1"/>
        </w:rPr>
        <w:t xml:space="preserve"> </w:t>
      </w:r>
      <w:proofErr w:type="spellStart"/>
      <w:r w:rsidR="00CB6433" w:rsidRPr="00CD4013">
        <w:rPr>
          <w:color w:val="000000" w:themeColor="text1"/>
        </w:rPr>
        <w:t>Philo</w:t>
      </w:r>
      <w:proofErr w:type="spellEnd"/>
      <w:r w:rsidR="00CB6433" w:rsidRPr="00CD4013">
        <w:rPr>
          <w:color w:val="000000" w:themeColor="text1"/>
        </w:rPr>
        <w:t xml:space="preserve">, der für das Jahr 204 als </w:t>
      </w:r>
      <w:proofErr w:type="spellStart"/>
      <w:r w:rsidR="00682CFE">
        <w:rPr>
          <w:i/>
          <w:color w:val="000000" w:themeColor="text1"/>
        </w:rPr>
        <w:t>f</w:t>
      </w:r>
      <w:r w:rsidR="00CB6433" w:rsidRPr="00CD4013">
        <w:rPr>
          <w:i/>
          <w:color w:val="000000" w:themeColor="text1"/>
        </w:rPr>
        <w:t>lamen</w:t>
      </w:r>
      <w:proofErr w:type="spellEnd"/>
      <w:r w:rsidR="00CB6433" w:rsidRPr="00CD4013">
        <w:rPr>
          <w:i/>
          <w:color w:val="000000" w:themeColor="text1"/>
        </w:rPr>
        <w:t xml:space="preserve"> </w:t>
      </w:r>
      <w:proofErr w:type="spellStart"/>
      <w:r w:rsidR="00036AE8" w:rsidRPr="00CD4013">
        <w:rPr>
          <w:i/>
          <w:color w:val="000000" w:themeColor="text1"/>
        </w:rPr>
        <w:t>Martialis</w:t>
      </w:r>
      <w:proofErr w:type="spellEnd"/>
      <w:r w:rsidR="00CB6433" w:rsidRPr="00CD4013">
        <w:rPr>
          <w:color w:val="000000" w:themeColor="text1"/>
        </w:rPr>
        <w:t xml:space="preserve"> bezeugt ist.</w:t>
      </w:r>
      <w:r w:rsidR="006C4196" w:rsidRPr="00CD4013">
        <w:rPr>
          <w:rStyle w:val="Funotenzeichen"/>
          <w:color w:val="000000" w:themeColor="text1"/>
        </w:rPr>
        <w:footnoteReference w:id="29"/>
      </w:r>
      <w:r w:rsidR="00521925" w:rsidRPr="00CD4013">
        <w:rPr>
          <w:color w:val="000000" w:themeColor="text1"/>
        </w:rPr>
        <w:t xml:space="preserve"> </w:t>
      </w:r>
      <w:r w:rsidR="00036AE8" w:rsidRPr="00CD4013">
        <w:rPr>
          <w:color w:val="000000" w:themeColor="text1"/>
        </w:rPr>
        <w:t xml:space="preserve">In der Folge möchte </w:t>
      </w:r>
      <w:r w:rsidR="00CD4013" w:rsidRPr="00CD4013">
        <w:rPr>
          <w:color w:val="000000" w:themeColor="text1"/>
        </w:rPr>
        <w:t>ich</w:t>
      </w:r>
      <w:r w:rsidR="00036AE8" w:rsidRPr="00CD4013">
        <w:rPr>
          <w:color w:val="000000" w:themeColor="text1"/>
        </w:rPr>
        <w:t xml:space="preserve"> nun aber noch einen </w:t>
      </w:r>
      <w:r w:rsidR="00EB69C2" w:rsidRPr="00CD4013">
        <w:rPr>
          <w:color w:val="000000" w:themeColor="text1"/>
        </w:rPr>
        <w:t>weitere</w:t>
      </w:r>
      <w:r w:rsidR="00036AE8" w:rsidRPr="00CD4013">
        <w:rPr>
          <w:color w:val="000000" w:themeColor="text1"/>
        </w:rPr>
        <w:t>n</w:t>
      </w:r>
      <w:r w:rsidR="00EB69C2" w:rsidRPr="00CD4013">
        <w:rPr>
          <w:color w:val="000000" w:themeColor="text1"/>
        </w:rPr>
        <w:t xml:space="preserve"> Aspekt </w:t>
      </w:r>
      <w:r w:rsidR="00CD4013" w:rsidRPr="00CD4013">
        <w:rPr>
          <w:color w:val="000000" w:themeColor="text1"/>
        </w:rPr>
        <w:t xml:space="preserve">einer </w:t>
      </w:r>
      <w:r w:rsidR="00036AE8" w:rsidRPr="00CD4013">
        <w:rPr>
          <w:color w:val="000000" w:themeColor="text1"/>
        </w:rPr>
        <w:t>mögliche</w:t>
      </w:r>
      <w:r w:rsidR="00CD4013" w:rsidRPr="00CD4013">
        <w:rPr>
          <w:color w:val="000000" w:themeColor="text1"/>
        </w:rPr>
        <w:t>n</w:t>
      </w:r>
      <w:r w:rsidR="00036AE8" w:rsidRPr="00CD4013">
        <w:rPr>
          <w:color w:val="000000" w:themeColor="text1"/>
        </w:rPr>
        <w:t xml:space="preserve"> </w:t>
      </w:r>
      <w:r w:rsidR="00EB69C2" w:rsidRPr="00CD4013">
        <w:rPr>
          <w:color w:val="000000" w:themeColor="text1"/>
        </w:rPr>
        <w:t>familiäre</w:t>
      </w:r>
      <w:r w:rsidR="00CD4013" w:rsidRPr="00CD4013">
        <w:rPr>
          <w:color w:val="000000" w:themeColor="text1"/>
        </w:rPr>
        <w:t>n</w:t>
      </w:r>
      <w:r w:rsidR="00EB69C2" w:rsidRPr="00CD4013">
        <w:rPr>
          <w:color w:val="000000" w:themeColor="text1"/>
        </w:rPr>
        <w:t xml:space="preserve"> Repräsentation zur Diskussion </w:t>
      </w:r>
      <w:r w:rsidR="00036AE8" w:rsidRPr="00CD4013">
        <w:rPr>
          <w:color w:val="000000" w:themeColor="text1"/>
        </w:rPr>
        <w:t>stellen</w:t>
      </w:r>
      <w:r w:rsidR="00EB69C2" w:rsidRPr="00CD4013">
        <w:rPr>
          <w:color w:val="000000" w:themeColor="text1"/>
        </w:rPr>
        <w:t xml:space="preserve">, der sich, </w:t>
      </w:r>
      <w:r w:rsidR="00036AE8" w:rsidRPr="00CD4013">
        <w:rPr>
          <w:color w:val="000000" w:themeColor="text1"/>
        </w:rPr>
        <w:t xml:space="preserve">freilich </w:t>
      </w:r>
      <w:r w:rsidR="00EB69C2" w:rsidRPr="00CD4013">
        <w:rPr>
          <w:color w:val="000000" w:themeColor="text1"/>
        </w:rPr>
        <w:t xml:space="preserve">in etwas größerer Subtilität, aus der </w:t>
      </w:r>
      <w:proofErr w:type="spellStart"/>
      <w:r w:rsidR="00EB69C2" w:rsidRPr="00CD4013">
        <w:rPr>
          <w:color w:val="000000" w:themeColor="text1"/>
        </w:rPr>
        <w:t>Eidszene</w:t>
      </w:r>
      <w:proofErr w:type="spellEnd"/>
      <w:r w:rsidR="00EB69C2" w:rsidRPr="00CD4013">
        <w:rPr>
          <w:color w:val="000000" w:themeColor="text1"/>
        </w:rPr>
        <w:t xml:space="preserve"> </w:t>
      </w:r>
      <w:r w:rsidR="00682CFE">
        <w:rPr>
          <w:color w:val="000000" w:themeColor="text1"/>
        </w:rPr>
        <w:t>auf dem</w:t>
      </w:r>
      <w:r w:rsidR="00EB69C2" w:rsidRPr="00CD4013">
        <w:rPr>
          <w:color w:val="000000" w:themeColor="text1"/>
        </w:rPr>
        <w:t xml:space="preserve"> Revers ergibt und der auf den Versuch einer familiären ‚Imagebildung‘</w:t>
      </w:r>
      <w:r w:rsidR="00036AE8" w:rsidRPr="00CD4013">
        <w:rPr>
          <w:color w:val="000000" w:themeColor="text1"/>
        </w:rPr>
        <w:t xml:space="preserve"> </w:t>
      </w:r>
      <w:r w:rsidR="00EB69C2" w:rsidRPr="00CD4013">
        <w:rPr>
          <w:color w:val="000000" w:themeColor="text1"/>
        </w:rPr>
        <w:t>hinausläuft.</w:t>
      </w:r>
      <w:r w:rsidR="00036AE8" w:rsidRPr="00CD4013">
        <w:rPr>
          <w:color w:val="000000" w:themeColor="text1"/>
        </w:rPr>
        <w:t xml:space="preserve"> Der Vorschlag setzt </w:t>
      </w:r>
      <w:r w:rsidR="00CD4013" w:rsidRPr="00CD4013">
        <w:rPr>
          <w:color w:val="000000" w:themeColor="text1"/>
        </w:rPr>
        <w:t>dabei</w:t>
      </w:r>
      <w:r w:rsidR="00036AE8" w:rsidRPr="00CD4013">
        <w:rPr>
          <w:color w:val="000000" w:themeColor="text1"/>
        </w:rPr>
        <w:t xml:space="preserve"> </w:t>
      </w:r>
      <w:r w:rsidR="00CD4013" w:rsidRPr="00CD4013">
        <w:rPr>
          <w:color w:val="000000" w:themeColor="text1"/>
        </w:rPr>
        <w:lastRenderedPageBreak/>
        <w:t xml:space="preserve">zum einen </w:t>
      </w:r>
      <w:r w:rsidR="00036AE8" w:rsidRPr="00CD4013">
        <w:rPr>
          <w:color w:val="000000" w:themeColor="text1"/>
        </w:rPr>
        <w:t xml:space="preserve">voraus, dass die </w:t>
      </w:r>
      <w:proofErr w:type="spellStart"/>
      <w:r w:rsidR="00036AE8" w:rsidRPr="00CD4013">
        <w:rPr>
          <w:color w:val="000000" w:themeColor="text1"/>
        </w:rPr>
        <w:t>Eidszene</w:t>
      </w:r>
      <w:proofErr w:type="spellEnd"/>
      <w:r w:rsidR="00036AE8" w:rsidRPr="00CD4013">
        <w:rPr>
          <w:color w:val="000000" w:themeColor="text1"/>
        </w:rPr>
        <w:t xml:space="preserve"> von RRC 234</w:t>
      </w:r>
      <w:r w:rsidR="00682CFE">
        <w:rPr>
          <w:color w:val="000000" w:themeColor="text1"/>
        </w:rPr>
        <w:t>/1</w:t>
      </w:r>
      <w:r w:rsidR="00CD4013" w:rsidRPr="00CD4013">
        <w:rPr>
          <w:color w:val="000000" w:themeColor="text1"/>
        </w:rPr>
        <w:t xml:space="preserve"> durch die mitgeprägte Initiale des Münzmeisters TI VET von den Zeitgenossen </w:t>
      </w:r>
      <w:proofErr w:type="spellStart"/>
      <w:r w:rsidR="00CD4013" w:rsidRPr="00CD4013">
        <w:rPr>
          <w:color w:val="000000" w:themeColor="text1"/>
        </w:rPr>
        <w:t>naheliegenderweise</w:t>
      </w:r>
      <w:proofErr w:type="spellEnd"/>
      <w:r w:rsidR="00CD4013" w:rsidRPr="00CD4013">
        <w:rPr>
          <w:color w:val="000000" w:themeColor="text1"/>
        </w:rPr>
        <w:t xml:space="preserve"> auf den </w:t>
      </w:r>
      <w:proofErr w:type="spellStart"/>
      <w:r w:rsidR="00CD4013" w:rsidRPr="00CD4013">
        <w:rPr>
          <w:color w:val="000000" w:themeColor="text1"/>
        </w:rPr>
        <w:t>Caudinischen</w:t>
      </w:r>
      <w:proofErr w:type="spellEnd"/>
      <w:r w:rsidR="00CD4013" w:rsidRPr="00CD4013">
        <w:rPr>
          <w:color w:val="000000" w:themeColor="text1"/>
        </w:rPr>
        <w:t xml:space="preserve"> Frieden und damit auf T. </w:t>
      </w:r>
      <w:proofErr w:type="spellStart"/>
      <w:r w:rsidR="00CD4013" w:rsidRPr="00CD4013">
        <w:rPr>
          <w:color w:val="000000" w:themeColor="text1"/>
        </w:rPr>
        <w:t>Veturius</w:t>
      </w:r>
      <w:proofErr w:type="spellEnd"/>
      <w:r w:rsidR="00CD4013" w:rsidRPr="00CD4013">
        <w:rPr>
          <w:color w:val="000000" w:themeColor="text1"/>
        </w:rPr>
        <w:t xml:space="preserve"> </w:t>
      </w:r>
      <w:proofErr w:type="spellStart"/>
      <w:r w:rsidR="00CD4013" w:rsidRPr="00CD4013">
        <w:rPr>
          <w:color w:val="000000" w:themeColor="text1"/>
        </w:rPr>
        <w:t>Calvinus</w:t>
      </w:r>
      <w:proofErr w:type="spellEnd"/>
      <w:r w:rsidR="00CD4013" w:rsidRPr="00CD4013">
        <w:rPr>
          <w:color w:val="000000" w:themeColor="text1"/>
        </w:rPr>
        <w:t xml:space="preserve"> (cos. 321) bezogen wurde; zum anderen wird davon ausgegangen, dass Crawfords Datierungsansatz zumindest </w:t>
      </w:r>
      <w:r w:rsidR="00682CFE">
        <w:rPr>
          <w:color w:val="000000" w:themeColor="text1"/>
        </w:rPr>
        <w:t>in</w:t>
      </w:r>
      <w:r w:rsidR="00CD4013" w:rsidRPr="00CD4013">
        <w:rPr>
          <w:color w:val="000000" w:themeColor="text1"/>
        </w:rPr>
        <w:t xml:space="preserve">soweit korrekt ist, dass die Münze nicht aus dem Diskussionszusammenhang des </w:t>
      </w:r>
      <w:proofErr w:type="spellStart"/>
      <w:r w:rsidR="00CD4013" w:rsidRPr="00CD4013">
        <w:rPr>
          <w:color w:val="000000" w:themeColor="text1"/>
        </w:rPr>
        <w:t>Mancinus</w:t>
      </w:r>
      <w:proofErr w:type="spellEnd"/>
      <w:r w:rsidR="00CD4013" w:rsidRPr="00CD4013">
        <w:rPr>
          <w:color w:val="000000" w:themeColor="text1"/>
        </w:rPr>
        <w:t xml:space="preserve">-Friedens von 137 gelöst werden kann, auf den sie (allerdings anders als in der </w:t>
      </w:r>
      <w:proofErr w:type="spellStart"/>
      <w:r w:rsidR="00CD4013" w:rsidRPr="00CD4013">
        <w:rPr>
          <w:color w:val="000000" w:themeColor="text1"/>
        </w:rPr>
        <w:t>faktionalen</w:t>
      </w:r>
      <w:proofErr w:type="spellEnd"/>
      <w:r w:rsidR="00CD4013" w:rsidRPr="00CD4013">
        <w:rPr>
          <w:color w:val="000000" w:themeColor="text1"/>
        </w:rPr>
        <w:t xml:space="preserve"> Deutung) reagierte und der </w:t>
      </w:r>
      <w:proofErr w:type="spellStart"/>
      <w:r w:rsidR="00CD4013">
        <w:rPr>
          <w:color w:val="000000" w:themeColor="text1"/>
        </w:rPr>
        <w:t>Veturius</w:t>
      </w:r>
      <w:proofErr w:type="spellEnd"/>
      <w:r w:rsidR="00CD4013">
        <w:rPr>
          <w:color w:val="000000" w:themeColor="text1"/>
        </w:rPr>
        <w:t xml:space="preserve"> </w:t>
      </w:r>
      <w:r w:rsidR="00CD4013" w:rsidRPr="00CD4013">
        <w:rPr>
          <w:color w:val="000000" w:themeColor="text1"/>
        </w:rPr>
        <w:t xml:space="preserve">wohl auch den äußeren Anlass für die Aufgabe der Motivbindung für Denare </w:t>
      </w:r>
      <w:r w:rsidR="00CD4013">
        <w:rPr>
          <w:color w:val="000000" w:themeColor="text1"/>
        </w:rPr>
        <w:t>lieferte</w:t>
      </w:r>
      <w:r w:rsidR="00CD4013" w:rsidRPr="00CD4013">
        <w:rPr>
          <w:color w:val="000000" w:themeColor="text1"/>
        </w:rPr>
        <w:t>.</w:t>
      </w:r>
      <w:r w:rsidR="00DD7618" w:rsidRPr="00CD4013">
        <w:rPr>
          <w:rStyle w:val="Funotenzeichen"/>
          <w:color w:val="000000" w:themeColor="text1"/>
        </w:rPr>
        <w:footnoteReference w:id="30"/>
      </w:r>
      <w:r w:rsidR="00486F25" w:rsidRPr="00CD4013">
        <w:rPr>
          <w:color w:val="000000" w:themeColor="text1"/>
        </w:rPr>
        <w:t xml:space="preserve"> </w:t>
      </w:r>
    </w:p>
    <w:p w14:paraId="75448E30" w14:textId="1A6BBE2A" w:rsidR="00C13FBA" w:rsidRDefault="00CD4013" w:rsidP="00C13FBA">
      <w:pPr>
        <w:spacing w:after="120" w:line="300" w:lineRule="auto"/>
        <w:jc w:val="both"/>
        <w:rPr>
          <w:color w:val="FF0000"/>
        </w:rPr>
      </w:pPr>
      <w:r w:rsidRPr="00C13FBA">
        <w:rPr>
          <w:color w:val="000000" w:themeColor="text1"/>
        </w:rPr>
        <w:t xml:space="preserve">Was, wenn der Denar gar nicht in der heißen Phase der </w:t>
      </w:r>
      <w:proofErr w:type="spellStart"/>
      <w:r w:rsidRPr="00C13FBA">
        <w:rPr>
          <w:color w:val="000000" w:themeColor="text1"/>
        </w:rPr>
        <w:t>Mancinus</w:t>
      </w:r>
      <w:proofErr w:type="spellEnd"/>
      <w:r w:rsidRPr="00C13FBA">
        <w:rPr>
          <w:color w:val="000000" w:themeColor="text1"/>
        </w:rPr>
        <w:t xml:space="preserve">-Kontroverse geprägt wurde, sondern </w:t>
      </w:r>
      <w:r w:rsidR="00C13FBA" w:rsidRPr="00C13FBA">
        <w:rPr>
          <w:color w:val="000000" w:themeColor="text1"/>
        </w:rPr>
        <w:t xml:space="preserve">ein oder zwei Jahre später? Was, wenn er </w:t>
      </w:r>
      <w:r w:rsidR="00C13FBA">
        <w:rPr>
          <w:color w:val="000000" w:themeColor="text1"/>
        </w:rPr>
        <w:t xml:space="preserve">gar </w:t>
      </w:r>
      <w:r w:rsidR="00C13FBA" w:rsidRPr="00C13FBA">
        <w:rPr>
          <w:color w:val="000000" w:themeColor="text1"/>
        </w:rPr>
        <w:t xml:space="preserve">nicht Partei für </w:t>
      </w:r>
      <w:proofErr w:type="spellStart"/>
      <w:r w:rsidR="00C13FBA" w:rsidRPr="00C13FBA">
        <w:rPr>
          <w:color w:val="000000" w:themeColor="text1"/>
        </w:rPr>
        <w:t>Mancinus</w:t>
      </w:r>
      <w:proofErr w:type="spellEnd"/>
      <w:r w:rsidR="00C13FBA" w:rsidRPr="00C13FBA">
        <w:rPr>
          <w:color w:val="000000" w:themeColor="text1"/>
        </w:rPr>
        <w:t xml:space="preserve"> und Gracchus </w:t>
      </w:r>
      <w:r w:rsidR="00C13FBA">
        <w:rPr>
          <w:color w:val="000000" w:themeColor="text1"/>
        </w:rPr>
        <w:t>ergreifen wollte</w:t>
      </w:r>
      <w:r w:rsidR="00C13FBA" w:rsidRPr="00C13FBA">
        <w:rPr>
          <w:color w:val="000000" w:themeColor="text1"/>
        </w:rPr>
        <w:t>, sondern sich seine Zielrichtung allein aus seiner Funktion für die Familie des Münzmeisters ergab?</w:t>
      </w:r>
      <w:r w:rsidR="00C13FBA">
        <w:rPr>
          <w:color w:val="000000" w:themeColor="text1"/>
        </w:rPr>
        <w:t xml:space="preserve"> Was, wenn die infolge der Debatte kanonisierte Version der Geschichte vom </w:t>
      </w:r>
      <w:proofErr w:type="spellStart"/>
      <w:r w:rsidR="00C13FBA">
        <w:rPr>
          <w:color w:val="000000" w:themeColor="text1"/>
        </w:rPr>
        <w:t>Caudinischen</w:t>
      </w:r>
      <w:proofErr w:type="spellEnd"/>
      <w:r w:rsidR="00C13FBA">
        <w:rPr>
          <w:color w:val="000000" w:themeColor="text1"/>
        </w:rPr>
        <w:t xml:space="preserve"> Frieden</w:t>
      </w:r>
      <w:r w:rsidR="00C5754D">
        <w:rPr>
          <w:color w:val="000000" w:themeColor="text1"/>
        </w:rPr>
        <w:t xml:space="preserve">, </w:t>
      </w:r>
      <w:r w:rsidR="00C13FBA">
        <w:rPr>
          <w:color w:val="000000" w:themeColor="text1"/>
        </w:rPr>
        <w:t>nämlich diejenige, in der dieser zurückgewiesen wurde</w:t>
      </w:r>
      <w:r w:rsidR="00C5754D">
        <w:rPr>
          <w:color w:val="000000" w:themeColor="text1"/>
        </w:rPr>
        <w:t>,</w:t>
      </w:r>
      <w:r w:rsidR="00C13FBA">
        <w:rPr>
          <w:color w:val="000000" w:themeColor="text1"/>
        </w:rPr>
        <w:t xml:space="preserve"> gar nicht auf das Bildprogramm des Denars RRC 234/1 reagierte –</w:t>
      </w:r>
      <w:r w:rsidR="00C5754D">
        <w:rPr>
          <w:color w:val="000000" w:themeColor="text1"/>
        </w:rPr>
        <w:t xml:space="preserve"> </w:t>
      </w:r>
      <w:r w:rsidR="00C13FBA">
        <w:rPr>
          <w:color w:val="000000" w:themeColor="text1"/>
        </w:rPr>
        <w:t xml:space="preserve">wie es mittelbar der Fall wäre, wenn die Münze Partei zugunsten des </w:t>
      </w:r>
      <w:proofErr w:type="spellStart"/>
      <w:r w:rsidR="00C13FBA">
        <w:rPr>
          <w:color w:val="000000" w:themeColor="text1"/>
        </w:rPr>
        <w:t>Mancinus</w:t>
      </w:r>
      <w:proofErr w:type="spellEnd"/>
      <w:r w:rsidR="00C13FBA">
        <w:rPr>
          <w:color w:val="000000" w:themeColor="text1"/>
        </w:rPr>
        <w:t xml:space="preserve"> ergriffen hätte</w:t>
      </w:r>
      <w:r w:rsidR="00C5754D">
        <w:rPr>
          <w:color w:val="000000" w:themeColor="text1"/>
        </w:rPr>
        <w:t xml:space="preserve"> </w:t>
      </w:r>
      <w:r w:rsidR="00C13FBA">
        <w:rPr>
          <w:color w:val="000000" w:themeColor="text1"/>
        </w:rPr>
        <w:t xml:space="preserve">–, sondern, im Gegenteil, der Denar eine Reaktion auf die Zurückweisung des </w:t>
      </w:r>
      <w:proofErr w:type="spellStart"/>
      <w:r w:rsidR="00C13FBA">
        <w:rPr>
          <w:color w:val="000000" w:themeColor="text1"/>
        </w:rPr>
        <w:t>Numantia</w:t>
      </w:r>
      <w:proofErr w:type="spellEnd"/>
      <w:r w:rsidR="00C13FBA">
        <w:rPr>
          <w:color w:val="000000" w:themeColor="text1"/>
        </w:rPr>
        <w:t xml:space="preserve">-Friedens und auf die dazu analoge Version vom zurückgewiesenen </w:t>
      </w:r>
      <w:proofErr w:type="spellStart"/>
      <w:r w:rsidR="00C13FBA">
        <w:rPr>
          <w:color w:val="000000" w:themeColor="text1"/>
        </w:rPr>
        <w:t>Caudium</w:t>
      </w:r>
      <w:proofErr w:type="spellEnd"/>
      <w:r w:rsidR="00C13FBA">
        <w:rPr>
          <w:color w:val="000000" w:themeColor="text1"/>
        </w:rPr>
        <w:t xml:space="preserve">-Vertrag war? </w:t>
      </w:r>
    </w:p>
    <w:p w14:paraId="43B0132F" w14:textId="26AE3310" w:rsidR="00A81984" w:rsidRPr="00A81984" w:rsidRDefault="00817A01" w:rsidP="00901CC1">
      <w:pPr>
        <w:spacing w:after="120" w:line="300" w:lineRule="auto"/>
        <w:jc w:val="both"/>
        <w:rPr>
          <w:color w:val="000000" w:themeColor="text1"/>
        </w:rPr>
      </w:pPr>
      <w:r w:rsidRPr="00A81984">
        <w:rPr>
          <w:color w:val="000000" w:themeColor="text1"/>
        </w:rPr>
        <w:t xml:space="preserve">Betrachten wir zunächst, wie die Debatte um den Frieden des </w:t>
      </w:r>
      <w:proofErr w:type="spellStart"/>
      <w:r w:rsidRPr="00A81984">
        <w:rPr>
          <w:color w:val="000000" w:themeColor="text1"/>
        </w:rPr>
        <w:t>Mancinus</w:t>
      </w:r>
      <w:proofErr w:type="spellEnd"/>
      <w:r w:rsidRPr="00A81984">
        <w:rPr>
          <w:color w:val="000000" w:themeColor="text1"/>
        </w:rPr>
        <w:t xml:space="preserve"> aus</w:t>
      </w:r>
      <w:r w:rsidR="00911EFE">
        <w:rPr>
          <w:color w:val="000000" w:themeColor="text1"/>
        </w:rPr>
        <w:t>- und weiter</w:t>
      </w:r>
      <w:r w:rsidRPr="00A81984">
        <w:rPr>
          <w:color w:val="000000" w:themeColor="text1"/>
        </w:rPr>
        <w:t xml:space="preserve">ging: Der Senat und das Volk </w:t>
      </w:r>
      <w:r w:rsidR="00911EFE">
        <w:rPr>
          <w:color w:val="000000" w:themeColor="text1"/>
        </w:rPr>
        <w:t>entschieden</w:t>
      </w:r>
      <w:r w:rsidRPr="00A81984">
        <w:rPr>
          <w:color w:val="000000" w:themeColor="text1"/>
        </w:rPr>
        <w:t xml:space="preserve"> letztlich, den Vertrag zurückzuweisen und zur Sühnung des einhergehenden Eidbruchs den Verantwortlichen, </w:t>
      </w:r>
      <w:proofErr w:type="spellStart"/>
      <w:r w:rsidRPr="00A81984">
        <w:rPr>
          <w:color w:val="000000" w:themeColor="text1"/>
        </w:rPr>
        <w:t>Mancinus</w:t>
      </w:r>
      <w:proofErr w:type="spellEnd"/>
      <w:r w:rsidRPr="00A81984">
        <w:rPr>
          <w:color w:val="000000" w:themeColor="text1"/>
        </w:rPr>
        <w:t xml:space="preserve">, an </w:t>
      </w:r>
      <w:proofErr w:type="spellStart"/>
      <w:r w:rsidRPr="00A81984">
        <w:rPr>
          <w:color w:val="000000" w:themeColor="text1"/>
        </w:rPr>
        <w:t>Numanti</w:t>
      </w:r>
      <w:r w:rsidR="00911EFE">
        <w:rPr>
          <w:color w:val="000000" w:themeColor="text1"/>
        </w:rPr>
        <w:t>a</w:t>
      </w:r>
      <w:proofErr w:type="spellEnd"/>
      <w:r w:rsidR="00911EFE">
        <w:rPr>
          <w:color w:val="000000" w:themeColor="text1"/>
        </w:rPr>
        <w:t xml:space="preserve"> </w:t>
      </w:r>
      <w:r w:rsidRPr="00A81984">
        <w:rPr>
          <w:color w:val="000000" w:themeColor="text1"/>
        </w:rPr>
        <w:t>auszuliefern.</w:t>
      </w:r>
      <w:r w:rsidR="00BE68D4" w:rsidRPr="00A81984">
        <w:rPr>
          <w:rStyle w:val="Funotenzeichen"/>
          <w:color w:val="000000" w:themeColor="text1"/>
        </w:rPr>
        <w:footnoteReference w:id="31"/>
      </w:r>
      <w:r w:rsidR="00A81984" w:rsidRPr="00A81984">
        <w:rPr>
          <w:color w:val="000000" w:themeColor="text1"/>
        </w:rPr>
        <w:t xml:space="preserve"> Deutlich weisen die Quellen in diesem Zusammenhang darauf hin, dass </w:t>
      </w:r>
      <w:proofErr w:type="spellStart"/>
      <w:r w:rsidR="00A81984" w:rsidRPr="00A81984">
        <w:rPr>
          <w:color w:val="000000" w:themeColor="text1"/>
        </w:rPr>
        <w:t>Mancinus</w:t>
      </w:r>
      <w:proofErr w:type="spellEnd"/>
      <w:r w:rsidR="00A81984" w:rsidRPr="00A81984">
        <w:rPr>
          <w:color w:val="000000" w:themeColor="text1"/>
        </w:rPr>
        <w:t xml:space="preserve"> selbst die Sentenz befürwortete, </w:t>
      </w:r>
      <w:r w:rsidR="00911EFE">
        <w:rPr>
          <w:color w:val="000000" w:themeColor="text1"/>
        </w:rPr>
        <w:t xml:space="preserve">er also ausdrücklich </w:t>
      </w:r>
      <w:r w:rsidR="00A81984" w:rsidRPr="00A81984">
        <w:rPr>
          <w:color w:val="000000" w:themeColor="text1"/>
        </w:rPr>
        <w:t>die Verantwortung für die Episode übernahm.</w:t>
      </w:r>
      <w:r w:rsidR="00A81984" w:rsidRPr="00A81984">
        <w:rPr>
          <w:rStyle w:val="Funotenzeichen"/>
          <w:color w:val="000000" w:themeColor="text1"/>
        </w:rPr>
        <w:footnoteReference w:id="32"/>
      </w:r>
      <w:r w:rsidR="00A81984" w:rsidRPr="00A81984">
        <w:rPr>
          <w:color w:val="000000" w:themeColor="text1"/>
        </w:rPr>
        <w:t xml:space="preserve"> Er wurde daraufhin nach Spanien verbracht, wo er nackt und </w:t>
      </w:r>
      <w:r w:rsidR="00911EFE">
        <w:rPr>
          <w:color w:val="000000" w:themeColor="text1"/>
        </w:rPr>
        <w:t xml:space="preserve">mit </w:t>
      </w:r>
      <w:r w:rsidR="00A81984" w:rsidRPr="00A81984">
        <w:rPr>
          <w:color w:val="000000" w:themeColor="text1"/>
        </w:rPr>
        <w:t>gefesselt</w:t>
      </w:r>
      <w:r w:rsidR="00911EFE">
        <w:rPr>
          <w:color w:val="000000" w:themeColor="text1"/>
        </w:rPr>
        <w:t>en Händen</w:t>
      </w:r>
      <w:r w:rsidR="00A81984" w:rsidRPr="00A81984">
        <w:rPr>
          <w:color w:val="000000" w:themeColor="text1"/>
        </w:rPr>
        <w:t xml:space="preserve"> den </w:t>
      </w:r>
      <w:proofErr w:type="spellStart"/>
      <w:r w:rsidR="00A81984" w:rsidRPr="00A81984">
        <w:rPr>
          <w:color w:val="000000" w:themeColor="text1"/>
        </w:rPr>
        <w:t>Numantinern</w:t>
      </w:r>
      <w:proofErr w:type="spellEnd"/>
      <w:r w:rsidR="00A81984" w:rsidRPr="00A81984">
        <w:rPr>
          <w:color w:val="000000" w:themeColor="text1"/>
        </w:rPr>
        <w:t xml:space="preserve"> übersandt wurde. Die</w:t>
      </w:r>
      <w:r w:rsidR="00911EFE">
        <w:rPr>
          <w:color w:val="000000" w:themeColor="text1"/>
        </w:rPr>
        <w:t>se</w:t>
      </w:r>
      <w:r w:rsidR="00A81984" w:rsidRPr="00A81984">
        <w:rPr>
          <w:color w:val="000000" w:themeColor="text1"/>
        </w:rPr>
        <w:t xml:space="preserve"> verweigerten jedoch die Annahme dieses Opfers (und damit die Anerkennung der römischen Zurückweisung ihres Friedensvertrages),</w:t>
      </w:r>
      <w:r w:rsidR="002A2E46" w:rsidRPr="00A81984">
        <w:rPr>
          <w:rStyle w:val="Funotenzeichen"/>
          <w:color w:val="000000" w:themeColor="text1"/>
        </w:rPr>
        <w:footnoteReference w:id="33"/>
      </w:r>
      <w:r w:rsidR="00A81984" w:rsidRPr="00A81984">
        <w:rPr>
          <w:color w:val="000000" w:themeColor="text1"/>
        </w:rPr>
        <w:t xml:space="preserve"> weshalb </w:t>
      </w:r>
      <w:proofErr w:type="spellStart"/>
      <w:r w:rsidR="00A81984" w:rsidRPr="00A81984">
        <w:rPr>
          <w:color w:val="000000" w:themeColor="text1"/>
        </w:rPr>
        <w:t>Mancinus</w:t>
      </w:r>
      <w:proofErr w:type="spellEnd"/>
      <w:r w:rsidR="00A81984" w:rsidRPr="00A81984">
        <w:rPr>
          <w:color w:val="000000" w:themeColor="text1"/>
        </w:rPr>
        <w:t xml:space="preserve"> letztlich nach Rom zurückkehren konnte. Als er dort nach seiner Rückkehr an einer Senatssitzung teilnehmen wollte, erhob </w:t>
      </w:r>
      <w:r w:rsidR="00503067">
        <w:rPr>
          <w:color w:val="000000" w:themeColor="text1"/>
        </w:rPr>
        <w:t>der</w:t>
      </w:r>
      <w:r w:rsidR="00A81984" w:rsidRPr="00A81984">
        <w:rPr>
          <w:color w:val="000000" w:themeColor="text1"/>
        </w:rPr>
        <w:t xml:space="preserve"> Volkstribun </w:t>
      </w:r>
      <w:r w:rsidR="00503067">
        <w:rPr>
          <w:color w:val="000000" w:themeColor="text1"/>
        </w:rPr>
        <w:t xml:space="preserve">P. </w:t>
      </w:r>
      <w:proofErr w:type="spellStart"/>
      <w:r w:rsidR="00503067">
        <w:rPr>
          <w:color w:val="000000" w:themeColor="text1"/>
        </w:rPr>
        <w:t>Rutilius</w:t>
      </w:r>
      <w:proofErr w:type="spellEnd"/>
      <w:r w:rsidR="00503067">
        <w:rPr>
          <w:color w:val="000000" w:themeColor="text1"/>
        </w:rPr>
        <w:t xml:space="preserve"> </w:t>
      </w:r>
      <w:r w:rsidR="00A81984" w:rsidRPr="00A81984">
        <w:rPr>
          <w:color w:val="000000" w:themeColor="text1"/>
        </w:rPr>
        <w:t>Protest</w:t>
      </w:r>
      <w:r w:rsidR="00A81984">
        <w:rPr>
          <w:color w:val="000000" w:themeColor="text1"/>
        </w:rPr>
        <w:t xml:space="preserve"> und argumentierte</w:t>
      </w:r>
      <w:r w:rsidR="00A81984" w:rsidRPr="00A81984">
        <w:rPr>
          <w:color w:val="000000" w:themeColor="text1"/>
        </w:rPr>
        <w:t xml:space="preserve">, dass der ehemalige Konsul durch den Beschluss </w:t>
      </w:r>
      <w:r w:rsidR="00A81984">
        <w:rPr>
          <w:color w:val="000000" w:themeColor="text1"/>
        </w:rPr>
        <w:t xml:space="preserve">über </w:t>
      </w:r>
      <w:r w:rsidR="00A81984" w:rsidRPr="00A81984">
        <w:rPr>
          <w:color w:val="000000" w:themeColor="text1"/>
        </w:rPr>
        <w:t>seine Auslieferung sein Bürgerrecht ver</w:t>
      </w:r>
      <w:r w:rsidR="00A81984">
        <w:rPr>
          <w:color w:val="000000" w:themeColor="text1"/>
        </w:rPr>
        <w:t>wirkt</w:t>
      </w:r>
      <w:r w:rsidR="00A81984" w:rsidRPr="00A81984">
        <w:rPr>
          <w:color w:val="000000" w:themeColor="text1"/>
        </w:rPr>
        <w:t xml:space="preserve"> hätte. Der Tribun wurde u. a. vom </w:t>
      </w:r>
      <w:proofErr w:type="spellStart"/>
      <w:r w:rsidR="00A81984" w:rsidRPr="00A81984">
        <w:rPr>
          <w:color w:val="000000" w:themeColor="text1"/>
        </w:rPr>
        <w:t>Praetor</w:t>
      </w:r>
      <w:proofErr w:type="spellEnd"/>
      <w:r w:rsidR="00A81984" w:rsidRPr="00A81984">
        <w:rPr>
          <w:color w:val="000000" w:themeColor="text1"/>
        </w:rPr>
        <w:t xml:space="preserve"> und </w:t>
      </w:r>
      <w:r w:rsidR="00911EFE">
        <w:rPr>
          <w:color w:val="000000" w:themeColor="text1"/>
        </w:rPr>
        <w:t>Juristen</w:t>
      </w:r>
      <w:r w:rsidR="00A81984" w:rsidRPr="00A81984">
        <w:rPr>
          <w:color w:val="000000" w:themeColor="text1"/>
        </w:rPr>
        <w:t xml:space="preserve"> P. </w:t>
      </w:r>
      <w:proofErr w:type="spellStart"/>
      <w:r w:rsidR="00A81984" w:rsidRPr="00A81984">
        <w:rPr>
          <w:color w:val="000000" w:themeColor="text1"/>
        </w:rPr>
        <w:t>Mucius</w:t>
      </w:r>
      <w:proofErr w:type="spellEnd"/>
      <w:r w:rsidR="00A81984" w:rsidRPr="00A81984">
        <w:rPr>
          <w:color w:val="000000" w:themeColor="text1"/>
        </w:rPr>
        <w:t xml:space="preserve"> </w:t>
      </w:r>
      <w:proofErr w:type="spellStart"/>
      <w:r w:rsidR="00A81984" w:rsidRPr="00A81984">
        <w:rPr>
          <w:color w:val="000000" w:themeColor="text1"/>
        </w:rPr>
        <w:t>Scaevola</w:t>
      </w:r>
      <w:proofErr w:type="spellEnd"/>
      <w:r w:rsidR="00A81984" w:rsidRPr="00A81984">
        <w:rPr>
          <w:color w:val="000000" w:themeColor="text1"/>
        </w:rPr>
        <w:t xml:space="preserve"> (cos. 133) unterstützt, und </w:t>
      </w:r>
      <w:proofErr w:type="spellStart"/>
      <w:r w:rsidR="00A81984" w:rsidRPr="00A81984">
        <w:rPr>
          <w:color w:val="000000" w:themeColor="text1"/>
        </w:rPr>
        <w:t>Mancinus</w:t>
      </w:r>
      <w:proofErr w:type="spellEnd"/>
      <w:r w:rsidR="00A81984" w:rsidRPr="00A81984">
        <w:rPr>
          <w:color w:val="000000" w:themeColor="text1"/>
        </w:rPr>
        <w:t xml:space="preserve"> verlor tatsächlich seinen Sitz im Senat</w:t>
      </w:r>
      <w:r w:rsidR="001F535F">
        <w:rPr>
          <w:color w:val="000000" w:themeColor="text1"/>
        </w:rPr>
        <w:t>.</w:t>
      </w:r>
      <w:r w:rsidR="00E15D21">
        <w:rPr>
          <w:color w:val="000000" w:themeColor="text1"/>
        </w:rPr>
        <w:t xml:space="preserve"> Wenigstens</w:t>
      </w:r>
      <w:r w:rsidR="001F535F">
        <w:rPr>
          <w:color w:val="000000" w:themeColor="text1"/>
        </w:rPr>
        <w:t xml:space="preserve"> </w:t>
      </w:r>
      <w:r w:rsidR="00E15D21">
        <w:rPr>
          <w:color w:val="000000" w:themeColor="text1"/>
        </w:rPr>
        <w:t xml:space="preserve">wurde ihm von </w:t>
      </w:r>
      <w:r w:rsidR="00E15D21">
        <w:rPr>
          <w:color w:val="000000" w:themeColor="text1"/>
        </w:rPr>
        <w:lastRenderedPageBreak/>
        <w:t>der</w:t>
      </w:r>
      <w:r w:rsidR="001F535F">
        <w:rPr>
          <w:color w:val="000000" w:themeColor="text1"/>
        </w:rPr>
        <w:t xml:space="preserve"> Volksversammlung sein Bürgerrecht</w:t>
      </w:r>
      <w:r w:rsidR="00E15D21">
        <w:rPr>
          <w:color w:val="000000" w:themeColor="text1"/>
        </w:rPr>
        <w:t xml:space="preserve"> restituiert</w:t>
      </w:r>
      <w:r w:rsidR="001F535F">
        <w:rPr>
          <w:color w:val="000000" w:themeColor="text1"/>
        </w:rPr>
        <w:t xml:space="preserve">, was als eine Art Kompromiss </w:t>
      </w:r>
      <w:r w:rsidR="00E15D21">
        <w:rPr>
          <w:color w:val="000000" w:themeColor="text1"/>
        </w:rPr>
        <w:t>gesehen werden muss.</w:t>
      </w:r>
      <w:r w:rsidR="00A81984" w:rsidRPr="00A81984">
        <w:rPr>
          <w:rStyle w:val="Funotenzeichen"/>
          <w:color w:val="000000" w:themeColor="text1"/>
        </w:rPr>
        <w:footnoteReference w:id="34"/>
      </w:r>
    </w:p>
    <w:p w14:paraId="4BC391EF" w14:textId="3FC6ABC5" w:rsidR="008F3D8A" w:rsidRDefault="00D510F2" w:rsidP="00942DDB">
      <w:pPr>
        <w:spacing w:after="120" w:line="300" w:lineRule="auto"/>
        <w:jc w:val="both"/>
        <w:rPr>
          <w:color w:val="000000" w:themeColor="text1"/>
        </w:rPr>
      </w:pPr>
      <w:proofErr w:type="spellStart"/>
      <w:r w:rsidRPr="008F3D8A">
        <w:rPr>
          <w:color w:val="000000" w:themeColor="text1"/>
        </w:rPr>
        <w:t>Mancinus</w:t>
      </w:r>
      <w:proofErr w:type="spellEnd"/>
      <w:r w:rsidRPr="008F3D8A">
        <w:rPr>
          <w:color w:val="000000" w:themeColor="text1"/>
        </w:rPr>
        <w:t xml:space="preserve"> erreichte aber nicht allein die Rückgabe seines Bürgerrechts, sondern es gelang ihm darüber hinaus, sich –</w:t>
      </w:r>
      <w:r w:rsidR="00C5754D">
        <w:rPr>
          <w:color w:val="000000" w:themeColor="text1"/>
        </w:rPr>
        <w:t xml:space="preserve"> </w:t>
      </w:r>
      <w:r w:rsidRPr="008F3D8A">
        <w:rPr>
          <w:color w:val="000000" w:themeColor="text1"/>
        </w:rPr>
        <w:t>wahrscheinlich für das Jahr 134</w:t>
      </w:r>
      <w:r w:rsidR="00C5754D">
        <w:rPr>
          <w:color w:val="000000" w:themeColor="text1"/>
        </w:rPr>
        <w:t xml:space="preserve"> </w:t>
      </w:r>
      <w:r w:rsidRPr="008F3D8A">
        <w:rPr>
          <w:color w:val="000000" w:themeColor="text1"/>
        </w:rPr>
        <w:t xml:space="preserve">– erneut zum </w:t>
      </w:r>
      <w:proofErr w:type="spellStart"/>
      <w:r w:rsidRPr="008F3D8A">
        <w:rPr>
          <w:color w:val="000000" w:themeColor="text1"/>
        </w:rPr>
        <w:t>Praetor</w:t>
      </w:r>
      <w:proofErr w:type="spellEnd"/>
      <w:r w:rsidRPr="008F3D8A">
        <w:rPr>
          <w:color w:val="000000" w:themeColor="text1"/>
        </w:rPr>
        <w:t xml:space="preserve"> wählen zu lassen, wodurch er </w:t>
      </w:r>
      <w:r w:rsidR="003B4EA0">
        <w:rPr>
          <w:color w:val="000000" w:themeColor="text1"/>
        </w:rPr>
        <w:t xml:space="preserve">einen begründeten </w:t>
      </w:r>
      <w:r w:rsidRPr="008F3D8A">
        <w:rPr>
          <w:color w:val="000000" w:themeColor="text1"/>
        </w:rPr>
        <w:t xml:space="preserve">Anspruch auf die Wiederaufnahme in den Senat durch das folgende </w:t>
      </w:r>
      <w:proofErr w:type="spellStart"/>
      <w:r w:rsidRPr="008F3D8A">
        <w:rPr>
          <w:color w:val="000000" w:themeColor="text1"/>
        </w:rPr>
        <w:t>Zensorenpaar</w:t>
      </w:r>
      <w:proofErr w:type="spellEnd"/>
      <w:r w:rsidRPr="008F3D8A">
        <w:rPr>
          <w:color w:val="000000" w:themeColor="text1"/>
        </w:rPr>
        <w:t xml:space="preserve"> er</w:t>
      </w:r>
      <w:r w:rsidR="003B4EA0">
        <w:rPr>
          <w:color w:val="000000" w:themeColor="text1"/>
        </w:rPr>
        <w:t>heben konnte</w:t>
      </w:r>
      <w:r w:rsidRPr="008F3D8A">
        <w:rPr>
          <w:color w:val="000000" w:themeColor="text1"/>
        </w:rPr>
        <w:t>.</w:t>
      </w:r>
      <w:r w:rsidR="00262420">
        <w:rPr>
          <w:rStyle w:val="Funotenzeichen"/>
          <w:color w:val="000000" w:themeColor="text1"/>
        </w:rPr>
        <w:footnoteReference w:id="35"/>
      </w:r>
      <w:r w:rsidRPr="008F3D8A">
        <w:rPr>
          <w:color w:val="000000" w:themeColor="text1"/>
        </w:rPr>
        <w:t xml:space="preserve"> </w:t>
      </w:r>
      <w:r w:rsidR="00BF6220" w:rsidRPr="008F3D8A">
        <w:rPr>
          <w:color w:val="000000" w:themeColor="text1"/>
        </w:rPr>
        <w:t>Ihm war ein (angesichts der Umstände</w:t>
      </w:r>
      <w:r w:rsidR="00377B98">
        <w:rPr>
          <w:color w:val="000000" w:themeColor="text1"/>
        </w:rPr>
        <w:t xml:space="preserve"> seines</w:t>
      </w:r>
      <w:r w:rsidR="00BF6220" w:rsidRPr="008F3D8A">
        <w:rPr>
          <w:color w:val="000000" w:themeColor="text1"/>
        </w:rPr>
        <w:t xml:space="preserve"> Rückschlag</w:t>
      </w:r>
      <w:r w:rsidR="00637617">
        <w:rPr>
          <w:color w:val="000000" w:themeColor="text1"/>
        </w:rPr>
        <w:t>e</w:t>
      </w:r>
      <w:r w:rsidR="00BF6220" w:rsidRPr="008F3D8A">
        <w:rPr>
          <w:color w:val="000000" w:themeColor="text1"/>
        </w:rPr>
        <w:t>s) beachtliches Comeback gelungen.</w:t>
      </w:r>
      <w:r w:rsidR="008F3D8A" w:rsidRPr="008F3D8A">
        <w:rPr>
          <w:color w:val="000000" w:themeColor="text1"/>
        </w:rPr>
        <w:t xml:space="preserve"> Hinsichtlich der Grundlage dieses Comebacks ist ein Detail </w:t>
      </w:r>
      <w:r w:rsidR="00637617">
        <w:rPr>
          <w:color w:val="000000" w:themeColor="text1"/>
        </w:rPr>
        <w:t>bei</w:t>
      </w:r>
      <w:r w:rsidR="008F3D8A" w:rsidRPr="008F3D8A">
        <w:rPr>
          <w:color w:val="000000" w:themeColor="text1"/>
        </w:rPr>
        <w:t xml:space="preserve"> Plinius </w:t>
      </w:r>
      <w:r w:rsidR="003B4EA0">
        <w:rPr>
          <w:color w:val="000000" w:themeColor="text1"/>
        </w:rPr>
        <w:t>interessant</w:t>
      </w:r>
      <w:r w:rsidR="008F3D8A" w:rsidRPr="008F3D8A">
        <w:rPr>
          <w:color w:val="000000" w:themeColor="text1"/>
        </w:rPr>
        <w:t xml:space="preserve">: Plinius berichtet, dass </w:t>
      </w:r>
      <w:proofErr w:type="spellStart"/>
      <w:r w:rsidR="008F3D8A" w:rsidRPr="008F3D8A">
        <w:rPr>
          <w:color w:val="000000" w:themeColor="text1"/>
        </w:rPr>
        <w:t>Mancinus</w:t>
      </w:r>
      <w:proofErr w:type="spellEnd"/>
      <w:r w:rsidR="008F3D8A" w:rsidRPr="008F3D8A">
        <w:rPr>
          <w:color w:val="000000" w:themeColor="text1"/>
        </w:rPr>
        <w:t xml:space="preserve"> sich eine Statue gesetzt </w:t>
      </w:r>
      <w:r w:rsidR="00682CFE">
        <w:rPr>
          <w:color w:val="000000" w:themeColor="text1"/>
        </w:rPr>
        <w:t>habe</w:t>
      </w:r>
      <w:r w:rsidR="008F3D8A" w:rsidRPr="008F3D8A">
        <w:rPr>
          <w:color w:val="000000" w:themeColor="text1"/>
        </w:rPr>
        <w:t>, die ihn im Moment seiner Auslieferung zeigte, nackt und gefesselt, mithin am Tiefpunkt seiner Karriere.</w:t>
      </w:r>
      <w:r w:rsidR="0084597A">
        <w:rPr>
          <w:rStyle w:val="Funotenzeichen"/>
          <w:color w:val="000000" w:themeColor="text1"/>
        </w:rPr>
        <w:footnoteReference w:id="36"/>
      </w:r>
      <w:r w:rsidR="008F3D8A" w:rsidRPr="008F3D8A">
        <w:rPr>
          <w:color w:val="000000" w:themeColor="text1"/>
        </w:rPr>
        <w:t xml:space="preserve"> Eine solche Darstellung war mindestens untypisch, wahrscheinlich unerhört</w:t>
      </w:r>
      <w:r w:rsidR="00C5754D">
        <w:rPr>
          <w:color w:val="000000" w:themeColor="text1"/>
        </w:rPr>
        <w:t xml:space="preserve"> </w:t>
      </w:r>
      <w:r w:rsidR="008F3D8A" w:rsidRPr="008F3D8A">
        <w:rPr>
          <w:color w:val="000000" w:themeColor="text1"/>
        </w:rPr>
        <w:t xml:space="preserve">und für einen Angehörigen der Führungsschicht eigentlich auch undenkbar, beraubte sie den Dargestellten doch jeglicher </w:t>
      </w:r>
      <w:proofErr w:type="spellStart"/>
      <w:r w:rsidR="008F3D8A" w:rsidRPr="008F3D8A">
        <w:rPr>
          <w:i/>
          <w:color w:val="000000" w:themeColor="text1"/>
        </w:rPr>
        <w:t>gravitas</w:t>
      </w:r>
      <w:proofErr w:type="spellEnd"/>
      <w:r w:rsidR="008F3D8A" w:rsidRPr="008F3D8A">
        <w:rPr>
          <w:color w:val="000000" w:themeColor="text1"/>
        </w:rPr>
        <w:t xml:space="preserve">. Aber genau hierin lag </w:t>
      </w:r>
      <w:r w:rsidR="00637617">
        <w:rPr>
          <w:color w:val="000000" w:themeColor="text1"/>
        </w:rPr>
        <w:t xml:space="preserve">auch </w:t>
      </w:r>
      <w:r w:rsidR="008F3D8A" w:rsidRPr="008F3D8A">
        <w:rPr>
          <w:color w:val="000000" w:themeColor="text1"/>
        </w:rPr>
        <w:t>die Botschaft der Statue. Erinnern wir uns an Plutarchs Bericht zu</w:t>
      </w:r>
      <w:r w:rsidR="00637617">
        <w:rPr>
          <w:color w:val="000000" w:themeColor="text1"/>
        </w:rPr>
        <w:t>r</w:t>
      </w:r>
      <w:r w:rsidR="008F3D8A" w:rsidRPr="008F3D8A">
        <w:rPr>
          <w:color w:val="000000" w:themeColor="text1"/>
        </w:rPr>
        <w:t xml:space="preserve"> Debatte um den </w:t>
      </w:r>
      <w:proofErr w:type="spellStart"/>
      <w:r w:rsidR="008F3D8A" w:rsidRPr="008F3D8A">
        <w:rPr>
          <w:color w:val="000000" w:themeColor="text1"/>
        </w:rPr>
        <w:t>Numantia</w:t>
      </w:r>
      <w:proofErr w:type="spellEnd"/>
      <w:r w:rsidR="008F3D8A" w:rsidRPr="008F3D8A">
        <w:rPr>
          <w:color w:val="000000" w:themeColor="text1"/>
        </w:rPr>
        <w:t>-Vertrag, in dem darauf hingewiesen w</w:t>
      </w:r>
      <w:r w:rsidR="00637617">
        <w:rPr>
          <w:color w:val="000000" w:themeColor="text1"/>
        </w:rPr>
        <w:t>u</w:t>
      </w:r>
      <w:r w:rsidR="008F3D8A" w:rsidRPr="008F3D8A">
        <w:rPr>
          <w:color w:val="000000" w:themeColor="text1"/>
        </w:rPr>
        <w:t>rd</w:t>
      </w:r>
      <w:r w:rsidR="00637617">
        <w:rPr>
          <w:color w:val="000000" w:themeColor="text1"/>
        </w:rPr>
        <w:t>e</w:t>
      </w:r>
      <w:r w:rsidR="008F3D8A" w:rsidRPr="008F3D8A">
        <w:rPr>
          <w:color w:val="000000" w:themeColor="text1"/>
        </w:rPr>
        <w:t>, dass die Masse der römischen Bürger den Verantwortlichen dankbar für die Rettung des Lebens von 20.000 römischen Bürgern gewesen sei.</w:t>
      </w:r>
      <w:r w:rsidR="008C18FA" w:rsidRPr="008F3D8A">
        <w:rPr>
          <w:color w:val="000000" w:themeColor="text1"/>
        </w:rPr>
        <w:t xml:space="preserve"> </w:t>
      </w:r>
      <w:r w:rsidR="00637617">
        <w:rPr>
          <w:color w:val="000000" w:themeColor="text1"/>
        </w:rPr>
        <w:t xml:space="preserve">Bei Plutarch betraf diese Dankbarkeit zwar in erster Linie Gracchus, sie wird sich aber sicherlich auch auf den Feldherrn </w:t>
      </w:r>
      <w:proofErr w:type="spellStart"/>
      <w:r w:rsidR="00637617">
        <w:rPr>
          <w:color w:val="000000" w:themeColor="text1"/>
        </w:rPr>
        <w:t>Mancinus</w:t>
      </w:r>
      <w:proofErr w:type="spellEnd"/>
      <w:r w:rsidR="00637617">
        <w:rPr>
          <w:color w:val="000000" w:themeColor="text1"/>
        </w:rPr>
        <w:t xml:space="preserve"> erstreckt haben. Indem dieser nun aber für seine Rettungstat bestraft wurde und er diese Bestrafung durch seine Kooperation bereitwillig akzeptierte, zeigte er, dass er das Wohl der römischen Bürger für wichtiger hielt als sein eigenes Wohlergehen, seine eigene Karriere, </w:t>
      </w:r>
      <w:r w:rsidR="00682CFE">
        <w:rPr>
          <w:color w:val="000000" w:themeColor="text1"/>
        </w:rPr>
        <w:t xml:space="preserve">seine </w:t>
      </w:r>
      <w:proofErr w:type="spellStart"/>
      <w:r w:rsidR="00637617" w:rsidRPr="00637617">
        <w:rPr>
          <w:i/>
          <w:color w:val="000000" w:themeColor="text1"/>
        </w:rPr>
        <w:t>dignitas</w:t>
      </w:r>
      <w:proofErr w:type="spellEnd"/>
      <w:r w:rsidR="00637617">
        <w:rPr>
          <w:color w:val="000000" w:themeColor="text1"/>
        </w:rPr>
        <w:t>, ja mithin als sein eigenes Leben.</w:t>
      </w:r>
    </w:p>
    <w:p w14:paraId="377B10CA" w14:textId="7C8F1383" w:rsidR="00637617" w:rsidRDefault="00637617" w:rsidP="00637617">
      <w:pPr>
        <w:spacing w:after="120" w:line="300" w:lineRule="auto"/>
        <w:jc w:val="both"/>
        <w:rPr>
          <w:color w:val="000000" w:themeColor="text1"/>
        </w:rPr>
      </w:pPr>
      <w:r>
        <w:rPr>
          <w:color w:val="000000" w:themeColor="text1"/>
        </w:rPr>
        <w:t xml:space="preserve">Das Selbstopfer des </w:t>
      </w:r>
      <w:proofErr w:type="spellStart"/>
      <w:r>
        <w:rPr>
          <w:color w:val="000000" w:themeColor="text1"/>
        </w:rPr>
        <w:t>Mancinus</w:t>
      </w:r>
      <w:proofErr w:type="spellEnd"/>
      <w:r>
        <w:rPr>
          <w:color w:val="000000" w:themeColor="text1"/>
        </w:rPr>
        <w:t xml:space="preserve">, welches er der Öffentlichkeit durch seine Statue </w:t>
      </w:r>
      <w:r w:rsidR="004C0C80">
        <w:rPr>
          <w:color w:val="000000" w:themeColor="text1"/>
        </w:rPr>
        <w:t xml:space="preserve">so </w:t>
      </w:r>
      <w:r>
        <w:rPr>
          <w:color w:val="000000" w:themeColor="text1"/>
        </w:rPr>
        <w:t xml:space="preserve">drastisch vor Augen führte, bediente (oder setzte </w:t>
      </w:r>
      <w:r w:rsidR="004C0C80">
        <w:rPr>
          <w:color w:val="000000" w:themeColor="text1"/>
        </w:rPr>
        <w:t>so</w:t>
      </w:r>
      <w:r>
        <w:rPr>
          <w:color w:val="000000" w:themeColor="text1"/>
        </w:rPr>
        <w:t xml:space="preserve">gar) einen für römische Aristokraten </w:t>
      </w:r>
      <w:r w:rsidR="00437A38">
        <w:rPr>
          <w:color w:val="000000" w:themeColor="text1"/>
        </w:rPr>
        <w:t xml:space="preserve">der ausgehenden mittleren Republik </w:t>
      </w:r>
      <w:r w:rsidR="004C0C80">
        <w:rPr>
          <w:color w:val="000000" w:themeColor="text1"/>
        </w:rPr>
        <w:t xml:space="preserve">sehr </w:t>
      </w:r>
      <w:r>
        <w:rPr>
          <w:color w:val="000000" w:themeColor="text1"/>
        </w:rPr>
        <w:t>attraktiven Diskurs</w:t>
      </w:r>
      <w:r w:rsidR="004C0C80">
        <w:rPr>
          <w:color w:val="000000" w:themeColor="text1"/>
        </w:rPr>
        <w:t>:</w:t>
      </w:r>
      <w:r>
        <w:rPr>
          <w:color w:val="000000" w:themeColor="text1"/>
        </w:rPr>
        <w:t xml:space="preserve"> Im Kontext </w:t>
      </w:r>
      <w:r w:rsidR="004C0C80">
        <w:rPr>
          <w:color w:val="000000" w:themeColor="text1"/>
        </w:rPr>
        <w:t>eines</w:t>
      </w:r>
      <w:r>
        <w:rPr>
          <w:color w:val="000000" w:themeColor="text1"/>
        </w:rPr>
        <w:t xml:space="preserve"> sich in diesen Jahren formierenden ‚</w:t>
      </w:r>
      <w:proofErr w:type="spellStart"/>
      <w:r>
        <w:rPr>
          <w:color w:val="000000" w:themeColor="text1"/>
        </w:rPr>
        <w:t>popularen</w:t>
      </w:r>
      <w:proofErr w:type="spellEnd"/>
      <w:r>
        <w:rPr>
          <w:color w:val="000000" w:themeColor="text1"/>
        </w:rPr>
        <w:t xml:space="preserve">‘ </w:t>
      </w:r>
      <w:r w:rsidR="004C0C80">
        <w:rPr>
          <w:color w:val="000000" w:themeColor="text1"/>
        </w:rPr>
        <w:t xml:space="preserve">Politikstils und im Kontext einer </w:t>
      </w:r>
      <w:r>
        <w:rPr>
          <w:color w:val="000000" w:themeColor="text1"/>
        </w:rPr>
        <w:t xml:space="preserve">aufziehenden Vertrauenskrise in die </w:t>
      </w:r>
      <w:r w:rsidR="004C0C80">
        <w:rPr>
          <w:color w:val="000000" w:themeColor="text1"/>
        </w:rPr>
        <w:t>Führung der Republik durch die traditionelle Nobilität</w:t>
      </w:r>
      <w:r w:rsidR="00022256">
        <w:rPr>
          <w:rStyle w:val="Funotenzeichen"/>
          <w:color w:val="000000" w:themeColor="text1"/>
        </w:rPr>
        <w:footnoteReference w:id="37"/>
      </w:r>
      <w:r w:rsidR="004C0C80">
        <w:rPr>
          <w:color w:val="000000" w:themeColor="text1"/>
        </w:rPr>
        <w:t xml:space="preserve"> ist es ein keineswegs verwegener Schluss, das politische Comeback des </w:t>
      </w:r>
      <w:proofErr w:type="spellStart"/>
      <w:r w:rsidR="004C0C80">
        <w:rPr>
          <w:color w:val="000000" w:themeColor="text1"/>
        </w:rPr>
        <w:t>Mancinus</w:t>
      </w:r>
      <w:proofErr w:type="spellEnd"/>
      <w:r w:rsidR="004C0C80">
        <w:rPr>
          <w:color w:val="000000" w:themeColor="text1"/>
        </w:rPr>
        <w:t xml:space="preserve"> auf seinen selbstlosen (oder zumindest als selbstlos stilisierten) Dienst für die Bürgerschaft zurückzuführen. </w:t>
      </w:r>
      <w:proofErr w:type="spellStart"/>
      <w:r w:rsidR="004C0C80">
        <w:rPr>
          <w:color w:val="000000" w:themeColor="text1"/>
        </w:rPr>
        <w:t>Mancinus</w:t>
      </w:r>
      <w:proofErr w:type="spellEnd"/>
      <w:r w:rsidR="004C0C80">
        <w:rPr>
          <w:color w:val="000000" w:themeColor="text1"/>
        </w:rPr>
        <w:t xml:space="preserve"> hatte zwar seinen konsularischen Rang verloren, dabei aber doch immerhin seinen senatorischen Status gerettet </w:t>
      </w:r>
      <w:r w:rsidR="00437A38">
        <w:rPr>
          <w:color w:val="000000" w:themeColor="text1"/>
        </w:rPr>
        <w:t xml:space="preserve">(zumindest seinen Anspruch hierauf) </w:t>
      </w:r>
      <w:r w:rsidR="004C0C80">
        <w:rPr>
          <w:color w:val="000000" w:themeColor="text1"/>
        </w:rPr>
        <w:t xml:space="preserve">und sich sowie seiner Familie darüber hinaus etwas </w:t>
      </w:r>
      <w:r w:rsidR="004C0C80">
        <w:rPr>
          <w:color w:val="000000" w:themeColor="text1"/>
        </w:rPr>
        <w:lastRenderedPageBreak/>
        <w:t xml:space="preserve">verpasst, was in der politischen Kultur der Republik mittel- und langfristig wertvoller sein konnte als eine ungebrochene Karriere: ein volksfreundliches Image. </w:t>
      </w:r>
    </w:p>
    <w:p w14:paraId="0A1DBCA0" w14:textId="235BBCBB" w:rsidR="00C66567" w:rsidRPr="00576B6E" w:rsidRDefault="00F568E5" w:rsidP="007C25A7">
      <w:pPr>
        <w:spacing w:after="120" w:line="300" w:lineRule="auto"/>
        <w:jc w:val="both"/>
        <w:rPr>
          <w:color w:val="000000" w:themeColor="text1"/>
        </w:rPr>
      </w:pPr>
      <w:r w:rsidRPr="00096B0B">
        <w:rPr>
          <w:color w:val="000000" w:themeColor="text1"/>
        </w:rPr>
        <w:t xml:space="preserve">An diesen von </w:t>
      </w:r>
      <w:proofErr w:type="spellStart"/>
      <w:r w:rsidRPr="00096B0B">
        <w:rPr>
          <w:color w:val="000000" w:themeColor="text1"/>
        </w:rPr>
        <w:t>Mancinus</w:t>
      </w:r>
      <w:proofErr w:type="spellEnd"/>
      <w:r w:rsidRPr="00096B0B">
        <w:rPr>
          <w:color w:val="000000" w:themeColor="text1"/>
        </w:rPr>
        <w:t xml:space="preserve"> (und später von Gracchus) bespielten </w:t>
      </w:r>
      <w:proofErr w:type="spellStart"/>
      <w:r w:rsidRPr="00096B0B">
        <w:rPr>
          <w:color w:val="000000" w:themeColor="text1"/>
        </w:rPr>
        <w:t>popularen</w:t>
      </w:r>
      <w:proofErr w:type="spellEnd"/>
      <w:r w:rsidRPr="00096B0B">
        <w:rPr>
          <w:color w:val="000000" w:themeColor="text1"/>
        </w:rPr>
        <w:t xml:space="preserve"> Diskurs konnte sich </w:t>
      </w:r>
      <w:proofErr w:type="spellStart"/>
      <w:r w:rsidRPr="00096B0B">
        <w:rPr>
          <w:color w:val="000000" w:themeColor="text1"/>
        </w:rPr>
        <w:t>Veturius</w:t>
      </w:r>
      <w:proofErr w:type="spellEnd"/>
      <w:r w:rsidRPr="00096B0B">
        <w:rPr>
          <w:color w:val="000000" w:themeColor="text1"/>
        </w:rPr>
        <w:t xml:space="preserve"> anschließen, </w:t>
      </w:r>
      <w:r w:rsidR="00234A9E">
        <w:rPr>
          <w:color w:val="000000" w:themeColor="text1"/>
        </w:rPr>
        <w:t xml:space="preserve">da </w:t>
      </w:r>
      <w:r w:rsidRPr="00096B0B">
        <w:rPr>
          <w:color w:val="000000" w:themeColor="text1"/>
        </w:rPr>
        <w:t>dessen Ahnherr, der Konsul von 321, ebenfalls das Leben tausender Bürger im Feld gerettet hatte</w:t>
      </w:r>
      <w:r w:rsidR="000E2C4F" w:rsidRPr="00096B0B">
        <w:rPr>
          <w:color w:val="000000" w:themeColor="text1"/>
        </w:rPr>
        <w:t>;</w:t>
      </w:r>
      <w:r w:rsidRPr="00096B0B">
        <w:rPr>
          <w:color w:val="000000" w:themeColor="text1"/>
        </w:rPr>
        <w:t xml:space="preserve"> </w:t>
      </w:r>
      <w:r w:rsidR="000E2C4F" w:rsidRPr="00096B0B">
        <w:rPr>
          <w:color w:val="000000" w:themeColor="text1"/>
        </w:rPr>
        <w:t>a</w:t>
      </w:r>
      <w:r w:rsidRPr="00096B0B">
        <w:rPr>
          <w:color w:val="000000" w:themeColor="text1"/>
        </w:rPr>
        <w:t xml:space="preserve">uch er hatte hierzu einen schmachvollen Frieden abschließen müssen und damit seine </w:t>
      </w:r>
      <w:proofErr w:type="spellStart"/>
      <w:r w:rsidRPr="00096B0B">
        <w:rPr>
          <w:i/>
          <w:color w:val="000000" w:themeColor="text1"/>
        </w:rPr>
        <w:t>dignitas</w:t>
      </w:r>
      <w:proofErr w:type="spellEnd"/>
      <w:r w:rsidRPr="00096B0B">
        <w:rPr>
          <w:color w:val="000000" w:themeColor="text1"/>
        </w:rPr>
        <w:t xml:space="preserve"> und Karriere aufs Spiel gesetzt.</w:t>
      </w:r>
      <w:r w:rsidR="005117BA" w:rsidRPr="00096B0B">
        <w:rPr>
          <w:rStyle w:val="Funotenzeichen"/>
          <w:color w:val="000000" w:themeColor="text1"/>
        </w:rPr>
        <w:footnoteReference w:id="38"/>
      </w:r>
      <w:r w:rsidRPr="00096B0B">
        <w:rPr>
          <w:color w:val="000000" w:themeColor="text1"/>
        </w:rPr>
        <w:t xml:space="preserve"> In der Tat spielte T. </w:t>
      </w:r>
      <w:proofErr w:type="spellStart"/>
      <w:r w:rsidRPr="00096B0B">
        <w:rPr>
          <w:color w:val="000000" w:themeColor="text1"/>
        </w:rPr>
        <w:t>Veturius</w:t>
      </w:r>
      <w:proofErr w:type="spellEnd"/>
      <w:r w:rsidRPr="00096B0B">
        <w:rPr>
          <w:color w:val="000000" w:themeColor="text1"/>
        </w:rPr>
        <w:t xml:space="preserve"> </w:t>
      </w:r>
      <w:proofErr w:type="spellStart"/>
      <w:r w:rsidRPr="00096B0B">
        <w:rPr>
          <w:color w:val="000000" w:themeColor="text1"/>
        </w:rPr>
        <w:t>Calvinus</w:t>
      </w:r>
      <w:proofErr w:type="spellEnd"/>
      <w:r w:rsidRPr="00096B0B">
        <w:rPr>
          <w:color w:val="000000" w:themeColor="text1"/>
        </w:rPr>
        <w:t xml:space="preserve"> nach 321 keine Rolle mehr in der Geschichte</w:t>
      </w:r>
      <w:r w:rsidR="00D1303E" w:rsidRPr="00096B0B">
        <w:rPr>
          <w:color w:val="000000" w:themeColor="text1"/>
        </w:rPr>
        <w:t>,</w:t>
      </w:r>
      <w:r w:rsidRPr="00096B0B">
        <w:rPr>
          <w:color w:val="000000" w:themeColor="text1"/>
        </w:rPr>
        <w:t xml:space="preserve"> und auch seine Nachkommen gelangten</w:t>
      </w:r>
      <w:r w:rsidR="00640EA5">
        <w:rPr>
          <w:color w:val="000000" w:themeColor="text1"/>
        </w:rPr>
        <w:t xml:space="preserve"> </w:t>
      </w:r>
      <w:r w:rsidRPr="00096B0B">
        <w:rPr>
          <w:color w:val="000000" w:themeColor="text1"/>
        </w:rPr>
        <w:t xml:space="preserve">nicht mehr zu höchsten </w:t>
      </w:r>
      <w:r w:rsidR="000E2C4F" w:rsidRPr="00096B0B">
        <w:rPr>
          <w:color w:val="000000" w:themeColor="text1"/>
        </w:rPr>
        <w:t>Ehren</w:t>
      </w:r>
      <w:r w:rsidR="00D1303E" w:rsidRPr="00096B0B">
        <w:rPr>
          <w:color w:val="000000" w:themeColor="text1"/>
        </w:rPr>
        <w:t>, so nachhaltig hatte</w:t>
      </w:r>
      <w:r w:rsidR="00640EA5">
        <w:rPr>
          <w:color w:val="000000" w:themeColor="text1"/>
        </w:rPr>
        <w:t xml:space="preserve"> er</w:t>
      </w:r>
      <w:r w:rsidR="00D1303E" w:rsidRPr="00096B0B">
        <w:rPr>
          <w:color w:val="000000" w:themeColor="text1"/>
        </w:rPr>
        <w:t xml:space="preserve"> sich im Interesse der Bürgerschaft selbst geschadet.</w:t>
      </w:r>
      <w:r w:rsidR="00C96C44" w:rsidRPr="00096B0B">
        <w:rPr>
          <w:rStyle w:val="Funotenzeichen"/>
          <w:color w:val="000000" w:themeColor="text1"/>
        </w:rPr>
        <w:footnoteReference w:id="39"/>
      </w:r>
      <w:r w:rsidR="00D1303E" w:rsidRPr="00096B0B">
        <w:rPr>
          <w:color w:val="000000" w:themeColor="text1"/>
        </w:rPr>
        <w:t xml:space="preserve"> </w:t>
      </w:r>
      <w:r w:rsidR="00C96C44">
        <w:rPr>
          <w:color w:val="000000" w:themeColor="text1"/>
        </w:rPr>
        <w:t>A</w:t>
      </w:r>
      <w:r w:rsidR="00096B0B" w:rsidRPr="00096B0B">
        <w:rPr>
          <w:color w:val="000000" w:themeColor="text1"/>
        </w:rPr>
        <w:t xml:space="preserve">uf dieses Selbstopfer des älteren </w:t>
      </w:r>
      <w:proofErr w:type="spellStart"/>
      <w:r w:rsidR="00096B0B" w:rsidRPr="00096B0B">
        <w:rPr>
          <w:color w:val="000000" w:themeColor="text1"/>
        </w:rPr>
        <w:t>Veturius</w:t>
      </w:r>
      <w:proofErr w:type="spellEnd"/>
      <w:r w:rsidR="00096B0B" w:rsidRPr="00096B0B">
        <w:rPr>
          <w:color w:val="000000" w:themeColor="text1"/>
        </w:rPr>
        <w:t xml:space="preserve"> </w:t>
      </w:r>
      <w:r w:rsidR="00096B0B">
        <w:rPr>
          <w:color w:val="000000" w:themeColor="text1"/>
        </w:rPr>
        <w:t>wies</w:t>
      </w:r>
      <w:r w:rsidR="00096B0B" w:rsidRPr="00096B0B">
        <w:rPr>
          <w:color w:val="000000" w:themeColor="text1"/>
        </w:rPr>
        <w:t xml:space="preserve"> </w:t>
      </w:r>
      <w:r w:rsidR="00A87061">
        <w:rPr>
          <w:color w:val="000000" w:themeColor="text1"/>
        </w:rPr>
        <w:t xml:space="preserve">möglicherweise </w:t>
      </w:r>
      <w:r w:rsidR="00096B0B" w:rsidRPr="00096B0B">
        <w:rPr>
          <w:color w:val="000000" w:themeColor="text1"/>
        </w:rPr>
        <w:t>die Münze des jüngeren hin</w:t>
      </w:r>
      <w:r w:rsidR="005D1B3E">
        <w:rPr>
          <w:color w:val="000000" w:themeColor="text1"/>
        </w:rPr>
        <w:t>;</w:t>
      </w:r>
      <w:r w:rsidR="006A26DA">
        <w:rPr>
          <w:color w:val="000000" w:themeColor="text1"/>
        </w:rPr>
        <w:t xml:space="preserve"> </w:t>
      </w:r>
      <w:r w:rsidR="005D1B3E">
        <w:rPr>
          <w:color w:val="000000" w:themeColor="text1"/>
        </w:rPr>
        <w:t>d</w:t>
      </w:r>
      <w:r w:rsidR="006A26DA">
        <w:rPr>
          <w:color w:val="000000" w:themeColor="text1"/>
        </w:rPr>
        <w:t xml:space="preserve">er Bezug der </w:t>
      </w:r>
      <w:proofErr w:type="spellStart"/>
      <w:r w:rsidR="006A26DA">
        <w:rPr>
          <w:color w:val="000000" w:themeColor="text1"/>
        </w:rPr>
        <w:t>Eidszene</w:t>
      </w:r>
      <w:proofErr w:type="spellEnd"/>
      <w:r w:rsidR="006A26DA">
        <w:rPr>
          <w:color w:val="000000" w:themeColor="text1"/>
        </w:rPr>
        <w:t xml:space="preserve"> auf </w:t>
      </w:r>
      <w:proofErr w:type="spellStart"/>
      <w:r w:rsidR="006A26DA">
        <w:rPr>
          <w:color w:val="000000" w:themeColor="text1"/>
        </w:rPr>
        <w:t>Caudium</w:t>
      </w:r>
      <w:proofErr w:type="spellEnd"/>
      <w:r w:rsidR="006A26DA">
        <w:rPr>
          <w:color w:val="000000" w:themeColor="text1"/>
        </w:rPr>
        <w:t xml:space="preserve"> war jedenfalls so eindeutig (</w:t>
      </w:r>
      <w:proofErr w:type="spellStart"/>
      <w:r w:rsidR="006A26DA">
        <w:rPr>
          <w:color w:val="000000" w:themeColor="text1"/>
        </w:rPr>
        <w:t>Caudium</w:t>
      </w:r>
      <w:proofErr w:type="spellEnd"/>
      <w:r w:rsidR="006A26DA">
        <w:rPr>
          <w:color w:val="000000" w:themeColor="text1"/>
        </w:rPr>
        <w:t xml:space="preserve"> war infolge der </w:t>
      </w:r>
      <w:proofErr w:type="spellStart"/>
      <w:r w:rsidR="006A26DA">
        <w:rPr>
          <w:color w:val="000000" w:themeColor="text1"/>
        </w:rPr>
        <w:t>Mancinus</w:t>
      </w:r>
      <w:proofErr w:type="spellEnd"/>
      <w:r w:rsidR="006A26DA">
        <w:rPr>
          <w:color w:val="000000" w:themeColor="text1"/>
        </w:rPr>
        <w:t>-Debatte</w:t>
      </w:r>
      <w:r w:rsidR="005D1B3E">
        <w:rPr>
          <w:color w:val="000000" w:themeColor="text1"/>
        </w:rPr>
        <w:t xml:space="preserve"> </w:t>
      </w:r>
      <w:r w:rsidR="006A26DA">
        <w:rPr>
          <w:color w:val="000000" w:themeColor="text1"/>
        </w:rPr>
        <w:t xml:space="preserve">in aller Munde), </w:t>
      </w:r>
      <w:r w:rsidR="00F7117F">
        <w:rPr>
          <w:color w:val="000000" w:themeColor="text1"/>
        </w:rPr>
        <w:t xml:space="preserve">und das Beispiel des </w:t>
      </w:r>
      <w:proofErr w:type="spellStart"/>
      <w:r w:rsidR="005D1B3E">
        <w:rPr>
          <w:color w:val="000000" w:themeColor="text1"/>
        </w:rPr>
        <w:t>Mancinus</w:t>
      </w:r>
      <w:proofErr w:type="spellEnd"/>
      <w:r w:rsidR="005D1B3E">
        <w:rPr>
          <w:color w:val="000000" w:themeColor="text1"/>
        </w:rPr>
        <w:t xml:space="preserve"> war so präsent, dass es gut denkbar ist, dass der Münzmeister versuchte, im Fahrwasser der aktuellen Debatten ein </w:t>
      </w:r>
      <w:r w:rsidR="00B10024">
        <w:rPr>
          <w:color w:val="000000" w:themeColor="text1"/>
        </w:rPr>
        <w:t>volksfreundliches</w:t>
      </w:r>
      <w:r w:rsidR="005D1B3E">
        <w:rPr>
          <w:color w:val="000000" w:themeColor="text1"/>
        </w:rPr>
        <w:t xml:space="preserve"> Familienprofil zu entwickeln. </w:t>
      </w:r>
      <w:r w:rsidR="00096B0B" w:rsidRPr="00096B0B">
        <w:rPr>
          <w:color w:val="000000" w:themeColor="text1"/>
        </w:rPr>
        <w:t xml:space="preserve">In diesem Kontext funktioniert die Aussage des Denars übriges auch (und gerade) unter der Maßgabe, dass sich die Version der Rückweisung des </w:t>
      </w:r>
      <w:proofErr w:type="spellStart"/>
      <w:r w:rsidR="00096B0B" w:rsidRPr="00096B0B">
        <w:rPr>
          <w:color w:val="000000" w:themeColor="text1"/>
        </w:rPr>
        <w:t>Caudium</w:t>
      </w:r>
      <w:proofErr w:type="spellEnd"/>
      <w:r w:rsidR="00096B0B" w:rsidRPr="00096B0B">
        <w:rPr>
          <w:color w:val="000000" w:themeColor="text1"/>
        </w:rPr>
        <w:t>-Friedens bereits allgemein durchgesetzt hatte; dass dies</w:t>
      </w:r>
      <w:r w:rsidR="00096B0B">
        <w:rPr>
          <w:color w:val="000000" w:themeColor="text1"/>
        </w:rPr>
        <w:t xml:space="preserve">e Version plötzlich </w:t>
      </w:r>
      <w:r w:rsidR="00096B0B" w:rsidRPr="00096B0B">
        <w:rPr>
          <w:color w:val="000000" w:themeColor="text1"/>
        </w:rPr>
        <w:t xml:space="preserve">auch im Interesse der </w:t>
      </w:r>
      <w:r w:rsidR="00096B0B">
        <w:rPr>
          <w:color w:val="000000" w:themeColor="text1"/>
        </w:rPr>
        <w:t xml:space="preserve">familiären </w:t>
      </w:r>
      <w:r w:rsidR="00096B0B" w:rsidRPr="00096B0B">
        <w:rPr>
          <w:color w:val="000000" w:themeColor="text1"/>
        </w:rPr>
        <w:t xml:space="preserve">Stakeholder an der Geschichte lag, die ihr Familienprofil anhand des </w:t>
      </w:r>
      <w:proofErr w:type="spellStart"/>
      <w:r w:rsidR="00096B0B" w:rsidRPr="00096B0B">
        <w:rPr>
          <w:color w:val="000000" w:themeColor="text1"/>
        </w:rPr>
        <w:t>popularen</w:t>
      </w:r>
      <w:proofErr w:type="spellEnd"/>
      <w:r w:rsidR="00096B0B" w:rsidRPr="00096B0B">
        <w:rPr>
          <w:color w:val="000000" w:themeColor="text1"/>
        </w:rPr>
        <w:t xml:space="preserve"> Diskurses zu schärfen gewillt waren, mag </w:t>
      </w:r>
      <w:r w:rsidR="00096B0B">
        <w:rPr>
          <w:color w:val="000000" w:themeColor="text1"/>
        </w:rPr>
        <w:t>dazu sogar beigetragen haben.</w:t>
      </w:r>
      <w:r w:rsidR="002F51D5">
        <w:rPr>
          <w:rStyle w:val="Funotenzeichen"/>
          <w:color w:val="000000" w:themeColor="text1"/>
        </w:rPr>
        <w:footnoteReference w:id="40"/>
      </w:r>
      <w:r w:rsidR="005D1B3E">
        <w:rPr>
          <w:color w:val="000000" w:themeColor="text1"/>
        </w:rPr>
        <w:t xml:space="preserve"> </w:t>
      </w:r>
      <w:r w:rsidR="007C25A7" w:rsidRPr="00576B6E">
        <w:rPr>
          <w:color w:val="000000" w:themeColor="text1"/>
        </w:rPr>
        <w:t>Diese</w:t>
      </w:r>
      <w:r w:rsidR="00576B6E" w:rsidRPr="00576B6E">
        <w:rPr>
          <w:color w:val="000000" w:themeColor="text1"/>
        </w:rPr>
        <w:t>r Vorschlag zum Verständnis de</w:t>
      </w:r>
      <w:r w:rsidR="00576B6E">
        <w:rPr>
          <w:color w:val="000000" w:themeColor="text1"/>
        </w:rPr>
        <w:t xml:space="preserve">s Denars </w:t>
      </w:r>
      <w:r w:rsidR="00576B6E" w:rsidRPr="00576B6E">
        <w:rPr>
          <w:color w:val="000000" w:themeColor="text1"/>
        </w:rPr>
        <w:t xml:space="preserve">kommt </w:t>
      </w:r>
      <w:r w:rsidR="007C25A7" w:rsidRPr="00576B6E">
        <w:rPr>
          <w:color w:val="000000" w:themeColor="text1"/>
        </w:rPr>
        <w:t xml:space="preserve">ohne die </w:t>
      </w:r>
      <w:r w:rsidR="00576B6E">
        <w:rPr>
          <w:color w:val="000000" w:themeColor="text1"/>
        </w:rPr>
        <w:t xml:space="preserve">beiden oben </w:t>
      </w:r>
      <w:r w:rsidR="007C25A7" w:rsidRPr="00576B6E">
        <w:rPr>
          <w:color w:val="000000" w:themeColor="text1"/>
        </w:rPr>
        <w:t>problematis</w:t>
      </w:r>
      <w:r w:rsidR="00576B6E">
        <w:rPr>
          <w:color w:val="000000" w:themeColor="text1"/>
        </w:rPr>
        <w:t>ierten</w:t>
      </w:r>
      <w:r w:rsidR="007C25A7" w:rsidRPr="00576B6E">
        <w:rPr>
          <w:color w:val="000000" w:themeColor="text1"/>
        </w:rPr>
        <w:t xml:space="preserve"> Axiome der </w:t>
      </w:r>
      <w:proofErr w:type="spellStart"/>
      <w:r w:rsidR="007C25A7" w:rsidRPr="00576B6E">
        <w:rPr>
          <w:color w:val="000000" w:themeColor="text1"/>
        </w:rPr>
        <w:t>faktionalen</w:t>
      </w:r>
      <w:proofErr w:type="spellEnd"/>
      <w:r w:rsidR="007C25A7" w:rsidRPr="00576B6E">
        <w:rPr>
          <w:color w:val="000000" w:themeColor="text1"/>
        </w:rPr>
        <w:t xml:space="preserve"> Deutung aus</w:t>
      </w:r>
      <w:r w:rsidR="00576B6E">
        <w:rPr>
          <w:color w:val="000000" w:themeColor="text1"/>
        </w:rPr>
        <w:t>. Er</w:t>
      </w:r>
      <w:r w:rsidR="00576B6E" w:rsidRPr="00576B6E">
        <w:rPr>
          <w:color w:val="000000" w:themeColor="text1"/>
        </w:rPr>
        <w:t xml:space="preserve"> nimmt stattdessen die sich </w:t>
      </w:r>
      <w:r w:rsidR="00576B6E">
        <w:rPr>
          <w:color w:val="000000" w:themeColor="text1"/>
        </w:rPr>
        <w:t>seit Mitte des zweiten Jahrhunderts verstärkt ge</w:t>
      </w:r>
      <w:r w:rsidR="00576B6E" w:rsidRPr="00576B6E">
        <w:rPr>
          <w:color w:val="000000" w:themeColor="text1"/>
        </w:rPr>
        <w:t>wandel</w:t>
      </w:r>
      <w:r w:rsidR="00576B6E">
        <w:rPr>
          <w:color w:val="000000" w:themeColor="text1"/>
        </w:rPr>
        <w:t>t</w:t>
      </w:r>
      <w:r w:rsidR="00576B6E" w:rsidRPr="00576B6E">
        <w:rPr>
          <w:color w:val="000000" w:themeColor="text1"/>
        </w:rPr>
        <w:t xml:space="preserve">en Kontexte römischer Politik ernst, in der die Unterstützung </w:t>
      </w:r>
      <w:r w:rsidR="00B10024">
        <w:rPr>
          <w:color w:val="000000" w:themeColor="text1"/>
        </w:rPr>
        <w:t xml:space="preserve">durch das Volk </w:t>
      </w:r>
      <w:r w:rsidR="00576B6E" w:rsidRPr="00576B6E">
        <w:rPr>
          <w:color w:val="000000" w:themeColor="text1"/>
        </w:rPr>
        <w:t xml:space="preserve">eine immer </w:t>
      </w:r>
      <w:r w:rsidR="00576B6E">
        <w:rPr>
          <w:color w:val="000000" w:themeColor="text1"/>
        </w:rPr>
        <w:t>wichtigere</w:t>
      </w:r>
      <w:r w:rsidR="00576B6E" w:rsidRPr="00576B6E">
        <w:rPr>
          <w:color w:val="000000" w:themeColor="text1"/>
        </w:rPr>
        <w:t xml:space="preserve"> Rolle für die Durchsetzung im politischen Wettbewerb spielte.</w:t>
      </w:r>
    </w:p>
    <w:p w14:paraId="3D43156C" w14:textId="6250AE89" w:rsidR="006A06AD" w:rsidRDefault="00B055FD" w:rsidP="00901CC1">
      <w:pPr>
        <w:spacing w:after="120" w:line="300" w:lineRule="auto"/>
        <w:jc w:val="both"/>
        <w:rPr>
          <w:color w:val="000000" w:themeColor="text1"/>
        </w:rPr>
      </w:pPr>
      <w:r w:rsidRPr="00576B6E">
        <w:rPr>
          <w:color w:val="000000" w:themeColor="text1"/>
        </w:rPr>
        <w:t>***</w:t>
      </w:r>
    </w:p>
    <w:p w14:paraId="6FC6F46A" w14:textId="365FCB5C" w:rsidR="00E0213F" w:rsidRDefault="00EA2F36" w:rsidP="00901CC1">
      <w:pPr>
        <w:spacing w:after="120" w:line="300" w:lineRule="auto"/>
        <w:jc w:val="both"/>
        <w:rPr>
          <w:color w:val="000000" w:themeColor="text1"/>
        </w:rPr>
      </w:pPr>
      <w:r>
        <w:rPr>
          <w:color w:val="000000" w:themeColor="text1"/>
        </w:rPr>
        <w:t xml:space="preserve">Fassen wir zusammen: </w:t>
      </w:r>
      <w:r w:rsidR="00A319C0">
        <w:rPr>
          <w:color w:val="000000" w:themeColor="text1"/>
        </w:rPr>
        <w:t xml:space="preserve">Die traditionelle, </w:t>
      </w:r>
      <w:proofErr w:type="spellStart"/>
      <w:r w:rsidR="00A319C0">
        <w:rPr>
          <w:color w:val="000000" w:themeColor="text1"/>
        </w:rPr>
        <w:t>faktionale</w:t>
      </w:r>
      <w:proofErr w:type="spellEnd"/>
      <w:r w:rsidR="00A319C0">
        <w:rPr>
          <w:color w:val="000000" w:themeColor="text1"/>
        </w:rPr>
        <w:t xml:space="preserve"> Deutung des </w:t>
      </w:r>
      <w:proofErr w:type="spellStart"/>
      <w:r w:rsidR="00A319C0">
        <w:rPr>
          <w:color w:val="000000" w:themeColor="text1"/>
        </w:rPr>
        <w:t>Veturius</w:t>
      </w:r>
      <w:proofErr w:type="spellEnd"/>
      <w:r w:rsidR="00A319C0">
        <w:rPr>
          <w:color w:val="000000" w:themeColor="text1"/>
        </w:rPr>
        <w:t xml:space="preserve">-Denars </w:t>
      </w:r>
      <w:r w:rsidR="004A5841">
        <w:rPr>
          <w:color w:val="000000" w:themeColor="text1"/>
        </w:rPr>
        <w:t>baut auf zwei Vorannahmen auf, die jeweils nicht unproblematisch sind, zum einen auf einem angeblichen familiären Beistands</w:t>
      </w:r>
      <w:r w:rsidR="00E07B35">
        <w:rPr>
          <w:color w:val="000000" w:themeColor="text1"/>
        </w:rPr>
        <w:t>a</w:t>
      </w:r>
      <w:r w:rsidR="004A5841">
        <w:rPr>
          <w:color w:val="000000" w:themeColor="text1"/>
        </w:rPr>
        <w:t xml:space="preserve">utomatismus zwischen dem Münzmeister und seinem </w:t>
      </w:r>
      <w:r w:rsidR="00E07B35">
        <w:rPr>
          <w:color w:val="000000" w:themeColor="text1"/>
        </w:rPr>
        <w:t xml:space="preserve">(entfernten) </w:t>
      </w:r>
      <w:r w:rsidR="004A5841">
        <w:rPr>
          <w:color w:val="000000" w:themeColor="text1"/>
        </w:rPr>
        <w:t xml:space="preserve">Cousin Tiberius Gracchus, zum anderen auf der Annahme, dass der </w:t>
      </w:r>
      <w:proofErr w:type="spellStart"/>
      <w:r w:rsidR="004A5841">
        <w:rPr>
          <w:color w:val="000000" w:themeColor="text1"/>
        </w:rPr>
        <w:t>Mancinus</w:t>
      </w:r>
      <w:proofErr w:type="spellEnd"/>
      <w:r w:rsidR="004A5841">
        <w:rPr>
          <w:color w:val="000000" w:themeColor="text1"/>
        </w:rPr>
        <w:t xml:space="preserve">-Frieden </w:t>
      </w:r>
      <w:r w:rsidR="00E07B35">
        <w:rPr>
          <w:color w:val="000000" w:themeColor="text1"/>
        </w:rPr>
        <w:t xml:space="preserve">überhaupt </w:t>
      </w:r>
      <w:r w:rsidR="004A5841">
        <w:rPr>
          <w:color w:val="000000" w:themeColor="text1"/>
        </w:rPr>
        <w:t>eine realistische Chance auf Durchsetzung in Rom gehabt hätte.</w:t>
      </w:r>
      <w:r w:rsidR="00E07B35">
        <w:rPr>
          <w:color w:val="000000" w:themeColor="text1"/>
        </w:rPr>
        <w:t xml:space="preserve"> Auf Grundlage der Infragestellung dieser beiden Axiome </w:t>
      </w:r>
      <w:r w:rsidR="00E0213F">
        <w:rPr>
          <w:color w:val="000000" w:themeColor="text1"/>
        </w:rPr>
        <w:t>wurde hier</w:t>
      </w:r>
      <w:r w:rsidR="00E07B35">
        <w:rPr>
          <w:color w:val="000000" w:themeColor="text1"/>
        </w:rPr>
        <w:t xml:space="preserve"> ein neue</w:t>
      </w:r>
      <w:r w:rsidR="00E0213F">
        <w:rPr>
          <w:color w:val="000000" w:themeColor="text1"/>
        </w:rPr>
        <w:t>r</w:t>
      </w:r>
      <w:r w:rsidR="00E07B35">
        <w:rPr>
          <w:color w:val="000000" w:themeColor="text1"/>
        </w:rPr>
        <w:t xml:space="preserve"> Vorschlag zur Diskussion gestellt.</w:t>
      </w:r>
      <w:r w:rsidR="00E07B35">
        <w:rPr>
          <w:rStyle w:val="Funotenzeichen"/>
          <w:color w:val="000000" w:themeColor="text1"/>
        </w:rPr>
        <w:footnoteReference w:id="41"/>
      </w:r>
      <w:r w:rsidR="00E07B35">
        <w:rPr>
          <w:color w:val="000000" w:themeColor="text1"/>
        </w:rPr>
        <w:t xml:space="preserve"> </w:t>
      </w:r>
      <w:r w:rsidR="00E0213F">
        <w:rPr>
          <w:color w:val="000000" w:themeColor="text1"/>
        </w:rPr>
        <w:t xml:space="preserve">Vielleicht </w:t>
      </w:r>
      <w:r w:rsidR="00E07B35">
        <w:rPr>
          <w:color w:val="000000" w:themeColor="text1"/>
        </w:rPr>
        <w:t xml:space="preserve">war </w:t>
      </w:r>
      <w:r w:rsidR="00E07B35">
        <w:rPr>
          <w:color w:val="000000" w:themeColor="text1"/>
        </w:rPr>
        <w:lastRenderedPageBreak/>
        <w:t xml:space="preserve">der Denar mit seinem revolutionären Bildprogramm gar keine Stellungnahme im Konflikt um den Vertrag des </w:t>
      </w:r>
      <w:proofErr w:type="spellStart"/>
      <w:r w:rsidR="00E07B35">
        <w:rPr>
          <w:color w:val="000000" w:themeColor="text1"/>
        </w:rPr>
        <w:t>Mancinus</w:t>
      </w:r>
      <w:proofErr w:type="spellEnd"/>
      <w:r w:rsidR="00E07B35">
        <w:rPr>
          <w:color w:val="000000" w:themeColor="text1"/>
        </w:rPr>
        <w:t xml:space="preserve"> mit </w:t>
      </w:r>
      <w:proofErr w:type="spellStart"/>
      <w:r w:rsidR="00E07B35">
        <w:rPr>
          <w:color w:val="000000" w:themeColor="text1"/>
        </w:rPr>
        <w:t>Numantia</w:t>
      </w:r>
      <w:proofErr w:type="spellEnd"/>
      <w:r w:rsidR="00E0213F">
        <w:rPr>
          <w:color w:val="000000" w:themeColor="text1"/>
        </w:rPr>
        <w:t xml:space="preserve"> im Jahr 137/36</w:t>
      </w:r>
      <w:r w:rsidR="00E07B35">
        <w:rPr>
          <w:color w:val="000000" w:themeColor="text1"/>
        </w:rPr>
        <w:t xml:space="preserve">, sondern eine Reaktion auf die später erfolgte Wahl des </w:t>
      </w:r>
      <w:proofErr w:type="spellStart"/>
      <w:r w:rsidR="00E07B35">
        <w:rPr>
          <w:color w:val="000000" w:themeColor="text1"/>
        </w:rPr>
        <w:t>Mancinus</w:t>
      </w:r>
      <w:proofErr w:type="spellEnd"/>
      <w:r w:rsidR="00E0213F">
        <w:rPr>
          <w:color w:val="000000" w:themeColor="text1"/>
        </w:rPr>
        <w:t xml:space="preserve"> zur zweiten </w:t>
      </w:r>
      <w:proofErr w:type="spellStart"/>
      <w:r w:rsidR="00E0213F">
        <w:rPr>
          <w:color w:val="000000" w:themeColor="text1"/>
        </w:rPr>
        <w:t>Praetur</w:t>
      </w:r>
      <w:proofErr w:type="spellEnd"/>
      <w:r w:rsidR="00E0213F">
        <w:rPr>
          <w:color w:val="000000" w:themeColor="text1"/>
        </w:rPr>
        <w:t>, mutmaßlich für 134</w:t>
      </w:r>
      <w:r w:rsidR="00755075">
        <w:rPr>
          <w:color w:val="000000" w:themeColor="text1"/>
        </w:rPr>
        <w:t>, womit die Münze ins Jahr 135/34 zu legen wäre</w:t>
      </w:r>
      <w:r w:rsidR="00E0213F">
        <w:rPr>
          <w:color w:val="000000" w:themeColor="text1"/>
        </w:rPr>
        <w:t>.</w:t>
      </w:r>
      <w:r w:rsidR="00E0213F">
        <w:rPr>
          <w:rStyle w:val="Funotenzeichen"/>
          <w:color w:val="000000" w:themeColor="text1"/>
        </w:rPr>
        <w:footnoteReference w:id="42"/>
      </w:r>
      <w:r w:rsidR="00E0213F">
        <w:rPr>
          <w:color w:val="000000" w:themeColor="text1"/>
        </w:rPr>
        <w:t xml:space="preserve"> Diese Wahl baute auf der </w:t>
      </w:r>
      <w:proofErr w:type="spellStart"/>
      <w:r w:rsidR="00E0213F">
        <w:rPr>
          <w:color w:val="000000" w:themeColor="text1"/>
        </w:rPr>
        <w:t>popularen</w:t>
      </w:r>
      <w:proofErr w:type="spellEnd"/>
      <w:r w:rsidR="00E0213F">
        <w:rPr>
          <w:color w:val="000000" w:themeColor="text1"/>
        </w:rPr>
        <w:t xml:space="preserve"> Unterstützung des geschassten Senators im Volk auf, die dieser durch die Stilisierung seines angeblichen Selbstopfers im Interesse der Bürgerschaft auch aktiv befeuert hatte. Die Münze des </w:t>
      </w:r>
      <w:proofErr w:type="spellStart"/>
      <w:r w:rsidR="00E0213F">
        <w:rPr>
          <w:color w:val="000000" w:themeColor="text1"/>
        </w:rPr>
        <w:t>Veturius</w:t>
      </w:r>
      <w:proofErr w:type="spellEnd"/>
      <w:r w:rsidR="00E0213F">
        <w:rPr>
          <w:color w:val="000000" w:themeColor="text1"/>
        </w:rPr>
        <w:t xml:space="preserve"> wäre in diesem Sinn als eine numismatische (und in der Darstellung weniger drastische) Analogie zur bei Plinius belegten Statue des gefesselten </w:t>
      </w:r>
      <w:proofErr w:type="spellStart"/>
      <w:r w:rsidR="00E0213F">
        <w:rPr>
          <w:color w:val="000000" w:themeColor="text1"/>
        </w:rPr>
        <w:t>Mancinus</w:t>
      </w:r>
      <w:proofErr w:type="spellEnd"/>
      <w:r w:rsidR="00E0213F">
        <w:rPr>
          <w:color w:val="000000" w:themeColor="text1"/>
        </w:rPr>
        <w:t xml:space="preserve"> zu verstehen, da die auf </w:t>
      </w:r>
      <w:proofErr w:type="spellStart"/>
      <w:r w:rsidR="00E0213F">
        <w:rPr>
          <w:color w:val="000000" w:themeColor="text1"/>
        </w:rPr>
        <w:t>Caudium</w:t>
      </w:r>
      <w:proofErr w:type="spellEnd"/>
      <w:r w:rsidR="00E0213F">
        <w:rPr>
          <w:color w:val="000000" w:themeColor="text1"/>
        </w:rPr>
        <w:t xml:space="preserve"> verweisende </w:t>
      </w:r>
      <w:proofErr w:type="spellStart"/>
      <w:r w:rsidR="00E0213F">
        <w:rPr>
          <w:color w:val="000000" w:themeColor="text1"/>
        </w:rPr>
        <w:t>Eidszene</w:t>
      </w:r>
      <w:proofErr w:type="spellEnd"/>
      <w:r w:rsidR="00E0213F">
        <w:rPr>
          <w:color w:val="000000" w:themeColor="text1"/>
        </w:rPr>
        <w:t xml:space="preserve"> das analoge Selbstopfer der </w:t>
      </w:r>
      <w:proofErr w:type="spellStart"/>
      <w:r w:rsidR="00E0213F" w:rsidRPr="00E0213F">
        <w:rPr>
          <w:i/>
          <w:color w:val="000000" w:themeColor="text1"/>
        </w:rPr>
        <w:t>dignitas</w:t>
      </w:r>
      <w:proofErr w:type="spellEnd"/>
      <w:r w:rsidR="00E0213F">
        <w:rPr>
          <w:color w:val="000000" w:themeColor="text1"/>
        </w:rPr>
        <w:t xml:space="preserve"> des T. </w:t>
      </w:r>
      <w:proofErr w:type="spellStart"/>
      <w:r w:rsidR="00E0213F">
        <w:rPr>
          <w:color w:val="000000" w:themeColor="text1"/>
        </w:rPr>
        <w:t>Veturius</w:t>
      </w:r>
      <w:proofErr w:type="spellEnd"/>
      <w:r w:rsidR="00E0213F">
        <w:rPr>
          <w:color w:val="000000" w:themeColor="text1"/>
        </w:rPr>
        <w:t xml:space="preserve"> </w:t>
      </w:r>
      <w:proofErr w:type="spellStart"/>
      <w:r w:rsidR="00E0213F">
        <w:rPr>
          <w:color w:val="000000" w:themeColor="text1"/>
        </w:rPr>
        <w:t>Calvinus</w:t>
      </w:r>
      <w:proofErr w:type="spellEnd"/>
      <w:r w:rsidR="00E0213F">
        <w:rPr>
          <w:color w:val="000000" w:themeColor="text1"/>
        </w:rPr>
        <w:t xml:space="preserve"> im Jahr 321 in Erinnerung rief</w:t>
      </w:r>
      <w:r w:rsidR="00890A94">
        <w:rPr>
          <w:color w:val="000000" w:themeColor="text1"/>
        </w:rPr>
        <w:t xml:space="preserve"> und so zu einer </w:t>
      </w:r>
      <w:proofErr w:type="spellStart"/>
      <w:r w:rsidR="00890A94">
        <w:rPr>
          <w:color w:val="000000" w:themeColor="text1"/>
        </w:rPr>
        <w:t>popularen</w:t>
      </w:r>
      <w:proofErr w:type="spellEnd"/>
      <w:r w:rsidR="00890A94">
        <w:rPr>
          <w:color w:val="000000" w:themeColor="text1"/>
        </w:rPr>
        <w:t xml:space="preserve"> Imagebildung der </w:t>
      </w:r>
      <w:proofErr w:type="spellStart"/>
      <w:r w:rsidR="00890A94">
        <w:rPr>
          <w:color w:val="000000" w:themeColor="text1"/>
        </w:rPr>
        <w:t>Veturii</w:t>
      </w:r>
      <w:proofErr w:type="spellEnd"/>
      <w:r w:rsidR="00890A94">
        <w:rPr>
          <w:color w:val="000000" w:themeColor="text1"/>
        </w:rPr>
        <w:t xml:space="preserve"> beitragen sollte</w:t>
      </w:r>
      <w:r w:rsidR="00E0213F">
        <w:rPr>
          <w:color w:val="000000" w:themeColor="text1"/>
        </w:rPr>
        <w:t>.</w:t>
      </w:r>
      <w:r w:rsidR="00E0213F">
        <w:rPr>
          <w:rStyle w:val="Funotenzeichen"/>
          <w:color w:val="000000" w:themeColor="text1"/>
        </w:rPr>
        <w:footnoteReference w:id="43"/>
      </w:r>
      <w:r w:rsidR="00E0213F">
        <w:rPr>
          <w:color w:val="000000" w:themeColor="text1"/>
        </w:rPr>
        <w:t xml:space="preserve"> </w:t>
      </w:r>
      <w:r w:rsidR="00890A94">
        <w:rPr>
          <w:color w:val="000000" w:themeColor="text1"/>
        </w:rPr>
        <w:t xml:space="preserve">Sowohl </w:t>
      </w:r>
      <w:proofErr w:type="spellStart"/>
      <w:r w:rsidR="00E0213F">
        <w:rPr>
          <w:color w:val="000000" w:themeColor="text1"/>
        </w:rPr>
        <w:t>Mancinus</w:t>
      </w:r>
      <w:proofErr w:type="spellEnd"/>
      <w:r w:rsidR="00E0213F">
        <w:rPr>
          <w:color w:val="000000" w:themeColor="text1"/>
        </w:rPr>
        <w:t xml:space="preserve"> </w:t>
      </w:r>
      <w:r w:rsidR="00890A94">
        <w:rPr>
          <w:color w:val="000000" w:themeColor="text1"/>
        </w:rPr>
        <w:t>als auch</w:t>
      </w:r>
      <w:r w:rsidR="00E0213F">
        <w:rPr>
          <w:color w:val="000000" w:themeColor="text1"/>
        </w:rPr>
        <w:t xml:space="preserve"> </w:t>
      </w:r>
      <w:proofErr w:type="spellStart"/>
      <w:r w:rsidR="00E0213F">
        <w:rPr>
          <w:color w:val="000000" w:themeColor="text1"/>
        </w:rPr>
        <w:t>Veturius</w:t>
      </w:r>
      <w:proofErr w:type="spellEnd"/>
      <w:r w:rsidR="00E0213F">
        <w:rPr>
          <w:color w:val="000000" w:themeColor="text1"/>
        </w:rPr>
        <w:t xml:space="preserve"> bedienten </w:t>
      </w:r>
      <w:r w:rsidR="00890A94">
        <w:rPr>
          <w:color w:val="000000" w:themeColor="text1"/>
        </w:rPr>
        <w:t>also</w:t>
      </w:r>
      <w:r w:rsidR="00E0213F">
        <w:rPr>
          <w:color w:val="000000" w:themeColor="text1"/>
        </w:rPr>
        <w:t xml:space="preserve"> einen </w:t>
      </w:r>
      <w:r w:rsidR="00890A94">
        <w:rPr>
          <w:color w:val="000000" w:themeColor="text1"/>
        </w:rPr>
        <w:t xml:space="preserve">zentralen </w:t>
      </w:r>
      <w:proofErr w:type="spellStart"/>
      <w:r w:rsidR="00E0213F">
        <w:rPr>
          <w:color w:val="000000" w:themeColor="text1"/>
        </w:rPr>
        <w:t>popularen</w:t>
      </w:r>
      <w:proofErr w:type="spellEnd"/>
      <w:r w:rsidR="00E0213F">
        <w:rPr>
          <w:color w:val="000000" w:themeColor="text1"/>
        </w:rPr>
        <w:t xml:space="preserve"> Diskurs</w:t>
      </w:r>
      <w:r w:rsidR="00890A94">
        <w:rPr>
          <w:color w:val="000000" w:themeColor="text1"/>
        </w:rPr>
        <w:t xml:space="preserve"> ihrer Zeit</w:t>
      </w:r>
      <w:r w:rsidR="00E0213F">
        <w:rPr>
          <w:color w:val="000000" w:themeColor="text1"/>
        </w:rPr>
        <w:t xml:space="preserve">, und RRC 234/1 war </w:t>
      </w:r>
      <w:r w:rsidR="00F529B2">
        <w:rPr>
          <w:color w:val="000000" w:themeColor="text1"/>
        </w:rPr>
        <w:t xml:space="preserve">in diesem Sinne </w:t>
      </w:r>
      <w:r w:rsidR="00E0213F">
        <w:rPr>
          <w:color w:val="000000" w:themeColor="text1"/>
        </w:rPr>
        <w:t xml:space="preserve">daher </w:t>
      </w:r>
      <w:r w:rsidR="00890A94">
        <w:rPr>
          <w:color w:val="000000" w:themeColor="text1"/>
        </w:rPr>
        <w:t>vielleicht</w:t>
      </w:r>
      <w:r w:rsidR="00E0213F">
        <w:rPr>
          <w:color w:val="000000" w:themeColor="text1"/>
        </w:rPr>
        <w:t xml:space="preserve"> weniger eine </w:t>
      </w:r>
      <w:proofErr w:type="spellStart"/>
      <w:r w:rsidR="00E0213F" w:rsidRPr="00E0213F">
        <w:rPr>
          <w:i/>
          <w:color w:val="000000" w:themeColor="text1"/>
        </w:rPr>
        <w:t>fides</w:t>
      </w:r>
      <w:proofErr w:type="spellEnd"/>
      <w:r w:rsidR="00E0213F" w:rsidRPr="00E0213F">
        <w:rPr>
          <w:i/>
          <w:color w:val="000000" w:themeColor="text1"/>
        </w:rPr>
        <w:t>-Romana-</w:t>
      </w:r>
      <w:r w:rsidR="00E0213F">
        <w:rPr>
          <w:color w:val="000000" w:themeColor="text1"/>
        </w:rPr>
        <w:t xml:space="preserve"> als vielmehr eine </w:t>
      </w:r>
      <w:proofErr w:type="spellStart"/>
      <w:r w:rsidR="00E0213F" w:rsidRPr="00E0213F">
        <w:rPr>
          <w:i/>
          <w:color w:val="000000" w:themeColor="text1"/>
        </w:rPr>
        <w:t>salus</w:t>
      </w:r>
      <w:proofErr w:type="spellEnd"/>
      <w:r w:rsidR="00E0213F" w:rsidRPr="00E0213F">
        <w:rPr>
          <w:i/>
          <w:color w:val="000000" w:themeColor="text1"/>
        </w:rPr>
        <w:t>-</w:t>
      </w:r>
      <w:proofErr w:type="spellStart"/>
      <w:r w:rsidR="00E0213F" w:rsidRPr="00E0213F">
        <w:rPr>
          <w:i/>
          <w:color w:val="000000" w:themeColor="text1"/>
        </w:rPr>
        <w:t>populus</w:t>
      </w:r>
      <w:proofErr w:type="spellEnd"/>
      <w:r w:rsidR="00E0213F" w:rsidRPr="00E0213F">
        <w:rPr>
          <w:i/>
          <w:color w:val="000000" w:themeColor="text1"/>
        </w:rPr>
        <w:t>-</w:t>
      </w:r>
      <w:r w:rsidR="00E0213F">
        <w:rPr>
          <w:color w:val="000000" w:themeColor="text1"/>
        </w:rPr>
        <w:t xml:space="preserve">Prägung. </w:t>
      </w:r>
    </w:p>
    <w:p w14:paraId="2037B0D0" w14:textId="00BBC835" w:rsidR="00505594" w:rsidRPr="00901CC1" w:rsidRDefault="00505594" w:rsidP="00901CC1">
      <w:pPr>
        <w:spacing w:after="120" w:line="300" w:lineRule="auto"/>
      </w:pPr>
    </w:p>
    <w:p w14:paraId="3EFC57D2" w14:textId="45C1E3E4" w:rsidR="007B211E" w:rsidRPr="00503BFC" w:rsidRDefault="007B211E" w:rsidP="00901CC1">
      <w:pPr>
        <w:spacing w:after="120" w:line="300" w:lineRule="auto"/>
        <w:rPr>
          <w:b/>
          <w:color w:val="000000" w:themeColor="text1"/>
          <w:lang w:val="en-US"/>
        </w:rPr>
      </w:pPr>
      <w:proofErr w:type="spellStart"/>
      <w:r w:rsidRPr="00503BFC">
        <w:rPr>
          <w:b/>
          <w:color w:val="000000" w:themeColor="text1"/>
          <w:lang w:val="en-US"/>
        </w:rPr>
        <w:t>Literatur</w:t>
      </w:r>
      <w:proofErr w:type="spellEnd"/>
    </w:p>
    <w:p w14:paraId="528F5C3B" w14:textId="3CCF5F4D" w:rsidR="0034386F" w:rsidRPr="00503BFC" w:rsidRDefault="001736AA" w:rsidP="00901CC1">
      <w:pPr>
        <w:spacing w:after="120" w:line="300" w:lineRule="auto"/>
        <w:jc w:val="both"/>
        <w:rPr>
          <w:color w:val="000000" w:themeColor="text1"/>
          <w:lang w:val="en-US"/>
        </w:rPr>
      </w:pPr>
      <w:proofErr w:type="spellStart"/>
      <w:r w:rsidRPr="00503BFC">
        <w:rPr>
          <w:b/>
          <w:color w:val="000000" w:themeColor="text1"/>
          <w:lang w:val="en-US"/>
        </w:rPr>
        <w:t>Alföld</w:t>
      </w:r>
      <w:r w:rsidR="005F1521" w:rsidRPr="00503BFC">
        <w:rPr>
          <w:b/>
          <w:color w:val="000000" w:themeColor="text1"/>
          <w:lang w:val="en-US"/>
        </w:rPr>
        <w:t>i</w:t>
      </w:r>
      <w:proofErr w:type="spellEnd"/>
      <w:r w:rsidRPr="00503BFC">
        <w:rPr>
          <w:b/>
          <w:color w:val="000000" w:themeColor="text1"/>
          <w:lang w:val="en-US"/>
        </w:rPr>
        <w:t xml:space="preserve"> 1956</w:t>
      </w:r>
      <w:r w:rsidRPr="00503BFC">
        <w:rPr>
          <w:color w:val="000000" w:themeColor="text1"/>
          <w:lang w:val="en-US"/>
        </w:rPr>
        <w:t xml:space="preserve"> </w:t>
      </w:r>
      <w:r w:rsidRPr="007976F7">
        <w:rPr>
          <w:color w:val="000000" w:themeColor="text1"/>
          <w:lang w:val="en-US"/>
        </w:rPr>
        <w:t>=</w:t>
      </w:r>
      <w:r w:rsidRPr="00503BFC">
        <w:rPr>
          <w:color w:val="000000" w:themeColor="text1"/>
          <w:lang w:val="en-US"/>
        </w:rPr>
        <w:t xml:space="preserve"> </w:t>
      </w:r>
      <w:proofErr w:type="spellStart"/>
      <w:r w:rsidR="0034386F" w:rsidRPr="00503BFC">
        <w:rPr>
          <w:color w:val="000000" w:themeColor="text1"/>
          <w:lang w:val="en-US"/>
        </w:rPr>
        <w:t>Alföld</w:t>
      </w:r>
      <w:r w:rsidR="005F1521" w:rsidRPr="00503BFC">
        <w:rPr>
          <w:color w:val="000000" w:themeColor="text1"/>
          <w:lang w:val="en-US"/>
        </w:rPr>
        <w:t>i</w:t>
      </w:r>
      <w:proofErr w:type="spellEnd"/>
      <w:r w:rsidR="0034386F" w:rsidRPr="00503BFC">
        <w:rPr>
          <w:color w:val="000000" w:themeColor="text1"/>
          <w:lang w:val="en-US"/>
        </w:rPr>
        <w:t>, A</w:t>
      </w:r>
      <w:r w:rsidR="006A480B" w:rsidRPr="00503BFC">
        <w:rPr>
          <w:color w:val="000000" w:themeColor="text1"/>
          <w:lang w:val="en-US"/>
        </w:rPr>
        <w:t>.</w:t>
      </w:r>
      <w:r w:rsidR="0034386F" w:rsidRPr="00503BFC">
        <w:rPr>
          <w:color w:val="000000" w:themeColor="text1"/>
          <w:lang w:val="en-US"/>
        </w:rPr>
        <w:t xml:space="preserve">, The Main Aspects of Political </w:t>
      </w:r>
      <w:proofErr w:type="spellStart"/>
      <w:r w:rsidR="0034386F" w:rsidRPr="00503BFC">
        <w:rPr>
          <w:color w:val="000000" w:themeColor="text1"/>
          <w:lang w:val="en-US"/>
        </w:rPr>
        <w:t>Progaganda</w:t>
      </w:r>
      <w:proofErr w:type="spellEnd"/>
      <w:r w:rsidR="0034386F" w:rsidRPr="00503BFC">
        <w:rPr>
          <w:color w:val="000000" w:themeColor="text1"/>
          <w:lang w:val="en-US"/>
        </w:rPr>
        <w:t xml:space="preserve"> on the Coinage of the Roman Republic, in: Carson</w:t>
      </w:r>
      <w:r w:rsidR="006A480B" w:rsidRPr="00503BFC">
        <w:rPr>
          <w:color w:val="000000" w:themeColor="text1"/>
          <w:lang w:val="en-US"/>
        </w:rPr>
        <w:t>, R. A. G.</w:t>
      </w:r>
      <w:r w:rsidR="0034386F" w:rsidRPr="00503BFC">
        <w:rPr>
          <w:color w:val="000000" w:themeColor="text1"/>
          <w:lang w:val="en-US"/>
        </w:rPr>
        <w:t xml:space="preserve"> / Sutherland</w:t>
      </w:r>
      <w:r w:rsidR="006A480B" w:rsidRPr="00503BFC">
        <w:rPr>
          <w:color w:val="000000" w:themeColor="text1"/>
          <w:lang w:val="en-US"/>
        </w:rPr>
        <w:t>, C. H. V.</w:t>
      </w:r>
      <w:r w:rsidR="0034386F" w:rsidRPr="00503BFC">
        <w:rPr>
          <w:color w:val="000000" w:themeColor="text1"/>
          <w:lang w:val="en-US"/>
        </w:rPr>
        <w:t xml:space="preserve"> (</w:t>
      </w:r>
      <w:proofErr w:type="spellStart"/>
      <w:r w:rsidR="0034386F" w:rsidRPr="00503BFC">
        <w:rPr>
          <w:color w:val="000000" w:themeColor="text1"/>
          <w:lang w:val="en-US"/>
        </w:rPr>
        <w:t>Hgg</w:t>
      </w:r>
      <w:proofErr w:type="spellEnd"/>
      <w:r w:rsidR="0034386F" w:rsidRPr="00503BFC">
        <w:rPr>
          <w:color w:val="000000" w:themeColor="text1"/>
          <w:lang w:val="en-US"/>
        </w:rPr>
        <w:t xml:space="preserve">.), Essays in Roman Coinage Presented to Harold Mattingly, London 1956, 63–95. </w:t>
      </w:r>
    </w:p>
    <w:p w14:paraId="7A87EDC7" w14:textId="50EDEF74" w:rsidR="005F1521" w:rsidRPr="00503BFC" w:rsidRDefault="005F1521" w:rsidP="00901CC1">
      <w:pPr>
        <w:spacing w:after="120" w:line="300" w:lineRule="auto"/>
        <w:jc w:val="both"/>
        <w:rPr>
          <w:color w:val="000000" w:themeColor="text1"/>
          <w:lang w:val="en-US"/>
        </w:rPr>
      </w:pPr>
      <w:proofErr w:type="spellStart"/>
      <w:r w:rsidRPr="00503BFC">
        <w:rPr>
          <w:b/>
          <w:color w:val="000000" w:themeColor="text1"/>
          <w:lang w:val="en-US"/>
        </w:rPr>
        <w:t>Alföldi</w:t>
      </w:r>
      <w:proofErr w:type="spellEnd"/>
      <w:r w:rsidRPr="00503BFC">
        <w:rPr>
          <w:b/>
          <w:color w:val="000000" w:themeColor="text1"/>
          <w:lang w:val="en-US"/>
        </w:rPr>
        <w:t xml:space="preserve"> 1959</w:t>
      </w:r>
      <w:r w:rsidRPr="00503BFC">
        <w:rPr>
          <w:color w:val="000000" w:themeColor="text1"/>
          <w:lang w:val="en-US"/>
        </w:rPr>
        <w:t xml:space="preserve"> = </w:t>
      </w:r>
      <w:proofErr w:type="spellStart"/>
      <w:r w:rsidRPr="00503BFC">
        <w:rPr>
          <w:color w:val="000000" w:themeColor="text1"/>
          <w:lang w:val="en-US"/>
        </w:rPr>
        <w:t>Alföldi</w:t>
      </w:r>
      <w:proofErr w:type="spellEnd"/>
      <w:r w:rsidRPr="00503BFC">
        <w:rPr>
          <w:color w:val="000000" w:themeColor="text1"/>
          <w:lang w:val="en-US"/>
        </w:rPr>
        <w:t xml:space="preserve">, A., Hasta – Summa </w:t>
      </w:r>
      <w:proofErr w:type="spellStart"/>
      <w:r w:rsidRPr="00503BFC">
        <w:rPr>
          <w:color w:val="000000" w:themeColor="text1"/>
          <w:lang w:val="en-US"/>
        </w:rPr>
        <w:t>imperii</w:t>
      </w:r>
      <w:proofErr w:type="spellEnd"/>
      <w:r w:rsidRPr="00503BFC">
        <w:rPr>
          <w:color w:val="000000" w:themeColor="text1"/>
          <w:lang w:val="en-US"/>
        </w:rPr>
        <w:t xml:space="preserve">. The Spear as Embodiment of </w:t>
      </w:r>
      <w:proofErr w:type="spellStart"/>
      <w:r w:rsidRPr="00503BFC">
        <w:rPr>
          <w:color w:val="000000" w:themeColor="text1"/>
          <w:lang w:val="en-US"/>
        </w:rPr>
        <w:t>Sovereignity</w:t>
      </w:r>
      <w:proofErr w:type="spellEnd"/>
      <w:r w:rsidRPr="00503BFC">
        <w:rPr>
          <w:color w:val="000000" w:themeColor="text1"/>
          <w:lang w:val="en-US"/>
        </w:rPr>
        <w:t xml:space="preserve"> in Rome, in: AJA 63 (1959), 1–27. </w:t>
      </w:r>
    </w:p>
    <w:p w14:paraId="5F97700D" w14:textId="7255468E" w:rsidR="007A2BB6" w:rsidRPr="007A2BB6" w:rsidRDefault="007A2BB6" w:rsidP="00901CC1">
      <w:pPr>
        <w:spacing w:after="120" w:line="300" w:lineRule="auto"/>
        <w:jc w:val="both"/>
        <w:rPr>
          <w:color w:val="000000" w:themeColor="text1"/>
          <w:lang w:val="fr-FR"/>
        </w:rPr>
      </w:pPr>
      <w:proofErr w:type="spellStart"/>
      <w:r>
        <w:rPr>
          <w:b/>
          <w:color w:val="000000" w:themeColor="text1"/>
          <w:lang w:val="fr-FR"/>
        </w:rPr>
        <w:t>Astin</w:t>
      </w:r>
      <w:proofErr w:type="spellEnd"/>
      <w:r>
        <w:rPr>
          <w:b/>
          <w:color w:val="000000" w:themeColor="text1"/>
          <w:lang w:val="fr-FR"/>
        </w:rPr>
        <w:t xml:space="preserve"> 1967</w:t>
      </w:r>
      <w:r w:rsidRPr="007A2BB6">
        <w:rPr>
          <w:color w:val="000000" w:themeColor="text1"/>
          <w:lang w:val="fr-FR"/>
        </w:rPr>
        <w:t xml:space="preserve"> = </w:t>
      </w:r>
      <w:proofErr w:type="spellStart"/>
      <w:r w:rsidRPr="007A2BB6">
        <w:rPr>
          <w:color w:val="000000" w:themeColor="text1"/>
          <w:lang w:val="fr-FR"/>
        </w:rPr>
        <w:t>Astin</w:t>
      </w:r>
      <w:proofErr w:type="spellEnd"/>
      <w:r w:rsidRPr="007A2BB6">
        <w:rPr>
          <w:color w:val="000000" w:themeColor="text1"/>
          <w:lang w:val="fr-FR"/>
        </w:rPr>
        <w:t xml:space="preserve">, A. E., Scipio </w:t>
      </w:r>
      <w:proofErr w:type="spellStart"/>
      <w:r w:rsidRPr="007A2BB6">
        <w:rPr>
          <w:color w:val="000000" w:themeColor="text1"/>
          <w:lang w:val="fr-FR"/>
        </w:rPr>
        <w:t>Aemilianus</w:t>
      </w:r>
      <w:proofErr w:type="spellEnd"/>
      <w:r w:rsidRPr="007A2BB6">
        <w:rPr>
          <w:color w:val="000000" w:themeColor="text1"/>
          <w:lang w:val="fr-FR"/>
        </w:rPr>
        <w:t>, Oxford 1967.</w:t>
      </w:r>
    </w:p>
    <w:p w14:paraId="39B2D2DA" w14:textId="61353110" w:rsidR="00172D95" w:rsidRPr="00503BFC" w:rsidRDefault="00554BD1" w:rsidP="00901CC1">
      <w:pPr>
        <w:spacing w:after="120" w:line="300" w:lineRule="auto"/>
        <w:jc w:val="both"/>
        <w:rPr>
          <w:color w:val="000000" w:themeColor="text1"/>
          <w:lang w:val="fr-FR"/>
        </w:rPr>
      </w:pPr>
      <w:proofErr w:type="spellStart"/>
      <w:r w:rsidRPr="00503BFC">
        <w:rPr>
          <w:b/>
          <w:color w:val="000000" w:themeColor="text1"/>
          <w:lang w:val="fr-FR"/>
        </w:rPr>
        <w:t>Babelon</w:t>
      </w:r>
      <w:proofErr w:type="spellEnd"/>
      <w:r w:rsidRPr="00503BFC">
        <w:rPr>
          <w:b/>
          <w:color w:val="000000" w:themeColor="text1"/>
          <w:lang w:val="fr-FR"/>
        </w:rPr>
        <w:t xml:space="preserve"> 1886</w:t>
      </w:r>
      <w:r w:rsidRPr="00503BFC">
        <w:rPr>
          <w:color w:val="000000" w:themeColor="text1"/>
          <w:lang w:val="fr-FR"/>
        </w:rPr>
        <w:t xml:space="preserve"> = </w:t>
      </w:r>
      <w:proofErr w:type="spellStart"/>
      <w:r w:rsidR="00172D95" w:rsidRPr="00503BFC">
        <w:rPr>
          <w:color w:val="000000" w:themeColor="text1"/>
          <w:lang w:val="fr-FR"/>
        </w:rPr>
        <w:t>Babelon</w:t>
      </w:r>
      <w:proofErr w:type="spellEnd"/>
      <w:r w:rsidR="00172D95" w:rsidRPr="00503BFC">
        <w:rPr>
          <w:color w:val="000000" w:themeColor="text1"/>
          <w:lang w:val="fr-FR"/>
        </w:rPr>
        <w:t>, E</w:t>
      </w:r>
      <w:r w:rsidR="006A480B" w:rsidRPr="00503BFC">
        <w:rPr>
          <w:color w:val="000000" w:themeColor="text1"/>
          <w:lang w:val="fr-FR"/>
        </w:rPr>
        <w:t>.</w:t>
      </w:r>
      <w:r w:rsidR="00172D95" w:rsidRPr="00503BFC">
        <w:rPr>
          <w:color w:val="000000" w:themeColor="text1"/>
          <w:lang w:val="fr-FR"/>
        </w:rPr>
        <w:t>, Descrip</w:t>
      </w:r>
      <w:r w:rsidR="00A87061">
        <w:rPr>
          <w:color w:val="000000" w:themeColor="text1"/>
          <w:lang w:val="fr-FR"/>
        </w:rPr>
        <w:t>t</w:t>
      </w:r>
      <w:r w:rsidR="00172D95" w:rsidRPr="00503BFC">
        <w:rPr>
          <w:color w:val="000000" w:themeColor="text1"/>
          <w:lang w:val="fr-FR"/>
        </w:rPr>
        <w:t xml:space="preserve">ion </w:t>
      </w:r>
      <w:r w:rsidR="00A87061">
        <w:rPr>
          <w:color w:val="000000" w:themeColor="text1"/>
          <w:lang w:val="fr-FR"/>
        </w:rPr>
        <w:t>h</w:t>
      </w:r>
      <w:r w:rsidR="00172D95" w:rsidRPr="00503BFC">
        <w:rPr>
          <w:color w:val="000000" w:themeColor="text1"/>
          <w:lang w:val="fr-FR"/>
        </w:rPr>
        <w:t>istorique et chronologique des monnaies de la République Romaine, Bd. 2, Paris 1886.</w:t>
      </w:r>
    </w:p>
    <w:p w14:paraId="2577BB3F" w14:textId="134DA6D2" w:rsidR="00AD591E" w:rsidRPr="00503BFC" w:rsidRDefault="00AD591E" w:rsidP="00901CC1">
      <w:pPr>
        <w:spacing w:after="120" w:line="300" w:lineRule="auto"/>
        <w:jc w:val="both"/>
        <w:rPr>
          <w:color w:val="000000" w:themeColor="text1"/>
        </w:rPr>
      </w:pPr>
      <w:r w:rsidRPr="00503BFC">
        <w:rPr>
          <w:b/>
          <w:color w:val="000000" w:themeColor="text1"/>
        </w:rPr>
        <w:t>Beck/Walter 2004</w:t>
      </w:r>
      <w:r w:rsidRPr="00503BFC">
        <w:rPr>
          <w:color w:val="000000" w:themeColor="text1"/>
        </w:rPr>
        <w:t xml:space="preserve"> = Beck, H. / Walter, U., Die Frühen Römischen Historiker. Bd. 2: Von </w:t>
      </w:r>
      <w:proofErr w:type="spellStart"/>
      <w:r w:rsidRPr="00503BFC">
        <w:rPr>
          <w:color w:val="000000" w:themeColor="text1"/>
        </w:rPr>
        <w:t>Coelius</w:t>
      </w:r>
      <w:proofErr w:type="spellEnd"/>
      <w:r w:rsidRPr="00503BFC">
        <w:rPr>
          <w:color w:val="000000" w:themeColor="text1"/>
        </w:rPr>
        <w:t xml:space="preserve"> Antipater bis </w:t>
      </w:r>
      <w:proofErr w:type="spellStart"/>
      <w:r w:rsidRPr="00503BFC">
        <w:rPr>
          <w:color w:val="000000" w:themeColor="text1"/>
        </w:rPr>
        <w:t>Pomponius</w:t>
      </w:r>
      <w:proofErr w:type="spellEnd"/>
      <w:r w:rsidRPr="00503BFC">
        <w:rPr>
          <w:color w:val="000000" w:themeColor="text1"/>
        </w:rPr>
        <w:t xml:space="preserve"> Atticus (Texte zur Forschung 77), Darmstadt 2004.</w:t>
      </w:r>
    </w:p>
    <w:p w14:paraId="52BC2CEF" w14:textId="186CEAC8" w:rsidR="00D52788" w:rsidRPr="00503BFC" w:rsidRDefault="00DD1DF5" w:rsidP="00901CC1">
      <w:pPr>
        <w:spacing w:after="120" w:line="300" w:lineRule="auto"/>
        <w:jc w:val="both"/>
        <w:rPr>
          <w:color w:val="000000" w:themeColor="text1"/>
        </w:rPr>
      </w:pPr>
      <w:proofErr w:type="spellStart"/>
      <w:r w:rsidRPr="00503BFC">
        <w:rPr>
          <w:b/>
          <w:color w:val="000000" w:themeColor="text1"/>
        </w:rPr>
        <w:t>Bleicken</w:t>
      </w:r>
      <w:proofErr w:type="spellEnd"/>
      <w:r w:rsidRPr="00503BFC">
        <w:rPr>
          <w:b/>
          <w:color w:val="000000" w:themeColor="text1"/>
        </w:rPr>
        <w:t xml:space="preserve"> 1963</w:t>
      </w:r>
      <w:r w:rsidRPr="00503BFC">
        <w:rPr>
          <w:color w:val="000000" w:themeColor="text1"/>
        </w:rPr>
        <w:t xml:space="preserve"> = </w:t>
      </w:r>
      <w:proofErr w:type="spellStart"/>
      <w:r w:rsidR="00D52788" w:rsidRPr="00503BFC">
        <w:rPr>
          <w:color w:val="000000" w:themeColor="text1"/>
        </w:rPr>
        <w:t>Bleicken</w:t>
      </w:r>
      <w:proofErr w:type="spellEnd"/>
      <w:r w:rsidR="00D52788" w:rsidRPr="00503BFC">
        <w:rPr>
          <w:color w:val="000000" w:themeColor="text1"/>
        </w:rPr>
        <w:t xml:space="preserve">, J., </w:t>
      </w:r>
      <w:proofErr w:type="spellStart"/>
      <w:r w:rsidR="00D52788" w:rsidRPr="00503BFC">
        <w:rPr>
          <w:color w:val="000000" w:themeColor="text1"/>
        </w:rPr>
        <w:t>Coniuratio</w:t>
      </w:r>
      <w:proofErr w:type="spellEnd"/>
      <w:r w:rsidR="00D52788" w:rsidRPr="00503BFC">
        <w:rPr>
          <w:color w:val="000000" w:themeColor="text1"/>
        </w:rPr>
        <w:t>. Die Schwurszene auf den Münzen und Gemmen der römischen Republik, in: Jahrbuch für Numismatik und Geldgeschichte 13 (1963), 51–70.</w:t>
      </w:r>
    </w:p>
    <w:p w14:paraId="2636EC26" w14:textId="3ABF3C84" w:rsidR="0075734F" w:rsidRPr="001C3332" w:rsidRDefault="0075734F" w:rsidP="00901CC1">
      <w:pPr>
        <w:spacing w:after="120" w:line="300" w:lineRule="auto"/>
        <w:jc w:val="both"/>
        <w:rPr>
          <w:color w:val="000000" w:themeColor="text1"/>
          <w:lang w:val="en-US"/>
        </w:rPr>
      </w:pPr>
      <w:r w:rsidRPr="001C3332">
        <w:rPr>
          <w:b/>
          <w:color w:val="000000" w:themeColor="text1"/>
          <w:lang w:val="en-US"/>
        </w:rPr>
        <w:t>Brennan</w:t>
      </w:r>
      <w:r w:rsidR="00DA3AEB" w:rsidRPr="001C3332">
        <w:rPr>
          <w:b/>
          <w:color w:val="000000" w:themeColor="text1"/>
          <w:lang w:val="en-US"/>
        </w:rPr>
        <w:t xml:space="preserve"> 1989</w:t>
      </w:r>
      <w:r w:rsidR="00DA3AEB" w:rsidRPr="001C3332">
        <w:rPr>
          <w:color w:val="000000" w:themeColor="text1"/>
          <w:lang w:val="en-US"/>
        </w:rPr>
        <w:t xml:space="preserve"> = Brennan, T. C., C. Aurelius Cotta, Praetor </w:t>
      </w:r>
      <w:proofErr w:type="spellStart"/>
      <w:r w:rsidR="00DA3AEB" w:rsidRPr="001C3332">
        <w:rPr>
          <w:color w:val="000000" w:themeColor="text1"/>
          <w:lang w:val="en-US"/>
        </w:rPr>
        <w:t>iterum</w:t>
      </w:r>
      <w:proofErr w:type="spellEnd"/>
      <w:r w:rsidR="00DA3AEB" w:rsidRPr="001C3332">
        <w:rPr>
          <w:color w:val="000000" w:themeColor="text1"/>
          <w:lang w:val="en-US"/>
        </w:rPr>
        <w:t xml:space="preserve"> (</w:t>
      </w:r>
      <w:r w:rsidR="00DA3AEB" w:rsidRPr="001C3332">
        <w:rPr>
          <w:i/>
          <w:color w:val="000000" w:themeColor="text1"/>
          <w:lang w:val="en-US"/>
        </w:rPr>
        <w:t>CIL</w:t>
      </w:r>
      <w:r w:rsidR="00DA3AEB" w:rsidRPr="001C3332">
        <w:rPr>
          <w:color w:val="000000" w:themeColor="text1"/>
          <w:lang w:val="en-US"/>
        </w:rPr>
        <w:t xml:space="preserve"> I</w:t>
      </w:r>
      <w:r w:rsidR="00DA3AEB" w:rsidRPr="001C3332">
        <w:rPr>
          <w:color w:val="000000" w:themeColor="text1"/>
          <w:vertAlign w:val="superscript"/>
          <w:lang w:val="en-US"/>
        </w:rPr>
        <w:t>2</w:t>
      </w:r>
      <w:r w:rsidR="00DA3AEB" w:rsidRPr="001C3332">
        <w:rPr>
          <w:color w:val="000000" w:themeColor="text1"/>
          <w:lang w:val="en-US"/>
        </w:rPr>
        <w:t xml:space="preserve"> 610), in: Athenaeum 67 (1989), 467–487. </w:t>
      </w:r>
    </w:p>
    <w:p w14:paraId="3117544E" w14:textId="63F76DAA" w:rsidR="00F14BB2" w:rsidRPr="00503BFC" w:rsidRDefault="00863A43" w:rsidP="00901CC1">
      <w:pPr>
        <w:spacing w:after="120" w:line="300" w:lineRule="auto"/>
        <w:jc w:val="both"/>
        <w:rPr>
          <w:color w:val="000000" w:themeColor="text1"/>
          <w:lang w:val="fr-FR"/>
        </w:rPr>
      </w:pPr>
      <w:r w:rsidRPr="00503BFC">
        <w:rPr>
          <w:b/>
          <w:color w:val="000000" w:themeColor="text1"/>
          <w:lang w:val="fr-FR"/>
        </w:rPr>
        <w:t>Campana 1987</w:t>
      </w:r>
      <w:r w:rsidRPr="00503BFC">
        <w:rPr>
          <w:color w:val="000000" w:themeColor="text1"/>
          <w:lang w:val="fr-FR"/>
        </w:rPr>
        <w:t xml:space="preserve"> = </w:t>
      </w:r>
      <w:r w:rsidR="00F14BB2" w:rsidRPr="00503BFC">
        <w:rPr>
          <w:color w:val="000000" w:themeColor="text1"/>
          <w:lang w:val="fr-FR"/>
        </w:rPr>
        <w:t xml:space="preserve">Campana, A., La </w:t>
      </w:r>
      <w:proofErr w:type="spellStart"/>
      <w:r w:rsidR="00F14BB2" w:rsidRPr="00503BFC">
        <w:rPr>
          <w:color w:val="000000" w:themeColor="text1"/>
          <w:lang w:val="fr-FR"/>
        </w:rPr>
        <w:t>monetazione</w:t>
      </w:r>
      <w:proofErr w:type="spellEnd"/>
      <w:r w:rsidR="00F14BB2" w:rsidRPr="00503BFC">
        <w:rPr>
          <w:color w:val="000000" w:themeColor="text1"/>
          <w:lang w:val="fr-FR"/>
        </w:rPr>
        <w:t xml:space="preserve"> </w:t>
      </w:r>
      <w:proofErr w:type="spellStart"/>
      <w:r w:rsidR="00F14BB2" w:rsidRPr="00503BFC">
        <w:rPr>
          <w:color w:val="000000" w:themeColor="text1"/>
          <w:lang w:val="fr-FR"/>
        </w:rPr>
        <w:t>degli</w:t>
      </w:r>
      <w:proofErr w:type="spellEnd"/>
      <w:r w:rsidR="00F14BB2" w:rsidRPr="00503BFC">
        <w:rPr>
          <w:color w:val="000000" w:themeColor="text1"/>
          <w:lang w:val="fr-FR"/>
        </w:rPr>
        <w:t xml:space="preserve"> </w:t>
      </w:r>
      <w:proofErr w:type="spellStart"/>
      <w:r w:rsidR="00F14BB2" w:rsidRPr="00503BFC">
        <w:rPr>
          <w:color w:val="000000" w:themeColor="text1"/>
          <w:lang w:val="fr-FR"/>
        </w:rPr>
        <w:t>insorti</w:t>
      </w:r>
      <w:proofErr w:type="spellEnd"/>
      <w:r w:rsidR="00F14BB2" w:rsidRPr="00503BFC">
        <w:rPr>
          <w:color w:val="000000" w:themeColor="text1"/>
          <w:lang w:val="fr-FR"/>
        </w:rPr>
        <w:t xml:space="preserve"> </w:t>
      </w:r>
      <w:proofErr w:type="spellStart"/>
      <w:r w:rsidR="00F14BB2" w:rsidRPr="00503BFC">
        <w:rPr>
          <w:color w:val="000000" w:themeColor="text1"/>
          <w:lang w:val="fr-FR"/>
        </w:rPr>
        <w:t>Italici</w:t>
      </w:r>
      <w:proofErr w:type="spellEnd"/>
      <w:r w:rsidR="00F14BB2" w:rsidRPr="00503BFC">
        <w:rPr>
          <w:color w:val="000000" w:themeColor="text1"/>
          <w:lang w:val="fr-FR"/>
        </w:rPr>
        <w:t xml:space="preserve"> </w:t>
      </w:r>
      <w:proofErr w:type="spellStart"/>
      <w:r w:rsidR="00F14BB2" w:rsidRPr="00503BFC">
        <w:rPr>
          <w:color w:val="000000" w:themeColor="text1"/>
          <w:lang w:val="fr-FR"/>
        </w:rPr>
        <w:t>durante</w:t>
      </w:r>
      <w:proofErr w:type="spellEnd"/>
      <w:r w:rsidR="00F14BB2" w:rsidRPr="00503BFC">
        <w:rPr>
          <w:color w:val="000000" w:themeColor="text1"/>
          <w:lang w:val="fr-FR"/>
        </w:rPr>
        <w:t xml:space="preserve"> la Guerra Sociale (91-87 a. C.), </w:t>
      </w:r>
      <w:proofErr w:type="spellStart"/>
      <w:r w:rsidR="00F14BB2" w:rsidRPr="00503BFC">
        <w:rPr>
          <w:color w:val="000000" w:themeColor="text1"/>
          <w:lang w:val="fr-FR"/>
        </w:rPr>
        <w:t>Soliera</w:t>
      </w:r>
      <w:proofErr w:type="spellEnd"/>
      <w:r w:rsidR="00F14BB2" w:rsidRPr="00503BFC">
        <w:rPr>
          <w:color w:val="000000" w:themeColor="text1"/>
          <w:lang w:val="fr-FR"/>
        </w:rPr>
        <w:t xml:space="preserve"> 1987.</w:t>
      </w:r>
    </w:p>
    <w:p w14:paraId="67914FA9" w14:textId="65713955" w:rsidR="00483715" w:rsidRPr="00503BFC" w:rsidRDefault="00850752" w:rsidP="00901CC1">
      <w:pPr>
        <w:spacing w:after="120" w:line="300" w:lineRule="auto"/>
        <w:jc w:val="both"/>
        <w:rPr>
          <w:color w:val="000000" w:themeColor="text1"/>
          <w:lang w:val="en-US"/>
        </w:rPr>
      </w:pPr>
      <w:r w:rsidRPr="00503BFC">
        <w:rPr>
          <w:b/>
          <w:color w:val="000000" w:themeColor="text1"/>
          <w:lang w:val="en-US"/>
        </w:rPr>
        <w:lastRenderedPageBreak/>
        <w:t>Crawford 1973</w:t>
      </w:r>
      <w:r w:rsidRPr="00503BFC">
        <w:rPr>
          <w:color w:val="000000" w:themeColor="text1"/>
          <w:lang w:val="en-US"/>
        </w:rPr>
        <w:t xml:space="preserve"> = </w:t>
      </w:r>
      <w:r w:rsidR="00483715" w:rsidRPr="00503BFC">
        <w:rPr>
          <w:color w:val="000000" w:themeColor="text1"/>
          <w:lang w:val="en-US"/>
        </w:rPr>
        <w:t>Crawford, M</w:t>
      </w:r>
      <w:r w:rsidR="006A480B" w:rsidRPr="00503BFC">
        <w:rPr>
          <w:color w:val="000000" w:themeColor="text1"/>
          <w:lang w:val="en-US"/>
        </w:rPr>
        <w:t>. </w:t>
      </w:r>
      <w:r w:rsidR="00483715" w:rsidRPr="00503BFC">
        <w:rPr>
          <w:color w:val="000000" w:themeColor="text1"/>
          <w:lang w:val="en-US"/>
        </w:rPr>
        <w:t xml:space="preserve">H., </w:t>
      </w:r>
      <w:proofErr w:type="spellStart"/>
      <w:r w:rsidR="00483715" w:rsidRPr="00503BFC">
        <w:rPr>
          <w:color w:val="000000" w:themeColor="text1"/>
          <w:lang w:val="en-US"/>
        </w:rPr>
        <w:t>Foedus</w:t>
      </w:r>
      <w:proofErr w:type="spellEnd"/>
      <w:r w:rsidR="00483715" w:rsidRPr="00503BFC">
        <w:rPr>
          <w:color w:val="000000" w:themeColor="text1"/>
          <w:lang w:val="en-US"/>
        </w:rPr>
        <w:t xml:space="preserve"> and </w:t>
      </w:r>
      <w:proofErr w:type="spellStart"/>
      <w:r w:rsidR="00483715" w:rsidRPr="00503BFC">
        <w:rPr>
          <w:color w:val="000000" w:themeColor="text1"/>
          <w:lang w:val="en-US"/>
        </w:rPr>
        <w:t>Sponsio</w:t>
      </w:r>
      <w:proofErr w:type="spellEnd"/>
      <w:r w:rsidR="00483715" w:rsidRPr="00503BFC">
        <w:rPr>
          <w:color w:val="000000" w:themeColor="text1"/>
          <w:lang w:val="en-US"/>
        </w:rPr>
        <w:t xml:space="preserve">, PBSR 41 (1973), 1–7. </w:t>
      </w:r>
    </w:p>
    <w:p w14:paraId="4B2AECD4" w14:textId="16C344FD" w:rsidR="0059430F" w:rsidRPr="00503BFC" w:rsidRDefault="00E15A50" w:rsidP="00901CC1">
      <w:pPr>
        <w:spacing w:after="120" w:line="300" w:lineRule="auto"/>
        <w:jc w:val="both"/>
        <w:rPr>
          <w:color w:val="000000" w:themeColor="text1"/>
          <w:lang w:val="en-US"/>
        </w:rPr>
      </w:pPr>
      <w:r w:rsidRPr="00503BFC">
        <w:rPr>
          <w:b/>
          <w:color w:val="000000" w:themeColor="text1"/>
          <w:lang w:val="en-US"/>
        </w:rPr>
        <w:t>Crawford 1974</w:t>
      </w:r>
      <w:r w:rsidRPr="00503BFC">
        <w:rPr>
          <w:color w:val="000000" w:themeColor="text1"/>
          <w:lang w:val="en-US"/>
        </w:rPr>
        <w:t xml:space="preserve"> = </w:t>
      </w:r>
      <w:r w:rsidR="0059430F" w:rsidRPr="00503BFC">
        <w:rPr>
          <w:color w:val="000000" w:themeColor="text1"/>
          <w:lang w:val="en-US"/>
        </w:rPr>
        <w:t>Crawford, M</w:t>
      </w:r>
      <w:r w:rsidR="006A480B" w:rsidRPr="00503BFC">
        <w:rPr>
          <w:color w:val="000000" w:themeColor="text1"/>
          <w:lang w:val="en-US"/>
        </w:rPr>
        <w:t>. </w:t>
      </w:r>
      <w:r w:rsidR="0059430F" w:rsidRPr="00503BFC">
        <w:rPr>
          <w:color w:val="000000" w:themeColor="text1"/>
          <w:lang w:val="en-US"/>
        </w:rPr>
        <w:t xml:space="preserve">H., Roman Republican Coinage, 2 </w:t>
      </w:r>
      <w:proofErr w:type="spellStart"/>
      <w:r w:rsidR="0059430F" w:rsidRPr="00503BFC">
        <w:rPr>
          <w:color w:val="000000" w:themeColor="text1"/>
          <w:lang w:val="en-US"/>
        </w:rPr>
        <w:t>Bde</w:t>
      </w:r>
      <w:proofErr w:type="spellEnd"/>
      <w:r w:rsidR="0059430F" w:rsidRPr="00503BFC">
        <w:rPr>
          <w:color w:val="000000" w:themeColor="text1"/>
          <w:lang w:val="en-US"/>
        </w:rPr>
        <w:t>., London 1974.</w:t>
      </w:r>
    </w:p>
    <w:p w14:paraId="714EECEA" w14:textId="4311A75E" w:rsidR="000D0C59" w:rsidRPr="00503BFC" w:rsidRDefault="00F11222" w:rsidP="00901CC1">
      <w:pPr>
        <w:spacing w:after="120" w:line="300" w:lineRule="auto"/>
        <w:jc w:val="both"/>
        <w:rPr>
          <w:color w:val="000000" w:themeColor="text1"/>
          <w:lang w:val="en-US"/>
        </w:rPr>
      </w:pPr>
      <w:r w:rsidRPr="00503BFC">
        <w:rPr>
          <w:b/>
          <w:color w:val="000000" w:themeColor="text1"/>
          <w:lang w:val="en-US"/>
        </w:rPr>
        <w:t xml:space="preserve">Flower 1996 </w:t>
      </w:r>
      <w:r w:rsidRPr="00503BFC">
        <w:rPr>
          <w:color w:val="000000" w:themeColor="text1"/>
          <w:lang w:val="en-US"/>
        </w:rPr>
        <w:t xml:space="preserve">= </w:t>
      </w:r>
      <w:r w:rsidR="000D0C59" w:rsidRPr="00503BFC">
        <w:rPr>
          <w:color w:val="000000" w:themeColor="text1"/>
          <w:lang w:val="en-US"/>
        </w:rPr>
        <w:t>Flower, H. I., Ancestor Masks and Aristocratic Power in Roman Culture, Oxford 1996.</w:t>
      </w:r>
    </w:p>
    <w:p w14:paraId="14357607" w14:textId="29183F34" w:rsidR="00172D95" w:rsidRPr="00503BFC" w:rsidRDefault="002251E0" w:rsidP="00901CC1">
      <w:pPr>
        <w:spacing w:after="120" w:line="300" w:lineRule="auto"/>
        <w:jc w:val="both"/>
        <w:rPr>
          <w:color w:val="000000" w:themeColor="text1"/>
          <w:lang w:val="en-US"/>
        </w:rPr>
      </w:pPr>
      <w:r w:rsidRPr="00503BFC">
        <w:rPr>
          <w:b/>
          <w:color w:val="000000" w:themeColor="text1"/>
        </w:rPr>
        <w:t>Geer 1939</w:t>
      </w:r>
      <w:r w:rsidRPr="00503BFC">
        <w:rPr>
          <w:color w:val="000000" w:themeColor="text1"/>
        </w:rPr>
        <w:t xml:space="preserve"> = </w:t>
      </w:r>
      <w:r w:rsidR="00172D95" w:rsidRPr="00503BFC">
        <w:rPr>
          <w:color w:val="000000" w:themeColor="text1"/>
        </w:rPr>
        <w:t>Geer, R</w:t>
      </w:r>
      <w:r w:rsidR="006A480B" w:rsidRPr="00503BFC">
        <w:rPr>
          <w:color w:val="000000" w:themeColor="text1"/>
        </w:rPr>
        <w:t>. </w:t>
      </w:r>
      <w:r w:rsidR="00172D95" w:rsidRPr="00503BFC">
        <w:rPr>
          <w:color w:val="000000" w:themeColor="text1"/>
        </w:rPr>
        <w:t xml:space="preserve">M., </w:t>
      </w:r>
      <w:proofErr w:type="spellStart"/>
      <w:r w:rsidR="00172D95" w:rsidRPr="00503BFC">
        <w:rPr>
          <w:color w:val="000000" w:themeColor="text1"/>
        </w:rPr>
        <w:t>Ti</w:t>
      </w:r>
      <w:proofErr w:type="spellEnd"/>
      <w:r w:rsidR="00172D95" w:rsidRPr="00503BFC">
        <w:rPr>
          <w:color w:val="000000" w:themeColor="text1"/>
        </w:rPr>
        <w:t xml:space="preserve">. </w:t>
      </w:r>
      <w:proofErr w:type="spellStart"/>
      <w:r w:rsidR="00172D95" w:rsidRPr="00503BFC">
        <w:rPr>
          <w:color w:val="000000" w:themeColor="text1"/>
          <w:lang w:val="en-US"/>
        </w:rPr>
        <w:t>Sempronius</w:t>
      </w:r>
      <w:proofErr w:type="spellEnd"/>
      <w:r w:rsidR="00172D95" w:rsidRPr="00503BFC">
        <w:rPr>
          <w:color w:val="000000" w:themeColor="text1"/>
          <w:lang w:val="en-US"/>
        </w:rPr>
        <w:t xml:space="preserve"> Gracchus and T. </w:t>
      </w:r>
      <w:proofErr w:type="spellStart"/>
      <w:r w:rsidR="00172D95" w:rsidRPr="00503BFC">
        <w:rPr>
          <w:color w:val="000000" w:themeColor="text1"/>
          <w:lang w:val="en-US"/>
        </w:rPr>
        <w:t>Veturius</w:t>
      </w:r>
      <w:proofErr w:type="spellEnd"/>
      <w:r w:rsidR="00172D95" w:rsidRPr="00503BFC">
        <w:rPr>
          <w:color w:val="000000" w:themeColor="text1"/>
          <w:lang w:val="en-US"/>
        </w:rPr>
        <w:t xml:space="preserve"> Gracchus </w:t>
      </w:r>
      <w:proofErr w:type="spellStart"/>
      <w:r w:rsidR="00172D95" w:rsidRPr="00503BFC">
        <w:rPr>
          <w:color w:val="000000" w:themeColor="text1"/>
          <w:lang w:val="en-US"/>
        </w:rPr>
        <w:t>Sempronianus</w:t>
      </w:r>
      <w:proofErr w:type="spellEnd"/>
      <w:r w:rsidR="00091AB5" w:rsidRPr="00503BFC">
        <w:rPr>
          <w:color w:val="000000" w:themeColor="text1"/>
          <w:lang w:val="en-US"/>
        </w:rPr>
        <w:t xml:space="preserve">, in: </w:t>
      </w:r>
      <w:proofErr w:type="spellStart"/>
      <w:r w:rsidR="00313A37" w:rsidRPr="00503BFC">
        <w:rPr>
          <w:color w:val="000000" w:themeColor="text1"/>
          <w:lang w:val="en-US"/>
        </w:rPr>
        <w:t>AJPh</w:t>
      </w:r>
      <w:proofErr w:type="spellEnd"/>
      <w:r w:rsidR="00091AB5" w:rsidRPr="00503BFC">
        <w:rPr>
          <w:color w:val="000000" w:themeColor="text1"/>
          <w:lang w:val="en-US"/>
        </w:rPr>
        <w:t xml:space="preserve"> </w:t>
      </w:r>
      <w:r w:rsidR="00313A37" w:rsidRPr="00503BFC">
        <w:rPr>
          <w:color w:val="000000" w:themeColor="text1"/>
          <w:lang w:val="en-US"/>
        </w:rPr>
        <w:t>60</w:t>
      </w:r>
      <w:r w:rsidR="00091AB5" w:rsidRPr="00503BFC">
        <w:rPr>
          <w:color w:val="000000" w:themeColor="text1"/>
          <w:lang w:val="en-US"/>
        </w:rPr>
        <w:t xml:space="preserve"> (</w:t>
      </w:r>
      <w:r w:rsidR="00313A37" w:rsidRPr="00503BFC">
        <w:rPr>
          <w:color w:val="000000" w:themeColor="text1"/>
          <w:lang w:val="en-US"/>
        </w:rPr>
        <w:t>1939</w:t>
      </w:r>
      <w:r w:rsidR="00091AB5" w:rsidRPr="00503BFC">
        <w:rPr>
          <w:color w:val="000000" w:themeColor="text1"/>
          <w:lang w:val="en-US"/>
        </w:rPr>
        <w:t xml:space="preserve">), </w:t>
      </w:r>
      <w:r w:rsidR="00313A37" w:rsidRPr="00503BFC">
        <w:rPr>
          <w:color w:val="000000" w:themeColor="text1"/>
          <w:lang w:val="en-US"/>
        </w:rPr>
        <w:t>466–467</w:t>
      </w:r>
      <w:r w:rsidR="00091AB5" w:rsidRPr="00503BFC">
        <w:rPr>
          <w:color w:val="000000" w:themeColor="text1"/>
          <w:lang w:val="en-US"/>
        </w:rPr>
        <w:t>.</w:t>
      </w:r>
    </w:p>
    <w:p w14:paraId="73726EA2" w14:textId="7A203AB5" w:rsidR="009953E8" w:rsidRPr="00503BFC" w:rsidRDefault="009953E8" w:rsidP="00901CC1">
      <w:pPr>
        <w:spacing w:after="120" w:line="300" w:lineRule="auto"/>
        <w:jc w:val="both"/>
        <w:rPr>
          <w:color w:val="000000" w:themeColor="text1"/>
          <w:lang w:val="en-US"/>
        </w:rPr>
      </w:pPr>
      <w:proofErr w:type="spellStart"/>
      <w:r w:rsidRPr="00503BFC">
        <w:rPr>
          <w:b/>
          <w:color w:val="000000" w:themeColor="text1"/>
          <w:lang w:val="en-US"/>
        </w:rPr>
        <w:t>Grueber</w:t>
      </w:r>
      <w:proofErr w:type="spellEnd"/>
      <w:r w:rsidRPr="00503BFC">
        <w:rPr>
          <w:b/>
          <w:color w:val="000000" w:themeColor="text1"/>
          <w:lang w:val="en-US"/>
        </w:rPr>
        <w:t xml:space="preserve"> 1910</w:t>
      </w:r>
      <w:r w:rsidRPr="00503BFC">
        <w:rPr>
          <w:color w:val="000000" w:themeColor="text1"/>
          <w:lang w:val="en-US"/>
        </w:rPr>
        <w:t xml:space="preserve"> = </w:t>
      </w:r>
      <w:proofErr w:type="spellStart"/>
      <w:r w:rsidRPr="00503BFC">
        <w:rPr>
          <w:color w:val="000000" w:themeColor="text1"/>
          <w:lang w:val="en-US"/>
        </w:rPr>
        <w:t>Grueber</w:t>
      </w:r>
      <w:proofErr w:type="spellEnd"/>
      <w:r w:rsidRPr="00503BFC">
        <w:rPr>
          <w:color w:val="000000" w:themeColor="text1"/>
          <w:lang w:val="en-US"/>
        </w:rPr>
        <w:t xml:space="preserve">, </w:t>
      </w:r>
      <w:r w:rsidR="00A419DF" w:rsidRPr="00503BFC">
        <w:rPr>
          <w:color w:val="000000" w:themeColor="text1"/>
          <w:lang w:val="en-US"/>
        </w:rPr>
        <w:t xml:space="preserve">H. A., </w:t>
      </w:r>
      <w:r w:rsidRPr="00503BFC">
        <w:rPr>
          <w:color w:val="000000" w:themeColor="text1"/>
          <w:lang w:val="en-US"/>
        </w:rPr>
        <w:t>Coins of the Roman Republic in the British Museum, Bd. 2</w:t>
      </w:r>
      <w:r w:rsidR="00A419DF" w:rsidRPr="00503BFC">
        <w:rPr>
          <w:color w:val="000000" w:themeColor="text1"/>
          <w:lang w:val="en-US"/>
        </w:rPr>
        <w:t>: Coinages of Rome (continued), Roman Campania, Italy, the Social War</w:t>
      </w:r>
      <w:r w:rsidRPr="00503BFC">
        <w:rPr>
          <w:color w:val="000000" w:themeColor="text1"/>
          <w:lang w:val="en-US"/>
        </w:rPr>
        <w:t>,</w:t>
      </w:r>
      <w:r w:rsidR="00A419DF" w:rsidRPr="00503BFC">
        <w:rPr>
          <w:color w:val="000000" w:themeColor="text1"/>
          <w:lang w:val="en-US"/>
        </w:rPr>
        <w:t xml:space="preserve"> and the Provinces,</w:t>
      </w:r>
      <w:r w:rsidRPr="00503BFC">
        <w:rPr>
          <w:color w:val="000000" w:themeColor="text1"/>
          <w:lang w:val="en-US"/>
        </w:rPr>
        <w:t xml:space="preserve"> London 1910.</w:t>
      </w:r>
    </w:p>
    <w:p w14:paraId="48BCB41F" w14:textId="124D93CB" w:rsidR="007E75C6" w:rsidRPr="001B79FF" w:rsidRDefault="00FE7801" w:rsidP="00901CC1">
      <w:pPr>
        <w:spacing w:after="120" w:line="300" w:lineRule="auto"/>
        <w:jc w:val="both"/>
        <w:rPr>
          <w:color w:val="000000" w:themeColor="text1"/>
        </w:rPr>
      </w:pPr>
      <w:r w:rsidRPr="001B79FF">
        <w:rPr>
          <w:b/>
          <w:color w:val="000000" w:themeColor="text1"/>
        </w:rPr>
        <w:t>Gundel 1958</w:t>
      </w:r>
      <w:r w:rsidRPr="001B79FF">
        <w:rPr>
          <w:color w:val="000000" w:themeColor="text1"/>
        </w:rPr>
        <w:t xml:space="preserve"> = </w:t>
      </w:r>
      <w:r w:rsidR="00313A37" w:rsidRPr="001B79FF">
        <w:rPr>
          <w:color w:val="000000" w:themeColor="text1"/>
        </w:rPr>
        <w:t>Gundel, H</w:t>
      </w:r>
      <w:r w:rsidR="006A480B" w:rsidRPr="001B79FF">
        <w:rPr>
          <w:color w:val="000000" w:themeColor="text1"/>
        </w:rPr>
        <w:t>. </w:t>
      </w:r>
      <w:r w:rsidR="00565E0B" w:rsidRPr="001B79FF">
        <w:rPr>
          <w:color w:val="000000" w:themeColor="text1"/>
        </w:rPr>
        <w:t>G.</w:t>
      </w:r>
      <w:r w:rsidR="007E75C6" w:rsidRPr="001B79FF">
        <w:rPr>
          <w:color w:val="000000" w:themeColor="text1"/>
        </w:rPr>
        <w:t xml:space="preserve">, s. v. </w:t>
      </w:r>
      <w:proofErr w:type="spellStart"/>
      <w:r w:rsidR="007E75C6" w:rsidRPr="001B79FF">
        <w:rPr>
          <w:color w:val="000000" w:themeColor="text1"/>
        </w:rPr>
        <w:t>Veturius</w:t>
      </w:r>
      <w:proofErr w:type="spellEnd"/>
      <w:r w:rsidR="007E75C6" w:rsidRPr="001B79FF">
        <w:rPr>
          <w:color w:val="000000" w:themeColor="text1"/>
        </w:rPr>
        <w:t xml:space="preserve"> (</w:t>
      </w:r>
      <w:r w:rsidR="00313A37" w:rsidRPr="001B79FF">
        <w:rPr>
          <w:color w:val="000000" w:themeColor="text1"/>
        </w:rPr>
        <w:t>6</w:t>
      </w:r>
      <w:r w:rsidR="007E75C6" w:rsidRPr="001B79FF">
        <w:rPr>
          <w:color w:val="000000" w:themeColor="text1"/>
        </w:rPr>
        <w:t xml:space="preserve">), in: RE </w:t>
      </w:r>
      <w:r w:rsidR="00313A37" w:rsidRPr="001B79FF">
        <w:rPr>
          <w:color w:val="000000" w:themeColor="text1"/>
        </w:rPr>
        <w:t>8</w:t>
      </w:r>
      <w:r w:rsidR="006A480B" w:rsidRPr="001B79FF">
        <w:rPr>
          <w:color w:val="000000" w:themeColor="text1"/>
        </w:rPr>
        <w:t xml:space="preserve"> </w:t>
      </w:r>
      <w:r w:rsidR="00313A37" w:rsidRPr="001B79FF">
        <w:rPr>
          <w:color w:val="000000" w:themeColor="text1"/>
        </w:rPr>
        <w:t>A2</w:t>
      </w:r>
      <w:r w:rsidR="007E75C6" w:rsidRPr="001B79FF">
        <w:rPr>
          <w:color w:val="000000" w:themeColor="text1"/>
        </w:rPr>
        <w:t xml:space="preserve"> (</w:t>
      </w:r>
      <w:r w:rsidR="00313A37" w:rsidRPr="001B79FF">
        <w:rPr>
          <w:color w:val="000000" w:themeColor="text1"/>
        </w:rPr>
        <w:t>1958</w:t>
      </w:r>
      <w:r w:rsidR="007E75C6" w:rsidRPr="001B79FF">
        <w:rPr>
          <w:color w:val="000000" w:themeColor="text1"/>
        </w:rPr>
        <w:t xml:space="preserve">), </w:t>
      </w:r>
      <w:r w:rsidR="00313A37" w:rsidRPr="001B79FF">
        <w:rPr>
          <w:color w:val="000000" w:themeColor="text1"/>
        </w:rPr>
        <w:t>1884–1885</w:t>
      </w:r>
      <w:r w:rsidR="007E75C6" w:rsidRPr="001B79FF">
        <w:rPr>
          <w:color w:val="000000" w:themeColor="text1"/>
        </w:rPr>
        <w:t xml:space="preserve">. </w:t>
      </w:r>
    </w:p>
    <w:p w14:paraId="7CB265E3" w14:textId="3C4B70AE" w:rsidR="00CF5913" w:rsidRPr="00503BFC" w:rsidRDefault="00CF5913" w:rsidP="00901CC1">
      <w:pPr>
        <w:spacing w:after="120" w:line="300" w:lineRule="auto"/>
        <w:jc w:val="both"/>
        <w:rPr>
          <w:b/>
          <w:color w:val="000000" w:themeColor="text1"/>
        </w:rPr>
      </w:pPr>
      <w:r w:rsidRPr="00503BFC">
        <w:rPr>
          <w:b/>
          <w:color w:val="000000" w:themeColor="text1"/>
        </w:rPr>
        <w:t>Harders 2017</w:t>
      </w:r>
      <w:r w:rsidRPr="00503BFC">
        <w:rPr>
          <w:color w:val="000000" w:themeColor="text1"/>
        </w:rPr>
        <w:t xml:space="preserve"> = Harders, A.-C., Familienbande(n). Die politische Bedeutung von Verwandtschaft in der römischen Republik, in: Haake, M. / Harders, A.-C. (Hgg.), Politische Kultur und soziale Struktur der Römischen Republik. Bilanzen und Perspektiven, Stuttgart 2017, 197–214.</w:t>
      </w:r>
    </w:p>
    <w:p w14:paraId="218EDF78" w14:textId="62FBB5BE" w:rsidR="005069B2" w:rsidRPr="001B79FF" w:rsidRDefault="005069B2" w:rsidP="00901CC1">
      <w:pPr>
        <w:spacing w:after="120" w:line="300" w:lineRule="auto"/>
        <w:jc w:val="both"/>
        <w:rPr>
          <w:color w:val="000000" w:themeColor="text1"/>
          <w:lang w:val="en-US"/>
        </w:rPr>
      </w:pPr>
      <w:r w:rsidRPr="00503BFC">
        <w:rPr>
          <w:b/>
          <w:color w:val="000000" w:themeColor="text1"/>
        </w:rPr>
        <w:t>Heil 2017</w:t>
      </w:r>
      <w:r w:rsidRPr="00503BFC">
        <w:rPr>
          <w:color w:val="000000" w:themeColor="text1"/>
        </w:rPr>
        <w:t xml:space="preserve"> = Heil, M., Friedrich Münzer und die </w:t>
      </w:r>
      <w:proofErr w:type="spellStart"/>
      <w:r w:rsidRPr="00503BFC">
        <w:rPr>
          <w:color w:val="000000" w:themeColor="text1"/>
        </w:rPr>
        <w:t>prosopographische</w:t>
      </w:r>
      <w:proofErr w:type="spellEnd"/>
      <w:r w:rsidRPr="00503BFC">
        <w:rPr>
          <w:color w:val="000000" w:themeColor="text1"/>
        </w:rPr>
        <w:t xml:space="preserve"> Methode. Rückblick und Ausblick, in: Haake, M. / Harders, A.-C. (Hgg.), Politische Kultur und soziale Struktur der Römischen Republik. </w:t>
      </w:r>
      <w:proofErr w:type="spellStart"/>
      <w:r w:rsidRPr="001B79FF">
        <w:rPr>
          <w:color w:val="000000" w:themeColor="text1"/>
          <w:lang w:val="en-US"/>
        </w:rPr>
        <w:t>Bilanzen</w:t>
      </w:r>
      <w:proofErr w:type="spellEnd"/>
      <w:r w:rsidRPr="001B79FF">
        <w:rPr>
          <w:color w:val="000000" w:themeColor="text1"/>
          <w:lang w:val="en-US"/>
        </w:rPr>
        <w:t xml:space="preserve"> und </w:t>
      </w:r>
      <w:proofErr w:type="spellStart"/>
      <w:r w:rsidRPr="001B79FF">
        <w:rPr>
          <w:color w:val="000000" w:themeColor="text1"/>
          <w:lang w:val="en-US"/>
        </w:rPr>
        <w:t>Perspektiven</w:t>
      </w:r>
      <w:proofErr w:type="spellEnd"/>
      <w:r w:rsidRPr="001B79FF">
        <w:rPr>
          <w:color w:val="000000" w:themeColor="text1"/>
          <w:lang w:val="en-US"/>
        </w:rPr>
        <w:t>, Stuttgart 2017, 91–110.</w:t>
      </w:r>
    </w:p>
    <w:p w14:paraId="351E9F3D" w14:textId="247E6FAC" w:rsidR="00E21BFD" w:rsidRPr="00503BFC" w:rsidRDefault="005B4230" w:rsidP="00901CC1">
      <w:pPr>
        <w:spacing w:after="120" w:line="300" w:lineRule="auto"/>
        <w:jc w:val="both"/>
        <w:rPr>
          <w:color w:val="000000" w:themeColor="text1"/>
          <w:lang w:val="en-US"/>
        </w:rPr>
      </w:pPr>
      <w:r w:rsidRPr="00503BFC">
        <w:rPr>
          <w:b/>
          <w:color w:val="000000" w:themeColor="text1"/>
          <w:lang w:val="en-US"/>
        </w:rPr>
        <w:t>Hersh 1977</w:t>
      </w:r>
      <w:r w:rsidRPr="00503BFC">
        <w:rPr>
          <w:color w:val="000000" w:themeColor="text1"/>
          <w:lang w:val="en-US"/>
        </w:rPr>
        <w:t xml:space="preserve"> = </w:t>
      </w:r>
      <w:r w:rsidR="00E21BFD" w:rsidRPr="00503BFC">
        <w:rPr>
          <w:color w:val="000000" w:themeColor="text1"/>
          <w:lang w:val="en-US"/>
        </w:rPr>
        <w:t xml:space="preserve">Hersh, C. A., Notes on the Chronology and Interpretation of the Roman Republican Coinage. Some Comments on Crawford’s </w:t>
      </w:r>
      <w:r w:rsidR="00E21BFD" w:rsidRPr="00503BFC">
        <w:rPr>
          <w:i/>
          <w:color w:val="000000" w:themeColor="text1"/>
          <w:lang w:val="en-US"/>
        </w:rPr>
        <w:t>Roman Republican Coinage</w:t>
      </w:r>
      <w:r w:rsidR="00E21BFD" w:rsidRPr="00503BFC">
        <w:rPr>
          <w:color w:val="000000" w:themeColor="text1"/>
          <w:lang w:val="en-US"/>
        </w:rPr>
        <w:t>, in: Numismatic Chronicle n. s.</w:t>
      </w:r>
      <w:r w:rsidR="007B211E" w:rsidRPr="00503BFC">
        <w:rPr>
          <w:color w:val="000000" w:themeColor="text1"/>
          <w:lang w:val="en-US"/>
        </w:rPr>
        <w:t xml:space="preserve"> </w:t>
      </w:r>
      <w:r w:rsidR="00E21BFD" w:rsidRPr="00503BFC">
        <w:rPr>
          <w:color w:val="000000" w:themeColor="text1"/>
          <w:lang w:val="en-US"/>
        </w:rPr>
        <w:t xml:space="preserve">17 (1977), 19–36. </w:t>
      </w:r>
    </w:p>
    <w:p w14:paraId="4F16B571" w14:textId="617E6845" w:rsidR="005069B2" w:rsidRDefault="005069B2" w:rsidP="00901CC1">
      <w:pPr>
        <w:spacing w:after="120" w:line="300" w:lineRule="auto"/>
        <w:jc w:val="both"/>
        <w:rPr>
          <w:color w:val="000000" w:themeColor="text1"/>
          <w:lang w:val="en-US"/>
        </w:rPr>
      </w:pPr>
      <w:proofErr w:type="spellStart"/>
      <w:r w:rsidRPr="00503BFC">
        <w:rPr>
          <w:b/>
          <w:color w:val="000000" w:themeColor="text1"/>
          <w:lang w:val="en-US"/>
        </w:rPr>
        <w:t>Hölkeskamp</w:t>
      </w:r>
      <w:proofErr w:type="spellEnd"/>
      <w:r w:rsidRPr="00503BFC">
        <w:rPr>
          <w:b/>
          <w:color w:val="000000" w:themeColor="text1"/>
          <w:lang w:val="en-US"/>
        </w:rPr>
        <w:t xml:space="preserve"> 2001</w:t>
      </w:r>
      <w:r w:rsidRPr="00503BFC">
        <w:rPr>
          <w:color w:val="000000" w:themeColor="text1"/>
          <w:lang w:val="en-US"/>
        </w:rPr>
        <w:t xml:space="preserve"> = </w:t>
      </w:r>
      <w:proofErr w:type="spellStart"/>
      <w:r w:rsidRPr="00503BFC">
        <w:rPr>
          <w:color w:val="000000" w:themeColor="text1"/>
          <w:lang w:val="en-US"/>
        </w:rPr>
        <w:t>Hölkeskamp</w:t>
      </w:r>
      <w:proofErr w:type="spellEnd"/>
      <w:r w:rsidRPr="00503BFC">
        <w:rPr>
          <w:color w:val="000000" w:themeColor="text1"/>
          <w:lang w:val="en-US"/>
        </w:rPr>
        <w:t xml:space="preserve">, K.-J., Fact(ions) or Fiction? Friedrich </w:t>
      </w:r>
      <w:proofErr w:type="spellStart"/>
      <w:r w:rsidRPr="00503BFC">
        <w:rPr>
          <w:color w:val="000000" w:themeColor="text1"/>
          <w:lang w:val="en-US"/>
        </w:rPr>
        <w:t>Münzer</w:t>
      </w:r>
      <w:proofErr w:type="spellEnd"/>
      <w:r w:rsidRPr="00503BFC">
        <w:rPr>
          <w:color w:val="000000" w:themeColor="text1"/>
          <w:lang w:val="en-US"/>
        </w:rPr>
        <w:t xml:space="preserve"> and the Aristocracy of the Roman Republic – Then and Now, in: IJCT 8 (2001), 92–105. </w:t>
      </w:r>
    </w:p>
    <w:p w14:paraId="497316E0" w14:textId="1CE29438" w:rsidR="009E35B3" w:rsidRPr="00C5498A" w:rsidRDefault="009E35B3" w:rsidP="00901CC1">
      <w:pPr>
        <w:spacing w:after="120" w:line="300" w:lineRule="auto"/>
        <w:jc w:val="both"/>
        <w:rPr>
          <w:color w:val="000000" w:themeColor="text1"/>
          <w:lang w:val="en-US"/>
        </w:rPr>
      </w:pPr>
      <w:proofErr w:type="spellStart"/>
      <w:r w:rsidRPr="00C5498A">
        <w:rPr>
          <w:b/>
          <w:color w:val="000000" w:themeColor="text1"/>
          <w:lang w:val="en-US"/>
        </w:rPr>
        <w:t>Hölkeskamp</w:t>
      </w:r>
      <w:proofErr w:type="spellEnd"/>
      <w:r w:rsidRPr="00C5498A">
        <w:rPr>
          <w:b/>
          <w:color w:val="000000" w:themeColor="text1"/>
          <w:lang w:val="en-US"/>
        </w:rPr>
        <w:t xml:space="preserve"> 201</w:t>
      </w:r>
      <w:r w:rsidR="001963E9" w:rsidRPr="00C5498A">
        <w:rPr>
          <w:b/>
          <w:color w:val="000000" w:themeColor="text1"/>
          <w:lang w:val="en-US"/>
        </w:rPr>
        <w:t>8</w:t>
      </w:r>
      <w:r w:rsidRPr="00C5498A">
        <w:rPr>
          <w:color w:val="000000" w:themeColor="text1"/>
          <w:lang w:val="en-US"/>
        </w:rPr>
        <w:t xml:space="preserve"> = </w:t>
      </w:r>
      <w:proofErr w:type="spellStart"/>
      <w:r w:rsidRPr="00C5498A">
        <w:rPr>
          <w:color w:val="000000" w:themeColor="text1"/>
          <w:lang w:val="en-US"/>
        </w:rPr>
        <w:t>Hölkeskamp</w:t>
      </w:r>
      <w:proofErr w:type="spellEnd"/>
      <w:r w:rsidRPr="00C5498A">
        <w:rPr>
          <w:color w:val="000000" w:themeColor="text1"/>
          <w:lang w:val="en-US"/>
        </w:rPr>
        <w:t xml:space="preserve">, K.-J., </w:t>
      </w:r>
      <w:r w:rsidR="00C5498A" w:rsidRPr="00C5498A">
        <w:rPr>
          <w:color w:val="000000" w:themeColor="text1"/>
          <w:lang w:val="en-US"/>
        </w:rPr>
        <w:t xml:space="preserve">Memoria by Multiplication: The </w:t>
      </w:r>
      <w:proofErr w:type="spellStart"/>
      <w:r w:rsidR="00C5498A" w:rsidRPr="00C5498A">
        <w:rPr>
          <w:color w:val="000000" w:themeColor="text1"/>
          <w:lang w:val="en-US"/>
        </w:rPr>
        <w:t>Cornelii</w:t>
      </w:r>
      <w:proofErr w:type="spellEnd"/>
      <w:r w:rsidR="00C5498A" w:rsidRPr="00C5498A">
        <w:rPr>
          <w:color w:val="000000" w:themeColor="text1"/>
          <w:lang w:val="en-US"/>
        </w:rPr>
        <w:t xml:space="preserve"> </w:t>
      </w:r>
      <w:proofErr w:type="spellStart"/>
      <w:r w:rsidR="00C5498A" w:rsidRPr="00C5498A">
        <w:rPr>
          <w:color w:val="000000" w:themeColor="text1"/>
          <w:lang w:val="en-US"/>
        </w:rPr>
        <w:t>Scipiones</w:t>
      </w:r>
      <w:proofErr w:type="spellEnd"/>
      <w:r w:rsidR="00C5498A" w:rsidRPr="00C5498A">
        <w:rPr>
          <w:color w:val="000000" w:themeColor="text1"/>
          <w:lang w:val="en-US"/>
        </w:rPr>
        <w:t xml:space="preserve"> in Monumental Memory, in: Sandberg, K. / Smith, C. (</w:t>
      </w:r>
      <w:proofErr w:type="spellStart"/>
      <w:r w:rsidR="00C5498A" w:rsidRPr="00C5498A">
        <w:rPr>
          <w:color w:val="000000" w:themeColor="text1"/>
          <w:lang w:val="en-US"/>
        </w:rPr>
        <w:t>Hgg</w:t>
      </w:r>
      <w:proofErr w:type="spellEnd"/>
      <w:r w:rsidR="00C5498A" w:rsidRPr="00C5498A">
        <w:rPr>
          <w:color w:val="000000" w:themeColor="text1"/>
          <w:lang w:val="en-US"/>
        </w:rPr>
        <w:t xml:space="preserve">.), Omnium </w:t>
      </w:r>
      <w:proofErr w:type="spellStart"/>
      <w:r w:rsidR="00C5498A" w:rsidRPr="00C5498A">
        <w:rPr>
          <w:color w:val="000000" w:themeColor="text1"/>
          <w:lang w:val="en-US"/>
        </w:rPr>
        <w:t>Annalium</w:t>
      </w:r>
      <w:proofErr w:type="spellEnd"/>
      <w:r w:rsidR="00C5498A" w:rsidRPr="00C5498A">
        <w:rPr>
          <w:color w:val="000000" w:themeColor="text1"/>
          <w:lang w:val="en-US"/>
        </w:rPr>
        <w:t xml:space="preserve"> </w:t>
      </w:r>
      <w:proofErr w:type="spellStart"/>
      <w:r w:rsidR="00C5498A" w:rsidRPr="00C5498A">
        <w:rPr>
          <w:color w:val="000000" w:themeColor="text1"/>
          <w:lang w:val="en-US"/>
        </w:rPr>
        <w:t>Monumenta</w:t>
      </w:r>
      <w:proofErr w:type="spellEnd"/>
      <w:r w:rsidR="00C5498A" w:rsidRPr="00C5498A">
        <w:rPr>
          <w:color w:val="000000" w:themeColor="text1"/>
          <w:lang w:val="en-US"/>
        </w:rPr>
        <w:t>: Historical Writing and Historical Evidence in Republican Rome (Historiography of Rome and Its Empire 2), Leiden/Boston 2018, 422–476.</w:t>
      </w:r>
    </w:p>
    <w:p w14:paraId="4F05F69D" w14:textId="4CA773EA" w:rsidR="00BE0515" w:rsidRDefault="00C10EC1" w:rsidP="00901CC1">
      <w:pPr>
        <w:spacing w:after="120" w:line="300" w:lineRule="auto"/>
        <w:jc w:val="both"/>
        <w:rPr>
          <w:color w:val="000000" w:themeColor="text1"/>
        </w:rPr>
      </w:pPr>
      <w:proofErr w:type="spellStart"/>
      <w:r w:rsidRPr="00503BFC">
        <w:rPr>
          <w:b/>
          <w:color w:val="000000" w:themeColor="text1"/>
          <w:lang w:val="en-US"/>
        </w:rPr>
        <w:t>Hölscher</w:t>
      </w:r>
      <w:proofErr w:type="spellEnd"/>
      <w:r w:rsidRPr="00503BFC">
        <w:rPr>
          <w:b/>
          <w:color w:val="000000" w:themeColor="text1"/>
          <w:lang w:val="en-US"/>
        </w:rPr>
        <w:t xml:space="preserve"> 2014 </w:t>
      </w:r>
      <w:r w:rsidRPr="00503BFC">
        <w:rPr>
          <w:color w:val="000000" w:themeColor="text1"/>
          <w:lang w:val="en-US"/>
        </w:rPr>
        <w:t xml:space="preserve">= </w:t>
      </w:r>
      <w:proofErr w:type="spellStart"/>
      <w:r w:rsidR="00BE0515" w:rsidRPr="00503BFC">
        <w:rPr>
          <w:color w:val="000000" w:themeColor="text1"/>
          <w:lang w:val="en-US"/>
        </w:rPr>
        <w:t>Hölscher</w:t>
      </w:r>
      <w:proofErr w:type="spellEnd"/>
      <w:r w:rsidR="00BE0515" w:rsidRPr="00503BFC">
        <w:rPr>
          <w:color w:val="000000" w:themeColor="text1"/>
          <w:lang w:val="en-US"/>
        </w:rPr>
        <w:t xml:space="preserve">, T., Historical Representations of the Roman Republic: The Repertory of Coinage in Comparison with other Art Media, in: Elkins, N. T. / </w:t>
      </w:r>
      <w:proofErr w:type="spellStart"/>
      <w:r w:rsidR="00BE0515" w:rsidRPr="00503BFC">
        <w:rPr>
          <w:color w:val="000000" w:themeColor="text1"/>
          <w:lang w:val="en-US"/>
        </w:rPr>
        <w:t>Krmnicek</w:t>
      </w:r>
      <w:proofErr w:type="spellEnd"/>
      <w:r w:rsidR="00BE0515" w:rsidRPr="00503BFC">
        <w:rPr>
          <w:color w:val="000000" w:themeColor="text1"/>
          <w:lang w:val="en-US"/>
        </w:rPr>
        <w:t>, S. (</w:t>
      </w:r>
      <w:proofErr w:type="spellStart"/>
      <w:r w:rsidR="00BE0515" w:rsidRPr="00503BFC">
        <w:rPr>
          <w:color w:val="000000" w:themeColor="text1"/>
          <w:lang w:val="en-US"/>
        </w:rPr>
        <w:t>Hgg</w:t>
      </w:r>
      <w:proofErr w:type="spellEnd"/>
      <w:r w:rsidR="00BE0515" w:rsidRPr="00503BFC">
        <w:rPr>
          <w:color w:val="000000" w:themeColor="text1"/>
          <w:lang w:val="en-US"/>
        </w:rPr>
        <w:t xml:space="preserve">.), Art in the Round. </w:t>
      </w:r>
      <w:r w:rsidR="00BE0515" w:rsidRPr="00503BFC">
        <w:rPr>
          <w:color w:val="000000" w:themeColor="text1"/>
        </w:rPr>
        <w:t xml:space="preserve">New </w:t>
      </w:r>
      <w:proofErr w:type="spellStart"/>
      <w:r w:rsidR="00BE0515" w:rsidRPr="00503BFC">
        <w:rPr>
          <w:color w:val="000000" w:themeColor="text1"/>
        </w:rPr>
        <w:t>Approaches</w:t>
      </w:r>
      <w:proofErr w:type="spellEnd"/>
      <w:r w:rsidR="00BE0515" w:rsidRPr="00503BFC">
        <w:rPr>
          <w:color w:val="000000" w:themeColor="text1"/>
        </w:rPr>
        <w:t xml:space="preserve"> </w:t>
      </w:r>
      <w:proofErr w:type="spellStart"/>
      <w:r w:rsidR="00BE0515" w:rsidRPr="00503BFC">
        <w:rPr>
          <w:color w:val="000000" w:themeColor="text1"/>
        </w:rPr>
        <w:t>to</w:t>
      </w:r>
      <w:proofErr w:type="spellEnd"/>
      <w:r w:rsidR="00BE0515" w:rsidRPr="00503BFC">
        <w:rPr>
          <w:color w:val="000000" w:themeColor="text1"/>
        </w:rPr>
        <w:t xml:space="preserve"> </w:t>
      </w:r>
      <w:proofErr w:type="spellStart"/>
      <w:r w:rsidR="00BE0515" w:rsidRPr="00503BFC">
        <w:rPr>
          <w:color w:val="000000" w:themeColor="text1"/>
        </w:rPr>
        <w:t>Ancient</w:t>
      </w:r>
      <w:proofErr w:type="spellEnd"/>
      <w:r w:rsidR="00BE0515" w:rsidRPr="00503BFC">
        <w:rPr>
          <w:color w:val="000000" w:themeColor="text1"/>
        </w:rPr>
        <w:t xml:space="preserve"> </w:t>
      </w:r>
      <w:proofErr w:type="spellStart"/>
      <w:r w:rsidR="00BE0515" w:rsidRPr="00503BFC">
        <w:rPr>
          <w:color w:val="000000" w:themeColor="text1"/>
        </w:rPr>
        <w:t>Coin</w:t>
      </w:r>
      <w:proofErr w:type="spellEnd"/>
      <w:r w:rsidR="00BE0515" w:rsidRPr="00503BFC">
        <w:rPr>
          <w:color w:val="000000" w:themeColor="text1"/>
        </w:rPr>
        <w:t xml:space="preserve"> </w:t>
      </w:r>
      <w:proofErr w:type="spellStart"/>
      <w:r w:rsidR="00BE0515" w:rsidRPr="00503BFC">
        <w:rPr>
          <w:color w:val="000000" w:themeColor="text1"/>
        </w:rPr>
        <w:t>Iconography</w:t>
      </w:r>
      <w:proofErr w:type="spellEnd"/>
      <w:r w:rsidR="00BE0515" w:rsidRPr="00503BFC">
        <w:rPr>
          <w:color w:val="000000" w:themeColor="text1"/>
        </w:rPr>
        <w:t xml:space="preserve"> (Tübinger Archäologische Forschungen 16), </w:t>
      </w:r>
      <w:proofErr w:type="spellStart"/>
      <w:r w:rsidR="00BE0515" w:rsidRPr="00503BFC">
        <w:rPr>
          <w:color w:val="000000" w:themeColor="text1"/>
        </w:rPr>
        <w:t>Rahden</w:t>
      </w:r>
      <w:proofErr w:type="spellEnd"/>
      <w:r w:rsidR="00BE0515" w:rsidRPr="00503BFC">
        <w:rPr>
          <w:color w:val="000000" w:themeColor="text1"/>
        </w:rPr>
        <w:t xml:space="preserve">/Westf. 2014, 23–37. </w:t>
      </w:r>
    </w:p>
    <w:p w14:paraId="7202E7EA" w14:textId="75E967ED" w:rsidR="00693B03" w:rsidRPr="004C2A52" w:rsidRDefault="00693B03" w:rsidP="00901CC1">
      <w:pPr>
        <w:spacing w:after="120" w:line="300" w:lineRule="auto"/>
        <w:jc w:val="both"/>
        <w:rPr>
          <w:color w:val="000000" w:themeColor="text1"/>
          <w:lang w:val="en-US"/>
        </w:rPr>
      </w:pPr>
      <w:proofErr w:type="spellStart"/>
      <w:r w:rsidRPr="004C2A52">
        <w:rPr>
          <w:b/>
          <w:color w:val="000000" w:themeColor="text1"/>
          <w:lang w:val="en-US"/>
        </w:rPr>
        <w:t>Howgego</w:t>
      </w:r>
      <w:proofErr w:type="spellEnd"/>
      <w:r w:rsidRPr="004C2A52">
        <w:rPr>
          <w:b/>
          <w:color w:val="000000" w:themeColor="text1"/>
          <w:lang w:val="en-US"/>
        </w:rPr>
        <w:t xml:space="preserve"> 1995</w:t>
      </w:r>
      <w:r w:rsidRPr="004C2A52">
        <w:rPr>
          <w:color w:val="000000" w:themeColor="text1"/>
          <w:lang w:val="en-US"/>
        </w:rPr>
        <w:t xml:space="preserve"> = </w:t>
      </w:r>
      <w:proofErr w:type="spellStart"/>
      <w:r w:rsidRPr="004C2A52">
        <w:rPr>
          <w:color w:val="000000" w:themeColor="text1"/>
          <w:lang w:val="en-US"/>
        </w:rPr>
        <w:t>Howgego</w:t>
      </w:r>
      <w:proofErr w:type="spellEnd"/>
      <w:r w:rsidRPr="004C2A52">
        <w:rPr>
          <w:color w:val="000000" w:themeColor="text1"/>
          <w:lang w:val="en-US"/>
        </w:rPr>
        <w:t>, C., Ancient History from Coins, London 1995.</w:t>
      </w:r>
    </w:p>
    <w:p w14:paraId="2A833940" w14:textId="69422C04" w:rsidR="00927AC4" w:rsidRPr="00503BFC" w:rsidRDefault="00927AC4" w:rsidP="00901CC1">
      <w:pPr>
        <w:spacing w:after="120" w:line="300" w:lineRule="auto"/>
        <w:jc w:val="both"/>
        <w:rPr>
          <w:color w:val="000000" w:themeColor="text1"/>
        </w:rPr>
      </w:pPr>
      <w:proofErr w:type="spellStart"/>
      <w:r w:rsidRPr="00503BFC">
        <w:rPr>
          <w:b/>
          <w:color w:val="000000" w:themeColor="text1"/>
        </w:rPr>
        <w:t>Jehne</w:t>
      </w:r>
      <w:proofErr w:type="spellEnd"/>
      <w:r w:rsidRPr="00503BFC">
        <w:rPr>
          <w:b/>
          <w:color w:val="000000" w:themeColor="text1"/>
        </w:rPr>
        <w:t xml:space="preserve"> 1993</w:t>
      </w:r>
      <w:r w:rsidRPr="00503BFC">
        <w:rPr>
          <w:color w:val="000000" w:themeColor="text1"/>
        </w:rPr>
        <w:t xml:space="preserve"> = </w:t>
      </w:r>
      <w:proofErr w:type="spellStart"/>
      <w:r w:rsidRPr="00503BFC">
        <w:rPr>
          <w:color w:val="000000" w:themeColor="text1"/>
        </w:rPr>
        <w:t>Jehne</w:t>
      </w:r>
      <w:proofErr w:type="spellEnd"/>
      <w:r w:rsidRPr="00503BFC">
        <w:rPr>
          <w:color w:val="000000" w:themeColor="text1"/>
        </w:rPr>
        <w:t>, M., Geheime Abstimmung und Bindungswesen in der römischen Republik, in: HZ 257 (1993), 593–613.</w:t>
      </w:r>
    </w:p>
    <w:p w14:paraId="3573BB77" w14:textId="3E6B03F2" w:rsidR="000D0C59" w:rsidRPr="004C2A52" w:rsidRDefault="003F53AC" w:rsidP="00901CC1">
      <w:pPr>
        <w:spacing w:after="120" w:line="300" w:lineRule="auto"/>
        <w:jc w:val="both"/>
        <w:rPr>
          <w:color w:val="000000" w:themeColor="text1"/>
        </w:rPr>
      </w:pPr>
      <w:proofErr w:type="spellStart"/>
      <w:r w:rsidRPr="00503BFC">
        <w:rPr>
          <w:b/>
          <w:color w:val="000000" w:themeColor="text1"/>
        </w:rPr>
        <w:t>Lahusen</w:t>
      </w:r>
      <w:proofErr w:type="spellEnd"/>
      <w:r w:rsidRPr="00503BFC">
        <w:rPr>
          <w:b/>
          <w:color w:val="000000" w:themeColor="text1"/>
        </w:rPr>
        <w:t xml:space="preserve"> 1989</w:t>
      </w:r>
      <w:r w:rsidRPr="00503BFC">
        <w:rPr>
          <w:color w:val="000000" w:themeColor="text1"/>
        </w:rPr>
        <w:t xml:space="preserve"> = </w:t>
      </w:r>
      <w:proofErr w:type="spellStart"/>
      <w:r w:rsidR="000D0C59" w:rsidRPr="00503BFC">
        <w:rPr>
          <w:color w:val="000000" w:themeColor="text1"/>
        </w:rPr>
        <w:t>Lahusen</w:t>
      </w:r>
      <w:proofErr w:type="spellEnd"/>
      <w:r w:rsidR="000D0C59" w:rsidRPr="00503BFC">
        <w:rPr>
          <w:color w:val="000000" w:themeColor="text1"/>
        </w:rPr>
        <w:t xml:space="preserve">, G., Die </w:t>
      </w:r>
      <w:proofErr w:type="spellStart"/>
      <w:r w:rsidR="000D0C59" w:rsidRPr="00503BFC">
        <w:rPr>
          <w:color w:val="000000" w:themeColor="text1"/>
        </w:rPr>
        <w:t>Bildnismünzen</w:t>
      </w:r>
      <w:proofErr w:type="spellEnd"/>
      <w:r w:rsidR="000D0C59" w:rsidRPr="00503BFC">
        <w:rPr>
          <w:color w:val="000000" w:themeColor="text1"/>
        </w:rPr>
        <w:t xml:space="preserve"> der römischen Republik, München 1989, zgl. </w:t>
      </w:r>
      <w:r w:rsidR="000D0C59" w:rsidRPr="004C2A52">
        <w:rPr>
          <w:color w:val="000000" w:themeColor="text1"/>
        </w:rPr>
        <w:t>Habil. Frankfurt a. M. 1985.</w:t>
      </w:r>
    </w:p>
    <w:p w14:paraId="3BD1F77A" w14:textId="442E82CC" w:rsidR="00AB1032" w:rsidRPr="00AB1032" w:rsidRDefault="00AB1032" w:rsidP="00901CC1">
      <w:pPr>
        <w:spacing w:after="120" w:line="300" w:lineRule="auto"/>
        <w:jc w:val="both"/>
        <w:rPr>
          <w:b/>
        </w:rPr>
      </w:pPr>
      <w:proofErr w:type="spellStart"/>
      <w:r w:rsidRPr="00AB1032">
        <w:rPr>
          <w:b/>
        </w:rPr>
        <w:lastRenderedPageBreak/>
        <w:t>Lentzsch</w:t>
      </w:r>
      <w:proofErr w:type="spellEnd"/>
      <w:r w:rsidRPr="00AB1032">
        <w:rPr>
          <w:b/>
        </w:rPr>
        <w:t xml:space="preserve"> 2019</w:t>
      </w:r>
      <w:r w:rsidRPr="00AB1032">
        <w:t xml:space="preserve"> = </w:t>
      </w:r>
      <w:proofErr w:type="spellStart"/>
      <w:r w:rsidRPr="00AB1032">
        <w:t>Lentzsch</w:t>
      </w:r>
      <w:proofErr w:type="spellEnd"/>
      <w:r w:rsidRPr="00AB1032">
        <w:t xml:space="preserve">, S., Roma </w:t>
      </w:r>
      <w:proofErr w:type="spellStart"/>
      <w:r w:rsidRPr="00AB1032">
        <w:t>victa</w:t>
      </w:r>
      <w:proofErr w:type="spellEnd"/>
      <w:r w:rsidRPr="00AB1032">
        <w:t>. Von Roms Umgang mit Niederlagen, Stuttgart 2019.</w:t>
      </w:r>
    </w:p>
    <w:p w14:paraId="28C90BD5" w14:textId="56B69F48" w:rsidR="000D0C59" w:rsidRPr="00503BFC" w:rsidRDefault="00C16165" w:rsidP="00901CC1">
      <w:pPr>
        <w:spacing w:after="120" w:line="300" w:lineRule="auto"/>
        <w:jc w:val="both"/>
        <w:rPr>
          <w:color w:val="000000" w:themeColor="text1"/>
          <w:lang w:val="en-US"/>
        </w:rPr>
      </w:pPr>
      <w:r w:rsidRPr="00503BFC">
        <w:rPr>
          <w:b/>
          <w:color w:val="000000" w:themeColor="text1"/>
          <w:lang w:val="en-US"/>
        </w:rPr>
        <w:t xml:space="preserve">Mattingly </w:t>
      </w:r>
      <w:r w:rsidRPr="00503BFC">
        <w:rPr>
          <w:b/>
          <w:color w:val="000000" w:themeColor="text1"/>
          <w:vertAlign w:val="superscript"/>
          <w:lang w:val="en-US"/>
        </w:rPr>
        <w:t>2</w:t>
      </w:r>
      <w:r w:rsidRPr="00503BFC">
        <w:rPr>
          <w:b/>
          <w:color w:val="000000" w:themeColor="text1"/>
          <w:lang w:val="en-US"/>
        </w:rPr>
        <w:t>1960</w:t>
      </w:r>
      <w:r w:rsidRPr="00503BFC">
        <w:rPr>
          <w:color w:val="000000" w:themeColor="text1"/>
          <w:lang w:val="en-US"/>
        </w:rPr>
        <w:t xml:space="preserve"> = </w:t>
      </w:r>
      <w:r w:rsidR="000D0C59" w:rsidRPr="00503BFC">
        <w:rPr>
          <w:color w:val="000000" w:themeColor="text1"/>
          <w:lang w:val="en-US"/>
        </w:rPr>
        <w:t xml:space="preserve">Mattingly, H., Roman Coins. From the Earliest Times to the Fall of the Western Empire, London </w:t>
      </w:r>
      <w:r w:rsidR="000D0C59" w:rsidRPr="00503BFC">
        <w:rPr>
          <w:color w:val="000000" w:themeColor="text1"/>
          <w:vertAlign w:val="superscript"/>
          <w:lang w:val="en-US"/>
        </w:rPr>
        <w:t>2</w:t>
      </w:r>
      <w:r w:rsidR="000D0C59" w:rsidRPr="00503BFC">
        <w:rPr>
          <w:color w:val="000000" w:themeColor="text1"/>
          <w:lang w:val="en-US"/>
        </w:rPr>
        <w:t xml:space="preserve">1960 (ND 1967). </w:t>
      </w:r>
    </w:p>
    <w:p w14:paraId="219B3362" w14:textId="69A59AC8" w:rsidR="0059430F" w:rsidRPr="00503BFC" w:rsidRDefault="0086489C" w:rsidP="00901CC1">
      <w:pPr>
        <w:spacing w:after="120" w:line="300" w:lineRule="auto"/>
        <w:jc w:val="both"/>
        <w:rPr>
          <w:color w:val="000000" w:themeColor="text1"/>
          <w:lang w:val="en-US"/>
        </w:rPr>
      </w:pPr>
      <w:r w:rsidRPr="00503BFC">
        <w:rPr>
          <w:b/>
          <w:color w:val="000000" w:themeColor="text1"/>
          <w:lang w:val="en-US"/>
        </w:rPr>
        <w:t>Mattingly 2004</w:t>
      </w:r>
      <w:r w:rsidRPr="00503BFC">
        <w:rPr>
          <w:color w:val="000000" w:themeColor="text1"/>
          <w:lang w:val="en-US"/>
        </w:rPr>
        <w:t xml:space="preserve"> = </w:t>
      </w:r>
      <w:r w:rsidR="0059430F" w:rsidRPr="00503BFC">
        <w:rPr>
          <w:color w:val="000000" w:themeColor="text1"/>
          <w:lang w:val="en-US"/>
        </w:rPr>
        <w:t>Mattingly, H</w:t>
      </w:r>
      <w:r w:rsidR="006A480B" w:rsidRPr="00503BFC">
        <w:rPr>
          <w:color w:val="000000" w:themeColor="text1"/>
          <w:lang w:val="en-US"/>
        </w:rPr>
        <w:t>. </w:t>
      </w:r>
      <w:r w:rsidR="0059430F" w:rsidRPr="00503BFC">
        <w:rPr>
          <w:color w:val="000000" w:themeColor="text1"/>
          <w:lang w:val="en-US"/>
        </w:rPr>
        <w:t xml:space="preserve">B., Roman Republican Coinage, ca. 150–90 B.C., in: </w:t>
      </w:r>
      <w:proofErr w:type="spellStart"/>
      <w:r w:rsidR="0059430F" w:rsidRPr="00503BFC">
        <w:rPr>
          <w:color w:val="000000" w:themeColor="text1"/>
          <w:lang w:val="en-US"/>
        </w:rPr>
        <w:t>Ders</w:t>
      </w:r>
      <w:proofErr w:type="spellEnd"/>
      <w:r w:rsidR="0059430F" w:rsidRPr="00503BFC">
        <w:rPr>
          <w:color w:val="000000" w:themeColor="text1"/>
          <w:lang w:val="en-US"/>
        </w:rPr>
        <w:t>., From Coins to History. Selected Numismatic Studies, Ann Arbor 2004, 199–226.</w:t>
      </w:r>
    </w:p>
    <w:p w14:paraId="2FBECEAC" w14:textId="46AD5433" w:rsidR="00995AB8" w:rsidRPr="00503BFC" w:rsidRDefault="0086489C" w:rsidP="00901CC1">
      <w:pPr>
        <w:spacing w:after="120" w:line="300" w:lineRule="auto"/>
        <w:jc w:val="both"/>
        <w:rPr>
          <w:color w:val="000000" w:themeColor="text1"/>
          <w:lang w:val="en-US"/>
        </w:rPr>
      </w:pPr>
      <w:r w:rsidRPr="00503BFC">
        <w:rPr>
          <w:b/>
          <w:color w:val="000000" w:themeColor="text1"/>
          <w:lang w:val="en-US"/>
        </w:rPr>
        <w:t>Meadows/Williams 2001</w:t>
      </w:r>
      <w:r w:rsidRPr="00503BFC">
        <w:rPr>
          <w:color w:val="000000" w:themeColor="text1"/>
          <w:lang w:val="en-US"/>
        </w:rPr>
        <w:t xml:space="preserve"> = </w:t>
      </w:r>
      <w:r w:rsidR="00995AB8" w:rsidRPr="00503BFC">
        <w:rPr>
          <w:color w:val="000000" w:themeColor="text1"/>
          <w:lang w:val="en-US"/>
        </w:rPr>
        <w:t>Meadows, A</w:t>
      </w:r>
      <w:r w:rsidR="006A480B" w:rsidRPr="00503BFC">
        <w:rPr>
          <w:color w:val="000000" w:themeColor="text1"/>
          <w:lang w:val="en-US"/>
        </w:rPr>
        <w:t>.</w:t>
      </w:r>
      <w:r w:rsidR="00995AB8" w:rsidRPr="00503BFC">
        <w:rPr>
          <w:color w:val="000000" w:themeColor="text1"/>
          <w:lang w:val="en-US"/>
        </w:rPr>
        <w:t xml:space="preserve"> / Williams, J</w:t>
      </w:r>
      <w:r w:rsidR="006A480B" w:rsidRPr="00503BFC">
        <w:rPr>
          <w:color w:val="000000" w:themeColor="text1"/>
          <w:lang w:val="en-US"/>
        </w:rPr>
        <w:t>.</w:t>
      </w:r>
      <w:r w:rsidR="00995AB8" w:rsidRPr="00503BFC">
        <w:rPr>
          <w:color w:val="000000" w:themeColor="text1"/>
          <w:lang w:val="en-US"/>
        </w:rPr>
        <w:t>, Moneta and the Monuments: Coinage and Politics in Republican Rome, in: JRS 91 (2001), 27–49.</w:t>
      </w:r>
    </w:p>
    <w:p w14:paraId="21011F65" w14:textId="240FEEA2" w:rsidR="00BE0515" w:rsidRPr="00AB1032" w:rsidRDefault="00F028BD" w:rsidP="00901CC1">
      <w:pPr>
        <w:spacing w:after="120" w:line="300" w:lineRule="auto"/>
        <w:jc w:val="both"/>
        <w:rPr>
          <w:lang w:val="en-US"/>
        </w:rPr>
      </w:pPr>
      <w:r w:rsidRPr="00503BFC">
        <w:rPr>
          <w:b/>
          <w:color w:val="000000" w:themeColor="text1"/>
          <w:lang w:val="en-US"/>
        </w:rPr>
        <w:t>Metcalf 1999</w:t>
      </w:r>
      <w:r w:rsidRPr="00503BFC">
        <w:rPr>
          <w:color w:val="000000" w:themeColor="text1"/>
          <w:lang w:val="en-US"/>
        </w:rPr>
        <w:t xml:space="preserve"> = </w:t>
      </w:r>
      <w:r w:rsidR="002829CB" w:rsidRPr="00AB1032">
        <w:rPr>
          <w:lang w:val="en-US"/>
        </w:rPr>
        <w:t xml:space="preserve">Metcalf, W. E., Coins as Primary Evidence, in: </w:t>
      </w:r>
      <w:r w:rsidR="0026378F" w:rsidRPr="00AB1032">
        <w:rPr>
          <w:lang w:val="en-US"/>
        </w:rPr>
        <w:t>Paul</w:t>
      </w:r>
      <w:r w:rsidR="002829CB" w:rsidRPr="00AB1032">
        <w:rPr>
          <w:lang w:val="en-US"/>
        </w:rPr>
        <w:t>, G. M.</w:t>
      </w:r>
      <w:r w:rsidR="0026378F" w:rsidRPr="00AB1032">
        <w:rPr>
          <w:lang w:val="en-US"/>
        </w:rPr>
        <w:t xml:space="preserve"> / </w:t>
      </w:r>
      <w:proofErr w:type="spellStart"/>
      <w:r w:rsidR="0026378F" w:rsidRPr="00AB1032">
        <w:rPr>
          <w:lang w:val="en-US"/>
        </w:rPr>
        <w:t>Ierardi</w:t>
      </w:r>
      <w:proofErr w:type="spellEnd"/>
      <w:r w:rsidR="0026378F" w:rsidRPr="00AB1032">
        <w:rPr>
          <w:lang w:val="en-US"/>
        </w:rPr>
        <w:t>,</w:t>
      </w:r>
      <w:r w:rsidR="002829CB" w:rsidRPr="00AB1032">
        <w:rPr>
          <w:lang w:val="en-US"/>
        </w:rPr>
        <w:t xml:space="preserve"> M. (</w:t>
      </w:r>
      <w:proofErr w:type="spellStart"/>
      <w:r w:rsidR="002829CB" w:rsidRPr="00AB1032">
        <w:rPr>
          <w:lang w:val="en-US"/>
        </w:rPr>
        <w:t>Hgg</w:t>
      </w:r>
      <w:proofErr w:type="spellEnd"/>
      <w:r w:rsidR="002829CB" w:rsidRPr="00AB1032">
        <w:rPr>
          <w:lang w:val="en-US"/>
        </w:rPr>
        <w:t xml:space="preserve">.), </w:t>
      </w:r>
      <w:r w:rsidR="0026378F" w:rsidRPr="00AB1032">
        <w:rPr>
          <w:lang w:val="en-US"/>
        </w:rPr>
        <w:t>Roman Coins and Public Life</w:t>
      </w:r>
      <w:r w:rsidR="002829CB" w:rsidRPr="00AB1032">
        <w:rPr>
          <w:lang w:val="en-US"/>
        </w:rPr>
        <w:t xml:space="preserve"> under the Empire (E. Togo Salmon Papers 2)</w:t>
      </w:r>
      <w:r w:rsidR="0026378F" w:rsidRPr="00AB1032">
        <w:rPr>
          <w:lang w:val="en-US"/>
        </w:rPr>
        <w:t xml:space="preserve">, </w:t>
      </w:r>
      <w:r w:rsidR="002829CB" w:rsidRPr="00AB1032">
        <w:rPr>
          <w:lang w:val="en-US"/>
        </w:rPr>
        <w:t xml:space="preserve">Ann Arbor </w:t>
      </w:r>
      <w:r w:rsidR="0026378F" w:rsidRPr="00AB1032">
        <w:rPr>
          <w:lang w:val="en-US"/>
        </w:rPr>
        <w:t xml:space="preserve">1999, 1–17. </w:t>
      </w:r>
    </w:p>
    <w:p w14:paraId="4A048268" w14:textId="21FF26CF" w:rsidR="00AB1032" w:rsidRPr="00AB1032" w:rsidRDefault="00AB1032" w:rsidP="00901CC1">
      <w:pPr>
        <w:spacing w:after="120" w:line="300" w:lineRule="auto"/>
        <w:jc w:val="both"/>
        <w:rPr>
          <w:b/>
          <w:lang w:val="en-US"/>
        </w:rPr>
      </w:pPr>
      <w:r w:rsidRPr="00AB1032">
        <w:rPr>
          <w:b/>
          <w:lang w:val="en-US"/>
        </w:rPr>
        <w:t>Oakley 2005</w:t>
      </w:r>
      <w:r w:rsidRPr="00AB1032">
        <w:rPr>
          <w:lang w:val="en-US"/>
        </w:rPr>
        <w:t xml:space="preserve"> = Oakley, S. A., A Commentary on Livy, Books VI–X. Bd. 3: Book IX, Oxford 2005.</w:t>
      </w:r>
    </w:p>
    <w:p w14:paraId="1EE9940D" w14:textId="16021042" w:rsidR="007976F7" w:rsidRPr="00AB1032" w:rsidRDefault="007976F7" w:rsidP="00901CC1">
      <w:pPr>
        <w:spacing w:after="120" w:line="300" w:lineRule="auto"/>
        <w:jc w:val="both"/>
        <w:rPr>
          <w:lang w:val="en-US"/>
        </w:rPr>
      </w:pPr>
      <w:r w:rsidRPr="00AB1032">
        <w:rPr>
          <w:b/>
          <w:lang w:val="en-US"/>
        </w:rPr>
        <w:t xml:space="preserve">Pink 1952 </w:t>
      </w:r>
      <w:r w:rsidRPr="00AB1032">
        <w:rPr>
          <w:lang w:val="en-US"/>
        </w:rPr>
        <w:t xml:space="preserve">= Pink, K., The Triumviri </w:t>
      </w:r>
      <w:proofErr w:type="spellStart"/>
      <w:r w:rsidRPr="00AB1032">
        <w:rPr>
          <w:lang w:val="en-US"/>
        </w:rPr>
        <w:t>Monetales</w:t>
      </w:r>
      <w:proofErr w:type="spellEnd"/>
      <w:r w:rsidRPr="00AB1032">
        <w:rPr>
          <w:lang w:val="en-US"/>
        </w:rPr>
        <w:t xml:space="preserve"> and the Structure of the Coinage of the Roman Republic (American Numismatic Society’s Numismatic Studies 7), New York 1952. </w:t>
      </w:r>
    </w:p>
    <w:p w14:paraId="186BE8B4" w14:textId="36E07A9C" w:rsidR="00A80F20" w:rsidRPr="00AB1032" w:rsidRDefault="005C212D" w:rsidP="00901CC1">
      <w:pPr>
        <w:spacing w:after="120" w:line="300" w:lineRule="auto"/>
        <w:jc w:val="both"/>
        <w:rPr>
          <w:lang w:val="en-US"/>
        </w:rPr>
      </w:pPr>
      <w:r w:rsidRPr="00AB1032">
        <w:rPr>
          <w:b/>
          <w:lang w:val="en-US"/>
        </w:rPr>
        <w:t>Richardson 2008</w:t>
      </w:r>
      <w:r w:rsidRPr="00AB1032">
        <w:rPr>
          <w:lang w:val="en-US"/>
        </w:rPr>
        <w:t xml:space="preserve"> = </w:t>
      </w:r>
      <w:r w:rsidR="00A80F20" w:rsidRPr="00AB1032">
        <w:rPr>
          <w:lang w:val="en-US"/>
        </w:rPr>
        <w:t xml:space="preserve">Richardson, J. H., The </w:t>
      </w:r>
      <w:r w:rsidR="00A80F20" w:rsidRPr="00AB1032">
        <w:rPr>
          <w:i/>
          <w:lang w:val="en-US"/>
        </w:rPr>
        <w:t xml:space="preserve">Pater </w:t>
      </w:r>
      <w:proofErr w:type="spellStart"/>
      <w:r w:rsidR="00A80F20" w:rsidRPr="00AB1032">
        <w:rPr>
          <w:i/>
          <w:lang w:val="en-US"/>
        </w:rPr>
        <w:t>Patratus</w:t>
      </w:r>
      <w:proofErr w:type="spellEnd"/>
      <w:r w:rsidR="00A80F20" w:rsidRPr="00AB1032">
        <w:rPr>
          <w:lang w:val="en-US"/>
        </w:rPr>
        <w:t xml:space="preserve"> on a Roman Gold Stater: A Reading of </w:t>
      </w:r>
      <w:r w:rsidR="00A80F20" w:rsidRPr="00AB1032">
        <w:rPr>
          <w:i/>
          <w:lang w:val="en-US"/>
        </w:rPr>
        <w:t>RRC</w:t>
      </w:r>
      <w:r w:rsidR="00A80F20" w:rsidRPr="00AB1032">
        <w:rPr>
          <w:lang w:val="en-US"/>
        </w:rPr>
        <w:t xml:space="preserve"> Nos. 28/1–2 and 29/1–2, in: Hermes 136 (2008), 415–425. </w:t>
      </w:r>
    </w:p>
    <w:p w14:paraId="4181F991" w14:textId="05F57C16" w:rsidR="007C4902" w:rsidRPr="00AB1032" w:rsidRDefault="00967400" w:rsidP="00901CC1">
      <w:pPr>
        <w:spacing w:after="120" w:line="300" w:lineRule="auto"/>
        <w:jc w:val="both"/>
        <w:rPr>
          <w:lang w:val="en-US"/>
        </w:rPr>
      </w:pPr>
      <w:r w:rsidRPr="00AB1032">
        <w:rPr>
          <w:b/>
          <w:lang w:val="en-US"/>
        </w:rPr>
        <w:t>Rosenstein</w:t>
      </w:r>
      <w:r w:rsidR="007C4902" w:rsidRPr="00AB1032">
        <w:rPr>
          <w:b/>
          <w:lang w:val="en-US"/>
        </w:rPr>
        <w:t xml:space="preserve"> 1986 = </w:t>
      </w:r>
      <w:r w:rsidR="007C4902" w:rsidRPr="00AB1032">
        <w:rPr>
          <w:lang w:val="en-US"/>
        </w:rPr>
        <w:t xml:space="preserve">Rosenstein, N., </w:t>
      </w:r>
      <w:proofErr w:type="spellStart"/>
      <w:r w:rsidR="007C4902" w:rsidRPr="00AB1032">
        <w:rPr>
          <w:i/>
          <w:lang w:val="en-US"/>
        </w:rPr>
        <w:t>Imperatores</w:t>
      </w:r>
      <w:proofErr w:type="spellEnd"/>
      <w:r w:rsidR="007C4902" w:rsidRPr="00AB1032">
        <w:rPr>
          <w:i/>
          <w:lang w:val="en-US"/>
        </w:rPr>
        <w:t xml:space="preserve"> </w:t>
      </w:r>
      <w:proofErr w:type="spellStart"/>
      <w:r w:rsidR="007C4902" w:rsidRPr="00AB1032">
        <w:rPr>
          <w:i/>
          <w:lang w:val="en-US"/>
        </w:rPr>
        <w:t>victi</w:t>
      </w:r>
      <w:proofErr w:type="spellEnd"/>
      <w:r w:rsidR="007C4902" w:rsidRPr="00AB1032">
        <w:rPr>
          <w:i/>
          <w:lang w:val="en-US"/>
        </w:rPr>
        <w:t>:</w:t>
      </w:r>
      <w:r w:rsidR="007C4902" w:rsidRPr="00AB1032">
        <w:rPr>
          <w:lang w:val="en-US"/>
        </w:rPr>
        <w:t xml:space="preserve"> The Case of C. </w:t>
      </w:r>
      <w:proofErr w:type="spellStart"/>
      <w:r w:rsidR="007C4902" w:rsidRPr="00AB1032">
        <w:rPr>
          <w:lang w:val="en-US"/>
        </w:rPr>
        <w:t>Hostilius</w:t>
      </w:r>
      <w:proofErr w:type="spellEnd"/>
      <w:r w:rsidR="007C4902" w:rsidRPr="00AB1032">
        <w:rPr>
          <w:lang w:val="en-US"/>
        </w:rPr>
        <w:t xml:space="preserve"> </w:t>
      </w:r>
      <w:proofErr w:type="spellStart"/>
      <w:r w:rsidR="007C4902" w:rsidRPr="00AB1032">
        <w:rPr>
          <w:lang w:val="en-US"/>
        </w:rPr>
        <w:t>Mancinus</w:t>
      </w:r>
      <w:proofErr w:type="spellEnd"/>
      <w:r w:rsidR="007C4902" w:rsidRPr="00AB1032">
        <w:rPr>
          <w:lang w:val="en-US"/>
        </w:rPr>
        <w:t xml:space="preserve">, in: </w:t>
      </w:r>
      <w:proofErr w:type="spellStart"/>
      <w:r w:rsidR="007C4902" w:rsidRPr="00AB1032">
        <w:rPr>
          <w:lang w:val="en-US"/>
        </w:rPr>
        <w:t>ClAnt</w:t>
      </w:r>
      <w:proofErr w:type="spellEnd"/>
      <w:r w:rsidR="007C4902" w:rsidRPr="00AB1032">
        <w:rPr>
          <w:lang w:val="en-US"/>
        </w:rPr>
        <w:t xml:space="preserve"> 5 (1986), 230–252.</w:t>
      </w:r>
    </w:p>
    <w:p w14:paraId="0B4EA23F" w14:textId="0E7D4BCC" w:rsidR="005A2248" w:rsidRPr="005A2248" w:rsidRDefault="005A2248" w:rsidP="00482BD7">
      <w:pPr>
        <w:spacing w:after="120" w:line="300" w:lineRule="auto"/>
        <w:jc w:val="both"/>
        <w:rPr>
          <w:b/>
          <w:color w:val="000000" w:themeColor="text1"/>
        </w:rPr>
      </w:pPr>
      <w:proofErr w:type="spellStart"/>
      <w:r w:rsidRPr="005A2248">
        <w:rPr>
          <w:b/>
          <w:color w:val="000000" w:themeColor="text1"/>
        </w:rPr>
        <w:t>Sehlmeyer</w:t>
      </w:r>
      <w:proofErr w:type="spellEnd"/>
      <w:r w:rsidRPr="005A2248">
        <w:rPr>
          <w:b/>
          <w:color w:val="000000" w:themeColor="text1"/>
        </w:rPr>
        <w:t xml:space="preserve"> 1999</w:t>
      </w:r>
      <w:r w:rsidRPr="00482BD7">
        <w:rPr>
          <w:color w:val="000000" w:themeColor="text1"/>
        </w:rPr>
        <w:t xml:space="preserve"> = </w:t>
      </w:r>
      <w:proofErr w:type="spellStart"/>
      <w:r w:rsidRPr="00482BD7">
        <w:rPr>
          <w:color w:val="000000" w:themeColor="text1"/>
        </w:rPr>
        <w:t>Sehlmeyer</w:t>
      </w:r>
      <w:proofErr w:type="spellEnd"/>
      <w:r w:rsidRPr="00482BD7">
        <w:rPr>
          <w:color w:val="000000" w:themeColor="text1"/>
        </w:rPr>
        <w:t xml:space="preserve">, M., Stadtrömische Ehrenstatuen der republikanischen Zeit. Historizität und Kontext von Symbolen </w:t>
      </w:r>
      <w:proofErr w:type="spellStart"/>
      <w:r w:rsidRPr="00482BD7">
        <w:rPr>
          <w:color w:val="000000" w:themeColor="text1"/>
        </w:rPr>
        <w:t>nobilitären</w:t>
      </w:r>
      <w:proofErr w:type="spellEnd"/>
      <w:r w:rsidRPr="00482BD7">
        <w:rPr>
          <w:color w:val="000000" w:themeColor="text1"/>
        </w:rPr>
        <w:t xml:space="preserve"> </w:t>
      </w:r>
      <w:proofErr w:type="spellStart"/>
      <w:r w:rsidRPr="00482BD7">
        <w:rPr>
          <w:color w:val="000000" w:themeColor="text1"/>
        </w:rPr>
        <w:t>Standesbewußtseins</w:t>
      </w:r>
      <w:proofErr w:type="spellEnd"/>
      <w:r w:rsidRPr="00482BD7">
        <w:rPr>
          <w:color w:val="000000" w:themeColor="text1"/>
        </w:rPr>
        <w:t xml:space="preserve"> </w:t>
      </w:r>
      <w:r w:rsidR="00482BD7" w:rsidRPr="00482BD7">
        <w:rPr>
          <w:color w:val="000000" w:themeColor="text1"/>
        </w:rPr>
        <w:t>(</w:t>
      </w:r>
      <w:proofErr w:type="spellStart"/>
      <w:r w:rsidR="00482BD7" w:rsidRPr="00482BD7">
        <w:rPr>
          <w:color w:val="000000" w:themeColor="text1"/>
        </w:rPr>
        <w:t>Historia</w:t>
      </w:r>
      <w:proofErr w:type="spellEnd"/>
      <w:r w:rsidR="00482BD7" w:rsidRPr="00482BD7">
        <w:rPr>
          <w:color w:val="000000" w:themeColor="text1"/>
        </w:rPr>
        <w:t xml:space="preserve"> Einzelschriften 130), Stuttgart 1999.</w:t>
      </w:r>
      <w:r w:rsidR="00482BD7" w:rsidRPr="005A2248">
        <w:rPr>
          <w:b/>
          <w:color w:val="000000" w:themeColor="text1"/>
        </w:rPr>
        <w:t xml:space="preserve"> </w:t>
      </w:r>
    </w:p>
    <w:p w14:paraId="4DE59922" w14:textId="53B34B8C" w:rsidR="0026378F" w:rsidRPr="00503BFC" w:rsidRDefault="00F028BD" w:rsidP="00901CC1">
      <w:pPr>
        <w:spacing w:after="120" w:line="300" w:lineRule="auto"/>
        <w:jc w:val="both"/>
        <w:rPr>
          <w:color w:val="000000" w:themeColor="text1"/>
          <w:lang w:val="en-US"/>
        </w:rPr>
      </w:pPr>
      <w:r w:rsidRPr="00503BFC">
        <w:rPr>
          <w:b/>
          <w:color w:val="000000" w:themeColor="text1"/>
          <w:lang w:val="en-US"/>
        </w:rPr>
        <w:t>Stannard 2005</w:t>
      </w:r>
      <w:r w:rsidRPr="00503BFC">
        <w:rPr>
          <w:color w:val="000000" w:themeColor="text1"/>
          <w:lang w:val="en-US"/>
        </w:rPr>
        <w:t xml:space="preserve"> = </w:t>
      </w:r>
      <w:r w:rsidR="0026378F" w:rsidRPr="00503BFC">
        <w:rPr>
          <w:color w:val="000000" w:themeColor="text1"/>
          <w:lang w:val="en-US"/>
        </w:rPr>
        <w:t xml:space="preserve">Stannard, </w:t>
      </w:r>
      <w:r w:rsidR="00852DA8" w:rsidRPr="00503BFC">
        <w:rPr>
          <w:color w:val="000000" w:themeColor="text1"/>
          <w:lang w:val="en-US"/>
        </w:rPr>
        <w:t xml:space="preserve">C., </w:t>
      </w:r>
      <w:r w:rsidR="0026378F" w:rsidRPr="00503BFC">
        <w:rPr>
          <w:color w:val="000000" w:themeColor="text1"/>
          <w:lang w:val="en-US"/>
        </w:rPr>
        <w:t xml:space="preserve">Numismatic </w:t>
      </w:r>
      <w:r w:rsidR="00852DA8" w:rsidRPr="00503BFC">
        <w:rPr>
          <w:color w:val="000000" w:themeColor="text1"/>
          <w:lang w:val="en-US"/>
        </w:rPr>
        <w:t>E</w:t>
      </w:r>
      <w:r w:rsidR="0026378F" w:rsidRPr="00503BFC">
        <w:rPr>
          <w:color w:val="000000" w:themeColor="text1"/>
          <w:lang w:val="en-US"/>
        </w:rPr>
        <w:t>vidence</w:t>
      </w:r>
      <w:r w:rsidR="00852DA8" w:rsidRPr="00503BFC">
        <w:rPr>
          <w:color w:val="000000" w:themeColor="text1"/>
          <w:lang w:val="en-US"/>
        </w:rPr>
        <w:t xml:space="preserve"> for Relations between Spain and Central Italy at the Turn of the Second and First Century BC</w:t>
      </w:r>
      <w:r w:rsidR="0080099B" w:rsidRPr="00503BFC">
        <w:rPr>
          <w:color w:val="000000" w:themeColor="text1"/>
          <w:lang w:val="en-US"/>
        </w:rPr>
        <w:t xml:space="preserve">, </w:t>
      </w:r>
      <w:r w:rsidR="00852DA8" w:rsidRPr="00503BFC">
        <w:rPr>
          <w:color w:val="000000" w:themeColor="text1"/>
          <w:lang w:val="en-US"/>
        </w:rPr>
        <w:t xml:space="preserve">in: </w:t>
      </w:r>
      <w:proofErr w:type="spellStart"/>
      <w:r w:rsidR="0080099B" w:rsidRPr="00503BFC">
        <w:rPr>
          <w:color w:val="000000" w:themeColor="text1"/>
          <w:lang w:val="en-US"/>
        </w:rPr>
        <w:t>Schweizerische</w:t>
      </w:r>
      <w:proofErr w:type="spellEnd"/>
      <w:r w:rsidR="0080099B" w:rsidRPr="00503BFC">
        <w:rPr>
          <w:color w:val="000000" w:themeColor="text1"/>
          <w:lang w:val="en-US"/>
        </w:rPr>
        <w:t xml:space="preserve"> </w:t>
      </w:r>
      <w:proofErr w:type="spellStart"/>
      <w:r w:rsidR="0080099B" w:rsidRPr="00503BFC">
        <w:rPr>
          <w:color w:val="000000" w:themeColor="text1"/>
          <w:lang w:val="en-US"/>
        </w:rPr>
        <w:t>Numismatische</w:t>
      </w:r>
      <w:proofErr w:type="spellEnd"/>
      <w:r w:rsidR="0080099B" w:rsidRPr="00503BFC">
        <w:rPr>
          <w:color w:val="000000" w:themeColor="text1"/>
          <w:lang w:val="en-US"/>
        </w:rPr>
        <w:t xml:space="preserve"> </w:t>
      </w:r>
      <w:proofErr w:type="spellStart"/>
      <w:r w:rsidR="0080099B" w:rsidRPr="00503BFC">
        <w:rPr>
          <w:color w:val="000000" w:themeColor="text1"/>
          <w:lang w:val="en-US"/>
        </w:rPr>
        <w:t>Rundschau</w:t>
      </w:r>
      <w:proofErr w:type="spellEnd"/>
      <w:r w:rsidR="0080099B" w:rsidRPr="00503BFC">
        <w:rPr>
          <w:color w:val="000000" w:themeColor="text1"/>
          <w:lang w:val="en-US"/>
        </w:rPr>
        <w:t xml:space="preserve"> </w:t>
      </w:r>
      <w:r w:rsidR="0026378F" w:rsidRPr="00503BFC">
        <w:rPr>
          <w:color w:val="000000" w:themeColor="text1"/>
          <w:lang w:val="en-US"/>
        </w:rPr>
        <w:t>84 (2005), 47</w:t>
      </w:r>
      <w:r w:rsidR="00852DA8" w:rsidRPr="00503BFC">
        <w:rPr>
          <w:color w:val="000000" w:themeColor="text1"/>
          <w:lang w:val="en-US"/>
        </w:rPr>
        <w:t>–79.</w:t>
      </w:r>
    </w:p>
    <w:p w14:paraId="5B8DC3EE" w14:textId="554F2F89" w:rsidR="001F5736" w:rsidRPr="00503BFC" w:rsidRDefault="007E75C6" w:rsidP="00901CC1">
      <w:pPr>
        <w:spacing w:after="120" w:line="300" w:lineRule="auto"/>
        <w:jc w:val="both"/>
        <w:rPr>
          <w:color w:val="000000" w:themeColor="text1"/>
          <w:lang w:val="en-US"/>
        </w:rPr>
      </w:pPr>
      <w:r w:rsidRPr="00503BFC">
        <w:rPr>
          <w:b/>
          <w:color w:val="000000" w:themeColor="text1"/>
          <w:lang w:val="en-US"/>
        </w:rPr>
        <w:t>Sydenham</w:t>
      </w:r>
      <w:r w:rsidR="008B4A57" w:rsidRPr="00503BFC">
        <w:rPr>
          <w:b/>
          <w:color w:val="000000" w:themeColor="text1"/>
          <w:lang w:val="en-US"/>
        </w:rPr>
        <w:t xml:space="preserve"> 1952</w:t>
      </w:r>
      <w:r w:rsidR="008B4A57" w:rsidRPr="00503BFC">
        <w:rPr>
          <w:color w:val="000000" w:themeColor="text1"/>
          <w:lang w:val="en-US"/>
        </w:rPr>
        <w:t xml:space="preserve"> = Sydenham</w:t>
      </w:r>
      <w:r w:rsidRPr="00503BFC">
        <w:rPr>
          <w:color w:val="000000" w:themeColor="text1"/>
          <w:lang w:val="en-US"/>
        </w:rPr>
        <w:t>, E</w:t>
      </w:r>
      <w:r w:rsidR="006A480B" w:rsidRPr="00503BFC">
        <w:rPr>
          <w:color w:val="000000" w:themeColor="text1"/>
          <w:lang w:val="en-US"/>
        </w:rPr>
        <w:t>. </w:t>
      </w:r>
      <w:r w:rsidRPr="00503BFC">
        <w:rPr>
          <w:color w:val="000000" w:themeColor="text1"/>
          <w:lang w:val="en-US"/>
        </w:rPr>
        <w:t>A., The Coinage of the Roman Republic, London 1952.</w:t>
      </w:r>
    </w:p>
    <w:p w14:paraId="7AFC8F4B" w14:textId="16B47864" w:rsidR="004711EB" w:rsidRDefault="004711EB" w:rsidP="00901CC1">
      <w:pPr>
        <w:spacing w:after="120" w:line="300" w:lineRule="auto"/>
        <w:jc w:val="both"/>
        <w:rPr>
          <w:b/>
          <w:color w:val="000000" w:themeColor="text1"/>
        </w:rPr>
      </w:pPr>
      <w:r>
        <w:rPr>
          <w:b/>
          <w:color w:val="000000" w:themeColor="text1"/>
        </w:rPr>
        <w:t xml:space="preserve">Ungern-Sternberg 1998 </w:t>
      </w:r>
      <w:r w:rsidRPr="004711EB">
        <w:rPr>
          <w:color w:val="000000" w:themeColor="text1"/>
        </w:rPr>
        <w:t xml:space="preserve">= Ungern-Sternberg, J. v., Die Legitimitätskrise der römischen Republik, in: HZ 266 (1998), 607–624. </w:t>
      </w:r>
    </w:p>
    <w:p w14:paraId="0FEB1545" w14:textId="4E0D9AE8" w:rsidR="00FF7CD8" w:rsidRPr="00CC0CFD" w:rsidRDefault="00FF7CD8" w:rsidP="00901CC1">
      <w:pPr>
        <w:spacing w:after="120" w:line="300" w:lineRule="auto"/>
        <w:jc w:val="both"/>
        <w:rPr>
          <w:color w:val="000000" w:themeColor="text1"/>
        </w:rPr>
      </w:pPr>
      <w:proofErr w:type="spellStart"/>
      <w:r w:rsidRPr="00CC0CFD">
        <w:rPr>
          <w:b/>
          <w:color w:val="000000" w:themeColor="text1"/>
        </w:rPr>
        <w:t>Wikander</w:t>
      </w:r>
      <w:proofErr w:type="spellEnd"/>
      <w:r w:rsidRPr="00CC0CFD">
        <w:rPr>
          <w:b/>
          <w:color w:val="000000" w:themeColor="text1"/>
        </w:rPr>
        <w:t xml:space="preserve"> 1976</w:t>
      </w:r>
      <w:r w:rsidRPr="00CC0CFD">
        <w:rPr>
          <w:color w:val="000000" w:themeColor="text1"/>
        </w:rPr>
        <w:t xml:space="preserve"> = </w:t>
      </w:r>
      <w:proofErr w:type="spellStart"/>
      <w:r w:rsidRPr="00CC0CFD">
        <w:rPr>
          <w:color w:val="000000" w:themeColor="text1"/>
        </w:rPr>
        <w:t>Wikander</w:t>
      </w:r>
      <w:proofErr w:type="spellEnd"/>
      <w:r w:rsidRPr="00CC0CFD">
        <w:rPr>
          <w:color w:val="000000" w:themeColor="text1"/>
        </w:rPr>
        <w:t xml:space="preserve">, Ö., Caius </w:t>
      </w:r>
      <w:proofErr w:type="spellStart"/>
      <w:r w:rsidRPr="00CC0CFD">
        <w:rPr>
          <w:color w:val="000000" w:themeColor="text1"/>
        </w:rPr>
        <w:t>Hostilius</w:t>
      </w:r>
      <w:proofErr w:type="spellEnd"/>
      <w:r w:rsidRPr="00CC0CFD">
        <w:rPr>
          <w:color w:val="000000" w:themeColor="text1"/>
        </w:rPr>
        <w:t xml:space="preserve"> </w:t>
      </w:r>
      <w:proofErr w:type="spellStart"/>
      <w:r w:rsidRPr="00CC0CFD">
        <w:rPr>
          <w:color w:val="000000" w:themeColor="text1"/>
        </w:rPr>
        <w:t>Mancinus</w:t>
      </w:r>
      <w:proofErr w:type="spellEnd"/>
      <w:r w:rsidR="00CC0CFD" w:rsidRPr="00CC0CFD">
        <w:rPr>
          <w:color w:val="000000" w:themeColor="text1"/>
        </w:rPr>
        <w:t xml:space="preserve"> </w:t>
      </w:r>
      <w:proofErr w:type="spellStart"/>
      <w:r w:rsidR="00CC0CFD" w:rsidRPr="00CC0CFD">
        <w:rPr>
          <w:color w:val="000000" w:themeColor="text1"/>
        </w:rPr>
        <w:t>and</w:t>
      </w:r>
      <w:proofErr w:type="spellEnd"/>
      <w:r w:rsidR="00CC0CFD" w:rsidRPr="00CC0CFD">
        <w:rPr>
          <w:color w:val="000000" w:themeColor="text1"/>
        </w:rPr>
        <w:t xml:space="preserve"> </w:t>
      </w:r>
      <w:proofErr w:type="spellStart"/>
      <w:r w:rsidR="00CC0CFD" w:rsidRPr="00CC0CFD">
        <w:rPr>
          <w:color w:val="000000" w:themeColor="text1"/>
        </w:rPr>
        <w:t>the</w:t>
      </w:r>
      <w:proofErr w:type="spellEnd"/>
      <w:r w:rsidR="00CC0CFD" w:rsidRPr="00CC0CFD">
        <w:rPr>
          <w:color w:val="000000" w:themeColor="text1"/>
        </w:rPr>
        <w:t xml:space="preserve"> </w:t>
      </w:r>
      <w:proofErr w:type="spellStart"/>
      <w:r w:rsidR="00CC0CFD" w:rsidRPr="00CC0CFD">
        <w:rPr>
          <w:color w:val="000000" w:themeColor="text1"/>
        </w:rPr>
        <w:t>foedus</w:t>
      </w:r>
      <w:proofErr w:type="spellEnd"/>
      <w:r w:rsidR="00CC0CFD" w:rsidRPr="00CC0CFD">
        <w:rPr>
          <w:color w:val="000000" w:themeColor="text1"/>
        </w:rPr>
        <w:t xml:space="preserve"> </w:t>
      </w:r>
      <w:proofErr w:type="spellStart"/>
      <w:r w:rsidR="00CC0CFD" w:rsidRPr="00CC0CFD">
        <w:rPr>
          <w:color w:val="000000" w:themeColor="text1"/>
        </w:rPr>
        <w:t>Numantinum</w:t>
      </w:r>
      <w:proofErr w:type="spellEnd"/>
      <w:r w:rsidRPr="00CC0CFD">
        <w:rPr>
          <w:color w:val="000000" w:themeColor="text1"/>
        </w:rPr>
        <w:t xml:space="preserve">, in: </w:t>
      </w:r>
      <w:proofErr w:type="spellStart"/>
      <w:r w:rsidRPr="00CC0CFD">
        <w:rPr>
          <w:color w:val="000000" w:themeColor="text1"/>
        </w:rPr>
        <w:t>ORom</w:t>
      </w:r>
      <w:proofErr w:type="spellEnd"/>
      <w:r w:rsidRPr="00CC0CFD">
        <w:rPr>
          <w:color w:val="000000" w:themeColor="text1"/>
        </w:rPr>
        <w:t xml:space="preserve"> 11 (1976) 85–104.</w:t>
      </w:r>
    </w:p>
    <w:p w14:paraId="22CC28FB" w14:textId="0CD2D968" w:rsidR="00F971F1" w:rsidRPr="00503BFC" w:rsidRDefault="00322699" w:rsidP="00901CC1">
      <w:pPr>
        <w:spacing w:after="120" w:line="300" w:lineRule="auto"/>
        <w:jc w:val="both"/>
        <w:rPr>
          <w:color w:val="000000" w:themeColor="text1"/>
        </w:rPr>
      </w:pPr>
      <w:r w:rsidRPr="00503BFC">
        <w:rPr>
          <w:b/>
          <w:color w:val="000000" w:themeColor="text1"/>
        </w:rPr>
        <w:t>Wolters 1999</w:t>
      </w:r>
      <w:r w:rsidRPr="00503BFC">
        <w:rPr>
          <w:color w:val="000000" w:themeColor="text1"/>
        </w:rPr>
        <w:t xml:space="preserve"> = </w:t>
      </w:r>
      <w:r w:rsidR="00F971F1" w:rsidRPr="00503BFC">
        <w:rPr>
          <w:color w:val="000000" w:themeColor="text1"/>
        </w:rPr>
        <w:t>Wolters, R</w:t>
      </w:r>
      <w:r w:rsidR="006A480B" w:rsidRPr="00503BFC">
        <w:rPr>
          <w:color w:val="000000" w:themeColor="text1"/>
        </w:rPr>
        <w:t>.</w:t>
      </w:r>
      <w:r w:rsidR="00F971F1" w:rsidRPr="00503BFC">
        <w:rPr>
          <w:color w:val="000000" w:themeColor="text1"/>
        </w:rPr>
        <w:t xml:space="preserve">, </w:t>
      </w:r>
      <w:proofErr w:type="spellStart"/>
      <w:r w:rsidR="00F971F1" w:rsidRPr="00503BFC">
        <w:rPr>
          <w:i/>
          <w:color w:val="000000" w:themeColor="text1"/>
        </w:rPr>
        <w:t>Nummi</w:t>
      </w:r>
      <w:proofErr w:type="spellEnd"/>
      <w:r w:rsidR="00F971F1" w:rsidRPr="00503BFC">
        <w:rPr>
          <w:i/>
          <w:color w:val="000000" w:themeColor="text1"/>
        </w:rPr>
        <w:t xml:space="preserve"> </w:t>
      </w:r>
      <w:proofErr w:type="spellStart"/>
      <w:r w:rsidR="00F971F1" w:rsidRPr="00503BFC">
        <w:rPr>
          <w:i/>
          <w:color w:val="000000" w:themeColor="text1"/>
        </w:rPr>
        <w:t>Signati</w:t>
      </w:r>
      <w:proofErr w:type="spellEnd"/>
      <w:r w:rsidR="00F971F1" w:rsidRPr="00503BFC">
        <w:rPr>
          <w:i/>
          <w:color w:val="000000" w:themeColor="text1"/>
        </w:rPr>
        <w:t>.</w:t>
      </w:r>
      <w:r w:rsidR="00F971F1" w:rsidRPr="00503BFC">
        <w:rPr>
          <w:color w:val="000000" w:themeColor="text1"/>
        </w:rPr>
        <w:t xml:space="preserve"> Untersuchungen zur römischen Münzprägung und Geldwirtschaft (</w:t>
      </w:r>
      <w:proofErr w:type="spellStart"/>
      <w:r w:rsidR="00F971F1" w:rsidRPr="00503BFC">
        <w:rPr>
          <w:color w:val="000000" w:themeColor="text1"/>
        </w:rPr>
        <w:t>Vestigia</w:t>
      </w:r>
      <w:proofErr w:type="spellEnd"/>
      <w:r w:rsidR="00F971F1" w:rsidRPr="00503BFC">
        <w:rPr>
          <w:color w:val="000000" w:themeColor="text1"/>
        </w:rPr>
        <w:t xml:space="preserve"> 49), München 1999, zgl. Habil. Braunschweig 1995.</w:t>
      </w:r>
    </w:p>
    <w:p w14:paraId="0013EE77" w14:textId="3CE24324" w:rsidR="002E26FA" w:rsidRPr="00503BFC" w:rsidRDefault="002D5242" w:rsidP="00901CC1">
      <w:pPr>
        <w:spacing w:after="120" w:line="300" w:lineRule="auto"/>
        <w:jc w:val="both"/>
        <w:rPr>
          <w:color w:val="000000" w:themeColor="text1"/>
          <w:lang w:val="en-US"/>
        </w:rPr>
      </w:pPr>
      <w:r w:rsidRPr="00503BFC">
        <w:rPr>
          <w:b/>
          <w:color w:val="000000" w:themeColor="text1"/>
        </w:rPr>
        <w:t>Wolters 2017</w:t>
      </w:r>
      <w:r w:rsidRPr="00503BFC">
        <w:rPr>
          <w:color w:val="000000" w:themeColor="text1"/>
        </w:rPr>
        <w:t xml:space="preserve"> = </w:t>
      </w:r>
      <w:r w:rsidR="00E872D2" w:rsidRPr="00503BFC">
        <w:rPr>
          <w:color w:val="000000" w:themeColor="text1"/>
        </w:rPr>
        <w:t>Wolters, R</w:t>
      </w:r>
      <w:r w:rsidR="006A480B" w:rsidRPr="00503BFC">
        <w:rPr>
          <w:color w:val="000000" w:themeColor="text1"/>
        </w:rPr>
        <w:t>.</w:t>
      </w:r>
      <w:r w:rsidR="00E872D2" w:rsidRPr="00503BFC">
        <w:rPr>
          <w:color w:val="000000" w:themeColor="text1"/>
        </w:rPr>
        <w:t xml:space="preserve">, Mehr als die Familie. Tagesaktuelle Bezüge und </w:t>
      </w:r>
      <w:proofErr w:type="spellStart"/>
      <w:r w:rsidR="00E872D2" w:rsidRPr="00503BFC">
        <w:rPr>
          <w:i/>
          <w:color w:val="000000" w:themeColor="text1"/>
        </w:rPr>
        <w:t>exempla</w:t>
      </w:r>
      <w:proofErr w:type="spellEnd"/>
      <w:r w:rsidR="00E872D2" w:rsidRPr="00503BFC">
        <w:rPr>
          <w:color w:val="000000" w:themeColor="text1"/>
        </w:rPr>
        <w:t xml:space="preserve"> in der </w:t>
      </w:r>
      <w:proofErr w:type="spellStart"/>
      <w:r w:rsidR="00E872D2" w:rsidRPr="00503BFC">
        <w:rPr>
          <w:color w:val="000000" w:themeColor="text1"/>
        </w:rPr>
        <w:t>Denarprägung</w:t>
      </w:r>
      <w:proofErr w:type="spellEnd"/>
      <w:r w:rsidR="00E872D2" w:rsidRPr="00503BFC">
        <w:rPr>
          <w:color w:val="000000" w:themeColor="text1"/>
        </w:rPr>
        <w:t xml:space="preserve"> des späteren 2. Jahrhunderts v. Chr., in: Haake</w:t>
      </w:r>
      <w:r w:rsidR="006A480B" w:rsidRPr="00503BFC">
        <w:rPr>
          <w:color w:val="000000" w:themeColor="text1"/>
        </w:rPr>
        <w:t>, M.</w:t>
      </w:r>
      <w:r w:rsidR="008422A0" w:rsidRPr="00503BFC">
        <w:rPr>
          <w:color w:val="000000" w:themeColor="text1"/>
        </w:rPr>
        <w:t xml:space="preserve"> </w:t>
      </w:r>
      <w:r w:rsidR="00E872D2" w:rsidRPr="00503BFC">
        <w:rPr>
          <w:color w:val="000000" w:themeColor="text1"/>
        </w:rPr>
        <w:t>/</w:t>
      </w:r>
      <w:r w:rsidR="008422A0" w:rsidRPr="00503BFC">
        <w:rPr>
          <w:color w:val="000000" w:themeColor="text1"/>
        </w:rPr>
        <w:t xml:space="preserve"> </w:t>
      </w:r>
      <w:r w:rsidR="00E872D2" w:rsidRPr="00503BFC">
        <w:rPr>
          <w:color w:val="000000" w:themeColor="text1"/>
        </w:rPr>
        <w:t>Harders</w:t>
      </w:r>
      <w:r w:rsidR="006A480B" w:rsidRPr="00503BFC">
        <w:rPr>
          <w:color w:val="000000" w:themeColor="text1"/>
        </w:rPr>
        <w:t>, A.-C.</w:t>
      </w:r>
      <w:r w:rsidR="00E872D2" w:rsidRPr="00503BFC">
        <w:rPr>
          <w:color w:val="000000" w:themeColor="text1"/>
        </w:rPr>
        <w:t xml:space="preserve"> (Hgg.), Politische Kultur und soziale Struktur</w:t>
      </w:r>
      <w:r w:rsidR="008422A0" w:rsidRPr="00503BFC">
        <w:rPr>
          <w:color w:val="000000" w:themeColor="text1"/>
        </w:rPr>
        <w:t xml:space="preserve"> der Römischen Republik. Bilanzen und Perspektiven. </w:t>
      </w:r>
      <w:r w:rsidR="008422A0" w:rsidRPr="00503BFC">
        <w:rPr>
          <w:color w:val="000000" w:themeColor="text1"/>
        </w:rPr>
        <w:lastRenderedPageBreak/>
        <w:t xml:space="preserve">Akten der internationalen Tagung anlässlich des 70. Todestages von Friedrich Münzer (Münster, 18.–20. </w:t>
      </w:r>
      <w:proofErr w:type="spellStart"/>
      <w:r w:rsidR="008422A0" w:rsidRPr="00503BFC">
        <w:rPr>
          <w:color w:val="000000" w:themeColor="text1"/>
          <w:lang w:val="en-US"/>
        </w:rPr>
        <w:t>Oktober</w:t>
      </w:r>
      <w:proofErr w:type="spellEnd"/>
      <w:r w:rsidR="008422A0" w:rsidRPr="00503BFC">
        <w:rPr>
          <w:color w:val="000000" w:themeColor="text1"/>
          <w:lang w:val="en-US"/>
        </w:rPr>
        <w:t xml:space="preserve"> 2012), Stuttgart</w:t>
      </w:r>
      <w:r w:rsidR="00E872D2" w:rsidRPr="00503BFC">
        <w:rPr>
          <w:color w:val="000000" w:themeColor="text1"/>
          <w:lang w:val="en-US"/>
        </w:rPr>
        <w:t xml:space="preserve"> 2017, 155–183.</w:t>
      </w:r>
    </w:p>
    <w:p w14:paraId="2DF6E0C3" w14:textId="4914E796" w:rsidR="00BE0515" w:rsidRPr="00503BFC" w:rsidRDefault="00C16165" w:rsidP="00901CC1">
      <w:pPr>
        <w:spacing w:after="120" w:line="300" w:lineRule="auto"/>
        <w:jc w:val="both"/>
        <w:rPr>
          <w:color w:val="000000" w:themeColor="text1"/>
          <w:lang w:val="en-US"/>
        </w:rPr>
      </w:pPr>
      <w:proofErr w:type="spellStart"/>
      <w:r w:rsidRPr="00503BFC">
        <w:rPr>
          <w:b/>
          <w:color w:val="000000" w:themeColor="text1"/>
          <w:lang w:val="en-US"/>
        </w:rPr>
        <w:t>Woytek</w:t>
      </w:r>
      <w:proofErr w:type="spellEnd"/>
      <w:r w:rsidRPr="00503BFC">
        <w:rPr>
          <w:b/>
          <w:color w:val="000000" w:themeColor="text1"/>
          <w:lang w:val="en-US"/>
        </w:rPr>
        <w:t xml:space="preserve"> 2012</w:t>
      </w:r>
      <w:r w:rsidRPr="00503BFC">
        <w:rPr>
          <w:color w:val="000000" w:themeColor="text1"/>
          <w:lang w:val="en-US"/>
        </w:rPr>
        <w:t xml:space="preserve"> = </w:t>
      </w:r>
      <w:proofErr w:type="spellStart"/>
      <w:r w:rsidR="00BE0515" w:rsidRPr="00503BFC">
        <w:rPr>
          <w:color w:val="000000" w:themeColor="text1"/>
          <w:lang w:val="en-US"/>
        </w:rPr>
        <w:t>Woytek</w:t>
      </w:r>
      <w:proofErr w:type="spellEnd"/>
      <w:r w:rsidR="00BE0515" w:rsidRPr="00503BFC">
        <w:rPr>
          <w:color w:val="000000" w:themeColor="text1"/>
          <w:lang w:val="en-US"/>
        </w:rPr>
        <w:t xml:space="preserve">, B. E., The Denarius Coinage of the Roman Republic, in: Metcalf, W. E. (Hg.), The Oxford Handbook of Greek and Roman Coinage, Oxford 2012, 315–334. </w:t>
      </w:r>
    </w:p>
    <w:p w14:paraId="713903A3" w14:textId="6B457142" w:rsidR="000762F5" w:rsidRPr="008C4D09" w:rsidRDefault="0009636E" w:rsidP="008C4D09">
      <w:pPr>
        <w:spacing w:after="120" w:line="300" w:lineRule="auto"/>
        <w:jc w:val="both"/>
        <w:rPr>
          <w:color w:val="000000" w:themeColor="text1"/>
          <w:lang w:val="fr-FR"/>
        </w:rPr>
      </w:pPr>
      <w:proofErr w:type="spellStart"/>
      <w:r w:rsidRPr="00503BFC">
        <w:rPr>
          <w:b/>
          <w:color w:val="000000" w:themeColor="text1"/>
          <w:lang w:val="fr-FR"/>
        </w:rPr>
        <w:t>Zehnacker</w:t>
      </w:r>
      <w:proofErr w:type="spellEnd"/>
      <w:r w:rsidRPr="00503BFC">
        <w:rPr>
          <w:b/>
          <w:color w:val="000000" w:themeColor="text1"/>
          <w:lang w:val="fr-FR"/>
        </w:rPr>
        <w:t xml:space="preserve"> 1973</w:t>
      </w:r>
      <w:r w:rsidRPr="00503BFC">
        <w:rPr>
          <w:color w:val="000000" w:themeColor="text1"/>
          <w:lang w:val="fr-FR"/>
        </w:rPr>
        <w:t xml:space="preserve"> = </w:t>
      </w:r>
      <w:proofErr w:type="spellStart"/>
      <w:r w:rsidR="007E75C6" w:rsidRPr="00503BFC">
        <w:rPr>
          <w:color w:val="000000" w:themeColor="text1"/>
          <w:lang w:val="fr-FR"/>
        </w:rPr>
        <w:t>Zehnacker</w:t>
      </w:r>
      <w:proofErr w:type="spellEnd"/>
      <w:r w:rsidR="007E75C6" w:rsidRPr="00503BFC">
        <w:rPr>
          <w:color w:val="000000" w:themeColor="text1"/>
          <w:lang w:val="fr-FR"/>
        </w:rPr>
        <w:t>, H</w:t>
      </w:r>
      <w:r w:rsidR="006A480B" w:rsidRPr="00503BFC">
        <w:rPr>
          <w:color w:val="000000" w:themeColor="text1"/>
          <w:lang w:val="fr-FR"/>
        </w:rPr>
        <w:t>.</w:t>
      </w:r>
      <w:r w:rsidR="007E75C6" w:rsidRPr="00503BFC">
        <w:rPr>
          <w:color w:val="000000" w:themeColor="text1"/>
          <w:lang w:val="fr-FR"/>
        </w:rPr>
        <w:t xml:space="preserve">, </w:t>
      </w:r>
      <w:proofErr w:type="spellStart"/>
      <w:r w:rsidR="007E75C6" w:rsidRPr="00503BFC">
        <w:rPr>
          <w:color w:val="000000" w:themeColor="text1"/>
          <w:lang w:val="fr-FR"/>
        </w:rPr>
        <w:t>Moneta</w:t>
      </w:r>
      <w:proofErr w:type="spellEnd"/>
      <w:r w:rsidR="007E75C6" w:rsidRPr="00503BFC">
        <w:rPr>
          <w:color w:val="000000" w:themeColor="text1"/>
          <w:lang w:val="fr-FR"/>
        </w:rPr>
        <w:t xml:space="preserve">. </w:t>
      </w:r>
      <w:proofErr w:type="spellStart"/>
      <w:r w:rsidR="007E75C6" w:rsidRPr="00503BFC">
        <w:rPr>
          <w:color w:val="000000" w:themeColor="text1"/>
          <w:lang w:val="fr-FR"/>
        </w:rPr>
        <w:t>Recherces</w:t>
      </w:r>
      <w:proofErr w:type="spellEnd"/>
      <w:r w:rsidR="007E75C6" w:rsidRPr="00503BFC">
        <w:rPr>
          <w:color w:val="000000" w:themeColor="text1"/>
          <w:lang w:val="fr-FR"/>
        </w:rPr>
        <w:t xml:space="preserve"> sur l’organisation et l’art des émissions monétaires de la République romaine (289–31 av. J.-C.) (Bibliothèque des Écoles françaises d’Athènes et de Rome 222), Rome 1973.</w:t>
      </w:r>
    </w:p>
    <w:sectPr w:rsidR="000762F5" w:rsidRPr="008C4D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2782" w14:textId="77777777" w:rsidR="00097CDA" w:rsidRDefault="00097CDA" w:rsidP="004E4F9B">
      <w:r>
        <w:separator/>
      </w:r>
    </w:p>
  </w:endnote>
  <w:endnote w:type="continuationSeparator" w:id="0">
    <w:p w14:paraId="446111E1" w14:textId="77777777" w:rsidR="00097CDA" w:rsidRDefault="00097CDA" w:rsidP="004E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de">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FEFC" w14:textId="77777777" w:rsidR="00097CDA" w:rsidRDefault="00097CDA" w:rsidP="004E4F9B">
      <w:r>
        <w:separator/>
      </w:r>
    </w:p>
  </w:footnote>
  <w:footnote w:type="continuationSeparator" w:id="0">
    <w:p w14:paraId="6766E5CE" w14:textId="77777777" w:rsidR="00097CDA" w:rsidRDefault="00097CDA" w:rsidP="004E4F9B">
      <w:r>
        <w:continuationSeparator/>
      </w:r>
    </w:p>
  </w:footnote>
  <w:footnote w:id="1">
    <w:p w14:paraId="085ED471" w14:textId="1DBF1105" w:rsidR="007120D8" w:rsidRDefault="007120D8" w:rsidP="00022256">
      <w:pPr>
        <w:pStyle w:val="Funotentext"/>
        <w:jc w:val="both"/>
        <w:rPr>
          <w:color w:val="000000" w:themeColor="text1"/>
        </w:rPr>
      </w:pPr>
      <w:r>
        <w:rPr>
          <w:color w:val="000000" w:themeColor="text1"/>
        </w:rPr>
        <w:t>* Ich danke Johannes Wienand (Braunschweig)</w:t>
      </w:r>
      <w:r w:rsidR="00682CFE">
        <w:rPr>
          <w:color w:val="000000" w:themeColor="text1"/>
        </w:rPr>
        <w:t xml:space="preserve"> und Christoph Michels (Düsseldorf)</w:t>
      </w:r>
      <w:r>
        <w:rPr>
          <w:color w:val="000000" w:themeColor="text1"/>
        </w:rPr>
        <w:t xml:space="preserve"> für </w:t>
      </w:r>
      <w:r w:rsidR="00682CFE">
        <w:rPr>
          <w:color w:val="000000" w:themeColor="text1"/>
        </w:rPr>
        <w:t>ihr</w:t>
      </w:r>
      <w:r>
        <w:rPr>
          <w:color w:val="000000" w:themeColor="text1"/>
        </w:rPr>
        <w:t xml:space="preserve"> Feedback und wichtige Hinweise.</w:t>
      </w:r>
    </w:p>
    <w:p w14:paraId="2D889179" w14:textId="7722AD4A" w:rsidR="00F568E5" w:rsidRPr="001B226D" w:rsidRDefault="00F568E5" w:rsidP="00022256">
      <w:pPr>
        <w:pStyle w:val="Funotentext"/>
        <w:jc w:val="both"/>
        <w:rPr>
          <w:color w:val="000000" w:themeColor="text1"/>
        </w:rPr>
      </w:pPr>
      <w:r w:rsidRPr="009A0D2E">
        <w:rPr>
          <w:rStyle w:val="Funotenzeichen"/>
          <w:color w:val="000000" w:themeColor="text1"/>
        </w:rPr>
        <w:footnoteRef/>
      </w:r>
      <w:r w:rsidRPr="009A0D2E">
        <w:rPr>
          <w:color w:val="000000" w:themeColor="text1"/>
        </w:rPr>
        <w:t xml:space="preserve"> RRC 234/1: Avers TI VET sowie eine rechtsgerichtete Büste des Mars mit korinthischem Helm; Revers ROMA sowie die Schwurszene: Ein kniender Jüngling hält ein Ferkel, das zwei an seiner Seite befindliche Krieger mit </w:t>
      </w:r>
      <w:r w:rsidRPr="001B226D">
        <w:rPr>
          <w:color w:val="000000" w:themeColor="text1"/>
        </w:rPr>
        <w:t xml:space="preserve">ihren Schwertern berühren; der linke Krieger ist bärtig, der rechte trägt keinen Bart, beide halten einen Speer. </w:t>
      </w:r>
    </w:p>
  </w:footnote>
  <w:footnote w:id="2">
    <w:p w14:paraId="5B2B1FD8" w14:textId="6C27259B" w:rsidR="004C2A52" w:rsidRPr="004C2A52" w:rsidRDefault="00F568E5" w:rsidP="00022256">
      <w:pPr>
        <w:pStyle w:val="Funotentext"/>
        <w:jc w:val="both"/>
        <w:rPr>
          <w:color w:val="000000" w:themeColor="text1"/>
        </w:rPr>
      </w:pPr>
      <w:r w:rsidRPr="00D34A60">
        <w:rPr>
          <w:rStyle w:val="Funotenzeichen"/>
          <w:color w:val="000000" w:themeColor="text1"/>
        </w:rPr>
        <w:footnoteRef/>
      </w:r>
      <w:r w:rsidRPr="00D34A60">
        <w:rPr>
          <w:color w:val="000000" w:themeColor="text1"/>
        </w:rPr>
        <w:t xml:space="preserve"> Datierung auf 137: </w:t>
      </w:r>
      <w:r w:rsidRPr="00246AAA">
        <w:rPr>
          <w:color w:val="000000" w:themeColor="text1"/>
        </w:rPr>
        <w:t xml:space="preserve">Crawford 1974, 74. </w:t>
      </w:r>
      <w:proofErr w:type="spellStart"/>
      <w:r w:rsidRPr="00246AAA">
        <w:rPr>
          <w:color w:val="000000" w:themeColor="text1"/>
        </w:rPr>
        <w:t>Mattingly</w:t>
      </w:r>
      <w:proofErr w:type="spellEnd"/>
      <w:r w:rsidRPr="00246AAA">
        <w:rPr>
          <w:color w:val="000000" w:themeColor="text1"/>
        </w:rPr>
        <w:t xml:space="preserve"> 2004, 216 korrigiert aus Erwägungen zum historischen Ablauf auf 136. Vor Crawford wurde der Denar meist später datiert: 129 (</w:t>
      </w:r>
      <w:proofErr w:type="spellStart"/>
      <w:r w:rsidRPr="00246AAA">
        <w:rPr>
          <w:color w:val="000000" w:themeColor="text1"/>
        </w:rPr>
        <w:t>Babelon</w:t>
      </w:r>
      <w:proofErr w:type="spellEnd"/>
      <w:r w:rsidRPr="00246AAA">
        <w:rPr>
          <w:color w:val="000000" w:themeColor="text1"/>
        </w:rPr>
        <w:t xml:space="preserve"> 1886, 533); 110/08 (</w:t>
      </w:r>
      <w:proofErr w:type="spellStart"/>
      <w:r w:rsidRPr="00246AAA">
        <w:rPr>
          <w:color w:val="000000" w:themeColor="text1"/>
        </w:rPr>
        <w:t>Sydenham</w:t>
      </w:r>
      <w:proofErr w:type="spellEnd"/>
      <w:r w:rsidRPr="00246AAA">
        <w:rPr>
          <w:color w:val="000000" w:themeColor="text1"/>
        </w:rPr>
        <w:t xml:space="preserve"> 1952, 527 f., gefolgt von Zehnacker 1973</w:t>
      </w:r>
      <w:r w:rsidRPr="00D34A60">
        <w:rPr>
          <w:color w:val="000000" w:themeColor="text1"/>
        </w:rPr>
        <w:t xml:space="preserve">, 310); 100 (Gundel 1958, 1884 f.). </w:t>
      </w:r>
      <w:proofErr w:type="spellStart"/>
      <w:r w:rsidRPr="00D34A60">
        <w:rPr>
          <w:color w:val="000000" w:themeColor="text1"/>
        </w:rPr>
        <w:t>Stannard</w:t>
      </w:r>
      <w:proofErr w:type="spellEnd"/>
      <w:r w:rsidRPr="00D34A60">
        <w:rPr>
          <w:color w:val="000000" w:themeColor="text1"/>
        </w:rPr>
        <w:t xml:space="preserve"> 2005, 58–60 hat vorgeschlagen, den Denar in die Zeit des C. Gracchus (123–21) zu setzen, was angesichts der relativen Chronologie der Prägungen im Umfeld von RRC 234/1 aber wohl einen zu großen Eingriff darstellt (genauer s. u.). Zwei weitere Münzen, die häufig im Zusammenhang mit dem Ende der Motivbindung erwähnt werden (bei </w:t>
      </w:r>
      <w:proofErr w:type="spellStart"/>
      <w:r w:rsidRPr="00D34A60">
        <w:rPr>
          <w:color w:val="000000" w:themeColor="text1"/>
        </w:rPr>
        <w:t>Mattingly</w:t>
      </w:r>
      <w:proofErr w:type="spellEnd"/>
      <w:r w:rsidRPr="00D34A60">
        <w:rPr>
          <w:color w:val="000000" w:themeColor="text1"/>
        </w:rPr>
        <w:t xml:space="preserve"> </w:t>
      </w:r>
      <w:r w:rsidRPr="00D34A60">
        <w:rPr>
          <w:color w:val="000000" w:themeColor="text1"/>
          <w:vertAlign w:val="superscript"/>
        </w:rPr>
        <w:t>2</w:t>
      </w:r>
      <w:r w:rsidRPr="00D34A60">
        <w:rPr>
          <w:color w:val="000000" w:themeColor="text1"/>
        </w:rPr>
        <w:t xml:space="preserve">1960, 56 sogar unter Auslassung des </w:t>
      </w:r>
      <w:proofErr w:type="spellStart"/>
      <w:r w:rsidRPr="00D34A60">
        <w:rPr>
          <w:color w:val="000000" w:themeColor="text1"/>
        </w:rPr>
        <w:t>Veturius</w:t>
      </w:r>
      <w:proofErr w:type="spellEnd"/>
      <w:r w:rsidRPr="00D34A60">
        <w:rPr>
          <w:color w:val="000000" w:themeColor="text1"/>
        </w:rPr>
        <w:t xml:space="preserve">-Denars), sind Denare des Sex. </w:t>
      </w:r>
      <w:proofErr w:type="spellStart"/>
      <w:r w:rsidRPr="00D34A60">
        <w:rPr>
          <w:color w:val="000000" w:themeColor="text1"/>
        </w:rPr>
        <w:t>Pompeius</w:t>
      </w:r>
      <w:proofErr w:type="spellEnd"/>
      <w:r w:rsidRPr="00D34A60">
        <w:rPr>
          <w:color w:val="000000" w:themeColor="text1"/>
        </w:rPr>
        <w:t xml:space="preserve"> </w:t>
      </w:r>
      <w:r w:rsidR="004C2A52">
        <w:rPr>
          <w:color w:val="000000" w:themeColor="text1"/>
        </w:rPr>
        <w:t>(</w:t>
      </w:r>
      <w:proofErr w:type="spellStart"/>
      <w:r w:rsidR="004C2A52">
        <w:rPr>
          <w:color w:val="000000" w:themeColor="text1"/>
        </w:rPr>
        <w:t>Fostlus</w:t>
      </w:r>
      <w:proofErr w:type="spellEnd"/>
      <w:r w:rsidR="004C2A52">
        <w:rPr>
          <w:color w:val="000000" w:themeColor="text1"/>
        </w:rPr>
        <w:t>?)</w:t>
      </w:r>
      <w:r w:rsidRPr="00D34A60">
        <w:rPr>
          <w:color w:val="000000" w:themeColor="text1"/>
        </w:rPr>
        <w:t xml:space="preserve"> (RRC 235/1) und des C. </w:t>
      </w:r>
      <w:proofErr w:type="spellStart"/>
      <w:r w:rsidRPr="00D34A60">
        <w:rPr>
          <w:color w:val="000000" w:themeColor="text1"/>
        </w:rPr>
        <w:t>Minucius</w:t>
      </w:r>
      <w:proofErr w:type="spellEnd"/>
      <w:r w:rsidRPr="00D34A60">
        <w:rPr>
          <w:color w:val="000000" w:themeColor="text1"/>
        </w:rPr>
        <w:t xml:space="preserve"> </w:t>
      </w:r>
      <w:proofErr w:type="spellStart"/>
      <w:r w:rsidRPr="00D34A60">
        <w:rPr>
          <w:color w:val="000000" w:themeColor="text1"/>
        </w:rPr>
        <w:t>Augurinus</w:t>
      </w:r>
      <w:proofErr w:type="spellEnd"/>
      <w:r w:rsidRPr="00D34A60">
        <w:rPr>
          <w:color w:val="000000" w:themeColor="text1"/>
        </w:rPr>
        <w:t xml:space="preserve"> (RRC 242/1). Zu diesen Münzen vgl. ausführlich Wolters 2017, 164–6 u. 170–4.</w:t>
      </w:r>
    </w:p>
  </w:footnote>
  <w:footnote w:id="3">
    <w:p w14:paraId="5F8942BF" w14:textId="7031B79A" w:rsidR="00F568E5" w:rsidRPr="00D34A60" w:rsidRDefault="00F568E5" w:rsidP="00022256">
      <w:pPr>
        <w:pStyle w:val="Funotentext"/>
        <w:jc w:val="both"/>
        <w:rPr>
          <w:color w:val="000000" w:themeColor="text1"/>
        </w:rPr>
      </w:pPr>
      <w:r w:rsidRPr="00D34A60">
        <w:rPr>
          <w:rStyle w:val="Funotenzeichen"/>
          <w:color w:val="000000" w:themeColor="text1"/>
        </w:rPr>
        <w:footnoteRef/>
      </w:r>
      <w:r w:rsidRPr="00D34A60">
        <w:rPr>
          <w:color w:val="000000" w:themeColor="text1"/>
        </w:rPr>
        <w:t xml:space="preserve"> Ausführlicher zur Entwicklung bis zum Ende der Motivbindung: </w:t>
      </w:r>
      <w:proofErr w:type="spellStart"/>
      <w:r w:rsidRPr="00D34A60">
        <w:rPr>
          <w:color w:val="000000" w:themeColor="text1"/>
        </w:rPr>
        <w:t>Alföldi</w:t>
      </w:r>
      <w:proofErr w:type="spellEnd"/>
      <w:r w:rsidRPr="00D34A60">
        <w:rPr>
          <w:color w:val="000000" w:themeColor="text1"/>
        </w:rPr>
        <w:t xml:space="preserve"> 1956, 64–7 u. Wolters 1999, 27–9. Wolters 2017, 160 u. </w:t>
      </w:r>
      <w:proofErr w:type="spellStart"/>
      <w:r w:rsidRPr="00D34A60">
        <w:rPr>
          <w:color w:val="000000" w:themeColor="text1"/>
        </w:rPr>
        <w:t>Woytek</w:t>
      </w:r>
      <w:proofErr w:type="spellEnd"/>
      <w:r w:rsidRPr="00D34A60">
        <w:rPr>
          <w:color w:val="000000" w:themeColor="text1"/>
        </w:rPr>
        <w:t xml:space="preserve"> 2012, 326 weisen darauf hin, dass bereits seit 144 mit den sog. ‚wagenfahrenden Gottheiten‘ experimentiert wurde; hierbei wurden bereits gängige Schemata der Darstellung aber lediglich variiert, der Sprung zu gänzlich individuellen Motiven war insofern von ganz andere</w:t>
      </w:r>
      <w:r>
        <w:rPr>
          <w:color w:val="000000" w:themeColor="text1"/>
        </w:rPr>
        <w:t>r</w:t>
      </w:r>
      <w:r w:rsidRPr="00D34A60">
        <w:rPr>
          <w:color w:val="000000" w:themeColor="text1"/>
        </w:rPr>
        <w:t xml:space="preserve"> Qualität.</w:t>
      </w:r>
    </w:p>
  </w:footnote>
  <w:footnote w:id="4">
    <w:p w14:paraId="5501E5A3" w14:textId="1C1C4028" w:rsidR="00AF32FC" w:rsidRPr="00C10EC1" w:rsidRDefault="00F568E5" w:rsidP="00022256">
      <w:pPr>
        <w:pStyle w:val="Funotentext"/>
        <w:jc w:val="both"/>
      </w:pPr>
      <w:r w:rsidRPr="00237D03">
        <w:rPr>
          <w:rStyle w:val="Funotenzeichen"/>
        </w:rPr>
        <w:footnoteRef/>
      </w:r>
      <w:r w:rsidRPr="00237D03">
        <w:t xml:space="preserve"> Vgl. für die</w:t>
      </w:r>
      <w:r>
        <w:t>se</w:t>
      </w:r>
      <w:r w:rsidRPr="00237D03">
        <w:t xml:space="preserve"> </w:t>
      </w:r>
      <w:r>
        <w:t>Folge</w:t>
      </w:r>
      <w:r w:rsidRPr="00237D03">
        <w:t xml:space="preserve"> </w:t>
      </w:r>
      <w:r>
        <w:t xml:space="preserve">der </w:t>
      </w:r>
      <w:proofErr w:type="spellStart"/>
      <w:r>
        <w:t>faktion</w:t>
      </w:r>
      <w:r w:rsidRPr="00237D03">
        <w:t>alen</w:t>
      </w:r>
      <w:proofErr w:type="spellEnd"/>
      <w:r w:rsidRPr="00237D03">
        <w:t xml:space="preserve"> Deutung Wolters 2017, 158 u. 170, der den tagespolitischen Bezug für primär hält (</w:t>
      </w:r>
      <w:r>
        <w:t xml:space="preserve">und </w:t>
      </w:r>
      <w:r w:rsidRPr="00237D03">
        <w:t xml:space="preserve">ihn durch die </w:t>
      </w:r>
      <w:proofErr w:type="spellStart"/>
      <w:r w:rsidRPr="00237D03">
        <w:rPr>
          <w:i/>
        </w:rPr>
        <w:t>fides</w:t>
      </w:r>
      <w:proofErr w:type="spellEnd"/>
      <w:r w:rsidRPr="00237D03">
        <w:rPr>
          <w:i/>
        </w:rPr>
        <w:t xml:space="preserve"> Romana</w:t>
      </w:r>
      <w:r w:rsidRPr="00237D03">
        <w:t>-Aussage [s</w:t>
      </w:r>
      <w:r w:rsidRPr="005D4D7A">
        <w:t>. u.] quasi den ‚</w:t>
      </w:r>
      <w:proofErr w:type="spellStart"/>
      <w:r w:rsidRPr="005D4D7A">
        <w:t>civic</w:t>
      </w:r>
      <w:proofErr w:type="spellEnd"/>
      <w:r w:rsidRPr="005D4D7A">
        <w:t xml:space="preserve"> </w:t>
      </w:r>
      <w:proofErr w:type="spellStart"/>
      <w:r w:rsidRPr="005D4D7A">
        <w:t>types</w:t>
      </w:r>
      <w:proofErr w:type="spellEnd"/>
      <w:r w:rsidRPr="005D4D7A">
        <w:t xml:space="preserve">‘ zuordnet), die familiäre Repräsentation hingegen </w:t>
      </w:r>
      <w:r>
        <w:t>nur</w:t>
      </w:r>
      <w:r w:rsidRPr="005D4D7A">
        <w:t xml:space="preserve"> ergänzend hinzutreten lässt. Mit Blick auf die Münzprägung insgesamt ist aber wohl den auf </w:t>
      </w:r>
      <w:proofErr w:type="spellStart"/>
      <w:r w:rsidRPr="005D4D7A">
        <w:t>Flower</w:t>
      </w:r>
      <w:proofErr w:type="spellEnd"/>
      <w:r w:rsidRPr="005D4D7A">
        <w:t xml:space="preserve"> 1996, 79–88 u. 333–8 aufbauenden</w:t>
      </w:r>
      <w:r>
        <w:t xml:space="preserve"> </w:t>
      </w:r>
      <w:r w:rsidRPr="00816562">
        <w:t>Überlegungen von Meadows/Williams 2001, v. a. 40–2</w:t>
      </w:r>
      <w:r>
        <w:t xml:space="preserve"> zu folgen, wonach die Münzbilder als Teil der allgemeinen Memorialkultur ein Medium aristokratisch-familiärer Imagebildung waren, ähnlich wie Monumente, Statuen oder (im Fall von RRC 234/1 besonders deutlich) die Historiographie. Dies erkennt in den fraglichen Münzen Familienprägungen. Es ging bei alldem aber nicht in erster Linie um den Anschub der eigenen Karriere, wie oft behauptet wird (bspw. </w:t>
      </w:r>
      <w:proofErr w:type="spellStart"/>
      <w:r>
        <w:t>Flower</w:t>
      </w:r>
      <w:proofErr w:type="spellEnd"/>
      <w:r>
        <w:t xml:space="preserve"> 1996, 79–82; Hölscher 2014, 27; </w:t>
      </w:r>
      <w:proofErr w:type="spellStart"/>
      <w:r>
        <w:t>Woytek</w:t>
      </w:r>
      <w:proofErr w:type="spellEnd"/>
      <w:r>
        <w:t xml:space="preserve"> 2012, 326 f.), mitunter aufgrund der zeitlichen Nähe zum Beginn geheimer Abstimmungen bei Magistratswahlen durch die </w:t>
      </w:r>
      <w:proofErr w:type="spellStart"/>
      <w:r w:rsidRPr="005D4D7A">
        <w:rPr>
          <w:i/>
        </w:rPr>
        <w:t>lex</w:t>
      </w:r>
      <w:proofErr w:type="spellEnd"/>
      <w:r w:rsidRPr="005D4D7A">
        <w:rPr>
          <w:i/>
        </w:rPr>
        <w:t xml:space="preserve"> </w:t>
      </w:r>
      <w:proofErr w:type="spellStart"/>
      <w:r w:rsidRPr="005D4D7A">
        <w:rPr>
          <w:i/>
        </w:rPr>
        <w:t>Gabinia</w:t>
      </w:r>
      <w:proofErr w:type="spellEnd"/>
      <w:r>
        <w:t xml:space="preserve"> 139. Ein Zusammenhang mit dieser </w:t>
      </w:r>
      <w:proofErr w:type="spellStart"/>
      <w:r w:rsidRPr="00C10EC1">
        <w:rPr>
          <w:i/>
        </w:rPr>
        <w:t>lex</w:t>
      </w:r>
      <w:proofErr w:type="spellEnd"/>
      <w:r w:rsidRPr="00C10EC1">
        <w:rPr>
          <w:i/>
        </w:rPr>
        <w:t xml:space="preserve"> </w:t>
      </w:r>
      <w:r>
        <w:t xml:space="preserve">ist aber nicht zu erweisen, da der Effekt der gesetzlichen Bestimmung (ebenso wie die Stoßrichtung, vgl. dazu </w:t>
      </w:r>
      <w:proofErr w:type="spellStart"/>
      <w:r>
        <w:t>Jehne</w:t>
      </w:r>
      <w:proofErr w:type="spellEnd"/>
      <w:r>
        <w:t xml:space="preserve"> 1993 </w:t>
      </w:r>
      <w:r w:rsidRPr="005D4D7A">
        <w:rPr>
          <w:i/>
        </w:rPr>
        <w:t>passim</w:t>
      </w:r>
      <w:r>
        <w:t xml:space="preserve">) kaum zu bestimmen ist. </w:t>
      </w:r>
    </w:p>
  </w:footnote>
  <w:footnote w:id="5">
    <w:p w14:paraId="3FC830C4" w14:textId="4F280851" w:rsidR="00F568E5" w:rsidRPr="00D34A60" w:rsidRDefault="00F568E5" w:rsidP="00022256">
      <w:pPr>
        <w:pStyle w:val="Funotentext"/>
        <w:jc w:val="both"/>
        <w:rPr>
          <w:color w:val="000000" w:themeColor="text1"/>
        </w:rPr>
      </w:pPr>
      <w:r w:rsidRPr="00D34A60">
        <w:rPr>
          <w:rStyle w:val="Funotenzeichen"/>
          <w:color w:val="000000" w:themeColor="text1"/>
        </w:rPr>
        <w:footnoteRef/>
      </w:r>
      <w:r w:rsidRPr="00D34A60">
        <w:rPr>
          <w:color w:val="000000" w:themeColor="text1"/>
        </w:rPr>
        <w:t xml:space="preserve"> Zur einzigen grundlegenden Gegenstimme jüngerer Zeit </w:t>
      </w:r>
      <w:proofErr w:type="spellStart"/>
      <w:r w:rsidRPr="00D34A60">
        <w:rPr>
          <w:color w:val="000000" w:themeColor="text1"/>
        </w:rPr>
        <w:t>Stannards</w:t>
      </w:r>
      <w:proofErr w:type="spellEnd"/>
      <w:r w:rsidRPr="00D34A60">
        <w:rPr>
          <w:color w:val="000000" w:themeColor="text1"/>
        </w:rPr>
        <w:t xml:space="preserve"> s. u. Der Deutung Crawfords angeschlossen haben sich hinge</w:t>
      </w:r>
      <w:r w:rsidRPr="0017170F">
        <w:rPr>
          <w:color w:val="000000" w:themeColor="text1"/>
        </w:rPr>
        <w:t xml:space="preserve">gen: </w:t>
      </w:r>
      <w:proofErr w:type="spellStart"/>
      <w:r w:rsidRPr="0017170F">
        <w:rPr>
          <w:color w:val="000000" w:themeColor="text1"/>
        </w:rPr>
        <w:t>Mattingly</w:t>
      </w:r>
      <w:proofErr w:type="spellEnd"/>
      <w:r w:rsidRPr="0017170F">
        <w:rPr>
          <w:color w:val="000000" w:themeColor="text1"/>
        </w:rPr>
        <w:t xml:space="preserve"> 2004</w:t>
      </w:r>
      <w:r w:rsidR="0017170F" w:rsidRPr="0017170F">
        <w:rPr>
          <w:color w:val="000000" w:themeColor="text1"/>
        </w:rPr>
        <w:t>, 216</w:t>
      </w:r>
      <w:r w:rsidRPr="0017170F">
        <w:rPr>
          <w:color w:val="000000" w:themeColor="text1"/>
        </w:rPr>
        <w:t xml:space="preserve">; </w:t>
      </w:r>
      <w:r w:rsidR="001732B6" w:rsidRPr="0017170F">
        <w:rPr>
          <w:color w:val="000000" w:themeColor="text1"/>
        </w:rPr>
        <w:t xml:space="preserve">Rosenstein 1986, 241 f.; </w:t>
      </w:r>
      <w:r w:rsidRPr="0017170F">
        <w:rPr>
          <w:color w:val="000000" w:themeColor="text1"/>
        </w:rPr>
        <w:t>Wolters 2017, 166–70.</w:t>
      </w:r>
      <w:r w:rsidRPr="00D34A60">
        <w:rPr>
          <w:color w:val="000000" w:themeColor="text1"/>
        </w:rPr>
        <w:t xml:space="preserve"> </w:t>
      </w:r>
    </w:p>
  </w:footnote>
  <w:footnote w:id="6">
    <w:p w14:paraId="0F398D20" w14:textId="65EFE098" w:rsidR="00F568E5" w:rsidRPr="00D34A60" w:rsidRDefault="00F568E5" w:rsidP="00022256">
      <w:pPr>
        <w:pStyle w:val="Funotentext"/>
        <w:jc w:val="both"/>
        <w:rPr>
          <w:color w:val="000000" w:themeColor="text1"/>
        </w:rPr>
      </w:pPr>
      <w:r w:rsidRPr="00D34A60">
        <w:rPr>
          <w:rStyle w:val="Funotenzeichen"/>
          <w:color w:val="000000" w:themeColor="text1"/>
        </w:rPr>
        <w:footnoteRef/>
      </w:r>
      <w:r w:rsidRPr="00D34A60">
        <w:rPr>
          <w:color w:val="000000" w:themeColor="text1"/>
        </w:rPr>
        <w:t xml:space="preserve"> Die Schwurszene selbst ist keineswegs spezifisch für den </w:t>
      </w:r>
      <w:proofErr w:type="spellStart"/>
      <w:r w:rsidRPr="00D34A60">
        <w:rPr>
          <w:color w:val="000000" w:themeColor="text1"/>
        </w:rPr>
        <w:t>caudinischen</w:t>
      </w:r>
      <w:proofErr w:type="spellEnd"/>
      <w:r w:rsidRPr="00D34A60">
        <w:rPr>
          <w:color w:val="000000" w:themeColor="text1"/>
        </w:rPr>
        <w:t xml:space="preserve"> Vertrag und taucht in ähnlicher Form häufiger auf, ohne dass jedes Mal ein entsprechender Bezug anzunehmen wäre. Allerdings ließ der mitgeprägte Name des Münzmeisters –</w:t>
      </w:r>
      <w:r w:rsidR="00C5754D">
        <w:rPr>
          <w:color w:val="000000" w:themeColor="text1"/>
        </w:rPr>
        <w:t xml:space="preserve"> </w:t>
      </w:r>
      <w:r w:rsidRPr="00D34A60">
        <w:rPr>
          <w:color w:val="000000" w:themeColor="text1"/>
        </w:rPr>
        <w:t>der gleichzeitig ja derjenige des Konsuls von 321 war</w:t>
      </w:r>
      <w:r w:rsidR="00C5754D">
        <w:rPr>
          <w:color w:val="000000" w:themeColor="text1"/>
        </w:rPr>
        <w:t xml:space="preserve"> </w:t>
      </w:r>
      <w:r w:rsidRPr="00D34A60">
        <w:rPr>
          <w:color w:val="000000" w:themeColor="text1"/>
        </w:rPr>
        <w:t xml:space="preserve">– im Fall des Denars von 137 wenig Spielraum für andere Identifizierungen des Motivs. Vgl. ausführlicher Abschnitt II. </w:t>
      </w:r>
    </w:p>
  </w:footnote>
  <w:footnote w:id="7">
    <w:p w14:paraId="77714F58" w14:textId="297472A1" w:rsidR="00F568E5" w:rsidRDefault="00F568E5" w:rsidP="00022256">
      <w:pPr>
        <w:pStyle w:val="Funotentext"/>
        <w:jc w:val="both"/>
      </w:pPr>
      <w:r w:rsidRPr="00A17B0D">
        <w:rPr>
          <w:rStyle w:val="Funotenzeichen"/>
        </w:rPr>
        <w:footnoteRef/>
      </w:r>
      <w:r w:rsidRPr="00A17B0D">
        <w:t xml:space="preserve"> Vgl. zur Zurückweisung des Vertrags und zur Auslieferung der Verantwortlichen </w:t>
      </w:r>
      <w:proofErr w:type="spellStart"/>
      <w:r w:rsidRPr="00A17B0D">
        <w:t>Liv</w:t>
      </w:r>
      <w:proofErr w:type="spellEnd"/>
      <w:r w:rsidRPr="00A17B0D">
        <w:t xml:space="preserve">. 9,8–11. Der Abschluss des Vertrages selbst wird in </w:t>
      </w:r>
      <w:proofErr w:type="spellStart"/>
      <w:r w:rsidRPr="00A17B0D">
        <w:t>Liv</w:t>
      </w:r>
      <w:proofErr w:type="spellEnd"/>
      <w:r w:rsidRPr="00A17B0D">
        <w:t>. 9,4–6 berichtet.</w:t>
      </w:r>
    </w:p>
  </w:footnote>
  <w:footnote w:id="8">
    <w:p w14:paraId="67DB07DD" w14:textId="27487FCE" w:rsidR="00F568E5" w:rsidRPr="00A17B0D" w:rsidRDefault="00F568E5" w:rsidP="00022256">
      <w:pPr>
        <w:pStyle w:val="Funotentext"/>
        <w:jc w:val="both"/>
        <w:rPr>
          <w:color w:val="000000" w:themeColor="text1"/>
        </w:rPr>
      </w:pPr>
      <w:r w:rsidRPr="00D34A60">
        <w:rPr>
          <w:rStyle w:val="Funotenzeichen"/>
          <w:color w:val="000000" w:themeColor="text1"/>
        </w:rPr>
        <w:footnoteRef/>
      </w:r>
      <w:r w:rsidRPr="00D34A60">
        <w:rPr>
          <w:color w:val="000000" w:themeColor="text1"/>
        </w:rPr>
        <w:t xml:space="preserve"> Crawford 1973, 6, implizit gegen </w:t>
      </w:r>
      <w:proofErr w:type="spellStart"/>
      <w:r w:rsidRPr="00D34A60">
        <w:rPr>
          <w:color w:val="000000" w:themeColor="text1"/>
        </w:rPr>
        <w:t>Bleicken</w:t>
      </w:r>
      <w:proofErr w:type="spellEnd"/>
      <w:r w:rsidRPr="00D34A60">
        <w:rPr>
          <w:color w:val="000000" w:themeColor="text1"/>
        </w:rPr>
        <w:t xml:space="preserve"> 1963, 64 f., der einer Identifizierung mit dem Vertrag von </w:t>
      </w:r>
      <w:proofErr w:type="spellStart"/>
      <w:r w:rsidRPr="00D34A60">
        <w:rPr>
          <w:color w:val="000000" w:themeColor="text1"/>
        </w:rPr>
        <w:t>Caudium</w:t>
      </w:r>
      <w:proofErr w:type="spellEnd"/>
      <w:r w:rsidRPr="00D34A60">
        <w:rPr>
          <w:color w:val="000000" w:themeColor="text1"/>
        </w:rPr>
        <w:t xml:space="preserve"> entgegenhält, dass es merkwürdig sei, dass „die Erinnerung an eine der schmachvollsten Niederlagen der Römer durch den Nachkommen eines der für diese Blamage Verantwortlichen wachgehalten worden sein soll.“ </w:t>
      </w:r>
      <w:r>
        <w:rPr>
          <w:color w:val="000000" w:themeColor="text1"/>
        </w:rPr>
        <w:t xml:space="preserve">Zweifel an der historischen Rückweisung nähert ausgerechnet </w:t>
      </w:r>
      <w:proofErr w:type="spellStart"/>
      <w:r>
        <w:rPr>
          <w:color w:val="000000" w:themeColor="text1"/>
        </w:rPr>
        <w:t>Liv</w:t>
      </w:r>
      <w:proofErr w:type="spellEnd"/>
      <w:r w:rsidRPr="00D34A60">
        <w:rPr>
          <w:color w:val="000000" w:themeColor="text1"/>
        </w:rPr>
        <w:t>. 9,21,2</w:t>
      </w:r>
      <w:r>
        <w:rPr>
          <w:color w:val="000000" w:themeColor="text1"/>
        </w:rPr>
        <w:t>,</w:t>
      </w:r>
      <w:r w:rsidRPr="00D34A60">
        <w:rPr>
          <w:color w:val="000000" w:themeColor="text1"/>
        </w:rPr>
        <w:t xml:space="preserve"> </w:t>
      </w:r>
      <w:r>
        <w:rPr>
          <w:color w:val="000000" w:themeColor="text1"/>
        </w:rPr>
        <w:t xml:space="preserve">wo </w:t>
      </w:r>
      <w:r w:rsidRPr="00D34A60">
        <w:rPr>
          <w:color w:val="000000" w:themeColor="text1"/>
        </w:rPr>
        <w:t xml:space="preserve">nur wenige Abschnitte nach der Darstellung der Zurückweisung des </w:t>
      </w:r>
      <w:proofErr w:type="spellStart"/>
      <w:r w:rsidRPr="00D34A60">
        <w:rPr>
          <w:color w:val="000000" w:themeColor="text1"/>
        </w:rPr>
        <w:t>Caudinischen</w:t>
      </w:r>
      <w:proofErr w:type="spellEnd"/>
      <w:r w:rsidRPr="00D34A60">
        <w:rPr>
          <w:color w:val="000000" w:themeColor="text1"/>
        </w:rPr>
        <w:t xml:space="preserve"> Vertrags wieder von </w:t>
      </w:r>
      <w:r>
        <w:rPr>
          <w:color w:val="000000" w:themeColor="text1"/>
        </w:rPr>
        <w:t xml:space="preserve">dessen fortgesetzten </w:t>
      </w:r>
      <w:r w:rsidRPr="00D34A60">
        <w:rPr>
          <w:color w:val="000000" w:themeColor="text1"/>
        </w:rPr>
        <w:t xml:space="preserve">Gültigkeit </w:t>
      </w:r>
      <w:r>
        <w:rPr>
          <w:color w:val="000000" w:themeColor="text1"/>
        </w:rPr>
        <w:t xml:space="preserve">ausgegangen wird. </w:t>
      </w:r>
      <w:r w:rsidR="00EC5D6F">
        <w:rPr>
          <w:color w:val="000000" w:themeColor="text1"/>
        </w:rPr>
        <w:t xml:space="preserve">Zum Zusammenhang von </w:t>
      </w:r>
      <w:proofErr w:type="spellStart"/>
      <w:r w:rsidR="00EC5D6F">
        <w:rPr>
          <w:color w:val="000000" w:themeColor="text1"/>
        </w:rPr>
        <w:t>Caudium</w:t>
      </w:r>
      <w:proofErr w:type="spellEnd"/>
      <w:r w:rsidR="00EC5D6F">
        <w:rPr>
          <w:color w:val="000000" w:themeColor="text1"/>
        </w:rPr>
        <w:t xml:space="preserve"> und </w:t>
      </w:r>
      <w:proofErr w:type="spellStart"/>
      <w:r w:rsidR="00EC5D6F">
        <w:rPr>
          <w:color w:val="000000" w:themeColor="text1"/>
        </w:rPr>
        <w:t>Numantia</w:t>
      </w:r>
      <w:proofErr w:type="spellEnd"/>
      <w:r w:rsidR="00EC5D6F">
        <w:rPr>
          <w:color w:val="000000" w:themeColor="text1"/>
        </w:rPr>
        <w:t xml:space="preserve"> ausführlich: </w:t>
      </w:r>
      <w:proofErr w:type="spellStart"/>
      <w:r w:rsidR="00EC5D6F">
        <w:rPr>
          <w:color w:val="000000" w:themeColor="text1"/>
        </w:rPr>
        <w:t>Wikander</w:t>
      </w:r>
      <w:proofErr w:type="spellEnd"/>
      <w:r w:rsidR="00EC5D6F">
        <w:rPr>
          <w:color w:val="000000" w:themeColor="text1"/>
        </w:rPr>
        <w:t xml:space="preserve"> 1976, 100–4. </w:t>
      </w:r>
    </w:p>
  </w:footnote>
  <w:footnote w:id="9">
    <w:p w14:paraId="424827F9" w14:textId="782F6C02" w:rsidR="00F568E5" w:rsidRPr="0040525D" w:rsidRDefault="00F568E5" w:rsidP="00022256">
      <w:pPr>
        <w:pStyle w:val="Funotentext"/>
        <w:jc w:val="both"/>
        <w:rPr>
          <w:color w:val="000000" w:themeColor="text1"/>
        </w:rPr>
      </w:pPr>
      <w:r w:rsidRPr="0040525D">
        <w:rPr>
          <w:rStyle w:val="Funotenzeichen"/>
          <w:color w:val="000000" w:themeColor="text1"/>
        </w:rPr>
        <w:footnoteRef/>
      </w:r>
      <w:r w:rsidRPr="0040525D">
        <w:rPr>
          <w:color w:val="000000" w:themeColor="text1"/>
        </w:rPr>
        <w:t xml:space="preserve"> </w:t>
      </w:r>
      <w:proofErr w:type="spellStart"/>
      <w:r w:rsidRPr="0040525D">
        <w:rPr>
          <w:color w:val="000000" w:themeColor="text1"/>
        </w:rPr>
        <w:t>Alföldi</w:t>
      </w:r>
      <w:proofErr w:type="spellEnd"/>
      <w:r w:rsidRPr="0040525D">
        <w:rPr>
          <w:color w:val="000000" w:themeColor="text1"/>
        </w:rPr>
        <w:t xml:space="preserve"> 1956, 66 legt nahe, dass die Zeit für explizit aktuelle Ereignisse auf den Münzen noch nicht reif gewesen sei. Insofern ist </w:t>
      </w:r>
      <w:r>
        <w:rPr>
          <w:color w:val="000000" w:themeColor="text1"/>
        </w:rPr>
        <w:t>selbst ein nur</w:t>
      </w:r>
      <w:r w:rsidRPr="0040525D">
        <w:rPr>
          <w:color w:val="000000" w:themeColor="text1"/>
        </w:rPr>
        <w:t xml:space="preserve"> vordergründige</w:t>
      </w:r>
      <w:r>
        <w:rPr>
          <w:color w:val="000000" w:themeColor="text1"/>
        </w:rPr>
        <w:t>r</w:t>
      </w:r>
      <w:r w:rsidRPr="0040525D">
        <w:rPr>
          <w:color w:val="000000" w:themeColor="text1"/>
        </w:rPr>
        <w:t xml:space="preserve"> Bezug des Münzmeisters auf seinen Ahnen für ein möglicherweise dahinterstehendes aktuelles Interesse keineswegs nebensächlich. </w:t>
      </w:r>
    </w:p>
  </w:footnote>
  <w:footnote w:id="10">
    <w:p w14:paraId="2B3FC849" w14:textId="116AD6DC" w:rsidR="00F568E5" w:rsidRPr="00967400" w:rsidRDefault="00F568E5" w:rsidP="00022256">
      <w:pPr>
        <w:pStyle w:val="Funotentext"/>
        <w:jc w:val="both"/>
      </w:pPr>
      <w:r w:rsidRPr="0082460A">
        <w:rPr>
          <w:rStyle w:val="Funotenzeichen"/>
        </w:rPr>
        <w:footnoteRef/>
      </w:r>
      <w:r w:rsidRPr="00816562">
        <w:rPr>
          <w:lang w:val="fr-FR"/>
        </w:rPr>
        <w:t xml:space="preserve"> App. </w:t>
      </w:r>
      <w:proofErr w:type="spellStart"/>
      <w:r w:rsidRPr="00816562">
        <w:rPr>
          <w:lang w:val="fr-FR"/>
        </w:rPr>
        <w:t>Ib</w:t>
      </w:r>
      <w:proofErr w:type="spellEnd"/>
      <w:r w:rsidRPr="00816562">
        <w:rPr>
          <w:lang w:val="fr-FR"/>
        </w:rPr>
        <w:t xml:space="preserve">. 80. 83; Plut. </w:t>
      </w:r>
      <w:proofErr w:type="spellStart"/>
      <w:r w:rsidRPr="00816562">
        <w:rPr>
          <w:lang w:val="fr-FR"/>
        </w:rPr>
        <w:t>Tib</w:t>
      </w:r>
      <w:proofErr w:type="spellEnd"/>
      <w:r w:rsidRPr="00816562">
        <w:rPr>
          <w:lang w:val="fr-FR"/>
        </w:rPr>
        <w:t xml:space="preserve">. Gr. 5–7; </w:t>
      </w:r>
      <w:proofErr w:type="spellStart"/>
      <w:r w:rsidRPr="00816562">
        <w:rPr>
          <w:lang w:val="fr-FR"/>
        </w:rPr>
        <w:t>Cic</w:t>
      </w:r>
      <w:proofErr w:type="spellEnd"/>
      <w:r w:rsidRPr="00816562">
        <w:rPr>
          <w:lang w:val="fr-FR"/>
        </w:rPr>
        <w:t xml:space="preserve">. </w:t>
      </w:r>
      <w:proofErr w:type="gramStart"/>
      <w:r w:rsidRPr="00816562">
        <w:rPr>
          <w:lang w:val="fr-FR"/>
        </w:rPr>
        <w:t>de</w:t>
      </w:r>
      <w:proofErr w:type="gramEnd"/>
      <w:r w:rsidRPr="00816562">
        <w:rPr>
          <w:lang w:val="fr-FR"/>
        </w:rPr>
        <w:t xml:space="preserve"> </w:t>
      </w:r>
      <w:proofErr w:type="spellStart"/>
      <w:r w:rsidRPr="00816562">
        <w:rPr>
          <w:lang w:val="fr-FR"/>
        </w:rPr>
        <w:t>Orat</w:t>
      </w:r>
      <w:proofErr w:type="spellEnd"/>
      <w:r w:rsidRPr="00816562">
        <w:rPr>
          <w:lang w:val="fr-FR"/>
        </w:rPr>
        <w:t xml:space="preserve">. 1,181; </w:t>
      </w:r>
      <w:proofErr w:type="spellStart"/>
      <w:r w:rsidRPr="00816562">
        <w:rPr>
          <w:lang w:val="fr-FR"/>
        </w:rPr>
        <w:t>Har</w:t>
      </w:r>
      <w:proofErr w:type="spellEnd"/>
      <w:r w:rsidRPr="00816562">
        <w:rPr>
          <w:lang w:val="fr-FR"/>
        </w:rPr>
        <w:t xml:space="preserve">. </w:t>
      </w:r>
      <w:r w:rsidRPr="00967400">
        <w:t xml:space="preserve">Resp. 43; Brut. 103. </w:t>
      </w:r>
    </w:p>
  </w:footnote>
  <w:footnote w:id="11">
    <w:p w14:paraId="1E46DECB" w14:textId="7F44B51C" w:rsidR="00F568E5" w:rsidRPr="00AD591E" w:rsidRDefault="00F568E5" w:rsidP="00022256">
      <w:pPr>
        <w:pStyle w:val="Funotentext"/>
        <w:jc w:val="both"/>
        <w:rPr>
          <w:color w:val="000000" w:themeColor="text1"/>
        </w:rPr>
      </w:pPr>
      <w:r w:rsidRPr="000D63C8">
        <w:rPr>
          <w:rStyle w:val="Funotenzeichen"/>
          <w:color w:val="000000" w:themeColor="text1"/>
        </w:rPr>
        <w:footnoteRef/>
      </w:r>
      <w:r w:rsidRPr="000D63C8">
        <w:rPr>
          <w:color w:val="000000" w:themeColor="text1"/>
        </w:rPr>
        <w:t xml:space="preserve"> Ein zentrales Hindernis für die Zurückweisung des </w:t>
      </w:r>
      <w:proofErr w:type="spellStart"/>
      <w:r w:rsidRPr="000D63C8">
        <w:rPr>
          <w:color w:val="000000" w:themeColor="text1"/>
        </w:rPr>
        <w:t>Mancinus</w:t>
      </w:r>
      <w:proofErr w:type="spellEnd"/>
      <w:r w:rsidRPr="000D63C8">
        <w:rPr>
          <w:color w:val="000000" w:themeColor="text1"/>
        </w:rPr>
        <w:t xml:space="preserve">-Vertrags lag </w:t>
      </w:r>
      <w:r>
        <w:rPr>
          <w:color w:val="000000" w:themeColor="text1"/>
        </w:rPr>
        <w:t xml:space="preserve">offensichtlich </w:t>
      </w:r>
      <w:r w:rsidRPr="000D63C8">
        <w:rPr>
          <w:color w:val="000000" w:themeColor="text1"/>
        </w:rPr>
        <w:t xml:space="preserve">in </w:t>
      </w:r>
      <w:r>
        <w:rPr>
          <w:color w:val="000000" w:themeColor="text1"/>
        </w:rPr>
        <w:t>der</w:t>
      </w:r>
      <w:r w:rsidRPr="000D63C8">
        <w:rPr>
          <w:color w:val="000000" w:themeColor="text1"/>
        </w:rPr>
        <w:t xml:space="preserve"> Beeidung, </w:t>
      </w:r>
      <w:r>
        <w:rPr>
          <w:color w:val="000000" w:themeColor="text1"/>
        </w:rPr>
        <w:t>der</w:t>
      </w:r>
      <w:r w:rsidRPr="000D63C8">
        <w:rPr>
          <w:color w:val="000000" w:themeColor="text1"/>
        </w:rPr>
        <w:t xml:space="preserve"> </w:t>
      </w:r>
      <w:proofErr w:type="spellStart"/>
      <w:r w:rsidRPr="000D63C8">
        <w:rPr>
          <w:color w:val="000000" w:themeColor="text1"/>
        </w:rPr>
        <w:t>Veturius</w:t>
      </w:r>
      <w:proofErr w:type="spellEnd"/>
      <w:r w:rsidRPr="000D63C8">
        <w:rPr>
          <w:color w:val="000000" w:themeColor="text1"/>
        </w:rPr>
        <w:t xml:space="preserve"> mit </w:t>
      </w:r>
      <w:proofErr w:type="spellStart"/>
      <w:r w:rsidRPr="000D63C8">
        <w:rPr>
          <w:color w:val="000000" w:themeColor="text1"/>
        </w:rPr>
        <w:t>Caudium</w:t>
      </w:r>
      <w:proofErr w:type="spellEnd"/>
      <w:r w:rsidRPr="000D63C8">
        <w:rPr>
          <w:color w:val="000000" w:themeColor="text1"/>
        </w:rPr>
        <w:t xml:space="preserve"> ein Vorbild gab. </w:t>
      </w:r>
      <w:r>
        <w:rPr>
          <w:color w:val="000000" w:themeColor="text1"/>
        </w:rPr>
        <w:t xml:space="preserve">Mit der letztlichen Nichtanerkennung des Vertrags setzte sich dann wohl die neue Tradition der Rückweisung auch des </w:t>
      </w:r>
      <w:proofErr w:type="spellStart"/>
      <w:r>
        <w:rPr>
          <w:color w:val="000000" w:themeColor="text1"/>
        </w:rPr>
        <w:t>Caudium</w:t>
      </w:r>
      <w:proofErr w:type="spellEnd"/>
      <w:r>
        <w:rPr>
          <w:color w:val="000000" w:themeColor="text1"/>
        </w:rPr>
        <w:t xml:space="preserve">-Vertrages durch, die </w:t>
      </w:r>
      <w:r w:rsidR="00334887">
        <w:rPr>
          <w:color w:val="000000" w:themeColor="text1"/>
        </w:rPr>
        <w:t>die Präzedenz</w:t>
      </w:r>
      <w:r>
        <w:rPr>
          <w:color w:val="000000" w:themeColor="text1"/>
        </w:rPr>
        <w:t xml:space="preserve"> von 321 nachträglich umkehrte. Die in </w:t>
      </w:r>
      <w:proofErr w:type="spellStart"/>
      <w:r>
        <w:rPr>
          <w:color w:val="000000" w:themeColor="text1"/>
        </w:rPr>
        <w:t>Liv</w:t>
      </w:r>
      <w:proofErr w:type="spellEnd"/>
      <w:r>
        <w:rPr>
          <w:color w:val="000000" w:themeColor="text1"/>
        </w:rPr>
        <w:t xml:space="preserve">. 9,5,1–4 greifbare Debatte, ob in </w:t>
      </w:r>
      <w:proofErr w:type="spellStart"/>
      <w:r>
        <w:rPr>
          <w:color w:val="000000" w:themeColor="text1"/>
        </w:rPr>
        <w:t>Caudium</w:t>
      </w:r>
      <w:proofErr w:type="spellEnd"/>
      <w:r>
        <w:rPr>
          <w:color w:val="000000" w:themeColor="text1"/>
        </w:rPr>
        <w:t xml:space="preserve"> ein verbindlicher Vertrag (</w:t>
      </w:r>
      <w:proofErr w:type="spellStart"/>
      <w:r w:rsidRPr="000D63C8">
        <w:rPr>
          <w:i/>
          <w:color w:val="000000" w:themeColor="text1"/>
        </w:rPr>
        <w:t>foedus</w:t>
      </w:r>
      <w:proofErr w:type="spellEnd"/>
      <w:r>
        <w:rPr>
          <w:color w:val="000000" w:themeColor="text1"/>
        </w:rPr>
        <w:t xml:space="preserve">) oder nur ein </w:t>
      </w:r>
      <w:proofErr w:type="spellStart"/>
      <w:r>
        <w:rPr>
          <w:color w:val="000000" w:themeColor="text1"/>
        </w:rPr>
        <w:t>Präliminarfriede</w:t>
      </w:r>
      <w:proofErr w:type="spellEnd"/>
      <w:r>
        <w:rPr>
          <w:color w:val="000000" w:themeColor="text1"/>
        </w:rPr>
        <w:t xml:space="preserve"> unter Vorbehalt der Zustimmung durch das römische Volk (</w:t>
      </w:r>
      <w:proofErr w:type="spellStart"/>
      <w:r w:rsidRPr="000D63C8">
        <w:rPr>
          <w:i/>
          <w:color w:val="000000" w:themeColor="text1"/>
        </w:rPr>
        <w:t>sponsio</w:t>
      </w:r>
      <w:proofErr w:type="spellEnd"/>
      <w:r>
        <w:rPr>
          <w:color w:val="000000" w:themeColor="text1"/>
        </w:rPr>
        <w:t xml:space="preserve">) geschlossen worden sei, ist ebenfalls unschwer als Reflex auf die </w:t>
      </w:r>
      <w:proofErr w:type="spellStart"/>
      <w:r>
        <w:rPr>
          <w:color w:val="000000" w:themeColor="text1"/>
        </w:rPr>
        <w:t>Mancinusaffäre</w:t>
      </w:r>
      <w:proofErr w:type="spellEnd"/>
      <w:r>
        <w:rPr>
          <w:color w:val="000000" w:themeColor="text1"/>
        </w:rPr>
        <w:t xml:space="preserve"> zu deuten, vgl. Beck/Walter 2004 126 f. zu </w:t>
      </w:r>
      <w:proofErr w:type="spellStart"/>
      <w:r>
        <w:rPr>
          <w:color w:val="000000" w:themeColor="text1"/>
        </w:rPr>
        <w:t>Quadrigarius</w:t>
      </w:r>
      <w:proofErr w:type="spellEnd"/>
      <w:r>
        <w:rPr>
          <w:color w:val="000000" w:themeColor="text1"/>
        </w:rPr>
        <w:t xml:space="preserve"> (FRH 14) </w:t>
      </w:r>
      <w:proofErr w:type="spellStart"/>
      <w:r>
        <w:rPr>
          <w:color w:val="000000" w:themeColor="text1"/>
        </w:rPr>
        <w:t>frg</w:t>
      </w:r>
      <w:proofErr w:type="spellEnd"/>
      <w:r>
        <w:rPr>
          <w:color w:val="000000" w:themeColor="text1"/>
        </w:rPr>
        <w:t xml:space="preserve">. 18. In der Folge bildeten </w:t>
      </w:r>
      <w:proofErr w:type="spellStart"/>
      <w:r>
        <w:rPr>
          <w:color w:val="000000" w:themeColor="text1"/>
        </w:rPr>
        <w:t>Caudium</w:t>
      </w:r>
      <w:proofErr w:type="spellEnd"/>
      <w:r>
        <w:rPr>
          <w:color w:val="000000" w:themeColor="text1"/>
        </w:rPr>
        <w:t xml:space="preserve"> und </w:t>
      </w:r>
      <w:proofErr w:type="spellStart"/>
      <w:r>
        <w:rPr>
          <w:color w:val="000000" w:themeColor="text1"/>
        </w:rPr>
        <w:t>Numantia</w:t>
      </w:r>
      <w:proofErr w:type="spellEnd"/>
      <w:r>
        <w:rPr>
          <w:color w:val="000000" w:themeColor="text1"/>
        </w:rPr>
        <w:t xml:space="preserve"> im römischen Geschichtsbewusstsein eine geradezu symbiotische Einheit, vgl. bspw. </w:t>
      </w:r>
      <w:proofErr w:type="spellStart"/>
      <w:r>
        <w:rPr>
          <w:color w:val="000000" w:themeColor="text1"/>
        </w:rPr>
        <w:t>Cic</w:t>
      </w:r>
      <w:proofErr w:type="spellEnd"/>
      <w:r>
        <w:rPr>
          <w:color w:val="000000" w:themeColor="text1"/>
        </w:rPr>
        <w:t xml:space="preserve">. off. 3,29,109; App. Ib. 83; Flor. </w:t>
      </w:r>
      <w:proofErr w:type="spellStart"/>
      <w:r>
        <w:rPr>
          <w:color w:val="000000" w:themeColor="text1"/>
        </w:rPr>
        <w:t>epit</w:t>
      </w:r>
      <w:proofErr w:type="spellEnd"/>
      <w:r>
        <w:rPr>
          <w:color w:val="000000" w:themeColor="text1"/>
        </w:rPr>
        <w:t xml:space="preserve">. 1,34; </w:t>
      </w:r>
      <w:proofErr w:type="spellStart"/>
      <w:r>
        <w:rPr>
          <w:color w:val="000000" w:themeColor="text1"/>
        </w:rPr>
        <w:t>Tac</w:t>
      </w:r>
      <w:proofErr w:type="spellEnd"/>
      <w:r>
        <w:rPr>
          <w:color w:val="000000" w:themeColor="text1"/>
        </w:rPr>
        <w:t xml:space="preserve">. </w:t>
      </w:r>
      <w:proofErr w:type="spellStart"/>
      <w:r>
        <w:rPr>
          <w:color w:val="000000" w:themeColor="text1"/>
        </w:rPr>
        <w:t>ann</w:t>
      </w:r>
      <w:proofErr w:type="spellEnd"/>
      <w:r>
        <w:rPr>
          <w:color w:val="000000" w:themeColor="text1"/>
        </w:rPr>
        <w:t xml:space="preserve">. 15,13,2. </w:t>
      </w:r>
    </w:p>
  </w:footnote>
  <w:footnote w:id="12">
    <w:p w14:paraId="6CB8869B" w14:textId="5DC2E376" w:rsidR="00F568E5" w:rsidRPr="0040525D" w:rsidRDefault="00F568E5" w:rsidP="00022256">
      <w:pPr>
        <w:pStyle w:val="Funotentext"/>
        <w:jc w:val="both"/>
        <w:rPr>
          <w:color w:val="000000" w:themeColor="text1"/>
        </w:rPr>
      </w:pPr>
      <w:r w:rsidRPr="007C7DD8">
        <w:rPr>
          <w:rStyle w:val="Funotenzeichen"/>
          <w:color w:val="000000" w:themeColor="text1"/>
        </w:rPr>
        <w:footnoteRef/>
      </w:r>
      <w:r w:rsidRPr="007C7DD8">
        <w:rPr>
          <w:color w:val="000000" w:themeColor="text1"/>
        </w:rPr>
        <w:t xml:space="preserve"> Parteinahme für </w:t>
      </w:r>
      <w:proofErr w:type="spellStart"/>
      <w:r w:rsidRPr="007C7DD8">
        <w:rPr>
          <w:color w:val="000000" w:themeColor="text1"/>
        </w:rPr>
        <w:t>Mancinus</w:t>
      </w:r>
      <w:proofErr w:type="spellEnd"/>
      <w:r w:rsidRPr="007C7DD8">
        <w:rPr>
          <w:color w:val="000000" w:themeColor="text1"/>
        </w:rPr>
        <w:t xml:space="preserve">-Frieden Crawford 1973, 2–6; Crawford 1974, 266; mit Nachdruck aufgegriffen von Wolters 2017, 168 f. In Richtung der </w:t>
      </w:r>
      <w:proofErr w:type="spellStart"/>
      <w:r w:rsidRPr="007C7DD8">
        <w:rPr>
          <w:i/>
          <w:color w:val="000000" w:themeColor="text1"/>
        </w:rPr>
        <w:t>fides</w:t>
      </w:r>
      <w:proofErr w:type="spellEnd"/>
      <w:r w:rsidRPr="007C7DD8">
        <w:rPr>
          <w:i/>
          <w:color w:val="000000" w:themeColor="text1"/>
        </w:rPr>
        <w:t xml:space="preserve"> Romana</w:t>
      </w:r>
      <w:r w:rsidRPr="007C7DD8">
        <w:rPr>
          <w:color w:val="000000" w:themeColor="text1"/>
        </w:rPr>
        <w:t xml:space="preserve"> deutet Wolters auch das sog. ‚Eidszenengold‘ und die </w:t>
      </w:r>
      <w:proofErr w:type="spellStart"/>
      <w:r w:rsidRPr="007C7DD8">
        <w:rPr>
          <w:color w:val="000000" w:themeColor="text1"/>
        </w:rPr>
        <w:t>marsischen</w:t>
      </w:r>
      <w:proofErr w:type="spellEnd"/>
      <w:r w:rsidRPr="007C7DD8">
        <w:rPr>
          <w:color w:val="000000" w:themeColor="text1"/>
        </w:rPr>
        <w:t xml:space="preserve"> Münzen des </w:t>
      </w:r>
      <w:proofErr w:type="spellStart"/>
      <w:r w:rsidRPr="007C7DD8">
        <w:rPr>
          <w:color w:val="000000" w:themeColor="text1"/>
        </w:rPr>
        <w:t>Bundesgenossenkrieges</w:t>
      </w:r>
      <w:proofErr w:type="spellEnd"/>
      <w:r w:rsidRPr="007C7DD8">
        <w:rPr>
          <w:color w:val="000000" w:themeColor="text1"/>
        </w:rPr>
        <w:t xml:space="preserve"> (s. u. Anm. 13). Vgl. hierzu schon Zehnacker 1973, 311–4. Beispiele einer Anrufung römischer </w:t>
      </w:r>
      <w:proofErr w:type="spellStart"/>
      <w:r w:rsidRPr="007C7DD8">
        <w:rPr>
          <w:i/>
          <w:color w:val="000000" w:themeColor="text1"/>
        </w:rPr>
        <w:t>fides</w:t>
      </w:r>
      <w:proofErr w:type="spellEnd"/>
      <w:r w:rsidRPr="007C7DD8">
        <w:rPr>
          <w:color w:val="000000" w:themeColor="text1"/>
        </w:rPr>
        <w:t xml:space="preserve"> durch bedrohte Verbündete: </w:t>
      </w:r>
      <w:proofErr w:type="spellStart"/>
      <w:r w:rsidRPr="007C7DD8">
        <w:rPr>
          <w:color w:val="000000" w:themeColor="text1"/>
        </w:rPr>
        <w:t>Liv</w:t>
      </w:r>
      <w:proofErr w:type="spellEnd"/>
      <w:r w:rsidRPr="007C7DD8">
        <w:rPr>
          <w:color w:val="000000" w:themeColor="text1"/>
        </w:rPr>
        <w:t>. 29,18,19 u. 39,42,12.</w:t>
      </w:r>
    </w:p>
  </w:footnote>
  <w:footnote w:id="13">
    <w:p w14:paraId="747B221B" w14:textId="2C408B9D" w:rsidR="00F568E5" w:rsidRPr="00AD591E" w:rsidRDefault="00F568E5" w:rsidP="00022256">
      <w:pPr>
        <w:pStyle w:val="Funotentext"/>
        <w:jc w:val="both"/>
        <w:rPr>
          <w:color w:val="000000" w:themeColor="text1"/>
        </w:rPr>
      </w:pPr>
      <w:r w:rsidRPr="00933606">
        <w:rPr>
          <w:rStyle w:val="Funotenzeichen"/>
          <w:color w:val="000000" w:themeColor="text1"/>
        </w:rPr>
        <w:footnoteRef/>
      </w:r>
      <w:r w:rsidRPr="00933606">
        <w:rPr>
          <w:color w:val="000000" w:themeColor="text1"/>
        </w:rPr>
        <w:t xml:space="preserve"> </w:t>
      </w:r>
      <w:proofErr w:type="spellStart"/>
      <w:r w:rsidRPr="00933606">
        <w:rPr>
          <w:color w:val="000000" w:themeColor="text1"/>
        </w:rPr>
        <w:t>Goldstatere</w:t>
      </w:r>
      <w:proofErr w:type="spellEnd"/>
      <w:r w:rsidRPr="00933606">
        <w:rPr>
          <w:color w:val="000000" w:themeColor="text1"/>
        </w:rPr>
        <w:t xml:space="preserve"> und </w:t>
      </w:r>
      <w:proofErr w:type="spellStart"/>
      <w:r w:rsidRPr="00933606">
        <w:rPr>
          <w:color w:val="000000" w:themeColor="text1"/>
        </w:rPr>
        <w:t>Halbstatere</w:t>
      </w:r>
      <w:proofErr w:type="spellEnd"/>
      <w:r w:rsidRPr="00933606">
        <w:rPr>
          <w:color w:val="000000" w:themeColor="text1"/>
        </w:rPr>
        <w:t xml:space="preserve"> des 3. </w:t>
      </w:r>
      <w:proofErr w:type="spellStart"/>
      <w:r w:rsidRPr="00933606">
        <w:rPr>
          <w:color w:val="000000" w:themeColor="text1"/>
        </w:rPr>
        <w:t>Jh.s</w:t>
      </w:r>
      <w:proofErr w:type="spellEnd"/>
      <w:r w:rsidRPr="00933606">
        <w:rPr>
          <w:color w:val="000000" w:themeColor="text1"/>
        </w:rPr>
        <w:t xml:space="preserve"> mit </w:t>
      </w:r>
      <w:proofErr w:type="spellStart"/>
      <w:r w:rsidRPr="00933606">
        <w:rPr>
          <w:color w:val="000000" w:themeColor="text1"/>
        </w:rPr>
        <w:t>Eidszene</w:t>
      </w:r>
      <w:proofErr w:type="spellEnd"/>
      <w:r w:rsidRPr="00933606">
        <w:rPr>
          <w:color w:val="000000" w:themeColor="text1"/>
        </w:rPr>
        <w:t xml:space="preserve">: RRC 28/1,2 u. 29/1,2 (a. 225–214/12). </w:t>
      </w:r>
      <w:proofErr w:type="spellStart"/>
      <w:r w:rsidRPr="00933606">
        <w:rPr>
          <w:color w:val="000000" w:themeColor="text1"/>
        </w:rPr>
        <w:t>Marsische</w:t>
      </w:r>
      <w:proofErr w:type="spellEnd"/>
      <w:r w:rsidRPr="00933606">
        <w:rPr>
          <w:color w:val="000000" w:themeColor="text1"/>
        </w:rPr>
        <w:t xml:space="preserve"> Münzen des 1. </w:t>
      </w:r>
      <w:proofErr w:type="spellStart"/>
      <w:r w:rsidRPr="007A558B">
        <w:rPr>
          <w:color w:val="000000" w:themeColor="text1"/>
        </w:rPr>
        <w:t>Jh.s</w:t>
      </w:r>
      <w:proofErr w:type="spellEnd"/>
      <w:r w:rsidRPr="007A558B">
        <w:rPr>
          <w:color w:val="000000" w:themeColor="text1"/>
        </w:rPr>
        <w:t xml:space="preserve">: </w:t>
      </w:r>
      <w:proofErr w:type="spellStart"/>
      <w:r w:rsidRPr="007A558B">
        <w:rPr>
          <w:color w:val="000000" w:themeColor="text1"/>
        </w:rPr>
        <w:t>Campana</w:t>
      </w:r>
      <w:proofErr w:type="spellEnd"/>
      <w:r w:rsidRPr="007A558B">
        <w:rPr>
          <w:color w:val="000000" w:themeColor="text1"/>
        </w:rPr>
        <w:t xml:space="preserve"> 1987, </w:t>
      </w:r>
      <w:r w:rsidR="00933606" w:rsidRPr="007A558B">
        <w:rPr>
          <w:color w:val="000000" w:themeColor="text1"/>
        </w:rPr>
        <w:t xml:space="preserve">Nr. 86–97 </w:t>
      </w:r>
      <w:r w:rsidRPr="007A558B">
        <w:rPr>
          <w:color w:val="000000" w:themeColor="text1"/>
        </w:rPr>
        <w:t xml:space="preserve"> = </w:t>
      </w:r>
      <w:proofErr w:type="spellStart"/>
      <w:r w:rsidRPr="007A558B">
        <w:rPr>
          <w:color w:val="000000" w:themeColor="text1"/>
        </w:rPr>
        <w:t>Sydenham</w:t>
      </w:r>
      <w:proofErr w:type="spellEnd"/>
      <w:r w:rsidRPr="007A558B">
        <w:rPr>
          <w:color w:val="000000" w:themeColor="text1"/>
        </w:rPr>
        <w:t xml:space="preserve"> 1952, 640. </w:t>
      </w:r>
      <w:r w:rsidRPr="00933606">
        <w:rPr>
          <w:color w:val="000000" w:themeColor="text1"/>
        </w:rPr>
        <w:t xml:space="preserve">Abbildung bei </w:t>
      </w:r>
      <w:proofErr w:type="spellStart"/>
      <w:r w:rsidRPr="00933606">
        <w:rPr>
          <w:color w:val="000000" w:themeColor="text1"/>
        </w:rPr>
        <w:t>Stannard</w:t>
      </w:r>
      <w:proofErr w:type="spellEnd"/>
      <w:r w:rsidRPr="00933606">
        <w:rPr>
          <w:color w:val="000000" w:themeColor="text1"/>
        </w:rPr>
        <w:t xml:space="preserve"> 2005, 58.</w:t>
      </w:r>
    </w:p>
  </w:footnote>
  <w:footnote w:id="14">
    <w:p w14:paraId="661264A9" w14:textId="27A3EC60" w:rsidR="00F568E5" w:rsidRPr="00B8006D" w:rsidRDefault="00F568E5" w:rsidP="00022256">
      <w:pPr>
        <w:pStyle w:val="Funotentext"/>
        <w:jc w:val="both"/>
        <w:rPr>
          <w:color w:val="000000" w:themeColor="text1"/>
        </w:rPr>
      </w:pPr>
      <w:r w:rsidRPr="00B8006D">
        <w:rPr>
          <w:rStyle w:val="Funotenzeichen"/>
          <w:color w:val="000000" w:themeColor="text1"/>
        </w:rPr>
        <w:footnoteRef/>
      </w:r>
      <w:r w:rsidRPr="00B8006D">
        <w:rPr>
          <w:color w:val="000000" w:themeColor="text1"/>
        </w:rPr>
        <w:t xml:space="preserve"> </w:t>
      </w:r>
      <w:proofErr w:type="spellStart"/>
      <w:r w:rsidRPr="00B8006D">
        <w:rPr>
          <w:color w:val="000000" w:themeColor="text1"/>
        </w:rPr>
        <w:t>Stannard</w:t>
      </w:r>
      <w:proofErr w:type="spellEnd"/>
      <w:r w:rsidRPr="00B8006D">
        <w:rPr>
          <w:color w:val="000000" w:themeColor="text1"/>
        </w:rPr>
        <w:t xml:space="preserve"> 2005, 58–60. Schon </w:t>
      </w:r>
      <w:proofErr w:type="spellStart"/>
      <w:r w:rsidRPr="00B8006D">
        <w:rPr>
          <w:color w:val="000000" w:themeColor="text1"/>
        </w:rPr>
        <w:t>Alföldi</w:t>
      </w:r>
      <w:proofErr w:type="spellEnd"/>
      <w:r w:rsidRPr="00B8006D">
        <w:rPr>
          <w:color w:val="000000" w:themeColor="text1"/>
        </w:rPr>
        <w:t xml:space="preserve"> 1959, 20–2 deutet die </w:t>
      </w:r>
      <w:proofErr w:type="spellStart"/>
      <w:r w:rsidRPr="00B8006D">
        <w:rPr>
          <w:color w:val="000000" w:themeColor="text1"/>
        </w:rPr>
        <w:t>Eidszene</w:t>
      </w:r>
      <w:proofErr w:type="spellEnd"/>
      <w:r w:rsidRPr="00B8006D">
        <w:rPr>
          <w:color w:val="000000" w:themeColor="text1"/>
        </w:rPr>
        <w:t xml:space="preserve"> in diese Richtung</w:t>
      </w:r>
      <w:r>
        <w:rPr>
          <w:color w:val="000000" w:themeColor="text1"/>
        </w:rPr>
        <w:t xml:space="preserve">, wenn er die Beteiligten als </w:t>
      </w:r>
      <w:proofErr w:type="spellStart"/>
      <w:r>
        <w:rPr>
          <w:color w:val="000000" w:themeColor="text1"/>
        </w:rPr>
        <w:t>Aeneas</w:t>
      </w:r>
      <w:proofErr w:type="spellEnd"/>
      <w:r>
        <w:rPr>
          <w:color w:val="000000" w:themeColor="text1"/>
        </w:rPr>
        <w:t xml:space="preserve"> und </w:t>
      </w:r>
      <w:proofErr w:type="spellStart"/>
      <w:r>
        <w:rPr>
          <w:color w:val="000000" w:themeColor="text1"/>
        </w:rPr>
        <w:t>Latinus</w:t>
      </w:r>
      <w:proofErr w:type="spellEnd"/>
      <w:r>
        <w:rPr>
          <w:color w:val="000000" w:themeColor="text1"/>
        </w:rPr>
        <w:t xml:space="preserve"> identifiziert</w:t>
      </w:r>
      <w:r w:rsidRPr="00B8006D">
        <w:rPr>
          <w:color w:val="000000" w:themeColor="text1"/>
        </w:rPr>
        <w:t xml:space="preserve">, vgl. aber die Kritik bei Richardson 2008, 418–24, der die </w:t>
      </w:r>
      <w:r>
        <w:rPr>
          <w:color w:val="000000" w:themeColor="text1"/>
        </w:rPr>
        <w:t xml:space="preserve">jeweils </w:t>
      </w:r>
      <w:r w:rsidRPr="00B8006D">
        <w:rPr>
          <w:color w:val="000000" w:themeColor="text1"/>
        </w:rPr>
        <w:t xml:space="preserve">linke Figur als Pater </w:t>
      </w:r>
      <w:proofErr w:type="spellStart"/>
      <w:r w:rsidRPr="00B8006D">
        <w:rPr>
          <w:color w:val="000000" w:themeColor="text1"/>
        </w:rPr>
        <w:t>Patratus</w:t>
      </w:r>
      <w:proofErr w:type="spellEnd"/>
      <w:r w:rsidRPr="00B8006D">
        <w:rPr>
          <w:color w:val="000000" w:themeColor="text1"/>
        </w:rPr>
        <w:t xml:space="preserve"> identifizier</w:t>
      </w:r>
      <w:r>
        <w:rPr>
          <w:color w:val="000000" w:themeColor="text1"/>
        </w:rPr>
        <w:t xml:space="preserve">en will. </w:t>
      </w:r>
    </w:p>
  </w:footnote>
  <w:footnote w:id="15">
    <w:p w14:paraId="1C402AAC" w14:textId="32C6E35D" w:rsidR="008C4D09" w:rsidRPr="0009163B" w:rsidRDefault="00F568E5" w:rsidP="00022256">
      <w:pPr>
        <w:pStyle w:val="Funotentext"/>
        <w:jc w:val="both"/>
        <w:rPr>
          <w:color w:val="000000" w:themeColor="text1"/>
        </w:rPr>
      </w:pPr>
      <w:r w:rsidRPr="0009163B">
        <w:rPr>
          <w:rStyle w:val="Funotenzeichen"/>
          <w:color w:val="000000" w:themeColor="text1"/>
        </w:rPr>
        <w:footnoteRef/>
      </w:r>
      <w:r w:rsidRPr="0009163B">
        <w:rPr>
          <w:color w:val="000000" w:themeColor="text1"/>
        </w:rPr>
        <w:t xml:space="preserve"> </w:t>
      </w:r>
      <w:proofErr w:type="spellStart"/>
      <w:r w:rsidRPr="0009163B">
        <w:rPr>
          <w:color w:val="000000" w:themeColor="text1"/>
        </w:rPr>
        <w:t>Stannard</w:t>
      </w:r>
      <w:proofErr w:type="spellEnd"/>
      <w:r w:rsidRPr="0009163B">
        <w:rPr>
          <w:color w:val="000000" w:themeColor="text1"/>
        </w:rPr>
        <w:t xml:space="preserve"> meint, die Münze hätte bei den Italikern um Unterstützung für C. Gracchus werben sollen. </w:t>
      </w:r>
      <w:proofErr w:type="spellStart"/>
      <w:r w:rsidRPr="0009163B">
        <w:rPr>
          <w:color w:val="000000" w:themeColor="text1"/>
        </w:rPr>
        <w:t>Hersh</w:t>
      </w:r>
      <w:proofErr w:type="spellEnd"/>
      <w:r w:rsidRPr="0009163B">
        <w:rPr>
          <w:color w:val="000000" w:themeColor="text1"/>
        </w:rPr>
        <w:t xml:space="preserve"> 1977, 24–6 zeigt in einer Überprüfung der RRC anhand weiterer Hortevidenzen jedoch, dass die relative Chronologie Crawfords im weiteren Umfeld von RRC 234/1 stimmig ist, womit eine derart große Korrektur der Datierung des einzelnen Denars, wie </w:t>
      </w:r>
      <w:proofErr w:type="spellStart"/>
      <w:r w:rsidRPr="0009163B">
        <w:rPr>
          <w:color w:val="000000" w:themeColor="text1"/>
        </w:rPr>
        <w:t>Stannard</w:t>
      </w:r>
      <w:proofErr w:type="spellEnd"/>
      <w:r w:rsidRPr="0009163B">
        <w:rPr>
          <w:color w:val="000000" w:themeColor="text1"/>
        </w:rPr>
        <w:t xml:space="preserve"> sie vorschlägt, kaum möglich ist (vgl. hierzu übrigens </w:t>
      </w:r>
      <w:proofErr w:type="spellStart"/>
      <w:r w:rsidRPr="0009163B">
        <w:rPr>
          <w:color w:val="000000" w:themeColor="text1"/>
        </w:rPr>
        <w:t>Stannard</w:t>
      </w:r>
      <w:proofErr w:type="spellEnd"/>
      <w:r w:rsidRPr="0009163B">
        <w:rPr>
          <w:color w:val="000000" w:themeColor="text1"/>
        </w:rPr>
        <w:t xml:space="preserve"> 2005, 60 Anm. 45 selbst), anders als kleinere Korrekturen, </w:t>
      </w:r>
      <w:r w:rsidRPr="0017170F">
        <w:rPr>
          <w:color w:val="000000" w:themeColor="text1"/>
        </w:rPr>
        <w:t xml:space="preserve">wie bei </w:t>
      </w:r>
      <w:proofErr w:type="spellStart"/>
      <w:r w:rsidRPr="0017170F">
        <w:rPr>
          <w:color w:val="000000" w:themeColor="text1"/>
        </w:rPr>
        <w:t>Mattingly</w:t>
      </w:r>
      <w:proofErr w:type="spellEnd"/>
      <w:r w:rsidRPr="0017170F">
        <w:rPr>
          <w:color w:val="000000" w:themeColor="text1"/>
        </w:rPr>
        <w:t xml:space="preserve"> 2004</w:t>
      </w:r>
      <w:r w:rsidR="0017170F" w:rsidRPr="0017170F">
        <w:rPr>
          <w:color w:val="000000" w:themeColor="text1"/>
        </w:rPr>
        <w:t>, 218</w:t>
      </w:r>
      <w:r w:rsidRPr="0017170F">
        <w:rPr>
          <w:color w:val="000000" w:themeColor="text1"/>
        </w:rPr>
        <w:t xml:space="preserve"> (auf 136) oder in der Folge in diesem Aufsatz</w:t>
      </w:r>
      <w:r w:rsidRPr="0009163B">
        <w:rPr>
          <w:color w:val="000000" w:themeColor="text1"/>
        </w:rPr>
        <w:t xml:space="preserve"> (auf ca. 135</w:t>
      </w:r>
      <w:r w:rsidR="007B6DC3">
        <w:rPr>
          <w:color w:val="000000" w:themeColor="text1"/>
        </w:rPr>
        <w:t>/4</w:t>
      </w:r>
      <w:r w:rsidRPr="0009163B">
        <w:rPr>
          <w:color w:val="000000" w:themeColor="text1"/>
        </w:rPr>
        <w:t xml:space="preserve">). </w:t>
      </w:r>
      <w:r w:rsidRPr="0009163B">
        <w:rPr>
          <w:color w:val="000000" w:themeColor="text1"/>
        </w:rPr>
        <w:t>Im Übrigen sei darauf hingewiesen, dass sich RRC 234/1 auch schon 137 an die Bundesgenossen hätte richten können, da diese vom langen Krieg in Spanien ja ebenso betroffen waren wie die Römer</w:t>
      </w:r>
      <w:r w:rsidR="008C4D09">
        <w:rPr>
          <w:color w:val="000000" w:themeColor="text1"/>
        </w:rPr>
        <w:t>; es ist mithin nicht ausgeschlossen, dass eine solche Ausweitung des Zielpublikums durchaus mit beabsichtigt gewesen sein könnte.</w:t>
      </w:r>
      <w:bookmarkStart w:id="0" w:name="_GoBack"/>
      <w:bookmarkEnd w:id="0"/>
    </w:p>
  </w:footnote>
  <w:footnote w:id="16">
    <w:p w14:paraId="5C8BEAF0" w14:textId="3C049C38" w:rsidR="00F568E5" w:rsidRPr="00967400" w:rsidRDefault="00F568E5" w:rsidP="00022256">
      <w:pPr>
        <w:pStyle w:val="Funotentext"/>
        <w:jc w:val="both"/>
        <w:rPr>
          <w:color w:val="000000" w:themeColor="text1"/>
          <w:lang w:val="en-US"/>
        </w:rPr>
      </w:pPr>
      <w:r w:rsidRPr="0009163B">
        <w:rPr>
          <w:rStyle w:val="Funotenzeichen"/>
          <w:color w:val="000000" w:themeColor="text1"/>
        </w:rPr>
        <w:footnoteRef/>
      </w:r>
      <w:r w:rsidRPr="0009163B">
        <w:rPr>
          <w:color w:val="000000" w:themeColor="text1"/>
          <w:lang w:val="en-US"/>
        </w:rPr>
        <w:t xml:space="preserve"> So </w:t>
      </w:r>
      <w:proofErr w:type="spellStart"/>
      <w:r w:rsidRPr="0009163B">
        <w:rPr>
          <w:color w:val="000000" w:themeColor="text1"/>
          <w:lang w:val="en-US"/>
        </w:rPr>
        <w:t>aber</w:t>
      </w:r>
      <w:proofErr w:type="spellEnd"/>
      <w:r w:rsidRPr="0009163B">
        <w:rPr>
          <w:color w:val="000000" w:themeColor="text1"/>
          <w:lang w:val="en-US"/>
        </w:rPr>
        <w:t xml:space="preserve"> Stannard 2005, 59 </w:t>
      </w:r>
      <w:proofErr w:type="spellStart"/>
      <w:r w:rsidRPr="0009163B">
        <w:rPr>
          <w:color w:val="000000" w:themeColor="text1"/>
          <w:lang w:val="en-US"/>
        </w:rPr>
        <w:t>mit</w:t>
      </w:r>
      <w:proofErr w:type="spellEnd"/>
      <w:r w:rsidRPr="0009163B">
        <w:rPr>
          <w:color w:val="000000" w:themeColor="text1"/>
          <w:lang w:val="en-US"/>
        </w:rPr>
        <w:t xml:space="preserve"> </w:t>
      </w:r>
      <w:proofErr w:type="spellStart"/>
      <w:r w:rsidRPr="0009163B">
        <w:rPr>
          <w:color w:val="000000" w:themeColor="text1"/>
          <w:lang w:val="en-US"/>
        </w:rPr>
        <w:t>Bezug</w:t>
      </w:r>
      <w:proofErr w:type="spellEnd"/>
      <w:r w:rsidRPr="0009163B">
        <w:rPr>
          <w:color w:val="000000" w:themeColor="text1"/>
          <w:lang w:val="en-US"/>
        </w:rPr>
        <w:t xml:space="preserve"> auf </w:t>
      </w:r>
      <w:proofErr w:type="spellStart"/>
      <w:r w:rsidRPr="0009163B">
        <w:rPr>
          <w:color w:val="000000" w:themeColor="text1"/>
          <w:lang w:val="en-US"/>
        </w:rPr>
        <w:t>Veturius-Münze</w:t>
      </w:r>
      <w:proofErr w:type="spellEnd"/>
      <w:r w:rsidRPr="0009163B">
        <w:rPr>
          <w:color w:val="000000" w:themeColor="text1"/>
          <w:lang w:val="en-US"/>
        </w:rPr>
        <w:t xml:space="preserve"> und </w:t>
      </w:r>
      <w:proofErr w:type="spellStart"/>
      <w:r w:rsidRPr="0009163B">
        <w:rPr>
          <w:color w:val="000000" w:themeColor="text1"/>
          <w:lang w:val="en-US"/>
        </w:rPr>
        <w:t>Eidszenengold</w:t>
      </w:r>
      <w:proofErr w:type="spellEnd"/>
      <w:r w:rsidRPr="0009163B">
        <w:rPr>
          <w:color w:val="000000" w:themeColor="text1"/>
          <w:lang w:val="en-US"/>
        </w:rPr>
        <w:t xml:space="preserve">: „This date </w:t>
      </w:r>
      <w:r w:rsidRPr="0009163B">
        <w:rPr>
          <w:i/>
          <w:color w:val="000000" w:themeColor="text1"/>
          <w:lang w:val="en-US"/>
        </w:rPr>
        <w:t>[</w:t>
      </w:r>
      <w:proofErr w:type="spellStart"/>
      <w:r w:rsidRPr="0009163B">
        <w:rPr>
          <w:i/>
          <w:color w:val="000000" w:themeColor="text1"/>
          <w:lang w:val="en-US"/>
        </w:rPr>
        <w:t>i</w:t>
      </w:r>
      <w:proofErr w:type="spellEnd"/>
      <w:r w:rsidRPr="0009163B">
        <w:rPr>
          <w:i/>
          <w:color w:val="000000" w:themeColor="text1"/>
          <w:lang w:val="en-US"/>
        </w:rPr>
        <w:t xml:space="preserve">. e. 137 </w:t>
      </w:r>
      <w:proofErr w:type="spellStart"/>
      <w:r w:rsidRPr="0009163B">
        <w:rPr>
          <w:i/>
          <w:color w:val="000000" w:themeColor="text1"/>
          <w:lang w:val="en-US"/>
        </w:rPr>
        <w:t>vChr</w:t>
      </w:r>
      <w:proofErr w:type="spellEnd"/>
      <w:r w:rsidRPr="0009163B">
        <w:rPr>
          <w:i/>
          <w:color w:val="000000" w:themeColor="text1"/>
          <w:lang w:val="en-US"/>
        </w:rPr>
        <w:t>.]</w:t>
      </w:r>
      <w:r w:rsidRPr="0009163B">
        <w:rPr>
          <w:color w:val="000000" w:themeColor="text1"/>
          <w:lang w:val="en-US"/>
        </w:rPr>
        <w:t xml:space="preserve"> depends on the hypothesis that on both issues the oath-scene refers to the trapping by the Sabines in 321 BC.” </w:t>
      </w:r>
    </w:p>
  </w:footnote>
  <w:footnote w:id="17">
    <w:p w14:paraId="1CBF935C" w14:textId="0810C48F" w:rsidR="00F568E5" w:rsidRPr="006F6982" w:rsidRDefault="00F568E5" w:rsidP="00022256">
      <w:pPr>
        <w:pStyle w:val="Funotentext"/>
        <w:jc w:val="both"/>
        <w:rPr>
          <w:color w:val="00B050"/>
        </w:rPr>
      </w:pPr>
      <w:r w:rsidRPr="00E65096">
        <w:rPr>
          <w:rStyle w:val="Funotenzeichen"/>
          <w:color w:val="000000" w:themeColor="text1"/>
        </w:rPr>
        <w:footnoteRef/>
      </w:r>
      <w:r w:rsidRPr="00E65096">
        <w:rPr>
          <w:color w:val="000000" w:themeColor="text1"/>
        </w:rPr>
        <w:t xml:space="preserve"> Crawford 1973, 5 f. überlegt, ob schon in die Prägung der Eidszenengolde </w:t>
      </w:r>
      <w:proofErr w:type="spellStart"/>
      <w:r w:rsidRPr="00E65096">
        <w:rPr>
          <w:color w:val="000000" w:themeColor="text1"/>
        </w:rPr>
        <w:t>Veturi</w:t>
      </w:r>
      <w:r>
        <w:rPr>
          <w:color w:val="000000" w:themeColor="text1"/>
        </w:rPr>
        <w:t>er</w:t>
      </w:r>
      <w:proofErr w:type="spellEnd"/>
      <w:r w:rsidRPr="00E65096">
        <w:rPr>
          <w:color w:val="000000" w:themeColor="text1"/>
        </w:rPr>
        <w:t xml:space="preserve"> involviert waren. Da diese im 3. Jh. nicht ihre Namen als Legende beigaben, und damit der Schlüssel für eine </w:t>
      </w:r>
      <w:r>
        <w:rPr>
          <w:color w:val="000000" w:themeColor="text1"/>
        </w:rPr>
        <w:t>Identifizierung</w:t>
      </w:r>
      <w:r w:rsidRPr="00E65096">
        <w:rPr>
          <w:color w:val="000000" w:themeColor="text1"/>
        </w:rPr>
        <w:t xml:space="preserve"> als </w:t>
      </w:r>
      <w:proofErr w:type="spellStart"/>
      <w:r w:rsidRPr="00E65096">
        <w:rPr>
          <w:color w:val="000000" w:themeColor="text1"/>
        </w:rPr>
        <w:t>Caudinischer</w:t>
      </w:r>
      <w:proofErr w:type="spellEnd"/>
      <w:r w:rsidRPr="00E65096">
        <w:rPr>
          <w:color w:val="000000" w:themeColor="text1"/>
        </w:rPr>
        <w:t xml:space="preserve"> Vertrag fehlte, </w:t>
      </w:r>
      <w:r>
        <w:rPr>
          <w:color w:val="000000" w:themeColor="text1"/>
        </w:rPr>
        <w:t xml:space="preserve">würde dies nichts an der Neutralität des Motivs ändern. Für den Bezug auf </w:t>
      </w:r>
      <w:proofErr w:type="spellStart"/>
      <w:r>
        <w:rPr>
          <w:color w:val="000000" w:themeColor="text1"/>
        </w:rPr>
        <w:t>Caudium</w:t>
      </w:r>
      <w:proofErr w:type="spellEnd"/>
      <w:r>
        <w:rPr>
          <w:color w:val="000000" w:themeColor="text1"/>
        </w:rPr>
        <w:t xml:space="preserve"> zuletzt noch ein </w:t>
      </w:r>
      <w:r w:rsidRPr="00E65096">
        <w:rPr>
          <w:color w:val="000000" w:themeColor="text1"/>
        </w:rPr>
        <w:t xml:space="preserve">Negativbefund: Einige </w:t>
      </w:r>
      <w:r>
        <w:rPr>
          <w:color w:val="000000" w:themeColor="text1"/>
        </w:rPr>
        <w:t>D</w:t>
      </w:r>
      <w:r w:rsidRPr="00E65096">
        <w:rPr>
          <w:color w:val="000000" w:themeColor="text1"/>
        </w:rPr>
        <w:t xml:space="preserve">arstellungen des </w:t>
      </w:r>
      <w:proofErr w:type="spellStart"/>
      <w:r w:rsidRPr="00E65096">
        <w:rPr>
          <w:color w:val="000000" w:themeColor="text1"/>
        </w:rPr>
        <w:t>Eidritus</w:t>
      </w:r>
      <w:proofErr w:type="spellEnd"/>
      <w:r w:rsidRPr="00E65096">
        <w:rPr>
          <w:color w:val="000000" w:themeColor="text1"/>
        </w:rPr>
        <w:t xml:space="preserve">’ (Überblick </w:t>
      </w:r>
      <w:r>
        <w:rPr>
          <w:color w:val="000000" w:themeColor="text1"/>
        </w:rPr>
        <w:t xml:space="preserve">bei </w:t>
      </w:r>
      <w:proofErr w:type="spellStart"/>
      <w:r w:rsidRPr="00E65096">
        <w:rPr>
          <w:color w:val="000000" w:themeColor="text1"/>
        </w:rPr>
        <w:t>Bleicken</w:t>
      </w:r>
      <w:proofErr w:type="spellEnd"/>
      <w:r w:rsidRPr="00E65096">
        <w:rPr>
          <w:color w:val="000000" w:themeColor="text1"/>
        </w:rPr>
        <w:t xml:space="preserve"> 1963, 60–2, der ihn </w:t>
      </w:r>
      <w:r w:rsidRPr="00E65096">
        <w:rPr>
          <w:i/>
          <w:color w:val="000000" w:themeColor="text1"/>
        </w:rPr>
        <w:t>passim</w:t>
      </w:r>
      <w:r w:rsidRPr="00E65096">
        <w:rPr>
          <w:color w:val="000000" w:themeColor="text1"/>
        </w:rPr>
        <w:t xml:space="preserve"> als </w:t>
      </w:r>
      <w:proofErr w:type="spellStart"/>
      <w:r w:rsidRPr="00E65096">
        <w:rPr>
          <w:i/>
          <w:color w:val="000000" w:themeColor="text1"/>
        </w:rPr>
        <w:t>coniuratio</w:t>
      </w:r>
      <w:proofErr w:type="spellEnd"/>
      <w:r w:rsidRPr="00E65096">
        <w:rPr>
          <w:color w:val="000000" w:themeColor="text1"/>
        </w:rPr>
        <w:t xml:space="preserve"> deutet) verzichten auf den das Schwein haltenden Jüngling; diese Münzen können </w:t>
      </w:r>
      <w:r>
        <w:rPr>
          <w:color w:val="000000" w:themeColor="text1"/>
        </w:rPr>
        <w:t xml:space="preserve">dezidiert </w:t>
      </w:r>
      <w:r w:rsidRPr="00E65096">
        <w:rPr>
          <w:color w:val="000000" w:themeColor="text1"/>
        </w:rPr>
        <w:t xml:space="preserve">nicht auf </w:t>
      </w:r>
      <w:proofErr w:type="spellStart"/>
      <w:r w:rsidRPr="00E65096">
        <w:rPr>
          <w:color w:val="000000" w:themeColor="text1"/>
        </w:rPr>
        <w:t>Caudium</w:t>
      </w:r>
      <w:proofErr w:type="spellEnd"/>
      <w:r w:rsidRPr="00E65096">
        <w:rPr>
          <w:color w:val="000000" w:themeColor="text1"/>
        </w:rPr>
        <w:t xml:space="preserve"> bezogen werden, da laut </w:t>
      </w:r>
      <w:proofErr w:type="spellStart"/>
      <w:r w:rsidRPr="00E65096">
        <w:rPr>
          <w:color w:val="000000" w:themeColor="text1"/>
        </w:rPr>
        <w:t>Cic</w:t>
      </w:r>
      <w:proofErr w:type="spellEnd"/>
      <w:r w:rsidRPr="00E65096">
        <w:rPr>
          <w:color w:val="000000" w:themeColor="text1"/>
        </w:rPr>
        <w:t xml:space="preserve">. de </w:t>
      </w:r>
      <w:proofErr w:type="spellStart"/>
      <w:r w:rsidRPr="00E65096">
        <w:rPr>
          <w:color w:val="000000" w:themeColor="text1"/>
        </w:rPr>
        <w:t>inv</w:t>
      </w:r>
      <w:proofErr w:type="spellEnd"/>
      <w:r w:rsidRPr="00E65096">
        <w:rPr>
          <w:color w:val="000000" w:themeColor="text1"/>
        </w:rPr>
        <w:t xml:space="preserve">. 2,91 im Senat </w:t>
      </w:r>
      <w:r>
        <w:rPr>
          <w:color w:val="000000" w:themeColor="text1"/>
        </w:rPr>
        <w:t xml:space="preserve">ein Streit </w:t>
      </w:r>
      <w:r w:rsidRPr="00E65096">
        <w:rPr>
          <w:color w:val="000000" w:themeColor="text1"/>
        </w:rPr>
        <w:t xml:space="preserve">um die Mitverantwortung des </w:t>
      </w:r>
      <w:r>
        <w:rPr>
          <w:color w:val="000000" w:themeColor="text1"/>
        </w:rPr>
        <w:t xml:space="preserve">dort das Schwein haltenden </w:t>
      </w:r>
      <w:r w:rsidRPr="00E65096">
        <w:rPr>
          <w:color w:val="000000" w:themeColor="text1"/>
        </w:rPr>
        <w:t>Jünglings entbrannt sei.</w:t>
      </w:r>
    </w:p>
  </w:footnote>
  <w:footnote w:id="18">
    <w:p w14:paraId="4225D19A" w14:textId="477652F1" w:rsidR="00F568E5" w:rsidRPr="00FF7CD8" w:rsidRDefault="00F568E5" w:rsidP="00022256">
      <w:pPr>
        <w:pStyle w:val="Funotentext"/>
        <w:jc w:val="both"/>
        <w:rPr>
          <w:color w:val="000000" w:themeColor="text1"/>
          <w:sz w:val="17"/>
          <w:szCs w:val="17"/>
        </w:rPr>
      </w:pPr>
      <w:r w:rsidRPr="00FF7CD8">
        <w:rPr>
          <w:rStyle w:val="Funotenzeichen"/>
          <w:color w:val="000000" w:themeColor="text1"/>
        </w:rPr>
        <w:footnoteRef/>
      </w:r>
      <w:r w:rsidRPr="00FF7CD8">
        <w:rPr>
          <w:color w:val="000000" w:themeColor="text1"/>
        </w:rPr>
        <w:t xml:space="preserve"> Die Zusammenhänge sind etwas unklar, weil der Augur bei </w:t>
      </w:r>
      <w:proofErr w:type="spellStart"/>
      <w:r w:rsidRPr="00FF7CD8">
        <w:rPr>
          <w:color w:val="000000" w:themeColor="text1"/>
        </w:rPr>
        <w:t>Liv</w:t>
      </w:r>
      <w:proofErr w:type="spellEnd"/>
      <w:r w:rsidRPr="00FF7CD8">
        <w:rPr>
          <w:color w:val="000000" w:themeColor="text1"/>
        </w:rPr>
        <w:t xml:space="preserve">. 41,21,9 als </w:t>
      </w:r>
      <w:proofErr w:type="spellStart"/>
      <w:r w:rsidRPr="00FF7CD8">
        <w:rPr>
          <w:color w:val="000000" w:themeColor="text1"/>
        </w:rPr>
        <w:t>Ti</w:t>
      </w:r>
      <w:proofErr w:type="spellEnd"/>
      <w:r w:rsidRPr="00FF7CD8">
        <w:rPr>
          <w:color w:val="000000" w:themeColor="text1"/>
        </w:rPr>
        <w:t xml:space="preserve">. </w:t>
      </w:r>
      <w:proofErr w:type="spellStart"/>
      <w:r w:rsidRPr="00FF7CD8">
        <w:rPr>
          <w:color w:val="000000" w:themeColor="text1"/>
        </w:rPr>
        <w:t>Veturius</w:t>
      </w:r>
      <w:proofErr w:type="spellEnd"/>
      <w:r w:rsidRPr="00FF7CD8">
        <w:rPr>
          <w:color w:val="000000" w:themeColor="text1"/>
        </w:rPr>
        <w:t xml:space="preserve"> Gracchus </w:t>
      </w:r>
      <w:proofErr w:type="spellStart"/>
      <w:r w:rsidRPr="00FF7CD8">
        <w:rPr>
          <w:color w:val="000000" w:themeColor="text1"/>
        </w:rPr>
        <w:t>Sempronianus</w:t>
      </w:r>
      <w:proofErr w:type="spellEnd"/>
      <w:r w:rsidRPr="00FF7CD8">
        <w:rPr>
          <w:color w:val="000000" w:themeColor="text1"/>
        </w:rPr>
        <w:t xml:space="preserve"> erscheint, eine Namensform, die Geer 1939, 466 anzweifelt. Die von Crawford gewählte Änderung ist nicht die einzige Lösung; Geer 1939, 467 schlägt vor, im Augur einen </w:t>
      </w:r>
      <w:proofErr w:type="spellStart"/>
      <w:r w:rsidRPr="00FF7CD8">
        <w:rPr>
          <w:color w:val="000000" w:themeColor="text1"/>
        </w:rPr>
        <w:t>Ti</w:t>
      </w:r>
      <w:proofErr w:type="spellEnd"/>
      <w:r w:rsidRPr="00FF7CD8">
        <w:rPr>
          <w:color w:val="000000" w:themeColor="text1"/>
        </w:rPr>
        <w:t xml:space="preserve">. </w:t>
      </w:r>
      <w:proofErr w:type="spellStart"/>
      <w:r w:rsidRPr="00FF7CD8">
        <w:rPr>
          <w:color w:val="000000" w:themeColor="text1"/>
        </w:rPr>
        <w:t>Sempronius</w:t>
      </w:r>
      <w:proofErr w:type="spellEnd"/>
      <w:r w:rsidRPr="00FF7CD8">
        <w:rPr>
          <w:color w:val="000000" w:themeColor="text1"/>
        </w:rPr>
        <w:t xml:space="preserve"> Gracchus </w:t>
      </w:r>
      <w:proofErr w:type="spellStart"/>
      <w:r w:rsidRPr="00FF7CD8">
        <w:rPr>
          <w:color w:val="000000" w:themeColor="text1"/>
        </w:rPr>
        <w:t>Veturianus</w:t>
      </w:r>
      <w:proofErr w:type="spellEnd"/>
      <w:r w:rsidRPr="00FF7CD8">
        <w:rPr>
          <w:color w:val="000000" w:themeColor="text1"/>
        </w:rPr>
        <w:t xml:space="preserve"> zu erkennen. In beiden Fällen wäre der Augur von 174 Cousin zweiten Grades des jüngeren </w:t>
      </w:r>
      <w:proofErr w:type="spellStart"/>
      <w:r w:rsidRPr="00FF7CD8">
        <w:rPr>
          <w:color w:val="000000" w:themeColor="text1"/>
        </w:rPr>
        <w:t>Ti</w:t>
      </w:r>
      <w:proofErr w:type="spellEnd"/>
      <w:r w:rsidRPr="00FF7CD8">
        <w:rPr>
          <w:color w:val="000000" w:themeColor="text1"/>
        </w:rPr>
        <w:t xml:space="preserve">. Gracchus gewesen, da er der leibliche oder der adoptierte Sohn des Cousins seines Vaters war. Der Münzmeister </w:t>
      </w:r>
      <w:proofErr w:type="spellStart"/>
      <w:r w:rsidRPr="00FF7CD8">
        <w:rPr>
          <w:color w:val="000000" w:themeColor="text1"/>
        </w:rPr>
        <w:t>Veturius</w:t>
      </w:r>
      <w:proofErr w:type="spellEnd"/>
      <w:r w:rsidRPr="00FF7CD8">
        <w:rPr>
          <w:color w:val="000000" w:themeColor="text1"/>
        </w:rPr>
        <w:t xml:space="preserve"> lässt sich damit als Neffe dritten Grades des </w:t>
      </w:r>
      <w:proofErr w:type="spellStart"/>
      <w:r w:rsidRPr="00FF7CD8">
        <w:rPr>
          <w:color w:val="000000" w:themeColor="text1"/>
        </w:rPr>
        <w:t>Quaestors</w:t>
      </w:r>
      <w:proofErr w:type="spellEnd"/>
      <w:r w:rsidRPr="00FF7CD8">
        <w:rPr>
          <w:color w:val="000000" w:themeColor="text1"/>
        </w:rPr>
        <w:t xml:space="preserve"> von 137 identifizieren, beide waren also im siebten Grad miteinander verwandt, also deutlich entfernter, als Crawford 1973, 6 </w:t>
      </w:r>
      <w:r>
        <w:rPr>
          <w:color w:val="000000" w:themeColor="text1"/>
        </w:rPr>
        <w:t>meint</w:t>
      </w:r>
      <w:r w:rsidRPr="00FF7CD8">
        <w:rPr>
          <w:color w:val="000000" w:themeColor="text1"/>
        </w:rPr>
        <w:t>: „</w:t>
      </w:r>
      <w:proofErr w:type="spellStart"/>
      <w:r w:rsidRPr="00FF7CD8">
        <w:rPr>
          <w:color w:val="000000" w:themeColor="text1"/>
        </w:rPr>
        <w:t>It</w:t>
      </w:r>
      <w:proofErr w:type="spellEnd"/>
      <w:r w:rsidRPr="00FF7CD8">
        <w:rPr>
          <w:color w:val="000000" w:themeColor="text1"/>
        </w:rPr>
        <w:t xml:space="preserve"> </w:t>
      </w:r>
      <w:proofErr w:type="spellStart"/>
      <w:r w:rsidRPr="00FF7CD8">
        <w:rPr>
          <w:color w:val="000000" w:themeColor="text1"/>
        </w:rPr>
        <w:t>is</w:t>
      </w:r>
      <w:proofErr w:type="spellEnd"/>
      <w:r w:rsidRPr="00FF7CD8">
        <w:rPr>
          <w:color w:val="000000" w:themeColor="text1"/>
        </w:rPr>
        <w:t xml:space="preserve"> </w:t>
      </w:r>
      <w:proofErr w:type="spellStart"/>
      <w:r w:rsidRPr="00FF7CD8">
        <w:rPr>
          <w:color w:val="000000" w:themeColor="text1"/>
        </w:rPr>
        <w:t>difficult</w:t>
      </w:r>
      <w:proofErr w:type="spellEnd"/>
      <w:r w:rsidRPr="00FF7CD8">
        <w:rPr>
          <w:color w:val="000000" w:themeColor="text1"/>
        </w:rPr>
        <w:t xml:space="preserve"> not </w:t>
      </w:r>
      <w:proofErr w:type="spellStart"/>
      <w:r w:rsidRPr="00FF7CD8">
        <w:rPr>
          <w:color w:val="000000" w:themeColor="text1"/>
        </w:rPr>
        <w:t>to</w:t>
      </w:r>
      <w:proofErr w:type="spellEnd"/>
      <w:r w:rsidRPr="00FF7CD8">
        <w:rPr>
          <w:color w:val="000000" w:themeColor="text1"/>
        </w:rPr>
        <w:t xml:space="preserve"> </w:t>
      </w:r>
      <w:proofErr w:type="spellStart"/>
      <w:r w:rsidRPr="00FF7CD8">
        <w:rPr>
          <w:color w:val="000000" w:themeColor="text1"/>
        </w:rPr>
        <w:t>believe</w:t>
      </w:r>
      <w:proofErr w:type="spellEnd"/>
      <w:r w:rsidRPr="00FF7CD8">
        <w:rPr>
          <w:color w:val="000000" w:themeColor="text1"/>
        </w:rPr>
        <w:t xml:space="preserve"> </w:t>
      </w:r>
      <w:proofErr w:type="spellStart"/>
      <w:r w:rsidRPr="00FF7CD8">
        <w:rPr>
          <w:color w:val="000000" w:themeColor="text1"/>
        </w:rPr>
        <w:t>that</w:t>
      </w:r>
      <w:proofErr w:type="spellEnd"/>
      <w:r w:rsidRPr="00FF7CD8">
        <w:rPr>
          <w:color w:val="000000" w:themeColor="text1"/>
        </w:rPr>
        <w:t xml:space="preserve"> </w:t>
      </w:r>
      <w:proofErr w:type="spellStart"/>
      <w:r w:rsidRPr="00FF7CD8">
        <w:rPr>
          <w:color w:val="000000" w:themeColor="text1"/>
        </w:rPr>
        <w:t>the</w:t>
      </w:r>
      <w:proofErr w:type="spellEnd"/>
      <w:r w:rsidRPr="00FF7CD8">
        <w:rPr>
          <w:color w:val="000000" w:themeColor="text1"/>
        </w:rPr>
        <w:t xml:space="preserve"> </w:t>
      </w:r>
      <w:proofErr w:type="spellStart"/>
      <w:r w:rsidRPr="00FF7CD8">
        <w:rPr>
          <w:color w:val="000000" w:themeColor="text1"/>
        </w:rPr>
        <w:t>tribune</w:t>
      </w:r>
      <w:proofErr w:type="spellEnd"/>
      <w:r w:rsidRPr="00FF7CD8">
        <w:rPr>
          <w:color w:val="000000" w:themeColor="text1"/>
        </w:rPr>
        <w:t xml:space="preserve"> </w:t>
      </w:r>
      <w:proofErr w:type="spellStart"/>
      <w:r w:rsidRPr="00FF7CD8">
        <w:rPr>
          <w:color w:val="000000" w:themeColor="text1"/>
        </w:rPr>
        <w:t>and</w:t>
      </w:r>
      <w:proofErr w:type="spellEnd"/>
      <w:r w:rsidRPr="00FF7CD8">
        <w:rPr>
          <w:color w:val="000000" w:themeColor="text1"/>
        </w:rPr>
        <w:t xml:space="preserve"> </w:t>
      </w:r>
      <w:proofErr w:type="spellStart"/>
      <w:r w:rsidRPr="00FF7CD8">
        <w:rPr>
          <w:color w:val="000000" w:themeColor="text1"/>
        </w:rPr>
        <w:t>the</w:t>
      </w:r>
      <w:proofErr w:type="spellEnd"/>
      <w:r w:rsidRPr="00FF7CD8">
        <w:rPr>
          <w:color w:val="000000" w:themeColor="text1"/>
        </w:rPr>
        <w:t xml:space="preserve"> </w:t>
      </w:r>
      <w:proofErr w:type="spellStart"/>
      <w:r w:rsidRPr="00FF7CD8">
        <w:rPr>
          <w:color w:val="000000" w:themeColor="text1"/>
        </w:rPr>
        <w:t>moneyer</w:t>
      </w:r>
      <w:proofErr w:type="spellEnd"/>
      <w:r w:rsidRPr="00FF7CD8">
        <w:rPr>
          <w:color w:val="000000" w:themeColor="text1"/>
        </w:rPr>
        <w:t xml:space="preserve"> </w:t>
      </w:r>
      <w:proofErr w:type="spellStart"/>
      <w:r w:rsidRPr="00FF7CD8">
        <w:rPr>
          <w:color w:val="000000" w:themeColor="text1"/>
        </w:rPr>
        <w:t>were</w:t>
      </w:r>
      <w:proofErr w:type="spellEnd"/>
      <w:r w:rsidRPr="00FF7CD8">
        <w:rPr>
          <w:color w:val="000000" w:themeColor="text1"/>
        </w:rPr>
        <w:t xml:space="preserve"> </w:t>
      </w:r>
      <w:proofErr w:type="spellStart"/>
      <w:r w:rsidRPr="00FF7CD8">
        <w:rPr>
          <w:color w:val="000000" w:themeColor="text1"/>
        </w:rPr>
        <w:t>cousins</w:t>
      </w:r>
      <w:proofErr w:type="spellEnd"/>
      <w:r w:rsidRPr="00FF7CD8">
        <w:rPr>
          <w:color w:val="000000" w:themeColor="text1"/>
        </w:rPr>
        <w:t>.“</w:t>
      </w:r>
    </w:p>
  </w:footnote>
  <w:footnote w:id="19">
    <w:p w14:paraId="4CD63D75" w14:textId="7A02378B" w:rsidR="00F568E5" w:rsidRPr="00FF7CD8" w:rsidRDefault="00F568E5" w:rsidP="00022256">
      <w:pPr>
        <w:pStyle w:val="Funotentext"/>
        <w:jc w:val="both"/>
        <w:rPr>
          <w:color w:val="000000" w:themeColor="text1"/>
        </w:rPr>
      </w:pPr>
      <w:r w:rsidRPr="001552B4">
        <w:rPr>
          <w:rStyle w:val="Funotenzeichen"/>
          <w:color w:val="000000" w:themeColor="text1"/>
        </w:rPr>
        <w:footnoteRef/>
      </w:r>
      <w:r w:rsidRPr="001552B4">
        <w:rPr>
          <w:color w:val="000000" w:themeColor="text1"/>
        </w:rPr>
        <w:t xml:space="preserve"> Derart deutlich stellt Crawford 1973, 6 den postulierten Zusammenhang freilich nicht heraus; seine Reflektion über die Verwandtschaft läuft aber eben genau darauf hinaus. Zumindest implizit findet sich der Gedanke auch bei Wolters 2017, 168 f. Zumindest nicht ablehnend zum Argument </w:t>
      </w:r>
      <w:proofErr w:type="spellStart"/>
      <w:r w:rsidRPr="001552B4">
        <w:rPr>
          <w:color w:val="000000" w:themeColor="text1"/>
        </w:rPr>
        <w:t>Wikander</w:t>
      </w:r>
      <w:proofErr w:type="spellEnd"/>
      <w:r w:rsidRPr="001552B4">
        <w:rPr>
          <w:color w:val="000000" w:themeColor="text1"/>
        </w:rPr>
        <w:t xml:space="preserve"> 1976, 102 Anm. 160.</w:t>
      </w:r>
    </w:p>
  </w:footnote>
  <w:footnote w:id="20">
    <w:p w14:paraId="07090B42" w14:textId="0735894A" w:rsidR="00F568E5" w:rsidRPr="00C12C9C" w:rsidRDefault="00F568E5" w:rsidP="00022256">
      <w:pPr>
        <w:pStyle w:val="Funotentext"/>
        <w:jc w:val="both"/>
        <w:rPr>
          <w:color w:val="000000" w:themeColor="text1"/>
        </w:rPr>
      </w:pPr>
      <w:r w:rsidRPr="00CF5913">
        <w:rPr>
          <w:rStyle w:val="Funotenzeichen"/>
          <w:color w:val="000000" w:themeColor="text1"/>
        </w:rPr>
        <w:footnoteRef/>
      </w:r>
      <w:r w:rsidRPr="00CF5913">
        <w:rPr>
          <w:color w:val="000000" w:themeColor="text1"/>
        </w:rPr>
        <w:t xml:space="preserve"> </w:t>
      </w:r>
      <w:r>
        <w:rPr>
          <w:color w:val="000000" w:themeColor="text1"/>
        </w:rPr>
        <w:t>Vgl. o. Anm. 18. Die Verwandtschaft w</w:t>
      </w:r>
      <w:r w:rsidRPr="00CF5913">
        <w:rPr>
          <w:color w:val="000000" w:themeColor="text1"/>
        </w:rPr>
        <w:t xml:space="preserve">ar </w:t>
      </w:r>
      <w:r>
        <w:rPr>
          <w:color w:val="000000" w:themeColor="text1"/>
        </w:rPr>
        <w:t xml:space="preserve">also </w:t>
      </w:r>
      <w:r w:rsidRPr="00CF5913">
        <w:rPr>
          <w:color w:val="000000" w:themeColor="text1"/>
        </w:rPr>
        <w:t xml:space="preserve">schwerlich enger als andere Bindungen, die </w:t>
      </w:r>
      <w:proofErr w:type="spellStart"/>
      <w:r w:rsidRPr="00CF5913">
        <w:rPr>
          <w:color w:val="000000" w:themeColor="text1"/>
        </w:rPr>
        <w:t>Veturius</w:t>
      </w:r>
      <w:proofErr w:type="spellEnd"/>
      <w:r w:rsidRPr="00CF5913">
        <w:rPr>
          <w:color w:val="000000" w:themeColor="text1"/>
        </w:rPr>
        <w:t xml:space="preserve"> in der vielfach verknüpften römischen Aristokratie zu allen möglichen anderen Akteuren gehabt haben muss; wahrscheinlich wies er auch Bindungen zu Gegnern des </w:t>
      </w:r>
      <w:proofErr w:type="spellStart"/>
      <w:r w:rsidRPr="00CF5913">
        <w:rPr>
          <w:color w:val="000000" w:themeColor="text1"/>
        </w:rPr>
        <w:t>Mancinus</w:t>
      </w:r>
      <w:proofErr w:type="spellEnd"/>
      <w:r w:rsidRPr="00CF5913">
        <w:rPr>
          <w:color w:val="000000" w:themeColor="text1"/>
        </w:rPr>
        <w:t xml:space="preserve">-Vertrags auf – das tat Gracchus ja selbst. </w:t>
      </w:r>
      <w:r>
        <w:rPr>
          <w:color w:val="000000" w:themeColor="text1"/>
        </w:rPr>
        <w:t xml:space="preserve">Zur Bindungspluralität innerhalb der römischen Aristokratie, die sich u. a. in stark </w:t>
      </w:r>
      <w:proofErr w:type="spellStart"/>
      <w:r>
        <w:rPr>
          <w:color w:val="000000" w:themeColor="text1"/>
        </w:rPr>
        <w:t>exogamen</w:t>
      </w:r>
      <w:proofErr w:type="spellEnd"/>
      <w:r>
        <w:rPr>
          <w:color w:val="000000" w:themeColor="text1"/>
        </w:rPr>
        <w:t xml:space="preserve"> Heiratsmustern zeigt, vgl. im Überblick Harders 2017, </w:t>
      </w:r>
      <w:r w:rsidRPr="00C12C9C">
        <w:rPr>
          <w:i/>
          <w:color w:val="000000" w:themeColor="text1"/>
        </w:rPr>
        <w:t>passim</w:t>
      </w:r>
      <w:r>
        <w:rPr>
          <w:color w:val="000000" w:themeColor="text1"/>
        </w:rPr>
        <w:t>.</w:t>
      </w:r>
    </w:p>
  </w:footnote>
  <w:footnote w:id="21">
    <w:p w14:paraId="7BA57E22" w14:textId="5A0DFE1A" w:rsidR="00F568E5" w:rsidRPr="00ED6E94" w:rsidRDefault="00F568E5" w:rsidP="00022256">
      <w:pPr>
        <w:pStyle w:val="Funotentext"/>
        <w:jc w:val="both"/>
        <w:rPr>
          <w:color w:val="000000" w:themeColor="text1"/>
        </w:rPr>
      </w:pPr>
      <w:r w:rsidRPr="00ED6E94">
        <w:rPr>
          <w:rStyle w:val="Funotenzeichen"/>
          <w:color w:val="000000" w:themeColor="text1"/>
        </w:rPr>
        <w:footnoteRef/>
      </w:r>
      <w:r w:rsidRPr="00ED6E94">
        <w:rPr>
          <w:color w:val="000000" w:themeColor="text1"/>
        </w:rPr>
        <w:t xml:space="preserve"> </w:t>
      </w:r>
      <w:proofErr w:type="spellStart"/>
      <w:r w:rsidRPr="00ED6E94">
        <w:rPr>
          <w:color w:val="000000" w:themeColor="text1"/>
        </w:rPr>
        <w:t>Plut</w:t>
      </w:r>
      <w:proofErr w:type="spellEnd"/>
      <w:r w:rsidRPr="00ED6E94">
        <w:rPr>
          <w:color w:val="000000" w:themeColor="text1"/>
        </w:rPr>
        <w:t xml:space="preserve">. </w:t>
      </w:r>
      <w:proofErr w:type="spellStart"/>
      <w:r w:rsidRPr="00ED6E94">
        <w:rPr>
          <w:color w:val="000000" w:themeColor="text1"/>
        </w:rPr>
        <w:t>Tib</w:t>
      </w:r>
      <w:proofErr w:type="spellEnd"/>
      <w:r w:rsidRPr="00ED6E94">
        <w:rPr>
          <w:color w:val="000000" w:themeColor="text1"/>
        </w:rPr>
        <w:t xml:space="preserve">. Gr. 7,3. Ein anderer Cousin, P. Cornelius Scipio </w:t>
      </w:r>
      <w:proofErr w:type="spellStart"/>
      <w:r w:rsidRPr="00ED6E94">
        <w:rPr>
          <w:color w:val="000000" w:themeColor="text1"/>
        </w:rPr>
        <w:t>Nasica</w:t>
      </w:r>
      <w:proofErr w:type="spellEnd"/>
      <w:r w:rsidRPr="00ED6E94">
        <w:rPr>
          <w:color w:val="000000" w:themeColor="text1"/>
        </w:rPr>
        <w:t xml:space="preserve"> (cos. 138), war 133 mittelbar </w:t>
      </w:r>
      <w:r>
        <w:rPr>
          <w:color w:val="000000" w:themeColor="text1"/>
        </w:rPr>
        <w:t xml:space="preserve">dann </w:t>
      </w:r>
      <w:r w:rsidRPr="00ED6E94">
        <w:rPr>
          <w:color w:val="000000" w:themeColor="text1"/>
        </w:rPr>
        <w:t xml:space="preserve">sogar für die Ermordung des Gracchus verantwortlich. </w:t>
      </w:r>
    </w:p>
  </w:footnote>
  <w:footnote w:id="22">
    <w:p w14:paraId="38FD8F9C" w14:textId="5105FF01" w:rsidR="00F568E5" w:rsidRPr="00C12C9C" w:rsidRDefault="00F568E5" w:rsidP="00022256">
      <w:pPr>
        <w:pStyle w:val="Funotentext"/>
        <w:jc w:val="both"/>
        <w:rPr>
          <w:color w:val="000000" w:themeColor="text1"/>
        </w:rPr>
      </w:pPr>
      <w:r w:rsidRPr="00C12C9C">
        <w:rPr>
          <w:rStyle w:val="Funotenzeichen"/>
          <w:color w:val="000000" w:themeColor="text1"/>
        </w:rPr>
        <w:footnoteRef/>
      </w:r>
      <w:r w:rsidRPr="00C12C9C">
        <w:rPr>
          <w:color w:val="000000" w:themeColor="text1"/>
        </w:rPr>
        <w:t xml:space="preserve"> Zur Geschichte solcher Deutungsmuster vgl. Heil 2017, 91–4; </w:t>
      </w:r>
      <w:proofErr w:type="spellStart"/>
      <w:r w:rsidRPr="00C12C9C">
        <w:rPr>
          <w:color w:val="000000" w:themeColor="text1"/>
        </w:rPr>
        <w:t>Hölkeskamp</w:t>
      </w:r>
      <w:proofErr w:type="spellEnd"/>
      <w:r w:rsidRPr="00C12C9C">
        <w:rPr>
          <w:color w:val="000000" w:themeColor="text1"/>
        </w:rPr>
        <w:t xml:space="preserve"> 2001, v. a. 99 f. Die Zurückweisung der Faktionsthese ist dabei kein neues Phänomen, vgl. zur mitunter mangelnden gegenseitigen Wahrnehmung der Disziplinen (am Beispiel der Numismatik und der </w:t>
      </w:r>
      <w:proofErr w:type="spellStart"/>
      <w:r w:rsidRPr="00C12C9C">
        <w:rPr>
          <w:color w:val="000000" w:themeColor="text1"/>
        </w:rPr>
        <w:t>Prosopographie</w:t>
      </w:r>
      <w:proofErr w:type="spellEnd"/>
      <w:r w:rsidRPr="00C12C9C">
        <w:rPr>
          <w:color w:val="000000" w:themeColor="text1"/>
        </w:rPr>
        <w:t xml:space="preserve">) in einer zunehmend differenzierten fachlichen Landschaft aber </w:t>
      </w:r>
      <w:proofErr w:type="spellStart"/>
      <w:r w:rsidRPr="00C12C9C">
        <w:rPr>
          <w:color w:val="000000" w:themeColor="text1"/>
        </w:rPr>
        <w:t>Metcalf</w:t>
      </w:r>
      <w:proofErr w:type="spellEnd"/>
      <w:r w:rsidRPr="00C12C9C">
        <w:rPr>
          <w:color w:val="000000" w:themeColor="text1"/>
        </w:rPr>
        <w:t xml:space="preserve"> 1999, 4–10. </w:t>
      </w:r>
    </w:p>
  </w:footnote>
  <w:footnote w:id="23">
    <w:p w14:paraId="3CDA2B60" w14:textId="7A705A1D" w:rsidR="00F568E5" w:rsidRPr="001732B6" w:rsidRDefault="00F568E5" w:rsidP="00022256">
      <w:pPr>
        <w:pStyle w:val="Funotentext"/>
        <w:jc w:val="both"/>
        <w:rPr>
          <w:color w:val="000000" w:themeColor="text1"/>
        </w:rPr>
      </w:pPr>
      <w:r w:rsidRPr="00400A61">
        <w:rPr>
          <w:rStyle w:val="Funotenzeichen"/>
          <w:color w:val="000000" w:themeColor="text1"/>
        </w:rPr>
        <w:footnoteRef/>
      </w:r>
      <w:r w:rsidRPr="00400A61">
        <w:rPr>
          <w:color w:val="000000" w:themeColor="text1"/>
        </w:rPr>
        <w:t xml:space="preserve"> </w:t>
      </w:r>
      <w:proofErr w:type="spellStart"/>
      <w:r w:rsidRPr="00400A61">
        <w:rPr>
          <w:color w:val="000000" w:themeColor="text1"/>
        </w:rPr>
        <w:t>Astin</w:t>
      </w:r>
      <w:proofErr w:type="spellEnd"/>
      <w:r w:rsidRPr="00400A61">
        <w:rPr>
          <w:color w:val="000000" w:themeColor="text1"/>
        </w:rPr>
        <w:t xml:space="preserve"> 1967</w:t>
      </w:r>
      <w:r w:rsidR="000E006C" w:rsidRPr="00400A61">
        <w:rPr>
          <w:color w:val="000000" w:themeColor="text1"/>
        </w:rPr>
        <w:t>, 147–9 u. 156–8</w:t>
      </w:r>
      <w:r w:rsidRPr="00400A61">
        <w:rPr>
          <w:color w:val="000000" w:themeColor="text1"/>
        </w:rPr>
        <w:t xml:space="preserve">. Q. </w:t>
      </w:r>
      <w:proofErr w:type="spellStart"/>
      <w:r w:rsidRPr="00400A61">
        <w:rPr>
          <w:color w:val="000000" w:themeColor="text1"/>
        </w:rPr>
        <w:t>Pompeius</w:t>
      </w:r>
      <w:proofErr w:type="spellEnd"/>
      <w:r w:rsidRPr="00400A61">
        <w:rPr>
          <w:color w:val="000000" w:themeColor="text1"/>
        </w:rPr>
        <w:t xml:space="preserve">, einem Vorgänger des </w:t>
      </w:r>
      <w:proofErr w:type="spellStart"/>
      <w:r w:rsidRPr="00400A61">
        <w:rPr>
          <w:color w:val="000000" w:themeColor="text1"/>
        </w:rPr>
        <w:t>Mancinus</w:t>
      </w:r>
      <w:proofErr w:type="spellEnd"/>
      <w:r w:rsidRPr="00400A61">
        <w:rPr>
          <w:color w:val="000000" w:themeColor="text1"/>
        </w:rPr>
        <w:t xml:space="preserve">, scheint es </w:t>
      </w:r>
      <w:r w:rsidR="00400A61" w:rsidRPr="00400A61">
        <w:rPr>
          <w:color w:val="000000" w:themeColor="text1"/>
        </w:rPr>
        <w:t>knapp zwei</w:t>
      </w:r>
      <w:r w:rsidRPr="00400A61">
        <w:rPr>
          <w:color w:val="000000" w:themeColor="text1"/>
        </w:rPr>
        <w:t xml:space="preserve"> Jahre zuvor bewusst gewesen zu sein, dass eine </w:t>
      </w:r>
      <w:r w:rsidR="00400A61" w:rsidRPr="00400A61">
        <w:rPr>
          <w:color w:val="000000" w:themeColor="text1"/>
        </w:rPr>
        <w:t xml:space="preserve">von ihm geschlossene </w:t>
      </w:r>
      <w:r w:rsidRPr="00400A61">
        <w:rPr>
          <w:color w:val="000000" w:themeColor="text1"/>
        </w:rPr>
        <w:t xml:space="preserve">Übereinkunft mit </w:t>
      </w:r>
      <w:proofErr w:type="spellStart"/>
      <w:r w:rsidRPr="00400A61">
        <w:rPr>
          <w:color w:val="000000" w:themeColor="text1"/>
        </w:rPr>
        <w:t>Numantia</w:t>
      </w:r>
      <w:proofErr w:type="spellEnd"/>
      <w:r w:rsidRPr="00400A61">
        <w:rPr>
          <w:color w:val="000000" w:themeColor="text1"/>
        </w:rPr>
        <w:t xml:space="preserve"> im Senat chancenlos sein würde, weil sie </w:t>
      </w:r>
      <w:r w:rsidR="000E006C" w:rsidRPr="00400A61">
        <w:rPr>
          <w:color w:val="000000" w:themeColor="text1"/>
        </w:rPr>
        <w:t xml:space="preserve">nur vordergründig auf einer </w:t>
      </w:r>
      <w:proofErr w:type="spellStart"/>
      <w:r w:rsidRPr="00400A61">
        <w:rPr>
          <w:i/>
          <w:color w:val="000000" w:themeColor="text1"/>
        </w:rPr>
        <w:t>deditio</w:t>
      </w:r>
      <w:proofErr w:type="spellEnd"/>
      <w:r w:rsidRPr="00400A61">
        <w:rPr>
          <w:color w:val="000000" w:themeColor="text1"/>
        </w:rPr>
        <w:t xml:space="preserve"> </w:t>
      </w:r>
      <w:r w:rsidRPr="001732B6">
        <w:rPr>
          <w:color w:val="000000" w:themeColor="text1"/>
        </w:rPr>
        <w:t>aufbaute</w:t>
      </w:r>
      <w:r w:rsidR="000E006C" w:rsidRPr="001732B6">
        <w:rPr>
          <w:color w:val="000000" w:themeColor="text1"/>
        </w:rPr>
        <w:t>, de facto aber einen Verhandlungsfrieden als Voraussetzung hatte</w:t>
      </w:r>
      <w:r w:rsidRPr="001732B6">
        <w:rPr>
          <w:color w:val="000000" w:themeColor="text1"/>
        </w:rPr>
        <w:t xml:space="preserve">. </w:t>
      </w:r>
      <w:proofErr w:type="spellStart"/>
      <w:r w:rsidR="000E006C" w:rsidRPr="001732B6">
        <w:rPr>
          <w:color w:val="000000" w:themeColor="text1"/>
        </w:rPr>
        <w:t>Pompeius</w:t>
      </w:r>
      <w:proofErr w:type="spellEnd"/>
      <w:r w:rsidRPr="001732B6">
        <w:rPr>
          <w:color w:val="000000" w:themeColor="text1"/>
        </w:rPr>
        <w:t xml:space="preserve"> verzichtete daher darauf, </w:t>
      </w:r>
      <w:r w:rsidR="00400A61" w:rsidRPr="001732B6">
        <w:rPr>
          <w:color w:val="000000" w:themeColor="text1"/>
        </w:rPr>
        <w:t xml:space="preserve">im Senat </w:t>
      </w:r>
      <w:r w:rsidRPr="001732B6">
        <w:rPr>
          <w:color w:val="000000" w:themeColor="text1"/>
        </w:rPr>
        <w:t xml:space="preserve">für </w:t>
      </w:r>
      <w:r w:rsidR="000E006C" w:rsidRPr="001732B6">
        <w:rPr>
          <w:color w:val="000000" w:themeColor="text1"/>
        </w:rPr>
        <w:t xml:space="preserve">seine Friedensbedingungen </w:t>
      </w:r>
      <w:r w:rsidRPr="001732B6">
        <w:rPr>
          <w:color w:val="000000" w:themeColor="text1"/>
        </w:rPr>
        <w:t xml:space="preserve">sie zu werben, </w:t>
      </w:r>
      <w:r w:rsidR="000E006C" w:rsidRPr="001732B6">
        <w:rPr>
          <w:color w:val="000000" w:themeColor="text1"/>
        </w:rPr>
        <w:t>sondern leugnete stattdessen, dass es überhaupt einen Vertrag gegeben hatte</w:t>
      </w:r>
      <w:r w:rsidRPr="001732B6">
        <w:rPr>
          <w:color w:val="000000" w:themeColor="text1"/>
        </w:rPr>
        <w:t xml:space="preserve">: Vgl. </w:t>
      </w:r>
      <w:r w:rsidR="00400A61" w:rsidRPr="001732B6">
        <w:rPr>
          <w:color w:val="000000" w:themeColor="text1"/>
        </w:rPr>
        <w:t>u</w:t>
      </w:r>
      <w:r w:rsidRPr="001732B6">
        <w:rPr>
          <w:color w:val="000000" w:themeColor="text1"/>
        </w:rPr>
        <w:t>. a. App. Ib. 79 u. 83</w:t>
      </w:r>
      <w:r w:rsidR="00400A61" w:rsidRPr="001732B6">
        <w:rPr>
          <w:color w:val="000000" w:themeColor="text1"/>
        </w:rPr>
        <w:t xml:space="preserve">; </w:t>
      </w:r>
      <w:proofErr w:type="spellStart"/>
      <w:r w:rsidR="00400A61" w:rsidRPr="001732B6">
        <w:rPr>
          <w:color w:val="000000" w:themeColor="text1"/>
        </w:rPr>
        <w:t>Liv</w:t>
      </w:r>
      <w:proofErr w:type="spellEnd"/>
      <w:r w:rsidR="00400A61" w:rsidRPr="001732B6">
        <w:rPr>
          <w:color w:val="000000" w:themeColor="text1"/>
        </w:rPr>
        <w:t xml:space="preserve">. per. 54; </w:t>
      </w:r>
      <w:proofErr w:type="spellStart"/>
      <w:r w:rsidRPr="001732B6">
        <w:rPr>
          <w:color w:val="000000" w:themeColor="text1"/>
        </w:rPr>
        <w:t>Cic</w:t>
      </w:r>
      <w:proofErr w:type="spellEnd"/>
      <w:r w:rsidRPr="001732B6">
        <w:rPr>
          <w:color w:val="000000" w:themeColor="text1"/>
        </w:rPr>
        <w:t xml:space="preserve">. </w:t>
      </w:r>
      <w:proofErr w:type="spellStart"/>
      <w:r w:rsidRPr="001732B6">
        <w:rPr>
          <w:color w:val="000000" w:themeColor="text1"/>
        </w:rPr>
        <w:t>rep</w:t>
      </w:r>
      <w:proofErr w:type="spellEnd"/>
      <w:r w:rsidRPr="001732B6">
        <w:rPr>
          <w:color w:val="000000" w:themeColor="text1"/>
        </w:rPr>
        <w:t>. 3,28</w:t>
      </w:r>
      <w:r w:rsidR="00400A61" w:rsidRPr="001732B6">
        <w:rPr>
          <w:color w:val="000000" w:themeColor="text1"/>
        </w:rPr>
        <w:t xml:space="preserve">; </w:t>
      </w:r>
      <w:proofErr w:type="spellStart"/>
      <w:r w:rsidR="00400A61" w:rsidRPr="001732B6">
        <w:rPr>
          <w:color w:val="000000" w:themeColor="text1"/>
        </w:rPr>
        <w:t>Vell</w:t>
      </w:r>
      <w:proofErr w:type="spellEnd"/>
      <w:r w:rsidR="00400A61" w:rsidRPr="001732B6">
        <w:rPr>
          <w:color w:val="000000" w:themeColor="text1"/>
        </w:rPr>
        <w:t>. 2,1,4 u. 2,90,3</w:t>
      </w:r>
      <w:r w:rsidRPr="001732B6">
        <w:rPr>
          <w:color w:val="000000" w:themeColor="text1"/>
        </w:rPr>
        <w:t>.</w:t>
      </w:r>
    </w:p>
  </w:footnote>
  <w:footnote w:id="24">
    <w:p w14:paraId="6EC32E43" w14:textId="2F5151AE" w:rsidR="00F568E5" w:rsidRPr="00E61F22" w:rsidRDefault="00F568E5" w:rsidP="00022256">
      <w:pPr>
        <w:pStyle w:val="Funotentext"/>
        <w:jc w:val="both"/>
        <w:rPr>
          <w:color w:val="000000" w:themeColor="text1"/>
        </w:rPr>
      </w:pPr>
      <w:r w:rsidRPr="001732B6">
        <w:rPr>
          <w:rStyle w:val="Funotenzeichen"/>
          <w:color w:val="000000" w:themeColor="text1"/>
        </w:rPr>
        <w:footnoteRef/>
      </w:r>
      <w:r w:rsidRPr="001732B6">
        <w:rPr>
          <w:color w:val="000000" w:themeColor="text1"/>
        </w:rPr>
        <w:t xml:space="preserve"> Zum </w:t>
      </w:r>
      <w:proofErr w:type="spellStart"/>
      <w:r w:rsidRPr="001732B6">
        <w:rPr>
          <w:color w:val="000000" w:themeColor="text1"/>
        </w:rPr>
        <w:t>Pompeius</w:t>
      </w:r>
      <w:proofErr w:type="spellEnd"/>
      <w:r w:rsidRPr="001732B6">
        <w:rPr>
          <w:color w:val="000000" w:themeColor="text1"/>
        </w:rPr>
        <w:t xml:space="preserve">-Vertrag </w:t>
      </w:r>
      <w:r w:rsidR="001732B6" w:rsidRPr="001732B6">
        <w:rPr>
          <w:color w:val="000000" w:themeColor="text1"/>
        </w:rPr>
        <w:t>(</w:t>
      </w:r>
      <w:r w:rsidRPr="001732B6">
        <w:rPr>
          <w:color w:val="000000" w:themeColor="text1"/>
        </w:rPr>
        <w:t>s. o. Anm. 23</w:t>
      </w:r>
      <w:r w:rsidR="001732B6" w:rsidRPr="001732B6">
        <w:rPr>
          <w:color w:val="000000" w:themeColor="text1"/>
        </w:rPr>
        <w:t xml:space="preserve">) </w:t>
      </w:r>
      <w:r w:rsidRPr="001732B6">
        <w:rPr>
          <w:color w:val="000000" w:themeColor="text1"/>
        </w:rPr>
        <w:t xml:space="preserve">als Entschuldigung des </w:t>
      </w:r>
      <w:proofErr w:type="spellStart"/>
      <w:r w:rsidRPr="001732B6">
        <w:rPr>
          <w:color w:val="000000" w:themeColor="text1"/>
        </w:rPr>
        <w:t>Mancinus</w:t>
      </w:r>
      <w:proofErr w:type="spellEnd"/>
      <w:r w:rsidRPr="001732B6">
        <w:rPr>
          <w:color w:val="000000" w:themeColor="text1"/>
        </w:rPr>
        <w:t xml:space="preserve">: </w:t>
      </w:r>
      <w:r w:rsidR="005A4FA1" w:rsidRPr="001732B6">
        <w:rPr>
          <w:color w:val="000000" w:themeColor="text1"/>
        </w:rPr>
        <w:t xml:space="preserve">Cass. </w:t>
      </w:r>
      <w:proofErr w:type="spellStart"/>
      <w:r w:rsidR="005A4FA1" w:rsidRPr="001732B6">
        <w:rPr>
          <w:color w:val="000000" w:themeColor="text1"/>
        </w:rPr>
        <w:t>Dio</w:t>
      </w:r>
      <w:proofErr w:type="spellEnd"/>
      <w:r w:rsidR="005A4FA1" w:rsidRPr="001732B6">
        <w:rPr>
          <w:color w:val="000000" w:themeColor="text1"/>
        </w:rPr>
        <w:t xml:space="preserve"> </w:t>
      </w:r>
      <w:proofErr w:type="spellStart"/>
      <w:r w:rsidR="005A4FA1" w:rsidRPr="001732B6">
        <w:rPr>
          <w:color w:val="000000" w:themeColor="text1"/>
        </w:rPr>
        <w:t>frg</w:t>
      </w:r>
      <w:proofErr w:type="spellEnd"/>
      <w:r w:rsidR="005A4FA1" w:rsidRPr="001732B6">
        <w:rPr>
          <w:color w:val="000000" w:themeColor="text1"/>
        </w:rPr>
        <w:t>. 79,2; App. Ib. 83.</w:t>
      </w:r>
      <w:r w:rsidRPr="001732B6">
        <w:rPr>
          <w:color w:val="000000" w:themeColor="text1"/>
        </w:rPr>
        <w:t xml:space="preserve"> Dass </w:t>
      </w:r>
      <w:proofErr w:type="spellStart"/>
      <w:r w:rsidRPr="001732B6">
        <w:rPr>
          <w:color w:val="000000" w:themeColor="text1"/>
        </w:rPr>
        <w:t>Pompeius</w:t>
      </w:r>
      <w:proofErr w:type="spellEnd"/>
      <w:r w:rsidRPr="001732B6">
        <w:rPr>
          <w:color w:val="000000" w:themeColor="text1"/>
        </w:rPr>
        <w:t xml:space="preserve"> einen Vertrag geschlossen hatte, </w:t>
      </w:r>
      <w:r w:rsidR="00400A61" w:rsidRPr="001732B6">
        <w:rPr>
          <w:color w:val="000000" w:themeColor="text1"/>
        </w:rPr>
        <w:t xml:space="preserve">war, </w:t>
      </w:r>
      <w:r w:rsidR="006D36BC" w:rsidRPr="001732B6">
        <w:rPr>
          <w:color w:val="000000" w:themeColor="text1"/>
        </w:rPr>
        <w:t>obwohl er dies leugnete, allgemein akzeptiert</w:t>
      </w:r>
      <w:r w:rsidRPr="001732B6">
        <w:rPr>
          <w:color w:val="000000" w:themeColor="text1"/>
        </w:rPr>
        <w:t xml:space="preserve">; offenbar geriet er infolge der aktuellen Debatte </w:t>
      </w:r>
      <w:r w:rsidR="00400A61" w:rsidRPr="001732B6">
        <w:rPr>
          <w:color w:val="000000" w:themeColor="text1"/>
        </w:rPr>
        <w:t xml:space="preserve">daher </w:t>
      </w:r>
      <w:r w:rsidRPr="001732B6">
        <w:rPr>
          <w:color w:val="000000" w:themeColor="text1"/>
        </w:rPr>
        <w:t>wieder unter Beschuss. Zu</w:t>
      </w:r>
      <w:r w:rsidR="00395B98" w:rsidRPr="001732B6">
        <w:rPr>
          <w:color w:val="000000" w:themeColor="text1"/>
        </w:rPr>
        <w:t xml:space="preserve"> den</w:t>
      </w:r>
      <w:r w:rsidRPr="001732B6">
        <w:rPr>
          <w:color w:val="000000" w:themeColor="text1"/>
        </w:rPr>
        <w:t xml:space="preserve"> 20 000 geretteten Bürger</w:t>
      </w:r>
      <w:r w:rsidR="00395B98" w:rsidRPr="001732B6">
        <w:rPr>
          <w:color w:val="000000" w:themeColor="text1"/>
        </w:rPr>
        <w:t>n</w:t>
      </w:r>
      <w:r w:rsidRPr="001732B6">
        <w:rPr>
          <w:color w:val="000000" w:themeColor="text1"/>
        </w:rPr>
        <w:t xml:space="preserve">: </w:t>
      </w:r>
      <w:proofErr w:type="spellStart"/>
      <w:r w:rsidRPr="001732B6">
        <w:rPr>
          <w:color w:val="000000" w:themeColor="text1"/>
        </w:rPr>
        <w:t>Plut</w:t>
      </w:r>
      <w:proofErr w:type="spellEnd"/>
      <w:r w:rsidRPr="001732B6">
        <w:rPr>
          <w:color w:val="000000" w:themeColor="text1"/>
        </w:rPr>
        <w:t xml:space="preserve">. </w:t>
      </w:r>
      <w:proofErr w:type="spellStart"/>
      <w:r w:rsidRPr="001732B6">
        <w:rPr>
          <w:color w:val="000000" w:themeColor="text1"/>
        </w:rPr>
        <w:t>Tib</w:t>
      </w:r>
      <w:proofErr w:type="spellEnd"/>
      <w:r w:rsidRPr="001732B6">
        <w:rPr>
          <w:color w:val="000000" w:themeColor="text1"/>
        </w:rPr>
        <w:t>. Gr</w:t>
      </w:r>
      <w:r w:rsidR="00395B98" w:rsidRPr="001732B6">
        <w:rPr>
          <w:color w:val="000000" w:themeColor="text1"/>
        </w:rPr>
        <w:t>acchus</w:t>
      </w:r>
      <w:r w:rsidRPr="001732B6">
        <w:rPr>
          <w:color w:val="000000" w:themeColor="text1"/>
        </w:rPr>
        <w:t xml:space="preserve"> </w:t>
      </w:r>
      <w:r w:rsidR="00395B98" w:rsidRPr="001732B6">
        <w:rPr>
          <w:color w:val="000000" w:themeColor="text1"/>
        </w:rPr>
        <w:t xml:space="preserve">5,4 u. 7,1 </w:t>
      </w:r>
      <w:r w:rsidRPr="001732B6">
        <w:rPr>
          <w:color w:val="000000" w:themeColor="text1"/>
        </w:rPr>
        <w:t xml:space="preserve">(s. u. genauer). Möglicherweise spiegelt auch der Bericht über den </w:t>
      </w:r>
      <w:proofErr w:type="spellStart"/>
      <w:r w:rsidRPr="001732B6">
        <w:rPr>
          <w:color w:val="000000" w:themeColor="text1"/>
        </w:rPr>
        <w:t>Caudinischen</w:t>
      </w:r>
      <w:proofErr w:type="spellEnd"/>
      <w:r w:rsidRPr="001732B6">
        <w:rPr>
          <w:color w:val="000000" w:themeColor="text1"/>
        </w:rPr>
        <w:t xml:space="preserve"> Frieden bei </w:t>
      </w:r>
      <w:proofErr w:type="spellStart"/>
      <w:r w:rsidRPr="001732B6">
        <w:rPr>
          <w:color w:val="000000" w:themeColor="text1"/>
        </w:rPr>
        <w:t>Liv</w:t>
      </w:r>
      <w:proofErr w:type="spellEnd"/>
      <w:r w:rsidRPr="001732B6">
        <w:rPr>
          <w:color w:val="000000" w:themeColor="text1"/>
        </w:rPr>
        <w:t xml:space="preserve">. 9,4,7 </w:t>
      </w:r>
      <w:r w:rsidRPr="001732B6">
        <w:rPr>
          <w:i/>
          <w:color w:val="000000" w:themeColor="text1"/>
        </w:rPr>
        <w:t xml:space="preserve">(pro </w:t>
      </w:r>
      <w:proofErr w:type="spellStart"/>
      <w:r w:rsidRPr="001732B6">
        <w:rPr>
          <w:i/>
          <w:color w:val="000000" w:themeColor="text1"/>
        </w:rPr>
        <w:t>foedere</w:t>
      </w:r>
      <w:proofErr w:type="spellEnd"/>
      <w:r w:rsidRPr="001732B6">
        <w:rPr>
          <w:i/>
          <w:color w:val="000000" w:themeColor="text1"/>
        </w:rPr>
        <w:t xml:space="preserve"> </w:t>
      </w:r>
      <w:proofErr w:type="spellStart"/>
      <w:r w:rsidRPr="001732B6">
        <w:rPr>
          <w:i/>
          <w:color w:val="000000" w:themeColor="text1"/>
        </w:rPr>
        <w:t>tam</w:t>
      </w:r>
      <w:proofErr w:type="spellEnd"/>
      <w:r w:rsidRPr="001732B6">
        <w:rPr>
          <w:i/>
          <w:color w:val="000000" w:themeColor="text1"/>
        </w:rPr>
        <w:t xml:space="preserve"> </w:t>
      </w:r>
      <w:proofErr w:type="spellStart"/>
      <w:r w:rsidRPr="001732B6">
        <w:rPr>
          <w:i/>
          <w:color w:val="000000" w:themeColor="text1"/>
        </w:rPr>
        <w:t>turpi</w:t>
      </w:r>
      <w:proofErr w:type="spellEnd"/>
      <w:r w:rsidRPr="001732B6">
        <w:rPr>
          <w:i/>
          <w:color w:val="000000" w:themeColor="text1"/>
        </w:rPr>
        <w:t xml:space="preserve"> </w:t>
      </w:r>
      <w:proofErr w:type="spellStart"/>
      <w:r w:rsidRPr="001732B6">
        <w:rPr>
          <w:i/>
          <w:color w:val="000000" w:themeColor="text1"/>
        </w:rPr>
        <w:t>aut</w:t>
      </w:r>
      <w:proofErr w:type="spellEnd"/>
      <w:r w:rsidRPr="001732B6">
        <w:rPr>
          <w:i/>
          <w:color w:val="000000" w:themeColor="text1"/>
        </w:rPr>
        <w:t xml:space="preserve"> contra </w:t>
      </w:r>
      <w:proofErr w:type="spellStart"/>
      <w:r w:rsidRPr="001732B6">
        <w:rPr>
          <w:i/>
          <w:color w:val="000000" w:themeColor="text1"/>
        </w:rPr>
        <w:t>foedus</w:t>
      </w:r>
      <w:proofErr w:type="spellEnd"/>
      <w:r w:rsidRPr="001732B6">
        <w:rPr>
          <w:i/>
          <w:color w:val="000000" w:themeColor="text1"/>
        </w:rPr>
        <w:t xml:space="preserve"> </w:t>
      </w:r>
      <w:proofErr w:type="spellStart"/>
      <w:r w:rsidRPr="001732B6">
        <w:rPr>
          <w:i/>
          <w:color w:val="000000" w:themeColor="text1"/>
        </w:rPr>
        <w:t>tam</w:t>
      </w:r>
      <w:proofErr w:type="spellEnd"/>
      <w:r w:rsidRPr="001732B6">
        <w:rPr>
          <w:i/>
          <w:color w:val="000000" w:themeColor="text1"/>
        </w:rPr>
        <w:t xml:space="preserve"> </w:t>
      </w:r>
      <w:proofErr w:type="spellStart"/>
      <w:r w:rsidRPr="001732B6">
        <w:rPr>
          <w:i/>
          <w:color w:val="000000" w:themeColor="text1"/>
        </w:rPr>
        <w:t>necessarim</w:t>
      </w:r>
      <w:proofErr w:type="spellEnd"/>
      <w:r w:rsidRPr="001732B6">
        <w:rPr>
          <w:i/>
          <w:color w:val="000000" w:themeColor="text1"/>
        </w:rPr>
        <w:t>)</w:t>
      </w:r>
      <w:r w:rsidRPr="001732B6">
        <w:rPr>
          <w:color w:val="000000" w:themeColor="text1"/>
        </w:rPr>
        <w:t xml:space="preserve"> die Verteidigungsstrategie des </w:t>
      </w:r>
      <w:proofErr w:type="spellStart"/>
      <w:r w:rsidRPr="001732B6">
        <w:rPr>
          <w:color w:val="000000" w:themeColor="text1"/>
        </w:rPr>
        <w:t>Mancinus</w:t>
      </w:r>
      <w:proofErr w:type="spellEnd"/>
      <w:r w:rsidRPr="001732B6">
        <w:rPr>
          <w:color w:val="000000" w:themeColor="text1"/>
        </w:rPr>
        <w:t xml:space="preserve">. </w:t>
      </w:r>
      <w:r w:rsidR="00237E34">
        <w:rPr>
          <w:color w:val="000000" w:themeColor="text1"/>
        </w:rPr>
        <w:t xml:space="preserve">Zu dieser </w:t>
      </w:r>
      <w:r w:rsidRPr="001732B6">
        <w:rPr>
          <w:color w:val="000000" w:themeColor="text1"/>
        </w:rPr>
        <w:t>allg. Rosenstein 1986</w:t>
      </w:r>
      <w:r w:rsidR="001732B6" w:rsidRPr="001732B6">
        <w:rPr>
          <w:color w:val="000000" w:themeColor="text1"/>
        </w:rPr>
        <w:t>, 236–44.</w:t>
      </w:r>
    </w:p>
  </w:footnote>
  <w:footnote w:id="25">
    <w:p w14:paraId="7B96349F" w14:textId="71A7B665" w:rsidR="00F568E5" w:rsidRPr="00FD26EE" w:rsidRDefault="00F568E5" w:rsidP="00022256">
      <w:pPr>
        <w:pStyle w:val="Funotentext"/>
        <w:jc w:val="both"/>
        <w:rPr>
          <w:color w:val="000000" w:themeColor="text1"/>
        </w:rPr>
      </w:pPr>
      <w:r w:rsidRPr="00FD26EE">
        <w:rPr>
          <w:rStyle w:val="Funotenzeichen"/>
          <w:color w:val="000000" w:themeColor="text1"/>
        </w:rPr>
        <w:footnoteRef/>
      </w:r>
      <w:r w:rsidRPr="00FD26EE">
        <w:rPr>
          <w:color w:val="000000" w:themeColor="text1"/>
        </w:rPr>
        <w:t xml:space="preserve"> </w:t>
      </w:r>
      <w:r w:rsidR="00557E5C">
        <w:rPr>
          <w:color w:val="000000" w:themeColor="text1"/>
        </w:rPr>
        <w:t xml:space="preserve">Die Frage nach den zu ziehenden Konsequenzen einer Zurückweisung des Vertrags war pikant, weil </w:t>
      </w:r>
      <w:proofErr w:type="spellStart"/>
      <w:r w:rsidR="00557E5C">
        <w:rPr>
          <w:color w:val="000000" w:themeColor="text1"/>
        </w:rPr>
        <w:t>Mancinus</w:t>
      </w:r>
      <w:proofErr w:type="spellEnd"/>
      <w:r w:rsidR="00557E5C">
        <w:rPr>
          <w:color w:val="000000" w:themeColor="text1"/>
        </w:rPr>
        <w:t xml:space="preserve"> seine Übereinkunft mit den </w:t>
      </w:r>
      <w:proofErr w:type="spellStart"/>
      <w:r w:rsidR="00557E5C">
        <w:rPr>
          <w:color w:val="000000" w:themeColor="text1"/>
        </w:rPr>
        <w:t>Numantinern</w:t>
      </w:r>
      <w:proofErr w:type="spellEnd"/>
      <w:r w:rsidR="00557E5C">
        <w:rPr>
          <w:color w:val="000000" w:themeColor="text1"/>
        </w:rPr>
        <w:t xml:space="preserve"> beeidet hatte. </w:t>
      </w:r>
      <w:r>
        <w:rPr>
          <w:color w:val="000000" w:themeColor="text1"/>
        </w:rPr>
        <w:t xml:space="preserve">Die Entscheidung, den Vertrag nicht zu ratifizieren, scheint </w:t>
      </w:r>
      <w:r w:rsidR="00557E5C">
        <w:rPr>
          <w:color w:val="000000" w:themeColor="text1"/>
        </w:rPr>
        <w:t xml:space="preserve">hingegen recht </w:t>
      </w:r>
      <w:r>
        <w:rPr>
          <w:color w:val="000000" w:themeColor="text1"/>
        </w:rPr>
        <w:t>klar gewesen zu sein</w:t>
      </w:r>
      <w:r w:rsidR="00557E5C">
        <w:rPr>
          <w:color w:val="000000" w:themeColor="text1"/>
        </w:rPr>
        <w:t xml:space="preserve">, </w:t>
      </w:r>
      <w:proofErr w:type="spellStart"/>
      <w:r w:rsidR="00557E5C">
        <w:rPr>
          <w:color w:val="000000" w:themeColor="text1"/>
        </w:rPr>
        <w:t>Mancinus</w:t>
      </w:r>
      <w:proofErr w:type="spellEnd"/>
      <w:r w:rsidR="00557E5C">
        <w:rPr>
          <w:color w:val="000000" w:themeColor="text1"/>
        </w:rPr>
        <w:t xml:space="preserve"> unterstützte sie letztlich selbst (vgl. Anm. 32). </w:t>
      </w:r>
    </w:p>
  </w:footnote>
  <w:footnote w:id="26">
    <w:p w14:paraId="788C79DB" w14:textId="2061862C" w:rsidR="00AF32FC" w:rsidRPr="00C615CC" w:rsidRDefault="00F568E5" w:rsidP="00022256">
      <w:pPr>
        <w:pStyle w:val="Funotentext"/>
        <w:jc w:val="both"/>
        <w:rPr>
          <w:color w:val="000000" w:themeColor="text1"/>
        </w:rPr>
      </w:pPr>
      <w:r w:rsidRPr="00C615CC">
        <w:rPr>
          <w:rStyle w:val="Funotenzeichen"/>
          <w:color w:val="000000" w:themeColor="text1"/>
        </w:rPr>
        <w:footnoteRef/>
      </w:r>
      <w:r w:rsidRPr="00C615CC">
        <w:rPr>
          <w:color w:val="000000" w:themeColor="text1"/>
        </w:rPr>
        <w:t xml:space="preserve"> Der Einfluss der höheren Beamten</w:t>
      </w:r>
      <w:r w:rsidR="007976F7">
        <w:rPr>
          <w:color w:val="000000" w:themeColor="text1"/>
        </w:rPr>
        <w:t xml:space="preserve"> auf die </w:t>
      </w:r>
      <w:proofErr w:type="spellStart"/>
      <w:r w:rsidR="007976F7">
        <w:rPr>
          <w:color w:val="000000" w:themeColor="text1"/>
        </w:rPr>
        <w:t>Monetalen</w:t>
      </w:r>
      <w:proofErr w:type="spellEnd"/>
      <w:r w:rsidRPr="00C615CC">
        <w:rPr>
          <w:color w:val="000000" w:themeColor="text1"/>
        </w:rPr>
        <w:t xml:space="preserve"> ist </w:t>
      </w:r>
      <w:r w:rsidR="00C615CC" w:rsidRPr="00C615CC">
        <w:rPr>
          <w:color w:val="000000" w:themeColor="text1"/>
        </w:rPr>
        <w:t xml:space="preserve">ohnehin </w:t>
      </w:r>
      <w:r w:rsidRPr="00C615CC">
        <w:rPr>
          <w:color w:val="000000" w:themeColor="text1"/>
        </w:rPr>
        <w:t>kaum exakt zu beziffern</w:t>
      </w:r>
      <w:r w:rsidR="007976F7">
        <w:rPr>
          <w:color w:val="000000" w:themeColor="text1"/>
        </w:rPr>
        <w:t xml:space="preserve">, vgl. zur Diskussion in der Forschung zusammenfassend </w:t>
      </w:r>
      <w:proofErr w:type="spellStart"/>
      <w:r w:rsidR="007976F7">
        <w:rPr>
          <w:color w:val="000000" w:themeColor="text1"/>
        </w:rPr>
        <w:t>Lahusen</w:t>
      </w:r>
      <w:proofErr w:type="spellEnd"/>
      <w:r w:rsidR="007976F7">
        <w:rPr>
          <w:color w:val="000000" w:themeColor="text1"/>
        </w:rPr>
        <w:t xml:space="preserve"> 1989, 13–6. Und der konkrete Einfluss von Gracchus und </w:t>
      </w:r>
      <w:proofErr w:type="spellStart"/>
      <w:r w:rsidR="007976F7">
        <w:rPr>
          <w:color w:val="000000" w:themeColor="text1"/>
        </w:rPr>
        <w:t>Mancinus</w:t>
      </w:r>
      <w:proofErr w:type="spellEnd"/>
      <w:r w:rsidR="007976F7">
        <w:rPr>
          <w:color w:val="000000" w:themeColor="text1"/>
        </w:rPr>
        <w:t xml:space="preserve"> auf subalterne Beamte dürfte infolge der </w:t>
      </w:r>
      <w:proofErr w:type="spellStart"/>
      <w:r w:rsidR="007976F7">
        <w:rPr>
          <w:color w:val="000000" w:themeColor="text1"/>
        </w:rPr>
        <w:t>Numantia</w:t>
      </w:r>
      <w:proofErr w:type="spellEnd"/>
      <w:r w:rsidR="007976F7">
        <w:rPr>
          <w:color w:val="000000" w:themeColor="text1"/>
        </w:rPr>
        <w:t>-Affäre kaum gestiegen sein. Die Typenwahl lag in erster Linie wohl ohnehin beim Münzmeister: Pink 1952, 63</w:t>
      </w:r>
      <w:r w:rsidR="00AF32FC">
        <w:rPr>
          <w:color w:val="000000" w:themeColor="text1"/>
        </w:rPr>
        <w:t xml:space="preserve">; </w:t>
      </w:r>
      <w:proofErr w:type="spellStart"/>
      <w:r w:rsidR="00AF32FC">
        <w:rPr>
          <w:color w:val="000000" w:themeColor="text1"/>
        </w:rPr>
        <w:t>Howgego</w:t>
      </w:r>
      <w:proofErr w:type="spellEnd"/>
      <w:r w:rsidR="00AF32FC">
        <w:rPr>
          <w:color w:val="000000" w:themeColor="text1"/>
        </w:rPr>
        <w:t xml:space="preserve"> 1995, 70</w:t>
      </w:r>
      <w:r w:rsidR="007976F7">
        <w:rPr>
          <w:color w:val="000000" w:themeColor="text1"/>
        </w:rPr>
        <w:t xml:space="preserve">. </w:t>
      </w:r>
    </w:p>
  </w:footnote>
  <w:footnote w:id="27">
    <w:p w14:paraId="1F4A9F3D" w14:textId="59BDCDCF" w:rsidR="00F568E5" w:rsidRPr="00C615CC" w:rsidRDefault="00F568E5" w:rsidP="00022256">
      <w:pPr>
        <w:pStyle w:val="Funotentext"/>
        <w:jc w:val="both"/>
        <w:rPr>
          <w:color w:val="000000" w:themeColor="text1"/>
        </w:rPr>
      </w:pPr>
      <w:r w:rsidRPr="00C615CC">
        <w:rPr>
          <w:rStyle w:val="Funotenzeichen"/>
          <w:color w:val="000000" w:themeColor="text1"/>
        </w:rPr>
        <w:footnoteRef/>
      </w:r>
      <w:r w:rsidRPr="00C615CC">
        <w:rPr>
          <w:color w:val="000000" w:themeColor="text1"/>
        </w:rPr>
        <w:t xml:space="preserve"> Hinzu kommt, hieran sei abermals erinnert, dass </w:t>
      </w:r>
      <w:proofErr w:type="spellStart"/>
      <w:r w:rsidRPr="00C615CC">
        <w:rPr>
          <w:color w:val="000000" w:themeColor="text1"/>
        </w:rPr>
        <w:t>Veturius</w:t>
      </w:r>
      <w:proofErr w:type="spellEnd"/>
      <w:r w:rsidRPr="00C615CC">
        <w:rPr>
          <w:color w:val="000000" w:themeColor="text1"/>
        </w:rPr>
        <w:t xml:space="preserve"> angesichts der </w:t>
      </w:r>
      <w:r w:rsidR="00C615CC" w:rsidRPr="00C615CC">
        <w:rPr>
          <w:color w:val="000000" w:themeColor="text1"/>
        </w:rPr>
        <w:t>Ä</w:t>
      </w:r>
      <w:r w:rsidRPr="00C615CC">
        <w:rPr>
          <w:color w:val="000000" w:themeColor="text1"/>
        </w:rPr>
        <w:t>nderung der gängigen Motivauswahl für Denar</w:t>
      </w:r>
      <w:r w:rsidR="00C615CC" w:rsidRPr="00C615CC">
        <w:rPr>
          <w:color w:val="000000" w:themeColor="text1"/>
        </w:rPr>
        <w:t>e</w:t>
      </w:r>
      <w:r w:rsidRPr="00C615CC">
        <w:rPr>
          <w:color w:val="000000" w:themeColor="text1"/>
        </w:rPr>
        <w:t xml:space="preserve"> gut daran tat, wenigstens kein gänzlich neues Motiv zu erfinden, sondern an ein bereits bestehendes Motiv anzuschließen.</w:t>
      </w:r>
    </w:p>
  </w:footnote>
  <w:footnote w:id="28">
    <w:p w14:paraId="0E70AB8C" w14:textId="6FEDC106" w:rsidR="00883B12" w:rsidRPr="00883B12" w:rsidRDefault="00883B12" w:rsidP="00022256">
      <w:pPr>
        <w:pStyle w:val="Funotentext"/>
        <w:jc w:val="both"/>
        <w:rPr>
          <w:color w:val="000000" w:themeColor="text1"/>
        </w:rPr>
      </w:pPr>
      <w:r w:rsidRPr="00883B12">
        <w:rPr>
          <w:rStyle w:val="Funotenzeichen"/>
          <w:color w:val="000000" w:themeColor="text1"/>
        </w:rPr>
        <w:footnoteRef/>
      </w:r>
      <w:r w:rsidRPr="00883B12">
        <w:rPr>
          <w:color w:val="000000" w:themeColor="text1"/>
        </w:rPr>
        <w:t xml:space="preserve"> Wolters 2017, 167 schwächt die Bedeutung familiärer Aspekte zugunsten tagesaktueller Bezüge ab. Für eine aktuelle Deutung </w:t>
      </w:r>
      <w:r w:rsidR="00552BCF">
        <w:rPr>
          <w:color w:val="000000" w:themeColor="text1"/>
        </w:rPr>
        <w:t>mittel- und spätrepublikanischer Münzen</w:t>
      </w:r>
      <w:r>
        <w:rPr>
          <w:color w:val="000000" w:themeColor="text1"/>
        </w:rPr>
        <w:t xml:space="preserve"> als</w:t>
      </w:r>
      <w:r w:rsidRPr="00883B12">
        <w:rPr>
          <w:color w:val="000000" w:themeColor="text1"/>
        </w:rPr>
        <w:t xml:space="preserve"> Familien</w:t>
      </w:r>
      <w:r>
        <w:rPr>
          <w:color w:val="000000" w:themeColor="text1"/>
        </w:rPr>
        <w:t>typen</w:t>
      </w:r>
      <w:r w:rsidRPr="00883B12">
        <w:rPr>
          <w:color w:val="000000" w:themeColor="text1"/>
        </w:rPr>
        <w:t xml:space="preserve">: Meadows/Williams 2001, 40–2 mit Bezugnahme auf </w:t>
      </w:r>
      <w:proofErr w:type="spellStart"/>
      <w:r w:rsidRPr="00883B12">
        <w:rPr>
          <w:color w:val="000000" w:themeColor="text1"/>
        </w:rPr>
        <w:t>Flower</w:t>
      </w:r>
      <w:proofErr w:type="spellEnd"/>
      <w:r w:rsidRPr="00883B12">
        <w:rPr>
          <w:color w:val="000000" w:themeColor="text1"/>
        </w:rPr>
        <w:t xml:space="preserve"> 1996, 333–8. </w:t>
      </w:r>
    </w:p>
  </w:footnote>
  <w:footnote w:id="29">
    <w:p w14:paraId="697DEB9D" w14:textId="34AD73AC" w:rsidR="001C2DAE" w:rsidRPr="001C2DAE" w:rsidRDefault="00F568E5" w:rsidP="00022256">
      <w:pPr>
        <w:pStyle w:val="Funotentext"/>
        <w:jc w:val="both"/>
        <w:rPr>
          <w:color w:val="000000" w:themeColor="text1"/>
        </w:rPr>
      </w:pPr>
      <w:r w:rsidRPr="00110723">
        <w:rPr>
          <w:rStyle w:val="Funotenzeichen"/>
          <w:color w:val="000000" w:themeColor="text1"/>
        </w:rPr>
        <w:footnoteRef/>
      </w:r>
      <w:r w:rsidRPr="006B3B0B">
        <w:rPr>
          <w:color w:val="000000" w:themeColor="text1"/>
        </w:rPr>
        <w:t xml:space="preserve"> </w:t>
      </w:r>
      <w:r w:rsidR="00110723" w:rsidRPr="006B3B0B">
        <w:rPr>
          <w:color w:val="000000" w:themeColor="text1"/>
        </w:rPr>
        <w:t xml:space="preserve">Vgl. </w:t>
      </w:r>
      <w:proofErr w:type="spellStart"/>
      <w:r w:rsidR="00110723" w:rsidRPr="006B3B0B">
        <w:rPr>
          <w:color w:val="000000" w:themeColor="text1"/>
        </w:rPr>
        <w:t>Mattingly</w:t>
      </w:r>
      <w:proofErr w:type="spellEnd"/>
      <w:r w:rsidR="00110723" w:rsidRPr="006B3B0B">
        <w:rPr>
          <w:color w:val="000000" w:themeColor="text1"/>
        </w:rPr>
        <w:t xml:space="preserve"> 2004, 216 Anm. 69 (</w:t>
      </w:r>
      <w:proofErr w:type="spellStart"/>
      <w:r w:rsidR="00110723" w:rsidRPr="006B3B0B">
        <w:rPr>
          <w:color w:val="000000" w:themeColor="text1"/>
        </w:rPr>
        <w:t>Mamurius</w:t>
      </w:r>
      <w:proofErr w:type="spellEnd"/>
      <w:r w:rsidR="00110723" w:rsidRPr="006B3B0B">
        <w:rPr>
          <w:color w:val="000000" w:themeColor="text1"/>
        </w:rPr>
        <w:t>) und Crawford 1974, 266 (</w:t>
      </w:r>
      <w:proofErr w:type="spellStart"/>
      <w:r w:rsidR="00110723" w:rsidRPr="006B3B0B">
        <w:rPr>
          <w:color w:val="000000" w:themeColor="text1"/>
        </w:rPr>
        <w:t>Veturius</w:t>
      </w:r>
      <w:proofErr w:type="spellEnd"/>
      <w:r w:rsidR="00110723" w:rsidRPr="006B3B0B">
        <w:rPr>
          <w:color w:val="000000" w:themeColor="text1"/>
        </w:rPr>
        <w:t xml:space="preserve"> </w:t>
      </w:r>
      <w:proofErr w:type="spellStart"/>
      <w:r w:rsidR="00110723" w:rsidRPr="006B3B0B">
        <w:rPr>
          <w:color w:val="000000" w:themeColor="text1"/>
        </w:rPr>
        <w:t>Philo</w:t>
      </w:r>
      <w:proofErr w:type="spellEnd"/>
      <w:r w:rsidR="006B3B0B" w:rsidRPr="006B3B0B">
        <w:rPr>
          <w:color w:val="000000" w:themeColor="text1"/>
        </w:rPr>
        <w:t xml:space="preserve">; </w:t>
      </w:r>
      <w:proofErr w:type="spellStart"/>
      <w:r w:rsidR="006B3B0B" w:rsidRPr="006B3B0B">
        <w:rPr>
          <w:color w:val="000000" w:themeColor="text1"/>
        </w:rPr>
        <w:t>Mattingly</w:t>
      </w:r>
      <w:proofErr w:type="spellEnd"/>
      <w:r w:rsidR="006B3B0B" w:rsidRPr="006B3B0B">
        <w:rPr>
          <w:color w:val="000000" w:themeColor="text1"/>
        </w:rPr>
        <w:t xml:space="preserve"> 2004, 216 Anm. 58 </w:t>
      </w:r>
      <w:r w:rsidR="001C2DAE">
        <w:rPr>
          <w:color w:val="000000" w:themeColor="text1"/>
        </w:rPr>
        <w:t xml:space="preserve">meldet Zweifel an, </w:t>
      </w:r>
      <w:r w:rsidR="006B3B0B">
        <w:rPr>
          <w:color w:val="000000" w:themeColor="text1"/>
        </w:rPr>
        <w:t>da der Münzmeister</w:t>
      </w:r>
      <w:r w:rsidR="006B3B0B" w:rsidRPr="006B3B0B">
        <w:rPr>
          <w:color w:val="000000" w:themeColor="text1"/>
        </w:rPr>
        <w:t xml:space="preserve"> als </w:t>
      </w:r>
      <w:r w:rsidR="001C2DAE">
        <w:rPr>
          <w:color w:val="000000" w:themeColor="text1"/>
        </w:rPr>
        <w:t xml:space="preserve">mutmaßlicher </w:t>
      </w:r>
      <w:r w:rsidR="006B3B0B" w:rsidRPr="006B3B0B">
        <w:rPr>
          <w:color w:val="000000" w:themeColor="text1"/>
        </w:rPr>
        <w:t xml:space="preserve">Nachkomme des </w:t>
      </w:r>
      <w:r w:rsidR="001C2DAE">
        <w:rPr>
          <w:color w:val="000000" w:themeColor="text1"/>
        </w:rPr>
        <w:t xml:space="preserve">offenbar </w:t>
      </w:r>
      <w:r w:rsidR="006B3B0B" w:rsidRPr="006B3B0B">
        <w:rPr>
          <w:color w:val="000000" w:themeColor="text1"/>
        </w:rPr>
        <w:t xml:space="preserve">plebejischen Konsuls von 321 </w:t>
      </w:r>
      <w:r w:rsidR="006B3B0B">
        <w:rPr>
          <w:color w:val="000000" w:themeColor="text1"/>
        </w:rPr>
        <w:t xml:space="preserve">selbst </w:t>
      </w:r>
      <w:r w:rsidR="006B3B0B" w:rsidRPr="006B3B0B">
        <w:rPr>
          <w:color w:val="000000" w:themeColor="text1"/>
        </w:rPr>
        <w:t xml:space="preserve">Plebejer gewesen sei, der </w:t>
      </w:r>
      <w:proofErr w:type="spellStart"/>
      <w:r w:rsidR="00682CFE">
        <w:rPr>
          <w:i/>
          <w:color w:val="000000" w:themeColor="text1"/>
        </w:rPr>
        <w:t>f</w:t>
      </w:r>
      <w:r w:rsidR="006B3B0B" w:rsidRPr="006B3B0B">
        <w:rPr>
          <w:i/>
          <w:color w:val="000000" w:themeColor="text1"/>
        </w:rPr>
        <w:t>lamen</w:t>
      </w:r>
      <w:proofErr w:type="spellEnd"/>
      <w:r w:rsidR="006B3B0B" w:rsidRPr="006B3B0B">
        <w:rPr>
          <w:i/>
          <w:color w:val="000000" w:themeColor="text1"/>
        </w:rPr>
        <w:t xml:space="preserve"> </w:t>
      </w:r>
      <w:proofErr w:type="spellStart"/>
      <w:r w:rsidR="006B3B0B" w:rsidRPr="006B3B0B">
        <w:rPr>
          <w:i/>
          <w:color w:val="000000" w:themeColor="text1"/>
        </w:rPr>
        <w:t>Martialis</w:t>
      </w:r>
      <w:proofErr w:type="spellEnd"/>
      <w:r w:rsidR="006B3B0B" w:rsidRPr="006B3B0B">
        <w:rPr>
          <w:color w:val="000000" w:themeColor="text1"/>
        </w:rPr>
        <w:t xml:space="preserve"> von 204 </w:t>
      </w:r>
      <w:r w:rsidR="001C2DAE">
        <w:rPr>
          <w:color w:val="000000" w:themeColor="text1"/>
        </w:rPr>
        <w:t>jedoch</w:t>
      </w:r>
      <w:r w:rsidR="006B3B0B" w:rsidRPr="006B3B0B">
        <w:rPr>
          <w:color w:val="000000" w:themeColor="text1"/>
        </w:rPr>
        <w:t xml:space="preserve"> Patrizier</w:t>
      </w:r>
      <w:r w:rsidR="00110723" w:rsidRPr="006B3B0B">
        <w:rPr>
          <w:color w:val="000000" w:themeColor="text1"/>
        </w:rPr>
        <w:t xml:space="preserve">). </w:t>
      </w:r>
      <w:r w:rsidR="00110723" w:rsidRPr="00110723">
        <w:rPr>
          <w:color w:val="000000" w:themeColor="text1"/>
        </w:rPr>
        <w:t xml:space="preserve">Gegen </w:t>
      </w:r>
      <w:r w:rsidR="006B3B0B">
        <w:rPr>
          <w:color w:val="000000" w:themeColor="text1"/>
        </w:rPr>
        <w:t xml:space="preserve">die </w:t>
      </w:r>
      <w:r w:rsidR="00110723" w:rsidRPr="00110723">
        <w:rPr>
          <w:color w:val="000000" w:themeColor="text1"/>
        </w:rPr>
        <w:t xml:space="preserve">Anspielung auf konkrete Ahnen, die </w:t>
      </w:r>
      <w:r w:rsidR="00110723">
        <w:rPr>
          <w:color w:val="000000" w:themeColor="text1"/>
        </w:rPr>
        <w:t>„</w:t>
      </w:r>
      <w:r w:rsidR="00110723" w:rsidRPr="00110723">
        <w:rPr>
          <w:color w:val="000000" w:themeColor="text1"/>
        </w:rPr>
        <w:t>eine ganz erh</w:t>
      </w:r>
      <w:r w:rsidR="00110723">
        <w:rPr>
          <w:color w:val="000000" w:themeColor="text1"/>
        </w:rPr>
        <w:t>ebliche Grenzüberschrei</w:t>
      </w:r>
      <w:r w:rsidR="006B3B0B">
        <w:rPr>
          <w:color w:val="000000" w:themeColor="text1"/>
        </w:rPr>
        <w:t>t</w:t>
      </w:r>
      <w:r w:rsidR="00110723">
        <w:rPr>
          <w:color w:val="000000" w:themeColor="text1"/>
        </w:rPr>
        <w:t>ung“ darstellen würde</w:t>
      </w:r>
      <w:r w:rsidR="00A7345B">
        <w:rPr>
          <w:color w:val="000000" w:themeColor="text1"/>
        </w:rPr>
        <w:t>, Wolters 2017, 166 f.</w:t>
      </w:r>
    </w:p>
  </w:footnote>
  <w:footnote w:id="30">
    <w:p w14:paraId="216F6F03" w14:textId="50C6F0C7" w:rsidR="00F568E5" w:rsidRPr="009931BB" w:rsidRDefault="00F568E5" w:rsidP="00022256">
      <w:pPr>
        <w:pStyle w:val="Funotentext"/>
        <w:jc w:val="both"/>
        <w:rPr>
          <w:color w:val="000000" w:themeColor="text1"/>
        </w:rPr>
      </w:pPr>
      <w:r w:rsidRPr="002166E1">
        <w:rPr>
          <w:rStyle w:val="Funotenzeichen"/>
          <w:color w:val="000000" w:themeColor="text1"/>
        </w:rPr>
        <w:footnoteRef/>
      </w:r>
      <w:r w:rsidRPr="002166E1">
        <w:rPr>
          <w:color w:val="000000" w:themeColor="text1"/>
        </w:rPr>
        <w:t xml:space="preserve"> </w:t>
      </w:r>
      <w:r w:rsidR="002166E1">
        <w:rPr>
          <w:color w:val="000000" w:themeColor="text1"/>
        </w:rPr>
        <w:t>Z</w:t>
      </w:r>
      <w:r w:rsidR="002166E1" w:rsidRPr="002166E1">
        <w:rPr>
          <w:color w:val="000000" w:themeColor="text1"/>
        </w:rPr>
        <w:t xml:space="preserve">ur Zurückweisung der </w:t>
      </w:r>
      <w:proofErr w:type="spellStart"/>
      <w:r w:rsidR="002166E1" w:rsidRPr="002166E1">
        <w:rPr>
          <w:color w:val="000000" w:themeColor="text1"/>
        </w:rPr>
        <w:t>Umdatierung</w:t>
      </w:r>
      <w:proofErr w:type="spellEnd"/>
      <w:r w:rsidR="002166E1" w:rsidRPr="002166E1">
        <w:rPr>
          <w:color w:val="000000" w:themeColor="text1"/>
        </w:rPr>
        <w:t xml:space="preserve"> des Denars durch </w:t>
      </w:r>
      <w:proofErr w:type="spellStart"/>
      <w:r w:rsidR="002166E1" w:rsidRPr="002166E1">
        <w:rPr>
          <w:color w:val="000000" w:themeColor="text1"/>
        </w:rPr>
        <w:t>Stannard</w:t>
      </w:r>
      <w:proofErr w:type="spellEnd"/>
      <w:r w:rsidR="002166E1" w:rsidRPr="002166E1">
        <w:rPr>
          <w:color w:val="000000" w:themeColor="text1"/>
        </w:rPr>
        <w:t xml:space="preserve">, </w:t>
      </w:r>
      <w:r w:rsidR="002166E1">
        <w:rPr>
          <w:color w:val="000000" w:themeColor="text1"/>
        </w:rPr>
        <w:t>s. o., insb.</w:t>
      </w:r>
      <w:r w:rsidR="002166E1" w:rsidRPr="002166E1">
        <w:rPr>
          <w:color w:val="000000" w:themeColor="text1"/>
        </w:rPr>
        <w:t xml:space="preserve"> Anm. 15. </w:t>
      </w:r>
      <w:r w:rsidR="002166E1">
        <w:rPr>
          <w:color w:val="000000" w:themeColor="text1"/>
        </w:rPr>
        <w:t xml:space="preserve">Wolters 2017, 156 weist darauf hin, dass die jahrgenauen Datierungen von Crawford zwar kleinere Spielräume zulassen würden, im Großen und Ganzen aber tragfähig seien. </w:t>
      </w:r>
    </w:p>
  </w:footnote>
  <w:footnote w:id="31">
    <w:p w14:paraId="44CF1047" w14:textId="0B646522" w:rsidR="00F568E5" w:rsidRPr="00155103" w:rsidRDefault="00F568E5" w:rsidP="00022256">
      <w:pPr>
        <w:pStyle w:val="Funotentext"/>
        <w:jc w:val="both"/>
        <w:rPr>
          <w:color w:val="000000" w:themeColor="text1"/>
        </w:rPr>
      </w:pPr>
      <w:r w:rsidRPr="00377B98">
        <w:rPr>
          <w:rStyle w:val="Funotenzeichen"/>
          <w:color w:val="000000" w:themeColor="text1"/>
        </w:rPr>
        <w:footnoteRef/>
      </w:r>
      <w:r w:rsidRPr="00377B98">
        <w:rPr>
          <w:color w:val="000000" w:themeColor="text1"/>
        </w:rPr>
        <w:t xml:space="preserve"> </w:t>
      </w:r>
      <w:r w:rsidR="00377B98" w:rsidRPr="00377B98">
        <w:rPr>
          <w:color w:val="000000" w:themeColor="text1"/>
        </w:rPr>
        <w:t xml:space="preserve">Vgl. u. a. App. Ib. 83 u. </w:t>
      </w:r>
      <w:proofErr w:type="spellStart"/>
      <w:r w:rsidR="00377B98" w:rsidRPr="00377B98">
        <w:rPr>
          <w:color w:val="000000" w:themeColor="text1"/>
        </w:rPr>
        <w:t>Tib</w:t>
      </w:r>
      <w:proofErr w:type="spellEnd"/>
      <w:r w:rsidR="00377B98" w:rsidRPr="00377B98">
        <w:rPr>
          <w:color w:val="000000" w:themeColor="text1"/>
        </w:rPr>
        <w:t xml:space="preserve">. Gr. 7,3, aus denen implizit deutlich wird, dass einerseits </w:t>
      </w:r>
      <w:proofErr w:type="spellStart"/>
      <w:r w:rsidR="00377B98" w:rsidRPr="00377B98">
        <w:rPr>
          <w:color w:val="000000" w:themeColor="text1"/>
        </w:rPr>
        <w:t>Pompeius</w:t>
      </w:r>
      <w:proofErr w:type="spellEnd"/>
      <w:r w:rsidR="00377B98" w:rsidRPr="00377B98">
        <w:rPr>
          <w:color w:val="000000" w:themeColor="text1"/>
        </w:rPr>
        <w:t xml:space="preserve">, andererseits auch der Stab des </w:t>
      </w:r>
      <w:proofErr w:type="spellStart"/>
      <w:r w:rsidR="00377B98" w:rsidRPr="00377B98">
        <w:rPr>
          <w:color w:val="000000" w:themeColor="text1"/>
        </w:rPr>
        <w:t>Mancinus</w:t>
      </w:r>
      <w:proofErr w:type="spellEnd"/>
      <w:r w:rsidR="00377B98" w:rsidRPr="00377B98">
        <w:rPr>
          <w:color w:val="000000" w:themeColor="text1"/>
        </w:rPr>
        <w:t xml:space="preserve"> ebenfalls zur Disposition standen. Sowohl der Amtsvorgänger des </w:t>
      </w:r>
      <w:proofErr w:type="spellStart"/>
      <w:r w:rsidR="00377B98" w:rsidRPr="00377B98">
        <w:rPr>
          <w:color w:val="000000" w:themeColor="text1"/>
        </w:rPr>
        <w:t>Mancinus</w:t>
      </w:r>
      <w:proofErr w:type="spellEnd"/>
      <w:r w:rsidR="00377B98" w:rsidRPr="00377B98">
        <w:rPr>
          <w:color w:val="000000" w:themeColor="text1"/>
        </w:rPr>
        <w:t xml:space="preserve"> als auch G</w:t>
      </w:r>
      <w:r w:rsidR="00155103" w:rsidRPr="00377B98">
        <w:rPr>
          <w:color w:val="000000" w:themeColor="text1"/>
        </w:rPr>
        <w:t xml:space="preserve">racchus und die weiteren subalternen Offiziere wurden </w:t>
      </w:r>
      <w:r w:rsidR="00377B98" w:rsidRPr="00377B98">
        <w:rPr>
          <w:color w:val="000000" w:themeColor="text1"/>
        </w:rPr>
        <w:t xml:space="preserve">jedoch </w:t>
      </w:r>
      <w:r w:rsidR="00155103" w:rsidRPr="00377B98">
        <w:rPr>
          <w:color w:val="000000" w:themeColor="text1"/>
        </w:rPr>
        <w:t>verschont. Unabhängig davon, ob ihre Auslieferung wirklich ernsthaft zur Debatte stand –</w:t>
      </w:r>
      <w:r w:rsidR="004B3CAA">
        <w:rPr>
          <w:color w:val="000000" w:themeColor="text1"/>
        </w:rPr>
        <w:t xml:space="preserve"> </w:t>
      </w:r>
      <w:r w:rsidR="00155103" w:rsidRPr="00377B98">
        <w:rPr>
          <w:color w:val="000000" w:themeColor="text1"/>
        </w:rPr>
        <w:t>was ich nicht für ausgemacht halte</w:t>
      </w:r>
      <w:r w:rsidR="004B3CAA">
        <w:rPr>
          <w:color w:val="000000" w:themeColor="text1"/>
        </w:rPr>
        <w:t xml:space="preserve"> </w:t>
      </w:r>
      <w:r w:rsidR="00155103" w:rsidRPr="00377B98">
        <w:rPr>
          <w:color w:val="000000" w:themeColor="text1"/>
        </w:rPr>
        <w:t xml:space="preserve">–, war </w:t>
      </w:r>
      <w:proofErr w:type="spellStart"/>
      <w:r w:rsidR="00155103" w:rsidRPr="00377B98">
        <w:rPr>
          <w:color w:val="000000" w:themeColor="text1"/>
        </w:rPr>
        <w:t>Mancinus</w:t>
      </w:r>
      <w:proofErr w:type="spellEnd"/>
      <w:r w:rsidR="00155103" w:rsidRPr="00377B98">
        <w:rPr>
          <w:color w:val="000000" w:themeColor="text1"/>
        </w:rPr>
        <w:t xml:space="preserve"> als Konsul selbstverständlich letztverantwortlich für Friedensschluss und Beeidung.</w:t>
      </w:r>
      <w:r w:rsidR="00155103">
        <w:rPr>
          <w:color w:val="000000" w:themeColor="text1"/>
        </w:rPr>
        <w:t xml:space="preserve"> </w:t>
      </w:r>
    </w:p>
  </w:footnote>
  <w:footnote w:id="32">
    <w:p w14:paraId="007336C1" w14:textId="795CDB77" w:rsidR="00F568E5" w:rsidRPr="00DE174C" w:rsidRDefault="00F568E5" w:rsidP="00022256">
      <w:pPr>
        <w:pStyle w:val="Funotentext"/>
        <w:jc w:val="both"/>
        <w:rPr>
          <w:color w:val="000000" w:themeColor="text1"/>
        </w:rPr>
      </w:pPr>
      <w:r w:rsidRPr="00377B98">
        <w:rPr>
          <w:rStyle w:val="Funotenzeichen"/>
          <w:color w:val="000000" w:themeColor="text1"/>
        </w:rPr>
        <w:footnoteRef/>
      </w:r>
      <w:r w:rsidRPr="00246AAA">
        <w:rPr>
          <w:color w:val="000000" w:themeColor="text1"/>
        </w:rPr>
        <w:t xml:space="preserve"> </w:t>
      </w:r>
      <w:proofErr w:type="spellStart"/>
      <w:r w:rsidR="00377B98" w:rsidRPr="00246AAA">
        <w:rPr>
          <w:color w:val="000000" w:themeColor="text1"/>
        </w:rPr>
        <w:t>Cic</w:t>
      </w:r>
      <w:proofErr w:type="spellEnd"/>
      <w:r w:rsidR="00377B98" w:rsidRPr="00246AAA">
        <w:rPr>
          <w:color w:val="000000" w:themeColor="text1"/>
        </w:rPr>
        <w:t xml:space="preserve">. </w:t>
      </w:r>
      <w:proofErr w:type="spellStart"/>
      <w:r w:rsidR="00377B98" w:rsidRPr="00246AAA">
        <w:rPr>
          <w:color w:val="000000" w:themeColor="text1"/>
        </w:rPr>
        <w:t>rep</w:t>
      </w:r>
      <w:proofErr w:type="spellEnd"/>
      <w:r w:rsidR="00377B98" w:rsidRPr="00246AAA">
        <w:rPr>
          <w:color w:val="000000" w:themeColor="text1"/>
        </w:rPr>
        <w:t>. 3,28; de off. 3,109</w:t>
      </w:r>
      <w:r w:rsidRPr="00246AAA">
        <w:rPr>
          <w:color w:val="000000" w:themeColor="text1"/>
        </w:rPr>
        <w:t xml:space="preserve">. </w:t>
      </w:r>
      <w:r w:rsidR="00503067" w:rsidRPr="00377B98">
        <w:rPr>
          <w:color w:val="000000" w:themeColor="text1"/>
        </w:rPr>
        <w:t xml:space="preserve">Die Quellen </w:t>
      </w:r>
      <w:r w:rsidR="00DE174C" w:rsidRPr="00377B98">
        <w:rPr>
          <w:color w:val="000000" w:themeColor="text1"/>
        </w:rPr>
        <w:t xml:space="preserve">weisen explizit auf den Unterschied zu </w:t>
      </w:r>
      <w:proofErr w:type="spellStart"/>
      <w:r w:rsidR="00DE174C" w:rsidRPr="00377B98">
        <w:rPr>
          <w:color w:val="000000" w:themeColor="text1"/>
        </w:rPr>
        <w:t>Pompeius</w:t>
      </w:r>
      <w:proofErr w:type="spellEnd"/>
      <w:r w:rsidR="00DE174C" w:rsidRPr="00377B98">
        <w:rPr>
          <w:color w:val="000000" w:themeColor="text1"/>
        </w:rPr>
        <w:t xml:space="preserve"> hin, der seinen eigenen </w:t>
      </w:r>
      <w:r w:rsidR="00500EAD" w:rsidRPr="00377B98">
        <w:rPr>
          <w:color w:val="000000" w:themeColor="text1"/>
        </w:rPr>
        <w:t>Vertrag</w:t>
      </w:r>
      <w:r w:rsidR="00DE174C" w:rsidRPr="00377B98">
        <w:rPr>
          <w:color w:val="000000" w:themeColor="text1"/>
        </w:rPr>
        <w:t xml:space="preserve"> mit den </w:t>
      </w:r>
      <w:proofErr w:type="spellStart"/>
      <w:r w:rsidR="00DE174C" w:rsidRPr="00377B98">
        <w:rPr>
          <w:color w:val="000000" w:themeColor="text1"/>
        </w:rPr>
        <w:t>Numantinern</w:t>
      </w:r>
      <w:proofErr w:type="spellEnd"/>
      <w:r w:rsidR="00DE174C" w:rsidRPr="00377B98">
        <w:rPr>
          <w:color w:val="000000" w:themeColor="text1"/>
        </w:rPr>
        <w:t xml:space="preserve"> (s. o.) stets </w:t>
      </w:r>
      <w:r w:rsidR="00682CFE">
        <w:rPr>
          <w:color w:val="000000" w:themeColor="text1"/>
        </w:rPr>
        <w:t>bestritten</w:t>
      </w:r>
      <w:r w:rsidR="00500EAD" w:rsidRPr="00377B98">
        <w:rPr>
          <w:color w:val="000000" w:themeColor="text1"/>
        </w:rPr>
        <w:t xml:space="preserve"> hatte</w:t>
      </w:r>
      <w:r w:rsidR="00DE174C" w:rsidRPr="00377B98">
        <w:rPr>
          <w:color w:val="000000" w:themeColor="text1"/>
        </w:rPr>
        <w:t xml:space="preserve">. </w:t>
      </w:r>
      <w:proofErr w:type="spellStart"/>
      <w:r w:rsidR="00DE174C" w:rsidRPr="00377B98">
        <w:rPr>
          <w:color w:val="000000" w:themeColor="text1"/>
        </w:rPr>
        <w:t>Mancinus</w:t>
      </w:r>
      <w:proofErr w:type="spellEnd"/>
      <w:r w:rsidR="00DE174C" w:rsidRPr="00377B98">
        <w:rPr>
          <w:color w:val="000000" w:themeColor="text1"/>
        </w:rPr>
        <w:t xml:space="preserve"> erscheint </w:t>
      </w:r>
      <w:r w:rsidR="00500EAD" w:rsidRPr="00377B98">
        <w:rPr>
          <w:color w:val="000000" w:themeColor="text1"/>
        </w:rPr>
        <w:t xml:space="preserve">dadurch </w:t>
      </w:r>
      <w:r w:rsidR="00DE174C" w:rsidRPr="00377B98">
        <w:rPr>
          <w:color w:val="000000" w:themeColor="text1"/>
        </w:rPr>
        <w:t>als moralisch integer. Sein Verhalten im Kontext seiner Verurteilung ist nicht unwichtig für seine spätere Selbststilisierung.</w:t>
      </w:r>
      <w:r w:rsidR="00DE174C">
        <w:rPr>
          <w:color w:val="000000" w:themeColor="text1"/>
        </w:rPr>
        <w:t xml:space="preserve"> </w:t>
      </w:r>
    </w:p>
  </w:footnote>
  <w:footnote w:id="33">
    <w:p w14:paraId="13573EC7" w14:textId="4BCED3FC" w:rsidR="002A2E46" w:rsidRPr="00246AAA" w:rsidRDefault="002A2E46" w:rsidP="002A2E46">
      <w:pPr>
        <w:pStyle w:val="Funotentext"/>
        <w:jc w:val="both"/>
        <w:rPr>
          <w:color w:val="000000" w:themeColor="text1"/>
          <w:lang w:val="fr-FR"/>
        </w:rPr>
      </w:pPr>
      <w:r w:rsidRPr="002A2E46">
        <w:rPr>
          <w:rStyle w:val="Funotenzeichen"/>
          <w:color w:val="000000" w:themeColor="text1"/>
        </w:rPr>
        <w:footnoteRef/>
      </w:r>
      <w:r w:rsidRPr="00246AAA">
        <w:rPr>
          <w:color w:val="000000" w:themeColor="text1"/>
          <w:lang w:val="fr-FR"/>
        </w:rPr>
        <w:t xml:space="preserve"> </w:t>
      </w:r>
      <w:proofErr w:type="spellStart"/>
      <w:r w:rsidRPr="00246AAA">
        <w:rPr>
          <w:color w:val="000000" w:themeColor="text1"/>
          <w:lang w:val="fr-FR"/>
        </w:rPr>
        <w:t>Vgl</w:t>
      </w:r>
      <w:proofErr w:type="spellEnd"/>
      <w:r w:rsidRPr="00246AAA">
        <w:rPr>
          <w:color w:val="000000" w:themeColor="text1"/>
          <w:lang w:val="fr-FR"/>
        </w:rPr>
        <w:t xml:space="preserve">. v. a. </w:t>
      </w:r>
      <w:proofErr w:type="spellStart"/>
      <w:r w:rsidRPr="00246AAA">
        <w:rPr>
          <w:color w:val="000000" w:themeColor="text1"/>
          <w:lang w:val="fr-FR"/>
        </w:rPr>
        <w:t>Vell</w:t>
      </w:r>
      <w:proofErr w:type="spellEnd"/>
      <w:r w:rsidRPr="00246AAA">
        <w:rPr>
          <w:color w:val="000000" w:themeColor="text1"/>
          <w:lang w:val="fr-FR"/>
        </w:rPr>
        <w:t>. 2,1,</w:t>
      </w:r>
      <w:proofErr w:type="gramStart"/>
      <w:r w:rsidRPr="00246AAA">
        <w:rPr>
          <w:color w:val="000000" w:themeColor="text1"/>
          <w:lang w:val="fr-FR"/>
        </w:rPr>
        <w:t>5</w:t>
      </w:r>
      <w:r w:rsidR="00237E34" w:rsidRPr="00246AAA">
        <w:rPr>
          <w:color w:val="000000" w:themeColor="text1"/>
          <w:lang w:val="fr-FR"/>
        </w:rPr>
        <w:t>;</w:t>
      </w:r>
      <w:proofErr w:type="gramEnd"/>
      <w:r w:rsidR="00237E34" w:rsidRPr="00246AAA">
        <w:rPr>
          <w:color w:val="000000" w:themeColor="text1"/>
          <w:lang w:val="fr-FR"/>
        </w:rPr>
        <w:t xml:space="preserve"> </w:t>
      </w:r>
      <w:proofErr w:type="spellStart"/>
      <w:r w:rsidR="00237E34" w:rsidRPr="00246AAA">
        <w:rPr>
          <w:color w:val="000000" w:themeColor="text1"/>
          <w:lang w:val="fr-FR"/>
        </w:rPr>
        <w:t>Vir</w:t>
      </w:r>
      <w:proofErr w:type="spellEnd"/>
      <w:r w:rsidR="00237E34" w:rsidRPr="00246AAA">
        <w:rPr>
          <w:color w:val="000000" w:themeColor="text1"/>
          <w:lang w:val="fr-FR"/>
        </w:rPr>
        <w:t>. Ill. 59,4.</w:t>
      </w:r>
    </w:p>
  </w:footnote>
  <w:footnote w:id="34">
    <w:p w14:paraId="5FCA50C9" w14:textId="3C962350" w:rsidR="00DE174C" w:rsidRPr="00853A06" w:rsidRDefault="00F568E5" w:rsidP="00022256">
      <w:pPr>
        <w:pStyle w:val="Funotentext"/>
        <w:jc w:val="both"/>
        <w:rPr>
          <w:color w:val="000000" w:themeColor="text1"/>
        </w:rPr>
      </w:pPr>
      <w:r w:rsidRPr="00BB5525">
        <w:rPr>
          <w:rStyle w:val="Funotenzeichen"/>
          <w:color w:val="000000" w:themeColor="text1"/>
        </w:rPr>
        <w:footnoteRef/>
      </w:r>
      <w:r w:rsidRPr="008E5C50">
        <w:rPr>
          <w:color w:val="000000" w:themeColor="text1"/>
        </w:rPr>
        <w:t xml:space="preserve"> </w:t>
      </w:r>
      <w:r w:rsidR="001073BE" w:rsidRPr="008E5C50">
        <w:rPr>
          <w:color w:val="000000" w:themeColor="text1"/>
        </w:rPr>
        <w:t xml:space="preserve">Brennan 1989, </w:t>
      </w:r>
      <w:r w:rsidR="003B4EA0" w:rsidRPr="008E5C50">
        <w:rPr>
          <w:color w:val="000000" w:themeColor="text1"/>
        </w:rPr>
        <w:t>478 f. u. 486 f.</w:t>
      </w:r>
      <w:r w:rsidR="008E5C50" w:rsidRPr="008E5C50">
        <w:rPr>
          <w:color w:val="000000" w:themeColor="text1"/>
        </w:rPr>
        <w:t xml:space="preserve"> Vgl. f</w:t>
      </w:r>
      <w:r w:rsidR="008E5C50">
        <w:rPr>
          <w:color w:val="000000" w:themeColor="text1"/>
        </w:rPr>
        <w:t xml:space="preserve">erner </w:t>
      </w:r>
      <w:proofErr w:type="spellStart"/>
      <w:r w:rsidR="008E5C50">
        <w:rPr>
          <w:color w:val="000000" w:themeColor="text1"/>
        </w:rPr>
        <w:t>Wikander</w:t>
      </w:r>
      <w:proofErr w:type="spellEnd"/>
      <w:r w:rsidR="008E5C50">
        <w:rPr>
          <w:color w:val="000000" w:themeColor="text1"/>
        </w:rPr>
        <w:t xml:space="preserve"> 1976, 98 f. </w:t>
      </w:r>
      <w:r w:rsidR="003B4EA0" w:rsidRPr="00BB5525">
        <w:rPr>
          <w:color w:val="000000" w:themeColor="text1"/>
        </w:rPr>
        <w:t xml:space="preserve">Zur Debatte um sein Bürgerrecht und seinen senatorischen Status </w:t>
      </w:r>
      <w:r w:rsidR="008E5C50">
        <w:rPr>
          <w:color w:val="000000" w:themeColor="text1"/>
        </w:rPr>
        <w:t>in den</w:t>
      </w:r>
      <w:r w:rsidR="003B4EA0" w:rsidRPr="00BB5525">
        <w:rPr>
          <w:color w:val="000000" w:themeColor="text1"/>
        </w:rPr>
        <w:t xml:space="preserve"> Quellen</w:t>
      </w:r>
      <w:r w:rsidR="008E5C50">
        <w:rPr>
          <w:color w:val="000000" w:themeColor="text1"/>
        </w:rPr>
        <w:t>:</w:t>
      </w:r>
      <w:r w:rsidR="003B4EA0" w:rsidRPr="00BB5525">
        <w:rPr>
          <w:color w:val="000000" w:themeColor="text1"/>
        </w:rPr>
        <w:t xml:space="preserve"> </w:t>
      </w:r>
      <w:proofErr w:type="spellStart"/>
      <w:r w:rsidR="005942B4" w:rsidRPr="00BB5525">
        <w:rPr>
          <w:color w:val="000000" w:themeColor="text1"/>
        </w:rPr>
        <w:t>Cic</w:t>
      </w:r>
      <w:proofErr w:type="spellEnd"/>
      <w:r w:rsidR="005942B4" w:rsidRPr="00BB5525">
        <w:rPr>
          <w:color w:val="000000" w:themeColor="text1"/>
        </w:rPr>
        <w:t xml:space="preserve">. </w:t>
      </w:r>
      <w:r w:rsidR="00BB5525" w:rsidRPr="00BB5525">
        <w:rPr>
          <w:color w:val="000000" w:themeColor="text1"/>
        </w:rPr>
        <w:t xml:space="preserve">de </w:t>
      </w:r>
      <w:proofErr w:type="spellStart"/>
      <w:r w:rsidR="00BB5525" w:rsidRPr="00BB5525">
        <w:rPr>
          <w:color w:val="000000" w:themeColor="text1"/>
        </w:rPr>
        <w:t>Or</w:t>
      </w:r>
      <w:proofErr w:type="spellEnd"/>
      <w:r w:rsidR="005942B4" w:rsidRPr="00BB5525">
        <w:rPr>
          <w:color w:val="000000" w:themeColor="text1"/>
        </w:rPr>
        <w:t xml:space="preserve">. 1,181; </w:t>
      </w:r>
      <w:proofErr w:type="spellStart"/>
      <w:r w:rsidR="005942B4" w:rsidRPr="00BB5525">
        <w:rPr>
          <w:color w:val="000000" w:themeColor="text1"/>
        </w:rPr>
        <w:t>Dig</w:t>
      </w:r>
      <w:proofErr w:type="spellEnd"/>
      <w:r w:rsidR="005942B4" w:rsidRPr="00BB5525">
        <w:rPr>
          <w:color w:val="000000" w:themeColor="text1"/>
        </w:rPr>
        <w:t>. 50,7,1</w:t>
      </w:r>
      <w:r w:rsidR="008E5C50">
        <w:rPr>
          <w:color w:val="000000" w:themeColor="text1"/>
        </w:rPr>
        <w:t>7</w:t>
      </w:r>
      <w:r w:rsidR="00BB5525" w:rsidRPr="00BB5525">
        <w:rPr>
          <w:color w:val="000000" w:themeColor="text1"/>
        </w:rPr>
        <w:t xml:space="preserve"> u. 49,15,4</w:t>
      </w:r>
      <w:r w:rsidRPr="00BB5525">
        <w:rPr>
          <w:color w:val="000000" w:themeColor="text1"/>
        </w:rPr>
        <w:t>.</w:t>
      </w:r>
      <w:r w:rsidR="005942B4">
        <w:rPr>
          <w:color w:val="000000" w:themeColor="text1"/>
        </w:rPr>
        <w:t xml:space="preserve"> </w:t>
      </w:r>
    </w:p>
  </w:footnote>
  <w:footnote w:id="35">
    <w:p w14:paraId="6FC14E00" w14:textId="48E3266F" w:rsidR="00262420" w:rsidRDefault="00262420" w:rsidP="00022256">
      <w:pPr>
        <w:pStyle w:val="Funotentext"/>
        <w:jc w:val="both"/>
      </w:pPr>
      <w:r w:rsidRPr="003B4EA0">
        <w:rPr>
          <w:rStyle w:val="Funotenzeichen"/>
        </w:rPr>
        <w:footnoteRef/>
      </w:r>
      <w:r w:rsidRPr="003B4EA0">
        <w:t xml:space="preserve"> </w:t>
      </w:r>
      <w:r w:rsidR="003B4EA0" w:rsidRPr="003B4EA0">
        <w:t xml:space="preserve">Die zweite </w:t>
      </w:r>
      <w:proofErr w:type="spellStart"/>
      <w:r w:rsidR="003B4EA0" w:rsidRPr="003B4EA0">
        <w:t>Praetur</w:t>
      </w:r>
      <w:proofErr w:type="spellEnd"/>
      <w:r w:rsidR="008E5C50">
        <w:t xml:space="preserve"> ist zwar nur durch </w:t>
      </w:r>
      <w:proofErr w:type="spellStart"/>
      <w:r w:rsidR="008E5C50">
        <w:t>Dig</w:t>
      </w:r>
      <w:proofErr w:type="spellEnd"/>
      <w:r w:rsidR="008E5C50">
        <w:t>. 50,7,17</w:t>
      </w:r>
      <w:r w:rsidR="003B4EA0" w:rsidRPr="003B4EA0">
        <w:t xml:space="preserve"> u. </w:t>
      </w:r>
      <w:proofErr w:type="spellStart"/>
      <w:r w:rsidR="003B4EA0" w:rsidRPr="003B4EA0">
        <w:t>Vir</w:t>
      </w:r>
      <w:proofErr w:type="spellEnd"/>
      <w:r w:rsidR="003B4EA0" w:rsidRPr="003B4EA0">
        <w:t xml:space="preserve">. </w:t>
      </w:r>
      <w:proofErr w:type="spellStart"/>
      <w:r w:rsidR="003B4EA0" w:rsidRPr="003B4EA0">
        <w:t>ill</w:t>
      </w:r>
      <w:proofErr w:type="spellEnd"/>
      <w:r w:rsidR="003B4EA0" w:rsidRPr="003B4EA0">
        <w:t xml:space="preserve">. 59,4 f. bezeugt, </w:t>
      </w:r>
      <w:r w:rsidR="0084597A" w:rsidRPr="003B4EA0">
        <w:t xml:space="preserve">Brennan </w:t>
      </w:r>
      <w:r w:rsidR="003B4EA0" w:rsidRPr="003B4EA0">
        <w:t xml:space="preserve">1989, </w:t>
      </w:r>
      <w:r w:rsidR="0084597A" w:rsidRPr="003B4EA0">
        <w:t xml:space="preserve">479 Anm. 60, </w:t>
      </w:r>
      <w:r w:rsidR="003B4EA0" w:rsidRPr="003B4EA0">
        <w:t>weist aber darauf hin, dass es keine gegenteiligen Aussagen g</w:t>
      </w:r>
      <w:r w:rsidR="00682CFE">
        <w:t>e</w:t>
      </w:r>
      <w:r w:rsidR="003B4EA0" w:rsidRPr="003B4EA0">
        <w:t>be und damit nichts gegen die grundsätzliche Historizität der Nachricht spr</w:t>
      </w:r>
      <w:r w:rsidR="00682CFE">
        <w:t>e</w:t>
      </w:r>
      <w:r w:rsidR="003B4EA0" w:rsidRPr="003B4EA0">
        <w:t>ch</w:t>
      </w:r>
      <w:r w:rsidR="00682CFE">
        <w:t>e</w:t>
      </w:r>
      <w:r w:rsidR="003B4EA0" w:rsidRPr="003B4EA0">
        <w:t>.</w:t>
      </w:r>
      <w:r w:rsidR="003B4EA0">
        <w:t xml:space="preserve"> </w:t>
      </w:r>
      <w:r w:rsidR="008E5C50">
        <w:t xml:space="preserve">Ebenso </w:t>
      </w:r>
      <w:proofErr w:type="spellStart"/>
      <w:r w:rsidR="008E5C50">
        <w:t>Wikander</w:t>
      </w:r>
      <w:proofErr w:type="spellEnd"/>
      <w:r w:rsidR="008E5C50">
        <w:t xml:space="preserve"> 1976, 99.</w:t>
      </w:r>
    </w:p>
  </w:footnote>
  <w:footnote w:id="36">
    <w:p w14:paraId="0CBB2C89" w14:textId="62AB93B9" w:rsidR="00DE7649" w:rsidRDefault="0084597A" w:rsidP="00022256">
      <w:pPr>
        <w:pStyle w:val="Funotentext"/>
        <w:jc w:val="both"/>
      </w:pPr>
      <w:r w:rsidRPr="008E5C50">
        <w:rPr>
          <w:rStyle w:val="Funotenzeichen"/>
        </w:rPr>
        <w:footnoteRef/>
      </w:r>
      <w:r w:rsidRPr="00C151FE">
        <w:t xml:space="preserve"> </w:t>
      </w:r>
      <w:proofErr w:type="spellStart"/>
      <w:r w:rsidRPr="00C151FE">
        <w:t>Plin</w:t>
      </w:r>
      <w:proofErr w:type="spellEnd"/>
      <w:r w:rsidRPr="00C151FE">
        <w:t>.</w:t>
      </w:r>
      <w:r w:rsidR="00482BD7" w:rsidRPr="00C151FE">
        <w:t xml:space="preserve"> </w:t>
      </w:r>
      <w:r w:rsidR="00482BD7" w:rsidRPr="00DE7649">
        <w:rPr>
          <w:lang w:val="en-US"/>
        </w:rPr>
        <w:t xml:space="preserve">NH 34,18: </w:t>
      </w:r>
      <w:r w:rsidR="00DE7649">
        <w:rPr>
          <w:lang w:val="en-US"/>
        </w:rPr>
        <w:t>“</w:t>
      </w:r>
      <w:proofErr w:type="spellStart"/>
      <w:r w:rsidR="00DE7649" w:rsidRPr="00DE7649">
        <w:rPr>
          <w:lang w:val="en-US"/>
        </w:rPr>
        <w:t>Mancinus</w:t>
      </w:r>
      <w:proofErr w:type="spellEnd"/>
      <w:r w:rsidR="00DE7649" w:rsidRPr="00DE7649">
        <w:rPr>
          <w:lang w:val="en-US"/>
        </w:rPr>
        <w:t xml:space="preserve"> erected himself a </w:t>
      </w:r>
      <w:r w:rsidR="00DE7649">
        <w:rPr>
          <w:lang w:val="en-US"/>
        </w:rPr>
        <w:t>statue in the very vesture in which he was handed over” (</w:t>
      </w:r>
      <w:proofErr w:type="spellStart"/>
      <w:r w:rsidR="00482BD7" w:rsidRPr="00DE7649">
        <w:rPr>
          <w:i/>
          <w:lang w:val="en-US"/>
        </w:rPr>
        <w:t>Mancinus</w:t>
      </w:r>
      <w:proofErr w:type="spellEnd"/>
      <w:r w:rsidR="00482BD7" w:rsidRPr="00DE7649">
        <w:rPr>
          <w:i/>
          <w:lang w:val="en-US"/>
        </w:rPr>
        <w:t xml:space="preserve"> </w:t>
      </w:r>
      <w:proofErr w:type="spellStart"/>
      <w:r w:rsidR="00482BD7" w:rsidRPr="00DE7649">
        <w:rPr>
          <w:i/>
          <w:lang w:val="en-US"/>
        </w:rPr>
        <w:t>eo</w:t>
      </w:r>
      <w:proofErr w:type="spellEnd"/>
      <w:r w:rsidR="00482BD7" w:rsidRPr="00DE7649">
        <w:rPr>
          <w:i/>
          <w:lang w:val="en-US"/>
        </w:rPr>
        <w:t xml:space="preserve"> </w:t>
      </w:r>
      <w:proofErr w:type="spellStart"/>
      <w:r w:rsidR="00482BD7" w:rsidRPr="00DE7649">
        <w:rPr>
          <w:i/>
          <w:lang w:val="en-US"/>
        </w:rPr>
        <w:t>habitu</w:t>
      </w:r>
      <w:proofErr w:type="spellEnd"/>
      <w:r w:rsidR="00482BD7" w:rsidRPr="00DE7649">
        <w:rPr>
          <w:i/>
          <w:lang w:val="en-US"/>
        </w:rPr>
        <w:t xml:space="preserve"> </w:t>
      </w:r>
      <w:proofErr w:type="spellStart"/>
      <w:r w:rsidR="00482BD7" w:rsidRPr="00DE7649">
        <w:rPr>
          <w:i/>
          <w:lang w:val="en-US"/>
        </w:rPr>
        <w:t>sibi</w:t>
      </w:r>
      <w:proofErr w:type="spellEnd"/>
      <w:r w:rsidR="00482BD7" w:rsidRPr="00DE7649">
        <w:rPr>
          <w:i/>
          <w:lang w:val="en-US"/>
        </w:rPr>
        <w:t xml:space="preserve"> </w:t>
      </w:r>
      <w:proofErr w:type="spellStart"/>
      <w:r w:rsidR="00482BD7" w:rsidRPr="00DE7649">
        <w:rPr>
          <w:i/>
          <w:lang w:val="en-US"/>
        </w:rPr>
        <w:t>statuit</w:t>
      </w:r>
      <w:proofErr w:type="spellEnd"/>
      <w:r w:rsidR="00482BD7" w:rsidRPr="00DE7649">
        <w:rPr>
          <w:i/>
          <w:lang w:val="en-US"/>
        </w:rPr>
        <w:t xml:space="preserve">, quo </w:t>
      </w:r>
      <w:proofErr w:type="spellStart"/>
      <w:r w:rsidR="00482BD7" w:rsidRPr="00DE7649">
        <w:rPr>
          <w:i/>
          <w:lang w:val="en-US"/>
        </w:rPr>
        <w:t>deditus</w:t>
      </w:r>
      <w:proofErr w:type="spellEnd"/>
      <w:r w:rsidR="00482BD7" w:rsidRPr="00DE7649">
        <w:rPr>
          <w:i/>
          <w:lang w:val="en-US"/>
        </w:rPr>
        <w:t xml:space="preserve"> </w:t>
      </w:r>
      <w:proofErr w:type="spellStart"/>
      <w:r w:rsidR="00482BD7" w:rsidRPr="00DE7649">
        <w:rPr>
          <w:i/>
          <w:lang w:val="en-US"/>
        </w:rPr>
        <w:t>fuerat</w:t>
      </w:r>
      <w:proofErr w:type="spellEnd"/>
      <w:r w:rsidR="00DE7649">
        <w:rPr>
          <w:i/>
          <w:lang w:val="en-US"/>
        </w:rPr>
        <w:t>)</w:t>
      </w:r>
      <w:r w:rsidR="00482BD7" w:rsidRPr="00DE7649">
        <w:rPr>
          <w:i/>
          <w:lang w:val="en-US"/>
        </w:rPr>
        <w:t>.</w:t>
      </w:r>
      <w:r w:rsidRPr="00DE7649">
        <w:rPr>
          <w:lang w:val="en-US"/>
        </w:rPr>
        <w:t xml:space="preserve"> </w:t>
      </w:r>
      <w:r w:rsidRPr="008E5C50">
        <w:t>Zu dieser Statue</w:t>
      </w:r>
      <w:r w:rsidR="008E5C50" w:rsidRPr="008E5C50">
        <w:t xml:space="preserve"> vgl.</w:t>
      </w:r>
      <w:r w:rsidRPr="008E5C50">
        <w:t xml:space="preserve"> </w:t>
      </w:r>
      <w:proofErr w:type="spellStart"/>
      <w:r w:rsidR="008E5C50">
        <w:t>Wikander</w:t>
      </w:r>
      <w:proofErr w:type="spellEnd"/>
      <w:r w:rsidR="008E5C50">
        <w:t xml:space="preserve"> 1976, 99 u. </w:t>
      </w:r>
      <w:proofErr w:type="spellStart"/>
      <w:r w:rsidR="00482BD7" w:rsidRPr="008E5C50">
        <w:t>Sehlmeyer</w:t>
      </w:r>
      <w:proofErr w:type="spellEnd"/>
      <w:r w:rsidR="00482BD7" w:rsidRPr="008E5C50">
        <w:t xml:space="preserve"> 1999, 166 f.</w:t>
      </w:r>
      <w:r w:rsidR="008E5C50" w:rsidRPr="008E5C50">
        <w:t>, der den Bericht des Plinius, mit Münzer, auf eine mögliche Autopsie Varros zurückführen will.</w:t>
      </w:r>
      <w:r w:rsidR="008E5C50">
        <w:t xml:space="preserve"> </w:t>
      </w:r>
    </w:p>
  </w:footnote>
  <w:footnote w:id="37">
    <w:p w14:paraId="4EF9715A" w14:textId="05F9E465" w:rsidR="00022256" w:rsidRPr="00EF72FE" w:rsidRDefault="00022256" w:rsidP="00022256">
      <w:pPr>
        <w:pStyle w:val="Funotentext"/>
        <w:jc w:val="both"/>
        <w:rPr>
          <w:highlight w:val="cyan"/>
        </w:rPr>
      </w:pPr>
      <w:r w:rsidRPr="008D5301">
        <w:rPr>
          <w:rStyle w:val="Funotenzeichen"/>
        </w:rPr>
        <w:footnoteRef/>
      </w:r>
      <w:r w:rsidRPr="008D5301">
        <w:t xml:space="preserve"> </w:t>
      </w:r>
      <w:r w:rsidR="000916A6">
        <w:t>Seit</w:t>
      </w:r>
      <w:r w:rsidR="008D5301" w:rsidRPr="008D5301">
        <w:t xml:space="preserve"> Mitte des Jahrhunderts </w:t>
      </w:r>
      <w:r w:rsidR="000916A6">
        <w:t xml:space="preserve">mehrten sich </w:t>
      </w:r>
      <w:r w:rsidR="008D5301" w:rsidRPr="008D5301">
        <w:t>Probleme bei der Rekrutierung</w:t>
      </w:r>
      <w:r w:rsidR="000916A6">
        <w:t xml:space="preserve">, </w:t>
      </w:r>
      <w:r w:rsidR="008D5301" w:rsidRPr="008D5301">
        <w:t xml:space="preserve">gerade für den spanischen Krieg. Die Unzufriedenheit des Volkes mit den Leistungen der Nobilität hatte 147 Scipio </w:t>
      </w:r>
      <w:proofErr w:type="spellStart"/>
      <w:r w:rsidR="008D5301" w:rsidRPr="008D5301">
        <w:t>Aemilianus</w:t>
      </w:r>
      <w:proofErr w:type="spellEnd"/>
      <w:r w:rsidR="008D5301" w:rsidRPr="008D5301">
        <w:t xml:space="preserve"> ein vorzeitiges Konsulat beschert, </w:t>
      </w:r>
      <w:r w:rsidR="000916A6">
        <w:t xml:space="preserve">und </w:t>
      </w:r>
      <w:r w:rsidR="008D5301" w:rsidRPr="008D5301">
        <w:t>die</w:t>
      </w:r>
      <w:r w:rsidR="008D5301">
        <w:t>se</w:t>
      </w:r>
      <w:r w:rsidR="008D5301" w:rsidRPr="008D5301">
        <w:t xml:space="preserve"> zunächst nur </w:t>
      </w:r>
      <w:r w:rsidR="008D5301">
        <w:t xml:space="preserve">den </w:t>
      </w:r>
      <w:r w:rsidR="008D5301" w:rsidRPr="008D5301">
        <w:t>militärische</w:t>
      </w:r>
      <w:r w:rsidR="008D5301">
        <w:t>n Bereich betreffende</w:t>
      </w:r>
      <w:r w:rsidR="008D5301" w:rsidRPr="008D5301">
        <w:t xml:space="preserve"> Unzufriedenheit weitete sich aber schon bald auf </w:t>
      </w:r>
      <w:r w:rsidR="008D5301">
        <w:t>andere</w:t>
      </w:r>
      <w:r w:rsidR="008D5301" w:rsidRPr="008D5301">
        <w:t xml:space="preserve"> Bereich</w:t>
      </w:r>
      <w:r w:rsidR="008D5301">
        <w:t>e</w:t>
      </w:r>
      <w:r w:rsidR="008D5301" w:rsidRPr="008D5301">
        <w:t xml:space="preserve"> aus, vgl. </w:t>
      </w:r>
      <w:r w:rsidR="004711EB" w:rsidRPr="008D5301">
        <w:t>Ungern-Sternberg 1998</w:t>
      </w:r>
      <w:r w:rsidR="008D5301" w:rsidRPr="008D5301">
        <w:t>, v. a. 614–8.</w:t>
      </w:r>
      <w:r w:rsidR="008D5301">
        <w:t xml:space="preserve"> Es mochte also nicht mehr als Normalfall erscheinen, dass sich die Interessen der Nobilität mit denen des Volkes deckten; wenn </w:t>
      </w:r>
      <w:proofErr w:type="spellStart"/>
      <w:r w:rsidR="008D5301">
        <w:t>Mancinus</w:t>
      </w:r>
      <w:proofErr w:type="spellEnd"/>
      <w:r w:rsidR="008D5301">
        <w:t xml:space="preserve"> das Wohlergehen von mehreren tausend Bürgern über seine eigene Person stellte, war das insofern bemerkenswert.</w:t>
      </w:r>
      <w:r w:rsidR="00EF72FE" w:rsidRPr="00EF72FE">
        <w:rPr>
          <w:highlight w:val="cyan"/>
        </w:rPr>
        <w:t xml:space="preserve"> </w:t>
      </w:r>
    </w:p>
  </w:footnote>
  <w:footnote w:id="38">
    <w:p w14:paraId="76C3A8DE" w14:textId="12989A8C" w:rsidR="005117BA" w:rsidRPr="005117BA" w:rsidRDefault="005117BA" w:rsidP="00EF72FE">
      <w:pPr>
        <w:pStyle w:val="Funotentext"/>
        <w:jc w:val="both"/>
        <w:rPr>
          <w:color w:val="000000" w:themeColor="text1"/>
        </w:rPr>
      </w:pPr>
      <w:r w:rsidRPr="00437A38">
        <w:rPr>
          <w:rStyle w:val="Funotenzeichen"/>
          <w:color w:val="000000" w:themeColor="text1"/>
        </w:rPr>
        <w:footnoteRef/>
      </w:r>
      <w:r w:rsidRPr="00437A38">
        <w:rPr>
          <w:color w:val="000000" w:themeColor="text1"/>
        </w:rPr>
        <w:t xml:space="preserve"> </w:t>
      </w:r>
      <w:proofErr w:type="spellStart"/>
      <w:r w:rsidRPr="00437A38">
        <w:rPr>
          <w:color w:val="000000" w:themeColor="text1"/>
        </w:rPr>
        <w:t>Liv</w:t>
      </w:r>
      <w:proofErr w:type="spellEnd"/>
      <w:r w:rsidRPr="00437A38">
        <w:rPr>
          <w:color w:val="000000" w:themeColor="text1"/>
        </w:rPr>
        <w:t>. 9,</w:t>
      </w:r>
      <w:r w:rsidR="00EF72FE">
        <w:rPr>
          <w:color w:val="000000" w:themeColor="text1"/>
        </w:rPr>
        <w:t xml:space="preserve">9 f. </w:t>
      </w:r>
      <w:r w:rsidR="00437A38" w:rsidRPr="00437A38">
        <w:rPr>
          <w:color w:val="000000" w:themeColor="text1"/>
        </w:rPr>
        <w:t xml:space="preserve">fokussiert auf den zweiten Konsul von 321, </w:t>
      </w:r>
      <w:proofErr w:type="spellStart"/>
      <w:r w:rsidR="00437A38" w:rsidRPr="00437A38">
        <w:rPr>
          <w:color w:val="000000" w:themeColor="text1"/>
        </w:rPr>
        <w:t>Sp</w:t>
      </w:r>
      <w:proofErr w:type="spellEnd"/>
      <w:r w:rsidR="00437A38" w:rsidRPr="00437A38">
        <w:rPr>
          <w:color w:val="000000" w:themeColor="text1"/>
        </w:rPr>
        <w:t xml:space="preserve">. </w:t>
      </w:r>
      <w:proofErr w:type="spellStart"/>
      <w:r w:rsidR="00437A38" w:rsidRPr="00437A38">
        <w:rPr>
          <w:color w:val="000000" w:themeColor="text1"/>
        </w:rPr>
        <w:t>Postumius</w:t>
      </w:r>
      <w:proofErr w:type="spellEnd"/>
      <w:r w:rsidR="00437A38" w:rsidRPr="00437A38">
        <w:rPr>
          <w:color w:val="000000" w:themeColor="text1"/>
        </w:rPr>
        <w:t xml:space="preserve"> Albinus, </w:t>
      </w:r>
      <w:r w:rsidR="00437A38">
        <w:rPr>
          <w:color w:val="000000" w:themeColor="text1"/>
        </w:rPr>
        <w:t>de</w:t>
      </w:r>
      <w:r w:rsidR="00EF72FE">
        <w:rPr>
          <w:color w:val="000000" w:themeColor="text1"/>
        </w:rPr>
        <w:t>ssen Selbstopfer</w:t>
      </w:r>
      <w:r w:rsidR="00437A38">
        <w:rPr>
          <w:color w:val="000000" w:themeColor="text1"/>
        </w:rPr>
        <w:t xml:space="preserve"> er auf eine Stufe mit </w:t>
      </w:r>
      <w:r w:rsidR="00EF72FE">
        <w:rPr>
          <w:color w:val="000000" w:themeColor="text1"/>
        </w:rPr>
        <w:t xml:space="preserve">demjenigen des </w:t>
      </w:r>
      <w:r w:rsidR="00437A38">
        <w:rPr>
          <w:color w:val="000000" w:themeColor="text1"/>
        </w:rPr>
        <w:t>P. Decius Mus stellt</w:t>
      </w:r>
      <w:r w:rsidR="00EF72FE">
        <w:rPr>
          <w:color w:val="000000" w:themeColor="text1"/>
        </w:rPr>
        <w:t xml:space="preserve"> (9,</w:t>
      </w:r>
      <w:r w:rsidR="00EF72FE" w:rsidRPr="00437A38">
        <w:rPr>
          <w:color w:val="000000" w:themeColor="text1"/>
        </w:rPr>
        <w:t>10,3 f.</w:t>
      </w:r>
      <w:r w:rsidR="00EF72FE">
        <w:rPr>
          <w:color w:val="000000" w:themeColor="text1"/>
        </w:rPr>
        <w:t>)</w:t>
      </w:r>
      <w:r w:rsidR="00437A38">
        <w:rPr>
          <w:color w:val="000000" w:themeColor="text1"/>
        </w:rPr>
        <w:t xml:space="preserve">. </w:t>
      </w:r>
      <w:r w:rsidR="00EF72FE">
        <w:rPr>
          <w:color w:val="000000" w:themeColor="text1"/>
        </w:rPr>
        <w:t xml:space="preserve">Der Fokus auf </w:t>
      </w:r>
      <w:proofErr w:type="spellStart"/>
      <w:r w:rsidR="00EF72FE">
        <w:rPr>
          <w:color w:val="000000" w:themeColor="text1"/>
        </w:rPr>
        <w:t>Postumius</w:t>
      </w:r>
      <w:proofErr w:type="spellEnd"/>
      <w:r w:rsidR="00EF72FE">
        <w:rPr>
          <w:color w:val="000000" w:themeColor="text1"/>
        </w:rPr>
        <w:t xml:space="preserve"> rührt sicherlich von der </w:t>
      </w:r>
      <w:proofErr w:type="spellStart"/>
      <w:r w:rsidR="00EF72FE">
        <w:rPr>
          <w:color w:val="000000" w:themeColor="text1"/>
        </w:rPr>
        <w:t>ings</w:t>
      </w:r>
      <w:proofErr w:type="spellEnd"/>
      <w:r w:rsidR="00EF72FE">
        <w:rPr>
          <w:color w:val="000000" w:themeColor="text1"/>
        </w:rPr>
        <w:t xml:space="preserve">. größeren Prominenz der </w:t>
      </w:r>
      <w:proofErr w:type="spellStart"/>
      <w:r w:rsidR="00EF72FE">
        <w:rPr>
          <w:color w:val="000000" w:themeColor="text1"/>
        </w:rPr>
        <w:t>Postumii</w:t>
      </w:r>
      <w:proofErr w:type="spellEnd"/>
      <w:r w:rsidR="00EF72FE">
        <w:rPr>
          <w:color w:val="000000" w:themeColor="text1"/>
        </w:rPr>
        <w:t xml:space="preserve"> her; nichtsdestoweniger konnten natürlich auch die </w:t>
      </w:r>
      <w:proofErr w:type="spellStart"/>
      <w:r w:rsidR="00EF72FE">
        <w:rPr>
          <w:color w:val="000000" w:themeColor="text1"/>
        </w:rPr>
        <w:t>Veturii</w:t>
      </w:r>
      <w:proofErr w:type="spellEnd"/>
      <w:r w:rsidR="00EF72FE">
        <w:rPr>
          <w:color w:val="000000" w:themeColor="text1"/>
        </w:rPr>
        <w:t xml:space="preserve"> Anteil am Opfer der Konsuln von 321 beanspruchen. </w:t>
      </w:r>
    </w:p>
  </w:footnote>
  <w:footnote w:id="39">
    <w:p w14:paraId="29DA58C0" w14:textId="3FAD5D21" w:rsidR="00C96C44" w:rsidRPr="008B69BB" w:rsidRDefault="00C96C44" w:rsidP="00C96C44">
      <w:pPr>
        <w:pStyle w:val="Funotentext"/>
        <w:jc w:val="both"/>
        <w:rPr>
          <w:color w:val="000000" w:themeColor="text1"/>
        </w:rPr>
      </w:pPr>
      <w:r w:rsidRPr="00BD0941">
        <w:rPr>
          <w:rStyle w:val="Funotenzeichen"/>
          <w:color w:val="000000" w:themeColor="text1"/>
        </w:rPr>
        <w:footnoteRef/>
      </w:r>
      <w:r w:rsidRPr="00BD0941">
        <w:rPr>
          <w:color w:val="000000" w:themeColor="text1"/>
        </w:rPr>
        <w:t xml:space="preserve"> </w:t>
      </w:r>
      <w:r w:rsidR="00640EA5">
        <w:rPr>
          <w:color w:val="000000" w:themeColor="text1"/>
        </w:rPr>
        <w:t>In den Jahren</w:t>
      </w:r>
      <w:r w:rsidR="00BD0941" w:rsidRPr="00BD0941">
        <w:rPr>
          <w:color w:val="000000" w:themeColor="text1"/>
        </w:rPr>
        <w:t xml:space="preserve"> 220 und 206, also über hundert Jahre nach </w:t>
      </w:r>
      <w:proofErr w:type="spellStart"/>
      <w:r w:rsidR="00BD0941">
        <w:rPr>
          <w:color w:val="000000" w:themeColor="text1"/>
        </w:rPr>
        <w:t>Caudium</w:t>
      </w:r>
      <w:proofErr w:type="spellEnd"/>
      <w:r w:rsidR="00BD0941" w:rsidRPr="00BD0941">
        <w:rPr>
          <w:color w:val="000000" w:themeColor="text1"/>
        </w:rPr>
        <w:t xml:space="preserve">, </w:t>
      </w:r>
      <w:r w:rsidR="00BD0941">
        <w:rPr>
          <w:color w:val="000000" w:themeColor="text1"/>
        </w:rPr>
        <w:t>finden sich</w:t>
      </w:r>
      <w:r w:rsidR="00BD0941" w:rsidRPr="00BD0941">
        <w:rPr>
          <w:color w:val="000000" w:themeColor="text1"/>
        </w:rPr>
        <w:t xml:space="preserve"> noch einmal zwei </w:t>
      </w:r>
      <w:proofErr w:type="spellStart"/>
      <w:r w:rsidR="00BD0941" w:rsidRPr="00BD0941">
        <w:rPr>
          <w:color w:val="000000" w:themeColor="text1"/>
        </w:rPr>
        <w:t>Veturii</w:t>
      </w:r>
      <w:proofErr w:type="spellEnd"/>
      <w:r w:rsidR="00BD0941" w:rsidRPr="00BD0941">
        <w:rPr>
          <w:color w:val="000000" w:themeColor="text1"/>
        </w:rPr>
        <w:t xml:space="preserve"> </w:t>
      </w:r>
      <w:proofErr w:type="spellStart"/>
      <w:r w:rsidR="00BD0941" w:rsidRPr="00BD0941">
        <w:rPr>
          <w:color w:val="000000" w:themeColor="text1"/>
        </w:rPr>
        <w:t>Philones</w:t>
      </w:r>
      <w:proofErr w:type="spellEnd"/>
      <w:r w:rsidR="00BD0941" w:rsidRPr="00BD0941">
        <w:rPr>
          <w:color w:val="000000" w:themeColor="text1"/>
        </w:rPr>
        <w:t xml:space="preserve"> i</w:t>
      </w:r>
      <w:r w:rsidR="00BD0941">
        <w:rPr>
          <w:color w:val="000000" w:themeColor="text1"/>
        </w:rPr>
        <w:t>m</w:t>
      </w:r>
      <w:r w:rsidR="00BD0941" w:rsidRPr="00BD0941">
        <w:rPr>
          <w:color w:val="000000" w:themeColor="text1"/>
        </w:rPr>
        <w:t xml:space="preserve"> Konsulat, </w:t>
      </w:r>
      <w:r w:rsidR="00640EA5">
        <w:rPr>
          <w:color w:val="000000" w:themeColor="text1"/>
        </w:rPr>
        <w:t>diese waren aber Patrizier, w</w:t>
      </w:r>
      <w:r w:rsidR="00DB2E25">
        <w:rPr>
          <w:color w:val="000000" w:themeColor="text1"/>
        </w:rPr>
        <w:t>ohingegen</w:t>
      </w:r>
      <w:r w:rsidR="00640EA5">
        <w:rPr>
          <w:color w:val="000000" w:themeColor="text1"/>
        </w:rPr>
        <w:t xml:space="preserve"> der Konsul von 321 </w:t>
      </w:r>
      <w:r w:rsidR="00DB2E25">
        <w:rPr>
          <w:color w:val="000000" w:themeColor="text1"/>
        </w:rPr>
        <w:t xml:space="preserve">offenbar </w:t>
      </w:r>
      <w:r w:rsidR="00640EA5">
        <w:rPr>
          <w:color w:val="000000" w:themeColor="text1"/>
        </w:rPr>
        <w:t xml:space="preserve">Plebejer war; vgl. hierzu o. Anm. 29. </w:t>
      </w:r>
    </w:p>
  </w:footnote>
  <w:footnote w:id="40">
    <w:p w14:paraId="59FD6FCD" w14:textId="56FD070A" w:rsidR="002F51D5" w:rsidRDefault="002F51D5" w:rsidP="002F51D5">
      <w:pPr>
        <w:pStyle w:val="Funotentext"/>
        <w:jc w:val="both"/>
      </w:pPr>
      <w:r>
        <w:rPr>
          <w:rStyle w:val="Funotenzeichen"/>
        </w:rPr>
        <w:footnoteRef/>
      </w:r>
      <w:r>
        <w:t xml:space="preserve"> In dieser Perspektive ist </w:t>
      </w:r>
      <w:proofErr w:type="spellStart"/>
      <w:r>
        <w:t>zB</w:t>
      </w:r>
      <w:proofErr w:type="spellEnd"/>
      <w:r>
        <w:t xml:space="preserve">. Oakley 2005, 649 f. zu widersprechen, der meint, dass es ebenso gut möglich sei, dass diejenige Variante, nach der der </w:t>
      </w:r>
      <w:proofErr w:type="spellStart"/>
      <w:r>
        <w:t>Caudium</w:t>
      </w:r>
      <w:proofErr w:type="spellEnd"/>
      <w:r>
        <w:t xml:space="preserve">-Frieden zunächst gültig blieb, die jüngere sei und </w:t>
      </w:r>
      <w:proofErr w:type="spellStart"/>
      <w:r>
        <w:t>Veturius</w:t>
      </w:r>
      <w:proofErr w:type="spellEnd"/>
      <w:r>
        <w:t xml:space="preserve">’ Münze dazu gedient habe, diese für seinen Ahnen und damit seine eigene Familie günstigere Geschichte durchzusetzen. </w:t>
      </w:r>
      <w:proofErr w:type="spellStart"/>
      <w:r>
        <w:t>Lentzsch</w:t>
      </w:r>
      <w:proofErr w:type="spellEnd"/>
      <w:r>
        <w:t xml:space="preserve"> 2019, 175–7 hat sich unlängst angeschlossen. Diese Deutung stell</w:t>
      </w:r>
      <w:r w:rsidR="00457374">
        <w:t xml:space="preserve">t letztlich aber nur eine Variante zur </w:t>
      </w:r>
      <w:proofErr w:type="spellStart"/>
      <w:r w:rsidR="00457374">
        <w:t>faktionalen</w:t>
      </w:r>
      <w:proofErr w:type="spellEnd"/>
      <w:r w:rsidR="00457374">
        <w:t xml:space="preserve"> Deutung des Denars dar. </w:t>
      </w:r>
    </w:p>
  </w:footnote>
  <w:footnote w:id="41">
    <w:p w14:paraId="5AF26E4D" w14:textId="1F4CCBFD" w:rsidR="00E07B35" w:rsidRPr="00890A94" w:rsidRDefault="00E07B35" w:rsidP="00022256">
      <w:pPr>
        <w:pStyle w:val="Funotentext"/>
        <w:jc w:val="both"/>
        <w:rPr>
          <w:color w:val="000000" w:themeColor="text1"/>
        </w:rPr>
      </w:pPr>
      <w:r w:rsidRPr="00890A94">
        <w:rPr>
          <w:rStyle w:val="Funotenzeichen"/>
          <w:color w:val="000000" w:themeColor="text1"/>
        </w:rPr>
        <w:footnoteRef/>
      </w:r>
      <w:r w:rsidRPr="00890A94">
        <w:rPr>
          <w:color w:val="000000" w:themeColor="text1"/>
        </w:rPr>
        <w:t xml:space="preserve"> </w:t>
      </w:r>
      <w:r w:rsidR="00890A94" w:rsidRPr="00890A94">
        <w:rPr>
          <w:color w:val="000000" w:themeColor="text1"/>
        </w:rPr>
        <w:t>Der Anmerkung von Wolters 2017, 179, „weitere Hypothesen dürften der Sache eher schaden“, ist jedenfalls zu widersprechen: Sie kann allenfalls dann gelten, wenn die alten Hypothesen vollumfänglich überzeugen</w:t>
      </w:r>
      <w:r w:rsidR="00890A94">
        <w:rPr>
          <w:color w:val="000000" w:themeColor="text1"/>
        </w:rPr>
        <w:t>, was sie aber im vorliegenden Fall</w:t>
      </w:r>
      <w:r w:rsidR="008B4BBF">
        <w:rPr>
          <w:color w:val="000000" w:themeColor="text1"/>
        </w:rPr>
        <w:t>, wie dargestellt,</w:t>
      </w:r>
      <w:r w:rsidR="00890A94">
        <w:rPr>
          <w:color w:val="000000" w:themeColor="text1"/>
        </w:rPr>
        <w:t xml:space="preserve"> nicht tun. </w:t>
      </w:r>
    </w:p>
  </w:footnote>
  <w:footnote w:id="42">
    <w:p w14:paraId="05CF2FD3" w14:textId="5E7A8EDB" w:rsidR="00E0213F" w:rsidRPr="0060281E" w:rsidRDefault="00E0213F" w:rsidP="00022256">
      <w:pPr>
        <w:pStyle w:val="Funotentext"/>
        <w:jc w:val="both"/>
        <w:rPr>
          <w:color w:val="000000" w:themeColor="text1"/>
        </w:rPr>
      </w:pPr>
      <w:r w:rsidRPr="0060281E">
        <w:rPr>
          <w:rStyle w:val="Funotenzeichen"/>
          <w:color w:val="000000" w:themeColor="text1"/>
        </w:rPr>
        <w:footnoteRef/>
      </w:r>
      <w:r w:rsidRPr="0060281E">
        <w:rPr>
          <w:color w:val="000000" w:themeColor="text1"/>
        </w:rPr>
        <w:t xml:space="preserve"> </w:t>
      </w:r>
      <w:r w:rsidR="00755075">
        <w:rPr>
          <w:color w:val="000000" w:themeColor="text1"/>
        </w:rPr>
        <w:t>Diese</w:t>
      </w:r>
      <w:r w:rsidR="00890A94" w:rsidRPr="0060281E">
        <w:rPr>
          <w:color w:val="000000" w:themeColor="text1"/>
        </w:rPr>
        <w:t xml:space="preserve"> </w:t>
      </w:r>
      <w:proofErr w:type="spellStart"/>
      <w:r w:rsidR="00890A94" w:rsidRPr="0060281E">
        <w:rPr>
          <w:color w:val="000000" w:themeColor="text1"/>
        </w:rPr>
        <w:t>Umdatierun</w:t>
      </w:r>
      <w:r w:rsidR="00755075">
        <w:rPr>
          <w:color w:val="000000" w:themeColor="text1"/>
        </w:rPr>
        <w:t>g</w:t>
      </w:r>
      <w:proofErr w:type="spellEnd"/>
      <w:r w:rsidR="00755075">
        <w:rPr>
          <w:color w:val="000000" w:themeColor="text1"/>
        </w:rPr>
        <w:t xml:space="preserve"> ist </w:t>
      </w:r>
      <w:r w:rsidR="00890A94" w:rsidRPr="0060281E">
        <w:rPr>
          <w:color w:val="000000" w:themeColor="text1"/>
        </w:rPr>
        <w:t xml:space="preserve">ausreichend gering, um Crawfords insgesamt überzeugende </w:t>
      </w:r>
      <w:r w:rsidR="0060281E" w:rsidRPr="0060281E">
        <w:rPr>
          <w:color w:val="000000" w:themeColor="text1"/>
        </w:rPr>
        <w:t xml:space="preserve">Chronologie nicht grundsätzlich infrage ziehen zu müssen. Zur </w:t>
      </w:r>
      <w:r w:rsidR="0060281E">
        <w:rPr>
          <w:color w:val="000000" w:themeColor="text1"/>
        </w:rPr>
        <w:t>generellen</w:t>
      </w:r>
      <w:r w:rsidR="0060281E" w:rsidRPr="0060281E">
        <w:rPr>
          <w:color w:val="000000" w:themeColor="text1"/>
        </w:rPr>
        <w:t xml:space="preserve"> Plausibilität von Crawford bei </w:t>
      </w:r>
      <w:r w:rsidR="0060281E">
        <w:rPr>
          <w:color w:val="000000" w:themeColor="text1"/>
        </w:rPr>
        <w:t xml:space="preserve">der gleichzeitigen Feststellung von </w:t>
      </w:r>
      <w:r w:rsidR="0060281E" w:rsidRPr="0060281E">
        <w:rPr>
          <w:color w:val="000000" w:themeColor="text1"/>
        </w:rPr>
        <w:t xml:space="preserve">Spielräumen im Detail vgl. o. Anm. 15 u. 30. </w:t>
      </w:r>
    </w:p>
  </w:footnote>
  <w:footnote w:id="43">
    <w:p w14:paraId="2001853C" w14:textId="41721892" w:rsidR="00F529B2" w:rsidRPr="0060281E" w:rsidRDefault="00E0213F" w:rsidP="00022256">
      <w:pPr>
        <w:pStyle w:val="Funotentext"/>
        <w:jc w:val="both"/>
        <w:rPr>
          <w:color w:val="000000" w:themeColor="text1"/>
        </w:rPr>
      </w:pPr>
      <w:r w:rsidRPr="00C5498A">
        <w:rPr>
          <w:rStyle w:val="Funotenzeichen"/>
          <w:color w:val="000000" w:themeColor="text1"/>
        </w:rPr>
        <w:footnoteRef/>
      </w:r>
      <w:r w:rsidRPr="00C5498A">
        <w:rPr>
          <w:color w:val="000000" w:themeColor="text1"/>
        </w:rPr>
        <w:t xml:space="preserve"> </w:t>
      </w:r>
      <w:proofErr w:type="spellStart"/>
      <w:r w:rsidRPr="00C5498A">
        <w:rPr>
          <w:color w:val="000000" w:themeColor="text1"/>
        </w:rPr>
        <w:t>Hölkeskamp</w:t>
      </w:r>
      <w:proofErr w:type="spellEnd"/>
      <w:r w:rsidRPr="00C5498A">
        <w:rPr>
          <w:color w:val="000000" w:themeColor="text1"/>
        </w:rPr>
        <w:t xml:space="preserve"> 201</w:t>
      </w:r>
      <w:r w:rsidR="001963E9" w:rsidRPr="00C5498A">
        <w:rPr>
          <w:color w:val="000000" w:themeColor="text1"/>
        </w:rPr>
        <w:t>8</w:t>
      </w:r>
      <w:r w:rsidR="0060281E" w:rsidRPr="00C5498A">
        <w:rPr>
          <w:color w:val="000000" w:themeColor="text1"/>
        </w:rPr>
        <w:t xml:space="preserve"> weist auf die Multimedialität der Erinnerungskultur Roms hin, in der sich Aussagen durch Wiederholung in unterschiedlichen Medien wechselseitig stütz</w:t>
      </w:r>
      <w:r w:rsidR="008B4BBF" w:rsidRPr="00C5498A">
        <w:rPr>
          <w:color w:val="000000" w:themeColor="text1"/>
        </w:rPr>
        <w:t>t</w:t>
      </w:r>
      <w:r w:rsidR="0060281E" w:rsidRPr="00C5498A">
        <w:rPr>
          <w:color w:val="000000" w:themeColor="text1"/>
        </w:rPr>
        <w:t xml:space="preserve">en; die Botschaft der </w:t>
      </w:r>
      <w:proofErr w:type="spellStart"/>
      <w:r w:rsidR="0060281E" w:rsidRPr="00C5498A">
        <w:rPr>
          <w:color w:val="000000" w:themeColor="text1"/>
        </w:rPr>
        <w:t>Veturius</w:t>
      </w:r>
      <w:proofErr w:type="spellEnd"/>
      <w:r w:rsidR="0060281E" w:rsidRPr="00C5498A">
        <w:rPr>
          <w:color w:val="000000" w:themeColor="text1"/>
        </w:rPr>
        <w:t xml:space="preserve">-Münze funktionierte in der Tat nur in Kombination mit der historiographischen Erzählung vom Selbstopfer der Konsuln 321; </w:t>
      </w:r>
      <w:r w:rsidR="008B4BBF" w:rsidRPr="00C5498A">
        <w:rPr>
          <w:color w:val="000000" w:themeColor="text1"/>
        </w:rPr>
        <w:t>zugleich</w:t>
      </w:r>
      <w:r w:rsidR="0060281E" w:rsidRPr="00C5498A">
        <w:rPr>
          <w:color w:val="000000" w:themeColor="text1"/>
        </w:rPr>
        <w:t xml:space="preserve"> erhielt diese Erzählung erst im Diskussionszusammenhang der Münze in den 130er</w:t>
      </w:r>
      <w:r w:rsidR="008B4BBF" w:rsidRPr="00C5498A">
        <w:rPr>
          <w:color w:val="000000" w:themeColor="text1"/>
        </w:rPr>
        <w:t>n</w:t>
      </w:r>
      <w:r w:rsidR="0060281E" w:rsidRPr="00C5498A">
        <w:rPr>
          <w:color w:val="000000" w:themeColor="text1"/>
        </w:rPr>
        <w:t xml:space="preserve"> ihren </w:t>
      </w:r>
      <w:proofErr w:type="spellStart"/>
      <w:r w:rsidR="0060281E" w:rsidRPr="00C5498A">
        <w:rPr>
          <w:color w:val="000000" w:themeColor="text1"/>
        </w:rPr>
        <w:t>popularen</w:t>
      </w:r>
      <w:proofErr w:type="spellEnd"/>
      <w:r w:rsidR="0060281E" w:rsidRPr="00C5498A">
        <w:rPr>
          <w:color w:val="000000" w:themeColor="text1"/>
        </w:rPr>
        <w:t xml:space="preserve"> Sinn.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532"/>
    <w:multiLevelType w:val="hybridMultilevel"/>
    <w:tmpl w:val="D88E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4146B"/>
    <w:multiLevelType w:val="hybridMultilevel"/>
    <w:tmpl w:val="1EDA0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15EE5"/>
    <w:multiLevelType w:val="hybridMultilevel"/>
    <w:tmpl w:val="1EE46DB8"/>
    <w:lvl w:ilvl="0" w:tplc="158E6B56">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523490"/>
    <w:multiLevelType w:val="hybridMultilevel"/>
    <w:tmpl w:val="5198958C"/>
    <w:lvl w:ilvl="0" w:tplc="E202F1A8">
      <w:start w:val="4"/>
      <w:numFmt w:val="bullet"/>
      <w:lvlText w:val=""/>
      <w:lvlJc w:val="left"/>
      <w:pPr>
        <w:ind w:left="1494" w:hanging="360"/>
      </w:pPr>
      <w:rPr>
        <w:rFonts w:ascii="Wingdings" w:eastAsiaTheme="minorHAnsi" w:hAnsi="Wingdings"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4" w15:restartNumberingAfterBreak="0">
    <w:nsid w:val="27C564F3"/>
    <w:multiLevelType w:val="hybridMultilevel"/>
    <w:tmpl w:val="865AD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0744AD"/>
    <w:multiLevelType w:val="hybridMultilevel"/>
    <w:tmpl w:val="AB36D9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CA7646"/>
    <w:multiLevelType w:val="hybridMultilevel"/>
    <w:tmpl w:val="6478C4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0B01F1"/>
    <w:multiLevelType w:val="hybridMultilevel"/>
    <w:tmpl w:val="5AA84B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195EDE"/>
    <w:multiLevelType w:val="hybridMultilevel"/>
    <w:tmpl w:val="8BC2F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1A"/>
    <w:rsid w:val="00011AF5"/>
    <w:rsid w:val="0001513F"/>
    <w:rsid w:val="00016470"/>
    <w:rsid w:val="0001653D"/>
    <w:rsid w:val="000200B6"/>
    <w:rsid w:val="00022256"/>
    <w:rsid w:val="00023B09"/>
    <w:rsid w:val="000264EE"/>
    <w:rsid w:val="00030D2F"/>
    <w:rsid w:val="00032F6D"/>
    <w:rsid w:val="00036AE8"/>
    <w:rsid w:val="00042891"/>
    <w:rsid w:val="000470D7"/>
    <w:rsid w:val="0005614E"/>
    <w:rsid w:val="000622AF"/>
    <w:rsid w:val="000630FA"/>
    <w:rsid w:val="00073F57"/>
    <w:rsid w:val="00074333"/>
    <w:rsid w:val="000762F5"/>
    <w:rsid w:val="00084244"/>
    <w:rsid w:val="0009163B"/>
    <w:rsid w:val="000916A6"/>
    <w:rsid w:val="00091AB5"/>
    <w:rsid w:val="0009636E"/>
    <w:rsid w:val="00096B0B"/>
    <w:rsid w:val="00097CDA"/>
    <w:rsid w:val="000B6043"/>
    <w:rsid w:val="000B7672"/>
    <w:rsid w:val="000C0A5F"/>
    <w:rsid w:val="000C2847"/>
    <w:rsid w:val="000C6615"/>
    <w:rsid w:val="000D0B59"/>
    <w:rsid w:val="000D0C59"/>
    <w:rsid w:val="000D15B0"/>
    <w:rsid w:val="000D63C8"/>
    <w:rsid w:val="000E006C"/>
    <w:rsid w:val="000E2C4F"/>
    <w:rsid w:val="000E3D4E"/>
    <w:rsid w:val="0010530D"/>
    <w:rsid w:val="00105912"/>
    <w:rsid w:val="00106882"/>
    <w:rsid w:val="001073BE"/>
    <w:rsid w:val="00110723"/>
    <w:rsid w:val="00116C9D"/>
    <w:rsid w:val="001207F9"/>
    <w:rsid w:val="00121AF4"/>
    <w:rsid w:val="00125269"/>
    <w:rsid w:val="00126586"/>
    <w:rsid w:val="00143DA5"/>
    <w:rsid w:val="0015153B"/>
    <w:rsid w:val="00155103"/>
    <w:rsid w:val="001552B4"/>
    <w:rsid w:val="00157945"/>
    <w:rsid w:val="0017170F"/>
    <w:rsid w:val="00171F9E"/>
    <w:rsid w:val="00172D95"/>
    <w:rsid w:val="001732B6"/>
    <w:rsid w:val="001736AA"/>
    <w:rsid w:val="00173FE5"/>
    <w:rsid w:val="00177691"/>
    <w:rsid w:val="00180E93"/>
    <w:rsid w:val="00180EE0"/>
    <w:rsid w:val="001958A0"/>
    <w:rsid w:val="001963E9"/>
    <w:rsid w:val="001A1D00"/>
    <w:rsid w:val="001A2718"/>
    <w:rsid w:val="001A65CA"/>
    <w:rsid w:val="001B226D"/>
    <w:rsid w:val="001B429A"/>
    <w:rsid w:val="001B714D"/>
    <w:rsid w:val="001B79FF"/>
    <w:rsid w:val="001C2DAE"/>
    <w:rsid w:val="001C3332"/>
    <w:rsid w:val="001C3AC8"/>
    <w:rsid w:val="001C7C74"/>
    <w:rsid w:val="001F535F"/>
    <w:rsid w:val="001F5736"/>
    <w:rsid w:val="00200D23"/>
    <w:rsid w:val="00205102"/>
    <w:rsid w:val="00207742"/>
    <w:rsid w:val="00207ED8"/>
    <w:rsid w:val="00210F20"/>
    <w:rsid w:val="002166E1"/>
    <w:rsid w:val="00216D42"/>
    <w:rsid w:val="00217FE6"/>
    <w:rsid w:val="002251E0"/>
    <w:rsid w:val="00232F68"/>
    <w:rsid w:val="00234A9E"/>
    <w:rsid w:val="00237D03"/>
    <w:rsid w:val="00237E34"/>
    <w:rsid w:val="00246AAA"/>
    <w:rsid w:val="00246F6D"/>
    <w:rsid w:val="00262420"/>
    <w:rsid w:val="00262F2F"/>
    <w:rsid w:val="0026378F"/>
    <w:rsid w:val="00263802"/>
    <w:rsid w:val="00264305"/>
    <w:rsid w:val="00273702"/>
    <w:rsid w:val="00274E29"/>
    <w:rsid w:val="00277219"/>
    <w:rsid w:val="002814EB"/>
    <w:rsid w:val="002829CB"/>
    <w:rsid w:val="00287E8D"/>
    <w:rsid w:val="00294062"/>
    <w:rsid w:val="00295540"/>
    <w:rsid w:val="00297083"/>
    <w:rsid w:val="002A2E46"/>
    <w:rsid w:val="002B24FE"/>
    <w:rsid w:val="002B2DFC"/>
    <w:rsid w:val="002C0429"/>
    <w:rsid w:val="002C1BC2"/>
    <w:rsid w:val="002C7ED8"/>
    <w:rsid w:val="002D111E"/>
    <w:rsid w:val="002D1E80"/>
    <w:rsid w:val="002D281B"/>
    <w:rsid w:val="002D3896"/>
    <w:rsid w:val="002D5242"/>
    <w:rsid w:val="002E26FA"/>
    <w:rsid w:val="002E3DE9"/>
    <w:rsid w:val="002E603D"/>
    <w:rsid w:val="002F298F"/>
    <w:rsid w:val="002F51D5"/>
    <w:rsid w:val="002F626B"/>
    <w:rsid w:val="002F6991"/>
    <w:rsid w:val="002F6DD6"/>
    <w:rsid w:val="00300B8B"/>
    <w:rsid w:val="00301FCC"/>
    <w:rsid w:val="003071F5"/>
    <w:rsid w:val="00310A2B"/>
    <w:rsid w:val="00311662"/>
    <w:rsid w:val="00313A37"/>
    <w:rsid w:val="0031635D"/>
    <w:rsid w:val="00321C2A"/>
    <w:rsid w:val="00322699"/>
    <w:rsid w:val="00334887"/>
    <w:rsid w:val="00342A3B"/>
    <w:rsid w:val="0034386F"/>
    <w:rsid w:val="00343CF9"/>
    <w:rsid w:val="00351D52"/>
    <w:rsid w:val="00355534"/>
    <w:rsid w:val="003557C2"/>
    <w:rsid w:val="00377B98"/>
    <w:rsid w:val="00386C15"/>
    <w:rsid w:val="003928A2"/>
    <w:rsid w:val="0039571F"/>
    <w:rsid w:val="00395B98"/>
    <w:rsid w:val="003A3A3E"/>
    <w:rsid w:val="003A68A9"/>
    <w:rsid w:val="003A7390"/>
    <w:rsid w:val="003A7F12"/>
    <w:rsid w:val="003B4EA0"/>
    <w:rsid w:val="003B7AC6"/>
    <w:rsid w:val="003B7CD2"/>
    <w:rsid w:val="003C1A6E"/>
    <w:rsid w:val="003C61B4"/>
    <w:rsid w:val="003D2CFB"/>
    <w:rsid w:val="003F14ED"/>
    <w:rsid w:val="003F2E18"/>
    <w:rsid w:val="003F53AC"/>
    <w:rsid w:val="003F76B7"/>
    <w:rsid w:val="00400A61"/>
    <w:rsid w:val="0040525D"/>
    <w:rsid w:val="004207E0"/>
    <w:rsid w:val="004212A1"/>
    <w:rsid w:val="00422229"/>
    <w:rsid w:val="00426A4D"/>
    <w:rsid w:val="004273DB"/>
    <w:rsid w:val="00432727"/>
    <w:rsid w:val="00432BEC"/>
    <w:rsid w:val="00437A38"/>
    <w:rsid w:val="00445762"/>
    <w:rsid w:val="00452A84"/>
    <w:rsid w:val="00453644"/>
    <w:rsid w:val="00456D20"/>
    <w:rsid w:val="00457374"/>
    <w:rsid w:val="00460625"/>
    <w:rsid w:val="004613E9"/>
    <w:rsid w:val="00461C79"/>
    <w:rsid w:val="004653EB"/>
    <w:rsid w:val="004711EB"/>
    <w:rsid w:val="00472489"/>
    <w:rsid w:val="00482BD7"/>
    <w:rsid w:val="00483715"/>
    <w:rsid w:val="00486F25"/>
    <w:rsid w:val="0048706F"/>
    <w:rsid w:val="004A5841"/>
    <w:rsid w:val="004A7CAF"/>
    <w:rsid w:val="004B3CAA"/>
    <w:rsid w:val="004B7430"/>
    <w:rsid w:val="004C0C80"/>
    <w:rsid w:val="004C1B17"/>
    <w:rsid w:val="004C2A52"/>
    <w:rsid w:val="004D49AA"/>
    <w:rsid w:val="004D5704"/>
    <w:rsid w:val="004E24AE"/>
    <w:rsid w:val="004E29D8"/>
    <w:rsid w:val="004E31A1"/>
    <w:rsid w:val="004E4F9B"/>
    <w:rsid w:val="00500EAD"/>
    <w:rsid w:val="00503067"/>
    <w:rsid w:val="00503BFC"/>
    <w:rsid w:val="00505594"/>
    <w:rsid w:val="005069B2"/>
    <w:rsid w:val="005117BA"/>
    <w:rsid w:val="0051257C"/>
    <w:rsid w:val="0052191B"/>
    <w:rsid w:val="00521925"/>
    <w:rsid w:val="00521928"/>
    <w:rsid w:val="005246BC"/>
    <w:rsid w:val="00527862"/>
    <w:rsid w:val="005358EC"/>
    <w:rsid w:val="0054061F"/>
    <w:rsid w:val="00543AA4"/>
    <w:rsid w:val="005507B2"/>
    <w:rsid w:val="00552BCF"/>
    <w:rsid w:val="00552F14"/>
    <w:rsid w:val="00554BD1"/>
    <w:rsid w:val="00557E5C"/>
    <w:rsid w:val="00560D5B"/>
    <w:rsid w:val="00560ED8"/>
    <w:rsid w:val="0056236D"/>
    <w:rsid w:val="005632A5"/>
    <w:rsid w:val="00565E0B"/>
    <w:rsid w:val="00570BAD"/>
    <w:rsid w:val="00572D1A"/>
    <w:rsid w:val="00575B76"/>
    <w:rsid w:val="00576B6E"/>
    <w:rsid w:val="00581F90"/>
    <w:rsid w:val="005837E8"/>
    <w:rsid w:val="00584642"/>
    <w:rsid w:val="00585584"/>
    <w:rsid w:val="00591708"/>
    <w:rsid w:val="005942B4"/>
    <w:rsid w:val="0059430F"/>
    <w:rsid w:val="0059568A"/>
    <w:rsid w:val="005A2248"/>
    <w:rsid w:val="005A2540"/>
    <w:rsid w:val="005A4FA1"/>
    <w:rsid w:val="005A7B3E"/>
    <w:rsid w:val="005B1595"/>
    <w:rsid w:val="005B3D2A"/>
    <w:rsid w:val="005B4230"/>
    <w:rsid w:val="005B5C68"/>
    <w:rsid w:val="005C212D"/>
    <w:rsid w:val="005C3624"/>
    <w:rsid w:val="005D0039"/>
    <w:rsid w:val="005D1B3E"/>
    <w:rsid w:val="005D4D7A"/>
    <w:rsid w:val="005D7177"/>
    <w:rsid w:val="005E41D2"/>
    <w:rsid w:val="005E605E"/>
    <w:rsid w:val="005F1521"/>
    <w:rsid w:val="006006A0"/>
    <w:rsid w:val="0060281E"/>
    <w:rsid w:val="006131E8"/>
    <w:rsid w:val="00626966"/>
    <w:rsid w:val="00633F03"/>
    <w:rsid w:val="00633FA0"/>
    <w:rsid w:val="00634804"/>
    <w:rsid w:val="00634DC4"/>
    <w:rsid w:val="00636FA5"/>
    <w:rsid w:val="00637617"/>
    <w:rsid w:val="00640EA5"/>
    <w:rsid w:val="006507EB"/>
    <w:rsid w:val="00655C84"/>
    <w:rsid w:val="006628A1"/>
    <w:rsid w:val="00662E0B"/>
    <w:rsid w:val="00671E67"/>
    <w:rsid w:val="00680BA5"/>
    <w:rsid w:val="00681522"/>
    <w:rsid w:val="00682CFE"/>
    <w:rsid w:val="00686AA8"/>
    <w:rsid w:val="0069135C"/>
    <w:rsid w:val="00692237"/>
    <w:rsid w:val="00693B03"/>
    <w:rsid w:val="00693B0B"/>
    <w:rsid w:val="006945C2"/>
    <w:rsid w:val="00694F3F"/>
    <w:rsid w:val="006A05F7"/>
    <w:rsid w:val="006A06AD"/>
    <w:rsid w:val="006A26DA"/>
    <w:rsid w:val="006A480B"/>
    <w:rsid w:val="006B3B0B"/>
    <w:rsid w:val="006B4E83"/>
    <w:rsid w:val="006C4196"/>
    <w:rsid w:val="006D241A"/>
    <w:rsid w:val="006D36BC"/>
    <w:rsid w:val="006D6023"/>
    <w:rsid w:val="006D66EB"/>
    <w:rsid w:val="006E7DFB"/>
    <w:rsid w:val="006F555E"/>
    <w:rsid w:val="006F6982"/>
    <w:rsid w:val="00702061"/>
    <w:rsid w:val="00705B37"/>
    <w:rsid w:val="007120D8"/>
    <w:rsid w:val="0073159A"/>
    <w:rsid w:val="00732D79"/>
    <w:rsid w:val="007360D2"/>
    <w:rsid w:val="00750DD7"/>
    <w:rsid w:val="00754554"/>
    <w:rsid w:val="00755075"/>
    <w:rsid w:val="007565D7"/>
    <w:rsid w:val="0075734F"/>
    <w:rsid w:val="0076493E"/>
    <w:rsid w:val="00764D80"/>
    <w:rsid w:val="00766176"/>
    <w:rsid w:val="00771466"/>
    <w:rsid w:val="00785E0E"/>
    <w:rsid w:val="007874DD"/>
    <w:rsid w:val="007974F4"/>
    <w:rsid w:val="007976F7"/>
    <w:rsid w:val="007A2BB6"/>
    <w:rsid w:val="007A4BDA"/>
    <w:rsid w:val="007A558B"/>
    <w:rsid w:val="007B211E"/>
    <w:rsid w:val="007B6DC3"/>
    <w:rsid w:val="007C25A7"/>
    <w:rsid w:val="007C4902"/>
    <w:rsid w:val="007C6AF8"/>
    <w:rsid w:val="007C7DD8"/>
    <w:rsid w:val="007D628F"/>
    <w:rsid w:val="007D7712"/>
    <w:rsid w:val="007E34B3"/>
    <w:rsid w:val="007E7159"/>
    <w:rsid w:val="007E75C6"/>
    <w:rsid w:val="007F208D"/>
    <w:rsid w:val="007F4E35"/>
    <w:rsid w:val="0080099B"/>
    <w:rsid w:val="008074DB"/>
    <w:rsid w:val="00814BB3"/>
    <w:rsid w:val="00816562"/>
    <w:rsid w:val="00817A01"/>
    <w:rsid w:val="0082460A"/>
    <w:rsid w:val="00827366"/>
    <w:rsid w:val="00827678"/>
    <w:rsid w:val="00832A6B"/>
    <w:rsid w:val="00837C2E"/>
    <w:rsid w:val="008422A0"/>
    <w:rsid w:val="00843ECB"/>
    <w:rsid w:val="0084597A"/>
    <w:rsid w:val="00850752"/>
    <w:rsid w:val="008523E0"/>
    <w:rsid w:val="00852DA8"/>
    <w:rsid w:val="00853A06"/>
    <w:rsid w:val="00854245"/>
    <w:rsid w:val="008548F6"/>
    <w:rsid w:val="008629F6"/>
    <w:rsid w:val="00863A43"/>
    <w:rsid w:val="0086489C"/>
    <w:rsid w:val="00865596"/>
    <w:rsid w:val="00872A71"/>
    <w:rsid w:val="008803F6"/>
    <w:rsid w:val="00883B12"/>
    <w:rsid w:val="00890A94"/>
    <w:rsid w:val="00897940"/>
    <w:rsid w:val="008B4A57"/>
    <w:rsid w:val="008B4BBF"/>
    <w:rsid w:val="008B61C0"/>
    <w:rsid w:val="008B69BB"/>
    <w:rsid w:val="008C18FA"/>
    <w:rsid w:val="008C4D09"/>
    <w:rsid w:val="008C6BCE"/>
    <w:rsid w:val="008D5301"/>
    <w:rsid w:val="008D677F"/>
    <w:rsid w:val="008E192E"/>
    <w:rsid w:val="008E5194"/>
    <w:rsid w:val="008E5C50"/>
    <w:rsid w:val="008F3D8A"/>
    <w:rsid w:val="00901CC1"/>
    <w:rsid w:val="009076D6"/>
    <w:rsid w:val="00911EFE"/>
    <w:rsid w:val="0091230A"/>
    <w:rsid w:val="00915DAD"/>
    <w:rsid w:val="00917062"/>
    <w:rsid w:val="00921A81"/>
    <w:rsid w:val="00927AC4"/>
    <w:rsid w:val="00933606"/>
    <w:rsid w:val="00935075"/>
    <w:rsid w:val="00936F5A"/>
    <w:rsid w:val="00937469"/>
    <w:rsid w:val="00937B4C"/>
    <w:rsid w:val="00942DDB"/>
    <w:rsid w:val="00951CD8"/>
    <w:rsid w:val="00952936"/>
    <w:rsid w:val="009535C8"/>
    <w:rsid w:val="00953A3A"/>
    <w:rsid w:val="00957F4F"/>
    <w:rsid w:val="00962B76"/>
    <w:rsid w:val="00967400"/>
    <w:rsid w:val="009701DC"/>
    <w:rsid w:val="00970760"/>
    <w:rsid w:val="009707D1"/>
    <w:rsid w:val="00970CC9"/>
    <w:rsid w:val="00974DA3"/>
    <w:rsid w:val="009858C6"/>
    <w:rsid w:val="00985D12"/>
    <w:rsid w:val="009931BB"/>
    <w:rsid w:val="009953E8"/>
    <w:rsid w:val="00995AB8"/>
    <w:rsid w:val="009A0D2E"/>
    <w:rsid w:val="009A4950"/>
    <w:rsid w:val="009C3ABC"/>
    <w:rsid w:val="009C5072"/>
    <w:rsid w:val="009C595A"/>
    <w:rsid w:val="009C658B"/>
    <w:rsid w:val="009D4DCE"/>
    <w:rsid w:val="009D6A6E"/>
    <w:rsid w:val="009E35B3"/>
    <w:rsid w:val="009E3A1C"/>
    <w:rsid w:val="009E658D"/>
    <w:rsid w:val="009F5008"/>
    <w:rsid w:val="00A06AF5"/>
    <w:rsid w:val="00A13876"/>
    <w:rsid w:val="00A13BAC"/>
    <w:rsid w:val="00A13BBA"/>
    <w:rsid w:val="00A1416A"/>
    <w:rsid w:val="00A17B0D"/>
    <w:rsid w:val="00A2218D"/>
    <w:rsid w:val="00A319C0"/>
    <w:rsid w:val="00A419DF"/>
    <w:rsid w:val="00A44388"/>
    <w:rsid w:val="00A45486"/>
    <w:rsid w:val="00A47822"/>
    <w:rsid w:val="00A523F7"/>
    <w:rsid w:val="00A53910"/>
    <w:rsid w:val="00A5749D"/>
    <w:rsid w:val="00A627C4"/>
    <w:rsid w:val="00A7345B"/>
    <w:rsid w:val="00A740B2"/>
    <w:rsid w:val="00A75CF9"/>
    <w:rsid w:val="00A80F20"/>
    <w:rsid w:val="00A81949"/>
    <w:rsid w:val="00A81984"/>
    <w:rsid w:val="00A87061"/>
    <w:rsid w:val="00A87C2E"/>
    <w:rsid w:val="00A929C3"/>
    <w:rsid w:val="00A93C80"/>
    <w:rsid w:val="00A97ACC"/>
    <w:rsid w:val="00AA0171"/>
    <w:rsid w:val="00AB1032"/>
    <w:rsid w:val="00AB3B74"/>
    <w:rsid w:val="00AD468C"/>
    <w:rsid w:val="00AD4EC7"/>
    <w:rsid w:val="00AD591E"/>
    <w:rsid w:val="00AE200E"/>
    <w:rsid w:val="00AE2C33"/>
    <w:rsid w:val="00AE4E4A"/>
    <w:rsid w:val="00AE6691"/>
    <w:rsid w:val="00AF32FC"/>
    <w:rsid w:val="00B00E5F"/>
    <w:rsid w:val="00B026B0"/>
    <w:rsid w:val="00B04298"/>
    <w:rsid w:val="00B05578"/>
    <w:rsid w:val="00B055FD"/>
    <w:rsid w:val="00B06244"/>
    <w:rsid w:val="00B06BC6"/>
    <w:rsid w:val="00B10024"/>
    <w:rsid w:val="00B1645D"/>
    <w:rsid w:val="00B17A86"/>
    <w:rsid w:val="00B17F60"/>
    <w:rsid w:val="00B26D56"/>
    <w:rsid w:val="00B4389A"/>
    <w:rsid w:val="00B53D2D"/>
    <w:rsid w:val="00B8006D"/>
    <w:rsid w:val="00B8461B"/>
    <w:rsid w:val="00B864CC"/>
    <w:rsid w:val="00B91B98"/>
    <w:rsid w:val="00B923C1"/>
    <w:rsid w:val="00B93196"/>
    <w:rsid w:val="00B938A8"/>
    <w:rsid w:val="00B9401A"/>
    <w:rsid w:val="00B965D0"/>
    <w:rsid w:val="00B96DE4"/>
    <w:rsid w:val="00BA15CF"/>
    <w:rsid w:val="00BA4B7B"/>
    <w:rsid w:val="00BB5525"/>
    <w:rsid w:val="00BC152C"/>
    <w:rsid w:val="00BC45FA"/>
    <w:rsid w:val="00BD0941"/>
    <w:rsid w:val="00BD7BFC"/>
    <w:rsid w:val="00BE0515"/>
    <w:rsid w:val="00BE68D4"/>
    <w:rsid w:val="00BF1901"/>
    <w:rsid w:val="00BF3A9C"/>
    <w:rsid w:val="00BF4EDA"/>
    <w:rsid w:val="00BF5D4C"/>
    <w:rsid w:val="00BF6220"/>
    <w:rsid w:val="00C10EC1"/>
    <w:rsid w:val="00C12C9C"/>
    <w:rsid w:val="00C13FBA"/>
    <w:rsid w:val="00C151FE"/>
    <w:rsid w:val="00C16165"/>
    <w:rsid w:val="00C27AEE"/>
    <w:rsid w:val="00C36969"/>
    <w:rsid w:val="00C4254E"/>
    <w:rsid w:val="00C45BCD"/>
    <w:rsid w:val="00C47E25"/>
    <w:rsid w:val="00C53DB2"/>
    <w:rsid w:val="00C5498A"/>
    <w:rsid w:val="00C5542D"/>
    <w:rsid w:val="00C5754D"/>
    <w:rsid w:val="00C615CC"/>
    <w:rsid w:val="00C66567"/>
    <w:rsid w:val="00C85B21"/>
    <w:rsid w:val="00C867C1"/>
    <w:rsid w:val="00C948A0"/>
    <w:rsid w:val="00C96C44"/>
    <w:rsid w:val="00CB3642"/>
    <w:rsid w:val="00CB6433"/>
    <w:rsid w:val="00CC0CFD"/>
    <w:rsid w:val="00CC2B20"/>
    <w:rsid w:val="00CD4013"/>
    <w:rsid w:val="00CE3D9E"/>
    <w:rsid w:val="00CE4C57"/>
    <w:rsid w:val="00CE5C29"/>
    <w:rsid w:val="00CE63C2"/>
    <w:rsid w:val="00CE6ED9"/>
    <w:rsid w:val="00CF0625"/>
    <w:rsid w:val="00CF5913"/>
    <w:rsid w:val="00D01C17"/>
    <w:rsid w:val="00D05366"/>
    <w:rsid w:val="00D10A57"/>
    <w:rsid w:val="00D1303E"/>
    <w:rsid w:val="00D16266"/>
    <w:rsid w:val="00D21A00"/>
    <w:rsid w:val="00D31A80"/>
    <w:rsid w:val="00D34A60"/>
    <w:rsid w:val="00D34C44"/>
    <w:rsid w:val="00D3658A"/>
    <w:rsid w:val="00D37100"/>
    <w:rsid w:val="00D40783"/>
    <w:rsid w:val="00D510F2"/>
    <w:rsid w:val="00D52788"/>
    <w:rsid w:val="00D56DA2"/>
    <w:rsid w:val="00D60736"/>
    <w:rsid w:val="00D63C31"/>
    <w:rsid w:val="00D778E0"/>
    <w:rsid w:val="00D80508"/>
    <w:rsid w:val="00D903BE"/>
    <w:rsid w:val="00D94F29"/>
    <w:rsid w:val="00D96D1B"/>
    <w:rsid w:val="00DA2173"/>
    <w:rsid w:val="00DA34E9"/>
    <w:rsid w:val="00DA3AEB"/>
    <w:rsid w:val="00DA6EAD"/>
    <w:rsid w:val="00DA7F7A"/>
    <w:rsid w:val="00DB2E25"/>
    <w:rsid w:val="00DD1DF5"/>
    <w:rsid w:val="00DD7618"/>
    <w:rsid w:val="00DE174C"/>
    <w:rsid w:val="00DE452C"/>
    <w:rsid w:val="00DE7649"/>
    <w:rsid w:val="00DF4411"/>
    <w:rsid w:val="00DF491D"/>
    <w:rsid w:val="00E0113E"/>
    <w:rsid w:val="00E0213F"/>
    <w:rsid w:val="00E0310C"/>
    <w:rsid w:val="00E0601D"/>
    <w:rsid w:val="00E06339"/>
    <w:rsid w:val="00E07B35"/>
    <w:rsid w:val="00E15A50"/>
    <w:rsid w:val="00E15D21"/>
    <w:rsid w:val="00E21BFD"/>
    <w:rsid w:val="00E23ED1"/>
    <w:rsid w:val="00E276A7"/>
    <w:rsid w:val="00E31C1C"/>
    <w:rsid w:val="00E32732"/>
    <w:rsid w:val="00E3310D"/>
    <w:rsid w:val="00E3494C"/>
    <w:rsid w:val="00E365CA"/>
    <w:rsid w:val="00E410F5"/>
    <w:rsid w:val="00E450CE"/>
    <w:rsid w:val="00E47929"/>
    <w:rsid w:val="00E51876"/>
    <w:rsid w:val="00E61F22"/>
    <w:rsid w:val="00E65096"/>
    <w:rsid w:val="00E872D2"/>
    <w:rsid w:val="00E955EC"/>
    <w:rsid w:val="00EA2F36"/>
    <w:rsid w:val="00EA516B"/>
    <w:rsid w:val="00EA7AC7"/>
    <w:rsid w:val="00EB69C2"/>
    <w:rsid w:val="00EB7F3D"/>
    <w:rsid w:val="00EB7F88"/>
    <w:rsid w:val="00EC0691"/>
    <w:rsid w:val="00EC5D6F"/>
    <w:rsid w:val="00EC5F1E"/>
    <w:rsid w:val="00ED1620"/>
    <w:rsid w:val="00ED38A6"/>
    <w:rsid w:val="00ED6E94"/>
    <w:rsid w:val="00EF72FE"/>
    <w:rsid w:val="00F001C0"/>
    <w:rsid w:val="00F028BD"/>
    <w:rsid w:val="00F07F03"/>
    <w:rsid w:val="00F10A16"/>
    <w:rsid w:val="00F11222"/>
    <w:rsid w:val="00F12AC2"/>
    <w:rsid w:val="00F14BB2"/>
    <w:rsid w:val="00F25CC7"/>
    <w:rsid w:val="00F33026"/>
    <w:rsid w:val="00F429BA"/>
    <w:rsid w:val="00F473FD"/>
    <w:rsid w:val="00F5112F"/>
    <w:rsid w:val="00F529B2"/>
    <w:rsid w:val="00F568E5"/>
    <w:rsid w:val="00F57BA6"/>
    <w:rsid w:val="00F66FF8"/>
    <w:rsid w:val="00F7117F"/>
    <w:rsid w:val="00F824ED"/>
    <w:rsid w:val="00F8533C"/>
    <w:rsid w:val="00F91CA1"/>
    <w:rsid w:val="00F9225E"/>
    <w:rsid w:val="00F95C51"/>
    <w:rsid w:val="00F965A9"/>
    <w:rsid w:val="00F971F1"/>
    <w:rsid w:val="00FA12A7"/>
    <w:rsid w:val="00FA4CB7"/>
    <w:rsid w:val="00FA6F8B"/>
    <w:rsid w:val="00FB5E05"/>
    <w:rsid w:val="00FB6222"/>
    <w:rsid w:val="00FC06CD"/>
    <w:rsid w:val="00FC170E"/>
    <w:rsid w:val="00FC180C"/>
    <w:rsid w:val="00FC2B1B"/>
    <w:rsid w:val="00FC7C8D"/>
    <w:rsid w:val="00FD1AF1"/>
    <w:rsid w:val="00FD26EE"/>
    <w:rsid w:val="00FE1899"/>
    <w:rsid w:val="00FE1AA4"/>
    <w:rsid w:val="00FE7801"/>
    <w:rsid w:val="00FE7F02"/>
    <w:rsid w:val="00FF67BC"/>
    <w:rsid w:val="00FF7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BD79E"/>
  <w15:chartTrackingRefBased/>
  <w15:docId w15:val="{299F8FC9-0395-4490-B45D-938EC7C8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A480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870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5A2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F14BB2"/>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573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KtterStandard">
    <w:name w:val="Kötter Standard"/>
    <w:basedOn w:val="Standard"/>
    <w:qFormat/>
    <w:rsid w:val="00217FE6"/>
    <w:pPr>
      <w:spacing w:after="120" w:line="276" w:lineRule="auto"/>
      <w:jc w:val="both"/>
    </w:pPr>
    <w:rPr>
      <w:rFonts w:eastAsiaTheme="minorHAnsi" w:cstheme="minorBidi"/>
      <w:lang w:eastAsia="en-US"/>
    </w:rPr>
  </w:style>
  <w:style w:type="paragraph" w:customStyle="1" w:styleId="Default">
    <w:name w:val="Default"/>
    <w:rsid w:val="00B965D0"/>
    <w:pPr>
      <w:autoSpaceDE w:val="0"/>
      <w:autoSpaceDN w:val="0"/>
      <w:adjustRightInd w:val="0"/>
      <w:spacing w:after="0" w:line="240" w:lineRule="auto"/>
    </w:pPr>
    <w:rPr>
      <w:rFonts w:ascii="Code" w:hAnsi="Code" w:cs="Code"/>
      <w:color w:val="000000"/>
      <w:sz w:val="24"/>
      <w:szCs w:val="24"/>
    </w:rPr>
  </w:style>
  <w:style w:type="paragraph" w:styleId="Funotentext">
    <w:name w:val="footnote text"/>
    <w:basedOn w:val="Standard"/>
    <w:link w:val="FunotentextZchn"/>
    <w:uiPriority w:val="99"/>
    <w:unhideWhenUsed/>
    <w:rsid w:val="004E4F9B"/>
    <w:rPr>
      <w:sz w:val="20"/>
      <w:szCs w:val="20"/>
    </w:rPr>
  </w:style>
  <w:style w:type="character" w:customStyle="1" w:styleId="FunotentextZchn">
    <w:name w:val="Fußnotentext Zchn"/>
    <w:basedOn w:val="Absatz-Standardschriftart"/>
    <w:link w:val="Funotentext"/>
    <w:uiPriority w:val="99"/>
    <w:rsid w:val="004E4F9B"/>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4E4F9B"/>
    <w:rPr>
      <w:vertAlign w:val="superscript"/>
    </w:rPr>
  </w:style>
  <w:style w:type="paragraph" w:styleId="StandardWeb">
    <w:name w:val="Normal (Web)"/>
    <w:basedOn w:val="Standard"/>
    <w:uiPriority w:val="99"/>
    <w:unhideWhenUsed/>
    <w:rsid w:val="005E605E"/>
    <w:pPr>
      <w:spacing w:before="100" w:beforeAutospacing="1" w:after="100" w:afterAutospacing="1"/>
    </w:pPr>
  </w:style>
  <w:style w:type="character" w:customStyle="1" w:styleId="apple-converted-space">
    <w:name w:val="apple-converted-space"/>
    <w:basedOn w:val="Absatz-Standardschriftart"/>
    <w:rsid w:val="005E605E"/>
  </w:style>
  <w:style w:type="character" w:styleId="Hyperlink">
    <w:name w:val="Hyperlink"/>
    <w:basedOn w:val="Absatz-Standardschriftart"/>
    <w:uiPriority w:val="99"/>
    <w:semiHidden/>
    <w:unhideWhenUsed/>
    <w:rsid w:val="005E605E"/>
    <w:rPr>
      <w:color w:val="0000FF"/>
      <w:u w:val="single"/>
    </w:rPr>
  </w:style>
  <w:style w:type="character" w:customStyle="1" w:styleId="berschrift3Zchn">
    <w:name w:val="Überschrift 3 Zchn"/>
    <w:basedOn w:val="Absatz-Standardschriftart"/>
    <w:link w:val="berschrift3"/>
    <w:uiPriority w:val="9"/>
    <w:rsid w:val="00F14BB2"/>
    <w:rPr>
      <w:rFonts w:ascii="Times New Roman" w:eastAsia="Times New Roman" w:hAnsi="Times New Roman" w:cs="Times New Roman"/>
      <w:b/>
      <w:bCs/>
      <w:sz w:val="27"/>
      <w:szCs w:val="27"/>
      <w:lang w:eastAsia="de-DE"/>
    </w:rPr>
  </w:style>
  <w:style w:type="character" w:customStyle="1" w:styleId="a">
    <w:name w:val="a"/>
    <w:basedOn w:val="Absatz-Standardschriftart"/>
    <w:rsid w:val="00A419DF"/>
  </w:style>
  <w:style w:type="character" w:customStyle="1" w:styleId="l9">
    <w:name w:val="l9"/>
    <w:basedOn w:val="Absatz-Standardschriftart"/>
    <w:rsid w:val="00A419DF"/>
  </w:style>
  <w:style w:type="character" w:customStyle="1" w:styleId="l10">
    <w:name w:val="l10"/>
    <w:basedOn w:val="Absatz-Standardschriftart"/>
    <w:rsid w:val="00A419DF"/>
  </w:style>
  <w:style w:type="character" w:styleId="Platzhaltertext">
    <w:name w:val="Placeholder Text"/>
    <w:basedOn w:val="Absatz-Standardschriftart"/>
    <w:uiPriority w:val="99"/>
    <w:semiHidden/>
    <w:rsid w:val="006F6982"/>
    <w:rPr>
      <w:color w:val="808080"/>
    </w:rPr>
  </w:style>
  <w:style w:type="character" w:customStyle="1" w:styleId="berschrift2Zchn">
    <w:name w:val="Überschrift 2 Zchn"/>
    <w:basedOn w:val="Absatz-Standardschriftart"/>
    <w:link w:val="berschrift2"/>
    <w:uiPriority w:val="9"/>
    <w:semiHidden/>
    <w:rsid w:val="005A2248"/>
    <w:rPr>
      <w:rFonts w:asciiTheme="majorHAnsi" w:eastAsiaTheme="majorEastAsia" w:hAnsiTheme="majorHAnsi" w:cstheme="majorBidi"/>
      <w:color w:val="2E74B5" w:themeColor="accent1" w:themeShade="BF"/>
      <w:sz w:val="26"/>
      <w:szCs w:val="26"/>
      <w:lang w:eastAsia="de-DE"/>
    </w:rPr>
  </w:style>
  <w:style w:type="character" w:customStyle="1" w:styleId="berschrift1Zchn">
    <w:name w:val="Überschrift 1 Zchn"/>
    <w:basedOn w:val="Absatz-Standardschriftart"/>
    <w:link w:val="berschrift1"/>
    <w:uiPriority w:val="9"/>
    <w:rsid w:val="0048706F"/>
    <w:rPr>
      <w:rFonts w:asciiTheme="majorHAnsi" w:eastAsiaTheme="majorEastAsia" w:hAnsiTheme="majorHAnsi" w:cstheme="majorBidi"/>
      <w:color w:val="2E74B5"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4927">
      <w:bodyDiv w:val="1"/>
      <w:marLeft w:val="0"/>
      <w:marRight w:val="0"/>
      <w:marTop w:val="0"/>
      <w:marBottom w:val="0"/>
      <w:divBdr>
        <w:top w:val="none" w:sz="0" w:space="0" w:color="auto"/>
        <w:left w:val="none" w:sz="0" w:space="0" w:color="auto"/>
        <w:bottom w:val="none" w:sz="0" w:space="0" w:color="auto"/>
        <w:right w:val="none" w:sz="0" w:space="0" w:color="auto"/>
      </w:divBdr>
    </w:div>
    <w:div w:id="400445575">
      <w:bodyDiv w:val="1"/>
      <w:marLeft w:val="0"/>
      <w:marRight w:val="0"/>
      <w:marTop w:val="0"/>
      <w:marBottom w:val="0"/>
      <w:divBdr>
        <w:top w:val="none" w:sz="0" w:space="0" w:color="auto"/>
        <w:left w:val="none" w:sz="0" w:space="0" w:color="auto"/>
        <w:bottom w:val="none" w:sz="0" w:space="0" w:color="auto"/>
        <w:right w:val="none" w:sz="0" w:space="0" w:color="auto"/>
      </w:divBdr>
    </w:div>
    <w:div w:id="405305770">
      <w:bodyDiv w:val="1"/>
      <w:marLeft w:val="0"/>
      <w:marRight w:val="0"/>
      <w:marTop w:val="0"/>
      <w:marBottom w:val="0"/>
      <w:divBdr>
        <w:top w:val="none" w:sz="0" w:space="0" w:color="auto"/>
        <w:left w:val="none" w:sz="0" w:space="0" w:color="auto"/>
        <w:bottom w:val="none" w:sz="0" w:space="0" w:color="auto"/>
        <w:right w:val="none" w:sz="0" w:space="0" w:color="auto"/>
      </w:divBdr>
    </w:div>
    <w:div w:id="413090336">
      <w:bodyDiv w:val="1"/>
      <w:marLeft w:val="0"/>
      <w:marRight w:val="0"/>
      <w:marTop w:val="0"/>
      <w:marBottom w:val="0"/>
      <w:divBdr>
        <w:top w:val="none" w:sz="0" w:space="0" w:color="auto"/>
        <w:left w:val="none" w:sz="0" w:space="0" w:color="auto"/>
        <w:bottom w:val="none" w:sz="0" w:space="0" w:color="auto"/>
        <w:right w:val="none" w:sz="0" w:space="0" w:color="auto"/>
      </w:divBdr>
      <w:divsChild>
        <w:div w:id="1341421897">
          <w:marLeft w:val="0"/>
          <w:marRight w:val="0"/>
          <w:marTop w:val="0"/>
          <w:marBottom w:val="0"/>
          <w:divBdr>
            <w:top w:val="none" w:sz="0" w:space="0" w:color="auto"/>
            <w:left w:val="none" w:sz="0" w:space="0" w:color="auto"/>
            <w:bottom w:val="none" w:sz="0" w:space="0" w:color="auto"/>
            <w:right w:val="none" w:sz="0" w:space="0" w:color="auto"/>
          </w:divBdr>
        </w:div>
        <w:div w:id="33163936">
          <w:marLeft w:val="0"/>
          <w:marRight w:val="0"/>
          <w:marTop w:val="0"/>
          <w:marBottom w:val="0"/>
          <w:divBdr>
            <w:top w:val="none" w:sz="0" w:space="0" w:color="auto"/>
            <w:left w:val="none" w:sz="0" w:space="0" w:color="auto"/>
            <w:bottom w:val="none" w:sz="0" w:space="0" w:color="auto"/>
            <w:right w:val="none" w:sz="0" w:space="0" w:color="auto"/>
          </w:divBdr>
        </w:div>
        <w:div w:id="527260011">
          <w:marLeft w:val="0"/>
          <w:marRight w:val="0"/>
          <w:marTop w:val="0"/>
          <w:marBottom w:val="0"/>
          <w:divBdr>
            <w:top w:val="none" w:sz="0" w:space="0" w:color="auto"/>
            <w:left w:val="none" w:sz="0" w:space="0" w:color="auto"/>
            <w:bottom w:val="none" w:sz="0" w:space="0" w:color="auto"/>
            <w:right w:val="none" w:sz="0" w:space="0" w:color="auto"/>
          </w:divBdr>
        </w:div>
        <w:div w:id="2144494386">
          <w:marLeft w:val="0"/>
          <w:marRight w:val="0"/>
          <w:marTop w:val="0"/>
          <w:marBottom w:val="0"/>
          <w:divBdr>
            <w:top w:val="none" w:sz="0" w:space="0" w:color="auto"/>
            <w:left w:val="none" w:sz="0" w:space="0" w:color="auto"/>
            <w:bottom w:val="none" w:sz="0" w:space="0" w:color="auto"/>
            <w:right w:val="none" w:sz="0" w:space="0" w:color="auto"/>
          </w:divBdr>
        </w:div>
        <w:div w:id="545142223">
          <w:marLeft w:val="0"/>
          <w:marRight w:val="0"/>
          <w:marTop w:val="0"/>
          <w:marBottom w:val="0"/>
          <w:divBdr>
            <w:top w:val="none" w:sz="0" w:space="0" w:color="auto"/>
            <w:left w:val="none" w:sz="0" w:space="0" w:color="auto"/>
            <w:bottom w:val="none" w:sz="0" w:space="0" w:color="auto"/>
            <w:right w:val="none" w:sz="0" w:space="0" w:color="auto"/>
          </w:divBdr>
        </w:div>
        <w:div w:id="1481121144">
          <w:marLeft w:val="0"/>
          <w:marRight w:val="0"/>
          <w:marTop w:val="0"/>
          <w:marBottom w:val="0"/>
          <w:divBdr>
            <w:top w:val="none" w:sz="0" w:space="0" w:color="auto"/>
            <w:left w:val="none" w:sz="0" w:space="0" w:color="auto"/>
            <w:bottom w:val="none" w:sz="0" w:space="0" w:color="auto"/>
            <w:right w:val="none" w:sz="0" w:space="0" w:color="auto"/>
          </w:divBdr>
        </w:div>
        <w:div w:id="438835810">
          <w:marLeft w:val="0"/>
          <w:marRight w:val="0"/>
          <w:marTop w:val="0"/>
          <w:marBottom w:val="0"/>
          <w:divBdr>
            <w:top w:val="none" w:sz="0" w:space="0" w:color="auto"/>
            <w:left w:val="none" w:sz="0" w:space="0" w:color="auto"/>
            <w:bottom w:val="none" w:sz="0" w:space="0" w:color="auto"/>
            <w:right w:val="none" w:sz="0" w:space="0" w:color="auto"/>
          </w:divBdr>
        </w:div>
        <w:div w:id="998532327">
          <w:marLeft w:val="0"/>
          <w:marRight w:val="0"/>
          <w:marTop w:val="0"/>
          <w:marBottom w:val="0"/>
          <w:divBdr>
            <w:top w:val="none" w:sz="0" w:space="0" w:color="auto"/>
            <w:left w:val="none" w:sz="0" w:space="0" w:color="auto"/>
            <w:bottom w:val="none" w:sz="0" w:space="0" w:color="auto"/>
            <w:right w:val="none" w:sz="0" w:space="0" w:color="auto"/>
          </w:divBdr>
        </w:div>
        <w:div w:id="717709439">
          <w:marLeft w:val="0"/>
          <w:marRight w:val="0"/>
          <w:marTop w:val="0"/>
          <w:marBottom w:val="0"/>
          <w:divBdr>
            <w:top w:val="none" w:sz="0" w:space="0" w:color="auto"/>
            <w:left w:val="none" w:sz="0" w:space="0" w:color="auto"/>
            <w:bottom w:val="none" w:sz="0" w:space="0" w:color="auto"/>
            <w:right w:val="none" w:sz="0" w:space="0" w:color="auto"/>
          </w:divBdr>
        </w:div>
        <w:div w:id="2092240132">
          <w:marLeft w:val="0"/>
          <w:marRight w:val="0"/>
          <w:marTop w:val="0"/>
          <w:marBottom w:val="0"/>
          <w:divBdr>
            <w:top w:val="none" w:sz="0" w:space="0" w:color="auto"/>
            <w:left w:val="none" w:sz="0" w:space="0" w:color="auto"/>
            <w:bottom w:val="none" w:sz="0" w:space="0" w:color="auto"/>
            <w:right w:val="none" w:sz="0" w:space="0" w:color="auto"/>
          </w:divBdr>
        </w:div>
        <w:div w:id="1277444233">
          <w:marLeft w:val="0"/>
          <w:marRight w:val="0"/>
          <w:marTop w:val="0"/>
          <w:marBottom w:val="0"/>
          <w:divBdr>
            <w:top w:val="none" w:sz="0" w:space="0" w:color="auto"/>
            <w:left w:val="none" w:sz="0" w:space="0" w:color="auto"/>
            <w:bottom w:val="none" w:sz="0" w:space="0" w:color="auto"/>
            <w:right w:val="none" w:sz="0" w:space="0" w:color="auto"/>
          </w:divBdr>
        </w:div>
        <w:div w:id="1465392821">
          <w:marLeft w:val="0"/>
          <w:marRight w:val="0"/>
          <w:marTop w:val="0"/>
          <w:marBottom w:val="0"/>
          <w:divBdr>
            <w:top w:val="none" w:sz="0" w:space="0" w:color="auto"/>
            <w:left w:val="none" w:sz="0" w:space="0" w:color="auto"/>
            <w:bottom w:val="none" w:sz="0" w:space="0" w:color="auto"/>
            <w:right w:val="none" w:sz="0" w:space="0" w:color="auto"/>
          </w:divBdr>
        </w:div>
      </w:divsChild>
    </w:div>
    <w:div w:id="544681033">
      <w:bodyDiv w:val="1"/>
      <w:marLeft w:val="0"/>
      <w:marRight w:val="0"/>
      <w:marTop w:val="0"/>
      <w:marBottom w:val="0"/>
      <w:divBdr>
        <w:top w:val="none" w:sz="0" w:space="0" w:color="auto"/>
        <w:left w:val="none" w:sz="0" w:space="0" w:color="auto"/>
        <w:bottom w:val="none" w:sz="0" w:space="0" w:color="auto"/>
        <w:right w:val="none" w:sz="0" w:space="0" w:color="auto"/>
      </w:divBdr>
    </w:div>
    <w:div w:id="643464968">
      <w:bodyDiv w:val="1"/>
      <w:marLeft w:val="0"/>
      <w:marRight w:val="0"/>
      <w:marTop w:val="0"/>
      <w:marBottom w:val="0"/>
      <w:divBdr>
        <w:top w:val="none" w:sz="0" w:space="0" w:color="auto"/>
        <w:left w:val="none" w:sz="0" w:space="0" w:color="auto"/>
        <w:bottom w:val="none" w:sz="0" w:space="0" w:color="auto"/>
        <w:right w:val="none" w:sz="0" w:space="0" w:color="auto"/>
      </w:divBdr>
    </w:div>
    <w:div w:id="851606179">
      <w:bodyDiv w:val="1"/>
      <w:marLeft w:val="0"/>
      <w:marRight w:val="0"/>
      <w:marTop w:val="0"/>
      <w:marBottom w:val="0"/>
      <w:divBdr>
        <w:top w:val="none" w:sz="0" w:space="0" w:color="auto"/>
        <w:left w:val="none" w:sz="0" w:space="0" w:color="auto"/>
        <w:bottom w:val="none" w:sz="0" w:space="0" w:color="auto"/>
        <w:right w:val="none" w:sz="0" w:space="0" w:color="auto"/>
      </w:divBdr>
    </w:div>
    <w:div w:id="873425815">
      <w:bodyDiv w:val="1"/>
      <w:marLeft w:val="0"/>
      <w:marRight w:val="0"/>
      <w:marTop w:val="0"/>
      <w:marBottom w:val="0"/>
      <w:divBdr>
        <w:top w:val="none" w:sz="0" w:space="0" w:color="auto"/>
        <w:left w:val="none" w:sz="0" w:space="0" w:color="auto"/>
        <w:bottom w:val="none" w:sz="0" w:space="0" w:color="auto"/>
        <w:right w:val="none" w:sz="0" w:space="0" w:color="auto"/>
      </w:divBdr>
      <w:divsChild>
        <w:div w:id="1148477354">
          <w:marLeft w:val="0"/>
          <w:marRight w:val="0"/>
          <w:marTop w:val="0"/>
          <w:marBottom w:val="0"/>
          <w:divBdr>
            <w:top w:val="none" w:sz="0" w:space="0" w:color="auto"/>
            <w:left w:val="none" w:sz="0" w:space="0" w:color="auto"/>
            <w:bottom w:val="none" w:sz="0" w:space="0" w:color="auto"/>
            <w:right w:val="none" w:sz="0" w:space="0" w:color="auto"/>
          </w:divBdr>
          <w:divsChild>
            <w:div w:id="254439760">
              <w:marLeft w:val="0"/>
              <w:marRight w:val="0"/>
              <w:marTop w:val="0"/>
              <w:marBottom w:val="0"/>
              <w:divBdr>
                <w:top w:val="none" w:sz="0" w:space="0" w:color="auto"/>
                <w:left w:val="none" w:sz="0" w:space="0" w:color="auto"/>
                <w:bottom w:val="none" w:sz="0" w:space="0" w:color="auto"/>
                <w:right w:val="none" w:sz="0" w:space="0" w:color="auto"/>
              </w:divBdr>
              <w:divsChild>
                <w:div w:id="3291667">
                  <w:marLeft w:val="0"/>
                  <w:marRight w:val="0"/>
                  <w:marTop w:val="0"/>
                  <w:marBottom w:val="0"/>
                  <w:divBdr>
                    <w:top w:val="none" w:sz="0" w:space="0" w:color="auto"/>
                    <w:left w:val="none" w:sz="0" w:space="0" w:color="auto"/>
                    <w:bottom w:val="none" w:sz="0" w:space="0" w:color="auto"/>
                    <w:right w:val="none" w:sz="0" w:space="0" w:color="auto"/>
                  </w:divBdr>
                  <w:divsChild>
                    <w:div w:id="7945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2578">
      <w:bodyDiv w:val="1"/>
      <w:marLeft w:val="0"/>
      <w:marRight w:val="0"/>
      <w:marTop w:val="0"/>
      <w:marBottom w:val="0"/>
      <w:divBdr>
        <w:top w:val="none" w:sz="0" w:space="0" w:color="auto"/>
        <w:left w:val="none" w:sz="0" w:space="0" w:color="auto"/>
        <w:bottom w:val="none" w:sz="0" w:space="0" w:color="auto"/>
        <w:right w:val="none" w:sz="0" w:space="0" w:color="auto"/>
      </w:divBdr>
    </w:div>
    <w:div w:id="1122188875">
      <w:bodyDiv w:val="1"/>
      <w:marLeft w:val="0"/>
      <w:marRight w:val="0"/>
      <w:marTop w:val="0"/>
      <w:marBottom w:val="0"/>
      <w:divBdr>
        <w:top w:val="none" w:sz="0" w:space="0" w:color="auto"/>
        <w:left w:val="none" w:sz="0" w:space="0" w:color="auto"/>
        <w:bottom w:val="none" w:sz="0" w:space="0" w:color="auto"/>
        <w:right w:val="none" w:sz="0" w:space="0" w:color="auto"/>
      </w:divBdr>
    </w:div>
    <w:div w:id="1190799894">
      <w:bodyDiv w:val="1"/>
      <w:marLeft w:val="0"/>
      <w:marRight w:val="0"/>
      <w:marTop w:val="0"/>
      <w:marBottom w:val="0"/>
      <w:divBdr>
        <w:top w:val="none" w:sz="0" w:space="0" w:color="auto"/>
        <w:left w:val="none" w:sz="0" w:space="0" w:color="auto"/>
        <w:bottom w:val="none" w:sz="0" w:space="0" w:color="auto"/>
        <w:right w:val="none" w:sz="0" w:space="0" w:color="auto"/>
      </w:divBdr>
    </w:div>
    <w:div w:id="1200900352">
      <w:bodyDiv w:val="1"/>
      <w:marLeft w:val="0"/>
      <w:marRight w:val="0"/>
      <w:marTop w:val="0"/>
      <w:marBottom w:val="0"/>
      <w:divBdr>
        <w:top w:val="none" w:sz="0" w:space="0" w:color="auto"/>
        <w:left w:val="none" w:sz="0" w:space="0" w:color="auto"/>
        <w:bottom w:val="none" w:sz="0" w:space="0" w:color="auto"/>
        <w:right w:val="none" w:sz="0" w:space="0" w:color="auto"/>
      </w:divBdr>
    </w:div>
    <w:div w:id="1324814895">
      <w:bodyDiv w:val="1"/>
      <w:marLeft w:val="0"/>
      <w:marRight w:val="0"/>
      <w:marTop w:val="0"/>
      <w:marBottom w:val="0"/>
      <w:divBdr>
        <w:top w:val="none" w:sz="0" w:space="0" w:color="auto"/>
        <w:left w:val="none" w:sz="0" w:space="0" w:color="auto"/>
        <w:bottom w:val="none" w:sz="0" w:space="0" w:color="auto"/>
        <w:right w:val="none" w:sz="0" w:space="0" w:color="auto"/>
      </w:divBdr>
    </w:div>
    <w:div w:id="1426456984">
      <w:bodyDiv w:val="1"/>
      <w:marLeft w:val="0"/>
      <w:marRight w:val="0"/>
      <w:marTop w:val="0"/>
      <w:marBottom w:val="0"/>
      <w:divBdr>
        <w:top w:val="none" w:sz="0" w:space="0" w:color="auto"/>
        <w:left w:val="none" w:sz="0" w:space="0" w:color="auto"/>
        <w:bottom w:val="none" w:sz="0" w:space="0" w:color="auto"/>
        <w:right w:val="none" w:sz="0" w:space="0" w:color="auto"/>
      </w:divBdr>
    </w:div>
    <w:div w:id="1772819164">
      <w:bodyDiv w:val="1"/>
      <w:marLeft w:val="0"/>
      <w:marRight w:val="0"/>
      <w:marTop w:val="0"/>
      <w:marBottom w:val="0"/>
      <w:divBdr>
        <w:top w:val="none" w:sz="0" w:space="0" w:color="auto"/>
        <w:left w:val="none" w:sz="0" w:space="0" w:color="auto"/>
        <w:bottom w:val="none" w:sz="0" w:space="0" w:color="auto"/>
        <w:right w:val="none" w:sz="0" w:space="0" w:color="auto"/>
      </w:divBdr>
    </w:div>
    <w:div w:id="180126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Version="2003"/>
</file>

<file path=customXml/itemProps1.xml><?xml version="1.0" encoding="utf-8"?>
<ds:datastoreItem xmlns:ds="http://schemas.openxmlformats.org/officeDocument/2006/customXml" ds:itemID="{914D6DED-81CE-A84E-8C6D-EAE01127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4461</Words>
  <Characters>26499</Characters>
  <Application>Microsoft Office Word</Application>
  <DocSecurity>0</DocSecurity>
  <Lines>378</Lines>
  <Paragraphs>78</Paragraphs>
  <ScaleCrop>false</ScaleCrop>
  <HeadingPairs>
    <vt:vector size="2" baseType="variant">
      <vt:variant>
        <vt:lpstr>Titel</vt:lpstr>
      </vt:variant>
      <vt:variant>
        <vt:i4>1</vt:i4>
      </vt:variant>
    </vt:vector>
  </HeadingPairs>
  <TitlesOfParts>
    <vt:vector size="1" baseType="lpstr">
      <vt:lpstr/>
    </vt:vector>
  </TitlesOfParts>
  <Company>Philosophische Fakultaet HHUD</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Microsoft Office User</cp:lastModifiedBy>
  <cp:revision>21</cp:revision>
  <dcterms:created xsi:type="dcterms:W3CDTF">2019-08-12T09:37:00Z</dcterms:created>
  <dcterms:modified xsi:type="dcterms:W3CDTF">2019-08-15T10:01:00Z</dcterms:modified>
</cp:coreProperties>
</file>