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37078" w14:textId="77777777" w:rsidR="00FF4D0E" w:rsidRDefault="00FF4D0E"/>
    <w:p w14:paraId="3D2E85F5" w14:textId="77777777" w:rsidR="00FF4D0E" w:rsidRPr="00FF4D0E" w:rsidRDefault="00FF4D0E" w:rsidP="00FF4D0E"/>
    <w:p w14:paraId="3CD5E417" w14:textId="77777777" w:rsidR="00FF4D0E" w:rsidRPr="00FF4D0E" w:rsidRDefault="00FF4D0E" w:rsidP="00FF4D0E"/>
    <w:p w14:paraId="749C2942" w14:textId="61EFF186" w:rsidR="001B6F24" w:rsidRDefault="00774CB9" w:rsidP="00774CB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</w:t>
      </w:r>
      <w:r w:rsidR="001B6F24" w:rsidRPr="00DC0380">
        <w:rPr>
          <w:rFonts w:asciiTheme="majorBidi" w:hAnsiTheme="majorBidi" w:cstheme="majorBidi"/>
        </w:rPr>
        <w:t xml:space="preserve"> 201</w:t>
      </w:r>
      <w:r>
        <w:rPr>
          <w:rFonts w:asciiTheme="majorBidi" w:hAnsiTheme="majorBidi" w:cstheme="majorBidi"/>
        </w:rPr>
        <w:t>9</w:t>
      </w:r>
    </w:p>
    <w:p w14:paraId="25E7C030" w14:textId="77777777" w:rsidR="001B6F24" w:rsidRPr="00DC0380" w:rsidRDefault="001B6F24" w:rsidP="001B6F24">
      <w:pPr>
        <w:jc w:val="both"/>
        <w:rPr>
          <w:rFonts w:asciiTheme="majorBidi" w:hAnsiTheme="majorBidi" w:cstheme="majorBidi"/>
          <w:rtl/>
        </w:rPr>
      </w:pPr>
    </w:p>
    <w:p w14:paraId="46C4CAFA" w14:textId="77777777" w:rsidR="001B6F24" w:rsidRDefault="001B6F24" w:rsidP="001B6F24">
      <w:pPr>
        <w:jc w:val="both"/>
        <w:rPr>
          <w:rFonts w:asciiTheme="majorBidi" w:hAnsiTheme="majorBidi" w:cstheme="majorBidi"/>
        </w:rPr>
      </w:pPr>
      <w:r w:rsidRPr="00DC0380">
        <w:rPr>
          <w:rFonts w:asciiTheme="majorBidi" w:hAnsiTheme="majorBidi" w:cstheme="majorBidi"/>
        </w:rPr>
        <w:t>Dear Editor,</w:t>
      </w:r>
    </w:p>
    <w:p w14:paraId="06ABB4FC" w14:textId="77777777" w:rsidR="005A535D" w:rsidRDefault="005A535D" w:rsidP="001B6F24">
      <w:pPr>
        <w:jc w:val="both"/>
        <w:rPr>
          <w:rFonts w:asciiTheme="majorBidi" w:hAnsiTheme="majorBidi" w:cstheme="majorBidi"/>
        </w:rPr>
      </w:pPr>
    </w:p>
    <w:p w14:paraId="044AEB10" w14:textId="77777777" w:rsidR="001B6F24" w:rsidRPr="00DC0380" w:rsidRDefault="00A50F72" w:rsidP="00A50F7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49286B2D" w14:textId="05FD864C" w:rsidR="001B6F24" w:rsidRPr="00DC0380" w:rsidRDefault="001B6F24" w:rsidP="00774CB9">
      <w:pPr>
        <w:spacing w:line="360" w:lineRule="auto"/>
        <w:jc w:val="both"/>
        <w:rPr>
          <w:rFonts w:asciiTheme="majorBidi" w:hAnsiTheme="majorBidi" w:cstheme="majorBidi"/>
        </w:rPr>
      </w:pPr>
      <w:r w:rsidRPr="00DC0380">
        <w:rPr>
          <w:rFonts w:asciiTheme="majorBidi" w:hAnsiTheme="majorBidi" w:cstheme="majorBidi"/>
        </w:rPr>
        <w:t xml:space="preserve">The enclosed </w:t>
      </w:r>
      <w:r>
        <w:rPr>
          <w:rFonts w:asciiTheme="majorBidi" w:hAnsiTheme="majorBidi" w:cstheme="majorBidi"/>
        </w:rPr>
        <w:t>a</w:t>
      </w:r>
      <w:r w:rsidRPr="00DC0380">
        <w:rPr>
          <w:rFonts w:asciiTheme="majorBidi" w:hAnsiTheme="majorBidi" w:cstheme="majorBidi"/>
        </w:rPr>
        <w:t xml:space="preserve">rticle, </w:t>
      </w:r>
      <w:r w:rsidR="00774CB9">
        <w:rPr>
          <w:rFonts w:asciiTheme="majorBidi" w:hAnsiTheme="majorBidi" w:cstheme="majorBidi"/>
          <w:i/>
          <w:iCs/>
        </w:rPr>
        <w:t>Big Data and Bounded Ethicality</w:t>
      </w:r>
      <w:r w:rsidR="00A50F72">
        <w:rPr>
          <w:rFonts w:asciiTheme="majorBidi" w:hAnsiTheme="majorBidi" w:cstheme="majorBidi"/>
          <w:i/>
          <w:iCs/>
        </w:rPr>
        <w:t xml:space="preserve"> </w:t>
      </w:r>
      <w:r w:rsidRPr="00DC0380">
        <w:rPr>
          <w:rFonts w:asciiTheme="majorBidi" w:hAnsiTheme="majorBidi" w:cstheme="majorBidi"/>
        </w:rPr>
        <w:t>(</w:t>
      </w:r>
      <w:r w:rsidR="00774CB9">
        <w:rPr>
          <w:rFonts w:asciiTheme="majorBidi" w:hAnsiTheme="majorBidi" w:cstheme="majorBidi"/>
        </w:rPr>
        <w:t>24</w:t>
      </w:r>
      <w:r w:rsidRPr="00DC0380">
        <w:rPr>
          <w:rFonts w:asciiTheme="majorBidi" w:hAnsiTheme="majorBidi" w:cstheme="majorBidi"/>
        </w:rPr>
        <w:t>,</w:t>
      </w:r>
      <w:r w:rsidR="00774CB9">
        <w:rPr>
          <w:rFonts w:asciiTheme="majorBidi" w:hAnsiTheme="majorBidi" w:cstheme="majorBidi"/>
        </w:rPr>
        <w:t>729</w:t>
      </w:r>
      <w:r w:rsidRPr="00DC0380">
        <w:rPr>
          <w:rFonts w:asciiTheme="majorBidi" w:hAnsiTheme="majorBidi" w:cstheme="majorBidi"/>
        </w:rPr>
        <w:t xml:space="preserve"> words including footnotes</w:t>
      </w:r>
      <w:r w:rsidR="00774CB9">
        <w:rPr>
          <w:rFonts w:asciiTheme="majorBidi" w:hAnsiTheme="majorBidi" w:cstheme="majorBidi"/>
        </w:rPr>
        <w:t>, 17,131 words excluding footnotes</w:t>
      </w:r>
      <w:r w:rsidRPr="00DC0380">
        <w:rPr>
          <w:rFonts w:asciiTheme="majorBidi" w:hAnsiTheme="majorBidi" w:cstheme="majorBidi"/>
        </w:rPr>
        <w:t>) offers a comprehensive legal framework for r</w:t>
      </w:r>
      <w:r>
        <w:rPr>
          <w:rFonts w:asciiTheme="majorBidi" w:hAnsiTheme="majorBidi" w:cstheme="majorBidi"/>
        </w:rPr>
        <w:t xml:space="preserve">egulating </w:t>
      </w:r>
      <w:r w:rsidR="009513D6">
        <w:rPr>
          <w:rFonts w:asciiTheme="majorBidi" w:hAnsiTheme="majorBidi" w:cstheme="majorBidi"/>
          <w:i/>
          <w:iCs/>
        </w:rPr>
        <w:t>bounded</w:t>
      </w:r>
      <w:r w:rsidRPr="001757BA">
        <w:rPr>
          <w:rFonts w:asciiTheme="majorBidi" w:hAnsiTheme="majorBidi" w:cstheme="majorBidi"/>
          <w:i/>
          <w:iCs/>
        </w:rPr>
        <w:t xml:space="preserve"> unethicality</w:t>
      </w:r>
      <w:r>
        <w:rPr>
          <w:rFonts w:asciiTheme="majorBidi" w:hAnsiTheme="majorBidi" w:cstheme="majorBidi"/>
        </w:rPr>
        <w:t xml:space="preserve">, </w:t>
      </w:r>
      <w:r w:rsidR="00774CB9">
        <w:rPr>
          <w:rFonts w:asciiTheme="majorBidi" w:hAnsiTheme="majorBidi" w:cstheme="majorBidi"/>
        </w:rPr>
        <w:t xml:space="preserve">or individuals’ biased ethical thinking. </w:t>
      </w:r>
    </w:p>
    <w:p w14:paraId="2EA47730" w14:textId="165C1FF5" w:rsidR="001B6F24" w:rsidRPr="00DC0380" w:rsidRDefault="001B6F24" w:rsidP="00774CB9">
      <w:pPr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DC0380">
        <w:rPr>
          <w:rFonts w:asciiTheme="majorBidi" w:hAnsiTheme="majorBidi" w:cstheme="majorBidi"/>
        </w:rPr>
        <w:t xml:space="preserve">The </w:t>
      </w:r>
      <w:r w:rsidR="00774CB9">
        <w:rPr>
          <w:rFonts w:asciiTheme="majorBidi" w:hAnsiTheme="majorBidi" w:cstheme="majorBidi"/>
        </w:rPr>
        <w:t xml:space="preserve">importance of bounded ethicality </w:t>
      </w:r>
      <w:r w:rsidRPr="00DC0380">
        <w:rPr>
          <w:rFonts w:asciiTheme="majorBidi" w:hAnsiTheme="majorBidi" w:cstheme="majorBidi"/>
        </w:rPr>
        <w:t xml:space="preserve">to legal </w:t>
      </w:r>
      <w:r w:rsidR="00774CB9">
        <w:rPr>
          <w:rFonts w:asciiTheme="majorBidi" w:hAnsiTheme="majorBidi" w:cstheme="majorBidi"/>
        </w:rPr>
        <w:t>policy-making was highlighted</w:t>
      </w:r>
      <w:r w:rsidRPr="00DC0380">
        <w:rPr>
          <w:rFonts w:asciiTheme="majorBidi" w:hAnsiTheme="majorBidi" w:cstheme="majorBidi"/>
        </w:rPr>
        <w:t xml:space="preserve"> </w:t>
      </w:r>
      <w:r w:rsidR="00774CB9">
        <w:rPr>
          <w:rFonts w:asciiTheme="majorBidi" w:hAnsiTheme="majorBidi" w:cstheme="majorBidi"/>
        </w:rPr>
        <w:t xml:space="preserve">in a recent book by one of the </w:t>
      </w:r>
      <w:r>
        <w:rPr>
          <w:rFonts w:asciiTheme="majorBidi" w:hAnsiTheme="majorBidi" w:cstheme="majorBidi"/>
        </w:rPr>
        <w:t>authors, Yuval Feldman</w:t>
      </w:r>
      <w:r w:rsidRPr="00DC0380">
        <w:rPr>
          <w:rFonts w:asciiTheme="majorBidi" w:hAnsiTheme="majorBidi" w:cstheme="majorBidi"/>
        </w:rPr>
        <w:t>.</w:t>
      </w:r>
      <w:r w:rsidRPr="00DC0380">
        <w:rPr>
          <w:rStyle w:val="FootnoteReference"/>
          <w:rFonts w:asciiTheme="majorBidi" w:hAnsiTheme="majorBidi" w:cstheme="majorBidi"/>
        </w:rPr>
        <w:footnoteReference w:id="1"/>
      </w:r>
      <w:r>
        <w:rPr>
          <w:rFonts w:asciiTheme="majorBidi" w:hAnsiTheme="majorBidi" w:cstheme="majorBidi"/>
        </w:rPr>
        <w:t xml:space="preserve"> </w:t>
      </w:r>
      <w:r w:rsidRPr="00DC0380">
        <w:rPr>
          <w:rFonts w:asciiTheme="majorBidi" w:hAnsiTheme="majorBidi" w:cstheme="majorBidi"/>
        </w:rPr>
        <w:t xml:space="preserve">This book project was praised by leading academics as inaugurating a new paradigm of legal scholarship. </w:t>
      </w:r>
      <w:r w:rsidRPr="00DC0380">
        <w:rPr>
          <w:rFonts w:asciiTheme="majorBidi" w:hAnsiTheme="majorBidi" w:cstheme="majorBidi"/>
          <w:b/>
          <w:bCs/>
        </w:rPr>
        <w:t xml:space="preserve">Cass Sunstein </w:t>
      </w:r>
      <w:r w:rsidRPr="001757BA">
        <w:rPr>
          <w:rFonts w:asciiTheme="majorBidi" w:hAnsiTheme="majorBidi" w:cstheme="majorBidi"/>
        </w:rPr>
        <w:t>(Harvard)</w:t>
      </w:r>
      <w:r w:rsidRPr="00DC0380">
        <w:rPr>
          <w:rFonts w:asciiTheme="majorBidi" w:hAnsiTheme="majorBidi" w:cstheme="majorBidi"/>
        </w:rPr>
        <w:t xml:space="preserve"> wrote </w:t>
      </w:r>
      <w:r>
        <w:rPr>
          <w:rFonts w:asciiTheme="majorBidi" w:hAnsiTheme="majorBidi" w:cstheme="majorBidi"/>
        </w:rPr>
        <w:t xml:space="preserve">that </w:t>
      </w:r>
      <w:r w:rsidRPr="00DC0380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book</w:t>
      </w:r>
      <w:r w:rsidRPr="00DC0380">
        <w:rPr>
          <w:rFonts w:asciiTheme="majorBidi" w:hAnsiTheme="majorBidi" w:cstheme="majorBidi"/>
        </w:rPr>
        <w:t xml:space="preserve"> “opens up new vistas in behavioral science, and also in public policy.” </w:t>
      </w:r>
      <w:r>
        <w:rPr>
          <w:rFonts w:asciiTheme="majorBidi" w:hAnsiTheme="majorBidi" w:cstheme="majorBidi"/>
        </w:rPr>
        <w:t xml:space="preserve">According to </w:t>
      </w:r>
      <w:r w:rsidRPr="00DC0380">
        <w:rPr>
          <w:rFonts w:asciiTheme="majorBidi" w:hAnsiTheme="majorBidi" w:cstheme="majorBidi"/>
          <w:b/>
          <w:bCs/>
        </w:rPr>
        <w:t xml:space="preserve">Jeffery Rachlinski </w:t>
      </w:r>
      <w:r w:rsidRPr="001757BA">
        <w:rPr>
          <w:rFonts w:asciiTheme="majorBidi" w:hAnsiTheme="majorBidi" w:cstheme="majorBidi"/>
        </w:rPr>
        <w:t>(Cornell)</w:t>
      </w:r>
      <w:r>
        <w:rPr>
          <w:rFonts w:asciiTheme="majorBidi" w:hAnsiTheme="majorBidi" w:cstheme="majorBidi"/>
        </w:rPr>
        <w:t>,</w:t>
      </w:r>
      <w:r w:rsidRPr="00DC0380">
        <w:rPr>
          <w:rFonts w:asciiTheme="majorBidi" w:hAnsiTheme="majorBidi" w:cstheme="majorBidi"/>
        </w:rPr>
        <w:t xml:space="preserve"> “the implication of this work will influence our understanding of how to regulate good and evil for many years to come.” </w:t>
      </w:r>
      <w:r w:rsidRPr="00DC0380">
        <w:rPr>
          <w:rFonts w:asciiTheme="majorBidi" w:hAnsiTheme="majorBidi" w:cstheme="majorBidi"/>
          <w:b/>
          <w:bCs/>
        </w:rPr>
        <w:t xml:space="preserve">Henry Smith </w:t>
      </w:r>
      <w:r w:rsidRPr="001757BA">
        <w:rPr>
          <w:rFonts w:asciiTheme="majorBidi" w:hAnsiTheme="majorBidi" w:cstheme="majorBidi"/>
        </w:rPr>
        <w:t xml:space="preserve">(Harvard) </w:t>
      </w:r>
      <w:r>
        <w:rPr>
          <w:rFonts w:asciiTheme="majorBidi" w:hAnsiTheme="majorBidi" w:cstheme="majorBidi"/>
        </w:rPr>
        <w:t>noted that</w:t>
      </w:r>
      <w:r w:rsidRPr="00DC0380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book</w:t>
      </w:r>
      <w:r w:rsidRPr="00DC0380">
        <w:rPr>
          <w:rFonts w:asciiTheme="majorBidi" w:hAnsiTheme="majorBidi" w:cstheme="majorBidi"/>
        </w:rPr>
        <w:t xml:space="preserve"> “provides </w:t>
      </w:r>
      <w:r>
        <w:rPr>
          <w:rFonts w:asciiTheme="majorBidi" w:hAnsiTheme="majorBidi" w:cstheme="majorBidi"/>
        </w:rPr>
        <w:t xml:space="preserve">the </w:t>
      </w:r>
      <w:r w:rsidRPr="00DC0380">
        <w:rPr>
          <w:rFonts w:asciiTheme="majorBidi" w:hAnsiTheme="majorBidi" w:cstheme="majorBidi"/>
        </w:rPr>
        <w:t xml:space="preserve">full and important first installment on evaluating law and related interventions in the light of this promising new paradigm.” </w:t>
      </w:r>
      <w:r w:rsidRPr="00DC0380">
        <w:rPr>
          <w:rFonts w:asciiTheme="majorBidi" w:hAnsiTheme="majorBidi" w:cstheme="majorBidi"/>
          <w:b/>
          <w:bCs/>
        </w:rPr>
        <w:t xml:space="preserve">Robert Cooter </w:t>
      </w:r>
      <w:r w:rsidRPr="001757BA">
        <w:rPr>
          <w:rFonts w:asciiTheme="majorBidi" w:hAnsiTheme="majorBidi" w:cstheme="majorBidi"/>
        </w:rPr>
        <w:t>(Berkeley Law)</w:t>
      </w:r>
      <w:r>
        <w:rPr>
          <w:rFonts w:asciiTheme="majorBidi" w:hAnsiTheme="majorBidi" w:cstheme="majorBidi"/>
        </w:rPr>
        <w:t xml:space="preserve"> wrote that it </w:t>
      </w:r>
      <w:r w:rsidRPr="00DC0380">
        <w:rPr>
          <w:rFonts w:asciiTheme="majorBidi" w:hAnsiTheme="majorBidi" w:cstheme="majorBidi"/>
        </w:rPr>
        <w:t>“will make readers rethink the incentives effect of law and current theories of law and economics.”</w:t>
      </w:r>
      <w:r w:rsidRPr="00DC0380">
        <w:rPr>
          <w:rStyle w:val="FootnoteReference"/>
          <w:rFonts w:asciiTheme="majorBidi" w:hAnsiTheme="majorBidi" w:cstheme="majorBidi"/>
        </w:rPr>
        <w:footnoteReference w:id="2"/>
      </w:r>
      <w:r w:rsidRPr="00DC0380">
        <w:rPr>
          <w:rFonts w:asciiTheme="majorBidi" w:hAnsiTheme="majorBidi" w:cstheme="majorBidi"/>
        </w:rPr>
        <w:t xml:space="preserve"> </w:t>
      </w:r>
    </w:p>
    <w:p w14:paraId="767D3E1B" w14:textId="7F97CC7F" w:rsidR="001B6F24" w:rsidRPr="00DC0380" w:rsidRDefault="001B6F24" w:rsidP="00774CB9">
      <w:pPr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Professor</w:t>
      </w:r>
      <w:r w:rsidRPr="00DC0380">
        <w:rPr>
          <w:rFonts w:asciiTheme="majorBidi" w:hAnsiTheme="majorBidi" w:cstheme="majorBidi"/>
        </w:rPr>
        <w:t xml:space="preserve"> Feldman is the leading figure in the area of </w:t>
      </w:r>
      <w:r w:rsidR="00774CB9">
        <w:rPr>
          <w:rFonts w:asciiTheme="majorBidi" w:hAnsiTheme="majorBidi" w:cstheme="majorBidi"/>
        </w:rPr>
        <w:t xml:space="preserve">law &amp; </w:t>
      </w:r>
      <w:r w:rsidRPr="00DC0380">
        <w:rPr>
          <w:rFonts w:asciiTheme="majorBidi" w:hAnsiTheme="majorBidi" w:cstheme="majorBidi"/>
        </w:rPr>
        <w:t xml:space="preserve">behavioral ethics and has published more than </w:t>
      </w:r>
      <w:r>
        <w:rPr>
          <w:rFonts w:asciiTheme="majorBidi" w:hAnsiTheme="majorBidi" w:cstheme="majorBidi"/>
        </w:rPr>
        <w:t xml:space="preserve">fifty </w:t>
      </w:r>
      <w:r w:rsidRPr="00DC0380">
        <w:rPr>
          <w:rFonts w:asciiTheme="majorBidi" w:hAnsiTheme="majorBidi" w:cstheme="majorBidi"/>
        </w:rPr>
        <w:t>scholarly papers on the behavioral analysis of law, ethical decision</w:t>
      </w:r>
      <w:r>
        <w:rPr>
          <w:rFonts w:asciiTheme="majorBidi" w:hAnsiTheme="majorBidi" w:cstheme="majorBidi"/>
        </w:rPr>
        <w:t xml:space="preserve"> </w:t>
      </w:r>
      <w:r w:rsidRPr="00DC0380">
        <w:rPr>
          <w:rFonts w:asciiTheme="majorBidi" w:hAnsiTheme="majorBidi" w:cstheme="majorBidi"/>
        </w:rPr>
        <w:t xml:space="preserve">making, regulatory impact and compliance, empirical legal studies, and enforcement and social norms. His work on these subjects has been published in </w:t>
      </w:r>
      <w:r w:rsidRPr="00DC0380">
        <w:rPr>
          <w:rFonts w:asciiTheme="majorBidi" w:hAnsiTheme="majorBidi" w:cstheme="majorBidi"/>
          <w:i/>
          <w:iCs/>
        </w:rPr>
        <w:t>N.Y.U Law Review</w:t>
      </w:r>
      <w:r w:rsidRPr="00DC0380">
        <w:rPr>
          <w:rFonts w:asciiTheme="majorBidi" w:hAnsiTheme="majorBidi" w:cstheme="majorBidi"/>
        </w:rPr>
        <w:t>, </w:t>
      </w:r>
      <w:r w:rsidRPr="00DC0380">
        <w:rPr>
          <w:rFonts w:asciiTheme="majorBidi" w:hAnsiTheme="majorBidi" w:cstheme="majorBidi"/>
          <w:i/>
          <w:iCs/>
        </w:rPr>
        <w:t>Northwestern Law Review</w:t>
      </w:r>
      <w:r w:rsidRPr="00DC0380"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  <w:i/>
          <w:iCs/>
        </w:rPr>
        <w:t>Georgetown Law Journal</w:t>
      </w:r>
      <w:r w:rsidRPr="00DC0380"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  <w:i/>
          <w:iCs/>
        </w:rPr>
        <w:t>Texas Law Review</w:t>
      </w:r>
      <w:r w:rsidRPr="00DC0380"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  <w:i/>
          <w:iCs/>
        </w:rPr>
        <w:t>Cardozo Law Review</w:t>
      </w:r>
      <w:r w:rsidRPr="00DC0380"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  <w:i/>
          <w:iCs/>
        </w:rPr>
        <w:t>Journal of Empirical Legal Studies</w:t>
      </w:r>
      <w:r w:rsidRPr="00DC038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D11AB5">
        <w:rPr>
          <w:rFonts w:asciiTheme="majorBidi" w:hAnsiTheme="majorBidi" w:cstheme="majorBidi"/>
          <w:i/>
        </w:rPr>
        <w:t>Regulation and Governances</w:t>
      </w:r>
      <w:r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</w:rPr>
        <w:t xml:space="preserve">and </w:t>
      </w:r>
      <w:r w:rsidRPr="00DC0380">
        <w:rPr>
          <w:rFonts w:asciiTheme="majorBidi" w:hAnsiTheme="majorBidi" w:cstheme="majorBidi"/>
          <w:i/>
          <w:iCs/>
        </w:rPr>
        <w:t>Law and Society Review</w:t>
      </w:r>
      <w:r w:rsidRPr="00DC0380">
        <w:rPr>
          <w:rFonts w:asciiTheme="majorBidi" w:hAnsiTheme="majorBidi" w:cstheme="majorBidi"/>
        </w:rPr>
        <w:t>, among many other</w:t>
      </w:r>
      <w:r>
        <w:rPr>
          <w:rFonts w:asciiTheme="majorBidi" w:hAnsiTheme="majorBidi" w:cstheme="majorBidi"/>
        </w:rPr>
        <w:t xml:space="preserve"> journals</w:t>
      </w:r>
      <w:r w:rsidRPr="00DC0380">
        <w:rPr>
          <w:rFonts w:asciiTheme="majorBidi" w:hAnsiTheme="majorBidi" w:cstheme="majorBidi"/>
        </w:rPr>
        <w:t xml:space="preserve">. </w:t>
      </w:r>
    </w:p>
    <w:p w14:paraId="3DC49190" w14:textId="5F6988EC" w:rsidR="001B6F24" w:rsidRPr="00DC0380" w:rsidRDefault="001B6F24" w:rsidP="00774CB9">
      <w:pPr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this article, Professor Feldman, joined by Yotam Kaplan, offers </w:t>
      </w:r>
      <w:r w:rsidRPr="00DC0380">
        <w:rPr>
          <w:rFonts w:asciiTheme="majorBidi" w:hAnsiTheme="majorBidi" w:cstheme="majorBidi"/>
        </w:rPr>
        <w:t>innovative solutions</w:t>
      </w:r>
      <w:r>
        <w:rPr>
          <w:rFonts w:asciiTheme="majorBidi" w:hAnsiTheme="majorBidi" w:cstheme="majorBidi"/>
        </w:rPr>
        <w:t>, using big data analysis,</w:t>
      </w:r>
      <w:r w:rsidRPr="00DC0380">
        <w:rPr>
          <w:rFonts w:asciiTheme="majorBidi" w:hAnsiTheme="majorBidi" w:cstheme="majorBidi"/>
        </w:rPr>
        <w:t xml:space="preserve"> to the pressing problems </w:t>
      </w:r>
      <w:r>
        <w:rPr>
          <w:rFonts w:asciiTheme="majorBidi" w:hAnsiTheme="majorBidi" w:cstheme="majorBidi"/>
        </w:rPr>
        <w:t>described</w:t>
      </w:r>
      <w:r w:rsidRPr="00DC0380">
        <w:rPr>
          <w:rFonts w:asciiTheme="majorBidi" w:hAnsiTheme="majorBidi" w:cstheme="majorBidi"/>
        </w:rPr>
        <w:t xml:space="preserve"> in th</w:t>
      </w:r>
      <w:r>
        <w:rPr>
          <w:rFonts w:asciiTheme="majorBidi" w:hAnsiTheme="majorBidi" w:cstheme="majorBidi"/>
        </w:rPr>
        <w:t xml:space="preserve">e recently published book. Professor </w:t>
      </w:r>
      <w:r w:rsidRPr="00DC0380">
        <w:rPr>
          <w:rFonts w:asciiTheme="majorBidi" w:hAnsiTheme="majorBidi" w:cstheme="majorBidi"/>
        </w:rPr>
        <w:t xml:space="preserve">Kaplan is an expert in the fields of private law theory, contract law, </w:t>
      </w:r>
      <w:r>
        <w:rPr>
          <w:rFonts w:asciiTheme="majorBidi" w:hAnsiTheme="majorBidi" w:cstheme="majorBidi"/>
        </w:rPr>
        <w:t xml:space="preserve">tort law, and property law. </w:t>
      </w:r>
      <w:r w:rsidRPr="00DC0380">
        <w:rPr>
          <w:rFonts w:asciiTheme="majorBidi" w:hAnsiTheme="majorBidi" w:cstheme="majorBidi"/>
        </w:rPr>
        <w:t xml:space="preserve">His most recent works are published </w:t>
      </w:r>
      <w:r w:rsidRPr="00DC0380">
        <w:rPr>
          <w:rFonts w:asciiTheme="majorBidi" w:hAnsiTheme="majorBidi" w:cstheme="majorBidi"/>
        </w:rPr>
        <w:lastRenderedPageBreak/>
        <w:t xml:space="preserve">in the </w:t>
      </w:r>
      <w:r w:rsidRPr="00DC0380">
        <w:rPr>
          <w:rFonts w:asciiTheme="majorBidi" w:hAnsiTheme="majorBidi" w:cstheme="majorBidi"/>
          <w:i/>
          <w:iCs/>
        </w:rPr>
        <w:t>Southern California Law Review</w:t>
      </w:r>
      <w:r w:rsidRPr="00DC0380"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  <w:i/>
          <w:iCs/>
        </w:rPr>
        <w:t>Lewis and Clark Law Review</w:t>
      </w:r>
      <w:r w:rsidRPr="00DC0380"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  <w:i/>
          <w:iCs/>
        </w:rPr>
        <w:t>American Law and Economics Review</w:t>
      </w:r>
      <w:r w:rsidRPr="00DC0380">
        <w:rPr>
          <w:rFonts w:asciiTheme="majorBidi" w:hAnsiTheme="majorBidi" w:cstheme="majorBidi"/>
        </w:rPr>
        <w:t xml:space="preserve">, </w:t>
      </w:r>
      <w:r w:rsidRPr="00DC0380">
        <w:rPr>
          <w:rFonts w:asciiTheme="majorBidi" w:hAnsiTheme="majorBidi" w:cstheme="majorBidi"/>
          <w:i/>
          <w:iCs/>
        </w:rPr>
        <w:t>Alabama Law Review</w:t>
      </w:r>
      <w:r w:rsidRPr="00DC0380">
        <w:rPr>
          <w:rFonts w:asciiTheme="majorBidi" w:hAnsiTheme="majorBidi" w:cstheme="majorBidi"/>
        </w:rPr>
        <w:t xml:space="preserve">, and </w:t>
      </w:r>
      <w:r w:rsidRPr="00DC0380">
        <w:rPr>
          <w:rFonts w:asciiTheme="majorBidi" w:hAnsiTheme="majorBidi" w:cstheme="majorBidi"/>
          <w:i/>
          <w:iCs/>
        </w:rPr>
        <w:t>George Mason Law Review</w:t>
      </w:r>
      <w:r w:rsidRPr="00DC0380">
        <w:rPr>
          <w:rFonts w:asciiTheme="majorBidi" w:hAnsiTheme="majorBidi" w:cstheme="majorBidi"/>
        </w:rPr>
        <w:t xml:space="preserve">. </w:t>
      </w:r>
    </w:p>
    <w:p w14:paraId="39110F9D" w14:textId="77777777" w:rsidR="001B6F24" w:rsidRPr="00DC0380" w:rsidRDefault="001B6F24" w:rsidP="009513D6">
      <w:pPr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DC0380">
        <w:rPr>
          <w:rFonts w:asciiTheme="majorBidi" w:hAnsiTheme="majorBidi" w:cstheme="majorBidi"/>
        </w:rPr>
        <w:t xml:space="preserve">Additional summary information appears in the abstract and introduction to the </w:t>
      </w:r>
      <w:r>
        <w:rPr>
          <w:rFonts w:asciiTheme="majorBidi" w:hAnsiTheme="majorBidi" w:cstheme="majorBidi"/>
        </w:rPr>
        <w:t>article</w:t>
      </w:r>
      <w:r w:rsidRPr="00DC0380">
        <w:rPr>
          <w:rFonts w:asciiTheme="majorBidi" w:hAnsiTheme="majorBidi" w:cstheme="majorBidi"/>
        </w:rPr>
        <w:t xml:space="preserve">. We hope </w:t>
      </w:r>
      <w:r>
        <w:rPr>
          <w:rFonts w:asciiTheme="majorBidi" w:hAnsiTheme="majorBidi" w:cstheme="majorBidi"/>
        </w:rPr>
        <w:t>it is of</w:t>
      </w:r>
      <w:r w:rsidRPr="00DC0380">
        <w:rPr>
          <w:rFonts w:asciiTheme="majorBidi" w:hAnsiTheme="majorBidi" w:cstheme="majorBidi"/>
        </w:rPr>
        <w:t xml:space="preserve"> interest </w:t>
      </w:r>
      <w:r>
        <w:rPr>
          <w:rFonts w:asciiTheme="majorBidi" w:hAnsiTheme="majorBidi" w:cstheme="majorBidi"/>
        </w:rPr>
        <w:t>to your journal</w:t>
      </w:r>
      <w:r w:rsidRPr="00DC0380">
        <w:rPr>
          <w:rFonts w:asciiTheme="majorBidi" w:hAnsiTheme="majorBidi" w:cstheme="majorBidi"/>
        </w:rPr>
        <w:t xml:space="preserve"> and look forward to hearing from you. </w:t>
      </w:r>
    </w:p>
    <w:p w14:paraId="5E90CCC1" w14:textId="77777777" w:rsidR="001B6F24" w:rsidRDefault="001B6F24" w:rsidP="005A535D">
      <w:pPr>
        <w:spacing w:line="360" w:lineRule="auto"/>
        <w:jc w:val="both"/>
        <w:rPr>
          <w:rFonts w:asciiTheme="majorBidi" w:hAnsiTheme="majorBidi" w:cstheme="majorBidi"/>
        </w:rPr>
      </w:pPr>
      <w:r w:rsidRPr="00DC0380">
        <w:rPr>
          <w:rFonts w:asciiTheme="majorBidi" w:hAnsiTheme="majorBidi" w:cstheme="majorBidi"/>
        </w:rPr>
        <w:t>Sincerely,</w:t>
      </w:r>
    </w:p>
    <w:p w14:paraId="740BF654" w14:textId="77777777" w:rsidR="001B6F24" w:rsidRPr="00DC0380" w:rsidRDefault="001B6F24" w:rsidP="005A535D">
      <w:pPr>
        <w:spacing w:line="360" w:lineRule="auto"/>
        <w:jc w:val="both"/>
        <w:rPr>
          <w:rFonts w:asciiTheme="majorBidi" w:hAnsiTheme="majorBidi" w:cstheme="majorBidi"/>
        </w:rPr>
      </w:pPr>
    </w:p>
    <w:p w14:paraId="09F5FC24" w14:textId="77777777" w:rsidR="001B6F24" w:rsidRPr="00DC0380" w:rsidRDefault="001B6F24" w:rsidP="005A535D">
      <w:pPr>
        <w:spacing w:line="360" w:lineRule="auto"/>
        <w:jc w:val="both"/>
        <w:rPr>
          <w:rFonts w:asciiTheme="majorBidi" w:hAnsiTheme="majorBidi" w:cstheme="majorBidi"/>
        </w:rPr>
      </w:pPr>
      <w:r w:rsidRPr="00DC0380">
        <w:rPr>
          <w:rFonts w:asciiTheme="majorBidi" w:hAnsiTheme="majorBidi" w:cstheme="majorBidi"/>
        </w:rPr>
        <w:t xml:space="preserve">Yuval Feldman </w:t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  <w:t xml:space="preserve">Yotam Kaplan </w:t>
      </w:r>
    </w:p>
    <w:p w14:paraId="3CD69BDD" w14:textId="77777777" w:rsidR="001B6F24" w:rsidRPr="00DC0380" w:rsidRDefault="001B6F24" w:rsidP="005A535D">
      <w:pPr>
        <w:spacing w:line="360" w:lineRule="auto"/>
        <w:jc w:val="both"/>
        <w:rPr>
          <w:rFonts w:asciiTheme="majorBidi" w:hAnsiTheme="majorBidi" w:cstheme="majorBidi"/>
        </w:rPr>
      </w:pPr>
      <w:r w:rsidRPr="00DC0380">
        <w:rPr>
          <w:rFonts w:asciiTheme="majorBidi" w:hAnsiTheme="majorBidi" w:cstheme="majorBidi"/>
        </w:rPr>
        <w:t>PhD UC Berkeley</w:t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</w:r>
      <w:r w:rsidRPr="00DC0380">
        <w:rPr>
          <w:rFonts w:asciiTheme="majorBidi" w:hAnsiTheme="majorBidi" w:cstheme="majorBidi"/>
        </w:rPr>
        <w:tab/>
        <w:t>SJD Harvard Law School</w:t>
      </w:r>
    </w:p>
    <w:p w14:paraId="10263C43" w14:textId="77777777" w:rsidR="001B6F24" w:rsidRPr="00DC0380" w:rsidRDefault="00395CC8" w:rsidP="008353B4">
      <w:pPr>
        <w:spacing w:line="360" w:lineRule="auto"/>
        <w:jc w:val="both"/>
        <w:rPr>
          <w:rFonts w:asciiTheme="majorBidi" w:hAnsiTheme="majorBidi" w:cstheme="majorBidi"/>
          <w:color w:val="0563C1" w:themeColor="hyperlink"/>
          <w:u w:val="single"/>
        </w:rPr>
      </w:pPr>
      <w:hyperlink r:id="rId7" w:history="1">
        <w:r w:rsidR="008353B4" w:rsidRPr="00DF5715">
          <w:rPr>
            <w:rStyle w:val="Hyperlink"/>
            <w:rFonts w:asciiTheme="majorBidi" w:hAnsiTheme="majorBidi" w:cstheme="majorBidi"/>
          </w:rPr>
          <w:t>Yuval.Feldman@biu.ac.il</w:t>
        </w:r>
      </w:hyperlink>
      <w:r w:rsidR="008353B4">
        <w:rPr>
          <w:rFonts w:asciiTheme="majorBidi" w:hAnsiTheme="majorBidi" w:cstheme="majorBidi"/>
        </w:rPr>
        <w:t xml:space="preserve"> </w:t>
      </w:r>
      <w:r w:rsidR="001B6F24" w:rsidRPr="00DC0380">
        <w:rPr>
          <w:rFonts w:asciiTheme="majorBidi" w:hAnsiTheme="majorBidi" w:cstheme="majorBidi"/>
        </w:rPr>
        <w:tab/>
      </w:r>
      <w:r w:rsidR="001B6F24" w:rsidRPr="00DC0380">
        <w:rPr>
          <w:rFonts w:asciiTheme="majorBidi" w:hAnsiTheme="majorBidi" w:cstheme="majorBidi"/>
        </w:rPr>
        <w:tab/>
      </w:r>
      <w:r w:rsidR="001B6F24" w:rsidRPr="00DC0380">
        <w:rPr>
          <w:rFonts w:asciiTheme="majorBidi" w:hAnsiTheme="majorBidi" w:cstheme="majorBidi"/>
        </w:rPr>
        <w:tab/>
      </w:r>
      <w:r w:rsidR="001B6F24" w:rsidRPr="00DC0380">
        <w:rPr>
          <w:rFonts w:asciiTheme="majorBidi" w:hAnsiTheme="majorBidi" w:cstheme="majorBidi"/>
        </w:rPr>
        <w:tab/>
      </w:r>
      <w:hyperlink r:id="rId8" w:history="1">
        <w:r w:rsidR="001B6F24" w:rsidRPr="00DC0380">
          <w:rPr>
            <w:rStyle w:val="Hyperlink"/>
            <w:rFonts w:asciiTheme="majorBidi" w:hAnsiTheme="majorBidi" w:cstheme="majorBidi"/>
          </w:rPr>
          <w:t>ykaplan@sjd.law.harvard.edu</w:t>
        </w:r>
      </w:hyperlink>
    </w:p>
    <w:p w14:paraId="25E29B0D" w14:textId="77777777" w:rsidR="00FF4D0E" w:rsidRPr="00FF4D0E" w:rsidRDefault="00FF4D0E" w:rsidP="00FF4D0E"/>
    <w:p w14:paraId="01630ADB" w14:textId="77777777" w:rsidR="00FF4D0E" w:rsidRPr="00FF4D0E" w:rsidRDefault="00FF4D0E" w:rsidP="00FF4D0E"/>
    <w:p w14:paraId="4FA431D3" w14:textId="77777777" w:rsidR="00FF4D0E" w:rsidRPr="00FF4D0E" w:rsidRDefault="00FF4D0E" w:rsidP="00FF4D0E"/>
    <w:p w14:paraId="69184351" w14:textId="77777777" w:rsidR="00FF4D0E" w:rsidRPr="00FF4D0E" w:rsidRDefault="00FF4D0E" w:rsidP="00FF4D0E"/>
    <w:p w14:paraId="62DB73A8" w14:textId="77777777" w:rsidR="00FF4D0E" w:rsidRPr="00FF4D0E" w:rsidRDefault="00FF4D0E" w:rsidP="00FF4D0E"/>
    <w:p w14:paraId="17F0F031" w14:textId="77777777" w:rsidR="007A18D5" w:rsidRPr="00FF4D0E" w:rsidRDefault="007A18D5" w:rsidP="00FF4D0E">
      <w:pPr>
        <w:tabs>
          <w:tab w:val="left" w:pos="2904"/>
        </w:tabs>
      </w:pPr>
      <w:bookmarkStart w:id="0" w:name="_GoBack"/>
      <w:bookmarkEnd w:id="0"/>
    </w:p>
    <w:sectPr w:rsidR="007A18D5" w:rsidRPr="00FF4D0E" w:rsidSect="003D190D">
      <w:headerReference w:type="default" r:id="rId9"/>
      <w:footerReference w:type="default" r:id="rId10"/>
      <w:pgSz w:w="11900" w:h="16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8428" w14:textId="77777777" w:rsidR="00370743" w:rsidRDefault="00370743" w:rsidP="00073DB6">
      <w:r>
        <w:separator/>
      </w:r>
    </w:p>
  </w:endnote>
  <w:endnote w:type="continuationSeparator" w:id="0">
    <w:p w14:paraId="26A28EC5" w14:textId="77777777" w:rsidR="00370743" w:rsidRDefault="00370743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00"/>
    <w:family w:val="auto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3FD7" w14:textId="77777777" w:rsidR="00265D8B" w:rsidRPr="00415EF7" w:rsidRDefault="00265D8B" w:rsidP="001B6F24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  <w:bookmarkStart w:id="2" w:name="_Hlk498247595"/>
    <w:bookmarkStart w:id="3" w:name="_Hlk498247596"/>
    <w:bookmarkStart w:id="4" w:name="_Hlk498247597"/>
    <w:bookmarkStart w:id="5" w:name="_Hlk498247599"/>
    <w:bookmarkStart w:id="6" w:name="_Hlk498247600"/>
    <w:bookmarkStart w:id="7" w:name="_Hlk498247601"/>
    <w:bookmarkStart w:id="8" w:name="_Hlk498247602"/>
    <w:bookmarkStart w:id="9" w:name="_Hlk498247603"/>
    <w:bookmarkStart w:id="10" w:name="_Hlk498247604"/>
    <w:r w:rsidRPr="00FF4D0E">
      <w:rPr>
        <w:rFonts w:asciiTheme="minorBidi" w:hAnsiTheme="minorBidi"/>
        <w:b/>
        <w:bCs/>
        <w:color w:val="2F2F35"/>
        <w:sz w:val="12"/>
        <w:szCs w:val="12"/>
        <w:lang w:bidi="ar-SA"/>
      </w:rPr>
      <w:t xml:space="preserve">  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p w14:paraId="5576E189" w14:textId="77777777" w:rsidR="008726AA" w:rsidRDefault="00872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52D9" w14:textId="77777777" w:rsidR="00370743" w:rsidRDefault="00370743" w:rsidP="00073DB6">
      <w:r>
        <w:separator/>
      </w:r>
    </w:p>
  </w:footnote>
  <w:footnote w:type="continuationSeparator" w:id="0">
    <w:p w14:paraId="50880D88" w14:textId="77777777" w:rsidR="00370743" w:rsidRDefault="00370743" w:rsidP="00073DB6">
      <w:r>
        <w:continuationSeparator/>
      </w:r>
    </w:p>
  </w:footnote>
  <w:footnote w:id="1">
    <w:p w14:paraId="0764C048" w14:textId="77777777" w:rsidR="001B6F24" w:rsidRPr="002C5CBB" w:rsidRDefault="001B6F24" w:rsidP="002C5CBB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2C5CBB">
        <w:rPr>
          <w:rStyle w:val="FootnoteReference"/>
          <w:rFonts w:asciiTheme="majorBidi" w:hAnsiTheme="majorBidi" w:cstheme="majorBidi"/>
        </w:rPr>
        <w:footnoteRef/>
      </w:r>
      <w:r w:rsidRPr="002C5CBB">
        <w:rPr>
          <w:rFonts w:asciiTheme="majorBidi" w:hAnsiTheme="majorBidi" w:cstheme="majorBidi"/>
          <w:rtl/>
        </w:rPr>
        <w:t xml:space="preserve"> </w:t>
      </w:r>
      <w:r w:rsidRPr="002C5CBB">
        <w:rPr>
          <w:rFonts w:asciiTheme="majorBidi" w:hAnsiTheme="majorBidi" w:cstheme="majorBidi"/>
          <w:smallCaps/>
        </w:rPr>
        <w:t>Yuval</w:t>
      </w:r>
      <w:r w:rsidRPr="002C5CBB">
        <w:rPr>
          <w:rFonts w:asciiTheme="majorBidi" w:hAnsiTheme="majorBidi" w:cstheme="majorBidi"/>
        </w:rPr>
        <w:t xml:space="preserve"> </w:t>
      </w:r>
      <w:r w:rsidRPr="002C5CBB">
        <w:rPr>
          <w:rFonts w:asciiTheme="majorBidi" w:hAnsiTheme="majorBidi" w:cstheme="majorBidi"/>
          <w:smallCaps/>
        </w:rPr>
        <w:t>Feldman, The law of Good People: Challenging States’ Ability to Regulate Human Behavior</w:t>
      </w:r>
      <w:r w:rsidRPr="002C5CBB">
        <w:rPr>
          <w:rFonts w:asciiTheme="majorBidi" w:hAnsiTheme="majorBidi" w:cstheme="majorBidi"/>
        </w:rPr>
        <w:t xml:space="preserve"> (2018).</w:t>
      </w:r>
    </w:p>
  </w:footnote>
  <w:footnote w:id="2">
    <w:p w14:paraId="3F312BE0" w14:textId="77777777" w:rsidR="001B6F24" w:rsidRPr="002C5CBB" w:rsidRDefault="001B6F24" w:rsidP="005713B6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2C5CBB">
        <w:rPr>
          <w:rStyle w:val="FootnoteReference"/>
          <w:rFonts w:asciiTheme="majorBidi" w:hAnsiTheme="majorBidi" w:cstheme="majorBidi"/>
        </w:rPr>
        <w:footnoteRef/>
      </w:r>
      <w:r w:rsidRPr="002C5CBB">
        <w:rPr>
          <w:rFonts w:asciiTheme="majorBidi" w:hAnsiTheme="majorBidi" w:cstheme="majorBidi"/>
        </w:rPr>
        <w:t xml:space="preserve"> Orly Lobel, </w:t>
      </w:r>
      <w:r w:rsidRPr="002C5CBB">
        <w:rPr>
          <w:rFonts w:asciiTheme="majorBidi" w:hAnsiTheme="majorBidi" w:cstheme="majorBidi"/>
          <w:i/>
          <w:iCs/>
        </w:rPr>
        <w:t>Book Recommendation: The Law of Good People</w:t>
      </w:r>
      <w:r w:rsidRPr="002C5CBB">
        <w:rPr>
          <w:rFonts w:asciiTheme="majorBidi" w:hAnsiTheme="majorBidi" w:cstheme="majorBidi"/>
        </w:rPr>
        <w:t xml:space="preserve">, </w:t>
      </w:r>
      <w:r w:rsidRPr="002C5CBB">
        <w:rPr>
          <w:rFonts w:asciiTheme="majorBidi" w:hAnsiTheme="majorBidi" w:cstheme="majorBidi"/>
          <w:smallCaps/>
        </w:rPr>
        <w:t>PrawfsBlawg</w:t>
      </w:r>
      <w:r w:rsidRPr="002C5CBB">
        <w:rPr>
          <w:rFonts w:asciiTheme="majorBidi" w:hAnsiTheme="majorBidi" w:cstheme="majorBidi"/>
        </w:rPr>
        <w:t xml:space="preserve"> (June 4, 2018)</w:t>
      </w:r>
      <w:r w:rsidR="005713B6">
        <w:rPr>
          <w:rFonts w:asciiTheme="majorBidi" w:hAnsiTheme="majorBidi" w:cstheme="majorBidi"/>
        </w:rPr>
        <w:t>,</w:t>
      </w:r>
      <w:r w:rsidR="002C5CBB">
        <w:rPr>
          <w:rFonts w:asciiTheme="majorBidi" w:hAnsiTheme="majorBidi" w:cstheme="majorBidi"/>
        </w:rPr>
        <w:t xml:space="preserve"> </w:t>
      </w:r>
      <w:hyperlink r:id="rId1" w:history="1">
        <w:r w:rsidR="002C5CBB" w:rsidRPr="00D8638A">
          <w:rPr>
            <w:rStyle w:val="Hyperlink"/>
            <w:rFonts w:asciiTheme="majorBidi" w:hAnsiTheme="majorBidi" w:cstheme="majorBidi"/>
          </w:rPr>
          <w:t>http://prawfsblawg.blogs.com/prawfsblawg/2018/06/book-recommendation-the-law-of-good-people.html</w:t>
        </w:r>
      </w:hyperlink>
      <w:r w:rsidR="00A50F72" w:rsidRPr="002C5CBB">
        <w:rPr>
          <w:rFonts w:asciiTheme="majorBidi" w:hAnsiTheme="majorBidi" w:cstheme="majorBidi"/>
        </w:rPr>
        <w:t>;</w:t>
      </w:r>
      <w:r w:rsidR="002C5CBB" w:rsidRPr="002C5CBB">
        <w:rPr>
          <w:rFonts w:asciiTheme="majorBidi" w:hAnsiTheme="majorBidi" w:cstheme="majorBidi"/>
        </w:rPr>
        <w:t xml:space="preserve"> </w:t>
      </w:r>
      <w:r w:rsidR="00A50F72" w:rsidRPr="002C5CBB">
        <w:rPr>
          <w:rFonts w:asciiTheme="majorBidi" w:hAnsiTheme="majorBidi" w:cstheme="majorBidi"/>
        </w:rPr>
        <w:t xml:space="preserve">Larry Solum, </w:t>
      </w:r>
      <w:r w:rsidR="00A50F72" w:rsidRPr="00A50F72">
        <w:rPr>
          <w:rFonts w:asciiTheme="majorBidi" w:hAnsiTheme="majorBidi" w:cstheme="majorBidi"/>
          <w:i/>
          <w:iCs/>
        </w:rPr>
        <w:t>Legal Theory Bookworm: "The Law of Good People" by Feldman</w:t>
      </w:r>
      <w:r w:rsidR="00A50F72" w:rsidRPr="002C5CBB">
        <w:rPr>
          <w:rFonts w:asciiTheme="majorBidi" w:hAnsiTheme="majorBidi" w:cstheme="majorBidi"/>
        </w:rPr>
        <w:t xml:space="preserve">, </w:t>
      </w:r>
      <w:r w:rsidR="00A50F72" w:rsidRPr="002C5CBB">
        <w:rPr>
          <w:rFonts w:asciiTheme="majorBidi" w:hAnsiTheme="majorBidi" w:cstheme="majorBidi"/>
          <w:smallCaps/>
        </w:rPr>
        <w:t>The Legal Theory Blog</w:t>
      </w:r>
      <w:r w:rsidR="00A50F72" w:rsidRPr="002C5CBB">
        <w:rPr>
          <w:rFonts w:asciiTheme="majorBidi" w:hAnsiTheme="majorBidi" w:cstheme="majorBidi"/>
        </w:rPr>
        <w:t xml:space="preserve"> </w:t>
      </w:r>
      <w:r w:rsidR="002C5CBB" w:rsidRPr="002C5CBB">
        <w:rPr>
          <w:rFonts w:asciiTheme="majorBidi" w:hAnsiTheme="majorBidi" w:cstheme="majorBidi"/>
        </w:rPr>
        <w:t>(June 16, 2018)</w:t>
      </w:r>
      <w:r w:rsidR="005713B6">
        <w:rPr>
          <w:rFonts w:asciiTheme="majorBidi" w:hAnsiTheme="majorBidi" w:cstheme="majorBidi"/>
        </w:rPr>
        <w:t>,</w:t>
      </w:r>
      <w:r w:rsidR="002C5CBB">
        <w:rPr>
          <w:rFonts w:asciiTheme="majorBidi" w:hAnsiTheme="majorBidi" w:cstheme="majorBidi"/>
        </w:rPr>
        <w:t xml:space="preserve"> </w:t>
      </w:r>
      <w:hyperlink r:id="rId2" w:history="1">
        <w:r w:rsidR="002C5CBB" w:rsidRPr="002C5CBB">
          <w:rPr>
            <w:rStyle w:val="Hyperlink"/>
            <w:rFonts w:asciiTheme="majorBidi" w:hAnsiTheme="majorBidi" w:cstheme="majorBidi"/>
          </w:rPr>
          <w:t>http://lsolum.typepad.com/legaltheory/2018/06/legal-theory-bookworm-the-law-of-good-people-by-feldman.html</w:t>
        </w:r>
      </w:hyperlink>
      <w:r w:rsidR="002C5CBB">
        <w:rPr>
          <w:rFonts w:asciiTheme="majorBidi" w:hAnsiTheme="majorBidi" w:cstheme="majorBidi"/>
        </w:rPr>
        <w:t xml:space="preserve">; </w:t>
      </w:r>
      <w:r w:rsidR="00A50F72" w:rsidRPr="002C5CBB">
        <w:rPr>
          <w:rFonts w:asciiTheme="majorBidi" w:hAnsiTheme="majorBidi" w:cstheme="majorBidi"/>
        </w:rPr>
        <w:t>For the full reviews</w:t>
      </w:r>
      <w:r w:rsidR="002C5CBB">
        <w:rPr>
          <w:rFonts w:asciiTheme="majorBidi" w:hAnsiTheme="majorBidi" w:cstheme="majorBidi"/>
        </w:rPr>
        <w:t>,</w:t>
      </w:r>
      <w:r w:rsidR="00A50F72" w:rsidRPr="002C5CBB">
        <w:rPr>
          <w:rFonts w:asciiTheme="majorBidi" w:hAnsiTheme="majorBidi" w:cstheme="majorBidi"/>
        </w:rPr>
        <w:t xml:space="preserve"> </w:t>
      </w:r>
      <w:r w:rsidR="00A50F72" w:rsidRPr="002C5CBB">
        <w:rPr>
          <w:rFonts w:asciiTheme="majorBidi" w:hAnsiTheme="majorBidi" w:cstheme="majorBidi"/>
          <w:iCs/>
        </w:rPr>
        <w:t>see</w:t>
      </w:r>
      <w:r w:rsidR="00A50F72" w:rsidRPr="002C5CBB">
        <w:rPr>
          <w:rFonts w:asciiTheme="majorBidi" w:hAnsiTheme="majorBidi" w:cstheme="majorBidi"/>
        </w:rPr>
        <w:t xml:space="preserve"> </w:t>
      </w:r>
      <w:r w:rsidR="002C5CBB" w:rsidRPr="002C5CBB">
        <w:rPr>
          <w:rFonts w:asciiTheme="majorBidi" w:hAnsiTheme="majorBidi" w:cstheme="majorBidi"/>
          <w:smallCaps/>
        </w:rPr>
        <w:t>The law of Good People: Challenging States’ Ability to Regulate Human Behavior</w:t>
      </w:r>
      <w:r w:rsidR="002C5CBB">
        <w:rPr>
          <w:rFonts w:asciiTheme="majorBidi" w:hAnsiTheme="majorBidi" w:cstheme="majorBidi"/>
          <w:smallCaps/>
        </w:rPr>
        <w:t xml:space="preserve"> (2018)</w:t>
      </w:r>
      <w:r w:rsidR="005713B6">
        <w:rPr>
          <w:rFonts w:asciiTheme="majorBidi" w:hAnsiTheme="majorBidi" w:cstheme="majorBidi"/>
        </w:rPr>
        <w:t>,</w:t>
      </w:r>
      <w:r w:rsidR="002C5CBB">
        <w:rPr>
          <w:rFonts w:asciiTheme="majorBidi" w:hAnsiTheme="majorBidi" w:cstheme="majorBidi"/>
        </w:rPr>
        <w:t xml:space="preserve"> </w:t>
      </w:r>
      <w:hyperlink r:id="rId3" w:anchor="fndtn-information" w:history="1">
        <w:r w:rsidR="00A50F72" w:rsidRPr="002C5CBB">
          <w:rPr>
            <w:rStyle w:val="Hyperlink"/>
            <w:rFonts w:asciiTheme="majorBidi" w:hAnsiTheme="majorBidi" w:cstheme="majorBidi"/>
          </w:rPr>
          <w:t>https://www.cambridge.org/core/books/law-of-good-people/DEB07C540F75D5D3B0A53B2499722F70#fndtn-information</w:t>
        </w:r>
      </w:hyperlink>
      <w:r w:rsidR="002C5CBB">
        <w:rPr>
          <w:rFonts w:asciiTheme="majorBidi" w:hAnsiTheme="majorBidi" w:cstheme="majorBid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1134" w:type="dxa"/>
      <w:tblLook w:val="04A0" w:firstRow="1" w:lastRow="0" w:firstColumn="1" w:lastColumn="0" w:noHBand="0" w:noVBand="1"/>
    </w:tblPr>
    <w:tblGrid>
      <w:gridCol w:w="1002"/>
      <w:gridCol w:w="4128"/>
    </w:tblGrid>
    <w:tr w:rsidR="0022752C" w14:paraId="510175F9" w14:textId="77777777" w:rsidTr="00A31A1D">
      <w:trPr>
        <w:trHeight w:val="70"/>
      </w:trPr>
      <w:tc>
        <w:tcPr>
          <w:tcW w:w="1002" w:type="dxa"/>
          <w:vMerge w:val="restart"/>
          <w:tcBorders>
            <w:top w:val="nil"/>
            <w:left w:val="nil"/>
            <w:right w:val="nil"/>
          </w:tcBorders>
        </w:tcPr>
        <w:p w14:paraId="098EDC72" w14:textId="77777777" w:rsidR="0022752C" w:rsidRPr="005454CB" w:rsidRDefault="0022752C" w:rsidP="0022752C">
          <w:pPr>
            <w:pStyle w:val="Header"/>
            <w:bidi/>
            <w:jc w:val="right"/>
            <w:rPr>
              <w:b/>
              <w:bCs/>
              <w:sz w:val="20"/>
              <w:szCs w:val="20"/>
              <w:rtl/>
            </w:rPr>
          </w:pPr>
          <w:bookmarkStart w:id="1" w:name="_Hlk498247303"/>
        </w:p>
      </w:tc>
      <w:tc>
        <w:tcPr>
          <w:tcW w:w="41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ABBB7C" w14:textId="77777777" w:rsidR="0022752C" w:rsidRDefault="0022752C" w:rsidP="0022752C">
          <w:pPr>
            <w:pStyle w:val="Header"/>
            <w:jc w:val="both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Yuval Feldman Ph.D</w:t>
          </w:r>
        </w:p>
        <w:p w14:paraId="7F44551E" w14:textId="77777777" w:rsidR="0022752C" w:rsidRDefault="0022752C" w:rsidP="0022752C">
          <w:pPr>
            <w:pStyle w:val="Header"/>
            <w:jc w:val="both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The Mori Lazarof Professor of Legal Research</w:t>
          </w:r>
        </w:p>
        <w:p w14:paraId="7B824E44" w14:textId="77777777" w:rsidR="0022752C" w:rsidRPr="008B02A9" w:rsidRDefault="0022752C" w:rsidP="0022752C">
          <w:pPr>
            <w:pStyle w:val="Header"/>
            <w:jc w:val="both"/>
            <w:rPr>
              <w:b/>
              <w:bCs/>
              <w:sz w:val="20"/>
              <w:szCs w:val="20"/>
              <w:rtl/>
            </w:rPr>
          </w:pPr>
          <w:r>
            <w:rPr>
              <w:b/>
              <w:bCs/>
              <w:sz w:val="20"/>
              <w:szCs w:val="20"/>
            </w:rPr>
            <w:t>Yuval.Feldman@biu.ac.il</w:t>
          </w:r>
        </w:p>
      </w:tc>
    </w:tr>
    <w:tr w:rsidR="0022752C" w14:paraId="32B9BA33" w14:textId="77777777" w:rsidTr="00A31A1D">
      <w:trPr>
        <w:trHeight w:val="70"/>
      </w:trPr>
      <w:tc>
        <w:tcPr>
          <w:tcW w:w="1002" w:type="dxa"/>
          <w:vMerge/>
          <w:tcBorders>
            <w:left w:val="nil"/>
            <w:bottom w:val="single" w:sz="8" w:space="0" w:color="auto"/>
            <w:right w:val="nil"/>
          </w:tcBorders>
        </w:tcPr>
        <w:p w14:paraId="4017A142" w14:textId="77777777" w:rsidR="0022752C" w:rsidRPr="005454CB" w:rsidRDefault="0022752C" w:rsidP="0022752C">
          <w:pPr>
            <w:pStyle w:val="Header"/>
            <w:bidi/>
            <w:jc w:val="right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128" w:type="dxa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6592259C" w14:textId="77777777" w:rsidR="0022752C" w:rsidRPr="005454CB" w:rsidRDefault="0022752C" w:rsidP="00A50F72">
          <w:pPr>
            <w:pStyle w:val="Header"/>
            <w:jc w:val="both"/>
            <w:rPr>
              <w:b/>
              <w:bCs/>
              <w:sz w:val="20"/>
              <w:szCs w:val="20"/>
              <w:rtl/>
            </w:rPr>
          </w:pPr>
        </w:p>
      </w:tc>
    </w:tr>
    <w:tr w:rsidR="0022752C" w14:paraId="4AEFEDF8" w14:textId="77777777" w:rsidTr="00A31A1D">
      <w:trPr>
        <w:trHeight w:val="67"/>
      </w:trPr>
      <w:tc>
        <w:tcPr>
          <w:tcW w:w="1002" w:type="dxa"/>
          <w:vMerge w:val="restart"/>
          <w:tcBorders>
            <w:top w:val="single" w:sz="8" w:space="0" w:color="auto"/>
            <w:left w:val="nil"/>
            <w:right w:val="nil"/>
          </w:tcBorders>
        </w:tcPr>
        <w:p w14:paraId="1A28F8EB" w14:textId="77777777" w:rsidR="0022752C" w:rsidRPr="005454CB" w:rsidRDefault="0022752C" w:rsidP="0022752C">
          <w:pPr>
            <w:pStyle w:val="Header"/>
            <w:bidi/>
            <w:spacing w:before="60"/>
            <w:jc w:val="right"/>
            <w:rPr>
              <w:sz w:val="20"/>
              <w:szCs w:val="20"/>
              <w:rtl/>
            </w:rPr>
          </w:pPr>
        </w:p>
      </w:tc>
      <w:tc>
        <w:tcPr>
          <w:tcW w:w="4128" w:type="dxa"/>
          <w:tcBorders>
            <w:top w:val="single" w:sz="18" w:space="0" w:color="auto"/>
            <w:left w:val="nil"/>
            <w:bottom w:val="nil"/>
            <w:right w:val="nil"/>
          </w:tcBorders>
        </w:tcPr>
        <w:p w14:paraId="30E2004D" w14:textId="77777777" w:rsidR="0022752C" w:rsidRPr="00A31A1D" w:rsidRDefault="0022752C" w:rsidP="00A50F72">
          <w:pPr>
            <w:pStyle w:val="Header"/>
            <w:jc w:val="both"/>
            <w:rPr>
              <w:b/>
              <w:bCs/>
              <w:sz w:val="20"/>
              <w:szCs w:val="20"/>
            </w:rPr>
          </w:pPr>
          <w:r w:rsidRPr="00A31A1D">
            <w:rPr>
              <w:b/>
              <w:bCs/>
              <w:sz w:val="20"/>
              <w:szCs w:val="20"/>
            </w:rPr>
            <w:t>Faculty of Law Bar-Ilan university</w:t>
          </w:r>
        </w:p>
        <w:p w14:paraId="693254E6" w14:textId="77777777" w:rsidR="0022752C" w:rsidRPr="00A50F72" w:rsidRDefault="0022752C" w:rsidP="00A50F72">
          <w:pPr>
            <w:pStyle w:val="Header"/>
            <w:jc w:val="both"/>
            <w:rPr>
              <w:b/>
              <w:bCs/>
              <w:sz w:val="20"/>
              <w:szCs w:val="20"/>
              <w:rtl/>
            </w:rPr>
          </w:pPr>
          <w:r w:rsidRPr="00A31A1D">
            <w:rPr>
              <w:b/>
              <w:bCs/>
              <w:sz w:val="20"/>
              <w:szCs w:val="20"/>
            </w:rPr>
            <w:t xml:space="preserve">Ramat-Gan Israel </w:t>
          </w:r>
          <w:r>
            <w:rPr>
              <w:b/>
              <w:bCs/>
              <w:sz w:val="20"/>
              <w:szCs w:val="20"/>
            </w:rPr>
            <w:t>52900</w:t>
          </w:r>
        </w:p>
      </w:tc>
    </w:tr>
    <w:tr w:rsidR="0022752C" w14:paraId="03991129" w14:textId="77777777" w:rsidTr="00A31A1D">
      <w:trPr>
        <w:trHeight w:val="66"/>
      </w:trPr>
      <w:tc>
        <w:tcPr>
          <w:tcW w:w="1002" w:type="dxa"/>
          <w:vMerge/>
          <w:tcBorders>
            <w:left w:val="nil"/>
            <w:bottom w:val="nil"/>
            <w:right w:val="nil"/>
          </w:tcBorders>
        </w:tcPr>
        <w:p w14:paraId="71892AF1" w14:textId="77777777" w:rsidR="0022752C" w:rsidRPr="005454CB" w:rsidRDefault="0022752C" w:rsidP="0022752C">
          <w:pPr>
            <w:pStyle w:val="Header"/>
            <w:bidi/>
            <w:spacing w:before="60"/>
            <w:jc w:val="right"/>
            <w:rPr>
              <w:sz w:val="20"/>
              <w:szCs w:val="20"/>
              <w:rtl/>
            </w:rPr>
          </w:pPr>
        </w:p>
      </w:tc>
      <w:tc>
        <w:tcPr>
          <w:tcW w:w="4128" w:type="dxa"/>
          <w:tcBorders>
            <w:top w:val="nil"/>
            <w:left w:val="nil"/>
            <w:bottom w:val="nil"/>
            <w:right w:val="nil"/>
          </w:tcBorders>
        </w:tcPr>
        <w:p w14:paraId="36415650" w14:textId="77777777" w:rsidR="0022752C" w:rsidRPr="002A4BBD" w:rsidRDefault="0022752C" w:rsidP="0022752C">
          <w:pPr>
            <w:pStyle w:val="Header"/>
            <w:bidi/>
            <w:jc w:val="both"/>
            <w:rPr>
              <w:sz w:val="18"/>
              <w:szCs w:val="18"/>
              <w:rtl/>
            </w:rPr>
          </w:pPr>
        </w:p>
      </w:tc>
    </w:tr>
  </w:tbl>
  <w:bookmarkEnd w:id="1"/>
  <w:p w14:paraId="2233FA0F" w14:textId="77777777" w:rsidR="00073DB6" w:rsidRDefault="00870983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DEFCF" wp14:editId="5585C1B2">
          <wp:simplePos x="0" y="0"/>
          <wp:positionH relativeFrom="page">
            <wp:posOffset>952</wp:posOffset>
          </wp:positionH>
          <wp:positionV relativeFrom="paragraph">
            <wp:posOffset>-1254443</wp:posOffset>
          </wp:positionV>
          <wp:extent cx="1397726" cy="1618476"/>
          <wp:effectExtent l="0" t="0" r="0" b="1270"/>
          <wp:wrapNone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726" cy="1618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CD2B6" w14:textId="77777777" w:rsidR="00870983" w:rsidRDefault="008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B6"/>
    <w:rsid w:val="00073DB6"/>
    <w:rsid w:val="00090404"/>
    <w:rsid w:val="001351AA"/>
    <w:rsid w:val="001B6F24"/>
    <w:rsid w:val="001C6AF5"/>
    <w:rsid w:val="0022752C"/>
    <w:rsid w:val="00265D8B"/>
    <w:rsid w:val="00283AA0"/>
    <w:rsid w:val="00294D6B"/>
    <w:rsid w:val="002A4BBD"/>
    <w:rsid w:val="002C5CBB"/>
    <w:rsid w:val="00370743"/>
    <w:rsid w:val="00383AFF"/>
    <w:rsid w:val="00395CC8"/>
    <w:rsid w:val="003D190D"/>
    <w:rsid w:val="003E66BB"/>
    <w:rsid w:val="00454CF4"/>
    <w:rsid w:val="0049141B"/>
    <w:rsid w:val="005454CB"/>
    <w:rsid w:val="00556155"/>
    <w:rsid w:val="005713B6"/>
    <w:rsid w:val="0058278F"/>
    <w:rsid w:val="005A535D"/>
    <w:rsid w:val="005B510D"/>
    <w:rsid w:val="00707C38"/>
    <w:rsid w:val="00774CB9"/>
    <w:rsid w:val="00775DF9"/>
    <w:rsid w:val="007A18D5"/>
    <w:rsid w:val="008353B4"/>
    <w:rsid w:val="00870983"/>
    <w:rsid w:val="008726AA"/>
    <w:rsid w:val="008B02A9"/>
    <w:rsid w:val="008D23B3"/>
    <w:rsid w:val="008E0012"/>
    <w:rsid w:val="009150F1"/>
    <w:rsid w:val="009473D8"/>
    <w:rsid w:val="009513D6"/>
    <w:rsid w:val="00952C84"/>
    <w:rsid w:val="00970120"/>
    <w:rsid w:val="009953DC"/>
    <w:rsid w:val="009B309C"/>
    <w:rsid w:val="00A31A1D"/>
    <w:rsid w:val="00A50F72"/>
    <w:rsid w:val="00A927D2"/>
    <w:rsid w:val="00C722F4"/>
    <w:rsid w:val="00CD78E1"/>
    <w:rsid w:val="00D10C97"/>
    <w:rsid w:val="00D43A70"/>
    <w:rsid w:val="00D76C88"/>
    <w:rsid w:val="00DF08AA"/>
    <w:rsid w:val="00E25E9C"/>
    <w:rsid w:val="00E34BFA"/>
    <w:rsid w:val="00E65D19"/>
    <w:rsid w:val="00E77957"/>
    <w:rsid w:val="00FA617F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129BFB5"/>
  <w15:docId w15:val="{42CA371C-AA5A-44B2-A683-52A980B8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D8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B6F24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6F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F24"/>
    <w:rPr>
      <w:vertAlign w:val="superscript"/>
    </w:rPr>
  </w:style>
  <w:style w:type="paragraph" w:styleId="Revision">
    <w:name w:val="Revision"/>
    <w:hidden/>
    <w:uiPriority w:val="99"/>
    <w:semiHidden/>
    <w:rsid w:val="00A50F72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50F7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aplan@sjd.law.harvar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val.Feldman@biu.ac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.org/core/books/law-of-good-people/DEB07C540F75D5D3B0A53B2499722F70" TargetMode="External"/><Relationship Id="rId2" Type="http://schemas.openxmlformats.org/officeDocument/2006/relationships/hyperlink" Target="http://lsolum.typepad.com/legaltheory/2018/06/legal-theory-bookworm-the-law-of-good-people-by-feldman.html" TargetMode="External"/><Relationship Id="rId1" Type="http://schemas.openxmlformats.org/officeDocument/2006/relationships/hyperlink" Target="http://prawfsblawg.blogs.com/prawfsblawg/2018/06/book-recommendation-the-law-of-good-peopl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0793-3444-43D0-A218-F5DF85E1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2187</Characters>
  <Application>Microsoft Office Word</Application>
  <DocSecurity>0</DocSecurity>
  <Lines>39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Yotam Kaplan</cp:lastModifiedBy>
  <cp:revision>3</cp:revision>
  <cp:lastPrinted>2017-11-12T10:21:00Z</cp:lastPrinted>
  <dcterms:created xsi:type="dcterms:W3CDTF">2019-01-30T22:33:00Z</dcterms:created>
  <dcterms:modified xsi:type="dcterms:W3CDTF">2019-01-30T22:42:00Z</dcterms:modified>
</cp:coreProperties>
</file>